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B700CFD" w14:textId="6BC2DBA0" w:rsidR="003E3EC7" w:rsidRDefault="00251E10" w:rsidP="003E3EC7">
      <w:pPr>
        <w:spacing w:after="120"/>
        <w:rPr>
          <w:noProof/>
        </w:rPr>
      </w:pPr>
      <w:r>
        <w:rPr>
          <w:b/>
          <w:bCs/>
          <w:noProof/>
          <w:sz w:val="40"/>
          <w:szCs w:val="40"/>
        </w:rPr>
        <w:drawing>
          <wp:anchor distT="0" distB="0" distL="114300" distR="114300" simplePos="0" relativeHeight="251658240" behindDoc="0" locked="0" layoutInCell="1" allowOverlap="1" wp14:anchorId="6C509F68" wp14:editId="6887BADE">
            <wp:simplePos x="0" y="0"/>
            <wp:positionH relativeFrom="column">
              <wp:posOffset>1676400</wp:posOffset>
            </wp:positionH>
            <wp:positionV relativeFrom="paragraph">
              <wp:posOffset>-388620</wp:posOffset>
            </wp:positionV>
            <wp:extent cx="2289175" cy="716280"/>
            <wp:effectExtent l="0" t="0" r="0" b="0"/>
            <wp:wrapThrough wrapText="bothSides">
              <wp:wrapPolygon edited="0">
                <wp:start x="0" y="0"/>
                <wp:lineTo x="0" y="21255"/>
                <wp:lineTo x="21390" y="21255"/>
                <wp:lineTo x="21390" y="0"/>
                <wp:lineTo x="0" y="0"/>
              </wp:wrapPolygon>
            </wp:wrapThrough>
            <wp:docPr id="2" name="Picture 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2289175" cy="716280"/>
                    </a:xfrm>
                    <a:prstGeom prst="rect">
                      <a:avLst/>
                    </a:prstGeom>
                  </pic:spPr>
                </pic:pic>
              </a:graphicData>
            </a:graphic>
            <wp14:sizeRelH relativeFrom="margin">
              <wp14:pctWidth>0</wp14:pctWidth>
            </wp14:sizeRelH>
            <wp14:sizeRelV relativeFrom="margin">
              <wp14:pctHeight>0</wp14:pctHeight>
            </wp14:sizeRelV>
          </wp:anchor>
        </w:drawing>
      </w:r>
      <w:bookmarkStart w:id="0" w:name="_Ref103781179"/>
      <w:bookmarkEnd w:id="0"/>
      <w:r>
        <w:rPr>
          <w:b/>
          <w:bCs/>
          <w:noProof/>
          <w:sz w:val="40"/>
          <w:szCs w:val="40"/>
        </w:rPr>
        <w:drawing>
          <wp:anchor distT="0" distB="0" distL="114300" distR="114300" simplePos="0" relativeHeight="251658242" behindDoc="0" locked="0" layoutInCell="1" allowOverlap="1" wp14:anchorId="0BA3C21D" wp14:editId="2A08D428">
            <wp:simplePos x="0" y="0"/>
            <wp:positionH relativeFrom="column">
              <wp:posOffset>4010025</wp:posOffset>
            </wp:positionH>
            <wp:positionV relativeFrom="paragraph">
              <wp:posOffset>-302895</wp:posOffset>
            </wp:positionV>
            <wp:extent cx="1847850" cy="591185"/>
            <wp:effectExtent l="0" t="0" r="0" b="0"/>
            <wp:wrapNone/>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847850" cy="591185"/>
                    </a:xfrm>
                    <a:prstGeom prst="rect">
                      <a:avLst/>
                    </a:prstGeom>
                  </pic:spPr>
                </pic:pic>
              </a:graphicData>
            </a:graphic>
            <wp14:sizeRelH relativeFrom="margin">
              <wp14:pctWidth>0</wp14:pctWidth>
            </wp14:sizeRelH>
            <wp14:sizeRelV relativeFrom="margin">
              <wp14:pctHeight>0</wp14:pctHeight>
            </wp14:sizeRelV>
          </wp:anchor>
        </w:drawing>
      </w:r>
    </w:p>
    <w:p w14:paraId="74AF30AE" w14:textId="4FA4984C" w:rsidR="003E3EC7" w:rsidRDefault="007D450C" w:rsidP="003E3EC7">
      <w:pPr>
        <w:spacing w:after="120"/>
        <w:jc w:val="right"/>
        <w:rPr>
          <w:b/>
          <w:bCs/>
          <w:sz w:val="40"/>
          <w:szCs w:val="40"/>
        </w:rPr>
      </w:pPr>
      <w:r>
        <w:rPr>
          <w:noProof/>
        </w:rPr>
        <mc:AlternateContent>
          <mc:Choice Requires="wpg">
            <w:drawing>
              <wp:anchor distT="0" distB="0" distL="114300" distR="114300" simplePos="0" relativeHeight="251659266" behindDoc="1" locked="0" layoutInCell="1" allowOverlap="1" wp14:anchorId="4BB5704C" wp14:editId="3E3B41BB">
                <wp:simplePos x="0" y="0"/>
                <wp:positionH relativeFrom="page">
                  <wp:posOffset>-635</wp:posOffset>
                </wp:positionH>
                <wp:positionV relativeFrom="page">
                  <wp:posOffset>915035</wp:posOffset>
                </wp:positionV>
                <wp:extent cx="7560310" cy="9777730"/>
                <wp:effectExtent l="8890" t="635" r="3175" b="3810"/>
                <wp:wrapNone/>
                <wp:docPr id="53"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777730"/>
                          <a:chOff x="-1" y="1440"/>
                          <a:chExt cx="11906" cy="15399"/>
                        </a:xfrm>
                      </wpg:grpSpPr>
                      <wps:wsp>
                        <wps:cNvPr id="6304" name="docshape18"/>
                        <wps:cNvSpPr>
                          <a:spLocks/>
                        </wps:cNvSpPr>
                        <wps:spPr bwMode="auto">
                          <a:xfrm>
                            <a:off x="0" y="2416"/>
                            <a:ext cx="11904" cy="14423"/>
                          </a:xfrm>
                          <a:custGeom>
                            <a:avLst/>
                            <a:gdLst>
                              <a:gd name="T0" fmla="*/ 11904 w 11904"/>
                              <a:gd name="T1" fmla="*/ 8421 h 14423"/>
                              <a:gd name="T2" fmla="*/ 11904 w 11904"/>
                              <a:gd name="T3" fmla="*/ 2416 h 14423"/>
                              <a:gd name="T4" fmla="*/ 0 w 11904"/>
                              <a:gd name="T5" fmla="*/ 5606 h 14423"/>
                              <a:gd name="T6" fmla="*/ 0 w 11904"/>
                              <a:gd name="T7" fmla="*/ 8421 h 14423"/>
                              <a:gd name="T8" fmla="*/ 0 w 11904"/>
                              <a:gd name="T9" fmla="*/ 11738 h 14423"/>
                              <a:gd name="T10" fmla="*/ 0 w 11904"/>
                              <a:gd name="T11" fmla="*/ 16839 h 14423"/>
                              <a:gd name="T12" fmla="*/ 11904 w 11904"/>
                              <a:gd name="T13" fmla="*/ 16839 h 14423"/>
                              <a:gd name="T14" fmla="*/ 11904 w 11904"/>
                              <a:gd name="T15" fmla="*/ 8421 h 14423"/>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11904" h="14423">
                                <a:moveTo>
                                  <a:pt x="11904" y="6005"/>
                                </a:moveTo>
                                <a:lnTo>
                                  <a:pt x="11904" y="0"/>
                                </a:lnTo>
                                <a:lnTo>
                                  <a:pt x="0" y="3190"/>
                                </a:lnTo>
                                <a:lnTo>
                                  <a:pt x="0" y="6005"/>
                                </a:lnTo>
                                <a:lnTo>
                                  <a:pt x="0" y="9322"/>
                                </a:lnTo>
                                <a:lnTo>
                                  <a:pt x="0" y="14423"/>
                                </a:lnTo>
                                <a:lnTo>
                                  <a:pt x="11904" y="14423"/>
                                </a:lnTo>
                                <a:lnTo>
                                  <a:pt x="11904" y="6005"/>
                                </a:lnTo>
                                <a:close/>
                              </a:path>
                            </a:pathLst>
                          </a:custGeom>
                          <a:solidFill>
                            <a:srgbClr val="408B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5" name="docshape19"/>
                        <wps:cNvSpPr>
                          <a:spLocks/>
                        </wps:cNvSpPr>
                        <wps:spPr bwMode="auto">
                          <a:xfrm>
                            <a:off x="-1" y="1544"/>
                            <a:ext cx="4806" cy="3483"/>
                          </a:xfrm>
                          <a:custGeom>
                            <a:avLst/>
                            <a:gdLst>
                              <a:gd name="T0" fmla="*/ 0 w 4806"/>
                              <a:gd name="T1" fmla="*/ 1544 h 3483"/>
                              <a:gd name="T2" fmla="*/ 0 w 4806"/>
                              <a:gd name="T3" fmla="*/ 3779 h 3483"/>
                              <a:gd name="T4" fmla="*/ 2162 w 4806"/>
                              <a:gd name="T5" fmla="*/ 5027 h 3483"/>
                              <a:gd name="T6" fmla="*/ 4806 w 4806"/>
                              <a:gd name="T7" fmla="*/ 4319 h 3483"/>
                              <a:gd name="T8" fmla="*/ 0 w 4806"/>
                              <a:gd name="T9" fmla="*/ 1544 h 348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06" h="3483">
                                <a:moveTo>
                                  <a:pt x="0" y="0"/>
                                </a:moveTo>
                                <a:lnTo>
                                  <a:pt x="0" y="2235"/>
                                </a:lnTo>
                                <a:lnTo>
                                  <a:pt x="2162" y="3483"/>
                                </a:lnTo>
                                <a:lnTo>
                                  <a:pt x="4806" y="2775"/>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6" name="docshape20"/>
                        <wps:cNvSpPr>
                          <a:spLocks/>
                        </wps:cNvSpPr>
                        <wps:spPr bwMode="auto">
                          <a:xfrm>
                            <a:off x="2160" y="4318"/>
                            <a:ext cx="9745" cy="5517"/>
                          </a:xfrm>
                          <a:custGeom>
                            <a:avLst/>
                            <a:gdLst>
                              <a:gd name="T0" fmla="*/ 9744 w 9745"/>
                              <a:gd name="T1" fmla="*/ 8418 h 5517"/>
                              <a:gd name="T2" fmla="*/ 2644 w 9745"/>
                              <a:gd name="T3" fmla="*/ 4319 h 5517"/>
                              <a:gd name="T4" fmla="*/ 0 w 9745"/>
                              <a:gd name="T5" fmla="*/ 5027 h 5517"/>
                              <a:gd name="T6" fmla="*/ 5877 w 9745"/>
                              <a:gd name="T7" fmla="*/ 8421 h 5517"/>
                              <a:gd name="T8" fmla="*/ 8328 w 9745"/>
                              <a:gd name="T9" fmla="*/ 9836 h 5517"/>
                              <a:gd name="T10" fmla="*/ 9744 w 9745"/>
                              <a:gd name="T11" fmla="*/ 9456 h 5517"/>
                              <a:gd name="T12" fmla="*/ 9744 w 9745"/>
                              <a:gd name="T13" fmla="*/ 8421 h 5517"/>
                              <a:gd name="T14" fmla="*/ 9744 w 9745"/>
                              <a:gd name="T15" fmla="*/ 8418 h 5517"/>
                              <a:gd name="T16" fmla="*/ 0 60000 65536"/>
                              <a:gd name="T17" fmla="*/ 0 60000 65536"/>
                              <a:gd name="T18" fmla="*/ 0 60000 65536"/>
                              <a:gd name="T19" fmla="*/ 0 60000 65536"/>
                              <a:gd name="T20" fmla="*/ 0 60000 65536"/>
                              <a:gd name="T21" fmla="*/ 0 60000 65536"/>
                              <a:gd name="T22" fmla="*/ 0 60000 65536"/>
                              <a:gd name="T23" fmla="*/ 0 60000 65536"/>
                            </a:gdLst>
                            <a:ahLst/>
                            <a:cxnLst>
                              <a:cxn ang="T16">
                                <a:pos x="T0" y="T1"/>
                              </a:cxn>
                              <a:cxn ang="T17">
                                <a:pos x="T2" y="T3"/>
                              </a:cxn>
                              <a:cxn ang="T18">
                                <a:pos x="T4" y="T5"/>
                              </a:cxn>
                              <a:cxn ang="T19">
                                <a:pos x="T6" y="T7"/>
                              </a:cxn>
                              <a:cxn ang="T20">
                                <a:pos x="T8" y="T9"/>
                              </a:cxn>
                              <a:cxn ang="T21">
                                <a:pos x="T10" y="T11"/>
                              </a:cxn>
                              <a:cxn ang="T22">
                                <a:pos x="T12" y="T13"/>
                              </a:cxn>
                              <a:cxn ang="T23">
                                <a:pos x="T14" y="T15"/>
                              </a:cxn>
                            </a:cxnLst>
                            <a:rect l="0" t="0" r="r" b="b"/>
                            <a:pathLst>
                              <a:path w="9745" h="5517">
                                <a:moveTo>
                                  <a:pt x="9744" y="4099"/>
                                </a:moveTo>
                                <a:lnTo>
                                  <a:pt x="2644" y="0"/>
                                </a:lnTo>
                                <a:lnTo>
                                  <a:pt x="0" y="708"/>
                                </a:lnTo>
                                <a:lnTo>
                                  <a:pt x="5877" y="4102"/>
                                </a:lnTo>
                                <a:lnTo>
                                  <a:pt x="8328" y="5517"/>
                                </a:lnTo>
                                <a:lnTo>
                                  <a:pt x="9744" y="5137"/>
                                </a:lnTo>
                                <a:lnTo>
                                  <a:pt x="9744" y="4102"/>
                                </a:lnTo>
                                <a:lnTo>
                                  <a:pt x="9744" y="4099"/>
                                </a:lnTo>
                                <a:close/>
                              </a:path>
                            </a:pathLst>
                          </a:custGeom>
                          <a:solidFill>
                            <a:srgbClr val="5794C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7" name="docshape21"/>
                        <wps:cNvSpPr>
                          <a:spLocks/>
                        </wps:cNvSpPr>
                        <wps:spPr bwMode="auto">
                          <a:xfrm>
                            <a:off x="10488" y="9456"/>
                            <a:ext cx="1416" cy="1197"/>
                          </a:xfrm>
                          <a:custGeom>
                            <a:avLst/>
                            <a:gdLst>
                              <a:gd name="T0" fmla="*/ 1416 w 1416"/>
                              <a:gd name="T1" fmla="*/ 9456 h 1197"/>
                              <a:gd name="T2" fmla="*/ 0 w 1416"/>
                              <a:gd name="T3" fmla="*/ 9836 h 1197"/>
                              <a:gd name="T4" fmla="*/ 1416 w 1416"/>
                              <a:gd name="T5" fmla="*/ 10653 h 1197"/>
                              <a:gd name="T6" fmla="*/ 1416 w 1416"/>
                              <a:gd name="T7" fmla="*/ 9456 h 119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16" h="1197">
                                <a:moveTo>
                                  <a:pt x="1416" y="0"/>
                                </a:moveTo>
                                <a:lnTo>
                                  <a:pt x="0" y="380"/>
                                </a:lnTo>
                                <a:lnTo>
                                  <a:pt x="1416" y="1197"/>
                                </a:lnTo>
                                <a:lnTo>
                                  <a:pt x="1416" y="0"/>
                                </a:lnTo>
                                <a:close/>
                              </a:path>
                            </a:pathLst>
                          </a:custGeom>
                          <a:solidFill>
                            <a:srgbClr val="689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8" name="docshape22"/>
                        <wps:cNvSpPr>
                          <a:spLocks/>
                        </wps:cNvSpPr>
                        <wps:spPr bwMode="auto">
                          <a:xfrm>
                            <a:off x="-1" y="3779"/>
                            <a:ext cx="2162" cy="1827"/>
                          </a:xfrm>
                          <a:custGeom>
                            <a:avLst/>
                            <a:gdLst>
                              <a:gd name="T0" fmla="*/ 0 w 2162"/>
                              <a:gd name="T1" fmla="*/ 3779 h 1827"/>
                              <a:gd name="T2" fmla="*/ 0 w 2162"/>
                              <a:gd name="T3" fmla="*/ 5606 h 1827"/>
                              <a:gd name="T4" fmla="*/ 2161 w 2162"/>
                              <a:gd name="T5" fmla="*/ 5027 h 1827"/>
                              <a:gd name="T6" fmla="*/ 0 w 2162"/>
                              <a:gd name="T7" fmla="*/ 3779 h 1827"/>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2162" h="1827">
                                <a:moveTo>
                                  <a:pt x="0" y="0"/>
                                </a:moveTo>
                                <a:lnTo>
                                  <a:pt x="0" y="1827"/>
                                </a:lnTo>
                                <a:lnTo>
                                  <a:pt x="2161" y="1248"/>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09" name="docshape23"/>
                        <wps:cNvSpPr>
                          <a:spLocks/>
                        </wps:cNvSpPr>
                        <wps:spPr bwMode="auto">
                          <a:xfrm>
                            <a:off x="-1" y="5027"/>
                            <a:ext cx="10490" cy="7620"/>
                          </a:xfrm>
                          <a:custGeom>
                            <a:avLst/>
                            <a:gdLst>
                              <a:gd name="T0" fmla="*/ 10490 w 10490"/>
                              <a:gd name="T1" fmla="*/ 9836 h 7620"/>
                              <a:gd name="T2" fmla="*/ 8039 w 10490"/>
                              <a:gd name="T3" fmla="*/ 8421 h 7620"/>
                              <a:gd name="T4" fmla="*/ 2161 w 10490"/>
                              <a:gd name="T5" fmla="*/ 5027 h 7620"/>
                              <a:gd name="T6" fmla="*/ 0 w 10490"/>
                              <a:gd name="T7" fmla="*/ 5606 h 7620"/>
                              <a:gd name="T8" fmla="*/ 0 w 10490"/>
                              <a:gd name="T9" fmla="*/ 8421 h 7620"/>
                              <a:gd name="T10" fmla="*/ 0 w 10490"/>
                              <a:gd name="T11" fmla="*/ 12646 h 7620"/>
                              <a:gd name="T12" fmla="*/ 10490 w 10490"/>
                              <a:gd name="T13" fmla="*/ 9836 h 7620"/>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0490" h="7620">
                                <a:moveTo>
                                  <a:pt x="10490" y="4809"/>
                                </a:moveTo>
                                <a:lnTo>
                                  <a:pt x="8039" y="3394"/>
                                </a:lnTo>
                                <a:lnTo>
                                  <a:pt x="2161" y="0"/>
                                </a:lnTo>
                                <a:lnTo>
                                  <a:pt x="0" y="579"/>
                                </a:lnTo>
                                <a:lnTo>
                                  <a:pt x="0" y="3394"/>
                                </a:lnTo>
                                <a:lnTo>
                                  <a:pt x="0" y="7619"/>
                                </a:lnTo>
                                <a:lnTo>
                                  <a:pt x="10490" y="4809"/>
                                </a:lnTo>
                                <a:close/>
                              </a:path>
                            </a:pathLst>
                          </a:custGeom>
                          <a:solidFill>
                            <a:srgbClr val="689CD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0" name="docshape24"/>
                        <wps:cNvSpPr>
                          <a:spLocks/>
                        </wps:cNvSpPr>
                        <wps:spPr bwMode="auto">
                          <a:xfrm>
                            <a:off x="-1" y="9835"/>
                            <a:ext cx="11906" cy="7004"/>
                          </a:xfrm>
                          <a:custGeom>
                            <a:avLst/>
                            <a:gdLst>
                              <a:gd name="T0" fmla="*/ 10490 w 11906"/>
                              <a:gd name="T1" fmla="*/ 9836 h 7004"/>
                              <a:gd name="T2" fmla="*/ 0 w 11906"/>
                              <a:gd name="T3" fmla="*/ 12646 h 7004"/>
                              <a:gd name="T4" fmla="*/ 0 w 11906"/>
                              <a:gd name="T5" fmla="*/ 16839 h 7004"/>
                              <a:gd name="T6" fmla="*/ 11906 w 11906"/>
                              <a:gd name="T7" fmla="*/ 16839 h 7004"/>
                              <a:gd name="T8" fmla="*/ 11906 w 11906"/>
                              <a:gd name="T9" fmla="*/ 10653 h 7004"/>
                              <a:gd name="T10" fmla="*/ 10490 w 11906"/>
                              <a:gd name="T11" fmla="*/ 9836 h 700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1906" h="7004">
                                <a:moveTo>
                                  <a:pt x="10490" y="0"/>
                                </a:moveTo>
                                <a:lnTo>
                                  <a:pt x="0" y="2810"/>
                                </a:lnTo>
                                <a:lnTo>
                                  <a:pt x="0" y="7003"/>
                                </a:lnTo>
                                <a:lnTo>
                                  <a:pt x="11906" y="7003"/>
                                </a:lnTo>
                                <a:lnTo>
                                  <a:pt x="11906" y="817"/>
                                </a:lnTo>
                                <a:lnTo>
                                  <a:pt x="10490" y="0"/>
                                </a:lnTo>
                                <a:close/>
                              </a:path>
                            </a:pathLst>
                          </a:custGeom>
                          <a:solidFill>
                            <a:srgbClr val="76A4D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1" name="docshape25"/>
                        <wps:cNvSpPr>
                          <a:spLocks/>
                        </wps:cNvSpPr>
                        <wps:spPr bwMode="auto">
                          <a:xfrm>
                            <a:off x="2933" y="1440"/>
                            <a:ext cx="1036" cy="1053"/>
                          </a:xfrm>
                          <a:custGeom>
                            <a:avLst/>
                            <a:gdLst>
                              <a:gd name="T0" fmla="*/ 551 w 1036"/>
                              <a:gd name="T1" fmla="*/ 1441 h 1053"/>
                              <a:gd name="T2" fmla="*/ 518 w 1036"/>
                              <a:gd name="T3" fmla="*/ 1474 h 1053"/>
                              <a:gd name="T4" fmla="*/ 470 w 1036"/>
                              <a:gd name="T5" fmla="*/ 1500 h 1053"/>
                              <a:gd name="T6" fmla="*/ 467 w 1036"/>
                              <a:gd name="T7" fmla="*/ 1543 h 1053"/>
                              <a:gd name="T8" fmla="*/ 444 w 1036"/>
                              <a:gd name="T9" fmla="*/ 1610 h 1053"/>
                              <a:gd name="T10" fmla="*/ 249 w 1036"/>
                              <a:gd name="T11" fmla="*/ 2124 h 1053"/>
                              <a:gd name="T12" fmla="*/ 191 w 1036"/>
                              <a:gd name="T13" fmla="*/ 2272 h 1053"/>
                              <a:gd name="T14" fmla="*/ 149 w 1036"/>
                              <a:gd name="T15" fmla="*/ 2374 h 1053"/>
                              <a:gd name="T16" fmla="*/ 109 w 1036"/>
                              <a:gd name="T17" fmla="*/ 2432 h 1053"/>
                              <a:gd name="T18" fmla="*/ 56 w 1036"/>
                              <a:gd name="T19" fmla="*/ 2450 h 1053"/>
                              <a:gd name="T20" fmla="*/ 1 w 1036"/>
                              <a:gd name="T21" fmla="*/ 2463 h 1053"/>
                              <a:gd name="T22" fmla="*/ 3 w 1036"/>
                              <a:gd name="T23" fmla="*/ 2486 h 1053"/>
                              <a:gd name="T24" fmla="*/ 79 w 1036"/>
                              <a:gd name="T25" fmla="*/ 2491 h 1053"/>
                              <a:gd name="T26" fmla="*/ 157 w 1036"/>
                              <a:gd name="T27" fmla="*/ 2489 h 1053"/>
                              <a:gd name="T28" fmla="*/ 326 w 1036"/>
                              <a:gd name="T29" fmla="*/ 2486 h 1053"/>
                              <a:gd name="T30" fmla="*/ 328 w 1036"/>
                              <a:gd name="T31" fmla="*/ 2463 h 1053"/>
                              <a:gd name="T32" fmla="*/ 270 w 1036"/>
                              <a:gd name="T33" fmla="*/ 2450 h 1053"/>
                              <a:gd name="T34" fmla="*/ 234 w 1036"/>
                              <a:gd name="T35" fmla="*/ 2440 h 1053"/>
                              <a:gd name="T36" fmla="*/ 225 w 1036"/>
                              <a:gd name="T37" fmla="*/ 2419 h 1053"/>
                              <a:gd name="T38" fmla="*/ 234 w 1036"/>
                              <a:gd name="T39" fmla="*/ 2374 h 1053"/>
                              <a:gd name="T40" fmla="*/ 259 w 1036"/>
                              <a:gd name="T41" fmla="*/ 2290 h 1053"/>
                              <a:gd name="T42" fmla="*/ 322 w 1036"/>
                              <a:gd name="T43" fmla="*/ 2108 h 1053"/>
                              <a:gd name="T44" fmla="*/ 349 w 1036"/>
                              <a:gd name="T45" fmla="*/ 2092 h 1053"/>
                              <a:gd name="T46" fmla="*/ 788 w 1036"/>
                              <a:gd name="T47" fmla="*/ 2090 h 1053"/>
                              <a:gd name="T48" fmla="*/ 396 w 1036"/>
                              <a:gd name="T49" fmla="*/ 2028 h 1053"/>
                              <a:gd name="T50" fmla="*/ 359 w 1036"/>
                              <a:gd name="T51" fmla="*/ 2023 h 1053"/>
                              <a:gd name="T52" fmla="*/ 363 w 1036"/>
                              <a:gd name="T53" fmla="*/ 1991 h 1053"/>
                              <a:gd name="T54" fmla="*/ 473 w 1036"/>
                              <a:gd name="T55" fmla="*/ 1689 h 1053"/>
                              <a:gd name="T56" fmla="*/ 493 w 1036"/>
                              <a:gd name="T57" fmla="*/ 1641 h 1053"/>
                              <a:gd name="T58" fmla="*/ 631 w 1036"/>
                              <a:gd name="T59" fmla="*/ 1630 h 1053"/>
                              <a:gd name="T60" fmla="*/ 607 w 1036"/>
                              <a:gd name="T61" fmla="*/ 1559 h 1053"/>
                              <a:gd name="T62" fmla="*/ 574 w 1036"/>
                              <a:gd name="T63" fmla="*/ 1455 h 1053"/>
                              <a:gd name="T64" fmla="*/ 560 w 1036"/>
                              <a:gd name="T65" fmla="*/ 1441 h 1053"/>
                              <a:gd name="T66" fmla="*/ 157 w 1036"/>
                              <a:gd name="T67" fmla="*/ 2489 h 1053"/>
                              <a:gd name="T68" fmla="*/ 286 w 1036"/>
                              <a:gd name="T69" fmla="*/ 2492 h 1053"/>
                              <a:gd name="T70" fmla="*/ 323 w 1036"/>
                              <a:gd name="T71" fmla="*/ 2489 h 1053"/>
                              <a:gd name="T72" fmla="*/ 607 w 1036"/>
                              <a:gd name="T73" fmla="*/ 2090 h 1053"/>
                              <a:gd name="T74" fmla="*/ 652 w 1036"/>
                              <a:gd name="T75" fmla="*/ 2097 h 1053"/>
                              <a:gd name="T76" fmla="*/ 670 w 1036"/>
                              <a:gd name="T77" fmla="*/ 2129 h 1053"/>
                              <a:gd name="T78" fmla="*/ 747 w 1036"/>
                              <a:gd name="T79" fmla="*/ 2367 h 1053"/>
                              <a:gd name="T80" fmla="*/ 757 w 1036"/>
                              <a:gd name="T81" fmla="*/ 2407 h 1053"/>
                              <a:gd name="T82" fmla="*/ 755 w 1036"/>
                              <a:gd name="T83" fmla="*/ 2433 h 1053"/>
                              <a:gd name="T84" fmla="*/ 727 w 1036"/>
                              <a:gd name="T85" fmla="*/ 2447 h 1053"/>
                              <a:gd name="T86" fmla="*/ 659 w 1036"/>
                              <a:gd name="T87" fmla="*/ 2455 h 1053"/>
                              <a:gd name="T88" fmla="*/ 652 w 1036"/>
                              <a:gd name="T89" fmla="*/ 2475 h 1053"/>
                              <a:gd name="T90" fmla="*/ 663 w 1036"/>
                              <a:gd name="T91" fmla="*/ 2493 h 1053"/>
                              <a:gd name="T92" fmla="*/ 788 w 1036"/>
                              <a:gd name="T93" fmla="*/ 2489 h 1053"/>
                              <a:gd name="T94" fmla="*/ 1033 w 1036"/>
                              <a:gd name="T95" fmla="*/ 2486 h 1053"/>
                              <a:gd name="T96" fmla="*/ 1034 w 1036"/>
                              <a:gd name="T97" fmla="*/ 2463 h 1053"/>
                              <a:gd name="T98" fmla="*/ 987 w 1036"/>
                              <a:gd name="T99" fmla="*/ 2450 h 1053"/>
                              <a:gd name="T100" fmla="*/ 913 w 1036"/>
                              <a:gd name="T101" fmla="*/ 2415 h 1053"/>
                              <a:gd name="T102" fmla="*/ 855 w 1036"/>
                              <a:gd name="T103" fmla="*/ 2286 h 1053"/>
                              <a:gd name="T104" fmla="*/ 1031 w 1036"/>
                              <a:gd name="T105" fmla="*/ 2489 h 1053"/>
                              <a:gd name="T106" fmla="*/ 891 w 1036"/>
                              <a:gd name="T107" fmla="*/ 2489 h 1053"/>
                              <a:gd name="T108" fmla="*/ 982 w 1036"/>
                              <a:gd name="T109" fmla="*/ 2491 h 1053"/>
                              <a:gd name="T110" fmla="*/ 1031 w 1036"/>
                              <a:gd name="T111" fmla="*/ 2489 h 1053"/>
                              <a:gd name="T112" fmla="*/ 501 w 1036"/>
                              <a:gd name="T113" fmla="*/ 1630 h 1053"/>
                              <a:gd name="T114" fmla="*/ 518 w 1036"/>
                              <a:gd name="T115" fmla="*/ 1672 h 1053"/>
                              <a:gd name="T116" fmla="*/ 537 w 1036"/>
                              <a:gd name="T117" fmla="*/ 1728 h 1053"/>
                              <a:gd name="T118" fmla="*/ 628 w 1036"/>
                              <a:gd name="T119" fmla="*/ 2006 h 1053"/>
                              <a:gd name="T120" fmla="*/ 613 w 1036"/>
                              <a:gd name="T121" fmla="*/ 2027 h 1053"/>
                              <a:gd name="T122" fmla="*/ 767 w 1036"/>
                              <a:gd name="T123" fmla="*/ 2028 h 1053"/>
                              <a:gd name="T124" fmla="*/ 631 w 1036"/>
                              <a:gd name="T125" fmla="*/ 1630 h 1053"/>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036" h="1053">
                                <a:moveTo>
                                  <a:pt x="560" y="0"/>
                                </a:moveTo>
                                <a:lnTo>
                                  <a:pt x="551" y="0"/>
                                </a:lnTo>
                                <a:lnTo>
                                  <a:pt x="536" y="16"/>
                                </a:lnTo>
                                <a:lnTo>
                                  <a:pt x="518" y="33"/>
                                </a:lnTo>
                                <a:lnTo>
                                  <a:pt x="496" y="48"/>
                                </a:lnTo>
                                <a:lnTo>
                                  <a:pt x="470" y="59"/>
                                </a:lnTo>
                                <a:lnTo>
                                  <a:pt x="471" y="79"/>
                                </a:lnTo>
                                <a:lnTo>
                                  <a:pt x="467" y="102"/>
                                </a:lnTo>
                                <a:lnTo>
                                  <a:pt x="458" y="132"/>
                                </a:lnTo>
                                <a:lnTo>
                                  <a:pt x="444" y="169"/>
                                </a:lnTo>
                                <a:lnTo>
                                  <a:pt x="286" y="587"/>
                                </a:lnTo>
                                <a:lnTo>
                                  <a:pt x="249" y="683"/>
                                </a:lnTo>
                                <a:lnTo>
                                  <a:pt x="218" y="764"/>
                                </a:lnTo>
                                <a:lnTo>
                                  <a:pt x="191" y="831"/>
                                </a:lnTo>
                                <a:lnTo>
                                  <a:pt x="168" y="886"/>
                                </a:lnTo>
                                <a:lnTo>
                                  <a:pt x="149" y="933"/>
                                </a:lnTo>
                                <a:lnTo>
                                  <a:pt x="131" y="968"/>
                                </a:lnTo>
                                <a:lnTo>
                                  <a:pt x="109" y="991"/>
                                </a:lnTo>
                                <a:lnTo>
                                  <a:pt x="84" y="1004"/>
                                </a:lnTo>
                                <a:lnTo>
                                  <a:pt x="56" y="1009"/>
                                </a:lnTo>
                                <a:lnTo>
                                  <a:pt x="5" y="1014"/>
                                </a:lnTo>
                                <a:lnTo>
                                  <a:pt x="1" y="1022"/>
                                </a:lnTo>
                                <a:lnTo>
                                  <a:pt x="0" y="1034"/>
                                </a:lnTo>
                                <a:lnTo>
                                  <a:pt x="3" y="1045"/>
                                </a:lnTo>
                                <a:lnTo>
                                  <a:pt x="8" y="1052"/>
                                </a:lnTo>
                                <a:lnTo>
                                  <a:pt x="79" y="1050"/>
                                </a:lnTo>
                                <a:lnTo>
                                  <a:pt x="118" y="1048"/>
                                </a:lnTo>
                                <a:lnTo>
                                  <a:pt x="157" y="1048"/>
                                </a:lnTo>
                                <a:lnTo>
                                  <a:pt x="323" y="1048"/>
                                </a:lnTo>
                                <a:lnTo>
                                  <a:pt x="326" y="1045"/>
                                </a:lnTo>
                                <a:lnTo>
                                  <a:pt x="329" y="1034"/>
                                </a:lnTo>
                                <a:lnTo>
                                  <a:pt x="328" y="1022"/>
                                </a:lnTo>
                                <a:lnTo>
                                  <a:pt x="322" y="1014"/>
                                </a:lnTo>
                                <a:lnTo>
                                  <a:pt x="270" y="1009"/>
                                </a:lnTo>
                                <a:lnTo>
                                  <a:pt x="248" y="1006"/>
                                </a:lnTo>
                                <a:lnTo>
                                  <a:pt x="234" y="999"/>
                                </a:lnTo>
                                <a:lnTo>
                                  <a:pt x="227" y="990"/>
                                </a:lnTo>
                                <a:lnTo>
                                  <a:pt x="225" y="978"/>
                                </a:lnTo>
                                <a:lnTo>
                                  <a:pt x="227" y="961"/>
                                </a:lnTo>
                                <a:lnTo>
                                  <a:pt x="234" y="933"/>
                                </a:lnTo>
                                <a:lnTo>
                                  <a:pt x="244" y="897"/>
                                </a:lnTo>
                                <a:lnTo>
                                  <a:pt x="259" y="849"/>
                                </a:lnTo>
                                <a:lnTo>
                                  <a:pt x="314" y="687"/>
                                </a:lnTo>
                                <a:lnTo>
                                  <a:pt x="322" y="667"/>
                                </a:lnTo>
                                <a:lnTo>
                                  <a:pt x="333" y="656"/>
                                </a:lnTo>
                                <a:lnTo>
                                  <a:pt x="349" y="651"/>
                                </a:lnTo>
                                <a:lnTo>
                                  <a:pt x="373" y="649"/>
                                </a:lnTo>
                                <a:lnTo>
                                  <a:pt x="788" y="649"/>
                                </a:lnTo>
                                <a:lnTo>
                                  <a:pt x="767" y="587"/>
                                </a:lnTo>
                                <a:lnTo>
                                  <a:pt x="396" y="587"/>
                                </a:lnTo>
                                <a:lnTo>
                                  <a:pt x="371" y="587"/>
                                </a:lnTo>
                                <a:lnTo>
                                  <a:pt x="359" y="582"/>
                                </a:lnTo>
                                <a:lnTo>
                                  <a:pt x="357" y="571"/>
                                </a:lnTo>
                                <a:lnTo>
                                  <a:pt x="363" y="550"/>
                                </a:lnTo>
                                <a:lnTo>
                                  <a:pt x="461" y="280"/>
                                </a:lnTo>
                                <a:lnTo>
                                  <a:pt x="473" y="248"/>
                                </a:lnTo>
                                <a:lnTo>
                                  <a:pt x="484" y="220"/>
                                </a:lnTo>
                                <a:lnTo>
                                  <a:pt x="493" y="200"/>
                                </a:lnTo>
                                <a:lnTo>
                                  <a:pt x="498" y="189"/>
                                </a:lnTo>
                                <a:lnTo>
                                  <a:pt x="631" y="189"/>
                                </a:lnTo>
                                <a:lnTo>
                                  <a:pt x="625" y="170"/>
                                </a:lnTo>
                                <a:lnTo>
                                  <a:pt x="607" y="118"/>
                                </a:lnTo>
                                <a:lnTo>
                                  <a:pt x="590" y="65"/>
                                </a:lnTo>
                                <a:lnTo>
                                  <a:pt x="574" y="14"/>
                                </a:lnTo>
                                <a:lnTo>
                                  <a:pt x="571" y="3"/>
                                </a:lnTo>
                                <a:lnTo>
                                  <a:pt x="560" y="0"/>
                                </a:lnTo>
                                <a:close/>
                                <a:moveTo>
                                  <a:pt x="323" y="1048"/>
                                </a:moveTo>
                                <a:lnTo>
                                  <a:pt x="157" y="1048"/>
                                </a:lnTo>
                                <a:lnTo>
                                  <a:pt x="250" y="1050"/>
                                </a:lnTo>
                                <a:lnTo>
                                  <a:pt x="286" y="1051"/>
                                </a:lnTo>
                                <a:lnTo>
                                  <a:pt x="318" y="1052"/>
                                </a:lnTo>
                                <a:lnTo>
                                  <a:pt x="323" y="1048"/>
                                </a:lnTo>
                                <a:close/>
                                <a:moveTo>
                                  <a:pt x="788" y="649"/>
                                </a:moveTo>
                                <a:lnTo>
                                  <a:pt x="607" y="649"/>
                                </a:lnTo>
                                <a:lnTo>
                                  <a:pt x="635" y="651"/>
                                </a:lnTo>
                                <a:lnTo>
                                  <a:pt x="652" y="656"/>
                                </a:lnTo>
                                <a:lnTo>
                                  <a:pt x="662" y="668"/>
                                </a:lnTo>
                                <a:lnTo>
                                  <a:pt x="670" y="688"/>
                                </a:lnTo>
                                <a:lnTo>
                                  <a:pt x="739" y="899"/>
                                </a:lnTo>
                                <a:lnTo>
                                  <a:pt x="747" y="926"/>
                                </a:lnTo>
                                <a:lnTo>
                                  <a:pt x="753" y="948"/>
                                </a:lnTo>
                                <a:lnTo>
                                  <a:pt x="757" y="966"/>
                                </a:lnTo>
                                <a:lnTo>
                                  <a:pt x="759" y="981"/>
                                </a:lnTo>
                                <a:lnTo>
                                  <a:pt x="755" y="992"/>
                                </a:lnTo>
                                <a:lnTo>
                                  <a:pt x="744" y="1000"/>
                                </a:lnTo>
                                <a:lnTo>
                                  <a:pt x="727" y="1006"/>
                                </a:lnTo>
                                <a:lnTo>
                                  <a:pt x="704" y="1009"/>
                                </a:lnTo>
                                <a:lnTo>
                                  <a:pt x="659" y="1014"/>
                                </a:lnTo>
                                <a:lnTo>
                                  <a:pt x="654" y="1022"/>
                                </a:lnTo>
                                <a:lnTo>
                                  <a:pt x="652" y="1034"/>
                                </a:lnTo>
                                <a:lnTo>
                                  <a:pt x="655" y="1045"/>
                                </a:lnTo>
                                <a:lnTo>
                                  <a:pt x="663" y="1052"/>
                                </a:lnTo>
                                <a:lnTo>
                                  <a:pt x="741" y="1050"/>
                                </a:lnTo>
                                <a:lnTo>
                                  <a:pt x="788" y="1048"/>
                                </a:lnTo>
                                <a:lnTo>
                                  <a:pt x="1031" y="1048"/>
                                </a:lnTo>
                                <a:lnTo>
                                  <a:pt x="1033" y="1045"/>
                                </a:lnTo>
                                <a:lnTo>
                                  <a:pt x="1035" y="1034"/>
                                </a:lnTo>
                                <a:lnTo>
                                  <a:pt x="1034" y="1022"/>
                                </a:lnTo>
                                <a:lnTo>
                                  <a:pt x="1028" y="1014"/>
                                </a:lnTo>
                                <a:lnTo>
                                  <a:pt x="987" y="1009"/>
                                </a:lnTo>
                                <a:lnTo>
                                  <a:pt x="944" y="999"/>
                                </a:lnTo>
                                <a:lnTo>
                                  <a:pt x="913" y="974"/>
                                </a:lnTo>
                                <a:lnTo>
                                  <a:pt x="885" y="926"/>
                                </a:lnTo>
                                <a:lnTo>
                                  <a:pt x="855" y="845"/>
                                </a:lnTo>
                                <a:lnTo>
                                  <a:pt x="788" y="649"/>
                                </a:lnTo>
                                <a:close/>
                                <a:moveTo>
                                  <a:pt x="1031" y="1048"/>
                                </a:moveTo>
                                <a:lnTo>
                                  <a:pt x="841" y="1048"/>
                                </a:lnTo>
                                <a:lnTo>
                                  <a:pt x="891" y="1048"/>
                                </a:lnTo>
                                <a:lnTo>
                                  <a:pt x="937" y="1049"/>
                                </a:lnTo>
                                <a:lnTo>
                                  <a:pt x="982" y="1050"/>
                                </a:lnTo>
                                <a:lnTo>
                                  <a:pt x="1028" y="1052"/>
                                </a:lnTo>
                                <a:lnTo>
                                  <a:pt x="1031" y="1048"/>
                                </a:lnTo>
                                <a:close/>
                                <a:moveTo>
                                  <a:pt x="631" y="189"/>
                                </a:moveTo>
                                <a:lnTo>
                                  <a:pt x="501" y="189"/>
                                </a:lnTo>
                                <a:lnTo>
                                  <a:pt x="509" y="207"/>
                                </a:lnTo>
                                <a:lnTo>
                                  <a:pt x="518" y="231"/>
                                </a:lnTo>
                                <a:lnTo>
                                  <a:pt x="528" y="258"/>
                                </a:lnTo>
                                <a:lnTo>
                                  <a:pt x="537" y="287"/>
                                </a:lnTo>
                                <a:lnTo>
                                  <a:pt x="621" y="539"/>
                                </a:lnTo>
                                <a:lnTo>
                                  <a:pt x="628" y="565"/>
                                </a:lnTo>
                                <a:lnTo>
                                  <a:pt x="626" y="579"/>
                                </a:lnTo>
                                <a:lnTo>
                                  <a:pt x="613" y="586"/>
                                </a:lnTo>
                                <a:lnTo>
                                  <a:pt x="587" y="587"/>
                                </a:lnTo>
                                <a:lnTo>
                                  <a:pt x="767" y="587"/>
                                </a:lnTo>
                                <a:lnTo>
                                  <a:pt x="642" y="222"/>
                                </a:lnTo>
                                <a:lnTo>
                                  <a:pt x="631" y="189"/>
                                </a:lnTo>
                                <a:close/>
                              </a:path>
                            </a:pathLst>
                          </a:custGeom>
                          <a:solidFill>
                            <a:srgbClr val="408BC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12" name="docshape26"/>
                        <wps:cNvSpPr>
                          <a:spLocks/>
                        </wps:cNvSpPr>
                        <wps:spPr bwMode="auto">
                          <a:xfrm>
                            <a:off x="1439" y="1465"/>
                            <a:ext cx="1784" cy="1032"/>
                          </a:xfrm>
                          <a:custGeom>
                            <a:avLst/>
                            <a:gdLst>
                              <a:gd name="T0" fmla="*/ 6 w 1784"/>
                              <a:gd name="T1" fmla="*/ 1508 h 1032"/>
                              <a:gd name="T2" fmla="*/ 137 w 1784"/>
                              <a:gd name="T3" fmla="*/ 1706 h 1032"/>
                              <a:gd name="T4" fmla="*/ 48 w 1784"/>
                              <a:gd name="T5" fmla="*/ 2456 h 1032"/>
                              <a:gd name="T6" fmla="*/ 24 w 1784"/>
                              <a:gd name="T7" fmla="*/ 2498 h 1032"/>
                              <a:gd name="T8" fmla="*/ 408 w 1784"/>
                              <a:gd name="T9" fmla="*/ 2480 h 1032"/>
                              <a:gd name="T10" fmla="*/ 278 w 1784"/>
                              <a:gd name="T11" fmla="*/ 2416 h 1032"/>
                              <a:gd name="T12" fmla="*/ 275 w 1784"/>
                              <a:gd name="T13" fmla="*/ 2002 h 1032"/>
                              <a:gd name="T14" fmla="*/ 630 w 1784"/>
                              <a:gd name="T15" fmla="*/ 1948 h 1032"/>
                              <a:gd name="T16" fmla="*/ 265 w 1784"/>
                              <a:gd name="T17" fmla="*/ 1912 h 1032"/>
                              <a:gd name="T18" fmla="*/ 304 w 1784"/>
                              <a:gd name="T19" fmla="*/ 1524 h 1032"/>
                              <a:gd name="T20" fmla="*/ 388 w 1784"/>
                              <a:gd name="T21" fmla="*/ 1478 h 1032"/>
                              <a:gd name="T22" fmla="*/ 248 w 1784"/>
                              <a:gd name="T23" fmla="*/ 2494 h 1032"/>
                              <a:gd name="T24" fmla="*/ 750 w 1784"/>
                              <a:gd name="T25" fmla="*/ 2014 h 1032"/>
                              <a:gd name="T26" fmla="*/ 741 w 1784"/>
                              <a:gd name="T27" fmla="*/ 2414 h 1032"/>
                              <a:gd name="T28" fmla="*/ 624 w 1784"/>
                              <a:gd name="T29" fmla="*/ 2482 h 1032"/>
                              <a:gd name="T30" fmla="*/ 773 w 1784"/>
                              <a:gd name="T31" fmla="*/ 2494 h 1032"/>
                              <a:gd name="T32" fmla="*/ 1009 w 1784"/>
                              <a:gd name="T33" fmla="*/ 2460 h 1032"/>
                              <a:gd name="T34" fmla="*/ 880 w 1784"/>
                              <a:gd name="T35" fmla="*/ 2262 h 1032"/>
                              <a:gd name="T36" fmla="*/ 750 w 1784"/>
                              <a:gd name="T37" fmla="*/ 2014 h 1032"/>
                              <a:gd name="T38" fmla="*/ 1006 w 1784"/>
                              <a:gd name="T39" fmla="*/ 2498 h 1032"/>
                              <a:gd name="T40" fmla="*/ 1169 w 1784"/>
                              <a:gd name="T41" fmla="*/ 2414 h 1032"/>
                              <a:gd name="T42" fmla="*/ 1050 w 1784"/>
                              <a:gd name="T43" fmla="*/ 2480 h 1032"/>
                              <a:gd name="T44" fmla="*/ 1455 w 1784"/>
                              <a:gd name="T45" fmla="*/ 2490 h 1032"/>
                              <a:gd name="T46" fmla="*/ 1353 w 1784"/>
                              <a:gd name="T47" fmla="*/ 2442 h 1032"/>
                              <a:gd name="T48" fmla="*/ 1281 w 1784"/>
                              <a:gd name="T49" fmla="*/ 2152 h 1032"/>
                              <a:gd name="T50" fmla="*/ 1339 w 1784"/>
                              <a:gd name="T51" fmla="*/ 2494 h 1032"/>
                              <a:gd name="T52" fmla="*/ 463 w 1784"/>
                              <a:gd name="T53" fmla="*/ 1800 h 1032"/>
                              <a:gd name="T54" fmla="*/ 760 w 1784"/>
                              <a:gd name="T55" fmla="*/ 1982 h 1032"/>
                              <a:gd name="T56" fmla="*/ 1181 w 1784"/>
                              <a:gd name="T57" fmla="*/ 2094 h 1032"/>
                              <a:gd name="T58" fmla="*/ 1308 w 1784"/>
                              <a:gd name="T59" fmla="*/ 2102 h 1032"/>
                              <a:gd name="T60" fmla="*/ 1637 w 1784"/>
                              <a:gd name="T61" fmla="*/ 2030 h 1032"/>
                              <a:gd name="T62" fmla="*/ 1096 w 1784"/>
                              <a:gd name="T63" fmla="*/ 2014 h 1032"/>
                              <a:gd name="T64" fmla="*/ 743 w 1784"/>
                              <a:gd name="T65" fmla="*/ 1926 h 1032"/>
                              <a:gd name="T66" fmla="*/ 449 w 1784"/>
                              <a:gd name="T67" fmla="*/ 1772 h 1032"/>
                              <a:gd name="T68" fmla="*/ 1577 w 1784"/>
                              <a:gd name="T69" fmla="*/ 1580 h 1032"/>
                              <a:gd name="T70" fmla="*/ 1641 w 1784"/>
                              <a:gd name="T71" fmla="*/ 1782 h 1032"/>
                              <a:gd name="T72" fmla="*/ 1574 w 1784"/>
                              <a:gd name="T73" fmla="*/ 1934 h 1032"/>
                              <a:gd name="T74" fmla="*/ 1680 w 1784"/>
                              <a:gd name="T75" fmla="*/ 2000 h 1032"/>
                              <a:gd name="T76" fmla="*/ 1781 w 1784"/>
                              <a:gd name="T77" fmla="*/ 1810 h 1032"/>
                              <a:gd name="T78" fmla="*/ 1784 w 1784"/>
                              <a:gd name="T79" fmla="*/ 1770 h 1032"/>
                              <a:gd name="T80" fmla="*/ 1660 w 1784"/>
                              <a:gd name="T81" fmla="*/ 1528 h 1032"/>
                              <a:gd name="T82" fmla="*/ 1120 w 1784"/>
                              <a:gd name="T83" fmla="*/ 1472 h 1032"/>
                              <a:gd name="T84" fmla="*/ 1053 w 1784"/>
                              <a:gd name="T85" fmla="*/ 1516 h 1032"/>
                              <a:gd name="T86" fmla="*/ 1181 w 1784"/>
                              <a:gd name="T87" fmla="*/ 1684 h 1032"/>
                              <a:gd name="T88" fmla="*/ 1319 w 1784"/>
                              <a:gd name="T89" fmla="*/ 1522 h 1032"/>
                              <a:gd name="T90" fmla="*/ 1533 w 1784"/>
                              <a:gd name="T91" fmla="*/ 1480 h 1032"/>
                              <a:gd name="T92" fmla="*/ 624 w 1784"/>
                              <a:gd name="T93" fmla="*/ 1488 h 1032"/>
                              <a:gd name="T94" fmla="*/ 740 w 1784"/>
                              <a:gd name="T95" fmla="*/ 1552 h 1032"/>
                              <a:gd name="T96" fmla="*/ 751 w 1784"/>
                              <a:gd name="T97" fmla="*/ 1912 h 1032"/>
                              <a:gd name="T98" fmla="*/ 881 w 1784"/>
                              <a:gd name="T99" fmla="*/ 1610 h 1032"/>
                              <a:gd name="T100" fmla="*/ 1009 w 1784"/>
                              <a:gd name="T101" fmla="*/ 1500 h 1032"/>
                              <a:gd name="T102" fmla="*/ 632 w 1784"/>
                              <a:gd name="T103" fmla="*/ 1470 h 1032"/>
                              <a:gd name="T104" fmla="*/ 1002 w 1784"/>
                              <a:gd name="T105" fmla="*/ 1470 h 1032"/>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1784" h="1032">
                                <a:moveTo>
                                  <a:pt x="9" y="4"/>
                                </a:moveTo>
                                <a:lnTo>
                                  <a:pt x="3" y="12"/>
                                </a:lnTo>
                                <a:lnTo>
                                  <a:pt x="0" y="22"/>
                                </a:lnTo>
                                <a:lnTo>
                                  <a:pt x="1" y="34"/>
                                </a:lnTo>
                                <a:lnTo>
                                  <a:pt x="6" y="42"/>
                                </a:lnTo>
                                <a:lnTo>
                                  <a:pt x="46" y="46"/>
                                </a:lnTo>
                                <a:lnTo>
                                  <a:pt x="94" y="56"/>
                                </a:lnTo>
                                <a:lnTo>
                                  <a:pt x="122" y="84"/>
                                </a:lnTo>
                                <a:lnTo>
                                  <a:pt x="134" y="142"/>
                                </a:lnTo>
                                <a:lnTo>
                                  <a:pt x="137" y="240"/>
                                </a:lnTo>
                                <a:lnTo>
                                  <a:pt x="137" y="796"/>
                                </a:lnTo>
                                <a:lnTo>
                                  <a:pt x="135" y="894"/>
                                </a:lnTo>
                                <a:lnTo>
                                  <a:pt x="125" y="948"/>
                                </a:lnTo>
                                <a:lnTo>
                                  <a:pt x="98" y="976"/>
                                </a:lnTo>
                                <a:lnTo>
                                  <a:pt x="48" y="990"/>
                                </a:lnTo>
                                <a:lnTo>
                                  <a:pt x="21" y="994"/>
                                </a:lnTo>
                                <a:lnTo>
                                  <a:pt x="17" y="1004"/>
                                </a:lnTo>
                                <a:lnTo>
                                  <a:pt x="16" y="1016"/>
                                </a:lnTo>
                                <a:lnTo>
                                  <a:pt x="19" y="1026"/>
                                </a:lnTo>
                                <a:lnTo>
                                  <a:pt x="24" y="1032"/>
                                </a:lnTo>
                                <a:lnTo>
                                  <a:pt x="68" y="1032"/>
                                </a:lnTo>
                                <a:lnTo>
                                  <a:pt x="156" y="1028"/>
                                </a:lnTo>
                                <a:lnTo>
                                  <a:pt x="404" y="1028"/>
                                </a:lnTo>
                                <a:lnTo>
                                  <a:pt x="405" y="1026"/>
                                </a:lnTo>
                                <a:lnTo>
                                  <a:pt x="408" y="1014"/>
                                </a:lnTo>
                                <a:lnTo>
                                  <a:pt x="408" y="1002"/>
                                </a:lnTo>
                                <a:lnTo>
                                  <a:pt x="403" y="994"/>
                                </a:lnTo>
                                <a:lnTo>
                                  <a:pt x="358" y="990"/>
                                </a:lnTo>
                                <a:lnTo>
                                  <a:pt x="307" y="978"/>
                                </a:lnTo>
                                <a:lnTo>
                                  <a:pt x="278" y="950"/>
                                </a:lnTo>
                                <a:lnTo>
                                  <a:pt x="266" y="894"/>
                                </a:lnTo>
                                <a:lnTo>
                                  <a:pt x="264" y="796"/>
                                </a:lnTo>
                                <a:lnTo>
                                  <a:pt x="264" y="576"/>
                                </a:lnTo>
                                <a:lnTo>
                                  <a:pt x="265" y="552"/>
                                </a:lnTo>
                                <a:lnTo>
                                  <a:pt x="275" y="536"/>
                                </a:lnTo>
                                <a:lnTo>
                                  <a:pt x="298" y="530"/>
                                </a:lnTo>
                                <a:lnTo>
                                  <a:pt x="714" y="530"/>
                                </a:lnTo>
                                <a:lnTo>
                                  <a:pt x="684" y="514"/>
                                </a:lnTo>
                                <a:lnTo>
                                  <a:pt x="656" y="498"/>
                                </a:lnTo>
                                <a:lnTo>
                                  <a:pt x="630" y="482"/>
                                </a:lnTo>
                                <a:lnTo>
                                  <a:pt x="607" y="468"/>
                                </a:lnTo>
                                <a:lnTo>
                                  <a:pt x="341" y="468"/>
                                </a:lnTo>
                                <a:lnTo>
                                  <a:pt x="298" y="466"/>
                                </a:lnTo>
                                <a:lnTo>
                                  <a:pt x="275" y="460"/>
                                </a:lnTo>
                                <a:lnTo>
                                  <a:pt x="265" y="446"/>
                                </a:lnTo>
                                <a:lnTo>
                                  <a:pt x="264" y="418"/>
                                </a:lnTo>
                                <a:lnTo>
                                  <a:pt x="264" y="240"/>
                                </a:lnTo>
                                <a:lnTo>
                                  <a:pt x="266" y="144"/>
                                </a:lnTo>
                                <a:lnTo>
                                  <a:pt x="277" y="86"/>
                                </a:lnTo>
                                <a:lnTo>
                                  <a:pt x="304" y="58"/>
                                </a:lnTo>
                                <a:lnTo>
                                  <a:pt x="356" y="46"/>
                                </a:lnTo>
                                <a:lnTo>
                                  <a:pt x="386" y="42"/>
                                </a:lnTo>
                                <a:lnTo>
                                  <a:pt x="391" y="34"/>
                                </a:lnTo>
                                <a:lnTo>
                                  <a:pt x="391" y="22"/>
                                </a:lnTo>
                                <a:lnTo>
                                  <a:pt x="388" y="12"/>
                                </a:lnTo>
                                <a:lnTo>
                                  <a:pt x="386" y="8"/>
                                </a:lnTo>
                                <a:lnTo>
                                  <a:pt x="110" y="8"/>
                                </a:lnTo>
                                <a:lnTo>
                                  <a:pt x="9" y="4"/>
                                </a:lnTo>
                                <a:close/>
                                <a:moveTo>
                                  <a:pt x="404" y="1028"/>
                                </a:moveTo>
                                <a:lnTo>
                                  <a:pt x="248" y="1028"/>
                                </a:lnTo>
                                <a:lnTo>
                                  <a:pt x="293" y="1030"/>
                                </a:lnTo>
                                <a:lnTo>
                                  <a:pt x="342" y="1030"/>
                                </a:lnTo>
                                <a:lnTo>
                                  <a:pt x="400" y="1032"/>
                                </a:lnTo>
                                <a:lnTo>
                                  <a:pt x="404" y="1028"/>
                                </a:lnTo>
                                <a:close/>
                                <a:moveTo>
                                  <a:pt x="750" y="548"/>
                                </a:moveTo>
                                <a:lnTo>
                                  <a:pt x="753" y="556"/>
                                </a:lnTo>
                                <a:lnTo>
                                  <a:pt x="753" y="560"/>
                                </a:lnTo>
                                <a:lnTo>
                                  <a:pt x="753" y="796"/>
                                </a:lnTo>
                                <a:lnTo>
                                  <a:pt x="751" y="894"/>
                                </a:lnTo>
                                <a:lnTo>
                                  <a:pt x="741" y="948"/>
                                </a:lnTo>
                                <a:lnTo>
                                  <a:pt x="713" y="976"/>
                                </a:lnTo>
                                <a:lnTo>
                                  <a:pt x="659" y="990"/>
                                </a:lnTo>
                                <a:lnTo>
                                  <a:pt x="629" y="994"/>
                                </a:lnTo>
                                <a:lnTo>
                                  <a:pt x="625" y="1004"/>
                                </a:lnTo>
                                <a:lnTo>
                                  <a:pt x="624" y="1016"/>
                                </a:lnTo>
                                <a:lnTo>
                                  <a:pt x="627" y="1026"/>
                                </a:lnTo>
                                <a:lnTo>
                                  <a:pt x="632" y="1032"/>
                                </a:lnTo>
                                <a:lnTo>
                                  <a:pt x="681" y="1030"/>
                                </a:lnTo>
                                <a:lnTo>
                                  <a:pt x="728" y="1030"/>
                                </a:lnTo>
                                <a:lnTo>
                                  <a:pt x="773" y="1028"/>
                                </a:lnTo>
                                <a:lnTo>
                                  <a:pt x="1010" y="1028"/>
                                </a:lnTo>
                                <a:lnTo>
                                  <a:pt x="1012" y="1026"/>
                                </a:lnTo>
                                <a:lnTo>
                                  <a:pt x="1015" y="1014"/>
                                </a:lnTo>
                                <a:lnTo>
                                  <a:pt x="1014" y="1002"/>
                                </a:lnTo>
                                <a:lnTo>
                                  <a:pt x="1009" y="994"/>
                                </a:lnTo>
                                <a:lnTo>
                                  <a:pt x="972" y="990"/>
                                </a:lnTo>
                                <a:lnTo>
                                  <a:pt x="920" y="978"/>
                                </a:lnTo>
                                <a:lnTo>
                                  <a:pt x="892" y="950"/>
                                </a:lnTo>
                                <a:lnTo>
                                  <a:pt x="881" y="894"/>
                                </a:lnTo>
                                <a:lnTo>
                                  <a:pt x="880" y="796"/>
                                </a:lnTo>
                                <a:lnTo>
                                  <a:pt x="880" y="602"/>
                                </a:lnTo>
                                <a:lnTo>
                                  <a:pt x="845" y="590"/>
                                </a:lnTo>
                                <a:lnTo>
                                  <a:pt x="812" y="576"/>
                                </a:lnTo>
                                <a:lnTo>
                                  <a:pt x="780" y="562"/>
                                </a:lnTo>
                                <a:lnTo>
                                  <a:pt x="750" y="548"/>
                                </a:lnTo>
                                <a:close/>
                                <a:moveTo>
                                  <a:pt x="1010" y="1028"/>
                                </a:moveTo>
                                <a:lnTo>
                                  <a:pt x="863" y="1028"/>
                                </a:lnTo>
                                <a:lnTo>
                                  <a:pt x="907" y="1030"/>
                                </a:lnTo>
                                <a:lnTo>
                                  <a:pt x="954" y="1030"/>
                                </a:lnTo>
                                <a:lnTo>
                                  <a:pt x="1006" y="1032"/>
                                </a:lnTo>
                                <a:lnTo>
                                  <a:pt x="1010" y="1028"/>
                                </a:lnTo>
                                <a:close/>
                                <a:moveTo>
                                  <a:pt x="1181" y="670"/>
                                </a:moveTo>
                                <a:lnTo>
                                  <a:pt x="1181" y="796"/>
                                </a:lnTo>
                                <a:lnTo>
                                  <a:pt x="1179" y="892"/>
                                </a:lnTo>
                                <a:lnTo>
                                  <a:pt x="1169" y="948"/>
                                </a:lnTo>
                                <a:lnTo>
                                  <a:pt x="1141" y="976"/>
                                </a:lnTo>
                                <a:lnTo>
                                  <a:pt x="1088" y="988"/>
                                </a:lnTo>
                                <a:lnTo>
                                  <a:pt x="1056" y="992"/>
                                </a:lnTo>
                                <a:lnTo>
                                  <a:pt x="1051" y="1002"/>
                                </a:lnTo>
                                <a:lnTo>
                                  <a:pt x="1050" y="1014"/>
                                </a:lnTo>
                                <a:lnTo>
                                  <a:pt x="1053" y="1026"/>
                                </a:lnTo>
                                <a:lnTo>
                                  <a:pt x="1059" y="1032"/>
                                </a:lnTo>
                                <a:lnTo>
                                  <a:pt x="1155" y="1028"/>
                                </a:lnTo>
                                <a:lnTo>
                                  <a:pt x="1452" y="1028"/>
                                </a:lnTo>
                                <a:lnTo>
                                  <a:pt x="1455" y="1024"/>
                                </a:lnTo>
                                <a:lnTo>
                                  <a:pt x="1458" y="1014"/>
                                </a:lnTo>
                                <a:lnTo>
                                  <a:pt x="1457" y="1002"/>
                                </a:lnTo>
                                <a:lnTo>
                                  <a:pt x="1453" y="992"/>
                                </a:lnTo>
                                <a:lnTo>
                                  <a:pt x="1411" y="988"/>
                                </a:lnTo>
                                <a:lnTo>
                                  <a:pt x="1353" y="976"/>
                                </a:lnTo>
                                <a:lnTo>
                                  <a:pt x="1322" y="948"/>
                                </a:lnTo>
                                <a:lnTo>
                                  <a:pt x="1310" y="892"/>
                                </a:lnTo>
                                <a:lnTo>
                                  <a:pt x="1308" y="796"/>
                                </a:lnTo>
                                <a:lnTo>
                                  <a:pt x="1308" y="688"/>
                                </a:lnTo>
                                <a:lnTo>
                                  <a:pt x="1281" y="686"/>
                                </a:lnTo>
                                <a:lnTo>
                                  <a:pt x="1249" y="684"/>
                                </a:lnTo>
                                <a:lnTo>
                                  <a:pt x="1215" y="678"/>
                                </a:lnTo>
                                <a:lnTo>
                                  <a:pt x="1181" y="670"/>
                                </a:lnTo>
                                <a:close/>
                                <a:moveTo>
                                  <a:pt x="1452" y="1028"/>
                                </a:moveTo>
                                <a:lnTo>
                                  <a:pt x="1339" y="1028"/>
                                </a:lnTo>
                                <a:lnTo>
                                  <a:pt x="1450" y="1032"/>
                                </a:lnTo>
                                <a:lnTo>
                                  <a:pt x="1452" y="1028"/>
                                </a:lnTo>
                                <a:close/>
                                <a:moveTo>
                                  <a:pt x="449" y="306"/>
                                </a:moveTo>
                                <a:lnTo>
                                  <a:pt x="454" y="322"/>
                                </a:lnTo>
                                <a:lnTo>
                                  <a:pt x="463" y="334"/>
                                </a:lnTo>
                                <a:lnTo>
                                  <a:pt x="489" y="358"/>
                                </a:lnTo>
                                <a:lnTo>
                                  <a:pt x="532" y="390"/>
                                </a:lnTo>
                                <a:lnTo>
                                  <a:pt x="591" y="430"/>
                                </a:lnTo>
                                <a:lnTo>
                                  <a:pt x="667" y="472"/>
                                </a:lnTo>
                                <a:lnTo>
                                  <a:pt x="760" y="516"/>
                                </a:lnTo>
                                <a:lnTo>
                                  <a:pt x="870" y="558"/>
                                </a:lnTo>
                                <a:lnTo>
                                  <a:pt x="997" y="594"/>
                                </a:lnTo>
                                <a:lnTo>
                                  <a:pt x="1090" y="614"/>
                                </a:lnTo>
                                <a:lnTo>
                                  <a:pt x="1136" y="620"/>
                                </a:lnTo>
                                <a:lnTo>
                                  <a:pt x="1181" y="628"/>
                                </a:lnTo>
                                <a:lnTo>
                                  <a:pt x="1206" y="630"/>
                                </a:lnTo>
                                <a:lnTo>
                                  <a:pt x="1237" y="632"/>
                                </a:lnTo>
                                <a:lnTo>
                                  <a:pt x="1273" y="636"/>
                                </a:lnTo>
                                <a:lnTo>
                                  <a:pt x="1308" y="638"/>
                                </a:lnTo>
                                <a:lnTo>
                                  <a:pt x="1308" y="636"/>
                                </a:lnTo>
                                <a:lnTo>
                                  <a:pt x="1397" y="634"/>
                                </a:lnTo>
                                <a:lnTo>
                                  <a:pt x="1480" y="624"/>
                                </a:lnTo>
                                <a:lnTo>
                                  <a:pt x="1556" y="604"/>
                                </a:lnTo>
                                <a:lnTo>
                                  <a:pt x="1623" y="574"/>
                                </a:lnTo>
                                <a:lnTo>
                                  <a:pt x="1637" y="564"/>
                                </a:lnTo>
                                <a:lnTo>
                                  <a:pt x="1308" y="564"/>
                                </a:lnTo>
                                <a:lnTo>
                                  <a:pt x="1308" y="560"/>
                                </a:lnTo>
                                <a:lnTo>
                                  <a:pt x="1181" y="560"/>
                                </a:lnTo>
                                <a:lnTo>
                                  <a:pt x="1177" y="558"/>
                                </a:lnTo>
                                <a:lnTo>
                                  <a:pt x="1096" y="548"/>
                                </a:lnTo>
                                <a:lnTo>
                                  <a:pt x="1019" y="536"/>
                                </a:lnTo>
                                <a:lnTo>
                                  <a:pt x="947" y="522"/>
                                </a:lnTo>
                                <a:lnTo>
                                  <a:pt x="880" y="504"/>
                                </a:lnTo>
                                <a:lnTo>
                                  <a:pt x="880" y="460"/>
                                </a:lnTo>
                                <a:lnTo>
                                  <a:pt x="743" y="460"/>
                                </a:lnTo>
                                <a:lnTo>
                                  <a:pt x="623" y="410"/>
                                </a:lnTo>
                                <a:lnTo>
                                  <a:pt x="536" y="364"/>
                                </a:lnTo>
                                <a:lnTo>
                                  <a:pt x="484" y="332"/>
                                </a:lnTo>
                                <a:lnTo>
                                  <a:pt x="466" y="318"/>
                                </a:lnTo>
                                <a:lnTo>
                                  <a:pt x="449" y="306"/>
                                </a:lnTo>
                                <a:close/>
                                <a:moveTo>
                                  <a:pt x="1633" y="48"/>
                                </a:moveTo>
                                <a:lnTo>
                                  <a:pt x="1392" y="48"/>
                                </a:lnTo>
                                <a:lnTo>
                                  <a:pt x="1467" y="56"/>
                                </a:lnTo>
                                <a:lnTo>
                                  <a:pt x="1529" y="78"/>
                                </a:lnTo>
                                <a:lnTo>
                                  <a:pt x="1577" y="114"/>
                                </a:lnTo>
                                <a:lnTo>
                                  <a:pt x="1613" y="164"/>
                                </a:lnTo>
                                <a:lnTo>
                                  <a:pt x="1634" y="224"/>
                                </a:lnTo>
                                <a:lnTo>
                                  <a:pt x="1642" y="294"/>
                                </a:lnTo>
                                <a:lnTo>
                                  <a:pt x="1642" y="306"/>
                                </a:lnTo>
                                <a:lnTo>
                                  <a:pt x="1641" y="316"/>
                                </a:lnTo>
                                <a:lnTo>
                                  <a:pt x="1641" y="326"/>
                                </a:lnTo>
                                <a:lnTo>
                                  <a:pt x="1640" y="336"/>
                                </a:lnTo>
                                <a:lnTo>
                                  <a:pt x="1631" y="372"/>
                                </a:lnTo>
                                <a:lnTo>
                                  <a:pt x="1611" y="418"/>
                                </a:lnTo>
                                <a:lnTo>
                                  <a:pt x="1574" y="468"/>
                                </a:lnTo>
                                <a:lnTo>
                                  <a:pt x="1515" y="512"/>
                                </a:lnTo>
                                <a:lnTo>
                                  <a:pt x="1428" y="546"/>
                                </a:lnTo>
                                <a:lnTo>
                                  <a:pt x="1308" y="564"/>
                                </a:lnTo>
                                <a:lnTo>
                                  <a:pt x="1637" y="564"/>
                                </a:lnTo>
                                <a:lnTo>
                                  <a:pt x="1680" y="534"/>
                                </a:lnTo>
                                <a:lnTo>
                                  <a:pt x="1726" y="484"/>
                                </a:lnTo>
                                <a:lnTo>
                                  <a:pt x="1760" y="422"/>
                                </a:lnTo>
                                <a:lnTo>
                                  <a:pt x="1780" y="348"/>
                                </a:lnTo>
                                <a:lnTo>
                                  <a:pt x="1780" y="346"/>
                                </a:lnTo>
                                <a:lnTo>
                                  <a:pt x="1781" y="344"/>
                                </a:lnTo>
                                <a:lnTo>
                                  <a:pt x="1782" y="336"/>
                                </a:lnTo>
                                <a:lnTo>
                                  <a:pt x="1783" y="326"/>
                                </a:lnTo>
                                <a:lnTo>
                                  <a:pt x="1784" y="316"/>
                                </a:lnTo>
                                <a:lnTo>
                                  <a:pt x="1784" y="304"/>
                                </a:lnTo>
                                <a:lnTo>
                                  <a:pt x="1784" y="294"/>
                                </a:lnTo>
                                <a:lnTo>
                                  <a:pt x="1775" y="218"/>
                                </a:lnTo>
                                <a:lnTo>
                                  <a:pt x="1749" y="154"/>
                                </a:lnTo>
                                <a:lnTo>
                                  <a:pt x="1710" y="102"/>
                                </a:lnTo>
                                <a:lnTo>
                                  <a:pt x="1660" y="62"/>
                                </a:lnTo>
                                <a:lnTo>
                                  <a:pt x="1633" y="48"/>
                                </a:lnTo>
                                <a:close/>
                                <a:moveTo>
                                  <a:pt x="1363" y="0"/>
                                </a:moveTo>
                                <a:lnTo>
                                  <a:pt x="1272" y="0"/>
                                </a:lnTo>
                                <a:lnTo>
                                  <a:pt x="1192" y="2"/>
                                </a:lnTo>
                                <a:lnTo>
                                  <a:pt x="1120" y="6"/>
                                </a:lnTo>
                                <a:lnTo>
                                  <a:pt x="1056" y="12"/>
                                </a:lnTo>
                                <a:lnTo>
                                  <a:pt x="1049" y="18"/>
                                </a:lnTo>
                                <a:lnTo>
                                  <a:pt x="1046" y="30"/>
                                </a:lnTo>
                                <a:lnTo>
                                  <a:pt x="1047" y="42"/>
                                </a:lnTo>
                                <a:lnTo>
                                  <a:pt x="1053" y="50"/>
                                </a:lnTo>
                                <a:lnTo>
                                  <a:pt x="1108" y="56"/>
                                </a:lnTo>
                                <a:lnTo>
                                  <a:pt x="1149" y="68"/>
                                </a:lnTo>
                                <a:lnTo>
                                  <a:pt x="1171" y="94"/>
                                </a:lnTo>
                                <a:lnTo>
                                  <a:pt x="1180" y="142"/>
                                </a:lnTo>
                                <a:lnTo>
                                  <a:pt x="1181" y="218"/>
                                </a:lnTo>
                                <a:lnTo>
                                  <a:pt x="1181" y="560"/>
                                </a:lnTo>
                                <a:lnTo>
                                  <a:pt x="1308" y="560"/>
                                </a:lnTo>
                                <a:lnTo>
                                  <a:pt x="1309" y="102"/>
                                </a:lnTo>
                                <a:lnTo>
                                  <a:pt x="1310" y="74"/>
                                </a:lnTo>
                                <a:lnTo>
                                  <a:pt x="1319" y="56"/>
                                </a:lnTo>
                                <a:lnTo>
                                  <a:pt x="1344" y="50"/>
                                </a:lnTo>
                                <a:lnTo>
                                  <a:pt x="1392" y="48"/>
                                </a:lnTo>
                                <a:lnTo>
                                  <a:pt x="1633" y="48"/>
                                </a:lnTo>
                                <a:lnTo>
                                  <a:pt x="1601" y="32"/>
                                </a:lnTo>
                                <a:lnTo>
                                  <a:pt x="1533" y="14"/>
                                </a:lnTo>
                                <a:lnTo>
                                  <a:pt x="1453" y="2"/>
                                </a:lnTo>
                                <a:lnTo>
                                  <a:pt x="1363" y="0"/>
                                </a:lnTo>
                                <a:close/>
                                <a:moveTo>
                                  <a:pt x="632" y="4"/>
                                </a:moveTo>
                                <a:lnTo>
                                  <a:pt x="627" y="12"/>
                                </a:lnTo>
                                <a:lnTo>
                                  <a:pt x="624" y="22"/>
                                </a:lnTo>
                                <a:lnTo>
                                  <a:pt x="625" y="34"/>
                                </a:lnTo>
                                <a:lnTo>
                                  <a:pt x="629" y="42"/>
                                </a:lnTo>
                                <a:lnTo>
                                  <a:pt x="659" y="46"/>
                                </a:lnTo>
                                <a:lnTo>
                                  <a:pt x="712" y="58"/>
                                </a:lnTo>
                                <a:lnTo>
                                  <a:pt x="740" y="86"/>
                                </a:lnTo>
                                <a:lnTo>
                                  <a:pt x="751" y="144"/>
                                </a:lnTo>
                                <a:lnTo>
                                  <a:pt x="753" y="240"/>
                                </a:lnTo>
                                <a:lnTo>
                                  <a:pt x="753" y="422"/>
                                </a:lnTo>
                                <a:lnTo>
                                  <a:pt x="753" y="434"/>
                                </a:lnTo>
                                <a:lnTo>
                                  <a:pt x="751" y="446"/>
                                </a:lnTo>
                                <a:lnTo>
                                  <a:pt x="748" y="454"/>
                                </a:lnTo>
                                <a:lnTo>
                                  <a:pt x="743" y="460"/>
                                </a:lnTo>
                                <a:lnTo>
                                  <a:pt x="880" y="460"/>
                                </a:lnTo>
                                <a:lnTo>
                                  <a:pt x="880" y="240"/>
                                </a:lnTo>
                                <a:lnTo>
                                  <a:pt x="881" y="144"/>
                                </a:lnTo>
                                <a:lnTo>
                                  <a:pt x="892" y="86"/>
                                </a:lnTo>
                                <a:lnTo>
                                  <a:pt x="920" y="58"/>
                                </a:lnTo>
                                <a:lnTo>
                                  <a:pt x="972" y="46"/>
                                </a:lnTo>
                                <a:lnTo>
                                  <a:pt x="1005" y="42"/>
                                </a:lnTo>
                                <a:lnTo>
                                  <a:pt x="1009" y="34"/>
                                </a:lnTo>
                                <a:lnTo>
                                  <a:pt x="1010" y="22"/>
                                </a:lnTo>
                                <a:lnTo>
                                  <a:pt x="1007" y="12"/>
                                </a:lnTo>
                                <a:lnTo>
                                  <a:pt x="1004" y="8"/>
                                </a:lnTo>
                                <a:lnTo>
                                  <a:pt x="729" y="8"/>
                                </a:lnTo>
                                <a:lnTo>
                                  <a:pt x="632" y="4"/>
                                </a:lnTo>
                                <a:close/>
                                <a:moveTo>
                                  <a:pt x="383" y="4"/>
                                </a:moveTo>
                                <a:lnTo>
                                  <a:pt x="291" y="8"/>
                                </a:lnTo>
                                <a:lnTo>
                                  <a:pt x="386" y="8"/>
                                </a:lnTo>
                                <a:lnTo>
                                  <a:pt x="383" y="4"/>
                                </a:lnTo>
                                <a:close/>
                                <a:moveTo>
                                  <a:pt x="1002" y="4"/>
                                </a:moveTo>
                                <a:lnTo>
                                  <a:pt x="907" y="8"/>
                                </a:lnTo>
                                <a:lnTo>
                                  <a:pt x="1004" y="8"/>
                                </a:lnTo>
                                <a:lnTo>
                                  <a:pt x="1002" y="4"/>
                                </a:lnTo>
                                <a:close/>
                              </a:path>
                            </a:pathLst>
                          </a:custGeom>
                          <a:solidFill>
                            <a:srgbClr val="1D245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13" name="docshape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1455" y="2632"/>
                            <a:ext cx="2505" cy="142"/>
                          </a:xfrm>
                          <a:prstGeom prst="rect">
                            <a:avLst/>
                          </a:prstGeom>
                          <a:noFill/>
                          <a:extLst>
                            <a:ext uri="{909E8E84-426E-40DD-AFC4-6F175D3DCCD1}">
                              <a14:hiddenFill xmlns:a14="http://schemas.microsoft.com/office/drawing/2010/main">
                                <a:solidFill>
                                  <a:srgbClr val="FFFFFF"/>
                                </a:solidFill>
                              </a14:hiddenFill>
                            </a:ext>
                          </a:extLst>
                        </pic:spPr>
                      </pic:pic>
                      <wps:wsp>
                        <wps:cNvPr id="6314" name="docshape28"/>
                        <wps:cNvSpPr>
                          <a:spLocks noChangeArrowheads="1"/>
                        </wps:cNvSpPr>
                        <wps:spPr bwMode="auto">
                          <a:xfrm>
                            <a:off x="0" y="15400"/>
                            <a:ext cx="11904" cy="2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48D84A" id="Group 1" o:spid="_x0000_s1026" alt="&quot;&quot;" style="position:absolute;margin-left:-.05pt;margin-top:72.05pt;width:595.3pt;height:769.9pt;z-index:-251657214;mso-position-horizontal-relative:page;mso-position-vertical-relative:page" coordorigin="-1,1440" coordsize="11906,153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">
                <v:shape id="docshape18" o:spid="_x0000_s1027" style="position:absolute;top:2416;width:11904;height:14423;visibility:visible;mso-wrap-style:square;v-text-anchor:top" coordsize="11904,14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" path="m11904,6005l11904,,,3190,,6005,,9322r,5101l11904,14423r,-8418xe" fillcolor="#408bca" stroked="f">
                  <v:path arrowok="t" o:connecttype="custom" o:connectlocs="11904,8421;11904,2416;0,5606;0,8421;0,11738;0,16839;11904,16839;11904,8421" o:connectangles="0,0,0,0,0,0,0,0"/>
                </v:shape>
                <v:shape id="docshape19" o:spid="_x0000_s1028" style="position:absolute;left:-1;top:1544;width:4806;height:3483;visibility:visible;mso-wrap-style:square;v-text-anchor:top" coordsize="4806,3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" path="m,l,2235,2162,3483,4806,2775,,xe" stroked="f">
                  <v:path arrowok="t" o:connecttype="custom" o:connectlocs="0,1544;0,3779;2162,5027;4806,4319;0,1544" o:connectangles="0,0,0,0,0"/>
                </v:shape>
                <v:shape id="docshape20" o:spid="_x0000_s1029" style="position:absolute;left:2160;top:4318;width:9745;height:5517;visibility:visible;mso-wrap-style:square;v-text-anchor:top" coordsize="9745,5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" path="m9744,4099l2644,,,708,5877,4102,8328,5517,9744,5137r,-1035l9744,4099xe" fillcolor="#5794cf" stroked="f">
                  <v:path arrowok="t" o:connecttype="custom" o:connectlocs="9744,8418;2644,4319;0,5027;5877,8421;8328,9836;9744,9456;9744,8421;9744,8418" o:connectangles="0,0,0,0,0,0,0,0"/>
                </v:shape>
                <v:shape id="docshape21" o:spid="_x0000_s1030" style="position:absolute;left:10488;top:9456;width:1416;height:1197;visibility:visible;mso-wrap-style:square;v-text-anchor:top" coordsize="1416,1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" path="m1416,l,380r1416,817l1416,xe" fillcolor="#689cd3" stroked="f">
                  <v:path arrowok="t" o:connecttype="custom" o:connectlocs="1416,9456;0,9836;1416,10653;1416,9456" o:connectangles="0,0,0,0"/>
                </v:shape>
                <v:shape id="docshape22" o:spid="_x0000_s1031" style="position:absolute;left:-1;top:3779;width:2162;height:1827;visibility:visible;mso-wrap-style:square;v-text-anchor:top" coordsize="2162,1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" path="m,l,1827,2161,1248,,xe" stroked="f">
                  <v:path arrowok="t" o:connecttype="custom" o:connectlocs="0,3779;0,5606;2161,5027;0,3779" o:connectangles="0,0,0,0"/>
                </v:shape>
                <v:shape id="docshape23" o:spid="_x0000_s1032" style="position:absolute;left:-1;top:5027;width:10490;height:7620;visibility:visible;mso-wrap-style:square;v-text-anchor:top" coordsize="1049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" path="m10490,4809l8039,3394,2161,,,579,,3394,,7619,10490,4809xe" fillcolor="#689cd3" stroked="f">
                  <v:path arrowok="t" o:connecttype="custom" o:connectlocs="10490,9836;8039,8421;2161,5027;0,5606;0,8421;0,12646;10490,9836" o:connectangles="0,0,0,0,0,0,0"/>
                </v:shape>
                <v:shape id="docshape24" o:spid="_x0000_s1033" style="position:absolute;left:-1;top:9835;width:11906;height:7004;visibility:visible;mso-wrap-style:square;v-text-anchor:top" coordsize="11906,7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" path="m10490,l,2810,,7003r11906,l11906,817,10490,xe" fillcolor="#76a4d7" stroked="f">
                  <v:path arrowok="t" o:connecttype="custom" o:connectlocs="10490,9836;0,12646;0,16839;11906,16839;11906,10653;10490,9836" o:connectangles="0,0,0,0,0,0"/>
                </v:shape>
                <v:shape id="docshape25" o:spid="_x0000_s1034" style="position:absolute;left:2933;top:1440;width:1036;height:1053;visibility:visible;mso-wrap-style:square;v-text-anchor:top" coordsize="1036,1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" path="m560,r-9,l536,16,518,33,496,48,470,59r1,20l467,102r-9,30l444,169,286,587r-37,96l218,764r-27,67l168,886r-19,47l131,968r-22,23l84,1004r-28,5l5,1014r-4,8l,1034r3,11l8,1052r71,-2l118,1048r39,l323,1048r3,-3l329,1034r-1,-12l322,1014r-52,-5l248,1006r-14,-7l227,990r-2,-12l227,961r7,-28l244,897r15,-48l314,687r8,-20l333,656r16,-5l373,649r415,l767,587r-371,l371,587r-12,-5l357,571r6,-21l461,280r12,-32l484,220r9,-20l498,189r133,l625,170,607,118,590,65,574,14,571,3,560,xm323,1048r-166,l250,1050r36,1l318,1052r5,-4xm788,649r-181,l635,651r17,5l662,668r8,20l739,899r8,27l753,948r4,18l759,981r-4,11l744,1000r-17,6l704,1009r-45,5l654,1022r-2,12l655,1045r8,7l741,1050r47,-2l1031,1048r2,-3l1035,1034r-1,-12l1028,1014r-41,-5l944,999,913,974,885,926,855,845,788,649xm1031,1048r-190,l891,1048r46,1l982,1050r46,2l1031,1048xm631,189r-130,l509,207r9,24l528,258r9,29l621,539r7,26l626,579r-13,7l587,587r180,l642,222,631,189xe" fillcolor="#408bca" stroked="f">
                  <v:path arrowok="t" o:connecttype="custom" o:connectlocs="551,1441;518,1474;470,1500;467,1543;444,1610;249,2124;191,2272;149,2374;109,2432;56,2450;1,2463;3,2486;79,2491;157,2489;326,2486;328,2463;270,2450;234,2440;225,2419;234,2374;259,2290;322,2108;349,2092;788,2090;396,2028;359,2023;363,1991;473,1689;493,1641;631,1630;607,1559;574,1455;560,1441;157,2489;286,2492;323,2489;607,2090;652,2097;670,2129;747,2367;757,2407;755,2433;727,2447;659,2455;652,2475;663,2493;788,2489;1033,2486;1034,2463;987,2450;913,2415;855,2286;1031,2489;891,2489;982,2491;1031,2489;501,1630;518,1672;537,1728;628,2006;613,2027;767,2028;631,1630" o:connectangles="0,0,0,0,0,0,0,0,0,0,0,0,0,0,0,0,0,0,0,0,0,0,0,0,0,0,0,0,0,0,0,0,0,0,0,0,0,0,0,0,0,0,0,0,0,0,0,0,0,0,0,0,0,0,0,0,0,0,0,0,0,0,0"/>
                </v:shape>
                <v:shape id="docshape26" o:spid="_x0000_s1035" style="position:absolute;left:1439;top:1465;width:1784;height:1032;visibility:visible;mso-wrap-style:square;v-text-anchor:top" coordsize="1784,1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" path="m9,4l3,12,,22,1,34r5,8l46,46,94,56r28,28l134,142r3,98l137,796r-2,98l125,948,98,976,48,990r-27,4l17,1004r-1,12l19,1026r5,6l68,1032r88,-4l404,1028r1,-2l408,1014r,-12l403,994r-45,-4l307,978,278,950,266,894r-2,-98l264,576r1,-24l275,536r23,-6l714,530,684,514,656,498,630,482,607,468r-266,l298,466r-23,-6l265,446r-1,-28l264,240r2,-96l277,86,304,58,356,46r30,-4l391,34r,-12l388,12,386,8,110,8,9,4xm404,1028r-156,l293,1030r49,l400,1032r4,-4xm750,548r3,8l753,560r,236l751,894r-10,54l713,976r-54,14l629,994r-4,10l624,1016r3,10l632,1032r49,-2l728,1030r45,-2l1010,1028r2,-2l1015,1014r-1,-12l1009,994r-37,-4l920,978,892,950,881,894r-1,-98l880,602,845,590,812,576,780,562,750,548xm1010,1028r-147,l907,1030r47,l1006,1032r4,-4xm1181,670r,126l1179,892r-10,56l1141,976r-53,12l1056,992r-5,10l1050,1014r3,12l1059,1032r96,-4l1452,1028r3,-4l1458,1014r-1,-12l1453,992r-42,-4l1353,976r-31,-28l1310,892r-2,-96l1308,688r-27,-2l1249,684r-34,-6l1181,670xm1452,1028r-113,l1450,1032r2,-4xm449,306r5,16l463,334r26,24l532,390r59,40l667,472r93,44l870,558r127,36l1090,614r46,6l1181,628r25,2l1237,632r36,4l1308,638r,-2l1397,634r83,-10l1556,604r67,-30l1637,564r-329,l1308,560r-127,l1177,558r-81,-10l1019,536,947,522,880,504r,-44l743,460,623,410,536,364,484,332,466,318,449,306xm1633,48r-241,l1467,56r62,22l1577,114r36,50l1634,224r8,70l1642,306r-1,10l1641,326r-1,10l1631,372r-20,46l1574,468r-59,44l1428,546r-120,18l1637,564r43,-30l1726,484r34,-62l1780,348r,-2l1781,344r1,-8l1783,326r1,-10l1784,304r,-10l1775,218r-26,-64l1710,102,1660,62,1633,48xm1363,r-91,l1192,2r-72,4l1056,12r-7,6l1046,30r1,12l1053,50r55,6l1149,68r22,26l1180,142r1,76l1181,560r127,l1309,102r1,-28l1319,56r25,-6l1392,48r241,l1601,32,1533,14,1453,2,1363,xm632,4r-5,8l624,22r1,12l629,42r30,4l712,58r28,28l751,144r2,96l753,422r,12l751,446r-3,8l743,460r137,l880,240r1,-96l892,86,920,58,972,46r33,-4l1009,34r1,-12l1007,12r-3,-4l729,8,632,4xm383,4l291,8r95,l383,4xm1002,4l907,8r97,l1002,4xe" fillcolor="#1d2455" stroked="f">
                  <v:path arrowok="t" o:connecttype="custom" o:connectlocs="6,1508;137,1706;48,2456;24,2498;408,2480;278,2416;275,2002;630,1948;265,1912;304,1524;388,1478;248,2494;750,2014;741,2414;624,2482;773,2494;1009,2460;880,2262;750,2014;1006,2498;1169,2414;1050,2480;1455,2490;1353,2442;1281,2152;1339,2494;463,1800;760,1982;1181,2094;1308,2102;1637,2030;1096,2014;743,1926;449,1772;1577,1580;1641,1782;1574,1934;1680,2000;1781,1810;1784,1770;1660,1528;1120,1472;1053,1516;1181,1684;1319,1522;1533,1480;624,1488;740,1552;751,1912;881,1610;1009,1500;632,1470;1002,1470" o:connectangles="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7" o:spid="_x0000_s1036" type="#_x0000_t75" style="position:absolute;left:1455;top:2632;width:2505;height: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">
                  <v:imagedata r:id="rId11" o:title=""/>
                </v:shape>
                <v:rect id="docshape28" o:spid="_x0000_s1037" style="position:absolute;top:15400;width:11904;height: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" stroked="f"/>
                <w10:wrap anchorx="page" anchory="page"/>
              </v:group>
            </w:pict>
          </mc:Fallback>
        </mc:AlternateContent>
      </w:r>
    </w:p>
    <w:p w14:paraId="7FEB7D31" w14:textId="77777777" w:rsidR="003E3EC7" w:rsidRDefault="003E3EC7" w:rsidP="003E3EC7">
      <w:pPr>
        <w:spacing w:after="120"/>
        <w:jc w:val="right"/>
        <w:rPr>
          <w:b/>
          <w:bCs/>
          <w:sz w:val="40"/>
          <w:szCs w:val="40"/>
        </w:rPr>
      </w:pPr>
    </w:p>
    <w:p w14:paraId="082EB5EB" w14:textId="0E8F6B20" w:rsidR="003E3EC7" w:rsidRDefault="003E3EC7" w:rsidP="003E3EC7">
      <w:pPr>
        <w:spacing w:after="120"/>
        <w:jc w:val="right"/>
        <w:rPr>
          <w:b/>
          <w:bCs/>
          <w:sz w:val="40"/>
          <w:szCs w:val="40"/>
        </w:rPr>
      </w:pPr>
    </w:p>
    <w:p w14:paraId="0305A841" w14:textId="15400FC1" w:rsidR="003E3EC7" w:rsidRDefault="003E3EC7" w:rsidP="003E3EC7">
      <w:pPr>
        <w:spacing w:after="120"/>
        <w:jc w:val="right"/>
        <w:rPr>
          <w:b/>
          <w:bCs/>
          <w:sz w:val="40"/>
          <w:szCs w:val="40"/>
        </w:rPr>
      </w:pPr>
    </w:p>
    <w:p w14:paraId="0B147BB7" w14:textId="0FD59891" w:rsidR="003E3EC7" w:rsidRDefault="003E3EC7" w:rsidP="003E3EC7">
      <w:pPr>
        <w:spacing w:after="120"/>
        <w:jc w:val="right"/>
        <w:rPr>
          <w:b/>
          <w:bCs/>
          <w:sz w:val="40"/>
          <w:szCs w:val="40"/>
        </w:rPr>
      </w:pPr>
    </w:p>
    <w:p w14:paraId="2BDAD481" w14:textId="57300C9A" w:rsidR="003E3EC7" w:rsidRDefault="003E3EC7" w:rsidP="003E3EC7">
      <w:pPr>
        <w:spacing w:after="120"/>
        <w:jc w:val="right"/>
        <w:rPr>
          <w:b/>
          <w:bCs/>
          <w:sz w:val="40"/>
          <w:szCs w:val="40"/>
        </w:rPr>
      </w:pPr>
    </w:p>
    <w:p w14:paraId="05172C1A" w14:textId="0046FF96" w:rsidR="003E3EC7" w:rsidRDefault="001352D2" w:rsidP="003E3EC7">
      <w:pPr>
        <w:spacing w:after="120"/>
        <w:rPr>
          <w:rFonts w:ascii="Roboto Slab" w:hAnsi="Roboto Slab"/>
          <w:color w:val="FFFFFF" w:themeColor="background1"/>
          <w:sz w:val="32"/>
          <w:szCs w:val="32"/>
        </w:rPr>
      </w:pPr>
      <w:r>
        <w:rPr>
          <w:noProof/>
          <w:szCs w:val="20"/>
        </w:rPr>
        <w:drawing>
          <wp:anchor distT="0" distB="0" distL="114300" distR="114300" simplePos="0" relativeHeight="251658241" behindDoc="0" locked="0" layoutInCell="1" allowOverlap="1" wp14:anchorId="6EC16D2A" wp14:editId="11555B08">
            <wp:simplePos x="0" y="0"/>
            <wp:positionH relativeFrom="column">
              <wp:posOffset>10795</wp:posOffset>
            </wp:positionH>
            <wp:positionV relativeFrom="paragraph">
              <wp:posOffset>67945</wp:posOffset>
            </wp:positionV>
            <wp:extent cx="3528000" cy="853200"/>
            <wp:effectExtent l="0" t="0" r="0" b="4445"/>
            <wp:wrapNone/>
            <wp:docPr id="20" name="Picture 2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528000" cy="853200"/>
                    </a:xfrm>
                    <a:prstGeom prst="rect">
                      <a:avLst/>
                    </a:prstGeom>
                  </pic:spPr>
                </pic:pic>
              </a:graphicData>
            </a:graphic>
            <wp14:sizeRelH relativeFrom="margin">
              <wp14:pctWidth>0</wp14:pctWidth>
            </wp14:sizeRelH>
            <wp14:sizeRelV relativeFrom="margin">
              <wp14:pctHeight>0</wp14:pctHeight>
            </wp14:sizeRelV>
          </wp:anchor>
        </w:drawing>
      </w:r>
    </w:p>
    <w:p w14:paraId="47A93EC3" w14:textId="529C15D8" w:rsidR="001352D2" w:rsidRPr="00947F6C" w:rsidRDefault="001352D2" w:rsidP="003E3EC7">
      <w:pPr>
        <w:spacing w:after="120"/>
        <w:rPr>
          <w:rFonts w:ascii="Roboto Slab" w:hAnsi="Roboto Slab"/>
          <w:color w:val="FFFFFF" w:themeColor="background1"/>
          <w:sz w:val="32"/>
          <w:szCs w:val="32"/>
        </w:rPr>
      </w:pPr>
    </w:p>
    <w:p w14:paraId="6219E96A" w14:textId="7995BB7F" w:rsidR="001352D2" w:rsidRDefault="001352D2" w:rsidP="003E3EC7">
      <w:pPr>
        <w:spacing w:after="120"/>
        <w:rPr>
          <w:rFonts w:ascii="Roboto Slab" w:eastAsia="Times New Roman" w:hAnsi="Roboto Slab"/>
          <w:iCs/>
          <w:color w:val="FFFFFF" w:themeColor="background1"/>
          <w:sz w:val="44"/>
          <w:szCs w:val="44"/>
        </w:rPr>
      </w:pPr>
    </w:p>
    <w:p w14:paraId="57C96892" w14:textId="2D692AEA" w:rsidR="003E3EC7" w:rsidRDefault="003E3EC7" w:rsidP="003E3EC7">
      <w:pPr>
        <w:spacing w:after="120"/>
        <w:rPr>
          <w:rFonts w:ascii="Roboto Slab" w:eastAsia="Times New Roman" w:hAnsi="Roboto Slab"/>
          <w:iCs/>
          <w:color w:val="FFFFFF" w:themeColor="background1"/>
          <w:sz w:val="44"/>
          <w:szCs w:val="44"/>
        </w:rPr>
      </w:pPr>
      <w:r w:rsidRPr="00DB3CD3">
        <w:rPr>
          <w:rFonts w:ascii="Roboto Slab" w:eastAsia="Times New Roman" w:hAnsi="Roboto Slab"/>
          <w:iCs/>
          <w:color w:val="FFFFFF" w:themeColor="background1"/>
          <w:sz w:val="44"/>
          <w:szCs w:val="44"/>
        </w:rPr>
        <w:t xml:space="preserve">Evaluation </w:t>
      </w:r>
      <w:r w:rsidR="001352D2">
        <w:rPr>
          <w:rFonts w:ascii="Roboto Slab" w:eastAsia="Times New Roman" w:hAnsi="Roboto Slab"/>
          <w:iCs/>
          <w:color w:val="FFFFFF" w:themeColor="background1"/>
          <w:sz w:val="44"/>
          <w:szCs w:val="44"/>
        </w:rPr>
        <w:t xml:space="preserve">of the Health Care Homes </w:t>
      </w:r>
      <w:r w:rsidR="00614D49" w:rsidRPr="00614D49">
        <w:rPr>
          <w:rFonts w:ascii="Roboto Slab" w:eastAsia="Times New Roman" w:hAnsi="Roboto Slab"/>
          <w:iCs/>
          <w:color w:val="FFFFFF" w:themeColor="background1"/>
          <w:sz w:val="44"/>
          <w:szCs w:val="44"/>
        </w:rPr>
        <w:t>trial</w:t>
      </w:r>
    </w:p>
    <w:p w14:paraId="64BD8A72" w14:textId="7856ED40" w:rsidR="003E3EC7" w:rsidRDefault="003E3EC7" w:rsidP="003E3EC7">
      <w:pPr>
        <w:spacing w:after="120"/>
        <w:rPr>
          <w:rStyle w:val="ReportTitleTitlePageChar"/>
          <w:rFonts w:ascii="Roboto Slab" w:hAnsi="Roboto Slab"/>
          <w:b w:val="0"/>
          <w:bCs w:val="0"/>
          <w:color w:val="FFFFFF" w:themeColor="background1"/>
        </w:rPr>
      </w:pPr>
    </w:p>
    <w:p w14:paraId="56751659" w14:textId="17F97814" w:rsidR="003E3EC7" w:rsidRDefault="003E3EC7" w:rsidP="003E3EC7">
      <w:pPr>
        <w:spacing w:after="120"/>
        <w:rPr>
          <w:rStyle w:val="ReportTitleTitlePageChar"/>
          <w:rFonts w:ascii="Roboto Slab" w:hAnsi="Roboto Slab"/>
          <w:b w:val="0"/>
          <w:bCs w:val="0"/>
          <w:color w:val="FFFFFF" w:themeColor="background1"/>
        </w:rPr>
      </w:pPr>
    </w:p>
    <w:p w14:paraId="64E7337D" w14:textId="608659C2" w:rsidR="003E3EC7" w:rsidRDefault="003E3EC7" w:rsidP="003E3EC7">
      <w:pPr>
        <w:spacing w:after="120"/>
        <w:rPr>
          <w:rStyle w:val="ReportTitleTitlePageChar"/>
          <w:rFonts w:ascii="Roboto Slab" w:hAnsi="Roboto Slab"/>
          <w:b w:val="0"/>
          <w:bCs w:val="0"/>
          <w:color w:val="FFFFFF" w:themeColor="background1"/>
        </w:rPr>
      </w:pPr>
    </w:p>
    <w:p w14:paraId="14AF367A" w14:textId="1532CABA" w:rsidR="003E3EC7" w:rsidRDefault="003E3EC7" w:rsidP="003E3EC7">
      <w:pPr>
        <w:spacing w:after="120"/>
        <w:rPr>
          <w:rStyle w:val="ReportTitleTitlePageChar"/>
          <w:rFonts w:ascii="Roboto Slab" w:hAnsi="Roboto Slab"/>
          <w:b w:val="0"/>
          <w:bCs w:val="0"/>
          <w:color w:val="FFFFFF" w:themeColor="background1"/>
        </w:rPr>
      </w:pPr>
    </w:p>
    <w:p w14:paraId="20C9A7A9" w14:textId="4D552AF1" w:rsidR="003E3EC7" w:rsidRDefault="003E3EC7" w:rsidP="003E3EC7">
      <w:pPr>
        <w:spacing w:after="120"/>
        <w:rPr>
          <w:rStyle w:val="ReportTitleTitlePageChar"/>
          <w:rFonts w:ascii="Roboto Slab" w:hAnsi="Roboto Slab"/>
          <w:b w:val="0"/>
          <w:bCs w:val="0"/>
          <w:color w:val="FFFFFF" w:themeColor="background1"/>
        </w:rPr>
      </w:pPr>
    </w:p>
    <w:p w14:paraId="7331C0DA" w14:textId="0FC37BCC" w:rsidR="003E3EC7" w:rsidRDefault="003E3EC7" w:rsidP="003E3EC7">
      <w:pPr>
        <w:spacing w:after="120"/>
        <w:rPr>
          <w:rStyle w:val="ReportTitleTitlePageChar"/>
          <w:rFonts w:ascii="Roboto Slab" w:hAnsi="Roboto Slab"/>
          <w:b w:val="0"/>
          <w:bCs w:val="0"/>
          <w:color w:val="FFFFFF" w:themeColor="background1"/>
        </w:rPr>
      </w:pPr>
    </w:p>
    <w:p w14:paraId="56C06FD1" w14:textId="52D30E07" w:rsidR="003E3EC7" w:rsidRDefault="003E3EC7" w:rsidP="003E3EC7">
      <w:pPr>
        <w:spacing w:after="120"/>
        <w:rPr>
          <w:rStyle w:val="ReportTitleTitlePageChar"/>
          <w:rFonts w:ascii="Roboto Slab" w:hAnsi="Roboto Slab"/>
          <w:b w:val="0"/>
          <w:bCs w:val="0"/>
          <w:color w:val="FFFFFF" w:themeColor="background1"/>
        </w:rPr>
      </w:pPr>
    </w:p>
    <w:p w14:paraId="17DD9435" w14:textId="4AEA941F" w:rsidR="00922A4F" w:rsidRDefault="00922A4F" w:rsidP="003E3EC7">
      <w:pPr>
        <w:spacing w:after="120"/>
        <w:jc w:val="right"/>
        <w:rPr>
          <w:rStyle w:val="ReportTitleTitlePageChar"/>
          <w:rFonts w:ascii="Roboto Slab" w:hAnsi="Roboto Slab"/>
          <w:b w:val="0"/>
          <w:bCs w:val="0"/>
          <w:color w:val="FFFFFF" w:themeColor="background1"/>
        </w:rPr>
      </w:pPr>
      <w:r>
        <w:rPr>
          <w:rStyle w:val="ReportTitleTitlePageChar"/>
          <w:rFonts w:ascii="Roboto Slab" w:hAnsi="Roboto Slab"/>
          <w:b w:val="0"/>
          <w:bCs w:val="0"/>
          <w:color w:val="FFFFFF" w:themeColor="background1"/>
        </w:rPr>
        <w:t>Final evaluation report</w:t>
      </w:r>
    </w:p>
    <w:p w14:paraId="2F8E923F" w14:textId="783156D8" w:rsidR="003E3EC7" w:rsidRPr="00DB3CD3" w:rsidRDefault="001352D2" w:rsidP="003E3EC7">
      <w:pPr>
        <w:spacing w:after="120"/>
        <w:jc w:val="right"/>
        <w:rPr>
          <w:rFonts w:ascii="Roboto Slab" w:eastAsia="Calibri" w:hAnsi="Roboto Slab" w:cs="Times New Roman"/>
          <w:color w:val="FFFFFF" w:themeColor="background1"/>
          <w:sz w:val="36"/>
          <w:szCs w:val="36"/>
        </w:rPr>
        <w:sectPr w:rsidR="003E3EC7" w:rsidRPr="00DB3CD3" w:rsidSect="00870926">
          <w:headerReference w:type="first" r:id="rId13"/>
          <w:pgSz w:w="11906" w:h="16838"/>
          <w:pgMar w:top="1440" w:right="1440" w:bottom="1440" w:left="1440" w:header="708" w:footer="708" w:gutter="0"/>
          <w:cols w:space="708"/>
          <w:titlePg/>
          <w:docGrid w:linePitch="360"/>
        </w:sectPr>
      </w:pPr>
      <w:r>
        <w:rPr>
          <w:rStyle w:val="ReportTitleTitlePageChar"/>
          <w:rFonts w:ascii="Roboto Slab" w:hAnsi="Roboto Slab"/>
          <w:b w:val="0"/>
          <w:bCs w:val="0"/>
          <w:color w:val="FFFFFF" w:themeColor="background1"/>
        </w:rPr>
        <w:t>Volume 2: Main report</w:t>
      </w:r>
    </w:p>
    <w:p w14:paraId="0B8D5541" w14:textId="77777777" w:rsidR="003E3EC7" w:rsidRPr="008253FC" w:rsidRDefault="003E3EC7" w:rsidP="003E3EC7">
      <w:pPr>
        <w:rPr>
          <w:rFonts w:ascii="Roboto Slab" w:hAnsi="Roboto Slab"/>
          <w:color w:val="408BCA"/>
          <w:sz w:val="32"/>
          <w:szCs w:val="32"/>
        </w:rPr>
      </w:pPr>
      <w:bookmarkStart w:id="1" w:name="_Toc71722731"/>
      <w:r w:rsidRPr="008253FC">
        <w:rPr>
          <w:rFonts w:ascii="Roboto Slab" w:hAnsi="Roboto Slab"/>
          <w:color w:val="408BCA"/>
          <w:sz w:val="32"/>
          <w:szCs w:val="32"/>
        </w:rPr>
        <w:lastRenderedPageBreak/>
        <w:t>Revision history</w:t>
      </w:r>
      <w:bookmarkEnd w:id="1"/>
    </w:p>
    <w:tbl>
      <w:tblPr>
        <w:tblW w:w="9072" w:type="dxa"/>
        <w:tblBorders>
          <w:top w:val="single" w:sz="4" w:space="0" w:color="408BCA"/>
          <w:left w:val="single" w:sz="4" w:space="0" w:color="408BCA"/>
          <w:bottom w:val="single" w:sz="4" w:space="0" w:color="408BCA"/>
          <w:right w:val="single" w:sz="4" w:space="0" w:color="408BCA"/>
          <w:insideH w:val="single" w:sz="4" w:space="0" w:color="BFBFBF" w:themeColor="background1" w:themeShade="BF"/>
        </w:tblBorders>
        <w:tblLook w:val="04A0" w:firstRow="1" w:lastRow="0" w:firstColumn="1" w:lastColumn="0" w:noHBand="0" w:noVBand="1"/>
      </w:tblPr>
      <w:tblGrid>
        <w:gridCol w:w="993"/>
        <w:gridCol w:w="1984"/>
        <w:gridCol w:w="6095"/>
      </w:tblGrid>
      <w:tr w:rsidR="005E29C3" w:rsidRPr="005E29C3" w14:paraId="7E733421" w14:textId="77777777" w:rsidTr="00425736">
        <w:trPr>
          <w:trHeight w:val="340"/>
        </w:trPr>
        <w:tc>
          <w:tcPr>
            <w:tcW w:w="993" w:type="dxa"/>
            <w:shd w:val="clear" w:color="auto" w:fill="408BCA"/>
          </w:tcPr>
          <w:p w14:paraId="480C5456" w14:textId="77777777" w:rsidR="003E3EC7" w:rsidRPr="005E29C3" w:rsidRDefault="003E3EC7" w:rsidP="005E29C3">
            <w:pPr>
              <w:spacing w:after="0"/>
              <w:rPr>
                <w:b/>
                <w:bCs/>
                <w:color w:val="FFFFFF" w:themeColor="background1"/>
                <w:sz w:val="18"/>
                <w:szCs w:val="18"/>
              </w:rPr>
            </w:pPr>
            <w:r w:rsidRPr="005E29C3">
              <w:rPr>
                <w:b/>
                <w:bCs/>
                <w:color w:val="FFFFFF" w:themeColor="background1"/>
                <w:sz w:val="18"/>
                <w:szCs w:val="18"/>
              </w:rPr>
              <w:t>Version</w:t>
            </w:r>
          </w:p>
        </w:tc>
        <w:tc>
          <w:tcPr>
            <w:tcW w:w="1984" w:type="dxa"/>
            <w:shd w:val="clear" w:color="auto" w:fill="408BCA"/>
          </w:tcPr>
          <w:p w14:paraId="1C0C4A26" w14:textId="77777777" w:rsidR="003E3EC7" w:rsidRPr="005E29C3" w:rsidRDefault="003E3EC7" w:rsidP="005E29C3">
            <w:pPr>
              <w:spacing w:after="0"/>
              <w:rPr>
                <w:b/>
                <w:bCs/>
                <w:color w:val="FFFFFF" w:themeColor="background1"/>
                <w:sz w:val="18"/>
                <w:szCs w:val="18"/>
              </w:rPr>
            </w:pPr>
            <w:r w:rsidRPr="005E29C3">
              <w:rPr>
                <w:b/>
                <w:bCs/>
                <w:color w:val="FFFFFF" w:themeColor="background1"/>
                <w:sz w:val="18"/>
                <w:szCs w:val="18"/>
              </w:rPr>
              <w:t>Date</w:t>
            </w:r>
          </w:p>
        </w:tc>
        <w:tc>
          <w:tcPr>
            <w:tcW w:w="6095" w:type="dxa"/>
            <w:shd w:val="clear" w:color="auto" w:fill="408BCA"/>
          </w:tcPr>
          <w:p w14:paraId="1E8564A8" w14:textId="77777777" w:rsidR="003E3EC7" w:rsidRPr="005E29C3" w:rsidRDefault="003E3EC7" w:rsidP="005E29C3">
            <w:pPr>
              <w:spacing w:after="0"/>
              <w:rPr>
                <w:b/>
                <w:bCs/>
                <w:color w:val="FFFFFF" w:themeColor="background1"/>
                <w:sz w:val="18"/>
                <w:szCs w:val="18"/>
              </w:rPr>
            </w:pPr>
            <w:r w:rsidRPr="005E29C3">
              <w:rPr>
                <w:b/>
                <w:bCs/>
                <w:color w:val="FFFFFF" w:themeColor="background1"/>
                <w:sz w:val="18"/>
                <w:szCs w:val="18"/>
              </w:rPr>
              <w:t>Modification</w:t>
            </w:r>
          </w:p>
        </w:tc>
      </w:tr>
      <w:tr w:rsidR="003F63E9" w:rsidRPr="00425736" w14:paraId="04E4AFE1" w14:textId="77777777" w:rsidTr="00425736">
        <w:trPr>
          <w:trHeight w:val="340"/>
        </w:trPr>
        <w:tc>
          <w:tcPr>
            <w:tcW w:w="993" w:type="dxa"/>
          </w:tcPr>
          <w:p w14:paraId="24A3D18C" w14:textId="77777777" w:rsidR="003E3EC7" w:rsidRPr="00425736" w:rsidRDefault="003E3EC7" w:rsidP="005E29C3">
            <w:pPr>
              <w:spacing w:after="0"/>
              <w:rPr>
                <w:sz w:val="18"/>
                <w:szCs w:val="18"/>
              </w:rPr>
            </w:pPr>
            <w:r w:rsidRPr="00425736">
              <w:rPr>
                <w:sz w:val="18"/>
                <w:szCs w:val="18"/>
              </w:rPr>
              <w:t>0.1</w:t>
            </w:r>
          </w:p>
        </w:tc>
        <w:tc>
          <w:tcPr>
            <w:tcW w:w="1984" w:type="dxa"/>
          </w:tcPr>
          <w:p w14:paraId="3BAAAF91" w14:textId="33E09860" w:rsidR="003E3EC7" w:rsidRPr="00425736" w:rsidRDefault="00861E2D" w:rsidP="006000E5">
            <w:pPr>
              <w:spacing w:after="0"/>
              <w:jc w:val="center"/>
              <w:rPr>
                <w:sz w:val="18"/>
                <w:szCs w:val="18"/>
              </w:rPr>
            </w:pPr>
            <w:r w:rsidRPr="00425736">
              <w:rPr>
                <w:sz w:val="18"/>
                <w:szCs w:val="18"/>
              </w:rPr>
              <w:t>2</w:t>
            </w:r>
            <w:r w:rsidR="00594832" w:rsidRPr="00425736">
              <w:rPr>
                <w:sz w:val="18"/>
                <w:szCs w:val="18"/>
              </w:rPr>
              <w:t>8</w:t>
            </w:r>
            <w:r w:rsidR="000F788E" w:rsidRPr="00425736">
              <w:rPr>
                <w:sz w:val="18"/>
                <w:szCs w:val="18"/>
              </w:rPr>
              <w:t xml:space="preserve"> March</w:t>
            </w:r>
            <w:r w:rsidR="00A933B3" w:rsidRPr="00425736">
              <w:rPr>
                <w:sz w:val="18"/>
                <w:szCs w:val="18"/>
              </w:rPr>
              <w:t xml:space="preserve"> 202</w:t>
            </w:r>
            <w:r w:rsidR="000F788E" w:rsidRPr="00425736">
              <w:rPr>
                <w:sz w:val="18"/>
                <w:szCs w:val="18"/>
              </w:rPr>
              <w:t>2</w:t>
            </w:r>
          </w:p>
        </w:tc>
        <w:tc>
          <w:tcPr>
            <w:tcW w:w="6095" w:type="dxa"/>
          </w:tcPr>
          <w:p w14:paraId="1E1E2100" w14:textId="77777777" w:rsidR="003E3EC7" w:rsidRPr="00425736" w:rsidRDefault="003E3EC7" w:rsidP="005E29C3">
            <w:pPr>
              <w:spacing w:after="0"/>
              <w:rPr>
                <w:sz w:val="18"/>
                <w:szCs w:val="18"/>
              </w:rPr>
            </w:pPr>
            <w:r w:rsidRPr="00425736">
              <w:rPr>
                <w:sz w:val="18"/>
                <w:szCs w:val="18"/>
              </w:rPr>
              <w:t>Initial draft.</w:t>
            </w:r>
          </w:p>
        </w:tc>
      </w:tr>
      <w:tr w:rsidR="003F63E9" w:rsidRPr="00425736" w14:paraId="2942BD59" w14:textId="77777777" w:rsidTr="00425736">
        <w:trPr>
          <w:trHeight w:val="340"/>
        </w:trPr>
        <w:tc>
          <w:tcPr>
            <w:tcW w:w="993" w:type="dxa"/>
          </w:tcPr>
          <w:p w14:paraId="543C0B07" w14:textId="3F85CB92" w:rsidR="003E3EC7" w:rsidRPr="00425736" w:rsidRDefault="00B12B8E" w:rsidP="005E29C3">
            <w:pPr>
              <w:spacing w:after="0"/>
              <w:rPr>
                <w:sz w:val="18"/>
                <w:szCs w:val="18"/>
              </w:rPr>
            </w:pPr>
            <w:r w:rsidRPr="00425736">
              <w:rPr>
                <w:sz w:val="18"/>
                <w:szCs w:val="18"/>
              </w:rPr>
              <w:t>0.2</w:t>
            </w:r>
          </w:p>
        </w:tc>
        <w:tc>
          <w:tcPr>
            <w:tcW w:w="1984" w:type="dxa"/>
          </w:tcPr>
          <w:p w14:paraId="1E7FDF8A" w14:textId="4C709F89" w:rsidR="003E3EC7" w:rsidRPr="00425736" w:rsidRDefault="000215F7" w:rsidP="006000E5">
            <w:pPr>
              <w:spacing w:after="0"/>
              <w:jc w:val="center"/>
              <w:rPr>
                <w:sz w:val="18"/>
                <w:szCs w:val="18"/>
              </w:rPr>
            </w:pPr>
            <w:r w:rsidRPr="00425736">
              <w:rPr>
                <w:sz w:val="18"/>
                <w:szCs w:val="18"/>
              </w:rPr>
              <w:t>4 April 2022</w:t>
            </w:r>
          </w:p>
        </w:tc>
        <w:tc>
          <w:tcPr>
            <w:tcW w:w="6095" w:type="dxa"/>
          </w:tcPr>
          <w:p w14:paraId="2AAF7C5D" w14:textId="21C6497E" w:rsidR="003E3EC7" w:rsidRPr="00425736" w:rsidRDefault="000215F7" w:rsidP="005E29C3">
            <w:pPr>
              <w:spacing w:after="0"/>
              <w:rPr>
                <w:sz w:val="18"/>
                <w:szCs w:val="18"/>
              </w:rPr>
            </w:pPr>
            <w:r w:rsidRPr="00425736">
              <w:rPr>
                <w:sz w:val="18"/>
                <w:szCs w:val="18"/>
              </w:rPr>
              <w:t>Incorporating initial comments from the Department of Health</w:t>
            </w:r>
          </w:p>
        </w:tc>
      </w:tr>
      <w:tr w:rsidR="003F63E9" w:rsidRPr="003D528A" w14:paraId="54479124" w14:textId="77777777" w:rsidTr="00425736">
        <w:trPr>
          <w:trHeight w:val="340"/>
        </w:trPr>
        <w:tc>
          <w:tcPr>
            <w:tcW w:w="993" w:type="dxa"/>
          </w:tcPr>
          <w:p w14:paraId="0066D6B4" w14:textId="1AD6CE3D" w:rsidR="003E3EC7" w:rsidRPr="00425736" w:rsidRDefault="00917973" w:rsidP="005E29C3">
            <w:pPr>
              <w:spacing w:after="0"/>
              <w:rPr>
                <w:sz w:val="18"/>
                <w:szCs w:val="18"/>
              </w:rPr>
            </w:pPr>
            <w:r w:rsidRPr="00425736">
              <w:rPr>
                <w:sz w:val="18"/>
                <w:szCs w:val="18"/>
              </w:rPr>
              <w:t>0.3</w:t>
            </w:r>
          </w:p>
        </w:tc>
        <w:tc>
          <w:tcPr>
            <w:tcW w:w="1984" w:type="dxa"/>
          </w:tcPr>
          <w:p w14:paraId="044762EE" w14:textId="3A976019" w:rsidR="003E3EC7" w:rsidRPr="003D528A" w:rsidRDefault="006D75FB" w:rsidP="006000E5">
            <w:pPr>
              <w:spacing w:after="0"/>
              <w:jc w:val="center"/>
              <w:rPr>
                <w:sz w:val="18"/>
                <w:szCs w:val="18"/>
              </w:rPr>
            </w:pPr>
            <w:r>
              <w:rPr>
                <w:sz w:val="18"/>
                <w:szCs w:val="18"/>
              </w:rPr>
              <w:t>20</w:t>
            </w:r>
            <w:r w:rsidR="00477DE3" w:rsidRPr="003D528A">
              <w:rPr>
                <w:sz w:val="18"/>
                <w:szCs w:val="18"/>
              </w:rPr>
              <w:t xml:space="preserve"> May 2022</w:t>
            </w:r>
          </w:p>
        </w:tc>
        <w:tc>
          <w:tcPr>
            <w:tcW w:w="6095" w:type="dxa"/>
          </w:tcPr>
          <w:p w14:paraId="41AAE608" w14:textId="0F9D7FAC" w:rsidR="003E3EC7" w:rsidRPr="003D528A" w:rsidRDefault="00477DE3" w:rsidP="005E29C3">
            <w:pPr>
              <w:spacing w:after="0"/>
              <w:rPr>
                <w:sz w:val="18"/>
                <w:szCs w:val="18"/>
              </w:rPr>
            </w:pPr>
            <w:r w:rsidRPr="003D528A">
              <w:rPr>
                <w:sz w:val="18"/>
                <w:szCs w:val="18"/>
              </w:rPr>
              <w:t>Incorporating comments from the Evaluation Working Group (EWG)</w:t>
            </w:r>
          </w:p>
        </w:tc>
      </w:tr>
      <w:tr w:rsidR="006945AE" w:rsidRPr="003D528A" w14:paraId="7C5FE424" w14:textId="77777777" w:rsidTr="00425736">
        <w:trPr>
          <w:trHeight w:val="340"/>
        </w:trPr>
        <w:tc>
          <w:tcPr>
            <w:tcW w:w="993" w:type="dxa"/>
          </w:tcPr>
          <w:p w14:paraId="6FF94A04" w14:textId="1776CA67" w:rsidR="006945AE" w:rsidRPr="00425736" w:rsidRDefault="006945AE" w:rsidP="006945AE">
            <w:pPr>
              <w:spacing w:after="0"/>
              <w:rPr>
                <w:sz w:val="18"/>
                <w:szCs w:val="18"/>
              </w:rPr>
            </w:pPr>
            <w:r>
              <w:rPr>
                <w:sz w:val="18"/>
                <w:szCs w:val="18"/>
              </w:rPr>
              <w:t>1.0</w:t>
            </w:r>
          </w:p>
        </w:tc>
        <w:tc>
          <w:tcPr>
            <w:tcW w:w="1984" w:type="dxa"/>
          </w:tcPr>
          <w:p w14:paraId="49996ADF" w14:textId="42B6476B" w:rsidR="006945AE" w:rsidRDefault="00103495" w:rsidP="006000E5">
            <w:pPr>
              <w:spacing w:after="0"/>
              <w:jc w:val="center"/>
              <w:rPr>
                <w:sz w:val="18"/>
                <w:szCs w:val="18"/>
              </w:rPr>
            </w:pPr>
            <w:r>
              <w:rPr>
                <w:sz w:val="18"/>
                <w:szCs w:val="18"/>
              </w:rPr>
              <w:t>2</w:t>
            </w:r>
            <w:r w:rsidR="00EF3A54">
              <w:rPr>
                <w:sz w:val="18"/>
                <w:szCs w:val="18"/>
              </w:rPr>
              <w:t>9</w:t>
            </w:r>
            <w:r w:rsidR="006000E5">
              <w:rPr>
                <w:sz w:val="18"/>
                <w:szCs w:val="18"/>
              </w:rPr>
              <w:t xml:space="preserve"> July 2022</w:t>
            </w:r>
          </w:p>
        </w:tc>
        <w:tc>
          <w:tcPr>
            <w:tcW w:w="6095" w:type="dxa"/>
          </w:tcPr>
          <w:p w14:paraId="1DA5CAC0" w14:textId="091B5D75" w:rsidR="006945AE" w:rsidRPr="003D528A" w:rsidRDefault="006945AE" w:rsidP="006945AE">
            <w:pPr>
              <w:spacing w:after="0"/>
              <w:rPr>
                <w:sz w:val="18"/>
                <w:szCs w:val="18"/>
              </w:rPr>
            </w:pPr>
            <w:r>
              <w:rPr>
                <w:sz w:val="18"/>
                <w:szCs w:val="18"/>
              </w:rPr>
              <w:t>Final report, incorporating comments from the Department of Health</w:t>
            </w:r>
          </w:p>
        </w:tc>
      </w:tr>
    </w:tbl>
    <w:p w14:paraId="5210FF0E" w14:textId="77777777" w:rsidR="005A79DC" w:rsidRDefault="005A79DC" w:rsidP="00A6189D">
      <w:pPr>
        <w:spacing w:after="0"/>
      </w:pPr>
    </w:p>
    <w:p w14:paraId="10F9A2E2" w14:textId="6D3821D6" w:rsidR="00155B35" w:rsidRDefault="00D55431" w:rsidP="003E3EC7">
      <w:pPr>
        <w:rPr>
          <w:szCs w:val="20"/>
        </w:rPr>
      </w:pPr>
      <w:r w:rsidRPr="00210714">
        <w:rPr>
          <w:rFonts w:ascii="Roboto Slab" w:hAnsi="Roboto Slab"/>
          <w:b/>
          <w:bCs/>
          <w:color w:val="408BCA"/>
          <w:szCs w:val="20"/>
        </w:rPr>
        <w:t>Suggested citation</w:t>
      </w:r>
      <w:r w:rsidR="003429DF" w:rsidRPr="00210714">
        <w:rPr>
          <w:rFonts w:ascii="Roboto Slab" w:hAnsi="Roboto Slab"/>
          <w:b/>
          <w:bCs/>
          <w:color w:val="408BCA"/>
          <w:szCs w:val="20"/>
        </w:rPr>
        <w:t>:</w:t>
      </w:r>
      <w:r w:rsidR="003429DF">
        <w:t xml:space="preserve"> </w:t>
      </w:r>
      <w:r w:rsidR="009C74A2" w:rsidRPr="00293130">
        <w:rPr>
          <w:szCs w:val="20"/>
        </w:rPr>
        <w:t>Pearse, J.</w:t>
      </w:r>
      <w:r w:rsidR="003836B1" w:rsidRPr="003836B1">
        <w:rPr>
          <w:szCs w:val="20"/>
          <w:vertAlign w:val="superscript"/>
        </w:rPr>
        <w:t>1</w:t>
      </w:r>
      <w:r w:rsidR="009C74A2" w:rsidRPr="00293130">
        <w:rPr>
          <w:szCs w:val="20"/>
        </w:rPr>
        <w:t xml:space="preserve">, </w:t>
      </w:r>
      <w:proofErr w:type="spellStart"/>
      <w:r w:rsidR="009C74A2" w:rsidRPr="00293130">
        <w:rPr>
          <w:szCs w:val="20"/>
        </w:rPr>
        <w:t>Mazevska</w:t>
      </w:r>
      <w:proofErr w:type="spellEnd"/>
      <w:r w:rsidR="009C74A2" w:rsidRPr="00293130">
        <w:rPr>
          <w:szCs w:val="20"/>
        </w:rPr>
        <w:t>, D.</w:t>
      </w:r>
      <w:r w:rsidR="003836B1" w:rsidRPr="003836B1">
        <w:rPr>
          <w:szCs w:val="20"/>
          <w:vertAlign w:val="superscript"/>
        </w:rPr>
        <w:t>1</w:t>
      </w:r>
      <w:r w:rsidR="009C74A2" w:rsidRPr="00293130">
        <w:rPr>
          <w:szCs w:val="20"/>
        </w:rPr>
        <w:t>, McElduff, P.</w:t>
      </w:r>
      <w:r w:rsidR="003836B1" w:rsidRPr="003836B1">
        <w:rPr>
          <w:szCs w:val="20"/>
          <w:vertAlign w:val="superscript"/>
        </w:rPr>
        <w:t>1</w:t>
      </w:r>
      <w:r w:rsidR="009C74A2" w:rsidRPr="00293130">
        <w:rPr>
          <w:szCs w:val="20"/>
        </w:rPr>
        <w:t>, Stone, C.</w:t>
      </w:r>
      <w:r w:rsidR="00AD6C63" w:rsidRPr="003836B1">
        <w:rPr>
          <w:szCs w:val="20"/>
          <w:vertAlign w:val="superscript"/>
        </w:rPr>
        <w:t>1</w:t>
      </w:r>
      <w:r w:rsidR="009C74A2" w:rsidRPr="00293130">
        <w:rPr>
          <w:szCs w:val="20"/>
        </w:rPr>
        <w:t xml:space="preserve">, </w:t>
      </w:r>
      <w:proofErr w:type="spellStart"/>
      <w:r w:rsidR="009C74A2" w:rsidRPr="00293130">
        <w:rPr>
          <w:szCs w:val="20"/>
        </w:rPr>
        <w:t>Tuccia</w:t>
      </w:r>
      <w:proofErr w:type="spellEnd"/>
      <w:r w:rsidR="009C74A2" w:rsidRPr="00293130">
        <w:rPr>
          <w:szCs w:val="20"/>
        </w:rPr>
        <w:t>, J.</w:t>
      </w:r>
      <w:r w:rsidR="00AD6C63" w:rsidRPr="003836B1">
        <w:rPr>
          <w:szCs w:val="20"/>
          <w:vertAlign w:val="superscript"/>
        </w:rPr>
        <w:t>1</w:t>
      </w:r>
      <w:r w:rsidR="009C74A2" w:rsidRPr="00293130">
        <w:rPr>
          <w:szCs w:val="20"/>
        </w:rPr>
        <w:t>, Cho, O.</w:t>
      </w:r>
      <w:r w:rsidR="00AD6C63" w:rsidRPr="003836B1">
        <w:rPr>
          <w:szCs w:val="20"/>
          <w:vertAlign w:val="superscript"/>
        </w:rPr>
        <w:t>1</w:t>
      </w:r>
      <w:r w:rsidR="009C74A2" w:rsidRPr="00293130">
        <w:rPr>
          <w:szCs w:val="20"/>
        </w:rPr>
        <w:t>, Mitchell, S.</w:t>
      </w:r>
      <w:r w:rsidR="00AD6C63" w:rsidRPr="003836B1">
        <w:rPr>
          <w:szCs w:val="20"/>
          <w:vertAlign w:val="superscript"/>
        </w:rPr>
        <w:t>1</w:t>
      </w:r>
      <w:r w:rsidR="009C74A2" w:rsidRPr="00293130">
        <w:rPr>
          <w:szCs w:val="20"/>
        </w:rPr>
        <w:t>, McElduff, B.</w:t>
      </w:r>
      <w:r w:rsidR="00AD6C63" w:rsidRPr="003836B1">
        <w:rPr>
          <w:szCs w:val="20"/>
          <w:vertAlign w:val="superscript"/>
        </w:rPr>
        <w:t>1</w:t>
      </w:r>
      <w:r w:rsidR="009C74A2" w:rsidRPr="00293130">
        <w:rPr>
          <w:szCs w:val="20"/>
        </w:rPr>
        <w:t>, Tran, D. T.</w:t>
      </w:r>
      <w:r w:rsidR="00060237" w:rsidRPr="00060237">
        <w:rPr>
          <w:szCs w:val="20"/>
          <w:vertAlign w:val="superscript"/>
        </w:rPr>
        <w:t>2</w:t>
      </w:r>
      <w:r w:rsidR="009C74A2" w:rsidRPr="00293130">
        <w:rPr>
          <w:szCs w:val="20"/>
        </w:rPr>
        <w:t>, Falster, M. O.</w:t>
      </w:r>
      <w:r w:rsidR="00060237" w:rsidRPr="00060237">
        <w:rPr>
          <w:szCs w:val="20"/>
          <w:vertAlign w:val="superscript"/>
        </w:rPr>
        <w:t>2</w:t>
      </w:r>
      <w:r w:rsidR="009C74A2" w:rsidRPr="00293130">
        <w:rPr>
          <w:szCs w:val="20"/>
        </w:rPr>
        <w:t>, Pearson, S.</w:t>
      </w:r>
      <w:r w:rsidR="00060237" w:rsidRPr="00060237">
        <w:rPr>
          <w:szCs w:val="20"/>
          <w:vertAlign w:val="superscript"/>
        </w:rPr>
        <w:t>2</w:t>
      </w:r>
      <w:r w:rsidR="003F663B">
        <w:rPr>
          <w:szCs w:val="20"/>
        </w:rPr>
        <w:t>,</w:t>
      </w:r>
      <w:r w:rsidR="009C74A2" w:rsidRPr="00293130">
        <w:rPr>
          <w:szCs w:val="20"/>
        </w:rPr>
        <w:t xml:space="preserve"> </w:t>
      </w:r>
      <w:proofErr w:type="spellStart"/>
      <w:r w:rsidR="009C74A2" w:rsidRPr="00293130">
        <w:rPr>
          <w:szCs w:val="20"/>
        </w:rPr>
        <w:t>Jorm</w:t>
      </w:r>
      <w:proofErr w:type="spellEnd"/>
      <w:r w:rsidR="009C74A2" w:rsidRPr="00293130">
        <w:rPr>
          <w:szCs w:val="20"/>
        </w:rPr>
        <w:t>, L.</w:t>
      </w:r>
      <w:r w:rsidR="00060237" w:rsidRPr="00060237">
        <w:rPr>
          <w:szCs w:val="20"/>
          <w:vertAlign w:val="superscript"/>
        </w:rPr>
        <w:t>2</w:t>
      </w:r>
      <w:r w:rsidR="009C74A2" w:rsidRPr="00293130">
        <w:rPr>
          <w:szCs w:val="20"/>
        </w:rPr>
        <w:t>, Yu, S.</w:t>
      </w:r>
      <w:r w:rsidR="00060237" w:rsidRPr="00060237">
        <w:rPr>
          <w:szCs w:val="20"/>
          <w:vertAlign w:val="superscript"/>
        </w:rPr>
        <w:t>3</w:t>
      </w:r>
      <w:r w:rsidR="009C74A2" w:rsidRPr="00293130">
        <w:rPr>
          <w:szCs w:val="20"/>
        </w:rPr>
        <w:t xml:space="preserve">, </w:t>
      </w:r>
      <w:proofErr w:type="spellStart"/>
      <w:r w:rsidR="009C74A2" w:rsidRPr="00293130">
        <w:rPr>
          <w:szCs w:val="20"/>
        </w:rPr>
        <w:t>Naghsh</w:t>
      </w:r>
      <w:proofErr w:type="spellEnd"/>
      <w:r w:rsidR="009C74A2" w:rsidRPr="00293130">
        <w:rPr>
          <w:szCs w:val="20"/>
        </w:rPr>
        <w:t xml:space="preserve"> </w:t>
      </w:r>
      <w:proofErr w:type="spellStart"/>
      <w:r w:rsidR="009C74A2" w:rsidRPr="00293130">
        <w:rPr>
          <w:szCs w:val="20"/>
        </w:rPr>
        <w:t>Nejadm</w:t>
      </w:r>
      <w:proofErr w:type="spellEnd"/>
      <w:r w:rsidR="009C74A2" w:rsidRPr="00293130">
        <w:rPr>
          <w:szCs w:val="20"/>
        </w:rPr>
        <w:t>, M.</w:t>
      </w:r>
      <w:r w:rsidR="00060237" w:rsidRPr="00060237">
        <w:rPr>
          <w:szCs w:val="20"/>
          <w:vertAlign w:val="superscript"/>
        </w:rPr>
        <w:t>3</w:t>
      </w:r>
      <w:r w:rsidR="009C74A2" w:rsidRPr="00293130">
        <w:rPr>
          <w:szCs w:val="20"/>
        </w:rPr>
        <w:t>, van Gool, K.</w:t>
      </w:r>
      <w:r w:rsidR="00060237" w:rsidRPr="00060237">
        <w:rPr>
          <w:szCs w:val="20"/>
          <w:vertAlign w:val="superscript"/>
        </w:rPr>
        <w:t>3</w:t>
      </w:r>
      <w:r w:rsidR="009C74A2" w:rsidRPr="00293130">
        <w:rPr>
          <w:szCs w:val="20"/>
        </w:rPr>
        <w:t>, Wright, M.</w:t>
      </w:r>
      <w:r w:rsidR="00060237" w:rsidRPr="00060237">
        <w:rPr>
          <w:szCs w:val="20"/>
          <w:vertAlign w:val="superscript"/>
        </w:rPr>
        <w:t>3</w:t>
      </w:r>
      <w:r w:rsidR="009C74A2" w:rsidRPr="00293130">
        <w:rPr>
          <w:szCs w:val="20"/>
        </w:rPr>
        <w:t>, Hall, J.</w:t>
      </w:r>
      <w:r w:rsidR="00060237" w:rsidRPr="00060237">
        <w:rPr>
          <w:szCs w:val="20"/>
          <w:vertAlign w:val="superscript"/>
        </w:rPr>
        <w:t>3</w:t>
      </w:r>
      <w:r w:rsidR="009C74A2" w:rsidRPr="00293130">
        <w:rPr>
          <w:szCs w:val="20"/>
        </w:rPr>
        <w:t>, Bower, M.,</w:t>
      </w:r>
      <w:r w:rsidR="00060237" w:rsidRPr="00060237">
        <w:rPr>
          <w:szCs w:val="20"/>
          <w:vertAlign w:val="superscript"/>
        </w:rPr>
        <w:t>4</w:t>
      </w:r>
      <w:r w:rsidR="009C74A2" w:rsidRPr="00293130">
        <w:rPr>
          <w:szCs w:val="20"/>
        </w:rPr>
        <w:t xml:space="preserve"> Dunbar, J.</w:t>
      </w:r>
      <w:r w:rsidR="00060237" w:rsidRPr="00060237">
        <w:rPr>
          <w:szCs w:val="20"/>
          <w:vertAlign w:val="superscript"/>
        </w:rPr>
        <w:t>5</w:t>
      </w:r>
      <w:r w:rsidR="009C74A2" w:rsidRPr="00293130">
        <w:rPr>
          <w:szCs w:val="20"/>
        </w:rPr>
        <w:t xml:space="preserve">, </w:t>
      </w:r>
      <w:proofErr w:type="spellStart"/>
      <w:r w:rsidR="009C74A2" w:rsidRPr="00293130">
        <w:rPr>
          <w:szCs w:val="20"/>
        </w:rPr>
        <w:t>Henryks</w:t>
      </w:r>
      <w:proofErr w:type="spellEnd"/>
      <w:r w:rsidR="009C74A2" w:rsidRPr="00293130">
        <w:rPr>
          <w:szCs w:val="20"/>
        </w:rPr>
        <w:t>, J., Rosen, R.</w:t>
      </w:r>
      <w:r w:rsidR="006B54FA">
        <w:rPr>
          <w:szCs w:val="20"/>
          <w:vertAlign w:val="superscript"/>
        </w:rPr>
        <w:t>6</w:t>
      </w:r>
      <w:r w:rsidR="009C74A2" w:rsidRPr="00293130">
        <w:rPr>
          <w:szCs w:val="20"/>
        </w:rPr>
        <w:t xml:space="preserve">, &amp; Smyth, T. (2022). </w:t>
      </w:r>
      <w:r w:rsidR="009C74A2" w:rsidRPr="00293130">
        <w:rPr>
          <w:i/>
          <w:iCs/>
          <w:szCs w:val="20"/>
        </w:rPr>
        <w:t xml:space="preserve">Health Care Homes trial final evaluation report, Volume </w:t>
      </w:r>
      <w:r w:rsidR="00B915DC">
        <w:rPr>
          <w:i/>
          <w:iCs/>
          <w:szCs w:val="20"/>
        </w:rPr>
        <w:t>2</w:t>
      </w:r>
      <w:r w:rsidR="009C74A2" w:rsidRPr="00293130">
        <w:rPr>
          <w:i/>
          <w:iCs/>
          <w:szCs w:val="20"/>
        </w:rPr>
        <w:t xml:space="preserve">: Main report. </w:t>
      </w:r>
      <w:r w:rsidR="001B2952" w:rsidRPr="00293130">
        <w:rPr>
          <w:i/>
          <w:iCs/>
          <w:szCs w:val="20"/>
        </w:rPr>
        <w:t>Health Policy Analysis</w:t>
      </w:r>
      <w:r w:rsidR="001B2952" w:rsidRPr="00293130">
        <w:rPr>
          <w:szCs w:val="20"/>
        </w:rPr>
        <w:t xml:space="preserve">. </w:t>
      </w:r>
      <w:r w:rsidR="009A2584" w:rsidRPr="00293130">
        <w:rPr>
          <w:szCs w:val="20"/>
        </w:rPr>
        <w:t>Commissioned</w:t>
      </w:r>
      <w:r w:rsidR="001B2952" w:rsidRPr="00293130">
        <w:rPr>
          <w:szCs w:val="20"/>
        </w:rPr>
        <w:t xml:space="preserve"> by the Australian Government Department of Health</w:t>
      </w:r>
      <w:r w:rsidR="003F663B">
        <w:rPr>
          <w:szCs w:val="20"/>
        </w:rPr>
        <w:t>.</w:t>
      </w:r>
    </w:p>
    <w:p w14:paraId="160DA52B" w14:textId="09708CDB" w:rsidR="00A20E8E" w:rsidRDefault="00A93836" w:rsidP="002C6000">
      <w:pPr>
        <w:spacing w:after="0"/>
      </w:pPr>
      <w:r w:rsidRPr="003F663B">
        <w:rPr>
          <w:szCs w:val="20"/>
          <w:vertAlign w:val="superscript"/>
        </w:rPr>
        <w:t>1</w:t>
      </w:r>
      <w:r>
        <w:rPr>
          <w:szCs w:val="20"/>
        </w:rPr>
        <w:t xml:space="preserve"> Health Policy Analysis</w:t>
      </w:r>
      <w:r w:rsidR="003F663B">
        <w:rPr>
          <w:szCs w:val="20"/>
        </w:rPr>
        <w:t xml:space="preserve">; </w:t>
      </w:r>
      <w:r w:rsidRPr="003F663B">
        <w:rPr>
          <w:szCs w:val="20"/>
          <w:vertAlign w:val="superscript"/>
        </w:rPr>
        <w:t>2</w:t>
      </w:r>
      <w:r>
        <w:rPr>
          <w:szCs w:val="20"/>
        </w:rPr>
        <w:t xml:space="preserve"> </w:t>
      </w:r>
      <w:r w:rsidR="00D76E78" w:rsidRPr="00D76E78">
        <w:rPr>
          <w:szCs w:val="20"/>
        </w:rPr>
        <w:t>Centre for Big Data Research in Health (CBDRH), University of NSW</w:t>
      </w:r>
      <w:r w:rsidR="003F663B">
        <w:rPr>
          <w:szCs w:val="20"/>
        </w:rPr>
        <w:t xml:space="preserve">; </w:t>
      </w:r>
      <w:r w:rsidR="00D76E78" w:rsidRPr="003F663B">
        <w:rPr>
          <w:vertAlign w:val="superscript"/>
        </w:rPr>
        <w:t>3</w:t>
      </w:r>
      <w:r w:rsidR="00D76E78">
        <w:t xml:space="preserve"> </w:t>
      </w:r>
      <w:r w:rsidR="00B52029" w:rsidRPr="00B52029">
        <w:t>Centre for Health Economics Research and Evaluation (CHERE), University of Technology</w:t>
      </w:r>
      <w:r w:rsidR="003F663B">
        <w:t xml:space="preserve">; </w:t>
      </w:r>
      <w:r w:rsidR="00B52029" w:rsidRPr="003F663B">
        <w:rPr>
          <w:vertAlign w:val="superscript"/>
        </w:rPr>
        <w:t>4</w:t>
      </w:r>
      <w:r w:rsidR="00B52029">
        <w:t xml:space="preserve"> </w:t>
      </w:r>
      <w:r w:rsidR="00B07895" w:rsidRPr="00B07895">
        <w:t>Flinders University</w:t>
      </w:r>
      <w:r w:rsidR="003F663B">
        <w:t xml:space="preserve">; </w:t>
      </w:r>
      <w:r w:rsidR="00B07895" w:rsidRPr="003F663B">
        <w:rPr>
          <w:vertAlign w:val="superscript"/>
        </w:rPr>
        <w:t>5</w:t>
      </w:r>
      <w:r w:rsidR="00B07895">
        <w:t xml:space="preserve"> </w:t>
      </w:r>
      <w:r w:rsidR="00610F2B" w:rsidRPr="00610F2B">
        <w:t>Deakin University</w:t>
      </w:r>
      <w:r w:rsidR="002E315B">
        <w:t xml:space="preserve">; </w:t>
      </w:r>
      <w:r w:rsidR="00A20E8E" w:rsidRPr="002E315B">
        <w:rPr>
          <w:vertAlign w:val="superscript"/>
        </w:rPr>
        <w:t>6</w:t>
      </w:r>
      <w:r w:rsidR="00A20E8E">
        <w:t xml:space="preserve"> </w:t>
      </w:r>
      <w:r w:rsidR="00E01B3B" w:rsidRPr="005A5A67">
        <w:t>Nuffield Trust London</w:t>
      </w:r>
      <w:r w:rsidR="002E315B">
        <w:t>.</w:t>
      </w:r>
    </w:p>
    <w:p w14:paraId="79E220D0" w14:textId="77777777" w:rsidR="00F230DF" w:rsidRDefault="00F230DF" w:rsidP="002C6000">
      <w:pPr>
        <w:spacing w:after="0"/>
      </w:pPr>
    </w:p>
    <w:p w14:paraId="177D0A3A" w14:textId="24D5025C" w:rsidR="00562821" w:rsidRPr="005A5A67" w:rsidRDefault="00E13285" w:rsidP="00F968D2">
      <w:r w:rsidRPr="00210714">
        <w:rPr>
          <w:rFonts w:ascii="Roboto Slab" w:hAnsi="Roboto Slab"/>
          <w:b/>
          <w:bCs/>
          <w:color w:val="408BCA"/>
          <w:szCs w:val="20"/>
        </w:rPr>
        <w:t>Acknowledgements</w:t>
      </w:r>
      <w:r w:rsidR="001A2A31" w:rsidRPr="00210714">
        <w:rPr>
          <w:rFonts w:ascii="Roboto Slab" w:hAnsi="Roboto Slab"/>
          <w:b/>
          <w:bCs/>
          <w:color w:val="408BCA"/>
          <w:szCs w:val="20"/>
        </w:rPr>
        <w:t>:</w:t>
      </w:r>
      <w:r w:rsidR="001A2A31" w:rsidRPr="00074D58">
        <w:rPr>
          <w:rFonts w:ascii="Roboto Slab" w:hAnsi="Roboto Slab"/>
          <w:color w:val="408BCA"/>
          <w:szCs w:val="20"/>
        </w:rPr>
        <w:t xml:space="preserve"> </w:t>
      </w:r>
      <w:r w:rsidR="0041648F" w:rsidRPr="00130CE9">
        <w:t xml:space="preserve">Additional collaborators included: Prof. Robyn McDermott, James Cook University; Dr Kathryn Mack McDonald, Stanford University/Johns Hopkins University; Dr Steve </w:t>
      </w:r>
      <w:proofErr w:type="spellStart"/>
      <w:r w:rsidR="0041648F" w:rsidRPr="00130CE9">
        <w:t>Sutch</w:t>
      </w:r>
      <w:proofErr w:type="spellEnd"/>
      <w:r w:rsidR="0041648F" w:rsidRPr="00130CE9">
        <w:t xml:space="preserve">, </w:t>
      </w:r>
      <w:proofErr w:type="spellStart"/>
      <w:r w:rsidR="0041648F" w:rsidRPr="00130CE9">
        <w:t>Sutch</w:t>
      </w:r>
      <w:proofErr w:type="spellEnd"/>
      <w:r w:rsidR="0041648F" w:rsidRPr="00130CE9">
        <w:t xml:space="preserve"> Consulting International Ltd; Charles Dove and Anna </w:t>
      </w:r>
      <w:proofErr w:type="spellStart"/>
      <w:r w:rsidR="0041648F" w:rsidRPr="00130CE9">
        <w:t>Lethborg</w:t>
      </w:r>
      <w:proofErr w:type="spellEnd"/>
      <w:r w:rsidR="0041648F" w:rsidRPr="00130CE9">
        <w:t xml:space="preserve"> Social Research Centre, Australian National University. The evaluation was </w:t>
      </w:r>
      <w:r w:rsidR="0041648F">
        <w:t xml:space="preserve">also </w:t>
      </w:r>
      <w:r w:rsidR="0041648F" w:rsidRPr="00130CE9">
        <w:t xml:space="preserve">guided by the HCH Evaluation Working Group (see Volume 3 Appendix 1). The evaluation team acknowledges the contribution of the many participants in the HCH </w:t>
      </w:r>
      <w:r w:rsidR="0041648F">
        <w:t>t</w:t>
      </w:r>
      <w:r w:rsidR="0041648F" w:rsidRPr="00130CE9">
        <w:t xml:space="preserve">rial, </w:t>
      </w:r>
      <w:r w:rsidR="0041648F">
        <w:t xml:space="preserve">including patients and carers, </w:t>
      </w:r>
      <w:r w:rsidR="0041648F" w:rsidRPr="00130CE9">
        <w:t>practice</w:t>
      </w:r>
      <w:r w:rsidR="0041648F">
        <w:t>s, practice</w:t>
      </w:r>
      <w:r w:rsidR="0041648F" w:rsidRPr="00130CE9">
        <w:t xml:space="preserve"> staff</w:t>
      </w:r>
      <w:r w:rsidR="0041648F">
        <w:t xml:space="preserve">, and the Primary Health Networks (PHNs), </w:t>
      </w:r>
      <w:r w:rsidR="0041648F" w:rsidRPr="00130CE9">
        <w:t xml:space="preserve">who generously shared their experiences and insights through surveys and interviews. </w:t>
      </w:r>
      <w:r w:rsidR="0041648F">
        <w:t>The PHNs also provided other valuable support for the evaluation, as did the Australian Medical Services Alliance Northern Territory (AMSANT)</w:t>
      </w:r>
      <w:r w:rsidR="00F62355">
        <w:t>.</w:t>
      </w:r>
    </w:p>
    <w:p w14:paraId="0CF8B9F5" w14:textId="6E374A2C" w:rsidR="003E3EC7" w:rsidRPr="00C815DC" w:rsidRDefault="003E3EC7" w:rsidP="003E3EC7">
      <w:pPr>
        <w:rPr>
          <w:szCs w:val="20"/>
        </w:rPr>
      </w:pPr>
      <w:bookmarkStart w:id="2" w:name="_Toc71722733"/>
      <w:r w:rsidRPr="00210714">
        <w:rPr>
          <w:rFonts w:ascii="Roboto Slab" w:hAnsi="Roboto Slab"/>
          <w:b/>
          <w:bCs/>
          <w:color w:val="408BCA"/>
          <w:szCs w:val="20"/>
        </w:rPr>
        <w:t>Disclaimer</w:t>
      </w:r>
      <w:bookmarkEnd w:id="2"/>
      <w:r w:rsidR="00210714" w:rsidRPr="00210714">
        <w:rPr>
          <w:rFonts w:ascii="Roboto Slab" w:hAnsi="Roboto Slab"/>
          <w:b/>
          <w:bCs/>
          <w:color w:val="408BCA"/>
          <w:szCs w:val="20"/>
        </w:rPr>
        <w:t>:</w:t>
      </w:r>
      <w:r w:rsidR="00210714">
        <w:rPr>
          <w:rFonts w:ascii="Roboto Slab" w:hAnsi="Roboto Slab"/>
          <w:color w:val="408BCA"/>
          <w:szCs w:val="20"/>
        </w:rPr>
        <w:t xml:space="preserve"> </w:t>
      </w:r>
      <w:r w:rsidRPr="00C815DC">
        <w:rPr>
          <w:szCs w:val="20"/>
        </w:rPr>
        <w:t xml:space="preserve">In accordance with Health Policy Analysis’ policy, we are obliged to advise that neither Health Policy Analysis nor any employee nor sub-contractor undertakes responsibility in any way whatsoever to any person or organisation (other than </w:t>
      </w:r>
      <w:r>
        <w:rPr>
          <w:szCs w:val="20"/>
        </w:rPr>
        <w:t>the Australian Government Department of Health</w:t>
      </w:r>
      <w:r w:rsidRPr="00C815DC">
        <w:rPr>
          <w:szCs w:val="20"/>
        </w:rPr>
        <w:t>) in respect of information set out in this report, including any errors or omissions therein, arising through negligence or otherwise however caused.</w:t>
      </w:r>
    </w:p>
    <w:p w14:paraId="3D02ABEB" w14:textId="77777777" w:rsidR="003E3EC7" w:rsidRPr="008253FC" w:rsidRDefault="003E3EC7" w:rsidP="003E3EC7">
      <w:pPr>
        <w:rPr>
          <w:rFonts w:ascii="Roboto Slab" w:hAnsi="Roboto Slab"/>
          <w:color w:val="408BCA"/>
          <w:sz w:val="32"/>
          <w:szCs w:val="32"/>
        </w:rPr>
      </w:pPr>
      <w:r w:rsidRPr="008253FC">
        <w:rPr>
          <w:rFonts w:ascii="Roboto Slab" w:hAnsi="Roboto Slab"/>
          <w:color w:val="408BCA"/>
          <w:sz w:val="32"/>
          <w:szCs w:val="32"/>
        </w:rPr>
        <w:t xml:space="preserve">Health Policy Analysis Pty Ltd </w:t>
      </w:r>
    </w:p>
    <w:p w14:paraId="2A8A2DE4" w14:textId="77777777" w:rsidR="003E3EC7" w:rsidRPr="002A3A21" w:rsidRDefault="003E3EC7" w:rsidP="003E3EC7">
      <w:pPr>
        <w:spacing w:after="120"/>
        <w:rPr>
          <w:rFonts w:eastAsiaTheme="minorEastAsia" w:cs="Arial"/>
          <w:color w:val="1D2455"/>
          <w:lang w:eastAsia="en-AU"/>
        </w:rPr>
      </w:pPr>
      <w:r w:rsidRPr="002A3A21">
        <w:rPr>
          <w:rFonts w:eastAsiaTheme="minorEastAsia" w:cs="Arial"/>
          <w:color w:val="1D2455"/>
          <w:lang w:eastAsia="en-AU"/>
        </w:rPr>
        <w:t>Suite 101, 30 Atchison Street, St Leonards NSW 2065</w:t>
      </w:r>
    </w:p>
    <w:p w14:paraId="120F3D4D" w14:textId="77777777" w:rsidR="003E3EC7" w:rsidRPr="002A3A21" w:rsidRDefault="003E3EC7" w:rsidP="003E3EC7">
      <w:pPr>
        <w:spacing w:after="120"/>
        <w:rPr>
          <w:rFonts w:eastAsiaTheme="minorEastAsia" w:cs="Arial"/>
          <w:color w:val="1D2455"/>
          <w:lang w:eastAsia="en-AU"/>
        </w:rPr>
      </w:pPr>
      <w:r w:rsidRPr="002A3A21">
        <w:rPr>
          <w:rFonts w:eastAsiaTheme="minorEastAsia" w:cs="Arial"/>
          <w:color w:val="1D2455"/>
          <w:lang w:eastAsia="en-AU"/>
        </w:rPr>
        <w:t>PO Box 403, St Leonards NSW 1590</w:t>
      </w:r>
    </w:p>
    <w:p w14:paraId="6DAF72A9" w14:textId="77777777" w:rsidR="003E3EC7" w:rsidRPr="002A3A21" w:rsidRDefault="003E3EC7" w:rsidP="003E3EC7">
      <w:pPr>
        <w:spacing w:after="120"/>
        <w:rPr>
          <w:rFonts w:eastAsiaTheme="minorEastAsia" w:cs="Arial"/>
          <w:color w:val="1D2455"/>
          <w:lang w:eastAsia="en-AU"/>
        </w:rPr>
      </w:pPr>
      <w:r w:rsidRPr="002A3A21">
        <w:rPr>
          <w:rFonts w:eastAsiaTheme="minorEastAsia" w:cs="Arial"/>
          <w:color w:val="1D2455"/>
          <w:lang w:eastAsia="en-AU"/>
        </w:rPr>
        <w:t>ABN: 54 105 830 920</w:t>
      </w:r>
    </w:p>
    <w:p w14:paraId="7ECEA65E" w14:textId="77777777" w:rsidR="003E3EC7" w:rsidRPr="002A3A21" w:rsidRDefault="003E3EC7" w:rsidP="003E3EC7">
      <w:pPr>
        <w:spacing w:after="120"/>
        <w:rPr>
          <w:rFonts w:eastAsiaTheme="minorEastAsia" w:cs="Arial"/>
          <w:color w:val="1D2455"/>
          <w:lang w:eastAsia="en-AU"/>
        </w:rPr>
      </w:pPr>
      <w:r w:rsidRPr="002A3A21">
        <w:rPr>
          <w:rFonts w:eastAsiaTheme="minorEastAsia" w:cs="Arial"/>
          <w:color w:val="1D2455"/>
          <w:lang w:eastAsia="en-AU"/>
        </w:rPr>
        <w:t>ACN: 105 830 920</w:t>
      </w:r>
    </w:p>
    <w:p w14:paraId="58D1506B" w14:textId="77777777" w:rsidR="003E3EC7" w:rsidRPr="002A3A21" w:rsidRDefault="003E3EC7" w:rsidP="003E3EC7">
      <w:pPr>
        <w:spacing w:after="120"/>
        <w:rPr>
          <w:rFonts w:eastAsiaTheme="minorEastAsia" w:cs="Arial"/>
          <w:color w:val="1D2455"/>
          <w:lang w:eastAsia="en-AU"/>
        </w:rPr>
      </w:pPr>
      <w:r w:rsidRPr="002A3A21">
        <w:rPr>
          <w:rFonts w:eastAsiaTheme="minorEastAsia" w:cs="Arial"/>
          <w:color w:val="1D2455"/>
          <w:lang w:eastAsia="en-AU"/>
        </w:rPr>
        <w:t>www.healthpolicy.com.au</w:t>
      </w:r>
    </w:p>
    <w:p w14:paraId="3551A27E" w14:textId="78C83BE6" w:rsidR="003E3EC7" w:rsidRPr="00BE7FC5" w:rsidRDefault="003E3EC7" w:rsidP="00731BB7">
      <w:pPr>
        <w:spacing w:after="120"/>
        <w:rPr>
          <w:rFonts w:cs="Arial"/>
          <w:color w:val="1D2455"/>
          <w:lang w:val="fr-FR"/>
        </w:rPr>
      </w:pPr>
      <w:r w:rsidRPr="002A3A21">
        <w:rPr>
          <w:rFonts w:eastAsiaTheme="minorEastAsia" w:cs="Arial"/>
          <w:color w:val="1D2455"/>
          <w:lang w:eastAsia="en-AU"/>
        </w:rPr>
        <w:t>Phone: +61 2 8065 6491</w:t>
      </w:r>
    </w:p>
    <w:p w14:paraId="17D39551" w14:textId="77777777" w:rsidR="003E3EC7" w:rsidRPr="00BE7FC5" w:rsidRDefault="003E3EC7" w:rsidP="003E3EC7">
      <w:pPr>
        <w:tabs>
          <w:tab w:val="left" w:pos="3957"/>
        </w:tabs>
        <w:rPr>
          <w:lang w:val="fr-FR"/>
        </w:rPr>
        <w:sectPr w:rsidR="003E3EC7" w:rsidRPr="00BE7FC5" w:rsidSect="00870926">
          <w:headerReference w:type="first" r:id="rId14"/>
          <w:pgSz w:w="11906" w:h="16838"/>
          <w:pgMar w:top="1440" w:right="1440" w:bottom="1440" w:left="1440" w:header="708" w:footer="708" w:gutter="0"/>
          <w:cols w:space="708"/>
          <w:titlePg/>
          <w:docGrid w:linePitch="360"/>
        </w:sectPr>
      </w:pPr>
    </w:p>
    <w:p w14:paraId="2B13FA3A" w14:textId="6A79BCC6" w:rsidR="003E3EC7" w:rsidRPr="00BE7FC5" w:rsidRDefault="003E3EC7" w:rsidP="003E3EC7">
      <w:pPr>
        <w:rPr>
          <w:rFonts w:ascii="Roboto Slab" w:hAnsi="Roboto Slab"/>
          <w:color w:val="408BCA"/>
          <w:sz w:val="56"/>
          <w:szCs w:val="56"/>
          <w:lang w:val="fr-FR"/>
        </w:rPr>
      </w:pPr>
      <w:bookmarkStart w:id="3" w:name="_Toc38722025"/>
      <w:r w:rsidRPr="00BE7FC5">
        <w:rPr>
          <w:rFonts w:ascii="Roboto Slab" w:hAnsi="Roboto Slab"/>
          <w:color w:val="408BCA"/>
          <w:sz w:val="56"/>
          <w:szCs w:val="56"/>
          <w:lang w:val="fr-FR"/>
        </w:rPr>
        <w:lastRenderedPageBreak/>
        <w:t>Contents</w:t>
      </w:r>
      <w:bookmarkEnd w:id="3"/>
    </w:p>
    <w:p w14:paraId="72483E90" w14:textId="4BF8A51E" w:rsidR="008811FC" w:rsidRDefault="002A1F58">
      <w:pPr>
        <w:pStyle w:val="TOC1"/>
        <w:rPr>
          <w:rFonts w:asciiTheme="minorHAnsi" w:eastAsiaTheme="minorEastAsia" w:hAnsiTheme="minorHAnsi" w:cstheme="minorBidi"/>
          <w:i w:val="0"/>
          <w:noProof/>
          <w:color w:val="auto"/>
          <w:sz w:val="22"/>
          <w:lang w:val="en-AU" w:eastAsia="en-AU"/>
        </w:rPr>
      </w:pPr>
      <w:r>
        <w:rPr>
          <w:b/>
        </w:rPr>
        <w:fldChar w:fldCharType="begin"/>
      </w:r>
      <w:r>
        <w:rPr>
          <w:b/>
        </w:rPr>
        <w:instrText xml:space="preserve"> TOC \o "1-1" \h \z \t "Heading 2,2,Section heading,1" </w:instrText>
      </w:r>
      <w:r>
        <w:rPr>
          <w:b/>
        </w:rPr>
        <w:fldChar w:fldCharType="separate"/>
      </w:r>
      <w:hyperlink w:anchor="_Toc109996643" w:history="1">
        <w:r w:rsidR="008811FC" w:rsidRPr="00297248">
          <w:rPr>
            <w:rStyle w:val="Hyperlink"/>
            <w:noProof/>
          </w:rPr>
          <w:t>1.</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Introduction</w:t>
        </w:r>
        <w:r w:rsidR="008811FC">
          <w:rPr>
            <w:noProof/>
            <w:webHidden/>
          </w:rPr>
          <w:tab/>
        </w:r>
        <w:r w:rsidR="008811FC">
          <w:rPr>
            <w:noProof/>
            <w:webHidden/>
          </w:rPr>
          <w:fldChar w:fldCharType="begin"/>
        </w:r>
        <w:r w:rsidR="008811FC">
          <w:rPr>
            <w:noProof/>
            <w:webHidden/>
          </w:rPr>
          <w:instrText xml:space="preserve"> PAGEREF _Toc109996643 \h </w:instrText>
        </w:r>
        <w:r w:rsidR="008811FC">
          <w:rPr>
            <w:noProof/>
            <w:webHidden/>
          </w:rPr>
        </w:r>
        <w:r w:rsidR="008811FC">
          <w:rPr>
            <w:noProof/>
            <w:webHidden/>
          </w:rPr>
          <w:fldChar w:fldCharType="separate"/>
        </w:r>
        <w:r w:rsidR="003C4BC2">
          <w:rPr>
            <w:noProof/>
            <w:webHidden/>
          </w:rPr>
          <w:t>1</w:t>
        </w:r>
        <w:r w:rsidR="008811FC">
          <w:rPr>
            <w:noProof/>
            <w:webHidden/>
          </w:rPr>
          <w:fldChar w:fldCharType="end"/>
        </w:r>
      </w:hyperlink>
    </w:p>
    <w:p w14:paraId="5895096E" w14:textId="617A33F2" w:rsidR="008811FC" w:rsidRDefault="00A61B29">
      <w:pPr>
        <w:pStyle w:val="TOC2"/>
        <w:rPr>
          <w:rFonts w:asciiTheme="minorHAnsi" w:eastAsiaTheme="minorEastAsia" w:hAnsiTheme="minorHAnsi" w:cstheme="minorBidi"/>
          <w:noProof/>
          <w:color w:val="auto"/>
          <w:sz w:val="22"/>
          <w:lang w:eastAsia="en-AU"/>
        </w:rPr>
      </w:pPr>
      <w:hyperlink w:anchor="_Toc109996644" w:history="1">
        <w:r w:rsidR="008811FC" w:rsidRPr="00297248">
          <w:rPr>
            <w:rStyle w:val="Hyperlink"/>
            <w:noProof/>
          </w:rPr>
          <w:t>Overview of the HCH trial</w:t>
        </w:r>
        <w:r w:rsidR="008811FC">
          <w:rPr>
            <w:noProof/>
            <w:webHidden/>
          </w:rPr>
          <w:tab/>
        </w:r>
        <w:r w:rsidR="008811FC">
          <w:rPr>
            <w:noProof/>
            <w:webHidden/>
          </w:rPr>
          <w:fldChar w:fldCharType="begin"/>
        </w:r>
        <w:r w:rsidR="008811FC">
          <w:rPr>
            <w:noProof/>
            <w:webHidden/>
          </w:rPr>
          <w:instrText xml:space="preserve"> PAGEREF _Toc109996644 \h </w:instrText>
        </w:r>
        <w:r w:rsidR="008811FC">
          <w:rPr>
            <w:noProof/>
            <w:webHidden/>
          </w:rPr>
        </w:r>
        <w:r w:rsidR="008811FC">
          <w:rPr>
            <w:noProof/>
            <w:webHidden/>
          </w:rPr>
          <w:fldChar w:fldCharType="separate"/>
        </w:r>
        <w:r w:rsidR="003C4BC2">
          <w:rPr>
            <w:noProof/>
            <w:webHidden/>
          </w:rPr>
          <w:t>1</w:t>
        </w:r>
        <w:r w:rsidR="008811FC">
          <w:rPr>
            <w:noProof/>
            <w:webHidden/>
          </w:rPr>
          <w:fldChar w:fldCharType="end"/>
        </w:r>
      </w:hyperlink>
    </w:p>
    <w:p w14:paraId="6897A92F" w14:textId="160A7937" w:rsidR="008811FC" w:rsidRDefault="00A61B29">
      <w:pPr>
        <w:pStyle w:val="TOC2"/>
        <w:rPr>
          <w:rFonts w:asciiTheme="minorHAnsi" w:eastAsiaTheme="minorEastAsia" w:hAnsiTheme="minorHAnsi" w:cstheme="minorBidi"/>
          <w:noProof/>
          <w:color w:val="auto"/>
          <w:sz w:val="22"/>
          <w:lang w:eastAsia="en-AU"/>
        </w:rPr>
      </w:pPr>
      <w:hyperlink w:anchor="_Toc109996645" w:history="1">
        <w:r w:rsidR="008811FC" w:rsidRPr="00297248">
          <w:rPr>
            <w:rStyle w:val="Hyperlink"/>
            <w:noProof/>
          </w:rPr>
          <w:t>Overview of the evaluation</w:t>
        </w:r>
        <w:r w:rsidR="008811FC">
          <w:rPr>
            <w:noProof/>
            <w:webHidden/>
          </w:rPr>
          <w:tab/>
        </w:r>
        <w:r w:rsidR="008811FC">
          <w:rPr>
            <w:noProof/>
            <w:webHidden/>
          </w:rPr>
          <w:fldChar w:fldCharType="begin"/>
        </w:r>
        <w:r w:rsidR="008811FC">
          <w:rPr>
            <w:noProof/>
            <w:webHidden/>
          </w:rPr>
          <w:instrText xml:space="preserve"> PAGEREF _Toc109996645 \h </w:instrText>
        </w:r>
        <w:r w:rsidR="008811FC">
          <w:rPr>
            <w:noProof/>
            <w:webHidden/>
          </w:rPr>
        </w:r>
        <w:r w:rsidR="008811FC">
          <w:rPr>
            <w:noProof/>
            <w:webHidden/>
          </w:rPr>
          <w:fldChar w:fldCharType="separate"/>
        </w:r>
        <w:r w:rsidR="003C4BC2">
          <w:rPr>
            <w:noProof/>
            <w:webHidden/>
          </w:rPr>
          <w:t>4</w:t>
        </w:r>
        <w:r w:rsidR="008811FC">
          <w:rPr>
            <w:noProof/>
            <w:webHidden/>
          </w:rPr>
          <w:fldChar w:fldCharType="end"/>
        </w:r>
      </w:hyperlink>
    </w:p>
    <w:p w14:paraId="1D426351" w14:textId="6160C1E5" w:rsidR="008811FC" w:rsidRDefault="00A61B29">
      <w:pPr>
        <w:pStyle w:val="TOC2"/>
        <w:rPr>
          <w:rFonts w:asciiTheme="minorHAnsi" w:eastAsiaTheme="minorEastAsia" w:hAnsiTheme="minorHAnsi" w:cstheme="minorBidi"/>
          <w:noProof/>
          <w:color w:val="auto"/>
          <w:sz w:val="22"/>
          <w:lang w:eastAsia="en-AU"/>
        </w:rPr>
      </w:pPr>
      <w:hyperlink w:anchor="_Toc109996646" w:history="1">
        <w:r w:rsidR="008811FC" w:rsidRPr="00297248">
          <w:rPr>
            <w:rStyle w:val="Hyperlink"/>
            <w:noProof/>
          </w:rPr>
          <w:t>Evaluation design</w:t>
        </w:r>
        <w:r w:rsidR="008811FC">
          <w:rPr>
            <w:noProof/>
            <w:webHidden/>
          </w:rPr>
          <w:tab/>
        </w:r>
        <w:r w:rsidR="008811FC">
          <w:rPr>
            <w:noProof/>
            <w:webHidden/>
          </w:rPr>
          <w:fldChar w:fldCharType="begin"/>
        </w:r>
        <w:r w:rsidR="008811FC">
          <w:rPr>
            <w:noProof/>
            <w:webHidden/>
          </w:rPr>
          <w:instrText xml:space="preserve"> PAGEREF _Toc109996646 \h </w:instrText>
        </w:r>
        <w:r w:rsidR="008811FC">
          <w:rPr>
            <w:noProof/>
            <w:webHidden/>
          </w:rPr>
        </w:r>
        <w:r w:rsidR="008811FC">
          <w:rPr>
            <w:noProof/>
            <w:webHidden/>
          </w:rPr>
          <w:fldChar w:fldCharType="separate"/>
        </w:r>
        <w:r w:rsidR="003C4BC2">
          <w:rPr>
            <w:noProof/>
            <w:webHidden/>
          </w:rPr>
          <w:t>5</w:t>
        </w:r>
        <w:r w:rsidR="008811FC">
          <w:rPr>
            <w:noProof/>
            <w:webHidden/>
          </w:rPr>
          <w:fldChar w:fldCharType="end"/>
        </w:r>
      </w:hyperlink>
    </w:p>
    <w:p w14:paraId="16E8DBD7" w14:textId="5F20DFE7" w:rsidR="008811FC" w:rsidRDefault="00A61B29">
      <w:pPr>
        <w:pStyle w:val="TOC2"/>
        <w:rPr>
          <w:rFonts w:asciiTheme="minorHAnsi" w:eastAsiaTheme="minorEastAsia" w:hAnsiTheme="minorHAnsi" w:cstheme="minorBidi"/>
          <w:noProof/>
          <w:color w:val="auto"/>
          <w:sz w:val="22"/>
          <w:lang w:eastAsia="en-AU"/>
        </w:rPr>
      </w:pPr>
      <w:hyperlink w:anchor="_Toc109996647" w:history="1">
        <w:r w:rsidR="008811FC" w:rsidRPr="00297248">
          <w:rPr>
            <w:rStyle w:val="Hyperlink"/>
            <w:noProof/>
          </w:rPr>
          <w:t>Program theory</w:t>
        </w:r>
        <w:r w:rsidR="008811FC">
          <w:rPr>
            <w:noProof/>
            <w:webHidden/>
          </w:rPr>
          <w:tab/>
        </w:r>
        <w:r w:rsidR="008811FC">
          <w:rPr>
            <w:noProof/>
            <w:webHidden/>
          </w:rPr>
          <w:fldChar w:fldCharType="begin"/>
        </w:r>
        <w:r w:rsidR="008811FC">
          <w:rPr>
            <w:noProof/>
            <w:webHidden/>
          </w:rPr>
          <w:instrText xml:space="preserve"> PAGEREF _Toc109996647 \h </w:instrText>
        </w:r>
        <w:r w:rsidR="008811FC">
          <w:rPr>
            <w:noProof/>
            <w:webHidden/>
          </w:rPr>
        </w:r>
        <w:r w:rsidR="008811FC">
          <w:rPr>
            <w:noProof/>
            <w:webHidden/>
          </w:rPr>
          <w:fldChar w:fldCharType="separate"/>
        </w:r>
        <w:r w:rsidR="003C4BC2">
          <w:rPr>
            <w:noProof/>
            <w:webHidden/>
          </w:rPr>
          <w:t>7</w:t>
        </w:r>
        <w:r w:rsidR="008811FC">
          <w:rPr>
            <w:noProof/>
            <w:webHidden/>
          </w:rPr>
          <w:fldChar w:fldCharType="end"/>
        </w:r>
      </w:hyperlink>
    </w:p>
    <w:p w14:paraId="7E469088" w14:textId="602A97A0" w:rsidR="008811FC" w:rsidRDefault="00A61B29">
      <w:pPr>
        <w:pStyle w:val="TOC1"/>
        <w:rPr>
          <w:rFonts w:asciiTheme="minorHAnsi" w:eastAsiaTheme="minorEastAsia" w:hAnsiTheme="minorHAnsi" w:cstheme="minorBidi"/>
          <w:i w:val="0"/>
          <w:noProof/>
          <w:color w:val="auto"/>
          <w:sz w:val="22"/>
          <w:lang w:val="en-AU" w:eastAsia="en-AU"/>
        </w:rPr>
      </w:pPr>
      <w:hyperlink w:anchor="_Toc109996648" w:history="1">
        <w:r w:rsidR="008811FC" w:rsidRPr="00297248">
          <w:rPr>
            <w:rStyle w:val="Hyperlink"/>
            <w:noProof/>
          </w:rPr>
          <w:t>2.</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HCH practices</w:t>
        </w:r>
        <w:r w:rsidR="008811FC">
          <w:rPr>
            <w:noProof/>
            <w:webHidden/>
          </w:rPr>
          <w:tab/>
        </w:r>
        <w:r w:rsidR="008811FC">
          <w:rPr>
            <w:noProof/>
            <w:webHidden/>
          </w:rPr>
          <w:fldChar w:fldCharType="begin"/>
        </w:r>
        <w:r w:rsidR="008811FC">
          <w:rPr>
            <w:noProof/>
            <w:webHidden/>
          </w:rPr>
          <w:instrText xml:space="preserve"> PAGEREF _Toc109996648 \h </w:instrText>
        </w:r>
        <w:r w:rsidR="008811FC">
          <w:rPr>
            <w:noProof/>
            <w:webHidden/>
          </w:rPr>
        </w:r>
        <w:r w:rsidR="008811FC">
          <w:rPr>
            <w:noProof/>
            <w:webHidden/>
          </w:rPr>
          <w:fldChar w:fldCharType="separate"/>
        </w:r>
        <w:r w:rsidR="003C4BC2">
          <w:rPr>
            <w:noProof/>
            <w:webHidden/>
          </w:rPr>
          <w:t>9</w:t>
        </w:r>
        <w:r w:rsidR="008811FC">
          <w:rPr>
            <w:noProof/>
            <w:webHidden/>
          </w:rPr>
          <w:fldChar w:fldCharType="end"/>
        </w:r>
      </w:hyperlink>
    </w:p>
    <w:p w14:paraId="7423B1E8" w14:textId="0E79213F" w:rsidR="008811FC" w:rsidRDefault="00A61B29">
      <w:pPr>
        <w:pStyle w:val="TOC2"/>
        <w:rPr>
          <w:rFonts w:asciiTheme="minorHAnsi" w:eastAsiaTheme="minorEastAsia" w:hAnsiTheme="minorHAnsi" w:cstheme="minorBidi"/>
          <w:noProof/>
          <w:color w:val="auto"/>
          <w:sz w:val="22"/>
          <w:lang w:eastAsia="en-AU"/>
        </w:rPr>
      </w:pPr>
      <w:hyperlink w:anchor="_Toc109996649" w:history="1">
        <w:r w:rsidR="008811FC" w:rsidRPr="00297248">
          <w:rPr>
            <w:rStyle w:val="Hyperlink"/>
            <w:noProof/>
          </w:rPr>
          <w:t>Reasons for practices withdrawing</w:t>
        </w:r>
        <w:r w:rsidR="008811FC">
          <w:rPr>
            <w:noProof/>
            <w:webHidden/>
          </w:rPr>
          <w:tab/>
        </w:r>
        <w:r w:rsidR="008811FC">
          <w:rPr>
            <w:noProof/>
            <w:webHidden/>
          </w:rPr>
          <w:fldChar w:fldCharType="begin"/>
        </w:r>
        <w:r w:rsidR="008811FC">
          <w:rPr>
            <w:noProof/>
            <w:webHidden/>
          </w:rPr>
          <w:instrText xml:space="preserve"> PAGEREF _Toc109996649 \h </w:instrText>
        </w:r>
        <w:r w:rsidR="008811FC">
          <w:rPr>
            <w:noProof/>
            <w:webHidden/>
          </w:rPr>
        </w:r>
        <w:r w:rsidR="008811FC">
          <w:rPr>
            <w:noProof/>
            <w:webHidden/>
          </w:rPr>
          <w:fldChar w:fldCharType="separate"/>
        </w:r>
        <w:r w:rsidR="003C4BC2">
          <w:rPr>
            <w:noProof/>
            <w:webHidden/>
          </w:rPr>
          <w:t>12</w:t>
        </w:r>
        <w:r w:rsidR="008811FC">
          <w:rPr>
            <w:noProof/>
            <w:webHidden/>
          </w:rPr>
          <w:fldChar w:fldCharType="end"/>
        </w:r>
      </w:hyperlink>
    </w:p>
    <w:p w14:paraId="186CFEE7" w14:textId="24C7C087" w:rsidR="008811FC" w:rsidRDefault="00A61B29">
      <w:pPr>
        <w:pStyle w:val="TOC1"/>
        <w:rPr>
          <w:rFonts w:asciiTheme="minorHAnsi" w:eastAsiaTheme="minorEastAsia" w:hAnsiTheme="minorHAnsi" w:cstheme="minorBidi"/>
          <w:i w:val="0"/>
          <w:noProof/>
          <w:color w:val="auto"/>
          <w:sz w:val="22"/>
          <w:lang w:val="en-AU" w:eastAsia="en-AU"/>
        </w:rPr>
      </w:pPr>
      <w:hyperlink w:anchor="_Toc109996650" w:history="1">
        <w:r w:rsidR="008811FC" w:rsidRPr="00297248">
          <w:rPr>
            <w:rStyle w:val="Hyperlink"/>
            <w:noProof/>
          </w:rPr>
          <w:t>3.</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HCH patients</w:t>
        </w:r>
        <w:r w:rsidR="008811FC">
          <w:rPr>
            <w:noProof/>
            <w:webHidden/>
          </w:rPr>
          <w:tab/>
        </w:r>
        <w:r w:rsidR="008811FC">
          <w:rPr>
            <w:noProof/>
            <w:webHidden/>
          </w:rPr>
          <w:fldChar w:fldCharType="begin"/>
        </w:r>
        <w:r w:rsidR="008811FC">
          <w:rPr>
            <w:noProof/>
            <w:webHidden/>
          </w:rPr>
          <w:instrText xml:space="preserve"> PAGEREF _Toc109996650 \h </w:instrText>
        </w:r>
        <w:r w:rsidR="008811FC">
          <w:rPr>
            <w:noProof/>
            <w:webHidden/>
          </w:rPr>
        </w:r>
        <w:r w:rsidR="008811FC">
          <w:rPr>
            <w:noProof/>
            <w:webHidden/>
          </w:rPr>
          <w:fldChar w:fldCharType="separate"/>
        </w:r>
        <w:r w:rsidR="003C4BC2">
          <w:rPr>
            <w:noProof/>
            <w:webHidden/>
          </w:rPr>
          <w:t>15</w:t>
        </w:r>
        <w:r w:rsidR="008811FC">
          <w:rPr>
            <w:noProof/>
            <w:webHidden/>
          </w:rPr>
          <w:fldChar w:fldCharType="end"/>
        </w:r>
      </w:hyperlink>
    </w:p>
    <w:p w14:paraId="287BB3DE" w14:textId="7711872B" w:rsidR="008811FC" w:rsidRDefault="00A61B29">
      <w:pPr>
        <w:pStyle w:val="TOC2"/>
        <w:rPr>
          <w:rFonts w:asciiTheme="minorHAnsi" w:eastAsiaTheme="minorEastAsia" w:hAnsiTheme="minorHAnsi" w:cstheme="minorBidi"/>
          <w:noProof/>
          <w:color w:val="auto"/>
          <w:sz w:val="22"/>
          <w:lang w:eastAsia="en-AU"/>
        </w:rPr>
      </w:pPr>
      <w:hyperlink w:anchor="_Toc109996651" w:history="1">
        <w:r w:rsidR="008811FC" w:rsidRPr="00297248">
          <w:rPr>
            <w:rStyle w:val="Hyperlink"/>
            <w:noProof/>
          </w:rPr>
          <w:t>Tier changes</w:t>
        </w:r>
        <w:r w:rsidR="008811FC">
          <w:rPr>
            <w:noProof/>
            <w:webHidden/>
          </w:rPr>
          <w:tab/>
        </w:r>
        <w:r w:rsidR="008811FC">
          <w:rPr>
            <w:noProof/>
            <w:webHidden/>
          </w:rPr>
          <w:fldChar w:fldCharType="begin"/>
        </w:r>
        <w:r w:rsidR="008811FC">
          <w:rPr>
            <w:noProof/>
            <w:webHidden/>
          </w:rPr>
          <w:instrText xml:space="preserve"> PAGEREF _Toc109996651 \h </w:instrText>
        </w:r>
        <w:r w:rsidR="008811FC">
          <w:rPr>
            <w:noProof/>
            <w:webHidden/>
          </w:rPr>
        </w:r>
        <w:r w:rsidR="008811FC">
          <w:rPr>
            <w:noProof/>
            <w:webHidden/>
          </w:rPr>
          <w:fldChar w:fldCharType="separate"/>
        </w:r>
        <w:r w:rsidR="003C4BC2">
          <w:rPr>
            <w:noProof/>
            <w:webHidden/>
          </w:rPr>
          <w:t>17</w:t>
        </w:r>
        <w:r w:rsidR="008811FC">
          <w:rPr>
            <w:noProof/>
            <w:webHidden/>
          </w:rPr>
          <w:fldChar w:fldCharType="end"/>
        </w:r>
      </w:hyperlink>
    </w:p>
    <w:p w14:paraId="2CB01E39" w14:textId="7B05F5AC" w:rsidR="008811FC" w:rsidRDefault="00A61B29">
      <w:pPr>
        <w:pStyle w:val="TOC2"/>
        <w:rPr>
          <w:rFonts w:asciiTheme="minorHAnsi" w:eastAsiaTheme="minorEastAsia" w:hAnsiTheme="minorHAnsi" w:cstheme="minorBidi"/>
          <w:noProof/>
          <w:color w:val="auto"/>
          <w:sz w:val="22"/>
          <w:lang w:eastAsia="en-AU"/>
        </w:rPr>
      </w:pPr>
      <w:hyperlink w:anchor="_Toc109996652" w:history="1">
        <w:r w:rsidR="008811FC" w:rsidRPr="00297248">
          <w:rPr>
            <w:rStyle w:val="Hyperlink"/>
            <w:noProof/>
          </w:rPr>
          <w:t>Patient withdrawals</w:t>
        </w:r>
        <w:r w:rsidR="008811FC">
          <w:rPr>
            <w:noProof/>
            <w:webHidden/>
          </w:rPr>
          <w:tab/>
        </w:r>
        <w:r w:rsidR="008811FC">
          <w:rPr>
            <w:noProof/>
            <w:webHidden/>
          </w:rPr>
          <w:fldChar w:fldCharType="begin"/>
        </w:r>
        <w:r w:rsidR="008811FC">
          <w:rPr>
            <w:noProof/>
            <w:webHidden/>
          </w:rPr>
          <w:instrText xml:space="preserve"> PAGEREF _Toc109996652 \h </w:instrText>
        </w:r>
        <w:r w:rsidR="008811FC">
          <w:rPr>
            <w:noProof/>
            <w:webHidden/>
          </w:rPr>
        </w:r>
        <w:r w:rsidR="008811FC">
          <w:rPr>
            <w:noProof/>
            <w:webHidden/>
          </w:rPr>
          <w:fldChar w:fldCharType="separate"/>
        </w:r>
        <w:r w:rsidR="003C4BC2">
          <w:rPr>
            <w:noProof/>
            <w:webHidden/>
          </w:rPr>
          <w:t>17</w:t>
        </w:r>
        <w:r w:rsidR="008811FC">
          <w:rPr>
            <w:noProof/>
            <w:webHidden/>
          </w:rPr>
          <w:fldChar w:fldCharType="end"/>
        </w:r>
      </w:hyperlink>
    </w:p>
    <w:p w14:paraId="7B842AA0" w14:textId="7FCE1819" w:rsidR="008811FC" w:rsidRDefault="00A61B29">
      <w:pPr>
        <w:pStyle w:val="TOC1"/>
        <w:rPr>
          <w:rFonts w:asciiTheme="minorHAnsi" w:eastAsiaTheme="minorEastAsia" w:hAnsiTheme="minorHAnsi" w:cstheme="minorBidi"/>
          <w:i w:val="0"/>
          <w:noProof/>
          <w:color w:val="auto"/>
          <w:sz w:val="22"/>
          <w:lang w:val="en-AU" w:eastAsia="en-AU"/>
        </w:rPr>
      </w:pPr>
      <w:hyperlink w:anchor="_Toc109996653" w:history="1">
        <w:r w:rsidR="008811FC" w:rsidRPr="00297248">
          <w:rPr>
            <w:rStyle w:val="Hyperlink"/>
            <w:noProof/>
          </w:rPr>
          <w:t>Key evaluation question 1: How was the HCH model implemented and what were the barriers and enablers?</w:t>
        </w:r>
        <w:r w:rsidR="008811FC">
          <w:rPr>
            <w:noProof/>
            <w:webHidden/>
          </w:rPr>
          <w:tab/>
        </w:r>
        <w:r w:rsidR="008811FC">
          <w:rPr>
            <w:noProof/>
            <w:webHidden/>
          </w:rPr>
          <w:fldChar w:fldCharType="begin"/>
        </w:r>
        <w:r w:rsidR="008811FC">
          <w:rPr>
            <w:noProof/>
            <w:webHidden/>
          </w:rPr>
          <w:instrText xml:space="preserve"> PAGEREF _Toc109996653 \h </w:instrText>
        </w:r>
        <w:r w:rsidR="008811FC">
          <w:rPr>
            <w:noProof/>
            <w:webHidden/>
          </w:rPr>
        </w:r>
        <w:r w:rsidR="008811FC">
          <w:rPr>
            <w:noProof/>
            <w:webHidden/>
          </w:rPr>
          <w:fldChar w:fldCharType="separate"/>
        </w:r>
        <w:r w:rsidR="003C4BC2">
          <w:rPr>
            <w:noProof/>
            <w:webHidden/>
          </w:rPr>
          <w:t>20</w:t>
        </w:r>
        <w:r w:rsidR="008811FC">
          <w:rPr>
            <w:noProof/>
            <w:webHidden/>
          </w:rPr>
          <w:fldChar w:fldCharType="end"/>
        </w:r>
      </w:hyperlink>
    </w:p>
    <w:p w14:paraId="186425A0" w14:textId="54BCA117" w:rsidR="008811FC" w:rsidRDefault="00A61B29">
      <w:pPr>
        <w:pStyle w:val="TOC1"/>
        <w:rPr>
          <w:rFonts w:asciiTheme="minorHAnsi" w:eastAsiaTheme="minorEastAsia" w:hAnsiTheme="minorHAnsi" w:cstheme="minorBidi"/>
          <w:i w:val="0"/>
          <w:noProof/>
          <w:color w:val="auto"/>
          <w:sz w:val="22"/>
          <w:lang w:val="en-AU" w:eastAsia="en-AU"/>
        </w:rPr>
      </w:pPr>
      <w:hyperlink w:anchor="_Toc109996654" w:history="1">
        <w:r w:rsidR="008811FC" w:rsidRPr="00297248">
          <w:rPr>
            <w:rStyle w:val="Hyperlink"/>
            <w:noProof/>
          </w:rPr>
          <w:t>4.</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HCH trial initiation</w:t>
        </w:r>
        <w:r w:rsidR="008811FC">
          <w:rPr>
            <w:noProof/>
            <w:webHidden/>
          </w:rPr>
          <w:tab/>
        </w:r>
        <w:r w:rsidR="008811FC">
          <w:rPr>
            <w:noProof/>
            <w:webHidden/>
          </w:rPr>
          <w:fldChar w:fldCharType="begin"/>
        </w:r>
        <w:r w:rsidR="008811FC">
          <w:rPr>
            <w:noProof/>
            <w:webHidden/>
          </w:rPr>
          <w:instrText xml:space="preserve"> PAGEREF _Toc109996654 \h </w:instrText>
        </w:r>
        <w:r w:rsidR="008811FC">
          <w:rPr>
            <w:noProof/>
            <w:webHidden/>
          </w:rPr>
        </w:r>
        <w:r w:rsidR="008811FC">
          <w:rPr>
            <w:noProof/>
            <w:webHidden/>
          </w:rPr>
          <w:fldChar w:fldCharType="separate"/>
        </w:r>
        <w:r w:rsidR="003C4BC2">
          <w:rPr>
            <w:noProof/>
            <w:webHidden/>
          </w:rPr>
          <w:t>21</w:t>
        </w:r>
        <w:r w:rsidR="008811FC">
          <w:rPr>
            <w:noProof/>
            <w:webHidden/>
          </w:rPr>
          <w:fldChar w:fldCharType="end"/>
        </w:r>
      </w:hyperlink>
    </w:p>
    <w:p w14:paraId="55043B5F" w14:textId="47EE55ED" w:rsidR="008811FC" w:rsidRDefault="00A61B29">
      <w:pPr>
        <w:pStyle w:val="TOC2"/>
        <w:rPr>
          <w:rFonts w:asciiTheme="minorHAnsi" w:eastAsiaTheme="minorEastAsia" w:hAnsiTheme="minorHAnsi" w:cstheme="minorBidi"/>
          <w:noProof/>
          <w:color w:val="auto"/>
          <w:sz w:val="22"/>
          <w:lang w:eastAsia="en-AU"/>
        </w:rPr>
      </w:pPr>
      <w:hyperlink w:anchor="_Toc109996655" w:history="1">
        <w:r w:rsidR="008811FC" w:rsidRPr="00297248">
          <w:rPr>
            <w:rStyle w:val="Hyperlink"/>
            <w:rFonts w:eastAsia="Muli"/>
            <w:noProof/>
          </w:rPr>
          <w:t>Background</w:t>
        </w:r>
        <w:r w:rsidR="008811FC">
          <w:rPr>
            <w:noProof/>
            <w:webHidden/>
          </w:rPr>
          <w:tab/>
        </w:r>
        <w:r w:rsidR="008811FC">
          <w:rPr>
            <w:noProof/>
            <w:webHidden/>
          </w:rPr>
          <w:fldChar w:fldCharType="begin"/>
        </w:r>
        <w:r w:rsidR="008811FC">
          <w:rPr>
            <w:noProof/>
            <w:webHidden/>
          </w:rPr>
          <w:instrText xml:space="preserve"> PAGEREF _Toc109996655 \h </w:instrText>
        </w:r>
        <w:r w:rsidR="008811FC">
          <w:rPr>
            <w:noProof/>
            <w:webHidden/>
          </w:rPr>
        </w:r>
        <w:r w:rsidR="008811FC">
          <w:rPr>
            <w:noProof/>
            <w:webHidden/>
          </w:rPr>
          <w:fldChar w:fldCharType="separate"/>
        </w:r>
        <w:r w:rsidR="003C4BC2">
          <w:rPr>
            <w:noProof/>
            <w:webHidden/>
          </w:rPr>
          <w:t>21</w:t>
        </w:r>
        <w:r w:rsidR="008811FC">
          <w:rPr>
            <w:noProof/>
            <w:webHidden/>
          </w:rPr>
          <w:fldChar w:fldCharType="end"/>
        </w:r>
      </w:hyperlink>
    </w:p>
    <w:p w14:paraId="1E6699F5" w14:textId="05411A0B" w:rsidR="008811FC" w:rsidRDefault="00A61B29">
      <w:pPr>
        <w:pStyle w:val="TOC2"/>
        <w:rPr>
          <w:rFonts w:asciiTheme="minorHAnsi" w:eastAsiaTheme="minorEastAsia" w:hAnsiTheme="minorHAnsi" w:cstheme="minorBidi"/>
          <w:noProof/>
          <w:color w:val="auto"/>
          <w:sz w:val="22"/>
          <w:lang w:eastAsia="en-AU"/>
        </w:rPr>
      </w:pPr>
      <w:hyperlink w:anchor="_Toc109996656" w:history="1">
        <w:r w:rsidR="008811FC" w:rsidRPr="00297248">
          <w:rPr>
            <w:rStyle w:val="Hyperlink"/>
            <w:rFonts w:eastAsia="Muli"/>
            <w:noProof/>
          </w:rPr>
          <w:t>Practice selection</w:t>
        </w:r>
        <w:r w:rsidR="008811FC">
          <w:rPr>
            <w:noProof/>
            <w:webHidden/>
          </w:rPr>
          <w:tab/>
        </w:r>
        <w:r w:rsidR="008811FC">
          <w:rPr>
            <w:noProof/>
            <w:webHidden/>
          </w:rPr>
          <w:fldChar w:fldCharType="begin"/>
        </w:r>
        <w:r w:rsidR="008811FC">
          <w:rPr>
            <w:noProof/>
            <w:webHidden/>
          </w:rPr>
          <w:instrText xml:space="preserve"> PAGEREF _Toc109996656 \h </w:instrText>
        </w:r>
        <w:r w:rsidR="008811FC">
          <w:rPr>
            <w:noProof/>
            <w:webHidden/>
          </w:rPr>
        </w:r>
        <w:r w:rsidR="008811FC">
          <w:rPr>
            <w:noProof/>
            <w:webHidden/>
          </w:rPr>
          <w:fldChar w:fldCharType="separate"/>
        </w:r>
        <w:r w:rsidR="003C4BC2">
          <w:rPr>
            <w:noProof/>
            <w:webHidden/>
          </w:rPr>
          <w:t>23</w:t>
        </w:r>
        <w:r w:rsidR="008811FC">
          <w:rPr>
            <w:noProof/>
            <w:webHidden/>
          </w:rPr>
          <w:fldChar w:fldCharType="end"/>
        </w:r>
      </w:hyperlink>
    </w:p>
    <w:p w14:paraId="612D1BCD" w14:textId="251766EF" w:rsidR="008811FC" w:rsidRDefault="00A61B29">
      <w:pPr>
        <w:pStyle w:val="TOC2"/>
        <w:rPr>
          <w:rFonts w:asciiTheme="minorHAnsi" w:eastAsiaTheme="minorEastAsia" w:hAnsiTheme="minorHAnsi" w:cstheme="minorBidi"/>
          <w:noProof/>
          <w:color w:val="auto"/>
          <w:sz w:val="22"/>
          <w:lang w:eastAsia="en-AU"/>
        </w:rPr>
      </w:pPr>
      <w:hyperlink w:anchor="_Toc109996657" w:history="1">
        <w:r w:rsidR="008811FC" w:rsidRPr="00297248">
          <w:rPr>
            <w:rStyle w:val="Hyperlink"/>
            <w:noProof/>
          </w:rPr>
          <w:t>Program governance</w:t>
        </w:r>
        <w:r w:rsidR="008811FC">
          <w:rPr>
            <w:noProof/>
            <w:webHidden/>
          </w:rPr>
          <w:tab/>
        </w:r>
        <w:r w:rsidR="008811FC">
          <w:rPr>
            <w:noProof/>
            <w:webHidden/>
          </w:rPr>
          <w:fldChar w:fldCharType="begin"/>
        </w:r>
        <w:r w:rsidR="008811FC">
          <w:rPr>
            <w:noProof/>
            <w:webHidden/>
          </w:rPr>
          <w:instrText xml:space="preserve"> PAGEREF _Toc109996657 \h </w:instrText>
        </w:r>
        <w:r w:rsidR="008811FC">
          <w:rPr>
            <w:noProof/>
            <w:webHidden/>
          </w:rPr>
        </w:r>
        <w:r w:rsidR="008811FC">
          <w:rPr>
            <w:noProof/>
            <w:webHidden/>
          </w:rPr>
          <w:fldChar w:fldCharType="separate"/>
        </w:r>
        <w:r w:rsidR="003C4BC2">
          <w:rPr>
            <w:noProof/>
            <w:webHidden/>
          </w:rPr>
          <w:t>24</w:t>
        </w:r>
        <w:r w:rsidR="008811FC">
          <w:rPr>
            <w:noProof/>
            <w:webHidden/>
          </w:rPr>
          <w:fldChar w:fldCharType="end"/>
        </w:r>
      </w:hyperlink>
    </w:p>
    <w:p w14:paraId="1A907279" w14:textId="33E58D21" w:rsidR="008811FC" w:rsidRDefault="00A61B29">
      <w:pPr>
        <w:pStyle w:val="TOC2"/>
        <w:rPr>
          <w:rFonts w:asciiTheme="minorHAnsi" w:eastAsiaTheme="minorEastAsia" w:hAnsiTheme="minorHAnsi" w:cstheme="minorBidi"/>
          <w:noProof/>
          <w:color w:val="auto"/>
          <w:sz w:val="22"/>
          <w:lang w:eastAsia="en-AU"/>
        </w:rPr>
      </w:pPr>
      <w:hyperlink w:anchor="_Toc109996658" w:history="1">
        <w:r w:rsidR="008811FC" w:rsidRPr="00297248">
          <w:rPr>
            <w:rStyle w:val="Hyperlink"/>
            <w:rFonts w:eastAsia="Muli"/>
            <w:noProof/>
          </w:rPr>
          <w:t>Program infrastructure</w:t>
        </w:r>
        <w:r w:rsidR="008811FC">
          <w:rPr>
            <w:noProof/>
            <w:webHidden/>
          </w:rPr>
          <w:tab/>
        </w:r>
        <w:r w:rsidR="008811FC">
          <w:rPr>
            <w:noProof/>
            <w:webHidden/>
          </w:rPr>
          <w:fldChar w:fldCharType="begin"/>
        </w:r>
        <w:r w:rsidR="008811FC">
          <w:rPr>
            <w:noProof/>
            <w:webHidden/>
          </w:rPr>
          <w:instrText xml:space="preserve"> PAGEREF _Toc109996658 \h </w:instrText>
        </w:r>
        <w:r w:rsidR="008811FC">
          <w:rPr>
            <w:noProof/>
            <w:webHidden/>
          </w:rPr>
        </w:r>
        <w:r w:rsidR="008811FC">
          <w:rPr>
            <w:noProof/>
            <w:webHidden/>
          </w:rPr>
          <w:fldChar w:fldCharType="separate"/>
        </w:r>
        <w:r w:rsidR="003C4BC2">
          <w:rPr>
            <w:noProof/>
            <w:webHidden/>
          </w:rPr>
          <w:t>25</w:t>
        </w:r>
        <w:r w:rsidR="008811FC">
          <w:rPr>
            <w:noProof/>
            <w:webHidden/>
          </w:rPr>
          <w:fldChar w:fldCharType="end"/>
        </w:r>
      </w:hyperlink>
    </w:p>
    <w:p w14:paraId="32844E1F" w14:textId="005C27B8" w:rsidR="008811FC" w:rsidRDefault="00A61B29">
      <w:pPr>
        <w:pStyle w:val="TOC2"/>
        <w:rPr>
          <w:rFonts w:asciiTheme="minorHAnsi" w:eastAsiaTheme="minorEastAsia" w:hAnsiTheme="minorHAnsi" w:cstheme="minorBidi"/>
          <w:noProof/>
          <w:color w:val="auto"/>
          <w:sz w:val="22"/>
          <w:lang w:eastAsia="en-AU"/>
        </w:rPr>
      </w:pPr>
      <w:hyperlink w:anchor="_Toc109996659" w:history="1">
        <w:r w:rsidR="008811FC" w:rsidRPr="00297248">
          <w:rPr>
            <w:rStyle w:val="Hyperlink"/>
            <w:noProof/>
          </w:rPr>
          <w:t>HCH assurance and compliance</w:t>
        </w:r>
        <w:r w:rsidR="008811FC">
          <w:rPr>
            <w:noProof/>
            <w:webHidden/>
          </w:rPr>
          <w:tab/>
        </w:r>
        <w:r w:rsidR="008811FC">
          <w:rPr>
            <w:noProof/>
            <w:webHidden/>
          </w:rPr>
          <w:fldChar w:fldCharType="begin"/>
        </w:r>
        <w:r w:rsidR="008811FC">
          <w:rPr>
            <w:noProof/>
            <w:webHidden/>
          </w:rPr>
          <w:instrText xml:space="preserve"> PAGEREF _Toc109996659 \h </w:instrText>
        </w:r>
        <w:r w:rsidR="008811FC">
          <w:rPr>
            <w:noProof/>
            <w:webHidden/>
          </w:rPr>
        </w:r>
        <w:r w:rsidR="008811FC">
          <w:rPr>
            <w:noProof/>
            <w:webHidden/>
          </w:rPr>
          <w:fldChar w:fldCharType="separate"/>
        </w:r>
        <w:r w:rsidR="003C4BC2">
          <w:rPr>
            <w:noProof/>
            <w:webHidden/>
          </w:rPr>
          <w:t>28</w:t>
        </w:r>
        <w:r w:rsidR="008811FC">
          <w:rPr>
            <w:noProof/>
            <w:webHidden/>
          </w:rPr>
          <w:fldChar w:fldCharType="end"/>
        </w:r>
      </w:hyperlink>
    </w:p>
    <w:p w14:paraId="18B5BDA7" w14:textId="5A7E2868" w:rsidR="008811FC" w:rsidRDefault="00A61B29">
      <w:pPr>
        <w:pStyle w:val="TOC1"/>
        <w:rPr>
          <w:rFonts w:asciiTheme="minorHAnsi" w:eastAsiaTheme="minorEastAsia" w:hAnsiTheme="minorHAnsi" w:cstheme="minorBidi"/>
          <w:i w:val="0"/>
          <w:noProof/>
          <w:color w:val="auto"/>
          <w:sz w:val="22"/>
          <w:lang w:val="en-AU" w:eastAsia="en-AU"/>
        </w:rPr>
      </w:pPr>
      <w:hyperlink w:anchor="_Toc109996660" w:history="1">
        <w:r w:rsidR="008811FC" w:rsidRPr="00297248">
          <w:rPr>
            <w:rStyle w:val="Hyperlink"/>
            <w:noProof/>
          </w:rPr>
          <w:t>5.</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Training and support</w:t>
        </w:r>
        <w:r w:rsidR="008811FC">
          <w:rPr>
            <w:noProof/>
            <w:webHidden/>
          </w:rPr>
          <w:tab/>
        </w:r>
        <w:r w:rsidR="008811FC">
          <w:rPr>
            <w:noProof/>
            <w:webHidden/>
          </w:rPr>
          <w:fldChar w:fldCharType="begin"/>
        </w:r>
        <w:r w:rsidR="008811FC">
          <w:rPr>
            <w:noProof/>
            <w:webHidden/>
          </w:rPr>
          <w:instrText xml:space="preserve"> PAGEREF _Toc109996660 \h </w:instrText>
        </w:r>
        <w:r w:rsidR="008811FC">
          <w:rPr>
            <w:noProof/>
            <w:webHidden/>
          </w:rPr>
        </w:r>
        <w:r w:rsidR="008811FC">
          <w:rPr>
            <w:noProof/>
            <w:webHidden/>
          </w:rPr>
          <w:fldChar w:fldCharType="separate"/>
        </w:r>
        <w:r w:rsidR="003C4BC2">
          <w:rPr>
            <w:noProof/>
            <w:webHidden/>
          </w:rPr>
          <w:t>32</w:t>
        </w:r>
        <w:r w:rsidR="008811FC">
          <w:rPr>
            <w:noProof/>
            <w:webHidden/>
          </w:rPr>
          <w:fldChar w:fldCharType="end"/>
        </w:r>
      </w:hyperlink>
    </w:p>
    <w:p w14:paraId="0F396099" w14:textId="34F0074A" w:rsidR="008811FC" w:rsidRDefault="00A61B29">
      <w:pPr>
        <w:pStyle w:val="TOC1"/>
        <w:rPr>
          <w:rFonts w:asciiTheme="minorHAnsi" w:eastAsiaTheme="minorEastAsia" w:hAnsiTheme="minorHAnsi" w:cstheme="minorBidi"/>
          <w:i w:val="0"/>
          <w:noProof/>
          <w:color w:val="auto"/>
          <w:sz w:val="22"/>
          <w:lang w:val="en-AU" w:eastAsia="en-AU"/>
        </w:rPr>
      </w:pPr>
      <w:hyperlink w:anchor="_Toc109996661" w:history="1">
        <w:r w:rsidR="008811FC" w:rsidRPr="00297248">
          <w:rPr>
            <w:rStyle w:val="Hyperlink"/>
            <w:noProof/>
          </w:rPr>
          <w:t>6.</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Risk stratification</w:t>
        </w:r>
        <w:r w:rsidR="008811FC">
          <w:rPr>
            <w:noProof/>
            <w:webHidden/>
          </w:rPr>
          <w:tab/>
        </w:r>
        <w:r w:rsidR="008811FC">
          <w:rPr>
            <w:noProof/>
            <w:webHidden/>
          </w:rPr>
          <w:fldChar w:fldCharType="begin"/>
        </w:r>
        <w:r w:rsidR="008811FC">
          <w:rPr>
            <w:noProof/>
            <w:webHidden/>
          </w:rPr>
          <w:instrText xml:space="preserve"> PAGEREF _Toc109996661 \h </w:instrText>
        </w:r>
        <w:r w:rsidR="008811FC">
          <w:rPr>
            <w:noProof/>
            <w:webHidden/>
          </w:rPr>
        </w:r>
        <w:r w:rsidR="008811FC">
          <w:rPr>
            <w:noProof/>
            <w:webHidden/>
          </w:rPr>
          <w:fldChar w:fldCharType="separate"/>
        </w:r>
        <w:r w:rsidR="003C4BC2">
          <w:rPr>
            <w:noProof/>
            <w:webHidden/>
          </w:rPr>
          <w:t>39</w:t>
        </w:r>
        <w:r w:rsidR="008811FC">
          <w:rPr>
            <w:noProof/>
            <w:webHidden/>
          </w:rPr>
          <w:fldChar w:fldCharType="end"/>
        </w:r>
      </w:hyperlink>
    </w:p>
    <w:p w14:paraId="273B9883" w14:textId="7D46AEF5" w:rsidR="008811FC" w:rsidRDefault="00A61B29">
      <w:pPr>
        <w:pStyle w:val="TOC2"/>
        <w:rPr>
          <w:rFonts w:asciiTheme="minorHAnsi" w:eastAsiaTheme="minorEastAsia" w:hAnsiTheme="minorHAnsi" w:cstheme="minorBidi"/>
          <w:noProof/>
          <w:color w:val="auto"/>
          <w:sz w:val="22"/>
          <w:lang w:eastAsia="en-AU"/>
        </w:rPr>
      </w:pPr>
      <w:hyperlink w:anchor="_Toc109996662" w:history="1">
        <w:r w:rsidR="008811FC" w:rsidRPr="00297248">
          <w:rPr>
            <w:rStyle w:val="Hyperlink"/>
            <w:noProof/>
          </w:rPr>
          <w:t>Software implementation</w:t>
        </w:r>
        <w:r w:rsidR="008811FC">
          <w:rPr>
            <w:noProof/>
            <w:webHidden/>
          </w:rPr>
          <w:tab/>
        </w:r>
        <w:r w:rsidR="008811FC">
          <w:rPr>
            <w:noProof/>
            <w:webHidden/>
          </w:rPr>
          <w:fldChar w:fldCharType="begin"/>
        </w:r>
        <w:r w:rsidR="008811FC">
          <w:rPr>
            <w:noProof/>
            <w:webHidden/>
          </w:rPr>
          <w:instrText xml:space="preserve"> PAGEREF _Toc109996662 \h </w:instrText>
        </w:r>
        <w:r w:rsidR="008811FC">
          <w:rPr>
            <w:noProof/>
            <w:webHidden/>
          </w:rPr>
        </w:r>
        <w:r w:rsidR="008811FC">
          <w:rPr>
            <w:noProof/>
            <w:webHidden/>
          </w:rPr>
          <w:fldChar w:fldCharType="separate"/>
        </w:r>
        <w:r w:rsidR="003C4BC2">
          <w:rPr>
            <w:noProof/>
            <w:webHidden/>
          </w:rPr>
          <w:t>41</w:t>
        </w:r>
        <w:r w:rsidR="008811FC">
          <w:rPr>
            <w:noProof/>
            <w:webHidden/>
          </w:rPr>
          <w:fldChar w:fldCharType="end"/>
        </w:r>
      </w:hyperlink>
    </w:p>
    <w:p w14:paraId="3456A5A5" w14:textId="3762FD1C" w:rsidR="008811FC" w:rsidRDefault="00A61B29">
      <w:pPr>
        <w:pStyle w:val="TOC2"/>
        <w:rPr>
          <w:rFonts w:asciiTheme="minorHAnsi" w:eastAsiaTheme="minorEastAsia" w:hAnsiTheme="minorHAnsi" w:cstheme="minorBidi"/>
          <w:noProof/>
          <w:color w:val="auto"/>
          <w:sz w:val="22"/>
          <w:lang w:eastAsia="en-AU"/>
        </w:rPr>
      </w:pPr>
      <w:hyperlink w:anchor="_Toc109996663" w:history="1">
        <w:r w:rsidR="008811FC" w:rsidRPr="00297248">
          <w:rPr>
            <w:rStyle w:val="Hyperlink"/>
            <w:noProof/>
          </w:rPr>
          <w:t>Predictive risk model (PRM)</w:t>
        </w:r>
        <w:r w:rsidR="008811FC">
          <w:rPr>
            <w:noProof/>
            <w:webHidden/>
          </w:rPr>
          <w:tab/>
        </w:r>
        <w:r w:rsidR="008811FC">
          <w:rPr>
            <w:noProof/>
            <w:webHidden/>
          </w:rPr>
          <w:fldChar w:fldCharType="begin"/>
        </w:r>
        <w:r w:rsidR="008811FC">
          <w:rPr>
            <w:noProof/>
            <w:webHidden/>
          </w:rPr>
          <w:instrText xml:space="preserve"> PAGEREF _Toc109996663 \h </w:instrText>
        </w:r>
        <w:r w:rsidR="008811FC">
          <w:rPr>
            <w:noProof/>
            <w:webHidden/>
          </w:rPr>
        </w:r>
        <w:r w:rsidR="008811FC">
          <w:rPr>
            <w:noProof/>
            <w:webHidden/>
          </w:rPr>
          <w:fldChar w:fldCharType="separate"/>
        </w:r>
        <w:r w:rsidR="003C4BC2">
          <w:rPr>
            <w:noProof/>
            <w:webHidden/>
          </w:rPr>
          <w:t>42</w:t>
        </w:r>
        <w:r w:rsidR="008811FC">
          <w:rPr>
            <w:noProof/>
            <w:webHidden/>
          </w:rPr>
          <w:fldChar w:fldCharType="end"/>
        </w:r>
      </w:hyperlink>
    </w:p>
    <w:p w14:paraId="7B1D6C6D" w14:textId="4AA27B9E" w:rsidR="008811FC" w:rsidRDefault="00A61B29">
      <w:pPr>
        <w:pStyle w:val="TOC2"/>
        <w:rPr>
          <w:rFonts w:asciiTheme="minorHAnsi" w:eastAsiaTheme="minorEastAsia" w:hAnsiTheme="minorHAnsi" w:cstheme="minorBidi"/>
          <w:noProof/>
          <w:color w:val="auto"/>
          <w:sz w:val="22"/>
          <w:lang w:eastAsia="en-AU"/>
        </w:rPr>
      </w:pPr>
      <w:hyperlink w:anchor="_Toc109996664" w:history="1">
        <w:r w:rsidR="008811FC" w:rsidRPr="00297248">
          <w:rPr>
            <w:rStyle w:val="Hyperlink"/>
            <w:noProof/>
          </w:rPr>
          <w:t>HARP assessment</w:t>
        </w:r>
        <w:r w:rsidR="008811FC">
          <w:rPr>
            <w:noProof/>
            <w:webHidden/>
          </w:rPr>
          <w:tab/>
        </w:r>
        <w:r w:rsidR="008811FC">
          <w:rPr>
            <w:noProof/>
            <w:webHidden/>
          </w:rPr>
          <w:fldChar w:fldCharType="begin"/>
        </w:r>
        <w:r w:rsidR="008811FC">
          <w:rPr>
            <w:noProof/>
            <w:webHidden/>
          </w:rPr>
          <w:instrText xml:space="preserve"> PAGEREF _Toc109996664 \h </w:instrText>
        </w:r>
        <w:r w:rsidR="008811FC">
          <w:rPr>
            <w:noProof/>
            <w:webHidden/>
          </w:rPr>
        </w:r>
        <w:r w:rsidR="008811FC">
          <w:rPr>
            <w:noProof/>
            <w:webHidden/>
          </w:rPr>
          <w:fldChar w:fldCharType="separate"/>
        </w:r>
        <w:r w:rsidR="003C4BC2">
          <w:rPr>
            <w:noProof/>
            <w:webHidden/>
          </w:rPr>
          <w:t>42</w:t>
        </w:r>
        <w:r w:rsidR="008811FC">
          <w:rPr>
            <w:noProof/>
            <w:webHidden/>
          </w:rPr>
          <w:fldChar w:fldCharType="end"/>
        </w:r>
      </w:hyperlink>
    </w:p>
    <w:p w14:paraId="32D5885C" w14:textId="379B4A43" w:rsidR="008811FC" w:rsidRDefault="00A61B29">
      <w:pPr>
        <w:pStyle w:val="TOC2"/>
        <w:rPr>
          <w:rFonts w:asciiTheme="minorHAnsi" w:eastAsiaTheme="minorEastAsia" w:hAnsiTheme="minorHAnsi" w:cstheme="minorBidi"/>
          <w:noProof/>
          <w:color w:val="auto"/>
          <w:sz w:val="22"/>
          <w:lang w:eastAsia="en-AU"/>
        </w:rPr>
      </w:pPr>
      <w:hyperlink w:anchor="_Toc109996665" w:history="1">
        <w:r w:rsidR="008811FC" w:rsidRPr="00297248">
          <w:rPr>
            <w:rStyle w:val="Hyperlink"/>
            <w:noProof/>
          </w:rPr>
          <w:t>Review of tier allocation</w:t>
        </w:r>
        <w:r w:rsidR="008811FC">
          <w:rPr>
            <w:noProof/>
            <w:webHidden/>
          </w:rPr>
          <w:tab/>
        </w:r>
        <w:r w:rsidR="008811FC">
          <w:rPr>
            <w:noProof/>
            <w:webHidden/>
          </w:rPr>
          <w:fldChar w:fldCharType="begin"/>
        </w:r>
        <w:r w:rsidR="008811FC">
          <w:rPr>
            <w:noProof/>
            <w:webHidden/>
          </w:rPr>
          <w:instrText xml:space="preserve"> PAGEREF _Toc109996665 \h </w:instrText>
        </w:r>
        <w:r w:rsidR="008811FC">
          <w:rPr>
            <w:noProof/>
            <w:webHidden/>
          </w:rPr>
        </w:r>
        <w:r w:rsidR="008811FC">
          <w:rPr>
            <w:noProof/>
            <w:webHidden/>
          </w:rPr>
          <w:fldChar w:fldCharType="separate"/>
        </w:r>
        <w:r w:rsidR="003C4BC2">
          <w:rPr>
            <w:noProof/>
            <w:webHidden/>
          </w:rPr>
          <w:t>45</w:t>
        </w:r>
        <w:r w:rsidR="008811FC">
          <w:rPr>
            <w:noProof/>
            <w:webHidden/>
          </w:rPr>
          <w:fldChar w:fldCharType="end"/>
        </w:r>
      </w:hyperlink>
    </w:p>
    <w:p w14:paraId="44DD0784" w14:textId="5D0521CB" w:rsidR="008811FC" w:rsidRDefault="00A61B29">
      <w:pPr>
        <w:pStyle w:val="TOC2"/>
        <w:rPr>
          <w:rFonts w:asciiTheme="minorHAnsi" w:eastAsiaTheme="minorEastAsia" w:hAnsiTheme="minorHAnsi" w:cstheme="minorBidi"/>
          <w:noProof/>
          <w:color w:val="auto"/>
          <w:sz w:val="22"/>
          <w:lang w:eastAsia="en-AU"/>
        </w:rPr>
      </w:pPr>
      <w:hyperlink w:anchor="_Toc109996666" w:history="1">
        <w:r w:rsidR="008811FC" w:rsidRPr="00297248">
          <w:rPr>
            <w:rStyle w:val="Hyperlink"/>
            <w:noProof/>
          </w:rPr>
          <w:t>Training on the RST</w:t>
        </w:r>
        <w:r w:rsidR="008811FC">
          <w:rPr>
            <w:noProof/>
            <w:webHidden/>
          </w:rPr>
          <w:tab/>
        </w:r>
        <w:r w:rsidR="008811FC">
          <w:rPr>
            <w:noProof/>
            <w:webHidden/>
          </w:rPr>
          <w:fldChar w:fldCharType="begin"/>
        </w:r>
        <w:r w:rsidR="008811FC">
          <w:rPr>
            <w:noProof/>
            <w:webHidden/>
          </w:rPr>
          <w:instrText xml:space="preserve"> PAGEREF _Toc109996666 \h </w:instrText>
        </w:r>
        <w:r w:rsidR="008811FC">
          <w:rPr>
            <w:noProof/>
            <w:webHidden/>
          </w:rPr>
        </w:r>
        <w:r w:rsidR="008811FC">
          <w:rPr>
            <w:noProof/>
            <w:webHidden/>
          </w:rPr>
          <w:fldChar w:fldCharType="separate"/>
        </w:r>
        <w:r w:rsidR="003C4BC2">
          <w:rPr>
            <w:noProof/>
            <w:webHidden/>
          </w:rPr>
          <w:t>48</w:t>
        </w:r>
        <w:r w:rsidR="008811FC">
          <w:rPr>
            <w:noProof/>
            <w:webHidden/>
          </w:rPr>
          <w:fldChar w:fldCharType="end"/>
        </w:r>
      </w:hyperlink>
    </w:p>
    <w:p w14:paraId="6E76217A" w14:textId="5C514E8D" w:rsidR="008811FC" w:rsidRDefault="00A61B29">
      <w:pPr>
        <w:pStyle w:val="TOC2"/>
        <w:rPr>
          <w:rFonts w:asciiTheme="minorHAnsi" w:eastAsiaTheme="minorEastAsia" w:hAnsiTheme="minorHAnsi" w:cstheme="minorBidi"/>
          <w:noProof/>
          <w:color w:val="auto"/>
          <w:sz w:val="22"/>
          <w:lang w:eastAsia="en-AU"/>
        </w:rPr>
      </w:pPr>
      <w:hyperlink w:anchor="_Toc109996667" w:history="1">
        <w:r w:rsidR="008811FC" w:rsidRPr="00297248">
          <w:rPr>
            <w:rStyle w:val="Hyperlink"/>
            <w:noProof/>
          </w:rPr>
          <w:t>Analysis of data from the tool</w:t>
        </w:r>
        <w:r w:rsidR="008811FC">
          <w:rPr>
            <w:noProof/>
            <w:webHidden/>
          </w:rPr>
          <w:tab/>
        </w:r>
        <w:r w:rsidR="008811FC">
          <w:rPr>
            <w:noProof/>
            <w:webHidden/>
          </w:rPr>
          <w:fldChar w:fldCharType="begin"/>
        </w:r>
        <w:r w:rsidR="008811FC">
          <w:rPr>
            <w:noProof/>
            <w:webHidden/>
          </w:rPr>
          <w:instrText xml:space="preserve"> PAGEREF _Toc109996667 \h </w:instrText>
        </w:r>
        <w:r w:rsidR="008811FC">
          <w:rPr>
            <w:noProof/>
            <w:webHidden/>
          </w:rPr>
        </w:r>
        <w:r w:rsidR="008811FC">
          <w:rPr>
            <w:noProof/>
            <w:webHidden/>
          </w:rPr>
          <w:fldChar w:fldCharType="separate"/>
        </w:r>
        <w:r w:rsidR="003C4BC2">
          <w:rPr>
            <w:noProof/>
            <w:webHidden/>
          </w:rPr>
          <w:t>49</w:t>
        </w:r>
        <w:r w:rsidR="008811FC">
          <w:rPr>
            <w:noProof/>
            <w:webHidden/>
          </w:rPr>
          <w:fldChar w:fldCharType="end"/>
        </w:r>
      </w:hyperlink>
    </w:p>
    <w:p w14:paraId="44EF2CF2" w14:textId="3AAA6FB8" w:rsidR="008811FC" w:rsidRDefault="00A61B29">
      <w:pPr>
        <w:pStyle w:val="TOC1"/>
        <w:rPr>
          <w:rFonts w:asciiTheme="minorHAnsi" w:eastAsiaTheme="minorEastAsia" w:hAnsiTheme="minorHAnsi" w:cstheme="minorBidi"/>
          <w:i w:val="0"/>
          <w:noProof/>
          <w:color w:val="auto"/>
          <w:sz w:val="22"/>
          <w:lang w:val="en-AU" w:eastAsia="en-AU"/>
        </w:rPr>
      </w:pPr>
      <w:hyperlink w:anchor="_Toc109996668" w:history="1">
        <w:r w:rsidR="008811FC" w:rsidRPr="00297248">
          <w:rPr>
            <w:rStyle w:val="Hyperlink"/>
            <w:noProof/>
          </w:rPr>
          <w:t>7.</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Patient enrolment</w:t>
        </w:r>
        <w:r w:rsidR="008811FC">
          <w:rPr>
            <w:noProof/>
            <w:webHidden/>
          </w:rPr>
          <w:tab/>
        </w:r>
        <w:r w:rsidR="008811FC">
          <w:rPr>
            <w:noProof/>
            <w:webHidden/>
          </w:rPr>
          <w:fldChar w:fldCharType="begin"/>
        </w:r>
        <w:r w:rsidR="008811FC">
          <w:rPr>
            <w:noProof/>
            <w:webHidden/>
          </w:rPr>
          <w:instrText xml:space="preserve"> PAGEREF _Toc109996668 \h </w:instrText>
        </w:r>
        <w:r w:rsidR="008811FC">
          <w:rPr>
            <w:noProof/>
            <w:webHidden/>
          </w:rPr>
        </w:r>
        <w:r w:rsidR="008811FC">
          <w:rPr>
            <w:noProof/>
            <w:webHidden/>
          </w:rPr>
          <w:fldChar w:fldCharType="separate"/>
        </w:r>
        <w:r w:rsidR="003C4BC2">
          <w:rPr>
            <w:noProof/>
            <w:webHidden/>
          </w:rPr>
          <w:t>52</w:t>
        </w:r>
        <w:r w:rsidR="008811FC">
          <w:rPr>
            <w:noProof/>
            <w:webHidden/>
          </w:rPr>
          <w:fldChar w:fldCharType="end"/>
        </w:r>
      </w:hyperlink>
    </w:p>
    <w:p w14:paraId="269C21D9" w14:textId="2E8E23A5" w:rsidR="008811FC" w:rsidRDefault="00A61B29">
      <w:pPr>
        <w:pStyle w:val="TOC2"/>
        <w:rPr>
          <w:rFonts w:asciiTheme="minorHAnsi" w:eastAsiaTheme="minorEastAsia" w:hAnsiTheme="minorHAnsi" w:cstheme="minorBidi"/>
          <w:noProof/>
          <w:color w:val="auto"/>
          <w:sz w:val="22"/>
          <w:lang w:eastAsia="en-AU"/>
        </w:rPr>
      </w:pPr>
      <w:hyperlink w:anchor="_Toc109996669" w:history="1">
        <w:r w:rsidR="008811FC" w:rsidRPr="00297248">
          <w:rPr>
            <w:rStyle w:val="Hyperlink"/>
            <w:noProof/>
          </w:rPr>
          <w:t>Overview of the enrolment process</w:t>
        </w:r>
        <w:r w:rsidR="008811FC">
          <w:rPr>
            <w:noProof/>
            <w:webHidden/>
          </w:rPr>
          <w:tab/>
        </w:r>
        <w:r w:rsidR="008811FC">
          <w:rPr>
            <w:noProof/>
            <w:webHidden/>
          </w:rPr>
          <w:fldChar w:fldCharType="begin"/>
        </w:r>
        <w:r w:rsidR="008811FC">
          <w:rPr>
            <w:noProof/>
            <w:webHidden/>
          </w:rPr>
          <w:instrText xml:space="preserve"> PAGEREF _Toc109996669 \h </w:instrText>
        </w:r>
        <w:r w:rsidR="008811FC">
          <w:rPr>
            <w:noProof/>
            <w:webHidden/>
          </w:rPr>
        </w:r>
        <w:r w:rsidR="008811FC">
          <w:rPr>
            <w:noProof/>
            <w:webHidden/>
          </w:rPr>
          <w:fldChar w:fldCharType="separate"/>
        </w:r>
        <w:r w:rsidR="003C4BC2">
          <w:rPr>
            <w:noProof/>
            <w:webHidden/>
          </w:rPr>
          <w:t>53</w:t>
        </w:r>
        <w:r w:rsidR="008811FC">
          <w:rPr>
            <w:noProof/>
            <w:webHidden/>
          </w:rPr>
          <w:fldChar w:fldCharType="end"/>
        </w:r>
      </w:hyperlink>
    </w:p>
    <w:p w14:paraId="4ECB44D1" w14:textId="215C62A6" w:rsidR="008811FC" w:rsidRDefault="00A61B29">
      <w:pPr>
        <w:pStyle w:val="TOC2"/>
        <w:rPr>
          <w:rFonts w:asciiTheme="minorHAnsi" w:eastAsiaTheme="minorEastAsia" w:hAnsiTheme="minorHAnsi" w:cstheme="minorBidi"/>
          <w:noProof/>
          <w:color w:val="auto"/>
          <w:sz w:val="22"/>
          <w:lang w:eastAsia="en-AU"/>
        </w:rPr>
      </w:pPr>
      <w:hyperlink w:anchor="_Toc109996670" w:history="1">
        <w:r w:rsidR="008811FC" w:rsidRPr="00297248">
          <w:rPr>
            <w:rStyle w:val="Hyperlink"/>
            <w:noProof/>
          </w:rPr>
          <w:t>Practice experiences with enrolment</w:t>
        </w:r>
        <w:r w:rsidR="008811FC">
          <w:rPr>
            <w:noProof/>
            <w:webHidden/>
          </w:rPr>
          <w:tab/>
        </w:r>
        <w:r w:rsidR="008811FC">
          <w:rPr>
            <w:noProof/>
            <w:webHidden/>
          </w:rPr>
          <w:fldChar w:fldCharType="begin"/>
        </w:r>
        <w:r w:rsidR="008811FC">
          <w:rPr>
            <w:noProof/>
            <w:webHidden/>
          </w:rPr>
          <w:instrText xml:space="preserve"> PAGEREF _Toc109996670 \h </w:instrText>
        </w:r>
        <w:r w:rsidR="008811FC">
          <w:rPr>
            <w:noProof/>
            <w:webHidden/>
          </w:rPr>
        </w:r>
        <w:r w:rsidR="008811FC">
          <w:rPr>
            <w:noProof/>
            <w:webHidden/>
          </w:rPr>
          <w:fldChar w:fldCharType="separate"/>
        </w:r>
        <w:r w:rsidR="003C4BC2">
          <w:rPr>
            <w:noProof/>
            <w:webHidden/>
          </w:rPr>
          <w:t>54</w:t>
        </w:r>
        <w:r w:rsidR="008811FC">
          <w:rPr>
            <w:noProof/>
            <w:webHidden/>
          </w:rPr>
          <w:fldChar w:fldCharType="end"/>
        </w:r>
      </w:hyperlink>
    </w:p>
    <w:p w14:paraId="671BEE99" w14:textId="10215C59" w:rsidR="008811FC" w:rsidRDefault="00A61B29">
      <w:pPr>
        <w:pStyle w:val="TOC2"/>
        <w:rPr>
          <w:rFonts w:asciiTheme="minorHAnsi" w:eastAsiaTheme="minorEastAsia" w:hAnsiTheme="minorHAnsi" w:cstheme="minorBidi"/>
          <w:noProof/>
          <w:color w:val="auto"/>
          <w:sz w:val="22"/>
          <w:lang w:eastAsia="en-AU"/>
        </w:rPr>
      </w:pPr>
      <w:hyperlink w:anchor="_Toc109996671" w:history="1">
        <w:r w:rsidR="008811FC" w:rsidRPr="00297248">
          <w:rPr>
            <w:rStyle w:val="Hyperlink"/>
            <w:noProof/>
          </w:rPr>
          <w:t>Suggestions to improve enrolment</w:t>
        </w:r>
        <w:r w:rsidR="008811FC">
          <w:rPr>
            <w:noProof/>
            <w:webHidden/>
          </w:rPr>
          <w:tab/>
        </w:r>
        <w:r w:rsidR="008811FC">
          <w:rPr>
            <w:noProof/>
            <w:webHidden/>
          </w:rPr>
          <w:fldChar w:fldCharType="begin"/>
        </w:r>
        <w:r w:rsidR="008811FC">
          <w:rPr>
            <w:noProof/>
            <w:webHidden/>
          </w:rPr>
          <w:instrText xml:space="preserve"> PAGEREF _Toc109996671 \h </w:instrText>
        </w:r>
        <w:r w:rsidR="008811FC">
          <w:rPr>
            <w:noProof/>
            <w:webHidden/>
          </w:rPr>
        </w:r>
        <w:r w:rsidR="008811FC">
          <w:rPr>
            <w:noProof/>
            <w:webHidden/>
          </w:rPr>
          <w:fldChar w:fldCharType="separate"/>
        </w:r>
        <w:r w:rsidR="003C4BC2">
          <w:rPr>
            <w:noProof/>
            <w:webHidden/>
          </w:rPr>
          <w:t>61</w:t>
        </w:r>
        <w:r w:rsidR="008811FC">
          <w:rPr>
            <w:noProof/>
            <w:webHidden/>
          </w:rPr>
          <w:fldChar w:fldCharType="end"/>
        </w:r>
      </w:hyperlink>
    </w:p>
    <w:p w14:paraId="359D5A45" w14:textId="41284B75" w:rsidR="008811FC" w:rsidRDefault="00A61B29">
      <w:pPr>
        <w:pStyle w:val="TOC1"/>
        <w:rPr>
          <w:rFonts w:asciiTheme="minorHAnsi" w:eastAsiaTheme="minorEastAsia" w:hAnsiTheme="minorHAnsi" w:cstheme="minorBidi"/>
          <w:i w:val="0"/>
          <w:noProof/>
          <w:color w:val="auto"/>
          <w:sz w:val="22"/>
          <w:lang w:val="en-AU" w:eastAsia="en-AU"/>
        </w:rPr>
      </w:pPr>
      <w:hyperlink w:anchor="_Toc109996672" w:history="1">
        <w:r w:rsidR="008811FC" w:rsidRPr="00297248">
          <w:rPr>
            <w:rStyle w:val="Hyperlink"/>
            <w:noProof/>
          </w:rPr>
          <w:t>8.</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Bundled payment</w:t>
        </w:r>
        <w:r w:rsidR="008811FC">
          <w:rPr>
            <w:noProof/>
            <w:webHidden/>
          </w:rPr>
          <w:tab/>
        </w:r>
        <w:r w:rsidR="008811FC">
          <w:rPr>
            <w:noProof/>
            <w:webHidden/>
          </w:rPr>
          <w:fldChar w:fldCharType="begin"/>
        </w:r>
        <w:r w:rsidR="008811FC">
          <w:rPr>
            <w:noProof/>
            <w:webHidden/>
          </w:rPr>
          <w:instrText xml:space="preserve"> PAGEREF _Toc109996672 \h </w:instrText>
        </w:r>
        <w:r w:rsidR="008811FC">
          <w:rPr>
            <w:noProof/>
            <w:webHidden/>
          </w:rPr>
        </w:r>
        <w:r w:rsidR="008811FC">
          <w:rPr>
            <w:noProof/>
            <w:webHidden/>
          </w:rPr>
          <w:fldChar w:fldCharType="separate"/>
        </w:r>
        <w:r w:rsidR="003C4BC2">
          <w:rPr>
            <w:noProof/>
            <w:webHidden/>
          </w:rPr>
          <w:t>62</w:t>
        </w:r>
        <w:r w:rsidR="008811FC">
          <w:rPr>
            <w:noProof/>
            <w:webHidden/>
          </w:rPr>
          <w:fldChar w:fldCharType="end"/>
        </w:r>
      </w:hyperlink>
    </w:p>
    <w:p w14:paraId="709CD81D" w14:textId="52DA13D9" w:rsidR="008811FC" w:rsidRDefault="00A61B29">
      <w:pPr>
        <w:pStyle w:val="TOC2"/>
        <w:rPr>
          <w:rFonts w:asciiTheme="minorHAnsi" w:eastAsiaTheme="minorEastAsia" w:hAnsiTheme="minorHAnsi" w:cstheme="minorBidi"/>
          <w:noProof/>
          <w:color w:val="auto"/>
          <w:sz w:val="22"/>
          <w:lang w:eastAsia="en-AU"/>
        </w:rPr>
      </w:pPr>
      <w:hyperlink w:anchor="_Toc109996673" w:history="1">
        <w:r w:rsidR="008811FC" w:rsidRPr="00297248">
          <w:rPr>
            <w:rStyle w:val="Hyperlink"/>
            <w:noProof/>
          </w:rPr>
          <w:t>Overview</w:t>
        </w:r>
        <w:r w:rsidR="008811FC">
          <w:rPr>
            <w:noProof/>
            <w:webHidden/>
          </w:rPr>
          <w:tab/>
        </w:r>
        <w:r w:rsidR="008811FC">
          <w:rPr>
            <w:noProof/>
            <w:webHidden/>
          </w:rPr>
          <w:fldChar w:fldCharType="begin"/>
        </w:r>
        <w:r w:rsidR="008811FC">
          <w:rPr>
            <w:noProof/>
            <w:webHidden/>
          </w:rPr>
          <w:instrText xml:space="preserve"> PAGEREF _Toc109996673 \h </w:instrText>
        </w:r>
        <w:r w:rsidR="008811FC">
          <w:rPr>
            <w:noProof/>
            <w:webHidden/>
          </w:rPr>
        </w:r>
        <w:r w:rsidR="008811FC">
          <w:rPr>
            <w:noProof/>
            <w:webHidden/>
          </w:rPr>
          <w:fldChar w:fldCharType="separate"/>
        </w:r>
        <w:r w:rsidR="003C4BC2">
          <w:rPr>
            <w:noProof/>
            <w:webHidden/>
          </w:rPr>
          <w:t>63</w:t>
        </w:r>
        <w:r w:rsidR="008811FC">
          <w:rPr>
            <w:noProof/>
            <w:webHidden/>
          </w:rPr>
          <w:fldChar w:fldCharType="end"/>
        </w:r>
      </w:hyperlink>
    </w:p>
    <w:p w14:paraId="4C1BC293" w14:textId="7450C110" w:rsidR="008811FC" w:rsidRDefault="00A61B29">
      <w:pPr>
        <w:pStyle w:val="TOC2"/>
        <w:rPr>
          <w:rFonts w:asciiTheme="minorHAnsi" w:eastAsiaTheme="minorEastAsia" w:hAnsiTheme="minorHAnsi" w:cstheme="minorBidi"/>
          <w:noProof/>
          <w:color w:val="auto"/>
          <w:sz w:val="22"/>
          <w:lang w:eastAsia="en-AU"/>
        </w:rPr>
      </w:pPr>
      <w:hyperlink w:anchor="_Toc109996674" w:history="1">
        <w:r w:rsidR="008811FC" w:rsidRPr="00297248">
          <w:rPr>
            <w:rStyle w:val="Hyperlink"/>
            <w:noProof/>
          </w:rPr>
          <w:t>Practice and PHN perspectives on the bundled payment</w:t>
        </w:r>
        <w:r w:rsidR="008811FC">
          <w:rPr>
            <w:noProof/>
            <w:webHidden/>
          </w:rPr>
          <w:tab/>
        </w:r>
        <w:r w:rsidR="008811FC">
          <w:rPr>
            <w:noProof/>
            <w:webHidden/>
          </w:rPr>
          <w:fldChar w:fldCharType="begin"/>
        </w:r>
        <w:r w:rsidR="008811FC">
          <w:rPr>
            <w:noProof/>
            <w:webHidden/>
          </w:rPr>
          <w:instrText xml:space="preserve"> PAGEREF _Toc109996674 \h </w:instrText>
        </w:r>
        <w:r w:rsidR="008811FC">
          <w:rPr>
            <w:noProof/>
            <w:webHidden/>
          </w:rPr>
        </w:r>
        <w:r w:rsidR="008811FC">
          <w:rPr>
            <w:noProof/>
            <w:webHidden/>
          </w:rPr>
          <w:fldChar w:fldCharType="separate"/>
        </w:r>
        <w:r w:rsidR="003C4BC2">
          <w:rPr>
            <w:noProof/>
            <w:webHidden/>
          </w:rPr>
          <w:t>66</w:t>
        </w:r>
        <w:r w:rsidR="008811FC">
          <w:rPr>
            <w:noProof/>
            <w:webHidden/>
          </w:rPr>
          <w:fldChar w:fldCharType="end"/>
        </w:r>
      </w:hyperlink>
    </w:p>
    <w:p w14:paraId="60046CEC" w14:textId="27E216E5" w:rsidR="008811FC" w:rsidRDefault="00A61B29">
      <w:pPr>
        <w:pStyle w:val="TOC1"/>
        <w:rPr>
          <w:rFonts w:asciiTheme="minorHAnsi" w:eastAsiaTheme="minorEastAsia" w:hAnsiTheme="minorHAnsi" w:cstheme="minorBidi"/>
          <w:i w:val="0"/>
          <w:noProof/>
          <w:color w:val="auto"/>
          <w:sz w:val="22"/>
          <w:lang w:val="en-AU" w:eastAsia="en-AU"/>
        </w:rPr>
      </w:pPr>
      <w:hyperlink w:anchor="_Toc109996675" w:history="1">
        <w:r w:rsidR="008811FC" w:rsidRPr="00297248">
          <w:rPr>
            <w:rStyle w:val="Hyperlink"/>
            <w:noProof/>
          </w:rPr>
          <w:t>Key evaluation question 2: How does the HCH model change the way practices approach chronic disease management?</w:t>
        </w:r>
        <w:r w:rsidR="008811FC">
          <w:rPr>
            <w:noProof/>
            <w:webHidden/>
          </w:rPr>
          <w:tab/>
        </w:r>
        <w:r w:rsidR="008811FC">
          <w:rPr>
            <w:noProof/>
            <w:webHidden/>
          </w:rPr>
          <w:fldChar w:fldCharType="begin"/>
        </w:r>
        <w:r w:rsidR="008811FC">
          <w:rPr>
            <w:noProof/>
            <w:webHidden/>
          </w:rPr>
          <w:instrText xml:space="preserve"> PAGEREF _Toc109996675 \h </w:instrText>
        </w:r>
        <w:r w:rsidR="008811FC">
          <w:rPr>
            <w:noProof/>
            <w:webHidden/>
          </w:rPr>
        </w:r>
        <w:r w:rsidR="008811FC">
          <w:rPr>
            <w:noProof/>
            <w:webHidden/>
          </w:rPr>
          <w:fldChar w:fldCharType="separate"/>
        </w:r>
        <w:r w:rsidR="003C4BC2">
          <w:rPr>
            <w:noProof/>
            <w:webHidden/>
          </w:rPr>
          <w:t>76</w:t>
        </w:r>
        <w:r w:rsidR="008811FC">
          <w:rPr>
            <w:noProof/>
            <w:webHidden/>
          </w:rPr>
          <w:fldChar w:fldCharType="end"/>
        </w:r>
      </w:hyperlink>
    </w:p>
    <w:p w14:paraId="24D38CAD" w14:textId="1CA23421" w:rsidR="008811FC" w:rsidRDefault="00A61B29">
      <w:pPr>
        <w:pStyle w:val="TOC1"/>
        <w:rPr>
          <w:rFonts w:asciiTheme="minorHAnsi" w:eastAsiaTheme="minorEastAsia" w:hAnsiTheme="minorHAnsi" w:cstheme="minorBidi"/>
          <w:i w:val="0"/>
          <w:noProof/>
          <w:color w:val="auto"/>
          <w:sz w:val="22"/>
          <w:lang w:val="en-AU" w:eastAsia="en-AU"/>
        </w:rPr>
      </w:pPr>
      <w:hyperlink w:anchor="_Toc109996676" w:history="1">
        <w:r w:rsidR="008811FC" w:rsidRPr="00297248">
          <w:rPr>
            <w:rStyle w:val="Hyperlink"/>
            <w:noProof/>
          </w:rPr>
          <w:t>9.</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Practice early implementation challenges</w:t>
        </w:r>
        <w:r w:rsidR="008811FC">
          <w:rPr>
            <w:noProof/>
            <w:webHidden/>
          </w:rPr>
          <w:tab/>
        </w:r>
        <w:r w:rsidR="008811FC">
          <w:rPr>
            <w:noProof/>
            <w:webHidden/>
          </w:rPr>
          <w:fldChar w:fldCharType="begin"/>
        </w:r>
        <w:r w:rsidR="008811FC">
          <w:rPr>
            <w:noProof/>
            <w:webHidden/>
          </w:rPr>
          <w:instrText xml:space="preserve"> PAGEREF _Toc109996676 \h </w:instrText>
        </w:r>
        <w:r w:rsidR="008811FC">
          <w:rPr>
            <w:noProof/>
            <w:webHidden/>
          </w:rPr>
        </w:r>
        <w:r w:rsidR="008811FC">
          <w:rPr>
            <w:noProof/>
            <w:webHidden/>
          </w:rPr>
          <w:fldChar w:fldCharType="separate"/>
        </w:r>
        <w:r w:rsidR="003C4BC2">
          <w:rPr>
            <w:noProof/>
            <w:webHidden/>
          </w:rPr>
          <w:t>77</w:t>
        </w:r>
        <w:r w:rsidR="008811FC">
          <w:rPr>
            <w:noProof/>
            <w:webHidden/>
          </w:rPr>
          <w:fldChar w:fldCharType="end"/>
        </w:r>
      </w:hyperlink>
    </w:p>
    <w:p w14:paraId="62C894C0" w14:textId="18AA360D" w:rsidR="008811FC" w:rsidRDefault="00A61B29">
      <w:pPr>
        <w:pStyle w:val="TOC2"/>
        <w:rPr>
          <w:rFonts w:asciiTheme="minorHAnsi" w:eastAsiaTheme="minorEastAsia" w:hAnsiTheme="minorHAnsi" w:cstheme="minorBidi"/>
          <w:noProof/>
          <w:color w:val="auto"/>
          <w:sz w:val="22"/>
          <w:lang w:eastAsia="en-AU"/>
        </w:rPr>
      </w:pPr>
      <w:hyperlink w:anchor="_Toc109996677" w:history="1">
        <w:r w:rsidR="008811FC" w:rsidRPr="00297248">
          <w:rPr>
            <w:rStyle w:val="Hyperlink"/>
            <w:noProof/>
          </w:rPr>
          <w:t>Program timeframes</w:t>
        </w:r>
        <w:r w:rsidR="008811FC">
          <w:rPr>
            <w:noProof/>
            <w:webHidden/>
          </w:rPr>
          <w:tab/>
        </w:r>
        <w:r w:rsidR="008811FC">
          <w:rPr>
            <w:noProof/>
            <w:webHidden/>
          </w:rPr>
          <w:fldChar w:fldCharType="begin"/>
        </w:r>
        <w:r w:rsidR="008811FC">
          <w:rPr>
            <w:noProof/>
            <w:webHidden/>
          </w:rPr>
          <w:instrText xml:space="preserve"> PAGEREF _Toc109996677 \h </w:instrText>
        </w:r>
        <w:r w:rsidR="008811FC">
          <w:rPr>
            <w:noProof/>
            <w:webHidden/>
          </w:rPr>
        </w:r>
        <w:r w:rsidR="008811FC">
          <w:rPr>
            <w:noProof/>
            <w:webHidden/>
          </w:rPr>
          <w:fldChar w:fldCharType="separate"/>
        </w:r>
        <w:r w:rsidR="003C4BC2">
          <w:rPr>
            <w:noProof/>
            <w:webHidden/>
          </w:rPr>
          <w:t>77</w:t>
        </w:r>
        <w:r w:rsidR="008811FC">
          <w:rPr>
            <w:noProof/>
            <w:webHidden/>
          </w:rPr>
          <w:fldChar w:fldCharType="end"/>
        </w:r>
      </w:hyperlink>
    </w:p>
    <w:p w14:paraId="43FF63AA" w14:textId="6C98D531" w:rsidR="008811FC" w:rsidRDefault="00A61B29">
      <w:pPr>
        <w:pStyle w:val="TOC2"/>
        <w:rPr>
          <w:rFonts w:asciiTheme="minorHAnsi" w:eastAsiaTheme="minorEastAsia" w:hAnsiTheme="minorHAnsi" w:cstheme="minorBidi"/>
          <w:noProof/>
          <w:color w:val="auto"/>
          <w:sz w:val="22"/>
          <w:lang w:eastAsia="en-AU"/>
        </w:rPr>
      </w:pPr>
      <w:hyperlink w:anchor="_Toc109996678" w:history="1">
        <w:r w:rsidR="008811FC" w:rsidRPr="00297248">
          <w:rPr>
            <w:rStyle w:val="Hyperlink"/>
            <w:noProof/>
          </w:rPr>
          <w:t>Practice understanding of HCH</w:t>
        </w:r>
        <w:r w:rsidR="008811FC">
          <w:rPr>
            <w:noProof/>
            <w:webHidden/>
          </w:rPr>
          <w:tab/>
        </w:r>
        <w:r w:rsidR="008811FC">
          <w:rPr>
            <w:noProof/>
            <w:webHidden/>
          </w:rPr>
          <w:fldChar w:fldCharType="begin"/>
        </w:r>
        <w:r w:rsidR="008811FC">
          <w:rPr>
            <w:noProof/>
            <w:webHidden/>
          </w:rPr>
          <w:instrText xml:space="preserve"> PAGEREF _Toc109996678 \h </w:instrText>
        </w:r>
        <w:r w:rsidR="008811FC">
          <w:rPr>
            <w:noProof/>
            <w:webHidden/>
          </w:rPr>
        </w:r>
        <w:r w:rsidR="008811FC">
          <w:rPr>
            <w:noProof/>
            <w:webHidden/>
          </w:rPr>
          <w:fldChar w:fldCharType="separate"/>
        </w:r>
        <w:r w:rsidR="003C4BC2">
          <w:rPr>
            <w:noProof/>
            <w:webHidden/>
          </w:rPr>
          <w:t>78</w:t>
        </w:r>
        <w:r w:rsidR="008811FC">
          <w:rPr>
            <w:noProof/>
            <w:webHidden/>
          </w:rPr>
          <w:fldChar w:fldCharType="end"/>
        </w:r>
      </w:hyperlink>
    </w:p>
    <w:p w14:paraId="379F4966" w14:textId="75B0C75C" w:rsidR="008811FC" w:rsidRDefault="00A61B29">
      <w:pPr>
        <w:pStyle w:val="TOC2"/>
        <w:rPr>
          <w:rFonts w:asciiTheme="minorHAnsi" w:eastAsiaTheme="minorEastAsia" w:hAnsiTheme="minorHAnsi" w:cstheme="minorBidi"/>
          <w:noProof/>
          <w:color w:val="auto"/>
          <w:sz w:val="22"/>
          <w:lang w:eastAsia="en-AU"/>
        </w:rPr>
      </w:pPr>
      <w:hyperlink w:anchor="_Toc109996679" w:history="1">
        <w:r w:rsidR="008811FC" w:rsidRPr="00297248">
          <w:rPr>
            <w:rStyle w:val="Hyperlink"/>
            <w:noProof/>
          </w:rPr>
          <w:t>Buy-in from practice staff</w:t>
        </w:r>
        <w:r w:rsidR="008811FC">
          <w:rPr>
            <w:noProof/>
            <w:webHidden/>
          </w:rPr>
          <w:tab/>
        </w:r>
        <w:r w:rsidR="008811FC">
          <w:rPr>
            <w:noProof/>
            <w:webHidden/>
          </w:rPr>
          <w:fldChar w:fldCharType="begin"/>
        </w:r>
        <w:r w:rsidR="008811FC">
          <w:rPr>
            <w:noProof/>
            <w:webHidden/>
          </w:rPr>
          <w:instrText xml:space="preserve"> PAGEREF _Toc109996679 \h </w:instrText>
        </w:r>
        <w:r w:rsidR="008811FC">
          <w:rPr>
            <w:noProof/>
            <w:webHidden/>
          </w:rPr>
        </w:r>
        <w:r w:rsidR="008811FC">
          <w:rPr>
            <w:noProof/>
            <w:webHidden/>
          </w:rPr>
          <w:fldChar w:fldCharType="separate"/>
        </w:r>
        <w:r w:rsidR="003C4BC2">
          <w:rPr>
            <w:noProof/>
            <w:webHidden/>
          </w:rPr>
          <w:t>79</w:t>
        </w:r>
        <w:r w:rsidR="008811FC">
          <w:rPr>
            <w:noProof/>
            <w:webHidden/>
          </w:rPr>
          <w:fldChar w:fldCharType="end"/>
        </w:r>
      </w:hyperlink>
    </w:p>
    <w:p w14:paraId="74CFA352" w14:textId="4E2E5552" w:rsidR="008811FC" w:rsidRDefault="00A61B29">
      <w:pPr>
        <w:pStyle w:val="TOC2"/>
        <w:rPr>
          <w:rFonts w:asciiTheme="minorHAnsi" w:eastAsiaTheme="minorEastAsia" w:hAnsiTheme="minorHAnsi" w:cstheme="minorBidi"/>
          <w:noProof/>
          <w:color w:val="auto"/>
          <w:sz w:val="22"/>
          <w:lang w:eastAsia="en-AU"/>
        </w:rPr>
      </w:pPr>
      <w:hyperlink w:anchor="_Toc109996680" w:history="1">
        <w:r w:rsidR="008811FC" w:rsidRPr="00297248">
          <w:rPr>
            <w:rStyle w:val="Hyperlink"/>
            <w:noProof/>
          </w:rPr>
          <w:t>Information technology</w:t>
        </w:r>
        <w:r w:rsidR="008811FC">
          <w:rPr>
            <w:noProof/>
            <w:webHidden/>
          </w:rPr>
          <w:tab/>
        </w:r>
        <w:r w:rsidR="008811FC">
          <w:rPr>
            <w:noProof/>
            <w:webHidden/>
          </w:rPr>
          <w:fldChar w:fldCharType="begin"/>
        </w:r>
        <w:r w:rsidR="008811FC">
          <w:rPr>
            <w:noProof/>
            <w:webHidden/>
          </w:rPr>
          <w:instrText xml:space="preserve"> PAGEREF _Toc109996680 \h </w:instrText>
        </w:r>
        <w:r w:rsidR="008811FC">
          <w:rPr>
            <w:noProof/>
            <w:webHidden/>
          </w:rPr>
        </w:r>
        <w:r w:rsidR="008811FC">
          <w:rPr>
            <w:noProof/>
            <w:webHidden/>
          </w:rPr>
          <w:fldChar w:fldCharType="separate"/>
        </w:r>
        <w:r w:rsidR="003C4BC2">
          <w:rPr>
            <w:noProof/>
            <w:webHidden/>
          </w:rPr>
          <w:t>80</w:t>
        </w:r>
        <w:r w:rsidR="008811FC">
          <w:rPr>
            <w:noProof/>
            <w:webHidden/>
          </w:rPr>
          <w:fldChar w:fldCharType="end"/>
        </w:r>
      </w:hyperlink>
    </w:p>
    <w:p w14:paraId="5CB975C0" w14:textId="32E1EBE8" w:rsidR="008811FC" w:rsidRDefault="00A61B29">
      <w:pPr>
        <w:pStyle w:val="TOC2"/>
        <w:rPr>
          <w:rFonts w:asciiTheme="minorHAnsi" w:eastAsiaTheme="minorEastAsia" w:hAnsiTheme="minorHAnsi" w:cstheme="minorBidi"/>
          <w:noProof/>
          <w:color w:val="auto"/>
          <w:sz w:val="22"/>
          <w:lang w:eastAsia="en-AU"/>
        </w:rPr>
      </w:pPr>
      <w:hyperlink w:anchor="_Toc109996681" w:history="1">
        <w:r w:rsidR="008811FC" w:rsidRPr="00297248">
          <w:rPr>
            <w:rStyle w:val="Hyperlink"/>
            <w:noProof/>
          </w:rPr>
          <w:t>Concurrent initiatives impacting the HCH trial</w:t>
        </w:r>
        <w:r w:rsidR="008811FC">
          <w:rPr>
            <w:noProof/>
            <w:webHidden/>
          </w:rPr>
          <w:tab/>
        </w:r>
        <w:r w:rsidR="008811FC">
          <w:rPr>
            <w:noProof/>
            <w:webHidden/>
          </w:rPr>
          <w:fldChar w:fldCharType="begin"/>
        </w:r>
        <w:r w:rsidR="008811FC">
          <w:rPr>
            <w:noProof/>
            <w:webHidden/>
          </w:rPr>
          <w:instrText xml:space="preserve"> PAGEREF _Toc109996681 \h </w:instrText>
        </w:r>
        <w:r w:rsidR="008811FC">
          <w:rPr>
            <w:noProof/>
            <w:webHidden/>
          </w:rPr>
        </w:r>
        <w:r w:rsidR="008811FC">
          <w:rPr>
            <w:noProof/>
            <w:webHidden/>
          </w:rPr>
          <w:fldChar w:fldCharType="separate"/>
        </w:r>
        <w:r w:rsidR="003C4BC2">
          <w:rPr>
            <w:noProof/>
            <w:webHidden/>
          </w:rPr>
          <w:t>81</w:t>
        </w:r>
        <w:r w:rsidR="008811FC">
          <w:rPr>
            <w:noProof/>
            <w:webHidden/>
          </w:rPr>
          <w:fldChar w:fldCharType="end"/>
        </w:r>
      </w:hyperlink>
    </w:p>
    <w:p w14:paraId="51E7356B" w14:textId="20BDB3E9" w:rsidR="008811FC" w:rsidRDefault="00A61B29">
      <w:pPr>
        <w:pStyle w:val="TOC1"/>
        <w:rPr>
          <w:rFonts w:asciiTheme="minorHAnsi" w:eastAsiaTheme="minorEastAsia" w:hAnsiTheme="minorHAnsi" w:cstheme="minorBidi"/>
          <w:i w:val="0"/>
          <w:noProof/>
          <w:color w:val="auto"/>
          <w:sz w:val="22"/>
          <w:lang w:val="en-AU" w:eastAsia="en-AU"/>
        </w:rPr>
      </w:pPr>
      <w:hyperlink w:anchor="_Toc109996682" w:history="1">
        <w:r w:rsidR="008811FC" w:rsidRPr="00297248">
          <w:rPr>
            <w:rStyle w:val="Hyperlink"/>
            <w:noProof/>
          </w:rPr>
          <w:t>10.</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Practice model of care changes</w:t>
        </w:r>
        <w:r w:rsidR="008811FC">
          <w:rPr>
            <w:noProof/>
            <w:webHidden/>
          </w:rPr>
          <w:tab/>
        </w:r>
        <w:r w:rsidR="008811FC">
          <w:rPr>
            <w:noProof/>
            <w:webHidden/>
          </w:rPr>
          <w:fldChar w:fldCharType="begin"/>
        </w:r>
        <w:r w:rsidR="008811FC">
          <w:rPr>
            <w:noProof/>
            <w:webHidden/>
          </w:rPr>
          <w:instrText xml:space="preserve"> PAGEREF _Toc109996682 \h </w:instrText>
        </w:r>
        <w:r w:rsidR="008811FC">
          <w:rPr>
            <w:noProof/>
            <w:webHidden/>
          </w:rPr>
        </w:r>
        <w:r w:rsidR="008811FC">
          <w:rPr>
            <w:noProof/>
            <w:webHidden/>
          </w:rPr>
          <w:fldChar w:fldCharType="separate"/>
        </w:r>
        <w:r w:rsidR="003C4BC2">
          <w:rPr>
            <w:noProof/>
            <w:webHidden/>
          </w:rPr>
          <w:t>83</w:t>
        </w:r>
        <w:r w:rsidR="008811FC">
          <w:rPr>
            <w:noProof/>
            <w:webHidden/>
          </w:rPr>
          <w:fldChar w:fldCharType="end"/>
        </w:r>
      </w:hyperlink>
    </w:p>
    <w:p w14:paraId="2DF92E93" w14:textId="5BE78810" w:rsidR="008811FC" w:rsidRDefault="00A61B29">
      <w:pPr>
        <w:pStyle w:val="TOC2"/>
        <w:rPr>
          <w:rFonts w:asciiTheme="minorHAnsi" w:eastAsiaTheme="minorEastAsia" w:hAnsiTheme="minorHAnsi" w:cstheme="minorBidi"/>
          <w:noProof/>
          <w:color w:val="auto"/>
          <w:sz w:val="22"/>
          <w:lang w:eastAsia="en-AU"/>
        </w:rPr>
      </w:pPr>
      <w:hyperlink w:anchor="_Toc109996683" w:history="1">
        <w:r w:rsidR="008811FC" w:rsidRPr="00297248">
          <w:rPr>
            <w:rStyle w:val="Hyperlink"/>
            <w:noProof/>
            <w:lang w:val="en-GB"/>
          </w:rPr>
          <w:t>Practice self-assessment of HCH capabilities</w:t>
        </w:r>
        <w:r w:rsidR="008811FC">
          <w:rPr>
            <w:noProof/>
            <w:webHidden/>
          </w:rPr>
          <w:tab/>
        </w:r>
        <w:r w:rsidR="008811FC">
          <w:rPr>
            <w:noProof/>
            <w:webHidden/>
          </w:rPr>
          <w:fldChar w:fldCharType="begin"/>
        </w:r>
        <w:r w:rsidR="008811FC">
          <w:rPr>
            <w:noProof/>
            <w:webHidden/>
          </w:rPr>
          <w:instrText xml:space="preserve"> PAGEREF _Toc109996683 \h </w:instrText>
        </w:r>
        <w:r w:rsidR="008811FC">
          <w:rPr>
            <w:noProof/>
            <w:webHidden/>
          </w:rPr>
        </w:r>
        <w:r w:rsidR="008811FC">
          <w:rPr>
            <w:noProof/>
            <w:webHidden/>
          </w:rPr>
          <w:fldChar w:fldCharType="separate"/>
        </w:r>
        <w:r w:rsidR="003C4BC2">
          <w:rPr>
            <w:noProof/>
            <w:webHidden/>
          </w:rPr>
          <w:t>114</w:t>
        </w:r>
        <w:r w:rsidR="008811FC">
          <w:rPr>
            <w:noProof/>
            <w:webHidden/>
          </w:rPr>
          <w:fldChar w:fldCharType="end"/>
        </w:r>
      </w:hyperlink>
    </w:p>
    <w:p w14:paraId="4B7C9C09" w14:textId="43C85D01" w:rsidR="008811FC" w:rsidRDefault="00A61B29">
      <w:pPr>
        <w:pStyle w:val="TOC1"/>
        <w:rPr>
          <w:rFonts w:asciiTheme="minorHAnsi" w:eastAsiaTheme="minorEastAsia" w:hAnsiTheme="minorHAnsi" w:cstheme="minorBidi"/>
          <w:i w:val="0"/>
          <w:noProof/>
          <w:color w:val="auto"/>
          <w:sz w:val="22"/>
          <w:lang w:val="en-AU" w:eastAsia="en-AU"/>
        </w:rPr>
      </w:pPr>
      <w:hyperlink w:anchor="_Toc109996684" w:history="1">
        <w:r w:rsidR="008811FC" w:rsidRPr="00297248">
          <w:rPr>
            <w:rStyle w:val="Hyperlink"/>
            <w:noProof/>
          </w:rPr>
          <w:t>11.</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Shared care planning tools</w:t>
        </w:r>
        <w:r w:rsidR="008811FC">
          <w:rPr>
            <w:noProof/>
            <w:webHidden/>
          </w:rPr>
          <w:tab/>
        </w:r>
        <w:r w:rsidR="008811FC">
          <w:rPr>
            <w:noProof/>
            <w:webHidden/>
          </w:rPr>
          <w:fldChar w:fldCharType="begin"/>
        </w:r>
        <w:r w:rsidR="008811FC">
          <w:rPr>
            <w:noProof/>
            <w:webHidden/>
          </w:rPr>
          <w:instrText xml:space="preserve"> PAGEREF _Toc109996684 \h </w:instrText>
        </w:r>
        <w:r w:rsidR="008811FC">
          <w:rPr>
            <w:noProof/>
            <w:webHidden/>
          </w:rPr>
        </w:r>
        <w:r w:rsidR="008811FC">
          <w:rPr>
            <w:noProof/>
            <w:webHidden/>
          </w:rPr>
          <w:fldChar w:fldCharType="separate"/>
        </w:r>
        <w:r w:rsidR="003C4BC2">
          <w:rPr>
            <w:noProof/>
            <w:webHidden/>
          </w:rPr>
          <w:t>128</w:t>
        </w:r>
        <w:r w:rsidR="008811FC">
          <w:rPr>
            <w:noProof/>
            <w:webHidden/>
          </w:rPr>
          <w:fldChar w:fldCharType="end"/>
        </w:r>
      </w:hyperlink>
    </w:p>
    <w:p w14:paraId="067AEEEC" w14:textId="633253CC" w:rsidR="008811FC" w:rsidRDefault="00A61B29">
      <w:pPr>
        <w:pStyle w:val="TOC2"/>
        <w:rPr>
          <w:rFonts w:asciiTheme="minorHAnsi" w:eastAsiaTheme="minorEastAsia" w:hAnsiTheme="minorHAnsi" w:cstheme="minorBidi"/>
          <w:noProof/>
          <w:color w:val="auto"/>
          <w:sz w:val="22"/>
          <w:lang w:eastAsia="en-AU"/>
        </w:rPr>
      </w:pPr>
      <w:hyperlink w:anchor="_Toc109996685" w:history="1">
        <w:r w:rsidR="008811FC" w:rsidRPr="00297248">
          <w:rPr>
            <w:rStyle w:val="Hyperlink"/>
            <w:noProof/>
          </w:rPr>
          <w:t>How practices selected a shared care planning tool</w:t>
        </w:r>
        <w:r w:rsidR="008811FC">
          <w:rPr>
            <w:noProof/>
            <w:webHidden/>
          </w:rPr>
          <w:tab/>
        </w:r>
        <w:r w:rsidR="008811FC">
          <w:rPr>
            <w:noProof/>
            <w:webHidden/>
          </w:rPr>
          <w:fldChar w:fldCharType="begin"/>
        </w:r>
        <w:r w:rsidR="008811FC">
          <w:rPr>
            <w:noProof/>
            <w:webHidden/>
          </w:rPr>
          <w:instrText xml:space="preserve"> PAGEREF _Toc109996685 \h </w:instrText>
        </w:r>
        <w:r w:rsidR="008811FC">
          <w:rPr>
            <w:noProof/>
            <w:webHidden/>
          </w:rPr>
        </w:r>
        <w:r w:rsidR="008811FC">
          <w:rPr>
            <w:noProof/>
            <w:webHidden/>
          </w:rPr>
          <w:fldChar w:fldCharType="separate"/>
        </w:r>
        <w:r w:rsidR="003C4BC2">
          <w:rPr>
            <w:noProof/>
            <w:webHidden/>
          </w:rPr>
          <w:t>129</w:t>
        </w:r>
        <w:r w:rsidR="008811FC">
          <w:rPr>
            <w:noProof/>
            <w:webHidden/>
          </w:rPr>
          <w:fldChar w:fldCharType="end"/>
        </w:r>
      </w:hyperlink>
    </w:p>
    <w:p w14:paraId="352C8B8F" w14:textId="636C7CE5" w:rsidR="008811FC" w:rsidRDefault="00A61B29">
      <w:pPr>
        <w:pStyle w:val="TOC2"/>
        <w:rPr>
          <w:rFonts w:asciiTheme="minorHAnsi" w:eastAsiaTheme="minorEastAsia" w:hAnsiTheme="minorHAnsi" w:cstheme="minorBidi"/>
          <w:noProof/>
          <w:color w:val="auto"/>
          <w:sz w:val="22"/>
          <w:lang w:eastAsia="en-AU"/>
        </w:rPr>
      </w:pPr>
      <w:hyperlink w:anchor="_Toc109996686" w:history="1">
        <w:r w:rsidR="008811FC" w:rsidRPr="00297248">
          <w:rPr>
            <w:rStyle w:val="Hyperlink"/>
            <w:noProof/>
          </w:rPr>
          <w:t>Implementing tools within practices</w:t>
        </w:r>
        <w:r w:rsidR="008811FC">
          <w:rPr>
            <w:noProof/>
            <w:webHidden/>
          </w:rPr>
          <w:tab/>
        </w:r>
        <w:r w:rsidR="008811FC">
          <w:rPr>
            <w:noProof/>
            <w:webHidden/>
          </w:rPr>
          <w:fldChar w:fldCharType="begin"/>
        </w:r>
        <w:r w:rsidR="008811FC">
          <w:rPr>
            <w:noProof/>
            <w:webHidden/>
          </w:rPr>
          <w:instrText xml:space="preserve"> PAGEREF _Toc109996686 \h </w:instrText>
        </w:r>
        <w:r w:rsidR="008811FC">
          <w:rPr>
            <w:noProof/>
            <w:webHidden/>
          </w:rPr>
        </w:r>
        <w:r w:rsidR="008811FC">
          <w:rPr>
            <w:noProof/>
            <w:webHidden/>
          </w:rPr>
          <w:fldChar w:fldCharType="separate"/>
        </w:r>
        <w:r w:rsidR="003C4BC2">
          <w:rPr>
            <w:noProof/>
            <w:webHidden/>
          </w:rPr>
          <w:t>130</w:t>
        </w:r>
        <w:r w:rsidR="008811FC">
          <w:rPr>
            <w:noProof/>
            <w:webHidden/>
          </w:rPr>
          <w:fldChar w:fldCharType="end"/>
        </w:r>
      </w:hyperlink>
    </w:p>
    <w:p w14:paraId="08F2ACCB" w14:textId="29FDE08B" w:rsidR="008811FC" w:rsidRDefault="00A61B29">
      <w:pPr>
        <w:pStyle w:val="TOC2"/>
        <w:rPr>
          <w:rFonts w:asciiTheme="minorHAnsi" w:eastAsiaTheme="minorEastAsia" w:hAnsiTheme="minorHAnsi" w:cstheme="minorBidi"/>
          <w:noProof/>
          <w:color w:val="auto"/>
          <w:sz w:val="22"/>
          <w:lang w:eastAsia="en-AU"/>
        </w:rPr>
      </w:pPr>
      <w:hyperlink w:anchor="_Toc109996687" w:history="1">
        <w:r w:rsidR="008811FC" w:rsidRPr="00297248">
          <w:rPr>
            <w:rStyle w:val="Hyperlink"/>
            <w:noProof/>
          </w:rPr>
          <w:t>Suggestions for improving shared care planning tools</w:t>
        </w:r>
        <w:r w:rsidR="008811FC">
          <w:rPr>
            <w:noProof/>
            <w:webHidden/>
          </w:rPr>
          <w:tab/>
        </w:r>
        <w:r w:rsidR="008811FC">
          <w:rPr>
            <w:noProof/>
            <w:webHidden/>
          </w:rPr>
          <w:fldChar w:fldCharType="begin"/>
        </w:r>
        <w:r w:rsidR="008811FC">
          <w:rPr>
            <w:noProof/>
            <w:webHidden/>
          </w:rPr>
          <w:instrText xml:space="preserve"> PAGEREF _Toc109996687 \h </w:instrText>
        </w:r>
        <w:r w:rsidR="008811FC">
          <w:rPr>
            <w:noProof/>
            <w:webHidden/>
          </w:rPr>
        </w:r>
        <w:r w:rsidR="008811FC">
          <w:rPr>
            <w:noProof/>
            <w:webHidden/>
          </w:rPr>
          <w:fldChar w:fldCharType="separate"/>
        </w:r>
        <w:r w:rsidR="003C4BC2">
          <w:rPr>
            <w:noProof/>
            <w:webHidden/>
          </w:rPr>
          <w:t>135</w:t>
        </w:r>
        <w:r w:rsidR="008811FC">
          <w:rPr>
            <w:noProof/>
            <w:webHidden/>
          </w:rPr>
          <w:fldChar w:fldCharType="end"/>
        </w:r>
      </w:hyperlink>
    </w:p>
    <w:p w14:paraId="60DB91EE" w14:textId="784FBF6B" w:rsidR="008811FC" w:rsidRDefault="00A61B29">
      <w:pPr>
        <w:pStyle w:val="TOC2"/>
        <w:rPr>
          <w:rFonts w:asciiTheme="minorHAnsi" w:eastAsiaTheme="minorEastAsia" w:hAnsiTheme="minorHAnsi" w:cstheme="minorBidi"/>
          <w:noProof/>
          <w:color w:val="auto"/>
          <w:sz w:val="22"/>
          <w:lang w:eastAsia="en-AU"/>
        </w:rPr>
      </w:pPr>
      <w:hyperlink w:anchor="_Toc109996688" w:history="1">
        <w:r w:rsidR="008811FC" w:rsidRPr="00297248">
          <w:rPr>
            <w:rStyle w:val="Hyperlink"/>
            <w:noProof/>
          </w:rPr>
          <w:t>Contribution of My Health Record to sharing information</w:t>
        </w:r>
        <w:r w:rsidR="008811FC">
          <w:rPr>
            <w:noProof/>
            <w:webHidden/>
          </w:rPr>
          <w:tab/>
        </w:r>
        <w:r w:rsidR="008811FC">
          <w:rPr>
            <w:noProof/>
            <w:webHidden/>
          </w:rPr>
          <w:fldChar w:fldCharType="begin"/>
        </w:r>
        <w:r w:rsidR="008811FC">
          <w:rPr>
            <w:noProof/>
            <w:webHidden/>
          </w:rPr>
          <w:instrText xml:space="preserve"> PAGEREF _Toc109996688 \h </w:instrText>
        </w:r>
        <w:r w:rsidR="008811FC">
          <w:rPr>
            <w:noProof/>
            <w:webHidden/>
          </w:rPr>
        </w:r>
        <w:r w:rsidR="008811FC">
          <w:rPr>
            <w:noProof/>
            <w:webHidden/>
          </w:rPr>
          <w:fldChar w:fldCharType="separate"/>
        </w:r>
        <w:r w:rsidR="003C4BC2">
          <w:rPr>
            <w:noProof/>
            <w:webHidden/>
          </w:rPr>
          <w:t>136</w:t>
        </w:r>
        <w:r w:rsidR="008811FC">
          <w:rPr>
            <w:noProof/>
            <w:webHidden/>
          </w:rPr>
          <w:fldChar w:fldCharType="end"/>
        </w:r>
      </w:hyperlink>
    </w:p>
    <w:p w14:paraId="627A3B6A" w14:textId="19478109" w:rsidR="008811FC" w:rsidRDefault="00A61B29">
      <w:pPr>
        <w:pStyle w:val="TOC1"/>
        <w:rPr>
          <w:rFonts w:asciiTheme="minorHAnsi" w:eastAsiaTheme="minorEastAsia" w:hAnsiTheme="minorHAnsi" w:cstheme="minorBidi"/>
          <w:i w:val="0"/>
          <w:noProof/>
          <w:color w:val="auto"/>
          <w:sz w:val="22"/>
          <w:lang w:val="en-AU" w:eastAsia="en-AU"/>
        </w:rPr>
      </w:pPr>
      <w:hyperlink w:anchor="_Toc109996689" w:history="1">
        <w:r w:rsidR="008811FC" w:rsidRPr="00297248">
          <w:rPr>
            <w:rStyle w:val="Hyperlink"/>
            <w:noProof/>
          </w:rPr>
          <w:t>12.</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HCH in Aboriginal Community Controlled Health Services</w:t>
        </w:r>
        <w:r w:rsidR="008811FC">
          <w:rPr>
            <w:noProof/>
            <w:webHidden/>
          </w:rPr>
          <w:tab/>
        </w:r>
        <w:r w:rsidR="008811FC">
          <w:rPr>
            <w:noProof/>
            <w:webHidden/>
          </w:rPr>
          <w:fldChar w:fldCharType="begin"/>
        </w:r>
        <w:r w:rsidR="008811FC">
          <w:rPr>
            <w:noProof/>
            <w:webHidden/>
          </w:rPr>
          <w:instrText xml:space="preserve"> PAGEREF _Toc109996689 \h </w:instrText>
        </w:r>
        <w:r w:rsidR="008811FC">
          <w:rPr>
            <w:noProof/>
            <w:webHidden/>
          </w:rPr>
        </w:r>
        <w:r w:rsidR="008811FC">
          <w:rPr>
            <w:noProof/>
            <w:webHidden/>
          </w:rPr>
          <w:fldChar w:fldCharType="separate"/>
        </w:r>
        <w:r w:rsidR="003C4BC2">
          <w:rPr>
            <w:noProof/>
            <w:webHidden/>
          </w:rPr>
          <w:t>137</w:t>
        </w:r>
        <w:r w:rsidR="008811FC">
          <w:rPr>
            <w:noProof/>
            <w:webHidden/>
          </w:rPr>
          <w:fldChar w:fldCharType="end"/>
        </w:r>
      </w:hyperlink>
    </w:p>
    <w:p w14:paraId="06463730" w14:textId="67E8B07F" w:rsidR="008811FC" w:rsidRDefault="00A61B29">
      <w:pPr>
        <w:pStyle w:val="TOC2"/>
        <w:rPr>
          <w:rFonts w:asciiTheme="minorHAnsi" w:eastAsiaTheme="minorEastAsia" w:hAnsiTheme="minorHAnsi" w:cstheme="minorBidi"/>
          <w:noProof/>
          <w:color w:val="auto"/>
          <w:sz w:val="22"/>
          <w:lang w:eastAsia="en-AU"/>
        </w:rPr>
      </w:pPr>
      <w:hyperlink w:anchor="_Toc109996690" w:history="1">
        <w:r w:rsidR="008811FC" w:rsidRPr="00297248">
          <w:rPr>
            <w:rStyle w:val="Hyperlink"/>
            <w:rFonts w:eastAsiaTheme="majorEastAsia"/>
            <w:noProof/>
          </w:rPr>
          <w:t>Context</w:t>
        </w:r>
        <w:r w:rsidR="008811FC">
          <w:rPr>
            <w:noProof/>
            <w:webHidden/>
          </w:rPr>
          <w:tab/>
        </w:r>
        <w:r w:rsidR="008811FC">
          <w:rPr>
            <w:noProof/>
            <w:webHidden/>
          </w:rPr>
          <w:fldChar w:fldCharType="begin"/>
        </w:r>
        <w:r w:rsidR="008811FC">
          <w:rPr>
            <w:noProof/>
            <w:webHidden/>
          </w:rPr>
          <w:instrText xml:space="preserve"> PAGEREF _Toc109996690 \h </w:instrText>
        </w:r>
        <w:r w:rsidR="008811FC">
          <w:rPr>
            <w:noProof/>
            <w:webHidden/>
          </w:rPr>
        </w:r>
        <w:r w:rsidR="008811FC">
          <w:rPr>
            <w:noProof/>
            <w:webHidden/>
          </w:rPr>
          <w:fldChar w:fldCharType="separate"/>
        </w:r>
        <w:r w:rsidR="003C4BC2">
          <w:rPr>
            <w:noProof/>
            <w:webHidden/>
          </w:rPr>
          <w:t>138</w:t>
        </w:r>
        <w:r w:rsidR="008811FC">
          <w:rPr>
            <w:noProof/>
            <w:webHidden/>
          </w:rPr>
          <w:fldChar w:fldCharType="end"/>
        </w:r>
      </w:hyperlink>
    </w:p>
    <w:p w14:paraId="4EBFF292" w14:textId="62EE7D0C" w:rsidR="008811FC" w:rsidRDefault="00A61B29">
      <w:pPr>
        <w:pStyle w:val="TOC2"/>
        <w:rPr>
          <w:rFonts w:asciiTheme="minorHAnsi" w:eastAsiaTheme="minorEastAsia" w:hAnsiTheme="minorHAnsi" w:cstheme="minorBidi"/>
          <w:noProof/>
          <w:color w:val="auto"/>
          <w:sz w:val="22"/>
          <w:lang w:eastAsia="en-AU"/>
        </w:rPr>
      </w:pPr>
      <w:hyperlink w:anchor="_Toc109996691" w:history="1">
        <w:r w:rsidR="008811FC" w:rsidRPr="00297248">
          <w:rPr>
            <w:rStyle w:val="Hyperlink"/>
            <w:rFonts w:eastAsiaTheme="majorEastAsia"/>
            <w:noProof/>
          </w:rPr>
          <w:t>Motivations to join HCH</w:t>
        </w:r>
        <w:r w:rsidR="008811FC">
          <w:rPr>
            <w:noProof/>
            <w:webHidden/>
          </w:rPr>
          <w:tab/>
        </w:r>
        <w:r w:rsidR="008811FC">
          <w:rPr>
            <w:noProof/>
            <w:webHidden/>
          </w:rPr>
          <w:fldChar w:fldCharType="begin"/>
        </w:r>
        <w:r w:rsidR="008811FC">
          <w:rPr>
            <w:noProof/>
            <w:webHidden/>
          </w:rPr>
          <w:instrText xml:space="preserve"> PAGEREF _Toc109996691 \h </w:instrText>
        </w:r>
        <w:r w:rsidR="008811FC">
          <w:rPr>
            <w:noProof/>
            <w:webHidden/>
          </w:rPr>
        </w:r>
        <w:r w:rsidR="008811FC">
          <w:rPr>
            <w:noProof/>
            <w:webHidden/>
          </w:rPr>
          <w:fldChar w:fldCharType="separate"/>
        </w:r>
        <w:r w:rsidR="003C4BC2">
          <w:rPr>
            <w:noProof/>
            <w:webHidden/>
          </w:rPr>
          <w:t>139</w:t>
        </w:r>
        <w:r w:rsidR="008811FC">
          <w:rPr>
            <w:noProof/>
            <w:webHidden/>
          </w:rPr>
          <w:fldChar w:fldCharType="end"/>
        </w:r>
      </w:hyperlink>
    </w:p>
    <w:p w14:paraId="34C9A57B" w14:textId="2284DBCF" w:rsidR="008811FC" w:rsidRDefault="00A61B29">
      <w:pPr>
        <w:pStyle w:val="TOC2"/>
        <w:rPr>
          <w:rFonts w:asciiTheme="minorHAnsi" w:eastAsiaTheme="minorEastAsia" w:hAnsiTheme="minorHAnsi" w:cstheme="minorBidi"/>
          <w:noProof/>
          <w:color w:val="auto"/>
          <w:sz w:val="22"/>
          <w:lang w:eastAsia="en-AU"/>
        </w:rPr>
      </w:pPr>
      <w:hyperlink w:anchor="_Toc109996692" w:history="1">
        <w:r w:rsidR="008811FC" w:rsidRPr="00297248">
          <w:rPr>
            <w:rStyle w:val="Hyperlink"/>
            <w:rFonts w:eastAsiaTheme="majorEastAsia"/>
            <w:noProof/>
          </w:rPr>
          <w:t>Initiation and implementation</w:t>
        </w:r>
        <w:r w:rsidR="008811FC">
          <w:rPr>
            <w:noProof/>
            <w:webHidden/>
          </w:rPr>
          <w:tab/>
        </w:r>
        <w:r w:rsidR="008811FC">
          <w:rPr>
            <w:noProof/>
            <w:webHidden/>
          </w:rPr>
          <w:fldChar w:fldCharType="begin"/>
        </w:r>
        <w:r w:rsidR="008811FC">
          <w:rPr>
            <w:noProof/>
            <w:webHidden/>
          </w:rPr>
          <w:instrText xml:space="preserve"> PAGEREF _Toc109996692 \h </w:instrText>
        </w:r>
        <w:r w:rsidR="008811FC">
          <w:rPr>
            <w:noProof/>
            <w:webHidden/>
          </w:rPr>
        </w:r>
        <w:r w:rsidR="008811FC">
          <w:rPr>
            <w:noProof/>
            <w:webHidden/>
          </w:rPr>
          <w:fldChar w:fldCharType="separate"/>
        </w:r>
        <w:r w:rsidR="003C4BC2">
          <w:rPr>
            <w:noProof/>
            <w:webHidden/>
          </w:rPr>
          <w:t>139</w:t>
        </w:r>
        <w:r w:rsidR="008811FC">
          <w:rPr>
            <w:noProof/>
            <w:webHidden/>
          </w:rPr>
          <w:fldChar w:fldCharType="end"/>
        </w:r>
      </w:hyperlink>
    </w:p>
    <w:p w14:paraId="36DE1C60" w14:textId="0DFB36A4" w:rsidR="008811FC" w:rsidRDefault="00A61B29">
      <w:pPr>
        <w:pStyle w:val="TOC2"/>
        <w:rPr>
          <w:rFonts w:asciiTheme="minorHAnsi" w:eastAsiaTheme="minorEastAsia" w:hAnsiTheme="minorHAnsi" w:cstheme="minorBidi"/>
          <w:noProof/>
          <w:color w:val="auto"/>
          <w:sz w:val="22"/>
          <w:lang w:eastAsia="en-AU"/>
        </w:rPr>
      </w:pPr>
      <w:hyperlink w:anchor="_Toc109996693" w:history="1">
        <w:r w:rsidR="008811FC" w:rsidRPr="00297248">
          <w:rPr>
            <w:rStyle w:val="Hyperlink"/>
            <w:rFonts w:eastAsiaTheme="majorEastAsia"/>
            <w:noProof/>
          </w:rPr>
          <w:t>Training and support</w:t>
        </w:r>
        <w:r w:rsidR="008811FC">
          <w:rPr>
            <w:noProof/>
            <w:webHidden/>
          </w:rPr>
          <w:tab/>
        </w:r>
        <w:r w:rsidR="008811FC">
          <w:rPr>
            <w:noProof/>
            <w:webHidden/>
          </w:rPr>
          <w:fldChar w:fldCharType="begin"/>
        </w:r>
        <w:r w:rsidR="008811FC">
          <w:rPr>
            <w:noProof/>
            <w:webHidden/>
          </w:rPr>
          <w:instrText xml:space="preserve"> PAGEREF _Toc109996693 \h </w:instrText>
        </w:r>
        <w:r w:rsidR="008811FC">
          <w:rPr>
            <w:noProof/>
            <w:webHidden/>
          </w:rPr>
        </w:r>
        <w:r w:rsidR="008811FC">
          <w:rPr>
            <w:noProof/>
            <w:webHidden/>
          </w:rPr>
          <w:fldChar w:fldCharType="separate"/>
        </w:r>
        <w:r w:rsidR="003C4BC2">
          <w:rPr>
            <w:noProof/>
            <w:webHidden/>
          </w:rPr>
          <w:t>139</w:t>
        </w:r>
        <w:r w:rsidR="008811FC">
          <w:rPr>
            <w:noProof/>
            <w:webHidden/>
          </w:rPr>
          <w:fldChar w:fldCharType="end"/>
        </w:r>
      </w:hyperlink>
    </w:p>
    <w:p w14:paraId="01F36DAA" w14:textId="3CFF8795" w:rsidR="008811FC" w:rsidRDefault="00A61B29">
      <w:pPr>
        <w:pStyle w:val="TOC2"/>
        <w:rPr>
          <w:rFonts w:asciiTheme="minorHAnsi" w:eastAsiaTheme="minorEastAsia" w:hAnsiTheme="minorHAnsi" w:cstheme="minorBidi"/>
          <w:noProof/>
          <w:color w:val="auto"/>
          <w:sz w:val="22"/>
          <w:lang w:eastAsia="en-AU"/>
        </w:rPr>
      </w:pPr>
      <w:hyperlink w:anchor="_Toc109996694" w:history="1">
        <w:r w:rsidR="008811FC" w:rsidRPr="00297248">
          <w:rPr>
            <w:rStyle w:val="Hyperlink"/>
            <w:rFonts w:eastAsiaTheme="majorEastAsia"/>
            <w:noProof/>
          </w:rPr>
          <w:t>Patient enrolment</w:t>
        </w:r>
        <w:r w:rsidR="008811FC">
          <w:rPr>
            <w:noProof/>
            <w:webHidden/>
          </w:rPr>
          <w:tab/>
        </w:r>
        <w:r w:rsidR="008811FC">
          <w:rPr>
            <w:noProof/>
            <w:webHidden/>
          </w:rPr>
          <w:fldChar w:fldCharType="begin"/>
        </w:r>
        <w:r w:rsidR="008811FC">
          <w:rPr>
            <w:noProof/>
            <w:webHidden/>
          </w:rPr>
          <w:instrText xml:space="preserve"> PAGEREF _Toc109996694 \h </w:instrText>
        </w:r>
        <w:r w:rsidR="008811FC">
          <w:rPr>
            <w:noProof/>
            <w:webHidden/>
          </w:rPr>
        </w:r>
        <w:r w:rsidR="008811FC">
          <w:rPr>
            <w:noProof/>
            <w:webHidden/>
          </w:rPr>
          <w:fldChar w:fldCharType="separate"/>
        </w:r>
        <w:r w:rsidR="003C4BC2">
          <w:rPr>
            <w:noProof/>
            <w:webHidden/>
          </w:rPr>
          <w:t>140</w:t>
        </w:r>
        <w:r w:rsidR="008811FC">
          <w:rPr>
            <w:noProof/>
            <w:webHidden/>
          </w:rPr>
          <w:fldChar w:fldCharType="end"/>
        </w:r>
      </w:hyperlink>
    </w:p>
    <w:p w14:paraId="72C2BD9D" w14:textId="754C443E" w:rsidR="008811FC" w:rsidRDefault="00A61B29">
      <w:pPr>
        <w:pStyle w:val="TOC2"/>
        <w:rPr>
          <w:rFonts w:asciiTheme="minorHAnsi" w:eastAsiaTheme="minorEastAsia" w:hAnsiTheme="minorHAnsi" w:cstheme="minorBidi"/>
          <w:noProof/>
          <w:color w:val="auto"/>
          <w:sz w:val="22"/>
          <w:lang w:eastAsia="en-AU"/>
        </w:rPr>
      </w:pPr>
      <w:hyperlink w:anchor="_Toc109996695" w:history="1">
        <w:r w:rsidR="008811FC" w:rsidRPr="00297248">
          <w:rPr>
            <w:rStyle w:val="Hyperlink"/>
            <w:rFonts w:eastAsiaTheme="majorEastAsia"/>
            <w:noProof/>
          </w:rPr>
          <w:t>Risk stratification tool</w:t>
        </w:r>
        <w:r w:rsidR="008811FC">
          <w:rPr>
            <w:noProof/>
            <w:webHidden/>
          </w:rPr>
          <w:tab/>
        </w:r>
        <w:r w:rsidR="008811FC">
          <w:rPr>
            <w:noProof/>
            <w:webHidden/>
          </w:rPr>
          <w:fldChar w:fldCharType="begin"/>
        </w:r>
        <w:r w:rsidR="008811FC">
          <w:rPr>
            <w:noProof/>
            <w:webHidden/>
          </w:rPr>
          <w:instrText xml:space="preserve"> PAGEREF _Toc109996695 \h </w:instrText>
        </w:r>
        <w:r w:rsidR="008811FC">
          <w:rPr>
            <w:noProof/>
            <w:webHidden/>
          </w:rPr>
        </w:r>
        <w:r w:rsidR="008811FC">
          <w:rPr>
            <w:noProof/>
            <w:webHidden/>
          </w:rPr>
          <w:fldChar w:fldCharType="separate"/>
        </w:r>
        <w:r w:rsidR="003C4BC2">
          <w:rPr>
            <w:noProof/>
            <w:webHidden/>
          </w:rPr>
          <w:t>141</w:t>
        </w:r>
        <w:r w:rsidR="008811FC">
          <w:rPr>
            <w:noProof/>
            <w:webHidden/>
          </w:rPr>
          <w:fldChar w:fldCharType="end"/>
        </w:r>
      </w:hyperlink>
    </w:p>
    <w:p w14:paraId="33F12C58" w14:textId="64E2B0D9" w:rsidR="008811FC" w:rsidRDefault="00A61B29">
      <w:pPr>
        <w:pStyle w:val="TOC2"/>
        <w:rPr>
          <w:rFonts w:asciiTheme="minorHAnsi" w:eastAsiaTheme="minorEastAsia" w:hAnsiTheme="minorHAnsi" w:cstheme="minorBidi"/>
          <w:noProof/>
          <w:color w:val="auto"/>
          <w:sz w:val="22"/>
          <w:lang w:eastAsia="en-AU"/>
        </w:rPr>
      </w:pPr>
      <w:hyperlink w:anchor="_Toc109996696" w:history="1">
        <w:r w:rsidR="008811FC" w:rsidRPr="00297248">
          <w:rPr>
            <w:rStyle w:val="Hyperlink"/>
            <w:rFonts w:eastAsiaTheme="majorEastAsia"/>
            <w:noProof/>
          </w:rPr>
          <w:t>Shared care planning</w:t>
        </w:r>
        <w:r w:rsidR="008811FC">
          <w:rPr>
            <w:noProof/>
            <w:webHidden/>
          </w:rPr>
          <w:tab/>
        </w:r>
        <w:r w:rsidR="008811FC">
          <w:rPr>
            <w:noProof/>
            <w:webHidden/>
          </w:rPr>
          <w:fldChar w:fldCharType="begin"/>
        </w:r>
        <w:r w:rsidR="008811FC">
          <w:rPr>
            <w:noProof/>
            <w:webHidden/>
          </w:rPr>
          <w:instrText xml:space="preserve"> PAGEREF _Toc109996696 \h </w:instrText>
        </w:r>
        <w:r w:rsidR="008811FC">
          <w:rPr>
            <w:noProof/>
            <w:webHidden/>
          </w:rPr>
        </w:r>
        <w:r w:rsidR="008811FC">
          <w:rPr>
            <w:noProof/>
            <w:webHidden/>
          </w:rPr>
          <w:fldChar w:fldCharType="separate"/>
        </w:r>
        <w:r w:rsidR="003C4BC2">
          <w:rPr>
            <w:noProof/>
            <w:webHidden/>
          </w:rPr>
          <w:t>142</w:t>
        </w:r>
        <w:r w:rsidR="008811FC">
          <w:rPr>
            <w:noProof/>
            <w:webHidden/>
          </w:rPr>
          <w:fldChar w:fldCharType="end"/>
        </w:r>
      </w:hyperlink>
    </w:p>
    <w:p w14:paraId="463F038F" w14:textId="1D199944" w:rsidR="008811FC" w:rsidRDefault="00A61B29">
      <w:pPr>
        <w:pStyle w:val="TOC2"/>
        <w:rPr>
          <w:rFonts w:asciiTheme="minorHAnsi" w:eastAsiaTheme="minorEastAsia" w:hAnsiTheme="minorHAnsi" w:cstheme="minorBidi"/>
          <w:noProof/>
          <w:color w:val="auto"/>
          <w:sz w:val="22"/>
          <w:lang w:eastAsia="en-AU"/>
        </w:rPr>
      </w:pPr>
      <w:hyperlink w:anchor="_Toc109996697" w:history="1">
        <w:r w:rsidR="008811FC" w:rsidRPr="00297248">
          <w:rPr>
            <w:rStyle w:val="Hyperlink"/>
            <w:rFonts w:eastAsiaTheme="majorEastAsia"/>
            <w:noProof/>
          </w:rPr>
          <w:t>HCH model</w:t>
        </w:r>
        <w:r w:rsidR="008811FC">
          <w:rPr>
            <w:noProof/>
            <w:webHidden/>
          </w:rPr>
          <w:tab/>
        </w:r>
        <w:r w:rsidR="008811FC">
          <w:rPr>
            <w:noProof/>
            <w:webHidden/>
          </w:rPr>
          <w:fldChar w:fldCharType="begin"/>
        </w:r>
        <w:r w:rsidR="008811FC">
          <w:rPr>
            <w:noProof/>
            <w:webHidden/>
          </w:rPr>
          <w:instrText xml:space="preserve"> PAGEREF _Toc109996697 \h </w:instrText>
        </w:r>
        <w:r w:rsidR="008811FC">
          <w:rPr>
            <w:noProof/>
            <w:webHidden/>
          </w:rPr>
        </w:r>
        <w:r w:rsidR="008811FC">
          <w:rPr>
            <w:noProof/>
            <w:webHidden/>
          </w:rPr>
          <w:fldChar w:fldCharType="separate"/>
        </w:r>
        <w:r w:rsidR="003C4BC2">
          <w:rPr>
            <w:noProof/>
            <w:webHidden/>
          </w:rPr>
          <w:t>144</w:t>
        </w:r>
        <w:r w:rsidR="008811FC">
          <w:rPr>
            <w:noProof/>
            <w:webHidden/>
          </w:rPr>
          <w:fldChar w:fldCharType="end"/>
        </w:r>
      </w:hyperlink>
    </w:p>
    <w:p w14:paraId="7A786BBF" w14:textId="3E9847E4" w:rsidR="008811FC" w:rsidRDefault="00A61B29">
      <w:pPr>
        <w:pStyle w:val="TOC2"/>
        <w:rPr>
          <w:rFonts w:asciiTheme="minorHAnsi" w:eastAsiaTheme="minorEastAsia" w:hAnsiTheme="minorHAnsi" w:cstheme="minorBidi"/>
          <w:noProof/>
          <w:color w:val="auto"/>
          <w:sz w:val="22"/>
          <w:lang w:eastAsia="en-AU"/>
        </w:rPr>
      </w:pPr>
      <w:hyperlink w:anchor="_Toc109996698" w:history="1">
        <w:r w:rsidR="008811FC" w:rsidRPr="00297248">
          <w:rPr>
            <w:rStyle w:val="Hyperlink"/>
            <w:rFonts w:eastAsiaTheme="majorEastAsia"/>
            <w:noProof/>
          </w:rPr>
          <w:t>Implementation enablers and barriers</w:t>
        </w:r>
        <w:r w:rsidR="008811FC">
          <w:rPr>
            <w:noProof/>
            <w:webHidden/>
          </w:rPr>
          <w:tab/>
        </w:r>
        <w:r w:rsidR="008811FC">
          <w:rPr>
            <w:noProof/>
            <w:webHidden/>
          </w:rPr>
          <w:fldChar w:fldCharType="begin"/>
        </w:r>
        <w:r w:rsidR="008811FC">
          <w:rPr>
            <w:noProof/>
            <w:webHidden/>
          </w:rPr>
          <w:instrText xml:space="preserve"> PAGEREF _Toc109996698 \h </w:instrText>
        </w:r>
        <w:r w:rsidR="008811FC">
          <w:rPr>
            <w:noProof/>
            <w:webHidden/>
          </w:rPr>
        </w:r>
        <w:r w:rsidR="008811FC">
          <w:rPr>
            <w:noProof/>
            <w:webHidden/>
          </w:rPr>
          <w:fldChar w:fldCharType="separate"/>
        </w:r>
        <w:r w:rsidR="003C4BC2">
          <w:rPr>
            <w:noProof/>
            <w:webHidden/>
          </w:rPr>
          <w:t>146</w:t>
        </w:r>
        <w:r w:rsidR="008811FC">
          <w:rPr>
            <w:noProof/>
            <w:webHidden/>
          </w:rPr>
          <w:fldChar w:fldCharType="end"/>
        </w:r>
      </w:hyperlink>
    </w:p>
    <w:p w14:paraId="78CA86AE" w14:textId="0151DED9" w:rsidR="008811FC" w:rsidRDefault="00A61B29">
      <w:pPr>
        <w:pStyle w:val="TOC2"/>
        <w:rPr>
          <w:rFonts w:asciiTheme="minorHAnsi" w:eastAsiaTheme="minorEastAsia" w:hAnsiTheme="minorHAnsi" w:cstheme="minorBidi"/>
          <w:noProof/>
          <w:color w:val="auto"/>
          <w:sz w:val="22"/>
          <w:lang w:eastAsia="en-AU"/>
        </w:rPr>
      </w:pPr>
      <w:hyperlink w:anchor="_Toc109996699" w:history="1">
        <w:r w:rsidR="008811FC" w:rsidRPr="00297248">
          <w:rPr>
            <w:rStyle w:val="Hyperlink"/>
            <w:rFonts w:eastAsiaTheme="majorEastAsia"/>
            <w:noProof/>
          </w:rPr>
          <w:t>Bundled payment</w:t>
        </w:r>
        <w:r w:rsidR="008811FC">
          <w:rPr>
            <w:noProof/>
            <w:webHidden/>
          </w:rPr>
          <w:tab/>
        </w:r>
        <w:r w:rsidR="008811FC">
          <w:rPr>
            <w:noProof/>
            <w:webHidden/>
          </w:rPr>
          <w:fldChar w:fldCharType="begin"/>
        </w:r>
        <w:r w:rsidR="008811FC">
          <w:rPr>
            <w:noProof/>
            <w:webHidden/>
          </w:rPr>
          <w:instrText xml:space="preserve"> PAGEREF _Toc109996699 \h </w:instrText>
        </w:r>
        <w:r w:rsidR="008811FC">
          <w:rPr>
            <w:noProof/>
            <w:webHidden/>
          </w:rPr>
        </w:r>
        <w:r w:rsidR="008811FC">
          <w:rPr>
            <w:noProof/>
            <w:webHidden/>
          </w:rPr>
          <w:fldChar w:fldCharType="separate"/>
        </w:r>
        <w:r w:rsidR="003C4BC2">
          <w:rPr>
            <w:noProof/>
            <w:webHidden/>
          </w:rPr>
          <w:t>148</w:t>
        </w:r>
        <w:r w:rsidR="008811FC">
          <w:rPr>
            <w:noProof/>
            <w:webHidden/>
          </w:rPr>
          <w:fldChar w:fldCharType="end"/>
        </w:r>
      </w:hyperlink>
    </w:p>
    <w:p w14:paraId="0C9DAAA3" w14:textId="4D484B45" w:rsidR="008811FC" w:rsidRDefault="00A61B29">
      <w:pPr>
        <w:pStyle w:val="TOC2"/>
        <w:rPr>
          <w:rFonts w:asciiTheme="minorHAnsi" w:eastAsiaTheme="minorEastAsia" w:hAnsiTheme="minorHAnsi" w:cstheme="minorBidi"/>
          <w:noProof/>
          <w:color w:val="auto"/>
          <w:sz w:val="22"/>
          <w:lang w:eastAsia="en-AU"/>
        </w:rPr>
      </w:pPr>
      <w:hyperlink w:anchor="_Toc109996700" w:history="1">
        <w:r w:rsidR="008811FC" w:rsidRPr="00297248">
          <w:rPr>
            <w:rStyle w:val="Hyperlink"/>
            <w:rFonts w:eastAsiaTheme="majorEastAsia"/>
            <w:noProof/>
          </w:rPr>
          <w:t>COVID-19 impacts</w:t>
        </w:r>
        <w:r w:rsidR="008811FC">
          <w:rPr>
            <w:noProof/>
            <w:webHidden/>
          </w:rPr>
          <w:tab/>
        </w:r>
        <w:r w:rsidR="008811FC">
          <w:rPr>
            <w:noProof/>
            <w:webHidden/>
          </w:rPr>
          <w:fldChar w:fldCharType="begin"/>
        </w:r>
        <w:r w:rsidR="008811FC">
          <w:rPr>
            <w:noProof/>
            <w:webHidden/>
          </w:rPr>
          <w:instrText xml:space="preserve"> PAGEREF _Toc109996700 \h </w:instrText>
        </w:r>
        <w:r w:rsidR="008811FC">
          <w:rPr>
            <w:noProof/>
            <w:webHidden/>
          </w:rPr>
        </w:r>
        <w:r w:rsidR="008811FC">
          <w:rPr>
            <w:noProof/>
            <w:webHidden/>
          </w:rPr>
          <w:fldChar w:fldCharType="separate"/>
        </w:r>
        <w:r w:rsidR="003C4BC2">
          <w:rPr>
            <w:noProof/>
            <w:webHidden/>
          </w:rPr>
          <w:t>149</w:t>
        </w:r>
        <w:r w:rsidR="008811FC">
          <w:rPr>
            <w:noProof/>
            <w:webHidden/>
          </w:rPr>
          <w:fldChar w:fldCharType="end"/>
        </w:r>
      </w:hyperlink>
    </w:p>
    <w:p w14:paraId="17A7F893" w14:textId="64319C39" w:rsidR="008811FC" w:rsidRDefault="00A61B29">
      <w:pPr>
        <w:pStyle w:val="TOC2"/>
        <w:rPr>
          <w:rFonts w:asciiTheme="minorHAnsi" w:eastAsiaTheme="minorEastAsia" w:hAnsiTheme="minorHAnsi" w:cstheme="minorBidi"/>
          <w:noProof/>
          <w:color w:val="auto"/>
          <w:sz w:val="22"/>
          <w:lang w:eastAsia="en-AU"/>
        </w:rPr>
      </w:pPr>
      <w:hyperlink w:anchor="_Toc109996701" w:history="1">
        <w:r w:rsidR="008811FC" w:rsidRPr="00297248">
          <w:rPr>
            <w:rStyle w:val="Hyperlink"/>
            <w:rFonts w:eastAsiaTheme="majorEastAsia"/>
            <w:noProof/>
          </w:rPr>
          <w:t>Impact of HCH on practice staff</w:t>
        </w:r>
        <w:r w:rsidR="008811FC">
          <w:rPr>
            <w:noProof/>
            <w:webHidden/>
          </w:rPr>
          <w:tab/>
        </w:r>
        <w:r w:rsidR="008811FC">
          <w:rPr>
            <w:noProof/>
            <w:webHidden/>
          </w:rPr>
          <w:fldChar w:fldCharType="begin"/>
        </w:r>
        <w:r w:rsidR="008811FC">
          <w:rPr>
            <w:noProof/>
            <w:webHidden/>
          </w:rPr>
          <w:instrText xml:space="preserve"> PAGEREF _Toc109996701 \h </w:instrText>
        </w:r>
        <w:r w:rsidR="008811FC">
          <w:rPr>
            <w:noProof/>
            <w:webHidden/>
          </w:rPr>
        </w:r>
        <w:r w:rsidR="008811FC">
          <w:rPr>
            <w:noProof/>
            <w:webHidden/>
          </w:rPr>
          <w:fldChar w:fldCharType="separate"/>
        </w:r>
        <w:r w:rsidR="003C4BC2">
          <w:rPr>
            <w:noProof/>
            <w:webHidden/>
          </w:rPr>
          <w:t>149</w:t>
        </w:r>
        <w:r w:rsidR="008811FC">
          <w:rPr>
            <w:noProof/>
            <w:webHidden/>
          </w:rPr>
          <w:fldChar w:fldCharType="end"/>
        </w:r>
      </w:hyperlink>
    </w:p>
    <w:p w14:paraId="21F7CC36" w14:textId="4DD5FCEB" w:rsidR="008811FC" w:rsidRDefault="00A61B29">
      <w:pPr>
        <w:pStyle w:val="TOC2"/>
        <w:rPr>
          <w:rFonts w:asciiTheme="minorHAnsi" w:eastAsiaTheme="minorEastAsia" w:hAnsiTheme="minorHAnsi" w:cstheme="minorBidi"/>
          <w:noProof/>
          <w:color w:val="auto"/>
          <w:sz w:val="22"/>
          <w:lang w:eastAsia="en-AU"/>
        </w:rPr>
      </w:pPr>
      <w:hyperlink w:anchor="_Toc109996702" w:history="1">
        <w:r w:rsidR="008811FC" w:rsidRPr="00297248">
          <w:rPr>
            <w:rStyle w:val="Hyperlink"/>
            <w:rFonts w:eastAsiaTheme="majorEastAsia"/>
            <w:noProof/>
          </w:rPr>
          <w:t>Patient experiences</w:t>
        </w:r>
        <w:r w:rsidR="008811FC">
          <w:rPr>
            <w:noProof/>
            <w:webHidden/>
          </w:rPr>
          <w:tab/>
        </w:r>
        <w:r w:rsidR="008811FC">
          <w:rPr>
            <w:noProof/>
            <w:webHidden/>
          </w:rPr>
          <w:fldChar w:fldCharType="begin"/>
        </w:r>
        <w:r w:rsidR="008811FC">
          <w:rPr>
            <w:noProof/>
            <w:webHidden/>
          </w:rPr>
          <w:instrText xml:space="preserve"> PAGEREF _Toc109996702 \h </w:instrText>
        </w:r>
        <w:r w:rsidR="008811FC">
          <w:rPr>
            <w:noProof/>
            <w:webHidden/>
          </w:rPr>
        </w:r>
        <w:r w:rsidR="008811FC">
          <w:rPr>
            <w:noProof/>
            <w:webHidden/>
          </w:rPr>
          <w:fldChar w:fldCharType="separate"/>
        </w:r>
        <w:r w:rsidR="003C4BC2">
          <w:rPr>
            <w:noProof/>
            <w:webHidden/>
          </w:rPr>
          <w:t>150</w:t>
        </w:r>
        <w:r w:rsidR="008811FC">
          <w:rPr>
            <w:noProof/>
            <w:webHidden/>
          </w:rPr>
          <w:fldChar w:fldCharType="end"/>
        </w:r>
      </w:hyperlink>
    </w:p>
    <w:p w14:paraId="3A61FEEC" w14:textId="3BE8FDBA" w:rsidR="008811FC" w:rsidRDefault="00A61B29">
      <w:pPr>
        <w:pStyle w:val="TOC2"/>
        <w:rPr>
          <w:rFonts w:asciiTheme="minorHAnsi" w:eastAsiaTheme="minorEastAsia" w:hAnsiTheme="minorHAnsi" w:cstheme="minorBidi"/>
          <w:noProof/>
          <w:color w:val="auto"/>
          <w:sz w:val="22"/>
          <w:lang w:eastAsia="en-AU"/>
        </w:rPr>
      </w:pPr>
      <w:hyperlink w:anchor="_Toc109996703" w:history="1">
        <w:r w:rsidR="008811FC" w:rsidRPr="00297248">
          <w:rPr>
            <w:rStyle w:val="Hyperlink"/>
            <w:rFonts w:eastAsiaTheme="majorEastAsia"/>
            <w:noProof/>
          </w:rPr>
          <w:t>Pharmacy services</w:t>
        </w:r>
        <w:r w:rsidR="008811FC">
          <w:rPr>
            <w:noProof/>
            <w:webHidden/>
          </w:rPr>
          <w:tab/>
        </w:r>
        <w:r w:rsidR="008811FC">
          <w:rPr>
            <w:noProof/>
            <w:webHidden/>
          </w:rPr>
          <w:fldChar w:fldCharType="begin"/>
        </w:r>
        <w:r w:rsidR="008811FC">
          <w:rPr>
            <w:noProof/>
            <w:webHidden/>
          </w:rPr>
          <w:instrText xml:space="preserve"> PAGEREF _Toc109996703 \h </w:instrText>
        </w:r>
        <w:r w:rsidR="008811FC">
          <w:rPr>
            <w:noProof/>
            <w:webHidden/>
          </w:rPr>
        </w:r>
        <w:r w:rsidR="008811FC">
          <w:rPr>
            <w:noProof/>
            <w:webHidden/>
          </w:rPr>
          <w:fldChar w:fldCharType="separate"/>
        </w:r>
        <w:r w:rsidR="003C4BC2">
          <w:rPr>
            <w:noProof/>
            <w:webHidden/>
          </w:rPr>
          <w:t>152</w:t>
        </w:r>
        <w:r w:rsidR="008811FC">
          <w:rPr>
            <w:noProof/>
            <w:webHidden/>
          </w:rPr>
          <w:fldChar w:fldCharType="end"/>
        </w:r>
      </w:hyperlink>
    </w:p>
    <w:p w14:paraId="5C7D6C43" w14:textId="538E4DE5" w:rsidR="008811FC" w:rsidRDefault="00A61B29">
      <w:pPr>
        <w:pStyle w:val="TOC2"/>
        <w:rPr>
          <w:rFonts w:asciiTheme="minorHAnsi" w:eastAsiaTheme="minorEastAsia" w:hAnsiTheme="minorHAnsi" w:cstheme="minorBidi"/>
          <w:noProof/>
          <w:color w:val="auto"/>
          <w:sz w:val="22"/>
          <w:lang w:eastAsia="en-AU"/>
        </w:rPr>
      </w:pPr>
      <w:hyperlink w:anchor="_Toc109996704" w:history="1">
        <w:r w:rsidR="008811FC" w:rsidRPr="00297248">
          <w:rPr>
            <w:rStyle w:val="Hyperlink"/>
            <w:rFonts w:eastAsiaTheme="majorEastAsia"/>
            <w:noProof/>
          </w:rPr>
          <w:t>ACCHS staff suggestions for HCH</w:t>
        </w:r>
        <w:r w:rsidR="008811FC">
          <w:rPr>
            <w:noProof/>
            <w:webHidden/>
          </w:rPr>
          <w:tab/>
        </w:r>
        <w:r w:rsidR="008811FC">
          <w:rPr>
            <w:noProof/>
            <w:webHidden/>
          </w:rPr>
          <w:fldChar w:fldCharType="begin"/>
        </w:r>
        <w:r w:rsidR="008811FC">
          <w:rPr>
            <w:noProof/>
            <w:webHidden/>
          </w:rPr>
          <w:instrText xml:space="preserve"> PAGEREF _Toc109996704 \h </w:instrText>
        </w:r>
        <w:r w:rsidR="008811FC">
          <w:rPr>
            <w:noProof/>
            <w:webHidden/>
          </w:rPr>
        </w:r>
        <w:r w:rsidR="008811FC">
          <w:rPr>
            <w:noProof/>
            <w:webHidden/>
          </w:rPr>
          <w:fldChar w:fldCharType="separate"/>
        </w:r>
        <w:r w:rsidR="003C4BC2">
          <w:rPr>
            <w:noProof/>
            <w:webHidden/>
          </w:rPr>
          <w:t>153</w:t>
        </w:r>
        <w:r w:rsidR="008811FC">
          <w:rPr>
            <w:noProof/>
            <w:webHidden/>
          </w:rPr>
          <w:fldChar w:fldCharType="end"/>
        </w:r>
      </w:hyperlink>
    </w:p>
    <w:p w14:paraId="52AF3FF3" w14:textId="185F95FF" w:rsidR="008811FC" w:rsidRDefault="00A61B29">
      <w:pPr>
        <w:pStyle w:val="TOC1"/>
        <w:rPr>
          <w:rFonts w:asciiTheme="minorHAnsi" w:eastAsiaTheme="minorEastAsia" w:hAnsiTheme="minorHAnsi" w:cstheme="minorBidi"/>
          <w:i w:val="0"/>
          <w:noProof/>
          <w:color w:val="auto"/>
          <w:sz w:val="22"/>
          <w:lang w:val="en-AU" w:eastAsia="en-AU"/>
        </w:rPr>
      </w:pPr>
      <w:hyperlink w:anchor="_Toc109996705" w:history="1">
        <w:r w:rsidR="008811FC" w:rsidRPr="00297248">
          <w:rPr>
            <w:rStyle w:val="Hyperlink"/>
            <w:noProof/>
          </w:rPr>
          <w:t>13.</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Effects of location, size, ownership or patient volume</w:t>
        </w:r>
        <w:r w:rsidR="008811FC">
          <w:rPr>
            <w:noProof/>
            <w:webHidden/>
          </w:rPr>
          <w:tab/>
        </w:r>
        <w:r w:rsidR="008811FC">
          <w:rPr>
            <w:noProof/>
            <w:webHidden/>
          </w:rPr>
          <w:fldChar w:fldCharType="begin"/>
        </w:r>
        <w:r w:rsidR="008811FC">
          <w:rPr>
            <w:noProof/>
            <w:webHidden/>
          </w:rPr>
          <w:instrText xml:space="preserve"> PAGEREF _Toc109996705 \h </w:instrText>
        </w:r>
        <w:r w:rsidR="008811FC">
          <w:rPr>
            <w:noProof/>
            <w:webHidden/>
          </w:rPr>
        </w:r>
        <w:r w:rsidR="008811FC">
          <w:rPr>
            <w:noProof/>
            <w:webHidden/>
          </w:rPr>
          <w:fldChar w:fldCharType="separate"/>
        </w:r>
        <w:r w:rsidR="003C4BC2">
          <w:rPr>
            <w:noProof/>
            <w:webHidden/>
          </w:rPr>
          <w:t>155</w:t>
        </w:r>
        <w:r w:rsidR="008811FC">
          <w:rPr>
            <w:noProof/>
            <w:webHidden/>
          </w:rPr>
          <w:fldChar w:fldCharType="end"/>
        </w:r>
      </w:hyperlink>
    </w:p>
    <w:p w14:paraId="28351F8D" w14:textId="696D73CF" w:rsidR="008811FC" w:rsidRDefault="00A61B29">
      <w:pPr>
        <w:pStyle w:val="TOC2"/>
        <w:rPr>
          <w:rFonts w:asciiTheme="minorHAnsi" w:eastAsiaTheme="minorEastAsia" w:hAnsiTheme="minorHAnsi" w:cstheme="minorBidi"/>
          <w:noProof/>
          <w:color w:val="auto"/>
          <w:sz w:val="22"/>
          <w:lang w:eastAsia="en-AU"/>
        </w:rPr>
      </w:pPr>
      <w:hyperlink w:anchor="_Toc109996706" w:history="1">
        <w:r w:rsidR="008811FC" w:rsidRPr="00297248">
          <w:rPr>
            <w:rStyle w:val="Hyperlink"/>
            <w:noProof/>
          </w:rPr>
          <w:t>Rural and remote vs metropolitan-based practices</w:t>
        </w:r>
        <w:r w:rsidR="008811FC">
          <w:rPr>
            <w:noProof/>
            <w:webHidden/>
          </w:rPr>
          <w:tab/>
        </w:r>
        <w:r w:rsidR="008811FC">
          <w:rPr>
            <w:noProof/>
            <w:webHidden/>
          </w:rPr>
          <w:fldChar w:fldCharType="begin"/>
        </w:r>
        <w:r w:rsidR="008811FC">
          <w:rPr>
            <w:noProof/>
            <w:webHidden/>
          </w:rPr>
          <w:instrText xml:space="preserve"> PAGEREF _Toc109996706 \h </w:instrText>
        </w:r>
        <w:r w:rsidR="008811FC">
          <w:rPr>
            <w:noProof/>
            <w:webHidden/>
          </w:rPr>
        </w:r>
        <w:r w:rsidR="008811FC">
          <w:rPr>
            <w:noProof/>
            <w:webHidden/>
          </w:rPr>
          <w:fldChar w:fldCharType="separate"/>
        </w:r>
        <w:r w:rsidR="003C4BC2">
          <w:rPr>
            <w:noProof/>
            <w:webHidden/>
          </w:rPr>
          <w:t>155</w:t>
        </w:r>
        <w:r w:rsidR="008811FC">
          <w:rPr>
            <w:noProof/>
            <w:webHidden/>
          </w:rPr>
          <w:fldChar w:fldCharType="end"/>
        </w:r>
      </w:hyperlink>
    </w:p>
    <w:p w14:paraId="190828A3" w14:textId="63836A8A" w:rsidR="008811FC" w:rsidRDefault="00A61B29">
      <w:pPr>
        <w:pStyle w:val="TOC2"/>
        <w:rPr>
          <w:rFonts w:asciiTheme="minorHAnsi" w:eastAsiaTheme="minorEastAsia" w:hAnsiTheme="minorHAnsi" w:cstheme="minorBidi"/>
          <w:noProof/>
          <w:color w:val="auto"/>
          <w:sz w:val="22"/>
          <w:lang w:eastAsia="en-AU"/>
        </w:rPr>
      </w:pPr>
      <w:hyperlink w:anchor="_Toc109996707" w:history="1">
        <w:r w:rsidR="008811FC" w:rsidRPr="00297248">
          <w:rPr>
            <w:rStyle w:val="Hyperlink"/>
            <w:noProof/>
          </w:rPr>
          <w:t>Small vs large practices</w:t>
        </w:r>
        <w:r w:rsidR="008811FC">
          <w:rPr>
            <w:noProof/>
            <w:webHidden/>
          </w:rPr>
          <w:tab/>
        </w:r>
        <w:r w:rsidR="008811FC">
          <w:rPr>
            <w:noProof/>
            <w:webHidden/>
          </w:rPr>
          <w:fldChar w:fldCharType="begin"/>
        </w:r>
        <w:r w:rsidR="008811FC">
          <w:rPr>
            <w:noProof/>
            <w:webHidden/>
          </w:rPr>
          <w:instrText xml:space="preserve"> PAGEREF _Toc109996707 \h </w:instrText>
        </w:r>
        <w:r w:rsidR="008811FC">
          <w:rPr>
            <w:noProof/>
            <w:webHidden/>
          </w:rPr>
        </w:r>
        <w:r w:rsidR="008811FC">
          <w:rPr>
            <w:noProof/>
            <w:webHidden/>
          </w:rPr>
          <w:fldChar w:fldCharType="separate"/>
        </w:r>
        <w:r w:rsidR="003C4BC2">
          <w:rPr>
            <w:noProof/>
            <w:webHidden/>
          </w:rPr>
          <w:t>159</w:t>
        </w:r>
        <w:r w:rsidR="008811FC">
          <w:rPr>
            <w:noProof/>
            <w:webHidden/>
          </w:rPr>
          <w:fldChar w:fldCharType="end"/>
        </w:r>
      </w:hyperlink>
    </w:p>
    <w:p w14:paraId="690BA278" w14:textId="2EC61C87" w:rsidR="008811FC" w:rsidRDefault="00A61B29">
      <w:pPr>
        <w:pStyle w:val="TOC2"/>
        <w:rPr>
          <w:rFonts w:asciiTheme="minorHAnsi" w:eastAsiaTheme="minorEastAsia" w:hAnsiTheme="minorHAnsi" w:cstheme="minorBidi"/>
          <w:noProof/>
          <w:color w:val="auto"/>
          <w:sz w:val="22"/>
          <w:lang w:eastAsia="en-AU"/>
        </w:rPr>
      </w:pPr>
      <w:hyperlink w:anchor="_Toc109996708" w:history="1">
        <w:r w:rsidR="008811FC" w:rsidRPr="00297248">
          <w:rPr>
            <w:rStyle w:val="Hyperlink"/>
            <w:noProof/>
          </w:rPr>
          <w:t>Corporate vs independently-owned practices</w:t>
        </w:r>
        <w:r w:rsidR="008811FC">
          <w:rPr>
            <w:noProof/>
            <w:webHidden/>
          </w:rPr>
          <w:tab/>
        </w:r>
        <w:r w:rsidR="008811FC">
          <w:rPr>
            <w:noProof/>
            <w:webHidden/>
          </w:rPr>
          <w:fldChar w:fldCharType="begin"/>
        </w:r>
        <w:r w:rsidR="008811FC">
          <w:rPr>
            <w:noProof/>
            <w:webHidden/>
          </w:rPr>
          <w:instrText xml:space="preserve"> PAGEREF _Toc109996708 \h </w:instrText>
        </w:r>
        <w:r w:rsidR="008811FC">
          <w:rPr>
            <w:noProof/>
            <w:webHidden/>
          </w:rPr>
        </w:r>
        <w:r w:rsidR="008811FC">
          <w:rPr>
            <w:noProof/>
            <w:webHidden/>
          </w:rPr>
          <w:fldChar w:fldCharType="separate"/>
        </w:r>
        <w:r w:rsidR="003C4BC2">
          <w:rPr>
            <w:noProof/>
            <w:webHidden/>
          </w:rPr>
          <w:t>160</w:t>
        </w:r>
        <w:r w:rsidR="008811FC">
          <w:rPr>
            <w:noProof/>
            <w:webHidden/>
          </w:rPr>
          <w:fldChar w:fldCharType="end"/>
        </w:r>
      </w:hyperlink>
    </w:p>
    <w:p w14:paraId="7E64CAB4" w14:textId="3AABA617" w:rsidR="008811FC" w:rsidRDefault="00A61B29">
      <w:pPr>
        <w:pStyle w:val="TOC2"/>
        <w:rPr>
          <w:rFonts w:asciiTheme="minorHAnsi" w:eastAsiaTheme="minorEastAsia" w:hAnsiTheme="minorHAnsi" w:cstheme="minorBidi"/>
          <w:noProof/>
          <w:color w:val="auto"/>
          <w:sz w:val="22"/>
          <w:lang w:eastAsia="en-AU"/>
        </w:rPr>
      </w:pPr>
      <w:hyperlink w:anchor="_Toc109996709" w:history="1">
        <w:r w:rsidR="008811FC" w:rsidRPr="00297248">
          <w:rPr>
            <w:rStyle w:val="Hyperlink"/>
            <w:noProof/>
          </w:rPr>
          <w:t>Practices with high vs low patient enrolments</w:t>
        </w:r>
        <w:r w:rsidR="008811FC">
          <w:rPr>
            <w:noProof/>
            <w:webHidden/>
          </w:rPr>
          <w:tab/>
        </w:r>
        <w:r w:rsidR="008811FC">
          <w:rPr>
            <w:noProof/>
            <w:webHidden/>
          </w:rPr>
          <w:fldChar w:fldCharType="begin"/>
        </w:r>
        <w:r w:rsidR="008811FC">
          <w:rPr>
            <w:noProof/>
            <w:webHidden/>
          </w:rPr>
          <w:instrText xml:space="preserve"> PAGEREF _Toc109996709 \h </w:instrText>
        </w:r>
        <w:r w:rsidR="008811FC">
          <w:rPr>
            <w:noProof/>
            <w:webHidden/>
          </w:rPr>
        </w:r>
        <w:r w:rsidR="008811FC">
          <w:rPr>
            <w:noProof/>
            <w:webHidden/>
          </w:rPr>
          <w:fldChar w:fldCharType="separate"/>
        </w:r>
        <w:r w:rsidR="003C4BC2">
          <w:rPr>
            <w:noProof/>
            <w:webHidden/>
          </w:rPr>
          <w:t>161</w:t>
        </w:r>
        <w:r w:rsidR="008811FC">
          <w:rPr>
            <w:noProof/>
            <w:webHidden/>
          </w:rPr>
          <w:fldChar w:fldCharType="end"/>
        </w:r>
      </w:hyperlink>
    </w:p>
    <w:p w14:paraId="7BC157EB" w14:textId="00368652" w:rsidR="008811FC" w:rsidRDefault="00A61B29">
      <w:pPr>
        <w:pStyle w:val="TOC1"/>
        <w:rPr>
          <w:rFonts w:asciiTheme="minorHAnsi" w:eastAsiaTheme="minorEastAsia" w:hAnsiTheme="minorHAnsi" w:cstheme="minorBidi"/>
          <w:i w:val="0"/>
          <w:noProof/>
          <w:color w:val="auto"/>
          <w:sz w:val="22"/>
          <w:lang w:val="en-AU" w:eastAsia="en-AU"/>
        </w:rPr>
      </w:pPr>
      <w:hyperlink w:anchor="_Toc109996710" w:history="1">
        <w:r w:rsidR="008811FC" w:rsidRPr="00297248">
          <w:rPr>
            <w:rStyle w:val="Hyperlink"/>
            <w:noProof/>
          </w:rPr>
          <w:t>14.</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Staff experience</w:t>
        </w:r>
        <w:r w:rsidR="008811FC">
          <w:rPr>
            <w:noProof/>
            <w:webHidden/>
          </w:rPr>
          <w:tab/>
        </w:r>
        <w:r w:rsidR="008811FC">
          <w:rPr>
            <w:noProof/>
            <w:webHidden/>
          </w:rPr>
          <w:fldChar w:fldCharType="begin"/>
        </w:r>
        <w:r w:rsidR="008811FC">
          <w:rPr>
            <w:noProof/>
            <w:webHidden/>
          </w:rPr>
          <w:instrText xml:space="preserve"> PAGEREF _Toc109996710 \h </w:instrText>
        </w:r>
        <w:r w:rsidR="008811FC">
          <w:rPr>
            <w:noProof/>
            <w:webHidden/>
          </w:rPr>
        </w:r>
        <w:r w:rsidR="008811FC">
          <w:rPr>
            <w:noProof/>
            <w:webHidden/>
          </w:rPr>
          <w:fldChar w:fldCharType="separate"/>
        </w:r>
        <w:r w:rsidR="003C4BC2">
          <w:rPr>
            <w:noProof/>
            <w:webHidden/>
          </w:rPr>
          <w:t>162</w:t>
        </w:r>
        <w:r w:rsidR="008811FC">
          <w:rPr>
            <w:noProof/>
            <w:webHidden/>
          </w:rPr>
          <w:fldChar w:fldCharType="end"/>
        </w:r>
      </w:hyperlink>
    </w:p>
    <w:p w14:paraId="4356CE61" w14:textId="0E5682CD" w:rsidR="008811FC" w:rsidRDefault="00A61B29">
      <w:pPr>
        <w:pStyle w:val="TOC2"/>
        <w:rPr>
          <w:rFonts w:asciiTheme="minorHAnsi" w:eastAsiaTheme="minorEastAsia" w:hAnsiTheme="minorHAnsi" w:cstheme="minorBidi"/>
          <w:noProof/>
          <w:color w:val="auto"/>
          <w:sz w:val="22"/>
          <w:lang w:eastAsia="en-AU"/>
        </w:rPr>
      </w:pPr>
      <w:hyperlink w:anchor="_Toc109996711" w:history="1">
        <w:r w:rsidR="008811FC" w:rsidRPr="00297248">
          <w:rPr>
            <w:rStyle w:val="Hyperlink"/>
            <w:noProof/>
            <w:lang w:val="en-GB"/>
          </w:rPr>
          <w:t>Overview</w:t>
        </w:r>
        <w:r w:rsidR="008811FC">
          <w:rPr>
            <w:noProof/>
            <w:webHidden/>
          </w:rPr>
          <w:tab/>
        </w:r>
        <w:r w:rsidR="008811FC">
          <w:rPr>
            <w:noProof/>
            <w:webHidden/>
          </w:rPr>
          <w:fldChar w:fldCharType="begin"/>
        </w:r>
        <w:r w:rsidR="008811FC">
          <w:rPr>
            <w:noProof/>
            <w:webHidden/>
          </w:rPr>
          <w:instrText xml:space="preserve"> PAGEREF _Toc109996711 \h </w:instrText>
        </w:r>
        <w:r w:rsidR="008811FC">
          <w:rPr>
            <w:noProof/>
            <w:webHidden/>
          </w:rPr>
        </w:r>
        <w:r w:rsidR="008811FC">
          <w:rPr>
            <w:noProof/>
            <w:webHidden/>
          </w:rPr>
          <w:fldChar w:fldCharType="separate"/>
        </w:r>
        <w:r w:rsidR="003C4BC2">
          <w:rPr>
            <w:noProof/>
            <w:webHidden/>
          </w:rPr>
          <w:t>162</w:t>
        </w:r>
        <w:r w:rsidR="008811FC">
          <w:rPr>
            <w:noProof/>
            <w:webHidden/>
          </w:rPr>
          <w:fldChar w:fldCharType="end"/>
        </w:r>
      </w:hyperlink>
    </w:p>
    <w:p w14:paraId="74382A63" w14:textId="0CE128DF" w:rsidR="008811FC" w:rsidRDefault="00A61B29">
      <w:pPr>
        <w:pStyle w:val="TOC2"/>
        <w:rPr>
          <w:rFonts w:asciiTheme="minorHAnsi" w:eastAsiaTheme="minorEastAsia" w:hAnsiTheme="minorHAnsi" w:cstheme="minorBidi"/>
          <w:noProof/>
          <w:color w:val="auto"/>
          <w:sz w:val="22"/>
          <w:lang w:eastAsia="en-AU"/>
        </w:rPr>
      </w:pPr>
      <w:hyperlink w:anchor="_Toc109996712" w:history="1">
        <w:r w:rsidR="008811FC" w:rsidRPr="00297248">
          <w:rPr>
            <w:rStyle w:val="Hyperlink"/>
            <w:noProof/>
            <w:lang w:val="en-GB"/>
          </w:rPr>
          <w:t>General practitioners</w:t>
        </w:r>
        <w:r w:rsidR="008811FC">
          <w:rPr>
            <w:noProof/>
            <w:webHidden/>
          </w:rPr>
          <w:tab/>
        </w:r>
        <w:r w:rsidR="008811FC">
          <w:rPr>
            <w:noProof/>
            <w:webHidden/>
          </w:rPr>
          <w:fldChar w:fldCharType="begin"/>
        </w:r>
        <w:r w:rsidR="008811FC">
          <w:rPr>
            <w:noProof/>
            <w:webHidden/>
          </w:rPr>
          <w:instrText xml:space="preserve"> PAGEREF _Toc109996712 \h </w:instrText>
        </w:r>
        <w:r w:rsidR="008811FC">
          <w:rPr>
            <w:noProof/>
            <w:webHidden/>
          </w:rPr>
        </w:r>
        <w:r w:rsidR="008811FC">
          <w:rPr>
            <w:noProof/>
            <w:webHidden/>
          </w:rPr>
          <w:fldChar w:fldCharType="separate"/>
        </w:r>
        <w:r w:rsidR="003C4BC2">
          <w:rPr>
            <w:noProof/>
            <w:webHidden/>
          </w:rPr>
          <w:t>167</w:t>
        </w:r>
        <w:r w:rsidR="008811FC">
          <w:rPr>
            <w:noProof/>
            <w:webHidden/>
          </w:rPr>
          <w:fldChar w:fldCharType="end"/>
        </w:r>
      </w:hyperlink>
    </w:p>
    <w:p w14:paraId="29BF1F49" w14:textId="02BEB9EC" w:rsidR="008811FC" w:rsidRDefault="00A61B29">
      <w:pPr>
        <w:pStyle w:val="TOC2"/>
        <w:rPr>
          <w:rFonts w:asciiTheme="minorHAnsi" w:eastAsiaTheme="minorEastAsia" w:hAnsiTheme="minorHAnsi" w:cstheme="minorBidi"/>
          <w:noProof/>
          <w:color w:val="auto"/>
          <w:sz w:val="22"/>
          <w:lang w:eastAsia="en-AU"/>
        </w:rPr>
      </w:pPr>
      <w:hyperlink w:anchor="_Toc109996713" w:history="1">
        <w:r w:rsidR="008811FC" w:rsidRPr="00297248">
          <w:rPr>
            <w:rStyle w:val="Hyperlink"/>
            <w:noProof/>
            <w:lang w:val="en-GB"/>
          </w:rPr>
          <w:t>Receptionists and administrative staff</w:t>
        </w:r>
        <w:r w:rsidR="008811FC">
          <w:rPr>
            <w:noProof/>
            <w:webHidden/>
          </w:rPr>
          <w:tab/>
        </w:r>
        <w:r w:rsidR="008811FC">
          <w:rPr>
            <w:noProof/>
            <w:webHidden/>
          </w:rPr>
          <w:fldChar w:fldCharType="begin"/>
        </w:r>
        <w:r w:rsidR="008811FC">
          <w:rPr>
            <w:noProof/>
            <w:webHidden/>
          </w:rPr>
          <w:instrText xml:space="preserve"> PAGEREF _Toc109996713 \h </w:instrText>
        </w:r>
        <w:r w:rsidR="008811FC">
          <w:rPr>
            <w:noProof/>
            <w:webHidden/>
          </w:rPr>
        </w:r>
        <w:r w:rsidR="008811FC">
          <w:rPr>
            <w:noProof/>
            <w:webHidden/>
          </w:rPr>
          <w:fldChar w:fldCharType="separate"/>
        </w:r>
        <w:r w:rsidR="003C4BC2">
          <w:rPr>
            <w:noProof/>
            <w:webHidden/>
          </w:rPr>
          <w:t>169</w:t>
        </w:r>
        <w:r w:rsidR="008811FC">
          <w:rPr>
            <w:noProof/>
            <w:webHidden/>
          </w:rPr>
          <w:fldChar w:fldCharType="end"/>
        </w:r>
      </w:hyperlink>
    </w:p>
    <w:p w14:paraId="24200F29" w14:textId="1B84F5DF" w:rsidR="008811FC" w:rsidRDefault="00A61B29">
      <w:pPr>
        <w:pStyle w:val="TOC2"/>
        <w:rPr>
          <w:rFonts w:asciiTheme="minorHAnsi" w:eastAsiaTheme="minorEastAsia" w:hAnsiTheme="minorHAnsi" w:cstheme="minorBidi"/>
          <w:noProof/>
          <w:color w:val="auto"/>
          <w:sz w:val="22"/>
          <w:lang w:eastAsia="en-AU"/>
        </w:rPr>
      </w:pPr>
      <w:hyperlink w:anchor="_Toc109996714" w:history="1">
        <w:r w:rsidR="008811FC" w:rsidRPr="00297248">
          <w:rPr>
            <w:rStyle w:val="Hyperlink"/>
            <w:noProof/>
            <w:lang w:val="en-GB"/>
          </w:rPr>
          <w:t>Practice managers</w:t>
        </w:r>
        <w:r w:rsidR="008811FC">
          <w:rPr>
            <w:noProof/>
            <w:webHidden/>
          </w:rPr>
          <w:tab/>
        </w:r>
        <w:r w:rsidR="008811FC">
          <w:rPr>
            <w:noProof/>
            <w:webHidden/>
          </w:rPr>
          <w:fldChar w:fldCharType="begin"/>
        </w:r>
        <w:r w:rsidR="008811FC">
          <w:rPr>
            <w:noProof/>
            <w:webHidden/>
          </w:rPr>
          <w:instrText xml:space="preserve"> PAGEREF _Toc109996714 \h </w:instrText>
        </w:r>
        <w:r w:rsidR="008811FC">
          <w:rPr>
            <w:noProof/>
            <w:webHidden/>
          </w:rPr>
        </w:r>
        <w:r w:rsidR="008811FC">
          <w:rPr>
            <w:noProof/>
            <w:webHidden/>
          </w:rPr>
          <w:fldChar w:fldCharType="separate"/>
        </w:r>
        <w:r w:rsidR="003C4BC2">
          <w:rPr>
            <w:noProof/>
            <w:webHidden/>
          </w:rPr>
          <w:t>170</w:t>
        </w:r>
        <w:r w:rsidR="008811FC">
          <w:rPr>
            <w:noProof/>
            <w:webHidden/>
          </w:rPr>
          <w:fldChar w:fldCharType="end"/>
        </w:r>
      </w:hyperlink>
    </w:p>
    <w:p w14:paraId="7CF250FD" w14:textId="64EFB52E" w:rsidR="008811FC" w:rsidRDefault="00A61B29">
      <w:pPr>
        <w:pStyle w:val="TOC1"/>
        <w:rPr>
          <w:rFonts w:asciiTheme="minorHAnsi" w:eastAsiaTheme="minorEastAsia" w:hAnsiTheme="minorHAnsi" w:cstheme="minorBidi"/>
          <w:i w:val="0"/>
          <w:noProof/>
          <w:color w:val="auto"/>
          <w:sz w:val="22"/>
          <w:lang w:val="en-AU" w:eastAsia="en-AU"/>
        </w:rPr>
      </w:pPr>
      <w:hyperlink w:anchor="_Toc109996715" w:history="1">
        <w:r w:rsidR="008811FC" w:rsidRPr="00297248">
          <w:rPr>
            <w:rStyle w:val="Hyperlink"/>
            <w:noProof/>
          </w:rPr>
          <w:t>Key evaluation question 3: Do patients enrolled in HCH experience better quality care?</w:t>
        </w:r>
        <w:r w:rsidR="008811FC">
          <w:rPr>
            <w:noProof/>
            <w:webHidden/>
          </w:rPr>
          <w:tab/>
        </w:r>
        <w:r w:rsidR="008811FC">
          <w:rPr>
            <w:noProof/>
            <w:webHidden/>
          </w:rPr>
          <w:fldChar w:fldCharType="begin"/>
        </w:r>
        <w:r w:rsidR="008811FC">
          <w:rPr>
            <w:noProof/>
            <w:webHidden/>
          </w:rPr>
          <w:instrText xml:space="preserve"> PAGEREF _Toc109996715 \h </w:instrText>
        </w:r>
        <w:r w:rsidR="008811FC">
          <w:rPr>
            <w:noProof/>
            <w:webHidden/>
          </w:rPr>
        </w:r>
        <w:r w:rsidR="008811FC">
          <w:rPr>
            <w:noProof/>
            <w:webHidden/>
          </w:rPr>
          <w:fldChar w:fldCharType="separate"/>
        </w:r>
        <w:r w:rsidR="003C4BC2">
          <w:rPr>
            <w:noProof/>
            <w:webHidden/>
          </w:rPr>
          <w:t>172</w:t>
        </w:r>
        <w:r w:rsidR="008811FC">
          <w:rPr>
            <w:noProof/>
            <w:webHidden/>
          </w:rPr>
          <w:fldChar w:fldCharType="end"/>
        </w:r>
      </w:hyperlink>
    </w:p>
    <w:p w14:paraId="7719E37B" w14:textId="270CAB38" w:rsidR="008811FC" w:rsidRDefault="00A61B29">
      <w:pPr>
        <w:pStyle w:val="TOC1"/>
        <w:rPr>
          <w:rFonts w:asciiTheme="minorHAnsi" w:eastAsiaTheme="minorEastAsia" w:hAnsiTheme="minorHAnsi" w:cstheme="minorBidi"/>
          <w:i w:val="0"/>
          <w:noProof/>
          <w:color w:val="auto"/>
          <w:sz w:val="22"/>
          <w:lang w:val="en-AU" w:eastAsia="en-AU"/>
        </w:rPr>
      </w:pPr>
      <w:hyperlink w:anchor="_Toc109996716" w:history="1">
        <w:r w:rsidR="008811FC" w:rsidRPr="00297248">
          <w:rPr>
            <w:rStyle w:val="Hyperlink"/>
            <w:noProof/>
          </w:rPr>
          <w:t>15.</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Changes to chronic disease management</w:t>
        </w:r>
        <w:r w:rsidR="008811FC">
          <w:rPr>
            <w:noProof/>
            <w:webHidden/>
          </w:rPr>
          <w:tab/>
        </w:r>
        <w:r w:rsidR="008811FC">
          <w:rPr>
            <w:noProof/>
            <w:webHidden/>
          </w:rPr>
          <w:fldChar w:fldCharType="begin"/>
        </w:r>
        <w:r w:rsidR="008811FC">
          <w:rPr>
            <w:noProof/>
            <w:webHidden/>
          </w:rPr>
          <w:instrText xml:space="preserve"> PAGEREF _Toc109996716 \h </w:instrText>
        </w:r>
        <w:r w:rsidR="008811FC">
          <w:rPr>
            <w:noProof/>
            <w:webHidden/>
          </w:rPr>
        </w:r>
        <w:r w:rsidR="008811FC">
          <w:rPr>
            <w:noProof/>
            <w:webHidden/>
          </w:rPr>
          <w:fldChar w:fldCharType="separate"/>
        </w:r>
        <w:r w:rsidR="003C4BC2">
          <w:rPr>
            <w:noProof/>
            <w:webHidden/>
          </w:rPr>
          <w:t>173</w:t>
        </w:r>
        <w:r w:rsidR="008811FC">
          <w:rPr>
            <w:noProof/>
            <w:webHidden/>
          </w:rPr>
          <w:fldChar w:fldCharType="end"/>
        </w:r>
      </w:hyperlink>
    </w:p>
    <w:p w14:paraId="3738E357" w14:textId="2E8A4445" w:rsidR="008811FC" w:rsidRDefault="00A61B29">
      <w:pPr>
        <w:pStyle w:val="TOC2"/>
        <w:rPr>
          <w:rFonts w:asciiTheme="minorHAnsi" w:eastAsiaTheme="minorEastAsia" w:hAnsiTheme="minorHAnsi" w:cstheme="minorBidi"/>
          <w:noProof/>
          <w:color w:val="auto"/>
          <w:sz w:val="22"/>
          <w:lang w:eastAsia="en-AU"/>
        </w:rPr>
      </w:pPr>
      <w:hyperlink w:anchor="_Toc109996717" w:history="1">
        <w:r w:rsidR="008811FC" w:rsidRPr="00297248">
          <w:rPr>
            <w:rStyle w:val="Hyperlink"/>
            <w:rFonts w:eastAsia="Muli"/>
            <w:noProof/>
          </w:rPr>
          <w:t>Measuring changes in chronic disease management</w:t>
        </w:r>
        <w:r w:rsidR="008811FC">
          <w:rPr>
            <w:noProof/>
            <w:webHidden/>
          </w:rPr>
          <w:tab/>
        </w:r>
        <w:r w:rsidR="008811FC">
          <w:rPr>
            <w:noProof/>
            <w:webHidden/>
          </w:rPr>
          <w:fldChar w:fldCharType="begin"/>
        </w:r>
        <w:r w:rsidR="008811FC">
          <w:rPr>
            <w:noProof/>
            <w:webHidden/>
          </w:rPr>
          <w:instrText xml:space="preserve"> PAGEREF _Toc109996717 \h </w:instrText>
        </w:r>
        <w:r w:rsidR="008811FC">
          <w:rPr>
            <w:noProof/>
            <w:webHidden/>
          </w:rPr>
        </w:r>
        <w:r w:rsidR="008811FC">
          <w:rPr>
            <w:noProof/>
            <w:webHidden/>
          </w:rPr>
          <w:fldChar w:fldCharType="separate"/>
        </w:r>
        <w:r w:rsidR="003C4BC2">
          <w:rPr>
            <w:noProof/>
            <w:webHidden/>
          </w:rPr>
          <w:t>174</w:t>
        </w:r>
        <w:r w:rsidR="008811FC">
          <w:rPr>
            <w:noProof/>
            <w:webHidden/>
          </w:rPr>
          <w:fldChar w:fldCharType="end"/>
        </w:r>
      </w:hyperlink>
    </w:p>
    <w:p w14:paraId="1C764B9C" w14:textId="3AB3D5AA" w:rsidR="008811FC" w:rsidRDefault="00A61B29">
      <w:pPr>
        <w:pStyle w:val="TOC2"/>
        <w:rPr>
          <w:rFonts w:asciiTheme="minorHAnsi" w:eastAsiaTheme="minorEastAsia" w:hAnsiTheme="minorHAnsi" w:cstheme="minorBidi"/>
          <w:noProof/>
          <w:color w:val="auto"/>
          <w:sz w:val="22"/>
          <w:lang w:eastAsia="en-AU"/>
        </w:rPr>
      </w:pPr>
      <w:hyperlink w:anchor="_Toc109996718" w:history="1">
        <w:r w:rsidR="008811FC" w:rsidRPr="00297248">
          <w:rPr>
            <w:rStyle w:val="Hyperlink"/>
            <w:rFonts w:eastAsia="Muli"/>
            <w:noProof/>
          </w:rPr>
          <w:t>Impact of COVID-19</w:t>
        </w:r>
        <w:r w:rsidR="008811FC">
          <w:rPr>
            <w:noProof/>
            <w:webHidden/>
          </w:rPr>
          <w:tab/>
        </w:r>
        <w:r w:rsidR="008811FC">
          <w:rPr>
            <w:noProof/>
            <w:webHidden/>
          </w:rPr>
          <w:fldChar w:fldCharType="begin"/>
        </w:r>
        <w:r w:rsidR="008811FC">
          <w:rPr>
            <w:noProof/>
            <w:webHidden/>
          </w:rPr>
          <w:instrText xml:space="preserve"> PAGEREF _Toc109996718 \h </w:instrText>
        </w:r>
        <w:r w:rsidR="008811FC">
          <w:rPr>
            <w:noProof/>
            <w:webHidden/>
          </w:rPr>
        </w:r>
        <w:r w:rsidR="008811FC">
          <w:rPr>
            <w:noProof/>
            <w:webHidden/>
          </w:rPr>
          <w:fldChar w:fldCharType="separate"/>
        </w:r>
        <w:r w:rsidR="003C4BC2">
          <w:rPr>
            <w:noProof/>
            <w:webHidden/>
          </w:rPr>
          <w:t>175</w:t>
        </w:r>
        <w:r w:rsidR="008811FC">
          <w:rPr>
            <w:noProof/>
            <w:webHidden/>
          </w:rPr>
          <w:fldChar w:fldCharType="end"/>
        </w:r>
      </w:hyperlink>
    </w:p>
    <w:p w14:paraId="013F72B2" w14:textId="708A0F98" w:rsidR="008811FC" w:rsidRDefault="00A61B29">
      <w:pPr>
        <w:pStyle w:val="TOC2"/>
        <w:rPr>
          <w:rFonts w:asciiTheme="minorHAnsi" w:eastAsiaTheme="minorEastAsia" w:hAnsiTheme="minorHAnsi" w:cstheme="minorBidi"/>
          <w:noProof/>
          <w:color w:val="auto"/>
          <w:sz w:val="22"/>
          <w:lang w:eastAsia="en-AU"/>
        </w:rPr>
      </w:pPr>
      <w:hyperlink w:anchor="_Toc109996719" w:history="1">
        <w:r w:rsidR="008811FC" w:rsidRPr="00297248">
          <w:rPr>
            <w:rStyle w:val="Hyperlink"/>
            <w:noProof/>
          </w:rPr>
          <w:t>Encounters with health care providers within the practice</w:t>
        </w:r>
        <w:r w:rsidR="008811FC">
          <w:rPr>
            <w:noProof/>
            <w:webHidden/>
          </w:rPr>
          <w:tab/>
        </w:r>
        <w:r w:rsidR="008811FC">
          <w:rPr>
            <w:noProof/>
            <w:webHidden/>
          </w:rPr>
          <w:fldChar w:fldCharType="begin"/>
        </w:r>
        <w:r w:rsidR="008811FC">
          <w:rPr>
            <w:noProof/>
            <w:webHidden/>
          </w:rPr>
          <w:instrText xml:space="preserve"> PAGEREF _Toc109996719 \h </w:instrText>
        </w:r>
        <w:r w:rsidR="008811FC">
          <w:rPr>
            <w:noProof/>
            <w:webHidden/>
          </w:rPr>
        </w:r>
        <w:r w:rsidR="008811FC">
          <w:rPr>
            <w:noProof/>
            <w:webHidden/>
          </w:rPr>
          <w:fldChar w:fldCharType="separate"/>
        </w:r>
        <w:r w:rsidR="003C4BC2">
          <w:rPr>
            <w:noProof/>
            <w:webHidden/>
          </w:rPr>
          <w:t>175</w:t>
        </w:r>
        <w:r w:rsidR="008811FC">
          <w:rPr>
            <w:noProof/>
            <w:webHidden/>
          </w:rPr>
          <w:fldChar w:fldCharType="end"/>
        </w:r>
      </w:hyperlink>
    </w:p>
    <w:p w14:paraId="7A1FD407" w14:textId="3F2AE97C" w:rsidR="008811FC" w:rsidRDefault="00A61B29">
      <w:pPr>
        <w:pStyle w:val="TOC2"/>
        <w:rPr>
          <w:rFonts w:asciiTheme="minorHAnsi" w:eastAsiaTheme="minorEastAsia" w:hAnsiTheme="minorHAnsi" w:cstheme="minorBidi"/>
          <w:noProof/>
          <w:color w:val="auto"/>
          <w:sz w:val="22"/>
          <w:lang w:eastAsia="en-AU"/>
        </w:rPr>
      </w:pPr>
      <w:hyperlink w:anchor="_Toc109996720" w:history="1">
        <w:r w:rsidR="008811FC" w:rsidRPr="00297248">
          <w:rPr>
            <w:rStyle w:val="Hyperlink"/>
            <w:noProof/>
          </w:rPr>
          <w:t>Monitoring of clinical measures</w:t>
        </w:r>
        <w:r w:rsidR="008811FC">
          <w:rPr>
            <w:noProof/>
            <w:webHidden/>
          </w:rPr>
          <w:tab/>
        </w:r>
        <w:r w:rsidR="008811FC">
          <w:rPr>
            <w:noProof/>
            <w:webHidden/>
          </w:rPr>
          <w:fldChar w:fldCharType="begin"/>
        </w:r>
        <w:r w:rsidR="008811FC">
          <w:rPr>
            <w:noProof/>
            <w:webHidden/>
          </w:rPr>
          <w:instrText xml:space="preserve"> PAGEREF _Toc109996720 \h </w:instrText>
        </w:r>
        <w:r w:rsidR="008811FC">
          <w:rPr>
            <w:noProof/>
            <w:webHidden/>
          </w:rPr>
        </w:r>
        <w:r w:rsidR="008811FC">
          <w:rPr>
            <w:noProof/>
            <w:webHidden/>
          </w:rPr>
          <w:fldChar w:fldCharType="separate"/>
        </w:r>
        <w:r w:rsidR="003C4BC2">
          <w:rPr>
            <w:noProof/>
            <w:webHidden/>
          </w:rPr>
          <w:t>179</w:t>
        </w:r>
        <w:r w:rsidR="008811FC">
          <w:rPr>
            <w:noProof/>
            <w:webHidden/>
          </w:rPr>
          <w:fldChar w:fldCharType="end"/>
        </w:r>
      </w:hyperlink>
    </w:p>
    <w:p w14:paraId="321607AE" w14:textId="3CDA8631" w:rsidR="008811FC" w:rsidRDefault="00A61B29">
      <w:pPr>
        <w:pStyle w:val="TOC2"/>
        <w:rPr>
          <w:rFonts w:asciiTheme="minorHAnsi" w:eastAsiaTheme="minorEastAsia" w:hAnsiTheme="minorHAnsi" w:cstheme="minorBidi"/>
          <w:noProof/>
          <w:color w:val="auto"/>
          <w:sz w:val="22"/>
          <w:lang w:eastAsia="en-AU"/>
        </w:rPr>
      </w:pPr>
      <w:hyperlink w:anchor="_Toc109996721" w:history="1">
        <w:r w:rsidR="008811FC" w:rsidRPr="00297248">
          <w:rPr>
            <w:rStyle w:val="Hyperlink"/>
            <w:noProof/>
          </w:rPr>
          <w:t>Monitoring of risk factor information</w:t>
        </w:r>
        <w:r w:rsidR="008811FC">
          <w:rPr>
            <w:noProof/>
            <w:webHidden/>
          </w:rPr>
          <w:tab/>
        </w:r>
        <w:r w:rsidR="008811FC">
          <w:rPr>
            <w:noProof/>
            <w:webHidden/>
          </w:rPr>
          <w:fldChar w:fldCharType="begin"/>
        </w:r>
        <w:r w:rsidR="008811FC">
          <w:rPr>
            <w:noProof/>
            <w:webHidden/>
          </w:rPr>
          <w:instrText xml:space="preserve"> PAGEREF _Toc109996721 \h </w:instrText>
        </w:r>
        <w:r w:rsidR="008811FC">
          <w:rPr>
            <w:noProof/>
            <w:webHidden/>
          </w:rPr>
        </w:r>
        <w:r w:rsidR="008811FC">
          <w:rPr>
            <w:noProof/>
            <w:webHidden/>
          </w:rPr>
          <w:fldChar w:fldCharType="separate"/>
        </w:r>
        <w:r w:rsidR="003C4BC2">
          <w:rPr>
            <w:noProof/>
            <w:webHidden/>
          </w:rPr>
          <w:t>183</w:t>
        </w:r>
        <w:r w:rsidR="008811FC">
          <w:rPr>
            <w:noProof/>
            <w:webHidden/>
          </w:rPr>
          <w:fldChar w:fldCharType="end"/>
        </w:r>
      </w:hyperlink>
    </w:p>
    <w:p w14:paraId="12317C40" w14:textId="046E08D8" w:rsidR="008811FC" w:rsidRDefault="00A61B29">
      <w:pPr>
        <w:pStyle w:val="TOC2"/>
        <w:rPr>
          <w:rFonts w:asciiTheme="minorHAnsi" w:eastAsiaTheme="minorEastAsia" w:hAnsiTheme="minorHAnsi" w:cstheme="minorBidi"/>
          <w:noProof/>
          <w:color w:val="auto"/>
          <w:sz w:val="22"/>
          <w:lang w:eastAsia="en-AU"/>
        </w:rPr>
      </w:pPr>
      <w:hyperlink w:anchor="_Toc109996722" w:history="1">
        <w:r w:rsidR="008811FC" w:rsidRPr="00297248">
          <w:rPr>
            <w:rStyle w:val="Hyperlink"/>
            <w:noProof/>
          </w:rPr>
          <w:t>Immunisation against influenza</w:t>
        </w:r>
        <w:r w:rsidR="008811FC">
          <w:rPr>
            <w:noProof/>
            <w:webHidden/>
          </w:rPr>
          <w:tab/>
        </w:r>
        <w:r w:rsidR="008811FC">
          <w:rPr>
            <w:noProof/>
            <w:webHidden/>
          </w:rPr>
          <w:fldChar w:fldCharType="begin"/>
        </w:r>
        <w:r w:rsidR="008811FC">
          <w:rPr>
            <w:noProof/>
            <w:webHidden/>
          </w:rPr>
          <w:instrText xml:space="preserve"> PAGEREF _Toc109996722 \h </w:instrText>
        </w:r>
        <w:r w:rsidR="008811FC">
          <w:rPr>
            <w:noProof/>
            <w:webHidden/>
          </w:rPr>
        </w:r>
        <w:r w:rsidR="008811FC">
          <w:rPr>
            <w:noProof/>
            <w:webHidden/>
          </w:rPr>
          <w:fldChar w:fldCharType="separate"/>
        </w:r>
        <w:r w:rsidR="003C4BC2">
          <w:rPr>
            <w:noProof/>
            <w:webHidden/>
          </w:rPr>
          <w:t>186</w:t>
        </w:r>
        <w:r w:rsidR="008811FC">
          <w:rPr>
            <w:noProof/>
            <w:webHidden/>
          </w:rPr>
          <w:fldChar w:fldCharType="end"/>
        </w:r>
      </w:hyperlink>
    </w:p>
    <w:p w14:paraId="0F785528" w14:textId="59B8C6B4" w:rsidR="008811FC" w:rsidRDefault="00A61B29">
      <w:pPr>
        <w:pStyle w:val="TOC2"/>
        <w:rPr>
          <w:rFonts w:asciiTheme="minorHAnsi" w:eastAsiaTheme="minorEastAsia" w:hAnsiTheme="minorHAnsi" w:cstheme="minorBidi"/>
          <w:noProof/>
          <w:color w:val="auto"/>
          <w:sz w:val="22"/>
          <w:lang w:eastAsia="en-AU"/>
        </w:rPr>
      </w:pPr>
      <w:hyperlink w:anchor="_Toc109996723" w:history="1">
        <w:r w:rsidR="008811FC" w:rsidRPr="00297248">
          <w:rPr>
            <w:rStyle w:val="Hyperlink"/>
            <w:noProof/>
          </w:rPr>
          <w:t>Changes in blood pressure, glycaemic control and renal function</w:t>
        </w:r>
        <w:r w:rsidR="008811FC">
          <w:rPr>
            <w:noProof/>
            <w:webHidden/>
          </w:rPr>
          <w:tab/>
        </w:r>
        <w:r w:rsidR="008811FC">
          <w:rPr>
            <w:noProof/>
            <w:webHidden/>
          </w:rPr>
          <w:fldChar w:fldCharType="begin"/>
        </w:r>
        <w:r w:rsidR="008811FC">
          <w:rPr>
            <w:noProof/>
            <w:webHidden/>
          </w:rPr>
          <w:instrText xml:space="preserve"> PAGEREF _Toc109996723 \h </w:instrText>
        </w:r>
        <w:r w:rsidR="008811FC">
          <w:rPr>
            <w:noProof/>
            <w:webHidden/>
          </w:rPr>
        </w:r>
        <w:r w:rsidR="008811FC">
          <w:rPr>
            <w:noProof/>
            <w:webHidden/>
          </w:rPr>
          <w:fldChar w:fldCharType="separate"/>
        </w:r>
        <w:r w:rsidR="003C4BC2">
          <w:rPr>
            <w:noProof/>
            <w:webHidden/>
          </w:rPr>
          <w:t>187</w:t>
        </w:r>
        <w:r w:rsidR="008811FC">
          <w:rPr>
            <w:noProof/>
            <w:webHidden/>
          </w:rPr>
          <w:fldChar w:fldCharType="end"/>
        </w:r>
      </w:hyperlink>
    </w:p>
    <w:p w14:paraId="166791F6" w14:textId="7C879368" w:rsidR="008811FC" w:rsidRDefault="00A61B29">
      <w:pPr>
        <w:pStyle w:val="TOC1"/>
        <w:rPr>
          <w:rFonts w:asciiTheme="minorHAnsi" w:eastAsiaTheme="minorEastAsia" w:hAnsiTheme="minorHAnsi" w:cstheme="minorBidi"/>
          <w:i w:val="0"/>
          <w:noProof/>
          <w:color w:val="auto"/>
          <w:sz w:val="22"/>
          <w:lang w:val="en-AU" w:eastAsia="en-AU"/>
        </w:rPr>
      </w:pPr>
      <w:hyperlink w:anchor="_Toc109996724" w:history="1">
        <w:r w:rsidR="008811FC" w:rsidRPr="00297248">
          <w:rPr>
            <w:rStyle w:val="Hyperlink"/>
            <w:noProof/>
          </w:rPr>
          <w:t>16.</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Patient and carer experience</w:t>
        </w:r>
        <w:r w:rsidR="008811FC">
          <w:rPr>
            <w:noProof/>
            <w:webHidden/>
          </w:rPr>
          <w:tab/>
        </w:r>
        <w:r w:rsidR="008811FC">
          <w:rPr>
            <w:noProof/>
            <w:webHidden/>
          </w:rPr>
          <w:fldChar w:fldCharType="begin"/>
        </w:r>
        <w:r w:rsidR="008811FC">
          <w:rPr>
            <w:noProof/>
            <w:webHidden/>
          </w:rPr>
          <w:instrText xml:space="preserve"> PAGEREF _Toc109996724 \h </w:instrText>
        </w:r>
        <w:r w:rsidR="008811FC">
          <w:rPr>
            <w:noProof/>
            <w:webHidden/>
          </w:rPr>
        </w:r>
        <w:r w:rsidR="008811FC">
          <w:rPr>
            <w:noProof/>
            <w:webHidden/>
          </w:rPr>
          <w:fldChar w:fldCharType="separate"/>
        </w:r>
        <w:r w:rsidR="003C4BC2">
          <w:rPr>
            <w:noProof/>
            <w:webHidden/>
          </w:rPr>
          <w:t>193</w:t>
        </w:r>
        <w:r w:rsidR="008811FC">
          <w:rPr>
            <w:noProof/>
            <w:webHidden/>
          </w:rPr>
          <w:fldChar w:fldCharType="end"/>
        </w:r>
      </w:hyperlink>
    </w:p>
    <w:p w14:paraId="1E574736" w14:textId="3CF9E950" w:rsidR="008811FC" w:rsidRDefault="00A61B29">
      <w:pPr>
        <w:pStyle w:val="TOC2"/>
        <w:rPr>
          <w:rFonts w:asciiTheme="minorHAnsi" w:eastAsiaTheme="minorEastAsia" w:hAnsiTheme="minorHAnsi" w:cstheme="minorBidi"/>
          <w:noProof/>
          <w:color w:val="auto"/>
          <w:sz w:val="22"/>
          <w:lang w:eastAsia="en-AU"/>
        </w:rPr>
      </w:pPr>
      <w:hyperlink w:anchor="_Toc109996725" w:history="1">
        <w:r w:rsidR="008811FC" w:rsidRPr="00297248">
          <w:rPr>
            <w:rStyle w:val="Hyperlink"/>
            <w:noProof/>
          </w:rPr>
          <w:t>Patient experience of practices before HCH</w:t>
        </w:r>
        <w:r w:rsidR="008811FC">
          <w:rPr>
            <w:noProof/>
            <w:webHidden/>
          </w:rPr>
          <w:tab/>
        </w:r>
        <w:r w:rsidR="008811FC">
          <w:rPr>
            <w:noProof/>
            <w:webHidden/>
          </w:rPr>
          <w:fldChar w:fldCharType="begin"/>
        </w:r>
        <w:r w:rsidR="008811FC">
          <w:rPr>
            <w:noProof/>
            <w:webHidden/>
          </w:rPr>
          <w:instrText xml:space="preserve"> PAGEREF _Toc109996725 \h </w:instrText>
        </w:r>
        <w:r w:rsidR="008811FC">
          <w:rPr>
            <w:noProof/>
            <w:webHidden/>
          </w:rPr>
        </w:r>
        <w:r w:rsidR="008811FC">
          <w:rPr>
            <w:noProof/>
            <w:webHidden/>
          </w:rPr>
          <w:fldChar w:fldCharType="separate"/>
        </w:r>
        <w:r w:rsidR="003C4BC2">
          <w:rPr>
            <w:noProof/>
            <w:webHidden/>
          </w:rPr>
          <w:t>194</w:t>
        </w:r>
        <w:r w:rsidR="008811FC">
          <w:rPr>
            <w:noProof/>
            <w:webHidden/>
          </w:rPr>
          <w:fldChar w:fldCharType="end"/>
        </w:r>
      </w:hyperlink>
    </w:p>
    <w:p w14:paraId="1553A8FA" w14:textId="5A3EE9B6" w:rsidR="008811FC" w:rsidRDefault="00A61B29">
      <w:pPr>
        <w:pStyle w:val="TOC2"/>
        <w:rPr>
          <w:rFonts w:asciiTheme="minorHAnsi" w:eastAsiaTheme="minorEastAsia" w:hAnsiTheme="minorHAnsi" w:cstheme="minorBidi"/>
          <w:noProof/>
          <w:color w:val="auto"/>
          <w:sz w:val="22"/>
          <w:lang w:eastAsia="en-AU"/>
        </w:rPr>
      </w:pPr>
      <w:hyperlink w:anchor="_Toc109996726" w:history="1">
        <w:r w:rsidR="008811FC" w:rsidRPr="00297248">
          <w:rPr>
            <w:rStyle w:val="Hyperlink"/>
            <w:noProof/>
          </w:rPr>
          <w:t>Recruitment to HCH</w:t>
        </w:r>
        <w:r w:rsidR="008811FC">
          <w:rPr>
            <w:noProof/>
            <w:webHidden/>
          </w:rPr>
          <w:tab/>
        </w:r>
        <w:r w:rsidR="008811FC">
          <w:rPr>
            <w:noProof/>
            <w:webHidden/>
          </w:rPr>
          <w:fldChar w:fldCharType="begin"/>
        </w:r>
        <w:r w:rsidR="008811FC">
          <w:rPr>
            <w:noProof/>
            <w:webHidden/>
          </w:rPr>
          <w:instrText xml:space="preserve"> PAGEREF _Toc109996726 \h </w:instrText>
        </w:r>
        <w:r w:rsidR="008811FC">
          <w:rPr>
            <w:noProof/>
            <w:webHidden/>
          </w:rPr>
        </w:r>
        <w:r w:rsidR="008811FC">
          <w:rPr>
            <w:noProof/>
            <w:webHidden/>
          </w:rPr>
          <w:fldChar w:fldCharType="separate"/>
        </w:r>
        <w:r w:rsidR="003C4BC2">
          <w:rPr>
            <w:noProof/>
            <w:webHidden/>
          </w:rPr>
          <w:t>195</w:t>
        </w:r>
        <w:r w:rsidR="008811FC">
          <w:rPr>
            <w:noProof/>
            <w:webHidden/>
          </w:rPr>
          <w:fldChar w:fldCharType="end"/>
        </w:r>
      </w:hyperlink>
    </w:p>
    <w:p w14:paraId="458647CD" w14:textId="13162DAD" w:rsidR="008811FC" w:rsidRDefault="00A61B29">
      <w:pPr>
        <w:pStyle w:val="TOC2"/>
        <w:rPr>
          <w:rFonts w:asciiTheme="minorHAnsi" w:eastAsiaTheme="minorEastAsia" w:hAnsiTheme="minorHAnsi" w:cstheme="minorBidi"/>
          <w:noProof/>
          <w:color w:val="auto"/>
          <w:sz w:val="22"/>
          <w:lang w:eastAsia="en-AU"/>
        </w:rPr>
      </w:pPr>
      <w:hyperlink w:anchor="_Toc109996727" w:history="1">
        <w:r w:rsidR="008811FC" w:rsidRPr="00297248">
          <w:rPr>
            <w:rStyle w:val="Hyperlink"/>
            <w:noProof/>
          </w:rPr>
          <w:t>Patient experiences with HCH</w:t>
        </w:r>
        <w:r w:rsidR="008811FC">
          <w:rPr>
            <w:noProof/>
            <w:webHidden/>
          </w:rPr>
          <w:tab/>
        </w:r>
        <w:r w:rsidR="008811FC">
          <w:rPr>
            <w:noProof/>
            <w:webHidden/>
          </w:rPr>
          <w:fldChar w:fldCharType="begin"/>
        </w:r>
        <w:r w:rsidR="008811FC">
          <w:rPr>
            <w:noProof/>
            <w:webHidden/>
          </w:rPr>
          <w:instrText xml:space="preserve"> PAGEREF _Toc109996727 \h </w:instrText>
        </w:r>
        <w:r w:rsidR="008811FC">
          <w:rPr>
            <w:noProof/>
            <w:webHidden/>
          </w:rPr>
        </w:r>
        <w:r w:rsidR="008811FC">
          <w:rPr>
            <w:noProof/>
            <w:webHidden/>
          </w:rPr>
          <w:fldChar w:fldCharType="separate"/>
        </w:r>
        <w:r w:rsidR="003C4BC2">
          <w:rPr>
            <w:noProof/>
            <w:webHidden/>
          </w:rPr>
          <w:t>198</w:t>
        </w:r>
        <w:r w:rsidR="008811FC">
          <w:rPr>
            <w:noProof/>
            <w:webHidden/>
          </w:rPr>
          <w:fldChar w:fldCharType="end"/>
        </w:r>
      </w:hyperlink>
    </w:p>
    <w:p w14:paraId="4B7D5A2A" w14:textId="258BD3E8" w:rsidR="008811FC" w:rsidRDefault="00A61B29">
      <w:pPr>
        <w:pStyle w:val="TOC2"/>
        <w:rPr>
          <w:rFonts w:asciiTheme="minorHAnsi" w:eastAsiaTheme="minorEastAsia" w:hAnsiTheme="minorHAnsi" w:cstheme="minorBidi"/>
          <w:noProof/>
          <w:color w:val="auto"/>
          <w:sz w:val="22"/>
          <w:lang w:eastAsia="en-AU"/>
        </w:rPr>
      </w:pPr>
      <w:hyperlink w:anchor="_Toc109996728" w:history="1">
        <w:r w:rsidR="008811FC" w:rsidRPr="00297248">
          <w:rPr>
            <w:rStyle w:val="Hyperlink"/>
            <w:noProof/>
          </w:rPr>
          <w:t>Patient suggestions for HCH</w:t>
        </w:r>
        <w:r w:rsidR="008811FC">
          <w:rPr>
            <w:noProof/>
            <w:webHidden/>
          </w:rPr>
          <w:tab/>
        </w:r>
        <w:r w:rsidR="008811FC">
          <w:rPr>
            <w:noProof/>
            <w:webHidden/>
          </w:rPr>
          <w:fldChar w:fldCharType="begin"/>
        </w:r>
        <w:r w:rsidR="008811FC">
          <w:rPr>
            <w:noProof/>
            <w:webHidden/>
          </w:rPr>
          <w:instrText xml:space="preserve"> PAGEREF _Toc109996728 \h </w:instrText>
        </w:r>
        <w:r w:rsidR="008811FC">
          <w:rPr>
            <w:noProof/>
            <w:webHidden/>
          </w:rPr>
        </w:r>
        <w:r w:rsidR="008811FC">
          <w:rPr>
            <w:noProof/>
            <w:webHidden/>
          </w:rPr>
          <w:fldChar w:fldCharType="separate"/>
        </w:r>
        <w:r w:rsidR="003C4BC2">
          <w:rPr>
            <w:noProof/>
            <w:webHidden/>
          </w:rPr>
          <w:t>214</w:t>
        </w:r>
        <w:r w:rsidR="008811FC">
          <w:rPr>
            <w:noProof/>
            <w:webHidden/>
          </w:rPr>
          <w:fldChar w:fldCharType="end"/>
        </w:r>
      </w:hyperlink>
    </w:p>
    <w:p w14:paraId="22F8DD2B" w14:textId="2F4A88F8" w:rsidR="008811FC" w:rsidRDefault="00A61B29">
      <w:pPr>
        <w:pStyle w:val="TOC1"/>
        <w:rPr>
          <w:rFonts w:asciiTheme="minorHAnsi" w:eastAsiaTheme="minorEastAsia" w:hAnsiTheme="minorHAnsi" w:cstheme="minorBidi"/>
          <w:i w:val="0"/>
          <w:noProof/>
          <w:color w:val="auto"/>
          <w:sz w:val="22"/>
          <w:lang w:val="en-AU" w:eastAsia="en-AU"/>
        </w:rPr>
      </w:pPr>
      <w:hyperlink w:anchor="_Toc109996729" w:history="1">
        <w:r w:rsidR="008811FC" w:rsidRPr="00297248">
          <w:rPr>
            <w:rStyle w:val="Hyperlink"/>
            <w:noProof/>
          </w:rPr>
          <w:t>17.</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Patient-reported outcomes</w:t>
        </w:r>
        <w:r w:rsidR="008811FC">
          <w:rPr>
            <w:noProof/>
            <w:webHidden/>
          </w:rPr>
          <w:tab/>
        </w:r>
        <w:r w:rsidR="008811FC">
          <w:rPr>
            <w:noProof/>
            <w:webHidden/>
          </w:rPr>
          <w:fldChar w:fldCharType="begin"/>
        </w:r>
        <w:r w:rsidR="008811FC">
          <w:rPr>
            <w:noProof/>
            <w:webHidden/>
          </w:rPr>
          <w:instrText xml:space="preserve"> PAGEREF _Toc109996729 \h </w:instrText>
        </w:r>
        <w:r w:rsidR="008811FC">
          <w:rPr>
            <w:noProof/>
            <w:webHidden/>
          </w:rPr>
        </w:r>
        <w:r w:rsidR="008811FC">
          <w:rPr>
            <w:noProof/>
            <w:webHidden/>
          </w:rPr>
          <w:fldChar w:fldCharType="separate"/>
        </w:r>
        <w:r w:rsidR="003C4BC2">
          <w:rPr>
            <w:noProof/>
            <w:webHidden/>
          </w:rPr>
          <w:t>216</w:t>
        </w:r>
        <w:r w:rsidR="008811FC">
          <w:rPr>
            <w:noProof/>
            <w:webHidden/>
          </w:rPr>
          <w:fldChar w:fldCharType="end"/>
        </w:r>
      </w:hyperlink>
    </w:p>
    <w:p w14:paraId="40498147" w14:textId="07DA59F9" w:rsidR="008811FC" w:rsidRDefault="00A61B29">
      <w:pPr>
        <w:pStyle w:val="TOC2"/>
        <w:rPr>
          <w:rFonts w:asciiTheme="minorHAnsi" w:eastAsiaTheme="minorEastAsia" w:hAnsiTheme="minorHAnsi" w:cstheme="minorBidi"/>
          <w:noProof/>
          <w:color w:val="auto"/>
          <w:sz w:val="22"/>
          <w:lang w:eastAsia="en-AU"/>
        </w:rPr>
      </w:pPr>
      <w:hyperlink w:anchor="_Toc109996730" w:history="1">
        <w:r w:rsidR="008811FC" w:rsidRPr="00297248">
          <w:rPr>
            <w:rStyle w:val="Hyperlink"/>
            <w:noProof/>
          </w:rPr>
          <w:t>General rating of patient’s overall health</w:t>
        </w:r>
        <w:r w:rsidR="008811FC">
          <w:rPr>
            <w:noProof/>
            <w:webHidden/>
          </w:rPr>
          <w:tab/>
        </w:r>
        <w:r w:rsidR="008811FC">
          <w:rPr>
            <w:noProof/>
            <w:webHidden/>
          </w:rPr>
          <w:fldChar w:fldCharType="begin"/>
        </w:r>
        <w:r w:rsidR="008811FC">
          <w:rPr>
            <w:noProof/>
            <w:webHidden/>
          </w:rPr>
          <w:instrText xml:space="preserve"> PAGEREF _Toc109996730 \h </w:instrText>
        </w:r>
        <w:r w:rsidR="008811FC">
          <w:rPr>
            <w:noProof/>
            <w:webHidden/>
          </w:rPr>
        </w:r>
        <w:r w:rsidR="008811FC">
          <w:rPr>
            <w:noProof/>
            <w:webHidden/>
          </w:rPr>
          <w:fldChar w:fldCharType="separate"/>
        </w:r>
        <w:r w:rsidR="003C4BC2">
          <w:rPr>
            <w:noProof/>
            <w:webHidden/>
          </w:rPr>
          <w:t>217</w:t>
        </w:r>
        <w:r w:rsidR="008811FC">
          <w:rPr>
            <w:noProof/>
            <w:webHidden/>
          </w:rPr>
          <w:fldChar w:fldCharType="end"/>
        </w:r>
      </w:hyperlink>
    </w:p>
    <w:p w14:paraId="5EF165A5" w14:textId="2F570A76" w:rsidR="008811FC" w:rsidRDefault="00A61B29">
      <w:pPr>
        <w:pStyle w:val="TOC2"/>
        <w:rPr>
          <w:rFonts w:asciiTheme="minorHAnsi" w:eastAsiaTheme="minorEastAsia" w:hAnsiTheme="minorHAnsi" w:cstheme="minorBidi"/>
          <w:noProof/>
          <w:color w:val="auto"/>
          <w:sz w:val="22"/>
          <w:lang w:eastAsia="en-AU"/>
        </w:rPr>
      </w:pPr>
      <w:hyperlink w:anchor="_Toc109996731" w:history="1">
        <w:r w:rsidR="008811FC" w:rsidRPr="00297248">
          <w:rPr>
            <w:rStyle w:val="Hyperlink"/>
            <w:noProof/>
          </w:rPr>
          <w:t>General rating of patient’s mental and emotional health</w:t>
        </w:r>
        <w:r w:rsidR="008811FC">
          <w:rPr>
            <w:noProof/>
            <w:webHidden/>
          </w:rPr>
          <w:tab/>
        </w:r>
        <w:r w:rsidR="008811FC">
          <w:rPr>
            <w:noProof/>
            <w:webHidden/>
          </w:rPr>
          <w:fldChar w:fldCharType="begin"/>
        </w:r>
        <w:r w:rsidR="008811FC">
          <w:rPr>
            <w:noProof/>
            <w:webHidden/>
          </w:rPr>
          <w:instrText xml:space="preserve"> PAGEREF _Toc109996731 \h </w:instrText>
        </w:r>
        <w:r w:rsidR="008811FC">
          <w:rPr>
            <w:noProof/>
            <w:webHidden/>
          </w:rPr>
        </w:r>
        <w:r w:rsidR="008811FC">
          <w:rPr>
            <w:noProof/>
            <w:webHidden/>
          </w:rPr>
          <w:fldChar w:fldCharType="separate"/>
        </w:r>
        <w:r w:rsidR="003C4BC2">
          <w:rPr>
            <w:noProof/>
            <w:webHidden/>
          </w:rPr>
          <w:t>217</w:t>
        </w:r>
        <w:r w:rsidR="008811FC">
          <w:rPr>
            <w:noProof/>
            <w:webHidden/>
          </w:rPr>
          <w:fldChar w:fldCharType="end"/>
        </w:r>
      </w:hyperlink>
    </w:p>
    <w:p w14:paraId="6DD55783" w14:textId="5F3F8969" w:rsidR="008811FC" w:rsidRDefault="00A61B29">
      <w:pPr>
        <w:pStyle w:val="TOC2"/>
        <w:rPr>
          <w:rFonts w:asciiTheme="minorHAnsi" w:eastAsiaTheme="minorEastAsia" w:hAnsiTheme="minorHAnsi" w:cstheme="minorBidi"/>
          <w:noProof/>
          <w:color w:val="auto"/>
          <w:sz w:val="22"/>
          <w:lang w:eastAsia="en-AU"/>
        </w:rPr>
      </w:pPr>
      <w:hyperlink w:anchor="_Toc109996732" w:history="1">
        <w:r w:rsidR="008811FC" w:rsidRPr="00297248">
          <w:rPr>
            <w:rStyle w:val="Hyperlink"/>
            <w:noProof/>
          </w:rPr>
          <w:t>Health-related quality of life</w:t>
        </w:r>
        <w:r w:rsidR="008811FC">
          <w:rPr>
            <w:noProof/>
            <w:webHidden/>
          </w:rPr>
          <w:tab/>
        </w:r>
        <w:r w:rsidR="008811FC">
          <w:rPr>
            <w:noProof/>
            <w:webHidden/>
          </w:rPr>
          <w:fldChar w:fldCharType="begin"/>
        </w:r>
        <w:r w:rsidR="008811FC">
          <w:rPr>
            <w:noProof/>
            <w:webHidden/>
          </w:rPr>
          <w:instrText xml:space="preserve"> PAGEREF _Toc109996732 \h </w:instrText>
        </w:r>
        <w:r w:rsidR="008811FC">
          <w:rPr>
            <w:noProof/>
            <w:webHidden/>
          </w:rPr>
        </w:r>
        <w:r w:rsidR="008811FC">
          <w:rPr>
            <w:noProof/>
            <w:webHidden/>
          </w:rPr>
          <w:fldChar w:fldCharType="separate"/>
        </w:r>
        <w:r w:rsidR="003C4BC2">
          <w:rPr>
            <w:noProof/>
            <w:webHidden/>
          </w:rPr>
          <w:t>218</w:t>
        </w:r>
        <w:r w:rsidR="008811FC">
          <w:rPr>
            <w:noProof/>
            <w:webHidden/>
          </w:rPr>
          <w:fldChar w:fldCharType="end"/>
        </w:r>
      </w:hyperlink>
    </w:p>
    <w:p w14:paraId="2C8B1E00" w14:textId="1C2A36AB" w:rsidR="008811FC" w:rsidRDefault="00A61B29">
      <w:pPr>
        <w:pStyle w:val="TOC2"/>
        <w:rPr>
          <w:rFonts w:asciiTheme="minorHAnsi" w:eastAsiaTheme="minorEastAsia" w:hAnsiTheme="minorHAnsi" w:cstheme="minorBidi"/>
          <w:noProof/>
          <w:color w:val="auto"/>
          <w:sz w:val="22"/>
          <w:lang w:eastAsia="en-AU"/>
        </w:rPr>
      </w:pPr>
      <w:hyperlink w:anchor="_Toc109996733" w:history="1">
        <w:r w:rsidR="008811FC" w:rsidRPr="00297248">
          <w:rPr>
            <w:rStyle w:val="Hyperlink"/>
            <w:noProof/>
          </w:rPr>
          <w:t>Self-reported emergency department and hospital utilisation</w:t>
        </w:r>
        <w:r w:rsidR="008811FC">
          <w:rPr>
            <w:noProof/>
            <w:webHidden/>
          </w:rPr>
          <w:tab/>
        </w:r>
        <w:r w:rsidR="008811FC">
          <w:rPr>
            <w:noProof/>
            <w:webHidden/>
          </w:rPr>
          <w:fldChar w:fldCharType="begin"/>
        </w:r>
        <w:r w:rsidR="008811FC">
          <w:rPr>
            <w:noProof/>
            <w:webHidden/>
          </w:rPr>
          <w:instrText xml:space="preserve"> PAGEREF _Toc109996733 \h </w:instrText>
        </w:r>
        <w:r w:rsidR="008811FC">
          <w:rPr>
            <w:noProof/>
            <w:webHidden/>
          </w:rPr>
        </w:r>
        <w:r w:rsidR="008811FC">
          <w:rPr>
            <w:noProof/>
            <w:webHidden/>
          </w:rPr>
          <w:fldChar w:fldCharType="separate"/>
        </w:r>
        <w:r w:rsidR="003C4BC2">
          <w:rPr>
            <w:noProof/>
            <w:webHidden/>
          </w:rPr>
          <w:t>219</w:t>
        </w:r>
        <w:r w:rsidR="008811FC">
          <w:rPr>
            <w:noProof/>
            <w:webHidden/>
          </w:rPr>
          <w:fldChar w:fldCharType="end"/>
        </w:r>
      </w:hyperlink>
    </w:p>
    <w:p w14:paraId="700A9E91" w14:textId="3AC2FC7A" w:rsidR="008811FC" w:rsidRDefault="00A61B29">
      <w:pPr>
        <w:pStyle w:val="TOC1"/>
        <w:rPr>
          <w:rFonts w:asciiTheme="minorHAnsi" w:eastAsiaTheme="minorEastAsia" w:hAnsiTheme="minorHAnsi" w:cstheme="minorBidi"/>
          <w:i w:val="0"/>
          <w:noProof/>
          <w:color w:val="auto"/>
          <w:sz w:val="22"/>
          <w:lang w:val="en-AU" w:eastAsia="en-AU"/>
        </w:rPr>
      </w:pPr>
      <w:hyperlink w:anchor="_Toc109996734" w:history="1">
        <w:r w:rsidR="008811FC" w:rsidRPr="00297248">
          <w:rPr>
            <w:rStyle w:val="Hyperlink"/>
            <w:noProof/>
          </w:rPr>
          <w:t>18.</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Patient outcomes: Linked data</w:t>
        </w:r>
        <w:r w:rsidR="008811FC">
          <w:rPr>
            <w:noProof/>
            <w:webHidden/>
          </w:rPr>
          <w:tab/>
        </w:r>
        <w:r w:rsidR="008811FC">
          <w:rPr>
            <w:noProof/>
            <w:webHidden/>
          </w:rPr>
          <w:fldChar w:fldCharType="begin"/>
        </w:r>
        <w:r w:rsidR="008811FC">
          <w:rPr>
            <w:noProof/>
            <w:webHidden/>
          </w:rPr>
          <w:instrText xml:space="preserve"> PAGEREF _Toc109996734 \h </w:instrText>
        </w:r>
        <w:r w:rsidR="008811FC">
          <w:rPr>
            <w:noProof/>
            <w:webHidden/>
          </w:rPr>
        </w:r>
        <w:r w:rsidR="008811FC">
          <w:rPr>
            <w:noProof/>
            <w:webHidden/>
          </w:rPr>
          <w:fldChar w:fldCharType="separate"/>
        </w:r>
        <w:r w:rsidR="003C4BC2">
          <w:rPr>
            <w:noProof/>
            <w:webHidden/>
          </w:rPr>
          <w:t>220</w:t>
        </w:r>
        <w:r w:rsidR="008811FC">
          <w:rPr>
            <w:noProof/>
            <w:webHidden/>
          </w:rPr>
          <w:fldChar w:fldCharType="end"/>
        </w:r>
      </w:hyperlink>
    </w:p>
    <w:p w14:paraId="62722632" w14:textId="2EE5B454" w:rsidR="008811FC" w:rsidRDefault="00A61B29">
      <w:pPr>
        <w:pStyle w:val="TOC2"/>
        <w:rPr>
          <w:rFonts w:asciiTheme="minorHAnsi" w:eastAsiaTheme="minorEastAsia" w:hAnsiTheme="minorHAnsi" w:cstheme="minorBidi"/>
          <w:noProof/>
          <w:color w:val="auto"/>
          <w:sz w:val="22"/>
          <w:lang w:eastAsia="en-AU"/>
        </w:rPr>
      </w:pPr>
      <w:hyperlink w:anchor="_Toc109996735" w:history="1">
        <w:r w:rsidR="008811FC" w:rsidRPr="00297248">
          <w:rPr>
            <w:rStyle w:val="Hyperlink"/>
            <w:rFonts w:eastAsia="Muli"/>
            <w:noProof/>
          </w:rPr>
          <w:t>Measuring changes in patient outcomes using linked data</w:t>
        </w:r>
        <w:r w:rsidR="008811FC">
          <w:rPr>
            <w:noProof/>
            <w:webHidden/>
          </w:rPr>
          <w:tab/>
        </w:r>
        <w:r w:rsidR="008811FC">
          <w:rPr>
            <w:noProof/>
            <w:webHidden/>
          </w:rPr>
          <w:fldChar w:fldCharType="begin"/>
        </w:r>
        <w:r w:rsidR="008811FC">
          <w:rPr>
            <w:noProof/>
            <w:webHidden/>
          </w:rPr>
          <w:instrText xml:space="preserve"> PAGEREF _Toc109996735 \h </w:instrText>
        </w:r>
        <w:r w:rsidR="008811FC">
          <w:rPr>
            <w:noProof/>
            <w:webHidden/>
          </w:rPr>
        </w:r>
        <w:r w:rsidR="008811FC">
          <w:rPr>
            <w:noProof/>
            <w:webHidden/>
          </w:rPr>
          <w:fldChar w:fldCharType="separate"/>
        </w:r>
        <w:r w:rsidR="003C4BC2">
          <w:rPr>
            <w:noProof/>
            <w:webHidden/>
          </w:rPr>
          <w:t>221</w:t>
        </w:r>
        <w:r w:rsidR="008811FC">
          <w:rPr>
            <w:noProof/>
            <w:webHidden/>
          </w:rPr>
          <w:fldChar w:fldCharType="end"/>
        </w:r>
      </w:hyperlink>
    </w:p>
    <w:p w14:paraId="50304061" w14:textId="6AF4DE3C" w:rsidR="008811FC" w:rsidRDefault="00A61B29">
      <w:pPr>
        <w:pStyle w:val="TOC2"/>
        <w:rPr>
          <w:rFonts w:asciiTheme="minorHAnsi" w:eastAsiaTheme="minorEastAsia" w:hAnsiTheme="minorHAnsi" w:cstheme="minorBidi"/>
          <w:noProof/>
          <w:color w:val="auto"/>
          <w:sz w:val="22"/>
          <w:lang w:eastAsia="en-AU"/>
        </w:rPr>
      </w:pPr>
      <w:hyperlink w:anchor="_Toc109996736" w:history="1">
        <w:r w:rsidR="008811FC" w:rsidRPr="00297248">
          <w:rPr>
            <w:rStyle w:val="Hyperlink"/>
            <w:rFonts w:eastAsia="Muli"/>
            <w:noProof/>
          </w:rPr>
          <w:t>Utilisation of primary care services</w:t>
        </w:r>
        <w:r w:rsidR="008811FC">
          <w:rPr>
            <w:noProof/>
            <w:webHidden/>
          </w:rPr>
          <w:tab/>
        </w:r>
        <w:r w:rsidR="008811FC">
          <w:rPr>
            <w:noProof/>
            <w:webHidden/>
          </w:rPr>
          <w:fldChar w:fldCharType="begin"/>
        </w:r>
        <w:r w:rsidR="008811FC">
          <w:rPr>
            <w:noProof/>
            <w:webHidden/>
          </w:rPr>
          <w:instrText xml:space="preserve"> PAGEREF _Toc109996736 \h </w:instrText>
        </w:r>
        <w:r w:rsidR="008811FC">
          <w:rPr>
            <w:noProof/>
            <w:webHidden/>
          </w:rPr>
        </w:r>
        <w:r w:rsidR="008811FC">
          <w:rPr>
            <w:noProof/>
            <w:webHidden/>
          </w:rPr>
          <w:fldChar w:fldCharType="separate"/>
        </w:r>
        <w:r w:rsidR="003C4BC2">
          <w:rPr>
            <w:noProof/>
            <w:webHidden/>
          </w:rPr>
          <w:t>221</w:t>
        </w:r>
        <w:r w:rsidR="008811FC">
          <w:rPr>
            <w:noProof/>
            <w:webHidden/>
          </w:rPr>
          <w:fldChar w:fldCharType="end"/>
        </w:r>
      </w:hyperlink>
    </w:p>
    <w:p w14:paraId="66229883" w14:textId="14F59EA7" w:rsidR="008811FC" w:rsidRDefault="00A61B29">
      <w:pPr>
        <w:pStyle w:val="TOC2"/>
        <w:rPr>
          <w:rFonts w:asciiTheme="minorHAnsi" w:eastAsiaTheme="minorEastAsia" w:hAnsiTheme="minorHAnsi" w:cstheme="minorBidi"/>
          <w:noProof/>
          <w:color w:val="auto"/>
          <w:sz w:val="22"/>
          <w:lang w:eastAsia="en-AU"/>
        </w:rPr>
      </w:pPr>
      <w:hyperlink w:anchor="_Toc109996737" w:history="1">
        <w:r w:rsidR="008811FC" w:rsidRPr="00297248">
          <w:rPr>
            <w:rStyle w:val="Hyperlink"/>
            <w:rFonts w:eastAsia="Muli"/>
            <w:noProof/>
          </w:rPr>
          <w:t>Utilisation of other Medicare-funded services</w:t>
        </w:r>
        <w:r w:rsidR="008811FC">
          <w:rPr>
            <w:noProof/>
            <w:webHidden/>
          </w:rPr>
          <w:tab/>
        </w:r>
        <w:r w:rsidR="008811FC">
          <w:rPr>
            <w:noProof/>
            <w:webHidden/>
          </w:rPr>
          <w:fldChar w:fldCharType="begin"/>
        </w:r>
        <w:r w:rsidR="008811FC">
          <w:rPr>
            <w:noProof/>
            <w:webHidden/>
          </w:rPr>
          <w:instrText xml:space="preserve"> PAGEREF _Toc109996737 \h </w:instrText>
        </w:r>
        <w:r w:rsidR="008811FC">
          <w:rPr>
            <w:noProof/>
            <w:webHidden/>
          </w:rPr>
        </w:r>
        <w:r w:rsidR="008811FC">
          <w:rPr>
            <w:noProof/>
            <w:webHidden/>
          </w:rPr>
          <w:fldChar w:fldCharType="separate"/>
        </w:r>
        <w:r w:rsidR="003C4BC2">
          <w:rPr>
            <w:noProof/>
            <w:webHidden/>
          </w:rPr>
          <w:t>229</w:t>
        </w:r>
        <w:r w:rsidR="008811FC">
          <w:rPr>
            <w:noProof/>
            <w:webHidden/>
          </w:rPr>
          <w:fldChar w:fldCharType="end"/>
        </w:r>
      </w:hyperlink>
    </w:p>
    <w:p w14:paraId="5841BA2C" w14:textId="40630046" w:rsidR="008811FC" w:rsidRDefault="00A61B29">
      <w:pPr>
        <w:pStyle w:val="TOC2"/>
        <w:rPr>
          <w:rFonts w:asciiTheme="minorHAnsi" w:eastAsiaTheme="minorEastAsia" w:hAnsiTheme="minorHAnsi" w:cstheme="minorBidi"/>
          <w:noProof/>
          <w:color w:val="auto"/>
          <w:sz w:val="22"/>
          <w:lang w:eastAsia="en-AU"/>
        </w:rPr>
      </w:pPr>
      <w:hyperlink w:anchor="_Toc109996738" w:history="1">
        <w:r w:rsidR="008811FC" w:rsidRPr="00297248">
          <w:rPr>
            <w:rStyle w:val="Hyperlink"/>
            <w:rFonts w:eastAsia="Muli"/>
            <w:noProof/>
          </w:rPr>
          <w:t>Utilisation of medicines</w:t>
        </w:r>
        <w:r w:rsidR="008811FC">
          <w:rPr>
            <w:noProof/>
            <w:webHidden/>
          </w:rPr>
          <w:tab/>
        </w:r>
        <w:r w:rsidR="008811FC">
          <w:rPr>
            <w:noProof/>
            <w:webHidden/>
          </w:rPr>
          <w:fldChar w:fldCharType="begin"/>
        </w:r>
        <w:r w:rsidR="008811FC">
          <w:rPr>
            <w:noProof/>
            <w:webHidden/>
          </w:rPr>
          <w:instrText xml:space="preserve"> PAGEREF _Toc109996738 \h </w:instrText>
        </w:r>
        <w:r w:rsidR="008811FC">
          <w:rPr>
            <w:noProof/>
            <w:webHidden/>
          </w:rPr>
        </w:r>
        <w:r w:rsidR="008811FC">
          <w:rPr>
            <w:noProof/>
            <w:webHidden/>
          </w:rPr>
          <w:fldChar w:fldCharType="separate"/>
        </w:r>
        <w:r w:rsidR="003C4BC2">
          <w:rPr>
            <w:noProof/>
            <w:webHidden/>
          </w:rPr>
          <w:t>236</w:t>
        </w:r>
        <w:r w:rsidR="008811FC">
          <w:rPr>
            <w:noProof/>
            <w:webHidden/>
          </w:rPr>
          <w:fldChar w:fldCharType="end"/>
        </w:r>
      </w:hyperlink>
    </w:p>
    <w:p w14:paraId="6C9008FE" w14:textId="0E67A18B" w:rsidR="008811FC" w:rsidRDefault="00A61B29">
      <w:pPr>
        <w:pStyle w:val="TOC2"/>
        <w:rPr>
          <w:rFonts w:asciiTheme="minorHAnsi" w:eastAsiaTheme="minorEastAsia" w:hAnsiTheme="minorHAnsi" w:cstheme="minorBidi"/>
          <w:noProof/>
          <w:color w:val="auto"/>
          <w:sz w:val="22"/>
          <w:lang w:eastAsia="en-AU"/>
        </w:rPr>
      </w:pPr>
      <w:hyperlink w:anchor="_Toc109996739" w:history="1">
        <w:r w:rsidR="008811FC" w:rsidRPr="00297248">
          <w:rPr>
            <w:rStyle w:val="Hyperlink"/>
            <w:rFonts w:eastAsia="Muli"/>
            <w:noProof/>
          </w:rPr>
          <w:t>Utilisation of hospital services</w:t>
        </w:r>
        <w:r w:rsidR="008811FC">
          <w:rPr>
            <w:noProof/>
            <w:webHidden/>
          </w:rPr>
          <w:tab/>
        </w:r>
        <w:r w:rsidR="008811FC">
          <w:rPr>
            <w:noProof/>
            <w:webHidden/>
          </w:rPr>
          <w:fldChar w:fldCharType="begin"/>
        </w:r>
        <w:r w:rsidR="008811FC">
          <w:rPr>
            <w:noProof/>
            <w:webHidden/>
          </w:rPr>
          <w:instrText xml:space="preserve"> PAGEREF _Toc109996739 \h </w:instrText>
        </w:r>
        <w:r w:rsidR="008811FC">
          <w:rPr>
            <w:noProof/>
            <w:webHidden/>
          </w:rPr>
        </w:r>
        <w:r w:rsidR="008811FC">
          <w:rPr>
            <w:noProof/>
            <w:webHidden/>
          </w:rPr>
          <w:fldChar w:fldCharType="separate"/>
        </w:r>
        <w:r w:rsidR="003C4BC2">
          <w:rPr>
            <w:noProof/>
            <w:webHidden/>
          </w:rPr>
          <w:t>239</w:t>
        </w:r>
        <w:r w:rsidR="008811FC">
          <w:rPr>
            <w:noProof/>
            <w:webHidden/>
          </w:rPr>
          <w:fldChar w:fldCharType="end"/>
        </w:r>
      </w:hyperlink>
    </w:p>
    <w:p w14:paraId="6CB5DE66" w14:textId="61932B65" w:rsidR="008811FC" w:rsidRDefault="00A61B29">
      <w:pPr>
        <w:pStyle w:val="TOC2"/>
        <w:rPr>
          <w:rFonts w:asciiTheme="minorHAnsi" w:eastAsiaTheme="minorEastAsia" w:hAnsiTheme="minorHAnsi" w:cstheme="minorBidi"/>
          <w:noProof/>
          <w:color w:val="auto"/>
          <w:sz w:val="22"/>
          <w:lang w:eastAsia="en-AU"/>
        </w:rPr>
      </w:pPr>
      <w:hyperlink w:anchor="_Toc109996740" w:history="1">
        <w:r w:rsidR="008811FC" w:rsidRPr="00297248">
          <w:rPr>
            <w:rStyle w:val="Hyperlink"/>
            <w:rFonts w:eastAsia="Muli"/>
            <w:noProof/>
          </w:rPr>
          <w:t>Entry to residential aged care facilities</w:t>
        </w:r>
        <w:r w:rsidR="008811FC">
          <w:rPr>
            <w:noProof/>
            <w:webHidden/>
          </w:rPr>
          <w:tab/>
        </w:r>
        <w:r w:rsidR="008811FC">
          <w:rPr>
            <w:noProof/>
            <w:webHidden/>
          </w:rPr>
          <w:fldChar w:fldCharType="begin"/>
        </w:r>
        <w:r w:rsidR="008811FC">
          <w:rPr>
            <w:noProof/>
            <w:webHidden/>
          </w:rPr>
          <w:instrText xml:space="preserve"> PAGEREF _Toc109996740 \h </w:instrText>
        </w:r>
        <w:r w:rsidR="008811FC">
          <w:rPr>
            <w:noProof/>
            <w:webHidden/>
          </w:rPr>
        </w:r>
        <w:r w:rsidR="008811FC">
          <w:rPr>
            <w:noProof/>
            <w:webHidden/>
          </w:rPr>
          <w:fldChar w:fldCharType="separate"/>
        </w:r>
        <w:r w:rsidR="003C4BC2">
          <w:rPr>
            <w:noProof/>
            <w:webHidden/>
          </w:rPr>
          <w:t>244</w:t>
        </w:r>
        <w:r w:rsidR="008811FC">
          <w:rPr>
            <w:noProof/>
            <w:webHidden/>
          </w:rPr>
          <w:fldChar w:fldCharType="end"/>
        </w:r>
      </w:hyperlink>
    </w:p>
    <w:p w14:paraId="1821DF13" w14:textId="7469DD4A" w:rsidR="008811FC" w:rsidRDefault="00A61B29">
      <w:pPr>
        <w:pStyle w:val="TOC2"/>
        <w:rPr>
          <w:rFonts w:asciiTheme="minorHAnsi" w:eastAsiaTheme="minorEastAsia" w:hAnsiTheme="minorHAnsi" w:cstheme="minorBidi"/>
          <w:noProof/>
          <w:color w:val="auto"/>
          <w:sz w:val="22"/>
          <w:lang w:eastAsia="en-AU"/>
        </w:rPr>
      </w:pPr>
      <w:hyperlink w:anchor="_Toc109996741" w:history="1">
        <w:r w:rsidR="008811FC" w:rsidRPr="00297248">
          <w:rPr>
            <w:rStyle w:val="Hyperlink"/>
            <w:rFonts w:eastAsia="Muli"/>
            <w:noProof/>
          </w:rPr>
          <w:t>Serious cardiovascular events and mortality</w:t>
        </w:r>
        <w:r w:rsidR="008811FC">
          <w:rPr>
            <w:noProof/>
            <w:webHidden/>
          </w:rPr>
          <w:tab/>
        </w:r>
        <w:r w:rsidR="008811FC">
          <w:rPr>
            <w:noProof/>
            <w:webHidden/>
          </w:rPr>
          <w:fldChar w:fldCharType="begin"/>
        </w:r>
        <w:r w:rsidR="008811FC">
          <w:rPr>
            <w:noProof/>
            <w:webHidden/>
          </w:rPr>
          <w:instrText xml:space="preserve"> PAGEREF _Toc109996741 \h </w:instrText>
        </w:r>
        <w:r w:rsidR="008811FC">
          <w:rPr>
            <w:noProof/>
            <w:webHidden/>
          </w:rPr>
        </w:r>
        <w:r w:rsidR="008811FC">
          <w:rPr>
            <w:noProof/>
            <w:webHidden/>
          </w:rPr>
          <w:fldChar w:fldCharType="separate"/>
        </w:r>
        <w:r w:rsidR="003C4BC2">
          <w:rPr>
            <w:noProof/>
            <w:webHidden/>
          </w:rPr>
          <w:t>245</w:t>
        </w:r>
        <w:r w:rsidR="008811FC">
          <w:rPr>
            <w:noProof/>
            <w:webHidden/>
          </w:rPr>
          <w:fldChar w:fldCharType="end"/>
        </w:r>
      </w:hyperlink>
    </w:p>
    <w:p w14:paraId="6677A4A8" w14:textId="78961CE8" w:rsidR="008811FC" w:rsidRDefault="00A61B29">
      <w:pPr>
        <w:pStyle w:val="TOC1"/>
        <w:rPr>
          <w:rFonts w:asciiTheme="minorHAnsi" w:eastAsiaTheme="minorEastAsia" w:hAnsiTheme="minorHAnsi" w:cstheme="minorBidi"/>
          <w:i w:val="0"/>
          <w:noProof/>
          <w:color w:val="auto"/>
          <w:sz w:val="22"/>
          <w:lang w:val="en-AU" w:eastAsia="en-AU"/>
        </w:rPr>
      </w:pPr>
      <w:hyperlink w:anchor="_Toc109996742" w:history="1">
        <w:r w:rsidR="008811FC" w:rsidRPr="00297248">
          <w:rPr>
            <w:rStyle w:val="Hyperlink"/>
            <w:noProof/>
          </w:rPr>
          <w:t>Key evaluation question 4: What are the financial effects of the HCH model on governments, providers and individuals?</w:t>
        </w:r>
        <w:r w:rsidR="008811FC">
          <w:rPr>
            <w:noProof/>
            <w:webHidden/>
          </w:rPr>
          <w:tab/>
        </w:r>
        <w:r w:rsidR="008811FC">
          <w:rPr>
            <w:noProof/>
            <w:webHidden/>
          </w:rPr>
          <w:fldChar w:fldCharType="begin"/>
        </w:r>
        <w:r w:rsidR="008811FC">
          <w:rPr>
            <w:noProof/>
            <w:webHidden/>
          </w:rPr>
          <w:instrText xml:space="preserve"> PAGEREF _Toc109996742 \h </w:instrText>
        </w:r>
        <w:r w:rsidR="008811FC">
          <w:rPr>
            <w:noProof/>
            <w:webHidden/>
          </w:rPr>
        </w:r>
        <w:r w:rsidR="008811FC">
          <w:rPr>
            <w:noProof/>
            <w:webHidden/>
          </w:rPr>
          <w:fldChar w:fldCharType="separate"/>
        </w:r>
        <w:r w:rsidR="003C4BC2">
          <w:rPr>
            <w:noProof/>
            <w:webHidden/>
          </w:rPr>
          <w:t>247</w:t>
        </w:r>
        <w:r w:rsidR="008811FC">
          <w:rPr>
            <w:noProof/>
            <w:webHidden/>
          </w:rPr>
          <w:fldChar w:fldCharType="end"/>
        </w:r>
      </w:hyperlink>
    </w:p>
    <w:p w14:paraId="16F4A92F" w14:textId="74CC5161" w:rsidR="008811FC" w:rsidRDefault="00A61B29">
      <w:pPr>
        <w:pStyle w:val="TOC1"/>
        <w:rPr>
          <w:rFonts w:asciiTheme="minorHAnsi" w:eastAsiaTheme="minorEastAsia" w:hAnsiTheme="minorHAnsi" w:cstheme="minorBidi"/>
          <w:i w:val="0"/>
          <w:noProof/>
          <w:color w:val="auto"/>
          <w:sz w:val="22"/>
          <w:lang w:val="en-AU" w:eastAsia="en-AU"/>
        </w:rPr>
      </w:pPr>
      <w:hyperlink w:anchor="_Toc109996743" w:history="1">
        <w:r w:rsidR="008811FC" w:rsidRPr="00297248">
          <w:rPr>
            <w:rStyle w:val="Hyperlink"/>
            <w:noProof/>
          </w:rPr>
          <w:t>19.</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Financial impacts of HCH</w:t>
        </w:r>
        <w:r w:rsidR="008811FC">
          <w:rPr>
            <w:noProof/>
            <w:webHidden/>
          </w:rPr>
          <w:tab/>
        </w:r>
        <w:r w:rsidR="008811FC">
          <w:rPr>
            <w:noProof/>
            <w:webHidden/>
          </w:rPr>
          <w:fldChar w:fldCharType="begin"/>
        </w:r>
        <w:r w:rsidR="008811FC">
          <w:rPr>
            <w:noProof/>
            <w:webHidden/>
          </w:rPr>
          <w:instrText xml:space="preserve"> PAGEREF _Toc109996743 \h </w:instrText>
        </w:r>
        <w:r w:rsidR="008811FC">
          <w:rPr>
            <w:noProof/>
            <w:webHidden/>
          </w:rPr>
        </w:r>
        <w:r w:rsidR="008811FC">
          <w:rPr>
            <w:noProof/>
            <w:webHidden/>
          </w:rPr>
          <w:fldChar w:fldCharType="separate"/>
        </w:r>
        <w:r w:rsidR="003C4BC2">
          <w:rPr>
            <w:noProof/>
            <w:webHidden/>
          </w:rPr>
          <w:t>248</w:t>
        </w:r>
        <w:r w:rsidR="008811FC">
          <w:rPr>
            <w:noProof/>
            <w:webHidden/>
          </w:rPr>
          <w:fldChar w:fldCharType="end"/>
        </w:r>
      </w:hyperlink>
    </w:p>
    <w:p w14:paraId="430B35FC" w14:textId="02126864" w:rsidR="008811FC" w:rsidRDefault="00A61B29">
      <w:pPr>
        <w:pStyle w:val="TOC2"/>
        <w:rPr>
          <w:rFonts w:asciiTheme="minorHAnsi" w:eastAsiaTheme="minorEastAsia" w:hAnsiTheme="minorHAnsi" w:cstheme="minorBidi"/>
          <w:noProof/>
          <w:color w:val="auto"/>
          <w:sz w:val="22"/>
          <w:lang w:eastAsia="en-AU"/>
        </w:rPr>
      </w:pPr>
      <w:hyperlink w:anchor="_Toc109996744" w:history="1">
        <w:r w:rsidR="008811FC" w:rsidRPr="00297248">
          <w:rPr>
            <w:rStyle w:val="Hyperlink"/>
            <w:noProof/>
          </w:rPr>
          <w:t>Impact on practices</w:t>
        </w:r>
        <w:r w:rsidR="008811FC">
          <w:rPr>
            <w:noProof/>
            <w:webHidden/>
          </w:rPr>
          <w:tab/>
        </w:r>
        <w:r w:rsidR="008811FC">
          <w:rPr>
            <w:noProof/>
            <w:webHidden/>
          </w:rPr>
          <w:fldChar w:fldCharType="begin"/>
        </w:r>
        <w:r w:rsidR="008811FC">
          <w:rPr>
            <w:noProof/>
            <w:webHidden/>
          </w:rPr>
          <w:instrText xml:space="preserve"> PAGEREF _Toc109996744 \h </w:instrText>
        </w:r>
        <w:r w:rsidR="008811FC">
          <w:rPr>
            <w:noProof/>
            <w:webHidden/>
          </w:rPr>
        </w:r>
        <w:r w:rsidR="008811FC">
          <w:rPr>
            <w:noProof/>
            <w:webHidden/>
          </w:rPr>
          <w:fldChar w:fldCharType="separate"/>
        </w:r>
        <w:r w:rsidR="003C4BC2">
          <w:rPr>
            <w:noProof/>
            <w:webHidden/>
          </w:rPr>
          <w:t>249</w:t>
        </w:r>
        <w:r w:rsidR="008811FC">
          <w:rPr>
            <w:noProof/>
            <w:webHidden/>
          </w:rPr>
          <w:fldChar w:fldCharType="end"/>
        </w:r>
      </w:hyperlink>
    </w:p>
    <w:p w14:paraId="2022CA15" w14:textId="5E7B9680" w:rsidR="008811FC" w:rsidRDefault="00A61B29">
      <w:pPr>
        <w:pStyle w:val="TOC2"/>
        <w:rPr>
          <w:rFonts w:asciiTheme="minorHAnsi" w:eastAsiaTheme="minorEastAsia" w:hAnsiTheme="minorHAnsi" w:cstheme="minorBidi"/>
          <w:noProof/>
          <w:color w:val="auto"/>
          <w:sz w:val="22"/>
          <w:lang w:eastAsia="en-AU"/>
        </w:rPr>
      </w:pPr>
      <w:hyperlink w:anchor="_Toc109996745" w:history="1">
        <w:r w:rsidR="008811FC" w:rsidRPr="00297248">
          <w:rPr>
            <w:rStyle w:val="Hyperlink"/>
            <w:noProof/>
          </w:rPr>
          <w:t>Impact on government</w:t>
        </w:r>
        <w:r w:rsidR="008811FC">
          <w:rPr>
            <w:noProof/>
            <w:webHidden/>
          </w:rPr>
          <w:tab/>
        </w:r>
        <w:r w:rsidR="008811FC">
          <w:rPr>
            <w:noProof/>
            <w:webHidden/>
          </w:rPr>
          <w:fldChar w:fldCharType="begin"/>
        </w:r>
        <w:r w:rsidR="008811FC">
          <w:rPr>
            <w:noProof/>
            <w:webHidden/>
          </w:rPr>
          <w:instrText xml:space="preserve"> PAGEREF _Toc109996745 \h </w:instrText>
        </w:r>
        <w:r w:rsidR="008811FC">
          <w:rPr>
            <w:noProof/>
            <w:webHidden/>
          </w:rPr>
        </w:r>
        <w:r w:rsidR="008811FC">
          <w:rPr>
            <w:noProof/>
            <w:webHidden/>
          </w:rPr>
          <w:fldChar w:fldCharType="separate"/>
        </w:r>
        <w:r w:rsidR="003C4BC2">
          <w:rPr>
            <w:noProof/>
            <w:webHidden/>
          </w:rPr>
          <w:t>252</w:t>
        </w:r>
        <w:r w:rsidR="008811FC">
          <w:rPr>
            <w:noProof/>
            <w:webHidden/>
          </w:rPr>
          <w:fldChar w:fldCharType="end"/>
        </w:r>
      </w:hyperlink>
    </w:p>
    <w:p w14:paraId="71AF50AE" w14:textId="11D559B0" w:rsidR="008811FC" w:rsidRDefault="00A61B29">
      <w:pPr>
        <w:pStyle w:val="TOC2"/>
        <w:rPr>
          <w:rFonts w:asciiTheme="minorHAnsi" w:eastAsiaTheme="minorEastAsia" w:hAnsiTheme="minorHAnsi" w:cstheme="minorBidi"/>
          <w:noProof/>
          <w:color w:val="auto"/>
          <w:sz w:val="22"/>
          <w:lang w:eastAsia="en-AU"/>
        </w:rPr>
      </w:pPr>
      <w:hyperlink w:anchor="_Toc109996746" w:history="1">
        <w:r w:rsidR="008811FC" w:rsidRPr="00297248">
          <w:rPr>
            <w:rStyle w:val="Hyperlink"/>
            <w:noProof/>
          </w:rPr>
          <w:t>Impact on patients</w:t>
        </w:r>
        <w:r w:rsidR="008811FC">
          <w:rPr>
            <w:noProof/>
            <w:webHidden/>
          </w:rPr>
          <w:tab/>
        </w:r>
        <w:r w:rsidR="008811FC">
          <w:rPr>
            <w:noProof/>
            <w:webHidden/>
          </w:rPr>
          <w:fldChar w:fldCharType="begin"/>
        </w:r>
        <w:r w:rsidR="008811FC">
          <w:rPr>
            <w:noProof/>
            <w:webHidden/>
          </w:rPr>
          <w:instrText xml:space="preserve"> PAGEREF _Toc109996746 \h </w:instrText>
        </w:r>
        <w:r w:rsidR="008811FC">
          <w:rPr>
            <w:noProof/>
            <w:webHidden/>
          </w:rPr>
        </w:r>
        <w:r w:rsidR="008811FC">
          <w:rPr>
            <w:noProof/>
            <w:webHidden/>
          </w:rPr>
          <w:fldChar w:fldCharType="separate"/>
        </w:r>
        <w:r w:rsidR="003C4BC2">
          <w:rPr>
            <w:noProof/>
            <w:webHidden/>
          </w:rPr>
          <w:t>255</w:t>
        </w:r>
        <w:r w:rsidR="008811FC">
          <w:rPr>
            <w:noProof/>
            <w:webHidden/>
          </w:rPr>
          <w:fldChar w:fldCharType="end"/>
        </w:r>
      </w:hyperlink>
    </w:p>
    <w:p w14:paraId="6DB7273B" w14:textId="31F91DEB" w:rsidR="008811FC" w:rsidRDefault="00A61B29">
      <w:pPr>
        <w:pStyle w:val="TOC1"/>
        <w:rPr>
          <w:rFonts w:asciiTheme="minorHAnsi" w:eastAsiaTheme="minorEastAsia" w:hAnsiTheme="minorHAnsi" w:cstheme="minorBidi"/>
          <w:i w:val="0"/>
          <w:noProof/>
          <w:color w:val="auto"/>
          <w:sz w:val="22"/>
          <w:lang w:val="en-AU" w:eastAsia="en-AU"/>
        </w:rPr>
      </w:pPr>
      <w:hyperlink w:anchor="_Toc109996747" w:history="1">
        <w:r w:rsidR="008811FC" w:rsidRPr="00297248">
          <w:rPr>
            <w:rStyle w:val="Hyperlink"/>
            <w:noProof/>
          </w:rPr>
          <w:t>Key evaluation questions 5–8: Community pharmacy trial?</w:t>
        </w:r>
        <w:r w:rsidR="008811FC">
          <w:rPr>
            <w:noProof/>
            <w:webHidden/>
          </w:rPr>
          <w:tab/>
        </w:r>
        <w:r w:rsidR="008811FC">
          <w:rPr>
            <w:noProof/>
            <w:webHidden/>
          </w:rPr>
          <w:fldChar w:fldCharType="begin"/>
        </w:r>
        <w:r w:rsidR="008811FC">
          <w:rPr>
            <w:noProof/>
            <w:webHidden/>
          </w:rPr>
          <w:instrText xml:space="preserve"> PAGEREF _Toc109996747 \h </w:instrText>
        </w:r>
        <w:r w:rsidR="008811FC">
          <w:rPr>
            <w:noProof/>
            <w:webHidden/>
          </w:rPr>
        </w:r>
        <w:r w:rsidR="008811FC">
          <w:rPr>
            <w:noProof/>
            <w:webHidden/>
          </w:rPr>
          <w:fldChar w:fldCharType="separate"/>
        </w:r>
        <w:r w:rsidR="003C4BC2">
          <w:rPr>
            <w:noProof/>
            <w:webHidden/>
          </w:rPr>
          <w:t>259</w:t>
        </w:r>
        <w:r w:rsidR="008811FC">
          <w:rPr>
            <w:noProof/>
            <w:webHidden/>
          </w:rPr>
          <w:fldChar w:fldCharType="end"/>
        </w:r>
      </w:hyperlink>
    </w:p>
    <w:p w14:paraId="266904BC" w14:textId="6737651E" w:rsidR="008811FC" w:rsidRDefault="00A61B29">
      <w:pPr>
        <w:pStyle w:val="TOC1"/>
        <w:rPr>
          <w:rFonts w:asciiTheme="minorHAnsi" w:eastAsiaTheme="minorEastAsia" w:hAnsiTheme="minorHAnsi" w:cstheme="minorBidi"/>
          <w:i w:val="0"/>
          <w:noProof/>
          <w:color w:val="auto"/>
          <w:sz w:val="22"/>
          <w:lang w:val="en-AU" w:eastAsia="en-AU"/>
        </w:rPr>
      </w:pPr>
      <w:hyperlink w:anchor="_Toc109996748" w:history="1">
        <w:r w:rsidR="008811FC" w:rsidRPr="00297248">
          <w:rPr>
            <w:rStyle w:val="Hyperlink"/>
            <w:noProof/>
          </w:rPr>
          <w:t>20.</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Community Pharmacy in HCH Trial – set-up</w:t>
        </w:r>
        <w:r w:rsidR="008811FC">
          <w:rPr>
            <w:noProof/>
            <w:webHidden/>
          </w:rPr>
          <w:tab/>
        </w:r>
        <w:r w:rsidR="008811FC">
          <w:rPr>
            <w:noProof/>
            <w:webHidden/>
          </w:rPr>
          <w:fldChar w:fldCharType="begin"/>
        </w:r>
        <w:r w:rsidR="008811FC">
          <w:rPr>
            <w:noProof/>
            <w:webHidden/>
          </w:rPr>
          <w:instrText xml:space="preserve"> PAGEREF _Toc109996748 \h </w:instrText>
        </w:r>
        <w:r w:rsidR="008811FC">
          <w:rPr>
            <w:noProof/>
            <w:webHidden/>
          </w:rPr>
        </w:r>
        <w:r w:rsidR="008811FC">
          <w:rPr>
            <w:noProof/>
            <w:webHidden/>
          </w:rPr>
          <w:fldChar w:fldCharType="separate"/>
        </w:r>
        <w:r w:rsidR="003C4BC2">
          <w:rPr>
            <w:noProof/>
            <w:webHidden/>
          </w:rPr>
          <w:t>260</w:t>
        </w:r>
        <w:r w:rsidR="008811FC">
          <w:rPr>
            <w:noProof/>
            <w:webHidden/>
          </w:rPr>
          <w:fldChar w:fldCharType="end"/>
        </w:r>
      </w:hyperlink>
    </w:p>
    <w:p w14:paraId="25E77558" w14:textId="4F759F3E" w:rsidR="008811FC" w:rsidRDefault="00A61B29">
      <w:pPr>
        <w:pStyle w:val="TOC2"/>
        <w:rPr>
          <w:rFonts w:asciiTheme="minorHAnsi" w:eastAsiaTheme="minorEastAsia" w:hAnsiTheme="minorHAnsi" w:cstheme="minorBidi"/>
          <w:noProof/>
          <w:color w:val="auto"/>
          <w:sz w:val="22"/>
          <w:lang w:eastAsia="en-AU"/>
        </w:rPr>
      </w:pPr>
      <w:hyperlink w:anchor="_Toc109996749" w:history="1">
        <w:r w:rsidR="008811FC" w:rsidRPr="00297248">
          <w:rPr>
            <w:rStyle w:val="Hyperlink"/>
            <w:noProof/>
          </w:rPr>
          <w:t>Establishment of the trial</w:t>
        </w:r>
        <w:r w:rsidR="008811FC">
          <w:rPr>
            <w:noProof/>
            <w:webHidden/>
          </w:rPr>
          <w:tab/>
        </w:r>
        <w:r w:rsidR="008811FC">
          <w:rPr>
            <w:noProof/>
            <w:webHidden/>
          </w:rPr>
          <w:fldChar w:fldCharType="begin"/>
        </w:r>
        <w:r w:rsidR="008811FC">
          <w:rPr>
            <w:noProof/>
            <w:webHidden/>
          </w:rPr>
          <w:instrText xml:space="preserve"> PAGEREF _Toc109996749 \h </w:instrText>
        </w:r>
        <w:r w:rsidR="008811FC">
          <w:rPr>
            <w:noProof/>
            <w:webHidden/>
          </w:rPr>
        </w:r>
        <w:r w:rsidR="008811FC">
          <w:rPr>
            <w:noProof/>
            <w:webHidden/>
          </w:rPr>
          <w:fldChar w:fldCharType="separate"/>
        </w:r>
        <w:r w:rsidR="003C4BC2">
          <w:rPr>
            <w:noProof/>
            <w:webHidden/>
          </w:rPr>
          <w:t>260</w:t>
        </w:r>
        <w:r w:rsidR="008811FC">
          <w:rPr>
            <w:noProof/>
            <w:webHidden/>
          </w:rPr>
          <w:fldChar w:fldCharType="end"/>
        </w:r>
      </w:hyperlink>
    </w:p>
    <w:p w14:paraId="3B8D6AAA" w14:textId="19BB841C" w:rsidR="008811FC" w:rsidRDefault="00A61B29">
      <w:pPr>
        <w:pStyle w:val="TOC2"/>
        <w:rPr>
          <w:rFonts w:asciiTheme="minorHAnsi" w:eastAsiaTheme="minorEastAsia" w:hAnsiTheme="minorHAnsi" w:cstheme="minorBidi"/>
          <w:noProof/>
          <w:color w:val="auto"/>
          <w:sz w:val="22"/>
          <w:lang w:eastAsia="en-AU"/>
        </w:rPr>
      </w:pPr>
      <w:hyperlink w:anchor="_Toc109996750" w:history="1">
        <w:r w:rsidR="008811FC" w:rsidRPr="00297248">
          <w:rPr>
            <w:rStyle w:val="Hyperlink"/>
            <w:noProof/>
          </w:rPr>
          <w:t>Trial design</w:t>
        </w:r>
        <w:r w:rsidR="008811FC">
          <w:rPr>
            <w:noProof/>
            <w:webHidden/>
          </w:rPr>
          <w:tab/>
        </w:r>
        <w:r w:rsidR="008811FC">
          <w:rPr>
            <w:noProof/>
            <w:webHidden/>
          </w:rPr>
          <w:fldChar w:fldCharType="begin"/>
        </w:r>
        <w:r w:rsidR="008811FC">
          <w:rPr>
            <w:noProof/>
            <w:webHidden/>
          </w:rPr>
          <w:instrText xml:space="preserve"> PAGEREF _Toc109996750 \h </w:instrText>
        </w:r>
        <w:r w:rsidR="008811FC">
          <w:rPr>
            <w:noProof/>
            <w:webHidden/>
          </w:rPr>
        </w:r>
        <w:r w:rsidR="008811FC">
          <w:rPr>
            <w:noProof/>
            <w:webHidden/>
          </w:rPr>
          <w:fldChar w:fldCharType="separate"/>
        </w:r>
        <w:r w:rsidR="003C4BC2">
          <w:rPr>
            <w:noProof/>
            <w:webHidden/>
          </w:rPr>
          <w:t>261</w:t>
        </w:r>
        <w:r w:rsidR="008811FC">
          <w:rPr>
            <w:noProof/>
            <w:webHidden/>
          </w:rPr>
          <w:fldChar w:fldCharType="end"/>
        </w:r>
      </w:hyperlink>
    </w:p>
    <w:p w14:paraId="3B41D05A" w14:textId="15B2E76D" w:rsidR="008811FC" w:rsidRDefault="00A61B29">
      <w:pPr>
        <w:pStyle w:val="TOC2"/>
        <w:rPr>
          <w:rFonts w:asciiTheme="minorHAnsi" w:eastAsiaTheme="minorEastAsia" w:hAnsiTheme="minorHAnsi" w:cstheme="minorBidi"/>
          <w:noProof/>
          <w:color w:val="auto"/>
          <w:sz w:val="22"/>
          <w:lang w:eastAsia="en-AU"/>
        </w:rPr>
      </w:pPr>
      <w:hyperlink w:anchor="_Toc109996751" w:history="1">
        <w:r w:rsidR="008811FC" w:rsidRPr="00297248">
          <w:rPr>
            <w:rStyle w:val="Hyperlink"/>
            <w:noProof/>
          </w:rPr>
          <w:t>Payments to pharmacies</w:t>
        </w:r>
        <w:r w:rsidR="008811FC">
          <w:rPr>
            <w:noProof/>
            <w:webHidden/>
          </w:rPr>
          <w:tab/>
        </w:r>
        <w:r w:rsidR="008811FC">
          <w:rPr>
            <w:noProof/>
            <w:webHidden/>
          </w:rPr>
          <w:fldChar w:fldCharType="begin"/>
        </w:r>
        <w:r w:rsidR="008811FC">
          <w:rPr>
            <w:noProof/>
            <w:webHidden/>
          </w:rPr>
          <w:instrText xml:space="preserve"> PAGEREF _Toc109996751 \h </w:instrText>
        </w:r>
        <w:r w:rsidR="008811FC">
          <w:rPr>
            <w:noProof/>
            <w:webHidden/>
          </w:rPr>
        </w:r>
        <w:r w:rsidR="008811FC">
          <w:rPr>
            <w:noProof/>
            <w:webHidden/>
          </w:rPr>
          <w:fldChar w:fldCharType="separate"/>
        </w:r>
        <w:r w:rsidR="003C4BC2">
          <w:rPr>
            <w:noProof/>
            <w:webHidden/>
          </w:rPr>
          <w:t>263</w:t>
        </w:r>
        <w:r w:rsidR="008811FC">
          <w:rPr>
            <w:noProof/>
            <w:webHidden/>
          </w:rPr>
          <w:fldChar w:fldCharType="end"/>
        </w:r>
      </w:hyperlink>
    </w:p>
    <w:p w14:paraId="66E2E94E" w14:textId="39AC9D51" w:rsidR="008811FC" w:rsidRDefault="00A61B29">
      <w:pPr>
        <w:pStyle w:val="TOC2"/>
        <w:rPr>
          <w:rFonts w:asciiTheme="minorHAnsi" w:eastAsiaTheme="minorEastAsia" w:hAnsiTheme="minorHAnsi" w:cstheme="minorBidi"/>
          <w:noProof/>
          <w:color w:val="auto"/>
          <w:sz w:val="22"/>
          <w:lang w:eastAsia="en-AU"/>
        </w:rPr>
      </w:pPr>
      <w:hyperlink w:anchor="_Toc109996752" w:history="1">
        <w:r w:rsidR="008811FC" w:rsidRPr="00297248">
          <w:rPr>
            <w:rStyle w:val="Hyperlink"/>
            <w:noProof/>
          </w:rPr>
          <w:t>Launch of the Community Pharmacy in HCH Trial</w:t>
        </w:r>
        <w:r w:rsidR="008811FC">
          <w:rPr>
            <w:noProof/>
            <w:webHidden/>
          </w:rPr>
          <w:tab/>
        </w:r>
        <w:r w:rsidR="008811FC">
          <w:rPr>
            <w:noProof/>
            <w:webHidden/>
          </w:rPr>
          <w:fldChar w:fldCharType="begin"/>
        </w:r>
        <w:r w:rsidR="008811FC">
          <w:rPr>
            <w:noProof/>
            <w:webHidden/>
          </w:rPr>
          <w:instrText xml:space="preserve"> PAGEREF _Toc109996752 \h </w:instrText>
        </w:r>
        <w:r w:rsidR="008811FC">
          <w:rPr>
            <w:noProof/>
            <w:webHidden/>
          </w:rPr>
        </w:r>
        <w:r w:rsidR="008811FC">
          <w:rPr>
            <w:noProof/>
            <w:webHidden/>
          </w:rPr>
          <w:fldChar w:fldCharType="separate"/>
        </w:r>
        <w:r w:rsidR="003C4BC2">
          <w:rPr>
            <w:noProof/>
            <w:webHidden/>
          </w:rPr>
          <w:t>263</w:t>
        </w:r>
        <w:r w:rsidR="008811FC">
          <w:rPr>
            <w:noProof/>
            <w:webHidden/>
          </w:rPr>
          <w:fldChar w:fldCharType="end"/>
        </w:r>
      </w:hyperlink>
    </w:p>
    <w:p w14:paraId="2A1D42A8" w14:textId="058220DC" w:rsidR="008811FC" w:rsidRDefault="00A61B29">
      <w:pPr>
        <w:pStyle w:val="TOC2"/>
        <w:rPr>
          <w:rFonts w:asciiTheme="minorHAnsi" w:eastAsiaTheme="minorEastAsia" w:hAnsiTheme="minorHAnsi" w:cstheme="minorBidi"/>
          <w:noProof/>
          <w:color w:val="auto"/>
          <w:sz w:val="22"/>
          <w:lang w:eastAsia="en-AU"/>
        </w:rPr>
      </w:pPr>
      <w:hyperlink w:anchor="_Toc109996753" w:history="1">
        <w:r w:rsidR="008811FC" w:rsidRPr="00297248">
          <w:rPr>
            <w:rStyle w:val="Hyperlink"/>
            <w:noProof/>
          </w:rPr>
          <w:t>Training and support</w:t>
        </w:r>
        <w:r w:rsidR="008811FC">
          <w:rPr>
            <w:noProof/>
            <w:webHidden/>
          </w:rPr>
          <w:tab/>
        </w:r>
        <w:r w:rsidR="008811FC">
          <w:rPr>
            <w:noProof/>
            <w:webHidden/>
          </w:rPr>
          <w:fldChar w:fldCharType="begin"/>
        </w:r>
        <w:r w:rsidR="008811FC">
          <w:rPr>
            <w:noProof/>
            <w:webHidden/>
          </w:rPr>
          <w:instrText xml:space="preserve"> PAGEREF _Toc109996753 \h </w:instrText>
        </w:r>
        <w:r w:rsidR="008811FC">
          <w:rPr>
            <w:noProof/>
            <w:webHidden/>
          </w:rPr>
        </w:r>
        <w:r w:rsidR="008811FC">
          <w:rPr>
            <w:noProof/>
            <w:webHidden/>
          </w:rPr>
          <w:fldChar w:fldCharType="separate"/>
        </w:r>
        <w:r w:rsidR="003C4BC2">
          <w:rPr>
            <w:noProof/>
            <w:webHidden/>
          </w:rPr>
          <w:t>266</w:t>
        </w:r>
        <w:r w:rsidR="008811FC">
          <w:rPr>
            <w:noProof/>
            <w:webHidden/>
          </w:rPr>
          <w:fldChar w:fldCharType="end"/>
        </w:r>
      </w:hyperlink>
    </w:p>
    <w:p w14:paraId="3F930165" w14:textId="07701344" w:rsidR="008811FC" w:rsidRDefault="00A61B29">
      <w:pPr>
        <w:pStyle w:val="TOC2"/>
        <w:rPr>
          <w:rFonts w:asciiTheme="minorHAnsi" w:eastAsiaTheme="minorEastAsia" w:hAnsiTheme="minorHAnsi" w:cstheme="minorBidi"/>
          <w:noProof/>
          <w:color w:val="auto"/>
          <w:sz w:val="22"/>
          <w:lang w:eastAsia="en-AU"/>
        </w:rPr>
      </w:pPr>
      <w:hyperlink w:anchor="_Toc109996754" w:history="1">
        <w:r w:rsidR="008811FC" w:rsidRPr="00297248">
          <w:rPr>
            <w:rStyle w:val="Hyperlink"/>
            <w:noProof/>
          </w:rPr>
          <w:t>IT set-up</w:t>
        </w:r>
        <w:r w:rsidR="008811FC">
          <w:rPr>
            <w:noProof/>
            <w:webHidden/>
          </w:rPr>
          <w:tab/>
        </w:r>
        <w:r w:rsidR="008811FC">
          <w:rPr>
            <w:noProof/>
            <w:webHidden/>
          </w:rPr>
          <w:fldChar w:fldCharType="begin"/>
        </w:r>
        <w:r w:rsidR="008811FC">
          <w:rPr>
            <w:noProof/>
            <w:webHidden/>
          </w:rPr>
          <w:instrText xml:space="preserve"> PAGEREF _Toc109996754 \h </w:instrText>
        </w:r>
        <w:r w:rsidR="008811FC">
          <w:rPr>
            <w:noProof/>
            <w:webHidden/>
          </w:rPr>
        </w:r>
        <w:r w:rsidR="008811FC">
          <w:rPr>
            <w:noProof/>
            <w:webHidden/>
          </w:rPr>
          <w:fldChar w:fldCharType="separate"/>
        </w:r>
        <w:r w:rsidR="003C4BC2">
          <w:rPr>
            <w:noProof/>
            <w:webHidden/>
          </w:rPr>
          <w:t>271</w:t>
        </w:r>
        <w:r w:rsidR="008811FC">
          <w:rPr>
            <w:noProof/>
            <w:webHidden/>
          </w:rPr>
          <w:fldChar w:fldCharType="end"/>
        </w:r>
      </w:hyperlink>
    </w:p>
    <w:p w14:paraId="05A95BC8" w14:textId="180F0EBC" w:rsidR="008811FC" w:rsidRDefault="00A61B29">
      <w:pPr>
        <w:pStyle w:val="TOC1"/>
        <w:rPr>
          <w:rFonts w:asciiTheme="minorHAnsi" w:eastAsiaTheme="minorEastAsia" w:hAnsiTheme="minorHAnsi" w:cstheme="minorBidi"/>
          <w:i w:val="0"/>
          <w:noProof/>
          <w:color w:val="auto"/>
          <w:sz w:val="22"/>
          <w:lang w:val="en-AU" w:eastAsia="en-AU"/>
        </w:rPr>
      </w:pPr>
      <w:hyperlink w:anchor="_Toc109996755" w:history="1">
        <w:r w:rsidR="008811FC" w:rsidRPr="00297248">
          <w:rPr>
            <w:rStyle w:val="Hyperlink"/>
            <w:noProof/>
          </w:rPr>
          <w:t>21.</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Community Pharmacy in HCH Trial – pharmacy and patient participation</w:t>
        </w:r>
        <w:r w:rsidR="008811FC">
          <w:rPr>
            <w:noProof/>
            <w:webHidden/>
          </w:rPr>
          <w:tab/>
        </w:r>
        <w:r w:rsidR="008811FC">
          <w:rPr>
            <w:noProof/>
            <w:webHidden/>
          </w:rPr>
          <w:fldChar w:fldCharType="begin"/>
        </w:r>
        <w:r w:rsidR="008811FC">
          <w:rPr>
            <w:noProof/>
            <w:webHidden/>
          </w:rPr>
          <w:instrText xml:space="preserve"> PAGEREF _Toc109996755 \h </w:instrText>
        </w:r>
        <w:r w:rsidR="008811FC">
          <w:rPr>
            <w:noProof/>
            <w:webHidden/>
          </w:rPr>
        </w:r>
        <w:r w:rsidR="008811FC">
          <w:rPr>
            <w:noProof/>
            <w:webHidden/>
          </w:rPr>
          <w:fldChar w:fldCharType="separate"/>
        </w:r>
        <w:r w:rsidR="003C4BC2">
          <w:rPr>
            <w:noProof/>
            <w:webHidden/>
          </w:rPr>
          <w:t>277</w:t>
        </w:r>
        <w:r w:rsidR="008811FC">
          <w:rPr>
            <w:noProof/>
            <w:webHidden/>
          </w:rPr>
          <w:fldChar w:fldCharType="end"/>
        </w:r>
      </w:hyperlink>
    </w:p>
    <w:p w14:paraId="4D32C433" w14:textId="7D8A7B7F" w:rsidR="008811FC" w:rsidRDefault="00A61B29">
      <w:pPr>
        <w:pStyle w:val="TOC2"/>
        <w:rPr>
          <w:rFonts w:asciiTheme="minorHAnsi" w:eastAsiaTheme="minorEastAsia" w:hAnsiTheme="minorHAnsi" w:cstheme="minorBidi"/>
          <w:noProof/>
          <w:color w:val="auto"/>
          <w:sz w:val="22"/>
          <w:lang w:eastAsia="en-AU"/>
        </w:rPr>
      </w:pPr>
      <w:hyperlink w:anchor="_Toc109996756" w:history="1">
        <w:r w:rsidR="008811FC" w:rsidRPr="00297248">
          <w:rPr>
            <w:rStyle w:val="Hyperlink"/>
            <w:noProof/>
          </w:rPr>
          <w:t>Pharmacies</w:t>
        </w:r>
        <w:r w:rsidR="008811FC">
          <w:rPr>
            <w:noProof/>
            <w:webHidden/>
          </w:rPr>
          <w:tab/>
        </w:r>
        <w:r w:rsidR="008811FC">
          <w:rPr>
            <w:noProof/>
            <w:webHidden/>
          </w:rPr>
          <w:fldChar w:fldCharType="begin"/>
        </w:r>
        <w:r w:rsidR="008811FC">
          <w:rPr>
            <w:noProof/>
            <w:webHidden/>
          </w:rPr>
          <w:instrText xml:space="preserve"> PAGEREF _Toc109996756 \h </w:instrText>
        </w:r>
        <w:r w:rsidR="008811FC">
          <w:rPr>
            <w:noProof/>
            <w:webHidden/>
          </w:rPr>
        </w:r>
        <w:r w:rsidR="008811FC">
          <w:rPr>
            <w:noProof/>
            <w:webHidden/>
          </w:rPr>
          <w:fldChar w:fldCharType="separate"/>
        </w:r>
        <w:r w:rsidR="003C4BC2">
          <w:rPr>
            <w:noProof/>
            <w:webHidden/>
          </w:rPr>
          <w:t>278</w:t>
        </w:r>
        <w:r w:rsidR="008811FC">
          <w:rPr>
            <w:noProof/>
            <w:webHidden/>
          </w:rPr>
          <w:fldChar w:fldCharType="end"/>
        </w:r>
      </w:hyperlink>
    </w:p>
    <w:p w14:paraId="2F9DA960" w14:textId="47123D69" w:rsidR="008811FC" w:rsidRDefault="00A61B29">
      <w:pPr>
        <w:pStyle w:val="TOC2"/>
        <w:rPr>
          <w:rFonts w:asciiTheme="minorHAnsi" w:eastAsiaTheme="minorEastAsia" w:hAnsiTheme="minorHAnsi" w:cstheme="minorBidi"/>
          <w:noProof/>
          <w:color w:val="auto"/>
          <w:sz w:val="22"/>
          <w:lang w:eastAsia="en-AU"/>
        </w:rPr>
      </w:pPr>
      <w:hyperlink w:anchor="_Toc109996757" w:history="1">
        <w:r w:rsidR="008811FC" w:rsidRPr="00297248">
          <w:rPr>
            <w:rStyle w:val="Hyperlink"/>
            <w:noProof/>
          </w:rPr>
          <w:t>Patients</w:t>
        </w:r>
        <w:r w:rsidR="008811FC">
          <w:rPr>
            <w:noProof/>
            <w:webHidden/>
          </w:rPr>
          <w:tab/>
        </w:r>
        <w:r w:rsidR="008811FC">
          <w:rPr>
            <w:noProof/>
            <w:webHidden/>
          </w:rPr>
          <w:fldChar w:fldCharType="begin"/>
        </w:r>
        <w:r w:rsidR="008811FC">
          <w:rPr>
            <w:noProof/>
            <w:webHidden/>
          </w:rPr>
          <w:instrText xml:space="preserve"> PAGEREF _Toc109996757 \h </w:instrText>
        </w:r>
        <w:r w:rsidR="008811FC">
          <w:rPr>
            <w:noProof/>
            <w:webHidden/>
          </w:rPr>
        </w:r>
        <w:r w:rsidR="008811FC">
          <w:rPr>
            <w:noProof/>
            <w:webHidden/>
          </w:rPr>
          <w:fldChar w:fldCharType="separate"/>
        </w:r>
        <w:r w:rsidR="003C4BC2">
          <w:rPr>
            <w:noProof/>
            <w:webHidden/>
          </w:rPr>
          <w:t>279</w:t>
        </w:r>
        <w:r w:rsidR="008811FC">
          <w:rPr>
            <w:noProof/>
            <w:webHidden/>
          </w:rPr>
          <w:fldChar w:fldCharType="end"/>
        </w:r>
      </w:hyperlink>
    </w:p>
    <w:p w14:paraId="4E77A157" w14:textId="77D194F4" w:rsidR="008811FC" w:rsidRDefault="00A61B29">
      <w:pPr>
        <w:pStyle w:val="TOC2"/>
        <w:rPr>
          <w:rFonts w:asciiTheme="minorHAnsi" w:eastAsiaTheme="minorEastAsia" w:hAnsiTheme="minorHAnsi" w:cstheme="minorBidi"/>
          <w:noProof/>
          <w:color w:val="auto"/>
          <w:sz w:val="22"/>
          <w:lang w:eastAsia="en-AU"/>
        </w:rPr>
      </w:pPr>
      <w:hyperlink w:anchor="_Toc109996758" w:history="1">
        <w:r w:rsidR="008811FC" w:rsidRPr="00297248">
          <w:rPr>
            <w:rStyle w:val="Hyperlink"/>
            <w:noProof/>
          </w:rPr>
          <w:t>Patient follow-up</w:t>
        </w:r>
        <w:r w:rsidR="008811FC">
          <w:rPr>
            <w:noProof/>
            <w:webHidden/>
          </w:rPr>
          <w:tab/>
        </w:r>
        <w:r w:rsidR="008811FC">
          <w:rPr>
            <w:noProof/>
            <w:webHidden/>
          </w:rPr>
          <w:fldChar w:fldCharType="begin"/>
        </w:r>
        <w:r w:rsidR="008811FC">
          <w:rPr>
            <w:noProof/>
            <w:webHidden/>
          </w:rPr>
          <w:instrText xml:space="preserve"> PAGEREF _Toc109996758 \h </w:instrText>
        </w:r>
        <w:r w:rsidR="008811FC">
          <w:rPr>
            <w:noProof/>
            <w:webHidden/>
          </w:rPr>
        </w:r>
        <w:r w:rsidR="008811FC">
          <w:rPr>
            <w:noProof/>
            <w:webHidden/>
          </w:rPr>
          <w:fldChar w:fldCharType="separate"/>
        </w:r>
        <w:r w:rsidR="003C4BC2">
          <w:rPr>
            <w:noProof/>
            <w:webHidden/>
          </w:rPr>
          <w:t>280</w:t>
        </w:r>
        <w:r w:rsidR="008811FC">
          <w:rPr>
            <w:noProof/>
            <w:webHidden/>
          </w:rPr>
          <w:fldChar w:fldCharType="end"/>
        </w:r>
      </w:hyperlink>
    </w:p>
    <w:p w14:paraId="5E755BCC" w14:textId="0DB97E53" w:rsidR="008811FC" w:rsidRDefault="00A61B29">
      <w:pPr>
        <w:pStyle w:val="TOC2"/>
        <w:rPr>
          <w:rFonts w:asciiTheme="minorHAnsi" w:eastAsiaTheme="minorEastAsia" w:hAnsiTheme="minorHAnsi" w:cstheme="minorBidi"/>
          <w:noProof/>
          <w:color w:val="auto"/>
          <w:sz w:val="22"/>
          <w:lang w:eastAsia="en-AU"/>
        </w:rPr>
      </w:pPr>
      <w:hyperlink w:anchor="_Toc109996759" w:history="1">
        <w:r w:rsidR="008811FC" w:rsidRPr="00297248">
          <w:rPr>
            <w:rStyle w:val="Hyperlink"/>
            <w:noProof/>
          </w:rPr>
          <w:t>Services provided by community pharmacies</w:t>
        </w:r>
        <w:r w:rsidR="008811FC">
          <w:rPr>
            <w:noProof/>
            <w:webHidden/>
          </w:rPr>
          <w:tab/>
        </w:r>
        <w:r w:rsidR="008811FC">
          <w:rPr>
            <w:noProof/>
            <w:webHidden/>
          </w:rPr>
          <w:fldChar w:fldCharType="begin"/>
        </w:r>
        <w:r w:rsidR="008811FC">
          <w:rPr>
            <w:noProof/>
            <w:webHidden/>
          </w:rPr>
          <w:instrText xml:space="preserve"> PAGEREF _Toc109996759 \h </w:instrText>
        </w:r>
        <w:r w:rsidR="008811FC">
          <w:rPr>
            <w:noProof/>
            <w:webHidden/>
          </w:rPr>
        </w:r>
        <w:r w:rsidR="008811FC">
          <w:rPr>
            <w:noProof/>
            <w:webHidden/>
          </w:rPr>
          <w:fldChar w:fldCharType="separate"/>
        </w:r>
        <w:r w:rsidR="003C4BC2">
          <w:rPr>
            <w:noProof/>
            <w:webHidden/>
          </w:rPr>
          <w:t>282</w:t>
        </w:r>
        <w:r w:rsidR="008811FC">
          <w:rPr>
            <w:noProof/>
            <w:webHidden/>
          </w:rPr>
          <w:fldChar w:fldCharType="end"/>
        </w:r>
      </w:hyperlink>
    </w:p>
    <w:p w14:paraId="574F8F1A" w14:textId="6AA6A5B3" w:rsidR="008811FC" w:rsidRDefault="00A61B29">
      <w:pPr>
        <w:pStyle w:val="TOC2"/>
        <w:rPr>
          <w:rFonts w:asciiTheme="minorHAnsi" w:eastAsiaTheme="minorEastAsia" w:hAnsiTheme="minorHAnsi" w:cstheme="minorBidi"/>
          <w:noProof/>
          <w:color w:val="auto"/>
          <w:sz w:val="22"/>
          <w:lang w:eastAsia="en-AU"/>
        </w:rPr>
      </w:pPr>
      <w:hyperlink w:anchor="_Toc109996760" w:history="1">
        <w:r w:rsidR="008811FC" w:rsidRPr="00297248">
          <w:rPr>
            <w:rStyle w:val="Hyperlink"/>
            <w:noProof/>
          </w:rPr>
          <w:t>Impact of patient tier and level of service delivery</w:t>
        </w:r>
        <w:r w:rsidR="008811FC">
          <w:rPr>
            <w:noProof/>
            <w:webHidden/>
          </w:rPr>
          <w:tab/>
        </w:r>
        <w:r w:rsidR="008811FC">
          <w:rPr>
            <w:noProof/>
            <w:webHidden/>
          </w:rPr>
          <w:fldChar w:fldCharType="begin"/>
        </w:r>
        <w:r w:rsidR="008811FC">
          <w:rPr>
            <w:noProof/>
            <w:webHidden/>
          </w:rPr>
          <w:instrText xml:space="preserve"> PAGEREF _Toc109996760 \h </w:instrText>
        </w:r>
        <w:r w:rsidR="008811FC">
          <w:rPr>
            <w:noProof/>
            <w:webHidden/>
          </w:rPr>
        </w:r>
        <w:r w:rsidR="008811FC">
          <w:rPr>
            <w:noProof/>
            <w:webHidden/>
          </w:rPr>
          <w:fldChar w:fldCharType="separate"/>
        </w:r>
        <w:r w:rsidR="003C4BC2">
          <w:rPr>
            <w:noProof/>
            <w:webHidden/>
          </w:rPr>
          <w:t>285</w:t>
        </w:r>
        <w:r w:rsidR="008811FC">
          <w:rPr>
            <w:noProof/>
            <w:webHidden/>
          </w:rPr>
          <w:fldChar w:fldCharType="end"/>
        </w:r>
      </w:hyperlink>
    </w:p>
    <w:p w14:paraId="2231CB2A" w14:textId="3E93DF1E" w:rsidR="008811FC" w:rsidRDefault="00A61B29">
      <w:pPr>
        <w:pStyle w:val="TOC2"/>
        <w:rPr>
          <w:rFonts w:asciiTheme="minorHAnsi" w:eastAsiaTheme="minorEastAsia" w:hAnsiTheme="minorHAnsi" w:cstheme="minorBidi"/>
          <w:noProof/>
          <w:color w:val="auto"/>
          <w:sz w:val="22"/>
          <w:lang w:eastAsia="en-AU"/>
        </w:rPr>
      </w:pPr>
      <w:hyperlink w:anchor="_Toc109996761" w:history="1">
        <w:r w:rsidR="008811FC" w:rsidRPr="00297248">
          <w:rPr>
            <w:rStyle w:val="Hyperlink"/>
            <w:noProof/>
          </w:rPr>
          <w:t>Impact of COVID</w:t>
        </w:r>
        <w:r w:rsidR="008811FC">
          <w:rPr>
            <w:noProof/>
            <w:webHidden/>
          </w:rPr>
          <w:tab/>
        </w:r>
        <w:r w:rsidR="008811FC">
          <w:rPr>
            <w:noProof/>
            <w:webHidden/>
          </w:rPr>
          <w:fldChar w:fldCharType="begin"/>
        </w:r>
        <w:r w:rsidR="008811FC">
          <w:rPr>
            <w:noProof/>
            <w:webHidden/>
          </w:rPr>
          <w:instrText xml:space="preserve"> PAGEREF _Toc109996761 \h </w:instrText>
        </w:r>
        <w:r w:rsidR="008811FC">
          <w:rPr>
            <w:noProof/>
            <w:webHidden/>
          </w:rPr>
        </w:r>
        <w:r w:rsidR="008811FC">
          <w:rPr>
            <w:noProof/>
            <w:webHidden/>
          </w:rPr>
          <w:fldChar w:fldCharType="separate"/>
        </w:r>
        <w:r w:rsidR="003C4BC2">
          <w:rPr>
            <w:noProof/>
            <w:webHidden/>
          </w:rPr>
          <w:t>286</w:t>
        </w:r>
        <w:r w:rsidR="008811FC">
          <w:rPr>
            <w:noProof/>
            <w:webHidden/>
          </w:rPr>
          <w:fldChar w:fldCharType="end"/>
        </w:r>
      </w:hyperlink>
    </w:p>
    <w:p w14:paraId="6B4BC141" w14:textId="33A4C36D" w:rsidR="008811FC" w:rsidRDefault="00A61B29">
      <w:pPr>
        <w:pStyle w:val="TOC2"/>
        <w:rPr>
          <w:rFonts w:asciiTheme="minorHAnsi" w:eastAsiaTheme="minorEastAsia" w:hAnsiTheme="minorHAnsi" w:cstheme="minorBidi"/>
          <w:noProof/>
          <w:color w:val="auto"/>
          <w:sz w:val="22"/>
          <w:lang w:eastAsia="en-AU"/>
        </w:rPr>
      </w:pPr>
      <w:hyperlink w:anchor="_Toc109996762" w:history="1">
        <w:r w:rsidR="008811FC" w:rsidRPr="00297248">
          <w:rPr>
            <w:rStyle w:val="Hyperlink"/>
            <w:noProof/>
          </w:rPr>
          <w:t>Community pharmacists’ experience with the trial</w:t>
        </w:r>
        <w:r w:rsidR="008811FC">
          <w:rPr>
            <w:noProof/>
            <w:webHidden/>
          </w:rPr>
          <w:tab/>
        </w:r>
        <w:r w:rsidR="008811FC">
          <w:rPr>
            <w:noProof/>
            <w:webHidden/>
          </w:rPr>
          <w:fldChar w:fldCharType="begin"/>
        </w:r>
        <w:r w:rsidR="008811FC">
          <w:rPr>
            <w:noProof/>
            <w:webHidden/>
          </w:rPr>
          <w:instrText xml:space="preserve"> PAGEREF _Toc109996762 \h </w:instrText>
        </w:r>
        <w:r w:rsidR="008811FC">
          <w:rPr>
            <w:noProof/>
            <w:webHidden/>
          </w:rPr>
        </w:r>
        <w:r w:rsidR="008811FC">
          <w:rPr>
            <w:noProof/>
            <w:webHidden/>
          </w:rPr>
          <w:fldChar w:fldCharType="separate"/>
        </w:r>
        <w:r w:rsidR="003C4BC2">
          <w:rPr>
            <w:noProof/>
            <w:webHidden/>
          </w:rPr>
          <w:t>288</w:t>
        </w:r>
        <w:r w:rsidR="008811FC">
          <w:rPr>
            <w:noProof/>
            <w:webHidden/>
          </w:rPr>
          <w:fldChar w:fldCharType="end"/>
        </w:r>
      </w:hyperlink>
    </w:p>
    <w:p w14:paraId="5441C0E4" w14:textId="75BB373B" w:rsidR="008811FC" w:rsidRDefault="00A61B29">
      <w:pPr>
        <w:pStyle w:val="TOC2"/>
        <w:rPr>
          <w:rFonts w:asciiTheme="minorHAnsi" w:eastAsiaTheme="minorEastAsia" w:hAnsiTheme="minorHAnsi" w:cstheme="minorBidi"/>
          <w:noProof/>
          <w:color w:val="auto"/>
          <w:sz w:val="22"/>
          <w:lang w:eastAsia="en-AU"/>
        </w:rPr>
      </w:pPr>
      <w:hyperlink w:anchor="_Toc109996763" w:history="1">
        <w:r w:rsidR="008811FC" w:rsidRPr="00297248">
          <w:rPr>
            <w:rStyle w:val="Hyperlink"/>
            <w:noProof/>
          </w:rPr>
          <w:t>Cost of the community pharmacy trial</w:t>
        </w:r>
        <w:r w:rsidR="008811FC">
          <w:rPr>
            <w:noProof/>
            <w:webHidden/>
          </w:rPr>
          <w:tab/>
        </w:r>
        <w:r w:rsidR="008811FC">
          <w:rPr>
            <w:noProof/>
            <w:webHidden/>
          </w:rPr>
          <w:fldChar w:fldCharType="begin"/>
        </w:r>
        <w:r w:rsidR="008811FC">
          <w:rPr>
            <w:noProof/>
            <w:webHidden/>
          </w:rPr>
          <w:instrText xml:space="preserve"> PAGEREF _Toc109996763 \h </w:instrText>
        </w:r>
        <w:r w:rsidR="008811FC">
          <w:rPr>
            <w:noProof/>
            <w:webHidden/>
          </w:rPr>
        </w:r>
        <w:r w:rsidR="008811FC">
          <w:rPr>
            <w:noProof/>
            <w:webHidden/>
          </w:rPr>
          <w:fldChar w:fldCharType="separate"/>
        </w:r>
        <w:r w:rsidR="003C4BC2">
          <w:rPr>
            <w:noProof/>
            <w:webHidden/>
          </w:rPr>
          <w:t>289</w:t>
        </w:r>
        <w:r w:rsidR="008811FC">
          <w:rPr>
            <w:noProof/>
            <w:webHidden/>
          </w:rPr>
          <w:fldChar w:fldCharType="end"/>
        </w:r>
      </w:hyperlink>
    </w:p>
    <w:p w14:paraId="7991C26B" w14:textId="5CCED49E" w:rsidR="008811FC" w:rsidRDefault="00A61B29">
      <w:pPr>
        <w:pStyle w:val="TOC1"/>
        <w:rPr>
          <w:rFonts w:asciiTheme="minorHAnsi" w:eastAsiaTheme="minorEastAsia" w:hAnsiTheme="minorHAnsi" w:cstheme="minorBidi"/>
          <w:i w:val="0"/>
          <w:noProof/>
          <w:color w:val="auto"/>
          <w:sz w:val="22"/>
          <w:lang w:val="en-AU" w:eastAsia="en-AU"/>
        </w:rPr>
      </w:pPr>
      <w:hyperlink w:anchor="_Toc109996764" w:history="1">
        <w:r w:rsidR="008811FC" w:rsidRPr="00297248">
          <w:rPr>
            <w:rStyle w:val="Hyperlink"/>
            <w:noProof/>
          </w:rPr>
          <w:t>22.</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Community Pharmacy in HCH Trial – patient outcomes</w:t>
        </w:r>
        <w:r w:rsidR="008811FC">
          <w:rPr>
            <w:noProof/>
            <w:webHidden/>
          </w:rPr>
          <w:tab/>
        </w:r>
        <w:r w:rsidR="008811FC">
          <w:rPr>
            <w:noProof/>
            <w:webHidden/>
          </w:rPr>
          <w:fldChar w:fldCharType="begin"/>
        </w:r>
        <w:r w:rsidR="008811FC">
          <w:rPr>
            <w:noProof/>
            <w:webHidden/>
          </w:rPr>
          <w:instrText xml:space="preserve"> PAGEREF _Toc109996764 \h </w:instrText>
        </w:r>
        <w:r w:rsidR="008811FC">
          <w:rPr>
            <w:noProof/>
            <w:webHidden/>
          </w:rPr>
        </w:r>
        <w:r w:rsidR="008811FC">
          <w:rPr>
            <w:noProof/>
            <w:webHidden/>
          </w:rPr>
          <w:fldChar w:fldCharType="separate"/>
        </w:r>
        <w:r w:rsidR="003C4BC2">
          <w:rPr>
            <w:noProof/>
            <w:webHidden/>
          </w:rPr>
          <w:t>290</w:t>
        </w:r>
        <w:r w:rsidR="008811FC">
          <w:rPr>
            <w:noProof/>
            <w:webHidden/>
          </w:rPr>
          <w:fldChar w:fldCharType="end"/>
        </w:r>
      </w:hyperlink>
    </w:p>
    <w:p w14:paraId="67DC69AC" w14:textId="237AF03C" w:rsidR="008811FC" w:rsidRDefault="00A61B29">
      <w:pPr>
        <w:pStyle w:val="TOC2"/>
        <w:rPr>
          <w:rFonts w:asciiTheme="minorHAnsi" w:eastAsiaTheme="minorEastAsia" w:hAnsiTheme="minorHAnsi" w:cstheme="minorBidi"/>
          <w:noProof/>
          <w:color w:val="auto"/>
          <w:sz w:val="22"/>
          <w:lang w:eastAsia="en-AU"/>
        </w:rPr>
      </w:pPr>
      <w:hyperlink w:anchor="_Toc109996765" w:history="1">
        <w:r w:rsidR="008811FC" w:rsidRPr="00297248">
          <w:rPr>
            <w:rStyle w:val="Hyperlink"/>
            <w:noProof/>
          </w:rPr>
          <w:t>HCH patient reception to receiving pharmacy services</w:t>
        </w:r>
        <w:r w:rsidR="008811FC">
          <w:rPr>
            <w:noProof/>
            <w:webHidden/>
          </w:rPr>
          <w:tab/>
        </w:r>
        <w:r w:rsidR="008811FC">
          <w:rPr>
            <w:noProof/>
            <w:webHidden/>
          </w:rPr>
          <w:fldChar w:fldCharType="begin"/>
        </w:r>
        <w:r w:rsidR="008811FC">
          <w:rPr>
            <w:noProof/>
            <w:webHidden/>
          </w:rPr>
          <w:instrText xml:space="preserve"> PAGEREF _Toc109996765 \h </w:instrText>
        </w:r>
        <w:r w:rsidR="008811FC">
          <w:rPr>
            <w:noProof/>
            <w:webHidden/>
          </w:rPr>
        </w:r>
        <w:r w:rsidR="008811FC">
          <w:rPr>
            <w:noProof/>
            <w:webHidden/>
          </w:rPr>
          <w:fldChar w:fldCharType="separate"/>
        </w:r>
        <w:r w:rsidR="003C4BC2">
          <w:rPr>
            <w:noProof/>
            <w:webHidden/>
          </w:rPr>
          <w:t>292</w:t>
        </w:r>
        <w:r w:rsidR="008811FC">
          <w:rPr>
            <w:noProof/>
            <w:webHidden/>
          </w:rPr>
          <w:fldChar w:fldCharType="end"/>
        </w:r>
      </w:hyperlink>
    </w:p>
    <w:p w14:paraId="0DCECD6B" w14:textId="5C56452C" w:rsidR="008811FC" w:rsidRDefault="00A61B29">
      <w:pPr>
        <w:pStyle w:val="TOC2"/>
        <w:rPr>
          <w:rFonts w:asciiTheme="minorHAnsi" w:eastAsiaTheme="minorEastAsia" w:hAnsiTheme="minorHAnsi" w:cstheme="minorBidi"/>
          <w:noProof/>
          <w:color w:val="auto"/>
          <w:sz w:val="22"/>
          <w:lang w:eastAsia="en-AU"/>
        </w:rPr>
      </w:pPr>
      <w:hyperlink w:anchor="_Toc109996766" w:history="1">
        <w:r w:rsidR="008811FC" w:rsidRPr="00297248">
          <w:rPr>
            <w:rStyle w:val="Hyperlink"/>
            <w:noProof/>
          </w:rPr>
          <w:t>Patient outcomes</w:t>
        </w:r>
        <w:r w:rsidR="008811FC">
          <w:rPr>
            <w:noProof/>
            <w:webHidden/>
          </w:rPr>
          <w:tab/>
        </w:r>
        <w:r w:rsidR="008811FC">
          <w:rPr>
            <w:noProof/>
            <w:webHidden/>
          </w:rPr>
          <w:fldChar w:fldCharType="begin"/>
        </w:r>
        <w:r w:rsidR="008811FC">
          <w:rPr>
            <w:noProof/>
            <w:webHidden/>
          </w:rPr>
          <w:instrText xml:space="preserve"> PAGEREF _Toc109996766 \h </w:instrText>
        </w:r>
        <w:r w:rsidR="008811FC">
          <w:rPr>
            <w:noProof/>
            <w:webHidden/>
          </w:rPr>
        </w:r>
        <w:r w:rsidR="008811FC">
          <w:rPr>
            <w:noProof/>
            <w:webHidden/>
          </w:rPr>
          <w:fldChar w:fldCharType="separate"/>
        </w:r>
        <w:r w:rsidR="003C4BC2">
          <w:rPr>
            <w:noProof/>
            <w:webHidden/>
          </w:rPr>
          <w:t>293</w:t>
        </w:r>
        <w:r w:rsidR="008811FC">
          <w:rPr>
            <w:noProof/>
            <w:webHidden/>
          </w:rPr>
          <w:fldChar w:fldCharType="end"/>
        </w:r>
      </w:hyperlink>
    </w:p>
    <w:p w14:paraId="51AB44DB" w14:textId="03729F01" w:rsidR="008811FC" w:rsidRDefault="00A61B29">
      <w:pPr>
        <w:pStyle w:val="TOC2"/>
        <w:rPr>
          <w:rFonts w:asciiTheme="minorHAnsi" w:eastAsiaTheme="minorEastAsia" w:hAnsiTheme="minorHAnsi" w:cstheme="minorBidi"/>
          <w:noProof/>
          <w:color w:val="auto"/>
          <w:sz w:val="22"/>
          <w:lang w:eastAsia="en-AU"/>
        </w:rPr>
      </w:pPr>
      <w:hyperlink w:anchor="_Toc109996767" w:history="1">
        <w:r w:rsidR="008811FC" w:rsidRPr="00297248">
          <w:rPr>
            <w:rStyle w:val="Hyperlink"/>
            <w:noProof/>
          </w:rPr>
          <w:t>Pharmacists’ perceptions about patient outcomes</w:t>
        </w:r>
        <w:r w:rsidR="008811FC">
          <w:rPr>
            <w:noProof/>
            <w:webHidden/>
          </w:rPr>
          <w:tab/>
        </w:r>
        <w:r w:rsidR="008811FC">
          <w:rPr>
            <w:noProof/>
            <w:webHidden/>
          </w:rPr>
          <w:fldChar w:fldCharType="begin"/>
        </w:r>
        <w:r w:rsidR="008811FC">
          <w:rPr>
            <w:noProof/>
            <w:webHidden/>
          </w:rPr>
          <w:instrText xml:space="preserve"> PAGEREF _Toc109996767 \h </w:instrText>
        </w:r>
        <w:r w:rsidR="008811FC">
          <w:rPr>
            <w:noProof/>
            <w:webHidden/>
          </w:rPr>
        </w:r>
        <w:r w:rsidR="008811FC">
          <w:rPr>
            <w:noProof/>
            <w:webHidden/>
          </w:rPr>
          <w:fldChar w:fldCharType="separate"/>
        </w:r>
        <w:r w:rsidR="003C4BC2">
          <w:rPr>
            <w:noProof/>
            <w:webHidden/>
          </w:rPr>
          <w:t>300</w:t>
        </w:r>
        <w:r w:rsidR="008811FC">
          <w:rPr>
            <w:noProof/>
            <w:webHidden/>
          </w:rPr>
          <w:fldChar w:fldCharType="end"/>
        </w:r>
      </w:hyperlink>
    </w:p>
    <w:p w14:paraId="327D6E3C" w14:textId="4C757585" w:rsidR="008811FC" w:rsidRDefault="00A61B29">
      <w:pPr>
        <w:pStyle w:val="TOC1"/>
        <w:rPr>
          <w:rFonts w:asciiTheme="minorHAnsi" w:eastAsiaTheme="minorEastAsia" w:hAnsiTheme="minorHAnsi" w:cstheme="minorBidi"/>
          <w:i w:val="0"/>
          <w:noProof/>
          <w:color w:val="auto"/>
          <w:sz w:val="22"/>
          <w:lang w:val="en-AU" w:eastAsia="en-AU"/>
        </w:rPr>
      </w:pPr>
      <w:hyperlink w:anchor="_Toc109996768" w:history="1">
        <w:r w:rsidR="008811FC" w:rsidRPr="00297248">
          <w:rPr>
            <w:rStyle w:val="Hyperlink"/>
            <w:noProof/>
          </w:rPr>
          <w:t>23.</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Community Pharmacy in HCH Trial – engagement between HCH practices and community pharmacies</w:t>
        </w:r>
        <w:r w:rsidR="008811FC">
          <w:rPr>
            <w:noProof/>
            <w:webHidden/>
          </w:rPr>
          <w:tab/>
        </w:r>
        <w:r w:rsidR="008811FC">
          <w:rPr>
            <w:noProof/>
            <w:webHidden/>
          </w:rPr>
          <w:fldChar w:fldCharType="begin"/>
        </w:r>
        <w:r w:rsidR="008811FC">
          <w:rPr>
            <w:noProof/>
            <w:webHidden/>
          </w:rPr>
          <w:instrText xml:space="preserve"> PAGEREF _Toc109996768 \h </w:instrText>
        </w:r>
        <w:r w:rsidR="008811FC">
          <w:rPr>
            <w:noProof/>
            <w:webHidden/>
          </w:rPr>
        </w:r>
        <w:r w:rsidR="008811FC">
          <w:rPr>
            <w:noProof/>
            <w:webHidden/>
          </w:rPr>
          <w:fldChar w:fldCharType="separate"/>
        </w:r>
        <w:r w:rsidR="003C4BC2">
          <w:rPr>
            <w:noProof/>
            <w:webHidden/>
          </w:rPr>
          <w:t>305</w:t>
        </w:r>
        <w:r w:rsidR="008811FC">
          <w:rPr>
            <w:noProof/>
            <w:webHidden/>
          </w:rPr>
          <w:fldChar w:fldCharType="end"/>
        </w:r>
      </w:hyperlink>
    </w:p>
    <w:p w14:paraId="10FAC420" w14:textId="5CF7E434" w:rsidR="008811FC" w:rsidRDefault="00A61B29">
      <w:pPr>
        <w:pStyle w:val="TOC2"/>
        <w:rPr>
          <w:rFonts w:asciiTheme="minorHAnsi" w:eastAsiaTheme="minorEastAsia" w:hAnsiTheme="minorHAnsi" w:cstheme="minorBidi"/>
          <w:noProof/>
          <w:color w:val="auto"/>
          <w:sz w:val="22"/>
          <w:lang w:eastAsia="en-AU"/>
        </w:rPr>
      </w:pPr>
      <w:hyperlink w:anchor="_Toc109996769" w:history="1">
        <w:r w:rsidR="008811FC" w:rsidRPr="00297248">
          <w:rPr>
            <w:rStyle w:val="Hyperlink"/>
            <w:noProof/>
          </w:rPr>
          <w:t>Patient referrals</w:t>
        </w:r>
        <w:r w:rsidR="008811FC">
          <w:rPr>
            <w:noProof/>
            <w:webHidden/>
          </w:rPr>
          <w:tab/>
        </w:r>
        <w:r w:rsidR="008811FC">
          <w:rPr>
            <w:noProof/>
            <w:webHidden/>
          </w:rPr>
          <w:fldChar w:fldCharType="begin"/>
        </w:r>
        <w:r w:rsidR="008811FC">
          <w:rPr>
            <w:noProof/>
            <w:webHidden/>
          </w:rPr>
          <w:instrText xml:space="preserve"> PAGEREF _Toc109996769 \h </w:instrText>
        </w:r>
        <w:r w:rsidR="008811FC">
          <w:rPr>
            <w:noProof/>
            <w:webHidden/>
          </w:rPr>
        </w:r>
        <w:r w:rsidR="008811FC">
          <w:rPr>
            <w:noProof/>
            <w:webHidden/>
          </w:rPr>
          <w:fldChar w:fldCharType="separate"/>
        </w:r>
        <w:r w:rsidR="003C4BC2">
          <w:rPr>
            <w:noProof/>
            <w:webHidden/>
          </w:rPr>
          <w:t>306</w:t>
        </w:r>
        <w:r w:rsidR="008811FC">
          <w:rPr>
            <w:noProof/>
            <w:webHidden/>
          </w:rPr>
          <w:fldChar w:fldCharType="end"/>
        </w:r>
      </w:hyperlink>
    </w:p>
    <w:p w14:paraId="7F42A84F" w14:textId="228B91DD" w:rsidR="008811FC" w:rsidRDefault="00A61B29">
      <w:pPr>
        <w:pStyle w:val="TOC2"/>
        <w:rPr>
          <w:rFonts w:asciiTheme="minorHAnsi" w:eastAsiaTheme="minorEastAsia" w:hAnsiTheme="minorHAnsi" w:cstheme="minorBidi"/>
          <w:noProof/>
          <w:color w:val="auto"/>
          <w:sz w:val="22"/>
          <w:lang w:eastAsia="en-AU"/>
        </w:rPr>
      </w:pPr>
      <w:hyperlink w:anchor="_Toc109996770" w:history="1">
        <w:r w:rsidR="008811FC" w:rsidRPr="00297248">
          <w:rPr>
            <w:rStyle w:val="Hyperlink"/>
            <w:noProof/>
          </w:rPr>
          <w:t>Communications between pharmacies and general practices</w:t>
        </w:r>
        <w:r w:rsidR="008811FC">
          <w:rPr>
            <w:noProof/>
            <w:webHidden/>
          </w:rPr>
          <w:tab/>
        </w:r>
        <w:r w:rsidR="008811FC">
          <w:rPr>
            <w:noProof/>
            <w:webHidden/>
          </w:rPr>
          <w:fldChar w:fldCharType="begin"/>
        </w:r>
        <w:r w:rsidR="008811FC">
          <w:rPr>
            <w:noProof/>
            <w:webHidden/>
          </w:rPr>
          <w:instrText xml:space="preserve"> PAGEREF _Toc109996770 \h </w:instrText>
        </w:r>
        <w:r w:rsidR="008811FC">
          <w:rPr>
            <w:noProof/>
            <w:webHidden/>
          </w:rPr>
        </w:r>
        <w:r w:rsidR="008811FC">
          <w:rPr>
            <w:noProof/>
            <w:webHidden/>
          </w:rPr>
          <w:fldChar w:fldCharType="separate"/>
        </w:r>
        <w:r w:rsidR="003C4BC2">
          <w:rPr>
            <w:noProof/>
            <w:webHidden/>
          </w:rPr>
          <w:t>310</w:t>
        </w:r>
        <w:r w:rsidR="008811FC">
          <w:rPr>
            <w:noProof/>
            <w:webHidden/>
          </w:rPr>
          <w:fldChar w:fldCharType="end"/>
        </w:r>
      </w:hyperlink>
    </w:p>
    <w:p w14:paraId="3B3FD0BE" w14:textId="2214BDE4" w:rsidR="008811FC" w:rsidRDefault="00A61B29">
      <w:pPr>
        <w:pStyle w:val="TOC2"/>
        <w:rPr>
          <w:rFonts w:asciiTheme="minorHAnsi" w:eastAsiaTheme="minorEastAsia" w:hAnsiTheme="minorHAnsi" w:cstheme="minorBidi"/>
          <w:noProof/>
          <w:color w:val="auto"/>
          <w:sz w:val="22"/>
          <w:lang w:eastAsia="en-AU"/>
        </w:rPr>
      </w:pPr>
      <w:hyperlink w:anchor="_Toc109996771" w:history="1">
        <w:r w:rsidR="008811FC" w:rsidRPr="00297248">
          <w:rPr>
            <w:rStyle w:val="Hyperlink"/>
            <w:noProof/>
          </w:rPr>
          <w:t>Pharmacist medication recommendations to GPs</w:t>
        </w:r>
        <w:r w:rsidR="008811FC">
          <w:rPr>
            <w:noProof/>
            <w:webHidden/>
          </w:rPr>
          <w:tab/>
        </w:r>
        <w:r w:rsidR="008811FC">
          <w:rPr>
            <w:noProof/>
            <w:webHidden/>
          </w:rPr>
          <w:fldChar w:fldCharType="begin"/>
        </w:r>
        <w:r w:rsidR="008811FC">
          <w:rPr>
            <w:noProof/>
            <w:webHidden/>
          </w:rPr>
          <w:instrText xml:space="preserve"> PAGEREF _Toc109996771 \h </w:instrText>
        </w:r>
        <w:r w:rsidR="008811FC">
          <w:rPr>
            <w:noProof/>
            <w:webHidden/>
          </w:rPr>
        </w:r>
        <w:r w:rsidR="008811FC">
          <w:rPr>
            <w:noProof/>
            <w:webHidden/>
          </w:rPr>
          <w:fldChar w:fldCharType="separate"/>
        </w:r>
        <w:r w:rsidR="003C4BC2">
          <w:rPr>
            <w:noProof/>
            <w:webHidden/>
          </w:rPr>
          <w:t>312</w:t>
        </w:r>
        <w:r w:rsidR="008811FC">
          <w:rPr>
            <w:noProof/>
            <w:webHidden/>
          </w:rPr>
          <w:fldChar w:fldCharType="end"/>
        </w:r>
      </w:hyperlink>
    </w:p>
    <w:p w14:paraId="1A37CE2F" w14:textId="07E12A9C" w:rsidR="008811FC" w:rsidRDefault="00A61B29">
      <w:pPr>
        <w:pStyle w:val="TOC2"/>
        <w:rPr>
          <w:rFonts w:asciiTheme="minorHAnsi" w:eastAsiaTheme="minorEastAsia" w:hAnsiTheme="minorHAnsi" w:cstheme="minorBidi"/>
          <w:noProof/>
          <w:color w:val="auto"/>
          <w:sz w:val="22"/>
          <w:lang w:eastAsia="en-AU"/>
        </w:rPr>
      </w:pPr>
      <w:hyperlink w:anchor="_Toc109996772" w:history="1">
        <w:r w:rsidR="008811FC" w:rsidRPr="00297248">
          <w:rPr>
            <w:rStyle w:val="Hyperlink"/>
            <w:noProof/>
          </w:rPr>
          <w:t>Practice perspectives on the community pharmacy trial</w:t>
        </w:r>
        <w:r w:rsidR="008811FC">
          <w:rPr>
            <w:noProof/>
            <w:webHidden/>
          </w:rPr>
          <w:tab/>
        </w:r>
        <w:r w:rsidR="008811FC">
          <w:rPr>
            <w:noProof/>
            <w:webHidden/>
          </w:rPr>
          <w:fldChar w:fldCharType="begin"/>
        </w:r>
        <w:r w:rsidR="008811FC">
          <w:rPr>
            <w:noProof/>
            <w:webHidden/>
          </w:rPr>
          <w:instrText xml:space="preserve"> PAGEREF _Toc109996772 \h </w:instrText>
        </w:r>
        <w:r w:rsidR="008811FC">
          <w:rPr>
            <w:noProof/>
            <w:webHidden/>
          </w:rPr>
        </w:r>
        <w:r w:rsidR="008811FC">
          <w:rPr>
            <w:noProof/>
            <w:webHidden/>
          </w:rPr>
          <w:fldChar w:fldCharType="separate"/>
        </w:r>
        <w:r w:rsidR="003C4BC2">
          <w:rPr>
            <w:noProof/>
            <w:webHidden/>
          </w:rPr>
          <w:t>314</w:t>
        </w:r>
        <w:r w:rsidR="008811FC">
          <w:rPr>
            <w:noProof/>
            <w:webHidden/>
          </w:rPr>
          <w:fldChar w:fldCharType="end"/>
        </w:r>
      </w:hyperlink>
    </w:p>
    <w:p w14:paraId="69EDADA6" w14:textId="16532610" w:rsidR="008811FC" w:rsidRDefault="00A61B29">
      <w:pPr>
        <w:pStyle w:val="TOC1"/>
        <w:rPr>
          <w:rFonts w:asciiTheme="minorHAnsi" w:eastAsiaTheme="minorEastAsia" w:hAnsiTheme="minorHAnsi" w:cstheme="minorBidi"/>
          <w:i w:val="0"/>
          <w:noProof/>
          <w:color w:val="auto"/>
          <w:sz w:val="22"/>
          <w:lang w:val="en-AU" w:eastAsia="en-AU"/>
        </w:rPr>
      </w:pPr>
      <w:hyperlink w:anchor="_Toc109996773" w:history="1">
        <w:r w:rsidR="008811FC" w:rsidRPr="00297248">
          <w:rPr>
            <w:rStyle w:val="Hyperlink"/>
            <w:noProof/>
          </w:rPr>
          <w:t>24.</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Analysis of implementation issues</w:t>
        </w:r>
        <w:r w:rsidR="008811FC">
          <w:rPr>
            <w:noProof/>
            <w:webHidden/>
          </w:rPr>
          <w:tab/>
        </w:r>
        <w:r w:rsidR="008811FC">
          <w:rPr>
            <w:noProof/>
            <w:webHidden/>
          </w:rPr>
          <w:fldChar w:fldCharType="begin"/>
        </w:r>
        <w:r w:rsidR="008811FC">
          <w:rPr>
            <w:noProof/>
            <w:webHidden/>
          </w:rPr>
          <w:instrText xml:space="preserve"> PAGEREF _Toc109996773 \h </w:instrText>
        </w:r>
        <w:r w:rsidR="008811FC">
          <w:rPr>
            <w:noProof/>
            <w:webHidden/>
          </w:rPr>
        </w:r>
        <w:r w:rsidR="008811FC">
          <w:rPr>
            <w:noProof/>
            <w:webHidden/>
          </w:rPr>
          <w:fldChar w:fldCharType="separate"/>
        </w:r>
        <w:r w:rsidR="003C4BC2">
          <w:rPr>
            <w:noProof/>
            <w:webHidden/>
          </w:rPr>
          <w:t>318</w:t>
        </w:r>
        <w:r w:rsidR="008811FC">
          <w:rPr>
            <w:noProof/>
            <w:webHidden/>
          </w:rPr>
          <w:fldChar w:fldCharType="end"/>
        </w:r>
      </w:hyperlink>
    </w:p>
    <w:p w14:paraId="5E2BAB92" w14:textId="72DD0553" w:rsidR="008811FC" w:rsidRDefault="00A61B29">
      <w:pPr>
        <w:pStyle w:val="TOC2"/>
        <w:rPr>
          <w:rFonts w:asciiTheme="minorHAnsi" w:eastAsiaTheme="minorEastAsia" w:hAnsiTheme="minorHAnsi" w:cstheme="minorBidi"/>
          <w:noProof/>
          <w:color w:val="auto"/>
          <w:sz w:val="22"/>
          <w:lang w:eastAsia="en-AU"/>
        </w:rPr>
      </w:pPr>
      <w:hyperlink w:anchor="_Toc109996774" w:history="1">
        <w:r w:rsidR="008811FC" w:rsidRPr="00297248">
          <w:rPr>
            <w:rStyle w:val="Hyperlink"/>
            <w:noProof/>
          </w:rPr>
          <w:t>Characteristics of the intervention</w:t>
        </w:r>
        <w:r w:rsidR="008811FC">
          <w:rPr>
            <w:noProof/>
            <w:webHidden/>
          </w:rPr>
          <w:tab/>
        </w:r>
        <w:r w:rsidR="008811FC">
          <w:rPr>
            <w:noProof/>
            <w:webHidden/>
          </w:rPr>
          <w:fldChar w:fldCharType="begin"/>
        </w:r>
        <w:r w:rsidR="008811FC">
          <w:rPr>
            <w:noProof/>
            <w:webHidden/>
          </w:rPr>
          <w:instrText xml:space="preserve"> PAGEREF _Toc109996774 \h </w:instrText>
        </w:r>
        <w:r w:rsidR="008811FC">
          <w:rPr>
            <w:noProof/>
            <w:webHidden/>
          </w:rPr>
        </w:r>
        <w:r w:rsidR="008811FC">
          <w:rPr>
            <w:noProof/>
            <w:webHidden/>
          </w:rPr>
          <w:fldChar w:fldCharType="separate"/>
        </w:r>
        <w:r w:rsidR="003C4BC2">
          <w:rPr>
            <w:noProof/>
            <w:webHidden/>
          </w:rPr>
          <w:t>321</w:t>
        </w:r>
        <w:r w:rsidR="008811FC">
          <w:rPr>
            <w:noProof/>
            <w:webHidden/>
          </w:rPr>
          <w:fldChar w:fldCharType="end"/>
        </w:r>
      </w:hyperlink>
    </w:p>
    <w:p w14:paraId="4C61D9F4" w14:textId="522F066D" w:rsidR="008811FC" w:rsidRDefault="00A61B29">
      <w:pPr>
        <w:pStyle w:val="TOC2"/>
        <w:rPr>
          <w:rFonts w:asciiTheme="minorHAnsi" w:eastAsiaTheme="minorEastAsia" w:hAnsiTheme="minorHAnsi" w:cstheme="minorBidi"/>
          <w:noProof/>
          <w:color w:val="auto"/>
          <w:sz w:val="22"/>
          <w:lang w:eastAsia="en-AU"/>
        </w:rPr>
      </w:pPr>
      <w:hyperlink w:anchor="_Toc109996775" w:history="1">
        <w:r w:rsidR="008811FC" w:rsidRPr="00297248">
          <w:rPr>
            <w:rStyle w:val="Hyperlink"/>
            <w:noProof/>
          </w:rPr>
          <w:t>The outer setting</w:t>
        </w:r>
        <w:r w:rsidR="008811FC">
          <w:rPr>
            <w:noProof/>
            <w:webHidden/>
          </w:rPr>
          <w:tab/>
        </w:r>
        <w:r w:rsidR="008811FC">
          <w:rPr>
            <w:noProof/>
            <w:webHidden/>
          </w:rPr>
          <w:fldChar w:fldCharType="begin"/>
        </w:r>
        <w:r w:rsidR="008811FC">
          <w:rPr>
            <w:noProof/>
            <w:webHidden/>
          </w:rPr>
          <w:instrText xml:space="preserve"> PAGEREF _Toc109996775 \h </w:instrText>
        </w:r>
        <w:r w:rsidR="008811FC">
          <w:rPr>
            <w:noProof/>
            <w:webHidden/>
          </w:rPr>
        </w:r>
        <w:r w:rsidR="008811FC">
          <w:rPr>
            <w:noProof/>
            <w:webHidden/>
          </w:rPr>
          <w:fldChar w:fldCharType="separate"/>
        </w:r>
        <w:r w:rsidR="003C4BC2">
          <w:rPr>
            <w:noProof/>
            <w:webHidden/>
          </w:rPr>
          <w:t>325</w:t>
        </w:r>
        <w:r w:rsidR="008811FC">
          <w:rPr>
            <w:noProof/>
            <w:webHidden/>
          </w:rPr>
          <w:fldChar w:fldCharType="end"/>
        </w:r>
      </w:hyperlink>
    </w:p>
    <w:p w14:paraId="60F33E47" w14:textId="006A961E" w:rsidR="008811FC" w:rsidRDefault="00A61B29">
      <w:pPr>
        <w:pStyle w:val="TOC2"/>
        <w:rPr>
          <w:rFonts w:asciiTheme="minorHAnsi" w:eastAsiaTheme="minorEastAsia" w:hAnsiTheme="minorHAnsi" w:cstheme="minorBidi"/>
          <w:noProof/>
          <w:color w:val="auto"/>
          <w:sz w:val="22"/>
          <w:lang w:eastAsia="en-AU"/>
        </w:rPr>
      </w:pPr>
      <w:hyperlink w:anchor="_Toc109996776" w:history="1">
        <w:r w:rsidR="008811FC" w:rsidRPr="00297248">
          <w:rPr>
            <w:rStyle w:val="Hyperlink"/>
            <w:noProof/>
          </w:rPr>
          <w:t>The inner setting</w:t>
        </w:r>
        <w:r w:rsidR="008811FC">
          <w:rPr>
            <w:noProof/>
            <w:webHidden/>
          </w:rPr>
          <w:tab/>
        </w:r>
        <w:r w:rsidR="008811FC">
          <w:rPr>
            <w:noProof/>
            <w:webHidden/>
          </w:rPr>
          <w:fldChar w:fldCharType="begin"/>
        </w:r>
        <w:r w:rsidR="008811FC">
          <w:rPr>
            <w:noProof/>
            <w:webHidden/>
          </w:rPr>
          <w:instrText xml:space="preserve"> PAGEREF _Toc109996776 \h </w:instrText>
        </w:r>
        <w:r w:rsidR="008811FC">
          <w:rPr>
            <w:noProof/>
            <w:webHidden/>
          </w:rPr>
        </w:r>
        <w:r w:rsidR="008811FC">
          <w:rPr>
            <w:noProof/>
            <w:webHidden/>
          </w:rPr>
          <w:fldChar w:fldCharType="separate"/>
        </w:r>
        <w:r w:rsidR="003C4BC2">
          <w:rPr>
            <w:noProof/>
            <w:webHidden/>
          </w:rPr>
          <w:t>329</w:t>
        </w:r>
        <w:r w:rsidR="008811FC">
          <w:rPr>
            <w:noProof/>
            <w:webHidden/>
          </w:rPr>
          <w:fldChar w:fldCharType="end"/>
        </w:r>
      </w:hyperlink>
    </w:p>
    <w:p w14:paraId="6EA9256C" w14:textId="69B60142" w:rsidR="008811FC" w:rsidRDefault="00A61B29">
      <w:pPr>
        <w:pStyle w:val="TOC2"/>
        <w:rPr>
          <w:rFonts w:asciiTheme="minorHAnsi" w:eastAsiaTheme="minorEastAsia" w:hAnsiTheme="minorHAnsi" w:cstheme="minorBidi"/>
          <w:noProof/>
          <w:color w:val="auto"/>
          <w:sz w:val="22"/>
          <w:lang w:eastAsia="en-AU"/>
        </w:rPr>
      </w:pPr>
      <w:hyperlink w:anchor="_Toc109996777" w:history="1">
        <w:r w:rsidR="008811FC" w:rsidRPr="00297248">
          <w:rPr>
            <w:rStyle w:val="Hyperlink"/>
            <w:noProof/>
          </w:rPr>
          <w:t>Characteristics of individuals</w:t>
        </w:r>
        <w:r w:rsidR="008811FC">
          <w:rPr>
            <w:noProof/>
            <w:webHidden/>
          </w:rPr>
          <w:tab/>
        </w:r>
        <w:r w:rsidR="008811FC">
          <w:rPr>
            <w:noProof/>
            <w:webHidden/>
          </w:rPr>
          <w:fldChar w:fldCharType="begin"/>
        </w:r>
        <w:r w:rsidR="008811FC">
          <w:rPr>
            <w:noProof/>
            <w:webHidden/>
          </w:rPr>
          <w:instrText xml:space="preserve"> PAGEREF _Toc109996777 \h </w:instrText>
        </w:r>
        <w:r w:rsidR="008811FC">
          <w:rPr>
            <w:noProof/>
            <w:webHidden/>
          </w:rPr>
        </w:r>
        <w:r w:rsidR="008811FC">
          <w:rPr>
            <w:noProof/>
            <w:webHidden/>
          </w:rPr>
          <w:fldChar w:fldCharType="separate"/>
        </w:r>
        <w:r w:rsidR="003C4BC2">
          <w:rPr>
            <w:noProof/>
            <w:webHidden/>
          </w:rPr>
          <w:t>337</w:t>
        </w:r>
        <w:r w:rsidR="008811FC">
          <w:rPr>
            <w:noProof/>
            <w:webHidden/>
          </w:rPr>
          <w:fldChar w:fldCharType="end"/>
        </w:r>
      </w:hyperlink>
    </w:p>
    <w:p w14:paraId="6A0D9532" w14:textId="70E85CA5" w:rsidR="008811FC" w:rsidRDefault="00A61B29">
      <w:pPr>
        <w:pStyle w:val="TOC2"/>
        <w:rPr>
          <w:rFonts w:asciiTheme="minorHAnsi" w:eastAsiaTheme="minorEastAsia" w:hAnsiTheme="minorHAnsi" w:cstheme="minorBidi"/>
          <w:noProof/>
          <w:color w:val="auto"/>
          <w:sz w:val="22"/>
          <w:lang w:eastAsia="en-AU"/>
        </w:rPr>
      </w:pPr>
      <w:hyperlink w:anchor="_Toc109996778" w:history="1">
        <w:r w:rsidR="008811FC" w:rsidRPr="00297248">
          <w:rPr>
            <w:rStyle w:val="Hyperlink"/>
            <w:noProof/>
          </w:rPr>
          <w:t>Process</w:t>
        </w:r>
        <w:r w:rsidR="008811FC">
          <w:rPr>
            <w:noProof/>
            <w:webHidden/>
          </w:rPr>
          <w:tab/>
        </w:r>
        <w:r w:rsidR="008811FC">
          <w:rPr>
            <w:noProof/>
            <w:webHidden/>
          </w:rPr>
          <w:fldChar w:fldCharType="begin"/>
        </w:r>
        <w:r w:rsidR="008811FC">
          <w:rPr>
            <w:noProof/>
            <w:webHidden/>
          </w:rPr>
          <w:instrText xml:space="preserve"> PAGEREF _Toc109996778 \h </w:instrText>
        </w:r>
        <w:r w:rsidR="008811FC">
          <w:rPr>
            <w:noProof/>
            <w:webHidden/>
          </w:rPr>
        </w:r>
        <w:r w:rsidR="008811FC">
          <w:rPr>
            <w:noProof/>
            <w:webHidden/>
          </w:rPr>
          <w:fldChar w:fldCharType="separate"/>
        </w:r>
        <w:r w:rsidR="003C4BC2">
          <w:rPr>
            <w:noProof/>
            <w:webHidden/>
          </w:rPr>
          <w:t>338</w:t>
        </w:r>
        <w:r w:rsidR="008811FC">
          <w:rPr>
            <w:noProof/>
            <w:webHidden/>
          </w:rPr>
          <w:fldChar w:fldCharType="end"/>
        </w:r>
      </w:hyperlink>
    </w:p>
    <w:p w14:paraId="26218DD6" w14:textId="658604CB" w:rsidR="008811FC" w:rsidRDefault="00A61B29">
      <w:pPr>
        <w:pStyle w:val="TOC1"/>
        <w:rPr>
          <w:rFonts w:asciiTheme="minorHAnsi" w:eastAsiaTheme="minorEastAsia" w:hAnsiTheme="minorHAnsi" w:cstheme="minorBidi"/>
          <w:i w:val="0"/>
          <w:noProof/>
          <w:color w:val="auto"/>
          <w:sz w:val="22"/>
          <w:lang w:val="en-AU" w:eastAsia="en-AU"/>
        </w:rPr>
      </w:pPr>
      <w:hyperlink w:anchor="_Toc109996779" w:history="1">
        <w:r w:rsidR="008811FC" w:rsidRPr="00297248">
          <w:rPr>
            <w:rStyle w:val="Hyperlink"/>
            <w:noProof/>
          </w:rPr>
          <w:t>25.</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Conclusion</w:t>
        </w:r>
        <w:r w:rsidR="008811FC">
          <w:rPr>
            <w:noProof/>
            <w:webHidden/>
          </w:rPr>
          <w:tab/>
        </w:r>
        <w:r w:rsidR="008811FC">
          <w:rPr>
            <w:noProof/>
            <w:webHidden/>
          </w:rPr>
          <w:fldChar w:fldCharType="begin"/>
        </w:r>
        <w:r w:rsidR="008811FC">
          <w:rPr>
            <w:noProof/>
            <w:webHidden/>
          </w:rPr>
          <w:instrText xml:space="preserve"> PAGEREF _Toc109996779 \h </w:instrText>
        </w:r>
        <w:r w:rsidR="008811FC">
          <w:rPr>
            <w:noProof/>
            <w:webHidden/>
          </w:rPr>
        </w:r>
        <w:r w:rsidR="008811FC">
          <w:rPr>
            <w:noProof/>
            <w:webHidden/>
          </w:rPr>
          <w:fldChar w:fldCharType="separate"/>
        </w:r>
        <w:r w:rsidR="003C4BC2">
          <w:rPr>
            <w:noProof/>
            <w:webHidden/>
          </w:rPr>
          <w:t>339</w:t>
        </w:r>
        <w:r w:rsidR="008811FC">
          <w:rPr>
            <w:noProof/>
            <w:webHidden/>
          </w:rPr>
          <w:fldChar w:fldCharType="end"/>
        </w:r>
      </w:hyperlink>
    </w:p>
    <w:p w14:paraId="704B0914" w14:textId="0BCD4412" w:rsidR="008811FC" w:rsidRDefault="00A61B29">
      <w:pPr>
        <w:pStyle w:val="TOC1"/>
        <w:rPr>
          <w:rFonts w:asciiTheme="minorHAnsi" w:eastAsiaTheme="minorEastAsia" w:hAnsiTheme="minorHAnsi" w:cstheme="minorBidi"/>
          <w:i w:val="0"/>
          <w:noProof/>
          <w:color w:val="auto"/>
          <w:sz w:val="22"/>
          <w:lang w:val="en-AU" w:eastAsia="en-AU"/>
        </w:rPr>
      </w:pPr>
      <w:hyperlink w:anchor="_Toc109996780" w:history="1">
        <w:r w:rsidR="008811FC" w:rsidRPr="00297248">
          <w:rPr>
            <w:rStyle w:val="Hyperlink"/>
            <w:noProof/>
          </w:rPr>
          <w:t>26.</w:t>
        </w:r>
        <w:r w:rsidR="008811FC">
          <w:rPr>
            <w:rFonts w:asciiTheme="minorHAnsi" w:eastAsiaTheme="minorEastAsia" w:hAnsiTheme="minorHAnsi" w:cstheme="minorBidi"/>
            <w:i w:val="0"/>
            <w:noProof/>
            <w:color w:val="auto"/>
            <w:sz w:val="22"/>
            <w:lang w:val="en-AU" w:eastAsia="en-AU"/>
          </w:rPr>
          <w:tab/>
        </w:r>
        <w:r w:rsidR="008811FC" w:rsidRPr="00297248">
          <w:rPr>
            <w:rStyle w:val="Hyperlink"/>
            <w:noProof/>
          </w:rPr>
          <w:t>Key lessons</w:t>
        </w:r>
        <w:r w:rsidR="008811FC">
          <w:rPr>
            <w:noProof/>
            <w:webHidden/>
          </w:rPr>
          <w:tab/>
        </w:r>
        <w:r w:rsidR="008811FC">
          <w:rPr>
            <w:noProof/>
            <w:webHidden/>
          </w:rPr>
          <w:fldChar w:fldCharType="begin"/>
        </w:r>
        <w:r w:rsidR="008811FC">
          <w:rPr>
            <w:noProof/>
            <w:webHidden/>
          </w:rPr>
          <w:instrText xml:space="preserve"> PAGEREF _Toc109996780 \h </w:instrText>
        </w:r>
        <w:r w:rsidR="008811FC">
          <w:rPr>
            <w:noProof/>
            <w:webHidden/>
          </w:rPr>
        </w:r>
        <w:r w:rsidR="008811FC">
          <w:rPr>
            <w:noProof/>
            <w:webHidden/>
          </w:rPr>
          <w:fldChar w:fldCharType="separate"/>
        </w:r>
        <w:r w:rsidR="003C4BC2">
          <w:rPr>
            <w:noProof/>
            <w:webHidden/>
          </w:rPr>
          <w:t>341</w:t>
        </w:r>
        <w:r w:rsidR="008811FC">
          <w:rPr>
            <w:noProof/>
            <w:webHidden/>
          </w:rPr>
          <w:fldChar w:fldCharType="end"/>
        </w:r>
      </w:hyperlink>
    </w:p>
    <w:p w14:paraId="09A84944" w14:textId="431C8927" w:rsidR="008811FC" w:rsidRDefault="00A61B29">
      <w:pPr>
        <w:pStyle w:val="TOC2"/>
        <w:rPr>
          <w:rFonts w:asciiTheme="minorHAnsi" w:eastAsiaTheme="minorEastAsia" w:hAnsiTheme="minorHAnsi" w:cstheme="minorBidi"/>
          <w:noProof/>
          <w:color w:val="auto"/>
          <w:sz w:val="22"/>
          <w:lang w:eastAsia="en-AU"/>
        </w:rPr>
      </w:pPr>
      <w:hyperlink w:anchor="_Toc109996781" w:history="1">
        <w:r w:rsidR="008811FC" w:rsidRPr="00297248">
          <w:rPr>
            <w:rStyle w:val="Hyperlink"/>
            <w:noProof/>
          </w:rPr>
          <w:t>Laying the foundations</w:t>
        </w:r>
        <w:r w:rsidR="008811FC">
          <w:rPr>
            <w:noProof/>
            <w:webHidden/>
          </w:rPr>
          <w:tab/>
        </w:r>
        <w:r w:rsidR="008811FC">
          <w:rPr>
            <w:noProof/>
            <w:webHidden/>
          </w:rPr>
          <w:fldChar w:fldCharType="begin"/>
        </w:r>
        <w:r w:rsidR="008811FC">
          <w:rPr>
            <w:noProof/>
            <w:webHidden/>
          </w:rPr>
          <w:instrText xml:space="preserve"> PAGEREF _Toc109996781 \h </w:instrText>
        </w:r>
        <w:r w:rsidR="008811FC">
          <w:rPr>
            <w:noProof/>
            <w:webHidden/>
          </w:rPr>
        </w:r>
        <w:r w:rsidR="008811FC">
          <w:rPr>
            <w:noProof/>
            <w:webHidden/>
          </w:rPr>
          <w:fldChar w:fldCharType="separate"/>
        </w:r>
        <w:r w:rsidR="003C4BC2">
          <w:rPr>
            <w:noProof/>
            <w:webHidden/>
          </w:rPr>
          <w:t>341</w:t>
        </w:r>
        <w:r w:rsidR="008811FC">
          <w:rPr>
            <w:noProof/>
            <w:webHidden/>
          </w:rPr>
          <w:fldChar w:fldCharType="end"/>
        </w:r>
      </w:hyperlink>
    </w:p>
    <w:p w14:paraId="180F7911" w14:textId="30B0BAD2" w:rsidR="008811FC" w:rsidRDefault="00A61B29">
      <w:pPr>
        <w:pStyle w:val="TOC2"/>
        <w:rPr>
          <w:rFonts w:asciiTheme="minorHAnsi" w:eastAsiaTheme="minorEastAsia" w:hAnsiTheme="minorHAnsi" w:cstheme="minorBidi"/>
          <w:noProof/>
          <w:color w:val="auto"/>
          <w:sz w:val="22"/>
          <w:lang w:eastAsia="en-AU"/>
        </w:rPr>
      </w:pPr>
      <w:hyperlink w:anchor="_Toc109996782" w:history="1">
        <w:r w:rsidR="008811FC" w:rsidRPr="00297248">
          <w:rPr>
            <w:rStyle w:val="Hyperlink"/>
            <w:noProof/>
          </w:rPr>
          <w:t>Engaging patients, carers and families</w:t>
        </w:r>
        <w:r w:rsidR="008811FC">
          <w:rPr>
            <w:noProof/>
            <w:webHidden/>
          </w:rPr>
          <w:tab/>
        </w:r>
        <w:r w:rsidR="008811FC">
          <w:rPr>
            <w:noProof/>
            <w:webHidden/>
          </w:rPr>
          <w:fldChar w:fldCharType="begin"/>
        </w:r>
        <w:r w:rsidR="008811FC">
          <w:rPr>
            <w:noProof/>
            <w:webHidden/>
          </w:rPr>
          <w:instrText xml:space="preserve"> PAGEREF _Toc109996782 \h </w:instrText>
        </w:r>
        <w:r w:rsidR="008811FC">
          <w:rPr>
            <w:noProof/>
            <w:webHidden/>
          </w:rPr>
        </w:r>
        <w:r w:rsidR="008811FC">
          <w:rPr>
            <w:noProof/>
            <w:webHidden/>
          </w:rPr>
          <w:fldChar w:fldCharType="separate"/>
        </w:r>
        <w:r w:rsidR="003C4BC2">
          <w:rPr>
            <w:noProof/>
            <w:webHidden/>
          </w:rPr>
          <w:t>343</w:t>
        </w:r>
        <w:r w:rsidR="008811FC">
          <w:rPr>
            <w:noProof/>
            <w:webHidden/>
          </w:rPr>
          <w:fldChar w:fldCharType="end"/>
        </w:r>
      </w:hyperlink>
    </w:p>
    <w:p w14:paraId="24A43FF8" w14:textId="0965AC6A" w:rsidR="008811FC" w:rsidRDefault="00A61B29">
      <w:pPr>
        <w:pStyle w:val="TOC2"/>
        <w:rPr>
          <w:rFonts w:asciiTheme="minorHAnsi" w:eastAsiaTheme="minorEastAsia" w:hAnsiTheme="minorHAnsi" w:cstheme="minorBidi"/>
          <w:noProof/>
          <w:color w:val="auto"/>
          <w:sz w:val="22"/>
          <w:lang w:eastAsia="en-AU"/>
        </w:rPr>
      </w:pPr>
      <w:hyperlink w:anchor="_Toc109996783" w:history="1">
        <w:r w:rsidR="008811FC" w:rsidRPr="00297248">
          <w:rPr>
            <w:rStyle w:val="Hyperlink"/>
            <w:noProof/>
          </w:rPr>
          <w:t>Change within practices</w:t>
        </w:r>
        <w:r w:rsidR="008811FC">
          <w:rPr>
            <w:noProof/>
            <w:webHidden/>
          </w:rPr>
          <w:tab/>
        </w:r>
        <w:r w:rsidR="008811FC">
          <w:rPr>
            <w:noProof/>
            <w:webHidden/>
          </w:rPr>
          <w:fldChar w:fldCharType="begin"/>
        </w:r>
        <w:r w:rsidR="008811FC">
          <w:rPr>
            <w:noProof/>
            <w:webHidden/>
          </w:rPr>
          <w:instrText xml:space="preserve"> PAGEREF _Toc109996783 \h </w:instrText>
        </w:r>
        <w:r w:rsidR="008811FC">
          <w:rPr>
            <w:noProof/>
            <w:webHidden/>
          </w:rPr>
        </w:r>
        <w:r w:rsidR="008811FC">
          <w:rPr>
            <w:noProof/>
            <w:webHidden/>
          </w:rPr>
          <w:fldChar w:fldCharType="separate"/>
        </w:r>
        <w:r w:rsidR="003C4BC2">
          <w:rPr>
            <w:noProof/>
            <w:webHidden/>
          </w:rPr>
          <w:t>344</w:t>
        </w:r>
        <w:r w:rsidR="008811FC">
          <w:rPr>
            <w:noProof/>
            <w:webHidden/>
          </w:rPr>
          <w:fldChar w:fldCharType="end"/>
        </w:r>
      </w:hyperlink>
    </w:p>
    <w:p w14:paraId="4C36C8D0" w14:textId="7574B9E2" w:rsidR="008811FC" w:rsidRDefault="00A61B29">
      <w:pPr>
        <w:pStyle w:val="TOC2"/>
        <w:rPr>
          <w:rFonts w:asciiTheme="minorHAnsi" w:eastAsiaTheme="minorEastAsia" w:hAnsiTheme="minorHAnsi" w:cstheme="minorBidi"/>
          <w:noProof/>
          <w:color w:val="auto"/>
          <w:sz w:val="22"/>
          <w:lang w:eastAsia="en-AU"/>
        </w:rPr>
      </w:pPr>
      <w:hyperlink w:anchor="_Toc109996784" w:history="1">
        <w:r w:rsidR="008811FC" w:rsidRPr="00297248">
          <w:rPr>
            <w:rStyle w:val="Hyperlink"/>
            <w:noProof/>
          </w:rPr>
          <w:t>Risk stratification</w:t>
        </w:r>
        <w:r w:rsidR="008811FC">
          <w:rPr>
            <w:noProof/>
            <w:webHidden/>
          </w:rPr>
          <w:tab/>
        </w:r>
        <w:r w:rsidR="008811FC">
          <w:rPr>
            <w:noProof/>
            <w:webHidden/>
          </w:rPr>
          <w:fldChar w:fldCharType="begin"/>
        </w:r>
        <w:r w:rsidR="008811FC">
          <w:rPr>
            <w:noProof/>
            <w:webHidden/>
          </w:rPr>
          <w:instrText xml:space="preserve"> PAGEREF _Toc109996784 \h </w:instrText>
        </w:r>
        <w:r w:rsidR="008811FC">
          <w:rPr>
            <w:noProof/>
            <w:webHidden/>
          </w:rPr>
        </w:r>
        <w:r w:rsidR="008811FC">
          <w:rPr>
            <w:noProof/>
            <w:webHidden/>
          </w:rPr>
          <w:fldChar w:fldCharType="separate"/>
        </w:r>
        <w:r w:rsidR="003C4BC2">
          <w:rPr>
            <w:noProof/>
            <w:webHidden/>
          </w:rPr>
          <w:t>345</w:t>
        </w:r>
        <w:r w:rsidR="008811FC">
          <w:rPr>
            <w:noProof/>
            <w:webHidden/>
          </w:rPr>
          <w:fldChar w:fldCharType="end"/>
        </w:r>
      </w:hyperlink>
    </w:p>
    <w:p w14:paraId="6CC2A47C" w14:textId="5A452090" w:rsidR="008811FC" w:rsidRDefault="00A61B29">
      <w:pPr>
        <w:pStyle w:val="TOC2"/>
        <w:rPr>
          <w:rFonts w:asciiTheme="minorHAnsi" w:eastAsiaTheme="minorEastAsia" w:hAnsiTheme="minorHAnsi" w:cstheme="minorBidi"/>
          <w:noProof/>
          <w:color w:val="auto"/>
          <w:sz w:val="22"/>
          <w:lang w:eastAsia="en-AU"/>
        </w:rPr>
      </w:pPr>
      <w:hyperlink w:anchor="_Toc109996785" w:history="1">
        <w:r w:rsidR="008811FC" w:rsidRPr="00297248">
          <w:rPr>
            <w:rStyle w:val="Hyperlink"/>
            <w:noProof/>
          </w:rPr>
          <w:t>Bundled payment</w:t>
        </w:r>
        <w:r w:rsidR="008811FC">
          <w:rPr>
            <w:noProof/>
            <w:webHidden/>
          </w:rPr>
          <w:tab/>
        </w:r>
        <w:r w:rsidR="008811FC">
          <w:rPr>
            <w:noProof/>
            <w:webHidden/>
          </w:rPr>
          <w:fldChar w:fldCharType="begin"/>
        </w:r>
        <w:r w:rsidR="008811FC">
          <w:rPr>
            <w:noProof/>
            <w:webHidden/>
          </w:rPr>
          <w:instrText xml:space="preserve"> PAGEREF _Toc109996785 \h </w:instrText>
        </w:r>
        <w:r w:rsidR="008811FC">
          <w:rPr>
            <w:noProof/>
            <w:webHidden/>
          </w:rPr>
        </w:r>
        <w:r w:rsidR="008811FC">
          <w:rPr>
            <w:noProof/>
            <w:webHidden/>
          </w:rPr>
          <w:fldChar w:fldCharType="separate"/>
        </w:r>
        <w:r w:rsidR="003C4BC2">
          <w:rPr>
            <w:noProof/>
            <w:webHidden/>
          </w:rPr>
          <w:t>347</w:t>
        </w:r>
        <w:r w:rsidR="008811FC">
          <w:rPr>
            <w:noProof/>
            <w:webHidden/>
          </w:rPr>
          <w:fldChar w:fldCharType="end"/>
        </w:r>
      </w:hyperlink>
    </w:p>
    <w:p w14:paraId="022D097C" w14:textId="6060AB34" w:rsidR="008811FC" w:rsidRDefault="00A61B29">
      <w:pPr>
        <w:pStyle w:val="TOC2"/>
        <w:rPr>
          <w:rFonts w:asciiTheme="minorHAnsi" w:eastAsiaTheme="minorEastAsia" w:hAnsiTheme="minorHAnsi" w:cstheme="minorBidi"/>
          <w:noProof/>
          <w:color w:val="auto"/>
          <w:sz w:val="22"/>
          <w:lang w:eastAsia="en-AU"/>
        </w:rPr>
      </w:pPr>
      <w:hyperlink w:anchor="_Toc109996786" w:history="1">
        <w:r w:rsidR="008811FC" w:rsidRPr="00297248">
          <w:rPr>
            <w:rStyle w:val="Hyperlink"/>
            <w:noProof/>
          </w:rPr>
          <w:t>Shared care planning</w:t>
        </w:r>
        <w:r w:rsidR="008811FC">
          <w:rPr>
            <w:noProof/>
            <w:webHidden/>
          </w:rPr>
          <w:tab/>
        </w:r>
        <w:r w:rsidR="008811FC">
          <w:rPr>
            <w:noProof/>
            <w:webHidden/>
          </w:rPr>
          <w:fldChar w:fldCharType="begin"/>
        </w:r>
        <w:r w:rsidR="008811FC">
          <w:rPr>
            <w:noProof/>
            <w:webHidden/>
          </w:rPr>
          <w:instrText xml:space="preserve"> PAGEREF _Toc109996786 \h </w:instrText>
        </w:r>
        <w:r w:rsidR="008811FC">
          <w:rPr>
            <w:noProof/>
            <w:webHidden/>
          </w:rPr>
        </w:r>
        <w:r w:rsidR="008811FC">
          <w:rPr>
            <w:noProof/>
            <w:webHidden/>
          </w:rPr>
          <w:fldChar w:fldCharType="separate"/>
        </w:r>
        <w:r w:rsidR="003C4BC2">
          <w:rPr>
            <w:noProof/>
            <w:webHidden/>
          </w:rPr>
          <w:t>348</w:t>
        </w:r>
        <w:r w:rsidR="008811FC">
          <w:rPr>
            <w:noProof/>
            <w:webHidden/>
          </w:rPr>
          <w:fldChar w:fldCharType="end"/>
        </w:r>
      </w:hyperlink>
    </w:p>
    <w:p w14:paraId="14D184D5" w14:textId="22AF7CE4" w:rsidR="008811FC" w:rsidRDefault="00A61B29">
      <w:pPr>
        <w:pStyle w:val="TOC2"/>
        <w:rPr>
          <w:rFonts w:asciiTheme="minorHAnsi" w:eastAsiaTheme="minorEastAsia" w:hAnsiTheme="minorHAnsi" w:cstheme="minorBidi"/>
          <w:noProof/>
          <w:color w:val="auto"/>
          <w:sz w:val="22"/>
          <w:lang w:eastAsia="en-AU"/>
        </w:rPr>
      </w:pPr>
      <w:hyperlink w:anchor="_Toc109996787" w:history="1">
        <w:r w:rsidR="008811FC" w:rsidRPr="00297248">
          <w:rPr>
            <w:rStyle w:val="Hyperlink"/>
            <w:noProof/>
          </w:rPr>
          <w:t>Community pharmacy</w:t>
        </w:r>
        <w:r w:rsidR="008811FC">
          <w:rPr>
            <w:noProof/>
            <w:webHidden/>
          </w:rPr>
          <w:tab/>
        </w:r>
        <w:r w:rsidR="008811FC">
          <w:rPr>
            <w:noProof/>
            <w:webHidden/>
          </w:rPr>
          <w:fldChar w:fldCharType="begin"/>
        </w:r>
        <w:r w:rsidR="008811FC">
          <w:rPr>
            <w:noProof/>
            <w:webHidden/>
          </w:rPr>
          <w:instrText xml:space="preserve"> PAGEREF _Toc109996787 \h </w:instrText>
        </w:r>
        <w:r w:rsidR="008811FC">
          <w:rPr>
            <w:noProof/>
            <w:webHidden/>
          </w:rPr>
        </w:r>
        <w:r w:rsidR="008811FC">
          <w:rPr>
            <w:noProof/>
            <w:webHidden/>
          </w:rPr>
          <w:fldChar w:fldCharType="separate"/>
        </w:r>
        <w:r w:rsidR="003C4BC2">
          <w:rPr>
            <w:noProof/>
            <w:webHidden/>
          </w:rPr>
          <w:t>348</w:t>
        </w:r>
        <w:r w:rsidR="008811FC">
          <w:rPr>
            <w:noProof/>
            <w:webHidden/>
          </w:rPr>
          <w:fldChar w:fldCharType="end"/>
        </w:r>
      </w:hyperlink>
    </w:p>
    <w:p w14:paraId="44E1AE5B" w14:textId="3FF9F1E7" w:rsidR="008811FC" w:rsidRDefault="00A61B29">
      <w:pPr>
        <w:pStyle w:val="TOC2"/>
        <w:rPr>
          <w:rFonts w:asciiTheme="minorHAnsi" w:eastAsiaTheme="minorEastAsia" w:hAnsiTheme="minorHAnsi" w:cstheme="minorBidi"/>
          <w:noProof/>
          <w:color w:val="auto"/>
          <w:sz w:val="22"/>
          <w:lang w:eastAsia="en-AU"/>
        </w:rPr>
      </w:pPr>
      <w:hyperlink w:anchor="_Toc109996788" w:history="1">
        <w:r w:rsidR="008811FC" w:rsidRPr="00297248">
          <w:rPr>
            <w:rStyle w:val="Hyperlink"/>
            <w:noProof/>
          </w:rPr>
          <w:t>Evaluation</w:t>
        </w:r>
        <w:r w:rsidR="008811FC">
          <w:rPr>
            <w:noProof/>
            <w:webHidden/>
          </w:rPr>
          <w:tab/>
        </w:r>
        <w:r w:rsidR="008811FC">
          <w:rPr>
            <w:noProof/>
            <w:webHidden/>
          </w:rPr>
          <w:fldChar w:fldCharType="begin"/>
        </w:r>
        <w:r w:rsidR="008811FC">
          <w:rPr>
            <w:noProof/>
            <w:webHidden/>
          </w:rPr>
          <w:instrText xml:space="preserve"> PAGEREF _Toc109996788 \h </w:instrText>
        </w:r>
        <w:r w:rsidR="008811FC">
          <w:rPr>
            <w:noProof/>
            <w:webHidden/>
          </w:rPr>
        </w:r>
        <w:r w:rsidR="008811FC">
          <w:rPr>
            <w:noProof/>
            <w:webHidden/>
          </w:rPr>
          <w:fldChar w:fldCharType="separate"/>
        </w:r>
        <w:r w:rsidR="003C4BC2">
          <w:rPr>
            <w:noProof/>
            <w:webHidden/>
          </w:rPr>
          <w:t>349</w:t>
        </w:r>
        <w:r w:rsidR="008811FC">
          <w:rPr>
            <w:noProof/>
            <w:webHidden/>
          </w:rPr>
          <w:fldChar w:fldCharType="end"/>
        </w:r>
      </w:hyperlink>
    </w:p>
    <w:p w14:paraId="20EAB4C6" w14:textId="17F29B83" w:rsidR="008811FC" w:rsidRDefault="00A61B29">
      <w:pPr>
        <w:pStyle w:val="TOC1"/>
        <w:rPr>
          <w:rFonts w:asciiTheme="minorHAnsi" w:eastAsiaTheme="minorEastAsia" w:hAnsiTheme="minorHAnsi" w:cstheme="minorBidi"/>
          <w:i w:val="0"/>
          <w:noProof/>
          <w:color w:val="auto"/>
          <w:sz w:val="22"/>
          <w:lang w:val="en-AU" w:eastAsia="en-AU"/>
        </w:rPr>
      </w:pPr>
      <w:hyperlink w:anchor="_Toc109996789" w:history="1">
        <w:r w:rsidR="008811FC" w:rsidRPr="00297248">
          <w:rPr>
            <w:rStyle w:val="Hyperlink"/>
            <w:noProof/>
          </w:rPr>
          <w:t>Attachment 1: Responses to evaluation questions</w:t>
        </w:r>
        <w:r w:rsidR="008811FC">
          <w:rPr>
            <w:noProof/>
            <w:webHidden/>
          </w:rPr>
          <w:tab/>
        </w:r>
        <w:r w:rsidR="008811FC">
          <w:rPr>
            <w:noProof/>
            <w:webHidden/>
          </w:rPr>
          <w:fldChar w:fldCharType="begin"/>
        </w:r>
        <w:r w:rsidR="008811FC">
          <w:rPr>
            <w:noProof/>
            <w:webHidden/>
          </w:rPr>
          <w:instrText xml:space="preserve"> PAGEREF _Toc109996789 \h </w:instrText>
        </w:r>
        <w:r w:rsidR="008811FC">
          <w:rPr>
            <w:noProof/>
            <w:webHidden/>
          </w:rPr>
        </w:r>
        <w:r w:rsidR="008811FC">
          <w:rPr>
            <w:noProof/>
            <w:webHidden/>
          </w:rPr>
          <w:fldChar w:fldCharType="separate"/>
        </w:r>
        <w:r w:rsidR="003C4BC2">
          <w:rPr>
            <w:noProof/>
            <w:webHidden/>
          </w:rPr>
          <w:t>351</w:t>
        </w:r>
        <w:r w:rsidR="008811FC">
          <w:rPr>
            <w:noProof/>
            <w:webHidden/>
          </w:rPr>
          <w:fldChar w:fldCharType="end"/>
        </w:r>
      </w:hyperlink>
    </w:p>
    <w:p w14:paraId="6725CFFE" w14:textId="55D4BE1E" w:rsidR="008811FC" w:rsidRDefault="00A61B29">
      <w:pPr>
        <w:pStyle w:val="TOC2"/>
        <w:rPr>
          <w:rFonts w:asciiTheme="minorHAnsi" w:eastAsiaTheme="minorEastAsia" w:hAnsiTheme="minorHAnsi" w:cstheme="minorBidi"/>
          <w:noProof/>
          <w:color w:val="auto"/>
          <w:sz w:val="22"/>
          <w:lang w:eastAsia="en-AU"/>
        </w:rPr>
      </w:pPr>
      <w:hyperlink w:anchor="_Toc109996790" w:history="1">
        <w:r w:rsidR="008811FC" w:rsidRPr="00297248">
          <w:rPr>
            <w:rStyle w:val="Hyperlink"/>
            <w:noProof/>
          </w:rPr>
          <w:t>Key evaluation question 1: How was the HCH model implemented and what were the barriers and enablers?</w:t>
        </w:r>
        <w:r w:rsidR="008811FC">
          <w:rPr>
            <w:noProof/>
            <w:webHidden/>
          </w:rPr>
          <w:tab/>
        </w:r>
        <w:r w:rsidR="008811FC">
          <w:rPr>
            <w:noProof/>
            <w:webHidden/>
          </w:rPr>
          <w:fldChar w:fldCharType="begin"/>
        </w:r>
        <w:r w:rsidR="008811FC">
          <w:rPr>
            <w:noProof/>
            <w:webHidden/>
          </w:rPr>
          <w:instrText xml:space="preserve"> PAGEREF _Toc109996790 \h </w:instrText>
        </w:r>
        <w:r w:rsidR="008811FC">
          <w:rPr>
            <w:noProof/>
            <w:webHidden/>
          </w:rPr>
        </w:r>
        <w:r w:rsidR="008811FC">
          <w:rPr>
            <w:noProof/>
            <w:webHidden/>
          </w:rPr>
          <w:fldChar w:fldCharType="separate"/>
        </w:r>
        <w:r w:rsidR="003C4BC2">
          <w:rPr>
            <w:noProof/>
            <w:webHidden/>
          </w:rPr>
          <w:t>351</w:t>
        </w:r>
        <w:r w:rsidR="008811FC">
          <w:rPr>
            <w:noProof/>
            <w:webHidden/>
          </w:rPr>
          <w:fldChar w:fldCharType="end"/>
        </w:r>
      </w:hyperlink>
    </w:p>
    <w:p w14:paraId="30A928BA" w14:textId="39F2090A" w:rsidR="008811FC" w:rsidRDefault="00A61B29">
      <w:pPr>
        <w:pStyle w:val="TOC2"/>
        <w:rPr>
          <w:rFonts w:asciiTheme="minorHAnsi" w:eastAsiaTheme="minorEastAsia" w:hAnsiTheme="minorHAnsi" w:cstheme="minorBidi"/>
          <w:noProof/>
          <w:color w:val="auto"/>
          <w:sz w:val="22"/>
          <w:lang w:eastAsia="en-AU"/>
        </w:rPr>
      </w:pPr>
      <w:hyperlink w:anchor="_Toc109996791" w:history="1">
        <w:r w:rsidR="008811FC" w:rsidRPr="00297248">
          <w:rPr>
            <w:rStyle w:val="Hyperlink"/>
            <w:noProof/>
          </w:rPr>
          <w:t>Key evaluation question 2: How does the HCH model change the way practices approach chronic disease management?</w:t>
        </w:r>
        <w:r w:rsidR="008811FC">
          <w:rPr>
            <w:noProof/>
            <w:webHidden/>
          </w:rPr>
          <w:tab/>
        </w:r>
        <w:r w:rsidR="008811FC">
          <w:rPr>
            <w:noProof/>
            <w:webHidden/>
          </w:rPr>
          <w:fldChar w:fldCharType="begin"/>
        </w:r>
        <w:r w:rsidR="008811FC">
          <w:rPr>
            <w:noProof/>
            <w:webHidden/>
          </w:rPr>
          <w:instrText xml:space="preserve"> PAGEREF _Toc109996791 \h </w:instrText>
        </w:r>
        <w:r w:rsidR="008811FC">
          <w:rPr>
            <w:noProof/>
            <w:webHidden/>
          </w:rPr>
        </w:r>
        <w:r w:rsidR="008811FC">
          <w:rPr>
            <w:noProof/>
            <w:webHidden/>
          </w:rPr>
          <w:fldChar w:fldCharType="separate"/>
        </w:r>
        <w:r w:rsidR="003C4BC2">
          <w:rPr>
            <w:noProof/>
            <w:webHidden/>
          </w:rPr>
          <w:t>357</w:t>
        </w:r>
        <w:r w:rsidR="008811FC">
          <w:rPr>
            <w:noProof/>
            <w:webHidden/>
          </w:rPr>
          <w:fldChar w:fldCharType="end"/>
        </w:r>
      </w:hyperlink>
    </w:p>
    <w:p w14:paraId="648C3F29" w14:textId="76BADF51" w:rsidR="008811FC" w:rsidRDefault="00A61B29">
      <w:pPr>
        <w:pStyle w:val="TOC2"/>
        <w:rPr>
          <w:rFonts w:asciiTheme="minorHAnsi" w:eastAsiaTheme="minorEastAsia" w:hAnsiTheme="minorHAnsi" w:cstheme="minorBidi"/>
          <w:noProof/>
          <w:color w:val="auto"/>
          <w:sz w:val="22"/>
          <w:lang w:eastAsia="en-AU"/>
        </w:rPr>
      </w:pPr>
      <w:hyperlink w:anchor="_Toc109996792" w:history="1">
        <w:r w:rsidR="008811FC" w:rsidRPr="00297248">
          <w:rPr>
            <w:rStyle w:val="Hyperlink"/>
            <w:noProof/>
          </w:rPr>
          <w:t>Key evaluation question 3: Do patients enrolled in HCH experience better quality care?</w:t>
        </w:r>
        <w:r w:rsidR="008811FC">
          <w:rPr>
            <w:noProof/>
            <w:webHidden/>
          </w:rPr>
          <w:tab/>
        </w:r>
        <w:r w:rsidR="008811FC">
          <w:rPr>
            <w:noProof/>
            <w:webHidden/>
          </w:rPr>
          <w:fldChar w:fldCharType="begin"/>
        </w:r>
        <w:r w:rsidR="008811FC">
          <w:rPr>
            <w:noProof/>
            <w:webHidden/>
          </w:rPr>
          <w:instrText xml:space="preserve"> PAGEREF _Toc109996792 \h </w:instrText>
        </w:r>
        <w:r w:rsidR="008811FC">
          <w:rPr>
            <w:noProof/>
            <w:webHidden/>
          </w:rPr>
        </w:r>
        <w:r w:rsidR="008811FC">
          <w:rPr>
            <w:noProof/>
            <w:webHidden/>
          </w:rPr>
          <w:fldChar w:fldCharType="separate"/>
        </w:r>
        <w:r w:rsidR="003C4BC2">
          <w:rPr>
            <w:noProof/>
            <w:webHidden/>
          </w:rPr>
          <w:t>365</w:t>
        </w:r>
        <w:r w:rsidR="008811FC">
          <w:rPr>
            <w:noProof/>
            <w:webHidden/>
          </w:rPr>
          <w:fldChar w:fldCharType="end"/>
        </w:r>
      </w:hyperlink>
    </w:p>
    <w:p w14:paraId="735FEEB1" w14:textId="3D31131E" w:rsidR="008811FC" w:rsidRDefault="00A61B29">
      <w:pPr>
        <w:pStyle w:val="TOC2"/>
        <w:rPr>
          <w:rFonts w:asciiTheme="minorHAnsi" w:eastAsiaTheme="minorEastAsia" w:hAnsiTheme="minorHAnsi" w:cstheme="minorBidi"/>
          <w:noProof/>
          <w:color w:val="auto"/>
          <w:sz w:val="22"/>
          <w:lang w:eastAsia="en-AU"/>
        </w:rPr>
      </w:pPr>
      <w:hyperlink w:anchor="_Toc109996793" w:history="1">
        <w:r w:rsidR="008811FC" w:rsidRPr="00297248">
          <w:rPr>
            <w:rStyle w:val="Hyperlink"/>
            <w:noProof/>
          </w:rPr>
          <w:t>Key evaluation question 4: What are the financial effects of the HCH model on governments, providers and individuals?</w:t>
        </w:r>
        <w:r w:rsidR="008811FC">
          <w:rPr>
            <w:noProof/>
            <w:webHidden/>
          </w:rPr>
          <w:tab/>
        </w:r>
        <w:r w:rsidR="008811FC">
          <w:rPr>
            <w:noProof/>
            <w:webHidden/>
          </w:rPr>
          <w:fldChar w:fldCharType="begin"/>
        </w:r>
        <w:r w:rsidR="008811FC">
          <w:rPr>
            <w:noProof/>
            <w:webHidden/>
          </w:rPr>
          <w:instrText xml:space="preserve"> PAGEREF _Toc109996793 \h </w:instrText>
        </w:r>
        <w:r w:rsidR="008811FC">
          <w:rPr>
            <w:noProof/>
            <w:webHidden/>
          </w:rPr>
        </w:r>
        <w:r w:rsidR="008811FC">
          <w:rPr>
            <w:noProof/>
            <w:webHidden/>
          </w:rPr>
          <w:fldChar w:fldCharType="separate"/>
        </w:r>
        <w:r w:rsidR="003C4BC2">
          <w:rPr>
            <w:noProof/>
            <w:webHidden/>
          </w:rPr>
          <w:t>373</w:t>
        </w:r>
        <w:r w:rsidR="008811FC">
          <w:rPr>
            <w:noProof/>
            <w:webHidden/>
          </w:rPr>
          <w:fldChar w:fldCharType="end"/>
        </w:r>
      </w:hyperlink>
    </w:p>
    <w:p w14:paraId="42550498" w14:textId="764050E6" w:rsidR="008811FC" w:rsidRDefault="00A61B29">
      <w:pPr>
        <w:pStyle w:val="TOC2"/>
        <w:rPr>
          <w:rFonts w:asciiTheme="minorHAnsi" w:eastAsiaTheme="minorEastAsia" w:hAnsiTheme="minorHAnsi" w:cstheme="minorBidi"/>
          <w:noProof/>
          <w:color w:val="auto"/>
          <w:sz w:val="22"/>
          <w:lang w:eastAsia="en-AU"/>
        </w:rPr>
      </w:pPr>
      <w:hyperlink w:anchor="_Toc109996794" w:history="1">
        <w:r w:rsidR="008811FC" w:rsidRPr="00297248">
          <w:rPr>
            <w:rStyle w:val="Hyperlink"/>
            <w:noProof/>
          </w:rPr>
          <w:t>Key evaluation questions 5–8: Community pharmacy trial</w:t>
        </w:r>
        <w:r w:rsidR="008811FC">
          <w:rPr>
            <w:noProof/>
            <w:webHidden/>
          </w:rPr>
          <w:tab/>
        </w:r>
        <w:r w:rsidR="008811FC">
          <w:rPr>
            <w:noProof/>
            <w:webHidden/>
          </w:rPr>
          <w:fldChar w:fldCharType="begin"/>
        </w:r>
        <w:r w:rsidR="008811FC">
          <w:rPr>
            <w:noProof/>
            <w:webHidden/>
          </w:rPr>
          <w:instrText xml:space="preserve"> PAGEREF _Toc109996794 \h </w:instrText>
        </w:r>
        <w:r w:rsidR="008811FC">
          <w:rPr>
            <w:noProof/>
            <w:webHidden/>
          </w:rPr>
        </w:r>
        <w:r w:rsidR="008811FC">
          <w:rPr>
            <w:noProof/>
            <w:webHidden/>
          </w:rPr>
          <w:fldChar w:fldCharType="separate"/>
        </w:r>
        <w:r w:rsidR="003C4BC2">
          <w:rPr>
            <w:noProof/>
            <w:webHidden/>
          </w:rPr>
          <w:t>375</w:t>
        </w:r>
        <w:r w:rsidR="008811FC">
          <w:rPr>
            <w:noProof/>
            <w:webHidden/>
          </w:rPr>
          <w:fldChar w:fldCharType="end"/>
        </w:r>
      </w:hyperlink>
    </w:p>
    <w:p w14:paraId="529E24A4" w14:textId="0A44F35E" w:rsidR="008811FC" w:rsidRDefault="00A61B29">
      <w:pPr>
        <w:pStyle w:val="TOC1"/>
        <w:rPr>
          <w:rFonts w:asciiTheme="minorHAnsi" w:eastAsiaTheme="minorEastAsia" w:hAnsiTheme="minorHAnsi" w:cstheme="minorBidi"/>
          <w:i w:val="0"/>
          <w:noProof/>
          <w:color w:val="auto"/>
          <w:sz w:val="22"/>
          <w:lang w:val="en-AU" w:eastAsia="en-AU"/>
        </w:rPr>
      </w:pPr>
      <w:hyperlink w:anchor="_Toc109996795" w:history="1">
        <w:r w:rsidR="008811FC" w:rsidRPr="00297248">
          <w:rPr>
            <w:rStyle w:val="Hyperlink"/>
            <w:noProof/>
          </w:rPr>
          <w:t>References</w:t>
        </w:r>
        <w:r w:rsidR="008811FC">
          <w:rPr>
            <w:noProof/>
            <w:webHidden/>
          </w:rPr>
          <w:tab/>
        </w:r>
        <w:r w:rsidR="008811FC">
          <w:rPr>
            <w:noProof/>
            <w:webHidden/>
          </w:rPr>
          <w:fldChar w:fldCharType="begin"/>
        </w:r>
        <w:r w:rsidR="008811FC">
          <w:rPr>
            <w:noProof/>
            <w:webHidden/>
          </w:rPr>
          <w:instrText xml:space="preserve"> PAGEREF _Toc109996795 \h </w:instrText>
        </w:r>
        <w:r w:rsidR="008811FC">
          <w:rPr>
            <w:noProof/>
            <w:webHidden/>
          </w:rPr>
        </w:r>
        <w:r w:rsidR="008811FC">
          <w:rPr>
            <w:noProof/>
            <w:webHidden/>
          </w:rPr>
          <w:fldChar w:fldCharType="separate"/>
        </w:r>
        <w:r w:rsidR="003C4BC2">
          <w:rPr>
            <w:noProof/>
            <w:webHidden/>
          </w:rPr>
          <w:t>379</w:t>
        </w:r>
        <w:r w:rsidR="008811FC">
          <w:rPr>
            <w:noProof/>
            <w:webHidden/>
          </w:rPr>
          <w:fldChar w:fldCharType="end"/>
        </w:r>
      </w:hyperlink>
    </w:p>
    <w:p w14:paraId="0D8404DA" w14:textId="17F09739" w:rsidR="003E3EC7" w:rsidRDefault="002A1F58" w:rsidP="002D5F84">
      <w:pPr>
        <w:pStyle w:val="TOC1"/>
      </w:pPr>
      <w:r>
        <w:rPr>
          <w:b/>
        </w:rPr>
        <w:fldChar w:fldCharType="end"/>
      </w:r>
    </w:p>
    <w:p w14:paraId="1CBAD585" w14:textId="77777777" w:rsidR="003E3EC7" w:rsidRPr="000C50A8" w:rsidRDefault="003E3EC7" w:rsidP="003E3EC7">
      <w:pPr>
        <w:sectPr w:rsidR="003E3EC7" w:rsidRPr="000C50A8">
          <w:headerReference w:type="default" r:id="rId15"/>
          <w:headerReference w:type="first" r:id="rId16"/>
          <w:footerReference w:type="first" r:id="rId17"/>
          <w:pgSz w:w="11906" w:h="16838"/>
          <w:pgMar w:top="1440" w:right="1440" w:bottom="1440" w:left="1440" w:header="708" w:footer="708" w:gutter="0"/>
          <w:cols w:space="708"/>
          <w:titlePg/>
          <w:docGrid w:linePitch="360"/>
        </w:sectPr>
      </w:pPr>
    </w:p>
    <w:bookmarkStart w:id="4" w:name="_Toc77955401"/>
    <w:bookmarkStart w:id="5" w:name="_Ref71194836"/>
    <w:bookmarkStart w:id="6" w:name="_Ref71195607"/>
    <w:bookmarkStart w:id="7" w:name="_Ref71719751"/>
    <w:p w14:paraId="6C819EB7" w14:textId="50BCC8D3" w:rsidR="007A7E67" w:rsidRDefault="007A7E67" w:rsidP="007A7E67">
      <w:pPr>
        <w:pStyle w:val="ChapterNumber"/>
      </w:pPr>
      <w:r>
        <w:lastRenderedPageBreak/>
        <w:fldChar w:fldCharType="begin"/>
      </w:r>
      <w:bookmarkEnd w:id="4"/>
      <w:r>
        <w:instrText xml:space="preserve"> REF _Ref71722305 \r \h </w:instrText>
      </w:r>
      <w:r>
        <w:fldChar w:fldCharType="separate"/>
      </w:r>
      <w:r w:rsidR="003C4BC2">
        <w:t>1</w:t>
      </w:r>
      <w:r>
        <w:fldChar w:fldCharType="end"/>
      </w:r>
    </w:p>
    <w:p w14:paraId="048A484F" w14:textId="34B28B56" w:rsidR="00644A08" w:rsidRDefault="1609000F" w:rsidP="00B363DA">
      <w:pPr>
        <w:pStyle w:val="Heading1withnumber"/>
        <w:ind w:left="0" w:hanging="567"/>
      </w:pPr>
      <w:bookmarkStart w:id="8" w:name="_Ref71722305"/>
      <w:bookmarkStart w:id="9" w:name="_Toc71722736"/>
      <w:bookmarkStart w:id="10" w:name="_Toc73353199"/>
      <w:bookmarkStart w:id="11" w:name="_Toc75855974"/>
      <w:bookmarkStart w:id="12" w:name="_Toc77955402"/>
      <w:bookmarkStart w:id="13" w:name="_Toc109996643"/>
      <w:bookmarkEnd w:id="5"/>
      <w:bookmarkEnd w:id="6"/>
      <w:bookmarkEnd w:id="7"/>
      <w:r w:rsidRPr="001800D0">
        <w:t>Introduction</w:t>
      </w:r>
      <w:bookmarkEnd w:id="8"/>
      <w:bookmarkEnd w:id="9"/>
      <w:bookmarkEnd w:id="10"/>
      <w:bookmarkEnd w:id="11"/>
      <w:bookmarkEnd w:id="12"/>
      <w:bookmarkEnd w:id="13"/>
    </w:p>
    <w:p w14:paraId="743B42F8" w14:textId="6242A181" w:rsidR="000E4100" w:rsidRDefault="005E5A15" w:rsidP="001352D2">
      <w:r w:rsidRPr="005E5A15">
        <w:t xml:space="preserve">This document is the </w:t>
      </w:r>
      <w:r w:rsidR="00922A4F">
        <w:t>f</w:t>
      </w:r>
      <w:r w:rsidR="00397081">
        <w:t xml:space="preserve">inal </w:t>
      </w:r>
      <w:r w:rsidRPr="005E5A15">
        <w:t>evaluation report</w:t>
      </w:r>
      <w:r w:rsidR="009E4F86">
        <w:t xml:space="preserve"> of the </w:t>
      </w:r>
      <w:r w:rsidR="009E4F86" w:rsidRPr="005E5A15">
        <w:t xml:space="preserve">Health Care Homes </w:t>
      </w:r>
      <w:r w:rsidR="00D72E40">
        <w:t>T</w:t>
      </w:r>
      <w:r w:rsidR="00D72E40" w:rsidRPr="00FE76EA">
        <w:t xml:space="preserve">rial </w:t>
      </w:r>
      <w:r w:rsidR="009E4F86" w:rsidRPr="005E5A15">
        <w:t>(HCH trial</w:t>
      </w:r>
      <w:r w:rsidR="00D72E40">
        <w:t>)</w:t>
      </w:r>
      <w:r w:rsidRPr="005E5A15">
        <w:t xml:space="preserve">. This volume is one of three featuring the findings of the evaluation. </w:t>
      </w:r>
      <w:r w:rsidR="00302D66" w:rsidRPr="00265CB9">
        <w:rPr>
          <w:b/>
        </w:rPr>
        <w:fldChar w:fldCharType="begin"/>
      </w:r>
      <w:r w:rsidR="00302D66" w:rsidRPr="00265CB9">
        <w:rPr>
          <w:b/>
        </w:rPr>
        <w:instrText xml:space="preserve"> REF _Ref53327870 \h  \* MERGEFORMAT </w:instrText>
      </w:r>
      <w:r w:rsidR="00302D66" w:rsidRPr="00265CB9">
        <w:rPr>
          <w:b/>
        </w:rPr>
      </w:r>
      <w:r w:rsidR="00302D66" w:rsidRPr="00265CB9">
        <w:rPr>
          <w:b/>
        </w:rPr>
        <w:fldChar w:fldCharType="separate"/>
      </w:r>
      <w:r w:rsidR="003C4BC2" w:rsidRPr="003C4BC2">
        <w:rPr>
          <w:rStyle w:val="Strong1"/>
          <w:b w:val="0"/>
          <w:color w:val="1D2455"/>
          <w:sz w:val="20"/>
        </w:rPr>
        <w:t>Table 1</w:t>
      </w:r>
      <w:r w:rsidR="00302D66" w:rsidRPr="00265CB9">
        <w:rPr>
          <w:b/>
        </w:rPr>
        <w:fldChar w:fldCharType="end"/>
      </w:r>
      <w:r w:rsidR="00302D66">
        <w:t xml:space="preserve"> describes t</w:t>
      </w:r>
      <w:r w:rsidRPr="005E5A15">
        <w:t>he volumes</w:t>
      </w:r>
      <w:r w:rsidR="001352D2">
        <w:t>.</w:t>
      </w:r>
    </w:p>
    <w:p w14:paraId="04FAC3F0" w14:textId="7AA4300B" w:rsidR="005E5A15" w:rsidRPr="00397081" w:rsidRDefault="005E5A15" w:rsidP="00397081">
      <w:pPr>
        <w:pStyle w:val="tabletitle"/>
        <w:rPr>
          <w:rStyle w:val="Strong1"/>
          <w:b w:val="0"/>
          <w:bCs/>
          <w:color w:val="1D2455"/>
          <w:sz w:val="20"/>
        </w:rPr>
      </w:pPr>
      <w:bookmarkStart w:id="14" w:name="_Ref53327870"/>
      <w:r w:rsidRPr="00397081">
        <w:rPr>
          <w:rStyle w:val="Strong1"/>
          <w:b w:val="0"/>
          <w:bCs/>
          <w:color w:val="1D2455"/>
          <w:sz w:val="20"/>
        </w:rPr>
        <w:t xml:space="preserve">Table </w:t>
      </w:r>
      <w:r w:rsidRPr="00397081">
        <w:rPr>
          <w:rStyle w:val="Strong1"/>
          <w:b w:val="0"/>
          <w:bCs/>
          <w:color w:val="1D2455"/>
          <w:sz w:val="20"/>
        </w:rPr>
        <w:fldChar w:fldCharType="begin"/>
      </w:r>
      <w:r w:rsidRPr="00397081">
        <w:rPr>
          <w:rStyle w:val="Strong1"/>
          <w:b w:val="0"/>
          <w:bCs/>
          <w:color w:val="1D2455"/>
          <w:sz w:val="20"/>
        </w:rPr>
        <w:instrText xml:space="preserve"> SEQ Table \* ARABIC </w:instrText>
      </w:r>
      <w:r w:rsidRPr="00397081">
        <w:rPr>
          <w:rStyle w:val="Strong1"/>
          <w:b w:val="0"/>
          <w:bCs/>
          <w:color w:val="1D2455"/>
          <w:sz w:val="20"/>
        </w:rPr>
        <w:fldChar w:fldCharType="separate"/>
      </w:r>
      <w:r w:rsidR="003C4BC2">
        <w:rPr>
          <w:rStyle w:val="Strong1"/>
          <w:b w:val="0"/>
          <w:bCs/>
          <w:noProof/>
          <w:color w:val="1D2455"/>
          <w:sz w:val="20"/>
        </w:rPr>
        <w:t>1</w:t>
      </w:r>
      <w:r w:rsidRPr="00397081">
        <w:rPr>
          <w:rStyle w:val="Strong1"/>
          <w:b w:val="0"/>
          <w:bCs/>
          <w:color w:val="1D2455"/>
          <w:sz w:val="20"/>
        </w:rPr>
        <w:fldChar w:fldCharType="end"/>
      </w:r>
      <w:bookmarkEnd w:id="14"/>
      <w:r w:rsidR="00397081">
        <w:rPr>
          <w:rStyle w:val="Strong1"/>
          <w:b w:val="0"/>
          <w:bCs/>
          <w:color w:val="1D2455"/>
          <w:sz w:val="20"/>
        </w:rPr>
        <w:t>:</w:t>
      </w:r>
      <w:r w:rsidRPr="00397081">
        <w:rPr>
          <w:rStyle w:val="Strong1"/>
          <w:b w:val="0"/>
          <w:bCs/>
          <w:color w:val="1D2455"/>
          <w:sz w:val="20"/>
        </w:rPr>
        <w:t xml:space="preserve"> </w:t>
      </w:r>
      <w:r w:rsidR="00397081">
        <w:rPr>
          <w:rStyle w:val="Strong1"/>
          <w:b w:val="0"/>
          <w:bCs/>
          <w:color w:val="1D2455"/>
          <w:sz w:val="20"/>
        </w:rPr>
        <w:t xml:space="preserve">Final </w:t>
      </w:r>
      <w:r w:rsidRPr="0066726B">
        <w:rPr>
          <w:rStyle w:val="Strong1"/>
          <w:b w:val="0"/>
          <w:bCs/>
          <w:color w:val="1D2455"/>
          <w:sz w:val="20"/>
        </w:rPr>
        <w:t>evaluation</w:t>
      </w:r>
      <w:r w:rsidRPr="00397081">
        <w:rPr>
          <w:rStyle w:val="Strong1"/>
          <w:b w:val="0"/>
          <w:bCs/>
          <w:color w:val="1D2455"/>
          <w:sz w:val="20"/>
        </w:rPr>
        <w:t xml:space="preserve"> report volumes</w:t>
      </w:r>
    </w:p>
    <w:tbl>
      <w:tblPr>
        <w:tblStyle w:val="HPATable"/>
        <w:tblW w:w="5000" w:type="pct"/>
        <w:jc w:val="center"/>
        <w:tblBorders>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702"/>
        <w:gridCol w:w="5314"/>
      </w:tblGrid>
      <w:tr w:rsidR="009024B2" w:rsidRPr="002D5898" w14:paraId="68628EFD" w14:textId="77777777" w:rsidTr="004C3ED4">
        <w:trPr>
          <w:cnfStyle w:val="100000000000" w:firstRow="1" w:lastRow="0" w:firstColumn="0" w:lastColumn="0" w:oddVBand="0" w:evenVBand="0" w:oddHBand="0" w:evenHBand="0" w:firstRowFirstColumn="0" w:firstRowLastColumn="0" w:lastRowFirstColumn="0" w:lastRowLastColumn="0"/>
          <w:jc w:val="center"/>
        </w:trPr>
        <w:tc>
          <w:tcPr>
            <w:tcW w:w="2053"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68E5C31A" w14:textId="77777777" w:rsidR="009024B2" w:rsidRPr="00C73C5E" w:rsidRDefault="009024B2" w:rsidP="000A58A6">
            <w:pPr>
              <w:spacing w:after="0"/>
              <w:jc w:val="center"/>
              <w:rPr>
                <w:b w:val="0"/>
                <w:sz w:val="18"/>
                <w:szCs w:val="18"/>
              </w:rPr>
            </w:pPr>
            <w:r w:rsidRPr="00C73C5E">
              <w:rPr>
                <w:sz w:val="18"/>
                <w:szCs w:val="18"/>
              </w:rPr>
              <w:t>Volume</w:t>
            </w:r>
          </w:p>
        </w:tc>
        <w:tc>
          <w:tcPr>
            <w:tcW w:w="2947" w:type="pct"/>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17AA040" w14:textId="77777777" w:rsidR="009024B2" w:rsidRPr="00C73C5E" w:rsidRDefault="009024B2" w:rsidP="000A58A6">
            <w:pPr>
              <w:spacing w:after="0"/>
              <w:jc w:val="center"/>
              <w:rPr>
                <w:b w:val="0"/>
                <w:sz w:val="18"/>
                <w:szCs w:val="18"/>
              </w:rPr>
            </w:pPr>
            <w:r w:rsidRPr="00C73C5E">
              <w:rPr>
                <w:sz w:val="18"/>
                <w:szCs w:val="18"/>
              </w:rPr>
              <w:t>Description</w:t>
            </w:r>
          </w:p>
        </w:tc>
      </w:tr>
      <w:tr w:rsidR="009024B2" w:rsidRPr="002D5898" w14:paraId="2F104360" w14:textId="77777777" w:rsidTr="004C3ED4">
        <w:trPr>
          <w:jc w:val="center"/>
        </w:trPr>
        <w:tc>
          <w:tcPr>
            <w:tcW w:w="2053" w:type="pct"/>
          </w:tcPr>
          <w:p w14:paraId="281474A6" w14:textId="77777777" w:rsidR="009024B2" w:rsidRPr="00C73C5E" w:rsidRDefault="009024B2" w:rsidP="000A58A6">
            <w:pPr>
              <w:spacing w:after="0"/>
              <w:rPr>
                <w:sz w:val="18"/>
                <w:szCs w:val="18"/>
              </w:rPr>
            </w:pPr>
            <w:r w:rsidRPr="00C73C5E">
              <w:rPr>
                <w:sz w:val="18"/>
                <w:szCs w:val="18"/>
              </w:rPr>
              <w:t>Volume 1 Summary report</w:t>
            </w:r>
          </w:p>
        </w:tc>
        <w:tc>
          <w:tcPr>
            <w:tcW w:w="2947" w:type="pct"/>
          </w:tcPr>
          <w:p w14:paraId="33CBDDFF" w14:textId="77777777" w:rsidR="009024B2" w:rsidRPr="00C73C5E" w:rsidRDefault="009024B2" w:rsidP="000A58A6">
            <w:pPr>
              <w:spacing w:after="0"/>
              <w:rPr>
                <w:sz w:val="18"/>
                <w:szCs w:val="18"/>
              </w:rPr>
            </w:pPr>
            <w:r w:rsidRPr="00C73C5E">
              <w:rPr>
                <w:sz w:val="18"/>
                <w:szCs w:val="18"/>
              </w:rPr>
              <w:t>Summarises the findings of the evaluation.</w:t>
            </w:r>
          </w:p>
        </w:tc>
      </w:tr>
      <w:tr w:rsidR="009024B2" w:rsidRPr="002D5898" w14:paraId="3203DF2B" w14:textId="77777777" w:rsidTr="004C3ED4">
        <w:trPr>
          <w:jc w:val="center"/>
        </w:trPr>
        <w:tc>
          <w:tcPr>
            <w:tcW w:w="2053" w:type="pct"/>
          </w:tcPr>
          <w:p w14:paraId="1DF57525" w14:textId="77777777" w:rsidR="009024B2" w:rsidRPr="00C73C5E" w:rsidRDefault="009024B2" w:rsidP="000A58A6">
            <w:pPr>
              <w:spacing w:after="0"/>
              <w:rPr>
                <w:sz w:val="18"/>
                <w:szCs w:val="18"/>
              </w:rPr>
            </w:pPr>
            <w:r w:rsidRPr="00C73C5E">
              <w:rPr>
                <w:sz w:val="18"/>
                <w:szCs w:val="18"/>
              </w:rPr>
              <w:t>Volume 2 Main report</w:t>
            </w:r>
          </w:p>
        </w:tc>
        <w:tc>
          <w:tcPr>
            <w:tcW w:w="2947" w:type="pct"/>
          </w:tcPr>
          <w:p w14:paraId="6C9BD9EA" w14:textId="77777777" w:rsidR="009024B2" w:rsidRPr="00C73C5E" w:rsidRDefault="009024B2" w:rsidP="000A58A6">
            <w:pPr>
              <w:spacing w:after="0"/>
              <w:rPr>
                <w:sz w:val="18"/>
                <w:szCs w:val="18"/>
              </w:rPr>
            </w:pPr>
            <w:r w:rsidRPr="00C73C5E">
              <w:rPr>
                <w:sz w:val="18"/>
                <w:szCs w:val="18"/>
              </w:rPr>
              <w:t>Presents the findings from the evaluation.</w:t>
            </w:r>
          </w:p>
        </w:tc>
      </w:tr>
      <w:tr w:rsidR="009024B2" w:rsidRPr="002D5898" w14:paraId="5ADDE17C" w14:textId="77777777" w:rsidTr="004C3ED4">
        <w:trPr>
          <w:jc w:val="center"/>
        </w:trPr>
        <w:tc>
          <w:tcPr>
            <w:tcW w:w="2053" w:type="pct"/>
          </w:tcPr>
          <w:p w14:paraId="59954385" w14:textId="77777777" w:rsidR="009024B2" w:rsidRPr="00C73C5E" w:rsidRDefault="009024B2" w:rsidP="000A58A6">
            <w:pPr>
              <w:spacing w:after="0"/>
              <w:rPr>
                <w:sz w:val="18"/>
                <w:szCs w:val="18"/>
              </w:rPr>
            </w:pPr>
            <w:r w:rsidRPr="00C73C5E">
              <w:rPr>
                <w:sz w:val="18"/>
                <w:szCs w:val="18"/>
              </w:rPr>
              <w:t xml:space="preserve">Volume 3 </w:t>
            </w:r>
            <w:r>
              <w:rPr>
                <w:sz w:val="18"/>
                <w:szCs w:val="18"/>
              </w:rPr>
              <w:t>Methods and d</w:t>
            </w:r>
            <w:r w:rsidRPr="00C73C5E">
              <w:rPr>
                <w:sz w:val="18"/>
                <w:szCs w:val="18"/>
              </w:rPr>
              <w:t>ata supplement</w:t>
            </w:r>
          </w:p>
        </w:tc>
        <w:tc>
          <w:tcPr>
            <w:tcW w:w="2947" w:type="pct"/>
          </w:tcPr>
          <w:p w14:paraId="4E4C296C" w14:textId="77777777" w:rsidR="009024B2" w:rsidRPr="00C73C5E" w:rsidRDefault="009024B2" w:rsidP="000A58A6">
            <w:pPr>
              <w:spacing w:after="0"/>
              <w:rPr>
                <w:sz w:val="18"/>
                <w:szCs w:val="18"/>
              </w:rPr>
            </w:pPr>
            <w:r>
              <w:rPr>
                <w:sz w:val="18"/>
                <w:szCs w:val="18"/>
              </w:rPr>
              <w:t>Further details on</w:t>
            </w:r>
            <w:r w:rsidRPr="00C73C5E">
              <w:rPr>
                <w:sz w:val="18"/>
                <w:szCs w:val="18"/>
              </w:rPr>
              <w:t xml:space="preserve"> evaluation </w:t>
            </w:r>
            <w:r>
              <w:rPr>
                <w:sz w:val="18"/>
                <w:szCs w:val="18"/>
              </w:rPr>
              <w:t xml:space="preserve">methods, data </w:t>
            </w:r>
            <w:r w:rsidRPr="00C73C5E">
              <w:rPr>
                <w:sz w:val="18"/>
                <w:szCs w:val="18"/>
              </w:rPr>
              <w:t>sources and quality issues</w:t>
            </w:r>
            <w:r>
              <w:rPr>
                <w:sz w:val="18"/>
                <w:szCs w:val="18"/>
              </w:rPr>
              <w:t xml:space="preserve"> and additional analyses</w:t>
            </w:r>
            <w:r w:rsidRPr="00C73C5E">
              <w:rPr>
                <w:sz w:val="18"/>
                <w:szCs w:val="18"/>
              </w:rPr>
              <w:t>.</w:t>
            </w:r>
          </w:p>
        </w:tc>
      </w:tr>
    </w:tbl>
    <w:p w14:paraId="0ABB13A5" w14:textId="77777777" w:rsidR="005E5A15" w:rsidRPr="00B96792" w:rsidRDefault="005E5A15" w:rsidP="005E5A15">
      <w:pPr>
        <w:spacing w:after="0"/>
      </w:pPr>
    </w:p>
    <w:p w14:paraId="0FD6F844" w14:textId="7DEC4C76" w:rsidR="005E5A15" w:rsidRDefault="005E5A15" w:rsidP="005E5A15">
      <w:r w:rsidRPr="0024097C">
        <w:t>Th</w:t>
      </w:r>
      <w:r w:rsidR="00550F3E">
        <w:t>is</w:t>
      </w:r>
      <w:r w:rsidRPr="0024097C">
        <w:t xml:space="preserve"> report</w:t>
      </w:r>
      <w:r w:rsidR="0053007D">
        <w:t xml:space="preserve"> incorporates and </w:t>
      </w:r>
      <w:r w:rsidRPr="0024097C">
        <w:t xml:space="preserve">builds on the findings reported in </w:t>
      </w:r>
      <w:r w:rsidR="00397081">
        <w:t>previous</w:t>
      </w:r>
      <w:r w:rsidRPr="00397081">
        <w:rPr>
          <w:iCs/>
        </w:rPr>
        <w:t xml:space="preserve"> evaluation report</w:t>
      </w:r>
      <w:r w:rsidR="00397081" w:rsidRPr="00397081">
        <w:rPr>
          <w:iCs/>
        </w:rPr>
        <w:t>s</w:t>
      </w:r>
      <w:r w:rsidRPr="0024097C">
        <w:t>.</w:t>
      </w:r>
      <w:r w:rsidR="007B7F63" w:rsidRPr="001F4811">
        <w:rPr>
          <w:rStyle w:val="FootnoteReference"/>
          <w:color w:val="408BCA"/>
        </w:rPr>
        <w:footnoteReference w:id="2"/>
      </w:r>
      <w:r w:rsidR="007B7F63" w:rsidRPr="001F4811">
        <w:rPr>
          <w:color w:val="408BCA"/>
          <w:vertAlign w:val="superscript"/>
        </w:rPr>
        <w:t>,</w:t>
      </w:r>
      <w:r w:rsidR="007B7F63" w:rsidRPr="001F4811">
        <w:rPr>
          <w:rStyle w:val="FootnoteReference"/>
          <w:color w:val="408BCA"/>
        </w:rPr>
        <w:footnoteReference w:id="3"/>
      </w:r>
    </w:p>
    <w:p w14:paraId="74487D0B" w14:textId="44AEAE52" w:rsidR="0052542C" w:rsidRDefault="005E5A15" w:rsidP="00203125">
      <w:pPr>
        <w:pStyle w:val="Heading2"/>
      </w:pPr>
      <w:bookmarkStart w:id="15" w:name="_Toc109996644"/>
      <w:r>
        <w:t xml:space="preserve">Overview of the HCH </w:t>
      </w:r>
      <w:r w:rsidR="001514F9">
        <w:t>trial</w:t>
      </w:r>
      <w:bookmarkEnd w:id="15"/>
    </w:p>
    <w:p w14:paraId="13912846" w14:textId="19C6058F" w:rsidR="007A1C90" w:rsidRDefault="007A1C90" w:rsidP="007A1C90">
      <w:r>
        <w:t xml:space="preserve">The HCH trial started on 1 October 2017 and ended on 30 June 2021. </w:t>
      </w:r>
      <w:r w:rsidRPr="00D51CB6">
        <w:t xml:space="preserve">HCH </w:t>
      </w:r>
      <w:r w:rsidR="00913BE4">
        <w:t xml:space="preserve">was </w:t>
      </w:r>
      <w:r w:rsidR="007A0EA7">
        <w:t xml:space="preserve">developed to reflect the </w:t>
      </w:r>
      <w:r w:rsidR="00913BE4">
        <w:t>recommendations of the Primary Health</w:t>
      </w:r>
      <w:r w:rsidR="007A0EA7">
        <w:t xml:space="preserve"> Care Advisory Group (PHCAG)</w:t>
      </w:r>
      <w:r w:rsidR="00952219">
        <w:t>.</w:t>
      </w:r>
      <w:r w:rsidR="00EF2EA7" w:rsidRPr="00FF5231">
        <w:rPr>
          <w:rStyle w:val="FootnoteReference"/>
          <w:color w:val="408BCA"/>
        </w:rPr>
        <w:footnoteReference w:id="4"/>
      </w:r>
      <w:r w:rsidR="00913BE4" w:rsidRPr="00FF5231">
        <w:rPr>
          <w:rStyle w:val="FootnoteReference"/>
          <w:color w:val="408BCA"/>
        </w:rPr>
        <w:t xml:space="preserve"> </w:t>
      </w:r>
      <w:r w:rsidR="006D091E">
        <w:t xml:space="preserve">It </w:t>
      </w:r>
      <w:r w:rsidRPr="00D51CB6">
        <w:t>incorporate</w:t>
      </w:r>
      <w:r>
        <w:t>d</w:t>
      </w:r>
      <w:r w:rsidRPr="00D51CB6">
        <w:t xml:space="preserve"> elements of the patient</w:t>
      </w:r>
      <w:r>
        <w:t>-</w:t>
      </w:r>
      <w:r w:rsidRPr="00D51CB6">
        <w:t xml:space="preserve">centred medical home (PCMH), focusing on coordinated and comprehensive primary care that is responsive to patients’ needs and preferences. </w:t>
      </w:r>
      <w:r>
        <w:t>T</w:t>
      </w:r>
      <w:r w:rsidRPr="00D51CB6">
        <w:t xml:space="preserve">he </w:t>
      </w:r>
      <w:r>
        <w:t xml:space="preserve">key </w:t>
      </w:r>
      <w:r w:rsidRPr="00D51CB6">
        <w:t>features</w:t>
      </w:r>
      <w:r>
        <w:t xml:space="preserve"> of the </w:t>
      </w:r>
      <w:r w:rsidR="00D904BE">
        <w:t xml:space="preserve">intervention </w:t>
      </w:r>
      <w:r>
        <w:t>were:</w:t>
      </w:r>
    </w:p>
    <w:p w14:paraId="7F519B82" w14:textId="77777777" w:rsidR="00EE2073" w:rsidRPr="000B0211" w:rsidRDefault="00EE2073" w:rsidP="00EE2073">
      <w:pPr>
        <w:numPr>
          <w:ilvl w:val="0"/>
          <w:numId w:val="3"/>
        </w:numPr>
        <w:ind w:left="714" w:hanging="357"/>
        <w:contextualSpacing/>
      </w:pPr>
      <w:r w:rsidRPr="000B0211">
        <w:t>Voluntary enrolment of patients to a</w:t>
      </w:r>
      <w:r>
        <w:t xml:space="preserve"> general</w:t>
      </w:r>
      <w:r w:rsidRPr="000B0211">
        <w:t xml:space="preserve"> practice – their health care home</w:t>
      </w:r>
      <w:r w:rsidRPr="000B0211">
        <w:rPr>
          <w:szCs w:val="20"/>
        </w:rPr>
        <w:t xml:space="preserve"> </w:t>
      </w:r>
      <w:r w:rsidRPr="000B0211">
        <w:t>– nominating a GP as their preferred clinician.</w:t>
      </w:r>
    </w:p>
    <w:p w14:paraId="78C7BCF0" w14:textId="77777777" w:rsidR="00EE2073" w:rsidRPr="000B0211" w:rsidRDefault="00EE2073" w:rsidP="00EE2073">
      <w:pPr>
        <w:numPr>
          <w:ilvl w:val="0"/>
          <w:numId w:val="3"/>
        </w:numPr>
        <w:ind w:left="714" w:hanging="357"/>
        <w:contextualSpacing/>
      </w:pPr>
      <w:r w:rsidRPr="000B0211">
        <w:t>Tools to identify patients at risk of hospitalisation and stratify them to a complexity tier.</w:t>
      </w:r>
    </w:p>
    <w:p w14:paraId="21A846FD" w14:textId="77777777" w:rsidR="00EE2073" w:rsidRPr="000B0211" w:rsidRDefault="00EE2073" w:rsidP="00EE2073">
      <w:pPr>
        <w:numPr>
          <w:ilvl w:val="0"/>
          <w:numId w:val="3"/>
        </w:numPr>
        <w:ind w:left="714" w:hanging="357"/>
        <w:contextualSpacing/>
      </w:pPr>
      <w:r w:rsidRPr="000B0211">
        <w:t xml:space="preserve">A bundled payment for every enrolled patient based on their tier (for services relating to the patient’s chronic conditions), </w:t>
      </w:r>
      <w:r w:rsidRPr="00D76294">
        <w:t>replacing</w:t>
      </w:r>
      <w:r w:rsidRPr="000B0211">
        <w:t xml:space="preserve"> Medicare fee-for-service.</w:t>
      </w:r>
    </w:p>
    <w:p w14:paraId="4FB81EDE" w14:textId="77777777" w:rsidR="00EE2073" w:rsidRPr="000B0211" w:rsidRDefault="00EE2073" w:rsidP="00EE2073">
      <w:pPr>
        <w:numPr>
          <w:ilvl w:val="0"/>
          <w:numId w:val="3"/>
        </w:numPr>
        <w:ind w:left="714" w:hanging="357"/>
        <w:contextualSpacing/>
      </w:pPr>
      <w:r w:rsidRPr="000B0211">
        <w:t xml:space="preserve">Training resources to support transformation of practices towards </w:t>
      </w:r>
      <w:r>
        <w:t>the</w:t>
      </w:r>
      <w:r w:rsidRPr="000B0211">
        <w:t xml:space="preserve"> HCH model.</w:t>
      </w:r>
    </w:p>
    <w:p w14:paraId="65850503" w14:textId="77777777" w:rsidR="00EE2073" w:rsidRPr="000B0211" w:rsidRDefault="00EE2073" w:rsidP="00EE2073">
      <w:pPr>
        <w:numPr>
          <w:ilvl w:val="0"/>
          <w:numId w:val="3"/>
        </w:numPr>
        <w:ind w:left="714" w:hanging="357"/>
        <w:contextualSpacing/>
        <w:rPr>
          <w:szCs w:val="20"/>
        </w:rPr>
      </w:pPr>
      <w:r>
        <w:rPr>
          <w:szCs w:val="20"/>
        </w:rPr>
        <w:t>Facilitation</w:t>
      </w:r>
      <w:r w:rsidRPr="000B0211">
        <w:rPr>
          <w:szCs w:val="20"/>
        </w:rPr>
        <w:t xml:space="preserve"> for practices to transform, provided by Primary Health Network (PHN) practice facilitators.</w:t>
      </w:r>
    </w:p>
    <w:p w14:paraId="70F4B196" w14:textId="3B1E202D" w:rsidR="007A1C90" w:rsidRPr="000B0211" w:rsidRDefault="00EE2073" w:rsidP="00EE2073">
      <w:pPr>
        <w:numPr>
          <w:ilvl w:val="0"/>
          <w:numId w:val="3"/>
        </w:numPr>
        <w:ind w:left="714" w:hanging="357"/>
      </w:pPr>
      <w:r>
        <w:t>Use of electronic s</w:t>
      </w:r>
      <w:r w:rsidRPr="000B0211">
        <w:t>hared</w:t>
      </w:r>
      <w:r w:rsidR="007A1C90" w:rsidRPr="000B0211">
        <w:t xml:space="preserve"> care planning</w:t>
      </w:r>
      <w:r>
        <w:t xml:space="preserve"> tools</w:t>
      </w:r>
      <w:r w:rsidR="007A1C90">
        <w:t>,</w:t>
      </w:r>
      <w:r w:rsidR="007A1C90" w:rsidRPr="000B0211">
        <w:t xml:space="preserve"> </w:t>
      </w:r>
      <w:r w:rsidR="007A1C90">
        <w:t>giving</w:t>
      </w:r>
      <w:r w:rsidR="007A1C90" w:rsidRPr="000B0211">
        <w:t xml:space="preserve"> authorised health </w:t>
      </w:r>
      <w:r w:rsidR="007A1C90" w:rsidRPr="00D76294">
        <w:t xml:space="preserve">professionals </w:t>
      </w:r>
      <w:r w:rsidR="0019470B" w:rsidRPr="00D76294">
        <w:t xml:space="preserve">and patients </w:t>
      </w:r>
      <w:r w:rsidR="007A1C90" w:rsidRPr="00D76294">
        <w:t>access</w:t>
      </w:r>
      <w:r w:rsidR="007A1C90" w:rsidRPr="000B0211">
        <w:t xml:space="preserve"> to up-to-date electronic medical record</w:t>
      </w:r>
      <w:r w:rsidR="00D76294">
        <w:t>s</w:t>
      </w:r>
      <w:r w:rsidR="007A1C90" w:rsidRPr="000B0211">
        <w:t>.</w:t>
      </w:r>
    </w:p>
    <w:p w14:paraId="201E12FC" w14:textId="1B346899" w:rsidR="007A1C90" w:rsidRPr="000B0211" w:rsidRDefault="007A1C90" w:rsidP="007A1C90">
      <w:pPr>
        <w:rPr>
          <w:szCs w:val="20"/>
        </w:rPr>
      </w:pPr>
      <w:r>
        <w:rPr>
          <w:szCs w:val="20"/>
        </w:rPr>
        <w:lastRenderedPageBreak/>
        <w:t>These features are consistent with</w:t>
      </w:r>
      <w:r w:rsidRPr="000B0211">
        <w:rPr>
          <w:szCs w:val="20"/>
        </w:rPr>
        <w:t xml:space="preserve"> the 10 building blocks of high-performing primary care</w:t>
      </w:r>
      <w:r w:rsidR="004F7CA2" w:rsidRPr="006436FB">
        <w:rPr>
          <w:rStyle w:val="FootnoteReference"/>
          <w:color w:val="408BCA"/>
          <w:szCs w:val="20"/>
        </w:rPr>
        <w:footnoteReference w:id="5"/>
      </w:r>
      <w:r w:rsidRPr="000B0211">
        <w:rPr>
          <w:szCs w:val="20"/>
        </w:rPr>
        <w:t xml:space="preserve"> </w:t>
      </w:r>
      <w:r>
        <w:rPr>
          <w:szCs w:val="20"/>
        </w:rPr>
        <w:t xml:space="preserve">and </w:t>
      </w:r>
      <w:r w:rsidRPr="000B0211">
        <w:rPr>
          <w:szCs w:val="20"/>
        </w:rPr>
        <w:t xml:space="preserve">the quadruple aims: </w:t>
      </w:r>
      <w:r w:rsidRPr="000B0211">
        <w:t>improving patient health, enhancing patient experience, reducing health care costs and improving the work life of providers and staff</w:t>
      </w:r>
      <w:r w:rsidR="006436FB">
        <w:t>,</w:t>
      </w:r>
      <w:r w:rsidR="006436FB" w:rsidRPr="001C3F0B">
        <w:rPr>
          <w:rStyle w:val="FootnoteReference"/>
          <w:color w:val="408BCA"/>
        </w:rPr>
        <w:footnoteReference w:id="6"/>
      </w:r>
      <w:r w:rsidR="006436FB" w:rsidRPr="001C3F0B">
        <w:rPr>
          <w:color w:val="408BCA"/>
          <w:vertAlign w:val="superscript"/>
        </w:rPr>
        <w:t>,</w:t>
      </w:r>
      <w:r w:rsidR="006436FB" w:rsidRPr="001C3F0B">
        <w:rPr>
          <w:rStyle w:val="FootnoteReference"/>
          <w:color w:val="408BCA"/>
        </w:rPr>
        <w:footnoteReference w:id="7"/>
      </w:r>
      <w:r w:rsidR="006436FB" w:rsidRPr="001C3F0B">
        <w:rPr>
          <w:color w:val="408BCA"/>
          <w:vertAlign w:val="superscript"/>
        </w:rPr>
        <w:t xml:space="preserve"> </w:t>
      </w:r>
      <w:r>
        <w:t>which underpin the PCMH.</w:t>
      </w:r>
    </w:p>
    <w:p w14:paraId="3CCB05AB" w14:textId="2469D102" w:rsidR="007A1C90" w:rsidRPr="000B0211" w:rsidRDefault="007A1C90" w:rsidP="007A1C90">
      <w:pPr>
        <w:rPr>
          <w:szCs w:val="20"/>
        </w:rPr>
      </w:pPr>
      <w:r>
        <w:rPr>
          <w:szCs w:val="20"/>
        </w:rPr>
        <w:t xml:space="preserve">Participating practices implemented different </w:t>
      </w:r>
      <w:r w:rsidR="00DA5B82" w:rsidRPr="00DA5B82">
        <w:rPr>
          <w:szCs w:val="20"/>
        </w:rPr>
        <w:t>models, but common</w:t>
      </w:r>
      <w:r>
        <w:rPr>
          <w:szCs w:val="20"/>
        </w:rPr>
        <w:t xml:space="preserve"> to all models was the intention to</w:t>
      </w:r>
      <w:r w:rsidRPr="000B0211">
        <w:rPr>
          <w:szCs w:val="20"/>
        </w:rPr>
        <w:t>:</w:t>
      </w:r>
      <w:r w:rsidR="000A387A" w:rsidRPr="001F4811">
        <w:rPr>
          <w:rStyle w:val="FootnoteReference"/>
          <w:color w:val="408BCA"/>
          <w:szCs w:val="20"/>
        </w:rPr>
        <w:footnoteReference w:id="8"/>
      </w:r>
      <w:r w:rsidR="000A387A" w:rsidRPr="001F4811">
        <w:rPr>
          <w:color w:val="408BCA"/>
          <w:szCs w:val="20"/>
        </w:rPr>
        <w:t xml:space="preserve"> </w:t>
      </w:r>
      <w:r w:rsidR="000A387A" w:rsidRPr="001F4811">
        <w:rPr>
          <w:color w:val="408BCA"/>
          <w:szCs w:val="20"/>
          <w:vertAlign w:val="superscript"/>
        </w:rPr>
        <w:t>(p. 4)</w:t>
      </w:r>
    </w:p>
    <w:p w14:paraId="53A54CD5" w14:textId="77777777" w:rsidR="007A1C90" w:rsidRPr="000B0211" w:rsidRDefault="007A1C90" w:rsidP="004D48A4">
      <w:pPr>
        <w:numPr>
          <w:ilvl w:val="0"/>
          <w:numId w:val="4"/>
        </w:numPr>
        <w:ind w:left="714" w:hanging="357"/>
      </w:pPr>
      <w:r w:rsidRPr="7AF9DB08">
        <w:rPr>
          <w:b/>
        </w:rPr>
        <w:t xml:space="preserve">Involve patients, families and their </w:t>
      </w:r>
      <w:proofErr w:type="spellStart"/>
      <w:r w:rsidRPr="7AF9DB08">
        <w:rPr>
          <w:b/>
        </w:rPr>
        <w:t>carers</w:t>
      </w:r>
      <w:proofErr w:type="spellEnd"/>
      <w:r w:rsidRPr="7AF9DB08">
        <w:rPr>
          <w:b/>
        </w:rPr>
        <w:t xml:space="preserve"> as partners</w:t>
      </w:r>
      <w:r>
        <w:t xml:space="preserve"> in their care. Patients are activated to maximise their knowledge, skills and confidence to manage their health, aided by technology and with the support of a health care team.</w:t>
      </w:r>
    </w:p>
    <w:p w14:paraId="07816DCF" w14:textId="77777777" w:rsidR="007A1C90" w:rsidRPr="000B0211" w:rsidRDefault="007A1C90" w:rsidP="004D48A4">
      <w:pPr>
        <w:numPr>
          <w:ilvl w:val="0"/>
          <w:numId w:val="4"/>
        </w:numPr>
        <w:ind w:left="714" w:hanging="357"/>
        <w:rPr>
          <w:szCs w:val="20"/>
        </w:rPr>
      </w:pPr>
      <w:r w:rsidRPr="000B0211">
        <w:rPr>
          <w:szCs w:val="20"/>
        </w:rPr>
        <w:t>Provide</w:t>
      </w:r>
      <w:r w:rsidRPr="000B0211">
        <w:rPr>
          <w:b/>
          <w:szCs w:val="20"/>
        </w:rPr>
        <w:t xml:space="preserve"> enhanced access</w:t>
      </w:r>
      <w:r w:rsidRPr="000B0211">
        <w:rPr>
          <w:szCs w:val="20"/>
        </w:rPr>
        <w:t xml:space="preserve"> to care in-hours</w:t>
      </w:r>
      <w:r>
        <w:rPr>
          <w:szCs w:val="20"/>
        </w:rPr>
        <w:t xml:space="preserve"> </w:t>
      </w:r>
      <w:r w:rsidRPr="00B57B9B">
        <w:rPr>
          <w:szCs w:val="20"/>
        </w:rPr>
        <w:t>(including to practice nurses and other staff)</w:t>
      </w:r>
      <w:r w:rsidRPr="000B0211">
        <w:rPr>
          <w:szCs w:val="20"/>
        </w:rPr>
        <w:t>, which may include support by telephone, email or videoconferencing, and effective access to after-hours advice or care.</w:t>
      </w:r>
    </w:p>
    <w:p w14:paraId="0B5E5D4B" w14:textId="77777777" w:rsidR="007A1C90" w:rsidRPr="000B0211" w:rsidRDefault="007A1C90" w:rsidP="004D48A4">
      <w:pPr>
        <w:numPr>
          <w:ilvl w:val="0"/>
          <w:numId w:val="4"/>
        </w:numPr>
        <w:ind w:left="714" w:hanging="357"/>
        <w:rPr>
          <w:szCs w:val="20"/>
        </w:rPr>
      </w:pPr>
      <w:r w:rsidRPr="000B0211">
        <w:rPr>
          <w:szCs w:val="20"/>
        </w:rPr>
        <w:t xml:space="preserve">Provide </w:t>
      </w:r>
      <w:r w:rsidRPr="000B0211">
        <w:rPr>
          <w:b/>
          <w:szCs w:val="20"/>
        </w:rPr>
        <w:t>flexible service delivery and team-based care</w:t>
      </w:r>
      <w:r w:rsidRPr="000B0211">
        <w:rPr>
          <w:szCs w:val="20"/>
        </w:rPr>
        <w:t xml:space="preserve"> that supports integrated patient care across the continuum of the health system through shared information and care planning. </w:t>
      </w:r>
    </w:p>
    <w:p w14:paraId="3E2DB779" w14:textId="77777777" w:rsidR="007A1C90" w:rsidRPr="000B0211" w:rsidRDefault="007A1C90" w:rsidP="004D48A4">
      <w:pPr>
        <w:numPr>
          <w:ilvl w:val="0"/>
          <w:numId w:val="4"/>
        </w:numPr>
        <w:ind w:left="714" w:hanging="357"/>
        <w:rPr>
          <w:szCs w:val="20"/>
        </w:rPr>
      </w:pPr>
      <w:r>
        <w:rPr>
          <w:szCs w:val="20"/>
        </w:rPr>
        <w:t>Deliver</w:t>
      </w:r>
      <w:r w:rsidRPr="000B0211">
        <w:rPr>
          <w:szCs w:val="20"/>
        </w:rPr>
        <w:t xml:space="preserve"> </w:t>
      </w:r>
      <w:r w:rsidRPr="000B0211">
        <w:rPr>
          <w:b/>
          <w:szCs w:val="20"/>
        </w:rPr>
        <w:t>high</w:t>
      </w:r>
      <w:r>
        <w:rPr>
          <w:b/>
          <w:szCs w:val="20"/>
        </w:rPr>
        <w:t>-</w:t>
      </w:r>
      <w:r w:rsidRPr="000B0211">
        <w:rPr>
          <w:b/>
          <w:szCs w:val="20"/>
        </w:rPr>
        <w:t>quality and safe</w:t>
      </w:r>
      <w:r>
        <w:rPr>
          <w:bCs/>
          <w:szCs w:val="20"/>
        </w:rPr>
        <w:t xml:space="preserve"> care</w:t>
      </w:r>
      <w:r w:rsidRPr="000B0211">
        <w:rPr>
          <w:szCs w:val="20"/>
        </w:rPr>
        <w:t xml:space="preserve">. Care planning and clinical decisions are guided by evidence-based patient health care pathways, appropriate to the patient’s needs. </w:t>
      </w:r>
    </w:p>
    <w:p w14:paraId="7D0EAB8E" w14:textId="764772A7" w:rsidR="00362313" w:rsidRPr="000F3B65" w:rsidRDefault="0067000F" w:rsidP="00362313">
      <w:pPr>
        <w:rPr>
          <w:szCs w:val="20"/>
        </w:rPr>
      </w:pPr>
      <w:r w:rsidRPr="000F3B65">
        <w:rPr>
          <w:szCs w:val="20"/>
        </w:rPr>
        <w:t>Practices from 10 PHNs across Australia participated in the trial.</w:t>
      </w:r>
      <w:r>
        <w:rPr>
          <w:szCs w:val="20"/>
        </w:rPr>
        <w:t xml:space="preserve"> </w:t>
      </w:r>
      <w:r w:rsidRPr="00F40815">
        <w:rPr>
          <w:szCs w:val="20"/>
        </w:rPr>
        <w:t xml:space="preserve">The </w:t>
      </w:r>
      <w:r>
        <w:rPr>
          <w:szCs w:val="20"/>
        </w:rPr>
        <w:t>10 PHNs</w:t>
      </w:r>
      <w:r w:rsidRPr="00F40815">
        <w:rPr>
          <w:szCs w:val="20"/>
        </w:rPr>
        <w:t xml:space="preserve"> were </w:t>
      </w:r>
      <w:r>
        <w:rPr>
          <w:szCs w:val="20"/>
        </w:rPr>
        <w:t>selected</w:t>
      </w:r>
      <w:r w:rsidRPr="00F40815">
        <w:rPr>
          <w:szCs w:val="20"/>
        </w:rPr>
        <w:t xml:space="preserve"> to maximise geographic and socio-economic diversity amongst the populations represented and leverage chronic disease programs operating in the regions.</w:t>
      </w:r>
      <w:r>
        <w:rPr>
          <w:szCs w:val="20"/>
        </w:rPr>
        <w:t xml:space="preserve"> </w:t>
      </w:r>
      <w:r w:rsidRPr="000F3B65">
        <w:rPr>
          <w:szCs w:val="20"/>
        </w:rPr>
        <w:t>Practices</w:t>
      </w:r>
      <w:r>
        <w:rPr>
          <w:szCs w:val="20"/>
        </w:rPr>
        <w:t xml:space="preserve"> within the PHNs</w:t>
      </w:r>
      <w:r w:rsidRPr="000F3B65">
        <w:rPr>
          <w:szCs w:val="20"/>
        </w:rPr>
        <w:t xml:space="preserve"> were selected following an expression of interest issued in late 2016. One of the </w:t>
      </w:r>
      <w:r w:rsidR="007C2F9A">
        <w:rPr>
          <w:szCs w:val="20"/>
        </w:rPr>
        <w:t xml:space="preserve">Department of Health’s </w:t>
      </w:r>
      <w:r w:rsidRPr="000F3B65">
        <w:rPr>
          <w:szCs w:val="20"/>
        </w:rPr>
        <w:t>considerations in selecting practices was to ensure a mix of locations, practice size, ownership status and staffing</w:t>
      </w:r>
      <w:r>
        <w:rPr>
          <w:szCs w:val="20"/>
        </w:rPr>
        <w:t xml:space="preserve"> levels</w:t>
      </w:r>
      <w:r w:rsidRPr="000F3B65">
        <w:rPr>
          <w:szCs w:val="20"/>
        </w:rPr>
        <w:t>. This was so the model could be tested in different contexts</w:t>
      </w:r>
      <w:r w:rsidR="00362313" w:rsidRPr="000F3B65">
        <w:rPr>
          <w:szCs w:val="20"/>
        </w:rPr>
        <w:t>.</w:t>
      </w:r>
    </w:p>
    <w:p w14:paraId="36D86032" w14:textId="7921BE75" w:rsidR="00362313" w:rsidRPr="000F3B65" w:rsidRDefault="0093301F" w:rsidP="00362313">
      <w:pPr>
        <w:rPr>
          <w:szCs w:val="20"/>
        </w:rPr>
      </w:pPr>
      <w:r w:rsidRPr="000F3B65">
        <w:rPr>
          <w:szCs w:val="20"/>
        </w:rPr>
        <w:t xml:space="preserve">The Department </w:t>
      </w:r>
      <w:r>
        <w:rPr>
          <w:szCs w:val="20"/>
        </w:rPr>
        <w:t>initially</w:t>
      </w:r>
      <w:r w:rsidRPr="000F3B65">
        <w:rPr>
          <w:szCs w:val="20"/>
        </w:rPr>
        <w:t xml:space="preserve"> recruit</w:t>
      </w:r>
      <w:r>
        <w:rPr>
          <w:szCs w:val="20"/>
        </w:rPr>
        <w:t>ed</w:t>
      </w:r>
      <w:r w:rsidRPr="000F3B65">
        <w:rPr>
          <w:szCs w:val="20"/>
        </w:rPr>
        <w:t xml:space="preserve"> 200 practices and announced the successful practices in mid-2017. </w:t>
      </w:r>
      <w:r w:rsidR="00107D3E" w:rsidRPr="000F3B65">
        <w:rPr>
          <w:szCs w:val="20"/>
        </w:rPr>
        <w:t>Not all practices</w:t>
      </w:r>
      <w:r w:rsidR="00107D3E">
        <w:rPr>
          <w:szCs w:val="20"/>
        </w:rPr>
        <w:t xml:space="preserve"> that were selected proceeded with the trial. </w:t>
      </w:r>
      <w:r w:rsidR="009449C8">
        <w:rPr>
          <w:szCs w:val="20"/>
        </w:rPr>
        <w:t>Some also</w:t>
      </w:r>
      <w:r w:rsidR="00107D3E">
        <w:rPr>
          <w:szCs w:val="20"/>
        </w:rPr>
        <w:t xml:space="preserve"> withdrew soon after</w:t>
      </w:r>
      <w:r w:rsidR="009449C8">
        <w:rPr>
          <w:szCs w:val="20"/>
        </w:rPr>
        <w:t xml:space="preserve"> joining the trial.</w:t>
      </w:r>
      <w:r>
        <w:rPr>
          <w:szCs w:val="20"/>
        </w:rPr>
        <w:t xml:space="preserve"> P</w:t>
      </w:r>
      <w:r w:rsidRPr="000F3B65">
        <w:rPr>
          <w:szCs w:val="20"/>
        </w:rPr>
        <w:t xml:space="preserve">ractices continued to be recruited </w:t>
      </w:r>
      <w:r w:rsidR="001E6EF3">
        <w:rPr>
          <w:szCs w:val="20"/>
        </w:rPr>
        <w:t>until</w:t>
      </w:r>
      <w:r w:rsidR="001E6EF3" w:rsidRPr="00150D9D">
        <w:rPr>
          <w:szCs w:val="20"/>
        </w:rPr>
        <w:t xml:space="preserve"> mid-2018</w:t>
      </w:r>
      <w:r>
        <w:rPr>
          <w:szCs w:val="20"/>
        </w:rPr>
        <w:t xml:space="preserve"> to replenish practices that didn’t proceed or </w:t>
      </w:r>
      <w:r w:rsidR="001E6EF3">
        <w:rPr>
          <w:szCs w:val="20"/>
        </w:rPr>
        <w:t xml:space="preserve">that </w:t>
      </w:r>
      <w:r>
        <w:rPr>
          <w:szCs w:val="20"/>
        </w:rPr>
        <w:t xml:space="preserve">withdrew early. </w:t>
      </w:r>
      <w:r w:rsidRPr="000F3B65">
        <w:rPr>
          <w:szCs w:val="20"/>
        </w:rPr>
        <w:t xml:space="preserve">Participating practices received a $10,000 grant to </w:t>
      </w:r>
      <w:r w:rsidR="001E6EF3">
        <w:rPr>
          <w:szCs w:val="20"/>
        </w:rPr>
        <w:t>help</w:t>
      </w:r>
      <w:r w:rsidRPr="000F3B65">
        <w:rPr>
          <w:szCs w:val="20"/>
        </w:rPr>
        <w:t xml:space="preserve"> with implementing the model</w:t>
      </w:r>
      <w:r w:rsidR="00362313" w:rsidRPr="000F3B65">
        <w:rPr>
          <w:szCs w:val="20"/>
        </w:rPr>
        <w:t>.</w:t>
      </w:r>
    </w:p>
    <w:p w14:paraId="25EF3083" w14:textId="62EB3F62" w:rsidR="00362313" w:rsidRPr="000F3B65" w:rsidRDefault="00D04363" w:rsidP="00362313">
      <w:pPr>
        <w:rPr>
          <w:szCs w:val="20"/>
        </w:rPr>
      </w:pPr>
      <w:r w:rsidRPr="000F3B65">
        <w:rPr>
          <w:szCs w:val="20"/>
        </w:rPr>
        <w:t xml:space="preserve">The trial was originally intended to run between </w:t>
      </w:r>
      <w:r>
        <w:rPr>
          <w:szCs w:val="20"/>
        </w:rPr>
        <w:t>October</w:t>
      </w:r>
      <w:r w:rsidRPr="000F3B65">
        <w:rPr>
          <w:szCs w:val="20"/>
        </w:rPr>
        <w:t xml:space="preserve"> 2017 and June 2019, with patients enrolled up to December 2018. An extension was announced </w:t>
      </w:r>
      <w:r>
        <w:rPr>
          <w:szCs w:val="20"/>
        </w:rPr>
        <w:t>in the second half of</w:t>
      </w:r>
      <w:r w:rsidRPr="000F3B65">
        <w:rPr>
          <w:szCs w:val="20"/>
        </w:rPr>
        <w:t xml:space="preserve"> 2018</w:t>
      </w:r>
      <w:r w:rsidR="00490F3C">
        <w:rPr>
          <w:szCs w:val="20"/>
        </w:rPr>
        <w:t>,</w:t>
      </w:r>
      <w:r w:rsidRPr="000F3B65">
        <w:rPr>
          <w:szCs w:val="20"/>
        </w:rPr>
        <w:t xml:space="preserve"> </w:t>
      </w:r>
      <w:r>
        <w:rPr>
          <w:szCs w:val="20"/>
        </w:rPr>
        <w:t>with</w:t>
      </w:r>
      <w:r w:rsidRPr="000F3B65">
        <w:rPr>
          <w:szCs w:val="20"/>
        </w:rPr>
        <w:t xml:space="preserve"> patient enrolment </w:t>
      </w:r>
      <w:r>
        <w:rPr>
          <w:szCs w:val="20"/>
        </w:rPr>
        <w:t>extended</w:t>
      </w:r>
      <w:r w:rsidRPr="000F3B65">
        <w:rPr>
          <w:szCs w:val="20"/>
        </w:rPr>
        <w:t xml:space="preserve"> to June 2019 and the trial to June 2021</w:t>
      </w:r>
      <w:r w:rsidR="00362313" w:rsidRPr="000F3B65">
        <w:rPr>
          <w:szCs w:val="20"/>
        </w:rPr>
        <w:t>.</w:t>
      </w:r>
    </w:p>
    <w:p w14:paraId="753DE597" w14:textId="04C95B17" w:rsidR="00362313" w:rsidRPr="000F3B65" w:rsidRDefault="005B0259" w:rsidP="00362313">
      <w:pPr>
        <w:rPr>
          <w:szCs w:val="20"/>
        </w:rPr>
      </w:pPr>
      <w:r w:rsidRPr="000F3B65">
        <w:rPr>
          <w:szCs w:val="20"/>
        </w:rPr>
        <w:lastRenderedPageBreak/>
        <w:t xml:space="preserve">A risk stratification tool (RST) was commissioned by the Department and practices </w:t>
      </w:r>
      <w:r w:rsidR="00D424F8">
        <w:rPr>
          <w:szCs w:val="20"/>
        </w:rPr>
        <w:t xml:space="preserve">had to use this </w:t>
      </w:r>
      <w:r w:rsidRPr="000F3B65">
        <w:rPr>
          <w:szCs w:val="20"/>
        </w:rPr>
        <w:t xml:space="preserve">to identify patients suitable for </w:t>
      </w:r>
      <w:r w:rsidR="00D424F8">
        <w:rPr>
          <w:szCs w:val="20"/>
        </w:rPr>
        <w:t>enrolling</w:t>
      </w:r>
      <w:r w:rsidRPr="000F3B65">
        <w:rPr>
          <w:szCs w:val="20"/>
        </w:rPr>
        <w:t xml:space="preserve"> in </w:t>
      </w:r>
      <w:r>
        <w:rPr>
          <w:szCs w:val="20"/>
        </w:rPr>
        <w:t>the program</w:t>
      </w:r>
      <w:r w:rsidRPr="000F3B65">
        <w:rPr>
          <w:szCs w:val="20"/>
        </w:rPr>
        <w:t xml:space="preserve"> and to allocate </w:t>
      </w:r>
      <w:r w:rsidR="00D424F8">
        <w:rPr>
          <w:szCs w:val="20"/>
        </w:rPr>
        <w:t>them</w:t>
      </w:r>
      <w:r w:rsidRPr="000F3B65">
        <w:rPr>
          <w:szCs w:val="20"/>
        </w:rPr>
        <w:t xml:space="preserve"> to a tier for payment purposes</w:t>
      </w:r>
      <w:r w:rsidR="00362313" w:rsidRPr="000F3B65">
        <w:rPr>
          <w:szCs w:val="20"/>
        </w:rPr>
        <w:t xml:space="preserve">. </w:t>
      </w:r>
    </w:p>
    <w:p w14:paraId="629DC757" w14:textId="47685A56" w:rsidR="00362313" w:rsidRPr="000F3B65" w:rsidRDefault="00C172E1" w:rsidP="00362313">
      <w:pPr>
        <w:rPr>
          <w:szCs w:val="20"/>
        </w:rPr>
      </w:pPr>
      <w:bookmarkStart w:id="16" w:name="_Hlk90477679"/>
      <w:r w:rsidRPr="000F3B65">
        <w:rPr>
          <w:szCs w:val="20"/>
        </w:rPr>
        <w:t>Practices receive</w:t>
      </w:r>
      <w:r>
        <w:rPr>
          <w:szCs w:val="20"/>
        </w:rPr>
        <w:t>d</w:t>
      </w:r>
      <w:r w:rsidRPr="000F3B65">
        <w:rPr>
          <w:szCs w:val="20"/>
        </w:rPr>
        <w:t xml:space="preserve"> a bundled payment for each patient, with the amount determined by the patient’s tier</w:t>
      </w:r>
      <w:r>
        <w:rPr>
          <w:szCs w:val="20"/>
        </w:rPr>
        <w:t xml:space="preserve">. There were three tiers, where </w:t>
      </w:r>
      <w:r w:rsidRPr="000F3B65">
        <w:rPr>
          <w:szCs w:val="20"/>
        </w:rPr>
        <w:t xml:space="preserve">tier </w:t>
      </w:r>
      <w:r w:rsidR="006B6494">
        <w:rPr>
          <w:szCs w:val="20"/>
        </w:rPr>
        <w:t>3</w:t>
      </w:r>
      <w:r w:rsidRPr="000F3B65">
        <w:rPr>
          <w:szCs w:val="20"/>
        </w:rPr>
        <w:t xml:space="preserve"> was the </w:t>
      </w:r>
      <w:r w:rsidR="006B6494">
        <w:rPr>
          <w:szCs w:val="20"/>
        </w:rPr>
        <w:t>most</w:t>
      </w:r>
      <w:r w:rsidRPr="000F3B65">
        <w:rPr>
          <w:szCs w:val="20"/>
        </w:rPr>
        <w:t xml:space="preserve"> complex and had the </w:t>
      </w:r>
      <w:r w:rsidR="006B6494">
        <w:rPr>
          <w:szCs w:val="20"/>
        </w:rPr>
        <w:t>highest</w:t>
      </w:r>
      <w:r w:rsidRPr="000F3B65">
        <w:rPr>
          <w:szCs w:val="20"/>
        </w:rPr>
        <w:t xml:space="preserve"> payment. </w:t>
      </w:r>
      <w:bookmarkEnd w:id="16"/>
      <w:r w:rsidRPr="000F3B65">
        <w:rPr>
          <w:szCs w:val="20"/>
        </w:rPr>
        <w:t xml:space="preserve">The bundled payment was intended to cover the costs of care delivered by the practice related to </w:t>
      </w:r>
      <w:r>
        <w:rPr>
          <w:szCs w:val="20"/>
        </w:rPr>
        <w:t xml:space="preserve">a </w:t>
      </w:r>
      <w:r w:rsidRPr="000F3B65">
        <w:rPr>
          <w:szCs w:val="20"/>
        </w:rPr>
        <w:t>patient</w:t>
      </w:r>
      <w:r>
        <w:rPr>
          <w:szCs w:val="20"/>
        </w:rPr>
        <w:t>’</w:t>
      </w:r>
      <w:r w:rsidRPr="000F3B65">
        <w:rPr>
          <w:szCs w:val="20"/>
        </w:rPr>
        <w:t xml:space="preserve">s chronic health conditions. Practices could still bill Medicare for other (acute) conditions </w:t>
      </w:r>
      <w:r w:rsidR="00B72078">
        <w:rPr>
          <w:szCs w:val="20"/>
        </w:rPr>
        <w:t>and certain other items</w:t>
      </w:r>
      <w:r w:rsidR="00362313" w:rsidRPr="000F3B65">
        <w:rPr>
          <w:szCs w:val="20"/>
        </w:rPr>
        <w:t>.</w:t>
      </w:r>
    </w:p>
    <w:p w14:paraId="59F54D9D" w14:textId="13E6C1C7" w:rsidR="00362313" w:rsidRDefault="00362313" w:rsidP="00362313">
      <w:pPr>
        <w:rPr>
          <w:szCs w:val="20"/>
        </w:rPr>
      </w:pPr>
      <w:r w:rsidRPr="000F3B65">
        <w:rPr>
          <w:szCs w:val="20"/>
        </w:rPr>
        <w:t xml:space="preserve">Practices </w:t>
      </w:r>
      <w:r w:rsidR="00A8219A">
        <w:rPr>
          <w:szCs w:val="20"/>
        </w:rPr>
        <w:t>had</w:t>
      </w:r>
      <w:r w:rsidRPr="000F3B65">
        <w:rPr>
          <w:szCs w:val="20"/>
        </w:rPr>
        <w:t xml:space="preserve"> to develop a care plan </w:t>
      </w:r>
      <w:r>
        <w:rPr>
          <w:szCs w:val="20"/>
        </w:rPr>
        <w:t xml:space="preserve">jointly with </w:t>
      </w:r>
      <w:r w:rsidR="0072041C">
        <w:rPr>
          <w:szCs w:val="20"/>
        </w:rPr>
        <w:t>each</w:t>
      </w:r>
      <w:r>
        <w:rPr>
          <w:szCs w:val="20"/>
        </w:rPr>
        <w:t xml:space="preserve"> enrolled</w:t>
      </w:r>
      <w:r w:rsidRPr="000F3B65">
        <w:rPr>
          <w:szCs w:val="20"/>
        </w:rPr>
        <w:t xml:space="preserve"> patient, and update this regularly. </w:t>
      </w:r>
      <w:r w:rsidR="009E566D">
        <w:rPr>
          <w:szCs w:val="20"/>
        </w:rPr>
        <w:t xml:space="preserve">They also had to install and use </w:t>
      </w:r>
      <w:r w:rsidR="009E566D" w:rsidRPr="000F3B65">
        <w:rPr>
          <w:szCs w:val="20"/>
        </w:rPr>
        <w:t xml:space="preserve">shared care planning software </w:t>
      </w:r>
      <w:r w:rsidR="009E566D">
        <w:rPr>
          <w:szCs w:val="20"/>
        </w:rPr>
        <w:t xml:space="preserve">to develop </w:t>
      </w:r>
      <w:r w:rsidR="00163149" w:rsidRPr="00163149">
        <w:rPr>
          <w:szCs w:val="20"/>
        </w:rPr>
        <w:t xml:space="preserve">the care plan </w:t>
      </w:r>
      <w:r w:rsidR="009E566D">
        <w:rPr>
          <w:szCs w:val="20"/>
        </w:rPr>
        <w:t xml:space="preserve">and </w:t>
      </w:r>
      <w:r w:rsidR="009E566D" w:rsidRPr="000F3B65">
        <w:rPr>
          <w:szCs w:val="20"/>
        </w:rPr>
        <w:t xml:space="preserve">share </w:t>
      </w:r>
      <w:r w:rsidR="00163149" w:rsidRPr="00163149">
        <w:rPr>
          <w:szCs w:val="20"/>
        </w:rPr>
        <w:t>it</w:t>
      </w:r>
      <w:r w:rsidR="009E566D" w:rsidRPr="000F3B65">
        <w:rPr>
          <w:szCs w:val="20"/>
        </w:rPr>
        <w:t xml:space="preserve"> with</w:t>
      </w:r>
      <w:r w:rsidR="009E566D">
        <w:rPr>
          <w:szCs w:val="20"/>
        </w:rPr>
        <w:t xml:space="preserve"> the patient’s other</w:t>
      </w:r>
      <w:r w:rsidR="009E566D" w:rsidRPr="000F3B65">
        <w:rPr>
          <w:szCs w:val="20"/>
        </w:rPr>
        <w:t xml:space="preserve"> health </w:t>
      </w:r>
      <w:r w:rsidR="009E566D">
        <w:rPr>
          <w:szCs w:val="20"/>
        </w:rPr>
        <w:t xml:space="preserve">care </w:t>
      </w:r>
      <w:r w:rsidR="009E566D" w:rsidRPr="000F3B65">
        <w:rPr>
          <w:szCs w:val="20"/>
        </w:rPr>
        <w:t>providers</w:t>
      </w:r>
      <w:r w:rsidR="009E566D">
        <w:rPr>
          <w:szCs w:val="20"/>
        </w:rPr>
        <w:t xml:space="preserve"> outside of the practice as well as with the </w:t>
      </w:r>
      <w:r w:rsidR="009E566D" w:rsidRPr="000F3B65">
        <w:rPr>
          <w:szCs w:val="20"/>
        </w:rPr>
        <w:t xml:space="preserve">patient </w:t>
      </w:r>
      <w:r w:rsidR="009E566D">
        <w:rPr>
          <w:szCs w:val="20"/>
        </w:rPr>
        <w:t>(</w:t>
      </w:r>
      <w:r w:rsidR="009E566D" w:rsidRPr="000F3B65">
        <w:rPr>
          <w:szCs w:val="20"/>
        </w:rPr>
        <w:t xml:space="preserve">and </w:t>
      </w:r>
      <w:r w:rsidR="007A45A8">
        <w:rPr>
          <w:szCs w:val="20"/>
        </w:rPr>
        <w:t xml:space="preserve">where relevant, </w:t>
      </w:r>
      <w:r w:rsidR="009E566D" w:rsidRPr="000F3B65">
        <w:rPr>
          <w:szCs w:val="20"/>
        </w:rPr>
        <w:t>their</w:t>
      </w:r>
      <w:r w:rsidR="009E566D">
        <w:rPr>
          <w:szCs w:val="20"/>
        </w:rPr>
        <w:t xml:space="preserve"> carer/ family)</w:t>
      </w:r>
      <w:r w:rsidRPr="000F3B65">
        <w:rPr>
          <w:szCs w:val="20"/>
        </w:rPr>
        <w:t>.</w:t>
      </w:r>
    </w:p>
    <w:p w14:paraId="564D2659" w14:textId="5D8F7EB7" w:rsidR="00FA3F06" w:rsidRDefault="007A1C90" w:rsidP="00373608">
      <w:r w:rsidRPr="005F2FC5">
        <w:t xml:space="preserve">To support </w:t>
      </w:r>
      <w:r w:rsidR="00373608">
        <w:t xml:space="preserve">the </w:t>
      </w:r>
      <w:r w:rsidRPr="005F2FC5">
        <w:t xml:space="preserve">implementation, the Department commissioned online training modules and </w:t>
      </w:r>
      <w:r w:rsidR="00373608">
        <w:t>supporting</w:t>
      </w:r>
      <w:r w:rsidRPr="005F2FC5">
        <w:t xml:space="preserve"> materials</w:t>
      </w:r>
      <w:r w:rsidR="00997124">
        <w:t xml:space="preserve"> to be developed</w:t>
      </w:r>
      <w:r w:rsidRPr="005F2FC5">
        <w:t xml:space="preserve">. The Department also provided funding to the </w:t>
      </w:r>
      <w:r>
        <w:t>10</w:t>
      </w:r>
      <w:r w:rsidRPr="005F2FC5">
        <w:t xml:space="preserve"> participating PHNs to support practices and facilitate the implementation of HCH. PHN</w:t>
      </w:r>
      <w:r w:rsidR="009F27A9">
        <w:t xml:space="preserve"> practice</w:t>
      </w:r>
      <w:r w:rsidRPr="005F2FC5">
        <w:t xml:space="preserve"> facilitators received training and ongoing support </w:t>
      </w:r>
      <w:r>
        <w:t>through regular webinars and coaching by a national facilitator</w:t>
      </w:r>
      <w:r w:rsidR="00373608">
        <w:t>.</w:t>
      </w:r>
    </w:p>
    <w:p w14:paraId="3CA1F2B3" w14:textId="4B1E09FF" w:rsidR="00C96829" w:rsidRDefault="00C96829" w:rsidP="00373608">
      <w:r w:rsidRPr="00C96829">
        <w:t xml:space="preserve">In August 2018, under the Sixth Community Pharmacy Agreement (6CPA), the Australian Government funded the Community Pharmacy in Health Care Homes Trial </w:t>
      </w:r>
      <w:r w:rsidR="009E4F86">
        <w:t>(the community pharmacy trial)</w:t>
      </w:r>
      <w:r w:rsidR="00FE76EA">
        <w:t>,</w:t>
      </w:r>
      <w:r w:rsidRPr="00C96829">
        <w:t xml:space="preserve"> which supported patients participating in the HCH trial by offering them a range of patient-centred, coordinated medication management services from community pharmacists, including</w:t>
      </w:r>
      <w:r w:rsidR="00FE76EA">
        <w:t>:</w:t>
      </w:r>
    </w:p>
    <w:p w14:paraId="7A172E27" w14:textId="5A90BD04" w:rsidR="004E5FAD" w:rsidRPr="004E5FAD" w:rsidRDefault="004E5FAD" w:rsidP="004D48A4">
      <w:pPr>
        <w:pStyle w:val="ListParagraph"/>
        <w:numPr>
          <w:ilvl w:val="0"/>
          <w:numId w:val="5"/>
        </w:numPr>
      </w:pPr>
      <w:r w:rsidRPr="004E5FAD">
        <w:t>Medication reconciliation and assessing the patient’s medicines regimen.</w:t>
      </w:r>
    </w:p>
    <w:p w14:paraId="093420B2" w14:textId="77777777" w:rsidR="001808E7" w:rsidRPr="004E5FAD" w:rsidRDefault="001808E7" w:rsidP="001808E7">
      <w:pPr>
        <w:pStyle w:val="ListParagraph"/>
        <w:numPr>
          <w:ilvl w:val="0"/>
          <w:numId w:val="5"/>
        </w:numPr>
      </w:pPr>
      <w:r w:rsidRPr="004E5FAD">
        <w:t>Identifying potential medication-related issues and agreeing medication management goals.</w:t>
      </w:r>
    </w:p>
    <w:p w14:paraId="2FD6F2F4" w14:textId="77777777" w:rsidR="001808E7" w:rsidRPr="004E5FAD" w:rsidRDefault="001808E7" w:rsidP="001808E7">
      <w:pPr>
        <w:pStyle w:val="ListParagraph"/>
        <w:numPr>
          <w:ilvl w:val="0"/>
          <w:numId w:val="5"/>
        </w:numPr>
      </w:pPr>
      <w:r w:rsidRPr="004E5FAD">
        <w:t>Developing a medication management plan (MMP) with the patient and their HCH.</w:t>
      </w:r>
    </w:p>
    <w:p w14:paraId="64334D82" w14:textId="77777777" w:rsidR="001808E7" w:rsidRPr="004E5FAD" w:rsidRDefault="001808E7" w:rsidP="001808E7">
      <w:pPr>
        <w:pStyle w:val="ListParagraph"/>
        <w:numPr>
          <w:ilvl w:val="0"/>
          <w:numId w:val="5"/>
        </w:numPr>
      </w:pPr>
      <w:r w:rsidRPr="004E5FAD">
        <w:t>Providing regular follow-up reviews with the patient</w:t>
      </w:r>
      <w:r>
        <w:t>.</w:t>
      </w:r>
    </w:p>
    <w:p w14:paraId="064E81EE" w14:textId="1F317063" w:rsidR="004E5FAD" w:rsidRPr="004E5FAD" w:rsidRDefault="004E5FAD" w:rsidP="004D48A4">
      <w:pPr>
        <w:pStyle w:val="ListParagraph"/>
        <w:numPr>
          <w:ilvl w:val="0"/>
          <w:numId w:val="5"/>
        </w:numPr>
      </w:pPr>
      <w:r w:rsidRPr="004E5FAD">
        <w:t>Providing</w:t>
      </w:r>
      <w:r w:rsidR="001808E7" w:rsidRPr="004E5FAD">
        <w:t xml:space="preserve"> </w:t>
      </w:r>
      <w:r w:rsidR="001808E7">
        <w:t>additional</w:t>
      </w:r>
      <w:r w:rsidRPr="004E5FAD">
        <w:t xml:space="preserve"> support services for the more complex patients, such as dose administration aids, blood glucose monitoring, blood pressure monitoring and asthma management planning.</w:t>
      </w:r>
    </w:p>
    <w:p w14:paraId="6CA8A998" w14:textId="5C1DEFA3" w:rsidR="00FA2E51" w:rsidRDefault="00707335" w:rsidP="009022D0">
      <w:r w:rsidRPr="00707335">
        <w:rPr>
          <w:rFonts w:eastAsia="Muli" w:cs="Muli"/>
          <w:color w:val="000000" w:themeColor="text1"/>
        </w:rPr>
        <w:t>Patients could choose the pharmacy that the practice referred them to.</w:t>
      </w:r>
      <w:r w:rsidR="00E11FF5">
        <w:t xml:space="preserve"> </w:t>
      </w:r>
      <w:r w:rsidR="00FA2E51">
        <w:br w:type="page"/>
      </w:r>
    </w:p>
    <w:p w14:paraId="648D6098" w14:textId="2BB5A62E" w:rsidR="00CB5869" w:rsidRDefault="005E5A15" w:rsidP="00CB5869">
      <w:pPr>
        <w:pStyle w:val="Heading2"/>
      </w:pPr>
      <w:bookmarkStart w:id="17" w:name="_Toc109996645"/>
      <w:r>
        <w:lastRenderedPageBreak/>
        <w:t>Overview of the evaluation</w:t>
      </w:r>
      <w:bookmarkEnd w:id="17"/>
    </w:p>
    <w:p w14:paraId="2DBFA020" w14:textId="0FF0D755" w:rsidR="000D4227" w:rsidRDefault="00AC6F82" w:rsidP="000D4227">
      <w:r>
        <w:t xml:space="preserve">The HCH trial, </w:t>
      </w:r>
      <w:bookmarkStart w:id="18" w:name="_Hlk90478193"/>
      <w:r>
        <w:t xml:space="preserve">including the community pharmacy trial, </w:t>
      </w:r>
      <w:bookmarkEnd w:id="18"/>
      <w:r>
        <w:t>was evaluated by a consortium led by Health Policy Analysis (HPA). The consortium included the Centre for Big Data Research in Health (CBDRH, University of New South Wales), the Centre for Health Economics Research and Evaluation (CHERE, University of Technology Sydney) and individual experts from Australia and abroad</w:t>
      </w:r>
      <w:r w:rsidR="000D4227">
        <w:t>.</w:t>
      </w:r>
    </w:p>
    <w:p w14:paraId="3FEAE171" w14:textId="3C1126EF" w:rsidR="00C52473" w:rsidRDefault="00F7555E" w:rsidP="00FA2E51">
      <w:bookmarkStart w:id="19" w:name="_Hlk20923118"/>
      <w:bookmarkStart w:id="20" w:name="_Hlk20911920"/>
      <w:r>
        <w:t>The evaluation m</w:t>
      </w:r>
      <w:r w:rsidR="000D4227">
        <w:t xml:space="preserve">ethods </w:t>
      </w:r>
      <w:r>
        <w:t>were</w:t>
      </w:r>
      <w:r w:rsidR="000D4227">
        <w:t xml:space="preserve"> </w:t>
      </w:r>
      <w:r>
        <w:t>detailed</w:t>
      </w:r>
      <w:r w:rsidR="000D4227">
        <w:t xml:space="preserve"> in the HCH </w:t>
      </w:r>
      <w:r w:rsidR="000D4227" w:rsidRPr="00A77C89">
        <w:rPr>
          <w:iCs/>
        </w:rPr>
        <w:t>evaluation</w:t>
      </w:r>
      <w:r w:rsidR="000D4227">
        <w:t xml:space="preserve"> plan</w:t>
      </w:r>
      <w:r w:rsidR="0066726B">
        <w:t>.</w:t>
      </w:r>
      <w:r w:rsidR="000D4227" w:rsidRPr="0066726B">
        <w:rPr>
          <w:rStyle w:val="FootnoteReference"/>
          <w:color w:val="408BCA"/>
        </w:rPr>
        <w:footnoteReference w:id="9"/>
      </w:r>
      <w:r w:rsidR="000D4227">
        <w:rPr>
          <w:i/>
        </w:rPr>
        <w:t xml:space="preserve"> </w:t>
      </w:r>
      <w:r w:rsidR="000D4227" w:rsidRPr="00FF78AE">
        <w:rPr>
          <w:rStyle w:val="Strong1"/>
          <w:rFonts w:eastAsia="Calibri" w:cs="Times New Roman"/>
          <w:b w:val="0"/>
          <w:color w:val="1D2455"/>
          <w:sz w:val="20"/>
          <w:szCs w:val="16"/>
        </w:rPr>
        <w:fldChar w:fldCharType="begin"/>
      </w:r>
      <w:r w:rsidR="000D4227" w:rsidRPr="00FF78AE">
        <w:rPr>
          <w:rStyle w:val="Strong1"/>
          <w:rFonts w:eastAsia="Calibri" w:cs="Times New Roman"/>
          <w:b w:val="0"/>
          <w:color w:val="1D2455"/>
          <w:sz w:val="20"/>
          <w:szCs w:val="16"/>
        </w:rPr>
        <w:instrText xml:space="preserve"> REF _Ref57193771 \h </w:instrText>
      </w:r>
      <w:r w:rsidR="0066726B" w:rsidRPr="00FF78AE">
        <w:rPr>
          <w:rStyle w:val="Strong1"/>
          <w:rFonts w:eastAsia="Calibri" w:cs="Times New Roman"/>
          <w:b w:val="0"/>
          <w:color w:val="1D2455"/>
          <w:sz w:val="20"/>
          <w:szCs w:val="16"/>
        </w:rPr>
        <w:instrText xml:space="preserve"> \* MERGEFORMAT </w:instrText>
      </w:r>
      <w:r w:rsidR="000D4227" w:rsidRPr="00FF78AE">
        <w:rPr>
          <w:rStyle w:val="Strong1"/>
          <w:rFonts w:eastAsia="Calibri" w:cs="Times New Roman"/>
          <w:b w:val="0"/>
          <w:color w:val="1D2455"/>
          <w:sz w:val="20"/>
          <w:szCs w:val="16"/>
        </w:rPr>
      </w:r>
      <w:r w:rsidR="000D4227" w:rsidRPr="00FF78AE">
        <w:rPr>
          <w:rStyle w:val="Strong1"/>
          <w:rFonts w:eastAsia="Calibri" w:cs="Times New Roman"/>
          <w:b w:val="0"/>
          <w:color w:val="1D2455"/>
          <w:sz w:val="20"/>
          <w:szCs w:val="16"/>
        </w:rPr>
        <w:fldChar w:fldCharType="separate"/>
      </w:r>
      <w:r w:rsidR="003C4BC2" w:rsidRPr="003C4BC2">
        <w:rPr>
          <w:rStyle w:val="Strong1"/>
          <w:rFonts w:eastAsia="Calibri" w:cs="Times New Roman"/>
          <w:b w:val="0"/>
          <w:color w:val="1D2455"/>
          <w:sz w:val="20"/>
          <w:szCs w:val="16"/>
        </w:rPr>
        <w:t>Figure 1</w:t>
      </w:r>
      <w:r w:rsidR="000D4227" w:rsidRPr="00FF78AE">
        <w:rPr>
          <w:rStyle w:val="Strong1"/>
          <w:rFonts w:eastAsia="Calibri" w:cs="Times New Roman"/>
          <w:b w:val="0"/>
          <w:color w:val="1D2455"/>
          <w:sz w:val="20"/>
          <w:szCs w:val="16"/>
        </w:rPr>
        <w:fldChar w:fldCharType="end"/>
      </w:r>
      <w:r w:rsidR="000D4227">
        <w:rPr>
          <w:iCs/>
        </w:rPr>
        <w:t xml:space="preserve"> shows the </w:t>
      </w:r>
      <w:r w:rsidR="000D4227" w:rsidRPr="0025306B">
        <w:rPr>
          <w:iCs/>
        </w:rPr>
        <w:t>key</w:t>
      </w:r>
      <w:r w:rsidR="000D4227">
        <w:t xml:space="preserve"> evaluation questions.</w:t>
      </w:r>
      <w:r w:rsidR="000D4227" w:rsidRPr="00B11EF5">
        <w:t xml:space="preserve"> </w:t>
      </w:r>
    </w:p>
    <w:p w14:paraId="035F16BB" w14:textId="1D7E9142" w:rsidR="000D4227" w:rsidRPr="00F638E7" w:rsidRDefault="000D4227" w:rsidP="000D4227">
      <w:pPr>
        <w:pStyle w:val="tabletitle"/>
        <w:rPr>
          <w:rStyle w:val="Strong1"/>
          <w:b w:val="0"/>
          <w:bCs/>
          <w:color w:val="1D2455"/>
          <w:sz w:val="20"/>
        </w:rPr>
      </w:pPr>
      <w:bookmarkStart w:id="21" w:name="_Ref57193771"/>
      <w:r w:rsidRPr="00F638E7">
        <w:rPr>
          <w:rStyle w:val="Strong1"/>
          <w:b w:val="0"/>
          <w:bCs/>
          <w:color w:val="1D2455"/>
          <w:sz w:val="20"/>
        </w:rPr>
        <w:t xml:space="preserve">Figure </w:t>
      </w:r>
      <w:r w:rsidRPr="00F638E7">
        <w:rPr>
          <w:rStyle w:val="Strong1"/>
          <w:b w:val="0"/>
          <w:bCs/>
          <w:color w:val="1D2455"/>
          <w:sz w:val="20"/>
        </w:rPr>
        <w:fldChar w:fldCharType="begin"/>
      </w:r>
      <w:r w:rsidRPr="00F638E7">
        <w:rPr>
          <w:rStyle w:val="Strong1"/>
          <w:b w:val="0"/>
          <w:bCs/>
          <w:color w:val="1D2455"/>
          <w:sz w:val="20"/>
        </w:rPr>
        <w:instrText xml:space="preserve"> SEQ Figure \* ARABIC </w:instrText>
      </w:r>
      <w:r w:rsidRPr="00F638E7">
        <w:rPr>
          <w:rStyle w:val="Strong1"/>
          <w:b w:val="0"/>
          <w:bCs/>
          <w:color w:val="1D2455"/>
          <w:sz w:val="20"/>
        </w:rPr>
        <w:fldChar w:fldCharType="separate"/>
      </w:r>
      <w:r w:rsidR="003C4BC2">
        <w:rPr>
          <w:rStyle w:val="Strong1"/>
          <w:b w:val="0"/>
          <w:bCs/>
          <w:noProof/>
          <w:color w:val="1D2455"/>
          <w:sz w:val="20"/>
        </w:rPr>
        <w:t>1</w:t>
      </w:r>
      <w:r w:rsidRPr="00F638E7">
        <w:rPr>
          <w:rStyle w:val="Strong1"/>
          <w:b w:val="0"/>
          <w:bCs/>
          <w:color w:val="1D2455"/>
          <w:sz w:val="20"/>
        </w:rPr>
        <w:fldChar w:fldCharType="end"/>
      </w:r>
      <w:bookmarkEnd w:id="21"/>
      <w:r w:rsidR="00405AF9" w:rsidRPr="00F638E7">
        <w:rPr>
          <w:rStyle w:val="Strong1"/>
          <w:b w:val="0"/>
          <w:bCs/>
          <w:color w:val="1D2455"/>
          <w:sz w:val="20"/>
        </w:rPr>
        <w:t xml:space="preserve">: </w:t>
      </w:r>
      <w:r w:rsidRPr="00F638E7">
        <w:rPr>
          <w:rStyle w:val="Strong1"/>
          <w:b w:val="0"/>
          <w:bCs/>
          <w:color w:val="1D2455"/>
          <w:sz w:val="20"/>
        </w:rPr>
        <w:t>Key evaluation questions</w:t>
      </w:r>
    </w:p>
    <w:p w14:paraId="51B18DE3" w14:textId="77777777" w:rsidR="000D4227" w:rsidRDefault="000D4227" w:rsidP="003549FC">
      <w:pPr>
        <w:spacing w:after="400"/>
      </w:pPr>
      <w:r w:rsidRPr="006F4E05">
        <w:rPr>
          <w:noProof/>
          <w:lang w:eastAsia="en-AU"/>
        </w:rPr>
        <w:drawing>
          <wp:inline distT="0" distB="0" distL="0" distR="0" wp14:anchorId="05A187D0" wp14:editId="20E3F967">
            <wp:extent cx="5731510" cy="4827905"/>
            <wp:effectExtent l="0" t="0" r="2540" b="0"/>
            <wp:docPr id="51" name="Picture 51"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Diagram, timeline&#10;&#10;Description automatically generated"/>
                    <pic:cNvPicPr/>
                  </pic:nvPicPr>
                  <pic:blipFill>
                    <a:blip r:embed="rId18"/>
                    <a:stretch>
                      <a:fillRect/>
                    </a:stretch>
                  </pic:blipFill>
                  <pic:spPr>
                    <a:xfrm>
                      <a:off x="0" y="0"/>
                      <a:ext cx="5731510" cy="4827905"/>
                    </a:xfrm>
                    <a:prstGeom prst="rect">
                      <a:avLst/>
                    </a:prstGeom>
                  </pic:spPr>
                </pic:pic>
              </a:graphicData>
            </a:graphic>
          </wp:inline>
        </w:drawing>
      </w:r>
    </w:p>
    <w:bookmarkEnd w:id="19"/>
    <w:p w14:paraId="77D9D52D" w14:textId="77777777" w:rsidR="00FA2E51" w:rsidRDefault="00FA2E51">
      <w:pPr>
        <w:spacing w:after="160" w:line="259" w:lineRule="auto"/>
        <w:rPr>
          <w:rFonts w:ascii="Roboto Slab" w:eastAsia="Times New Roman" w:hAnsi="Roboto Slab" w:cs="Times New Roman"/>
          <w:bCs/>
          <w:color w:val="408BCA"/>
          <w:sz w:val="32"/>
          <w:szCs w:val="36"/>
          <w:lang w:eastAsia="en-AU"/>
        </w:rPr>
      </w:pPr>
      <w:r>
        <w:br w:type="page"/>
      </w:r>
    </w:p>
    <w:p w14:paraId="40219CC5" w14:textId="7DA32BF2" w:rsidR="003549FC" w:rsidRDefault="003549FC" w:rsidP="003549FC">
      <w:pPr>
        <w:pStyle w:val="Heading2"/>
      </w:pPr>
      <w:bookmarkStart w:id="22" w:name="_Toc109996646"/>
      <w:r>
        <w:lastRenderedPageBreak/>
        <w:t>Evaluation design</w:t>
      </w:r>
      <w:bookmarkEnd w:id="22"/>
    </w:p>
    <w:p w14:paraId="1D432F8A" w14:textId="47848E11" w:rsidR="00B60F1F" w:rsidRDefault="007370AD" w:rsidP="007370AD">
      <w:r>
        <w:t>The evaluation used mixed methods. The design was predominantly convergent (that is, quantitative and qualitative data collected separately but compared at the time of analysis to corroborate or expand findings), with some sequential elements (that is, quantitative results informing qualitative data collection or vice-versa, for example, results of practice surveys informing exploration in case study interviews).</w:t>
      </w:r>
    </w:p>
    <w:p w14:paraId="35838A57" w14:textId="77777777" w:rsidR="00B60F1F" w:rsidRDefault="00B60F1F" w:rsidP="00B60F1F">
      <w:r>
        <w:t xml:space="preserve">The quantitative components used quasi-experimental and before-and-after designs. For the quasi-experimental analyses, </w:t>
      </w:r>
      <w:r w:rsidRPr="003B6194">
        <w:t>selected outcomes for HCH</w:t>
      </w:r>
      <w:r>
        <w:t xml:space="preserve"> patients were </w:t>
      </w:r>
      <w:r w:rsidRPr="003B6194">
        <w:t xml:space="preserve">compared with outcomes </w:t>
      </w:r>
      <w:r>
        <w:t>for</w:t>
      </w:r>
      <w:r w:rsidRPr="003B6194">
        <w:t xml:space="preserve"> equivalent patients </w:t>
      </w:r>
      <w:r>
        <w:t>from non-HCH practices. Similarly, measures for HCH practices were also compared with non-HCH practices. For the before-and-after analyses, measures for HCH practices and patients were compared before or at the start of the trial with measures after implementation.</w:t>
      </w:r>
    </w:p>
    <w:p w14:paraId="125EF0D8" w14:textId="77777777" w:rsidR="00B60F1F" w:rsidRDefault="00B60F1F" w:rsidP="00B60F1F">
      <w:r>
        <w:t>Quantitative data sources included extracts from practice clinical management systems and linked data that included Medical Benefits Schedule (MBS) data, Pharmaceutical Benefits (PBS) data, hospitalisations data, emergency department data, residential aged care data and national deaths data.</w:t>
      </w:r>
    </w:p>
    <w:p w14:paraId="43F38616" w14:textId="3D44EDF9" w:rsidR="003549FC" w:rsidRDefault="00B60F1F" w:rsidP="00B60F1F">
      <w:r>
        <w:t xml:space="preserve">The qualitative components aimed to provide information about how the trial was implemented, and insights into participants’ experiences with the trial. These data were collected through case studies of selected practices that included interviews with the practices, practice staff, practice patients and their </w:t>
      </w:r>
      <w:proofErr w:type="spellStart"/>
      <w:r>
        <w:t>carers</w:t>
      </w:r>
      <w:proofErr w:type="spellEnd"/>
      <w:r>
        <w:t xml:space="preserve"> and other stakeholders</w:t>
      </w:r>
      <w:r w:rsidR="003549FC">
        <w:t>.</w:t>
      </w:r>
    </w:p>
    <w:p w14:paraId="6CEE6156" w14:textId="023564AF" w:rsidR="00D2544C" w:rsidRDefault="00620032" w:rsidP="00FA2E51">
      <w:r w:rsidRPr="00620032">
        <w:rPr>
          <w:rStyle w:val="Strong1"/>
          <w:rFonts w:eastAsia="Calibri" w:cs="Times New Roman"/>
          <w:color w:val="1D2455"/>
          <w:sz w:val="20"/>
          <w:szCs w:val="16"/>
        </w:rPr>
        <w:fldChar w:fldCharType="begin"/>
      </w:r>
      <w:r w:rsidRPr="00620032">
        <w:rPr>
          <w:rStyle w:val="Strong1"/>
          <w:rFonts w:eastAsia="Calibri" w:cs="Times New Roman"/>
          <w:color w:val="1D2455"/>
          <w:sz w:val="20"/>
          <w:szCs w:val="16"/>
        </w:rPr>
        <w:instrText xml:space="preserve"> REF _Ref103966088 \h </w:instrText>
      </w:r>
      <w:r>
        <w:rPr>
          <w:rStyle w:val="Strong1"/>
          <w:rFonts w:eastAsia="Calibri" w:cs="Times New Roman"/>
          <w:color w:val="1D2455"/>
          <w:sz w:val="20"/>
          <w:szCs w:val="16"/>
        </w:rPr>
        <w:instrText xml:space="preserve"> \* MERGEFORMAT </w:instrText>
      </w:r>
      <w:r w:rsidRPr="00620032">
        <w:rPr>
          <w:rStyle w:val="Strong1"/>
          <w:rFonts w:eastAsia="Calibri" w:cs="Times New Roman"/>
          <w:color w:val="1D2455"/>
          <w:sz w:val="20"/>
          <w:szCs w:val="16"/>
        </w:rPr>
      </w:r>
      <w:r w:rsidRPr="00620032">
        <w:rPr>
          <w:rStyle w:val="Strong1"/>
          <w:rFonts w:eastAsia="Calibri" w:cs="Times New Roman"/>
          <w:color w:val="1D2455"/>
          <w:sz w:val="20"/>
          <w:szCs w:val="16"/>
        </w:rPr>
        <w:fldChar w:fldCharType="separate"/>
      </w:r>
      <w:r w:rsidR="003C4BC2" w:rsidRPr="003C4BC2">
        <w:rPr>
          <w:rStyle w:val="Strong1"/>
          <w:rFonts w:eastAsia="Calibri" w:cs="Times New Roman"/>
          <w:b w:val="0"/>
          <w:color w:val="1D2455"/>
          <w:sz w:val="20"/>
          <w:szCs w:val="16"/>
        </w:rPr>
        <w:t>Table 2</w:t>
      </w:r>
      <w:r w:rsidRPr="00620032">
        <w:rPr>
          <w:rStyle w:val="Strong1"/>
          <w:rFonts w:eastAsia="Calibri" w:cs="Times New Roman"/>
          <w:color w:val="1D2455"/>
          <w:sz w:val="20"/>
          <w:szCs w:val="16"/>
        </w:rPr>
        <w:fldChar w:fldCharType="end"/>
      </w:r>
      <w:r>
        <w:t xml:space="preserve"> </w:t>
      </w:r>
      <w:r w:rsidR="0006185E">
        <w:t>lists</w:t>
      </w:r>
      <w:r>
        <w:t xml:space="preserve"> the data sources</w:t>
      </w:r>
      <w:r w:rsidR="00D2544C">
        <w:t>,</w:t>
      </w:r>
      <w:r w:rsidR="005E5844">
        <w:t xml:space="preserve"> labelled as </w:t>
      </w:r>
      <w:r w:rsidR="0087126D">
        <w:t>“</w:t>
      </w:r>
      <w:r w:rsidR="005E5844" w:rsidRPr="009F6FCD">
        <w:t>primary</w:t>
      </w:r>
      <w:r w:rsidR="0087126D">
        <w:t>”</w:t>
      </w:r>
      <w:r w:rsidR="005E5844" w:rsidRPr="009F6FCD">
        <w:t xml:space="preserve"> </w:t>
      </w:r>
      <w:r w:rsidR="005E5844">
        <w:t>(data collected specifically for the evaluation</w:t>
      </w:r>
      <w:r w:rsidR="005E5844" w:rsidRPr="009F6FCD">
        <w:t>)</w:t>
      </w:r>
      <w:r w:rsidR="005E5844">
        <w:t xml:space="preserve">, and </w:t>
      </w:r>
      <w:r w:rsidR="0087126D">
        <w:t>“</w:t>
      </w:r>
      <w:r w:rsidR="005E5844" w:rsidRPr="009F6FCD">
        <w:t>secondary</w:t>
      </w:r>
      <w:r w:rsidR="0087126D">
        <w:t>”</w:t>
      </w:r>
      <w:r w:rsidR="005E5844" w:rsidRPr="009F6FCD">
        <w:t xml:space="preserve"> </w:t>
      </w:r>
      <w:r w:rsidR="005E5844">
        <w:t>(data requested from other sources</w:t>
      </w:r>
      <w:r w:rsidR="005E5844" w:rsidRPr="009F6FCD">
        <w:t>)</w:t>
      </w:r>
      <w:r w:rsidR="005E5844">
        <w:t>.</w:t>
      </w:r>
      <w:r w:rsidR="00D2544C">
        <w:t xml:space="preserve"> </w:t>
      </w:r>
      <w:r w:rsidR="00CC336A">
        <w:t>The evaluation was split into five “rounds” and</w:t>
      </w:r>
      <w:r w:rsidR="003549FC">
        <w:t xml:space="preserve"> primary data </w:t>
      </w:r>
      <w:r w:rsidR="00CC336A">
        <w:t>collection activities</w:t>
      </w:r>
      <w:r w:rsidR="00957E95">
        <w:t xml:space="preserve"> </w:t>
      </w:r>
      <w:r w:rsidR="00A32F48">
        <w:t xml:space="preserve">were </w:t>
      </w:r>
      <w:r w:rsidR="003549FC">
        <w:t xml:space="preserve">organised </w:t>
      </w:r>
      <w:r w:rsidR="00A32F48">
        <w:t>according to these</w:t>
      </w:r>
      <w:r w:rsidR="003549FC">
        <w:t xml:space="preserve">. There were also three </w:t>
      </w:r>
      <w:r w:rsidR="0087126D">
        <w:t>“</w:t>
      </w:r>
      <w:r w:rsidR="003549FC">
        <w:t>waves</w:t>
      </w:r>
      <w:r w:rsidR="0087126D">
        <w:t>”</w:t>
      </w:r>
      <w:r w:rsidR="003549FC">
        <w:t xml:space="preserve"> of patient surveys. </w:t>
      </w:r>
      <w:r w:rsidR="003549FC" w:rsidRPr="00265CB9">
        <w:rPr>
          <w:rStyle w:val="Strong1"/>
          <w:rFonts w:eastAsia="Calibri" w:cs="Times New Roman"/>
          <w:b w:val="0"/>
          <w:color w:val="1D2455"/>
          <w:sz w:val="20"/>
          <w:szCs w:val="16"/>
        </w:rPr>
        <w:fldChar w:fldCharType="begin"/>
      </w:r>
      <w:r w:rsidR="003549FC" w:rsidRPr="00265CB9">
        <w:rPr>
          <w:rStyle w:val="Strong1"/>
          <w:rFonts w:eastAsia="Calibri" w:cs="Times New Roman"/>
          <w:b w:val="0"/>
          <w:color w:val="1D2455"/>
          <w:sz w:val="20"/>
          <w:szCs w:val="16"/>
        </w:rPr>
        <w:instrText xml:space="preserve"> REF _Ref53327877 \h  \* MERGEFORMAT </w:instrText>
      </w:r>
      <w:r w:rsidR="003549FC" w:rsidRPr="00265CB9">
        <w:rPr>
          <w:rStyle w:val="Strong1"/>
          <w:rFonts w:eastAsia="Calibri" w:cs="Times New Roman"/>
          <w:b w:val="0"/>
          <w:color w:val="1D2455"/>
          <w:sz w:val="20"/>
          <w:szCs w:val="16"/>
        </w:rPr>
      </w:r>
      <w:r w:rsidR="003549FC" w:rsidRPr="00265CB9">
        <w:rPr>
          <w:rStyle w:val="Strong1"/>
          <w:rFonts w:eastAsia="Calibri" w:cs="Times New Roman"/>
          <w:b w:val="0"/>
          <w:color w:val="1D2455"/>
          <w:sz w:val="20"/>
          <w:szCs w:val="16"/>
        </w:rPr>
        <w:fldChar w:fldCharType="separate"/>
      </w:r>
      <w:r w:rsidR="003C4BC2" w:rsidRPr="003C4BC2">
        <w:rPr>
          <w:rStyle w:val="Strong1"/>
          <w:rFonts w:eastAsia="Calibri" w:cs="Times New Roman"/>
          <w:b w:val="0"/>
          <w:color w:val="1D2455"/>
          <w:sz w:val="20"/>
          <w:szCs w:val="16"/>
        </w:rPr>
        <w:t xml:space="preserve">Table </w:t>
      </w:r>
      <w:r w:rsidR="003C4BC2">
        <w:rPr>
          <w:rStyle w:val="Strong1"/>
          <w:b w:val="0"/>
          <w:bCs/>
          <w:noProof/>
          <w:color w:val="1D2455"/>
          <w:sz w:val="20"/>
        </w:rPr>
        <w:t>3</w:t>
      </w:r>
      <w:r w:rsidR="003549FC" w:rsidRPr="00265CB9">
        <w:rPr>
          <w:rStyle w:val="Strong1"/>
          <w:rFonts w:eastAsia="Calibri" w:cs="Times New Roman"/>
          <w:b w:val="0"/>
          <w:color w:val="1D2455"/>
          <w:sz w:val="20"/>
          <w:szCs w:val="16"/>
        </w:rPr>
        <w:fldChar w:fldCharType="end"/>
      </w:r>
      <w:r w:rsidR="003549FC">
        <w:t xml:space="preserve"> shows the dates relating to </w:t>
      </w:r>
      <w:r w:rsidR="00A32F48">
        <w:t>key primary data collection</w:t>
      </w:r>
      <w:r w:rsidR="001121ED">
        <w:t xml:space="preserve"> activities.</w:t>
      </w:r>
    </w:p>
    <w:p w14:paraId="688357D1" w14:textId="7099AAEE" w:rsidR="008965A8" w:rsidRDefault="008965A8" w:rsidP="008965A8">
      <w:r w:rsidRPr="00A14E16">
        <w:t xml:space="preserve">COVID-19 was declared as a pandemic by the World Health Organization (WHO) on 11 March 2020. It affected the last 16 months of the trial. </w:t>
      </w:r>
      <w:r w:rsidRPr="00A14E16">
        <w:rPr>
          <w:color w:val="1D2455"/>
        </w:rPr>
        <w:fldChar w:fldCharType="begin"/>
      </w:r>
      <w:r w:rsidRPr="00A14E16">
        <w:rPr>
          <w:color w:val="1D2455"/>
        </w:rPr>
        <w:instrText xml:space="preserve"> REF BxCOVID \h  \* MERGEFORMAT </w:instrText>
      </w:r>
      <w:r w:rsidRPr="00A14E16">
        <w:rPr>
          <w:color w:val="1D2455"/>
        </w:rPr>
      </w:r>
      <w:r w:rsidRPr="00A14E16">
        <w:rPr>
          <w:color w:val="1D2455"/>
        </w:rPr>
        <w:fldChar w:fldCharType="separate"/>
      </w:r>
      <w:r w:rsidR="003C4BC2" w:rsidRPr="003C4BC2">
        <w:rPr>
          <w:color w:val="1D2455"/>
          <w:szCs w:val="20"/>
        </w:rPr>
        <w:t xml:space="preserve">Box </w:t>
      </w:r>
      <w:r w:rsidR="003C4BC2" w:rsidRPr="003C4BC2">
        <w:rPr>
          <w:noProof/>
          <w:color w:val="1D2455"/>
          <w:szCs w:val="20"/>
        </w:rPr>
        <w:t>1</w:t>
      </w:r>
      <w:r w:rsidRPr="00A14E16">
        <w:rPr>
          <w:color w:val="1D2455"/>
        </w:rPr>
        <w:fldChar w:fldCharType="end"/>
      </w:r>
      <w:r w:rsidRPr="00A14E16">
        <w:t xml:space="preserve"> </w:t>
      </w:r>
      <w:r w:rsidR="0006185E">
        <w:t>outlines</w:t>
      </w:r>
      <w:r w:rsidRPr="00A14E16">
        <w:t xml:space="preserve"> the impact of the pandemic on the evaluation.</w:t>
      </w: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8965A8" w14:paraId="7F25A7E8" w14:textId="77777777" w:rsidTr="000A58A6">
        <w:tc>
          <w:tcPr>
            <w:tcW w:w="8996" w:type="dxa"/>
            <w:shd w:val="clear" w:color="auto" w:fill="auto"/>
          </w:tcPr>
          <w:p w14:paraId="00B82DE9" w14:textId="739A8810" w:rsidR="008965A8" w:rsidRPr="00E6765F" w:rsidRDefault="008965A8" w:rsidP="000A58A6">
            <w:pPr>
              <w:pStyle w:val="Boxheading"/>
              <w:spacing w:after="120"/>
              <w:rPr>
                <w:b/>
                <w:bCs/>
                <w:szCs w:val="20"/>
              </w:rPr>
            </w:pPr>
            <w:bookmarkStart w:id="23" w:name="BxCOVID"/>
            <w:r w:rsidRPr="004C70C6">
              <w:rPr>
                <w:bCs/>
                <w:szCs w:val="20"/>
              </w:rPr>
              <w:t xml:space="preserve">Box </w:t>
            </w:r>
            <w:r w:rsidRPr="004C70C6">
              <w:rPr>
                <w:szCs w:val="20"/>
              </w:rPr>
              <w:fldChar w:fldCharType="begin"/>
            </w:r>
            <w:r w:rsidRPr="004C70C6">
              <w:rPr>
                <w:szCs w:val="20"/>
              </w:rPr>
              <w:instrText xml:space="preserve"> SEQ Box \* ARABIC </w:instrText>
            </w:r>
            <w:r w:rsidRPr="004C70C6">
              <w:rPr>
                <w:szCs w:val="20"/>
              </w:rPr>
              <w:fldChar w:fldCharType="separate"/>
            </w:r>
            <w:r w:rsidR="003C4BC2">
              <w:rPr>
                <w:noProof/>
                <w:szCs w:val="20"/>
              </w:rPr>
              <w:t>1</w:t>
            </w:r>
            <w:r w:rsidRPr="004C70C6">
              <w:rPr>
                <w:szCs w:val="20"/>
              </w:rPr>
              <w:fldChar w:fldCharType="end"/>
            </w:r>
            <w:bookmarkEnd w:id="23"/>
            <w:r w:rsidRPr="004C70C6">
              <w:rPr>
                <w:bCs/>
                <w:szCs w:val="20"/>
              </w:rPr>
              <w:t xml:space="preserve">: Impact of COVID-19 on </w:t>
            </w:r>
            <w:r>
              <w:rPr>
                <w:bCs/>
                <w:szCs w:val="20"/>
              </w:rPr>
              <w:t>the evaluation</w:t>
            </w:r>
          </w:p>
          <w:p w14:paraId="34C60402" w14:textId="77777777" w:rsidR="008965A8" w:rsidRDefault="008965A8" w:rsidP="000A58A6">
            <w:pPr>
              <w:spacing w:after="120"/>
              <w:rPr>
                <w:sz w:val="18"/>
                <w:szCs w:val="18"/>
              </w:rPr>
            </w:pPr>
            <w:r>
              <w:rPr>
                <w:sz w:val="18"/>
                <w:szCs w:val="18"/>
              </w:rPr>
              <w:t>Questions about COVID-19 were incorporated into primary data collection and were mainly aimed at understanding the impact of the pandemic on practices’ implementation of the HCH model and operations during the pandemic. The impact of the pandemic was also reflected in secondary data sources. These impacts have been analysed in this report.</w:t>
            </w:r>
          </w:p>
          <w:p w14:paraId="2B949BB1" w14:textId="77777777" w:rsidR="008965A8" w:rsidRPr="004C70C6" w:rsidRDefault="008965A8" w:rsidP="000A58A6">
            <w:pPr>
              <w:spacing w:after="120"/>
              <w:rPr>
                <w:sz w:val="18"/>
                <w:szCs w:val="18"/>
              </w:rPr>
            </w:pPr>
            <w:r>
              <w:rPr>
                <w:sz w:val="18"/>
                <w:szCs w:val="18"/>
              </w:rPr>
              <w:t>Evaluation activities were not affected by the pandemic, except that case study interviews in the final data collection round were mostly conducted via tele/videoconference.</w:t>
            </w:r>
          </w:p>
        </w:tc>
      </w:tr>
    </w:tbl>
    <w:p w14:paraId="62A7663A" w14:textId="77777777" w:rsidR="008965A8" w:rsidRDefault="008965A8" w:rsidP="008965A8">
      <w:pPr>
        <w:spacing w:after="0"/>
        <w:rPr>
          <w:lang w:eastAsia="en-AU"/>
        </w:rPr>
      </w:pPr>
    </w:p>
    <w:p w14:paraId="786DCC21" w14:textId="77777777" w:rsidR="008965A8" w:rsidRDefault="008965A8" w:rsidP="00FA2E51"/>
    <w:p w14:paraId="0BA044AB" w14:textId="77777777" w:rsidR="00D2544C" w:rsidRDefault="00D2544C">
      <w:pPr>
        <w:spacing w:after="160" w:line="259" w:lineRule="auto"/>
      </w:pPr>
      <w:r>
        <w:br w:type="page"/>
      </w:r>
    </w:p>
    <w:p w14:paraId="2D53BD4E" w14:textId="2E2F8F5D" w:rsidR="003549FC" w:rsidRPr="00F638E7" w:rsidRDefault="003549FC" w:rsidP="003549FC">
      <w:pPr>
        <w:pStyle w:val="tabletitle"/>
        <w:rPr>
          <w:rStyle w:val="Strong1"/>
          <w:b w:val="0"/>
          <w:bCs/>
          <w:color w:val="1D2455"/>
          <w:sz w:val="20"/>
        </w:rPr>
      </w:pPr>
      <w:bookmarkStart w:id="24" w:name="_Ref103966088"/>
      <w:r w:rsidRPr="00F638E7">
        <w:rPr>
          <w:rStyle w:val="Strong1"/>
          <w:b w:val="0"/>
          <w:bCs/>
          <w:color w:val="1D2455"/>
          <w:sz w:val="20"/>
        </w:rPr>
        <w:lastRenderedPageBreak/>
        <w:t xml:space="preserve">Table </w:t>
      </w:r>
      <w:r w:rsidRPr="00F638E7">
        <w:rPr>
          <w:rStyle w:val="Strong1"/>
          <w:b w:val="0"/>
          <w:bCs/>
          <w:color w:val="1D2455"/>
          <w:sz w:val="20"/>
        </w:rPr>
        <w:fldChar w:fldCharType="begin"/>
      </w:r>
      <w:r w:rsidRPr="00F638E7">
        <w:rPr>
          <w:rStyle w:val="Strong1"/>
          <w:b w:val="0"/>
          <w:bCs/>
          <w:color w:val="1D2455"/>
          <w:sz w:val="20"/>
        </w:rPr>
        <w:instrText xml:space="preserve"> SEQ Table \* ARABIC </w:instrText>
      </w:r>
      <w:r w:rsidRPr="00F638E7">
        <w:rPr>
          <w:rStyle w:val="Strong1"/>
          <w:b w:val="0"/>
          <w:bCs/>
          <w:color w:val="1D2455"/>
          <w:sz w:val="20"/>
        </w:rPr>
        <w:fldChar w:fldCharType="separate"/>
      </w:r>
      <w:r w:rsidR="003C4BC2">
        <w:rPr>
          <w:rStyle w:val="Strong1"/>
          <w:b w:val="0"/>
          <w:bCs/>
          <w:noProof/>
          <w:color w:val="1D2455"/>
          <w:sz w:val="20"/>
        </w:rPr>
        <w:t>2</w:t>
      </w:r>
      <w:r w:rsidRPr="00F638E7">
        <w:rPr>
          <w:rStyle w:val="Strong1"/>
          <w:b w:val="0"/>
          <w:bCs/>
          <w:color w:val="1D2455"/>
          <w:sz w:val="20"/>
        </w:rPr>
        <w:fldChar w:fldCharType="end"/>
      </w:r>
      <w:bookmarkStart w:id="25" w:name="_Hlk22461004"/>
      <w:bookmarkEnd w:id="24"/>
      <w:r w:rsidRPr="00F638E7">
        <w:rPr>
          <w:rStyle w:val="Strong1"/>
          <w:b w:val="0"/>
          <w:bCs/>
          <w:color w:val="1D2455"/>
          <w:sz w:val="20"/>
        </w:rPr>
        <w:t>: Evaluation data sources</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371"/>
        <w:gridCol w:w="1266"/>
        <w:gridCol w:w="1423"/>
        <w:gridCol w:w="1318"/>
        <w:gridCol w:w="1318"/>
        <w:gridCol w:w="1320"/>
      </w:tblGrid>
      <w:tr w:rsidR="003549FC" w:rsidRPr="00325529" w14:paraId="3EA14DF4" w14:textId="77777777" w:rsidTr="002D5790">
        <w:trPr>
          <w:trHeight w:val="255"/>
        </w:trPr>
        <w:tc>
          <w:tcPr>
            <w:tcW w:w="1315" w:type="pct"/>
            <w:vMerge w:val="restart"/>
            <w:shd w:val="clear" w:color="auto" w:fill="408BCA"/>
            <w:vAlign w:val="center"/>
          </w:tcPr>
          <w:p w14:paraId="0092197B" w14:textId="77777777" w:rsidR="003549FC" w:rsidRPr="002D5790" w:rsidRDefault="003549FC" w:rsidP="002D5790">
            <w:pPr>
              <w:spacing w:after="0"/>
              <w:jc w:val="center"/>
              <w:rPr>
                <w:b/>
                <w:color w:val="FFFFFF" w:themeColor="background1"/>
                <w:sz w:val="18"/>
              </w:rPr>
            </w:pPr>
            <w:r w:rsidRPr="008747A6">
              <w:rPr>
                <w:b/>
                <w:color w:val="FFFFFF" w:themeColor="background1"/>
                <w:sz w:val="18"/>
              </w:rPr>
              <w:t>Data source</w:t>
            </w:r>
          </w:p>
        </w:tc>
        <w:tc>
          <w:tcPr>
            <w:tcW w:w="702" w:type="pct"/>
            <w:vMerge w:val="restart"/>
            <w:shd w:val="clear" w:color="auto" w:fill="408BCA"/>
            <w:vAlign w:val="center"/>
          </w:tcPr>
          <w:p w14:paraId="7FE82360" w14:textId="40A74528" w:rsidR="003549FC" w:rsidRPr="002D5790" w:rsidRDefault="003549FC" w:rsidP="002D5790">
            <w:pPr>
              <w:spacing w:after="0"/>
              <w:jc w:val="center"/>
              <w:rPr>
                <w:b/>
                <w:color w:val="FFFFFF" w:themeColor="background1"/>
                <w:sz w:val="18"/>
              </w:rPr>
            </w:pPr>
            <w:r w:rsidRPr="008747A6">
              <w:rPr>
                <w:b/>
                <w:color w:val="FFFFFF" w:themeColor="background1"/>
                <w:sz w:val="18"/>
              </w:rPr>
              <w:t>Key questions</w:t>
            </w:r>
          </w:p>
        </w:tc>
        <w:tc>
          <w:tcPr>
            <w:tcW w:w="789" w:type="pct"/>
            <w:vMerge w:val="restart"/>
            <w:shd w:val="clear" w:color="auto" w:fill="408BCA"/>
            <w:vAlign w:val="center"/>
          </w:tcPr>
          <w:p w14:paraId="07A213B7" w14:textId="77777777" w:rsidR="003549FC" w:rsidRPr="002D5790" w:rsidRDefault="003549FC" w:rsidP="002D5790">
            <w:pPr>
              <w:spacing w:after="0"/>
              <w:jc w:val="center"/>
              <w:rPr>
                <w:b/>
                <w:color w:val="FFFFFF" w:themeColor="background1"/>
                <w:sz w:val="18"/>
              </w:rPr>
            </w:pPr>
            <w:r w:rsidRPr="008747A6">
              <w:rPr>
                <w:b/>
                <w:color w:val="FFFFFF" w:themeColor="background1"/>
                <w:sz w:val="18"/>
              </w:rPr>
              <w:t>Collection type</w:t>
            </w:r>
          </w:p>
        </w:tc>
        <w:tc>
          <w:tcPr>
            <w:tcW w:w="2194" w:type="pct"/>
            <w:gridSpan w:val="3"/>
            <w:shd w:val="clear" w:color="auto" w:fill="408BCA"/>
            <w:vAlign w:val="center"/>
          </w:tcPr>
          <w:p w14:paraId="6FDAF977" w14:textId="41DB3C06" w:rsidR="003549FC" w:rsidRPr="002D5790" w:rsidRDefault="004C7E2C" w:rsidP="002D5790">
            <w:pPr>
              <w:spacing w:after="0"/>
              <w:jc w:val="center"/>
              <w:rPr>
                <w:b/>
                <w:color w:val="FFFFFF" w:themeColor="background1"/>
                <w:sz w:val="18"/>
              </w:rPr>
            </w:pPr>
            <w:r>
              <w:rPr>
                <w:b/>
                <w:color w:val="FFFFFF" w:themeColor="background1"/>
                <w:sz w:val="18"/>
              </w:rPr>
              <w:t>Evaluation r</w:t>
            </w:r>
            <w:r w:rsidR="003549FC" w:rsidRPr="008747A6">
              <w:rPr>
                <w:b/>
                <w:color w:val="FFFFFF" w:themeColor="background1"/>
                <w:sz w:val="18"/>
              </w:rPr>
              <w:t xml:space="preserve">eport in which data </w:t>
            </w:r>
            <w:r>
              <w:rPr>
                <w:b/>
                <w:color w:val="FFFFFF" w:themeColor="background1"/>
                <w:sz w:val="18"/>
              </w:rPr>
              <w:t>were</w:t>
            </w:r>
            <w:r w:rsidR="003549FC" w:rsidRPr="008747A6">
              <w:rPr>
                <w:b/>
                <w:color w:val="FFFFFF" w:themeColor="background1"/>
                <w:sz w:val="18"/>
              </w:rPr>
              <w:t xml:space="preserve"> used and data collection round/period</w:t>
            </w:r>
          </w:p>
        </w:tc>
      </w:tr>
      <w:tr w:rsidR="002D5790" w:rsidRPr="00325529" w14:paraId="7FADC934" w14:textId="77777777" w:rsidTr="00A4718B">
        <w:trPr>
          <w:trHeight w:val="255"/>
        </w:trPr>
        <w:tc>
          <w:tcPr>
            <w:tcW w:w="1315" w:type="pct"/>
            <w:vMerge/>
            <w:shd w:val="clear" w:color="auto" w:fill="408BCA"/>
            <w:vAlign w:val="center"/>
          </w:tcPr>
          <w:p w14:paraId="4D387011" w14:textId="77777777" w:rsidR="003549FC" w:rsidRPr="00325529" w:rsidRDefault="003549FC" w:rsidP="002D5790">
            <w:pPr>
              <w:spacing w:after="0"/>
              <w:jc w:val="center"/>
              <w:rPr>
                <w:b/>
                <w:sz w:val="18"/>
              </w:rPr>
            </w:pPr>
          </w:p>
        </w:tc>
        <w:tc>
          <w:tcPr>
            <w:tcW w:w="702" w:type="pct"/>
            <w:vMerge/>
            <w:shd w:val="clear" w:color="auto" w:fill="408BCA"/>
            <w:vAlign w:val="center"/>
          </w:tcPr>
          <w:p w14:paraId="093021A2" w14:textId="77777777" w:rsidR="003549FC" w:rsidRDefault="003549FC" w:rsidP="002D5790">
            <w:pPr>
              <w:spacing w:after="0"/>
              <w:jc w:val="center"/>
              <w:rPr>
                <w:b/>
                <w:sz w:val="18"/>
              </w:rPr>
            </w:pPr>
          </w:p>
        </w:tc>
        <w:tc>
          <w:tcPr>
            <w:tcW w:w="789" w:type="pct"/>
            <w:vMerge/>
            <w:shd w:val="clear" w:color="auto" w:fill="408BCA"/>
            <w:vAlign w:val="center"/>
          </w:tcPr>
          <w:p w14:paraId="1686F515" w14:textId="77777777" w:rsidR="003549FC" w:rsidRPr="00325529" w:rsidRDefault="003549FC" w:rsidP="002D5790">
            <w:pPr>
              <w:spacing w:after="0"/>
              <w:jc w:val="center"/>
              <w:rPr>
                <w:b/>
                <w:sz w:val="18"/>
              </w:rPr>
            </w:pPr>
          </w:p>
        </w:tc>
        <w:tc>
          <w:tcPr>
            <w:tcW w:w="731" w:type="pct"/>
            <w:shd w:val="clear" w:color="auto" w:fill="408BCA"/>
            <w:vAlign w:val="center"/>
          </w:tcPr>
          <w:p w14:paraId="5274E711" w14:textId="77777777" w:rsidR="003549FC" w:rsidRPr="000D4227" w:rsidRDefault="003549FC" w:rsidP="002D5790">
            <w:pPr>
              <w:spacing w:after="0"/>
              <w:jc w:val="center"/>
              <w:rPr>
                <w:b/>
                <w:color w:val="FFFFFF" w:themeColor="background1"/>
                <w:sz w:val="18"/>
              </w:rPr>
            </w:pPr>
            <w:r w:rsidRPr="000D4227">
              <w:rPr>
                <w:b/>
                <w:color w:val="FFFFFF" w:themeColor="background1"/>
                <w:sz w:val="18"/>
              </w:rPr>
              <w:t>Interim 2019</w:t>
            </w:r>
          </w:p>
        </w:tc>
        <w:tc>
          <w:tcPr>
            <w:tcW w:w="731" w:type="pct"/>
            <w:shd w:val="clear" w:color="auto" w:fill="408BCA"/>
            <w:vAlign w:val="center"/>
          </w:tcPr>
          <w:p w14:paraId="69D1591B" w14:textId="77777777" w:rsidR="003549FC" w:rsidRPr="000D4227" w:rsidRDefault="003549FC" w:rsidP="002D5790">
            <w:pPr>
              <w:spacing w:after="0"/>
              <w:jc w:val="center"/>
              <w:rPr>
                <w:b/>
                <w:color w:val="FFFFFF" w:themeColor="background1"/>
                <w:sz w:val="18"/>
              </w:rPr>
            </w:pPr>
            <w:r w:rsidRPr="000D4227">
              <w:rPr>
                <w:b/>
                <w:color w:val="FFFFFF" w:themeColor="background1"/>
                <w:sz w:val="18"/>
              </w:rPr>
              <w:t>Interim 2020</w:t>
            </w:r>
          </w:p>
        </w:tc>
        <w:tc>
          <w:tcPr>
            <w:tcW w:w="732" w:type="pct"/>
            <w:shd w:val="clear" w:color="auto" w:fill="408BCA"/>
            <w:vAlign w:val="center"/>
          </w:tcPr>
          <w:p w14:paraId="1F544A29" w14:textId="77777777" w:rsidR="003549FC" w:rsidRPr="000D4227" w:rsidRDefault="003549FC" w:rsidP="002D5790">
            <w:pPr>
              <w:spacing w:after="0"/>
              <w:jc w:val="center"/>
              <w:rPr>
                <w:b/>
                <w:color w:val="FFFFFF" w:themeColor="background1"/>
                <w:sz w:val="18"/>
              </w:rPr>
            </w:pPr>
            <w:r w:rsidRPr="000D4227">
              <w:rPr>
                <w:b/>
                <w:color w:val="FFFFFF" w:themeColor="background1"/>
                <w:sz w:val="18"/>
              </w:rPr>
              <w:t>Final report 2021</w:t>
            </w:r>
          </w:p>
        </w:tc>
      </w:tr>
      <w:tr w:rsidR="003549FC" w:rsidRPr="00325529" w14:paraId="6453870C" w14:textId="77777777" w:rsidTr="00A4718B">
        <w:tc>
          <w:tcPr>
            <w:tcW w:w="1315" w:type="pct"/>
          </w:tcPr>
          <w:p w14:paraId="490CC694" w14:textId="77777777" w:rsidR="003549FC" w:rsidRPr="00325529" w:rsidRDefault="003549FC" w:rsidP="0048466A">
            <w:pPr>
              <w:spacing w:after="0"/>
              <w:rPr>
                <w:sz w:val="18"/>
              </w:rPr>
            </w:pPr>
            <w:r>
              <w:rPr>
                <w:sz w:val="18"/>
              </w:rPr>
              <w:t>Patient surveys</w:t>
            </w:r>
          </w:p>
        </w:tc>
        <w:tc>
          <w:tcPr>
            <w:tcW w:w="702" w:type="pct"/>
          </w:tcPr>
          <w:p w14:paraId="0A2AEAD2" w14:textId="77777777" w:rsidR="003549FC" w:rsidRPr="00325529" w:rsidRDefault="003549FC" w:rsidP="0048466A">
            <w:pPr>
              <w:spacing w:after="0"/>
              <w:jc w:val="center"/>
              <w:rPr>
                <w:sz w:val="18"/>
              </w:rPr>
            </w:pPr>
            <w:r>
              <w:rPr>
                <w:sz w:val="18"/>
              </w:rPr>
              <w:t>3, 6</w:t>
            </w:r>
          </w:p>
        </w:tc>
        <w:tc>
          <w:tcPr>
            <w:tcW w:w="789" w:type="pct"/>
          </w:tcPr>
          <w:p w14:paraId="2B7F1F9B" w14:textId="77777777" w:rsidR="003549FC" w:rsidRPr="00325529" w:rsidRDefault="003549FC" w:rsidP="0048466A">
            <w:pPr>
              <w:spacing w:after="0"/>
              <w:jc w:val="center"/>
              <w:rPr>
                <w:sz w:val="18"/>
              </w:rPr>
            </w:pPr>
            <w:r w:rsidRPr="00325529">
              <w:rPr>
                <w:sz w:val="18"/>
              </w:rPr>
              <w:t>Primary</w:t>
            </w:r>
          </w:p>
        </w:tc>
        <w:tc>
          <w:tcPr>
            <w:tcW w:w="731" w:type="pct"/>
          </w:tcPr>
          <w:p w14:paraId="46EC4251" w14:textId="77777777" w:rsidR="003549FC" w:rsidRPr="00993F50" w:rsidRDefault="003549FC" w:rsidP="0048466A">
            <w:pPr>
              <w:spacing w:after="0"/>
              <w:jc w:val="center"/>
              <w:rPr>
                <w:sz w:val="18"/>
                <w:highlight w:val="yellow"/>
              </w:rPr>
            </w:pPr>
            <w:r>
              <w:rPr>
                <w:sz w:val="18"/>
              </w:rPr>
              <w:t>Wave 1 (baseline)</w:t>
            </w:r>
          </w:p>
        </w:tc>
        <w:tc>
          <w:tcPr>
            <w:tcW w:w="731" w:type="pct"/>
          </w:tcPr>
          <w:p w14:paraId="70B9026D" w14:textId="77777777" w:rsidR="003549FC" w:rsidRPr="00A32DC6" w:rsidRDefault="003549FC" w:rsidP="0048466A">
            <w:pPr>
              <w:spacing w:after="0"/>
              <w:jc w:val="center"/>
              <w:rPr>
                <w:sz w:val="18"/>
              </w:rPr>
            </w:pPr>
            <w:proofErr w:type="spellStart"/>
            <w:r>
              <w:rPr>
                <w:sz w:val="18"/>
              </w:rPr>
              <w:t>n.a.</w:t>
            </w:r>
            <w:proofErr w:type="spellEnd"/>
          </w:p>
        </w:tc>
        <w:tc>
          <w:tcPr>
            <w:tcW w:w="732" w:type="pct"/>
          </w:tcPr>
          <w:p w14:paraId="049F0A1C" w14:textId="77777777" w:rsidR="003549FC" w:rsidRPr="00A32DC6" w:rsidRDefault="003549FC" w:rsidP="0048466A">
            <w:pPr>
              <w:spacing w:after="0"/>
              <w:jc w:val="center"/>
              <w:rPr>
                <w:sz w:val="18"/>
              </w:rPr>
            </w:pPr>
            <w:r>
              <w:rPr>
                <w:sz w:val="18"/>
              </w:rPr>
              <w:t>Waves 1, 2 and 3</w:t>
            </w:r>
          </w:p>
        </w:tc>
      </w:tr>
      <w:tr w:rsidR="003549FC" w:rsidRPr="00325529" w14:paraId="72C9F801" w14:textId="77777777" w:rsidTr="00A4718B">
        <w:tc>
          <w:tcPr>
            <w:tcW w:w="1315" w:type="pct"/>
          </w:tcPr>
          <w:p w14:paraId="7370BE02" w14:textId="77777777" w:rsidR="003549FC" w:rsidRPr="00325529" w:rsidRDefault="003549FC" w:rsidP="0048466A">
            <w:pPr>
              <w:spacing w:after="0"/>
              <w:rPr>
                <w:sz w:val="18"/>
              </w:rPr>
            </w:pPr>
            <w:r w:rsidRPr="00325529">
              <w:rPr>
                <w:sz w:val="18"/>
              </w:rPr>
              <w:t>Practice surveys</w:t>
            </w:r>
          </w:p>
        </w:tc>
        <w:tc>
          <w:tcPr>
            <w:tcW w:w="702" w:type="pct"/>
          </w:tcPr>
          <w:p w14:paraId="47364D16" w14:textId="77777777" w:rsidR="003549FC" w:rsidRPr="00325529" w:rsidRDefault="003549FC" w:rsidP="0048466A">
            <w:pPr>
              <w:spacing w:after="0"/>
              <w:jc w:val="center"/>
              <w:rPr>
                <w:sz w:val="18"/>
              </w:rPr>
            </w:pPr>
            <w:r>
              <w:rPr>
                <w:sz w:val="18"/>
              </w:rPr>
              <w:t>1, 2, 4</w:t>
            </w:r>
          </w:p>
        </w:tc>
        <w:tc>
          <w:tcPr>
            <w:tcW w:w="789" w:type="pct"/>
          </w:tcPr>
          <w:p w14:paraId="0938104C" w14:textId="77777777" w:rsidR="003549FC" w:rsidRPr="00325529" w:rsidRDefault="003549FC" w:rsidP="0048466A">
            <w:pPr>
              <w:spacing w:after="0"/>
              <w:jc w:val="center"/>
              <w:rPr>
                <w:sz w:val="18"/>
              </w:rPr>
            </w:pPr>
            <w:r w:rsidRPr="00325529">
              <w:rPr>
                <w:sz w:val="18"/>
              </w:rPr>
              <w:t>Primary</w:t>
            </w:r>
          </w:p>
        </w:tc>
        <w:tc>
          <w:tcPr>
            <w:tcW w:w="731" w:type="pct"/>
          </w:tcPr>
          <w:p w14:paraId="46D5FC24" w14:textId="77777777" w:rsidR="003549FC" w:rsidRPr="00993F50" w:rsidRDefault="003549FC" w:rsidP="0048466A">
            <w:pPr>
              <w:spacing w:after="0"/>
              <w:jc w:val="center"/>
              <w:rPr>
                <w:sz w:val="18"/>
                <w:highlight w:val="yellow"/>
              </w:rPr>
            </w:pPr>
            <w:r>
              <w:rPr>
                <w:sz w:val="18"/>
              </w:rPr>
              <w:t>R1 R2</w:t>
            </w:r>
          </w:p>
        </w:tc>
        <w:tc>
          <w:tcPr>
            <w:tcW w:w="731" w:type="pct"/>
          </w:tcPr>
          <w:p w14:paraId="1A36C453" w14:textId="77777777" w:rsidR="003549FC" w:rsidRPr="00993F50" w:rsidRDefault="003549FC" w:rsidP="0048466A">
            <w:pPr>
              <w:spacing w:after="0"/>
              <w:jc w:val="center"/>
              <w:rPr>
                <w:sz w:val="18"/>
                <w:highlight w:val="yellow"/>
              </w:rPr>
            </w:pPr>
            <w:r>
              <w:rPr>
                <w:sz w:val="18"/>
              </w:rPr>
              <w:t>R4</w:t>
            </w:r>
          </w:p>
        </w:tc>
        <w:tc>
          <w:tcPr>
            <w:tcW w:w="732" w:type="pct"/>
          </w:tcPr>
          <w:p w14:paraId="4216766C" w14:textId="77777777" w:rsidR="003549FC" w:rsidRPr="00993F50" w:rsidRDefault="003549FC" w:rsidP="0048466A">
            <w:pPr>
              <w:spacing w:after="0"/>
              <w:jc w:val="center"/>
              <w:rPr>
                <w:sz w:val="18"/>
                <w:highlight w:val="yellow"/>
              </w:rPr>
            </w:pPr>
            <w:r>
              <w:rPr>
                <w:sz w:val="18"/>
              </w:rPr>
              <w:t>R1 R2 R4 R5</w:t>
            </w:r>
          </w:p>
        </w:tc>
      </w:tr>
      <w:tr w:rsidR="003549FC" w:rsidRPr="00325529" w14:paraId="6B25A795" w14:textId="77777777" w:rsidTr="00A4718B">
        <w:tc>
          <w:tcPr>
            <w:tcW w:w="1315" w:type="pct"/>
          </w:tcPr>
          <w:p w14:paraId="493C3859" w14:textId="77777777" w:rsidR="003549FC" w:rsidRPr="00325529" w:rsidRDefault="003549FC" w:rsidP="0048466A">
            <w:pPr>
              <w:spacing w:after="0"/>
              <w:rPr>
                <w:sz w:val="18"/>
              </w:rPr>
            </w:pPr>
            <w:r w:rsidRPr="00325529">
              <w:rPr>
                <w:sz w:val="18"/>
              </w:rPr>
              <w:t>Practice staff surveys</w:t>
            </w:r>
          </w:p>
        </w:tc>
        <w:tc>
          <w:tcPr>
            <w:tcW w:w="702" w:type="pct"/>
          </w:tcPr>
          <w:p w14:paraId="264A7D15" w14:textId="77777777" w:rsidR="003549FC" w:rsidRPr="00325529" w:rsidRDefault="003549FC" w:rsidP="0048466A">
            <w:pPr>
              <w:spacing w:after="0"/>
              <w:jc w:val="center"/>
              <w:rPr>
                <w:sz w:val="18"/>
              </w:rPr>
            </w:pPr>
            <w:r>
              <w:rPr>
                <w:sz w:val="18"/>
              </w:rPr>
              <w:t>1, 2, 4, 5, 7</w:t>
            </w:r>
          </w:p>
        </w:tc>
        <w:tc>
          <w:tcPr>
            <w:tcW w:w="789" w:type="pct"/>
          </w:tcPr>
          <w:p w14:paraId="12AD64CD" w14:textId="77777777" w:rsidR="003549FC" w:rsidRPr="00325529" w:rsidRDefault="003549FC" w:rsidP="0048466A">
            <w:pPr>
              <w:spacing w:after="0"/>
              <w:jc w:val="center"/>
              <w:rPr>
                <w:sz w:val="18"/>
              </w:rPr>
            </w:pPr>
            <w:r w:rsidRPr="00325529">
              <w:rPr>
                <w:sz w:val="18"/>
              </w:rPr>
              <w:t>Primary</w:t>
            </w:r>
          </w:p>
        </w:tc>
        <w:tc>
          <w:tcPr>
            <w:tcW w:w="731" w:type="pct"/>
          </w:tcPr>
          <w:p w14:paraId="2100BB9B" w14:textId="77777777" w:rsidR="003549FC" w:rsidRPr="00D2731A" w:rsidRDefault="003549FC" w:rsidP="0048466A">
            <w:pPr>
              <w:spacing w:after="0"/>
              <w:jc w:val="center"/>
              <w:rPr>
                <w:sz w:val="18"/>
                <w:highlight w:val="yellow"/>
              </w:rPr>
            </w:pPr>
            <w:r>
              <w:rPr>
                <w:sz w:val="18"/>
              </w:rPr>
              <w:t>R1</w:t>
            </w:r>
          </w:p>
        </w:tc>
        <w:tc>
          <w:tcPr>
            <w:tcW w:w="731" w:type="pct"/>
          </w:tcPr>
          <w:p w14:paraId="3429E673" w14:textId="77777777" w:rsidR="003549FC" w:rsidRPr="00D2731A" w:rsidRDefault="003549FC" w:rsidP="0048466A">
            <w:pPr>
              <w:spacing w:after="0"/>
              <w:jc w:val="center"/>
              <w:rPr>
                <w:sz w:val="18"/>
                <w:highlight w:val="yellow"/>
              </w:rPr>
            </w:pPr>
            <w:proofErr w:type="spellStart"/>
            <w:r>
              <w:rPr>
                <w:sz w:val="18"/>
              </w:rPr>
              <w:t>n.a.</w:t>
            </w:r>
            <w:proofErr w:type="spellEnd"/>
          </w:p>
        </w:tc>
        <w:tc>
          <w:tcPr>
            <w:tcW w:w="732" w:type="pct"/>
          </w:tcPr>
          <w:p w14:paraId="467AAC02" w14:textId="77777777" w:rsidR="003549FC" w:rsidRPr="00D2731A" w:rsidRDefault="003549FC" w:rsidP="0048466A">
            <w:pPr>
              <w:spacing w:after="0"/>
              <w:jc w:val="center"/>
              <w:rPr>
                <w:sz w:val="18"/>
                <w:highlight w:val="yellow"/>
              </w:rPr>
            </w:pPr>
            <w:r>
              <w:rPr>
                <w:sz w:val="18"/>
              </w:rPr>
              <w:t>R1 R5</w:t>
            </w:r>
          </w:p>
        </w:tc>
      </w:tr>
      <w:tr w:rsidR="003549FC" w:rsidRPr="00325529" w14:paraId="1E783119" w14:textId="77777777" w:rsidTr="00A4718B">
        <w:tc>
          <w:tcPr>
            <w:tcW w:w="1315" w:type="pct"/>
          </w:tcPr>
          <w:p w14:paraId="1E9AFDAF" w14:textId="77777777" w:rsidR="003549FC" w:rsidRPr="00325529" w:rsidRDefault="003549FC" w:rsidP="0048466A">
            <w:pPr>
              <w:spacing w:after="0"/>
              <w:rPr>
                <w:sz w:val="18"/>
              </w:rPr>
            </w:pPr>
            <w:r w:rsidRPr="00325529">
              <w:rPr>
                <w:sz w:val="18"/>
              </w:rPr>
              <w:t>PHN surveys</w:t>
            </w:r>
          </w:p>
        </w:tc>
        <w:tc>
          <w:tcPr>
            <w:tcW w:w="702" w:type="pct"/>
          </w:tcPr>
          <w:p w14:paraId="3B02F479" w14:textId="77777777" w:rsidR="003549FC" w:rsidRPr="00325529" w:rsidRDefault="003549FC" w:rsidP="0048466A">
            <w:pPr>
              <w:spacing w:after="0"/>
              <w:jc w:val="center"/>
              <w:rPr>
                <w:sz w:val="18"/>
              </w:rPr>
            </w:pPr>
            <w:r>
              <w:rPr>
                <w:sz w:val="18"/>
              </w:rPr>
              <w:t>1, 2, 4</w:t>
            </w:r>
          </w:p>
        </w:tc>
        <w:tc>
          <w:tcPr>
            <w:tcW w:w="789" w:type="pct"/>
          </w:tcPr>
          <w:p w14:paraId="7B698DE3" w14:textId="77777777" w:rsidR="003549FC" w:rsidRPr="00325529" w:rsidRDefault="003549FC" w:rsidP="0048466A">
            <w:pPr>
              <w:spacing w:after="0"/>
              <w:jc w:val="center"/>
              <w:rPr>
                <w:sz w:val="18"/>
              </w:rPr>
            </w:pPr>
            <w:r w:rsidRPr="00325529">
              <w:rPr>
                <w:sz w:val="18"/>
              </w:rPr>
              <w:t>Primary</w:t>
            </w:r>
          </w:p>
        </w:tc>
        <w:tc>
          <w:tcPr>
            <w:tcW w:w="731" w:type="pct"/>
          </w:tcPr>
          <w:p w14:paraId="1B7525B1" w14:textId="6C323AB1" w:rsidR="003549FC" w:rsidRPr="00D2731A" w:rsidRDefault="003549FC" w:rsidP="0048466A">
            <w:pPr>
              <w:spacing w:after="0"/>
              <w:jc w:val="center"/>
              <w:rPr>
                <w:sz w:val="18"/>
                <w:highlight w:val="yellow"/>
              </w:rPr>
            </w:pPr>
            <w:r>
              <w:rPr>
                <w:sz w:val="18"/>
              </w:rPr>
              <w:t>R1</w:t>
            </w:r>
          </w:p>
        </w:tc>
        <w:tc>
          <w:tcPr>
            <w:tcW w:w="731" w:type="pct"/>
          </w:tcPr>
          <w:p w14:paraId="7833C440" w14:textId="77777777" w:rsidR="003549FC" w:rsidRPr="00D2731A" w:rsidRDefault="003549FC" w:rsidP="0048466A">
            <w:pPr>
              <w:spacing w:after="0"/>
              <w:jc w:val="center"/>
              <w:rPr>
                <w:sz w:val="18"/>
                <w:highlight w:val="yellow"/>
              </w:rPr>
            </w:pPr>
            <w:r>
              <w:rPr>
                <w:sz w:val="18"/>
              </w:rPr>
              <w:t>R4</w:t>
            </w:r>
          </w:p>
        </w:tc>
        <w:tc>
          <w:tcPr>
            <w:tcW w:w="732" w:type="pct"/>
          </w:tcPr>
          <w:p w14:paraId="74FCB9FE" w14:textId="23458E56" w:rsidR="003549FC" w:rsidRPr="00D2731A" w:rsidRDefault="003549FC" w:rsidP="0048466A">
            <w:pPr>
              <w:spacing w:after="0"/>
              <w:jc w:val="center"/>
              <w:rPr>
                <w:sz w:val="18"/>
                <w:highlight w:val="yellow"/>
              </w:rPr>
            </w:pPr>
            <w:r>
              <w:rPr>
                <w:sz w:val="18"/>
              </w:rPr>
              <w:t>R1 R4 R5</w:t>
            </w:r>
          </w:p>
        </w:tc>
      </w:tr>
      <w:tr w:rsidR="003549FC" w:rsidRPr="00325529" w14:paraId="78AB8B7B" w14:textId="77777777" w:rsidTr="00A4718B">
        <w:tc>
          <w:tcPr>
            <w:tcW w:w="1315" w:type="pct"/>
          </w:tcPr>
          <w:p w14:paraId="04004E3F" w14:textId="77777777" w:rsidR="003549FC" w:rsidRPr="00325529" w:rsidRDefault="003549FC" w:rsidP="0048466A">
            <w:pPr>
              <w:spacing w:after="0"/>
              <w:rPr>
                <w:sz w:val="18"/>
              </w:rPr>
            </w:pPr>
            <w:r w:rsidRPr="00325529">
              <w:rPr>
                <w:sz w:val="18"/>
              </w:rPr>
              <w:t>PHN interviews</w:t>
            </w:r>
          </w:p>
        </w:tc>
        <w:tc>
          <w:tcPr>
            <w:tcW w:w="702" w:type="pct"/>
          </w:tcPr>
          <w:p w14:paraId="1AC68947" w14:textId="77777777" w:rsidR="003549FC" w:rsidRPr="00325529" w:rsidRDefault="003549FC" w:rsidP="0048466A">
            <w:pPr>
              <w:spacing w:after="0"/>
              <w:jc w:val="center"/>
              <w:rPr>
                <w:sz w:val="18"/>
              </w:rPr>
            </w:pPr>
            <w:r>
              <w:rPr>
                <w:sz w:val="18"/>
              </w:rPr>
              <w:t>1, 2, 4, 5, 7</w:t>
            </w:r>
          </w:p>
        </w:tc>
        <w:tc>
          <w:tcPr>
            <w:tcW w:w="789" w:type="pct"/>
          </w:tcPr>
          <w:p w14:paraId="4D8D19B8" w14:textId="77777777" w:rsidR="003549FC" w:rsidRPr="00325529" w:rsidRDefault="003549FC" w:rsidP="0048466A">
            <w:pPr>
              <w:spacing w:after="0"/>
              <w:jc w:val="center"/>
              <w:rPr>
                <w:sz w:val="18"/>
              </w:rPr>
            </w:pPr>
            <w:r w:rsidRPr="00325529">
              <w:rPr>
                <w:sz w:val="18"/>
              </w:rPr>
              <w:t>Primary</w:t>
            </w:r>
          </w:p>
        </w:tc>
        <w:tc>
          <w:tcPr>
            <w:tcW w:w="731" w:type="pct"/>
          </w:tcPr>
          <w:p w14:paraId="39209923" w14:textId="77777777" w:rsidR="003549FC" w:rsidRPr="00D2731A" w:rsidRDefault="003549FC" w:rsidP="0048466A">
            <w:pPr>
              <w:spacing w:after="0"/>
              <w:jc w:val="center"/>
              <w:rPr>
                <w:sz w:val="18"/>
                <w:highlight w:val="yellow"/>
              </w:rPr>
            </w:pPr>
            <w:r>
              <w:rPr>
                <w:sz w:val="18"/>
              </w:rPr>
              <w:t>R1 R2</w:t>
            </w:r>
          </w:p>
        </w:tc>
        <w:tc>
          <w:tcPr>
            <w:tcW w:w="731" w:type="pct"/>
          </w:tcPr>
          <w:p w14:paraId="329F9FC5" w14:textId="77777777" w:rsidR="003549FC" w:rsidRPr="00D2731A" w:rsidRDefault="003549FC" w:rsidP="0048466A">
            <w:pPr>
              <w:spacing w:after="0"/>
              <w:jc w:val="center"/>
              <w:rPr>
                <w:sz w:val="18"/>
                <w:highlight w:val="yellow"/>
              </w:rPr>
            </w:pPr>
            <w:r>
              <w:rPr>
                <w:sz w:val="18"/>
              </w:rPr>
              <w:t>R4</w:t>
            </w:r>
          </w:p>
        </w:tc>
        <w:tc>
          <w:tcPr>
            <w:tcW w:w="732" w:type="pct"/>
          </w:tcPr>
          <w:p w14:paraId="30C10A0E" w14:textId="77777777" w:rsidR="003549FC" w:rsidRPr="00D2731A" w:rsidRDefault="003549FC" w:rsidP="0048466A">
            <w:pPr>
              <w:spacing w:after="0"/>
              <w:jc w:val="center"/>
              <w:rPr>
                <w:sz w:val="18"/>
                <w:highlight w:val="yellow"/>
              </w:rPr>
            </w:pPr>
            <w:r>
              <w:rPr>
                <w:sz w:val="18"/>
              </w:rPr>
              <w:t>R1 R2 R4 R5</w:t>
            </w:r>
          </w:p>
        </w:tc>
      </w:tr>
      <w:tr w:rsidR="003549FC" w:rsidRPr="00325529" w14:paraId="1B07D56E" w14:textId="77777777" w:rsidTr="00A4718B">
        <w:trPr>
          <w:trHeight w:val="293"/>
        </w:trPr>
        <w:tc>
          <w:tcPr>
            <w:tcW w:w="1315" w:type="pct"/>
          </w:tcPr>
          <w:p w14:paraId="6812EA10" w14:textId="77777777" w:rsidR="003549FC" w:rsidRPr="00A32DC6" w:rsidRDefault="003549FC" w:rsidP="0048466A">
            <w:pPr>
              <w:spacing w:after="0"/>
              <w:rPr>
                <w:sz w:val="18"/>
              </w:rPr>
            </w:pPr>
            <w:r>
              <w:rPr>
                <w:sz w:val="18"/>
              </w:rPr>
              <w:t>Case studies</w:t>
            </w:r>
            <w:r>
              <w:rPr>
                <w:sz w:val="18"/>
                <w:vertAlign w:val="superscript"/>
              </w:rPr>
              <w:t>1</w:t>
            </w:r>
          </w:p>
        </w:tc>
        <w:tc>
          <w:tcPr>
            <w:tcW w:w="702" w:type="pct"/>
          </w:tcPr>
          <w:p w14:paraId="38AA55BC" w14:textId="77777777" w:rsidR="003549FC" w:rsidRPr="00325529" w:rsidRDefault="003549FC" w:rsidP="0048466A">
            <w:pPr>
              <w:spacing w:after="0"/>
              <w:jc w:val="center"/>
              <w:rPr>
                <w:sz w:val="18"/>
              </w:rPr>
            </w:pPr>
            <w:r>
              <w:rPr>
                <w:sz w:val="18"/>
              </w:rPr>
              <w:t>2, 4, 5, 6, 7</w:t>
            </w:r>
          </w:p>
        </w:tc>
        <w:tc>
          <w:tcPr>
            <w:tcW w:w="789" w:type="pct"/>
          </w:tcPr>
          <w:p w14:paraId="79A7D2AD" w14:textId="77777777" w:rsidR="003549FC" w:rsidRPr="00325529" w:rsidRDefault="003549FC" w:rsidP="0048466A">
            <w:pPr>
              <w:spacing w:after="0"/>
              <w:jc w:val="center"/>
              <w:rPr>
                <w:sz w:val="18"/>
              </w:rPr>
            </w:pPr>
            <w:r w:rsidRPr="00325529">
              <w:rPr>
                <w:sz w:val="18"/>
              </w:rPr>
              <w:t>Primary</w:t>
            </w:r>
          </w:p>
        </w:tc>
        <w:tc>
          <w:tcPr>
            <w:tcW w:w="731" w:type="pct"/>
          </w:tcPr>
          <w:p w14:paraId="364A3EB2" w14:textId="77777777" w:rsidR="003549FC" w:rsidRPr="00D2731A" w:rsidRDefault="003549FC" w:rsidP="0048466A">
            <w:pPr>
              <w:spacing w:after="0"/>
              <w:jc w:val="center"/>
              <w:rPr>
                <w:sz w:val="18"/>
                <w:highlight w:val="yellow"/>
              </w:rPr>
            </w:pPr>
            <w:r>
              <w:rPr>
                <w:sz w:val="18"/>
              </w:rPr>
              <w:t>R2</w:t>
            </w:r>
          </w:p>
        </w:tc>
        <w:tc>
          <w:tcPr>
            <w:tcW w:w="731" w:type="pct"/>
          </w:tcPr>
          <w:p w14:paraId="5953F247" w14:textId="77777777" w:rsidR="003549FC" w:rsidRPr="00D2731A" w:rsidRDefault="003549FC" w:rsidP="0048466A">
            <w:pPr>
              <w:spacing w:after="0"/>
              <w:jc w:val="center"/>
              <w:rPr>
                <w:sz w:val="18"/>
                <w:highlight w:val="yellow"/>
              </w:rPr>
            </w:pPr>
            <w:r>
              <w:rPr>
                <w:sz w:val="18"/>
              </w:rPr>
              <w:t>R4</w:t>
            </w:r>
          </w:p>
        </w:tc>
        <w:tc>
          <w:tcPr>
            <w:tcW w:w="732" w:type="pct"/>
          </w:tcPr>
          <w:p w14:paraId="04826FCE" w14:textId="77777777" w:rsidR="003549FC" w:rsidRPr="00D2731A" w:rsidRDefault="003549FC" w:rsidP="0048466A">
            <w:pPr>
              <w:spacing w:after="0"/>
              <w:jc w:val="center"/>
              <w:rPr>
                <w:sz w:val="18"/>
                <w:highlight w:val="yellow"/>
              </w:rPr>
            </w:pPr>
            <w:r>
              <w:rPr>
                <w:sz w:val="18"/>
              </w:rPr>
              <w:t>R1 R2 R4 R5</w:t>
            </w:r>
          </w:p>
        </w:tc>
      </w:tr>
      <w:tr w:rsidR="003549FC" w:rsidRPr="00325529" w14:paraId="505E7945" w14:textId="77777777" w:rsidTr="00A4718B">
        <w:tc>
          <w:tcPr>
            <w:tcW w:w="1315" w:type="pct"/>
          </w:tcPr>
          <w:p w14:paraId="16939B27" w14:textId="77777777" w:rsidR="003549FC" w:rsidRPr="00325529" w:rsidRDefault="003549FC" w:rsidP="0048466A">
            <w:pPr>
              <w:spacing w:after="0"/>
              <w:rPr>
                <w:sz w:val="18"/>
              </w:rPr>
            </w:pPr>
            <w:r w:rsidRPr="00325529">
              <w:rPr>
                <w:sz w:val="18"/>
              </w:rPr>
              <w:t>HCH program data</w:t>
            </w:r>
            <w:r>
              <w:rPr>
                <w:sz w:val="18"/>
                <w:vertAlign w:val="superscript"/>
              </w:rPr>
              <w:t>2</w:t>
            </w:r>
          </w:p>
        </w:tc>
        <w:tc>
          <w:tcPr>
            <w:tcW w:w="702" w:type="pct"/>
          </w:tcPr>
          <w:p w14:paraId="37B3F7DE" w14:textId="77777777" w:rsidR="003549FC" w:rsidRPr="00325529" w:rsidRDefault="003549FC" w:rsidP="0048466A">
            <w:pPr>
              <w:spacing w:after="0"/>
              <w:jc w:val="center"/>
              <w:rPr>
                <w:sz w:val="18"/>
              </w:rPr>
            </w:pPr>
            <w:r>
              <w:rPr>
                <w:sz w:val="18"/>
              </w:rPr>
              <w:t>1, 4</w:t>
            </w:r>
          </w:p>
        </w:tc>
        <w:tc>
          <w:tcPr>
            <w:tcW w:w="789" w:type="pct"/>
          </w:tcPr>
          <w:p w14:paraId="0E38CB2E" w14:textId="77777777" w:rsidR="003549FC" w:rsidRPr="00325529" w:rsidRDefault="003549FC" w:rsidP="0048466A">
            <w:pPr>
              <w:spacing w:after="0"/>
              <w:jc w:val="center"/>
              <w:rPr>
                <w:sz w:val="18"/>
              </w:rPr>
            </w:pPr>
            <w:r w:rsidRPr="00325529">
              <w:rPr>
                <w:sz w:val="18"/>
              </w:rPr>
              <w:t>Secondary</w:t>
            </w:r>
          </w:p>
        </w:tc>
        <w:tc>
          <w:tcPr>
            <w:tcW w:w="731" w:type="pct"/>
          </w:tcPr>
          <w:p w14:paraId="33D75AC9" w14:textId="77777777" w:rsidR="003549FC" w:rsidRPr="00D2731A" w:rsidRDefault="003549FC" w:rsidP="0048466A">
            <w:pPr>
              <w:spacing w:after="0"/>
              <w:jc w:val="center"/>
              <w:rPr>
                <w:sz w:val="18"/>
              </w:rPr>
            </w:pPr>
            <w:r w:rsidRPr="00D2731A">
              <w:rPr>
                <w:sz w:val="18"/>
              </w:rPr>
              <w:t>Oct 2017</w:t>
            </w:r>
            <w:r>
              <w:rPr>
                <w:sz w:val="18"/>
              </w:rPr>
              <w:t xml:space="preserve"> –Aug </w:t>
            </w:r>
            <w:r w:rsidRPr="00D2731A">
              <w:rPr>
                <w:sz w:val="18"/>
              </w:rPr>
              <w:t>2019</w:t>
            </w:r>
          </w:p>
        </w:tc>
        <w:tc>
          <w:tcPr>
            <w:tcW w:w="731" w:type="pct"/>
          </w:tcPr>
          <w:p w14:paraId="67C297E6" w14:textId="77777777" w:rsidR="003549FC" w:rsidRPr="003D344E" w:rsidRDefault="003549FC" w:rsidP="0048466A">
            <w:pPr>
              <w:spacing w:after="0"/>
              <w:jc w:val="center"/>
              <w:rPr>
                <w:sz w:val="18"/>
              </w:rPr>
            </w:pPr>
            <w:r w:rsidRPr="003D344E">
              <w:rPr>
                <w:sz w:val="18"/>
              </w:rPr>
              <w:t>Oct 2017</w:t>
            </w:r>
            <w:r>
              <w:rPr>
                <w:sz w:val="18"/>
              </w:rPr>
              <w:t xml:space="preserve"> –</w:t>
            </w:r>
            <w:r w:rsidRPr="003D344E">
              <w:rPr>
                <w:sz w:val="18"/>
              </w:rPr>
              <w:t>Jun 2020</w:t>
            </w:r>
          </w:p>
        </w:tc>
        <w:tc>
          <w:tcPr>
            <w:tcW w:w="732" w:type="pct"/>
          </w:tcPr>
          <w:p w14:paraId="51A532A7" w14:textId="77777777" w:rsidR="008726E5" w:rsidRDefault="003549FC" w:rsidP="0048466A">
            <w:pPr>
              <w:spacing w:after="0"/>
              <w:jc w:val="center"/>
              <w:rPr>
                <w:sz w:val="18"/>
              </w:rPr>
            </w:pPr>
            <w:r w:rsidRPr="00D2731A">
              <w:rPr>
                <w:sz w:val="18"/>
              </w:rPr>
              <w:t>Oct 2017</w:t>
            </w:r>
            <w:r>
              <w:rPr>
                <w:sz w:val="18"/>
              </w:rPr>
              <w:t xml:space="preserve"> – </w:t>
            </w:r>
          </w:p>
          <w:p w14:paraId="2F4A4C51" w14:textId="48933A26" w:rsidR="003549FC" w:rsidRPr="00D2731A" w:rsidRDefault="003549FC" w:rsidP="0048466A">
            <w:pPr>
              <w:spacing w:after="0"/>
              <w:jc w:val="center"/>
              <w:rPr>
                <w:sz w:val="18"/>
              </w:rPr>
            </w:pPr>
            <w:r>
              <w:rPr>
                <w:sz w:val="18"/>
              </w:rPr>
              <w:t>Jun</w:t>
            </w:r>
            <w:r w:rsidR="008726E5">
              <w:rPr>
                <w:sz w:val="18"/>
              </w:rPr>
              <w:t>e</w:t>
            </w:r>
            <w:r w:rsidRPr="00D2731A">
              <w:rPr>
                <w:sz w:val="18"/>
              </w:rPr>
              <w:t xml:space="preserve"> 20</w:t>
            </w:r>
            <w:r>
              <w:rPr>
                <w:sz w:val="18"/>
              </w:rPr>
              <w:t>21</w:t>
            </w:r>
          </w:p>
        </w:tc>
      </w:tr>
      <w:tr w:rsidR="003549FC" w:rsidRPr="00325529" w14:paraId="75D94DF7" w14:textId="77777777" w:rsidTr="00A4718B">
        <w:tc>
          <w:tcPr>
            <w:tcW w:w="1315" w:type="pct"/>
          </w:tcPr>
          <w:p w14:paraId="535F2E99" w14:textId="77777777" w:rsidR="003549FC" w:rsidRPr="00325529" w:rsidRDefault="003549FC" w:rsidP="0048466A">
            <w:pPr>
              <w:spacing w:after="0"/>
              <w:rPr>
                <w:sz w:val="18"/>
              </w:rPr>
            </w:pPr>
            <w:r>
              <w:rPr>
                <w:sz w:val="18"/>
              </w:rPr>
              <w:t>Community pharmacy Health Outcomes Data</w:t>
            </w:r>
          </w:p>
        </w:tc>
        <w:tc>
          <w:tcPr>
            <w:tcW w:w="702" w:type="pct"/>
          </w:tcPr>
          <w:p w14:paraId="058B77F5" w14:textId="77777777" w:rsidR="003549FC" w:rsidRDefault="003549FC" w:rsidP="0048466A">
            <w:pPr>
              <w:spacing w:after="0"/>
              <w:jc w:val="center"/>
              <w:rPr>
                <w:sz w:val="18"/>
              </w:rPr>
            </w:pPr>
            <w:r>
              <w:rPr>
                <w:sz w:val="18"/>
              </w:rPr>
              <w:t>5, 6, 7, 8</w:t>
            </w:r>
          </w:p>
        </w:tc>
        <w:tc>
          <w:tcPr>
            <w:tcW w:w="789" w:type="pct"/>
          </w:tcPr>
          <w:p w14:paraId="52859359" w14:textId="77777777" w:rsidR="003549FC" w:rsidRPr="00325529" w:rsidRDefault="003549FC" w:rsidP="0048466A">
            <w:pPr>
              <w:spacing w:after="0"/>
              <w:jc w:val="center"/>
              <w:rPr>
                <w:sz w:val="18"/>
              </w:rPr>
            </w:pPr>
            <w:r w:rsidRPr="00325529">
              <w:rPr>
                <w:sz w:val="18"/>
              </w:rPr>
              <w:t>Secondary</w:t>
            </w:r>
          </w:p>
        </w:tc>
        <w:tc>
          <w:tcPr>
            <w:tcW w:w="731" w:type="pct"/>
          </w:tcPr>
          <w:p w14:paraId="697290A6" w14:textId="77777777" w:rsidR="003549FC" w:rsidRPr="00D2731A" w:rsidRDefault="003549FC" w:rsidP="0048466A">
            <w:pPr>
              <w:spacing w:after="0"/>
              <w:jc w:val="center"/>
              <w:rPr>
                <w:sz w:val="18"/>
              </w:rPr>
            </w:pPr>
            <w:r>
              <w:rPr>
                <w:sz w:val="18"/>
              </w:rPr>
              <w:t xml:space="preserve">July 2018 –June </w:t>
            </w:r>
            <w:r w:rsidRPr="00D2731A">
              <w:rPr>
                <w:sz w:val="18"/>
              </w:rPr>
              <w:t>2019</w:t>
            </w:r>
          </w:p>
        </w:tc>
        <w:tc>
          <w:tcPr>
            <w:tcW w:w="731" w:type="pct"/>
          </w:tcPr>
          <w:p w14:paraId="6B242FE8" w14:textId="77777777" w:rsidR="003549FC" w:rsidRPr="003D344E" w:rsidRDefault="003549FC" w:rsidP="0048466A">
            <w:pPr>
              <w:spacing w:after="0"/>
              <w:jc w:val="center"/>
              <w:rPr>
                <w:sz w:val="18"/>
              </w:rPr>
            </w:pPr>
            <w:r w:rsidRPr="003D344E">
              <w:rPr>
                <w:sz w:val="18"/>
              </w:rPr>
              <w:t>July 2018</w:t>
            </w:r>
            <w:r>
              <w:rPr>
                <w:sz w:val="18"/>
              </w:rPr>
              <w:t xml:space="preserve"> –</w:t>
            </w:r>
            <w:r w:rsidRPr="003D344E">
              <w:rPr>
                <w:sz w:val="18"/>
              </w:rPr>
              <w:t>June 2020</w:t>
            </w:r>
          </w:p>
        </w:tc>
        <w:tc>
          <w:tcPr>
            <w:tcW w:w="732" w:type="pct"/>
          </w:tcPr>
          <w:p w14:paraId="1DA76191" w14:textId="77777777" w:rsidR="008726E5" w:rsidRDefault="003549FC" w:rsidP="0048466A">
            <w:pPr>
              <w:spacing w:after="0"/>
              <w:jc w:val="center"/>
              <w:rPr>
                <w:sz w:val="18"/>
              </w:rPr>
            </w:pPr>
            <w:r>
              <w:rPr>
                <w:sz w:val="18"/>
              </w:rPr>
              <w:t>July 2018 –</w:t>
            </w:r>
          </w:p>
          <w:p w14:paraId="664EBDEE" w14:textId="302885F2" w:rsidR="003549FC" w:rsidRPr="00D2731A" w:rsidRDefault="003549FC" w:rsidP="0048466A">
            <w:pPr>
              <w:spacing w:after="0"/>
              <w:jc w:val="center"/>
              <w:rPr>
                <w:sz w:val="18"/>
              </w:rPr>
            </w:pPr>
            <w:r>
              <w:rPr>
                <w:sz w:val="18"/>
              </w:rPr>
              <w:t xml:space="preserve">June </w:t>
            </w:r>
            <w:r w:rsidRPr="00D2731A">
              <w:rPr>
                <w:sz w:val="18"/>
              </w:rPr>
              <w:t>20</w:t>
            </w:r>
            <w:r>
              <w:rPr>
                <w:sz w:val="18"/>
              </w:rPr>
              <w:t>21</w:t>
            </w:r>
          </w:p>
        </w:tc>
      </w:tr>
      <w:tr w:rsidR="003549FC" w:rsidRPr="00325529" w14:paraId="6CBAB001" w14:textId="77777777" w:rsidTr="00A4718B">
        <w:tc>
          <w:tcPr>
            <w:tcW w:w="1315" w:type="pct"/>
          </w:tcPr>
          <w:p w14:paraId="2C90FC43" w14:textId="77777777" w:rsidR="003549FC" w:rsidRPr="00325529" w:rsidRDefault="003549FC" w:rsidP="0048466A">
            <w:pPr>
              <w:spacing w:after="0"/>
              <w:rPr>
                <w:sz w:val="18"/>
              </w:rPr>
            </w:pPr>
            <w:r w:rsidRPr="00325529">
              <w:rPr>
                <w:sz w:val="18"/>
              </w:rPr>
              <w:t xml:space="preserve">Risk stratification </w:t>
            </w:r>
          </w:p>
        </w:tc>
        <w:tc>
          <w:tcPr>
            <w:tcW w:w="702" w:type="pct"/>
          </w:tcPr>
          <w:p w14:paraId="512A4FCF" w14:textId="77777777" w:rsidR="003549FC" w:rsidRPr="00325529" w:rsidRDefault="003549FC" w:rsidP="0048466A">
            <w:pPr>
              <w:spacing w:after="0"/>
              <w:jc w:val="center"/>
              <w:rPr>
                <w:sz w:val="18"/>
              </w:rPr>
            </w:pPr>
            <w:r>
              <w:rPr>
                <w:sz w:val="18"/>
              </w:rPr>
              <w:t>2</w:t>
            </w:r>
          </w:p>
        </w:tc>
        <w:tc>
          <w:tcPr>
            <w:tcW w:w="789" w:type="pct"/>
          </w:tcPr>
          <w:p w14:paraId="5F449E40" w14:textId="77777777" w:rsidR="003549FC" w:rsidRPr="00325529" w:rsidRDefault="003549FC" w:rsidP="0048466A">
            <w:pPr>
              <w:spacing w:after="0"/>
              <w:jc w:val="center"/>
              <w:rPr>
                <w:sz w:val="18"/>
              </w:rPr>
            </w:pPr>
            <w:r w:rsidRPr="00325529">
              <w:rPr>
                <w:sz w:val="18"/>
              </w:rPr>
              <w:t>Secondary</w:t>
            </w:r>
          </w:p>
        </w:tc>
        <w:tc>
          <w:tcPr>
            <w:tcW w:w="731" w:type="pct"/>
          </w:tcPr>
          <w:p w14:paraId="6677E639" w14:textId="77777777" w:rsidR="003549FC" w:rsidRPr="00D2731A" w:rsidRDefault="003549FC" w:rsidP="0048466A">
            <w:pPr>
              <w:spacing w:after="0"/>
              <w:jc w:val="center"/>
              <w:rPr>
                <w:sz w:val="18"/>
              </w:rPr>
            </w:pPr>
            <w:r>
              <w:rPr>
                <w:sz w:val="18"/>
              </w:rPr>
              <w:t xml:space="preserve">July 2018 –June </w:t>
            </w:r>
            <w:r w:rsidRPr="00D2731A">
              <w:rPr>
                <w:sz w:val="18"/>
              </w:rPr>
              <w:t>2019</w:t>
            </w:r>
          </w:p>
        </w:tc>
        <w:tc>
          <w:tcPr>
            <w:tcW w:w="731" w:type="pct"/>
          </w:tcPr>
          <w:p w14:paraId="20C804E8" w14:textId="54288DD5" w:rsidR="003549FC" w:rsidRPr="003D344E" w:rsidRDefault="003549FC" w:rsidP="0048466A">
            <w:pPr>
              <w:spacing w:after="0"/>
              <w:jc w:val="center"/>
              <w:rPr>
                <w:sz w:val="18"/>
              </w:rPr>
            </w:pPr>
            <w:r w:rsidRPr="003D344E">
              <w:rPr>
                <w:sz w:val="18"/>
              </w:rPr>
              <w:t>July 2018</w:t>
            </w:r>
            <w:r>
              <w:rPr>
                <w:sz w:val="18"/>
              </w:rPr>
              <w:t xml:space="preserve"> –</w:t>
            </w:r>
            <w:r w:rsidR="00370AB5">
              <w:rPr>
                <w:sz w:val="18"/>
              </w:rPr>
              <w:t xml:space="preserve"> </w:t>
            </w:r>
            <w:r w:rsidRPr="003D344E">
              <w:rPr>
                <w:sz w:val="18"/>
              </w:rPr>
              <w:t>June 2020</w:t>
            </w:r>
          </w:p>
        </w:tc>
        <w:tc>
          <w:tcPr>
            <w:tcW w:w="732" w:type="pct"/>
          </w:tcPr>
          <w:p w14:paraId="67CFF64B" w14:textId="77777777" w:rsidR="008726E5" w:rsidRDefault="003549FC" w:rsidP="0048466A">
            <w:pPr>
              <w:spacing w:after="0"/>
              <w:jc w:val="center"/>
              <w:rPr>
                <w:sz w:val="18"/>
              </w:rPr>
            </w:pPr>
            <w:r>
              <w:rPr>
                <w:sz w:val="18"/>
              </w:rPr>
              <w:t>July 2018 –</w:t>
            </w:r>
          </w:p>
          <w:p w14:paraId="3470F6D9" w14:textId="64F6B6CE" w:rsidR="003549FC" w:rsidRPr="00D2731A" w:rsidRDefault="003549FC" w:rsidP="0048466A">
            <w:pPr>
              <w:spacing w:after="0"/>
              <w:jc w:val="center"/>
              <w:rPr>
                <w:sz w:val="18"/>
              </w:rPr>
            </w:pPr>
            <w:r>
              <w:rPr>
                <w:sz w:val="18"/>
              </w:rPr>
              <w:t xml:space="preserve">June </w:t>
            </w:r>
            <w:r w:rsidRPr="00D2731A">
              <w:rPr>
                <w:sz w:val="18"/>
              </w:rPr>
              <w:t>20</w:t>
            </w:r>
            <w:r>
              <w:rPr>
                <w:sz w:val="18"/>
              </w:rPr>
              <w:t>21</w:t>
            </w:r>
          </w:p>
        </w:tc>
      </w:tr>
      <w:tr w:rsidR="003549FC" w:rsidRPr="00325529" w14:paraId="0287D66C" w14:textId="77777777" w:rsidTr="00A4718B">
        <w:tc>
          <w:tcPr>
            <w:tcW w:w="1315" w:type="pct"/>
          </w:tcPr>
          <w:p w14:paraId="50FF1A03" w14:textId="790AB201" w:rsidR="003549FC" w:rsidRPr="00325529" w:rsidRDefault="003549FC" w:rsidP="0048466A">
            <w:pPr>
              <w:spacing w:after="0"/>
              <w:rPr>
                <w:sz w:val="18"/>
              </w:rPr>
            </w:pPr>
            <w:r w:rsidRPr="00325529">
              <w:rPr>
                <w:sz w:val="18"/>
              </w:rPr>
              <w:t>Practice extracts</w:t>
            </w:r>
            <w:r w:rsidR="004C70C6">
              <w:rPr>
                <w:sz w:val="18"/>
                <w:vertAlign w:val="superscript"/>
              </w:rPr>
              <w:t>3</w:t>
            </w:r>
          </w:p>
        </w:tc>
        <w:tc>
          <w:tcPr>
            <w:tcW w:w="702" w:type="pct"/>
          </w:tcPr>
          <w:p w14:paraId="6595C479" w14:textId="77777777" w:rsidR="003549FC" w:rsidRPr="00325529" w:rsidRDefault="003549FC" w:rsidP="0048466A">
            <w:pPr>
              <w:spacing w:after="0"/>
              <w:jc w:val="center"/>
              <w:rPr>
                <w:sz w:val="18"/>
              </w:rPr>
            </w:pPr>
            <w:r>
              <w:rPr>
                <w:sz w:val="18"/>
              </w:rPr>
              <w:t>2, 3</w:t>
            </w:r>
          </w:p>
        </w:tc>
        <w:tc>
          <w:tcPr>
            <w:tcW w:w="789" w:type="pct"/>
          </w:tcPr>
          <w:p w14:paraId="3D9F3890" w14:textId="77777777" w:rsidR="003549FC" w:rsidRPr="00325529" w:rsidRDefault="003549FC" w:rsidP="0048466A">
            <w:pPr>
              <w:spacing w:after="0"/>
              <w:jc w:val="center"/>
              <w:rPr>
                <w:sz w:val="18"/>
              </w:rPr>
            </w:pPr>
            <w:r w:rsidRPr="00325529">
              <w:rPr>
                <w:sz w:val="18"/>
              </w:rPr>
              <w:t>Secondary</w:t>
            </w:r>
          </w:p>
        </w:tc>
        <w:tc>
          <w:tcPr>
            <w:tcW w:w="731" w:type="pct"/>
          </w:tcPr>
          <w:p w14:paraId="2049C7A7" w14:textId="752CB4B8" w:rsidR="003549FC" w:rsidRPr="000D4227" w:rsidRDefault="00D07BE5" w:rsidP="0048466A">
            <w:pPr>
              <w:spacing w:after="0"/>
              <w:jc w:val="center"/>
              <w:rPr>
                <w:sz w:val="18"/>
                <w:highlight w:val="yellow"/>
              </w:rPr>
            </w:pPr>
            <w:r>
              <w:rPr>
                <w:sz w:val="18"/>
              </w:rPr>
              <w:t>T</w:t>
            </w:r>
            <w:r w:rsidR="008678FD">
              <w:rPr>
                <w:sz w:val="18"/>
              </w:rPr>
              <w:t xml:space="preserve">o </w:t>
            </w:r>
            <w:r w:rsidR="00B13DC9" w:rsidRPr="00B13DC9">
              <w:rPr>
                <w:sz w:val="18"/>
              </w:rPr>
              <w:t>June 2019</w:t>
            </w:r>
          </w:p>
        </w:tc>
        <w:tc>
          <w:tcPr>
            <w:tcW w:w="731" w:type="pct"/>
          </w:tcPr>
          <w:p w14:paraId="497D1541" w14:textId="18C753DD" w:rsidR="003549FC" w:rsidRPr="000D4227" w:rsidRDefault="00D07BE5" w:rsidP="0048466A">
            <w:pPr>
              <w:spacing w:after="0"/>
              <w:jc w:val="center"/>
              <w:rPr>
                <w:sz w:val="18"/>
                <w:highlight w:val="yellow"/>
              </w:rPr>
            </w:pPr>
            <w:r>
              <w:rPr>
                <w:sz w:val="18"/>
              </w:rPr>
              <w:t>T</w:t>
            </w:r>
            <w:r w:rsidR="008678FD">
              <w:rPr>
                <w:sz w:val="18"/>
              </w:rPr>
              <w:t xml:space="preserve">o </w:t>
            </w:r>
            <w:r w:rsidR="00B13DC9" w:rsidRPr="00B13DC9">
              <w:rPr>
                <w:sz w:val="18"/>
              </w:rPr>
              <w:t>June 2020</w:t>
            </w:r>
          </w:p>
        </w:tc>
        <w:tc>
          <w:tcPr>
            <w:tcW w:w="732" w:type="pct"/>
          </w:tcPr>
          <w:p w14:paraId="5EA5324E" w14:textId="7A3EAF63" w:rsidR="003549FC" w:rsidRPr="000D4227" w:rsidRDefault="00D07BE5" w:rsidP="0048466A">
            <w:pPr>
              <w:spacing w:after="0"/>
              <w:jc w:val="center"/>
              <w:rPr>
                <w:sz w:val="18"/>
                <w:highlight w:val="yellow"/>
              </w:rPr>
            </w:pPr>
            <w:r>
              <w:rPr>
                <w:sz w:val="18"/>
              </w:rPr>
              <w:t>T</w:t>
            </w:r>
            <w:r w:rsidR="008678FD">
              <w:rPr>
                <w:sz w:val="18"/>
              </w:rPr>
              <w:t xml:space="preserve">o </w:t>
            </w:r>
            <w:r w:rsidR="00B13DC9" w:rsidRPr="00B13DC9">
              <w:rPr>
                <w:sz w:val="18"/>
              </w:rPr>
              <w:t>June 2021</w:t>
            </w:r>
          </w:p>
        </w:tc>
      </w:tr>
      <w:tr w:rsidR="003549FC" w:rsidRPr="00325529" w14:paraId="2D0F8FFB" w14:textId="77777777" w:rsidTr="00A4718B">
        <w:trPr>
          <w:trHeight w:val="342"/>
        </w:trPr>
        <w:tc>
          <w:tcPr>
            <w:tcW w:w="1315" w:type="pct"/>
          </w:tcPr>
          <w:p w14:paraId="303998EB" w14:textId="79DC9B8E" w:rsidR="003549FC" w:rsidRPr="00325529" w:rsidRDefault="003549FC" w:rsidP="0048466A">
            <w:pPr>
              <w:spacing w:after="0"/>
              <w:rPr>
                <w:sz w:val="18"/>
              </w:rPr>
            </w:pPr>
            <w:r>
              <w:rPr>
                <w:sz w:val="18"/>
              </w:rPr>
              <w:t>Linked data</w:t>
            </w:r>
            <w:r w:rsidR="004C70C6" w:rsidRPr="004C70C6">
              <w:rPr>
                <w:sz w:val="18"/>
                <w:vertAlign w:val="superscript"/>
              </w:rPr>
              <w:t>4</w:t>
            </w:r>
          </w:p>
        </w:tc>
        <w:tc>
          <w:tcPr>
            <w:tcW w:w="702" w:type="pct"/>
          </w:tcPr>
          <w:p w14:paraId="2CAC453E" w14:textId="77777777" w:rsidR="003549FC" w:rsidRPr="00325529" w:rsidRDefault="003549FC" w:rsidP="0048466A">
            <w:pPr>
              <w:spacing w:after="0"/>
              <w:jc w:val="center"/>
              <w:rPr>
                <w:sz w:val="18"/>
              </w:rPr>
            </w:pPr>
            <w:r>
              <w:rPr>
                <w:sz w:val="18"/>
              </w:rPr>
              <w:t>3, 4</w:t>
            </w:r>
          </w:p>
        </w:tc>
        <w:tc>
          <w:tcPr>
            <w:tcW w:w="789" w:type="pct"/>
          </w:tcPr>
          <w:p w14:paraId="67E92C25" w14:textId="77777777" w:rsidR="003549FC" w:rsidRPr="00325529" w:rsidRDefault="003549FC" w:rsidP="0048466A">
            <w:pPr>
              <w:spacing w:after="0"/>
              <w:jc w:val="center"/>
              <w:rPr>
                <w:sz w:val="18"/>
              </w:rPr>
            </w:pPr>
            <w:r w:rsidRPr="00325529">
              <w:rPr>
                <w:sz w:val="18"/>
              </w:rPr>
              <w:t>Secondary</w:t>
            </w:r>
          </w:p>
        </w:tc>
        <w:tc>
          <w:tcPr>
            <w:tcW w:w="731" w:type="pct"/>
          </w:tcPr>
          <w:p w14:paraId="774F725C" w14:textId="77777777" w:rsidR="003549FC" w:rsidRPr="00D2731A" w:rsidRDefault="003549FC" w:rsidP="0048466A">
            <w:pPr>
              <w:spacing w:after="0"/>
              <w:jc w:val="center"/>
              <w:rPr>
                <w:sz w:val="18"/>
              </w:rPr>
            </w:pPr>
            <w:proofErr w:type="spellStart"/>
            <w:r>
              <w:rPr>
                <w:sz w:val="18"/>
              </w:rPr>
              <w:t>n.a.</w:t>
            </w:r>
            <w:proofErr w:type="spellEnd"/>
          </w:p>
        </w:tc>
        <w:tc>
          <w:tcPr>
            <w:tcW w:w="731" w:type="pct"/>
          </w:tcPr>
          <w:p w14:paraId="3DE33B58" w14:textId="77777777" w:rsidR="003549FC" w:rsidRPr="00A34F92" w:rsidRDefault="003549FC" w:rsidP="0048466A">
            <w:pPr>
              <w:spacing w:after="0"/>
              <w:jc w:val="center"/>
              <w:rPr>
                <w:sz w:val="18"/>
              </w:rPr>
            </w:pPr>
            <w:proofErr w:type="spellStart"/>
            <w:r>
              <w:rPr>
                <w:sz w:val="18"/>
              </w:rPr>
              <w:t>n.a.</w:t>
            </w:r>
            <w:proofErr w:type="spellEnd"/>
          </w:p>
        </w:tc>
        <w:tc>
          <w:tcPr>
            <w:tcW w:w="732" w:type="pct"/>
          </w:tcPr>
          <w:p w14:paraId="516865A0" w14:textId="1971B80A" w:rsidR="003549FC" w:rsidRPr="00A34F92" w:rsidRDefault="00E90BF5" w:rsidP="0048466A">
            <w:pPr>
              <w:spacing w:after="0"/>
              <w:jc w:val="center"/>
              <w:rPr>
                <w:sz w:val="18"/>
              </w:rPr>
            </w:pPr>
            <w:r>
              <w:rPr>
                <w:sz w:val="18"/>
              </w:rPr>
              <w:t>Various</w:t>
            </w:r>
            <w:r w:rsidR="00491F2C" w:rsidRPr="00491F2C">
              <w:rPr>
                <w:sz w:val="18"/>
                <w:vertAlign w:val="superscript"/>
              </w:rPr>
              <w:t>5</w:t>
            </w:r>
          </w:p>
        </w:tc>
      </w:tr>
    </w:tbl>
    <w:p w14:paraId="49135664" w14:textId="299E0958" w:rsidR="003549FC" w:rsidRDefault="00A4718B" w:rsidP="003549FC">
      <w:pPr>
        <w:pStyle w:val="Chartortablefootnote"/>
      </w:pPr>
      <w:r w:rsidRPr="004C5939">
        <w:t xml:space="preserve">Notes: </w:t>
      </w:r>
      <w:r w:rsidR="003549FC" w:rsidRPr="009718ED">
        <w:rPr>
          <w:vertAlign w:val="superscript"/>
        </w:rPr>
        <w:t>1</w:t>
      </w:r>
      <w:r w:rsidR="003549FC">
        <w:rPr>
          <w:vertAlign w:val="superscript"/>
        </w:rPr>
        <w:t> </w:t>
      </w:r>
      <w:r w:rsidR="003549FC" w:rsidRPr="009718ED">
        <w:t>Case studies include patient interviews/focus groups, practice interviews, related provider interviews (</w:t>
      </w:r>
      <w:r w:rsidR="0010747B">
        <w:t>for example,</w:t>
      </w:r>
      <w:r w:rsidR="003549FC" w:rsidRPr="009718ED">
        <w:t xml:space="preserve"> pharmacists, allied health)</w:t>
      </w:r>
      <w:r w:rsidR="003549FC" w:rsidRPr="00A14E16">
        <w:t xml:space="preserve">; </w:t>
      </w:r>
      <w:r w:rsidR="003549FC" w:rsidRPr="00A14E16">
        <w:rPr>
          <w:vertAlign w:val="superscript"/>
        </w:rPr>
        <w:t>2 </w:t>
      </w:r>
      <w:r w:rsidR="005D1BA9">
        <w:t>D</w:t>
      </w:r>
      <w:r w:rsidR="005D1BA9" w:rsidRPr="00A14E16">
        <w:t>ata</w:t>
      </w:r>
      <w:r w:rsidR="00E77601">
        <w:t xml:space="preserve"> related to the administration of the program</w:t>
      </w:r>
      <w:r w:rsidR="005D1BA9" w:rsidRPr="00A14E16">
        <w:t xml:space="preserve"> from</w:t>
      </w:r>
      <w:r w:rsidR="00E77601">
        <w:t xml:space="preserve"> the Department of Health and </w:t>
      </w:r>
      <w:r w:rsidR="005D1BA9" w:rsidRPr="00A14E16">
        <w:t>Services Australia</w:t>
      </w:r>
      <w:r w:rsidR="003549FC" w:rsidRPr="00A14E16">
        <w:t xml:space="preserve">; </w:t>
      </w:r>
      <w:r w:rsidR="004C70C6" w:rsidRPr="00A14E16">
        <w:rPr>
          <w:vertAlign w:val="superscript"/>
        </w:rPr>
        <w:t>3 </w:t>
      </w:r>
      <w:r w:rsidR="004C70C6" w:rsidRPr="00A14E16">
        <w:t>For some practices, data were obtained two years before the start of the trial</w:t>
      </w:r>
      <w:r w:rsidR="00491F2C" w:rsidRPr="00A14E16">
        <w:t xml:space="preserve">, see Volume </w:t>
      </w:r>
      <w:r w:rsidR="00A14E16" w:rsidRPr="00A14E16">
        <w:t>3 for details</w:t>
      </w:r>
      <w:r w:rsidR="004C70C6" w:rsidRPr="00A14E16">
        <w:t xml:space="preserve">; </w:t>
      </w:r>
      <w:r w:rsidR="004C70C6" w:rsidRPr="00A14E16">
        <w:rPr>
          <w:vertAlign w:val="superscript"/>
        </w:rPr>
        <w:t>4</w:t>
      </w:r>
      <w:r w:rsidR="003549FC" w:rsidRPr="00A14E16">
        <w:rPr>
          <w:vertAlign w:val="superscript"/>
        </w:rPr>
        <w:t> </w:t>
      </w:r>
      <w:r w:rsidR="003549FC" w:rsidRPr="00A14E16">
        <w:t>Includes MBS, PBS, hospital, emergency department, aged care, and fact of death data</w:t>
      </w:r>
      <w:bookmarkEnd w:id="25"/>
      <w:r w:rsidR="00491F2C" w:rsidRPr="00A14E16">
        <w:t xml:space="preserve">; </w:t>
      </w:r>
      <w:r w:rsidR="00491F2C" w:rsidRPr="00A14E16">
        <w:rPr>
          <w:vertAlign w:val="superscript"/>
        </w:rPr>
        <w:t>5</w:t>
      </w:r>
      <w:r w:rsidR="00491F2C" w:rsidRPr="00A14E16">
        <w:t xml:space="preserve"> Se</w:t>
      </w:r>
      <w:r w:rsidR="00491F2C">
        <w:t>e Volume 3 for details.</w:t>
      </w:r>
    </w:p>
    <w:p w14:paraId="3ECB6457" w14:textId="2D1195A5" w:rsidR="00500D49" w:rsidRPr="000D4227" w:rsidRDefault="00500D49" w:rsidP="00500D49">
      <w:pPr>
        <w:pStyle w:val="tabletitle"/>
        <w:rPr>
          <w:rStyle w:val="Strong1"/>
          <w:b w:val="0"/>
          <w:bCs/>
          <w:color w:val="1D2455"/>
          <w:sz w:val="20"/>
        </w:rPr>
      </w:pPr>
      <w:bookmarkStart w:id="26" w:name="_Ref53327877"/>
      <w:r w:rsidRPr="000D4227">
        <w:rPr>
          <w:rStyle w:val="Strong1"/>
          <w:b w:val="0"/>
          <w:bCs/>
          <w:color w:val="1D2455"/>
          <w:sz w:val="20"/>
        </w:rPr>
        <w:t xml:space="preserve">Table </w:t>
      </w:r>
      <w:r w:rsidRPr="000D4227">
        <w:rPr>
          <w:rStyle w:val="Strong1"/>
          <w:b w:val="0"/>
          <w:bCs/>
          <w:color w:val="1D2455"/>
          <w:sz w:val="20"/>
        </w:rPr>
        <w:fldChar w:fldCharType="begin"/>
      </w:r>
      <w:r w:rsidRPr="000D4227">
        <w:rPr>
          <w:rStyle w:val="Strong1"/>
          <w:b w:val="0"/>
          <w:bCs/>
          <w:color w:val="1D2455"/>
          <w:sz w:val="20"/>
        </w:rPr>
        <w:instrText xml:space="preserve"> SEQ Table \* ARABIC </w:instrText>
      </w:r>
      <w:r w:rsidRPr="000D4227">
        <w:rPr>
          <w:rStyle w:val="Strong1"/>
          <w:b w:val="0"/>
          <w:bCs/>
          <w:color w:val="1D2455"/>
          <w:sz w:val="20"/>
        </w:rPr>
        <w:fldChar w:fldCharType="separate"/>
      </w:r>
      <w:r w:rsidR="003C4BC2">
        <w:rPr>
          <w:rStyle w:val="Strong1"/>
          <w:b w:val="0"/>
          <w:bCs/>
          <w:noProof/>
          <w:color w:val="1D2455"/>
          <w:sz w:val="20"/>
        </w:rPr>
        <w:t>3</w:t>
      </w:r>
      <w:r w:rsidRPr="000D4227">
        <w:rPr>
          <w:rStyle w:val="Strong1"/>
          <w:b w:val="0"/>
          <w:bCs/>
          <w:color w:val="1D2455"/>
          <w:sz w:val="20"/>
        </w:rPr>
        <w:fldChar w:fldCharType="end"/>
      </w:r>
      <w:bookmarkEnd w:id="26"/>
      <w:r>
        <w:rPr>
          <w:rStyle w:val="Strong1"/>
          <w:b w:val="0"/>
          <w:bCs/>
          <w:color w:val="1D2455"/>
          <w:sz w:val="20"/>
        </w:rPr>
        <w:t xml:space="preserve">: </w:t>
      </w:r>
      <w:r w:rsidR="00330474">
        <w:rPr>
          <w:rStyle w:val="Strong1"/>
          <w:b w:val="0"/>
          <w:bCs/>
          <w:color w:val="1D2455"/>
          <w:sz w:val="20"/>
        </w:rPr>
        <w:t xml:space="preserve">Timing of </w:t>
      </w:r>
      <w:r w:rsidR="00D44153">
        <w:rPr>
          <w:rStyle w:val="Strong1"/>
          <w:b w:val="0"/>
          <w:bCs/>
          <w:color w:val="1D2455"/>
          <w:sz w:val="20"/>
        </w:rPr>
        <w:t xml:space="preserve">primary </w:t>
      </w:r>
      <w:r w:rsidR="00330474">
        <w:rPr>
          <w:rStyle w:val="Strong1"/>
          <w:b w:val="0"/>
          <w:bCs/>
          <w:color w:val="1D2455"/>
          <w:sz w:val="20"/>
        </w:rPr>
        <w:t>data</w:t>
      </w:r>
      <w:r w:rsidRPr="000D4227">
        <w:rPr>
          <w:rStyle w:val="Strong1"/>
          <w:b w:val="0"/>
          <w:bCs/>
          <w:color w:val="1D2455"/>
          <w:sz w:val="20"/>
        </w:rPr>
        <w:t xml:space="preserve"> collection </w:t>
      </w:r>
      <w:r w:rsidR="00330474">
        <w:rPr>
          <w:rStyle w:val="Strong1"/>
          <w:b w:val="0"/>
          <w:bCs/>
          <w:color w:val="1D2455"/>
          <w:sz w:val="20"/>
        </w:rPr>
        <w:t>activities</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140"/>
        <w:gridCol w:w="1752"/>
        <w:gridCol w:w="1397"/>
        <w:gridCol w:w="1576"/>
        <w:gridCol w:w="1575"/>
        <w:gridCol w:w="1576"/>
      </w:tblGrid>
      <w:tr w:rsidR="00500D49" w14:paraId="45BB9C73" w14:textId="77777777" w:rsidTr="00037C98">
        <w:tc>
          <w:tcPr>
            <w:tcW w:w="617" w:type="pct"/>
            <w:shd w:val="clear" w:color="auto" w:fill="408BCA"/>
            <w:vAlign w:val="center"/>
            <w:hideMark/>
          </w:tcPr>
          <w:p w14:paraId="569C1383" w14:textId="6902CB49" w:rsidR="005E17FF" w:rsidRDefault="005E17FF" w:rsidP="00BB1534">
            <w:pPr>
              <w:spacing w:after="0"/>
              <w:jc w:val="center"/>
              <w:rPr>
                <w:b/>
                <w:color w:val="FFFFFF"/>
                <w:sz w:val="18"/>
              </w:rPr>
            </w:pPr>
            <w:r>
              <w:rPr>
                <w:b/>
                <w:color w:val="FFFFFF"/>
                <w:sz w:val="18"/>
              </w:rPr>
              <w:t>Evaluation round</w:t>
            </w:r>
          </w:p>
        </w:tc>
        <w:tc>
          <w:tcPr>
            <w:tcW w:w="975" w:type="pct"/>
            <w:shd w:val="clear" w:color="auto" w:fill="408BCA"/>
            <w:vAlign w:val="center"/>
          </w:tcPr>
          <w:p w14:paraId="1BD53EF1" w14:textId="6A5B7810" w:rsidR="00500D49" w:rsidRDefault="005E17FF" w:rsidP="00365CC2">
            <w:pPr>
              <w:spacing w:after="0"/>
              <w:jc w:val="center"/>
              <w:rPr>
                <w:b/>
                <w:color w:val="FFFFFF"/>
                <w:sz w:val="18"/>
              </w:rPr>
            </w:pPr>
            <w:r>
              <w:rPr>
                <w:b/>
                <w:bCs/>
                <w:color w:val="FFFFFF"/>
                <w:sz w:val="18"/>
              </w:rPr>
              <w:t>Practice surveys and staff surveys</w:t>
            </w:r>
          </w:p>
        </w:tc>
        <w:tc>
          <w:tcPr>
            <w:tcW w:w="778" w:type="pct"/>
            <w:shd w:val="clear" w:color="auto" w:fill="408BCA"/>
            <w:vAlign w:val="center"/>
          </w:tcPr>
          <w:p w14:paraId="03BFFE92" w14:textId="529DF1F6" w:rsidR="005E17FF" w:rsidRDefault="005E17FF" w:rsidP="00BB1534">
            <w:pPr>
              <w:spacing w:after="0"/>
              <w:jc w:val="center"/>
              <w:rPr>
                <w:b/>
                <w:bCs/>
                <w:color w:val="FFFFFF"/>
                <w:sz w:val="18"/>
              </w:rPr>
            </w:pPr>
            <w:r>
              <w:rPr>
                <w:b/>
                <w:bCs/>
                <w:color w:val="FFFFFF"/>
                <w:sz w:val="18"/>
              </w:rPr>
              <w:t>PHN surveys</w:t>
            </w:r>
          </w:p>
        </w:tc>
        <w:tc>
          <w:tcPr>
            <w:tcW w:w="877" w:type="pct"/>
            <w:shd w:val="clear" w:color="auto" w:fill="408BCA"/>
            <w:vAlign w:val="center"/>
          </w:tcPr>
          <w:p w14:paraId="32143D1F" w14:textId="7B8B7299" w:rsidR="005E17FF" w:rsidRDefault="005E17FF" w:rsidP="00BB1534">
            <w:pPr>
              <w:spacing w:after="0"/>
              <w:jc w:val="center"/>
              <w:rPr>
                <w:b/>
                <w:bCs/>
                <w:color w:val="FFFFFF"/>
                <w:sz w:val="18"/>
              </w:rPr>
            </w:pPr>
            <w:r>
              <w:rPr>
                <w:b/>
                <w:bCs/>
                <w:color w:val="FFFFFF"/>
                <w:sz w:val="18"/>
              </w:rPr>
              <w:t>Patient surveys</w:t>
            </w:r>
          </w:p>
        </w:tc>
        <w:tc>
          <w:tcPr>
            <w:tcW w:w="876" w:type="pct"/>
            <w:shd w:val="clear" w:color="auto" w:fill="408BCA"/>
            <w:vAlign w:val="center"/>
          </w:tcPr>
          <w:p w14:paraId="5CD4AA34" w14:textId="3AC500A3" w:rsidR="005E17FF" w:rsidRDefault="005E17FF" w:rsidP="00BB1534">
            <w:pPr>
              <w:spacing w:after="0"/>
              <w:jc w:val="center"/>
              <w:rPr>
                <w:b/>
                <w:bCs/>
                <w:color w:val="FFFFFF"/>
                <w:sz w:val="18"/>
              </w:rPr>
            </w:pPr>
            <w:r>
              <w:rPr>
                <w:b/>
                <w:bCs/>
                <w:color w:val="FFFFFF"/>
                <w:sz w:val="18"/>
              </w:rPr>
              <w:t>PHN interviews</w:t>
            </w:r>
          </w:p>
        </w:tc>
        <w:tc>
          <w:tcPr>
            <w:tcW w:w="877" w:type="pct"/>
            <w:shd w:val="clear" w:color="auto" w:fill="408BCA"/>
            <w:vAlign w:val="center"/>
          </w:tcPr>
          <w:p w14:paraId="0EE64D17" w14:textId="2B3D8F21" w:rsidR="005E17FF" w:rsidRDefault="005E17FF" w:rsidP="00BB1534">
            <w:pPr>
              <w:spacing w:after="0"/>
              <w:jc w:val="center"/>
              <w:rPr>
                <w:b/>
                <w:bCs/>
                <w:color w:val="FFFFFF"/>
                <w:sz w:val="18"/>
              </w:rPr>
            </w:pPr>
            <w:r>
              <w:rPr>
                <w:b/>
                <w:bCs/>
                <w:color w:val="FFFFFF"/>
                <w:sz w:val="18"/>
              </w:rPr>
              <w:t>Case study interviews</w:t>
            </w:r>
          </w:p>
        </w:tc>
      </w:tr>
      <w:tr w:rsidR="00500D49" w14:paraId="3BA97411" w14:textId="77777777" w:rsidTr="00037C98">
        <w:tc>
          <w:tcPr>
            <w:tcW w:w="617" w:type="pct"/>
            <w:hideMark/>
          </w:tcPr>
          <w:p w14:paraId="496DB51A" w14:textId="77777777" w:rsidR="00500D49" w:rsidRDefault="00500D49" w:rsidP="00365CC2">
            <w:pPr>
              <w:spacing w:after="0"/>
              <w:jc w:val="center"/>
              <w:rPr>
                <w:color w:val="000000"/>
                <w:sz w:val="18"/>
              </w:rPr>
            </w:pPr>
            <w:r>
              <w:rPr>
                <w:color w:val="000000"/>
                <w:sz w:val="18"/>
              </w:rPr>
              <w:t>Round 1 (R1)</w:t>
            </w:r>
          </w:p>
        </w:tc>
        <w:tc>
          <w:tcPr>
            <w:tcW w:w="975" w:type="pct"/>
            <w:hideMark/>
          </w:tcPr>
          <w:p w14:paraId="10C991AC" w14:textId="4094A7C4" w:rsidR="00500D49" w:rsidRPr="008952A2" w:rsidRDefault="005E17FF" w:rsidP="00365CC2">
            <w:pPr>
              <w:spacing w:after="0"/>
              <w:jc w:val="center"/>
              <w:rPr>
                <w:color w:val="000000"/>
                <w:sz w:val="18"/>
              </w:rPr>
            </w:pPr>
            <w:r w:rsidRPr="00BD1E3B">
              <w:rPr>
                <w:color w:val="000000"/>
                <w:sz w:val="18"/>
              </w:rPr>
              <w:t>Dec 2017–Jul</w:t>
            </w:r>
            <w:r>
              <w:rPr>
                <w:color w:val="000000"/>
                <w:sz w:val="18"/>
              </w:rPr>
              <w:t> </w:t>
            </w:r>
            <w:r w:rsidRPr="00BD1E3B">
              <w:rPr>
                <w:color w:val="000000"/>
                <w:sz w:val="18"/>
              </w:rPr>
              <w:t>2018</w:t>
            </w:r>
            <w:r>
              <w:rPr>
                <w:color w:val="000000"/>
                <w:sz w:val="18"/>
              </w:rPr>
              <w:t xml:space="preserve"> (incl. staff survey)</w:t>
            </w:r>
          </w:p>
        </w:tc>
        <w:tc>
          <w:tcPr>
            <w:tcW w:w="778" w:type="pct"/>
          </w:tcPr>
          <w:p w14:paraId="51174D7C" w14:textId="111189F7" w:rsidR="005E17FF" w:rsidRDefault="005E17FF" w:rsidP="005E17FF">
            <w:pPr>
              <w:spacing w:after="0"/>
              <w:jc w:val="center"/>
              <w:rPr>
                <w:color w:val="000000"/>
                <w:sz w:val="18"/>
              </w:rPr>
            </w:pPr>
            <w:r>
              <w:rPr>
                <w:color w:val="000000"/>
                <w:sz w:val="18"/>
              </w:rPr>
              <w:t xml:space="preserve">Aug </w:t>
            </w:r>
            <w:r w:rsidRPr="00B64FC3">
              <w:rPr>
                <w:color w:val="000000"/>
                <w:sz w:val="18"/>
              </w:rPr>
              <w:t>2018</w:t>
            </w:r>
          </w:p>
        </w:tc>
        <w:tc>
          <w:tcPr>
            <w:tcW w:w="877" w:type="pct"/>
            <w:vAlign w:val="center"/>
          </w:tcPr>
          <w:p w14:paraId="5FB50F42" w14:textId="2FB8444E" w:rsidR="005E17FF" w:rsidRPr="00330474" w:rsidRDefault="005E17FF" w:rsidP="005E17FF">
            <w:pPr>
              <w:spacing w:after="0"/>
              <w:jc w:val="center"/>
              <w:rPr>
                <w:color w:val="000000"/>
                <w:sz w:val="18"/>
              </w:rPr>
            </w:pPr>
            <w:r w:rsidRPr="00330474">
              <w:rPr>
                <w:color w:val="000000"/>
                <w:sz w:val="18"/>
              </w:rPr>
              <w:t>Wave 1</w:t>
            </w:r>
            <w:r>
              <w:rPr>
                <w:color w:val="000000"/>
                <w:sz w:val="18"/>
              </w:rPr>
              <w:t xml:space="preserve">: </w:t>
            </w:r>
            <w:r w:rsidRPr="00330474">
              <w:rPr>
                <w:color w:val="000000"/>
                <w:sz w:val="18"/>
              </w:rPr>
              <w:t>Dec 2017</w:t>
            </w:r>
            <w:r>
              <w:rPr>
                <w:color w:val="000000"/>
                <w:sz w:val="18"/>
              </w:rPr>
              <w:t>–</w:t>
            </w:r>
            <w:r w:rsidRPr="00330474">
              <w:rPr>
                <w:color w:val="000000"/>
                <w:sz w:val="18"/>
              </w:rPr>
              <w:t>Mar</w:t>
            </w:r>
            <w:r>
              <w:rPr>
                <w:color w:val="000000"/>
                <w:sz w:val="18"/>
              </w:rPr>
              <w:t> </w:t>
            </w:r>
            <w:r w:rsidRPr="00330474">
              <w:rPr>
                <w:color w:val="000000"/>
                <w:sz w:val="18"/>
              </w:rPr>
              <w:t>2019</w:t>
            </w:r>
          </w:p>
        </w:tc>
        <w:tc>
          <w:tcPr>
            <w:tcW w:w="876" w:type="pct"/>
          </w:tcPr>
          <w:p w14:paraId="58E6C78E" w14:textId="32B63D64" w:rsidR="005E17FF" w:rsidRDefault="005E17FF" w:rsidP="005E17FF">
            <w:pPr>
              <w:spacing w:after="0"/>
              <w:jc w:val="center"/>
              <w:rPr>
                <w:color w:val="000000"/>
                <w:sz w:val="18"/>
              </w:rPr>
            </w:pPr>
            <w:r>
              <w:rPr>
                <w:color w:val="000000"/>
                <w:sz w:val="18"/>
              </w:rPr>
              <w:t>Jan – Jun 2018</w:t>
            </w:r>
          </w:p>
        </w:tc>
        <w:tc>
          <w:tcPr>
            <w:tcW w:w="877" w:type="pct"/>
          </w:tcPr>
          <w:p w14:paraId="54241A13" w14:textId="541586F2" w:rsidR="005E17FF" w:rsidRPr="00330474" w:rsidRDefault="005E17FF" w:rsidP="005E17FF">
            <w:pPr>
              <w:spacing w:after="0"/>
              <w:jc w:val="center"/>
              <w:rPr>
                <w:color w:val="000000"/>
                <w:sz w:val="18"/>
              </w:rPr>
            </w:pPr>
          </w:p>
        </w:tc>
      </w:tr>
      <w:tr w:rsidR="00500D49" w14:paraId="62201F36" w14:textId="77777777" w:rsidTr="00037C98">
        <w:tc>
          <w:tcPr>
            <w:tcW w:w="617" w:type="pct"/>
            <w:hideMark/>
          </w:tcPr>
          <w:p w14:paraId="6ED696E6" w14:textId="77777777" w:rsidR="00500D49" w:rsidRDefault="00500D49" w:rsidP="00365CC2">
            <w:pPr>
              <w:spacing w:after="0"/>
              <w:jc w:val="center"/>
              <w:rPr>
                <w:color w:val="000000"/>
                <w:sz w:val="18"/>
              </w:rPr>
            </w:pPr>
            <w:r>
              <w:rPr>
                <w:color w:val="000000"/>
                <w:sz w:val="18"/>
              </w:rPr>
              <w:t>Round 2 (R2)</w:t>
            </w:r>
          </w:p>
        </w:tc>
        <w:tc>
          <w:tcPr>
            <w:tcW w:w="975" w:type="pct"/>
          </w:tcPr>
          <w:p w14:paraId="3967F6E2" w14:textId="61E8E9E9" w:rsidR="00500D49" w:rsidRPr="008952A2" w:rsidRDefault="005E17FF" w:rsidP="00365CC2">
            <w:pPr>
              <w:spacing w:after="0"/>
              <w:jc w:val="center"/>
              <w:rPr>
                <w:color w:val="000000"/>
                <w:sz w:val="18"/>
              </w:rPr>
            </w:pPr>
            <w:r w:rsidRPr="00BD1E3B">
              <w:rPr>
                <w:color w:val="000000"/>
                <w:sz w:val="18"/>
              </w:rPr>
              <w:t>Nov 2018–Mar</w:t>
            </w:r>
            <w:r>
              <w:rPr>
                <w:color w:val="000000"/>
                <w:sz w:val="18"/>
              </w:rPr>
              <w:t> </w:t>
            </w:r>
            <w:r w:rsidRPr="00BD1E3B">
              <w:rPr>
                <w:color w:val="000000"/>
                <w:sz w:val="18"/>
              </w:rPr>
              <w:t>2019</w:t>
            </w:r>
          </w:p>
        </w:tc>
        <w:tc>
          <w:tcPr>
            <w:tcW w:w="778" w:type="pct"/>
          </w:tcPr>
          <w:p w14:paraId="005AF78A" w14:textId="4FB94178" w:rsidR="005E17FF" w:rsidRPr="00907B30" w:rsidRDefault="005E17FF" w:rsidP="005E17FF">
            <w:pPr>
              <w:spacing w:after="0"/>
              <w:jc w:val="center"/>
              <w:rPr>
                <w:color w:val="000000"/>
                <w:sz w:val="18"/>
                <w:highlight w:val="yellow"/>
              </w:rPr>
            </w:pPr>
          </w:p>
        </w:tc>
        <w:tc>
          <w:tcPr>
            <w:tcW w:w="877" w:type="pct"/>
          </w:tcPr>
          <w:p w14:paraId="17292450" w14:textId="77777777" w:rsidR="005E17FF" w:rsidRPr="003A6BD2" w:rsidRDefault="005E17FF" w:rsidP="005E17FF">
            <w:pPr>
              <w:spacing w:after="0"/>
              <w:jc w:val="center"/>
              <w:rPr>
                <w:color w:val="000000"/>
                <w:sz w:val="18"/>
              </w:rPr>
            </w:pPr>
          </w:p>
        </w:tc>
        <w:tc>
          <w:tcPr>
            <w:tcW w:w="876" w:type="pct"/>
          </w:tcPr>
          <w:p w14:paraId="0E2C319B" w14:textId="145DE672" w:rsidR="005E17FF" w:rsidRDefault="005E17FF" w:rsidP="005E17FF">
            <w:pPr>
              <w:spacing w:after="0"/>
              <w:jc w:val="center"/>
              <w:rPr>
                <w:color w:val="000000"/>
                <w:sz w:val="18"/>
              </w:rPr>
            </w:pPr>
            <w:r>
              <w:rPr>
                <w:color w:val="000000"/>
                <w:sz w:val="18"/>
              </w:rPr>
              <w:t>Nov</w:t>
            </w:r>
            <w:r w:rsidRPr="003A6BD2">
              <w:rPr>
                <w:color w:val="000000"/>
                <w:sz w:val="18"/>
              </w:rPr>
              <w:t>–</w:t>
            </w:r>
            <w:r>
              <w:rPr>
                <w:color w:val="000000"/>
                <w:sz w:val="18"/>
              </w:rPr>
              <w:t>Dec </w:t>
            </w:r>
            <w:r w:rsidRPr="003A6BD2">
              <w:rPr>
                <w:color w:val="000000"/>
                <w:sz w:val="18"/>
              </w:rPr>
              <w:t>2018</w:t>
            </w:r>
          </w:p>
        </w:tc>
        <w:tc>
          <w:tcPr>
            <w:tcW w:w="877" w:type="pct"/>
          </w:tcPr>
          <w:p w14:paraId="68B3B457" w14:textId="253F7304" w:rsidR="005E17FF" w:rsidRPr="003A6BD2" w:rsidRDefault="005E17FF" w:rsidP="005E17FF">
            <w:pPr>
              <w:spacing w:after="0"/>
              <w:jc w:val="center"/>
              <w:rPr>
                <w:color w:val="000000"/>
                <w:sz w:val="18"/>
              </w:rPr>
            </w:pPr>
            <w:r w:rsidRPr="003A6BD2">
              <w:rPr>
                <w:color w:val="000000"/>
                <w:sz w:val="18"/>
              </w:rPr>
              <w:t>Sept–Oct</w:t>
            </w:r>
            <w:r>
              <w:rPr>
                <w:color w:val="000000"/>
                <w:sz w:val="18"/>
              </w:rPr>
              <w:t> </w:t>
            </w:r>
            <w:r w:rsidRPr="003A6BD2">
              <w:rPr>
                <w:color w:val="000000"/>
                <w:sz w:val="18"/>
              </w:rPr>
              <w:t>2018</w:t>
            </w:r>
          </w:p>
        </w:tc>
      </w:tr>
      <w:tr w:rsidR="00500D49" w14:paraId="524531B8" w14:textId="77777777" w:rsidTr="00037C98">
        <w:tc>
          <w:tcPr>
            <w:tcW w:w="617" w:type="pct"/>
            <w:hideMark/>
          </w:tcPr>
          <w:p w14:paraId="31D093FD" w14:textId="77777777" w:rsidR="00500D49" w:rsidRDefault="00500D49" w:rsidP="00365CC2">
            <w:pPr>
              <w:spacing w:after="0"/>
              <w:jc w:val="center"/>
              <w:rPr>
                <w:color w:val="000000"/>
                <w:sz w:val="18"/>
              </w:rPr>
            </w:pPr>
            <w:r>
              <w:rPr>
                <w:color w:val="000000"/>
                <w:sz w:val="18"/>
              </w:rPr>
              <w:t>Round 4 (R4)</w:t>
            </w:r>
          </w:p>
        </w:tc>
        <w:tc>
          <w:tcPr>
            <w:tcW w:w="975" w:type="pct"/>
          </w:tcPr>
          <w:p w14:paraId="29CA1F10" w14:textId="1E4354CB" w:rsidR="00500D49" w:rsidRPr="008952A2" w:rsidRDefault="005E17FF" w:rsidP="00365CC2">
            <w:pPr>
              <w:spacing w:after="0"/>
              <w:jc w:val="center"/>
              <w:rPr>
                <w:color w:val="000000"/>
                <w:sz w:val="18"/>
              </w:rPr>
            </w:pPr>
            <w:r w:rsidRPr="00BD1E3B">
              <w:rPr>
                <w:color w:val="000000"/>
                <w:sz w:val="18"/>
              </w:rPr>
              <w:t>Nov</w:t>
            </w:r>
            <w:r w:rsidR="00500D49" w:rsidRPr="008952A2">
              <w:rPr>
                <w:color w:val="000000"/>
                <w:sz w:val="18"/>
              </w:rPr>
              <w:t xml:space="preserve"> 2019</w:t>
            </w:r>
            <w:r w:rsidRPr="00BD1E3B">
              <w:rPr>
                <w:color w:val="000000"/>
                <w:sz w:val="18"/>
              </w:rPr>
              <w:t>–Mar</w:t>
            </w:r>
            <w:r>
              <w:rPr>
                <w:color w:val="000000"/>
                <w:sz w:val="18"/>
              </w:rPr>
              <w:t> </w:t>
            </w:r>
            <w:r w:rsidR="00500D49" w:rsidRPr="008952A2">
              <w:rPr>
                <w:color w:val="000000"/>
                <w:sz w:val="18"/>
              </w:rPr>
              <w:t>2020</w:t>
            </w:r>
          </w:p>
        </w:tc>
        <w:tc>
          <w:tcPr>
            <w:tcW w:w="778" w:type="pct"/>
          </w:tcPr>
          <w:p w14:paraId="69E3C9A6" w14:textId="2752823B" w:rsidR="005E17FF" w:rsidRDefault="005E17FF" w:rsidP="005E17FF">
            <w:pPr>
              <w:spacing w:after="0"/>
              <w:jc w:val="center"/>
              <w:rPr>
                <w:color w:val="000000"/>
                <w:sz w:val="18"/>
              </w:rPr>
            </w:pPr>
            <w:r>
              <w:rPr>
                <w:color w:val="000000"/>
                <w:sz w:val="18"/>
              </w:rPr>
              <w:t>Mar–Apr</w:t>
            </w:r>
            <w:r w:rsidRPr="001E639F">
              <w:rPr>
                <w:color w:val="000000"/>
                <w:sz w:val="18"/>
              </w:rPr>
              <w:t xml:space="preserve"> 2020</w:t>
            </w:r>
          </w:p>
        </w:tc>
        <w:tc>
          <w:tcPr>
            <w:tcW w:w="877" w:type="pct"/>
          </w:tcPr>
          <w:p w14:paraId="50B6A58F" w14:textId="4B212D64" w:rsidR="005E17FF" w:rsidRPr="00330474" w:rsidRDefault="005E17FF" w:rsidP="005E17FF">
            <w:pPr>
              <w:spacing w:after="0"/>
              <w:jc w:val="center"/>
              <w:rPr>
                <w:color w:val="000000"/>
                <w:sz w:val="18"/>
              </w:rPr>
            </w:pPr>
            <w:r w:rsidRPr="00330474">
              <w:rPr>
                <w:color w:val="000000"/>
                <w:sz w:val="18"/>
              </w:rPr>
              <w:t>Wave 2</w:t>
            </w:r>
            <w:r>
              <w:rPr>
                <w:color w:val="000000"/>
                <w:sz w:val="18"/>
              </w:rPr>
              <w:t xml:space="preserve">: </w:t>
            </w:r>
            <w:r w:rsidRPr="00330474">
              <w:rPr>
                <w:color w:val="000000"/>
                <w:sz w:val="18"/>
              </w:rPr>
              <w:t>Dec 2019</w:t>
            </w:r>
            <w:r>
              <w:rPr>
                <w:color w:val="000000"/>
                <w:sz w:val="18"/>
              </w:rPr>
              <w:t>–</w:t>
            </w:r>
            <w:r w:rsidRPr="00330474">
              <w:rPr>
                <w:color w:val="000000"/>
                <w:sz w:val="18"/>
              </w:rPr>
              <w:t>Mar</w:t>
            </w:r>
            <w:r>
              <w:rPr>
                <w:color w:val="000000"/>
                <w:sz w:val="18"/>
              </w:rPr>
              <w:t> </w:t>
            </w:r>
            <w:r w:rsidRPr="00330474">
              <w:rPr>
                <w:color w:val="000000"/>
                <w:sz w:val="18"/>
              </w:rPr>
              <w:t>2020</w:t>
            </w:r>
          </w:p>
        </w:tc>
        <w:tc>
          <w:tcPr>
            <w:tcW w:w="876" w:type="pct"/>
          </w:tcPr>
          <w:p w14:paraId="73E27C1F" w14:textId="715E50F8" w:rsidR="005E17FF" w:rsidRDefault="005E17FF" w:rsidP="005E17FF">
            <w:pPr>
              <w:spacing w:after="0"/>
              <w:jc w:val="center"/>
              <w:rPr>
                <w:color w:val="000000"/>
                <w:sz w:val="18"/>
              </w:rPr>
            </w:pPr>
            <w:r>
              <w:rPr>
                <w:color w:val="000000"/>
                <w:sz w:val="18"/>
              </w:rPr>
              <w:t>Jul–Oct 2019</w:t>
            </w:r>
          </w:p>
        </w:tc>
        <w:tc>
          <w:tcPr>
            <w:tcW w:w="877" w:type="pct"/>
          </w:tcPr>
          <w:p w14:paraId="7DA80967" w14:textId="3BD19F8B" w:rsidR="005E17FF" w:rsidRPr="00571847" w:rsidRDefault="005E17FF" w:rsidP="005E17FF">
            <w:pPr>
              <w:spacing w:after="0"/>
              <w:jc w:val="center"/>
              <w:rPr>
                <w:color w:val="000000"/>
                <w:sz w:val="18"/>
              </w:rPr>
            </w:pPr>
            <w:r w:rsidRPr="00571847">
              <w:rPr>
                <w:color w:val="000000"/>
                <w:sz w:val="18"/>
              </w:rPr>
              <w:t>Nov 2019–</w:t>
            </w:r>
          </w:p>
          <w:p w14:paraId="432B909C" w14:textId="5F8095B7" w:rsidR="005E17FF" w:rsidRPr="00571847" w:rsidRDefault="005E17FF" w:rsidP="005E17FF">
            <w:pPr>
              <w:spacing w:after="0"/>
              <w:jc w:val="center"/>
              <w:rPr>
                <w:color w:val="000000"/>
                <w:sz w:val="18"/>
              </w:rPr>
            </w:pPr>
            <w:r w:rsidRPr="00571847">
              <w:rPr>
                <w:color w:val="000000"/>
                <w:sz w:val="18"/>
              </w:rPr>
              <w:t>Mar</w:t>
            </w:r>
            <w:r>
              <w:rPr>
                <w:color w:val="000000"/>
                <w:sz w:val="18"/>
              </w:rPr>
              <w:t> </w:t>
            </w:r>
            <w:r w:rsidRPr="00571847">
              <w:rPr>
                <w:color w:val="000000"/>
                <w:sz w:val="18"/>
              </w:rPr>
              <w:t>2020</w:t>
            </w:r>
            <w:r>
              <w:rPr>
                <w:color w:val="000000"/>
                <w:sz w:val="18"/>
              </w:rPr>
              <w:t xml:space="preserve"> (incl. NT ACCHS case studies)</w:t>
            </w:r>
          </w:p>
        </w:tc>
      </w:tr>
      <w:tr w:rsidR="00500D49" w14:paraId="0E659EB7" w14:textId="77777777" w:rsidTr="00037C98">
        <w:tc>
          <w:tcPr>
            <w:tcW w:w="617" w:type="pct"/>
            <w:hideMark/>
          </w:tcPr>
          <w:p w14:paraId="439137E2" w14:textId="77777777" w:rsidR="00500D49" w:rsidRDefault="00500D49" w:rsidP="00365CC2">
            <w:pPr>
              <w:spacing w:after="0"/>
              <w:jc w:val="center"/>
              <w:rPr>
                <w:color w:val="000000"/>
                <w:sz w:val="18"/>
              </w:rPr>
            </w:pPr>
            <w:r>
              <w:rPr>
                <w:color w:val="000000"/>
                <w:sz w:val="18"/>
              </w:rPr>
              <w:t>Round 5 (R5)</w:t>
            </w:r>
          </w:p>
        </w:tc>
        <w:tc>
          <w:tcPr>
            <w:tcW w:w="975" w:type="pct"/>
          </w:tcPr>
          <w:p w14:paraId="3519C35A" w14:textId="0895E134" w:rsidR="00500D49" w:rsidRPr="008952A2" w:rsidRDefault="005E17FF" w:rsidP="00365CC2">
            <w:pPr>
              <w:spacing w:after="0"/>
              <w:jc w:val="center"/>
              <w:rPr>
                <w:color w:val="000000"/>
                <w:sz w:val="18"/>
              </w:rPr>
            </w:pPr>
            <w:r w:rsidRPr="00BD1E3B">
              <w:rPr>
                <w:color w:val="000000"/>
                <w:sz w:val="18"/>
              </w:rPr>
              <w:t>Mar–May 2021</w:t>
            </w:r>
            <w:r>
              <w:rPr>
                <w:color w:val="000000"/>
                <w:sz w:val="18"/>
              </w:rPr>
              <w:t xml:space="preserve"> (incl. staff survey)</w:t>
            </w:r>
          </w:p>
        </w:tc>
        <w:tc>
          <w:tcPr>
            <w:tcW w:w="778" w:type="pct"/>
          </w:tcPr>
          <w:p w14:paraId="1B720CBF" w14:textId="6E7FA8DF" w:rsidR="005E17FF" w:rsidRPr="001E639F" w:rsidRDefault="005E17FF" w:rsidP="005E17FF">
            <w:pPr>
              <w:spacing w:after="0"/>
              <w:jc w:val="center"/>
              <w:rPr>
                <w:color w:val="000000"/>
                <w:sz w:val="18"/>
              </w:rPr>
            </w:pPr>
            <w:r w:rsidRPr="001E639F">
              <w:rPr>
                <w:color w:val="000000"/>
                <w:sz w:val="18"/>
              </w:rPr>
              <w:t>May</w:t>
            </w:r>
            <w:r>
              <w:rPr>
                <w:color w:val="000000"/>
                <w:sz w:val="18"/>
              </w:rPr>
              <w:t>–June</w:t>
            </w:r>
            <w:r w:rsidRPr="001E639F">
              <w:rPr>
                <w:color w:val="000000"/>
                <w:sz w:val="18"/>
              </w:rPr>
              <w:t xml:space="preserve"> 2021</w:t>
            </w:r>
          </w:p>
        </w:tc>
        <w:tc>
          <w:tcPr>
            <w:tcW w:w="877" w:type="pct"/>
          </w:tcPr>
          <w:p w14:paraId="39CE5EA0" w14:textId="580FE283" w:rsidR="005E17FF" w:rsidRPr="00330474" w:rsidRDefault="005E17FF" w:rsidP="005E17FF">
            <w:pPr>
              <w:spacing w:after="0"/>
              <w:jc w:val="center"/>
              <w:rPr>
                <w:color w:val="000000"/>
                <w:sz w:val="18"/>
              </w:rPr>
            </w:pPr>
            <w:r w:rsidRPr="00330474">
              <w:rPr>
                <w:color w:val="000000"/>
                <w:sz w:val="18"/>
              </w:rPr>
              <w:t>Wave 3</w:t>
            </w:r>
            <w:r>
              <w:rPr>
                <w:color w:val="000000"/>
                <w:sz w:val="18"/>
              </w:rPr>
              <w:t xml:space="preserve">: </w:t>
            </w:r>
            <w:r w:rsidR="00AD2CC6" w:rsidRPr="00AD2CC6">
              <w:rPr>
                <w:color w:val="000000"/>
                <w:sz w:val="18"/>
              </w:rPr>
              <w:t>Mar</w:t>
            </w:r>
            <w:r w:rsidR="00AD2CC6">
              <w:rPr>
                <w:color w:val="000000"/>
                <w:sz w:val="18"/>
              </w:rPr>
              <w:t>–</w:t>
            </w:r>
            <w:r w:rsidR="00AD2CC6" w:rsidRPr="00AD2CC6">
              <w:rPr>
                <w:color w:val="000000"/>
                <w:sz w:val="18"/>
              </w:rPr>
              <w:t>Apr</w:t>
            </w:r>
            <w:r w:rsidRPr="00330474">
              <w:rPr>
                <w:color w:val="000000"/>
                <w:sz w:val="18"/>
              </w:rPr>
              <w:t xml:space="preserve"> 2021</w:t>
            </w:r>
          </w:p>
        </w:tc>
        <w:tc>
          <w:tcPr>
            <w:tcW w:w="876" w:type="pct"/>
          </w:tcPr>
          <w:p w14:paraId="549268D3" w14:textId="4A5524B7" w:rsidR="005E17FF" w:rsidRDefault="005E17FF" w:rsidP="005E17FF">
            <w:pPr>
              <w:spacing w:after="0"/>
              <w:jc w:val="center"/>
              <w:rPr>
                <w:color w:val="000000"/>
                <w:sz w:val="18"/>
              </w:rPr>
            </w:pPr>
            <w:r>
              <w:rPr>
                <w:color w:val="000000"/>
                <w:sz w:val="18"/>
              </w:rPr>
              <w:t>Mar–Apr 2021</w:t>
            </w:r>
          </w:p>
        </w:tc>
        <w:tc>
          <w:tcPr>
            <w:tcW w:w="877" w:type="pct"/>
          </w:tcPr>
          <w:p w14:paraId="03AEC2B5" w14:textId="4EF97F38" w:rsidR="005E17FF" w:rsidRPr="00571847" w:rsidRDefault="005E17FF" w:rsidP="005E17FF">
            <w:pPr>
              <w:spacing w:after="0"/>
              <w:jc w:val="center"/>
              <w:rPr>
                <w:color w:val="000000"/>
                <w:sz w:val="18"/>
              </w:rPr>
            </w:pPr>
            <w:r w:rsidRPr="00571847">
              <w:rPr>
                <w:color w:val="000000"/>
                <w:sz w:val="18"/>
              </w:rPr>
              <w:t>Mar–May</w:t>
            </w:r>
            <w:r>
              <w:rPr>
                <w:color w:val="000000"/>
                <w:sz w:val="18"/>
              </w:rPr>
              <w:t> </w:t>
            </w:r>
            <w:r w:rsidRPr="00571847">
              <w:rPr>
                <w:color w:val="000000"/>
                <w:sz w:val="18"/>
              </w:rPr>
              <w:t>2021</w:t>
            </w:r>
            <w:r>
              <w:rPr>
                <w:color w:val="000000"/>
                <w:sz w:val="18"/>
              </w:rPr>
              <w:t xml:space="preserve"> (incl. NT ACCHS case studies)</w:t>
            </w:r>
          </w:p>
        </w:tc>
      </w:tr>
    </w:tbl>
    <w:p w14:paraId="6B869A42" w14:textId="0287874A" w:rsidR="00500D49" w:rsidRDefault="00500D49" w:rsidP="00500D49">
      <w:pPr>
        <w:spacing w:after="0" w:line="259" w:lineRule="auto"/>
      </w:pPr>
    </w:p>
    <w:p w14:paraId="2E115FF3" w14:textId="77777777" w:rsidR="0068119F" w:rsidRDefault="0068119F" w:rsidP="0068119F">
      <w:pPr>
        <w:spacing w:after="0" w:line="259" w:lineRule="auto"/>
      </w:pPr>
    </w:p>
    <w:p w14:paraId="245DD489" w14:textId="77777777" w:rsidR="0068119F" w:rsidRDefault="0068119F" w:rsidP="00500D49">
      <w:pPr>
        <w:spacing w:after="0" w:line="259" w:lineRule="auto"/>
      </w:pPr>
    </w:p>
    <w:p w14:paraId="18CCB3CF" w14:textId="77777777" w:rsidR="008965A8" w:rsidRDefault="008965A8">
      <w:pPr>
        <w:spacing w:after="160" w:line="259" w:lineRule="auto"/>
        <w:rPr>
          <w:rFonts w:ascii="Roboto Slab" w:eastAsia="Times New Roman" w:hAnsi="Roboto Slab" w:cs="Times New Roman"/>
          <w:bCs/>
          <w:color w:val="408BCA"/>
          <w:sz w:val="32"/>
          <w:szCs w:val="36"/>
          <w:lang w:eastAsia="en-AU"/>
        </w:rPr>
      </w:pPr>
      <w:r>
        <w:br w:type="page"/>
      </w:r>
    </w:p>
    <w:p w14:paraId="7C3DEE2C" w14:textId="00D8D0BE" w:rsidR="009F6FCD" w:rsidRDefault="002B14C9" w:rsidP="009F6FCD">
      <w:pPr>
        <w:pStyle w:val="Heading2"/>
      </w:pPr>
      <w:bookmarkStart w:id="27" w:name="_Toc109996647"/>
      <w:r>
        <w:lastRenderedPageBreak/>
        <w:t>Program theory</w:t>
      </w:r>
      <w:bookmarkEnd w:id="27"/>
    </w:p>
    <w:p w14:paraId="3F1EBD2B" w14:textId="0DBA45F2" w:rsidR="00D25AE7" w:rsidRPr="004A57C7" w:rsidRDefault="00240AA0" w:rsidP="00CB36E9">
      <w:r>
        <w:t>Before the start of the trial, a conceptual model or “</w:t>
      </w:r>
      <w:r w:rsidR="00FE4250">
        <w:t>program theory</w:t>
      </w:r>
      <w:r>
        <w:t xml:space="preserve">” </w:t>
      </w:r>
      <w:r w:rsidR="006D750A">
        <w:t xml:space="preserve">was developed </w:t>
      </w:r>
      <w:r>
        <w:t xml:space="preserve">of how the HCH </w:t>
      </w:r>
      <w:r w:rsidR="00E37B95">
        <w:t>intervention</w:t>
      </w:r>
      <w:r>
        <w:t xml:space="preserve"> was intended to work</w:t>
      </w:r>
      <w:r w:rsidR="00862864" w:rsidRPr="004A57C7">
        <w:t xml:space="preserve"> (</w:t>
      </w:r>
      <w:r w:rsidR="00862864" w:rsidRPr="004A57C7">
        <w:rPr>
          <w:b/>
          <w:bCs/>
        </w:rPr>
        <w:fldChar w:fldCharType="begin"/>
      </w:r>
      <w:r w:rsidR="00862864" w:rsidRPr="004A57C7">
        <w:rPr>
          <w:b/>
          <w:bCs/>
        </w:rPr>
        <w:instrText xml:space="preserve"> REF _Ref77584719 \h </w:instrText>
      </w:r>
      <w:r w:rsidR="00034863" w:rsidRPr="004A57C7">
        <w:rPr>
          <w:b/>
          <w:bCs/>
        </w:rPr>
        <w:instrText xml:space="preserve"> \* MERGEFORMAT </w:instrText>
      </w:r>
      <w:r w:rsidR="00862864" w:rsidRPr="004A57C7">
        <w:rPr>
          <w:b/>
          <w:bCs/>
        </w:rPr>
      </w:r>
      <w:r w:rsidR="00862864" w:rsidRPr="004A57C7">
        <w:rPr>
          <w:b/>
          <w:bCs/>
        </w:rPr>
        <w:fldChar w:fldCharType="separate"/>
      </w:r>
      <w:r w:rsidR="003C4BC2" w:rsidRPr="00F638E7">
        <w:rPr>
          <w:rStyle w:val="Strong1"/>
          <w:b w:val="0"/>
          <w:bCs/>
          <w:color w:val="1D2455"/>
          <w:sz w:val="20"/>
        </w:rPr>
        <w:t xml:space="preserve">Figure </w:t>
      </w:r>
      <w:r w:rsidR="003C4BC2">
        <w:rPr>
          <w:rStyle w:val="Strong1"/>
          <w:b w:val="0"/>
          <w:bCs/>
          <w:noProof/>
          <w:color w:val="1D2455"/>
          <w:sz w:val="20"/>
        </w:rPr>
        <w:t>2</w:t>
      </w:r>
      <w:r w:rsidR="00862864" w:rsidRPr="004A57C7">
        <w:rPr>
          <w:b/>
          <w:bCs/>
        </w:rPr>
        <w:fldChar w:fldCharType="end"/>
      </w:r>
      <w:r w:rsidR="00862864" w:rsidRPr="004A57C7">
        <w:t xml:space="preserve">). </w:t>
      </w:r>
      <w:r w:rsidR="006A455B">
        <w:t xml:space="preserve">The community pharmacy trial was later incorporated into this. </w:t>
      </w:r>
      <w:r w:rsidR="00952FFD">
        <w:t xml:space="preserve">The model was used to guide the evaluation and </w:t>
      </w:r>
      <w:r w:rsidR="00952FFD" w:rsidRPr="006665D9">
        <w:t>analy</w:t>
      </w:r>
      <w:r w:rsidR="00952FFD">
        <w:t>se</w:t>
      </w:r>
      <w:r w:rsidR="00952FFD" w:rsidRPr="006665D9">
        <w:t xml:space="preserve"> how </w:t>
      </w:r>
      <w:r w:rsidR="00952FFD">
        <w:t>infrastructure established</w:t>
      </w:r>
      <w:r w:rsidR="00952FFD" w:rsidRPr="003549FC">
        <w:t xml:space="preserve"> </w:t>
      </w:r>
      <w:r w:rsidR="00952FFD">
        <w:t>for the</w:t>
      </w:r>
      <w:r w:rsidR="00952FFD" w:rsidRPr="003549FC">
        <w:t xml:space="preserve"> </w:t>
      </w:r>
      <w:r w:rsidR="00952FFD">
        <w:t>implementation of HCH</w:t>
      </w:r>
      <w:r w:rsidR="00952FFD" w:rsidRPr="006665D9">
        <w:t xml:space="preserve"> </w:t>
      </w:r>
      <w:r w:rsidR="00952FFD">
        <w:t>contributed to structural and process changes within practices and engagement of patients and outcomes.</w:t>
      </w:r>
    </w:p>
    <w:p w14:paraId="782DB844" w14:textId="2AE0216C" w:rsidR="00405AF9" w:rsidRPr="004A57C7" w:rsidRDefault="00812D95" w:rsidP="00CB36E9">
      <w:r w:rsidRPr="004A57C7">
        <w:t xml:space="preserve">The bottom of </w:t>
      </w:r>
      <w:r w:rsidR="00405AF9" w:rsidRPr="004A57C7">
        <w:rPr>
          <w:b/>
          <w:bCs/>
        </w:rPr>
        <w:fldChar w:fldCharType="begin"/>
      </w:r>
      <w:r w:rsidR="00405AF9" w:rsidRPr="004A57C7">
        <w:rPr>
          <w:b/>
          <w:bCs/>
        </w:rPr>
        <w:instrText xml:space="preserve"> REF _Ref77584719 \h </w:instrText>
      </w:r>
      <w:r w:rsidR="00034863" w:rsidRPr="004A57C7">
        <w:rPr>
          <w:b/>
          <w:bCs/>
        </w:rPr>
        <w:instrText xml:space="preserve"> \* MERGEFORMAT </w:instrText>
      </w:r>
      <w:r w:rsidR="00405AF9" w:rsidRPr="004A57C7">
        <w:rPr>
          <w:b/>
          <w:bCs/>
        </w:rPr>
      </w:r>
      <w:r w:rsidR="00405AF9" w:rsidRPr="004A57C7">
        <w:rPr>
          <w:b/>
          <w:bCs/>
        </w:rPr>
        <w:fldChar w:fldCharType="separate"/>
      </w:r>
      <w:r w:rsidR="003C4BC2" w:rsidRPr="00F638E7">
        <w:rPr>
          <w:rStyle w:val="Strong1"/>
          <w:b w:val="0"/>
          <w:bCs/>
          <w:color w:val="1D2455"/>
          <w:sz w:val="20"/>
        </w:rPr>
        <w:t xml:space="preserve">Figure </w:t>
      </w:r>
      <w:r w:rsidR="003C4BC2">
        <w:rPr>
          <w:rStyle w:val="Strong1"/>
          <w:b w:val="0"/>
          <w:bCs/>
          <w:noProof/>
          <w:color w:val="1D2455"/>
          <w:sz w:val="20"/>
        </w:rPr>
        <w:t>2</w:t>
      </w:r>
      <w:r w:rsidR="00405AF9" w:rsidRPr="004A57C7">
        <w:rPr>
          <w:b/>
          <w:bCs/>
        </w:rPr>
        <w:fldChar w:fldCharType="end"/>
      </w:r>
      <w:r w:rsidR="00405AF9" w:rsidRPr="004A57C7">
        <w:t xml:space="preserve"> </w:t>
      </w:r>
      <w:r w:rsidRPr="004A57C7">
        <w:t xml:space="preserve">labelled “1. Elements promoting transformation” </w:t>
      </w:r>
      <w:r w:rsidR="00BB18F1">
        <w:t>includes</w:t>
      </w:r>
      <w:r w:rsidRPr="004A57C7">
        <w:t xml:space="preserve"> the infrastructure that was made available to practices and community pharmacies to </w:t>
      </w:r>
      <w:r w:rsidR="001D2539">
        <w:t>promote</w:t>
      </w:r>
      <w:r w:rsidR="00AB33D8" w:rsidRPr="004A57C7">
        <w:t xml:space="preserve"> </w:t>
      </w:r>
      <w:r w:rsidRPr="004A57C7">
        <w:t>transformation</w:t>
      </w:r>
      <w:r w:rsidR="001A3E40">
        <w:t>: the risk stratification tool (RST), training and support and bundled payments</w:t>
      </w:r>
      <w:r w:rsidR="00E174D7">
        <w:t>.</w:t>
      </w:r>
    </w:p>
    <w:p w14:paraId="5F4B4343" w14:textId="7B278391" w:rsidR="00812D95" w:rsidRDefault="00812D95" w:rsidP="00CB36E9">
      <w:r w:rsidRPr="004A57C7">
        <w:t xml:space="preserve">The next level labelled “2. Structural change/transformation” </w:t>
      </w:r>
      <w:r w:rsidR="00984342">
        <w:t>identifies</w:t>
      </w:r>
      <w:r w:rsidR="00BB18F1">
        <w:t xml:space="preserve"> the</w:t>
      </w:r>
      <w:r w:rsidR="00672409">
        <w:t xml:space="preserve"> </w:t>
      </w:r>
      <w:r w:rsidR="00A70C1D">
        <w:t xml:space="preserve">capabilities that practices were expected to develop to </w:t>
      </w:r>
      <w:r w:rsidR="009C0AF0">
        <w:t xml:space="preserve">transform to </w:t>
      </w:r>
      <w:r w:rsidR="00DB1BD7">
        <w:t>a HCH</w:t>
      </w:r>
      <w:r w:rsidRPr="004A57C7">
        <w:t xml:space="preserve">, </w:t>
      </w:r>
      <w:r w:rsidR="002A2FCF" w:rsidRPr="002A2FCF">
        <w:t>including leadership to drive the transformation, introducing flexibility in how resources would be deployed, improving knowledge and skills of staff, identifying quality improvement initiatives, and establishing collaborations with community pharmacists and other providers</w:t>
      </w:r>
      <w:r w:rsidR="001D55AA">
        <w:t>.</w:t>
      </w:r>
      <w:r>
        <w:t xml:space="preserve"> </w:t>
      </w:r>
    </w:p>
    <w:p w14:paraId="13ACFD27" w14:textId="6CD26130" w:rsidR="001D55AA" w:rsidRDefault="001D55AA" w:rsidP="00CB36E9">
      <w:r>
        <w:t xml:space="preserve">The next level labelled “3. Processes of care” </w:t>
      </w:r>
      <w:r w:rsidR="00950216">
        <w:t xml:space="preserve">shows </w:t>
      </w:r>
      <w:r w:rsidR="00ED62FC">
        <w:t xml:space="preserve">improvements </w:t>
      </w:r>
      <w:r w:rsidR="002F6B3E">
        <w:t xml:space="preserve">that were expected </w:t>
      </w:r>
      <w:r w:rsidR="007021AE">
        <w:t xml:space="preserve">following </w:t>
      </w:r>
      <w:r w:rsidR="00D513B5">
        <w:t xml:space="preserve">practices’ </w:t>
      </w:r>
      <w:r w:rsidR="007021AE">
        <w:t>structural change/ transformation</w:t>
      </w:r>
      <w:r w:rsidR="00950216">
        <w:t>. They include</w:t>
      </w:r>
      <w:r w:rsidR="0042538B">
        <w:t>d</w:t>
      </w:r>
      <w:r w:rsidR="00950216">
        <w:t xml:space="preserve"> </w:t>
      </w:r>
      <w:r>
        <w:t>improved access to care and care coordination</w:t>
      </w:r>
      <w:r w:rsidR="00675C90">
        <w:t xml:space="preserve">, </w:t>
      </w:r>
      <w:r>
        <w:t xml:space="preserve">engagement of patients </w:t>
      </w:r>
      <w:r w:rsidR="00950216">
        <w:t>and</w:t>
      </w:r>
      <w:r>
        <w:t xml:space="preserve"> activation</w:t>
      </w:r>
      <w:r w:rsidR="00950216">
        <w:t xml:space="preserve"> (</w:t>
      </w:r>
      <w:r w:rsidR="00950216" w:rsidRPr="000B0211">
        <w:rPr>
          <w:szCs w:val="20"/>
        </w:rPr>
        <w:t>maximis</w:t>
      </w:r>
      <w:r w:rsidR="00950216">
        <w:rPr>
          <w:szCs w:val="20"/>
        </w:rPr>
        <w:t>ing</w:t>
      </w:r>
      <w:r w:rsidR="00950216" w:rsidRPr="000B0211">
        <w:rPr>
          <w:szCs w:val="20"/>
        </w:rPr>
        <w:t xml:space="preserve"> their knowledge, skills and confidence to manage their health</w:t>
      </w:r>
      <w:r w:rsidR="00950216">
        <w:rPr>
          <w:szCs w:val="20"/>
        </w:rPr>
        <w:t>)</w:t>
      </w:r>
      <w:r w:rsidR="0042538B">
        <w:rPr>
          <w:szCs w:val="20"/>
        </w:rPr>
        <w:t>,</w:t>
      </w:r>
      <w:r>
        <w:t xml:space="preserve"> </w:t>
      </w:r>
      <w:r w:rsidR="00950216">
        <w:t>leading to improved adherence to treatment and behavioural changes.</w:t>
      </w:r>
      <w:r w:rsidR="000569BD">
        <w:t xml:space="preserve"> </w:t>
      </w:r>
    </w:p>
    <w:p w14:paraId="08463517" w14:textId="52EDEAE9" w:rsidR="00862864" w:rsidRDefault="001D55AA" w:rsidP="00CB36E9">
      <w:r>
        <w:t>These processes of care were hypothesised to affect outcomes</w:t>
      </w:r>
      <w:r w:rsidR="00C47510">
        <w:t xml:space="preserve">, </w:t>
      </w:r>
      <w:r w:rsidR="003C3968">
        <w:t xml:space="preserve">which </w:t>
      </w:r>
      <w:r w:rsidR="00AB33D8">
        <w:t>are</w:t>
      </w:r>
      <w:r>
        <w:t xml:space="preserve"> listed in the next level, “4. Outcomes”.</w:t>
      </w:r>
      <w:r w:rsidR="00950216">
        <w:t xml:space="preserve"> These include</w:t>
      </w:r>
      <w:r w:rsidR="0042538B">
        <w:t>d</w:t>
      </w:r>
      <w:r w:rsidR="00950216">
        <w:t xml:space="preserve"> </w:t>
      </w:r>
      <w:r w:rsidR="00812D95">
        <w:t>improved health outcomes for patients (defined as improved health-related quality of life, improved life expectancy and improved experience of primary care), and better control of health care costs (brought about by patients being healthier, thereby reducing avoidable health care use, including hospitalisation). These goals align closely with the triple aims of the Institute for Healthcare Improvement (IHI)</w:t>
      </w:r>
      <w:r w:rsidR="00EA5FF7">
        <w:t>,</w:t>
      </w:r>
      <w:r w:rsidR="00396AE0" w:rsidRPr="001F4811">
        <w:rPr>
          <w:rStyle w:val="FootnoteReference"/>
          <w:color w:val="408BCA"/>
        </w:rPr>
        <w:footnoteReference w:id="10"/>
      </w:r>
      <w:r w:rsidR="00812D95">
        <w:t xml:space="preserve"> and the health system goals identified by the World Health Organization in its health systems report framework</w:t>
      </w:r>
      <w:r w:rsidR="00220813">
        <w:t>.</w:t>
      </w:r>
      <w:r w:rsidR="00396AE0" w:rsidRPr="001F4811">
        <w:rPr>
          <w:rStyle w:val="FootnoteReference"/>
          <w:color w:val="408BCA"/>
        </w:rPr>
        <w:footnoteReference w:id="11"/>
      </w:r>
      <w:r w:rsidR="00220813" w:rsidRPr="001F4811">
        <w:rPr>
          <w:color w:val="408BCA"/>
          <w:vertAlign w:val="superscript"/>
        </w:rPr>
        <w:t>,</w:t>
      </w:r>
      <w:r w:rsidR="00220813" w:rsidRPr="001F4811">
        <w:rPr>
          <w:rStyle w:val="FootnoteReference"/>
          <w:color w:val="408BCA"/>
        </w:rPr>
        <w:footnoteReference w:id="12"/>
      </w:r>
      <w:r w:rsidR="00C42FC5">
        <w:t xml:space="preserve"> </w:t>
      </w:r>
    </w:p>
    <w:bookmarkEnd w:id="20"/>
    <w:p w14:paraId="4D14E787" w14:textId="5751F368" w:rsidR="002B05CA" w:rsidRDefault="002B05CA" w:rsidP="007A668A">
      <w:pPr>
        <w:spacing w:beforeAutospacing="1" w:afterAutospacing="1"/>
        <w:rPr>
          <w:rFonts w:eastAsia="Muli" w:cs="Muli"/>
          <w:color w:val="000000" w:themeColor="text1"/>
          <w:szCs w:val="20"/>
        </w:rPr>
      </w:pPr>
    </w:p>
    <w:p w14:paraId="0AFC737A" w14:textId="77777777" w:rsidR="00E87D0B" w:rsidRDefault="00E87D0B" w:rsidP="00E87D0B">
      <w:pPr>
        <w:spacing w:before="100" w:beforeAutospacing="1" w:after="100" w:afterAutospacing="1"/>
        <w:rPr>
          <w:rFonts w:eastAsia="Muli" w:cs="Muli"/>
          <w:color w:val="000000" w:themeColor="text1"/>
        </w:rPr>
        <w:sectPr w:rsidR="00E87D0B" w:rsidSect="00D91CF2">
          <w:footerReference w:type="default" r:id="rId19"/>
          <w:pgSz w:w="11906" w:h="16838"/>
          <w:pgMar w:top="1440" w:right="1440" w:bottom="1440" w:left="1440" w:header="708" w:footer="708" w:gutter="0"/>
          <w:pgNumType w:start="1"/>
          <w:cols w:space="708"/>
          <w:docGrid w:linePitch="360"/>
        </w:sectPr>
      </w:pPr>
    </w:p>
    <w:p w14:paraId="2EA6A08A" w14:textId="5496BABF" w:rsidR="00A60FD3" w:rsidRPr="00F638E7" w:rsidRDefault="00A60FD3" w:rsidP="00F638E7">
      <w:pPr>
        <w:pStyle w:val="tabletitle"/>
        <w:rPr>
          <w:rStyle w:val="Strong1"/>
          <w:b w:val="0"/>
          <w:bCs/>
          <w:color w:val="1D2455"/>
          <w:sz w:val="20"/>
        </w:rPr>
      </w:pPr>
      <w:bookmarkStart w:id="28" w:name="_Ref77584719"/>
      <w:bookmarkStart w:id="29" w:name="_Ref77592845"/>
      <w:r w:rsidRPr="00F638E7">
        <w:rPr>
          <w:rStyle w:val="Strong1"/>
          <w:b w:val="0"/>
          <w:bCs/>
          <w:color w:val="1D2455"/>
          <w:sz w:val="20"/>
        </w:rPr>
        <w:lastRenderedPageBreak/>
        <w:t xml:space="preserve">Figure </w:t>
      </w:r>
      <w:r w:rsidRPr="00F638E7">
        <w:rPr>
          <w:rStyle w:val="Strong1"/>
          <w:b w:val="0"/>
          <w:bCs/>
          <w:color w:val="1D2455"/>
          <w:sz w:val="20"/>
        </w:rPr>
        <w:fldChar w:fldCharType="begin"/>
      </w:r>
      <w:r w:rsidRPr="00F638E7">
        <w:rPr>
          <w:rStyle w:val="Strong1"/>
          <w:b w:val="0"/>
          <w:bCs/>
          <w:color w:val="1D2455"/>
          <w:sz w:val="20"/>
        </w:rPr>
        <w:instrText xml:space="preserve"> SEQ Figure \* ARABIC </w:instrText>
      </w:r>
      <w:r w:rsidRPr="00F638E7">
        <w:rPr>
          <w:rStyle w:val="Strong1"/>
          <w:b w:val="0"/>
          <w:bCs/>
          <w:color w:val="1D2455"/>
          <w:sz w:val="20"/>
        </w:rPr>
        <w:fldChar w:fldCharType="separate"/>
      </w:r>
      <w:r w:rsidR="003C4BC2">
        <w:rPr>
          <w:rStyle w:val="Strong1"/>
          <w:b w:val="0"/>
          <w:bCs/>
          <w:noProof/>
          <w:color w:val="1D2455"/>
          <w:sz w:val="20"/>
        </w:rPr>
        <w:t>2</w:t>
      </w:r>
      <w:r w:rsidRPr="00F638E7">
        <w:rPr>
          <w:rStyle w:val="Strong1"/>
          <w:b w:val="0"/>
          <w:bCs/>
          <w:color w:val="1D2455"/>
          <w:sz w:val="20"/>
        </w:rPr>
        <w:fldChar w:fldCharType="end"/>
      </w:r>
      <w:bookmarkEnd w:id="28"/>
      <w:r w:rsidRPr="00F638E7">
        <w:rPr>
          <w:rStyle w:val="Strong1"/>
          <w:b w:val="0"/>
          <w:bCs/>
          <w:color w:val="1D2455"/>
          <w:sz w:val="20"/>
        </w:rPr>
        <w:t xml:space="preserve">: </w:t>
      </w:r>
      <w:r w:rsidR="00241AAF" w:rsidRPr="00F638E7">
        <w:rPr>
          <w:rStyle w:val="Strong1"/>
          <w:b w:val="0"/>
          <w:bCs/>
          <w:color w:val="1D2455"/>
          <w:sz w:val="20"/>
        </w:rPr>
        <w:t>P</w:t>
      </w:r>
      <w:r w:rsidR="00BC7DD2" w:rsidRPr="00F638E7">
        <w:rPr>
          <w:rStyle w:val="Strong1"/>
          <w:b w:val="0"/>
          <w:bCs/>
          <w:color w:val="1D2455"/>
          <w:sz w:val="20"/>
        </w:rPr>
        <w:t xml:space="preserve">rogram theory for </w:t>
      </w:r>
      <w:bookmarkEnd w:id="29"/>
      <w:r w:rsidR="00871B42" w:rsidRPr="00F638E7">
        <w:rPr>
          <w:rStyle w:val="Strong1"/>
          <w:b w:val="0"/>
          <w:bCs/>
          <w:color w:val="1D2455"/>
          <w:sz w:val="20"/>
        </w:rPr>
        <w:t>HCH (incorporating the community pharmacy trial)</w:t>
      </w:r>
    </w:p>
    <w:p w14:paraId="002378DC" w14:textId="025CE083" w:rsidR="00E87D0B" w:rsidRDefault="006E7FD9" w:rsidP="007D3576">
      <w:pPr>
        <w:spacing w:after="0"/>
        <w:ind w:left="-284"/>
        <w:rPr>
          <w:rFonts w:eastAsia="Muli" w:cs="Muli"/>
          <w:color w:val="000000" w:themeColor="text1"/>
        </w:rPr>
        <w:sectPr w:rsidR="00E87D0B" w:rsidSect="00E87D0B">
          <w:footerReference w:type="default" r:id="rId20"/>
          <w:pgSz w:w="16838" w:h="11906" w:orient="landscape"/>
          <w:pgMar w:top="1440" w:right="1440" w:bottom="1440" w:left="1440" w:header="708" w:footer="708" w:gutter="0"/>
          <w:cols w:space="708"/>
          <w:docGrid w:linePitch="360"/>
        </w:sectPr>
      </w:pPr>
      <w:r w:rsidRPr="006E7FD9">
        <w:rPr>
          <w:noProof/>
        </w:rPr>
        <w:drawing>
          <wp:inline distT="0" distB="0" distL="0" distR="0" wp14:anchorId="401DBCA2" wp14:editId="448C7F0F">
            <wp:extent cx="9217045" cy="5220000"/>
            <wp:effectExtent l="0" t="0" r="3175" b="0"/>
            <wp:docPr id="6299" name="Picture 6299" descr="Graphical user interface,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9" name="Picture 6299" descr="Graphical user interface, diagram&#10;&#10;Description automatically generated"/>
                    <pic:cNvPicPr/>
                  </pic:nvPicPr>
                  <pic:blipFill>
                    <a:blip r:embed="rId21"/>
                    <a:stretch>
                      <a:fillRect/>
                    </a:stretch>
                  </pic:blipFill>
                  <pic:spPr>
                    <a:xfrm>
                      <a:off x="0" y="0"/>
                      <a:ext cx="9217045" cy="5220000"/>
                    </a:xfrm>
                    <a:prstGeom prst="rect">
                      <a:avLst/>
                    </a:prstGeom>
                  </pic:spPr>
                </pic:pic>
              </a:graphicData>
            </a:graphic>
          </wp:inline>
        </w:drawing>
      </w:r>
    </w:p>
    <w:p w14:paraId="087961DE" w14:textId="3DCF0581" w:rsidR="00DC3629" w:rsidRPr="0094369A" w:rsidRDefault="005018A4" w:rsidP="00DC3629">
      <w:pPr>
        <w:pStyle w:val="ChapterNumber"/>
      </w:pPr>
      <w:r>
        <w:lastRenderedPageBreak/>
        <w:fldChar w:fldCharType="begin"/>
      </w:r>
      <w:r>
        <w:instrText xml:space="preserve"> REF _Ref82597175 \r \h </w:instrText>
      </w:r>
      <w:r>
        <w:fldChar w:fldCharType="separate"/>
      </w:r>
      <w:r w:rsidR="003C4BC2">
        <w:t>2</w:t>
      </w:r>
      <w:r>
        <w:fldChar w:fldCharType="end"/>
      </w:r>
    </w:p>
    <w:p w14:paraId="33AC4516" w14:textId="2C6A8A3D" w:rsidR="00DC3629" w:rsidRPr="00D82D2D" w:rsidRDefault="00DC3629" w:rsidP="00DC3629">
      <w:pPr>
        <w:pStyle w:val="Heading1withnumber"/>
        <w:ind w:left="0" w:hanging="567"/>
      </w:pPr>
      <w:bookmarkStart w:id="30" w:name="_Ref82597175"/>
      <w:bookmarkStart w:id="31" w:name="_Toc109996648"/>
      <w:r>
        <w:t>HCH practices</w:t>
      </w:r>
      <w:bookmarkEnd w:id="30"/>
      <w:bookmarkEnd w:id="31"/>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E76EF4" w:rsidRPr="0048466A" w14:paraId="3A4A553D" w14:textId="77777777" w:rsidTr="0032660B">
        <w:tc>
          <w:tcPr>
            <w:tcW w:w="8996" w:type="dxa"/>
            <w:shd w:val="clear" w:color="auto" w:fill="auto"/>
          </w:tcPr>
          <w:p w14:paraId="081B9C1B" w14:textId="19704E02" w:rsidR="00E76EF4" w:rsidRPr="006201AB" w:rsidRDefault="00E76EF4" w:rsidP="00BE164E">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2</w:t>
            </w:r>
            <w:r w:rsidRPr="006201AB">
              <w:rPr>
                <w:bCs/>
                <w:noProof/>
              </w:rPr>
              <w:fldChar w:fldCharType="end"/>
            </w:r>
            <w:r w:rsidRPr="006201AB">
              <w:rPr>
                <w:bCs/>
                <w:szCs w:val="20"/>
              </w:rPr>
              <w:t>: Chapter summary</w:t>
            </w:r>
          </w:p>
          <w:p w14:paraId="2029DA26" w14:textId="7DFC7652" w:rsidR="00300A5A" w:rsidRPr="00F829E0" w:rsidRDefault="008864A7" w:rsidP="00300A5A">
            <w:pPr>
              <w:spacing w:after="120"/>
              <w:rPr>
                <w:rFonts w:eastAsia="Muli" w:cs="Muli"/>
                <w:color w:val="000000" w:themeColor="text1"/>
                <w:sz w:val="18"/>
                <w:szCs w:val="18"/>
              </w:rPr>
            </w:pPr>
            <w:r>
              <w:rPr>
                <w:rFonts w:eastAsia="Muli" w:cs="Muli"/>
                <w:color w:val="000000" w:themeColor="text1"/>
                <w:sz w:val="18"/>
                <w:szCs w:val="18"/>
              </w:rPr>
              <w:t>Over the course of the HCH trial, 227 practices participated</w:t>
            </w:r>
            <w:r w:rsidR="000372F9">
              <w:rPr>
                <w:rFonts w:eastAsia="Muli" w:cs="Muli"/>
                <w:color w:val="000000" w:themeColor="text1"/>
                <w:sz w:val="18"/>
                <w:szCs w:val="18"/>
              </w:rPr>
              <w:t>. At the end of the trial on 30 June 2021</w:t>
            </w:r>
            <w:r>
              <w:rPr>
                <w:rFonts w:eastAsia="Muli" w:cs="Muli"/>
                <w:color w:val="000000" w:themeColor="text1"/>
                <w:sz w:val="18"/>
                <w:szCs w:val="18"/>
              </w:rPr>
              <w:t xml:space="preserve">, </w:t>
            </w:r>
            <w:r w:rsidR="00050518">
              <w:rPr>
                <w:rFonts w:eastAsia="Muli" w:cs="Muli"/>
                <w:color w:val="000000" w:themeColor="text1"/>
                <w:sz w:val="18"/>
                <w:szCs w:val="18"/>
              </w:rPr>
              <w:t xml:space="preserve">106 </w:t>
            </w:r>
            <w:r w:rsidR="0050526F">
              <w:rPr>
                <w:rFonts w:eastAsia="Muli" w:cs="Muli"/>
                <w:color w:val="000000" w:themeColor="text1"/>
                <w:sz w:val="18"/>
                <w:szCs w:val="18"/>
              </w:rPr>
              <w:t xml:space="preserve">practices </w:t>
            </w:r>
            <w:r w:rsidR="00050518">
              <w:rPr>
                <w:rFonts w:eastAsia="Muli" w:cs="Muli"/>
                <w:color w:val="000000" w:themeColor="text1"/>
                <w:sz w:val="18"/>
                <w:szCs w:val="18"/>
              </w:rPr>
              <w:t>remained</w:t>
            </w:r>
            <w:r w:rsidR="00300A5A" w:rsidRPr="00D0408A">
              <w:rPr>
                <w:rFonts w:eastAsia="Muli" w:cs="Muli"/>
                <w:color w:val="000000" w:themeColor="text1"/>
                <w:sz w:val="18"/>
                <w:szCs w:val="18"/>
              </w:rPr>
              <w:t xml:space="preserve">. Most </w:t>
            </w:r>
            <w:r w:rsidR="0020016D">
              <w:rPr>
                <w:rFonts w:eastAsia="Muli" w:cs="Muli"/>
                <w:color w:val="000000" w:themeColor="text1"/>
                <w:sz w:val="18"/>
                <w:szCs w:val="18"/>
              </w:rPr>
              <w:t>of the</w:t>
            </w:r>
            <w:r w:rsidR="00A34D34">
              <w:rPr>
                <w:rFonts w:eastAsia="Muli" w:cs="Muli"/>
                <w:color w:val="000000" w:themeColor="text1"/>
                <w:sz w:val="18"/>
                <w:szCs w:val="18"/>
              </w:rPr>
              <w:t xml:space="preserve"> </w:t>
            </w:r>
            <w:r w:rsidR="00300A5A" w:rsidRPr="00D0408A">
              <w:rPr>
                <w:rFonts w:eastAsia="Muli" w:cs="Muli"/>
                <w:color w:val="000000" w:themeColor="text1"/>
                <w:sz w:val="18"/>
                <w:szCs w:val="18"/>
              </w:rPr>
              <w:t>121 practices that withdrew had not enrolled any patients or had enrolled less than 10</w:t>
            </w:r>
            <w:r w:rsidR="00300A5A" w:rsidRPr="00F829E0">
              <w:rPr>
                <w:rFonts w:eastAsia="Muli" w:cs="Muli"/>
                <w:color w:val="000000" w:themeColor="text1"/>
                <w:sz w:val="18"/>
                <w:szCs w:val="18"/>
              </w:rPr>
              <w:t xml:space="preserve">. </w:t>
            </w:r>
          </w:p>
          <w:p w14:paraId="00A2A2F9" w14:textId="09089D43" w:rsidR="00300A5A" w:rsidRPr="00F829E0" w:rsidRDefault="00300A5A" w:rsidP="00300A5A">
            <w:pPr>
              <w:spacing w:after="120"/>
              <w:rPr>
                <w:rFonts w:eastAsia="Muli" w:cs="Muli"/>
                <w:color w:val="000000" w:themeColor="text1"/>
                <w:sz w:val="18"/>
                <w:szCs w:val="18"/>
              </w:rPr>
            </w:pPr>
            <w:r w:rsidRPr="00F829E0">
              <w:rPr>
                <w:rFonts w:eastAsia="Muli" w:cs="Muli"/>
                <w:color w:val="000000" w:themeColor="text1"/>
                <w:sz w:val="18"/>
                <w:szCs w:val="18"/>
              </w:rPr>
              <w:t>The mean number of patients per practice peaked in July 2019 (the end of the enrolment period).</w:t>
            </w:r>
            <w:r w:rsidR="00A561EE">
              <w:rPr>
                <w:rFonts w:eastAsia="Muli" w:cs="Muli"/>
                <w:color w:val="000000" w:themeColor="text1"/>
                <w:sz w:val="18"/>
                <w:szCs w:val="18"/>
              </w:rPr>
              <w:t xml:space="preserve"> </w:t>
            </w:r>
            <w:r w:rsidR="001D64E7" w:rsidRPr="001D64E7">
              <w:rPr>
                <w:rFonts w:eastAsia="Muli" w:cs="Muli"/>
                <w:color w:val="000000" w:themeColor="text1"/>
                <w:sz w:val="18"/>
                <w:szCs w:val="18"/>
              </w:rPr>
              <w:t>Practices remaining in the trial in June 2021 had enrolled 89 patients on average, although there was considerable variation</w:t>
            </w:r>
            <w:r w:rsidR="0028522D">
              <w:rPr>
                <w:rFonts w:eastAsia="Muli" w:cs="Muli"/>
                <w:color w:val="000000" w:themeColor="text1"/>
                <w:sz w:val="18"/>
                <w:szCs w:val="18"/>
              </w:rPr>
              <w:t>,</w:t>
            </w:r>
            <w:r w:rsidR="001D64E7" w:rsidRPr="001D64E7">
              <w:rPr>
                <w:rFonts w:eastAsia="Muli" w:cs="Muli"/>
                <w:color w:val="000000" w:themeColor="text1"/>
                <w:sz w:val="18"/>
                <w:szCs w:val="18"/>
              </w:rPr>
              <w:t xml:space="preserve"> with 47% enrolling less than 50 patients and 19% enrolling less than 20 patients</w:t>
            </w:r>
            <w:r w:rsidRPr="00F829E0">
              <w:rPr>
                <w:rFonts w:eastAsia="Muli" w:cs="Muli"/>
                <w:color w:val="000000" w:themeColor="text1"/>
                <w:sz w:val="18"/>
                <w:szCs w:val="18"/>
              </w:rPr>
              <w:t>.</w:t>
            </w:r>
          </w:p>
          <w:p w14:paraId="7A52E2A6" w14:textId="2EE5614B" w:rsidR="00300A5A" w:rsidRDefault="00300A5A" w:rsidP="00300A5A">
            <w:pPr>
              <w:spacing w:after="120"/>
              <w:rPr>
                <w:rFonts w:eastAsia="Muli" w:cs="Muli"/>
                <w:color w:val="000000" w:themeColor="text1"/>
                <w:sz w:val="18"/>
                <w:szCs w:val="18"/>
              </w:rPr>
            </w:pPr>
            <w:r w:rsidRPr="00F829E0">
              <w:rPr>
                <w:rFonts w:eastAsia="Muli" w:cs="Muli"/>
                <w:color w:val="000000" w:themeColor="text1"/>
                <w:sz w:val="18"/>
                <w:szCs w:val="18"/>
              </w:rPr>
              <w:t>Practices of a medium size, independently owned, and/or located in a remote and/or most socioeconomically disadvantaged area were less likely to withdraw.</w:t>
            </w:r>
          </w:p>
          <w:p w14:paraId="58CE0359" w14:textId="77777777" w:rsidR="00300A5A" w:rsidRDefault="00300A5A" w:rsidP="00300A5A">
            <w:pPr>
              <w:spacing w:after="120"/>
              <w:rPr>
                <w:rFonts w:eastAsia="Muli" w:cs="Muli"/>
                <w:color w:val="000000" w:themeColor="text1"/>
                <w:sz w:val="18"/>
                <w:szCs w:val="18"/>
              </w:rPr>
            </w:pPr>
            <w:r>
              <w:rPr>
                <w:rFonts w:eastAsia="Muli" w:cs="Muli"/>
                <w:color w:val="000000" w:themeColor="text1"/>
                <w:sz w:val="18"/>
                <w:szCs w:val="18"/>
              </w:rPr>
              <w:t xml:space="preserve">Practices that withdrew early in the trial identified the following as key reasons for not continuing: insufficient information leading to lack of clarity of expectations; concerns with the RST (particularly installing the software); </w:t>
            </w:r>
            <w:r w:rsidRPr="00034E8F">
              <w:rPr>
                <w:rFonts w:eastAsia="Muli" w:cs="Muli"/>
                <w:color w:val="000000" w:themeColor="text1"/>
                <w:sz w:val="18"/>
                <w:szCs w:val="18"/>
              </w:rPr>
              <w:t>administrative burden of enrolling patients</w:t>
            </w:r>
            <w:r>
              <w:rPr>
                <w:rFonts w:eastAsia="Muli" w:cs="Muli"/>
                <w:color w:val="000000" w:themeColor="text1"/>
                <w:sz w:val="18"/>
                <w:szCs w:val="18"/>
              </w:rPr>
              <w:t xml:space="preserve">; challenges with distributing the bundled payment amongst staff in the practice; concerns about who would be responsible for patients with a team-based model; and misalignment with their existing practice model. </w:t>
            </w:r>
          </w:p>
          <w:p w14:paraId="72635B40" w14:textId="3EE5158A" w:rsidR="00300A5A" w:rsidRDefault="00300A5A" w:rsidP="00300A5A">
            <w:pPr>
              <w:spacing w:after="120"/>
              <w:rPr>
                <w:rFonts w:eastAsia="Muli" w:cs="Muli"/>
                <w:color w:val="000000" w:themeColor="text1"/>
                <w:sz w:val="18"/>
                <w:szCs w:val="18"/>
              </w:rPr>
            </w:pPr>
            <w:r>
              <w:rPr>
                <w:rFonts w:eastAsia="Muli" w:cs="Muli"/>
                <w:color w:val="000000" w:themeColor="text1"/>
                <w:sz w:val="18"/>
                <w:szCs w:val="18"/>
              </w:rPr>
              <w:t xml:space="preserve">In the middle stages of the trial, </w:t>
            </w:r>
            <w:r w:rsidRPr="00034E8F">
              <w:rPr>
                <w:rFonts w:eastAsia="Muli" w:cs="Muli"/>
                <w:color w:val="000000" w:themeColor="text1"/>
                <w:sz w:val="18"/>
                <w:szCs w:val="18"/>
              </w:rPr>
              <w:t xml:space="preserve">practices </w:t>
            </w:r>
            <w:r>
              <w:rPr>
                <w:rFonts w:eastAsia="Muli" w:cs="Muli"/>
                <w:color w:val="000000" w:themeColor="text1"/>
                <w:sz w:val="18"/>
                <w:szCs w:val="18"/>
              </w:rPr>
              <w:t>that</w:t>
            </w:r>
            <w:r w:rsidRPr="00034E8F">
              <w:rPr>
                <w:rFonts w:eastAsia="Muli" w:cs="Muli"/>
                <w:color w:val="000000" w:themeColor="text1"/>
                <w:sz w:val="18"/>
                <w:szCs w:val="18"/>
              </w:rPr>
              <w:t xml:space="preserve"> </w:t>
            </w:r>
            <w:r w:rsidR="0027659B" w:rsidRPr="00034E8F">
              <w:rPr>
                <w:rFonts w:eastAsia="Muli" w:cs="Muli"/>
                <w:color w:val="000000" w:themeColor="text1"/>
                <w:sz w:val="18"/>
                <w:szCs w:val="18"/>
              </w:rPr>
              <w:t>hadn’t progress</w:t>
            </w:r>
            <w:r w:rsidR="0027659B">
              <w:rPr>
                <w:rFonts w:eastAsia="Muli" w:cs="Muli"/>
                <w:color w:val="000000" w:themeColor="text1"/>
                <w:sz w:val="18"/>
                <w:szCs w:val="18"/>
              </w:rPr>
              <w:t>ed</w:t>
            </w:r>
            <w:r w:rsidR="0027659B" w:rsidRPr="00034E8F">
              <w:rPr>
                <w:rFonts w:eastAsia="Muli" w:cs="Muli"/>
                <w:color w:val="000000" w:themeColor="text1"/>
                <w:sz w:val="18"/>
                <w:szCs w:val="18"/>
              </w:rPr>
              <w:t xml:space="preserve"> their HCH model </w:t>
            </w:r>
            <w:r w:rsidRPr="00034E8F">
              <w:rPr>
                <w:rFonts w:eastAsia="Muli" w:cs="Muli"/>
                <w:color w:val="000000" w:themeColor="text1"/>
                <w:sz w:val="18"/>
                <w:szCs w:val="18"/>
              </w:rPr>
              <w:t>perceived that the transformation that they would need to undergo would be too challenging</w:t>
            </w:r>
            <w:r>
              <w:rPr>
                <w:rFonts w:eastAsia="Muli" w:cs="Muli"/>
                <w:color w:val="000000" w:themeColor="text1"/>
                <w:sz w:val="18"/>
                <w:szCs w:val="18"/>
              </w:rPr>
              <w:t xml:space="preserve"> and withdrew due to this.</w:t>
            </w:r>
          </w:p>
          <w:p w14:paraId="68B091FF" w14:textId="5B5566D6" w:rsidR="00300A5A" w:rsidRDefault="00124FC9" w:rsidP="00300A5A">
            <w:pPr>
              <w:spacing w:after="120"/>
              <w:rPr>
                <w:rFonts w:eastAsia="Muli" w:cs="Muli"/>
                <w:color w:val="000000" w:themeColor="text1"/>
                <w:sz w:val="18"/>
                <w:szCs w:val="18"/>
              </w:rPr>
            </w:pPr>
            <w:r w:rsidRPr="00124FC9">
              <w:rPr>
                <w:rFonts w:eastAsia="Muli" w:cs="Muli"/>
                <w:color w:val="000000" w:themeColor="text1"/>
                <w:sz w:val="18"/>
                <w:szCs w:val="18"/>
              </w:rPr>
              <w:t xml:space="preserve">In the later stages of the trial, practices withdrew due to lack of certainty about the future of </w:t>
            </w:r>
            <w:r w:rsidR="00204F13">
              <w:rPr>
                <w:rFonts w:eastAsia="Muli" w:cs="Muli"/>
                <w:color w:val="000000" w:themeColor="text1"/>
                <w:sz w:val="18"/>
                <w:szCs w:val="18"/>
              </w:rPr>
              <w:t>the program</w:t>
            </w:r>
            <w:r w:rsidRPr="00124FC9">
              <w:rPr>
                <w:rFonts w:eastAsia="Muli" w:cs="Muli"/>
                <w:color w:val="000000" w:themeColor="text1"/>
                <w:sz w:val="18"/>
                <w:szCs w:val="18"/>
              </w:rPr>
              <w:t>. Some practices also cited ongoing frustrations with external providers using the shared care platform and having to provide them with printed copies of patient care plans</w:t>
            </w:r>
            <w:r w:rsidR="00300A5A" w:rsidRPr="00034E8F">
              <w:rPr>
                <w:rFonts w:eastAsia="Muli" w:cs="Muli"/>
                <w:color w:val="000000" w:themeColor="text1"/>
                <w:sz w:val="18"/>
                <w:szCs w:val="18"/>
              </w:rPr>
              <w:t>.</w:t>
            </w:r>
          </w:p>
          <w:p w14:paraId="58DDC544" w14:textId="41E88F87" w:rsidR="00300A5A" w:rsidRDefault="00300A5A" w:rsidP="00300A5A">
            <w:pPr>
              <w:spacing w:after="120"/>
              <w:rPr>
                <w:rFonts w:eastAsia="Muli" w:cs="Muli"/>
                <w:color w:val="000000" w:themeColor="text1"/>
                <w:sz w:val="18"/>
                <w:szCs w:val="18"/>
              </w:rPr>
            </w:pPr>
            <w:r>
              <w:rPr>
                <w:rFonts w:eastAsia="Muli" w:cs="Muli"/>
                <w:color w:val="000000" w:themeColor="text1"/>
                <w:sz w:val="18"/>
                <w:szCs w:val="18"/>
              </w:rPr>
              <w:t xml:space="preserve">Through all stages of the trial, factors that contributed to practices withdrawing included </w:t>
            </w:r>
            <w:r w:rsidRPr="00F829E0">
              <w:rPr>
                <w:rFonts w:eastAsia="Muli" w:cs="Muli"/>
                <w:color w:val="000000" w:themeColor="text1"/>
                <w:sz w:val="18"/>
                <w:szCs w:val="18"/>
              </w:rPr>
              <w:t>losing a key person/role from the practice</w:t>
            </w:r>
            <w:r>
              <w:rPr>
                <w:rFonts w:eastAsia="Muli" w:cs="Muli"/>
                <w:color w:val="000000" w:themeColor="text1"/>
                <w:sz w:val="18"/>
                <w:szCs w:val="18"/>
              </w:rPr>
              <w:t>;</w:t>
            </w:r>
            <w:r w:rsidRPr="00F829E0">
              <w:rPr>
                <w:rFonts w:eastAsia="Muli" w:cs="Muli"/>
                <w:color w:val="000000" w:themeColor="text1"/>
                <w:sz w:val="18"/>
                <w:szCs w:val="18"/>
              </w:rPr>
              <w:t xml:space="preserve"> GP attitudes to the </w:t>
            </w:r>
            <w:r>
              <w:rPr>
                <w:rFonts w:eastAsia="Muli" w:cs="Muli"/>
                <w:color w:val="000000" w:themeColor="text1"/>
                <w:sz w:val="18"/>
                <w:szCs w:val="18"/>
              </w:rPr>
              <w:t>model;</w:t>
            </w:r>
            <w:r w:rsidRPr="00F829E0">
              <w:rPr>
                <w:rFonts w:eastAsia="Muli" w:cs="Muli"/>
                <w:color w:val="000000" w:themeColor="text1"/>
                <w:sz w:val="18"/>
                <w:szCs w:val="18"/>
              </w:rPr>
              <w:t xml:space="preserve"> lack of a value proposition for GPs </w:t>
            </w:r>
            <w:r w:rsidR="003B73BE">
              <w:rPr>
                <w:rFonts w:eastAsia="Muli" w:cs="Muli"/>
                <w:color w:val="000000" w:themeColor="text1"/>
                <w:sz w:val="18"/>
                <w:szCs w:val="18"/>
              </w:rPr>
              <w:t>and</w:t>
            </w:r>
            <w:r w:rsidRPr="00F829E0">
              <w:rPr>
                <w:rFonts w:eastAsia="Muli" w:cs="Muli"/>
                <w:color w:val="000000" w:themeColor="text1"/>
                <w:sz w:val="18"/>
                <w:szCs w:val="18"/>
              </w:rPr>
              <w:t xml:space="preserve"> patients</w:t>
            </w:r>
            <w:r>
              <w:rPr>
                <w:rFonts w:eastAsia="Muli" w:cs="Muli"/>
                <w:color w:val="000000" w:themeColor="text1"/>
                <w:sz w:val="18"/>
                <w:szCs w:val="18"/>
              </w:rPr>
              <w:t>;</w:t>
            </w:r>
            <w:r w:rsidRPr="00F829E0">
              <w:rPr>
                <w:rFonts w:eastAsia="Muli" w:cs="Muli"/>
                <w:color w:val="000000" w:themeColor="text1"/>
                <w:sz w:val="18"/>
                <w:szCs w:val="18"/>
              </w:rPr>
              <w:t xml:space="preserve"> perceptions about the adequacy of the bundled payment</w:t>
            </w:r>
            <w:r>
              <w:rPr>
                <w:rFonts w:eastAsia="Muli" w:cs="Muli"/>
                <w:color w:val="000000" w:themeColor="text1"/>
                <w:sz w:val="18"/>
                <w:szCs w:val="18"/>
              </w:rPr>
              <w:t>;</w:t>
            </w:r>
            <w:r w:rsidRPr="00F829E0">
              <w:rPr>
                <w:rFonts w:eastAsia="Muli" w:cs="Muli"/>
                <w:color w:val="000000" w:themeColor="text1"/>
                <w:sz w:val="18"/>
                <w:szCs w:val="18"/>
              </w:rPr>
              <w:t xml:space="preserve"> and practice closure</w:t>
            </w:r>
            <w:r>
              <w:rPr>
                <w:rFonts w:eastAsia="Muli" w:cs="Muli"/>
                <w:color w:val="000000" w:themeColor="text1"/>
                <w:sz w:val="18"/>
                <w:szCs w:val="18"/>
              </w:rPr>
              <w:t xml:space="preserve"> or change of ownership</w:t>
            </w:r>
            <w:r w:rsidRPr="00F829E0">
              <w:rPr>
                <w:rFonts w:eastAsia="Muli" w:cs="Muli"/>
                <w:color w:val="000000" w:themeColor="text1"/>
                <w:sz w:val="18"/>
                <w:szCs w:val="18"/>
              </w:rPr>
              <w:t xml:space="preserve">. </w:t>
            </w:r>
          </w:p>
          <w:p w14:paraId="06E27FB7" w14:textId="53DB2D34" w:rsidR="00E76EF4" w:rsidRPr="0056776B" w:rsidRDefault="00300A5A" w:rsidP="00BE164E">
            <w:pPr>
              <w:spacing w:after="120"/>
              <w:rPr>
                <w:rFonts w:eastAsia="Muli" w:cs="Muli"/>
                <w:color w:val="000000" w:themeColor="text1"/>
                <w:sz w:val="18"/>
                <w:szCs w:val="18"/>
              </w:rPr>
            </w:pPr>
            <w:r w:rsidRPr="00F829E0">
              <w:rPr>
                <w:rFonts w:eastAsia="Muli" w:cs="Muli"/>
                <w:color w:val="000000" w:themeColor="text1"/>
                <w:sz w:val="18"/>
                <w:szCs w:val="18"/>
              </w:rPr>
              <w:t>Despite withdrawing, several practices identified aspects of the model that they would like to maintain or see maintained into the future. These included team care, quality improvement and the bundled payment.</w:t>
            </w:r>
          </w:p>
        </w:tc>
      </w:tr>
    </w:tbl>
    <w:p w14:paraId="50B4E31F" w14:textId="77777777" w:rsidR="00E76EF4" w:rsidRDefault="00E76EF4" w:rsidP="00E76EF4">
      <w:pPr>
        <w:spacing w:after="0"/>
      </w:pPr>
    </w:p>
    <w:p w14:paraId="50B43E11" w14:textId="49133EB5" w:rsidR="00D050BC" w:rsidRPr="00D10CDC" w:rsidRDefault="00C71798" w:rsidP="00961BF8">
      <w:pPr>
        <w:rPr>
          <w:bCs/>
        </w:rPr>
      </w:pPr>
      <w:bookmarkStart w:id="32" w:name="_Hlk20923213"/>
      <w:bookmarkStart w:id="33" w:name="_Hlk49176926"/>
      <w:r>
        <w:rPr>
          <w:bCs/>
        </w:rPr>
        <w:t xml:space="preserve">The number of </w:t>
      </w:r>
      <w:r w:rsidR="008D558F">
        <w:rPr>
          <w:bCs/>
        </w:rPr>
        <w:t xml:space="preserve">practices </w:t>
      </w:r>
      <w:r>
        <w:rPr>
          <w:bCs/>
        </w:rPr>
        <w:t xml:space="preserve">that </w:t>
      </w:r>
      <w:r w:rsidR="008D558F">
        <w:rPr>
          <w:bCs/>
        </w:rPr>
        <w:t xml:space="preserve">stayed until the end of the </w:t>
      </w:r>
      <w:r w:rsidR="00E44ACC" w:rsidRPr="00D10CDC">
        <w:rPr>
          <w:bCs/>
        </w:rPr>
        <w:t xml:space="preserve">trial </w:t>
      </w:r>
      <w:r w:rsidR="003B73BE">
        <w:rPr>
          <w:bCs/>
        </w:rPr>
        <w:t>(</w:t>
      </w:r>
      <w:r w:rsidR="00E44ACC" w:rsidRPr="00D10CDC">
        <w:rPr>
          <w:bCs/>
        </w:rPr>
        <w:t>30 June 2021</w:t>
      </w:r>
      <w:r w:rsidR="003B73BE">
        <w:rPr>
          <w:bCs/>
        </w:rPr>
        <w:t>)</w:t>
      </w:r>
      <w:r w:rsidR="00E44ACC" w:rsidRPr="00D10CDC">
        <w:rPr>
          <w:bCs/>
        </w:rPr>
        <w:t xml:space="preserve"> </w:t>
      </w:r>
      <w:r>
        <w:rPr>
          <w:bCs/>
        </w:rPr>
        <w:t>was 106</w:t>
      </w:r>
      <w:r w:rsidR="00E44ACC" w:rsidRPr="00D10CDC">
        <w:rPr>
          <w:bCs/>
        </w:rPr>
        <w:t xml:space="preserve"> </w:t>
      </w:r>
      <w:r w:rsidR="00FB3161" w:rsidRPr="00D10CDC">
        <w:rPr>
          <w:bCs/>
        </w:rPr>
        <w:t>(</w:t>
      </w:r>
      <w:r w:rsidR="008A7C0A" w:rsidRPr="00D10CDC">
        <w:rPr>
          <w:bCs/>
        </w:rPr>
        <w:t xml:space="preserve">labelled as </w:t>
      </w:r>
      <w:r w:rsidR="0087126D">
        <w:rPr>
          <w:bCs/>
        </w:rPr>
        <w:t>“</w:t>
      </w:r>
      <w:r w:rsidR="008A7C0A" w:rsidRPr="00D10CDC">
        <w:rPr>
          <w:bCs/>
        </w:rPr>
        <w:t>Active</w:t>
      </w:r>
      <w:r w:rsidR="0087126D">
        <w:rPr>
          <w:bCs/>
        </w:rPr>
        <w:t>”</w:t>
      </w:r>
      <w:r w:rsidR="008A7C0A" w:rsidRPr="00D10CDC">
        <w:rPr>
          <w:bCs/>
        </w:rPr>
        <w:t xml:space="preserve"> practices in </w:t>
      </w:r>
      <w:r w:rsidR="00EA303A" w:rsidRPr="00D10CDC">
        <w:rPr>
          <w:rStyle w:val="Strong1"/>
          <w:rFonts w:eastAsiaTheme="minorEastAsia"/>
          <w:b w:val="0"/>
          <w:bCs/>
          <w:color w:val="1D2455"/>
          <w:sz w:val="20"/>
          <w:szCs w:val="16"/>
          <w:lang w:eastAsia="en-AU"/>
        </w:rPr>
        <w:fldChar w:fldCharType="begin"/>
      </w:r>
      <w:r w:rsidR="00EA303A" w:rsidRPr="00D10CDC">
        <w:rPr>
          <w:bCs/>
        </w:rPr>
        <w:instrText xml:space="preserve"> REF _Ref51836954 \h  \* MERGEFORMAT </w:instrText>
      </w:r>
      <w:r w:rsidR="00EA303A" w:rsidRPr="00D10CDC">
        <w:rPr>
          <w:rStyle w:val="Strong1"/>
          <w:rFonts w:eastAsiaTheme="minorEastAsia"/>
          <w:b w:val="0"/>
          <w:bCs/>
          <w:color w:val="1D2455"/>
          <w:sz w:val="20"/>
          <w:szCs w:val="16"/>
          <w:lang w:eastAsia="en-AU"/>
        </w:rPr>
      </w:r>
      <w:r w:rsidR="00EA303A" w:rsidRPr="00D10CDC">
        <w:rPr>
          <w:rStyle w:val="Strong1"/>
          <w:rFonts w:eastAsiaTheme="minorEastAsia"/>
          <w:b w:val="0"/>
          <w:bCs/>
          <w:color w:val="1D2455"/>
          <w:sz w:val="20"/>
          <w:szCs w:val="16"/>
          <w:lang w:eastAsia="en-AU"/>
        </w:rPr>
        <w:fldChar w:fldCharType="separate"/>
      </w:r>
      <w:r w:rsidR="003C4BC2" w:rsidRPr="003C4BC2">
        <w:rPr>
          <w:rStyle w:val="Strong1"/>
          <w:rFonts w:eastAsiaTheme="minorEastAsia"/>
          <w:b w:val="0"/>
          <w:bCs/>
          <w:color w:val="1D2455"/>
          <w:sz w:val="20"/>
          <w:szCs w:val="16"/>
          <w:lang w:eastAsia="en-AU"/>
        </w:rPr>
        <w:t>Table 4</w:t>
      </w:r>
      <w:r w:rsidR="00EA303A" w:rsidRPr="00D10CDC">
        <w:rPr>
          <w:rStyle w:val="Strong1"/>
          <w:rFonts w:eastAsiaTheme="minorEastAsia"/>
          <w:b w:val="0"/>
          <w:bCs/>
          <w:color w:val="1D2455"/>
          <w:sz w:val="20"/>
          <w:szCs w:val="16"/>
          <w:lang w:eastAsia="en-AU"/>
        </w:rPr>
        <w:fldChar w:fldCharType="end"/>
      </w:r>
      <w:r w:rsidR="00FB3161" w:rsidRPr="00D10CDC">
        <w:rPr>
          <w:rStyle w:val="Strong1"/>
          <w:rFonts w:eastAsiaTheme="minorEastAsia"/>
          <w:b w:val="0"/>
          <w:bCs/>
          <w:color w:val="1D2455"/>
          <w:sz w:val="20"/>
          <w:szCs w:val="16"/>
          <w:lang w:eastAsia="en-AU"/>
        </w:rPr>
        <w:t>)</w:t>
      </w:r>
      <w:r w:rsidR="00FB3161" w:rsidRPr="00D10CDC">
        <w:rPr>
          <w:bCs/>
        </w:rPr>
        <w:t>.</w:t>
      </w:r>
      <w:r w:rsidR="00D050BC" w:rsidRPr="00D10CDC">
        <w:rPr>
          <w:rStyle w:val="FootnoteReference"/>
          <w:bCs/>
          <w:color w:val="408BCA"/>
        </w:rPr>
        <w:footnoteReference w:id="13"/>
      </w:r>
      <w:r w:rsidR="00FB3161" w:rsidRPr="00D10CDC">
        <w:rPr>
          <w:bCs/>
        </w:rPr>
        <w:t xml:space="preserve"> </w:t>
      </w:r>
      <w:r w:rsidR="00900F65" w:rsidRPr="00D10CDC">
        <w:rPr>
          <w:bCs/>
        </w:rPr>
        <w:t xml:space="preserve">A further 121 </w:t>
      </w:r>
      <w:r>
        <w:rPr>
          <w:bCs/>
        </w:rPr>
        <w:t>practices</w:t>
      </w:r>
      <w:r w:rsidR="00900F65" w:rsidRPr="00D10CDC">
        <w:rPr>
          <w:bCs/>
        </w:rPr>
        <w:t xml:space="preserve"> (53.2%) had</w:t>
      </w:r>
      <w:r w:rsidR="00F53B48" w:rsidRPr="00D10CDC">
        <w:rPr>
          <w:bCs/>
        </w:rPr>
        <w:t xml:space="preserve"> participated at some </w:t>
      </w:r>
      <w:r w:rsidR="00961BF8" w:rsidRPr="00D10CDC">
        <w:rPr>
          <w:bCs/>
        </w:rPr>
        <w:t>stage</w:t>
      </w:r>
      <w:r w:rsidR="00F53B48" w:rsidRPr="00D10CDC">
        <w:rPr>
          <w:bCs/>
        </w:rPr>
        <w:t xml:space="preserve"> but</w:t>
      </w:r>
      <w:r w:rsidR="00900F65" w:rsidRPr="00D10CDC">
        <w:rPr>
          <w:bCs/>
        </w:rPr>
        <w:t xml:space="preserve"> </w:t>
      </w:r>
      <w:r w:rsidR="00F53B48" w:rsidRPr="00D10CDC">
        <w:rPr>
          <w:bCs/>
        </w:rPr>
        <w:t>withdrew</w:t>
      </w:r>
      <w:r w:rsidR="008A7C0A" w:rsidRPr="00D10CDC">
        <w:rPr>
          <w:bCs/>
        </w:rPr>
        <w:t xml:space="preserve"> before the trial ended (labelled as </w:t>
      </w:r>
      <w:r w:rsidR="0087126D">
        <w:rPr>
          <w:bCs/>
        </w:rPr>
        <w:t>“</w:t>
      </w:r>
      <w:r w:rsidR="008A7C0A" w:rsidRPr="00D10CDC">
        <w:rPr>
          <w:bCs/>
        </w:rPr>
        <w:t>Withdrawn</w:t>
      </w:r>
      <w:r w:rsidR="0087126D">
        <w:rPr>
          <w:bCs/>
        </w:rPr>
        <w:t>”</w:t>
      </w:r>
      <w:r w:rsidR="008A7C0A" w:rsidRPr="00D10CDC">
        <w:rPr>
          <w:bCs/>
        </w:rPr>
        <w:t xml:space="preserve"> practices in </w:t>
      </w:r>
      <w:r w:rsidR="008A7C0A" w:rsidRPr="00D10CDC">
        <w:rPr>
          <w:rStyle w:val="Strong1"/>
          <w:rFonts w:eastAsiaTheme="minorEastAsia"/>
          <w:b w:val="0"/>
          <w:bCs/>
          <w:color w:val="1D2455"/>
          <w:sz w:val="20"/>
          <w:szCs w:val="16"/>
          <w:lang w:eastAsia="en-AU"/>
        </w:rPr>
        <w:fldChar w:fldCharType="begin"/>
      </w:r>
      <w:r w:rsidR="008A7C0A" w:rsidRPr="00D10CDC">
        <w:rPr>
          <w:rStyle w:val="Strong1"/>
          <w:rFonts w:eastAsiaTheme="minorEastAsia"/>
          <w:b w:val="0"/>
          <w:bCs/>
          <w:color w:val="1D2455"/>
          <w:sz w:val="20"/>
          <w:szCs w:val="16"/>
          <w:lang w:eastAsia="en-AU"/>
        </w:rPr>
        <w:instrText xml:space="preserve"> REF _Ref51836954 \h  \* MERGEFORMAT </w:instrText>
      </w:r>
      <w:r w:rsidR="008A7C0A" w:rsidRPr="00D10CDC">
        <w:rPr>
          <w:rStyle w:val="Strong1"/>
          <w:rFonts w:eastAsiaTheme="minorEastAsia"/>
          <w:b w:val="0"/>
          <w:bCs/>
          <w:color w:val="1D2455"/>
          <w:sz w:val="20"/>
          <w:szCs w:val="16"/>
          <w:lang w:eastAsia="en-AU"/>
        </w:rPr>
      </w:r>
      <w:r w:rsidR="008A7C0A" w:rsidRPr="00D10CDC">
        <w:rPr>
          <w:rStyle w:val="Strong1"/>
          <w:rFonts w:eastAsiaTheme="minorEastAsia"/>
          <w:b w:val="0"/>
          <w:bCs/>
          <w:color w:val="1D2455"/>
          <w:sz w:val="20"/>
          <w:szCs w:val="16"/>
          <w:lang w:eastAsia="en-AU"/>
        </w:rPr>
        <w:fldChar w:fldCharType="separate"/>
      </w:r>
      <w:r w:rsidR="003C4BC2" w:rsidRPr="003C4BC2">
        <w:rPr>
          <w:rStyle w:val="Strong1"/>
          <w:rFonts w:eastAsiaTheme="minorEastAsia"/>
          <w:b w:val="0"/>
          <w:bCs/>
          <w:color w:val="1D2455"/>
          <w:sz w:val="20"/>
          <w:szCs w:val="16"/>
          <w:lang w:eastAsia="en-AU"/>
        </w:rPr>
        <w:t>Table 4</w:t>
      </w:r>
      <w:r w:rsidR="008A7C0A" w:rsidRPr="00D10CDC">
        <w:rPr>
          <w:rStyle w:val="Strong1"/>
          <w:rFonts w:eastAsiaTheme="minorEastAsia"/>
          <w:b w:val="0"/>
          <w:bCs/>
          <w:color w:val="1D2455"/>
          <w:sz w:val="20"/>
          <w:szCs w:val="16"/>
          <w:lang w:eastAsia="en-AU"/>
        </w:rPr>
        <w:fldChar w:fldCharType="end"/>
      </w:r>
      <w:r w:rsidR="008A7C0A" w:rsidRPr="00D10CDC">
        <w:rPr>
          <w:rStyle w:val="Strong1"/>
          <w:rFonts w:eastAsiaTheme="minorEastAsia"/>
          <w:b w:val="0"/>
          <w:bCs/>
          <w:color w:val="1D2455"/>
          <w:sz w:val="20"/>
          <w:szCs w:val="16"/>
          <w:lang w:eastAsia="en-AU"/>
        </w:rPr>
        <w:t>)</w:t>
      </w:r>
      <w:r w:rsidR="00900F65" w:rsidRPr="00D10CDC">
        <w:rPr>
          <w:bCs/>
        </w:rPr>
        <w:t>. Most practices that withdrew had not enrolled any patients (n = 62) or had enrolled less than 10 (n = 26) (</w:t>
      </w:r>
      <w:r w:rsidR="00900F65" w:rsidRPr="00D10CDC">
        <w:rPr>
          <w:rStyle w:val="Strong1"/>
          <w:rFonts w:eastAsiaTheme="minorEastAsia"/>
          <w:b w:val="0"/>
          <w:bCs/>
          <w:color w:val="1D2455"/>
          <w:sz w:val="20"/>
          <w:szCs w:val="16"/>
          <w:lang w:eastAsia="en-AU"/>
        </w:rPr>
        <w:fldChar w:fldCharType="begin"/>
      </w:r>
      <w:r w:rsidR="00900F65" w:rsidRPr="00D10CDC">
        <w:rPr>
          <w:rStyle w:val="Strong1"/>
          <w:rFonts w:eastAsiaTheme="minorEastAsia"/>
          <w:b w:val="0"/>
          <w:bCs/>
          <w:color w:val="1D2455"/>
          <w:sz w:val="20"/>
          <w:szCs w:val="16"/>
          <w:lang w:eastAsia="en-AU"/>
        </w:rPr>
        <w:instrText xml:space="preserve"> REF _Ref51236661 \h  \* MERGEFORMAT </w:instrText>
      </w:r>
      <w:r w:rsidR="00900F65" w:rsidRPr="00D10CDC">
        <w:rPr>
          <w:rStyle w:val="Strong1"/>
          <w:rFonts w:eastAsiaTheme="minorEastAsia"/>
          <w:b w:val="0"/>
          <w:bCs/>
          <w:color w:val="1D2455"/>
          <w:sz w:val="20"/>
          <w:szCs w:val="16"/>
          <w:lang w:eastAsia="en-AU"/>
        </w:rPr>
      </w:r>
      <w:r w:rsidR="00900F65" w:rsidRPr="00D10CDC">
        <w:rPr>
          <w:rStyle w:val="Strong1"/>
          <w:rFonts w:eastAsiaTheme="minorEastAsia"/>
          <w:b w:val="0"/>
          <w:bCs/>
          <w:color w:val="1D2455"/>
          <w:sz w:val="20"/>
          <w:szCs w:val="16"/>
          <w:lang w:eastAsia="en-AU"/>
        </w:rPr>
        <w:fldChar w:fldCharType="separate"/>
      </w:r>
      <w:r w:rsidR="003C4BC2" w:rsidRPr="003C4BC2">
        <w:rPr>
          <w:rStyle w:val="Strong1"/>
          <w:rFonts w:eastAsiaTheme="minorEastAsia"/>
          <w:b w:val="0"/>
          <w:bCs/>
          <w:color w:val="1D2455"/>
          <w:sz w:val="20"/>
          <w:szCs w:val="16"/>
          <w:lang w:eastAsia="en-AU"/>
        </w:rPr>
        <w:t>Table 5</w:t>
      </w:r>
      <w:r w:rsidR="00900F65" w:rsidRPr="00D10CDC">
        <w:rPr>
          <w:rStyle w:val="Strong1"/>
          <w:rFonts w:eastAsiaTheme="minorEastAsia"/>
          <w:b w:val="0"/>
          <w:bCs/>
          <w:color w:val="1D2455"/>
          <w:sz w:val="20"/>
          <w:szCs w:val="16"/>
          <w:lang w:eastAsia="en-AU"/>
        </w:rPr>
        <w:fldChar w:fldCharType="end"/>
      </w:r>
      <w:r w:rsidR="00900F65" w:rsidRPr="00D10CDC">
        <w:rPr>
          <w:bCs/>
        </w:rPr>
        <w:t>). Practices withdrew from the trial at a steady rate until July</w:t>
      </w:r>
      <w:r w:rsidR="00E659AF" w:rsidRPr="00D10CDC">
        <w:rPr>
          <w:bCs/>
        </w:rPr>
        <w:t>–</w:t>
      </w:r>
      <w:r w:rsidR="00900F65" w:rsidRPr="00D10CDC">
        <w:rPr>
          <w:bCs/>
        </w:rPr>
        <w:t>August 2019</w:t>
      </w:r>
      <w:r w:rsidR="002953D0">
        <w:rPr>
          <w:bCs/>
        </w:rPr>
        <w:t>,</w:t>
      </w:r>
      <w:r w:rsidR="00900F65" w:rsidRPr="00D10CDC">
        <w:rPr>
          <w:bCs/>
        </w:rPr>
        <w:t xml:space="preserve"> </w:t>
      </w:r>
      <w:r w:rsidR="00900F65" w:rsidRPr="00D10CDC">
        <w:rPr>
          <w:bCs/>
        </w:rPr>
        <w:lastRenderedPageBreak/>
        <w:t>when those that had not enrolled any patients by the end of the enrolment period withdrew (</w:t>
      </w:r>
      <w:r w:rsidR="00900F65" w:rsidRPr="00D10CDC">
        <w:rPr>
          <w:rStyle w:val="Strong1"/>
          <w:rFonts w:eastAsiaTheme="minorEastAsia"/>
          <w:b w:val="0"/>
          <w:bCs/>
          <w:color w:val="1D2455"/>
          <w:sz w:val="20"/>
          <w:szCs w:val="16"/>
          <w:lang w:eastAsia="en-AU"/>
        </w:rPr>
        <w:fldChar w:fldCharType="begin"/>
      </w:r>
      <w:r w:rsidR="00900F65" w:rsidRPr="00D10CDC">
        <w:rPr>
          <w:rStyle w:val="Strong1"/>
          <w:rFonts w:eastAsiaTheme="minorEastAsia"/>
          <w:b w:val="0"/>
          <w:bCs/>
          <w:color w:val="1D2455"/>
          <w:sz w:val="20"/>
          <w:szCs w:val="16"/>
          <w:lang w:eastAsia="en-AU"/>
        </w:rPr>
        <w:instrText xml:space="preserve"> REF _Ref95830515 \h  \* MERGEFORMAT </w:instrText>
      </w:r>
      <w:r w:rsidR="00900F65" w:rsidRPr="00D10CDC">
        <w:rPr>
          <w:rStyle w:val="Strong1"/>
          <w:rFonts w:eastAsiaTheme="minorEastAsia"/>
          <w:b w:val="0"/>
          <w:bCs/>
          <w:color w:val="1D2455"/>
          <w:sz w:val="20"/>
          <w:szCs w:val="16"/>
          <w:lang w:eastAsia="en-AU"/>
        </w:rPr>
      </w:r>
      <w:r w:rsidR="00900F65" w:rsidRPr="00D10CDC">
        <w:rPr>
          <w:rStyle w:val="Strong1"/>
          <w:rFonts w:eastAsiaTheme="minorEastAsia"/>
          <w:b w:val="0"/>
          <w:bCs/>
          <w:color w:val="1D2455"/>
          <w:sz w:val="20"/>
          <w:szCs w:val="16"/>
          <w:lang w:eastAsia="en-AU"/>
        </w:rPr>
        <w:fldChar w:fldCharType="separate"/>
      </w:r>
      <w:r w:rsidR="003C4BC2" w:rsidRPr="003C4BC2">
        <w:rPr>
          <w:rStyle w:val="Strong1"/>
          <w:rFonts w:eastAsiaTheme="minorEastAsia"/>
          <w:b w:val="0"/>
          <w:bCs/>
          <w:color w:val="1D2455"/>
          <w:sz w:val="20"/>
          <w:szCs w:val="16"/>
          <w:lang w:eastAsia="en-AU"/>
        </w:rPr>
        <w:t>Figure 3</w:t>
      </w:r>
      <w:r w:rsidR="00900F65" w:rsidRPr="00D10CDC">
        <w:rPr>
          <w:rStyle w:val="Strong1"/>
          <w:rFonts w:eastAsiaTheme="minorEastAsia"/>
          <w:b w:val="0"/>
          <w:bCs/>
          <w:color w:val="1D2455"/>
          <w:sz w:val="20"/>
          <w:szCs w:val="16"/>
          <w:lang w:eastAsia="en-AU"/>
        </w:rPr>
        <w:fldChar w:fldCharType="end"/>
      </w:r>
      <w:r w:rsidR="00900F65" w:rsidRPr="00D10CDC">
        <w:rPr>
          <w:bCs/>
        </w:rPr>
        <w:t xml:space="preserve">). </w:t>
      </w:r>
    </w:p>
    <w:p w14:paraId="49ABD3AB" w14:textId="0099659D" w:rsidR="0044176E" w:rsidRPr="00D10CDC" w:rsidRDefault="0044176E" w:rsidP="0044176E">
      <w:pPr>
        <w:rPr>
          <w:rFonts w:eastAsiaTheme="minorEastAsia"/>
          <w:bCs/>
          <w:color w:val="1D2455"/>
          <w:szCs w:val="16"/>
          <w:lang w:eastAsia="en-AU"/>
        </w:rPr>
      </w:pPr>
      <w:r w:rsidRPr="00D10CDC">
        <w:rPr>
          <w:bCs/>
        </w:rPr>
        <w:t>The mean number of patients per practice peaked in July 2019 (the end of the enrolment period) (</w:t>
      </w:r>
      <w:r w:rsidRPr="00D10CDC">
        <w:rPr>
          <w:rStyle w:val="Strong1"/>
          <w:rFonts w:eastAsiaTheme="minorEastAsia"/>
          <w:b w:val="0"/>
          <w:bCs/>
          <w:color w:val="1D2455"/>
          <w:sz w:val="20"/>
          <w:szCs w:val="16"/>
          <w:lang w:eastAsia="en-AU"/>
        </w:rPr>
        <w:fldChar w:fldCharType="begin"/>
      </w:r>
      <w:r w:rsidRPr="00D10CDC">
        <w:rPr>
          <w:rStyle w:val="Strong1"/>
          <w:rFonts w:eastAsiaTheme="minorEastAsia"/>
          <w:b w:val="0"/>
          <w:bCs/>
          <w:color w:val="1D2455"/>
          <w:sz w:val="20"/>
          <w:szCs w:val="16"/>
          <w:lang w:eastAsia="en-AU"/>
        </w:rPr>
        <w:instrText xml:space="preserve"> REF _Ref95830515 \h  \* MERGEFORMAT </w:instrText>
      </w:r>
      <w:r w:rsidRPr="00D10CDC">
        <w:rPr>
          <w:rStyle w:val="Strong1"/>
          <w:rFonts w:eastAsiaTheme="minorEastAsia"/>
          <w:b w:val="0"/>
          <w:bCs/>
          <w:color w:val="1D2455"/>
          <w:sz w:val="20"/>
          <w:szCs w:val="16"/>
          <w:lang w:eastAsia="en-AU"/>
        </w:rPr>
      </w:r>
      <w:r w:rsidRPr="00D10CDC">
        <w:rPr>
          <w:rStyle w:val="Strong1"/>
          <w:rFonts w:eastAsiaTheme="minorEastAsia"/>
          <w:b w:val="0"/>
          <w:bCs/>
          <w:color w:val="1D2455"/>
          <w:sz w:val="20"/>
          <w:szCs w:val="16"/>
          <w:lang w:eastAsia="en-AU"/>
        </w:rPr>
        <w:fldChar w:fldCharType="separate"/>
      </w:r>
      <w:r w:rsidR="003C4BC2" w:rsidRPr="003C4BC2">
        <w:rPr>
          <w:rStyle w:val="Strong1"/>
          <w:rFonts w:eastAsiaTheme="minorEastAsia"/>
          <w:b w:val="0"/>
          <w:bCs/>
          <w:color w:val="1D2455"/>
          <w:sz w:val="20"/>
          <w:szCs w:val="16"/>
          <w:lang w:eastAsia="en-AU"/>
        </w:rPr>
        <w:t>Figure 3</w:t>
      </w:r>
      <w:r w:rsidRPr="00D10CDC">
        <w:rPr>
          <w:rStyle w:val="Strong1"/>
          <w:rFonts w:eastAsiaTheme="minorEastAsia"/>
          <w:b w:val="0"/>
          <w:bCs/>
          <w:color w:val="1D2455"/>
          <w:sz w:val="20"/>
          <w:szCs w:val="16"/>
          <w:lang w:eastAsia="en-AU"/>
        </w:rPr>
        <w:fldChar w:fldCharType="end"/>
      </w:r>
      <w:r w:rsidRPr="00D10CDC">
        <w:rPr>
          <w:bCs/>
        </w:rPr>
        <w:t>). The mean number of patients per active practice was 88.6 (</w:t>
      </w:r>
      <w:r w:rsidRPr="00D10CDC">
        <w:rPr>
          <w:rStyle w:val="Strong1"/>
          <w:rFonts w:eastAsiaTheme="minorEastAsia"/>
          <w:b w:val="0"/>
          <w:bCs/>
          <w:color w:val="1D2455"/>
          <w:sz w:val="20"/>
          <w:szCs w:val="16"/>
          <w:lang w:eastAsia="en-AU"/>
        </w:rPr>
        <w:fldChar w:fldCharType="begin"/>
      </w:r>
      <w:r w:rsidRPr="00D10CDC">
        <w:rPr>
          <w:rStyle w:val="Strong1"/>
          <w:rFonts w:eastAsiaTheme="minorEastAsia"/>
          <w:b w:val="0"/>
          <w:bCs/>
          <w:color w:val="1D2455"/>
          <w:sz w:val="20"/>
          <w:szCs w:val="16"/>
          <w:lang w:eastAsia="en-AU"/>
        </w:rPr>
        <w:instrText xml:space="preserve"> REF _Ref51236661 \h  \* MERGEFORMAT </w:instrText>
      </w:r>
      <w:r w:rsidRPr="00D10CDC">
        <w:rPr>
          <w:rStyle w:val="Strong1"/>
          <w:rFonts w:eastAsiaTheme="minorEastAsia"/>
          <w:b w:val="0"/>
          <w:bCs/>
          <w:color w:val="1D2455"/>
          <w:sz w:val="20"/>
          <w:szCs w:val="16"/>
          <w:lang w:eastAsia="en-AU"/>
        </w:rPr>
      </w:r>
      <w:r w:rsidRPr="00D10CDC">
        <w:rPr>
          <w:rStyle w:val="Strong1"/>
          <w:rFonts w:eastAsiaTheme="minorEastAsia"/>
          <w:b w:val="0"/>
          <w:bCs/>
          <w:color w:val="1D2455"/>
          <w:sz w:val="20"/>
          <w:szCs w:val="16"/>
          <w:lang w:eastAsia="en-AU"/>
        </w:rPr>
        <w:fldChar w:fldCharType="separate"/>
      </w:r>
      <w:r w:rsidR="003C4BC2" w:rsidRPr="003C4BC2">
        <w:rPr>
          <w:rStyle w:val="Strong1"/>
          <w:rFonts w:eastAsiaTheme="minorEastAsia"/>
          <w:b w:val="0"/>
          <w:bCs/>
          <w:color w:val="1D2455"/>
          <w:sz w:val="20"/>
          <w:szCs w:val="16"/>
          <w:lang w:eastAsia="en-AU"/>
        </w:rPr>
        <w:t>Table 5</w:t>
      </w:r>
      <w:r w:rsidRPr="00D10CDC">
        <w:rPr>
          <w:rStyle w:val="Strong1"/>
          <w:rFonts w:eastAsiaTheme="minorEastAsia"/>
          <w:b w:val="0"/>
          <w:bCs/>
          <w:color w:val="1D2455"/>
          <w:sz w:val="20"/>
          <w:szCs w:val="16"/>
          <w:lang w:eastAsia="en-AU"/>
        </w:rPr>
        <w:fldChar w:fldCharType="end"/>
      </w:r>
      <w:r w:rsidRPr="00D10CDC">
        <w:rPr>
          <w:bCs/>
        </w:rPr>
        <w:t>).</w:t>
      </w:r>
    </w:p>
    <w:p w14:paraId="0285C77E" w14:textId="7DCFDCE0" w:rsidR="00881613" w:rsidRDefault="00135535" w:rsidP="00135535">
      <w:pPr>
        <w:rPr>
          <w:bCs/>
        </w:rPr>
      </w:pPr>
      <w:r w:rsidRPr="00D10CDC">
        <w:rPr>
          <w:rStyle w:val="Strong1"/>
          <w:rFonts w:eastAsiaTheme="minorEastAsia"/>
          <w:b w:val="0"/>
          <w:bCs/>
          <w:color w:val="1D2455"/>
          <w:sz w:val="20"/>
          <w:szCs w:val="16"/>
          <w:lang w:eastAsia="en-AU"/>
        </w:rPr>
        <w:fldChar w:fldCharType="begin"/>
      </w:r>
      <w:r w:rsidRPr="00D10CDC">
        <w:rPr>
          <w:rStyle w:val="Strong1"/>
          <w:rFonts w:eastAsiaTheme="minorEastAsia"/>
          <w:b w:val="0"/>
          <w:bCs/>
          <w:color w:val="1D2455"/>
          <w:sz w:val="20"/>
          <w:szCs w:val="16"/>
          <w:lang w:eastAsia="en-AU"/>
        </w:rPr>
        <w:instrText xml:space="preserve"> REF _Ref51836954 \h  \* MERGEFORMAT </w:instrText>
      </w:r>
      <w:r w:rsidRPr="00D10CDC">
        <w:rPr>
          <w:rStyle w:val="Strong1"/>
          <w:rFonts w:eastAsiaTheme="minorEastAsia"/>
          <w:b w:val="0"/>
          <w:bCs/>
          <w:color w:val="1D2455"/>
          <w:sz w:val="20"/>
          <w:szCs w:val="16"/>
          <w:lang w:eastAsia="en-AU"/>
        </w:rPr>
      </w:r>
      <w:r w:rsidRPr="00D10CDC">
        <w:rPr>
          <w:rStyle w:val="Strong1"/>
          <w:rFonts w:eastAsiaTheme="minorEastAsia"/>
          <w:b w:val="0"/>
          <w:bCs/>
          <w:color w:val="1D2455"/>
          <w:sz w:val="20"/>
          <w:szCs w:val="16"/>
          <w:lang w:eastAsia="en-AU"/>
        </w:rPr>
        <w:fldChar w:fldCharType="separate"/>
      </w:r>
      <w:r w:rsidR="003C4BC2" w:rsidRPr="003C4BC2">
        <w:rPr>
          <w:rStyle w:val="Strong1"/>
          <w:rFonts w:eastAsiaTheme="minorEastAsia"/>
          <w:b w:val="0"/>
          <w:bCs/>
          <w:color w:val="1D2455"/>
          <w:sz w:val="20"/>
          <w:szCs w:val="16"/>
          <w:lang w:eastAsia="en-AU"/>
        </w:rPr>
        <w:t>Table 4</w:t>
      </w:r>
      <w:r w:rsidRPr="00D10CDC">
        <w:rPr>
          <w:rStyle w:val="Strong1"/>
          <w:rFonts w:eastAsiaTheme="minorEastAsia"/>
          <w:b w:val="0"/>
          <w:bCs/>
          <w:color w:val="1D2455"/>
          <w:sz w:val="20"/>
          <w:szCs w:val="16"/>
          <w:lang w:eastAsia="en-AU"/>
        </w:rPr>
        <w:fldChar w:fldCharType="end"/>
      </w:r>
      <w:r w:rsidRPr="00D10CDC">
        <w:rPr>
          <w:bCs/>
        </w:rPr>
        <w:t xml:space="preserve"> shows the number of practices </w:t>
      </w:r>
      <w:bookmarkEnd w:id="32"/>
      <w:r w:rsidRPr="00D10CDC">
        <w:rPr>
          <w:bCs/>
        </w:rPr>
        <w:t>by three of the four dimensions used in the selection process for the trial: location, practice size (based on the number of FTE GPs) and practice type (corporately owned, independent or Aboriginal Medical Service</w:t>
      </w:r>
      <w:bookmarkStart w:id="34" w:name="_Ref528764370"/>
      <w:r w:rsidR="00193445">
        <w:rPr>
          <w:bCs/>
        </w:rPr>
        <w:t>).</w:t>
      </w:r>
      <w:r w:rsidRPr="00D10CDC">
        <w:rPr>
          <w:rStyle w:val="FootnoteReference"/>
          <w:bCs/>
          <w:color w:val="408BCA"/>
        </w:rPr>
        <w:footnoteReference w:id="14"/>
      </w:r>
      <w:bookmarkEnd w:id="34"/>
      <w:r w:rsidRPr="00D10CDC">
        <w:rPr>
          <w:bCs/>
        </w:rPr>
        <w:t xml:space="preserve"> </w:t>
      </w:r>
    </w:p>
    <w:p w14:paraId="26812594" w14:textId="0A29D966" w:rsidR="00135535" w:rsidRPr="00D10CDC" w:rsidRDefault="00135535" w:rsidP="00135535">
      <w:pPr>
        <w:rPr>
          <w:bCs/>
        </w:rPr>
      </w:pPr>
      <w:r w:rsidRPr="00D10CDC">
        <w:rPr>
          <w:bCs/>
        </w:rPr>
        <w:t xml:space="preserve">The </w:t>
      </w:r>
      <w:r w:rsidR="003450BD" w:rsidRPr="00D10CDC">
        <w:rPr>
          <w:bCs/>
        </w:rPr>
        <w:t>T</w:t>
      </w:r>
      <w:r w:rsidRPr="00D10CDC">
        <w:rPr>
          <w:bCs/>
        </w:rPr>
        <w:t>able also includes information on the level of socio-economic disadvantage of the communities in which practices are located, using the Australian Bureau of Statistics (ABS) Index of Relative Socio-economic Disadvantage (IRSD). The index has been grouped into three categories using the deciles of the IRSD.</w:t>
      </w:r>
    </w:p>
    <w:p w14:paraId="2A22D6FC" w14:textId="5E3E42B6" w:rsidR="00135535" w:rsidRPr="00BF5C8A" w:rsidRDefault="00135535" w:rsidP="00BF5C8A">
      <w:pPr>
        <w:pStyle w:val="TableFigureheading"/>
        <w:rPr>
          <w:rStyle w:val="Strong1"/>
          <w:b w:val="0"/>
          <w:color w:val="1D2455"/>
          <w:sz w:val="20"/>
          <w:szCs w:val="16"/>
        </w:rPr>
      </w:pPr>
      <w:bookmarkStart w:id="37" w:name="_Ref527985257"/>
      <w:bookmarkStart w:id="38" w:name="_Ref20506337"/>
      <w:bookmarkStart w:id="39" w:name="_Ref51836954"/>
      <w:bookmarkStart w:id="40" w:name="_Hlk49176752"/>
      <w:r w:rsidRPr="00BF5C8A">
        <w:rPr>
          <w:rStyle w:val="Strong1"/>
          <w:b w:val="0"/>
          <w:color w:val="1D2455"/>
          <w:sz w:val="20"/>
          <w:szCs w:val="16"/>
        </w:rPr>
        <w:t xml:space="preserve">Table </w:t>
      </w:r>
      <w:r w:rsidRPr="006008EA">
        <w:rPr>
          <w:rStyle w:val="Strong1"/>
          <w:color w:val="1D2455"/>
          <w:sz w:val="20"/>
          <w:szCs w:val="16"/>
        </w:rPr>
        <w:fldChar w:fldCharType="begin"/>
      </w:r>
      <w:r w:rsidRPr="006008EA">
        <w:rPr>
          <w:rFonts w:cs="Arial"/>
          <w:color w:val="000000" w:themeColor="text1"/>
        </w:rPr>
        <w:instrText xml:space="preserve"> SEQ Table \* ARABIC </w:instrText>
      </w:r>
      <w:r w:rsidRPr="006008EA">
        <w:rPr>
          <w:rStyle w:val="Strong1"/>
          <w:color w:val="1D2455"/>
          <w:sz w:val="20"/>
          <w:szCs w:val="16"/>
        </w:rPr>
        <w:fldChar w:fldCharType="separate"/>
      </w:r>
      <w:r w:rsidR="003C4BC2">
        <w:rPr>
          <w:rFonts w:cs="Arial"/>
          <w:noProof/>
          <w:color w:val="000000" w:themeColor="text1"/>
        </w:rPr>
        <w:t>4</w:t>
      </w:r>
      <w:r w:rsidRPr="006008EA">
        <w:rPr>
          <w:rStyle w:val="Strong1"/>
          <w:color w:val="1D2455"/>
          <w:sz w:val="20"/>
          <w:szCs w:val="16"/>
        </w:rPr>
        <w:fldChar w:fldCharType="end"/>
      </w:r>
      <w:bookmarkEnd w:id="37"/>
      <w:bookmarkEnd w:id="38"/>
      <w:bookmarkEnd w:id="39"/>
      <w:r w:rsidR="00BF5C8A" w:rsidRPr="00BF5C8A">
        <w:rPr>
          <w:rStyle w:val="Strong1"/>
          <w:b w:val="0"/>
          <w:bCs w:val="0"/>
          <w:color w:val="1D2455"/>
          <w:sz w:val="20"/>
          <w:szCs w:val="16"/>
        </w:rPr>
        <w:t>:</w:t>
      </w:r>
      <w:r w:rsidRPr="00BF5C8A">
        <w:rPr>
          <w:rStyle w:val="Strong1"/>
          <w:b w:val="0"/>
          <w:color w:val="1D2455"/>
          <w:sz w:val="20"/>
          <w:szCs w:val="16"/>
        </w:rPr>
        <w:t xml:space="preserve"> Participation status of practices and number of patients enrolled by active practices, by sampling strata</w:t>
      </w:r>
      <w:r w:rsidR="00341100">
        <w:rPr>
          <w:rStyle w:val="Strong1"/>
          <w:b w:val="0"/>
          <w:color w:val="1D2455"/>
          <w:sz w:val="20"/>
          <w:szCs w:val="16"/>
        </w:rPr>
        <w:t>,</w:t>
      </w:r>
      <w:r w:rsidRPr="00341100">
        <w:rPr>
          <w:rStyle w:val="Strong1"/>
          <w:b w:val="0"/>
          <w:color w:val="1D2455"/>
          <w:sz w:val="20"/>
          <w:szCs w:val="16"/>
          <w:vertAlign w:val="superscript"/>
        </w:rPr>
        <w:t>1</w:t>
      </w:r>
      <w:r w:rsidRPr="00BF5C8A">
        <w:rPr>
          <w:rStyle w:val="Strong1"/>
          <w:b w:val="0"/>
          <w:color w:val="1D2455"/>
          <w:sz w:val="20"/>
          <w:szCs w:val="16"/>
        </w:rPr>
        <w:t xml:space="preserve"> 30 June 202</w:t>
      </w:r>
      <w:r w:rsidR="00AB765A" w:rsidRPr="00BF5C8A">
        <w:rPr>
          <w:rStyle w:val="Strong1"/>
          <w:b w:val="0"/>
          <w:color w:val="1D2455"/>
          <w:sz w:val="20"/>
          <w:szCs w:val="16"/>
        </w:rPr>
        <w:t>1</w:t>
      </w:r>
      <w:r w:rsidRPr="00BF5C8A">
        <w:rPr>
          <w:rStyle w:val="Strong1"/>
          <w:b w:val="0"/>
          <w:color w:val="1D2455"/>
          <w:sz w:val="20"/>
          <w:szCs w:val="16"/>
        </w:rPr>
        <w:t xml:space="preserve"> </w:t>
      </w:r>
      <w:bookmarkStart w:id="41" w:name="_Hlk97715026"/>
    </w:p>
    <w:tbl>
      <w:tblPr>
        <w:tblW w:w="4957" w:type="pct"/>
        <w:jc w:val="center"/>
        <w:tblBorders>
          <w:top w:val="single" w:sz="4" w:space="0" w:color="408BCA"/>
          <w:left w:val="single" w:sz="4" w:space="0" w:color="408BCA"/>
          <w:bottom w:val="single" w:sz="4" w:space="0" w:color="408BCA"/>
          <w:right w:val="single" w:sz="4" w:space="0" w:color="408BCA"/>
          <w:insideH w:val="single" w:sz="4" w:space="0" w:color="D9D9D9" w:themeColor="background1" w:themeShade="D9"/>
          <w:insideV w:val="single" w:sz="4" w:space="0" w:color="D9D9D9" w:themeColor="background1" w:themeShade="D9"/>
        </w:tblBorders>
        <w:tblLook w:val="0420" w:firstRow="1" w:lastRow="0" w:firstColumn="0" w:lastColumn="0" w:noHBand="0" w:noVBand="1"/>
      </w:tblPr>
      <w:tblGrid>
        <w:gridCol w:w="1663"/>
        <w:gridCol w:w="1414"/>
        <w:gridCol w:w="1133"/>
        <w:gridCol w:w="1167"/>
        <w:gridCol w:w="1187"/>
        <w:gridCol w:w="1276"/>
        <w:gridCol w:w="1098"/>
      </w:tblGrid>
      <w:tr w:rsidR="009E6447" w14:paraId="75ECC098" w14:textId="77777777" w:rsidTr="00F32301">
        <w:trPr>
          <w:cantSplit/>
          <w:tblHeader/>
          <w:jc w:val="center"/>
        </w:trPr>
        <w:tc>
          <w:tcPr>
            <w:tcW w:w="930" w:type="pct"/>
            <w:vMerge w:val="restart"/>
            <w:shd w:val="clear" w:color="auto" w:fill="408BCA"/>
            <w:tcMar>
              <w:top w:w="0" w:type="dxa"/>
              <w:left w:w="0" w:type="dxa"/>
              <w:bottom w:w="0" w:type="dxa"/>
              <w:right w:w="0" w:type="dxa"/>
            </w:tcMar>
            <w:vAlign w:val="center"/>
          </w:tcPr>
          <w:p w14:paraId="3363B3D3" w14:textId="77777777" w:rsidR="000663DE" w:rsidRPr="00AB21F7" w:rsidRDefault="000663DE" w:rsidP="005451A5">
            <w:pPr>
              <w:spacing w:before="40" w:after="40"/>
              <w:ind w:left="100" w:right="102"/>
              <w:jc w:val="center"/>
              <w:rPr>
                <w:sz w:val="16"/>
                <w:szCs w:val="16"/>
              </w:rPr>
            </w:pPr>
            <w:bookmarkStart w:id="42" w:name="_Hlk109817533"/>
            <w:r w:rsidRPr="00AB21F7">
              <w:rPr>
                <w:rFonts w:eastAsia="Century Gothic" w:cs="Century Gothic"/>
                <w:b/>
                <w:color w:val="FFFFFF"/>
                <w:sz w:val="16"/>
                <w:szCs w:val="16"/>
              </w:rPr>
              <w:t>Practice</w:t>
            </w:r>
            <w:r w:rsidRPr="00AB21F7">
              <w:rPr>
                <w:rFonts w:eastAsia="Century Gothic" w:cs="Century Gothic"/>
                <w:b/>
                <w:color w:val="FFFFFF"/>
                <w:sz w:val="16"/>
                <w:szCs w:val="16"/>
              </w:rPr>
              <w:br/>
              <w:t>characteristic</w:t>
            </w:r>
          </w:p>
        </w:tc>
        <w:tc>
          <w:tcPr>
            <w:tcW w:w="791" w:type="pct"/>
            <w:vMerge w:val="restart"/>
            <w:shd w:val="clear" w:color="auto" w:fill="408BCA"/>
            <w:tcMar>
              <w:top w:w="0" w:type="dxa"/>
              <w:left w:w="0" w:type="dxa"/>
              <w:bottom w:w="0" w:type="dxa"/>
              <w:right w:w="0" w:type="dxa"/>
            </w:tcMar>
            <w:vAlign w:val="center"/>
          </w:tcPr>
          <w:p w14:paraId="12F67B86" w14:textId="77777777" w:rsidR="000663DE" w:rsidRPr="00AB21F7" w:rsidRDefault="000663DE" w:rsidP="005451A5">
            <w:pPr>
              <w:spacing w:before="40" w:after="40"/>
              <w:ind w:left="100" w:right="102"/>
              <w:jc w:val="center"/>
              <w:rPr>
                <w:sz w:val="16"/>
                <w:szCs w:val="16"/>
              </w:rPr>
            </w:pPr>
            <w:r w:rsidRPr="00AB21F7">
              <w:rPr>
                <w:rFonts w:eastAsia="Century Gothic" w:cs="Century Gothic"/>
                <w:b/>
                <w:color w:val="FFFFFF"/>
                <w:sz w:val="16"/>
                <w:szCs w:val="16"/>
              </w:rPr>
              <w:t>Patients</w:t>
            </w:r>
            <w:r w:rsidRPr="00AB21F7">
              <w:rPr>
                <w:rFonts w:eastAsia="Century Gothic" w:cs="Century Gothic"/>
                <w:b/>
                <w:color w:val="FFFFFF"/>
                <w:sz w:val="16"/>
                <w:szCs w:val="16"/>
              </w:rPr>
              <w:br/>
              <w:t>in active</w:t>
            </w:r>
            <w:r w:rsidRPr="00AB21F7">
              <w:rPr>
                <w:rFonts w:eastAsia="Century Gothic" w:cs="Century Gothic"/>
                <w:b/>
                <w:color w:val="FFFFFF"/>
                <w:sz w:val="16"/>
                <w:szCs w:val="16"/>
              </w:rPr>
              <w:br/>
              <w:t>practices</w:t>
            </w:r>
          </w:p>
        </w:tc>
        <w:tc>
          <w:tcPr>
            <w:tcW w:w="3279" w:type="pct"/>
            <w:gridSpan w:val="5"/>
            <w:shd w:val="clear" w:color="auto" w:fill="408BCA"/>
            <w:tcMar>
              <w:top w:w="0" w:type="dxa"/>
              <w:left w:w="0" w:type="dxa"/>
              <w:bottom w:w="0" w:type="dxa"/>
              <w:right w:w="0" w:type="dxa"/>
            </w:tcMar>
            <w:vAlign w:val="center"/>
          </w:tcPr>
          <w:p w14:paraId="14ED7D4D" w14:textId="77777777" w:rsidR="000663DE" w:rsidRPr="00AB21F7" w:rsidRDefault="000663DE" w:rsidP="005451A5">
            <w:pPr>
              <w:spacing w:before="40" w:after="40"/>
              <w:ind w:left="100" w:right="102"/>
              <w:jc w:val="center"/>
              <w:rPr>
                <w:sz w:val="16"/>
                <w:szCs w:val="16"/>
              </w:rPr>
            </w:pPr>
            <w:r w:rsidRPr="00AB21F7">
              <w:rPr>
                <w:rFonts w:eastAsia="Century Gothic" w:cs="Century Gothic"/>
                <w:b/>
                <w:color w:val="FFFFFF"/>
                <w:sz w:val="16"/>
                <w:szCs w:val="16"/>
              </w:rPr>
              <w:t>Practices</w:t>
            </w:r>
          </w:p>
        </w:tc>
      </w:tr>
      <w:tr w:rsidR="001A7A3C" w14:paraId="4EFC52E9" w14:textId="77777777" w:rsidTr="00F32301">
        <w:trPr>
          <w:cantSplit/>
          <w:tblHeader/>
          <w:jc w:val="center"/>
        </w:trPr>
        <w:tc>
          <w:tcPr>
            <w:tcW w:w="930" w:type="pct"/>
            <w:vMerge/>
            <w:shd w:val="clear" w:color="auto" w:fill="408BCA"/>
            <w:tcMar>
              <w:top w:w="0" w:type="dxa"/>
              <w:left w:w="0" w:type="dxa"/>
              <w:bottom w:w="0" w:type="dxa"/>
              <w:right w:w="0" w:type="dxa"/>
            </w:tcMar>
            <w:vAlign w:val="center"/>
          </w:tcPr>
          <w:p w14:paraId="16A58E51" w14:textId="77777777" w:rsidR="000663DE" w:rsidRPr="00AB21F7" w:rsidRDefault="000663DE" w:rsidP="005451A5">
            <w:pPr>
              <w:spacing w:before="40" w:after="40"/>
              <w:ind w:left="100" w:right="102"/>
              <w:jc w:val="center"/>
              <w:rPr>
                <w:sz w:val="16"/>
                <w:szCs w:val="16"/>
              </w:rPr>
            </w:pPr>
          </w:p>
        </w:tc>
        <w:tc>
          <w:tcPr>
            <w:tcW w:w="791" w:type="pct"/>
            <w:vMerge/>
            <w:shd w:val="clear" w:color="auto" w:fill="408BCA"/>
            <w:tcMar>
              <w:top w:w="0" w:type="dxa"/>
              <w:left w:w="0" w:type="dxa"/>
              <w:bottom w:w="0" w:type="dxa"/>
              <w:right w:w="0" w:type="dxa"/>
            </w:tcMar>
            <w:vAlign w:val="center"/>
          </w:tcPr>
          <w:p w14:paraId="68518015" w14:textId="77777777" w:rsidR="000663DE" w:rsidRPr="00AB21F7" w:rsidRDefault="000663DE" w:rsidP="005451A5">
            <w:pPr>
              <w:spacing w:before="40" w:after="40"/>
              <w:ind w:left="100" w:right="102"/>
              <w:jc w:val="center"/>
              <w:rPr>
                <w:sz w:val="16"/>
                <w:szCs w:val="16"/>
              </w:rPr>
            </w:pPr>
          </w:p>
        </w:tc>
        <w:tc>
          <w:tcPr>
            <w:tcW w:w="634" w:type="pct"/>
            <w:vMerge w:val="restart"/>
            <w:shd w:val="clear" w:color="auto" w:fill="408BCA"/>
            <w:tcMar>
              <w:top w:w="0" w:type="dxa"/>
              <w:left w:w="0" w:type="dxa"/>
              <w:bottom w:w="0" w:type="dxa"/>
              <w:right w:w="0" w:type="dxa"/>
            </w:tcMar>
            <w:vAlign w:val="center"/>
          </w:tcPr>
          <w:p w14:paraId="19AB8A7C" w14:textId="77777777" w:rsidR="000663DE" w:rsidRPr="00AB21F7" w:rsidRDefault="000663DE" w:rsidP="005451A5">
            <w:pPr>
              <w:spacing w:before="40" w:after="40"/>
              <w:ind w:left="100" w:right="102"/>
              <w:jc w:val="center"/>
              <w:rPr>
                <w:sz w:val="16"/>
                <w:szCs w:val="16"/>
              </w:rPr>
            </w:pPr>
            <w:r w:rsidRPr="00AB21F7">
              <w:rPr>
                <w:rFonts w:eastAsia="Century Gothic" w:cs="Century Gothic"/>
                <w:b/>
                <w:color w:val="FFFFFF"/>
                <w:sz w:val="16"/>
                <w:szCs w:val="16"/>
              </w:rPr>
              <w:t>Active</w:t>
            </w:r>
          </w:p>
        </w:tc>
        <w:tc>
          <w:tcPr>
            <w:tcW w:w="1317" w:type="pct"/>
            <w:gridSpan w:val="2"/>
            <w:shd w:val="clear" w:color="auto" w:fill="408BCA"/>
            <w:tcMar>
              <w:top w:w="0" w:type="dxa"/>
              <w:left w:w="0" w:type="dxa"/>
              <w:bottom w:w="0" w:type="dxa"/>
              <w:right w:w="0" w:type="dxa"/>
            </w:tcMar>
            <w:vAlign w:val="center"/>
          </w:tcPr>
          <w:p w14:paraId="64EC7D41" w14:textId="77777777" w:rsidR="000663DE" w:rsidRPr="00AB21F7" w:rsidRDefault="000663DE" w:rsidP="005451A5">
            <w:pPr>
              <w:spacing w:before="40" w:after="40"/>
              <w:ind w:left="100" w:right="102"/>
              <w:jc w:val="center"/>
              <w:rPr>
                <w:sz w:val="16"/>
                <w:szCs w:val="16"/>
              </w:rPr>
            </w:pPr>
            <w:r w:rsidRPr="00AB21F7">
              <w:rPr>
                <w:rFonts w:eastAsia="Century Gothic" w:cs="Century Gothic"/>
                <w:b/>
                <w:color w:val="FFFFFF"/>
                <w:sz w:val="16"/>
                <w:szCs w:val="16"/>
              </w:rPr>
              <w:t>Withdrawn</w:t>
            </w:r>
          </w:p>
        </w:tc>
        <w:tc>
          <w:tcPr>
            <w:tcW w:w="714" w:type="pct"/>
            <w:vMerge w:val="restart"/>
            <w:shd w:val="clear" w:color="auto" w:fill="408BCA"/>
            <w:tcMar>
              <w:top w:w="0" w:type="dxa"/>
              <w:left w:w="0" w:type="dxa"/>
              <w:bottom w:w="0" w:type="dxa"/>
              <w:right w:w="0" w:type="dxa"/>
            </w:tcMar>
            <w:vAlign w:val="center"/>
          </w:tcPr>
          <w:p w14:paraId="5F8E0805" w14:textId="77777777" w:rsidR="000663DE" w:rsidRPr="00AB21F7" w:rsidRDefault="000663DE" w:rsidP="005451A5">
            <w:pPr>
              <w:spacing w:before="40" w:after="40"/>
              <w:ind w:left="100" w:right="102"/>
              <w:jc w:val="center"/>
              <w:rPr>
                <w:sz w:val="16"/>
                <w:szCs w:val="16"/>
              </w:rPr>
            </w:pPr>
            <w:r w:rsidRPr="00AB21F7">
              <w:rPr>
                <w:rFonts w:eastAsia="Century Gothic" w:cs="Century Gothic"/>
                <w:b/>
                <w:color w:val="FFFFFF"/>
                <w:sz w:val="16"/>
                <w:szCs w:val="16"/>
              </w:rPr>
              <w:t>Total</w:t>
            </w:r>
          </w:p>
        </w:tc>
        <w:tc>
          <w:tcPr>
            <w:tcW w:w="614" w:type="pct"/>
            <w:vMerge w:val="restart"/>
            <w:shd w:val="clear" w:color="auto" w:fill="408BCA"/>
            <w:tcMar>
              <w:top w:w="0" w:type="dxa"/>
              <w:left w:w="0" w:type="dxa"/>
              <w:bottom w:w="0" w:type="dxa"/>
              <w:right w:w="0" w:type="dxa"/>
            </w:tcMar>
            <w:vAlign w:val="center"/>
          </w:tcPr>
          <w:p w14:paraId="66D686C0" w14:textId="42805569" w:rsidR="000663DE" w:rsidRPr="00AB21F7" w:rsidRDefault="000663DE" w:rsidP="005451A5">
            <w:pPr>
              <w:spacing w:before="40" w:after="40"/>
              <w:ind w:left="100" w:right="102"/>
              <w:jc w:val="center"/>
              <w:rPr>
                <w:sz w:val="16"/>
                <w:szCs w:val="16"/>
              </w:rPr>
            </w:pPr>
            <w:r w:rsidRPr="00AB21F7">
              <w:rPr>
                <w:rFonts w:eastAsia="Century Gothic" w:cs="Century Gothic"/>
                <w:b/>
                <w:color w:val="FFFFFF"/>
                <w:sz w:val="16"/>
                <w:szCs w:val="16"/>
              </w:rPr>
              <w:t>Percent</w:t>
            </w:r>
            <w:r w:rsidR="00FF3BA8">
              <w:rPr>
                <w:rFonts w:eastAsia="Century Gothic" w:cs="Century Gothic"/>
                <w:b/>
                <w:color w:val="FFFFFF"/>
                <w:sz w:val="16"/>
                <w:szCs w:val="16"/>
              </w:rPr>
              <w:t>age</w:t>
            </w:r>
            <w:r w:rsidRPr="00AB21F7">
              <w:rPr>
                <w:rFonts w:eastAsia="Century Gothic" w:cs="Century Gothic"/>
                <w:b/>
                <w:color w:val="FFFFFF"/>
                <w:sz w:val="16"/>
                <w:szCs w:val="16"/>
              </w:rPr>
              <w:br/>
            </w:r>
            <w:r w:rsidR="00FF3BA8" w:rsidRPr="00AB21F7">
              <w:rPr>
                <w:rFonts w:eastAsia="Century Gothic" w:cs="Century Gothic"/>
                <w:b/>
                <w:color w:val="FFFFFF"/>
                <w:sz w:val="16"/>
                <w:szCs w:val="16"/>
              </w:rPr>
              <w:t>withdrawn</w:t>
            </w:r>
          </w:p>
        </w:tc>
      </w:tr>
      <w:tr w:rsidR="001A7A3C" w14:paraId="07101430" w14:textId="77777777" w:rsidTr="00F32301">
        <w:trPr>
          <w:cantSplit/>
          <w:trHeight w:val="439"/>
          <w:tblHeader/>
          <w:jc w:val="center"/>
        </w:trPr>
        <w:tc>
          <w:tcPr>
            <w:tcW w:w="930" w:type="pct"/>
            <w:vMerge/>
            <w:shd w:val="clear" w:color="auto" w:fill="003D79"/>
            <w:tcMar>
              <w:top w:w="0" w:type="dxa"/>
              <w:left w:w="0" w:type="dxa"/>
              <w:bottom w:w="0" w:type="dxa"/>
              <w:right w:w="0" w:type="dxa"/>
            </w:tcMar>
            <w:vAlign w:val="center"/>
          </w:tcPr>
          <w:p w14:paraId="41058258" w14:textId="77777777" w:rsidR="000663DE" w:rsidRPr="00AB21F7" w:rsidRDefault="000663DE" w:rsidP="005451A5">
            <w:pPr>
              <w:spacing w:before="40" w:after="40"/>
              <w:ind w:left="100" w:right="102"/>
              <w:jc w:val="center"/>
              <w:rPr>
                <w:sz w:val="16"/>
                <w:szCs w:val="16"/>
              </w:rPr>
            </w:pPr>
          </w:p>
        </w:tc>
        <w:tc>
          <w:tcPr>
            <w:tcW w:w="791" w:type="pct"/>
            <w:vMerge/>
            <w:shd w:val="clear" w:color="auto" w:fill="003D79"/>
            <w:tcMar>
              <w:top w:w="0" w:type="dxa"/>
              <w:left w:w="0" w:type="dxa"/>
              <w:bottom w:w="0" w:type="dxa"/>
              <w:right w:w="0" w:type="dxa"/>
            </w:tcMar>
            <w:vAlign w:val="center"/>
          </w:tcPr>
          <w:p w14:paraId="0B6651AC" w14:textId="77777777" w:rsidR="000663DE" w:rsidRPr="00AB21F7" w:rsidRDefault="000663DE" w:rsidP="005451A5">
            <w:pPr>
              <w:spacing w:before="40" w:after="40"/>
              <w:ind w:left="100" w:right="102"/>
              <w:jc w:val="center"/>
              <w:rPr>
                <w:sz w:val="16"/>
                <w:szCs w:val="16"/>
              </w:rPr>
            </w:pPr>
          </w:p>
        </w:tc>
        <w:tc>
          <w:tcPr>
            <w:tcW w:w="634" w:type="pct"/>
            <w:vMerge/>
            <w:shd w:val="clear" w:color="auto" w:fill="003D79"/>
            <w:tcMar>
              <w:top w:w="0" w:type="dxa"/>
              <w:left w:w="0" w:type="dxa"/>
              <w:bottom w:w="0" w:type="dxa"/>
              <w:right w:w="0" w:type="dxa"/>
            </w:tcMar>
            <w:vAlign w:val="center"/>
          </w:tcPr>
          <w:p w14:paraId="6F57F5F1" w14:textId="77777777" w:rsidR="000663DE" w:rsidRPr="00AB21F7" w:rsidRDefault="000663DE" w:rsidP="005451A5">
            <w:pPr>
              <w:spacing w:before="40" w:after="40"/>
              <w:ind w:left="100" w:right="102"/>
              <w:jc w:val="center"/>
              <w:rPr>
                <w:sz w:val="16"/>
                <w:szCs w:val="16"/>
              </w:rPr>
            </w:pPr>
          </w:p>
        </w:tc>
        <w:tc>
          <w:tcPr>
            <w:tcW w:w="653" w:type="pct"/>
            <w:shd w:val="clear" w:color="auto" w:fill="408BCA"/>
            <w:tcMar>
              <w:top w:w="0" w:type="dxa"/>
              <w:left w:w="0" w:type="dxa"/>
              <w:bottom w:w="0" w:type="dxa"/>
              <w:right w:w="0" w:type="dxa"/>
            </w:tcMar>
            <w:vAlign w:val="center"/>
          </w:tcPr>
          <w:p w14:paraId="1C83232D" w14:textId="3437EB3D" w:rsidR="000663DE" w:rsidRPr="00AB21F7" w:rsidRDefault="006C10AE" w:rsidP="005451A5">
            <w:pPr>
              <w:spacing w:before="40" w:after="40"/>
              <w:ind w:left="100" w:right="102"/>
              <w:jc w:val="center"/>
              <w:rPr>
                <w:sz w:val="16"/>
                <w:szCs w:val="16"/>
              </w:rPr>
            </w:pPr>
            <w:r>
              <w:rPr>
                <w:rFonts w:eastAsia="Century Gothic" w:cs="Century Gothic"/>
                <w:b/>
                <w:color w:val="FFFFFF"/>
                <w:sz w:val="16"/>
                <w:szCs w:val="16"/>
              </w:rPr>
              <w:t>P</w:t>
            </w:r>
            <w:r w:rsidR="000663DE" w:rsidRPr="00AB21F7">
              <w:rPr>
                <w:rFonts w:eastAsia="Century Gothic" w:cs="Century Gothic"/>
                <w:b/>
                <w:color w:val="FFFFFF"/>
                <w:sz w:val="16"/>
                <w:szCs w:val="16"/>
              </w:rPr>
              <w:t>atients</w:t>
            </w:r>
            <w:r w:rsidR="000663DE" w:rsidRPr="00AB21F7">
              <w:rPr>
                <w:rFonts w:eastAsia="Century Gothic" w:cs="Century Gothic"/>
                <w:b/>
                <w:color w:val="FFFFFF"/>
                <w:sz w:val="16"/>
                <w:szCs w:val="16"/>
              </w:rPr>
              <w:br/>
              <w:t>enrolled</w:t>
            </w:r>
          </w:p>
        </w:tc>
        <w:tc>
          <w:tcPr>
            <w:tcW w:w="664" w:type="pct"/>
            <w:shd w:val="clear" w:color="auto" w:fill="408BCA"/>
            <w:tcMar>
              <w:top w:w="0" w:type="dxa"/>
              <w:left w:w="0" w:type="dxa"/>
              <w:bottom w:w="0" w:type="dxa"/>
              <w:right w:w="0" w:type="dxa"/>
            </w:tcMar>
            <w:vAlign w:val="center"/>
          </w:tcPr>
          <w:p w14:paraId="6DE93C4D" w14:textId="4F19C93B" w:rsidR="000663DE" w:rsidRPr="00AB21F7" w:rsidRDefault="006C10AE" w:rsidP="005451A5">
            <w:pPr>
              <w:spacing w:before="40" w:after="40"/>
              <w:ind w:left="100" w:right="102"/>
              <w:jc w:val="center"/>
              <w:rPr>
                <w:sz w:val="16"/>
                <w:szCs w:val="16"/>
              </w:rPr>
            </w:pPr>
            <w:r>
              <w:rPr>
                <w:rFonts w:eastAsia="Century Gothic" w:cs="Century Gothic"/>
                <w:b/>
                <w:color w:val="FFFFFF"/>
                <w:sz w:val="16"/>
                <w:szCs w:val="16"/>
              </w:rPr>
              <w:t>N</w:t>
            </w:r>
            <w:r w:rsidR="000663DE" w:rsidRPr="00AB21F7">
              <w:rPr>
                <w:rFonts w:eastAsia="Century Gothic" w:cs="Century Gothic"/>
                <w:b/>
                <w:color w:val="FFFFFF"/>
                <w:sz w:val="16"/>
                <w:szCs w:val="16"/>
              </w:rPr>
              <w:t>o patients</w:t>
            </w:r>
            <w:r w:rsidR="000663DE" w:rsidRPr="00AB21F7">
              <w:rPr>
                <w:rFonts w:eastAsia="Century Gothic" w:cs="Century Gothic"/>
                <w:b/>
                <w:color w:val="FFFFFF"/>
                <w:sz w:val="16"/>
                <w:szCs w:val="16"/>
              </w:rPr>
              <w:br/>
              <w:t>enrolled</w:t>
            </w:r>
          </w:p>
        </w:tc>
        <w:tc>
          <w:tcPr>
            <w:tcW w:w="714" w:type="pct"/>
            <w:vMerge/>
            <w:shd w:val="clear" w:color="auto" w:fill="003D79"/>
            <w:tcMar>
              <w:top w:w="0" w:type="dxa"/>
              <w:left w:w="0" w:type="dxa"/>
              <w:bottom w:w="0" w:type="dxa"/>
              <w:right w:w="0" w:type="dxa"/>
            </w:tcMar>
            <w:vAlign w:val="center"/>
          </w:tcPr>
          <w:p w14:paraId="27BB56B4" w14:textId="77777777" w:rsidR="000663DE" w:rsidRPr="00AB21F7" w:rsidRDefault="000663DE" w:rsidP="005451A5">
            <w:pPr>
              <w:spacing w:before="40" w:after="40"/>
              <w:ind w:left="100" w:right="102"/>
              <w:jc w:val="center"/>
              <w:rPr>
                <w:sz w:val="16"/>
                <w:szCs w:val="16"/>
              </w:rPr>
            </w:pPr>
          </w:p>
        </w:tc>
        <w:tc>
          <w:tcPr>
            <w:tcW w:w="614" w:type="pct"/>
            <w:vMerge/>
            <w:shd w:val="clear" w:color="auto" w:fill="003D79"/>
            <w:tcMar>
              <w:top w:w="0" w:type="dxa"/>
              <w:left w:w="0" w:type="dxa"/>
              <w:bottom w:w="0" w:type="dxa"/>
              <w:right w:w="0" w:type="dxa"/>
            </w:tcMar>
            <w:vAlign w:val="center"/>
          </w:tcPr>
          <w:p w14:paraId="58F9ED43" w14:textId="77777777" w:rsidR="000663DE" w:rsidRPr="00AB21F7" w:rsidRDefault="000663DE" w:rsidP="005451A5">
            <w:pPr>
              <w:spacing w:before="40" w:after="40"/>
              <w:ind w:left="100" w:right="102"/>
              <w:jc w:val="center"/>
              <w:rPr>
                <w:sz w:val="16"/>
                <w:szCs w:val="16"/>
              </w:rPr>
            </w:pPr>
          </w:p>
        </w:tc>
      </w:tr>
      <w:tr w:rsidR="001A7A3C" w14:paraId="2B1D624A" w14:textId="77777777" w:rsidTr="00F32301">
        <w:trPr>
          <w:cantSplit/>
          <w:jc w:val="center"/>
        </w:trPr>
        <w:tc>
          <w:tcPr>
            <w:tcW w:w="930" w:type="pct"/>
            <w:shd w:val="clear" w:color="auto" w:fill="FFFFFF"/>
            <w:tcMar>
              <w:top w:w="0" w:type="dxa"/>
              <w:left w:w="0" w:type="dxa"/>
              <w:bottom w:w="0" w:type="dxa"/>
              <w:right w:w="0" w:type="dxa"/>
            </w:tcMar>
            <w:vAlign w:val="center"/>
          </w:tcPr>
          <w:p w14:paraId="0EE317AF" w14:textId="77777777" w:rsidR="000663DE" w:rsidRPr="00AB21F7" w:rsidRDefault="000663DE" w:rsidP="005451A5">
            <w:pPr>
              <w:spacing w:before="40" w:after="40"/>
              <w:ind w:left="100" w:right="102"/>
              <w:rPr>
                <w:sz w:val="16"/>
                <w:szCs w:val="16"/>
              </w:rPr>
            </w:pPr>
            <w:r w:rsidRPr="00AB21F7">
              <w:rPr>
                <w:rFonts w:eastAsia="Century Gothic" w:cs="Century Gothic"/>
                <w:b/>
                <w:color w:val="000000"/>
                <w:sz w:val="16"/>
                <w:szCs w:val="16"/>
              </w:rPr>
              <w:t>Total</w:t>
            </w:r>
          </w:p>
        </w:tc>
        <w:tc>
          <w:tcPr>
            <w:tcW w:w="791" w:type="pct"/>
            <w:shd w:val="clear" w:color="auto" w:fill="FFFFFF"/>
            <w:tcMar>
              <w:top w:w="0" w:type="dxa"/>
              <w:left w:w="0" w:type="dxa"/>
              <w:bottom w:w="0" w:type="dxa"/>
              <w:right w:w="0" w:type="dxa"/>
            </w:tcMar>
            <w:vAlign w:val="center"/>
          </w:tcPr>
          <w:p w14:paraId="3910486D" w14:textId="26963643" w:rsidR="000663DE" w:rsidRPr="00AB21F7" w:rsidRDefault="000663DE" w:rsidP="005451A5">
            <w:pPr>
              <w:spacing w:before="40" w:after="40"/>
              <w:ind w:left="100" w:right="102"/>
              <w:jc w:val="right"/>
              <w:rPr>
                <w:sz w:val="16"/>
                <w:szCs w:val="16"/>
              </w:rPr>
            </w:pPr>
            <w:r w:rsidRPr="00AB21F7">
              <w:rPr>
                <w:rFonts w:eastAsia="Century Gothic" w:cs="Century Gothic"/>
                <w:b/>
                <w:color w:val="000000"/>
                <w:sz w:val="16"/>
                <w:szCs w:val="16"/>
              </w:rPr>
              <w:t xml:space="preserve">7,754 </w:t>
            </w:r>
          </w:p>
        </w:tc>
        <w:tc>
          <w:tcPr>
            <w:tcW w:w="634" w:type="pct"/>
            <w:shd w:val="clear" w:color="auto" w:fill="FFFFFF"/>
            <w:tcMar>
              <w:top w:w="0" w:type="dxa"/>
              <w:left w:w="0" w:type="dxa"/>
              <w:bottom w:w="0" w:type="dxa"/>
              <w:right w:w="0" w:type="dxa"/>
            </w:tcMar>
            <w:vAlign w:val="center"/>
          </w:tcPr>
          <w:p w14:paraId="40B74BC0" w14:textId="6BAC7D28" w:rsidR="000663DE" w:rsidRPr="00AB21F7" w:rsidRDefault="000663DE" w:rsidP="005451A5">
            <w:pPr>
              <w:spacing w:before="40" w:after="40"/>
              <w:ind w:left="100" w:right="102"/>
              <w:jc w:val="right"/>
              <w:rPr>
                <w:sz w:val="16"/>
                <w:szCs w:val="16"/>
              </w:rPr>
            </w:pPr>
            <w:r w:rsidRPr="00AB21F7">
              <w:rPr>
                <w:rFonts w:eastAsia="Century Gothic" w:cs="Century Gothic"/>
                <w:b/>
                <w:color w:val="000000"/>
                <w:sz w:val="16"/>
                <w:szCs w:val="16"/>
              </w:rPr>
              <w:t xml:space="preserve">106 </w:t>
            </w:r>
          </w:p>
        </w:tc>
        <w:tc>
          <w:tcPr>
            <w:tcW w:w="653" w:type="pct"/>
            <w:shd w:val="clear" w:color="auto" w:fill="FFFFFF"/>
            <w:tcMar>
              <w:top w:w="0" w:type="dxa"/>
              <w:left w:w="0" w:type="dxa"/>
              <w:bottom w:w="0" w:type="dxa"/>
              <w:right w:w="0" w:type="dxa"/>
            </w:tcMar>
            <w:vAlign w:val="center"/>
          </w:tcPr>
          <w:p w14:paraId="52E1C989" w14:textId="534A590C" w:rsidR="000663DE" w:rsidRPr="00AB21F7" w:rsidRDefault="000663DE" w:rsidP="005451A5">
            <w:pPr>
              <w:spacing w:before="40" w:after="40"/>
              <w:ind w:left="100" w:right="102"/>
              <w:jc w:val="right"/>
              <w:rPr>
                <w:sz w:val="16"/>
                <w:szCs w:val="16"/>
              </w:rPr>
            </w:pPr>
            <w:r w:rsidRPr="00AB21F7">
              <w:rPr>
                <w:rFonts w:eastAsia="Century Gothic" w:cs="Century Gothic"/>
                <w:b/>
                <w:color w:val="000000"/>
                <w:sz w:val="16"/>
                <w:szCs w:val="16"/>
              </w:rPr>
              <w:t xml:space="preserve">59 </w:t>
            </w:r>
          </w:p>
        </w:tc>
        <w:tc>
          <w:tcPr>
            <w:tcW w:w="664" w:type="pct"/>
            <w:shd w:val="clear" w:color="auto" w:fill="FFFFFF"/>
            <w:tcMar>
              <w:top w:w="0" w:type="dxa"/>
              <w:left w:w="0" w:type="dxa"/>
              <w:bottom w:w="0" w:type="dxa"/>
              <w:right w:w="0" w:type="dxa"/>
            </w:tcMar>
            <w:vAlign w:val="center"/>
          </w:tcPr>
          <w:p w14:paraId="3AFD5CDE" w14:textId="66470264" w:rsidR="000663DE" w:rsidRPr="00AB21F7" w:rsidRDefault="000663DE" w:rsidP="005451A5">
            <w:pPr>
              <w:spacing w:before="40" w:after="40"/>
              <w:ind w:left="100" w:right="102"/>
              <w:jc w:val="right"/>
              <w:rPr>
                <w:sz w:val="16"/>
                <w:szCs w:val="16"/>
              </w:rPr>
            </w:pPr>
            <w:r w:rsidRPr="00AB21F7">
              <w:rPr>
                <w:rFonts w:eastAsia="Century Gothic" w:cs="Century Gothic"/>
                <w:b/>
                <w:color w:val="000000"/>
                <w:sz w:val="16"/>
                <w:szCs w:val="16"/>
              </w:rPr>
              <w:t>62</w:t>
            </w:r>
          </w:p>
        </w:tc>
        <w:tc>
          <w:tcPr>
            <w:tcW w:w="714" w:type="pct"/>
            <w:shd w:val="clear" w:color="auto" w:fill="FFFFFF"/>
            <w:tcMar>
              <w:top w:w="0" w:type="dxa"/>
              <w:left w:w="0" w:type="dxa"/>
              <w:bottom w:w="0" w:type="dxa"/>
              <w:right w:w="0" w:type="dxa"/>
            </w:tcMar>
            <w:vAlign w:val="center"/>
          </w:tcPr>
          <w:p w14:paraId="24E09128" w14:textId="4D3398C9" w:rsidR="000663DE" w:rsidRPr="00AB21F7" w:rsidRDefault="000663DE" w:rsidP="005451A5">
            <w:pPr>
              <w:spacing w:before="40" w:after="40"/>
              <w:ind w:left="100" w:right="102"/>
              <w:jc w:val="right"/>
              <w:rPr>
                <w:sz w:val="16"/>
                <w:szCs w:val="16"/>
              </w:rPr>
            </w:pPr>
            <w:r w:rsidRPr="00AB21F7">
              <w:rPr>
                <w:rFonts w:eastAsia="Century Gothic" w:cs="Century Gothic"/>
                <w:b/>
                <w:color w:val="000000"/>
                <w:sz w:val="16"/>
                <w:szCs w:val="16"/>
              </w:rPr>
              <w:t>227</w:t>
            </w:r>
          </w:p>
        </w:tc>
        <w:tc>
          <w:tcPr>
            <w:tcW w:w="614" w:type="pct"/>
            <w:shd w:val="clear" w:color="auto" w:fill="FFFFFF"/>
            <w:tcMar>
              <w:top w:w="0" w:type="dxa"/>
              <w:left w:w="0" w:type="dxa"/>
              <w:bottom w:w="0" w:type="dxa"/>
              <w:right w:w="0" w:type="dxa"/>
            </w:tcMar>
            <w:vAlign w:val="center"/>
          </w:tcPr>
          <w:p w14:paraId="562D8392" w14:textId="77777777" w:rsidR="000663DE" w:rsidRPr="00AB21F7" w:rsidRDefault="000663DE" w:rsidP="005451A5">
            <w:pPr>
              <w:spacing w:before="40" w:after="40"/>
              <w:ind w:left="100" w:right="102"/>
              <w:jc w:val="right"/>
              <w:rPr>
                <w:sz w:val="16"/>
                <w:szCs w:val="16"/>
              </w:rPr>
            </w:pPr>
            <w:r w:rsidRPr="00AB21F7">
              <w:rPr>
                <w:rFonts w:eastAsia="Century Gothic" w:cs="Century Gothic"/>
                <w:b/>
                <w:color w:val="000000"/>
                <w:sz w:val="16"/>
                <w:szCs w:val="16"/>
              </w:rPr>
              <w:t>53.3%</w:t>
            </w:r>
          </w:p>
        </w:tc>
      </w:tr>
      <w:tr w:rsidR="000663DE" w14:paraId="27688997" w14:textId="77777777" w:rsidTr="00AB5724">
        <w:trPr>
          <w:cantSplit/>
          <w:jc w:val="center"/>
        </w:trPr>
        <w:tc>
          <w:tcPr>
            <w:tcW w:w="5000" w:type="pct"/>
            <w:gridSpan w:val="7"/>
            <w:shd w:val="clear" w:color="auto" w:fill="FFFFFF"/>
            <w:tcMar>
              <w:top w:w="0" w:type="dxa"/>
              <w:left w:w="0" w:type="dxa"/>
              <w:bottom w:w="0" w:type="dxa"/>
              <w:right w:w="0" w:type="dxa"/>
            </w:tcMar>
            <w:vAlign w:val="center"/>
          </w:tcPr>
          <w:p w14:paraId="21507A17" w14:textId="3F7CCF62" w:rsidR="000663DE" w:rsidRPr="00AB21F7" w:rsidRDefault="000663DE" w:rsidP="005451A5">
            <w:pPr>
              <w:spacing w:before="40" w:after="40"/>
              <w:ind w:left="100" w:right="102"/>
              <w:rPr>
                <w:sz w:val="16"/>
                <w:szCs w:val="16"/>
              </w:rPr>
            </w:pPr>
            <w:r w:rsidRPr="00AB21F7">
              <w:rPr>
                <w:rFonts w:eastAsia="Century Gothic" w:cs="Century Gothic"/>
                <w:b/>
                <w:color w:val="000000"/>
                <w:sz w:val="16"/>
                <w:szCs w:val="16"/>
              </w:rPr>
              <w:t>Practice size (based on FTE GPs)</w:t>
            </w:r>
            <w:r w:rsidR="00D73178" w:rsidRPr="00D73178">
              <w:rPr>
                <w:rFonts w:eastAsia="Century Gothic" w:cs="Century Gothic"/>
                <w:bCs/>
                <w:color w:val="000000"/>
                <w:sz w:val="16"/>
                <w:szCs w:val="16"/>
                <w:vertAlign w:val="superscript"/>
              </w:rPr>
              <w:t>2</w:t>
            </w:r>
          </w:p>
        </w:tc>
      </w:tr>
      <w:tr w:rsidR="001A7A3C" w14:paraId="6EB41D47" w14:textId="77777777" w:rsidTr="00F32301">
        <w:trPr>
          <w:cantSplit/>
          <w:jc w:val="center"/>
        </w:trPr>
        <w:tc>
          <w:tcPr>
            <w:tcW w:w="930" w:type="pct"/>
            <w:shd w:val="clear" w:color="auto" w:fill="FFFFFF"/>
            <w:tcMar>
              <w:top w:w="0" w:type="dxa"/>
              <w:left w:w="0" w:type="dxa"/>
              <w:bottom w:w="0" w:type="dxa"/>
              <w:right w:w="0" w:type="dxa"/>
            </w:tcMar>
            <w:vAlign w:val="center"/>
          </w:tcPr>
          <w:p w14:paraId="70733966" w14:textId="77777777"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Sole practitioner</w:t>
            </w:r>
          </w:p>
        </w:tc>
        <w:tc>
          <w:tcPr>
            <w:tcW w:w="791" w:type="pct"/>
            <w:shd w:val="clear" w:color="auto" w:fill="FFFFFF"/>
            <w:tcMar>
              <w:top w:w="0" w:type="dxa"/>
              <w:left w:w="0" w:type="dxa"/>
              <w:bottom w:w="0" w:type="dxa"/>
              <w:right w:w="0" w:type="dxa"/>
            </w:tcMar>
            <w:vAlign w:val="center"/>
          </w:tcPr>
          <w:p w14:paraId="0F6DEC34"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460 (5.9%)</w:t>
            </w:r>
          </w:p>
        </w:tc>
        <w:tc>
          <w:tcPr>
            <w:tcW w:w="634" w:type="pct"/>
            <w:shd w:val="clear" w:color="auto" w:fill="FFFFFF"/>
            <w:tcMar>
              <w:top w:w="0" w:type="dxa"/>
              <w:left w:w="0" w:type="dxa"/>
              <w:bottom w:w="0" w:type="dxa"/>
              <w:right w:w="0" w:type="dxa"/>
            </w:tcMar>
            <w:vAlign w:val="center"/>
          </w:tcPr>
          <w:p w14:paraId="070B3AF8"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11 (10.4%)</w:t>
            </w:r>
          </w:p>
        </w:tc>
        <w:tc>
          <w:tcPr>
            <w:tcW w:w="653" w:type="pct"/>
            <w:shd w:val="clear" w:color="auto" w:fill="FFFFFF"/>
            <w:tcMar>
              <w:top w:w="0" w:type="dxa"/>
              <w:left w:w="0" w:type="dxa"/>
              <w:bottom w:w="0" w:type="dxa"/>
              <w:right w:w="0" w:type="dxa"/>
            </w:tcMar>
            <w:vAlign w:val="center"/>
          </w:tcPr>
          <w:p w14:paraId="54E1F8C9"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9 (15.3%)</w:t>
            </w:r>
          </w:p>
        </w:tc>
        <w:tc>
          <w:tcPr>
            <w:tcW w:w="664" w:type="pct"/>
            <w:shd w:val="clear" w:color="auto" w:fill="FFFFFF"/>
            <w:tcMar>
              <w:top w:w="0" w:type="dxa"/>
              <w:left w:w="0" w:type="dxa"/>
              <w:bottom w:w="0" w:type="dxa"/>
              <w:right w:w="0" w:type="dxa"/>
            </w:tcMar>
            <w:vAlign w:val="center"/>
          </w:tcPr>
          <w:p w14:paraId="7C1215CD"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8 (12.9%)</w:t>
            </w:r>
          </w:p>
        </w:tc>
        <w:tc>
          <w:tcPr>
            <w:tcW w:w="714" w:type="pct"/>
            <w:shd w:val="clear" w:color="auto" w:fill="FFFFFF"/>
            <w:tcMar>
              <w:top w:w="0" w:type="dxa"/>
              <w:left w:w="0" w:type="dxa"/>
              <w:bottom w:w="0" w:type="dxa"/>
              <w:right w:w="0" w:type="dxa"/>
            </w:tcMar>
            <w:vAlign w:val="center"/>
          </w:tcPr>
          <w:p w14:paraId="5CDB510F"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28 (12.3%)</w:t>
            </w:r>
          </w:p>
        </w:tc>
        <w:tc>
          <w:tcPr>
            <w:tcW w:w="614" w:type="pct"/>
            <w:shd w:val="clear" w:color="auto" w:fill="FFFFFF"/>
            <w:tcMar>
              <w:top w:w="0" w:type="dxa"/>
              <w:left w:w="0" w:type="dxa"/>
              <w:bottom w:w="0" w:type="dxa"/>
              <w:right w:w="0" w:type="dxa"/>
            </w:tcMar>
            <w:vAlign w:val="center"/>
          </w:tcPr>
          <w:p w14:paraId="64C18264"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60.7%</w:t>
            </w:r>
          </w:p>
        </w:tc>
      </w:tr>
      <w:tr w:rsidR="001A7A3C" w14:paraId="7178EE1C" w14:textId="77777777" w:rsidTr="00F32301">
        <w:trPr>
          <w:cantSplit/>
          <w:jc w:val="center"/>
        </w:trPr>
        <w:tc>
          <w:tcPr>
            <w:tcW w:w="930" w:type="pct"/>
            <w:shd w:val="clear" w:color="auto" w:fill="FFFFFF"/>
            <w:tcMar>
              <w:top w:w="0" w:type="dxa"/>
              <w:left w:w="0" w:type="dxa"/>
              <w:bottom w:w="0" w:type="dxa"/>
              <w:right w:w="0" w:type="dxa"/>
            </w:tcMar>
            <w:vAlign w:val="center"/>
          </w:tcPr>
          <w:p w14:paraId="0ED41CAA" w14:textId="77777777"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Small practice</w:t>
            </w:r>
          </w:p>
        </w:tc>
        <w:tc>
          <w:tcPr>
            <w:tcW w:w="791" w:type="pct"/>
            <w:shd w:val="clear" w:color="auto" w:fill="FFFFFF"/>
            <w:tcMar>
              <w:top w:w="0" w:type="dxa"/>
              <w:left w:w="0" w:type="dxa"/>
              <w:bottom w:w="0" w:type="dxa"/>
              <w:right w:w="0" w:type="dxa"/>
            </w:tcMar>
            <w:vAlign w:val="center"/>
          </w:tcPr>
          <w:p w14:paraId="7A5C6093"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3,028 (39.1%)</w:t>
            </w:r>
          </w:p>
        </w:tc>
        <w:tc>
          <w:tcPr>
            <w:tcW w:w="634" w:type="pct"/>
            <w:shd w:val="clear" w:color="auto" w:fill="FFFFFF"/>
            <w:tcMar>
              <w:top w:w="0" w:type="dxa"/>
              <w:left w:w="0" w:type="dxa"/>
              <w:bottom w:w="0" w:type="dxa"/>
              <w:right w:w="0" w:type="dxa"/>
            </w:tcMar>
            <w:vAlign w:val="center"/>
          </w:tcPr>
          <w:p w14:paraId="44F1D7CB"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53 (50.0%)</w:t>
            </w:r>
          </w:p>
        </w:tc>
        <w:tc>
          <w:tcPr>
            <w:tcW w:w="653" w:type="pct"/>
            <w:shd w:val="clear" w:color="auto" w:fill="FFFFFF"/>
            <w:tcMar>
              <w:top w:w="0" w:type="dxa"/>
              <w:left w:w="0" w:type="dxa"/>
              <w:bottom w:w="0" w:type="dxa"/>
              <w:right w:w="0" w:type="dxa"/>
            </w:tcMar>
            <w:vAlign w:val="center"/>
          </w:tcPr>
          <w:p w14:paraId="0CF07246"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30 (50.8%)</w:t>
            </w:r>
          </w:p>
        </w:tc>
        <w:tc>
          <w:tcPr>
            <w:tcW w:w="664" w:type="pct"/>
            <w:shd w:val="clear" w:color="auto" w:fill="FFFFFF"/>
            <w:tcMar>
              <w:top w:w="0" w:type="dxa"/>
              <w:left w:w="0" w:type="dxa"/>
              <w:bottom w:w="0" w:type="dxa"/>
              <w:right w:w="0" w:type="dxa"/>
            </w:tcMar>
            <w:vAlign w:val="center"/>
          </w:tcPr>
          <w:p w14:paraId="7F5C8DA4"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29 (46.8%)</w:t>
            </w:r>
          </w:p>
        </w:tc>
        <w:tc>
          <w:tcPr>
            <w:tcW w:w="714" w:type="pct"/>
            <w:shd w:val="clear" w:color="auto" w:fill="FFFFFF"/>
            <w:tcMar>
              <w:top w:w="0" w:type="dxa"/>
              <w:left w:w="0" w:type="dxa"/>
              <w:bottom w:w="0" w:type="dxa"/>
              <w:right w:w="0" w:type="dxa"/>
            </w:tcMar>
            <w:vAlign w:val="center"/>
          </w:tcPr>
          <w:p w14:paraId="1CB2BED9"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112 (49.3%)</w:t>
            </w:r>
          </w:p>
        </w:tc>
        <w:tc>
          <w:tcPr>
            <w:tcW w:w="614" w:type="pct"/>
            <w:shd w:val="clear" w:color="auto" w:fill="FFFFFF"/>
            <w:tcMar>
              <w:top w:w="0" w:type="dxa"/>
              <w:left w:w="0" w:type="dxa"/>
              <w:bottom w:w="0" w:type="dxa"/>
              <w:right w:w="0" w:type="dxa"/>
            </w:tcMar>
            <w:vAlign w:val="center"/>
          </w:tcPr>
          <w:p w14:paraId="10503E76"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52.7%</w:t>
            </w:r>
          </w:p>
        </w:tc>
      </w:tr>
      <w:tr w:rsidR="001A7A3C" w14:paraId="19FEB119" w14:textId="77777777" w:rsidTr="00F32301">
        <w:trPr>
          <w:cantSplit/>
          <w:jc w:val="center"/>
        </w:trPr>
        <w:tc>
          <w:tcPr>
            <w:tcW w:w="930" w:type="pct"/>
            <w:shd w:val="clear" w:color="auto" w:fill="FFFFFF"/>
            <w:tcMar>
              <w:top w:w="0" w:type="dxa"/>
              <w:left w:w="0" w:type="dxa"/>
              <w:bottom w:w="0" w:type="dxa"/>
              <w:right w:w="0" w:type="dxa"/>
            </w:tcMar>
            <w:vAlign w:val="center"/>
          </w:tcPr>
          <w:p w14:paraId="47539FAF" w14:textId="77777777"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Medium practice</w:t>
            </w:r>
          </w:p>
        </w:tc>
        <w:tc>
          <w:tcPr>
            <w:tcW w:w="791" w:type="pct"/>
            <w:shd w:val="clear" w:color="auto" w:fill="FFFFFF"/>
            <w:tcMar>
              <w:top w:w="0" w:type="dxa"/>
              <w:left w:w="0" w:type="dxa"/>
              <w:bottom w:w="0" w:type="dxa"/>
              <w:right w:w="0" w:type="dxa"/>
            </w:tcMar>
            <w:vAlign w:val="center"/>
          </w:tcPr>
          <w:p w14:paraId="6E21CB9F"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2,404 (31.0%)</w:t>
            </w:r>
          </w:p>
        </w:tc>
        <w:tc>
          <w:tcPr>
            <w:tcW w:w="634" w:type="pct"/>
            <w:shd w:val="clear" w:color="auto" w:fill="FFFFFF"/>
            <w:tcMar>
              <w:top w:w="0" w:type="dxa"/>
              <w:left w:w="0" w:type="dxa"/>
              <w:bottom w:w="0" w:type="dxa"/>
              <w:right w:w="0" w:type="dxa"/>
            </w:tcMar>
            <w:vAlign w:val="center"/>
          </w:tcPr>
          <w:p w14:paraId="218D84CE"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23 (21.7%)</w:t>
            </w:r>
          </w:p>
        </w:tc>
        <w:tc>
          <w:tcPr>
            <w:tcW w:w="653" w:type="pct"/>
            <w:shd w:val="clear" w:color="auto" w:fill="FFFFFF"/>
            <w:tcMar>
              <w:top w:w="0" w:type="dxa"/>
              <w:left w:w="0" w:type="dxa"/>
              <w:bottom w:w="0" w:type="dxa"/>
              <w:right w:w="0" w:type="dxa"/>
            </w:tcMar>
            <w:vAlign w:val="center"/>
          </w:tcPr>
          <w:p w14:paraId="4D2C97FF"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9 (15.3%)</w:t>
            </w:r>
          </w:p>
        </w:tc>
        <w:tc>
          <w:tcPr>
            <w:tcW w:w="664" w:type="pct"/>
            <w:shd w:val="clear" w:color="auto" w:fill="FFFFFF"/>
            <w:tcMar>
              <w:top w:w="0" w:type="dxa"/>
              <w:left w:w="0" w:type="dxa"/>
              <w:bottom w:w="0" w:type="dxa"/>
              <w:right w:w="0" w:type="dxa"/>
            </w:tcMar>
            <w:vAlign w:val="center"/>
          </w:tcPr>
          <w:p w14:paraId="42CFDE37"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11 (17.7%)</w:t>
            </w:r>
          </w:p>
        </w:tc>
        <w:tc>
          <w:tcPr>
            <w:tcW w:w="714" w:type="pct"/>
            <w:shd w:val="clear" w:color="auto" w:fill="FFFFFF"/>
            <w:tcMar>
              <w:top w:w="0" w:type="dxa"/>
              <w:left w:w="0" w:type="dxa"/>
              <w:bottom w:w="0" w:type="dxa"/>
              <w:right w:w="0" w:type="dxa"/>
            </w:tcMar>
            <w:vAlign w:val="center"/>
          </w:tcPr>
          <w:p w14:paraId="3B8CAFE2"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43 (18.9%)</w:t>
            </w:r>
          </w:p>
        </w:tc>
        <w:tc>
          <w:tcPr>
            <w:tcW w:w="614" w:type="pct"/>
            <w:shd w:val="clear" w:color="auto" w:fill="FFFFFF"/>
            <w:tcMar>
              <w:top w:w="0" w:type="dxa"/>
              <w:left w:w="0" w:type="dxa"/>
              <w:bottom w:w="0" w:type="dxa"/>
              <w:right w:w="0" w:type="dxa"/>
            </w:tcMar>
            <w:vAlign w:val="center"/>
          </w:tcPr>
          <w:p w14:paraId="1F444B05"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46.5%</w:t>
            </w:r>
          </w:p>
        </w:tc>
      </w:tr>
      <w:tr w:rsidR="001A7A3C" w14:paraId="38ECD0D4" w14:textId="77777777" w:rsidTr="00F32301">
        <w:trPr>
          <w:cantSplit/>
          <w:jc w:val="center"/>
        </w:trPr>
        <w:tc>
          <w:tcPr>
            <w:tcW w:w="930" w:type="pct"/>
            <w:shd w:val="clear" w:color="auto" w:fill="FFFFFF"/>
            <w:tcMar>
              <w:top w:w="0" w:type="dxa"/>
              <w:left w:w="0" w:type="dxa"/>
              <w:bottom w:w="0" w:type="dxa"/>
              <w:right w:w="0" w:type="dxa"/>
            </w:tcMar>
            <w:vAlign w:val="center"/>
          </w:tcPr>
          <w:p w14:paraId="5ADCBAFC" w14:textId="77777777"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Large practice</w:t>
            </w:r>
          </w:p>
        </w:tc>
        <w:tc>
          <w:tcPr>
            <w:tcW w:w="791" w:type="pct"/>
            <w:shd w:val="clear" w:color="auto" w:fill="FFFFFF"/>
            <w:tcMar>
              <w:top w:w="0" w:type="dxa"/>
              <w:left w:w="0" w:type="dxa"/>
              <w:bottom w:w="0" w:type="dxa"/>
              <w:right w:w="0" w:type="dxa"/>
            </w:tcMar>
            <w:vAlign w:val="center"/>
          </w:tcPr>
          <w:p w14:paraId="60FE4A82"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1,862 (24.0%)</w:t>
            </w:r>
          </w:p>
        </w:tc>
        <w:tc>
          <w:tcPr>
            <w:tcW w:w="634" w:type="pct"/>
            <w:shd w:val="clear" w:color="auto" w:fill="FFFFFF"/>
            <w:tcMar>
              <w:top w:w="0" w:type="dxa"/>
              <w:left w:w="0" w:type="dxa"/>
              <w:bottom w:w="0" w:type="dxa"/>
              <w:right w:w="0" w:type="dxa"/>
            </w:tcMar>
            <w:vAlign w:val="center"/>
          </w:tcPr>
          <w:p w14:paraId="167D4BD3"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19 (17.9%)</w:t>
            </w:r>
          </w:p>
        </w:tc>
        <w:tc>
          <w:tcPr>
            <w:tcW w:w="653" w:type="pct"/>
            <w:shd w:val="clear" w:color="auto" w:fill="FFFFFF"/>
            <w:tcMar>
              <w:top w:w="0" w:type="dxa"/>
              <w:left w:w="0" w:type="dxa"/>
              <w:bottom w:w="0" w:type="dxa"/>
              <w:right w:w="0" w:type="dxa"/>
            </w:tcMar>
            <w:vAlign w:val="center"/>
          </w:tcPr>
          <w:p w14:paraId="5FD29506"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11 (18.6%)</w:t>
            </w:r>
          </w:p>
        </w:tc>
        <w:tc>
          <w:tcPr>
            <w:tcW w:w="664" w:type="pct"/>
            <w:shd w:val="clear" w:color="auto" w:fill="FFFFFF"/>
            <w:tcMar>
              <w:top w:w="0" w:type="dxa"/>
              <w:left w:w="0" w:type="dxa"/>
              <w:bottom w:w="0" w:type="dxa"/>
              <w:right w:w="0" w:type="dxa"/>
            </w:tcMar>
            <w:vAlign w:val="center"/>
          </w:tcPr>
          <w:p w14:paraId="2CABE9F0"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14 (22.6%)</w:t>
            </w:r>
          </w:p>
        </w:tc>
        <w:tc>
          <w:tcPr>
            <w:tcW w:w="714" w:type="pct"/>
            <w:shd w:val="clear" w:color="auto" w:fill="FFFFFF"/>
            <w:tcMar>
              <w:top w:w="0" w:type="dxa"/>
              <w:left w:w="0" w:type="dxa"/>
              <w:bottom w:w="0" w:type="dxa"/>
              <w:right w:w="0" w:type="dxa"/>
            </w:tcMar>
            <w:vAlign w:val="center"/>
          </w:tcPr>
          <w:p w14:paraId="5A3A5F19"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44 (19.4%)</w:t>
            </w:r>
          </w:p>
        </w:tc>
        <w:tc>
          <w:tcPr>
            <w:tcW w:w="614" w:type="pct"/>
            <w:shd w:val="clear" w:color="auto" w:fill="FFFFFF"/>
            <w:tcMar>
              <w:top w:w="0" w:type="dxa"/>
              <w:left w:w="0" w:type="dxa"/>
              <w:bottom w:w="0" w:type="dxa"/>
              <w:right w:w="0" w:type="dxa"/>
            </w:tcMar>
            <w:vAlign w:val="center"/>
          </w:tcPr>
          <w:p w14:paraId="0C5F23CB"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56.8%</w:t>
            </w:r>
          </w:p>
        </w:tc>
      </w:tr>
      <w:tr w:rsidR="000663DE" w14:paraId="4FAA0C80" w14:textId="77777777" w:rsidTr="00AB5724">
        <w:trPr>
          <w:cantSplit/>
          <w:jc w:val="center"/>
        </w:trPr>
        <w:tc>
          <w:tcPr>
            <w:tcW w:w="5000" w:type="pct"/>
            <w:gridSpan w:val="7"/>
            <w:shd w:val="clear" w:color="auto" w:fill="FFFFFF"/>
            <w:tcMar>
              <w:top w:w="0" w:type="dxa"/>
              <w:left w:w="0" w:type="dxa"/>
              <w:bottom w:w="0" w:type="dxa"/>
              <w:right w:w="0" w:type="dxa"/>
            </w:tcMar>
            <w:vAlign w:val="center"/>
          </w:tcPr>
          <w:p w14:paraId="701423B0" w14:textId="77777777" w:rsidR="000663DE" w:rsidRPr="00AB21F7" w:rsidRDefault="000663DE" w:rsidP="005451A5">
            <w:pPr>
              <w:spacing w:before="40" w:after="40"/>
              <w:ind w:left="100" w:right="102"/>
              <w:rPr>
                <w:sz w:val="16"/>
                <w:szCs w:val="16"/>
              </w:rPr>
            </w:pPr>
            <w:r w:rsidRPr="00AB21F7">
              <w:rPr>
                <w:rFonts w:eastAsia="Century Gothic" w:cs="Century Gothic"/>
                <w:b/>
                <w:color w:val="000000"/>
                <w:sz w:val="16"/>
                <w:szCs w:val="16"/>
              </w:rPr>
              <w:t>Practice ownership</w:t>
            </w:r>
          </w:p>
        </w:tc>
      </w:tr>
      <w:tr w:rsidR="001A7A3C" w14:paraId="3A95E7B2" w14:textId="77777777" w:rsidTr="00F32301">
        <w:trPr>
          <w:cantSplit/>
          <w:jc w:val="center"/>
        </w:trPr>
        <w:tc>
          <w:tcPr>
            <w:tcW w:w="930" w:type="pct"/>
            <w:shd w:val="clear" w:color="auto" w:fill="FFFFFF"/>
            <w:tcMar>
              <w:top w:w="0" w:type="dxa"/>
              <w:left w:w="0" w:type="dxa"/>
              <w:bottom w:w="0" w:type="dxa"/>
              <w:right w:w="0" w:type="dxa"/>
            </w:tcMar>
            <w:vAlign w:val="center"/>
          </w:tcPr>
          <w:p w14:paraId="49AE6430" w14:textId="7A5160B1"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AMS</w:t>
            </w:r>
            <w:r w:rsidR="00D73178" w:rsidRPr="00D73178">
              <w:rPr>
                <w:rFonts w:eastAsia="Century Gothic" w:cs="Century Gothic"/>
                <w:color w:val="000000"/>
                <w:sz w:val="16"/>
                <w:szCs w:val="16"/>
                <w:vertAlign w:val="superscript"/>
              </w:rPr>
              <w:t>3</w:t>
            </w:r>
          </w:p>
        </w:tc>
        <w:tc>
          <w:tcPr>
            <w:tcW w:w="791" w:type="pct"/>
            <w:shd w:val="clear" w:color="auto" w:fill="FFFFFF"/>
            <w:tcMar>
              <w:top w:w="0" w:type="dxa"/>
              <w:left w:w="0" w:type="dxa"/>
              <w:bottom w:w="0" w:type="dxa"/>
              <w:right w:w="0" w:type="dxa"/>
            </w:tcMar>
            <w:vAlign w:val="center"/>
          </w:tcPr>
          <w:p w14:paraId="42466F89"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1,297 (16.7%)</w:t>
            </w:r>
          </w:p>
        </w:tc>
        <w:tc>
          <w:tcPr>
            <w:tcW w:w="634" w:type="pct"/>
            <w:shd w:val="clear" w:color="auto" w:fill="FFFFFF"/>
            <w:tcMar>
              <w:top w:w="0" w:type="dxa"/>
              <w:left w:w="0" w:type="dxa"/>
              <w:bottom w:w="0" w:type="dxa"/>
              <w:right w:w="0" w:type="dxa"/>
            </w:tcMar>
            <w:vAlign w:val="center"/>
          </w:tcPr>
          <w:p w14:paraId="2331BC67"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16 (15.1%)</w:t>
            </w:r>
          </w:p>
        </w:tc>
        <w:tc>
          <w:tcPr>
            <w:tcW w:w="653" w:type="pct"/>
            <w:shd w:val="clear" w:color="auto" w:fill="FFFFFF"/>
            <w:tcMar>
              <w:top w:w="0" w:type="dxa"/>
              <w:left w:w="0" w:type="dxa"/>
              <w:bottom w:w="0" w:type="dxa"/>
              <w:right w:w="0" w:type="dxa"/>
            </w:tcMar>
            <w:vAlign w:val="center"/>
          </w:tcPr>
          <w:p w14:paraId="461588E5"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7 (11.9%)</w:t>
            </w:r>
          </w:p>
        </w:tc>
        <w:tc>
          <w:tcPr>
            <w:tcW w:w="664" w:type="pct"/>
            <w:shd w:val="clear" w:color="auto" w:fill="FFFFFF"/>
            <w:tcMar>
              <w:top w:w="0" w:type="dxa"/>
              <w:left w:w="0" w:type="dxa"/>
              <w:bottom w:w="0" w:type="dxa"/>
              <w:right w:w="0" w:type="dxa"/>
            </w:tcMar>
            <w:vAlign w:val="center"/>
          </w:tcPr>
          <w:p w14:paraId="43318BFD"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9 (14.5%)</w:t>
            </w:r>
          </w:p>
        </w:tc>
        <w:tc>
          <w:tcPr>
            <w:tcW w:w="714" w:type="pct"/>
            <w:shd w:val="clear" w:color="auto" w:fill="FFFFFF"/>
            <w:tcMar>
              <w:top w:w="0" w:type="dxa"/>
              <w:left w:w="0" w:type="dxa"/>
              <w:bottom w:w="0" w:type="dxa"/>
              <w:right w:w="0" w:type="dxa"/>
            </w:tcMar>
            <w:vAlign w:val="center"/>
          </w:tcPr>
          <w:p w14:paraId="5ED437BC"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32 (14.1%)</w:t>
            </w:r>
          </w:p>
        </w:tc>
        <w:tc>
          <w:tcPr>
            <w:tcW w:w="614" w:type="pct"/>
            <w:shd w:val="clear" w:color="auto" w:fill="FFFFFF"/>
            <w:tcMar>
              <w:top w:w="0" w:type="dxa"/>
              <w:left w:w="0" w:type="dxa"/>
              <w:bottom w:w="0" w:type="dxa"/>
              <w:right w:w="0" w:type="dxa"/>
            </w:tcMar>
            <w:vAlign w:val="center"/>
          </w:tcPr>
          <w:p w14:paraId="0E6B0470"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50.0%</w:t>
            </w:r>
          </w:p>
        </w:tc>
      </w:tr>
      <w:tr w:rsidR="001A7A3C" w14:paraId="1C92CFB0" w14:textId="77777777" w:rsidTr="00F32301">
        <w:trPr>
          <w:cantSplit/>
          <w:jc w:val="center"/>
        </w:trPr>
        <w:tc>
          <w:tcPr>
            <w:tcW w:w="930" w:type="pct"/>
            <w:shd w:val="clear" w:color="auto" w:fill="FFFFFF"/>
            <w:tcMar>
              <w:top w:w="0" w:type="dxa"/>
              <w:left w:w="0" w:type="dxa"/>
              <w:bottom w:w="0" w:type="dxa"/>
              <w:right w:w="0" w:type="dxa"/>
            </w:tcMar>
            <w:vAlign w:val="center"/>
          </w:tcPr>
          <w:p w14:paraId="23E67B8C" w14:textId="77777777"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Independent</w:t>
            </w:r>
          </w:p>
        </w:tc>
        <w:tc>
          <w:tcPr>
            <w:tcW w:w="791" w:type="pct"/>
            <w:shd w:val="clear" w:color="auto" w:fill="FFFFFF"/>
            <w:tcMar>
              <w:top w:w="0" w:type="dxa"/>
              <w:left w:w="0" w:type="dxa"/>
              <w:bottom w:w="0" w:type="dxa"/>
              <w:right w:w="0" w:type="dxa"/>
            </w:tcMar>
            <w:vAlign w:val="center"/>
          </w:tcPr>
          <w:p w14:paraId="5C1E6234"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5,626 (72.6%)</w:t>
            </w:r>
          </w:p>
        </w:tc>
        <w:tc>
          <w:tcPr>
            <w:tcW w:w="634" w:type="pct"/>
            <w:shd w:val="clear" w:color="auto" w:fill="FFFFFF"/>
            <w:tcMar>
              <w:top w:w="0" w:type="dxa"/>
              <w:left w:w="0" w:type="dxa"/>
              <w:bottom w:w="0" w:type="dxa"/>
              <w:right w:w="0" w:type="dxa"/>
            </w:tcMar>
            <w:vAlign w:val="center"/>
          </w:tcPr>
          <w:p w14:paraId="14AA5583"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76 (71.7%)</w:t>
            </w:r>
          </w:p>
        </w:tc>
        <w:tc>
          <w:tcPr>
            <w:tcW w:w="653" w:type="pct"/>
            <w:shd w:val="clear" w:color="auto" w:fill="FFFFFF"/>
            <w:tcMar>
              <w:top w:w="0" w:type="dxa"/>
              <w:left w:w="0" w:type="dxa"/>
              <w:bottom w:w="0" w:type="dxa"/>
              <w:right w:w="0" w:type="dxa"/>
            </w:tcMar>
            <w:vAlign w:val="center"/>
          </w:tcPr>
          <w:p w14:paraId="659F364A"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38 (64.4%)</w:t>
            </w:r>
          </w:p>
        </w:tc>
        <w:tc>
          <w:tcPr>
            <w:tcW w:w="664" w:type="pct"/>
            <w:shd w:val="clear" w:color="auto" w:fill="FFFFFF"/>
            <w:tcMar>
              <w:top w:w="0" w:type="dxa"/>
              <w:left w:w="0" w:type="dxa"/>
              <w:bottom w:w="0" w:type="dxa"/>
              <w:right w:w="0" w:type="dxa"/>
            </w:tcMar>
            <w:vAlign w:val="center"/>
          </w:tcPr>
          <w:p w14:paraId="27F29B76"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23 (37.1%)</w:t>
            </w:r>
          </w:p>
        </w:tc>
        <w:tc>
          <w:tcPr>
            <w:tcW w:w="714" w:type="pct"/>
            <w:shd w:val="clear" w:color="auto" w:fill="FFFFFF"/>
            <w:tcMar>
              <w:top w:w="0" w:type="dxa"/>
              <w:left w:w="0" w:type="dxa"/>
              <w:bottom w:w="0" w:type="dxa"/>
              <w:right w:w="0" w:type="dxa"/>
            </w:tcMar>
            <w:vAlign w:val="center"/>
          </w:tcPr>
          <w:p w14:paraId="2142CAE5"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137 (60.4%)</w:t>
            </w:r>
          </w:p>
        </w:tc>
        <w:tc>
          <w:tcPr>
            <w:tcW w:w="614" w:type="pct"/>
            <w:shd w:val="clear" w:color="auto" w:fill="FFFFFF"/>
            <w:tcMar>
              <w:top w:w="0" w:type="dxa"/>
              <w:left w:w="0" w:type="dxa"/>
              <w:bottom w:w="0" w:type="dxa"/>
              <w:right w:w="0" w:type="dxa"/>
            </w:tcMar>
            <w:vAlign w:val="center"/>
          </w:tcPr>
          <w:p w14:paraId="1A6E828B"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44.5%</w:t>
            </w:r>
          </w:p>
        </w:tc>
      </w:tr>
      <w:tr w:rsidR="001A7A3C" w14:paraId="4192BF6E" w14:textId="77777777" w:rsidTr="00F32301">
        <w:trPr>
          <w:cantSplit/>
          <w:jc w:val="center"/>
        </w:trPr>
        <w:tc>
          <w:tcPr>
            <w:tcW w:w="930" w:type="pct"/>
            <w:shd w:val="clear" w:color="auto" w:fill="FFFFFF"/>
            <w:tcMar>
              <w:top w:w="0" w:type="dxa"/>
              <w:left w:w="0" w:type="dxa"/>
              <w:bottom w:w="0" w:type="dxa"/>
              <w:right w:w="0" w:type="dxa"/>
            </w:tcMar>
            <w:vAlign w:val="center"/>
          </w:tcPr>
          <w:p w14:paraId="47364776" w14:textId="77777777"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Corporate</w:t>
            </w:r>
          </w:p>
        </w:tc>
        <w:tc>
          <w:tcPr>
            <w:tcW w:w="791" w:type="pct"/>
            <w:shd w:val="clear" w:color="auto" w:fill="FFFFFF"/>
            <w:tcMar>
              <w:top w:w="0" w:type="dxa"/>
              <w:left w:w="0" w:type="dxa"/>
              <w:bottom w:w="0" w:type="dxa"/>
              <w:right w:w="0" w:type="dxa"/>
            </w:tcMar>
            <w:vAlign w:val="center"/>
          </w:tcPr>
          <w:p w14:paraId="0860605F"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831 (10.7%)</w:t>
            </w:r>
          </w:p>
        </w:tc>
        <w:tc>
          <w:tcPr>
            <w:tcW w:w="634" w:type="pct"/>
            <w:shd w:val="clear" w:color="auto" w:fill="FFFFFF"/>
            <w:tcMar>
              <w:top w:w="0" w:type="dxa"/>
              <w:left w:w="0" w:type="dxa"/>
              <w:bottom w:w="0" w:type="dxa"/>
              <w:right w:w="0" w:type="dxa"/>
            </w:tcMar>
            <w:vAlign w:val="center"/>
          </w:tcPr>
          <w:p w14:paraId="745DE291"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14 (13.2%)</w:t>
            </w:r>
          </w:p>
        </w:tc>
        <w:tc>
          <w:tcPr>
            <w:tcW w:w="653" w:type="pct"/>
            <w:shd w:val="clear" w:color="auto" w:fill="FFFFFF"/>
            <w:tcMar>
              <w:top w:w="0" w:type="dxa"/>
              <w:left w:w="0" w:type="dxa"/>
              <w:bottom w:w="0" w:type="dxa"/>
              <w:right w:w="0" w:type="dxa"/>
            </w:tcMar>
            <w:vAlign w:val="center"/>
          </w:tcPr>
          <w:p w14:paraId="50C9CE82"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14 (23.7%)</w:t>
            </w:r>
          </w:p>
        </w:tc>
        <w:tc>
          <w:tcPr>
            <w:tcW w:w="664" w:type="pct"/>
            <w:shd w:val="clear" w:color="auto" w:fill="FFFFFF"/>
            <w:tcMar>
              <w:top w:w="0" w:type="dxa"/>
              <w:left w:w="0" w:type="dxa"/>
              <w:bottom w:w="0" w:type="dxa"/>
              <w:right w:w="0" w:type="dxa"/>
            </w:tcMar>
            <w:vAlign w:val="center"/>
          </w:tcPr>
          <w:p w14:paraId="6904388D"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30 (48.4%)</w:t>
            </w:r>
          </w:p>
        </w:tc>
        <w:tc>
          <w:tcPr>
            <w:tcW w:w="714" w:type="pct"/>
            <w:shd w:val="clear" w:color="auto" w:fill="FFFFFF"/>
            <w:tcMar>
              <w:top w:w="0" w:type="dxa"/>
              <w:left w:w="0" w:type="dxa"/>
              <w:bottom w:w="0" w:type="dxa"/>
              <w:right w:w="0" w:type="dxa"/>
            </w:tcMar>
            <w:vAlign w:val="center"/>
          </w:tcPr>
          <w:p w14:paraId="61FA6591"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58 (25.6%)</w:t>
            </w:r>
          </w:p>
        </w:tc>
        <w:tc>
          <w:tcPr>
            <w:tcW w:w="614" w:type="pct"/>
            <w:shd w:val="clear" w:color="auto" w:fill="FFFFFF"/>
            <w:tcMar>
              <w:top w:w="0" w:type="dxa"/>
              <w:left w:w="0" w:type="dxa"/>
              <w:bottom w:w="0" w:type="dxa"/>
              <w:right w:w="0" w:type="dxa"/>
            </w:tcMar>
            <w:vAlign w:val="center"/>
          </w:tcPr>
          <w:p w14:paraId="5E175E8A"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75.9%</w:t>
            </w:r>
          </w:p>
        </w:tc>
      </w:tr>
      <w:tr w:rsidR="000663DE" w14:paraId="244D5AE7" w14:textId="77777777" w:rsidTr="00AB5724">
        <w:trPr>
          <w:cantSplit/>
          <w:jc w:val="center"/>
        </w:trPr>
        <w:tc>
          <w:tcPr>
            <w:tcW w:w="5000" w:type="pct"/>
            <w:gridSpan w:val="7"/>
            <w:shd w:val="clear" w:color="auto" w:fill="FFFFFF"/>
            <w:tcMar>
              <w:top w:w="0" w:type="dxa"/>
              <w:left w:w="0" w:type="dxa"/>
              <w:bottom w:w="0" w:type="dxa"/>
              <w:right w:w="0" w:type="dxa"/>
            </w:tcMar>
            <w:vAlign w:val="center"/>
          </w:tcPr>
          <w:p w14:paraId="35C6BCFF" w14:textId="142154D1" w:rsidR="000663DE" w:rsidRPr="00AB21F7" w:rsidRDefault="000663DE" w:rsidP="005451A5">
            <w:pPr>
              <w:spacing w:before="40" w:after="40"/>
              <w:ind w:left="100" w:right="102"/>
              <w:rPr>
                <w:sz w:val="16"/>
                <w:szCs w:val="16"/>
              </w:rPr>
            </w:pPr>
            <w:r w:rsidRPr="00AB21F7">
              <w:rPr>
                <w:rFonts w:eastAsia="Century Gothic" w:cs="Century Gothic"/>
                <w:b/>
                <w:color w:val="000000"/>
                <w:sz w:val="16"/>
                <w:szCs w:val="16"/>
              </w:rPr>
              <w:t>Remoteness (MMM category)</w:t>
            </w:r>
            <w:r w:rsidR="00D73178">
              <w:rPr>
                <w:rFonts w:eastAsia="Century Gothic" w:cs="Century Gothic"/>
                <w:bCs/>
                <w:color w:val="000000"/>
                <w:sz w:val="16"/>
                <w:szCs w:val="16"/>
                <w:vertAlign w:val="superscript"/>
              </w:rPr>
              <w:t>4</w:t>
            </w:r>
          </w:p>
        </w:tc>
      </w:tr>
      <w:tr w:rsidR="001A7A3C" w14:paraId="75840365" w14:textId="77777777" w:rsidTr="00F32301">
        <w:trPr>
          <w:cantSplit/>
          <w:jc w:val="center"/>
        </w:trPr>
        <w:tc>
          <w:tcPr>
            <w:tcW w:w="930" w:type="pct"/>
            <w:shd w:val="clear" w:color="auto" w:fill="FFFFFF"/>
            <w:tcMar>
              <w:top w:w="0" w:type="dxa"/>
              <w:left w:w="0" w:type="dxa"/>
              <w:bottom w:w="0" w:type="dxa"/>
              <w:right w:w="0" w:type="dxa"/>
            </w:tcMar>
            <w:vAlign w:val="center"/>
          </w:tcPr>
          <w:p w14:paraId="46A528B5" w14:textId="77777777"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MMM 1</w:t>
            </w:r>
          </w:p>
        </w:tc>
        <w:tc>
          <w:tcPr>
            <w:tcW w:w="791" w:type="pct"/>
            <w:shd w:val="clear" w:color="auto" w:fill="FFFFFF"/>
            <w:tcMar>
              <w:top w:w="0" w:type="dxa"/>
              <w:left w:w="0" w:type="dxa"/>
              <w:bottom w:w="0" w:type="dxa"/>
              <w:right w:w="0" w:type="dxa"/>
            </w:tcMar>
            <w:vAlign w:val="center"/>
          </w:tcPr>
          <w:p w14:paraId="49178AF5"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5,390 (69.5%)</w:t>
            </w:r>
          </w:p>
        </w:tc>
        <w:tc>
          <w:tcPr>
            <w:tcW w:w="634" w:type="pct"/>
            <w:shd w:val="clear" w:color="auto" w:fill="FFFFFF"/>
            <w:tcMar>
              <w:top w:w="0" w:type="dxa"/>
              <w:left w:w="0" w:type="dxa"/>
              <w:bottom w:w="0" w:type="dxa"/>
              <w:right w:w="0" w:type="dxa"/>
            </w:tcMar>
            <w:vAlign w:val="center"/>
          </w:tcPr>
          <w:p w14:paraId="273AC5BA"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75 (70.8%)</w:t>
            </w:r>
          </w:p>
        </w:tc>
        <w:tc>
          <w:tcPr>
            <w:tcW w:w="653" w:type="pct"/>
            <w:shd w:val="clear" w:color="auto" w:fill="FFFFFF"/>
            <w:tcMar>
              <w:top w:w="0" w:type="dxa"/>
              <w:left w:w="0" w:type="dxa"/>
              <w:bottom w:w="0" w:type="dxa"/>
              <w:right w:w="0" w:type="dxa"/>
            </w:tcMar>
            <w:vAlign w:val="center"/>
          </w:tcPr>
          <w:p w14:paraId="14C0398E"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37 (62.7%)</w:t>
            </w:r>
          </w:p>
        </w:tc>
        <w:tc>
          <w:tcPr>
            <w:tcW w:w="664" w:type="pct"/>
            <w:shd w:val="clear" w:color="auto" w:fill="FFFFFF"/>
            <w:tcMar>
              <w:top w:w="0" w:type="dxa"/>
              <w:left w:w="0" w:type="dxa"/>
              <w:bottom w:w="0" w:type="dxa"/>
              <w:right w:w="0" w:type="dxa"/>
            </w:tcMar>
            <w:vAlign w:val="center"/>
          </w:tcPr>
          <w:p w14:paraId="2D6CACEB"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34 (54.8%)</w:t>
            </w:r>
          </w:p>
        </w:tc>
        <w:tc>
          <w:tcPr>
            <w:tcW w:w="714" w:type="pct"/>
            <w:shd w:val="clear" w:color="auto" w:fill="FFFFFF"/>
            <w:tcMar>
              <w:top w:w="0" w:type="dxa"/>
              <w:left w:w="0" w:type="dxa"/>
              <w:bottom w:w="0" w:type="dxa"/>
              <w:right w:w="0" w:type="dxa"/>
            </w:tcMar>
            <w:vAlign w:val="center"/>
          </w:tcPr>
          <w:p w14:paraId="3D326CEB"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146 (64.3%)</w:t>
            </w:r>
          </w:p>
        </w:tc>
        <w:tc>
          <w:tcPr>
            <w:tcW w:w="614" w:type="pct"/>
            <w:shd w:val="clear" w:color="auto" w:fill="FFFFFF"/>
            <w:tcMar>
              <w:top w:w="0" w:type="dxa"/>
              <w:left w:w="0" w:type="dxa"/>
              <w:bottom w:w="0" w:type="dxa"/>
              <w:right w:w="0" w:type="dxa"/>
            </w:tcMar>
            <w:vAlign w:val="center"/>
          </w:tcPr>
          <w:p w14:paraId="52893A07"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48.6%</w:t>
            </w:r>
          </w:p>
        </w:tc>
      </w:tr>
      <w:tr w:rsidR="001A7A3C" w14:paraId="6367AEB1" w14:textId="77777777" w:rsidTr="00F32301">
        <w:trPr>
          <w:cantSplit/>
          <w:jc w:val="center"/>
        </w:trPr>
        <w:tc>
          <w:tcPr>
            <w:tcW w:w="930" w:type="pct"/>
            <w:shd w:val="clear" w:color="auto" w:fill="FFFFFF"/>
            <w:tcMar>
              <w:top w:w="0" w:type="dxa"/>
              <w:left w:w="0" w:type="dxa"/>
              <w:bottom w:w="0" w:type="dxa"/>
              <w:right w:w="0" w:type="dxa"/>
            </w:tcMar>
            <w:vAlign w:val="center"/>
          </w:tcPr>
          <w:p w14:paraId="64832643" w14:textId="77777777"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MMM 2</w:t>
            </w:r>
          </w:p>
        </w:tc>
        <w:tc>
          <w:tcPr>
            <w:tcW w:w="791" w:type="pct"/>
            <w:shd w:val="clear" w:color="auto" w:fill="FFFFFF"/>
            <w:tcMar>
              <w:top w:w="0" w:type="dxa"/>
              <w:left w:w="0" w:type="dxa"/>
              <w:bottom w:w="0" w:type="dxa"/>
              <w:right w:w="0" w:type="dxa"/>
            </w:tcMar>
            <w:vAlign w:val="center"/>
          </w:tcPr>
          <w:p w14:paraId="165FB9D3"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329 (4.2%)</w:t>
            </w:r>
          </w:p>
        </w:tc>
        <w:tc>
          <w:tcPr>
            <w:tcW w:w="634" w:type="pct"/>
            <w:shd w:val="clear" w:color="auto" w:fill="FFFFFF"/>
            <w:tcMar>
              <w:top w:w="0" w:type="dxa"/>
              <w:left w:w="0" w:type="dxa"/>
              <w:bottom w:w="0" w:type="dxa"/>
              <w:right w:w="0" w:type="dxa"/>
            </w:tcMar>
            <w:vAlign w:val="center"/>
          </w:tcPr>
          <w:p w14:paraId="71689330"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8 (7.5%)</w:t>
            </w:r>
          </w:p>
        </w:tc>
        <w:tc>
          <w:tcPr>
            <w:tcW w:w="653" w:type="pct"/>
            <w:shd w:val="clear" w:color="auto" w:fill="FFFFFF"/>
            <w:tcMar>
              <w:top w:w="0" w:type="dxa"/>
              <w:left w:w="0" w:type="dxa"/>
              <w:bottom w:w="0" w:type="dxa"/>
              <w:right w:w="0" w:type="dxa"/>
            </w:tcMar>
            <w:vAlign w:val="center"/>
          </w:tcPr>
          <w:p w14:paraId="53E399D6"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15 (25.4%)</w:t>
            </w:r>
          </w:p>
        </w:tc>
        <w:tc>
          <w:tcPr>
            <w:tcW w:w="664" w:type="pct"/>
            <w:shd w:val="clear" w:color="auto" w:fill="FFFFFF"/>
            <w:tcMar>
              <w:top w:w="0" w:type="dxa"/>
              <w:left w:w="0" w:type="dxa"/>
              <w:bottom w:w="0" w:type="dxa"/>
              <w:right w:w="0" w:type="dxa"/>
            </w:tcMar>
            <w:vAlign w:val="center"/>
          </w:tcPr>
          <w:p w14:paraId="5D919B41"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11 (17.7%)</w:t>
            </w:r>
          </w:p>
        </w:tc>
        <w:tc>
          <w:tcPr>
            <w:tcW w:w="714" w:type="pct"/>
            <w:shd w:val="clear" w:color="auto" w:fill="FFFFFF"/>
            <w:tcMar>
              <w:top w:w="0" w:type="dxa"/>
              <w:left w:w="0" w:type="dxa"/>
              <w:bottom w:w="0" w:type="dxa"/>
              <w:right w:w="0" w:type="dxa"/>
            </w:tcMar>
            <w:vAlign w:val="center"/>
          </w:tcPr>
          <w:p w14:paraId="35FDF7C3"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34 (15.0%)</w:t>
            </w:r>
          </w:p>
        </w:tc>
        <w:tc>
          <w:tcPr>
            <w:tcW w:w="614" w:type="pct"/>
            <w:shd w:val="clear" w:color="auto" w:fill="FFFFFF"/>
            <w:tcMar>
              <w:top w:w="0" w:type="dxa"/>
              <w:left w:w="0" w:type="dxa"/>
              <w:bottom w:w="0" w:type="dxa"/>
              <w:right w:w="0" w:type="dxa"/>
            </w:tcMar>
            <w:vAlign w:val="center"/>
          </w:tcPr>
          <w:p w14:paraId="6B16C3F0"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76.5%</w:t>
            </w:r>
          </w:p>
        </w:tc>
      </w:tr>
      <w:tr w:rsidR="001A7A3C" w14:paraId="1202A6BA" w14:textId="77777777" w:rsidTr="00F32301">
        <w:trPr>
          <w:cantSplit/>
          <w:jc w:val="center"/>
        </w:trPr>
        <w:tc>
          <w:tcPr>
            <w:tcW w:w="930" w:type="pct"/>
            <w:shd w:val="clear" w:color="auto" w:fill="FFFFFF"/>
            <w:tcMar>
              <w:top w:w="0" w:type="dxa"/>
              <w:left w:w="0" w:type="dxa"/>
              <w:bottom w:w="0" w:type="dxa"/>
              <w:right w:w="0" w:type="dxa"/>
            </w:tcMar>
            <w:vAlign w:val="center"/>
          </w:tcPr>
          <w:p w14:paraId="1BA5BAB5" w14:textId="77777777"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MMM 3</w:t>
            </w:r>
          </w:p>
        </w:tc>
        <w:tc>
          <w:tcPr>
            <w:tcW w:w="791" w:type="pct"/>
            <w:shd w:val="clear" w:color="auto" w:fill="FFFFFF"/>
            <w:tcMar>
              <w:top w:w="0" w:type="dxa"/>
              <w:left w:w="0" w:type="dxa"/>
              <w:bottom w:w="0" w:type="dxa"/>
              <w:right w:w="0" w:type="dxa"/>
            </w:tcMar>
            <w:vAlign w:val="center"/>
          </w:tcPr>
          <w:p w14:paraId="3FF875A4"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366 (4.7%)</w:t>
            </w:r>
          </w:p>
        </w:tc>
        <w:tc>
          <w:tcPr>
            <w:tcW w:w="634" w:type="pct"/>
            <w:shd w:val="clear" w:color="auto" w:fill="FFFFFF"/>
            <w:tcMar>
              <w:top w:w="0" w:type="dxa"/>
              <w:left w:w="0" w:type="dxa"/>
              <w:bottom w:w="0" w:type="dxa"/>
              <w:right w:w="0" w:type="dxa"/>
            </w:tcMar>
            <w:vAlign w:val="center"/>
          </w:tcPr>
          <w:p w14:paraId="39C5DDC9"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4 (3.8%)</w:t>
            </w:r>
          </w:p>
        </w:tc>
        <w:tc>
          <w:tcPr>
            <w:tcW w:w="653" w:type="pct"/>
            <w:shd w:val="clear" w:color="auto" w:fill="FFFFFF"/>
            <w:tcMar>
              <w:top w:w="0" w:type="dxa"/>
              <w:left w:w="0" w:type="dxa"/>
              <w:bottom w:w="0" w:type="dxa"/>
              <w:right w:w="0" w:type="dxa"/>
            </w:tcMar>
            <w:vAlign w:val="center"/>
          </w:tcPr>
          <w:p w14:paraId="76DA2D40"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2 (3.4%)</w:t>
            </w:r>
          </w:p>
        </w:tc>
        <w:tc>
          <w:tcPr>
            <w:tcW w:w="664" w:type="pct"/>
            <w:shd w:val="clear" w:color="auto" w:fill="FFFFFF"/>
            <w:tcMar>
              <w:top w:w="0" w:type="dxa"/>
              <w:left w:w="0" w:type="dxa"/>
              <w:bottom w:w="0" w:type="dxa"/>
              <w:right w:w="0" w:type="dxa"/>
            </w:tcMar>
            <w:vAlign w:val="center"/>
          </w:tcPr>
          <w:p w14:paraId="2B06EA29"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6 (9.7%)</w:t>
            </w:r>
          </w:p>
        </w:tc>
        <w:tc>
          <w:tcPr>
            <w:tcW w:w="714" w:type="pct"/>
            <w:shd w:val="clear" w:color="auto" w:fill="FFFFFF"/>
            <w:tcMar>
              <w:top w:w="0" w:type="dxa"/>
              <w:left w:w="0" w:type="dxa"/>
              <w:bottom w:w="0" w:type="dxa"/>
              <w:right w:w="0" w:type="dxa"/>
            </w:tcMar>
            <w:vAlign w:val="center"/>
          </w:tcPr>
          <w:p w14:paraId="4351EEC0"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12 (5.3%)</w:t>
            </w:r>
          </w:p>
        </w:tc>
        <w:tc>
          <w:tcPr>
            <w:tcW w:w="614" w:type="pct"/>
            <w:shd w:val="clear" w:color="auto" w:fill="FFFFFF"/>
            <w:tcMar>
              <w:top w:w="0" w:type="dxa"/>
              <w:left w:w="0" w:type="dxa"/>
              <w:bottom w:w="0" w:type="dxa"/>
              <w:right w:w="0" w:type="dxa"/>
            </w:tcMar>
            <w:vAlign w:val="center"/>
          </w:tcPr>
          <w:p w14:paraId="39411D02"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66.7%</w:t>
            </w:r>
          </w:p>
        </w:tc>
      </w:tr>
      <w:tr w:rsidR="001A7A3C" w14:paraId="70B64935" w14:textId="77777777" w:rsidTr="00F32301">
        <w:trPr>
          <w:cantSplit/>
          <w:jc w:val="center"/>
        </w:trPr>
        <w:tc>
          <w:tcPr>
            <w:tcW w:w="930" w:type="pct"/>
            <w:shd w:val="clear" w:color="auto" w:fill="FFFFFF"/>
            <w:tcMar>
              <w:top w:w="0" w:type="dxa"/>
              <w:left w:w="0" w:type="dxa"/>
              <w:bottom w:w="0" w:type="dxa"/>
              <w:right w:w="0" w:type="dxa"/>
            </w:tcMar>
            <w:vAlign w:val="center"/>
          </w:tcPr>
          <w:p w14:paraId="0AC2EE9D" w14:textId="77777777"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MMM 4 &amp; 5</w:t>
            </w:r>
          </w:p>
        </w:tc>
        <w:tc>
          <w:tcPr>
            <w:tcW w:w="791" w:type="pct"/>
            <w:shd w:val="clear" w:color="auto" w:fill="FFFFFF"/>
            <w:tcMar>
              <w:top w:w="0" w:type="dxa"/>
              <w:left w:w="0" w:type="dxa"/>
              <w:bottom w:w="0" w:type="dxa"/>
              <w:right w:w="0" w:type="dxa"/>
            </w:tcMar>
            <w:vAlign w:val="center"/>
          </w:tcPr>
          <w:p w14:paraId="7348A39F"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805 (10.4%)</w:t>
            </w:r>
          </w:p>
        </w:tc>
        <w:tc>
          <w:tcPr>
            <w:tcW w:w="634" w:type="pct"/>
            <w:shd w:val="clear" w:color="auto" w:fill="FFFFFF"/>
            <w:tcMar>
              <w:top w:w="0" w:type="dxa"/>
              <w:left w:w="0" w:type="dxa"/>
              <w:bottom w:w="0" w:type="dxa"/>
              <w:right w:w="0" w:type="dxa"/>
            </w:tcMar>
            <w:vAlign w:val="center"/>
          </w:tcPr>
          <w:p w14:paraId="44B9F981"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6 (5.7%)</w:t>
            </w:r>
          </w:p>
        </w:tc>
        <w:tc>
          <w:tcPr>
            <w:tcW w:w="653" w:type="pct"/>
            <w:shd w:val="clear" w:color="auto" w:fill="FFFFFF"/>
            <w:tcMar>
              <w:top w:w="0" w:type="dxa"/>
              <w:left w:w="0" w:type="dxa"/>
              <w:bottom w:w="0" w:type="dxa"/>
              <w:right w:w="0" w:type="dxa"/>
            </w:tcMar>
            <w:vAlign w:val="center"/>
          </w:tcPr>
          <w:p w14:paraId="2DA5B5B0"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3 (5.1%)</w:t>
            </w:r>
          </w:p>
        </w:tc>
        <w:tc>
          <w:tcPr>
            <w:tcW w:w="664" w:type="pct"/>
            <w:shd w:val="clear" w:color="auto" w:fill="FFFFFF"/>
            <w:tcMar>
              <w:top w:w="0" w:type="dxa"/>
              <w:left w:w="0" w:type="dxa"/>
              <w:bottom w:w="0" w:type="dxa"/>
              <w:right w:w="0" w:type="dxa"/>
            </w:tcMar>
            <w:vAlign w:val="center"/>
          </w:tcPr>
          <w:p w14:paraId="4937E306"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2 (3.2%)</w:t>
            </w:r>
          </w:p>
        </w:tc>
        <w:tc>
          <w:tcPr>
            <w:tcW w:w="714" w:type="pct"/>
            <w:shd w:val="clear" w:color="auto" w:fill="FFFFFF"/>
            <w:tcMar>
              <w:top w:w="0" w:type="dxa"/>
              <w:left w:w="0" w:type="dxa"/>
              <w:bottom w:w="0" w:type="dxa"/>
              <w:right w:w="0" w:type="dxa"/>
            </w:tcMar>
            <w:vAlign w:val="center"/>
          </w:tcPr>
          <w:p w14:paraId="000D3EF7"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11 (4.8%)</w:t>
            </w:r>
          </w:p>
        </w:tc>
        <w:tc>
          <w:tcPr>
            <w:tcW w:w="614" w:type="pct"/>
            <w:shd w:val="clear" w:color="auto" w:fill="FFFFFF"/>
            <w:tcMar>
              <w:top w:w="0" w:type="dxa"/>
              <w:left w:w="0" w:type="dxa"/>
              <w:bottom w:w="0" w:type="dxa"/>
              <w:right w:w="0" w:type="dxa"/>
            </w:tcMar>
            <w:vAlign w:val="center"/>
          </w:tcPr>
          <w:p w14:paraId="17353EC8"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45.5%</w:t>
            </w:r>
          </w:p>
        </w:tc>
      </w:tr>
      <w:tr w:rsidR="001A7A3C" w14:paraId="12BBE10B" w14:textId="77777777" w:rsidTr="00F32301">
        <w:trPr>
          <w:cantSplit/>
          <w:jc w:val="center"/>
        </w:trPr>
        <w:tc>
          <w:tcPr>
            <w:tcW w:w="930" w:type="pct"/>
            <w:shd w:val="clear" w:color="auto" w:fill="FFFFFF"/>
            <w:tcMar>
              <w:top w:w="0" w:type="dxa"/>
              <w:left w:w="0" w:type="dxa"/>
              <w:bottom w:w="0" w:type="dxa"/>
              <w:right w:w="0" w:type="dxa"/>
            </w:tcMar>
            <w:vAlign w:val="center"/>
          </w:tcPr>
          <w:p w14:paraId="1C2379D9" w14:textId="77777777"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MMM 6 &amp; 7</w:t>
            </w:r>
          </w:p>
        </w:tc>
        <w:tc>
          <w:tcPr>
            <w:tcW w:w="791" w:type="pct"/>
            <w:shd w:val="clear" w:color="auto" w:fill="FFFFFF"/>
            <w:tcMar>
              <w:top w:w="0" w:type="dxa"/>
              <w:left w:w="0" w:type="dxa"/>
              <w:bottom w:w="0" w:type="dxa"/>
              <w:right w:w="0" w:type="dxa"/>
            </w:tcMar>
            <w:vAlign w:val="center"/>
          </w:tcPr>
          <w:p w14:paraId="18064A62"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864 (11.1%)</w:t>
            </w:r>
          </w:p>
        </w:tc>
        <w:tc>
          <w:tcPr>
            <w:tcW w:w="634" w:type="pct"/>
            <w:shd w:val="clear" w:color="auto" w:fill="FFFFFF"/>
            <w:tcMar>
              <w:top w:w="0" w:type="dxa"/>
              <w:left w:w="0" w:type="dxa"/>
              <w:bottom w:w="0" w:type="dxa"/>
              <w:right w:w="0" w:type="dxa"/>
            </w:tcMar>
            <w:vAlign w:val="center"/>
          </w:tcPr>
          <w:p w14:paraId="44604F31"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13 (12.3%)</w:t>
            </w:r>
          </w:p>
        </w:tc>
        <w:tc>
          <w:tcPr>
            <w:tcW w:w="653" w:type="pct"/>
            <w:shd w:val="clear" w:color="auto" w:fill="FFFFFF"/>
            <w:tcMar>
              <w:top w:w="0" w:type="dxa"/>
              <w:left w:w="0" w:type="dxa"/>
              <w:bottom w:w="0" w:type="dxa"/>
              <w:right w:w="0" w:type="dxa"/>
            </w:tcMar>
            <w:vAlign w:val="center"/>
          </w:tcPr>
          <w:p w14:paraId="3DCAF07B"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2 (3.4%)</w:t>
            </w:r>
          </w:p>
        </w:tc>
        <w:tc>
          <w:tcPr>
            <w:tcW w:w="664" w:type="pct"/>
            <w:shd w:val="clear" w:color="auto" w:fill="FFFFFF"/>
            <w:tcMar>
              <w:top w:w="0" w:type="dxa"/>
              <w:left w:w="0" w:type="dxa"/>
              <w:bottom w:w="0" w:type="dxa"/>
              <w:right w:w="0" w:type="dxa"/>
            </w:tcMar>
            <w:vAlign w:val="center"/>
          </w:tcPr>
          <w:p w14:paraId="2D7864D1"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9 (14.5%)</w:t>
            </w:r>
          </w:p>
        </w:tc>
        <w:tc>
          <w:tcPr>
            <w:tcW w:w="714" w:type="pct"/>
            <w:shd w:val="clear" w:color="auto" w:fill="FFFFFF"/>
            <w:tcMar>
              <w:top w:w="0" w:type="dxa"/>
              <w:left w:w="0" w:type="dxa"/>
              <w:bottom w:w="0" w:type="dxa"/>
              <w:right w:w="0" w:type="dxa"/>
            </w:tcMar>
            <w:vAlign w:val="center"/>
          </w:tcPr>
          <w:p w14:paraId="7EC0805C"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24 (10.6%)</w:t>
            </w:r>
          </w:p>
        </w:tc>
        <w:tc>
          <w:tcPr>
            <w:tcW w:w="614" w:type="pct"/>
            <w:shd w:val="clear" w:color="auto" w:fill="FFFFFF"/>
            <w:tcMar>
              <w:top w:w="0" w:type="dxa"/>
              <w:left w:w="0" w:type="dxa"/>
              <w:bottom w:w="0" w:type="dxa"/>
              <w:right w:w="0" w:type="dxa"/>
            </w:tcMar>
            <w:vAlign w:val="center"/>
          </w:tcPr>
          <w:p w14:paraId="3A0952D7"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45.8%</w:t>
            </w:r>
          </w:p>
        </w:tc>
      </w:tr>
      <w:tr w:rsidR="000663DE" w14:paraId="5AF80872" w14:textId="77777777" w:rsidTr="00AB5724">
        <w:trPr>
          <w:cantSplit/>
          <w:jc w:val="center"/>
        </w:trPr>
        <w:tc>
          <w:tcPr>
            <w:tcW w:w="5000" w:type="pct"/>
            <w:gridSpan w:val="7"/>
            <w:shd w:val="clear" w:color="auto" w:fill="FFFFFF"/>
            <w:tcMar>
              <w:top w:w="0" w:type="dxa"/>
              <w:left w:w="0" w:type="dxa"/>
              <w:bottom w:w="0" w:type="dxa"/>
              <w:right w:w="0" w:type="dxa"/>
            </w:tcMar>
            <w:vAlign w:val="center"/>
          </w:tcPr>
          <w:p w14:paraId="4CB51BCB" w14:textId="77777777" w:rsidR="000663DE" w:rsidRPr="00AB21F7" w:rsidRDefault="000663DE" w:rsidP="005451A5">
            <w:pPr>
              <w:spacing w:before="40" w:after="40"/>
              <w:ind w:left="100" w:right="102"/>
              <w:rPr>
                <w:sz w:val="16"/>
                <w:szCs w:val="16"/>
              </w:rPr>
            </w:pPr>
            <w:r w:rsidRPr="00AB21F7">
              <w:rPr>
                <w:rFonts w:eastAsia="Century Gothic" w:cs="Century Gothic"/>
                <w:b/>
                <w:color w:val="000000"/>
                <w:sz w:val="16"/>
                <w:szCs w:val="16"/>
              </w:rPr>
              <w:t>ABS Index of Relative Social Disadvantage</w:t>
            </w:r>
          </w:p>
        </w:tc>
      </w:tr>
      <w:tr w:rsidR="001A7A3C" w14:paraId="0861A971" w14:textId="77777777" w:rsidTr="00F32301">
        <w:trPr>
          <w:cantSplit/>
          <w:jc w:val="center"/>
        </w:trPr>
        <w:tc>
          <w:tcPr>
            <w:tcW w:w="930" w:type="pct"/>
            <w:shd w:val="clear" w:color="auto" w:fill="FFFFFF"/>
            <w:tcMar>
              <w:top w:w="0" w:type="dxa"/>
              <w:left w:w="0" w:type="dxa"/>
              <w:bottom w:w="0" w:type="dxa"/>
              <w:right w:w="0" w:type="dxa"/>
            </w:tcMar>
            <w:vAlign w:val="center"/>
          </w:tcPr>
          <w:p w14:paraId="7868E51D" w14:textId="43EE439B"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Deciles 1</w:t>
            </w:r>
            <w:r w:rsidR="006C10AE">
              <w:rPr>
                <w:rFonts w:eastAsia="Century Gothic" w:cs="Century Gothic"/>
                <w:color w:val="000000"/>
                <w:sz w:val="16"/>
                <w:szCs w:val="16"/>
              </w:rPr>
              <w:t>–</w:t>
            </w:r>
            <w:r w:rsidRPr="00AB21F7">
              <w:rPr>
                <w:rFonts w:eastAsia="Century Gothic" w:cs="Century Gothic"/>
                <w:color w:val="000000"/>
                <w:sz w:val="16"/>
                <w:szCs w:val="16"/>
              </w:rPr>
              <w:t>3 most disadvantaged</w:t>
            </w:r>
          </w:p>
        </w:tc>
        <w:tc>
          <w:tcPr>
            <w:tcW w:w="791" w:type="pct"/>
            <w:shd w:val="clear" w:color="auto" w:fill="FFFFFF"/>
            <w:tcMar>
              <w:top w:w="0" w:type="dxa"/>
              <w:left w:w="0" w:type="dxa"/>
              <w:bottom w:w="0" w:type="dxa"/>
              <w:right w:w="0" w:type="dxa"/>
            </w:tcMar>
            <w:vAlign w:val="center"/>
          </w:tcPr>
          <w:p w14:paraId="6B2A725C"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3,202 (41.3%)</w:t>
            </w:r>
          </w:p>
        </w:tc>
        <w:tc>
          <w:tcPr>
            <w:tcW w:w="634" w:type="pct"/>
            <w:shd w:val="clear" w:color="auto" w:fill="FFFFFF"/>
            <w:tcMar>
              <w:top w:w="0" w:type="dxa"/>
              <w:left w:w="0" w:type="dxa"/>
              <w:bottom w:w="0" w:type="dxa"/>
              <w:right w:w="0" w:type="dxa"/>
            </w:tcMar>
            <w:vAlign w:val="center"/>
          </w:tcPr>
          <w:p w14:paraId="567211C1"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44 (41.5%)</w:t>
            </w:r>
          </w:p>
        </w:tc>
        <w:tc>
          <w:tcPr>
            <w:tcW w:w="653" w:type="pct"/>
            <w:shd w:val="clear" w:color="auto" w:fill="FFFFFF"/>
            <w:tcMar>
              <w:top w:w="0" w:type="dxa"/>
              <w:left w:w="0" w:type="dxa"/>
              <w:bottom w:w="0" w:type="dxa"/>
              <w:right w:w="0" w:type="dxa"/>
            </w:tcMar>
            <w:vAlign w:val="center"/>
          </w:tcPr>
          <w:p w14:paraId="71200D53"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23 (39.0%)</w:t>
            </w:r>
          </w:p>
        </w:tc>
        <w:tc>
          <w:tcPr>
            <w:tcW w:w="664" w:type="pct"/>
            <w:shd w:val="clear" w:color="auto" w:fill="FFFFFF"/>
            <w:tcMar>
              <w:top w:w="0" w:type="dxa"/>
              <w:left w:w="0" w:type="dxa"/>
              <w:bottom w:w="0" w:type="dxa"/>
              <w:right w:w="0" w:type="dxa"/>
            </w:tcMar>
            <w:vAlign w:val="center"/>
          </w:tcPr>
          <w:p w14:paraId="75AC1EC9"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25 (40.3%)</w:t>
            </w:r>
          </w:p>
        </w:tc>
        <w:tc>
          <w:tcPr>
            <w:tcW w:w="714" w:type="pct"/>
            <w:shd w:val="clear" w:color="auto" w:fill="FFFFFF"/>
            <w:tcMar>
              <w:top w:w="0" w:type="dxa"/>
              <w:left w:w="0" w:type="dxa"/>
              <w:bottom w:w="0" w:type="dxa"/>
              <w:right w:w="0" w:type="dxa"/>
            </w:tcMar>
            <w:vAlign w:val="center"/>
          </w:tcPr>
          <w:p w14:paraId="67260C1D"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92 (40.5%)</w:t>
            </w:r>
          </w:p>
        </w:tc>
        <w:tc>
          <w:tcPr>
            <w:tcW w:w="614" w:type="pct"/>
            <w:shd w:val="clear" w:color="auto" w:fill="FFFFFF"/>
            <w:tcMar>
              <w:top w:w="0" w:type="dxa"/>
              <w:left w:w="0" w:type="dxa"/>
              <w:bottom w:w="0" w:type="dxa"/>
              <w:right w:w="0" w:type="dxa"/>
            </w:tcMar>
            <w:vAlign w:val="center"/>
          </w:tcPr>
          <w:p w14:paraId="39ABA18E"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52.2%</w:t>
            </w:r>
          </w:p>
        </w:tc>
      </w:tr>
      <w:tr w:rsidR="001A7A3C" w14:paraId="55585341" w14:textId="77777777" w:rsidTr="00F32301">
        <w:trPr>
          <w:cantSplit/>
          <w:jc w:val="center"/>
        </w:trPr>
        <w:tc>
          <w:tcPr>
            <w:tcW w:w="930" w:type="pct"/>
            <w:shd w:val="clear" w:color="auto" w:fill="FFFFFF"/>
            <w:tcMar>
              <w:top w:w="0" w:type="dxa"/>
              <w:left w:w="0" w:type="dxa"/>
              <w:bottom w:w="0" w:type="dxa"/>
              <w:right w:w="0" w:type="dxa"/>
            </w:tcMar>
            <w:vAlign w:val="center"/>
          </w:tcPr>
          <w:p w14:paraId="25AE1A43" w14:textId="0AD7F7B1"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Deciles 4</w:t>
            </w:r>
            <w:r w:rsidR="006C10AE">
              <w:rPr>
                <w:rFonts w:eastAsia="Century Gothic" w:cs="Century Gothic"/>
                <w:color w:val="000000"/>
                <w:sz w:val="16"/>
                <w:szCs w:val="16"/>
              </w:rPr>
              <w:t>–</w:t>
            </w:r>
            <w:r w:rsidRPr="00AB21F7">
              <w:rPr>
                <w:rFonts w:eastAsia="Century Gothic" w:cs="Century Gothic"/>
                <w:color w:val="000000"/>
                <w:sz w:val="16"/>
                <w:szCs w:val="16"/>
              </w:rPr>
              <w:t>7</w:t>
            </w:r>
          </w:p>
        </w:tc>
        <w:tc>
          <w:tcPr>
            <w:tcW w:w="791" w:type="pct"/>
            <w:shd w:val="clear" w:color="auto" w:fill="FFFFFF"/>
            <w:tcMar>
              <w:top w:w="0" w:type="dxa"/>
              <w:left w:w="0" w:type="dxa"/>
              <w:bottom w:w="0" w:type="dxa"/>
              <w:right w:w="0" w:type="dxa"/>
            </w:tcMar>
            <w:vAlign w:val="center"/>
          </w:tcPr>
          <w:p w14:paraId="23323763"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3,702 (47.7%)</w:t>
            </w:r>
          </w:p>
        </w:tc>
        <w:tc>
          <w:tcPr>
            <w:tcW w:w="634" w:type="pct"/>
            <w:shd w:val="clear" w:color="auto" w:fill="FFFFFF"/>
            <w:tcMar>
              <w:top w:w="0" w:type="dxa"/>
              <w:left w:w="0" w:type="dxa"/>
              <w:bottom w:w="0" w:type="dxa"/>
              <w:right w:w="0" w:type="dxa"/>
            </w:tcMar>
            <w:vAlign w:val="center"/>
          </w:tcPr>
          <w:p w14:paraId="58838989"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43 (40.6%)</w:t>
            </w:r>
          </w:p>
        </w:tc>
        <w:tc>
          <w:tcPr>
            <w:tcW w:w="653" w:type="pct"/>
            <w:shd w:val="clear" w:color="auto" w:fill="FFFFFF"/>
            <w:tcMar>
              <w:top w:w="0" w:type="dxa"/>
              <w:left w:w="0" w:type="dxa"/>
              <w:bottom w:w="0" w:type="dxa"/>
              <w:right w:w="0" w:type="dxa"/>
            </w:tcMar>
            <w:vAlign w:val="center"/>
          </w:tcPr>
          <w:p w14:paraId="49402BEE"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24 (40.7%)</w:t>
            </w:r>
          </w:p>
        </w:tc>
        <w:tc>
          <w:tcPr>
            <w:tcW w:w="664" w:type="pct"/>
            <w:shd w:val="clear" w:color="auto" w:fill="FFFFFF"/>
            <w:tcMar>
              <w:top w:w="0" w:type="dxa"/>
              <w:left w:w="0" w:type="dxa"/>
              <w:bottom w:w="0" w:type="dxa"/>
              <w:right w:w="0" w:type="dxa"/>
            </w:tcMar>
            <w:vAlign w:val="center"/>
          </w:tcPr>
          <w:p w14:paraId="3DE21729"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22 (35.5%)</w:t>
            </w:r>
          </w:p>
        </w:tc>
        <w:tc>
          <w:tcPr>
            <w:tcW w:w="714" w:type="pct"/>
            <w:shd w:val="clear" w:color="auto" w:fill="FFFFFF"/>
            <w:tcMar>
              <w:top w:w="0" w:type="dxa"/>
              <w:left w:w="0" w:type="dxa"/>
              <w:bottom w:w="0" w:type="dxa"/>
              <w:right w:w="0" w:type="dxa"/>
            </w:tcMar>
            <w:vAlign w:val="center"/>
          </w:tcPr>
          <w:p w14:paraId="259F6799"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89 (39.2%)</w:t>
            </w:r>
          </w:p>
        </w:tc>
        <w:tc>
          <w:tcPr>
            <w:tcW w:w="614" w:type="pct"/>
            <w:shd w:val="clear" w:color="auto" w:fill="FFFFFF"/>
            <w:tcMar>
              <w:top w:w="0" w:type="dxa"/>
              <w:left w:w="0" w:type="dxa"/>
              <w:bottom w:w="0" w:type="dxa"/>
              <w:right w:w="0" w:type="dxa"/>
            </w:tcMar>
            <w:vAlign w:val="center"/>
          </w:tcPr>
          <w:p w14:paraId="6F561B0A"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51.7%</w:t>
            </w:r>
          </w:p>
        </w:tc>
      </w:tr>
      <w:tr w:rsidR="001A7A3C" w14:paraId="29A8104D" w14:textId="77777777" w:rsidTr="00F32301">
        <w:trPr>
          <w:cantSplit/>
          <w:jc w:val="center"/>
        </w:trPr>
        <w:tc>
          <w:tcPr>
            <w:tcW w:w="930" w:type="pct"/>
            <w:shd w:val="clear" w:color="auto" w:fill="FFFFFF"/>
            <w:tcMar>
              <w:top w:w="0" w:type="dxa"/>
              <w:left w:w="0" w:type="dxa"/>
              <w:bottom w:w="0" w:type="dxa"/>
              <w:right w:w="0" w:type="dxa"/>
            </w:tcMar>
            <w:vAlign w:val="center"/>
          </w:tcPr>
          <w:p w14:paraId="387ED1EF" w14:textId="0687A218" w:rsidR="000663DE" w:rsidRPr="00AB21F7" w:rsidRDefault="000663DE" w:rsidP="005451A5">
            <w:pPr>
              <w:spacing w:before="40" w:after="40"/>
              <w:ind w:left="160" w:right="102"/>
              <w:rPr>
                <w:sz w:val="16"/>
                <w:szCs w:val="16"/>
              </w:rPr>
            </w:pPr>
            <w:r w:rsidRPr="00AB21F7">
              <w:rPr>
                <w:rFonts w:eastAsia="Century Gothic" w:cs="Century Gothic"/>
                <w:color w:val="000000"/>
                <w:sz w:val="16"/>
                <w:szCs w:val="16"/>
              </w:rPr>
              <w:t>Deciles 8</w:t>
            </w:r>
            <w:r w:rsidR="006C10AE">
              <w:rPr>
                <w:rFonts w:eastAsia="Century Gothic" w:cs="Century Gothic"/>
                <w:color w:val="000000"/>
                <w:sz w:val="16"/>
                <w:szCs w:val="16"/>
              </w:rPr>
              <w:t>–</w:t>
            </w:r>
            <w:r w:rsidRPr="00AB21F7">
              <w:rPr>
                <w:rFonts w:eastAsia="Century Gothic" w:cs="Century Gothic"/>
                <w:color w:val="000000"/>
                <w:sz w:val="16"/>
                <w:szCs w:val="16"/>
              </w:rPr>
              <w:t>10 least disadvantaged</w:t>
            </w:r>
          </w:p>
        </w:tc>
        <w:tc>
          <w:tcPr>
            <w:tcW w:w="791" w:type="pct"/>
            <w:shd w:val="clear" w:color="auto" w:fill="FFFFFF"/>
            <w:tcMar>
              <w:top w:w="0" w:type="dxa"/>
              <w:left w:w="0" w:type="dxa"/>
              <w:bottom w:w="0" w:type="dxa"/>
              <w:right w:w="0" w:type="dxa"/>
            </w:tcMar>
            <w:vAlign w:val="center"/>
          </w:tcPr>
          <w:p w14:paraId="7448982F"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850 (11.0%)</w:t>
            </w:r>
          </w:p>
        </w:tc>
        <w:tc>
          <w:tcPr>
            <w:tcW w:w="634" w:type="pct"/>
            <w:shd w:val="clear" w:color="auto" w:fill="FFFFFF"/>
            <w:tcMar>
              <w:top w:w="0" w:type="dxa"/>
              <w:left w:w="0" w:type="dxa"/>
              <w:bottom w:w="0" w:type="dxa"/>
              <w:right w:w="0" w:type="dxa"/>
            </w:tcMar>
            <w:vAlign w:val="center"/>
          </w:tcPr>
          <w:p w14:paraId="20034587"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19 (17.9%)</w:t>
            </w:r>
          </w:p>
        </w:tc>
        <w:tc>
          <w:tcPr>
            <w:tcW w:w="653" w:type="pct"/>
            <w:shd w:val="clear" w:color="auto" w:fill="FFFFFF"/>
            <w:tcMar>
              <w:top w:w="0" w:type="dxa"/>
              <w:left w:w="0" w:type="dxa"/>
              <w:bottom w:w="0" w:type="dxa"/>
              <w:right w:w="0" w:type="dxa"/>
            </w:tcMar>
            <w:vAlign w:val="center"/>
          </w:tcPr>
          <w:p w14:paraId="388F08A9"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12 (20.3%)</w:t>
            </w:r>
          </w:p>
        </w:tc>
        <w:tc>
          <w:tcPr>
            <w:tcW w:w="664" w:type="pct"/>
            <w:shd w:val="clear" w:color="auto" w:fill="FFFFFF"/>
            <w:tcMar>
              <w:top w:w="0" w:type="dxa"/>
              <w:left w:w="0" w:type="dxa"/>
              <w:bottom w:w="0" w:type="dxa"/>
              <w:right w:w="0" w:type="dxa"/>
            </w:tcMar>
            <w:vAlign w:val="center"/>
          </w:tcPr>
          <w:p w14:paraId="624C1335"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15 (24.2%)</w:t>
            </w:r>
          </w:p>
        </w:tc>
        <w:tc>
          <w:tcPr>
            <w:tcW w:w="714" w:type="pct"/>
            <w:shd w:val="clear" w:color="auto" w:fill="FFFFFF"/>
            <w:tcMar>
              <w:top w:w="0" w:type="dxa"/>
              <w:left w:w="0" w:type="dxa"/>
              <w:bottom w:w="0" w:type="dxa"/>
              <w:right w:w="0" w:type="dxa"/>
            </w:tcMar>
            <w:vAlign w:val="center"/>
          </w:tcPr>
          <w:p w14:paraId="1B89D3F7"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46 (20.3%)</w:t>
            </w:r>
          </w:p>
        </w:tc>
        <w:tc>
          <w:tcPr>
            <w:tcW w:w="614" w:type="pct"/>
            <w:shd w:val="clear" w:color="auto" w:fill="FFFFFF"/>
            <w:tcMar>
              <w:top w:w="0" w:type="dxa"/>
              <w:left w:w="0" w:type="dxa"/>
              <w:bottom w:w="0" w:type="dxa"/>
              <w:right w:w="0" w:type="dxa"/>
            </w:tcMar>
            <w:vAlign w:val="center"/>
          </w:tcPr>
          <w:p w14:paraId="119559F0" w14:textId="77777777" w:rsidR="000663DE" w:rsidRPr="00AB21F7" w:rsidRDefault="000663DE" w:rsidP="005451A5">
            <w:pPr>
              <w:spacing w:before="40" w:after="40"/>
              <w:ind w:left="160" w:right="102"/>
              <w:jc w:val="right"/>
              <w:rPr>
                <w:sz w:val="16"/>
                <w:szCs w:val="16"/>
              </w:rPr>
            </w:pPr>
            <w:r w:rsidRPr="00AB21F7">
              <w:rPr>
                <w:rFonts w:eastAsia="Century Gothic" w:cs="Century Gothic"/>
                <w:color w:val="000000"/>
                <w:sz w:val="16"/>
                <w:szCs w:val="16"/>
              </w:rPr>
              <w:t>58.7%</w:t>
            </w:r>
          </w:p>
        </w:tc>
      </w:tr>
    </w:tbl>
    <w:p w14:paraId="178F42A1" w14:textId="04E3C92C" w:rsidR="00844AEF" w:rsidRDefault="00135535" w:rsidP="00001D78">
      <w:pPr>
        <w:pStyle w:val="Chartortablefootnote"/>
        <w:spacing w:after="0"/>
      </w:pPr>
      <w:bookmarkStart w:id="43" w:name="_Hlk26969186"/>
      <w:bookmarkEnd w:id="41"/>
      <w:r w:rsidRPr="00C215D0">
        <w:lastRenderedPageBreak/>
        <w:t>Notes:</w:t>
      </w:r>
      <w:r w:rsidRPr="00C16A5A">
        <w:rPr>
          <w:vertAlign w:val="superscript"/>
        </w:rPr>
        <w:t xml:space="preserve"> </w:t>
      </w:r>
      <w:r>
        <w:rPr>
          <w:vertAlign w:val="superscript"/>
        </w:rPr>
        <w:t>1</w:t>
      </w:r>
      <w:r w:rsidR="0020562A">
        <w:rPr>
          <w:vertAlign w:val="superscript"/>
        </w:rPr>
        <w:t xml:space="preserve"> </w:t>
      </w:r>
      <w:r>
        <w:t>Does not include strata in dimension relating to r</w:t>
      </w:r>
      <w:r w:rsidRPr="00C16A5A">
        <w:t>ange of clinical</w:t>
      </w:r>
      <w:r>
        <w:t xml:space="preserve"> staff available at the practice;</w:t>
      </w:r>
      <w:r w:rsidR="0020562A">
        <w:t xml:space="preserve"> </w:t>
      </w:r>
      <w:r w:rsidR="0020562A" w:rsidRPr="0020562A">
        <w:rPr>
          <w:vertAlign w:val="superscript"/>
        </w:rPr>
        <w:t>2</w:t>
      </w:r>
      <w:r w:rsidR="0020562A">
        <w:t xml:space="preserve"> Large practice defined as </w:t>
      </w:r>
      <w:r w:rsidR="0020562A" w:rsidRPr="00B0150F">
        <w:t>8+ FTE GPs</w:t>
      </w:r>
      <w:r w:rsidR="00CF4BB2">
        <w:t>,</w:t>
      </w:r>
      <w:r w:rsidR="0020562A" w:rsidRPr="00B0150F">
        <w:t xml:space="preserve"> Medium practice defined as 5</w:t>
      </w:r>
      <w:r w:rsidR="0020562A">
        <w:t xml:space="preserve"> to</w:t>
      </w:r>
      <w:r w:rsidR="0020562A" w:rsidRPr="00B0150F">
        <w:t xml:space="preserve"> 8 FTE GPs</w:t>
      </w:r>
      <w:r w:rsidR="00CF4BB2">
        <w:t>,</w:t>
      </w:r>
      <w:r w:rsidR="0020562A" w:rsidRPr="00B0150F">
        <w:t xml:space="preserve"> Small practice defined as &lt;5 FTE GPs</w:t>
      </w:r>
      <w:r w:rsidR="0020562A">
        <w:t>;</w:t>
      </w:r>
      <w:r>
        <w:t xml:space="preserve"> </w:t>
      </w:r>
      <w:r w:rsidR="0020562A">
        <w:rPr>
          <w:vertAlign w:val="superscript"/>
        </w:rPr>
        <w:t xml:space="preserve">3 </w:t>
      </w:r>
      <w:r w:rsidRPr="00D633D2">
        <w:t>S</w:t>
      </w:r>
      <w:r>
        <w:t xml:space="preserve">ee footnote </w:t>
      </w:r>
      <w:r>
        <w:fldChar w:fldCharType="begin"/>
      </w:r>
      <w:r>
        <w:instrText xml:space="preserve"> NOTEREF _Ref528764370 \h </w:instrText>
      </w:r>
      <w:r>
        <w:fldChar w:fldCharType="separate"/>
      </w:r>
      <w:r w:rsidR="003C4BC2">
        <w:t>13</w:t>
      </w:r>
      <w:r>
        <w:fldChar w:fldCharType="end"/>
      </w:r>
      <w:r>
        <w:t xml:space="preserve">, p. </w:t>
      </w:r>
      <w:r w:rsidR="00744E21">
        <w:fldChar w:fldCharType="begin"/>
      </w:r>
      <w:r w:rsidR="00744E21">
        <w:instrText xml:space="preserve"> PAGEREF _Ref99107531 \h </w:instrText>
      </w:r>
      <w:r w:rsidR="00744E21">
        <w:fldChar w:fldCharType="separate"/>
      </w:r>
      <w:r w:rsidR="003C4BC2">
        <w:rPr>
          <w:noProof/>
        </w:rPr>
        <w:t>10</w:t>
      </w:r>
      <w:r w:rsidR="00744E21">
        <w:fldChar w:fldCharType="end"/>
      </w:r>
      <w:r w:rsidR="00BC0005">
        <w:t>;</w:t>
      </w:r>
      <w:r w:rsidR="00076EFC">
        <w:t xml:space="preserve"> </w:t>
      </w:r>
      <w:r w:rsidR="00076EFC" w:rsidRPr="00076EFC">
        <w:rPr>
          <w:vertAlign w:val="superscript"/>
        </w:rPr>
        <w:t>4</w:t>
      </w:r>
      <w:r w:rsidR="00076EFC">
        <w:rPr>
          <w:vertAlign w:val="superscript"/>
        </w:rPr>
        <w:t> </w:t>
      </w:r>
      <w:r w:rsidRPr="00C215D0">
        <w:t>MMM refe</w:t>
      </w:r>
      <w:r>
        <w:t xml:space="preserve">rs to the </w:t>
      </w:r>
      <w:bookmarkStart w:id="44" w:name="_Hlk22481616"/>
      <w:r>
        <w:t xml:space="preserve">Modified Monash Model </w:t>
      </w:r>
      <w:bookmarkEnd w:id="44"/>
      <w:r>
        <w:t xml:space="preserve">(see footnote </w:t>
      </w:r>
      <w:r>
        <w:fldChar w:fldCharType="begin"/>
      </w:r>
      <w:r>
        <w:instrText xml:space="preserve"> NOTEREF _Ref528318367 \h </w:instrText>
      </w:r>
      <w:r>
        <w:fldChar w:fldCharType="separate"/>
      </w:r>
      <w:r w:rsidR="003C4BC2">
        <w:t>14</w:t>
      </w:r>
      <w:r>
        <w:fldChar w:fldCharType="end"/>
      </w:r>
      <w:r>
        <w:t xml:space="preserve">, p. </w:t>
      </w:r>
      <w:r>
        <w:fldChar w:fldCharType="begin"/>
      </w:r>
      <w:r>
        <w:instrText xml:space="preserve"> PAGEREF _Ref529437982 \h </w:instrText>
      </w:r>
      <w:r>
        <w:fldChar w:fldCharType="separate"/>
      </w:r>
      <w:r w:rsidR="003C4BC2">
        <w:rPr>
          <w:noProof/>
        </w:rPr>
        <w:t>12</w:t>
      </w:r>
      <w:r>
        <w:fldChar w:fldCharType="end"/>
      </w:r>
      <w:r>
        <w:t>).</w:t>
      </w:r>
    </w:p>
    <w:p w14:paraId="4E2C41E2" w14:textId="6A20AF75" w:rsidR="00FC05C8" w:rsidRPr="00FC05C8" w:rsidRDefault="00FC05C8" w:rsidP="00FC05C8">
      <w:pPr>
        <w:pStyle w:val="Chartortablefootnote"/>
        <w:rPr>
          <w:szCs w:val="16"/>
        </w:rPr>
      </w:pPr>
      <w:r w:rsidRPr="00045B0A">
        <w:rPr>
          <w:szCs w:val="16"/>
        </w:rPr>
        <w:t xml:space="preserve">Source: </w:t>
      </w:r>
      <w:r w:rsidR="006738BD" w:rsidRPr="00B0150F">
        <w:t>Department of Health database of practices</w:t>
      </w:r>
      <w:r w:rsidR="0018281B">
        <w:t>, p</w:t>
      </w:r>
      <w:r w:rsidR="006738BD" w:rsidRPr="00B0150F">
        <w:t>ractice surveys</w:t>
      </w:r>
      <w:r w:rsidR="0018281B">
        <w:t xml:space="preserve"> and </w:t>
      </w:r>
      <w:r w:rsidR="0018281B">
        <w:rPr>
          <w:szCs w:val="16"/>
        </w:rPr>
        <w:t xml:space="preserve">Health Professional Online Services (HPOS) </w:t>
      </w:r>
      <w:r w:rsidR="0018281B">
        <w:t>data to 30 June 2021</w:t>
      </w:r>
      <w:r w:rsidR="0018281B" w:rsidRPr="000819FA">
        <w:t>.</w:t>
      </w:r>
    </w:p>
    <w:p w14:paraId="1DD35B4A" w14:textId="367335F6" w:rsidR="00135535" w:rsidRPr="00BF5C8A" w:rsidRDefault="00135535" w:rsidP="00BF5C8A">
      <w:pPr>
        <w:pStyle w:val="TableFigureheading"/>
        <w:rPr>
          <w:rStyle w:val="Strong1"/>
          <w:b w:val="0"/>
          <w:color w:val="1D2455"/>
          <w:sz w:val="20"/>
          <w:szCs w:val="16"/>
        </w:rPr>
      </w:pPr>
      <w:bookmarkStart w:id="45" w:name="_Ref51236661"/>
      <w:bookmarkEnd w:id="40"/>
      <w:bookmarkEnd w:id="42"/>
      <w:bookmarkEnd w:id="43"/>
      <w:r w:rsidRPr="00BF5C8A">
        <w:rPr>
          <w:rStyle w:val="Strong1"/>
          <w:b w:val="0"/>
          <w:color w:val="1D2455"/>
          <w:sz w:val="20"/>
          <w:szCs w:val="16"/>
        </w:rPr>
        <w:t xml:space="preserve">Table </w:t>
      </w:r>
      <w:r w:rsidRPr="006008EA">
        <w:rPr>
          <w:rStyle w:val="Strong1"/>
          <w:color w:val="1D2455"/>
          <w:sz w:val="20"/>
          <w:szCs w:val="16"/>
        </w:rPr>
        <w:fldChar w:fldCharType="begin"/>
      </w:r>
      <w:r w:rsidRPr="006008EA">
        <w:rPr>
          <w:rFonts w:cs="Arial"/>
          <w:color w:val="000000" w:themeColor="text1"/>
        </w:rPr>
        <w:instrText xml:space="preserve"> SEQ Table \* ARABIC </w:instrText>
      </w:r>
      <w:r w:rsidRPr="006008EA">
        <w:rPr>
          <w:rStyle w:val="Strong1"/>
          <w:color w:val="1D2455"/>
          <w:sz w:val="20"/>
          <w:szCs w:val="16"/>
        </w:rPr>
        <w:fldChar w:fldCharType="separate"/>
      </w:r>
      <w:r w:rsidR="003C4BC2">
        <w:rPr>
          <w:rFonts w:cs="Arial"/>
          <w:noProof/>
          <w:color w:val="000000" w:themeColor="text1"/>
        </w:rPr>
        <w:t>5</w:t>
      </w:r>
      <w:r w:rsidRPr="006008EA">
        <w:rPr>
          <w:rStyle w:val="Strong1"/>
          <w:color w:val="1D2455"/>
          <w:sz w:val="20"/>
          <w:szCs w:val="16"/>
        </w:rPr>
        <w:fldChar w:fldCharType="end"/>
      </w:r>
      <w:bookmarkEnd w:id="45"/>
      <w:r w:rsidR="00BF5C8A" w:rsidRPr="00BF5C8A">
        <w:rPr>
          <w:rStyle w:val="Strong1"/>
          <w:b w:val="0"/>
          <w:color w:val="1D2455"/>
          <w:sz w:val="20"/>
          <w:szCs w:val="16"/>
        </w:rPr>
        <w:t>:</w:t>
      </w:r>
      <w:r w:rsidRPr="00BF5C8A">
        <w:rPr>
          <w:rStyle w:val="Strong1"/>
          <w:b w:val="0"/>
          <w:color w:val="1D2455"/>
          <w:sz w:val="20"/>
          <w:szCs w:val="16"/>
        </w:rPr>
        <w:t xml:space="preserve"> Practice withdrawal status by </w:t>
      </w:r>
      <w:r w:rsidR="00D83FFF" w:rsidRPr="00BF5C8A">
        <w:rPr>
          <w:rStyle w:val="Strong1"/>
          <w:b w:val="0"/>
          <w:color w:val="1D2455"/>
          <w:sz w:val="20"/>
          <w:szCs w:val="16"/>
        </w:rPr>
        <w:t>maximum</w:t>
      </w:r>
      <w:r w:rsidRPr="00BF5C8A">
        <w:rPr>
          <w:rStyle w:val="Strong1"/>
          <w:b w:val="0"/>
          <w:color w:val="1D2455"/>
          <w:sz w:val="20"/>
          <w:szCs w:val="16"/>
        </w:rPr>
        <w:t xml:space="preserve"> number of patients enrolled</w:t>
      </w:r>
      <w:r w:rsidR="00D83FFF" w:rsidRPr="00BF5C8A">
        <w:rPr>
          <w:rStyle w:val="Strong1"/>
          <w:b w:val="0"/>
          <w:color w:val="1D2455"/>
          <w:sz w:val="20"/>
          <w:szCs w:val="16"/>
        </w:rPr>
        <w:t xml:space="preserve"> through</w:t>
      </w:r>
      <w:r w:rsidR="00B7037A">
        <w:rPr>
          <w:rStyle w:val="Strong1"/>
          <w:b w:val="0"/>
          <w:color w:val="1D2455"/>
          <w:sz w:val="20"/>
          <w:szCs w:val="16"/>
        </w:rPr>
        <w:t>out</w:t>
      </w:r>
      <w:r w:rsidR="00D83FFF" w:rsidRPr="00BF5C8A">
        <w:rPr>
          <w:rStyle w:val="Strong1"/>
          <w:b w:val="0"/>
          <w:color w:val="1D2455"/>
          <w:sz w:val="20"/>
          <w:szCs w:val="16"/>
        </w:rPr>
        <w:t xml:space="preserve"> trial</w:t>
      </w:r>
    </w:p>
    <w:tbl>
      <w:tblPr>
        <w:tblW w:w="0" w:type="auto"/>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1736"/>
        <w:gridCol w:w="1600"/>
        <w:gridCol w:w="1600"/>
      </w:tblGrid>
      <w:tr w:rsidR="00E355D9" w14:paraId="128A45F6" w14:textId="77777777" w:rsidTr="002D5790">
        <w:trPr>
          <w:cantSplit/>
          <w:tblHeader/>
          <w:jc w:val="center"/>
        </w:trPr>
        <w:tc>
          <w:tcPr>
            <w:tcW w:w="1736" w:type="dxa"/>
            <w:shd w:val="clear" w:color="auto" w:fill="408BCA"/>
            <w:tcMar>
              <w:top w:w="0" w:type="dxa"/>
              <w:left w:w="0" w:type="dxa"/>
              <w:bottom w:w="0" w:type="dxa"/>
              <w:right w:w="0" w:type="dxa"/>
            </w:tcMar>
            <w:vAlign w:val="center"/>
          </w:tcPr>
          <w:p w14:paraId="1E70637D" w14:textId="77777777" w:rsidR="008A7459" w:rsidRPr="00D83FFF" w:rsidRDefault="008A7459" w:rsidP="00D83FFF">
            <w:pPr>
              <w:spacing w:before="40" w:after="40"/>
              <w:ind w:left="100" w:right="102"/>
              <w:jc w:val="center"/>
              <w:rPr>
                <w:rFonts w:eastAsia="Century Gothic" w:cs="Century Gothic"/>
                <w:b/>
                <w:color w:val="FFFFFF"/>
                <w:sz w:val="16"/>
                <w:szCs w:val="16"/>
              </w:rPr>
            </w:pPr>
            <w:r w:rsidRPr="00D83FFF">
              <w:rPr>
                <w:rFonts w:eastAsia="Century Gothic" w:cs="Century Gothic"/>
                <w:b/>
                <w:color w:val="FFFFFF"/>
                <w:sz w:val="16"/>
                <w:szCs w:val="16"/>
              </w:rPr>
              <w:t>Maximum patients enrolled</w:t>
            </w:r>
          </w:p>
        </w:tc>
        <w:tc>
          <w:tcPr>
            <w:tcW w:w="1600" w:type="dxa"/>
            <w:shd w:val="clear" w:color="auto" w:fill="408BCA"/>
            <w:tcMar>
              <w:top w:w="0" w:type="dxa"/>
              <w:left w:w="0" w:type="dxa"/>
              <w:bottom w:w="0" w:type="dxa"/>
              <w:right w:w="0" w:type="dxa"/>
            </w:tcMar>
            <w:vAlign w:val="center"/>
          </w:tcPr>
          <w:p w14:paraId="65D9EDB7" w14:textId="77777777" w:rsidR="00B7037A" w:rsidRDefault="008A7459" w:rsidP="00D83FFF">
            <w:pPr>
              <w:spacing w:before="40" w:after="40"/>
              <w:ind w:left="100" w:right="102"/>
              <w:jc w:val="center"/>
              <w:rPr>
                <w:rFonts w:eastAsia="Century Gothic" w:cs="Century Gothic"/>
                <w:b/>
                <w:color w:val="FFFFFF"/>
                <w:sz w:val="16"/>
                <w:szCs w:val="16"/>
              </w:rPr>
            </w:pPr>
            <w:r w:rsidRPr="00D83FFF">
              <w:rPr>
                <w:rFonts w:eastAsia="Century Gothic" w:cs="Century Gothic"/>
                <w:b/>
                <w:color w:val="FFFFFF"/>
                <w:sz w:val="16"/>
                <w:szCs w:val="16"/>
              </w:rPr>
              <w:t>Active</w:t>
            </w:r>
            <w:r w:rsidR="00B7037A">
              <w:rPr>
                <w:rFonts w:eastAsia="Century Gothic" w:cs="Century Gothic"/>
                <w:b/>
                <w:color w:val="FFFFFF"/>
                <w:sz w:val="16"/>
                <w:szCs w:val="16"/>
              </w:rPr>
              <w:t xml:space="preserve"> practices</w:t>
            </w:r>
          </w:p>
          <w:p w14:paraId="58A5771E" w14:textId="74817040" w:rsidR="008A7459" w:rsidRPr="00D83FFF" w:rsidRDefault="00B7037A" w:rsidP="00D83FFF">
            <w:pPr>
              <w:spacing w:before="40" w:after="40"/>
              <w:ind w:left="100" w:right="102"/>
              <w:jc w:val="center"/>
              <w:rPr>
                <w:rFonts w:eastAsia="Century Gothic" w:cs="Century Gothic"/>
                <w:b/>
                <w:color w:val="FFFFFF"/>
                <w:sz w:val="16"/>
                <w:szCs w:val="16"/>
              </w:rPr>
            </w:pPr>
            <w:r>
              <w:rPr>
                <w:rFonts w:eastAsia="Century Gothic" w:cs="Century Gothic"/>
                <w:b/>
                <w:color w:val="FFFFFF"/>
                <w:sz w:val="16"/>
                <w:szCs w:val="16"/>
              </w:rPr>
              <w:t>n (%)</w:t>
            </w:r>
          </w:p>
        </w:tc>
        <w:tc>
          <w:tcPr>
            <w:tcW w:w="1600" w:type="dxa"/>
            <w:shd w:val="clear" w:color="auto" w:fill="408BCA"/>
            <w:tcMar>
              <w:top w:w="0" w:type="dxa"/>
              <w:left w:w="0" w:type="dxa"/>
              <w:bottom w:w="0" w:type="dxa"/>
              <w:right w:w="0" w:type="dxa"/>
            </w:tcMar>
            <w:vAlign w:val="center"/>
          </w:tcPr>
          <w:p w14:paraId="45BE89BE" w14:textId="77777777" w:rsidR="00B7037A" w:rsidRDefault="008A7459" w:rsidP="00D83FFF">
            <w:pPr>
              <w:spacing w:before="40" w:after="40"/>
              <w:ind w:left="100" w:right="102"/>
              <w:jc w:val="center"/>
              <w:rPr>
                <w:rFonts w:eastAsia="Century Gothic" w:cs="Century Gothic"/>
                <w:b/>
                <w:color w:val="FFFFFF"/>
                <w:sz w:val="16"/>
                <w:szCs w:val="16"/>
              </w:rPr>
            </w:pPr>
            <w:r w:rsidRPr="00D83FFF">
              <w:rPr>
                <w:rFonts w:eastAsia="Century Gothic" w:cs="Century Gothic"/>
                <w:b/>
                <w:color w:val="FFFFFF"/>
                <w:sz w:val="16"/>
                <w:szCs w:val="16"/>
              </w:rPr>
              <w:t>Withdrawn</w:t>
            </w:r>
            <w:r w:rsidR="00B7037A">
              <w:rPr>
                <w:rFonts w:eastAsia="Century Gothic" w:cs="Century Gothic"/>
                <w:b/>
                <w:color w:val="FFFFFF"/>
                <w:sz w:val="16"/>
                <w:szCs w:val="16"/>
              </w:rPr>
              <w:t xml:space="preserve"> practices</w:t>
            </w:r>
          </w:p>
          <w:p w14:paraId="5ED7A964" w14:textId="39B723DA" w:rsidR="008A7459" w:rsidRPr="00D83FFF" w:rsidRDefault="00B7037A" w:rsidP="00D83FFF">
            <w:pPr>
              <w:spacing w:before="40" w:after="40"/>
              <w:ind w:left="100" w:right="102"/>
              <w:jc w:val="center"/>
              <w:rPr>
                <w:rFonts w:eastAsia="Century Gothic" w:cs="Century Gothic"/>
                <w:b/>
                <w:color w:val="FFFFFF"/>
                <w:sz w:val="16"/>
                <w:szCs w:val="16"/>
              </w:rPr>
            </w:pPr>
            <w:r>
              <w:rPr>
                <w:rFonts w:eastAsia="Century Gothic" w:cs="Century Gothic"/>
                <w:b/>
                <w:color w:val="FFFFFF"/>
                <w:sz w:val="16"/>
                <w:szCs w:val="16"/>
              </w:rPr>
              <w:t>n (%)</w:t>
            </w:r>
          </w:p>
        </w:tc>
      </w:tr>
      <w:tr w:rsidR="00E355D9" w14:paraId="1E560EF1" w14:textId="77777777" w:rsidTr="002D5790">
        <w:trPr>
          <w:cantSplit/>
          <w:jc w:val="center"/>
        </w:trPr>
        <w:tc>
          <w:tcPr>
            <w:tcW w:w="1736" w:type="dxa"/>
            <w:shd w:val="clear" w:color="auto" w:fill="FFFFFF"/>
            <w:tcMar>
              <w:top w:w="0" w:type="dxa"/>
              <w:left w:w="0" w:type="dxa"/>
              <w:bottom w:w="0" w:type="dxa"/>
              <w:right w:w="0" w:type="dxa"/>
            </w:tcMar>
            <w:vAlign w:val="center"/>
          </w:tcPr>
          <w:p w14:paraId="5DAA9FAB" w14:textId="77777777" w:rsidR="008A7459" w:rsidRPr="00730112" w:rsidRDefault="008A7459" w:rsidP="00730112">
            <w:pPr>
              <w:spacing w:before="40" w:after="40"/>
              <w:ind w:left="102" w:right="102"/>
              <w:rPr>
                <w:sz w:val="16"/>
                <w:szCs w:val="16"/>
              </w:rPr>
            </w:pPr>
            <w:r w:rsidRPr="00730112">
              <w:rPr>
                <w:rFonts w:eastAsia="Century Gothic" w:cs="Century Gothic"/>
                <w:color w:val="000000"/>
                <w:sz w:val="16"/>
                <w:szCs w:val="16"/>
              </w:rPr>
              <w:t>0</w:t>
            </w:r>
          </w:p>
        </w:tc>
        <w:tc>
          <w:tcPr>
            <w:tcW w:w="1600" w:type="dxa"/>
            <w:shd w:val="clear" w:color="auto" w:fill="FFFFFF"/>
            <w:tcMar>
              <w:top w:w="0" w:type="dxa"/>
              <w:left w:w="0" w:type="dxa"/>
              <w:bottom w:w="0" w:type="dxa"/>
              <w:right w:w="0" w:type="dxa"/>
            </w:tcMar>
            <w:vAlign w:val="center"/>
          </w:tcPr>
          <w:p w14:paraId="75BC50E3"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0 (0.0%)</w:t>
            </w:r>
          </w:p>
        </w:tc>
        <w:tc>
          <w:tcPr>
            <w:tcW w:w="1600" w:type="dxa"/>
            <w:shd w:val="clear" w:color="auto" w:fill="FFFFFF"/>
            <w:tcMar>
              <w:top w:w="0" w:type="dxa"/>
              <w:left w:w="0" w:type="dxa"/>
              <w:bottom w:w="0" w:type="dxa"/>
              <w:right w:w="0" w:type="dxa"/>
            </w:tcMar>
            <w:vAlign w:val="center"/>
          </w:tcPr>
          <w:p w14:paraId="547818A3"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62 (51.2%)</w:t>
            </w:r>
          </w:p>
        </w:tc>
      </w:tr>
      <w:tr w:rsidR="00E355D9" w14:paraId="341A855B" w14:textId="77777777" w:rsidTr="002D5790">
        <w:trPr>
          <w:cantSplit/>
          <w:jc w:val="center"/>
        </w:trPr>
        <w:tc>
          <w:tcPr>
            <w:tcW w:w="1736" w:type="dxa"/>
            <w:shd w:val="clear" w:color="auto" w:fill="FFFFFF"/>
            <w:tcMar>
              <w:top w:w="0" w:type="dxa"/>
              <w:left w:w="0" w:type="dxa"/>
              <w:bottom w:w="0" w:type="dxa"/>
              <w:right w:w="0" w:type="dxa"/>
            </w:tcMar>
            <w:vAlign w:val="center"/>
          </w:tcPr>
          <w:p w14:paraId="6687F257" w14:textId="77777777" w:rsidR="008A7459" w:rsidRPr="00730112" w:rsidRDefault="008A7459" w:rsidP="00730112">
            <w:pPr>
              <w:spacing w:before="40" w:after="40"/>
              <w:ind w:left="102" w:right="102"/>
              <w:rPr>
                <w:sz w:val="16"/>
                <w:szCs w:val="16"/>
              </w:rPr>
            </w:pPr>
            <w:r w:rsidRPr="00730112">
              <w:rPr>
                <w:rFonts w:eastAsia="Century Gothic" w:cs="Century Gothic"/>
                <w:color w:val="000000"/>
                <w:sz w:val="16"/>
                <w:szCs w:val="16"/>
              </w:rPr>
              <w:t>1 to 4</w:t>
            </w:r>
          </w:p>
        </w:tc>
        <w:tc>
          <w:tcPr>
            <w:tcW w:w="1600" w:type="dxa"/>
            <w:shd w:val="clear" w:color="auto" w:fill="FFFFFF"/>
            <w:tcMar>
              <w:top w:w="0" w:type="dxa"/>
              <w:left w:w="0" w:type="dxa"/>
              <w:bottom w:w="0" w:type="dxa"/>
              <w:right w:w="0" w:type="dxa"/>
            </w:tcMar>
            <w:vAlign w:val="center"/>
          </w:tcPr>
          <w:p w14:paraId="0868D5B1"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4 (3.8%)</w:t>
            </w:r>
          </w:p>
        </w:tc>
        <w:tc>
          <w:tcPr>
            <w:tcW w:w="1600" w:type="dxa"/>
            <w:shd w:val="clear" w:color="auto" w:fill="FFFFFF"/>
            <w:tcMar>
              <w:top w:w="0" w:type="dxa"/>
              <w:left w:w="0" w:type="dxa"/>
              <w:bottom w:w="0" w:type="dxa"/>
              <w:right w:w="0" w:type="dxa"/>
            </w:tcMar>
            <w:vAlign w:val="center"/>
          </w:tcPr>
          <w:p w14:paraId="38DA91DC"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18 (14.9%)</w:t>
            </w:r>
          </w:p>
        </w:tc>
      </w:tr>
      <w:tr w:rsidR="00E355D9" w14:paraId="1C23293E" w14:textId="77777777" w:rsidTr="002D5790">
        <w:trPr>
          <w:cantSplit/>
          <w:jc w:val="center"/>
        </w:trPr>
        <w:tc>
          <w:tcPr>
            <w:tcW w:w="1736" w:type="dxa"/>
            <w:shd w:val="clear" w:color="auto" w:fill="FFFFFF"/>
            <w:tcMar>
              <w:top w:w="0" w:type="dxa"/>
              <w:left w:w="0" w:type="dxa"/>
              <w:bottom w:w="0" w:type="dxa"/>
              <w:right w:w="0" w:type="dxa"/>
            </w:tcMar>
            <w:vAlign w:val="center"/>
          </w:tcPr>
          <w:p w14:paraId="787AC521" w14:textId="77777777" w:rsidR="008A7459" w:rsidRPr="00730112" w:rsidRDefault="008A7459" w:rsidP="00730112">
            <w:pPr>
              <w:spacing w:before="40" w:after="40"/>
              <w:ind w:left="102" w:right="102"/>
              <w:rPr>
                <w:sz w:val="16"/>
                <w:szCs w:val="16"/>
              </w:rPr>
            </w:pPr>
            <w:r w:rsidRPr="00730112">
              <w:rPr>
                <w:rFonts w:eastAsia="Century Gothic" w:cs="Century Gothic"/>
                <w:color w:val="000000"/>
                <w:sz w:val="16"/>
                <w:szCs w:val="16"/>
              </w:rPr>
              <w:t>5 to 9</w:t>
            </w:r>
          </w:p>
        </w:tc>
        <w:tc>
          <w:tcPr>
            <w:tcW w:w="1600" w:type="dxa"/>
            <w:shd w:val="clear" w:color="auto" w:fill="FFFFFF"/>
            <w:tcMar>
              <w:top w:w="0" w:type="dxa"/>
              <w:left w:w="0" w:type="dxa"/>
              <w:bottom w:w="0" w:type="dxa"/>
              <w:right w:w="0" w:type="dxa"/>
            </w:tcMar>
            <w:vAlign w:val="center"/>
          </w:tcPr>
          <w:p w14:paraId="18E9715C"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3 (2.8%)</w:t>
            </w:r>
          </w:p>
        </w:tc>
        <w:tc>
          <w:tcPr>
            <w:tcW w:w="1600" w:type="dxa"/>
            <w:shd w:val="clear" w:color="auto" w:fill="FFFFFF"/>
            <w:tcMar>
              <w:top w:w="0" w:type="dxa"/>
              <w:left w:w="0" w:type="dxa"/>
              <w:bottom w:w="0" w:type="dxa"/>
              <w:right w:w="0" w:type="dxa"/>
            </w:tcMar>
            <w:vAlign w:val="center"/>
          </w:tcPr>
          <w:p w14:paraId="4EAE9F54"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8 (6.6%)</w:t>
            </w:r>
          </w:p>
        </w:tc>
      </w:tr>
      <w:tr w:rsidR="00E355D9" w14:paraId="64C9462D" w14:textId="77777777" w:rsidTr="002D5790">
        <w:trPr>
          <w:cantSplit/>
          <w:jc w:val="center"/>
        </w:trPr>
        <w:tc>
          <w:tcPr>
            <w:tcW w:w="1736" w:type="dxa"/>
            <w:shd w:val="clear" w:color="auto" w:fill="FFFFFF"/>
            <w:tcMar>
              <w:top w:w="0" w:type="dxa"/>
              <w:left w:w="0" w:type="dxa"/>
              <w:bottom w:w="0" w:type="dxa"/>
              <w:right w:w="0" w:type="dxa"/>
            </w:tcMar>
            <w:vAlign w:val="center"/>
          </w:tcPr>
          <w:p w14:paraId="0BF1ED31" w14:textId="77777777" w:rsidR="008A7459" w:rsidRPr="00730112" w:rsidRDefault="008A7459" w:rsidP="00730112">
            <w:pPr>
              <w:spacing w:before="40" w:after="40"/>
              <w:ind w:left="102" w:right="102"/>
              <w:rPr>
                <w:sz w:val="16"/>
                <w:szCs w:val="16"/>
              </w:rPr>
            </w:pPr>
            <w:r w:rsidRPr="00730112">
              <w:rPr>
                <w:rFonts w:eastAsia="Century Gothic" w:cs="Century Gothic"/>
                <w:color w:val="000000"/>
                <w:sz w:val="16"/>
                <w:szCs w:val="16"/>
              </w:rPr>
              <w:t>10 to 19</w:t>
            </w:r>
          </w:p>
        </w:tc>
        <w:tc>
          <w:tcPr>
            <w:tcW w:w="1600" w:type="dxa"/>
            <w:shd w:val="clear" w:color="auto" w:fill="FFFFFF"/>
            <w:tcMar>
              <w:top w:w="0" w:type="dxa"/>
              <w:left w:w="0" w:type="dxa"/>
              <w:bottom w:w="0" w:type="dxa"/>
              <w:right w:w="0" w:type="dxa"/>
            </w:tcMar>
            <w:vAlign w:val="center"/>
          </w:tcPr>
          <w:p w14:paraId="5B253715"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15 (14.2%)</w:t>
            </w:r>
          </w:p>
        </w:tc>
        <w:tc>
          <w:tcPr>
            <w:tcW w:w="1600" w:type="dxa"/>
            <w:shd w:val="clear" w:color="auto" w:fill="FFFFFF"/>
            <w:tcMar>
              <w:top w:w="0" w:type="dxa"/>
              <w:left w:w="0" w:type="dxa"/>
              <w:bottom w:w="0" w:type="dxa"/>
              <w:right w:w="0" w:type="dxa"/>
            </w:tcMar>
            <w:vAlign w:val="center"/>
          </w:tcPr>
          <w:p w14:paraId="3DBF0901"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10 (8.3%)</w:t>
            </w:r>
          </w:p>
        </w:tc>
      </w:tr>
      <w:tr w:rsidR="00E355D9" w14:paraId="5A28A9F2" w14:textId="77777777" w:rsidTr="002D5790">
        <w:trPr>
          <w:cantSplit/>
          <w:jc w:val="center"/>
        </w:trPr>
        <w:tc>
          <w:tcPr>
            <w:tcW w:w="1736" w:type="dxa"/>
            <w:shd w:val="clear" w:color="auto" w:fill="FFFFFF"/>
            <w:tcMar>
              <w:top w:w="0" w:type="dxa"/>
              <w:left w:w="0" w:type="dxa"/>
              <w:bottom w:w="0" w:type="dxa"/>
              <w:right w:w="0" w:type="dxa"/>
            </w:tcMar>
            <w:vAlign w:val="center"/>
          </w:tcPr>
          <w:p w14:paraId="18960BE2" w14:textId="77777777" w:rsidR="008A7459" w:rsidRPr="00730112" w:rsidRDefault="008A7459" w:rsidP="00730112">
            <w:pPr>
              <w:spacing w:before="40" w:after="40"/>
              <w:ind w:left="102" w:right="102"/>
              <w:rPr>
                <w:sz w:val="16"/>
                <w:szCs w:val="16"/>
              </w:rPr>
            </w:pPr>
            <w:r w:rsidRPr="00730112">
              <w:rPr>
                <w:rFonts w:eastAsia="Century Gothic" w:cs="Century Gothic"/>
                <w:color w:val="000000"/>
                <w:sz w:val="16"/>
                <w:szCs w:val="16"/>
              </w:rPr>
              <w:t>20 to 49</w:t>
            </w:r>
          </w:p>
        </w:tc>
        <w:tc>
          <w:tcPr>
            <w:tcW w:w="1600" w:type="dxa"/>
            <w:shd w:val="clear" w:color="auto" w:fill="FFFFFF"/>
            <w:tcMar>
              <w:top w:w="0" w:type="dxa"/>
              <w:left w:w="0" w:type="dxa"/>
              <w:bottom w:w="0" w:type="dxa"/>
              <w:right w:w="0" w:type="dxa"/>
            </w:tcMar>
            <w:vAlign w:val="center"/>
          </w:tcPr>
          <w:p w14:paraId="4F52A748"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28 (26.4%)</w:t>
            </w:r>
          </w:p>
        </w:tc>
        <w:tc>
          <w:tcPr>
            <w:tcW w:w="1600" w:type="dxa"/>
            <w:shd w:val="clear" w:color="auto" w:fill="FFFFFF"/>
            <w:tcMar>
              <w:top w:w="0" w:type="dxa"/>
              <w:left w:w="0" w:type="dxa"/>
              <w:bottom w:w="0" w:type="dxa"/>
              <w:right w:w="0" w:type="dxa"/>
            </w:tcMar>
            <w:vAlign w:val="center"/>
          </w:tcPr>
          <w:p w14:paraId="30E84841"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14 (11.6%)</w:t>
            </w:r>
          </w:p>
        </w:tc>
      </w:tr>
      <w:tr w:rsidR="00E355D9" w14:paraId="3ACED580" w14:textId="77777777" w:rsidTr="002D5790">
        <w:trPr>
          <w:cantSplit/>
          <w:jc w:val="center"/>
        </w:trPr>
        <w:tc>
          <w:tcPr>
            <w:tcW w:w="1736" w:type="dxa"/>
            <w:shd w:val="clear" w:color="auto" w:fill="FFFFFF"/>
            <w:tcMar>
              <w:top w:w="0" w:type="dxa"/>
              <w:left w:w="0" w:type="dxa"/>
              <w:bottom w:w="0" w:type="dxa"/>
              <w:right w:w="0" w:type="dxa"/>
            </w:tcMar>
            <w:vAlign w:val="center"/>
          </w:tcPr>
          <w:p w14:paraId="650C9BED" w14:textId="77777777" w:rsidR="008A7459" w:rsidRPr="00730112" w:rsidRDefault="008A7459" w:rsidP="00730112">
            <w:pPr>
              <w:spacing w:before="40" w:after="40"/>
              <w:ind w:left="102" w:right="102"/>
              <w:rPr>
                <w:sz w:val="16"/>
                <w:szCs w:val="16"/>
              </w:rPr>
            </w:pPr>
            <w:r w:rsidRPr="00730112">
              <w:rPr>
                <w:rFonts w:eastAsia="Century Gothic" w:cs="Century Gothic"/>
                <w:color w:val="000000"/>
                <w:sz w:val="16"/>
                <w:szCs w:val="16"/>
              </w:rPr>
              <w:t>50+</w:t>
            </w:r>
          </w:p>
        </w:tc>
        <w:tc>
          <w:tcPr>
            <w:tcW w:w="1600" w:type="dxa"/>
            <w:shd w:val="clear" w:color="auto" w:fill="FFFFFF"/>
            <w:tcMar>
              <w:top w:w="0" w:type="dxa"/>
              <w:left w:w="0" w:type="dxa"/>
              <w:bottom w:w="0" w:type="dxa"/>
              <w:right w:w="0" w:type="dxa"/>
            </w:tcMar>
            <w:vAlign w:val="center"/>
          </w:tcPr>
          <w:p w14:paraId="2FC6CC55"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56 (52.8%)</w:t>
            </w:r>
          </w:p>
        </w:tc>
        <w:tc>
          <w:tcPr>
            <w:tcW w:w="1600" w:type="dxa"/>
            <w:shd w:val="clear" w:color="auto" w:fill="FFFFFF"/>
            <w:tcMar>
              <w:top w:w="0" w:type="dxa"/>
              <w:left w:w="0" w:type="dxa"/>
              <w:bottom w:w="0" w:type="dxa"/>
              <w:right w:w="0" w:type="dxa"/>
            </w:tcMar>
            <w:vAlign w:val="center"/>
          </w:tcPr>
          <w:p w14:paraId="7899AEAB"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9 (7.4%)</w:t>
            </w:r>
          </w:p>
        </w:tc>
      </w:tr>
      <w:tr w:rsidR="00E355D9" w14:paraId="4E636C67" w14:textId="77777777" w:rsidTr="002D5790">
        <w:trPr>
          <w:cantSplit/>
          <w:jc w:val="center"/>
        </w:trPr>
        <w:tc>
          <w:tcPr>
            <w:tcW w:w="1736" w:type="dxa"/>
            <w:shd w:val="clear" w:color="auto" w:fill="FFFFFF"/>
            <w:tcMar>
              <w:top w:w="0" w:type="dxa"/>
              <w:left w:w="0" w:type="dxa"/>
              <w:bottom w:w="0" w:type="dxa"/>
              <w:right w:w="0" w:type="dxa"/>
            </w:tcMar>
            <w:vAlign w:val="center"/>
          </w:tcPr>
          <w:p w14:paraId="2BE16140" w14:textId="77777777" w:rsidR="008A7459" w:rsidRPr="00280C51" w:rsidRDefault="008A7459" w:rsidP="00730112">
            <w:pPr>
              <w:spacing w:before="40" w:after="40"/>
              <w:ind w:left="102" w:right="102"/>
              <w:rPr>
                <w:b/>
                <w:sz w:val="16"/>
                <w:szCs w:val="16"/>
              </w:rPr>
            </w:pPr>
            <w:r w:rsidRPr="00280C51">
              <w:rPr>
                <w:rFonts w:eastAsia="Century Gothic" w:cs="Century Gothic"/>
                <w:b/>
                <w:color w:val="000000"/>
                <w:sz w:val="16"/>
                <w:szCs w:val="16"/>
              </w:rPr>
              <w:t>Total</w:t>
            </w:r>
          </w:p>
        </w:tc>
        <w:tc>
          <w:tcPr>
            <w:tcW w:w="1600" w:type="dxa"/>
            <w:shd w:val="clear" w:color="auto" w:fill="FFFFFF"/>
            <w:tcMar>
              <w:top w:w="0" w:type="dxa"/>
              <w:left w:w="0" w:type="dxa"/>
              <w:bottom w:w="0" w:type="dxa"/>
              <w:right w:w="0" w:type="dxa"/>
            </w:tcMar>
            <w:vAlign w:val="center"/>
          </w:tcPr>
          <w:p w14:paraId="005C8E40" w14:textId="77777777" w:rsidR="008A7459" w:rsidRPr="00280C51" w:rsidRDefault="008A7459" w:rsidP="00730112">
            <w:pPr>
              <w:spacing w:before="40" w:after="40"/>
              <w:ind w:left="102" w:right="102"/>
              <w:jc w:val="right"/>
              <w:rPr>
                <w:b/>
                <w:sz w:val="16"/>
                <w:szCs w:val="16"/>
              </w:rPr>
            </w:pPr>
            <w:r w:rsidRPr="00280C51">
              <w:rPr>
                <w:rFonts w:eastAsia="Century Gothic" w:cs="Century Gothic"/>
                <w:b/>
                <w:color w:val="000000"/>
                <w:sz w:val="16"/>
                <w:szCs w:val="16"/>
              </w:rPr>
              <w:t>106 (100.0%)</w:t>
            </w:r>
          </w:p>
        </w:tc>
        <w:tc>
          <w:tcPr>
            <w:tcW w:w="1600" w:type="dxa"/>
            <w:shd w:val="clear" w:color="auto" w:fill="FFFFFF"/>
            <w:tcMar>
              <w:top w:w="0" w:type="dxa"/>
              <w:left w:w="0" w:type="dxa"/>
              <w:bottom w:w="0" w:type="dxa"/>
              <w:right w:w="0" w:type="dxa"/>
            </w:tcMar>
            <w:vAlign w:val="center"/>
          </w:tcPr>
          <w:p w14:paraId="79C9D0FD" w14:textId="77777777" w:rsidR="008A7459" w:rsidRPr="00280C51" w:rsidRDefault="008A7459" w:rsidP="00730112">
            <w:pPr>
              <w:spacing w:before="40" w:after="40"/>
              <w:ind w:left="102" w:right="102"/>
              <w:jc w:val="right"/>
              <w:rPr>
                <w:b/>
                <w:sz w:val="16"/>
                <w:szCs w:val="16"/>
              </w:rPr>
            </w:pPr>
            <w:r w:rsidRPr="00280C51">
              <w:rPr>
                <w:rFonts w:eastAsia="Century Gothic" w:cs="Century Gothic"/>
                <w:b/>
                <w:color w:val="000000"/>
                <w:sz w:val="16"/>
                <w:szCs w:val="16"/>
              </w:rPr>
              <w:t>121 (100.0%)</w:t>
            </w:r>
          </w:p>
        </w:tc>
      </w:tr>
      <w:tr w:rsidR="00E355D9" w14:paraId="6C0EDDC7" w14:textId="77777777" w:rsidTr="002D5790">
        <w:trPr>
          <w:cantSplit/>
          <w:jc w:val="center"/>
        </w:trPr>
        <w:tc>
          <w:tcPr>
            <w:tcW w:w="1736" w:type="dxa"/>
            <w:shd w:val="clear" w:color="auto" w:fill="FFFFFF"/>
            <w:tcMar>
              <w:top w:w="0" w:type="dxa"/>
              <w:left w:w="0" w:type="dxa"/>
              <w:bottom w:w="0" w:type="dxa"/>
              <w:right w:w="0" w:type="dxa"/>
            </w:tcMar>
            <w:vAlign w:val="center"/>
          </w:tcPr>
          <w:p w14:paraId="57428242" w14:textId="544BE640" w:rsidR="008A7459" w:rsidRPr="00730112" w:rsidRDefault="00D83FFF" w:rsidP="00730112">
            <w:pPr>
              <w:spacing w:before="40" w:after="40"/>
              <w:ind w:left="102" w:right="102"/>
              <w:rPr>
                <w:sz w:val="16"/>
                <w:szCs w:val="16"/>
              </w:rPr>
            </w:pPr>
            <w:r w:rsidRPr="00730112">
              <w:rPr>
                <w:sz w:val="16"/>
                <w:szCs w:val="16"/>
              </w:rPr>
              <w:t>Mean per practice</w:t>
            </w:r>
          </w:p>
        </w:tc>
        <w:tc>
          <w:tcPr>
            <w:tcW w:w="1600" w:type="dxa"/>
            <w:shd w:val="clear" w:color="auto" w:fill="FFFFFF"/>
            <w:tcMar>
              <w:top w:w="0" w:type="dxa"/>
              <w:left w:w="0" w:type="dxa"/>
              <w:bottom w:w="0" w:type="dxa"/>
              <w:right w:w="0" w:type="dxa"/>
            </w:tcMar>
            <w:vAlign w:val="center"/>
          </w:tcPr>
          <w:p w14:paraId="2D8C0BD3"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88.6</w:t>
            </w:r>
          </w:p>
        </w:tc>
        <w:tc>
          <w:tcPr>
            <w:tcW w:w="1600" w:type="dxa"/>
            <w:shd w:val="clear" w:color="auto" w:fill="FFFFFF"/>
            <w:tcMar>
              <w:top w:w="0" w:type="dxa"/>
              <w:left w:w="0" w:type="dxa"/>
              <w:bottom w:w="0" w:type="dxa"/>
              <w:right w:w="0" w:type="dxa"/>
            </w:tcMar>
            <w:vAlign w:val="center"/>
          </w:tcPr>
          <w:p w14:paraId="70AE5C11" w14:textId="77777777" w:rsidR="008A7459" w:rsidRPr="00730112" w:rsidRDefault="008A7459" w:rsidP="00730112">
            <w:pPr>
              <w:spacing w:before="40" w:after="40"/>
              <w:ind w:left="102" w:right="102"/>
              <w:jc w:val="right"/>
              <w:rPr>
                <w:sz w:val="16"/>
                <w:szCs w:val="16"/>
              </w:rPr>
            </w:pPr>
            <w:r w:rsidRPr="00730112">
              <w:rPr>
                <w:rFonts w:eastAsia="Century Gothic" w:cs="Century Gothic"/>
                <w:color w:val="000000"/>
                <w:sz w:val="16"/>
                <w:szCs w:val="16"/>
              </w:rPr>
              <w:t>13.7</w:t>
            </w:r>
          </w:p>
        </w:tc>
      </w:tr>
    </w:tbl>
    <w:p w14:paraId="249704E8" w14:textId="144B467C" w:rsidR="00135535" w:rsidRPr="003F059E" w:rsidRDefault="00135535" w:rsidP="00135535">
      <w:pPr>
        <w:pStyle w:val="Chartortablefootnote"/>
      </w:pPr>
      <w:r w:rsidRPr="003F059E">
        <w:t xml:space="preserve">Source: </w:t>
      </w:r>
      <w:r w:rsidR="00001DEB">
        <w:rPr>
          <w:szCs w:val="16"/>
        </w:rPr>
        <w:t xml:space="preserve">Health Professional Online </w:t>
      </w:r>
      <w:r>
        <w:rPr>
          <w:szCs w:val="16"/>
        </w:rPr>
        <w:t xml:space="preserve">Services </w:t>
      </w:r>
      <w:r w:rsidR="00001DEB">
        <w:rPr>
          <w:szCs w:val="16"/>
        </w:rPr>
        <w:t>(HPOS)</w:t>
      </w:r>
      <w:r>
        <w:rPr>
          <w:szCs w:val="16"/>
        </w:rPr>
        <w:t xml:space="preserve"> </w:t>
      </w:r>
      <w:r w:rsidRPr="003F059E">
        <w:t xml:space="preserve">data </w:t>
      </w:r>
      <w:r w:rsidR="00B32DC8">
        <w:t>to</w:t>
      </w:r>
      <w:r w:rsidR="003253AE">
        <w:t xml:space="preserve"> </w:t>
      </w:r>
      <w:r w:rsidRPr="003F059E">
        <w:t>30 June 202</w:t>
      </w:r>
      <w:r w:rsidR="00056456">
        <w:t>1</w:t>
      </w:r>
      <w:r w:rsidR="00001DEB" w:rsidRPr="000819FA">
        <w:t>.</w:t>
      </w:r>
    </w:p>
    <w:p w14:paraId="66492827" w14:textId="79C2E9EC" w:rsidR="00AC5629" w:rsidRPr="00C76A5E" w:rsidRDefault="00AC5629" w:rsidP="00AC5629">
      <w:pPr>
        <w:pStyle w:val="TableFigureheading"/>
        <w:rPr>
          <w:rStyle w:val="Strong1"/>
          <w:b w:val="0"/>
          <w:bCs w:val="0"/>
          <w:color w:val="1D2455"/>
          <w:sz w:val="20"/>
          <w:szCs w:val="16"/>
        </w:rPr>
      </w:pPr>
      <w:bookmarkStart w:id="46" w:name="_Ref95830515"/>
      <w:r w:rsidRPr="00C76A5E">
        <w:rPr>
          <w:rStyle w:val="Strong1"/>
          <w:b w:val="0"/>
          <w:bCs w:val="0"/>
          <w:color w:val="1D2455"/>
          <w:sz w:val="20"/>
          <w:szCs w:val="16"/>
        </w:rPr>
        <w:t xml:space="preserve">Figure </w:t>
      </w:r>
      <w:r w:rsidRPr="00C76A5E">
        <w:rPr>
          <w:rStyle w:val="Strong1"/>
          <w:b w:val="0"/>
          <w:bCs w:val="0"/>
          <w:color w:val="1D2455"/>
          <w:sz w:val="20"/>
          <w:szCs w:val="16"/>
        </w:rPr>
        <w:fldChar w:fldCharType="begin"/>
      </w:r>
      <w:r w:rsidRPr="00C76A5E">
        <w:rPr>
          <w:rStyle w:val="Strong1"/>
          <w:b w:val="0"/>
          <w:bCs w:val="0"/>
          <w:color w:val="1D2455"/>
          <w:sz w:val="20"/>
          <w:szCs w:val="16"/>
        </w:rPr>
        <w:instrText xml:space="preserve"> SEQ Figure \* ARABIC </w:instrText>
      </w:r>
      <w:r w:rsidRPr="00C76A5E">
        <w:rPr>
          <w:rStyle w:val="Strong1"/>
          <w:b w:val="0"/>
          <w:bCs w:val="0"/>
          <w:color w:val="1D2455"/>
          <w:sz w:val="20"/>
          <w:szCs w:val="16"/>
        </w:rPr>
        <w:fldChar w:fldCharType="separate"/>
      </w:r>
      <w:r w:rsidR="003C4BC2">
        <w:rPr>
          <w:rStyle w:val="Strong1"/>
          <w:b w:val="0"/>
          <w:bCs w:val="0"/>
          <w:noProof/>
          <w:color w:val="1D2455"/>
          <w:sz w:val="20"/>
          <w:szCs w:val="16"/>
        </w:rPr>
        <w:t>3</w:t>
      </w:r>
      <w:r w:rsidRPr="00C76A5E">
        <w:rPr>
          <w:rStyle w:val="Strong1"/>
          <w:b w:val="0"/>
          <w:bCs w:val="0"/>
          <w:color w:val="1D2455"/>
          <w:sz w:val="20"/>
          <w:szCs w:val="16"/>
        </w:rPr>
        <w:fldChar w:fldCharType="end"/>
      </w:r>
      <w:bookmarkEnd w:id="46"/>
      <w:r w:rsidRPr="00C76A5E">
        <w:rPr>
          <w:rStyle w:val="Strong1"/>
          <w:b w:val="0"/>
          <w:bCs w:val="0"/>
          <w:color w:val="1D2455"/>
          <w:sz w:val="20"/>
          <w:szCs w:val="16"/>
        </w:rPr>
        <w:t xml:space="preserve">: </w:t>
      </w:r>
      <w:r w:rsidR="000F2C52">
        <w:rPr>
          <w:rStyle w:val="Strong1"/>
          <w:b w:val="0"/>
          <w:bCs w:val="0"/>
          <w:color w:val="1D2455"/>
          <w:sz w:val="20"/>
          <w:szCs w:val="16"/>
        </w:rPr>
        <w:t>Active practice</w:t>
      </w:r>
      <w:r w:rsidR="00372A16">
        <w:rPr>
          <w:rStyle w:val="Strong1"/>
          <w:b w:val="0"/>
          <w:bCs w:val="0"/>
          <w:color w:val="1D2455"/>
          <w:sz w:val="20"/>
          <w:szCs w:val="16"/>
        </w:rPr>
        <w:t>s and mean patient</w:t>
      </w:r>
      <w:r w:rsidR="005975C2">
        <w:rPr>
          <w:rStyle w:val="Strong1"/>
          <w:b w:val="0"/>
          <w:bCs w:val="0"/>
          <w:color w:val="1D2455"/>
          <w:sz w:val="20"/>
          <w:szCs w:val="16"/>
        </w:rPr>
        <w:t>s per active practice</w:t>
      </w:r>
      <w:r w:rsidR="00EF03BD">
        <w:rPr>
          <w:rStyle w:val="Strong1"/>
          <w:b w:val="0"/>
          <w:bCs w:val="0"/>
          <w:color w:val="1D2455"/>
          <w:sz w:val="20"/>
          <w:szCs w:val="16"/>
        </w:rPr>
        <w:t>,</w:t>
      </w:r>
      <w:r w:rsidR="005975C2">
        <w:rPr>
          <w:rStyle w:val="Strong1"/>
          <w:b w:val="0"/>
          <w:bCs w:val="0"/>
          <w:color w:val="1D2455"/>
          <w:sz w:val="20"/>
          <w:szCs w:val="16"/>
        </w:rPr>
        <w:t xml:space="preserve"> January 2018 to June 2021</w:t>
      </w:r>
    </w:p>
    <w:p w14:paraId="43E14EF9" w14:textId="4D66F170" w:rsidR="00815EA5" w:rsidRDefault="000F2C52" w:rsidP="00984405">
      <w:pPr>
        <w:spacing w:after="0"/>
        <w:jc w:val="center"/>
      </w:pPr>
      <w:r>
        <w:rPr>
          <w:noProof/>
        </w:rPr>
        <w:drawing>
          <wp:inline distT="0" distB="0" distL="0" distR="0" wp14:anchorId="6F847D7D" wp14:editId="30DD2E50">
            <wp:extent cx="4968000" cy="3773773"/>
            <wp:effectExtent l="0" t="0" r="0" b="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968000" cy="3773773"/>
                    </a:xfrm>
                    <a:prstGeom prst="rect">
                      <a:avLst/>
                    </a:prstGeom>
                    <a:noFill/>
                    <a:ln>
                      <a:noFill/>
                    </a:ln>
                  </pic:spPr>
                </pic:pic>
              </a:graphicData>
            </a:graphic>
          </wp:inline>
        </w:drawing>
      </w:r>
    </w:p>
    <w:p w14:paraId="2A12C6CD" w14:textId="622FA169" w:rsidR="00B32DC8" w:rsidRDefault="00B32DC8" w:rsidP="00B32DC8">
      <w:pPr>
        <w:pStyle w:val="Chartortablefootnote"/>
      </w:pPr>
      <w:r w:rsidRPr="003F059E">
        <w:t xml:space="preserve">Source: </w:t>
      </w:r>
      <w:r w:rsidR="00001DEB">
        <w:rPr>
          <w:szCs w:val="16"/>
        </w:rPr>
        <w:t xml:space="preserve">Health Professional Online </w:t>
      </w:r>
      <w:r>
        <w:rPr>
          <w:szCs w:val="16"/>
        </w:rPr>
        <w:t xml:space="preserve">Services </w:t>
      </w:r>
      <w:r w:rsidR="00001DEB">
        <w:rPr>
          <w:szCs w:val="16"/>
        </w:rPr>
        <w:t>(HPOS)</w:t>
      </w:r>
      <w:r>
        <w:rPr>
          <w:szCs w:val="16"/>
        </w:rPr>
        <w:t xml:space="preserve"> </w:t>
      </w:r>
      <w:r w:rsidRPr="003F059E">
        <w:t xml:space="preserve">data </w:t>
      </w:r>
      <w:r>
        <w:t>to</w:t>
      </w:r>
      <w:r w:rsidR="00196C4D">
        <w:t xml:space="preserve"> </w:t>
      </w:r>
      <w:r w:rsidRPr="003F059E">
        <w:t>30 June 202</w:t>
      </w:r>
      <w:r>
        <w:t>1</w:t>
      </w:r>
      <w:r w:rsidR="00001DEB" w:rsidRPr="000819FA">
        <w:t>.</w:t>
      </w:r>
    </w:p>
    <w:p w14:paraId="50D49827" w14:textId="77777777" w:rsidR="00844AEF" w:rsidRPr="00C03AE6" w:rsidRDefault="00844AEF" w:rsidP="00844AEF">
      <w:r w:rsidRPr="00C03AE6">
        <w:t xml:space="preserve">The analysis </w:t>
      </w:r>
      <w:r>
        <w:t>shows</w:t>
      </w:r>
      <w:r w:rsidRPr="00C03AE6">
        <w:t>:</w:t>
      </w:r>
    </w:p>
    <w:p w14:paraId="06DDE8BD" w14:textId="562DE1D3" w:rsidR="00844AEF" w:rsidRPr="00314A0C" w:rsidRDefault="00844AEF" w:rsidP="00BB7C8D">
      <w:pPr>
        <w:pStyle w:val="ListParagraph"/>
        <w:numPr>
          <w:ilvl w:val="0"/>
          <w:numId w:val="51"/>
        </w:numPr>
      </w:pPr>
      <w:r w:rsidRPr="00314A0C">
        <w:t>Medium size</w:t>
      </w:r>
      <w:r>
        <w:t>d</w:t>
      </w:r>
      <w:r w:rsidRPr="00314A0C">
        <w:t xml:space="preserve"> practices (5</w:t>
      </w:r>
      <w:r>
        <w:t>–</w:t>
      </w:r>
      <w:r w:rsidRPr="00314A0C">
        <w:t>8 FTE GPs) tended to have a lower rate of withdrawal</w:t>
      </w:r>
      <w:r>
        <w:t xml:space="preserve"> (46</w:t>
      </w:r>
      <w:r w:rsidR="00DF72CF">
        <w:t>.</w:t>
      </w:r>
      <w:r>
        <w:t>5%) compared with practice</w:t>
      </w:r>
      <w:r w:rsidR="00FD6C1D">
        <w:t>s</w:t>
      </w:r>
      <w:r>
        <w:t xml:space="preserve"> of other sizes</w:t>
      </w:r>
      <w:r w:rsidRPr="00314A0C">
        <w:t>.</w:t>
      </w:r>
    </w:p>
    <w:p w14:paraId="0A36429A" w14:textId="77777777" w:rsidR="00844AEF" w:rsidRPr="00833C40" w:rsidRDefault="00844AEF" w:rsidP="00BB7C8D">
      <w:pPr>
        <w:pStyle w:val="ListParagraph"/>
        <w:numPr>
          <w:ilvl w:val="0"/>
          <w:numId w:val="51"/>
        </w:numPr>
      </w:pPr>
      <w:r w:rsidRPr="00833C40">
        <w:lastRenderedPageBreak/>
        <w:t>Independent</w:t>
      </w:r>
      <w:r>
        <w:t xml:space="preserve">ly owned practices </w:t>
      </w:r>
      <w:r w:rsidRPr="00833C40">
        <w:t>tended to have a lower rate</w:t>
      </w:r>
      <w:r>
        <w:t xml:space="preserve"> of withdrawal (44.5%) and corporate practices the highest (75.9%)</w:t>
      </w:r>
      <w:r w:rsidRPr="00833C40">
        <w:t>.</w:t>
      </w:r>
    </w:p>
    <w:p w14:paraId="5EA5BA4D" w14:textId="77777777" w:rsidR="00844AEF" w:rsidRPr="00833C40" w:rsidRDefault="00844AEF" w:rsidP="00BB7C8D">
      <w:pPr>
        <w:pStyle w:val="ListParagraph"/>
        <w:numPr>
          <w:ilvl w:val="0"/>
          <w:numId w:val="51"/>
        </w:numPr>
      </w:pPr>
      <w:r w:rsidRPr="00833C40">
        <w:t xml:space="preserve">Practices located in </w:t>
      </w:r>
      <w:r>
        <w:t xml:space="preserve">more </w:t>
      </w:r>
      <w:r w:rsidRPr="00833C40">
        <w:t>remote areas (Modified Monash Model – MMM – categor</w:t>
      </w:r>
      <w:r>
        <w:t xml:space="preserve">ies 4,5,6 and </w:t>
      </w:r>
      <w:r w:rsidRPr="00833C40">
        <w:t>7)</w:t>
      </w:r>
      <w:bookmarkStart w:id="47" w:name="_Ref528318367"/>
      <w:r w:rsidRPr="003450BD">
        <w:rPr>
          <w:rStyle w:val="FootnoteReference"/>
          <w:color w:val="408BCA"/>
        </w:rPr>
        <w:footnoteReference w:id="15"/>
      </w:r>
      <w:bookmarkEnd w:id="47"/>
      <w:r w:rsidRPr="00833C40">
        <w:t xml:space="preserve"> tended to have a lower rate</w:t>
      </w:r>
      <w:r>
        <w:t xml:space="preserve"> of withdrawal. This was slightly lower than for practices located in major metropolitan areas (48.6%). Rates were high for practice located in regional areas (MMM categories 2 and 3 – 76.5% and 66.7% respectively). </w:t>
      </w:r>
    </w:p>
    <w:p w14:paraId="16E90A32" w14:textId="393D3BA3" w:rsidR="00844AEF" w:rsidRDefault="00844AEF" w:rsidP="00BB7C8D">
      <w:pPr>
        <w:pStyle w:val="ListParagraph"/>
        <w:numPr>
          <w:ilvl w:val="0"/>
          <w:numId w:val="51"/>
        </w:numPr>
      </w:pPr>
      <w:r w:rsidRPr="00833C40">
        <w:t xml:space="preserve">Practices located in </w:t>
      </w:r>
      <w:r>
        <w:t>more disadvantaged areas (deciles 1–7, 52%) tended to have a lower rate of withdrawal than those in the least disadvantaged areas (deciles 8–10, 58.7%).</w:t>
      </w:r>
    </w:p>
    <w:p w14:paraId="0538DB10" w14:textId="4E760C01" w:rsidR="00844AEF" w:rsidRDefault="00844AEF" w:rsidP="00844AEF">
      <w:r>
        <w:t xml:space="preserve">The evaluation aimed to achieve </w:t>
      </w:r>
      <w:r w:rsidRPr="009274B5">
        <w:t xml:space="preserve">a minimum number of </w:t>
      </w:r>
      <w:r>
        <w:t>practice</w:t>
      </w:r>
      <w:r w:rsidRPr="009274B5">
        <w:t xml:space="preserve">s </w:t>
      </w:r>
      <w:r>
        <w:t xml:space="preserve">– 10 – for each </w:t>
      </w:r>
      <w:r w:rsidRPr="009274B5">
        <w:t xml:space="preserve">sampling </w:t>
      </w:r>
      <w:r w:rsidRPr="00112BC1">
        <w:t xml:space="preserve">stratum (Measure 1.02.03). </w:t>
      </w:r>
      <w:r w:rsidRPr="00112BC1">
        <w:fldChar w:fldCharType="begin"/>
      </w:r>
      <w:r w:rsidRPr="00112BC1">
        <w:instrText xml:space="preserve"> REF _Ref20506337 \h  \* MERGEFORMAT </w:instrText>
      </w:r>
      <w:r w:rsidRPr="00112BC1">
        <w:fldChar w:fldCharType="separate"/>
      </w:r>
      <w:r w:rsidR="003C4BC2" w:rsidRPr="003C4BC2">
        <w:t>Table 4</w:t>
      </w:r>
      <w:r w:rsidRPr="00112BC1">
        <w:fldChar w:fldCharType="end"/>
      </w:r>
      <w:r w:rsidRPr="00112BC1">
        <w:t xml:space="preserve"> shows that </w:t>
      </w:r>
      <w:r w:rsidR="00AB1C1C">
        <w:t>on</w:t>
      </w:r>
      <w:r>
        <w:t xml:space="preserve"> </w:t>
      </w:r>
      <w:r w:rsidRPr="00112BC1">
        <w:t>30 June 202</w:t>
      </w:r>
      <w:r>
        <w:t>1</w:t>
      </w:r>
      <w:r w:rsidRPr="00112BC1">
        <w:t xml:space="preserve">, the minimum number was </w:t>
      </w:r>
      <w:r>
        <w:t>maintained</w:t>
      </w:r>
      <w:r w:rsidRPr="00112BC1">
        <w:t xml:space="preserve"> for all </w:t>
      </w:r>
      <w:r>
        <w:t xml:space="preserve">study </w:t>
      </w:r>
      <w:r w:rsidRPr="00112BC1">
        <w:t>strata except practices located in areas classified as MMM categor</w:t>
      </w:r>
      <w:r>
        <w:t>ies</w:t>
      </w:r>
      <w:r w:rsidRPr="00112BC1">
        <w:t xml:space="preserve"> </w:t>
      </w:r>
      <w:r>
        <w:t>2</w:t>
      </w:r>
      <w:r w:rsidR="00001F95">
        <w:t xml:space="preserve"> and</w:t>
      </w:r>
      <w:r>
        <w:t xml:space="preserve"> 3 (8 and 4 active practices respectively)</w:t>
      </w:r>
      <w:r w:rsidRPr="00112BC1">
        <w:t xml:space="preserve"> and areas classified as MMM categories 4 and 5 (</w:t>
      </w:r>
      <w:r>
        <w:t>6</w:t>
      </w:r>
      <w:r w:rsidRPr="00112BC1">
        <w:t xml:space="preserve"> active practices). </w:t>
      </w:r>
      <w:r>
        <w:t xml:space="preserve">The evaluation also aimed to ensure that at least 100 </w:t>
      </w:r>
      <w:r w:rsidRPr="00112BC1">
        <w:t xml:space="preserve">patients </w:t>
      </w:r>
      <w:r>
        <w:t xml:space="preserve">were </w:t>
      </w:r>
      <w:r w:rsidRPr="00112BC1">
        <w:t>enrolled in practices across the sampling stratum (Measure 1.02.04). This target was achieved at the end of the enrolment period (30 June 2019</w:t>
      </w:r>
      <w:r w:rsidR="009A1AD0" w:rsidRPr="00112BC1">
        <w:t>) and</w:t>
      </w:r>
      <w:r w:rsidRPr="00112BC1">
        <w:t xml:space="preserve"> maintained </w:t>
      </w:r>
      <w:r w:rsidR="00AB1C1C">
        <w:t>on</w:t>
      </w:r>
      <w:r w:rsidRPr="00112BC1">
        <w:t xml:space="preserve"> 30 June 202</w:t>
      </w:r>
      <w:r>
        <w:t>1</w:t>
      </w:r>
      <w:r w:rsidRPr="00112BC1">
        <w:t>.</w:t>
      </w:r>
    </w:p>
    <w:p w14:paraId="4D9DDD7D" w14:textId="442633BE" w:rsidR="0025665A" w:rsidRDefault="0025665A" w:rsidP="0025665A">
      <w:pPr>
        <w:pStyle w:val="Heading2"/>
      </w:pPr>
      <w:bookmarkStart w:id="50" w:name="_Toc109996649"/>
      <w:r>
        <w:t xml:space="preserve">Reasons for </w:t>
      </w:r>
      <w:r w:rsidR="00800487">
        <w:t xml:space="preserve">practices </w:t>
      </w:r>
      <w:r>
        <w:t>withdrawing</w:t>
      </w:r>
      <w:bookmarkEnd w:id="50"/>
    </w:p>
    <w:p w14:paraId="4893B9A3" w14:textId="31292C96" w:rsidR="005F6B68" w:rsidRDefault="00F55343" w:rsidP="005F6B68">
      <w:r>
        <w:t xml:space="preserve">Through the course of the trial, 43 practices that withdrew either </w:t>
      </w:r>
      <w:r w:rsidR="008C28DF">
        <w:t>completed a survey or participated in an interview to discuss their reasons for withdrawing</w:t>
      </w:r>
      <w:r w:rsidR="00432AA0">
        <w:t xml:space="preserve">. The most common reasons </w:t>
      </w:r>
      <w:r w:rsidR="005246C5">
        <w:t xml:space="preserve">for practices withdrawing </w:t>
      </w:r>
      <w:r w:rsidR="0086771B">
        <w:t>in the earlier stages of the trial included</w:t>
      </w:r>
      <w:r w:rsidR="005F6B68">
        <w:t>:</w:t>
      </w:r>
    </w:p>
    <w:p w14:paraId="3C9A60A2" w14:textId="08EC279B" w:rsidR="00D91B96" w:rsidRDefault="00610EDB" w:rsidP="00BB7C8D">
      <w:pPr>
        <w:pStyle w:val="ListParagraph"/>
        <w:numPr>
          <w:ilvl w:val="0"/>
          <w:numId w:val="52"/>
        </w:numPr>
        <w:ind w:left="714" w:hanging="357"/>
        <w:contextualSpacing w:val="0"/>
      </w:pPr>
      <w:r>
        <w:rPr>
          <w:b/>
        </w:rPr>
        <w:t>I</w:t>
      </w:r>
      <w:r w:rsidR="00D91B96" w:rsidRPr="008F38AF">
        <w:rPr>
          <w:b/>
        </w:rPr>
        <w:t>nsufficient information</w:t>
      </w:r>
      <w:r w:rsidR="00D91B96">
        <w:t xml:space="preserve"> </w:t>
      </w:r>
      <w:r w:rsidR="00A46587">
        <w:t xml:space="preserve">provided </w:t>
      </w:r>
      <w:r w:rsidR="00D91B96">
        <w:t xml:space="preserve">about the program before implementation, resulting in a </w:t>
      </w:r>
      <w:r w:rsidR="00D91B96" w:rsidRPr="008F38AF">
        <w:rPr>
          <w:b/>
        </w:rPr>
        <w:t xml:space="preserve">lack of clarity </w:t>
      </w:r>
      <w:r w:rsidR="006F649A">
        <w:rPr>
          <w:b/>
        </w:rPr>
        <w:t>of</w:t>
      </w:r>
      <w:r w:rsidR="00D91B96" w:rsidRPr="008F38AF">
        <w:rPr>
          <w:b/>
        </w:rPr>
        <w:t xml:space="preserve"> expectations</w:t>
      </w:r>
      <w:r w:rsidR="00D91B96">
        <w:t>. PHN practice facilitators also identified an absence of clear expectations at the time practices signed up</w:t>
      </w:r>
      <w:r w:rsidR="00FA435E">
        <w:t xml:space="preserve"> for the trial</w:t>
      </w:r>
      <w:r w:rsidR="00D91B96">
        <w:t xml:space="preserve">. </w:t>
      </w:r>
    </w:p>
    <w:p w14:paraId="24073393" w14:textId="1B71717F" w:rsidR="00AD1FBE" w:rsidRDefault="00610EDB" w:rsidP="00BB7C8D">
      <w:pPr>
        <w:pStyle w:val="ListParagraph"/>
        <w:numPr>
          <w:ilvl w:val="0"/>
          <w:numId w:val="52"/>
        </w:numPr>
        <w:ind w:left="714" w:hanging="357"/>
        <w:contextualSpacing w:val="0"/>
      </w:pPr>
      <w:r w:rsidRPr="00610EDB">
        <w:rPr>
          <w:b/>
          <w:bCs/>
        </w:rPr>
        <w:t>C</w:t>
      </w:r>
      <w:r w:rsidR="00D91B96" w:rsidRPr="008F38AF">
        <w:rPr>
          <w:b/>
        </w:rPr>
        <w:t xml:space="preserve">oncerns </w:t>
      </w:r>
      <w:r w:rsidR="00A268B6">
        <w:rPr>
          <w:b/>
        </w:rPr>
        <w:t>with</w:t>
      </w:r>
      <w:r w:rsidR="00D91B96" w:rsidRPr="008F38AF">
        <w:rPr>
          <w:b/>
        </w:rPr>
        <w:t xml:space="preserve"> the RST</w:t>
      </w:r>
      <w:r w:rsidR="00D91B96">
        <w:t xml:space="preserve">. </w:t>
      </w:r>
      <w:r w:rsidR="00AB1C1C">
        <w:t>These included problems</w:t>
      </w:r>
      <w:r w:rsidR="00D91B96" w:rsidRPr="008F38AF">
        <w:rPr>
          <w:b/>
        </w:rPr>
        <w:t xml:space="preserve"> installing the software</w:t>
      </w:r>
      <w:r>
        <w:t xml:space="preserve">, </w:t>
      </w:r>
      <w:r w:rsidR="00D91B96">
        <w:t xml:space="preserve">which they were not able to overcome. Some practices were also dissatisfied with the training in the use of the tool, and disappointed with the amount of information they had been able to extract from it, although these factors were not primary reasons for withdrawing. Several practices suggested that they would have remained in the </w:t>
      </w:r>
      <w:r>
        <w:t>trial</w:t>
      </w:r>
      <w:r w:rsidR="00D91B96">
        <w:t xml:space="preserve"> if the RST had been easier to use, if it had worked more effectively, and if the training had been better and less time-consuming. </w:t>
      </w:r>
    </w:p>
    <w:p w14:paraId="267759CE" w14:textId="6FEA1E41" w:rsidR="00AD1FBE" w:rsidRDefault="00546004" w:rsidP="00BB7C8D">
      <w:pPr>
        <w:pStyle w:val="ListParagraph"/>
        <w:numPr>
          <w:ilvl w:val="0"/>
          <w:numId w:val="52"/>
        </w:numPr>
        <w:ind w:left="714" w:hanging="357"/>
        <w:contextualSpacing w:val="0"/>
      </w:pPr>
      <w:r>
        <w:t>C</w:t>
      </w:r>
      <w:r w:rsidR="00AD1FBE">
        <w:t>oncern</w:t>
      </w:r>
      <w:r>
        <w:t>s</w:t>
      </w:r>
      <w:r w:rsidR="00AD1FBE">
        <w:t xml:space="preserve"> about the </w:t>
      </w:r>
      <w:r w:rsidR="00AD1FBE" w:rsidRPr="008F38AF">
        <w:rPr>
          <w:b/>
        </w:rPr>
        <w:t>administrative burden</w:t>
      </w:r>
      <w:r w:rsidR="00AD1FBE">
        <w:rPr>
          <w:b/>
        </w:rPr>
        <w:t xml:space="preserve"> of enrolling patients</w:t>
      </w:r>
      <w:r w:rsidR="00AD1FBE">
        <w:t xml:space="preserve">, specifically the length of time and multiple processes required. </w:t>
      </w:r>
    </w:p>
    <w:p w14:paraId="5CB38DFD" w14:textId="009D6B36" w:rsidR="00131067" w:rsidRDefault="00546004" w:rsidP="00BB7C8D">
      <w:pPr>
        <w:pStyle w:val="ListParagraph"/>
        <w:numPr>
          <w:ilvl w:val="0"/>
          <w:numId w:val="52"/>
        </w:numPr>
        <w:ind w:left="714" w:hanging="357"/>
        <w:contextualSpacing w:val="0"/>
      </w:pPr>
      <w:r>
        <w:lastRenderedPageBreak/>
        <w:t>Difficulties with working</w:t>
      </w:r>
      <w:r w:rsidR="00131067">
        <w:t xml:space="preserve"> out </w:t>
      </w:r>
      <w:r w:rsidR="00131067" w:rsidRPr="00131067">
        <w:rPr>
          <w:b/>
          <w:bCs/>
        </w:rPr>
        <w:t>how to distribute the bundled payment</w:t>
      </w:r>
      <w:r w:rsidR="00131067">
        <w:t xml:space="preserve"> amongst staff in the practice.</w:t>
      </w:r>
    </w:p>
    <w:p w14:paraId="6F5B0A02" w14:textId="27C195A8" w:rsidR="00131067" w:rsidRDefault="006B0C16" w:rsidP="00BB7C8D">
      <w:pPr>
        <w:pStyle w:val="ListParagraph"/>
        <w:numPr>
          <w:ilvl w:val="0"/>
          <w:numId w:val="52"/>
        </w:numPr>
        <w:ind w:left="714" w:hanging="357"/>
        <w:contextualSpacing w:val="0"/>
      </w:pPr>
      <w:r w:rsidRPr="006B0C16">
        <w:rPr>
          <w:b/>
          <w:bCs/>
        </w:rPr>
        <w:t>I</w:t>
      </w:r>
      <w:r w:rsidR="00546032" w:rsidRPr="006B0C16">
        <w:rPr>
          <w:b/>
          <w:bCs/>
        </w:rPr>
        <w:t>nc</w:t>
      </w:r>
      <w:r w:rsidR="00546032">
        <w:rPr>
          <w:b/>
          <w:bCs/>
        </w:rPr>
        <w:t>ompatib</w:t>
      </w:r>
      <w:r>
        <w:rPr>
          <w:b/>
          <w:bCs/>
        </w:rPr>
        <w:t>ility of HCH</w:t>
      </w:r>
      <w:r w:rsidR="00546032">
        <w:rPr>
          <w:b/>
          <w:bCs/>
        </w:rPr>
        <w:t xml:space="preserve"> with the practice’s</w:t>
      </w:r>
      <w:r w:rsidR="00131067" w:rsidRPr="00BC4927">
        <w:rPr>
          <w:b/>
          <w:bCs/>
        </w:rPr>
        <w:t xml:space="preserve"> </w:t>
      </w:r>
      <w:r w:rsidR="0087126D">
        <w:rPr>
          <w:b/>
          <w:bCs/>
        </w:rPr>
        <w:t>“</w:t>
      </w:r>
      <w:r w:rsidR="00131067" w:rsidRPr="00BC4927">
        <w:rPr>
          <w:b/>
          <w:bCs/>
        </w:rPr>
        <w:t>walk in</w:t>
      </w:r>
      <w:r w:rsidR="0087126D">
        <w:rPr>
          <w:b/>
          <w:bCs/>
        </w:rPr>
        <w:t>”</w:t>
      </w:r>
      <w:r w:rsidR="00131067" w:rsidRPr="00BC4927">
        <w:rPr>
          <w:b/>
          <w:bCs/>
        </w:rPr>
        <w:t xml:space="preserve"> model</w:t>
      </w:r>
      <w:r w:rsidR="00131067">
        <w:t>.</w:t>
      </w:r>
    </w:p>
    <w:p w14:paraId="129BEC89" w14:textId="7BFD0CA3" w:rsidR="00131067" w:rsidRDefault="006B0C16" w:rsidP="00BB7C8D">
      <w:pPr>
        <w:pStyle w:val="ListParagraph"/>
        <w:numPr>
          <w:ilvl w:val="0"/>
          <w:numId w:val="52"/>
        </w:numPr>
        <w:ind w:left="714" w:hanging="357"/>
        <w:contextualSpacing w:val="0"/>
      </w:pPr>
      <w:r>
        <w:t>C</w:t>
      </w:r>
      <w:r w:rsidR="00131067">
        <w:t>oncern</w:t>
      </w:r>
      <w:r>
        <w:t>s</w:t>
      </w:r>
      <w:r w:rsidR="00131067">
        <w:t xml:space="preserve"> about </w:t>
      </w:r>
      <w:r w:rsidR="00131067" w:rsidRPr="00BC4927">
        <w:rPr>
          <w:b/>
          <w:bCs/>
        </w:rPr>
        <w:t>who would be responsible for patients</w:t>
      </w:r>
      <w:r w:rsidR="00131067">
        <w:t xml:space="preserve"> given the</w:t>
      </w:r>
      <w:r w:rsidR="000B37B6">
        <w:t xml:space="preserve"> emphasis</w:t>
      </w:r>
      <w:r w:rsidR="00BC4927">
        <w:t xml:space="preserve"> in</w:t>
      </w:r>
      <w:r w:rsidR="000B37B6">
        <w:t xml:space="preserve"> </w:t>
      </w:r>
      <w:r w:rsidR="00BC4927">
        <w:t xml:space="preserve">the model </w:t>
      </w:r>
      <w:r w:rsidR="000B37B6">
        <w:t>of</w:t>
      </w:r>
      <w:r w:rsidR="00BC4927">
        <w:t xml:space="preserve"> delegating tasks from a GP to a practice nurse or medical practice assistant</w:t>
      </w:r>
      <w:r w:rsidR="00131067">
        <w:t xml:space="preserve">. </w:t>
      </w:r>
    </w:p>
    <w:p w14:paraId="2FEE453A" w14:textId="5EB30E04" w:rsidR="004B7235" w:rsidRDefault="004B7235" w:rsidP="004B7235">
      <w:r>
        <w:t>In the middle stage</w:t>
      </w:r>
      <w:r w:rsidR="00A268B6">
        <w:t>s</w:t>
      </w:r>
      <w:r>
        <w:t xml:space="preserve"> of the trial, at </w:t>
      </w:r>
      <w:r w:rsidR="00BA6C4D">
        <w:t>about</w:t>
      </w:r>
      <w:r>
        <w:t xml:space="preserve"> the end of the enrolment period, a</w:t>
      </w:r>
      <w:r w:rsidRPr="0086771B">
        <w:t xml:space="preserve"> few practices </w:t>
      </w:r>
      <w:r>
        <w:t>found that they hadn’t yet enrolled any patient</w:t>
      </w:r>
      <w:r w:rsidR="006703F6">
        <w:t>s</w:t>
      </w:r>
      <w:r w:rsidR="0075374C">
        <w:t xml:space="preserve"> or only enrolled a few patients</w:t>
      </w:r>
      <w:r>
        <w:t xml:space="preserve"> and</w:t>
      </w:r>
      <w:r w:rsidR="006703F6">
        <w:t xml:space="preserve"> hadn’t progress</w:t>
      </w:r>
      <w:r w:rsidR="0075374C">
        <w:t>ed</w:t>
      </w:r>
      <w:r w:rsidR="006703F6">
        <w:t xml:space="preserve"> their HCH model. They withdrew </w:t>
      </w:r>
      <w:r w:rsidRPr="0086771B">
        <w:t xml:space="preserve">as they perceived that the </w:t>
      </w:r>
      <w:r w:rsidRPr="004B7235">
        <w:rPr>
          <w:b/>
          <w:bCs/>
        </w:rPr>
        <w:t xml:space="preserve">transformation </w:t>
      </w:r>
      <w:r w:rsidR="006703F6">
        <w:rPr>
          <w:b/>
          <w:bCs/>
        </w:rPr>
        <w:t>that they would need to undergo would be</w:t>
      </w:r>
      <w:r w:rsidRPr="004B7235">
        <w:rPr>
          <w:b/>
          <w:bCs/>
        </w:rPr>
        <w:t xml:space="preserve"> too challenging</w:t>
      </w:r>
      <w:r w:rsidRPr="0086771B">
        <w:t>.</w:t>
      </w:r>
    </w:p>
    <w:p w14:paraId="7EBD1D53" w14:textId="0FADB5EB" w:rsidR="00C51001" w:rsidRDefault="00131067" w:rsidP="00545C5E">
      <w:r>
        <w:t>I</w:t>
      </w:r>
      <w:r w:rsidR="00D91B96">
        <w:t xml:space="preserve">n the </w:t>
      </w:r>
      <w:r w:rsidR="00C51001" w:rsidRPr="00C51001">
        <w:t>last six month</w:t>
      </w:r>
      <w:r w:rsidR="00394419">
        <w:t>s</w:t>
      </w:r>
      <w:r w:rsidR="00C51001" w:rsidRPr="00C51001">
        <w:t xml:space="preserve"> of the trial, a small number of practices withdrew due to the </w:t>
      </w:r>
      <w:r w:rsidR="00C51001" w:rsidRPr="00AA592C">
        <w:rPr>
          <w:b/>
          <w:bCs/>
        </w:rPr>
        <w:t>lack of certainty about the future of HCH</w:t>
      </w:r>
      <w:r w:rsidR="00C51001" w:rsidRPr="00C51001">
        <w:t>.</w:t>
      </w:r>
      <w:r w:rsidR="00545C5E">
        <w:t xml:space="preserve"> Some practices also cited ongoing </w:t>
      </w:r>
      <w:r w:rsidR="00545C5E" w:rsidRPr="00E156DB">
        <w:rPr>
          <w:b/>
          <w:bCs/>
        </w:rPr>
        <w:t xml:space="preserve">frustrations with external providers </w:t>
      </w:r>
      <w:r w:rsidR="00E156DB">
        <w:rPr>
          <w:b/>
          <w:bCs/>
        </w:rPr>
        <w:t xml:space="preserve">using the shared care </w:t>
      </w:r>
      <w:r w:rsidR="00E64893">
        <w:rPr>
          <w:b/>
          <w:bCs/>
        </w:rPr>
        <w:t>platform</w:t>
      </w:r>
      <w:r w:rsidR="00E64893">
        <w:t xml:space="preserve"> and</w:t>
      </w:r>
      <w:r w:rsidR="00545C5E">
        <w:t xml:space="preserve"> having to provide them with printed copies of patient care plans.</w:t>
      </w:r>
    </w:p>
    <w:p w14:paraId="78EF2031" w14:textId="48BBA8AB" w:rsidR="00D91B96" w:rsidRDefault="00BC4927" w:rsidP="005F6B68">
      <w:r>
        <w:t>Factors that persisted for practices</w:t>
      </w:r>
      <w:r w:rsidR="00C04511">
        <w:t xml:space="preserve"> at all stages of the trial that contributed to their withdrawal included:</w:t>
      </w:r>
    </w:p>
    <w:p w14:paraId="66458112" w14:textId="62427D50" w:rsidR="005F6B68" w:rsidRDefault="00A32C70" w:rsidP="00BB7C8D">
      <w:pPr>
        <w:pStyle w:val="ListParagraph"/>
        <w:numPr>
          <w:ilvl w:val="0"/>
          <w:numId w:val="52"/>
        </w:numPr>
        <w:ind w:left="714" w:hanging="357"/>
        <w:contextualSpacing w:val="0"/>
      </w:pPr>
      <w:r>
        <w:rPr>
          <w:b/>
        </w:rPr>
        <w:t>Loss of key people/role and s</w:t>
      </w:r>
      <w:r w:rsidR="005F6B68" w:rsidRPr="004E76EC">
        <w:rPr>
          <w:b/>
        </w:rPr>
        <w:t>taff turnover</w:t>
      </w:r>
      <w:r>
        <w:t xml:space="preserve">. </w:t>
      </w:r>
      <w:r w:rsidR="001964AD">
        <w:t xml:space="preserve">Key </w:t>
      </w:r>
      <w:r w:rsidR="00F31F1A">
        <w:t xml:space="preserve">individuals/roles </w:t>
      </w:r>
      <w:r w:rsidR="001964AD">
        <w:t>that</w:t>
      </w:r>
      <w:r w:rsidR="00F31F1A">
        <w:t xml:space="preserve"> practices lost that led to their decision to withdraw included </w:t>
      </w:r>
      <w:r w:rsidR="005F6B68">
        <w:t xml:space="preserve">GPs, nurses and practice managers. </w:t>
      </w:r>
      <w:r w:rsidR="001C6AB5">
        <w:t xml:space="preserve">These were often individuals who championed the model. </w:t>
      </w:r>
      <w:r w:rsidR="005F6B68">
        <w:t xml:space="preserve">Staff turnover of GPs who were not directly involved </w:t>
      </w:r>
      <w:r w:rsidR="001C6AB5">
        <w:t>in the trial</w:t>
      </w:r>
      <w:r w:rsidR="005F6B68">
        <w:t xml:space="preserve"> also impacted the capacity of practices to continue. Some practices indicated that turnover of key staff meant the practice lost expertise and knowledge built up in the initial stage of implementation, and that </w:t>
      </w:r>
      <w:r w:rsidR="00C40945">
        <w:t xml:space="preserve">it was too </w:t>
      </w:r>
      <w:r w:rsidR="005F6B68">
        <w:t xml:space="preserve">time consuming </w:t>
      </w:r>
      <w:r w:rsidR="00C40945">
        <w:t>to train new</w:t>
      </w:r>
      <w:r w:rsidR="005F6B68">
        <w:t xml:space="preserve"> staff.</w:t>
      </w:r>
    </w:p>
    <w:p w14:paraId="13758E19" w14:textId="6938B9C3" w:rsidR="005F6B68" w:rsidRDefault="00DA4246" w:rsidP="00BB7C8D">
      <w:pPr>
        <w:pStyle w:val="ListParagraph"/>
        <w:numPr>
          <w:ilvl w:val="0"/>
          <w:numId w:val="52"/>
        </w:numPr>
        <w:ind w:left="714" w:hanging="357"/>
        <w:contextualSpacing w:val="0"/>
      </w:pPr>
      <w:r w:rsidRPr="00DA4246">
        <w:rPr>
          <w:b/>
          <w:bCs/>
        </w:rPr>
        <w:t>L</w:t>
      </w:r>
      <w:r w:rsidR="005F6B68" w:rsidRPr="00134F63">
        <w:rPr>
          <w:b/>
        </w:rPr>
        <w:t>ack of commitment or support amongst GPs within the practice</w:t>
      </w:r>
      <w:r w:rsidR="005F6B68" w:rsidRPr="00134F63">
        <w:t xml:space="preserve">, including </w:t>
      </w:r>
      <w:r w:rsidR="00097EE6">
        <w:t>those</w:t>
      </w:r>
      <w:r w:rsidR="005F6B68" w:rsidRPr="00134F63">
        <w:t xml:space="preserve"> not participating in the </w:t>
      </w:r>
      <w:r w:rsidR="00825F32">
        <w:t>trial</w:t>
      </w:r>
      <w:r w:rsidR="005F6B68">
        <w:t xml:space="preserve">. In some instances, GPs in the practice did not have a good understanding of the </w:t>
      </w:r>
      <w:r w:rsidR="00825F32">
        <w:t>model</w:t>
      </w:r>
      <w:r w:rsidR="005F6B68">
        <w:t xml:space="preserve"> </w:t>
      </w:r>
      <w:r w:rsidR="00825F32">
        <w:t>when</w:t>
      </w:r>
      <w:r w:rsidR="005F6B68">
        <w:t xml:space="preserve"> the practice signed up to the </w:t>
      </w:r>
      <w:r w:rsidR="00825F32">
        <w:t>trial</w:t>
      </w:r>
      <w:r w:rsidR="005F6B68">
        <w:t xml:space="preserve">. In many practices only one or two GPs </w:t>
      </w:r>
      <w:r w:rsidR="00097EE6">
        <w:t>participated</w:t>
      </w:r>
      <w:r w:rsidR="005F6B68">
        <w:t xml:space="preserve"> in HCH, and other GPs were unable to agree on the merits of the model</w:t>
      </w:r>
      <w:r w:rsidR="00777F92">
        <w:t>, eventually leading the practice to withdraw.</w:t>
      </w:r>
    </w:p>
    <w:p w14:paraId="35EA73DE" w14:textId="347561DB" w:rsidR="007A2FD0" w:rsidRDefault="00DA4246" w:rsidP="00BB7C8D">
      <w:pPr>
        <w:pStyle w:val="ListParagraph"/>
        <w:numPr>
          <w:ilvl w:val="0"/>
          <w:numId w:val="52"/>
        </w:numPr>
        <w:ind w:left="714" w:hanging="357"/>
        <w:contextualSpacing w:val="0"/>
      </w:pPr>
      <w:r w:rsidRPr="00DA4246">
        <w:rPr>
          <w:b/>
          <w:bCs/>
        </w:rPr>
        <w:t>Perception</w:t>
      </w:r>
      <w:r w:rsidR="007A2FD0" w:rsidRPr="00DA4246">
        <w:rPr>
          <w:b/>
          <w:bCs/>
        </w:rPr>
        <w:t xml:space="preserve"> that the</w:t>
      </w:r>
      <w:r w:rsidR="007A2FD0" w:rsidRPr="007A2FD0">
        <w:t xml:space="preserve"> </w:t>
      </w:r>
      <w:r w:rsidR="007A2FD0" w:rsidRPr="007A2FD0">
        <w:rPr>
          <w:b/>
          <w:bCs/>
        </w:rPr>
        <w:t>bundled payment was inadequate</w:t>
      </w:r>
      <w:r w:rsidR="007A2FD0" w:rsidRPr="007A2FD0">
        <w:t xml:space="preserve"> for </w:t>
      </w:r>
      <w:r w:rsidR="007A2FD0">
        <w:t xml:space="preserve">the </w:t>
      </w:r>
      <w:r w:rsidR="007A2FD0" w:rsidRPr="007A2FD0">
        <w:t xml:space="preserve">care required for patients with chronic illnesses. </w:t>
      </w:r>
      <w:r w:rsidR="007A2FD0">
        <w:t>For some practices this</w:t>
      </w:r>
      <w:r w:rsidR="007A2FD0" w:rsidRPr="007A2FD0">
        <w:t xml:space="preserve"> issue was compounded by</w:t>
      </w:r>
      <w:r w:rsidR="0014613E">
        <w:t xml:space="preserve"> the low volume of enrolments, which meant that they couldn’t offset losses </w:t>
      </w:r>
      <w:r w:rsidR="00DC239F">
        <w:t>for</w:t>
      </w:r>
      <w:r w:rsidR="0014613E">
        <w:t xml:space="preserve"> some patients with gains </w:t>
      </w:r>
      <w:r w:rsidR="00DC239F">
        <w:t>for</w:t>
      </w:r>
      <w:r w:rsidR="0014613E">
        <w:t xml:space="preserve"> others</w:t>
      </w:r>
      <w:r w:rsidR="007A2FD0" w:rsidRPr="007A2FD0">
        <w:t>.</w:t>
      </w:r>
    </w:p>
    <w:p w14:paraId="722B0248" w14:textId="0DA04A0C" w:rsidR="005F4EFC" w:rsidRDefault="00DA4246" w:rsidP="00BB7C8D">
      <w:pPr>
        <w:pStyle w:val="ListParagraph"/>
        <w:numPr>
          <w:ilvl w:val="0"/>
          <w:numId w:val="52"/>
        </w:numPr>
        <w:ind w:left="714" w:hanging="357"/>
        <w:contextualSpacing w:val="0"/>
      </w:pPr>
      <w:r w:rsidRPr="00DA4246">
        <w:rPr>
          <w:b/>
          <w:bCs/>
        </w:rPr>
        <w:t>Perception that there</w:t>
      </w:r>
      <w:r w:rsidR="005F4EFC" w:rsidRPr="00DA4246">
        <w:rPr>
          <w:b/>
          <w:bCs/>
        </w:rPr>
        <w:t xml:space="preserve"> was no</w:t>
      </w:r>
      <w:r w:rsidR="005F4EFC" w:rsidRPr="005F4EFC">
        <w:rPr>
          <w:b/>
          <w:bCs/>
        </w:rPr>
        <w:t xml:space="preserve"> clear value proposition for their GPs </w:t>
      </w:r>
      <w:r>
        <w:rPr>
          <w:b/>
          <w:bCs/>
        </w:rPr>
        <w:t>and</w:t>
      </w:r>
      <w:r w:rsidR="005F4EFC" w:rsidRPr="005F4EFC">
        <w:rPr>
          <w:b/>
          <w:bCs/>
        </w:rPr>
        <w:t xml:space="preserve"> their patients</w:t>
      </w:r>
      <w:r w:rsidR="005F4EFC" w:rsidRPr="005F4EFC">
        <w:t>.</w:t>
      </w:r>
    </w:p>
    <w:p w14:paraId="61DD91D3" w14:textId="53E9F5E2" w:rsidR="00777F92" w:rsidRDefault="00DA4246" w:rsidP="00BB7C8D">
      <w:pPr>
        <w:pStyle w:val="ListParagraph"/>
        <w:numPr>
          <w:ilvl w:val="0"/>
          <w:numId w:val="52"/>
        </w:numPr>
        <w:ind w:left="714" w:hanging="357"/>
        <w:contextualSpacing w:val="0"/>
      </w:pPr>
      <w:r w:rsidRPr="00DA4246">
        <w:rPr>
          <w:b/>
          <w:bCs/>
        </w:rPr>
        <w:t>P</w:t>
      </w:r>
      <w:r w:rsidR="00B66335" w:rsidRPr="00B66335">
        <w:rPr>
          <w:b/>
          <w:bCs/>
        </w:rPr>
        <w:t>ractice closure or change of ownership</w:t>
      </w:r>
      <w:r w:rsidR="00B66335">
        <w:t>.</w:t>
      </w:r>
    </w:p>
    <w:p w14:paraId="50DD531F" w14:textId="77777777" w:rsidR="00DA4246" w:rsidRDefault="00DA4246">
      <w:pPr>
        <w:spacing w:after="160" w:line="259" w:lineRule="auto"/>
      </w:pPr>
      <w:r>
        <w:br w:type="page"/>
      </w:r>
    </w:p>
    <w:p w14:paraId="24C22564" w14:textId="55CAA128" w:rsidR="0025665A" w:rsidRPr="00BC05DE" w:rsidRDefault="0025665A" w:rsidP="0025665A">
      <w:r w:rsidRPr="00BC05DE">
        <w:lastRenderedPageBreak/>
        <w:t>Despite withdrawing, practices identified some aspects of the model</w:t>
      </w:r>
      <w:r w:rsidR="00A877DD">
        <w:t xml:space="preserve"> that they </w:t>
      </w:r>
      <w:r w:rsidR="009D4917">
        <w:t>would like to maintain</w:t>
      </w:r>
      <w:r w:rsidR="00253323">
        <w:t xml:space="preserve"> or </w:t>
      </w:r>
      <w:r w:rsidR="00D061AA">
        <w:t>see maintained</w:t>
      </w:r>
      <w:r w:rsidR="009D4917">
        <w:t xml:space="preserve"> into the future</w:t>
      </w:r>
      <w:r w:rsidRPr="00BC05DE">
        <w:t xml:space="preserve">: </w:t>
      </w:r>
    </w:p>
    <w:p w14:paraId="472142E5" w14:textId="7C4A69BE" w:rsidR="0025665A" w:rsidRPr="00A76B3F" w:rsidRDefault="0025665A" w:rsidP="00162003">
      <w:pPr>
        <w:pStyle w:val="BulletedList"/>
        <w:spacing w:after="200" w:line="240" w:lineRule="auto"/>
        <w:ind w:left="714" w:hanging="357"/>
        <w:rPr>
          <w:rFonts w:ascii="Muli" w:hAnsi="Muli"/>
        </w:rPr>
      </w:pPr>
      <w:r w:rsidRPr="00A76B3F">
        <w:rPr>
          <w:rFonts w:ascii="Muli" w:hAnsi="Muli"/>
          <w:b/>
          <w:bCs/>
        </w:rPr>
        <w:t>Team care.</w:t>
      </w:r>
      <w:r w:rsidRPr="00A76B3F">
        <w:rPr>
          <w:rFonts w:ascii="Muli" w:hAnsi="Muli"/>
        </w:rPr>
        <w:t xml:space="preserve"> A few practices </w:t>
      </w:r>
      <w:r w:rsidR="00DC239F">
        <w:rPr>
          <w:rFonts w:ascii="Muli" w:hAnsi="Muli"/>
        </w:rPr>
        <w:t>said</w:t>
      </w:r>
      <w:r w:rsidRPr="00A76B3F">
        <w:rPr>
          <w:rFonts w:ascii="Muli" w:hAnsi="Muli"/>
        </w:rPr>
        <w:t xml:space="preserve"> that they intended to maintain elements of team care and increased patient care responsibilities for non-GP staff. Nurse-led clinics and care coordination were specific examples of initiatives practices developed under HCH and intended to maintain after withdrawal. </w:t>
      </w:r>
    </w:p>
    <w:p w14:paraId="621035AA" w14:textId="6D142566" w:rsidR="0025665A" w:rsidRPr="00A76B3F" w:rsidRDefault="0025665A" w:rsidP="00162003">
      <w:pPr>
        <w:pStyle w:val="BulletedList"/>
        <w:spacing w:after="200" w:line="240" w:lineRule="auto"/>
        <w:ind w:left="714" w:hanging="357"/>
        <w:rPr>
          <w:rFonts w:ascii="Muli" w:hAnsi="Muli"/>
        </w:rPr>
      </w:pPr>
      <w:r w:rsidRPr="00A76B3F">
        <w:rPr>
          <w:rFonts w:ascii="Muli" w:hAnsi="Muli"/>
          <w:b/>
          <w:bCs/>
        </w:rPr>
        <w:t>Quality improvement.</w:t>
      </w:r>
      <w:r w:rsidRPr="00A76B3F">
        <w:rPr>
          <w:rFonts w:ascii="Muli" w:hAnsi="Muli"/>
        </w:rPr>
        <w:t xml:space="preserve"> Practices reported an intention to maintain quality improvement measures put in place to facilitate HCH, including data quality measures and reporting</w:t>
      </w:r>
      <w:r w:rsidR="005130CD">
        <w:rPr>
          <w:rFonts w:ascii="Muli" w:hAnsi="Muli"/>
        </w:rPr>
        <w:t xml:space="preserve"> of specific measures</w:t>
      </w:r>
      <w:r w:rsidRPr="00A76B3F">
        <w:rPr>
          <w:rFonts w:ascii="Muli" w:hAnsi="Muli"/>
        </w:rPr>
        <w:t xml:space="preserve"> using practice </w:t>
      </w:r>
      <w:r w:rsidR="00143932">
        <w:rPr>
          <w:rFonts w:ascii="Muli" w:hAnsi="Muli"/>
        </w:rPr>
        <w:t xml:space="preserve">clinical </w:t>
      </w:r>
      <w:r w:rsidRPr="00A76B3F">
        <w:rPr>
          <w:rFonts w:ascii="Muli" w:hAnsi="Muli"/>
        </w:rPr>
        <w:t>management software and plugins.</w:t>
      </w:r>
    </w:p>
    <w:p w14:paraId="22E798DF" w14:textId="2371AB21" w:rsidR="0025665A" w:rsidRPr="00A76B3F" w:rsidRDefault="0025665A" w:rsidP="00162003">
      <w:pPr>
        <w:pStyle w:val="BulletedList"/>
        <w:spacing w:after="200" w:line="240" w:lineRule="auto"/>
        <w:ind w:left="714" w:hanging="357"/>
        <w:rPr>
          <w:rFonts w:ascii="Muli" w:hAnsi="Muli"/>
        </w:rPr>
      </w:pPr>
      <w:r w:rsidRPr="00A76B3F">
        <w:rPr>
          <w:rFonts w:ascii="Muli" w:hAnsi="Muli"/>
          <w:b/>
          <w:bCs/>
        </w:rPr>
        <w:t>Financial model.</w:t>
      </w:r>
      <w:r w:rsidRPr="00A76B3F">
        <w:rPr>
          <w:rFonts w:ascii="Muli" w:hAnsi="Muli"/>
        </w:rPr>
        <w:t xml:space="preserve"> While the direct financial benefit to GPs and/or the practice </w:t>
      </w:r>
      <w:r w:rsidR="00D061AA">
        <w:rPr>
          <w:rFonts w:ascii="Muli" w:hAnsi="Muli"/>
        </w:rPr>
        <w:t>was</w:t>
      </w:r>
      <w:r w:rsidRPr="00A76B3F">
        <w:rPr>
          <w:rFonts w:ascii="Muli" w:hAnsi="Muli"/>
        </w:rPr>
        <w:t xml:space="preserve"> front of mind for many practices that withdrew, there </w:t>
      </w:r>
      <w:r w:rsidR="00D061AA">
        <w:rPr>
          <w:rFonts w:ascii="Muli" w:hAnsi="Muli"/>
        </w:rPr>
        <w:t>were</w:t>
      </w:r>
      <w:r w:rsidRPr="00A76B3F">
        <w:rPr>
          <w:rFonts w:ascii="Muli" w:hAnsi="Muli"/>
        </w:rPr>
        <w:t xml:space="preserve"> examples of practices that thought that the financial model was working well, but withdrew for other reasons: </w:t>
      </w:r>
    </w:p>
    <w:p w14:paraId="1F31C1C6" w14:textId="64A1031C" w:rsidR="0025665A" w:rsidRDefault="0025665A" w:rsidP="00162003">
      <w:pPr>
        <w:ind w:left="709" w:right="522"/>
        <w:rPr>
          <w:i/>
          <w:iCs/>
          <w:szCs w:val="20"/>
        </w:rPr>
      </w:pPr>
      <w:r w:rsidRPr="00A76B3F">
        <w:rPr>
          <w:i/>
          <w:iCs/>
          <w:szCs w:val="20"/>
        </w:rPr>
        <w:t xml:space="preserve">“From a financial side the model was working brilliantly, by the end of June we had 4 nursing staff and 5 </w:t>
      </w:r>
      <w:r w:rsidR="0018435A" w:rsidRPr="00A76B3F">
        <w:rPr>
          <w:i/>
          <w:iCs/>
          <w:szCs w:val="20"/>
        </w:rPr>
        <w:t>receptionists,</w:t>
      </w:r>
      <w:r w:rsidRPr="00A76B3F">
        <w:rPr>
          <w:i/>
          <w:iCs/>
          <w:szCs w:val="20"/>
        </w:rPr>
        <w:t xml:space="preserve"> and the daily volume of consultations was normally over 100 and add to this we only had one GP at that time … I was more managing from a financial side and all I can say is that the numbers worked and allowed us to bring on more staff that could support [the GP] and produce great patient-centred outcomes. The only point I need to raise in regard to that side is that the GP didn’t take any % of the HCH funding initially, we were postponing that until we had been able to work out that side of the business model. I am sure that in some clinics that could be an issue if you potentially have GPs wanting % of these funds, we were able to allocate it all to the nursing and allied health side and build the team and services up firstly.”</w:t>
      </w:r>
      <w:r w:rsidRPr="00A76B3F">
        <w:t xml:space="preserve"> [CFO, Exit survey]</w:t>
      </w:r>
    </w:p>
    <w:p w14:paraId="6BDA5750" w14:textId="77777777" w:rsidR="005D61F2" w:rsidRDefault="005D61F2" w:rsidP="00135535"/>
    <w:p w14:paraId="0F12832C" w14:textId="77777777" w:rsidR="00065D1D" w:rsidRDefault="00065D1D" w:rsidP="00135535"/>
    <w:bookmarkEnd w:id="33"/>
    <w:p w14:paraId="3D7F15C5" w14:textId="77777777" w:rsidR="00065D1D" w:rsidRDefault="00065D1D" w:rsidP="00135535"/>
    <w:p w14:paraId="4B800E37" w14:textId="3E418480" w:rsidR="00871B42" w:rsidRDefault="00871B42" w:rsidP="00DC3629">
      <w:pPr>
        <w:spacing w:after="0"/>
        <w:rPr>
          <w:rFonts w:eastAsia="Muli" w:cs="Muli"/>
          <w:color w:val="000000" w:themeColor="text1"/>
          <w:szCs w:val="20"/>
        </w:rPr>
      </w:pPr>
    </w:p>
    <w:p w14:paraId="470F67CE" w14:textId="350E2CD1" w:rsidR="00DC3629" w:rsidRDefault="00DC3629" w:rsidP="00DC3629">
      <w:pPr>
        <w:spacing w:after="0"/>
        <w:rPr>
          <w:rFonts w:eastAsia="Muli" w:cs="Muli"/>
          <w:color w:val="000000" w:themeColor="text1"/>
          <w:szCs w:val="20"/>
        </w:rPr>
      </w:pPr>
    </w:p>
    <w:p w14:paraId="79413483" w14:textId="77777777" w:rsidR="00DC3629" w:rsidRDefault="00DC3629" w:rsidP="00DC3629">
      <w:pPr>
        <w:spacing w:after="0"/>
        <w:sectPr w:rsidR="00DC3629">
          <w:footerReference w:type="default" r:id="rId23"/>
          <w:pgSz w:w="11906" w:h="16838"/>
          <w:pgMar w:top="1440" w:right="1440" w:bottom="1440" w:left="1440" w:header="708" w:footer="708" w:gutter="0"/>
          <w:cols w:space="708"/>
          <w:docGrid w:linePitch="360"/>
        </w:sectPr>
      </w:pPr>
    </w:p>
    <w:p w14:paraId="7BDA25BD" w14:textId="4E038CE6" w:rsidR="00DC3629" w:rsidRDefault="00DC3629" w:rsidP="00DC3629">
      <w:pPr>
        <w:spacing w:after="0"/>
      </w:pPr>
    </w:p>
    <w:p w14:paraId="79C6B029" w14:textId="5062E844" w:rsidR="00DC3629" w:rsidRPr="0094369A" w:rsidRDefault="00DC3629" w:rsidP="00DC3629">
      <w:pPr>
        <w:pStyle w:val="ChapterNumber"/>
      </w:pPr>
      <w:r>
        <w:fldChar w:fldCharType="begin"/>
      </w:r>
      <w:r>
        <w:instrText xml:space="preserve"> REF _Ref82000973 \r \h </w:instrText>
      </w:r>
      <w:r>
        <w:fldChar w:fldCharType="separate"/>
      </w:r>
      <w:r w:rsidR="003C4BC2">
        <w:t>3</w:t>
      </w:r>
      <w:r>
        <w:fldChar w:fldCharType="end"/>
      </w:r>
    </w:p>
    <w:p w14:paraId="56611339" w14:textId="0E460F5E" w:rsidR="00DC3629" w:rsidRPr="00D82D2D" w:rsidRDefault="00DC3629" w:rsidP="00DC3629">
      <w:pPr>
        <w:pStyle w:val="Heading1withnumber"/>
        <w:ind w:left="0" w:hanging="567"/>
      </w:pPr>
      <w:bookmarkStart w:id="51" w:name="_Ref82000973"/>
      <w:bookmarkStart w:id="52" w:name="_Toc109996650"/>
      <w:r>
        <w:t>HCH patients</w:t>
      </w:r>
      <w:bookmarkEnd w:id="51"/>
      <w:bookmarkEnd w:id="52"/>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E76EF4" w:rsidRPr="0048466A" w14:paraId="691B52BD" w14:textId="77777777" w:rsidTr="0032660B">
        <w:tc>
          <w:tcPr>
            <w:tcW w:w="8996" w:type="dxa"/>
            <w:shd w:val="clear" w:color="auto" w:fill="auto"/>
          </w:tcPr>
          <w:p w14:paraId="09CC5FA2" w14:textId="0FA8F8FB" w:rsidR="00E76EF4" w:rsidRPr="006201AB" w:rsidRDefault="00E76EF4" w:rsidP="00BE164E">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3</w:t>
            </w:r>
            <w:r w:rsidRPr="006201AB">
              <w:rPr>
                <w:bCs/>
                <w:noProof/>
              </w:rPr>
              <w:fldChar w:fldCharType="end"/>
            </w:r>
            <w:r w:rsidRPr="006201AB">
              <w:rPr>
                <w:bCs/>
                <w:szCs w:val="20"/>
              </w:rPr>
              <w:t>: Chapter summary</w:t>
            </w:r>
          </w:p>
          <w:p w14:paraId="64C2199B" w14:textId="43CD18F2" w:rsidR="00A87E55" w:rsidRDefault="00890A26" w:rsidP="00D47A0C">
            <w:pPr>
              <w:spacing w:after="120"/>
              <w:rPr>
                <w:rFonts w:eastAsia="Muli" w:cs="Muli"/>
                <w:color w:val="000000" w:themeColor="text1"/>
                <w:sz w:val="18"/>
                <w:szCs w:val="18"/>
              </w:rPr>
            </w:pPr>
            <w:r>
              <w:rPr>
                <w:rFonts w:eastAsia="Muli" w:cs="Muli"/>
                <w:color w:val="000000" w:themeColor="text1"/>
                <w:sz w:val="18"/>
                <w:szCs w:val="18"/>
              </w:rPr>
              <w:t>B</w:t>
            </w:r>
            <w:r w:rsidR="00E57A38">
              <w:rPr>
                <w:rFonts w:eastAsia="Muli" w:cs="Muli"/>
                <w:color w:val="000000" w:themeColor="text1"/>
                <w:sz w:val="18"/>
                <w:szCs w:val="18"/>
              </w:rPr>
              <w:t>etween October 2017 and June 2019</w:t>
            </w:r>
            <w:r w:rsidR="00E96303" w:rsidRPr="00E96303">
              <w:rPr>
                <w:rFonts w:eastAsia="Muli" w:cs="Muli"/>
                <w:color w:val="000000" w:themeColor="text1"/>
                <w:sz w:val="18"/>
                <w:szCs w:val="18"/>
              </w:rPr>
              <w:t>, 11,332 patients were enrolled</w:t>
            </w:r>
            <w:r w:rsidR="00A8609B">
              <w:rPr>
                <w:rFonts w:eastAsia="Muli" w:cs="Muli"/>
                <w:color w:val="000000" w:themeColor="text1"/>
                <w:sz w:val="18"/>
                <w:szCs w:val="18"/>
              </w:rPr>
              <w:t xml:space="preserve"> in HCH</w:t>
            </w:r>
            <w:r w:rsidR="00E96303" w:rsidRPr="00E96303">
              <w:rPr>
                <w:rFonts w:eastAsia="Muli" w:cs="Muli"/>
                <w:color w:val="000000" w:themeColor="text1"/>
                <w:sz w:val="18"/>
                <w:szCs w:val="18"/>
              </w:rPr>
              <w:t xml:space="preserve">. Patients were most commonly assigned to tier 2 at enrolment (49% of patients), followed by tier 3 (33%) and tier 1 (18%). </w:t>
            </w:r>
          </w:p>
          <w:p w14:paraId="538D24C8" w14:textId="09B7A3DC" w:rsidR="00D47A0C" w:rsidRPr="00E96303" w:rsidRDefault="00A87E55" w:rsidP="00C95E11">
            <w:pPr>
              <w:spacing w:after="120"/>
              <w:rPr>
                <w:rFonts w:eastAsia="Muli" w:cs="Muli"/>
                <w:color w:val="000000" w:themeColor="text1"/>
                <w:sz w:val="18"/>
                <w:szCs w:val="18"/>
              </w:rPr>
            </w:pPr>
            <w:r w:rsidRPr="00E96303">
              <w:rPr>
                <w:rFonts w:eastAsia="Muli" w:cs="Muli"/>
                <w:color w:val="000000" w:themeColor="text1"/>
                <w:sz w:val="18"/>
                <w:szCs w:val="18"/>
              </w:rPr>
              <w:t>At the trial end on 30 June 2021, 7,742 (68%) patients remained.</w:t>
            </w:r>
            <w:r>
              <w:rPr>
                <w:rFonts w:eastAsia="Muli" w:cs="Muli"/>
                <w:color w:val="000000" w:themeColor="text1"/>
                <w:sz w:val="18"/>
                <w:szCs w:val="18"/>
              </w:rPr>
              <w:t xml:space="preserve"> </w:t>
            </w:r>
            <w:r w:rsidR="00C95E11">
              <w:rPr>
                <w:rFonts w:eastAsia="Muli" w:cs="Muli"/>
                <w:color w:val="000000" w:themeColor="text1"/>
                <w:sz w:val="18"/>
                <w:szCs w:val="18"/>
              </w:rPr>
              <w:t xml:space="preserve">Of these, </w:t>
            </w:r>
            <w:r w:rsidR="00D47A0C" w:rsidRPr="00E96303">
              <w:rPr>
                <w:rFonts w:eastAsia="Muli" w:cs="Muli"/>
                <w:color w:val="000000" w:themeColor="text1"/>
                <w:sz w:val="18"/>
                <w:szCs w:val="18"/>
              </w:rPr>
              <w:t xml:space="preserve">1,053 (13.6%) were </w:t>
            </w:r>
            <w:r w:rsidR="00A8609B">
              <w:rPr>
                <w:rFonts w:eastAsia="Muli" w:cs="Muli"/>
                <w:color w:val="000000" w:themeColor="text1"/>
                <w:sz w:val="18"/>
                <w:szCs w:val="18"/>
              </w:rPr>
              <w:t>re-allocated</w:t>
            </w:r>
            <w:r w:rsidR="00D47A0C" w:rsidRPr="00E96303">
              <w:rPr>
                <w:rFonts w:eastAsia="Muli" w:cs="Muli"/>
                <w:color w:val="000000" w:themeColor="text1"/>
                <w:sz w:val="18"/>
                <w:szCs w:val="18"/>
              </w:rPr>
              <w:t xml:space="preserve"> to a different tier at least once before the trial ended. There were both upward and downward movements in the tiers, with more patients moving to a </w:t>
            </w:r>
            <w:r w:rsidR="00874CDE">
              <w:rPr>
                <w:rFonts w:eastAsia="Muli" w:cs="Muli"/>
                <w:color w:val="000000" w:themeColor="text1"/>
                <w:sz w:val="18"/>
                <w:szCs w:val="18"/>
              </w:rPr>
              <w:t xml:space="preserve">more complex </w:t>
            </w:r>
            <w:r w:rsidR="00D47A0C" w:rsidRPr="00E96303">
              <w:rPr>
                <w:rFonts w:eastAsia="Muli" w:cs="Muli"/>
                <w:color w:val="000000" w:themeColor="text1"/>
                <w:sz w:val="18"/>
                <w:szCs w:val="18"/>
              </w:rPr>
              <w:t>tier</w:t>
            </w:r>
            <w:r w:rsidR="00D47A0C">
              <w:rPr>
                <w:rFonts w:eastAsia="Muli" w:cs="Muli"/>
                <w:color w:val="000000" w:themeColor="text1"/>
                <w:sz w:val="18"/>
                <w:szCs w:val="18"/>
              </w:rPr>
              <w:t xml:space="preserve"> </w:t>
            </w:r>
            <w:r w:rsidR="00D47A0C" w:rsidRPr="00E96303">
              <w:rPr>
                <w:rFonts w:eastAsia="Muli" w:cs="Muli"/>
                <w:color w:val="000000" w:themeColor="text1"/>
                <w:sz w:val="18"/>
                <w:szCs w:val="18"/>
              </w:rPr>
              <w:t xml:space="preserve">than they were assigned at enrolment. </w:t>
            </w:r>
          </w:p>
          <w:p w14:paraId="7D90DED1" w14:textId="15D19D96" w:rsidR="00E96303" w:rsidRPr="00E96303" w:rsidRDefault="00E96303" w:rsidP="00E96303">
            <w:pPr>
              <w:spacing w:after="120"/>
              <w:rPr>
                <w:rFonts w:eastAsia="Muli" w:cs="Muli"/>
                <w:color w:val="000000" w:themeColor="text1"/>
                <w:sz w:val="18"/>
                <w:szCs w:val="18"/>
              </w:rPr>
            </w:pPr>
            <w:r w:rsidRPr="00E96303">
              <w:rPr>
                <w:rFonts w:eastAsia="Muli" w:cs="Muli"/>
                <w:color w:val="000000" w:themeColor="text1"/>
                <w:sz w:val="18"/>
                <w:szCs w:val="18"/>
              </w:rPr>
              <w:t xml:space="preserve">Patients allocated to tier 3 at enrolment were more than </w:t>
            </w:r>
            <w:r w:rsidR="00384A28">
              <w:rPr>
                <w:rFonts w:eastAsia="Muli" w:cs="Muli"/>
                <w:color w:val="000000" w:themeColor="text1"/>
                <w:sz w:val="18"/>
                <w:szCs w:val="18"/>
              </w:rPr>
              <w:t>four</w:t>
            </w:r>
            <w:r w:rsidRPr="00E96303">
              <w:rPr>
                <w:rFonts w:eastAsia="Muli" w:cs="Muli"/>
                <w:color w:val="000000" w:themeColor="text1"/>
                <w:sz w:val="18"/>
                <w:szCs w:val="18"/>
              </w:rPr>
              <w:t xml:space="preserve"> times</w:t>
            </w:r>
            <w:r w:rsidR="00E419E5">
              <w:rPr>
                <w:rFonts w:eastAsia="Muli" w:cs="Muli"/>
                <w:color w:val="000000" w:themeColor="text1"/>
                <w:sz w:val="18"/>
                <w:szCs w:val="18"/>
              </w:rPr>
              <w:t xml:space="preserve"> as</w:t>
            </w:r>
            <w:r w:rsidRPr="00E96303">
              <w:rPr>
                <w:rFonts w:eastAsia="Muli" w:cs="Muli"/>
                <w:color w:val="000000" w:themeColor="text1"/>
                <w:sz w:val="18"/>
                <w:szCs w:val="18"/>
              </w:rPr>
              <w:t xml:space="preserve"> likely to die than patients in tier 1, and 1.6 times as likely to die as patients in tier 2. Older patients, males and patients allocated to a </w:t>
            </w:r>
            <w:r w:rsidR="00384A28">
              <w:rPr>
                <w:rFonts w:eastAsia="Muli" w:cs="Muli"/>
                <w:color w:val="000000" w:themeColor="text1"/>
                <w:sz w:val="18"/>
                <w:szCs w:val="18"/>
              </w:rPr>
              <w:t>more complex</w:t>
            </w:r>
            <w:r w:rsidRPr="00E96303">
              <w:rPr>
                <w:rFonts w:eastAsia="Muli" w:cs="Muli"/>
                <w:color w:val="000000" w:themeColor="text1"/>
                <w:sz w:val="18"/>
                <w:szCs w:val="18"/>
              </w:rPr>
              <w:t xml:space="preserve"> tier at baseline were more likely to die during the follow-up period. </w:t>
            </w:r>
          </w:p>
          <w:p w14:paraId="007D7C6F" w14:textId="75CDAD77" w:rsidR="00E76EF4" w:rsidRPr="0056776B" w:rsidRDefault="00357315" w:rsidP="00BE164E">
            <w:pPr>
              <w:spacing w:after="120"/>
              <w:rPr>
                <w:rFonts w:eastAsia="Muli" w:cs="Muli"/>
                <w:color w:val="000000" w:themeColor="text1"/>
                <w:sz w:val="18"/>
                <w:szCs w:val="18"/>
              </w:rPr>
            </w:pPr>
            <w:r w:rsidRPr="00357315">
              <w:rPr>
                <w:rFonts w:eastAsia="Muli" w:cs="Muli"/>
                <w:color w:val="000000" w:themeColor="text1"/>
                <w:sz w:val="18"/>
                <w:szCs w:val="18"/>
              </w:rPr>
              <w:t>More than one</w:t>
            </w:r>
            <w:r w:rsidR="00D63CA9">
              <w:rPr>
                <w:rFonts w:eastAsia="Muli" w:cs="Muli"/>
                <w:color w:val="000000" w:themeColor="text1"/>
                <w:sz w:val="18"/>
                <w:szCs w:val="18"/>
              </w:rPr>
              <w:t xml:space="preserve"> </w:t>
            </w:r>
            <w:r w:rsidRPr="00357315">
              <w:rPr>
                <w:rFonts w:eastAsia="Muli" w:cs="Muli"/>
                <w:color w:val="000000" w:themeColor="text1"/>
                <w:sz w:val="18"/>
                <w:szCs w:val="18"/>
              </w:rPr>
              <w:t>third of patients who withdrew did so because their practice withdrew. Among all patients who enrolled</w:t>
            </w:r>
            <w:r w:rsidR="00384A28">
              <w:rPr>
                <w:rFonts w:eastAsia="Muli" w:cs="Muli"/>
                <w:color w:val="000000" w:themeColor="text1"/>
                <w:sz w:val="18"/>
                <w:szCs w:val="18"/>
              </w:rPr>
              <w:t xml:space="preserve"> in the trial</w:t>
            </w:r>
            <w:r w:rsidRPr="00357315">
              <w:rPr>
                <w:rFonts w:eastAsia="Muli" w:cs="Muli"/>
                <w:color w:val="000000" w:themeColor="text1"/>
                <w:sz w:val="18"/>
                <w:szCs w:val="18"/>
              </w:rPr>
              <w:t>, 7.3% opted out. In interviews with practices, staff commented that patients who opted out did not understand the HCH model or wanted more time with their GP. Patients who withdrew from the trial for reasons other than their practice withdr</w:t>
            </w:r>
            <w:r w:rsidR="00384A28">
              <w:rPr>
                <w:rFonts w:eastAsia="Muli" w:cs="Muli"/>
                <w:color w:val="000000" w:themeColor="text1"/>
                <w:sz w:val="18"/>
                <w:szCs w:val="18"/>
              </w:rPr>
              <w:t>awing</w:t>
            </w:r>
            <w:r w:rsidRPr="00357315">
              <w:rPr>
                <w:rFonts w:eastAsia="Muli" w:cs="Muli"/>
                <w:color w:val="000000" w:themeColor="text1"/>
                <w:sz w:val="18"/>
                <w:szCs w:val="18"/>
              </w:rPr>
              <w:t xml:space="preserve"> tended to be slightly older and allocated to a </w:t>
            </w:r>
            <w:r w:rsidR="00A66064">
              <w:rPr>
                <w:rFonts w:eastAsia="Muli" w:cs="Muli"/>
                <w:color w:val="000000" w:themeColor="text1"/>
                <w:sz w:val="18"/>
                <w:szCs w:val="18"/>
              </w:rPr>
              <w:t>more complex</w:t>
            </w:r>
            <w:r w:rsidRPr="00357315">
              <w:rPr>
                <w:rFonts w:eastAsia="Muli" w:cs="Muli"/>
                <w:color w:val="000000" w:themeColor="text1"/>
                <w:sz w:val="18"/>
                <w:szCs w:val="18"/>
              </w:rPr>
              <w:t xml:space="preserve"> tier on enrolment compared with patients who remained in the trial</w:t>
            </w:r>
            <w:r w:rsidR="00E96303" w:rsidRPr="00E96303">
              <w:rPr>
                <w:rFonts w:eastAsia="Muli" w:cs="Muli"/>
                <w:color w:val="000000" w:themeColor="text1"/>
                <w:sz w:val="18"/>
                <w:szCs w:val="18"/>
              </w:rPr>
              <w:t>.</w:t>
            </w:r>
          </w:p>
        </w:tc>
      </w:tr>
    </w:tbl>
    <w:p w14:paraId="77329745" w14:textId="247BFDD4" w:rsidR="00E76EF4" w:rsidRDefault="00E76EF4" w:rsidP="00E76EF4">
      <w:pPr>
        <w:spacing w:after="0"/>
        <w:rPr>
          <w:rFonts w:eastAsia="Muli" w:cs="Muli"/>
          <w:color w:val="000000" w:themeColor="text1"/>
          <w:szCs w:val="20"/>
        </w:rPr>
      </w:pPr>
    </w:p>
    <w:p w14:paraId="3AC7F9AD" w14:textId="79166AB6" w:rsidR="00506AE4" w:rsidRDefault="00EC6DFE" w:rsidP="00506AE4">
      <w:r w:rsidRPr="009E4B76">
        <w:rPr>
          <w:szCs w:val="20"/>
        </w:rPr>
        <w:t>Practices started enrolling</w:t>
      </w:r>
      <w:r w:rsidR="00AE16F8" w:rsidRPr="009E4B76">
        <w:rPr>
          <w:szCs w:val="20"/>
        </w:rPr>
        <w:t xml:space="preserve"> patients </w:t>
      </w:r>
      <w:r w:rsidRPr="009E4B76">
        <w:rPr>
          <w:szCs w:val="20"/>
        </w:rPr>
        <w:t>in</w:t>
      </w:r>
      <w:r w:rsidR="00AE16F8" w:rsidRPr="009E4B76">
        <w:rPr>
          <w:szCs w:val="20"/>
        </w:rPr>
        <w:t xml:space="preserve"> the trial </w:t>
      </w:r>
      <w:r w:rsidRPr="009E4B76">
        <w:rPr>
          <w:szCs w:val="20"/>
        </w:rPr>
        <w:t>from</w:t>
      </w:r>
      <w:r w:rsidR="0068481B" w:rsidRPr="009E4B76">
        <w:rPr>
          <w:szCs w:val="20"/>
        </w:rPr>
        <w:t xml:space="preserve"> October 2017</w:t>
      </w:r>
      <w:r w:rsidR="001B67C1" w:rsidRPr="009E4B76">
        <w:rPr>
          <w:szCs w:val="20"/>
        </w:rPr>
        <w:t>. Enrolment closed</w:t>
      </w:r>
      <w:r w:rsidR="0068481B" w:rsidRPr="009E4B76">
        <w:rPr>
          <w:szCs w:val="20"/>
        </w:rPr>
        <w:t xml:space="preserve"> </w:t>
      </w:r>
      <w:r w:rsidR="001B67C1" w:rsidRPr="009E4B76">
        <w:rPr>
          <w:szCs w:val="20"/>
        </w:rPr>
        <w:t>on</w:t>
      </w:r>
      <w:r w:rsidR="0068481B" w:rsidRPr="009E4B76">
        <w:rPr>
          <w:szCs w:val="20"/>
        </w:rPr>
        <w:t xml:space="preserve"> 30</w:t>
      </w:r>
      <w:r w:rsidR="00041567">
        <w:rPr>
          <w:szCs w:val="20"/>
        </w:rPr>
        <w:t> </w:t>
      </w:r>
      <w:r w:rsidR="0068481B" w:rsidRPr="009E4B76">
        <w:rPr>
          <w:szCs w:val="20"/>
        </w:rPr>
        <w:t xml:space="preserve">June 2019. </w:t>
      </w:r>
      <w:r w:rsidR="00213200" w:rsidRPr="009E4B76">
        <w:rPr>
          <w:b/>
          <w:bCs/>
          <w:szCs w:val="20"/>
        </w:rPr>
        <w:fldChar w:fldCharType="begin"/>
      </w:r>
      <w:r w:rsidR="00213200" w:rsidRPr="009E4B76">
        <w:rPr>
          <w:b/>
          <w:bCs/>
          <w:szCs w:val="20"/>
        </w:rPr>
        <w:instrText xml:space="preserve"> REF _Ref96338596 \h  \* MERGEFORMAT </w:instrText>
      </w:r>
      <w:r w:rsidR="00213200" w:rsidRPr="009E4B76">
        <w:rPr>
          <w:b/>
          <w:bCs/>
          <w:szCs w:val="20"/>
        </w:rPr>
      </w:r>
      <w:r w:rsidR="00213200" w:rsidRPr="009E4B76">
        <w:rPr>
          <w:b/>
          <w:bCs/>
          <w:szCs w:val="20"/>
        </w:rPr>
        <w:fldChar w:fldCharType="separate"/>
      </w:r>
      <w:r w:rsidR="003C4BC2" w:rsidRPr="003C4BC2">
        <w:rPr>
          <w:rStyle w:val="Strong1"/>
          <w:b w:val="0"/>
          <w:bCs/>
          <w:color w:val="1D2455"/>
          <w:sz w:val="20"/>
          <w:szCs w:val="16"/>
        </w:rPr>
        <w:t>Figure 4</w:t>
      </w:r>
      <w:r w:rsidR="00213200" w:rsidRPr="009E4B76">
        <w:rPr>
          <w:b/>
          <w:bCs/>
          <w:szCs w:val="20"/>
        </w:rPr>
        <w:fldChar w:fldCharType="end"/>
      </w:r>
      <w:r w:rsidR="0068481B" w:rsidRPr="009E4B76">
        <w:rPr>
          <w:szCs w:val="20"/>
        </w:rPr>
        <w:t xml:space="preserve"> shows the trend in the number of active patients </w:t>
      </w:r>
      <w:r w:rsidR="001B67C1" w:rsidRPr="009E4B76">
        <w:rPr>
          <w:szCs w:val="20"/>
        </w:rPr>
        <w:t>–</w:t>
      </w:r>
      <w:r w:rsidR="003B01C3" w:rsidRPr="009E4B76">
        <w:rPr>
          <w:szCs w:val="20"/>
        </w:rPr>
        <w:t xml:space="preserve"> </w:t>
      </w:r>
      <w:r w:rsidR="00514A6C" w:rsidRPr="009E4B76">
        <w:rPr>
          <w:szCs w:val="20"/>
        </w:rPr>
        <w:t xml:space="preserve">those who </w:t>
      </w:r>
      <w:r w:rsidR="00334DA9" w:rsidRPr="009E4B76">
        <w:rPr>
          <w:szCs w:val="20"/>
        </w:rPr>
        <w:t>remained</w:t>
      </w:r>
      <w:r w:rsidR="00007AE7" w:rsidRPr="009E4B76">
        <w:rPr>
          <w:szCs w:val="20"/>
        </w:rPr>
        <w:t xml:space="preserve"> in the trial</w:t>
      </w:r>
      <w:r w:rsidR="003B01C3" w:rsidRPr="009E4B76">
        <w:rPr>
          <w:szCs w:val="20"/>
        </w:rPr>
        <w:t xml:space="preserve"> </w:t>
      </w:r>
      <w:r w:rsidR="001B67C1" w:rsidRPr="009E4B76">
        <w:rPr>
          <w:szCs w:val="20"/>
        </w:rPr>
        <w:t>–</w:t>
      </w:r>
      <w:r w:rsidR="003B01C3" w:rsidRPr="009E4B76">
        <w:rPr>
          <w:szCs w:val="20"/>
        </w:rPr>
        <w:t xml:space="preserve"> </w:t>
      </w:r>
      <w:r w:rsidR="0068481B" w:rsidRPr="009E4B76">
        <w:rPr>
          <w:szCs w:val="20"/>
        </w:rPr>
        <w:t>with the shaded area highlighting the enrolment period. Enrolment</w:t>
      </w:r>
      <w:r w:rsidR="004F556A">
        <w:rPr>
          <w:szCs w:val="20"/>
        </w:rPr>
        <w:t>s</w:t>
      </w:r>
      <w:r w:rsidR="0068481B" w:rsidRPr="009E4B76">
        <w:rPr>
          <w:szCs w:val="20"/>
        </w:rPr>
        <w:t xml:space="preserve"> increased slowly during the first half of 2018, then more rapidly through to the end of 2018. Enrolment</w:t>
      </w:r>
      <w:r w:rsidR="00007AE7" w:rsidRPr="009E4B76">
        <w:rPr>
          <w:szCs w:val="20"/>
        </w:rPr>
        <w:t>s</w:t>
      </w:r>
      <w:r w:rsidR="0068481B" w:rsidRPr="009E4B76">
        <w:rPr>
          <w:szCs w:val="20"/>
        </w:rPr>
        <w:t xml:space="preserve"> then slowed again, with relatively steady increases through to the end of the enrolment period. </w:t>
      </w:r>
      <w:r w:rsidR="00094333">
        <w:rPr>
          <w:szCs w:val="20"/>
        </w:rPr>
        <w:t>From</w:t>
      </w:r>
      <w:r w:rsidR="00BE5276" w:rsidRPr="009E4B76">
        <w:rPr>
          <w:szCs w:val="20"/>
        </w:rPr>
        <w:t xml:space="preserve"> </w:t>
      </w:r>
      <w:r w:rsidR="0068481B" w:rsidRPr="009E4B76">
        <w:rPr>
          <w:szCs w:val="20"/>
        </w:rPr>
        <w:t xml:space="preserve">the end of the enrolment period there </w:t>
      </w:r>
      <w:r w:rsidR="00094333">
        <w:rPr>
          <w:szCs w:val="20"/>
        </w:rPr>
        <w:t>was</w:t>
      </w:r>
      <w:r w:rsidR="0068481B" w:rsidRPr="009E4B76">
        <w:rPr>
          <w:szCs w:val="20"/>
        </w:rPr>
        <w:t xml:space="preserve"> a gradual attrition of patients. </w:t>
      </w:r>
      <w:r w:rsidR="0068481B" w:rsidRPr="009E4B76">
        <w:rPr>
          <w:szCs w:val="20"/>
        </w:rPr>
        <w:fldChar w:fldCharType="begin"/>
      </w:r>
      <w:r w:rsidR="0068481B" w:rsidRPr="009E4B76">
        <w:rPr>
          <w:szCs w:val="20"/>
        </w:rPr>
        <w:instrText xml:space="preserve"> REF _Ref49784491 \h  \* MERGEFORMAT </w:instrText>
      </w:r>
      <w:r w:rsidR="0068481B" w:rsidRPr="009E4B76">
        <w:rPr>
          <w:szCs w:val="20"/>
        </w:rPr>
      </w:r>
      <w:r w:rsidR="0068481B" w:rsidRPr="009E4B76">
        <w:rPr>
          <w:szCs w:val="20"/>
        </w:rPr>
        <w:fldChar w:fldCharType="separate"/>
      </w:r>
      <w:r w:rsidR="003C4BC2" w:rsidRPr="003C4BC2">
        <w:rPr>
          <w:szCs w:val="20"/>
        </w:rPr>
        <w:t>Table 8</w:t>
      </w:r>
      <w:r w:rsidR="0068481B" w:rsidRPr="009E4B76">
        <w:rPr>
          <w:szCs w:val="20"/>
        </w:rPr>
        <w:fldChar w:fldCharType="end"/>
      </w:r>
      <w:r w:rsidR="0068481B" w:rsidRPr="009E4B76">
        <w:rPr>
          <w:szCs w:val="20"/>
        </w:rPr>
        <w:t xml:space="preserve"> shows</w:t>
      </w:r>
      <w:r w:rsidR="0068481B">
        <w:rPr>
          <w:noProof/>
          <w:szCs w:val="20"/>
          <w:lang w:eastAsia="ko-KR"/>
        </w:rPr>
        <w:t xml:space="preserve"> the reasons for withdrawal.</w:t>
      </w:r>
      <w:r w:rsidR="0068481B" w:rsidRPr="002D3256">
        <w:t xml:space="preserve"> </w:t>
      </w:r>
    </w:p>
    <w:p w14:paraId="79F18958" w14:textId="26E29A96" w:rsidR="00506AE4" w:rsidRDefault="00506AE4" w:rsidP="0068481B">
      <w:r w:rsidRPr="009E4B76">
        <w:rPr>
          <w:szCs w:val="20"/>
        </w:rPr>
        <w:t>At enrolment, patients were assigned to one of three risk tiers, which determined the level of bundled payment</w:t>
      </w:r>
      <w:r w:rsidR="00D25039">
        <w:rPr>
          <w:szCs w:val="20"/>
        </w:rPr>
        <w:t>s</w:t>
      </w:r>
      <w:r w:rsidRPr="009E4B76">
        <w:rPr>
          <w:szCs w:val="20"/>
        </w:rPr>
        <w:t xml:space="preserve"> made to the practice. </w:t>
      </w:r>
      <w:r w:rsidRPr="006524FD">
        <w:rPr>
          <w:b/>
          <w:bCs/>
          <w:szCs w:val="20"/>
          <w:highlight w:val="yellow"/>
        </w:rPr>
        <w:fldChar w:fldCharType="begin"/>
      </w:r>
      <w:r w:rsidRPr="006524FD">
        <w:rPr>
          <w:b/>
          <w:bCs/>
          <w:szCs w:val="20"/>
        </w:rPr>
        <w:instrText xml:space="preserve"> REF _Ref85532713 \h </w:instrText>
      </w:r>
      <w:r w:rsidRPr="006524FD">
        <w:rPr>
          <w:b/>
          <w:bCs/>
          <w:szCs w:val="20"/>
          <w:highlight w:val="yellow"/>
        </w:rPr>
        <w:instrText xml:space="preserve"> \* MERGEFORMAT </w:instrText>
      </w:r>
      <w:r w:rsidRPr="006524FD">
        <w:rPr>
          <w:b/>
          <w:bCs/>
          <w:szCs w:val="20"/>
          <w:highlight w:val="yellow"/>
        </w:rPr>
      </w:r>
      <w:r w:rsidRPr="006524FD">
        <w:rPr>
          <w:b/>
          <w:bCs/>
          <w:szCs w:val="20"/>
          <w:highlight w:val="yellow"/>
        </w:rPr>
        <w:fldChar w:fldCharType="separate"/>
      </w:r>
      <w:r w:rsidR="003C4BC2" w:rsidRPr="003C4BC2">
        <w:rPr>
          <w:rStyle w:val="Strong1"/>
          <w:b w:val="0"/>
          <w:bCs/>
          <w:color w:val="1D2455"/>
          <w:sz w:val="20"/>
          <w:szCs w:val="16"/>
        </w:rPr>
        <w:t xml:space="preserve">Figure </w:t>
      </w:r>
      <w:r w:rsidR="003C4BC2" w:rsidRPr="003C4BC2">
        <w:rPr>
          <w:rStyle w:val="Strong1"/>
          <w:b w:val="0"/>
          <w:bCs/>
          <w:noProof/>
          <w:color w:val="1D2455"/>
          <w:sz w:val="20"/>
          <w:szCs w:val="16"/>
        </w:rPr>
        <w:t>6</w:t>
      </w:r>
      <w:r w:rsidRPr="006524FD">
        <w:rPr>
          <w:b/>
          <w:bCs/>
          <w:szCs w:val="20"/>
          <w:highlight w:val="yellow"/>
        </w:rPr>
        <w:fldChar w:fldCharType="end"/>
      </w:r>
      <w:r w:rsidRPr="006524FD">
        <w:rPr>
          <w:b/>
          <w:bCs/>
          <w:szCs w:val="20"/>
        </w:rPr>
        <w:t xml:space="preserve"> </w:t>
      </w:r>
      <w:r w:rsidRPr="006524FD">
        <w:rPr>
          <w:szCs w:val="20"/>
        </w:rPr>
        <w:t xml:space="preserve">(p. </w:t>
      </w:r>
      <w:r w:rsidR="00A6507A">
        <w:rPr>
          <w:szCs w:val="20"/>
        </w:rPr>
        <w:fldChar w:fldCharType="begin"/>
      </w:r>
      <w:r w:rsidR="00A6507A">
        <w:rPr>
          <w:szCs w:val="20"/>
        </w:rPr>
        <w:instrText xml:space="preserve"> PAGEREF _Ref96339237 \h </w:instrText>
      </w:r>
      <w:r w:rsidR="00A6507A">
        <w:rPr>
          <w:szCs w:val="20"/>
        </w:rPr>
      </w:r>
      <w:r w:rsidR="00A6507A">
        <w:rPr>
          <w:szCs w:val="20"/>
        </w:rPr>
        <w:fldChar w:fldCharType="separate"/>
      </w:r>
      <w:r w:rsidR="003C4BC2">
        <w:rPr>
          <w:noProof/>
          <w:szCs w:val="20"/>
        </w:rPr>
        <w:t>40</w:t>
      </w:r>
      <w:r w:rsidR="00A6507A">
        <w:rPr>
          <w:szCs w:val="20"/>
        </w:rPr>
        <w:fldChar w:fldCharType="end"/>
      </w:r>
      <w:r w:rsidRPr="006524FD">
        <w:rPr>
          <w:szCs w:val="20"/>
        </w:rPr>
        <w:t>) describes</w:t>
      </w:r>
      <w:r w:rsidRPr="009E4B76">
        <w:rPr>
          <w:szCs w:val="20"/>
        </w:rPr>
        <w:t xml:space="preserve"> the characteristics of each tier. The Department of Health estimated that of the population participating in the HCH trial, approximately 9.5% would be tier 3, 45% tier 2, and 46% tier 1.</w:t>
      </w:r>
      <w:r w:rsidR="00A6507A" w:rsidRPr="00A6507A">
        <w:rPr>
          <w:rStyle w:val="FootnoteReference"/>
          <w:color w:val="408BCA"/>
          <w:szCs w:val="20"/>
        </w:rPr>
        <w:footnoteReference w:id="16"/>
      </w:r>
      <w:r w:rsidRPr="009E4B76">
        <w:rPr>
          <w:szCs w:val="20"/>
        </w:rPr>
        <w:t xml:space="preserve"> The profile that eventuated was very different to this (</w:t>
      </w:r>
      <w:r w:rsidRPr="009E4B76">
        <w:rPr>
          <w:b/>
          <w:bCs/>
          <w:szCs w:val="20"/>
        </w:rPr>
        <w:fldChar w:fldCharType="begin"/>
      </w:r>
      <w:r w:rsidRPr="009E4B76">
        <w:rPr>
          <w:b/>
          <w:bCs/>
          <w:szCs w:val="20"/>
        </w:rPr>
        <w:instrText xml:space="preserve"> REF _Ref95833500 \h  \* MERGEFORMAT </w:instrText>
      </w:r>
      <w:r w:rsidRPr="009E4B76">
        <w:rPr>
          <w:b/>
          <w:bCs/>
          <w:szCs w:val="20"/>
        </w:rPr>
      </w:r>
      <w:r w:rsidRPr="009E4B76">
        <w:rPr>
          <w:b/>
          <w:bCs/>
          <w:szCs w:val="20"/>
        </w:rPr>
        <w:fldChar w:fldCharType="separate"/>
      </w:r>
      <w:r w:rsidR="003C4BC2" w:rsidRPr="003C4BC2">
        <w:rPr>
          <w:rStyle w:val="Strong1"/>
          <w:b w:val="0"/>
          <w:bCs/>
          <w:color w:val="1D2455"/>
          <w:sz w:val="20"/>
          <w:szCs w:val="16"/>
        </w:rPr>
        <w:t>Table 6</w:t>
      </w:r>
      <w:r w:rsidRPr="009E4B76">
        <w:rPr>
          <w:b/>
          <w:bCs/>
          <w:szCs w:val="20"/>
        </w:rPr>
        <w:fldChar w:fldCharType="end"/>
      </w:r>
      <w:r w:rsidRPr="009E4B76">
        <w:rPr>
          <w:szCs w:val="20"/>
        </w:rPr>
        <w:t>); with most patients were assigned to tier 2 (49%), followed by tier 3 (33%) and tier 1 (18%).</w:t>
      </w:r>
      <w:r w:rsidR="00DD0A22">
        <w:rPr>
          <w:szCs w:val="20"/>
        </w:rPr>
        <w:t xml:space="preserve"> </w:t>
      </w:r>
      <w:r w:rsidR="00DD0A22" w:rsidRPr="009E4B76">
        <w:rPr>
          <w:b/>
          <w:bCs/>
          <w:szCs w:val="20"/>
        </w:rPr>
        <w:fldChar w:fldCharType="begin"/>
      </w:r>
      <w:r w:rsidR="00DD0A22" w:rsidRPr="009E4B76">
        <w:rPr>
          <w:b/>
          <w:bCs/>
          <w:szCs w:val="20"/>
        </w:rPr>
        <w:instrText xml:space="preserve"> REF _Ref95833500 \h  \* MERGEFORMAT </w:instrText>
      </w:r>
      <w:r w:rsidR="00DD0A22" w:rsidRPr="009E4B76">
        <w:rPr>
          <w:b/>
          <w:bCs/>
          <w:szCs w:val="20"/>
        </w:rPr>
      </w:r>
      <w:r w:rsidR="00DD0A22" w:rsidRPr="009E4B76">
        <w:rPr>
          <w:b/>
          <w:bCs/>
          <w:szCs w:val="20"/>
        </w:rPr>
        <w:fldChar w:fldCharType="separate"/>
      </w:r>
      <w:r w:rsidR="003C4BC2" w:rsidRPr="003C4BC2">
        <w:rPr>
          <w:rStyle w:val="Strong1"/>
          <w:b w:val="0"/>
          <w:bCs/>
          <w:color w:val="1D2455"/>
          <w:sz w:val="20"/>
          <w:szCs w:val="16"/>
        </w:rPr>
        <w:t>Table 6</w:t>
      </w:r>
      <w:r w:rsidR="00DD0A22" w:rsidRPr="009E4B76">
        <w:rPr>
          <w:b/>
          <w:bCs/>
          <w:szCs w:val="20"/>
        </w:rPr>
        <w:fldChar w:fldCharType="end"/>
      </w:r>
      <w:r w:rsidR="00DD0A22" w:rsidRPr="009E4B76">
        <w:rPr>
          <w:b/>
          <w:bCs/>
          <w:szCs w:val="20"/>
        </w:rPr>
        <w:t xml:space="preserve"> </w:t>
      </w:r>
      <w:r w:rsidR="00DD0A22">
        <w:rPr>
          <w:szCs w:val="20"/>
        </w:rPr>
        <w:t>shows other characteristics of enrolled patients.</w:t>
      </w:r>
    </w:p>
    <w:p w14:paraId="2B29E8DF" w14:textId="77777777" w:rsidR="00506AE4" w:rsidRDefault="00506AE4">
      <w:pPr>
        <w:spacing w:after="160" w:line="259" w:lineRule="auto"/>
      </w:pPr>
      <w:r>
        <w:br w:type="page"/>
      </w:r>
    </w:p>
    <w:p w14:paraId="4AA16611" w14:textId="5907163D" w:rsidR="001504FC" w:rsidRPr="001F6BCE" w:rsidRDefault="001504FC" w:rsidP="001504FC">
      <w:pPr>
        <w:pStyle w:val="TableFigureheading"/>
        <w:rPr>
          <w:rStyle w:val="Strong1"/>
          <w:b w:val="0"/>
          <w:color w:val="1D2455"/>
          <w:sz w:val="20"/>
          <w:szCs w:val="16"/>
        </w:rPr>
      </w:pPr>
      <w:bookmarkStart w:id="53" w:name="_Ref96338596"/>
      <w:r w:rsidRPr="001F6BCE">
        <w:rPr>
          <w:rStyle w:val="Strong1"/>
          <w:b w:val="0"/>
          <w:color w:val="1D2455"/>
          <w:sz w:val="20"/>
          <w:szCs w:val="16"/>
        </w:rPr>
        <w:lastRenderedPageBreak/>
        <w:t xml:space="preserve">Figure </w:t>
      </w:r>
      <w:r w:rsidRPr="001F6BCE">
        <w:rPr>
          <w:rStyle w:val="Strong1"/>
          <w:b w:val="0"/>
          <w:color w:val="1D2455"/>
          <w:sz w:val="20"/>
          <w:szCs w:val="16"/>
        </w:rPr>
        <w:fldChar w:fldCharType="begin"/>
      </w:r>
      <w:r w:rsidRPr="00CB2984">
        <w:rPr>
          <w:rStyle w:val="Strong1"/>
          <w:b w:val="0"/>
          <w:color w:val="1D2455"/>
          <w:sz w:val="20"/>
          <w:szCs w:val="16"/>
        </w:rPr>
        <w:instrText xml:space="preserve"> SEQ Figure \* ARABIC </w:instrText>
      </w:r>
      <w:r w:rsidRPr="001F6BCE">
        <w:rPr>
          <w:rStyle w:val="Strong1"/>
          <w:b w:val="0"/>
          <w:color w:val="1D2455"/>
          <w:sz w:val="20"/>
          <w:szCs w:val="16"/>
        </w:rPr>
        <w:fldChar w:fldCharType="separate"/>
      </w:r>
      <w:r w:rsidR="003C4BC2">
        <w:rPr>
          <w:rStyle w:val="Strong1"/>
          <w:b w:val="0"/>
          <w:noProof/>
          <w:color w:val="1D2455"/>
          <w:sz w:val="20"/>
          <w:szCs w:val="16"/>
        </w:rPr>
        <w:t>4</w:t>
      </w:r>
      <w:r w:rsidRPr="001F6BCE">
        <w:rPr>
          <w:rStyle w:val="Strong1"/>
          <w:b w:val="0"/>
          <w:color w:val="1D2455"/>
          <w:sz w:val="20"/>
          <w:szCs w:val="16"/>
        </w:rPr>
        <w:fldChar w:fldCharType="end"/>
      </w:r>
      <w:bookmarkEnd w:id="53"/>
      <w:r w:rsidR="001F6BCE" w:rsidRPr="001F6BCE">
        <w:rPr>
          <w:rStyle w:val="Strong1"/>
          <w:b w:val="0"/>
          <w:color w:val="1D2455"/>
          <w:sz w:val="20"/>
          <w:szCs w:val="16"/>
        </w:rPr>
        <w:t>:</w:t>
      </w:r>
      <w:r w:rsidRPr="001F6BCE">
        <w:rPr>
          <w:rStyle w:val="Strong1"/>
          <w:b w:val="0"/>
          <w:color w:val="1D2455"/>
          <w:sz w:val="20"/>
          <w:szCs w:val="16"/>
        </w:rPr>
        <w:t xml:space="preserve"> Number of patients in the HCH trial</w:t>
      </w:r>
    </w:p>
    <w:p w14:paraId="422F00DC" w14:textId="06E66FA8" w:rsidR="0068481B" w:rsidRDefault="00204FE8" w:rsidP="00204FE8">
      <w:pPr>
        <w:spacing w:after="0"/>
        <w:jc w:val="center"/>
      </w:pPr>
      <w:r>
        <w:rPr>
          <w:noProof/>
        </w:rPr>
        <w:drawing>
          <wp:inline distT="0" distB="0" distL="0" distR="0" wp14:anchorId="0F8C9A7E" wp14:editId="1D7A3F51">
            <wp:extent cx="5573483" cy="2412000"/>
            <wp:effectExtent l="0" t="0" r="0" b="0"/>
            <wp:docPr id="36" name="Picture 36" descr="Graph, number of patients in health care homes tria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 number of patients in health care homes trial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73483" cy="2412000"/>
                    </a:xfrm>
                    <a:prstGeom prst="rect">
                      <a:avLst/>
                    </a:prstGeom>
                    <a:noFill/>
                    <a:ln>
                      <a:noFill/>
                    </a:ln>
                  </pic:spPr>
                </pic:pic>
              </a:graphicData>
            </a:graphic>
          </wp:inline>
        </w:drawing>
      </w:r>
    </w:p>
    <w:p w14:paraId="38015707" w14:textId="4209D223" w:rsidR="005B0774" w:rsidRDefault="005B0774" w:rsidP="005B0774">
      <w:pPr>
        <w:pStyle w:val="Chartortablefootnote"/>
      </w:pPr>
      <w:r w:rsidRPr="000819FA">
        <w:t xml:space="preserve">Source: </w:t>
      </w:r>
      <w:r>
        <w:rPr>
          <w:szCs w:val="16"/>
        </w:rPr>
        <w:t xml:space="preserve">Health Professional Online Services (HPOS) </w:t>
      </w:r>
      <w:r>
        <w:t>data to 30 June 2021</w:t>
      </w:r>
      <w:r w:rsidRPr="000819FA">
        <w:t>.</w:t>
      </w:r>
    </w:p>
    <w:p w14:paraId="10093EE2" w14:textId="669C4734" w:rsidR="00D72973" w:rsidRPr="00E10ABC" w:rsidRDefault="00D72973" w:rsidP="00DC7281">
      <w:pPr>
        <w:pStyle w:val="TableFigureheading"/>
        <w:rPr>
          <w:rStyle w:val="Strong1"/>
          <w:b w:val="0"/>
          <w:color w:val="1D2455"/>
          <w:sz w:val="20"/>
          <w:szCs w:val="16"/>
        </w:rPr>
      </w:pPr>
      <w:bookmarkStart w:id="54" w:name="_Ref95833500"/>
      <w:bookmarkStart w:id="55" w:name="_Ref103766613"/>
      <w:r w:rsidRPr="00E10ABC">
        <w:rPr>
          <w:rStyle w:val="Strong1"/>
          <w:b w:val="0"/>
          <w:color w:val="1D2455"/>
          <w:sz w:val="20"/>
          <w:szCs w:val="16"/>
        </w:rPr>
        <w:t xml:space="preserve">Table </w:t>
      </w:r>
      <w:r w:rsidRPr="006524FD">
        <w:rPr>
          <w:rStyle w:val="Strong1"/>
          <w:b w:val="0"/>
          <w:color w:val="1D2455"/>
          <w:sz w:val="20"/>
          <w:szCs w:val="16"/>
        </w:rPr>
        <w:fldChar w:fldCharType="begin"/>
      </w:r>
      <w:r w:rsidRPr="006524FD">
        <w:rPr>
          <w:rStyle w:val="Strong1"/>
          <w:b w:val="0"/>
          <w:color w:val="1D2455"/>
          <w:sz w:val="20"/>
          <w:szCs w:val="16"/>
        </w:rPr>
        <w:instrText>SEQ Table \* ARABIC</w:instrText>
      </w:r>
      <w:r w:rsidRPr="006524FD">
        <w:rPr>
          <w:rStyle w:val="Strong1"/>
          <w:b w:val="0"/>
          <w:color w:val="1D2455"/>
          <w:sz w:val="20"/>
          <w:szCs w:val="16"/>
        </w:rPr>
        <w:fldChar w:fldCharType="separate"/>
      </w:r>
      <w:r w:rsidR="003C4BC2">
        <w:rPr>
          <w:rStyle w:val="Strong1"/>
          <w:b w:val="0"/>
          <w:noProof/>
          <w:color w:val="1D2455"/>
          <w:sz w:val="20"/>
          <w:szCs w:val="16"/>
        </w:rPr>
        <w:t>6</w:t>
      </w:r>
      <w:r w:rsidRPr="006524FD">
        <w:rPr>
          <w:rStyle w:val="Strong1"/>
          <w:b w:val="0"/>
          <w:color w:val="1D2455"/>
          <w:sz w:val="20"/>
          <w:szCs w:val="16"/>
        </w:rPr>
        <w:fldChar w:fldCharType="end"/>
      </w:r>
      <w:bookmarkEnd w:id="54"/>
      <w:r w:rsidR="00E10ABC" w:rsidRPr="00E10ABC">
        <w:rPr>
          <w:rStyle w:val="Strong1"/>
          <w:b w:val="0"/>
          <w:bCs w:val="0"/>
          <w:color w:val="1D2455"/>
          <w:sz w:val="20"/>
          <w:szCs w:val="16"/>
        </w:rPr>
        <w:t>:</w:t>
      </w:r>
      <w:r w:rsidRPr="00E10ABC">
        <w:rPr>
          <w:rStyle w:val="Strong1"/>
          <w:b w:val="0"/>
          <w:color w:val="1D2455"/>
          <w:sz w:val="20"/>
          <w:szCs w:val="16"/>
        </w:rPr>
        <w:t xml:space="preserve"> Key characteristics of HCH patients</w:t>
      </w:r>
      <w:bookmarkEnd w:id="55"/>
    </w:p>
    <w:tbl>
      <w:tblPr>
        <w:tblW w:w="7078"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1550"/>
        <w:gridCol w:w="1842"/>
        <w:gridCol w:w="1843"/>
        <w:gridCol w:w="1843"/>
      </w:tblGrid>
      <w:tr w:rsidR="00D72973" w:rsidRPr="00474DA9" w14:paraId="6F736C72" w14:textId="77777777" w:rsidTr="00CA69AF">
        <w:trPr>
          <w:cantSplit/>
          <w:tblHeader/>
          <w:jc w:val="center"/>
        </w:trPr>
        <w:tc>
          <w:tcPr>
            <w:tcW w:w="1550" w:type="dxa"/>
            <w:vMerge w:val="restart"/>
            <w:tcBorders>
              <w:top w:val="single" w:sz="4" w:space="0" w:color="408BCA"/>
              <w:bottom w:val="single" w:sz="4" w:space="0" w:color="BFBFBF" w:themeColor="background1" w:themeShade="BF"/>
            </w:tcBorders>
            <w:shd w:val="clear" w:color="auto" w:fill="408BCA"/>
            <w:vAlign w:val="center"/>
          </w:tcPr>
          <w:p w14:paraId="4DBE2BE2" w14:textId="77777777" w:rsidR="00D72973" w:rsidRPr="00335B98" w:rsidRDefault="00D72973" w:rsidP="0047353D">
            <w:pPr>
              <w:spacing w:after="0"/>
              <w:jc w:val="center"/>
              <w:rPr>
                <w:b/>
                <w:color w:val="FFFFFF" w:themeColor="background1"/>
                <w:sz w:val="18"/>
                <w:szCs w:val="18"/>
              </w:rPr>
            </w:pPr>
            <w:r w:rsidRPr="00335B98">
              <w:rPr>
                <w:b/>
                <w:color w:val="FFFFFF" w:themeColor="background1"/>
                <w:sz w:val="18"/>
                <w:szCs w:val="18"/>
              </w:rPr>
              <w:t>Characteristic</w:t>
            </w:r>
          </w:p>
        </w:tc>
        <w:tc>
          <w:tcPr>
            <w:tcW w:w="5528" w:type="dxa"/>
            <w:gridSpan w:val="3"/>
            <w:tcBorders>
              <w:top w:val="single" w:sz="4" w:space="0" w:color="408BCA"/>
              <w:bottom w:val="single" w:sz="4" w:space="0" w:color="BFBFBF" w:themeColor="background1" w:themeShade="BF"/>
            </w:tcBorders>
            <w:shd w:val="clear" w:color="auto" w:fill="408BCA"/>
            <w:tcMar>
              <w:top w:w="0" w:type="dxa"/>
              <w:left w:w="0" w:type="dxa"/>
              <w:bottom w:w="0" w:type="dxa"/>
              <w:right w:w="0" w:type="dxa"/>
            </w:tcMar>
            <w:vAlign w:val="center"/>
          </w:tcPr>
          <w:p w14:paraId="13A65765" w14:textId="77777777" w:rsidR="00D72973" w:rsidRPr="00335B98" w:rsidRDefault="00D72973" w:rsidP="0047353D">
            <w:pPr>
              <w:spacing w:after="0"/>
              <w:jc w:val="center"/>
              <w:rPr>
                <w:color w:val="FFFFFF" w:themeColor="background1"/>
                <w:sz w:val="18"/>
                <w:szCs w:val="18"/>
              </w:rPr>
            </w:pPr>
            <w:r w:rsidRPr="00335B98">
              <w:rPr>
                <w:rFonts w:eastAsia="Century Gothic" w:cs="Century Gothic"/>
                <w:b/>
                <w:color w:val="FFFFFF" w:themeColor="background1"/>
                <w:sz w:val="18"/>
                <w:szCs w:val="18"/>
              </w:rPr>
              <w:t>Patient status</w:t>
            </w:r>
            <w:r w:rsidRPr="00335B98">
              <w:rPr>
                <w:rFonts w:eastAsia="Century Gothic" w:cs="Century Gothic"/>
                <w:b/>
                <w:color w:val="FFFFFF" w:themeColor="background1"/>
                <w:sz w:val="18"/>
                <w:szCs w:val="18"/>
                <w:vertAlign w:val="superscript"/>
              </w:rPr>
              <w:t>1</w:t>
            </w:r>
          </w:p>
        </w:tc>
      </w:tr>
      <w:tr w:rsidR="00D72973" w:rsidRPr="00474DA9" w14:paraId="5AB326E9" w14:textId="77777777" w:rsidTr="00CA69AF">
        <w:trPr>
          <w:cantSplit/>
          <w:tblHeader/>
          <w:jc w:val="center"/>
        </w:trPr>
        <w:tc>
          <w:tcPr>
            <w:tcW w:w="1550" w:type="dxa"/>
            <w:vMerge/>
            <w:tcBorders>
              <w:top w:val="single" w:sz="4" w:space="0" w:color="BFBFBF" w:themeColor="background1" w:themeShade="BF"/>
              <w:bottom w:val="single" w:sz="4" w:space="0" w:color="408BCA"/>
            </w:tcBorders>
            <w:shd w:val="clear" w:color="auto" w:fill="408BCA"/>
            <w:vAlign w:val="center"/>
          </w:tcPr>
          <w:p w14:paraId="3A143871" w14:textId="77777777" w:rsidR="00D72973" w:rsidRPr="00335B98" w:rsidRDefault="00D72973" w:rsidP="0047353D">
            <w:pPr>
              <w:spacing w:after="0"/>
              <w:jc w:val="center"/>
              <w:rPr>
                <w:color w:val="FFFFFF" w:themeColor="background1"/>
                <w:sz w:val="18"/>
                <w:szCs w:val="18"/>
              </w:rPr>
            </w:pPr>
          </w:p>
        </w:tc>
        <w:tc>
          <w:tcPr>
            <w:tcW w:w="1842" w:type="dxa"/>
            <w:tcBorders>
              <w:top w:val="single" w:sz="4" w:space="0" w:color="BFBFBF" w:themeColor="background1" w:themeShade="BF"/>
              <w:bottom w:val="single" w:sz="4" w:space="0" w:color="408BCA"/>
            </w:tcBorders>
            <w:shd w:val="clear" w:color="auto" w:fill="408BCA"/>
            <w:tcMar>
              <w:top w:w="0" w:type="dxa"/>
              <w:left w:w="0" w:type="dxa"/>
              <w:bottom w:w="0" w:type="dxa"/>
              <w:right w:w="0" w:type="dxa"/>
            </w:tcMar>
            <w:vAlign w:val="center"/>
          </w:tcPr>
          <w:p w14:paraId="34C6179A" w14:textId="77777777" w:rsidR="00D72973" w:rsidRPr="00335B98" w:rsidRDefault="00D72973" w:rsidP="0047353D">
            <w:pPr>
              <w:spacing w:after="0"/>
              <w:jc w:val="center"/>
              <w:rPr>
                <w:color w:val="FFFFFF" w:themeColor="background1"/>
                <w:sz w:val="18"/>
                <w:szCs w:val="18"/>
              </w:rPr>
            </w:pPr>
            <w:r w:rsidRPr="00335B98">
              <w:rPr>
                <w:rFonts w:eastAsia="Century Gothic" w:cs="Century Gothic"/>
                <w:b/>
                <w:color w:val="FFFFFF" w:themeColor="background1"/>
                <w:sz w:val="18"/>
                <w:szCs w:val="18"/>
              </w:rPr>
              <w:t xml:space="preserve">Active </w:t>
            </w:r>
          </w:p>
        </w:tc>
        <w:tc>
          <w:tcPr>
            <w:tcW w:w="1843" w:type="dxa"/>
            <w:tcBorders>
              <w:top w:val="single" w:sz="4" w:space="0" w:color="BFBFBF" w:themeColor="background1" w:themeShade="BF"/>
              <w:bottom w:val="single" w:sz="4" w:space="0" w:color="408BCA"/>
            </w:tcBorders>
            <w:shd w:val="clear" w:color="auto" w:fill="408BCA"/>
            <w:tcMar>
              <w:top w:w="0" w:type="dxa"/>
              <w:left w:w="0" w:type="dxa"/>
              <w:bottom w:w="0" w:type="dxa"/>
              <w:right w:w="0" w:type="dxa"/>
            </w:tcMar>
            <w:vAlign w:val="center"/>
          </w:tcPr>
          <w:p w14:paraId="2E842C8A" w14:textId="77777777" w:rsidR="00D72973" w:rsidRPr="00335B98" w:rsidRDefault="00D72973" w:rsidP="0047353D">
            <w:pPr>
              <w:spacing w:after="0"/>
              <w:jc w:val="center"/>
              <w:rPr>
                <w:color w:val="FFFFFF" w:themeColor="background1"/>
                <w:sz w:val="18"/>
                <w:szCs w:val="18"/>
              </w:rPr>
            </w:pPr>
            <w:r w:rsidRPr="00335B98">
              <w:rPr>
                <w:rFonts w:eastAsia="Century Gothic" w:cs="Century Gothic"/>
                <w:b/>
                <w:color w:val="FFFFFF" w:themeColor="background1"/>
                <w:sz w:val="18"/>
                <w:szCs w:val="18"/>
              </w:rPr>
              <w:t xml:space="preserve">Withdrawn </w:t>
            </w:r>
          </w:p>
        </w:tc>
        <w:tc>
          <w:tcPr>
            <w:tcW w:w="1843" w:type="dxa"/>
            <w:tcBorders>
              <w:top w:val="single" w:sz="4" w:space="0" w:color="BFBFBF" w:themeColor="background1" w:themeShade="BF"/>
              <w:bottom w:val="single" w:sz="4" w:space="0" w:color="408BCA"/>
            </w:tcBorders>
            <w:shd w:val="clear" w:color="auto" w:fill="408BCA"/>
            <w:tcMar>
              <w:top w:w="0" w:type="dxa"/>
              <w:left w:w="0" w:type="dxa"/>
              <w:bottom w:w="0" w:type="dxa"/>
              <w:right w:w="0" w:type="dxa"/>
            </w:tcMar>
            <w:vAlign w:val="center"/>
          </w:tcPr>
          <w:p w14:paraId="1FAD6973" w14:textId="77777777" w:rsidR="00D72973" w:rsidRPr="00335B98" w:rsidRDefault="00D72973" w:rsidP="0047353D">
            <w:pPr>
              <w:spacing w:after="0"/>
              <w:jc w:val="center"/>
              <w:rPr>
                <w:color w:val="FFFFFF" w:themeColor="background1"/>
                <w:sz w:val="18"/>
                <w:szCs w:val="18"/>
              </w:rPr>
            </w:pPr>
            <w:r w:rsidRPr="00335B98">
              <w:rPr>
                <w:rFonts w:eastAsia="Century Gothic" w:cs="Century Gothic"/>
                <w:b/>
                <w:color w:val="FFFFFF" w:themeColor="background1"/>
                <w:sz w:val="18"/>
                <w:szCs w:val="18"/>
              </w:rPr>
              <w:t xml:space="preserve">Total </w:t>
            </w:r>
          </w:p>
        </w:tc>
      </w:tr>
      <w:tr w:rsidR="00D72973" w:rsidRPr="00474DA9" w14:paraId="08AA84E3" w14:textId="77777777" w:rsidTr="00CA69AF">
        <w:trPr>
          <w:cantSplit/>
          <w:jc w:val="center"/>
        </w:trPr>
        <w:tc>
          <w:tcPr>
            <w:tcW w:w="1550" w:type="dxa"/>
            <w:tcBorders>
              <w:top w:val="single" w:sz="4" w:space="0" w:color="408BCA"/>
            </w:tcBorders>
            <w:shd w:val="clear" w:color="auto" w:fill="FFFFFF"/>
            <w:tcMar>
              <w:top w:w="0" w:type="dxa"/>
              <w:left w:w="0" w:type="dxa"/>
              <w:bottom w:w="0" w:type="dxa"/>
              <w:right w:w="0" w:type="dxa"/>
            </w:tcMar>
            <w:vAlign w:val="center"/>
          </w:tcPr>
          <w:p w14:paraId="25E89316" w14:textId="77777777" w:rsidR="00D72973" w:rsidRPr="000B0211" w:rsidRDefault="00D72973" w:rsidP="0047353D">
            <w:pPr>
              <w:spacing w:before="40" w:after="40"/>
              <w:ind w:left="100" w:right="100"/>
              <w:rPr>
                <w:rFonts w:eastAsia="Calibri (Body)" w:cs="Calibri (Body)"/>
                <w:b/>
                <w:bCs/>
                <w:color w:val="000000"/>
                <w:sz w:val="18"/>
                <w:szCs w:val="18"/>
              </w:rPr>
            </w:pPr>
            <w:r w:rsidRPr="000B0211">
              <w:rPr>
                <w:rFonts w:eastAsia="Calibri (Body)" w:cs="Calibri (Body)"/>
                <w:b/>
                <w:bCs/>
                <w:color w:val="000000"/>
                <w:sz w:val="18"/>
                <w:szCs w:val="18"/>
              </w:rPr>
              <w:t>Total patients</w:t>
            </w:r>
          </w:p>
        </w:tc>
        <w:tc>
          <w:tcPr>
            <w:tcW w:w="1842" w:type="dxa"/>
            <w:tcBorders>
              <w:top w:val="single" w:sz="4" w:space="0" w:color="408BCA"/>
            </w:tcBorders>
            <w:shd w:val="clear" w:color="auto" w:fill="FFFFFF"/>
            <w:tcMar>
              <w:top w:w="0" w:type="dxa"/>
              <w:left w:w="0" w:type="dxa"/>
              <w:bottom w:w="0" w:type="dxa"/>
              <w:right w:w="0" w:type="dxa"/>
            </w:tcMar>
            <w:vAlign w:val="center"/>
          </w:tcPr>
          <w:p w14:paraId="665F6FAF" w14:textId="3A8AB686" w:rsidR="00D72973" w:rsidRPr="000B0211" w:rsidRDefault="005A4525" w:rsidP="0047353D">
            <w:pPr>
              <w:spacing w:before="40" w:after="40"/>
              <w:ind w:left="100" w:right="100"/>
              <w:jc w:val="center"/>
              <w:rPr>
                <w:rFonts w:eastAsia="Calibri (Body)" w:cs="Calibri (Body)"/>
                <w:b/>
                <w:bCs/>
                <w:sz w:val="18"/>
                <w:szCs w:val="18"/>
              </w:rPr>
            </w:pPr>
            <w:r>
              <w:rPr>
                <w:rFonts w:eastAsia="Century Gothic" w:cs="Century Gothic"/>
                <w:b/>
                <w:bCs/>
                <w:sz w:val="18"/>
                <w:szCs w:val="18"/>
              </w:rPr>
              <w:t>7,742</w:t>
            </w:r>
          </w:p>
        </w:tc>
        <w:tc>
          <w:tcPr>
            <w:tcW w:w="1843" w:type="dxa"/>
            <w:tcBorders>
              <w:top w:val="single" w:sz="4" w:space="0" w:color="408BCA"/>
            </w:tcBorders>
            <w:shd w:val="clear" w:color="auto" w:fill="FFFFFF"/>
            <w:tcMar>
              <w:top w:w="0" w:type="dxa"/>
              <w:left w:w="0" w:type="dxa"/>
              <w:bottom w:w="0" w:type="dxa"/>
              <w:right w:w="0" w:type="dxa"/>
            </w:tcMar>
            <w:vAlign w:val="center"/>
          </w:tcPr>
          <w:p w14:paraId="764C6B5B" w14:textId="71405058" w:rsidR="00D72973" w:rsidRPr="000B0211" w:rsidRDefault="00073558" w:rsidP="0047353D">
            <w:pPr>
              <w:spacing w:before="40" w:after="40"/>
              <w:ind w:left="100" w:right="100"/>
              <w:jc w:val="center"/>
              <w:rPr>
                <w:rFonts w:eastAsia="Calibri (Body)" w:cs="Calibri (Body)"/>
                <w:b/>
                <w:bCs/>
                <w:sz w:val="18"/>
                <w:szCs w:val="18"/>
              </w:rPr>
            </w:pPr>
            <w:r>
              <w:rPr>
                <w:rFonts w:eastAsia="Century Gothic" w:cs="Century Gothic"/>
                <w:b/>
                <w:bCs/>
                <w:sz w:val="18"/>
                <w:szCs w:val="18"/>
              </w:rPr>
              <w:t>3,590</w:t>
            </w:r>
          </w:p>
        </w:tc>
        <w:tc>
          <w:tcPr>
            <w:tcW w:w="1843" w:type="dxa"/>
            <w:tcBorders>
              <w:top w:val="single" w:sz="4" w:space="0" w:color="408BCA"/>
            </w:tcBorders>
            <w:shd w:val="clear" w:color="auto" w:fill="FFFFFF"/>
            <w:tcMar>
              <w:top w:w="0" w:type="dxa"/>
              <w:left w:w="0" w:type="dxa"/>
              <w:bottom w:w="0" w:type="dxa"/>
              <w:right w:w="0" w:type="dxa"/>
            </w:tcMar>
            <w:vAlign w:val="center"/>
          </w:tcPr>
          <w:p w14:paraId="6CBF79A4" w14:textId="77777777" w:rsidR="00D72973" w:rsidRPr="000B0211" w:rsidRDefault="00D72973" w:rsidP="0047353D">
            <w:pPr>
              <w:spacing w:before="40" w:after="40"/>
              <w:ind w:left="100" w:right="100"/>
              <w:jc w:val="center"/>
              <w:rPr>
                <w:rFonts w:eastAsia="Calibri (Body)" w:cs="Calibri (Body)"/>
                <w:b/>
                <w:bCs/>
                <w:sz w:val="18"/>
                <w:szCs w:val="18"/>
              </w:rPr>
            </w:pPr>
            <w:r w:rsidRPr="000B0211">
              <w:rPr>
                <w:rFonts w:eastAsia="Century Gothic" w:cs="Century Gothic"/>
                <w:b/>
                <w:bCs/>
                <w:sz w:val="18"/>
                <w:szCs w:val="18"/>
              </w:rPr>
              <w:t>11,332</w:t>
            </w:r>
          </w:p>
        </w:tc>
      </w:tr>
      <w:tr w:rsidR="00D72973" w:rsidRPr="00474DA9" w14:paraId="19A2F777" w14:textId="77777777" w:rsidTr="00CA69AF">
        <w:trPr>
          <w:cantSplit/>
          <w:jc w:val="center"/>
        </w:trPr>
        <w:tc>
          <w:tcPr>
            <w:tcW w:w="7078" w:type="dxa"/>
            <w:gridSpan w:val="4"/>
            <w:shd w:val="clear" w:color="auto" w:fill="FFFFFF"/>
            <w:tcMar>
              <w:top w:w="0" w:type="dxa"/>
              <w:left w:w="0" w:type="dxa"/>
              <w:bottom w:w="0" w:type="dxa"/>
              <w:right w:w="0" w:type="dxa"/>
            </w:tcMar>
            <w:vAlign w:val="center"/>
          </w:tcPr>
          <w:p w14:paraId="10B8B922" w14:textId="77777777" w:rsidR="00D72973" w:rsidRPr="000B0211" w:rsidRDefault="00D72973" w:rsidP="0047353D">
            <w:pPr>
              <w:spacing w:before="40" w:after="40"/>
              <w:ind w:left="100" w:right="100"/>
              <w:jc w:val="center"/>
              <w:rPr>
                <w:rFonts w:eastAsia="Calibri (Body)" w:cs="Calibri (Body)"/>
                <w:b/>
                <w:bCs/>
                <w:color w:val="000000"/>
                <w:sz w:val="18"/>
                <w:szCs w:val="18"/>
              </w:rPr>
            </w:pPr>
            <w:r w:rsidRPr="000B0211">
              <w:rPr>
                <w:rFonts w:eastAsia="Calibri (Body)" w:cs="Calibri (Body)"/>
                <w:b/>
                <w:bCs/>
                <w:color w:val="000000"/>
                <w:sz w:val="18"/>
                <w:szCs w:val="18"/>
              </w:rPr>
              <w:t>Sex</w:t>
            </w:r>
            <w:r>
              <w:rPr>
                <w:rFonts w:eastAsia="Calibri (Body)" w:cs="Calibri (Body)"/>
                <w:b/>
                <w:bCs/>
                <w:color w:val="000000"/>
                <w:sz w:val="18"/>
                <w:szCs w:val="18"/>
                <w:vertAlign w:val="superscript"/>
              </w:rPr>
              <w:t>2</w:t>
            </w:r>
          </w:p>
        </w:tc>
      </w:tr>
      <w:tr w:rsidR="00DE19B0" w:rsidRPr="00474DA9" w14:paraId="5808BDF7" w14:textId="77777777" w:rsidTr="00CA69AF">
        <w:trPr>
          <w:cantSplit/>
          <w:jc w:val="center"/>
        </w:trPr>
        <w:tc>
          <w:tcPr>
            <w:tcW w:w="1550" w:type="dxa"/>
            <w:shd w:val="clear" w:color="auto" w:fill="FFFFFF"/>
            <w:tcMar>
              <w:top w:w="0" w:type="dxa"/>
              <w:left w:w="0" w:type="dxa"/>
              <w:bottom w:w="0" w:type="dxa"/>
              <w:right w:w="0" w:type="dxa"/>
            </w:tcMar>
            <w:vAlign w:val="center"/>
          </w:tcPr>
          <w:p w14:paraId="1BFC46DB" w14:textId="77777777" w:rsidR="00DE19B0" w:rsidRPr="004D165B" w:rsidRDefault="00DE19B0" w:rsidP="00DE19B0">
            <w:pPr>
              <w:spacing w:before="40" w:after="40"/>
              <w:ind w:left="100" w:right="100"/>
              <w:rPr>
                <w:sz w:val="18"/>
                <w:szCs w:val="18"/>
              </w:rPr>
            </w:pPr>
            <w:r w:rsidRPr="004D165B">
              <w:rPr>
                <w:rFonts w:eastAsia="Calibri (Body)" w:cs="Calibri (Body)"/>
                <w:color w:val="000000"/>
                <w:sz w:val="18"/>
                <w:szCs w:val="18"/>
              </w:rPr>
              <w:t>Female</w:t>
            </w:r>
          </w:p>
        </w:tc>
        <w:tc>
          <w:tcPr>
            <w:tcW w:w="1842" w:type="dxa"/>
            <w:shd w:val="clear" w:color="auto" w:fill="FFFFFF"/>
            <w:tcMar>
              <w:top w:w="0" w:type="dxa"/>
              <w:left w:w="0" w:type="dxa"/>
              <w:bottom w:w="0" w:type="dxa"/>
              <w:right w:w="0" w:type="dxa"/>
            </w:tcMar>
          </w:tcPr>
          <w:p w14:paraId="383702FF" w14:textId="60F76ABF" w:rsidR="00DE19B0" w:rsidRPr="00DE19B0" w:rsidRDefault="00DE19B0" w:rsidP="00DE19B0">
            <w:pPr>
              <w:spacing w:before="40" w:after="40"/>
              <w:ind w:left="100" w:right="100"/>
              <w:jc w:val="center"/>
              <w:rPr>
                <w:rFonts w:eastAsia="Calibri (Body)" w:cs="Calibri (Body)"/>
                <w:color w:val="000000"/>
                <w:sz w:val="18"/>
                <w:szCs w:val="18"/>
              </w:rPr>
            </w:pPr>
            <w:r w:rsidRPr="00DE19B0">
              <w:rPr>
                <w:rFonts w:eastAsia="Calibri (Body)" w:cs="Calibri (Body)"/>
                <w:color w:val="000000"/>
                <w:sz w:val="18"/>
                <w:szCs w:val="18"/>
              </w:rPr>
              <w:t>4,189 (54.1%)</w:t>
            </w:r>
          </w:p>
        </w:tc>
        <w:tc>
          <w:tcPr>
            <w:tcW w:w="1843" w:type="dxa"/>
            <w:shd w:val="clear" w:color="auto" w:fill="FFFFFF"/>
            <w:tcMar>
              <w:top w:w="0" w:type="dxa"/>
              <w:left w:w="0" w:type="dxa"/>
              <w:bottom w:w="0" w:type="dxa"/>
              <w:right w:w="0" w:type="dxa"/>
            </w:tcMar>
          </w:tcPr>
          <w:p w14:paraId="317AB665" w14:textId="2F6C1024" w:rsidR="00DE19B0" w:rsidRPr="00DE19B0" w:rsidRDefault="00DE19B0" w:rsidP="00DE19B0">
            <w:pPr>
              <w:spacing w:before="40" w:after="40"/>
              <w:ind w:left="100" w:right="100"/>
              <w:jc w:val="center"/>
              <w:rPr>
                <w:rFonts w:eastAsia="Calibri (Body)" w:cs="Calibri (Body)"/>
                <w:color w:val="000000"/>
                <w:sz w:val="18"/>
                <w:szCs w:val="18"/>
              </w:rPr>
            </w:pPr>
            <w:r w:rsidRPr="00DE19B0">
              <w:rPr>
                <w:rFonts w:eastAsia="Calibri (Body)" w:cs="Calibri (Body)"/>
                <w:color w:val="000000"/>
                <w:sz w:val="18"/>
                <w:szCs w:val="18"/>
              </w:rPr>
              <w:t>1,909 (53.2%)</w:t>
            </w:r>
          </w:p>
        </w:tc>
        <w:tc>
          <w:tcPr>
            <w:tcW w:w="1843" w:type="dxa"/>
            <w:shd w:val="clear" w:color="auto" w:fill="FFFFFF"/>
            <w:tcMar>
              <w:top w:w="0" w:type="dxa"/>
              <w:left w:w="0" w:type="dxa"/>
              <w:bottom w:w="0" w:type="dxa"/>
              <w:right w:w="0" w:type="dxa"/>
            </w:tcMar>
            <w:vAlign w:val="center"/>
          </w:tcPr>
          <w:p w14:paraId="4BB41EA7" w14:textId="77777777" w:rsidR="00DE19B0" w:rsidRPr="004D165B" w:rsidRDefault="00DE19B0" w:rsidP="00DE19B0">
            <w:pPr>
              <w:spacing w:before="40" w:after="40"/>
              <w:ind w:left="100" w:right="100"/>
              <w:jc w:val="center"/>
              <w:rPr>
                <w:sz w:val="18"/>
                <w:szCs w:val="18"/>
              </w:rPr>
            </w:pPr>
            <w:r w:rsidRPr="004D165B">
              <w:rPr>
                <w:rFonts w:eastAsia="Calibri (Body)" w:cs="Calibri (Body)"/>
                <w:color w:val="000000"/>
                <w:sz w:val="18"/>
                <w:szCs w:val="18"/>
              </w:rPr>
              <w:t>6</w:t>
            </w:r>
            <w:r>
              <w:rPr>
                <w:rFonts w:eastAsia="Calibri (Body)" w:cs="Calibri (Body)"/>
                <w:color w:val="000000"/>
                <w:sz w:val="18"/>
                <w:szCs w:val="18"/>
              </w:rPr>
              <w:t>,</w:t>
            </w:r>
            <w:r w:rsidRPr="004D165B">
              <w:rPr>
                <w:rFonts w:eastAsia="Calibri (Body)" w:cs="Calibri (Body)"/>
                <w:color w:val="000000"/>
                <w:sz w:val="18"/>
                <w:szCs w:val="18"/>
              </w:rPr>
              <w:t>098 (53.8%)</w:t>
            </w:r>
          </w:p>
        </w:tc>
      </w:tr>
      <w:tr w:rsidR="00DE19B0" w:rsidRPr="00474DA9" w14:paraId="001B27C4" w14:textId="77777777" w:rsidTr="00CA69AF">
        <w:trPr>
          <w:cantSplit/>
          <w:jc w:val="center"/>
        </w:trPr>
        <w:tc>
          <w:tcPr>
            <w:tcW w:w="1550" w:type="dxa"/>
            <w:shd w:val="clear" w:color="auto" w:fill="FFFFFF"/>
            <w:tcMar>
              <w:top w:w="0" w:type="dxa"/>
              <w:left w:w="0" w:type="dxa"/>
              <w:bottom w:w="0" w:type="dxa"/>
              <w:right w:w="0" w:type="dxa"/>
            </w:tcMar>
            <w:vAlign w:val="center"/>
          </w:tcPr>
          <w:p w14:paraId="626C89A4" w14:textId="77777777" w:rsidR="00DE19B0" w:rsidRPr="004D165B" w:rsidRDefault="00DE19B0" w:rsidP="00DE19B0">
            <w:pPr>
              <w:spacing w:before="40" w:after="40"/>
              <w:ind w:left="100" w:right="100"/>
              <w:rPr>
                <w:sz w:val="18"/>
                <w:szCs w:val="18"/>
              </w:rPr>
            </w:pPr>
            <w:r w:rsidRPr="004D165B">
              <w:rPr>
                <w:rFonts w:eastAsia="Calibri (Body)" w:cs="Calibri (Body)"/>
                <w:color w:val="000000"/>
                <w:sz w:val="18"/>
                <w:szCs w:val="18"/>
              </w:rPr>
              <w:t>Male</w:t>
            </w:r>
          </w:p>
        </w:tc>
        <w:tc>
          <w:tcPr>
            <w:tcW w:w="1842" w:type="dxa"/>
            <w:shd w:val="clear" w:color="auto" w:fill="FFFFFF"/>
            <w:tcMar>
              <w:top w:w="0" w:type="dxa"/>
              <w:left w:w="0" w:type="dxa"/>
              <w:bottom w:w="0" w:type="dxa"/>
              <w:right w:w="0" w:type="dxa"/>
            </w:tcMar>
          </w:tcPr>
          <w:p w14:paraId="78E93B68" w14:textId="0EC70BA3" w:rsidR="00DE19B0" w:rsidRPr="00DE19B0" w:rsidRDefault="00DE19B0" w:rsidP="00DE19B0">
            <w:pPr>
              <w:spacing w:before="40" w:after="40"/>
              <w:ind w:left="100" w:right="100"/>
              <w:jc w:val="center"/>
              <w:rPr>
                <w:rFonts w:eastAsia="Calibri (Body)" w:cs="Calibri (Body)"/>
                <w:color w:val="000000"/>
                <w:sz w:val="18"/>
                <w:szCs w:val="18"/>
              </w:rPr>
            </w:pPr>
            <w:r w:rsidRPr="00DE19B0">
              <w:rPr>
                <w:rFonts w:eastAsia="Calibri (Body)" w:cs="Calibri (Body)"/>
                <w:color w:val="000000"/>
                <w:sz w:val="18"/>
                <w:szCs w:val="18"/>
              </w:rPr>
              <w:t>3,553 (45.9%)</w:t>
            </w:r>
          </w:p>
        </w:tc>
        <w:tc>
          <w:tcPr>
            <w:tcW w:w="1843" w:type="dxa"/>
            <w:shd w:val="clear" w:color="auto" w:fill="FFFFFF"/>
            <w:tcMar>
              <w:top w:w="0" w:type="dxa"/>
              <w:left w:w="0" w:type="dxa"/>
              <w:bottom w:w="0" w:type="dxa"/>
              <w:right w:w="0" w:type="dxa"/>
            </w:tcMar>
          </w:tcPr>
          <w:p w14:paraId="2698F507" w14:textId="514312BC" w:rsidR="00DE19B0" w:rsidRPr="00DE19B0" w:rsidRDefault="00DE19B0" w:rsidP="00DE19B0">
            <w:pPr>
              <w:spacing w:before="40" w:after="40"/>
              <w:ind w:left="100" w:right="100"/>
              <w:jc w:val="center"/>
              <w:rPr>
                <w:rFonts w:eastAsia="Calibri (Body)" w:cs="Calibri (Body)"/>
                <w:color w:val="000000"/>
                <w:sz w:val="18"/>
                <w:szCs w:val="18"/>
              </w:rPr>
            </w:pPr>
            <w:r w:rsidRPr="00DE19B0">
              <w:rPr>
                <w:rFonts w:eastAsia="Calibri (Body)" w:cs="Calibri (Body)"/>
                <w:color w:val="000000"/>
                <w:sz w:val="18"/>
                <w:szCs w:val="18"/>
              </w:rPr>
              <w:t>1.681 (46.8%)</w:t>
            </w:r>
          </w:p>
        </w:tc>
        <w:tc>
          <w:tcPr>
            <w:tcW w:w="1843" w:type="dxa"/>
            <w:shd w:val="clear" w:color="auto" w:fill="FFFFFF"/>
            <w:tcMar>
              <w:top w:w="0" w:type="dxa"/>
              <w:left w:w="0" w:type="dxa"/>
              <w:bottom w:w="0" w:type="dxa"/>
              <w:right w:w="0" w:type="dxa"/>
            </w:tcMar>
            <w:vAlign w:val="center"/>
          </w:tcPr>
          <w:p w14:paraId="54FCC4EA" w14:textId="77777777" w:rsidR="00DE19B0" w:rsidRPr="004D165B" w:rsidRDefault="00DE19B0" w:rsidP="00DE19B0">
            <w:pPr>
              <w:spacing w:before="40" w:after="40"/>
              <w:ind w:left="100" w:right="100"/>
              <w:jc w:val="center"/>
              <w:rPr>
                <w:sz w:val="18"/>
                <w:szCs w:val="18"/>
              </w:rPr>
            </w:pPr>
            <w:r w:rsidRPr="004D165B">
              <w:rPr>
                <w:rFonts w:eastAsia="Calibri (Body)" w:cs="Calibri (Body)"/>
                <w:color w:val="000000"/>
                <w:sz w:val="18"/>
                <w:szCs w:val="18"/>
              </w:rPr>
              <w:t>5</w:t>
            </w:r>
            <w:r>
              <w:rPr>
                <w:rFonts w:eastAsia="Calibri (Body)" w:cs="Calibri (Body)"/>
                <w:color w:val="000000"/>
                <w:sz w:val="18"/>
                <w:szCs w:val="18"/>
              </w:rPr>
              <w:t>,</w:t>
            </w:r>
            <w:r w:rsidRPr="004D165B">
              <w:rPr>
                <w:rFonts w:eastAsia="Calibri (Body)" w:cs="Calibri (Body)"/>
                <w:color w:val="000000"/>
                <w:sz w:val="18"/>
                <w:szCs w:val="18"/>
              </w:rPr>
              <w:t>234 (46.2%)</w:t>
            </w:r>
          </w:p>
        </w:tc>
      </w:tr>
      <w:tr w:rsidR="00D72973" w:rsidRPr="00474DA9" w14:paraId="7488333D" w14:textId="77777777" w:rsidTr="00CA69AF">
        <w:trPr>
          <w:cantSplit/>
          <w:jc w:val="center"/>
        </w:trPr>
        <w:tc>
          <w:tcPr>
            <w:tcW w:w="7078" w:type="dxa"/>
            <w:gridSpan w:val="4"/>
            <w:shd w:val="clear" w:color="auto" w:fill="FFFFFF"/>
            <w:tcMar>
              <w:top w:w="0" w:type="dxa"/>
              <w:left w:w="0" w:type="dxa"/>
              <w:bottom w:w="0" w:type="dxa"/>
              <w:right w:w="0" w:type="dxa"/>
            </w:tcMar>
            <w:vAlign w:val="center"/>
          </w:tcPr>
          <w:p w14:paraId="2CD14D1E" w14:textId="77777777" w:rsidR="00D72973" w:rsidRPr="000B0211" w:rsidRDefault="00D72973" w:rsidP="0047353D">
            <w:pPr>
              <w:spacing w:before="40" w:after="40"/>
              <w:ind w:left="100" w:right="100"/>
              <w:jc w:val="center"/>
              <w:rPr>
                <w:rFonts w:eastAsia="Calibri (Body)" w:cs="Calibri (Body)"/>
                <w:b/>
                <w:bCs/>
                <w:color w:val="000000"/>
                <w:sz w:val="18"/>
                <w:szCs w:val="18"/>
              </w:rPr>
            </w:pPr>
            <w:r w:rsidRPr="000B0211">
              <w:rPr>
                <w:rFonts w:eastAsia="Calibri (Body)" w:cs="Calibri (Body)"/>
                <w:b/>
                <w:bCs/>
                <w:color w:val="000000"/>
                <w:sz w:val="18"/>
                <w:szCs w:val="18"/>
              </w:rPr>
              <w:t>Age group</w:t>
            </w:r>
            <w:r>
              <w:rPr>
                <w:rFonts w:eastAsia="Calibri (Body)" w:cs="Calibri (Body)"/>
                <w:b/>
                <w:bCs/>
                <w:color w:val="000000"/>
                <w:sz w:val="18"/>
                <w:szCs w:val="18"/>
              </w:rPr>
              <w:t xml:space="preserve"> at enrolment</w:t>
            </w:r>
            <w:r>
              <w:rPr>
                <w:rFonts w:eastAsia="Calibri (Body)" w:cs="Calibri (Body)"/>
                <w:b/>
                <w:bCs/>
                <w:color w:val="000000"/>
                <w:sz w:val="18"/>
                <w:szCs w:val="18"/>
                <w:vertAlign w:val="superscript"/>
              </w:rPr>
              <w:t>3</w:t>
            </w:r>
          </w:p>
        </w:tc>
      </w:tr>
      <w:tr w:rsidR="00EE3C8F" w:rsidRPr="00474DA9" w14:paraId="4865E51B" w14:textId="77777777" w:rsidTr="00CA69AF">
        <w:trPr>
          <w:cantSplit/>
          <w:jc w:val="center"/>
        </w:trPr>
        <w:tc>
          <w:tcPr>
            <w:tcW w:w="1550" w:type="dxa"/>
            <w:shd w:val="clear" w:color="auto" w:fill="FFFFFF"/>
            <w:tcMar>
              <w:top w:w="0" w:type="dxa"/>
              <w:left w:w="0" w:type="dxa"/>
              <w:bottom w:w="0" w:type="dxa"/>
              <w:right w:w="0" w:type="dxa"/>
            </w:tcMar>
            <w:vAlign w:val="center"/>
          </w:tcPr>
          <w:p w14:paraId="2822B45B" w14:textId="77777777" w:rsidR="00EE3C8F" w:rsidRPr="004D165B" w:rsidRDefault="00EE3C8F" w:rsidP="00EE3C8F">
            <w:pPr>
              <w:spacing w:before="40" w:after="40"/>
              <w:ind w:left="100" w:right="100"/>
              <w:rPr>
                <w:sz w:val="18"/>
                <w:szCs w:val="18"/>
              </w:rPr>
            </w:pPr>
            <w:r w:rsidRPr="004D165B">
              <w:rPr>
                <w:rFonts w:eastAsia="Calibri (Body)" w:cs="Calibri (Body)"/>
                <w:color w:val="000000"/>
                <w:sz w:val="18"/>
                <w:szCs w:val="18"/>
              </w:rPr>
              <w:t>0 to 17</w:t>
            </w:r>
          </w:p>
        </w:tc>
        <w:tc>
          <w:tcPr>
            <w:tcW w:w="1842" w:type="dxa"/>
            <w:shd w:val="clear" w:color="auto" w:fill="FFFFFF"/>
            <w:tcMar>
              <w:top w:w="0" w:type="dxa"/>
              <w:left w:w="0" w:type="dxa"/>
              <w:bottom w:w="0" w:type="dxa"/>
              <w:right w:w="0" w:type="dxa"/>
            </w:tcMar>
          </w:tcPr>
          <w:p w14:paraId="566DD103" w14:textId="630397EB"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134 (1.7%)</w:t>
            </w:r>
          </w:p>
        </w:tc>
        <w:tc>
          <w:tcPr>
            <w:tcW w:w="1843" w:type="dxa"/>
            <w:shd w:val="clear" w:color="auto" w:fill="FFFFFF"/>
            <w:tcMar>
              <w:top w:w="0" w:type="dxa"/>
              <w:left w:w="0" w:type="dxa"/>
              <w:bottom w:w="0" w:type="dxa"/>
              <w:right w:w="0" w:type="dxa"/>
            </w:tcMar>
          </w:tcPr>
          <w:p w14:paraId="4DF844A5" w14:textId="2FFB1023"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37 (1.0%)</w:t>
            </w:r>
          </w:p>
        </w:tc>
        <w:tc>
          <w:tcPr>
            <w:tcW w:w="1843" w:type="dxa"/>
            <w:shd w:val="clear" w:color="auto" w:fill="FFFFFF"/>
            <w:tcMar>
              <w:top w:w="0" w:type="dxa"/>
              <w:left w:w="0" w:type="dxa"/>
              <w:bottom w:w="0" w:type="dxa"/>
              <w:right w:w="0" w:type="dxa"/>
            </w:tcMar>
            <w:vAlign w:val="center"/>
          </w:tcPr>
          <w:p w14:paraId="486E3EA4" w14:textId="77777777" w:rsidR="00EE3C8F" w:rsidRPr="004D165B" w:rsidRDefault="00EE3C8F" w:rsidP="00EE3C8F">
            <w:pPr>
              <w:spacing w:before="40" w:after="40"/>
              <w:ind w:left="100" w:right="100"/>
              <w:jc w:val="center"/>
              <w:rPr>
                <w:sz w:val="18"/>
                <w:szCs w:val="18"/>
              </w:rPr>
            </w:pPr>
            <w:r w:rsidRPr="004D165B">
              <w:rPr>
                <w:rFonts w:eastAsia="Calibri (Body)" w:cs="Calibri (Body)"/>
                <w:color w:val="000000"/>
                <w:sz w:val="18"/>
                <w:szCs w:val="18"/>
              </w:rPr>
              <w:t>171 (1.5%)</w:t>
            </w:r>
          </w:p>
        </w:tc>
      </w:tr>
      <w:tr w:rsidR="00EE3C8F" w:rsidRPr="00474DA9" w14:paraId="5BEEF7EF" w14:textId="77777777" w:rsidTr="00CA69AF">
        <w:trPr>
          <w:cantSplit/>
          <w:jc w:val="center"/>
        </w:trPr>
        <w:tc>
          <w:tcPr>
            <w:tcW w:w="1550" w:type="dxa"/>
            <w:shd w:val="clear" w:color="auto" w:fill="FFFFFF"/>
            <w:tcMar>
              <w:top w:w="0" w:type="dxa"/>
              <w:left w:w="0" w:type="dxa"/>
              <w:bottom w:w="0" w:type="dxa"/>
              <w:right w:w="0" w:type="dxa"/>
            </w:tcMar>
            <w:vAlign w:val="center"/>
          </w:tcPr>
          <w:p w14:paraId="08131A3F" w14:textId="77777777" w:rsidR="00EE3C8F" w:rsidRPr="004D165B" w:rsidRDefault="00EE3C8F" w:rsidP="00EE3C8F">
            <w:pPr>
              <w:spacing w:before="40" w:after="40"/>
              <w:ind w:left="100" w:right="100"/>
              <w:rPr>
                <w:sz w:val="18"/>
                <w:szCs w:val="18"/>
              </w:rPr>
            </w:pPr>
            <w:r w:rsidRPr="004D165B">
              <w:rPr>
                <w:rFonts w:eastAsia="Calibri (Body)" w:cs="Calibri (Body)"/>
                <w:color w:val="000000"/>
                <w:sz w:val="18"/>
                <w:szCs w:val="18"/>
              </w:rPr>
              <w:t>8 to 24</w:t>
            </w:r>
          </w:p>
        </w:tc>
        <w:tc>
          <w:tcPr>
            <w:tcW w:w="1842" w:type="dxa"/>
            <w:shd w:val="clear" w:color="auto" w:fill="FFFFFF"/>
            <w:tcMar>
              <w:top w:w="0" w:type="dxa"/>
              <w:left w:w="0" w:type="dxa"/>
              <w:bottom w:w="0" w:type="dxa"/>
              <w:right w:w="0" w:type="dxa"/>
            </w:tcMar>
          </w:tcPr>
          <w:p w14:paraId="5FE2A9C4" w14:textId="1645CBFF"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167 (2.2%)</w:t>
            </w:r>
          </w:p>
        </w:tc>
        <w:tc>
          <w:tcPr>
            <w:tcW w:w="1843" w:type="dxa"/>
            <w:shd w:val="clear" w:color="auto" w:fill="FFFFFF"/>
            <w:tcMar>
              <w:top w:w="0" w:type="dxa"/>
              <w:left w:w="0" w:type="dxa"/>
              <w:bottom w:w="0" w:type="dxa"/>
              <w:right w:w="0" w:type="dxa"/>
            </w:tcMar>
          </w:tcPr>
          <w:p w14:paraId="1597BDF7" w14:textId="036AB58C"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46 (1.3%)</w:t>
            </w:r>
          </w:p>
        </w:tc>
        <w:tc>
          <w:tcPr>
            <w:tcW w:w="1843" w:type="dxa"/>
            <w:shd w:val="clear" w:color="auto" w:fill="FFFFFF"/>
            <w:tcMar>
              <w:top w:w="0" w:type="dxa"/>
              <w:left w:w="0" w:type="dxa"/>
              <w:bottom w:w="0" w:type="dxa"/>
              <w:right w:w="0" w:type="dxa"/>
            </w:tcMar>
            <w:vAlign w:val="center"/>
          </w:tcPr>
          <w:p w14:paraId="795F6692" w14:textId="77777777" w:rsidR="00EE3C8F" w:rsidRPr="004D165B" w:rsidRDefault="00EE3C8F" w:rsidP="00EE3C8F">
            <w:pPr>
              <w:spacing w:before="40" w:after="40"/>
              <w:ind w:left="100" w:right="100"/>
              <w:jc w:val="center"/>
              <w:rPr>
                <w:sz w:val="18"/>
                <w:szCs w:val="18"/>
              </w:rPr>
            </w:pPr>
            <w:r w:rsidRPr="004D165B">
              <w:rPr>
                <w:rFonts w:eastAsia="Calibri (Body)" w:cs="Calibri (Body)"/>
                <w:color w:val="000000"/>
                <w:sz w:val="18"/>
                <w:szCs w:val="18"/>
              </w:rPr>
              <w:t>213 (1.9%)</w:t>
            </w:r>
          </w:p>
        </w:tc>
      </w:tr>
      <w:tr w:rsidR="00EE3C8F" w:rsidRPr="00474DA9" w14:paraId="7CE8F5B2" w14:textId="77777777" w:rsidTr="00CA69AF">
        <w:trPr>
          <w:cantSplit/>
          <w:jc w:val="center"/>
        </w:trPr>
        <w:tc>
          <w:tcPr>
            <w:tcW w:w="1550" w:type="dxa"/>
            <w:shd w:val="clear" w:color="auto" w:fill="FFFFFF"/>
            <w:tcMar>
              <w:top w:w="0" w:type="dxa"/>
              <w:left w:w="0" w:type="dxa"/>
              <w:bottom w:w="0" w:type="dxa"/>
              <w:right w:w="0" w:type="dxa"/>
            </w:tcMar>
            <w:vAlign w:val="center"/>
          </w:tcPr>
          <w:p w14:paraId="79AA6044" w14:textId="77777777" w:rsidR="00EE3C8F" w:rsidRPr="004D165B" w:rsidRDefault="00EE3C8F" w:rsidP="00EE3C8F">
            <w:pPr>
              <w:spacing w:before="40" w:after="40"/>
              <w:ind w:left="100" w:right="100"/>
              <w:rPr>
                <w:sz w:val="18"/>
                <w:szCs w:val="18"/>
              </w:rPr>
            </w:pPr>
            <w:r w:rsidRPr="004D165B">
              <w:rPr>
                <w:rFonts w:eastAsia="Calibri (Body)" w:cs="Calibri (Body)"/>
                <w:color w:val="000000"/>
                <w:sz w:val="18"/>
                <w:szCs w:val="18"/>
              </w:rPr>
              <w:t>25 to 44</w:t>
            </w:r>
          </w:p>
        </w:tc>
        <w:tc>
          <w:tcPr>
            <w:tcW w:w="1842" w:type="dxa"/>
            <w:shd w:val="clear" w:color="auto" w:fill="FFFFFF"/>
            <w:tcMar>
              <w:top w:w="0" w:type="dxa"/>
              <w:left w:w="0" w:type="dxa"/>
              <w:bottom w:w="0" w:type="dxa"/>
              <w:right w:w="0" w:type="dxa"/>
            </w:tcMar>
          </w:tcPr>
          <w:p w14:paraId="183C05BE" w14:textId="7905D73A"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971 (12.5%)</w:t>
            </w:r>
          </w:p>
        </w:tc>
        <w:tc>
          <w:tcPr>
            <w:tcW w:w="1843" w:type="dxa"/>
            <w:shd w:val="clear" w:color="auto" w:fill="FFFFFF"/>
            <w:tcMar>
              <w:top w:w="0" w:type="dxa"/>
              <w:left w:w="0" w:type="dxa"/>
              <w:bottom w:w="0" w:type="dxa"/>
              <w:right w:w="0" w:type="dxa"/>
            </w:tcMar>
          </w:tcPr>
          <w:p w14:paraId="51B5195F" w14:textId="69500296"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276 (7.7%)</w:t>
            </w:r>
          </w:p>
        </w:tc>
        <w:tc>
          <w:tcPr>
            <w:tcW w:w="1843" w:type="dxa"/>
            <w:shd w:val="clear" w:color="auto" w:fill="FFFFFF"/>
            <w:tcMar>
              <w:top w:w="0" w:type="dxa"/>
              <w:left w:w="0" w:type="dxa"/>
              <w:bottom w:w="0" w:type="dxa"/>
              <w:right w:w="0" w:type="dxa"/>
            </w:tcMar>
            <w:vAlign w:val="center"/>
          </w:tcPr>
          <w:p w14:paraId="2B9B3910" w14:textId="77777777" w:rsidR="00EE3C8F" w:rsidRPr="004D165B" w:rsidRDefault="00EE3C8F" w:rsidP="00EE3C8F">
            <w:pPr>
              <w:spacing w:before="40" w:after="40"/>
              <w:ind w:left="100" w:right="100"/>
              <w:jc w:val="center"/>
              <w:rPr>
                <w:sz w:val="18"/>
                <w:szCs w:val="18"/>
              </w:rPr>
            </w:pPr>
            <w:r w:rsidRPr="004D165B">
              <w:rPr>
                <w:rFonts w:eastAsia="Calibri (Body)" w:cs="Calibri (Body)"/>
                <w:color w:val="000000"/>
                <w:sz w:val="18"/>
                <w:szCs w:val="18"/>
              </w:rPr>
              <w:t>1</w:t>
            </w:r>
            <w:r>
              <w:rPr>
                <w:rFonts w:eastAsia="Calibri (Body)" w:cs="Calibri (Body)"/>
                <w:color w:val="000000"/>
                <w:sz w:val="18"/>
                <w:szCs w:val="18"/>
              </w:rPr>
              <w:t>,</w:t>
            </w:r>
            <w:r w:rsidRPr="004D165B">
              <w:rPr>
                <w:rFonts w:eastAsia="Calibri (Body)" w:cs="Calibri (Body)"/>
                <w:color w:val="000000"/>
                <w:sz w:val="18"/>
                <w:szCs w:val="18"/>
              </w:rPr>
              <w:t>247 (11.0%)</w:t>
            </w:r>
          </w:p>
        </w:tc>
      </w:tr>
      <w:tr w:rsidR="00EE3C8F" w:rsidRPr="00474DA9" w14:paraId="3ACAC060" w14:textId="77777777" w:rsidTr="00CA69AF">
        <w:trPr>
          <w:cantSplit/>
          <w:jc w:val="center"/>
        </w:trPr>
        <w:tc>
          <w:tcPr>
            <w:tcW w:w="1550" w:type="dxa"/>
            <w:shd w:val="clear" w:color="auto" w:fill="FFFFFF"/>
            <w:tcMar>
              <w:top w:w="0" w:type="dxa"/>
              <w:left w:w="0" w:type="dxa"/>
              <w:bottom w:w="0" w:type="dxa"/>
              <w:right w:w="0" w:type="dxa"/>
            </w:tcMar>
            <w:vAlign w:val="center"/>
          </w:tcPr>
          <w:p w14:paraId="1026BA88" w14:textId="77777777" w:rsidR="00EE3C8F" w:rsidRPr="004D165B" w:rsidRDefault="00EE3C8F" w:rsidP="00EE3C8F">
            <w:pPr>
              <w:spacing w:before="40" w:after="40"/>
              <w:ind w:left="100" w:right="100"/>
              <w:rPr>
                <w:sz w:val="18"/>
                <w:szCs w:val="18"/>
              </w:rPr>
            </w:pPr>
            <w:r w:rsidRPr="004D165B">
              <w:rPr>
                <w:rFonts w:eastAsia="Calibri (Body)" w:cs="Calibri (Body)"/>
                <w:color w:val="000000"/>
                <w:sz w:val="18"/>
                <w:szCs w:val="18"/>
              </w:rPr>
              <w:t>45 to 64</w:t>
            </w:r>
          </w:p>
        </w:tc>
        <w:tc>
          <w:tcPr>
            <w:tcW w:w="1842" w:type="dxa"/>
            <w:shd w:val="clear" w:color="auto" w:fill="FFFFFF"/>
            <w:tcMar>
              <w:top w:w="0" w:type="dxa"/>
              <w:left w:w="0" w:type="dxa"/>
              <w:bottom w:w="0" w:type="dxa"/>
              <w:right w:w="0" w:type="dxa"/>
            </w:tcMar>
          </w:tcPr>
          <w:p w14:paraId="38CEB977" w14:textId="4BE9B830"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2,580 (33.3%)</w:t>
            </w:r>
          </w:p>
        </w:tc>
        <w:tc>
          <w:tcPr>
            <w:tcW w:w="1843" w:type="dxa"/>
            <w:shd w:val="clear" w:color="auto" w:fill="FFFFFF"/>
            <w:tcMar>
              <w:top w:w="0" w:type="dxa"/>
              <w:left w:w="0" w:type="dxa"/>
              <w:bottom w:w="0" w:type="dxa"/>
              <w:right w:w="0" w:type="dxa"/>
            </w:tcMar>
          </w:tcPr>
          <w:p w14:paraId="6DADDDB3" w14:textId="10DFD10E"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1,089 (30.3%)</w:t>
            </w:r>
          </w:p>
        </w:tc>
        <w:tc>
          <w:tcPr>
            <w:tcW w:w="1843" w:type="dxa"/>
            <w:shd w:val="clear" w:color="auto" w:fill="FFFFFF"/>
            <w:tcMar>
              <w:top w:w="0" w:type="dxa"/>
              <w:left w:w="0" w:type="dxa"/>
              <w:bottom w:w="0" w:type="dxa"/>
              <w:right w:w="0" w:type="dxa"/>
            </w:tcMar>
            <w:vAlign w:val="center"/>
          </w:tcPr>
          <w:p w14:paraId="421F0334" w14:textId="77777777" w:rsidR="00EE3C8F" w:rsidRPr="004D165B" w:rsidRDefault="00EE3C8F" w:rsidP="00EE3C8F">
            <w:pPr>
              <w:spacing w:before="40" w:after="40"/>
              <w:ind w:left="100" w:right="100"/>
              <w:jc w:val="center"/>
              <w:rPr>
                <w:sz w:val="18"/>
                <w:szCs w:val="18"/>
              </w:rPr>
            </w:pPr>
            <w:r w:rsidRPr="004D165B">
              <w:rPr>
                <w:rFonts w:eastAsia="Calibri (Body)" w:cs="Calibri (Body)"/>
                <w:color w:val="000000"/>
                <w:sz w:val="18"/>
                <w:szCs w:val="18"/>
              </w:rPr>
              <w:t>3</w:t>
            </w:r>
            <w:r>
              <w:rPr>
                <w:rFonts w:eastAsia="Calibri (Body)" w:cs="Calibri (Body)"/>
                <w:color w:val="000000"/>
                <w:sz w:val="18"/>
                <w:szCs w:val="18"/>
              </w:rPr>
              <w:t>,</w:t>
            </w:r>
            <w:r w:rsidRPr="004D165B">
              <w:rPr>
                <w:rFonts w:eastAsia="Calibri (Body)" w:cs="Calibri (Body)"/>
                <w:color w:val="000000"/>
                <w:sz w:val="18"/>
                <w:szCs w:val="18"/>
              </w:rPr>
              <w:t>669 (32.4%)</w:t>
            </w:r>
          </w:p>
        </w:tc>
      </w:tr>
      <w:tr w:rsidR="00EE3C8F" w:rsidRPr="00474DA9" w14:paraId="49C74953" w14:textId="77777777" w:rsidTr="00CA69AF">
        <w:trPr>
          <w:cantSplit/>
          <w:jc w:val="center"/>
        </w:trPr>
        <w:tc>
          <w:tcPr>
            <w:tcW w:w="1550" w:type="dxa"/>
            <w:shd w:val="clear" w:color="auto" w:fill="FFFFFF"/>
            <w:tcMar>
              <w:top w:w="0" w:type="dxa"/>
              <w:left w:w="0" w:type="dxa"/>
              <w:bottom w:w="0" w:type="dxa"/>
              <w:right w:w="0" w:type="dxa"/>
            </w:tcMar>
            <w:vAlign w:val="center"/>
          </w:tcPr>
          <w:p w14:paraId="0F42FE97" w14:textId="77777777" w:rsidR="00EE3C8F" w:rsidRPr="004D165B" w:rsidRDefault="00EE3C8F" w:rsidP="00EE3C8F">
            <w:pPr>
              <w:spacing w:before="40" w:after="40"/>
              <w:ind w:left="100" w:right="100"/>
              <w:rPr>
                <w:sz w:val="18"/>
                <w:szCs w:val="18"/>
              </w:rPr>
            </w:pPr>
            <w:r w:rsidRPr="004D165B">
              <w:rPr>
                <w:rFonts w:eastAsia="Calibri (Body)" w:cs="Calibri (Body)"/>
                <w:color w:val="000000"/>
                <w:sz w:val="18"/>
                <w:szCs w:val="18"/>
              </w:rPr>
              <w:t>65 to 74</w:t>
            </w:r>
          </w:p>
        </w:tc>
        <w:tc>
          <w:tcPr>
            <w:tcW w:w="1842" w:type="dxa"/>
            <w:shd w:val="clear" w:color="auto" w:fill="FFFFFF"/>
            <w:tcMar>
              <w:top w:w="0" w:type="dxa"/>
              <w:left w:w="0" w:type="dxa"/>
              <w:bottom w:w="0" w:type="dxa"/>
              <w:right w:w="0" w:type="dxa"/>
            </w:tcMar>
          </w:tcPr>
          <w:p w14:paraId="182DA6EC" w14:textId="604BD962"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1,965 (25.4%)</w:t>
            </w:r>
          </w:p>
        </w:tc>
        <w:tc>
          <w:tcPr>
            <w:tcW w:w="1843" w:type="dxa"/>
            <w:shd w:val="clear" w:color="auto" w:fill="FFFFFF"/>
            <w:tcMar>
              <w:top w:w="0" w:type="dxa"/>
              <w:left w:w="0" w:type="dxa"/>
              <w:bottom w:w="0" w:type="dxa"/>
              <w:right w:w="0" w:type="dxa"/>
            </w:tcMar>
          </w:tcPr>
          <w:p w14:paraId="2A696AD3" w14:textId="3030C6CD"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903 (25.2%)</w:t>
            </w:r>
          </w:p>
        </w:tc>
        <w:tc>
          <w:tcPr>
            <w:tcW w:w="1843" w:type="dxa"/>
            <w:shd w:val="clear" w:color="auto" w:fill="FFFFFF"/>
            <w:tcMar>
              <w:top w:w="0" w:type="dxa"/>
              <w:left w:w="0" w:type="dxa"/>
              <w:bottom w:w="0" w:type="dxa"/>
              <w:right w:w="0" w:type="dxa"/>
            </w:tcMar>
            <w:vAlign w:val="center"/>
          </w:tcPr>
          <w:p w14:paraId="2933F83F" w14:textId="77777777" w:rsidR="00EE3C8F" w:rsidRPr="004D165B" w:rsidRDefault="00EE3C8F" w:rsidP="00EE3C8F">
            <w:pPr>
              <w:spacing w:before="40" w:after="40"/>
              <w:ind w:left="100" w:right="100"/>
              <w:jc w:val="center"/>
              <w:rPr>
                <w:sz w:val="18"/>
                <w:szCs w:val="18"/>
              </w:rPr>
            </w:pPr>
            <w:r w:rsidRPr="004D165B">
              <w:rPr>
                <w:rFonts w:eastAsia="Calibri (Body)" w:cs="Calibri (Body)"/>
                <w:color w:val="000000"/>
                <w:sz w:val="18"/>
                <w:szCs w:val="18"/>
              </w:rPr>
              <w:t>2</w:t>
            </w:r>
            <w:r>
              <w:rPr>
                <w:rFonts w:eastAsia="Calibri (Body)" w:cs="Calibri (Body)"/>
                <w:color w:val="000000"/>
                <w:sz w:val="18"/>
                <w:szCs w:val="18"/>
              </w:rPr>
              <w:t>,</w:t>
            </w:r>
            <w:r w:rsidRPr="004D165B">
              <w:rPr>
                <w:rFonts w:eastAsia="Calibri (Body)" w:cs="Calibri (Body)"/>
                <w:color w:val="000000"/>
                <w:sz w:val="18"/>
                <w:szCs w:val="18"/>
              </w:rPr>
              <w:t>868 (25.3%)</w:t>
            </w:r>
          </w:p>
        </w:tc>
      </w:tr>
      <w:tr w:rsidR="00EE3C8F" w:rsidRPr="00474DA9" w14:paraId="69012DB2" w14:textId="77777777" w:rsidTr="00CA69AF">
        <w:trPr>
          <w:cantSplit/>
          <w:jc w:val="center"/>
        </w:trPr>
        <w:tc>
          <w:tcPr>
            <w:tcW w:w="1550" w:type="dxa"/>
            <w:shd w:val="clear" w:color="auto" w:fill="FFFFFF"/>
            <w:tcMar>
              <w:top w:w="0" w:type="dxa"/>
              <w:left w:w="0" w:type="dxa"/>
              <w:bottom w:w="0" w:type="dxa"/>
              <w:right w:w="0" w:type="dxa"/>
            </w:tcMar>
            <w:vAlign w:val="center"/>
          </w:tcPr>
          <w:p w14:paraId="7D54D715" w14:textId="77777777" w:rsidR="00EE3C8F" w:rsidRPr="004D165B" w:rsidRDefault="00EE3C8F" w:rsidP="00EE3C8F">
            <w:pPr>
              <w:spacing w:before="40" w:after="40"/>
              <w:ind w:left="100" w:right="100"/>
              <w:rPr>
                <w:sz w:val="18"/>
                <w:szCs w:val="18"/>
              </w:rPr>
            </w:pPr>
            <w:r w:rsidRPr="004D165B">
              <w:rPr>
                <w:rFonts w:eastAsia="Calibri (Body)" w:cs="Calibri (Body)"/>
                <w:color w:val="000000"/>
                <w:sz w:val="18"/>
                <w:szCs w:val="18"/>
              </w:rPr>
              <w:t>75 to 84</w:t>
            </w:r>
          </w:p>
        </w:tc>
        <w:tc>
          <w:tcPr>
            <w:tcW w:w="1842" w:type="dxa"/>
            <w:shd w:val="clear" w:color="auto" w:fill="FFFFFF"/>
            <w:tcMar>
              <w:top w:w="0" w:type="dxa"/>
              <w:left w:w="0" w:type="dxa"/>
              <w:bottom w:w="0" w:type="dxa"/>
              <w:right w:w="0" w:type="dxa"/>
            </w:tcMar>
          </w:tcPr>
          <w:p w14:paraId="3ACC29FB" w14:textId="58DF7D89"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1,461 (18.9%)</w:t>
            </w:r>
          </w:p>
        </w:tc>
        <w:tc>
          <w:tcPr>
            <w:tcW w:w="1843" w:type="dxa"/>
            <w:shd w:val="clear" w:color="auto" w:fill="FFFFFF"/>
            <w:tcMar>
              <w:top w:w="0" w:type="dxa"/>
              <w:left w:w="0" w:type="dxa"/>
              <w:bottom w:w="0" w:type="dxa"/>
              <w:right w:w="0" w:type="dxa"/>
            </w:tcMar>
          </w:tcPr>
          <w:p w14:paraId="457344A5" w14:textId="20EBE0BE"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805 (22.4%)</w:t>
            </w:r>
          </w:p>
        </w:tc>
        <w:tc>
          <w:tcPr>
            <w:tcW w:w="1843" w:type="dxa"/>
            <w:shd w:val="clear" w:color="auto" w:fill="FFFFFF"/>
            <w:tcMar>
              <w:top w:w="0" w:type="dxa"/>
              <w:left w:w="0" w:type="dxa"/>
              <w:bottom w:w="0" w:type="dxa"/>
              <w:right w:w="0" w:type="dxa"/>
            </w:tcMar>
            <w:vAlign w:val="center"/>
          </w:tcPr>
          <w:p w14:paraId="721D4C33" w14:textId="77777777" w:rsidR="00EE3C8F" w:rsidRPr="004D165B" w:rsidRDefault="00EE3C8F" w:rsidP="00EE3C8F">
            <w:pPr>
              <w:spacing w:before="40" w:after="40"/>
              <w:ind w:left="100" w:right="100"/>
              <w:jc w:val="center"/>
              <w:rPr>
                <w:sz w:val="18"/>
                <w:szCs w:val="18"/>
              </w:rPr>
            </w:pPr>
            <w:r w:rsidRPr="004D165B">
              <w:rPr>
                <w:rFonts w:eastAsia="Calibri (Body)" w:cs="Calibri (Body)"/>
                <w:color w:val="000000"/>
                <w:sz w:val="18"/>
                <w:szCs w:val="18"/>
              </w:rPr>
              <w:t>2</w:t>
            </w:r>
            <w:r>
              <w:rPr>
                <w:rFonts w:eastAsia="Calibri (Body)" w:cs="Calibri (Body)"/>
                <w:color w:val="000000"/>
                <w:sz w:val="18"/>
                <w:szCs w:val="18"/>
              </w:rPr>
              <w:t>,</w:t>
            </w:r>
            <w:r w:rsidRPr="004D165B">
              <w:rPr>
                <w:rFonts w:eastAsia="Calibri (Body)" w:cs="Calibri (Body)"/>
                <w:color w:val="000000"/>
                <w:sz w:val="18"/>
                <w:szCs w:val="18"/>
              </w:rPr>
              <w:t>266 (20.0%)</w:t>
            </w:r>
          </w:p>
        </w:tc>
      </w:tr>
      <w:tr w:rsidR="00EE3C8F" w:rsidRPr="00474DA9" w14:paraId="2A52AB43" w14:textId="77777777" w:rsidTr="00CA69AF">
        <w:trPr>
          <w:cantSplit/>
          <w:jc w:val="center"/>
        </w:trPr>
        <w:tc>
          <w:tcPr>
            <w:tcW w:w="1550" w:type="dxa"/>
            <w:shd w:val="clear" w:color="auto" w:fill="FFFFFF"/>
            <w:tcMar>
              <w:top w:w="0" w:type="dxa"/>
              <w:left w:w="0" w:type="dxa"/>
              <w:bottom w:w="0" w:type="dxa"/>
              <w:right w:w="0" w:type="dxa"/>
            </w:tcMar>
            <w:vAlign w:val="center"/>
          </w:tcPr>
          <w:p w14:paraId="6D42F887" w14:textId="77777777" w:rsidR="00EE3C8F" w:rsidRPr="004D165B" w:rsidRDefault="00EE3C8F" w:rsidP="00EE3C8F">
            <w:pPr>
              <w:spacing w:before="40" w:after="40"/>
              <w:ind w:left="100" w:right="100"/>
              <w:rPr>
                <w:sz w:val="18"/>
                <w:szCs w:val="18"/>
              </w:rPr>
            </w:pPr>
            <w:r w:rsidRPr="004D165B">
              <w:rPr>
                <w:rFonts w:eastAsia="Calibri (Body)" w:cs="Calibri (Body)"/>
                <w:color w:val="000000"/>
                <w:sz w:val="18"/>
                <w:szCs w:val="18"/>
              </w:rPr>
              <w:t>85+</w:t>
            </w:r>
          </w:p>
        </w:tc>
        <w:tc>
          <w:tcPr>
            <w:tcW w:w="1842" w:type="dxa"/>
            <w:shd w:val="clear" w:color="auto" w:fill="FFFFFF"/>
            <w:tcMar>
              <w:top w:w="0" w:type="dxa"/>
              <w:left w:w="0" w:type="dxa"/>
              <w:bottom w:w="0" w:type="dxa"/>
              <w:right w:w="0" w:type="dxa"/>
            </w:tcMar>
          </w:tcPr>
          <w:p w14:paraId="3D453E57" w14:textId="34D94908"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464 (6.0%)</w:t>
            </w:r>
          </w:p>
        </w:tc>
        <w:tc>
          <w:tcPr>
            <w:tcW w:w="1843" w:type="dxa"/>
            <w:shd w:val="clear" w:color="auto" w:fill="FFFFFF"/>
            <w:tcMar>
              <w:top w:w="0" w:type="dxa"/>
              <w:left w:w="0" w:type="dxa"/>
              <w:bottom w:w="0" w:type="dxa"/>
              <w:right w:w="0" w:type="dxa"/>
            </w:tcMar>
          </w:tcPr>
          <w:p w14:paraId="24756DA4" w14:textId="660F581C" w:rsidR="00EE3C8F" w:rsidRPr="00EE3C8F" w:rsidRDefault="00EE3C8F" w:rsidP="00EE3C8F">
            <w:pPr>
              <w:spacing w:before="40" w:after="40"/>
              <w:ind w:left="100" w:right="100"/>
              <w:jc w:val="center"/>
              <w:rPr>
                <w:rFonts w:eastAsia="Calibri (Body)" w:cs="Calibri (Body)"/>
                <w:color w:val="000000"/>
                <w:sz w:val="18"/>
                <w:szCs w:val="18"/>
              </w:rPr>
            </w:pPr>
            <w:r w:rsidRPr="00EE3C8F">
              <w:rPr>
                <w:rFonts w:eastAsia="Calibri (Body)" w:cs="Calibri (Body)"/>
                <w:color w:val="000000"/>
                <w:sz w:val="18"/>
                <w:szCs w:val="18"/>
              </w:rPr>
              <w:t>434 (12.1%)</w:t>
            </w:r>
          </w:p>
        </w:tc>
        <w:tc>
          <w:tcPr>
            <w:tcW w:w="1843" w:type="dxa"/>
            <w:shd w:val="clear" w:color="auto" w:fill="FFFFFF"/>
            <w:tcMar>
              <w:top w:w="0" w:type="dxa"/>
              <w:left w:w="0" w:type="dxa"/>
              <w:bottom w:w="0" w:type="dxa"/>
              <w:right w:w="0" w:type="dxa"/>
            </w:tcMar>
            <w:vAlign w:val="center"/>
          </w:tcPr>
          <w:p w14:paraId="47FC04D8" w14:textId="77777777" w:rsidR="00EE3C8F" w:rsidRPr="004D165B" w:rsidRDefault="00EE3C8F" w:rsidP="00EE3C8F">
            <w:pPr>
              <w:spacing w:before="40" w:after="40"/>
              <w:ind w:left="100" w:right="100"/>
              <w:jc w:val="center"/>
              <w:rPr>
                <w:sz w:val="18"/>
                <w:szCs w:val="18"/>
              </w:rPr>
            </w:pPr>
            <w:r w:rsidRPr="004D165B">
              <w:rPr>
                <w:rFonts w:eastAsia="Calibri (Body)" w:cs="Calibri (Body)"/>
                <w:color w:val="000000"/>
                <w:sz w:val="18"/>
                <w:szCs w:val="18"/>
              </w:rPr>
              <w:t>898 (7.9%)</w:t>
            </w:r>
          </w:p>
        </w:tc>
      </w:tr>
      <w:tr w:rsidR="00D72973" w:rsidRPr="00474DA9" w14:paraId="2C0B5F6F" w14:textId="77777777" w:rsidTr="00CA69AF">
        <w:trPr>
          <w:cantSplit/>
          <w:jc w:val="center"/>
        </w:trPr>
        <w:tc>
          <w:tcPr>
            <w:tcW w:w="7078" w:type="dxa"/>
            <w:gridSpan w:val="4"/>
            <w:shd w:val="clear" w:color="auto" w:fill="FFFFFF"/>
            <w:tcMar>
              <w:top w:w="0" w:type="dxa"/>
              <w:left w:w="0" w:type="dxa"/>
              <w:bottom w:w="0" w:type="dxa"/>
              <w:right w:w="0" w:type="dxa"/>
            </w:tcMar>
            <w:vAlign w:val="center"/>
          </w:tcPr>
          <w:p w14:paraId="4080E62F" w14:textId="77777777" w:rsidR="00D72973" w:rsidRPr="004D165B" w:rsidRDefault="00D72973" w:rsidP="0047353D">
            <w:pPr>
              <w:spacing w:before="40" w:after="40"/>
              <w:ind w:left="100" w:right="100"/>
              <w:jc w:val="center"/>
              <w:rPr>
                <w:rFonts w:eastAsia="Calibri (Body)" w:cs="Calibri (Body)"/>
                <w:color w:val="000000"/>
                <w:sz w:val="18"/>
                <w:szCs w:val="18"/>
              </w:rPr>
            </w:pPr>
            <w:r w:rsidRPr="000B0211">
              <w:rPr>
                <w:rFonts w:eastAsia="Calibri (Body)" w:cs="Calibri (Body)"/>
                <w:b/>
                <w:bCs/>
                <w:color w:val="000000"/>
                <w:sz w:val="18"/>
                <w:szCs w:val="18"/>
              </w:rPr>
              <w:t>Risk tier at enrolment</w:t>
            </w:r>
            <w:r>
              <w:rPr>
                <w:rFonts w:eastAsia="Calibri (Body)" w:cs="Calibri (Body)"/>
                <w:b/>
                <w:bCs/>
                <w:color w:val="000000"/>
                <w:sz w:val="18"/>
                <w:szCs w:val="18"/>
                <w:vertAlign w:val="superscript"/>
              </w:rPr>
              <w:t>3</w:t>
            </w:r>
          </w:p>
        </w:tc>
      </w:tr>
      <w:tr w:rsidR="00380D33" w:rsidRPr="00474DA9" w14:paraId="09893C0B" w14:textId="77777777" w:rsidTr="00CA69AF">
        <w:trPr>
          <w:cantSplit/>
          <w:jc w:val="center"/>
        </w:trPr>
        <w:tc>
          <w:tcPr>
            <w:tcW w:w="1550" w:type="dxa"/>
            <w:shd w:val="clear" w:color="auto" w:fill="FFFFFF"/>
            <w:tcMar>
              <w:top w:w="0" w:type="dxa"/>
              <w:left w:w="0" w:type="dxa"/>
              <w:bottom w:w="0" w:type="dxa"/>
              <w:right w:w="0" w:type="dxa"/>
            </w:tcMar>
            <w:vAlign w:val="center"/>
          </w:tcPr>
          <w:p w14:paraId="4B58EE4E" w14:textId="77777777" w:rsidR="00380D33" w:rsidRPr="004D165B" w:rsidRDefault="00380D33" w:rsidP="00380D33">
            <w:pPr>
              <w:spacing w:before="40" w:after="40"/>
              <w:ind w:left="100" w:right="100"/>
              <w:rPr>
                <w:rFonts w:eastAsia="Calibri (Body)" w:cs="Calibri (Body)"/>
                <w:color w:val="000000"/>
                <w:sz w:val="18"/>
                <w:szCs w:val="18"/>
              </w:rPr>
            </w:pPr>
            <w:r w:rsidRPr="004D165B">
              <w:rPr>
                <w:rFonts w:eastAsia="Calibri (Body)" w:cs="Calibri (Body)"/>
                <w:color w:val="000000"/>
                <w:sz w:val="18"/>
                <w:szCs w:val="18"/>
              </w:rPr>
              <w:t>Tier 1</w:t>
            </w:r>
          </w:p>
        </w:tc>
        <w:tc>
          <w:tcPr>
            <w:tcW w:w="1842" w:type="dxa"/>
            <w:shd w:val="clear" w:color="auto" w:fill="FFFFFF"/>
            <w:tcMar>
              <w:top w:w="0" w:type="dxa"/>
              <w:left w:w="0" w:type="dxa"/>
              <w:bottom w:w="0" w:type="dxa"/>
              <w:right w:w="0" w:type="dxa"/>
            </w:tcMar>
          </w:tcPr>
          <w:p w14:paraId="2DBAFD08" w14:textId="69DC3D1E" w:rsidR="00380D33" w:rsidRPr="004D165B" w:rsidRDefault="00380D33" w:rsidP="00380D33">
            <w:pPr>
              <w:spacing w:before="40" w:after="40"/>
              <w:ind w:left="100" w:right="100"/>
              <w:jc w:val="center"/>
              <w:rPr>
                <w:rFonts w:eastAsia="Calibri (Body)" w:cs="Calibri (Body)"/>
                <w:color w:val="000000"/>
                <w:sz w:val="18"/>
                <w:szCs w:val="18"/>
              </w:rPr>
            </w:pPr>
            <w:r w:rsidRPr="00380D33">
              <w:rPr>
                <w:rFonts w:eastAsia="Calibri (Body)" w:cs="Calibri (Body)"/>
                <w:color w:val="000000"/>
                <w:sz w:val="18"/>
                <w:szCs w:val="18"/>
              </w:rPr>
              <w:t>1,427 (18.4%)</w:t>
            </w:r>
          </w:p>
        </w:tc>
        <w:tc>
          <w:tcPr>
            <w:tcW w:w="1843" w:type="dxa"/>
            <w:shd w:val="clear" w:color="auto" w:fill="FFFFFF"/>
            <w:tcMar>
              <w:top w:w="0" w:type="dxa"/>
              <w:left w:w="0" w:type="dxa"/>
              <w:bottom w:w="0" w:type="dxa"/>
              <w:right w:w="0" w:type="dxa"/>
            </w:tcMar>
          </w:tcPr>
          <w:p w14:paraId="7989D573" w14:textId="561F9DA0" w:rsidR="00380D33" w:rsidRPr="004D165B" w:rsidRDefault="00380D33" w:rsidP="00380D33">
            <w:pPr>
              <w:spacing w:before="40" w:after="40"/>
              <w:ind w:left="100" w:right="100"/>
              <w:jc w:val="center"/>
              <w:rPr>
                <w:rFonts w:eastAsia="Calibri (Body)" w:cs="Calibri (Body)"/>
                <w:color w:val="000000"/>
                <w:sz w:val="18"/>
                <w:szCs w:val="18"/>
              </w:rPr>
            </w:pPr>
            <w:r w:rsidRPr="00380D33">
              <w:rPr>
                <w:rFonts w:eastAsia="Calibri (Body)" w:cs="Calibri (Body)"/>
                <w:color w:val="000000"/>
                <w:sz w:val="18"/>
                <w:szCs w:val="18"/>
              </w:rPr>
              <w:t>585 (16.3%)</w:t>
            </w:r>
          </w:p>
        </w:tc>
        <w:tc>
          <w:tcPr>
            <w:tcW w:w="1843" w:type="dxa"/>
            <w:shd w:val="clear" w:color="auto" w:fill="FFFFFF"/>
            <w:tcMar>
              <w:top w:w="0" w:type="dxa"/>
              <w:left w:w="0" w:type="dxa"/>
              <w:bottom w:w="0" w:type="dxa"/>
              <w:right w:w="0" w:type="dxa"/>
            </w:tcMar>
            <w:vAlign w:val="center"/>
          </w:tcPr>
          <w:p w14:paraId="37CE89CD" w14:textId="77777777" w:rsidR="00380D33" w:rsidRPr="004D165B" w:rsidRDefault="00380D33" w:rsidP="00380D33">
            <w:pPr>
              <w:spacing w:before="40" w:after="40"/>
              <w:ind w:left="100" w:right="100"/>
              <w:jc w:val="center"/>
              <w:rPr>
                <w:rFonts w:eastAsia="Calibri (Body)" w:cs="Calibri (Body)"/>
                <w:color w:val="000000"/>
                <w:sz w:val="18"/>
                <w:szCs w:val="18"/>
              </w:rPr>
            </w:pPr>
            <w:r w:rsidRPr="004D165B">
              <w:rPr>
                <w:rFonts w:eastAsia="Calibri (Body)" w:cs="Calibri (Body)"/>
                <w:color w:val="000000"/>
                <w:sz w:val="18"/>
                <w:szCs w:val="18"/>
              </w:rPr>
              <w:t>2</w:t>
            </w:r>
            <w:r>
              <w:rPr>
                <w:rFonts w:eastAsia="Calibri (Body)" w:cs="Calibri (Body)"/>
                <w:color w:val="000000"/>
                <w:sz w:val="18"/>
                <w:szCs w:val="18"/>
              </w:rPr>
              <w:t>,</w:t>
            </w:r>
            <w:r w:rsidRPr="004D165B">
              <w:rPr>
                <w:rFonts w:eastAsia="Calibri (Body)" w:cs="Calibri (Body)"/>
                <w:color w:val="000000"/>
                <w:sz w:val="18"/>
                <w:szCs w:val="18"/>
              </w:rPr>
              <w:t>012 (17.8%)</w:t>
            </w:r>
          </w:p>
        </w:tc>
      </w:tr>
      <w:tr w:rsidR="00380D33" w:rsidRPr="00474DA9" w14:paraId="32DFD204" w14:textId="77777777" w:rsidTr="00CA69AF">
        <w:trPr>
          <w:cantSplit/>
          <w:jc w:val="center"/>
        </w:trPr>
        <w:tc>
          <w:tcPr>
            <w:tcW w:w="1550" w:type="dxa"/>
            <w:shd w:val="clear" w:color="auto" w:fill="FFFFFF"/>
            <w:tcMar>
              <w:top w:w="0" w:type="dxa"/>
              <w:left w:w="0" w:type="dxa"/>
              <w:bottom w:w="0" w:type="dxa"/>
              <w:right w:w="0" w:type="dxa"/>
            </w:tcMar>
            <w:vAlign w:val="center"/>
          </w:tcPr>
          <w:p w14:paraId="70D118CE" w14:textId="77777777" w:rsidR="00380D33" w:rsidRPr="004D165B" w:rsidRDefault="00380D33" w:rsidP="00380D33">
            <w:pPr>
              <w:spacing w:before="40" w:after="40"/>
              <w:ind w:left="100" w:right="100"/>
              <w:rPr>
                <w:rFonts w:eastAsia="Calibri (Body)" w:cs="Calibri (Body)"/>
                <w:color w:val="000000"/>
                <w:sz w:val="18"/>
                <w:szCs w:val="18"/>
              </w:rPr>
            </w:pPr>
            <w:r w:rsidRPr="004D165B">
              <w:rPr>
                <w:rFonts w:eastAsia="Calibri (Body)" w:cs="Calibri (Body)"/>
                <w:color w:val="000000"/>
                <w:sz w:val="18"/>
                <w:szCs w:val="18"/>
              </w:rPr>
              <w:t>Tier 2</w:t>
            </w:r>
          </w:p>
        </w:tc>
        <w:tc>
          <w:tcPr>
            <w:tcW w:w="1842" w:type="dxa"/>
            <w:shd w:val="clear" w:color="auto" w:fill="FFFFFF"/>
            <w:tcMar>
              <w:top w:w="0" w:type="dxa"/>
              <w:left w:w="0" w:type="dxa"/>
              <w:bottom w:w="0" w:type="dxa"/>
              <w:right w:w="0" w:type="dxa"/>
            </w:tcMar>
          </w:tcPr>
          <w:p w14:paraId="20B19A7D" w14:textId="412193F2" w:rsidR="00380D33" w:rsidRPr="004D165B" w:rsidRDefault="00380D33" w:rsidP="00380D33">
            <w:pPr>
              <w:spacing w:before="40" w:after="40"/>
              <w:ind w:left="100" w:right="100"/>
              <w:jc w:val="center"/>
              <w:rPr>
                <w:rFonts w:eastAsia="Calibri (Body)" w:cs="Calibri (Body)"/>
                <w:color w:val="000000"/>
                <w:sz w:val="18"/>
                <w:szCs w:val="18"/>
              </w:rPr>
            </w:pPr>
            <w:r w:rsidRPr="00380D33">
              <w:rPr>
                <w:rFonts w:eastAsia="Calibri (Body)" w:cs="Calibri (Body)"/>
                <w:color w:val="000000"/>
                <w:sz w:val="18"/>
                <w:szCs w:val="18"/>
              </w:rPr>
              <w:t>3,909 (50.5%)</w:t>
            </w:r>
          </w:p>
        </w:tc>
        <w:tc>
          <w:tcPr>
            <w:tcW w:w="1843" w:type="dxa"/>
            <w:shd w:val="clear" w:color="auto" w:fill="FFFFFF"/>
            <w:tcMar>
              <w:top w:w="0" w:type="dxa"/>
              <w:left w:w="0" w:type="dxa"/>
              <w:bottom w:w="0" w:type="dxa"/>
              <w:right w:w="0" w:type="dxa"/>
            </w:tcMar>
          </w:tcPr>
          <w:p w14:paraId="5880666E" w14:textId="5FC576B3" w:rsidR="00380D33" w:rsidRPr="004D165B" w:rsidRDefault="00380D33" w:rsidP="00380D33">
            <w:pPr>
              <w:spacing w:before="40" w:after="40"/>
              <w:ind w:left="100" w:right="100"/>
              <w:jc w:val="center"/>
              <w:rPr>
                <w:rFonts w:eastAsia="Calibri (Body)" w:cs="Calibri (Body)"/>
                <w:color w:val="000000"/>
                <w:sz w:val="18"/>
                <w:szCs w:val="18"/>
              </w:rPr>
            </w:pPr>
            <w:r w:rsidRPr="00380D33">
              <w:rPr>
                <w:rFonts w:eastAsia="Calibri (Body)" w:cs="Calibri (Body)"/>
                <w:color w:val="000000"/>
                <w:sz w:val="18"/>
                <w:szCs w:val="18"/>
              </w:rPr>
              <w:t>1,665 (46.4%)</w:t>
            </w:r>
          </w:p>
        </w:tc>
        <w:tc>
          <w:tcPr>
            <w:tcW w:w="1843" w:type="dxa"/>
            <w:shd w:val="clear" w:color="auto" w:fill="FFFFFF"/>
            <w:tcMar>
              <w:top w:w="0" w:type="dxa"/>
              <w:left w:w="0" w:type="dxa"/>
              <w:bottom w:w="0" w:type="dxa"/>
              <w:right w:w="0" w:type="dxa"/>
            </w:tcMar>
            <w:vAlign w:val="center"/>
          </w:tcPr>
          <w:p w14:paraId="50E66C91" w14:textId="77777777" w:rsidR="00380D33" w:rsidRPr="004D165B" w:rsidRDefault="00380D33" w:rsidP="00380D33">
            <w:pPr>
              <w:spacing w:before="40" w:after="40"/>
              <w:ind w:left="100" w:right="100"/>
              <w:jc w:val="center"/>
              <w:rPr>
                <w:rFonts w:eastAsia="Calibri (Body)" w:cs="Calibri (Body)"/>
                <w:color w:val="000000"/>
                <w:sz w:val="18"/>
                <w:szCs w:val="18"/>
              </w:rPr>
            </w:pPr>
            <w:r w:rsidRPr="004D165B">
              <w:rPr>
                <w:rFonts w:eastAsia="Calibri (Body)" w:cs="Calibri (Body)"/>
                <w:color w:val="000000"/>
                <w:sz w:val="18"/>
                <w:szCs w:val="18"/>
              </w:rPr>
              <w:t>5</w:t>
            </w:r>
            <w:r>
              <w:rPr>
                <w:rFonts w:eastAsia="Calibri (Body)" w:cs="Calibri (Body)"/>
                <w:color w:val="000000"/>
                <w:sz w:val="18"/>
                <w:szCs w:val="18"/>
              </w:rPr>
              <w:t>,</w:t>
            </w:r>
            <w:r w:rsidRPr="004D165B">
              <w:rPr>
                <w:rFonts w:eastAsia="Calibri (Body)" w:cs="Calibri (Body)"/>
                <w:color w:val="000000"/>
                <w:sz w:val="18"/>
                <w:szCs w:val="18"/>
              </w:rPr>
              <w:t>574 (49.2%)</w:t>
            </w:r>
          </w:p>
        </w:tc>
      </w:tr>
      <w:tr w:rsidR="00380D33" w:rsidRPr="00474DA9" w14:paraId="3966296A" w14:textId="77777777" w:rsidTr="00CA69AF">
        <w:trPr>
          <w:cantSplit/>
          <w:jc w:val="center"/>
        </w:trPr>
        <w:tc>
          <w:tcPr>
            <w:tcW w:w="1550" w:type="dxa"/>
            <w:shd w:val="clear" w:color="auto" w:fill="FFFFFF"/>
            <w:tcMar>
              <w:top w:w="0" w:type="dxa"/>
              <w:left w:w="0" w:type="dxa"/>
              <w:bottom w:w="0" w:type="dxa"/>
              <w:right w:w="0" w:type="dxa"/>
            </w:tcMar>
            <w:vAlign w:val="center"/>
          </w:tcPr>
          <w:p w14:paraId="4F88A70A" w14:textId="77777777" w:rsidR="00380D33" w:rsidRPr="004D165B" w:rsidRDefault="00380D33" w:rsidP="00380D33">
            <w:pPr>
              <w:spacing w:before="40" w:after="40"/>
              <w:ind w:left="100" w:right="100"/>
              <w:rPr>
                <w:rFonts w:eastAsia="Calibri (Body)" w:cs="Calibri (Body)"/>
                <w:color w:val="000000"/>
                <w:sz w:val="18"/>
                <w:szCs w:val="18"/>
              </w:rPr>
            </w:pPr>
            <w:r w:rsidRPr="004D165B">
              <w:rPr>
                <w:rFonts w:eastAsia="Calibri (Body)" w:cs="Calibri (Body)"/>
                <w:color w:val="000000"/>
                <w:sz w:val="18"/>
                <w:szCs w:val="18"/>
              </w:rPr>
              <w:t>Tier 3</w:t>
            </w:r>
          </w:p>
        </w:tc>
        <w:tc>
          <w:tcPr>
            <w:tcW w:w="1842" w:type="dxa"/>
            <w:shd w:val="clear" w:color="auto" w:fill="FFFFFF"/>
            <w:tcMar>
              <w:top w:w="0" w:type="dxa"/>
              <w:left w:w="0" w:type="dxa"/>
              <w:bottom w:w="0" w:type="dxa"/>
              <w:right w:w="0" w:type="dxa"/>
            </w:tcMar>
          </w:tcPr>
          <w:p w14:paraId="487CFE54" w14:textId="403581E8" w:rsidR="00380D33" w:rsidRPr="004D165B" w:rsidRDefault="00380D33" w:rsidP="00380D33">
            <w:pPr>
              <w:spacing w:before="40" w:after="40"/>
              <w:ind w:left="100" w:right="100"/>
              <w:jc w:val="center"/>
              <w:rPr>
                <w:rFonts w:eastAsia="Calibri (Body)" w:cs="Calibri (Body)"/>
                <w:color w:val="000000"/>
                <w:sz w:val="18"/>
                <w:szCs w:val="18"/>
              </w:rPr>
            </w:pPr>
            <w:r w:rsidRPr="00380D33">
              <w:rPr>
                <w:rFonts w:eastAsia="Calibri (Body)" w:cs="Calibri (Body)"/>
                <w:color w:val="000000"/>
                <w:sz w:val="18"/>
                <w:szCs w:val="18"/>
              </w:rPr>
              <w:t>2,406 (31.1%)</w:t>
            </w:r>
          </w:p>
        </w:tc>
        <w:tc>
          <w:tcPr>
            <w:tcW w:w="1843" w:type="dxa"/>
            <w:shd w:val="clear" w:color="auto" w:fill="FFFFFF"/>
            <w:tcMar>
              <w:top w:w="0" w:type="dxa"/>
              <w:left w:w="0" w:type="dxa"/>
              <w:bottom w:w="0" w:type="dxa"/>
              <w:right w:w="0" w:type="dxa"/>
            </w:tcMar>
          </w:tcPr>
          <w:p w14:paraId="7E35B23B" w14:textId="35678D91" w:rsidR="00380D33" w:rsidRPr="004D165B" w:rsidRDefault="00380D33" w:rsidP="00380D33">
            <w:pPr>
              <w:spacing w:before="40" w:after="40"/>
              <w:ind w:left="100" w:right="100"/>
              <w:jc w:val="center"/>
              <w:rPr>
                <w:rFonts w:eastAsia="Calibri (Body)" w:cs="Calibri (Body)"/>
                <w:color w:val="000000"/>
                <w:sz w:val="18"/>
                <w:szCs w:val="18"/>
              </w:rPr>
            </w:pPr>
            <w:r w:rsidRPr="00380D33">
              <w:rPr>
                <w:rFonts w:eastAsia="Calibri (Body)" w:cs="Calibri (Body)"/>
                <w:color w:val="000000"/>
                <w:sz w:val="18"/>
                <w:szCs w:val="18"/>
              </w:rPr>
              <w:t>1,340 (37.3%)</w:t>
            </w:r>
          </w:p>
        </w:tc>
        <w:tc>
          <w:tcPr>
            <w:tcW w:w="1843" w:type="dxa"/>
            <w:shd w:val="clear" w:color="auto" w:fill="FFFFFF"/>
            <w:tcMar>
              <w:top w:w="0" w:type="dxa"/>
              <w:left w:w="0" w:type="dxa"/>
              <w:bottom w:w="0" w:type="dxa"/>
              <w:right w:w="0" w:type="dxa"/>
            </w:tcMar>
            <w:vAlign w:val="center"/>
          </w:tcPr>
          <w:p w14:paraId="6D0379D7" w14:textId="77777777" w:rsidR="00380D33" w:rsidRPr="004D165B" w:rsidRDefault="00380D33" w:rsidP="00380D33">
            <w:pPr>
              <w:spacing w:before="40" w:after="40"/>
              <w:ind w:left="100" w:right="100"/>
              <w:jc w:val="center"/>
              <w:rPr>
                <w:rFonts w:eastAsia="Calibri (Body)" w:cs="Calibri (Body)"/>
                <w:color w:val="000000"/>
                <w:sz w:val="18"/>
                <w:szCs w:val="18"/>
              </w:rPr>
            </w:pPr>
            <w:r w:rsidRPr="004D165B">
              <w:rPr>
                <w:rFonts w:eastAsia="Calibri (Body)" w:cs="Calibri (Body)"/>
                <w:color w:val="000000"/>
                <w:sz w:val="18"/>
                <w:szCs w:val="18"/>
              </w:rPr>
              <w:t>3</w:t>
            </w:r>
            <w:r>
              <w:rPr>
                <w:rFonts w:eastAsia="Calibri (Body)" w:cs="Calibri (Body)"/>
                <w:color w:val="000000"/>
                <w:sz w:val="18"/>
                <w:szCs w:val="18"/>
              </w:rPr>
              <w:t>,</w:t>
            </w:r>
            <w:r w:rsidRPr="004D165B">
              <w:rPr>
                <w:rFonts w:eastAsia="Calibri (Body)" w:cs="Calibri (Body)"/>
                <w:color w:val="000000"/>
                <w:sz w:val="18"/>
                <w:szCs w:val="18"/>
              </w:rPr>
              <w:t>746 (33.1%)</w:t>
            </w:r>
          </w:p>
        </w:tc>
      </w:tr>
    </w:tbl>
    <w:p w14:paraId="67FE0109" w14:textId="5DBA9FD7" w:rsidR="00506AE4" w:rsidRDefault="00001DEB" w:rsidP="005B0774">
      <w:pPr>
        <w:pStyle w:val="Chartortablefootnote"/>
        <w:spacing w:after="0"/>
      </w:pPr>
      <w:r>
        <w:t>Notes:</w:t>
      </w:r>
      <w:r w:rsidR="00D72973">
        <w:t xml:space="preserve"> </w:t>
      </w:r>
      <w:r w:rsidR="00D72973" w:rsidRPr="00744E21">
        <w:rPr>
          <w:vertAlign w:val="superscript"/>
        </w:rPr>
        <w:t>1</w:t>
      </w:r>
      <w:r w:rsidR="00D72973">
        <w:t> </w:t>
      </w:r>
      <w:r w:rsidR="0087126D">
        <w:t>”</w:t>
      </w:r>
      <w:r w:rsidR="00D72973">
        <w:t>Active</w:t>
      </w:r>
      <w:r w:rsidR="0087126D">
        <w:t>”</w:t>
      </w:r>
      <w:r w:rsidR="00D72973">
        <w:t xml:space="preserve"> means patients in the trial </w:t>
      </w:r>
      <w:r w:rsidR="009A1AD0">
        <w:t>on</w:t>
      </w:r>
      <w:r w:rsidR="00D72973">
        <w:t xml:space="preserve"> 30 June 202</w:t>
      </w:r>
      <w:r w:rsidR="00DE19B0">
        <w:t>1</w:t>
      </w:r>
      <w:r w:rsidR="00D72973">
        <w:t>. Withdrawn means patients who were enrolled any time from 1 October 2017 to 30 June 2019</w:t>
      </w:r>
      <w:r w:rsidR="002D5591">
        <w:t xml:space="preserve"> </w:t>
      </w:r>
      <w:r w:rsidR="00D72973">
        <w:t xml:space="preserve">but withdrew </w:t>
      </w:r>
      <w:r w:rsidR="000D365F" w:rsidRPr="00E47493">
        <w:t>before</w:t>
      </w:r>
      <w:r w:rsidR="00D72973" w:rsidRPr="002D3256">
        <w:t xml:space="preserve"> 30 June 202</w:t>
      </w:r>
      <w:r w:rsidR="00DA45D3">
        <w:t>1</w:t>
      </w:r>
      <w:r w:rsidR="00D72973" w:rsidRPr="002D3256">
        <w:t xml:space="preserve">. </w:t>
      </w:r>
      <w:r w:rsidR="00D72973" w:rsidRPr="00744E21">
        <w:rPr>
          <w:vertAlign w:val="superscript"/>
        </w:rPr>
        <w:t>2</w:t>
      </w:r>
      <w:r w:rsidR="00D72973" w:rsidRPr="002D3256">
        <w:t xml:space="preserve"> Difference between active and withdrawn patients not significant (p=0.</w:t>
      </w:r>
      <w:r w:rsidR="00234243">
        <w:t>365</w:t>
      </w:r>
      <w:r w:rsidR="00D72973" w:rsidRPr="002D3256">
        <w:t xml:space="preserve">). </w:t>
      </w:r>
      <w:r w:rsidR="00D72973" w:rsidRPr="00744E21">
        <w:rPr>
          <w:vertAlign w:val="superscript"/>
        </w:rPr>
        <w:t>3 </w:t>
      </w:r>
      <w:r w:rsidR="00D72973" w:rsidRPr="002D3256">
        <w:t>Difference between active and withdrawn patients is significant (p&lt;0.001).</w:t>
      </w:r>
      <w:bookmarkStart w:id="56" w:name="_Ref50395255"/>
    </w:p>
    <w:p w14:paraId="56720AD3" w14:textId="701636F6" w:rsidR="00045B0A" w:rsidRDefault="00045B0A" w:rsidP="00E47493">
      <w:pPr>
        <w:pStyle w:val="Chartortablefootnote"/>
      </w:pPr>
      <w:r w:rsidRPr="000819FA">
        <w:t xml:space="preserve">Source: </w:t>
      </w:r>
      <w:r>
        <w:rPr>
          <w:szCs w:val="16"/>
        </w:rPr>
        <w:t xml:space="preserve">Health Professional Online Services (HPOS) </w:t>
      </w:r>
      <w:r>
        <w:t>data to 30 June 2021</w:t>
      </w:r>
      <w:r w:rsidRPr="000819FA">
        <w:t>.</w:t>
      </w:r>
    </w:p>
    <w:p w14:paraId="77FBA94C" w14:textId="77777777" w:rsidR="00506AE4" w:rsidRDefault="00506AE4">
      <w:pPr>
        <w:spacing w:after="160" w:line="259" w:lineRule="auto"/>
        <w:rPr>
          <w:rFonts w:eastAsia="Calibri" w:cs="Times New Roman"/>
          <w:i/>
          <w:sz w:val="16"/>
          <w:szCs w:val="18"/>
        </w:rPr>
      </w:pPr>
      <w:r>
        <w:br w:type="page"/>
      </w:r>
    </w:p>
    <w:p w14:paraId="6B932665" w14:textId="1D9B2FF2" w:rsidR="00720311" w:rsidRDefault="00720311" w:rsidP="00720311">
      <w:pPr>
        <w:pStyle w:val="Heading2"/>
      </w:pPr>
      <w:bookmarkStart w:id="57" w:name="_Toc109996651"/>
      <w:r>
        <w:lastRenderedPageBreak/>
        <w:t>Tier changes</w:t>
      </w:r>
      <w:bookmarkEnd w:id="57"/>
    </w:p>
    <w:p w14:paraId="7C5F0394" w14:textId="744383D5" w:rsidR="00720311" w:rsidRDefault="00720311" w:rsidP="00720311">
      <w:pPr>
        <w:rPr>
          <w:szCs w:val="20"/>
        </w:rPr>
      </w:pPr>
      <w:r w:rsidRPr="009B6E30">
        <w:rPr>
          <w:szCs w:val="20"/>
        </w:rPr>
        <w:t xml:space="preserve">Among the patients who were still </w:t>
      </w:r>
      <w:r>
        <w:rPr>
          <w:szCs w:val="20"/>
        </w:rPr>
        <w:t>in the trial</w:t>
      </w:r>
      <w:r w:rsidRPr="009B6E30">
        <w:rPr>
          <w:szCs w:val="20"/>
        </w:rPr>
        <w:t xml:space="preserve"> </w:t>
      </w:r>
      <w:r>
        <w:rPr>
          <w:szCs w:val="20"/>
        </w:rPr>
        <w:t>until</w:t>
      </w:r>
      <w:r w:rsidRPr="009B6E30">
        <w:rPr>
          <w:szCs w:val="20"/>
        </w:rPr>
        <w:t xml:space="preserve"> 30 June 202</w:t>
      </w:r>
      <w:r>
        <w:rPr>
          <w:szCs w:val="20"/>
        </w:rPr>
        <w:t>1</w:t>
      </w:r>
      <w:r w:rsidRPr="009B6E30">
        <w:rPr>
          <w:szCs w:val="20"/>
        </w:rPr>
        <w:t xml:space="preserve">, </w:t>
      </w:r>
      <w:r>
        <w:rPr>
          <w:szCs w:val="20"/>
        </w:rPr>
        <w:t>1,053</w:t>
      </w:r>
      <w:r w:rsidRPr="009B6E30">
        <w:rPr>
          <w:szCs w:val="20"/>
        </w:rPr>
        <w:t xml:space="preserve"> (</w:t>
      </w:r>
      <w:r>
        <w:rPr>
          <w:szCs w:val="20"/>
        </w:rPr>
        <w:t>13.6</w:t>
      </w:r>
      <w:r w:rsidRPr="009B6E30">
        <w:rPr>
          <w:szCs w:val="20"/>
        </w:rPr>
        <w:t xml:space="preserve">%) were </w:t>
      </w:r>
      <w:r w:rsidR="00A8609B">
        <w:rPr>
          <w:szCs w:val="20"/>
        </w:rPr>
        <w:t>re-allocated</w:t>
      </w:r>
      <w:r w:rsidRPr="009B6E30">
        <w:rPr>
          <w:szCs w:val="20"/>
        </w:rPr>
        <w:t xml:space="preserve"> to a different tier at least once </w:t>
      </w:r>
      <w:r>
        <w:rPr>
          <w:szCs w:val="20"/>
        </w:rPr>
        <w:t>before</w:t>
      </w:r>
      <w:r w:rsidRPr="009B6E30">
        <w:rPr>
          <w:szCs w:val="20"/>
        </w:rPr>
        <w:t xml:space="preserve"> 30 June 202</w:t>
      </w:r>
      <w:r>
        <w:rPr>
          <w:szCs w:val="20"/>
        </w:rPr>
        <w:t>1 (</w:t>
      </w:r>
      <w:r w:rsidR="00576AA4">
        <w:rPr>
          <w:szCs w:val="20"/>
        </w:rPr>
        <w:fldChar w:fldCharType="begin"/>
      </w:r>
      <w:r w:rsidR="00576AA4">
        <w:rPr>
          <w:szCs w:val="20"/>
        </w:rPr>
        <w:instrText xml:space="preserve"> REF _Ref99301893 \h </w:instrText>
      </w:r>
      <w:r w:rsidR="00576AA4">
        <w:rPr>
          <w:szCs w:val="20"/>
        </w:rPr>
      </w:r>
      <w:r w:rsidR="00576AA4">
        <w:rPr>
          <w:szCs w:val="20"/>
        </w:rPr>
        <w:fldChar w:fldCharType="separate"/>
      </w:r>
      <w:r w:rsidR="003C4BC2" w:rsidRPr="00047ECB">
        <w:rPr>
          <w:rStyle w:val="Strong1"/>
          <w:b w:val="0"/>
          <w:color w:val="1D2455"/>
          <w:sz w:val="20"/>
          <w:szCs w:val="16"/>
        </w:rPr>
        <w:t xml:space="preserve">Table </w:t>
      </w:r>
      <w:r w:rsidR="003C4BC2">
        <w:rPr>
          <w:rStyle w:val="Strong1"/>
          <w:b w:val="0"/>
          <w:noProof/>
          <w:color w:val="1D2455"/>
          <w:sz w:val="20"/>
          <w:szCs w:val="16"/>
        </w:rPr>
        <w:t>7</w:t>
      </w:r>
      <w:r w:rsidR="00576AA4">
        <w:rPr>
          <w:szCs w:val="20"/>
        </w:rPr>
        <w:fldChar w:fldCharType="end"/>
      </w:r>
      <w:r>
        <w:rPr>
          <w:szCs w:val="20"/>
        </w:rPr>
        <w:t>)</w:t>
      </w:r>
      <w:r w:rsidRPr="009B6E30">
        <w:rPr>
          <w:szCs w:val="20"/>
        </w:rPr>
        <w:t>. Of the 1</w:t>
      </w:r>
      <w:r>
        <w:rPr>
          <w:szCs w:val="20"/>
        </w:rPr>
        <w:t>,427</w:t>
      </w:r>
      <w:r w:rsidRPr="009B6E30">
        <w:rPr>
          <w:szCs w:val="20"/>
        </w:rPr>
        <w:t xml:space="preserve"> patients allocated to </w:t>
      </w:r>
      <w:r>
        <w:rPr>
          <w:szCs w:val="20"/>
        </w:rPr>
        <w:t>tier</w:t>
      </w:r>
      <w:r w:rsidRPr="009B6E30">
        <w:rPr>
          <w:szCs w:val="20"/>
        </w:rPr>
        <w:t xml:space="preserve"> 1,</w:t>
      </w:r>
      <w:r w:rsidR="00900C25">
        <w:rPr>
          <w:szCs w:val="20"/>
        </w:rPr>
        <w:t xml:space="preserve"> </w:t>
      </w:r>
      <w:r>
        <w:rPr>
          <w:szCs w:val="20"/>
        </w:rPr>
        <w:t>381</w:t>
      </w:r>
      <w:r w:rsidRPr="009B6E30">
        <w:rPr>
          <w:szCs w:val="20"/>
        </w:rPr>
        <w:t xml:space="preserve"> (</w:t>
      </w:r>
      <w:r>
        <w:rPr>
          <w:szCs w:val="20"/>
        </w:rPr>
        <w:t>26.7</w:t>
      </w:r>
      <w:r w:rsidRPr="009B6E30">
        <w:rPr>
          <w:szCs w:val="20"/>
        </w:rPr>
        <w:t xml:space="preserve">%) moved to a </w:t>
      </w:r>
      <w:r w:rsidR="00BA01F9">
        <w:rPr>
          <w:szCs w:val="20"/>
        </w:rPr>
        <w:t>more complex</w:t>
      </w:r>
      <w:r w:rsidRPr="009B6E30">
        <w:rPr>
          <w:szCs w:val="20"/>
        </w:rPr>
        <w:t xml:space="preserve"> tier. </w:t>
      </w:r>
      <w:r>
        <w:rPr>
          <w:szCs w:val="20"/>
        </w:rPr>
        <w:t>Of patients initially allocated to tier 2,</w:t>
      </w:r>
      <w:r w:rsidRPr="009B6E30">
        <w:rPr>
          <w:szCs w:val="20"/>
        </w:rPr>
        <w:t xml:space="preserve"> </w:t>
      </w:r>
      <w:r>
        <w:rPr>
          <w:szCs w:val="20"/>
        </w:rPr>
        <w:t>443</w:t>
      </w:r>
      <w:r w:rsidRPr="009B6E30">
        <w:rPr>
          <w:szCs w:val="20"/>
        </w:rPr>
        <w:t xml:space="preserve"> (</w:t>
      </w:r>
      <w:r>
        <w:rPr>
          <w:szCs w:val="20"/>
        </w:rPr>
        <w:t>11.3</w:t>
      </w:r>
      <w:r w:rsidRPr="009B6E30">
        <w:rPr>
          <w:szCs w:val="20"/>
        </w:rPr>
        <w:t>%) mov</w:t>
      </w:r>
      <w:r>
        <w:rPr>
          <w:szCs w:val="20"/>
        </w:rPr>
        <w:t>ed</w:t>
      </w:r>
      <w:r w:rsidRPr="009B6E30">
        <w:rPr>
          <w:szCs w:val="20"/>
        </w:rPr>
        <w:t xml:space="preserve"> to </w:t>
      </w:r>
      <w:r>
        <w:rPr>
          <w:szCs w:val="20"/>
        </w:rPr>
        <w:t>tier</w:t>
      </w:r>
      <w:r w:rsidRPr="009B6E30">
        <w:rPr>
          <w:szCs w:val="20"/>
        </w:rPr>
        <w:t xml:space="preserve"> 3 </w:t>
      </w:r>
      <w:r>
        <w:rPr>
          <w:szCs w:val="20"/>
        </w:rPr>
        <w:t>and</w:t>
      </w:r>
      <w:r w:rsidRPr="009B6E30">
        <w:rPr>
          <w:szCs w:val="20"/>
        </w:rPr>
        <w:t xml:space="preserve"> </w:t>
      </w:r>
      <w:r>
        <w:rPr>
          <w:szCs w:val="20"/>
        </w:rPr>
        <w:t xml:space="preserve">97 </w:t>
      </w:r>
      <w:r w:rsidRPr="009B6E30">
        <w:rPr>
          <w:szCs w:val="20"/>
        </w:rPr>
        <w:t>(</w:t>
      </w:r>
      <w:r>
        <w:rPr>
          <w:szCs w:val="20"/>
        </w:rPr>
        <w:t>2.5</w:t>
      </w:r>
      <w:r w:rsidRPr="009B6E30">
        <w:rPr>
          <w:szCs w:val="20"/>
        </w:rPr>
        <w:t xml:space="preserve">%) to </w:t>
      </w:r>
      <w:r>
        <w:rPr>
          <w:szCs w:val="20"/>
        </w:rPr>
        <w:t>tier</w:t>
      </w:r>
      <w:r w:rsidRPr="009B6E30">
        <w:rPr>
          <w:szCs w:val="20"/>
        </w:rPr>
        <w:t xml:space="preserve"> 1</w:t>
      </w:r>
      <w:r>
        <w:rPr>
          <w:szCs w:val="20"/>
        </w:rPr>
        <w:t>. Of patients initially allocated</w:t>
      </w:r>
      <w:r w:rsidRPr="009B6E30">
        <w:rPr>
          <w:szCs w:val="20"/>
        </w:rPr>
        <w:t xml:space="preserve"> to </w:t>
      </w:r>
      <w:r>
        <w:rPr>
          <w:szCs w:val="20"/>
        </w:rPr>
        <w:t>tier</w:t>
      </w:r>
      <w:r w:rsidRPr="009B6E30">
        <w:rPr>
          <w:szCs w:val="20"/>
        </w:rPr>
        <w:t xml:space="preserve"> </w:t>
      </w:r>
      <w:r>
        <w:rPr>
          <w:szCs w:val="20"/>
        </w:rPr>
        <w:t>3</w:t>
      </w:r>
      <w:r w:rsidRPr="009B6E30">
        <w:rPr>
          <w:szCs w:val="20"/>
        </w:rPr>
        <w:t xml:space="preserve">, </w:t>
      </w:r>
      <w:r>
        <w:rPr>
          <w:szCs w:val="20"/>
        </w:rPr>
        <w:t>128</w:t>
      </w:r>
      <w:r w:rsidRPr="009B6E30">
        <w:rPr>
          <w:szCs w:val="20"/>
        </w:rPr>
        <w:t xml:space="preserve"> (</w:t>
      </w:r>
      <w:r>
        <w:rPr>
          <w:szCs w:val="20"/>
        </w:rPr>
        <w:t>5.3</w:t>
      </w:r>
      <w:r w:rsidRPr="009B6E30">
        <w:rPr>
          <w:szCs w:val="20"/>
        </w:rPr>
        <w:t>%) mov</w:t>
      </w:r>
      <w:r>
        <w:rPr>
          <w:szCs w:val="20"/>
        </w:rPr>
        <w:t>ed</w:t>
      </w:r>
      <w:r w:rsidRPr="009B6E30">
        <w:rPr>
          <w:szCs w:val="20"/>
        </w:rPr>
        <w:t xml:space="preserve"> to tier</w:t>
      </w:r>
      <w:r>
        <w:rPr>
          <w:szCs w:val="20"/>
        </w:rPr>
        <w:t xml:space="preserve"> 2 and a further 4 (0.2%) to tier 1</w:t>
      </w:r>
      <w:r w:rsidRPr="009B6E30">
        <w:rPr>
          <w:szCs w:val="20"/>
        </w:rPr>
        <w:t>.</w:t>
      </w:r>
      <w:r>
        <w:rPr>
          <w:szCs w:val="20"/>
        </w:rPr>
        <w:t xml:space="preserve"> </w:t>
      </w:r>
    </w:p>
    <w:p w14:paraId="64194E68" w14:textId="74A480F5" w:rsidR="00720311" w:rsidRPr="00047ECB" w:rsidRDefault="00720311" w:rsidP="00720311">
      <w:pPr>
        <w:pStyle w:val="TableFigureheading"/>
        <w:rPr>
          <w:rStyle w:val="Strong1"/>
          <w:b w:val="0"/>
          <w:color w:val="1D2455"/>
          <w:sz w:val="20"/>
          <w:szCs w:val="16"/>
        </w:rPr>
      </w:pPr>
      <w:bookmarkStart w:id="58" w:name="_Ref99301893"/>
      <w:r w:rsidRPr="00047ECB">
        <w:rPr>
          <w:rStyle w:val="Strong1"/>
          <w:b w:val="0"/>
          <w:color w:val="1D2455"/>
          <w:sz w:val="20"/>
          <w:szCs w:val="16"/>
        </w:rPr>
        <w:t xml:space="preserve">Table </w:t>
      </w:r>
      <w:bookmarkStart w:id="59" w:name="_Ref50390669"/>
      <w:r w:rsidR="00181301" w:rsidRPr="00047ECB">
        <w:rPr>
          <w:rStyle w:val="Strong1"/>
          <w:b w:val="0"/>
          <w:color w:val="1D2455"/>
          <w:sz w:val="20"/>
          <w:szCs w:val="16"/>
        </w:rPr>
        <w:fldChar w:fldCharType="begin"/>
      </w:r>
      <w:r w:rsidR="00181301" w:rsidRPr="00047ECB">
        <w:rPr>
          <w:rStyle w:val="Strong1"/>
          <w:b w:val="0"/>
          <w:color w:val="1D2455"/>
          <w:sz w:val="20"/>
          <w:szCs w:val="16"/>
        </w:rPr>
        <w:instrText>SEQ Table \* ARABIC</w:instrText>
      </w:r>
      <w:r w:rsidR="00181301" w:rsidRPr="00047ECB">
        <w:rPr>
          <w:rStyle w:val="Strong1"/>
          <w:b w:val="0"/>
          <w:color w:val="1D2455"/>
          <w:sz w:val="20"/>
          <w:szCs w:val="16"/>
        </w:rPr>
        <w:fldChar w:fldCharType="separate"/>
      </w:r>
      <w:r w:rsidR="003C4BC2">
        <w:rPr>
          <w:rStyle w:val="Strong1"/>
          <w:b w:val="0"/>
          <w:noProof/>
          <w:color w:val="1D2455"/>
          <w:sz w:val="20"/>
          <w:szCs w:val="16"/>
        </w:rPr>
        <w:t>7</w:t>
      </w:r>
      <w:r w:rsidR="00181301" w:rsidRPr="00047ECB">
        <w:rPr>
          <w:rStyle w:val="Strong1"/>
          <w:b w:val="0"/>
          <w:color w:val="1D2455"/>
          <w:sz w:val="20"/>
          <w:szCs w:val="16"/>
        </w:rPr>
        <w:fldChar w:fldCharType="end"/>
      </w:r>
      <w:bookmarkEnd w:id="58"/>
      <w:bookmarkEnd w:id="59"/>
      <w:r w:rsidRPr="00047ECB">
        <w:rPr>
          <w:rStyle w:val="Strong1"/>
          <w:b w:val="0"/>
          <w:color w:val="1D2455"/>
          <w:sz w:val="20"/>
          <w:szCs w:val="16"/>
        </w:rPr>
        <w:t xml:space="preserve">: Tier changes </w:t>
      </w:r>
      <w:r w:rsidR="00982BF3">
        <w:rPr>
          <w:rStyle w:val="Strong1"/>
          <w:b w:val="0"/>
          <w:color w:val="1D2455"/>
          <w:sz w:val="20"/>
          <w:szCs w:val="16"/>
        </w:rPr>
        <w:t>of</w:t>
      </w:r>
      <w:r w:rsidRPr="00047ECB">
        <w:rPr>
          <w:rStyle w:val="Strong1"/>
          <w:b w:val="0"/>
          <w:color w:val="1D2455"/>
          <w:sz w:val="20"/>
          <w:szCs w:val="16"/>
        </w:rPr>
        <w:t xml:space="preserve"> patients</w:t>
      </w:r>
      <w:r w:rsidR="003E6932">
        <w:rPr>
          <w:rStyle w:val="Strong1"/>
          <w:b w:val="0"/>
          <w:color w:val="1D2455"/>
          <w:sz w:val="20"/>
          <w:szCs w:val="16"/>
        </w:rPr>
        <w:t xml:space="preserve"> still in the trial </w:t>
      </w:r>
      <w:r w:rsidR="00AB1C1C">
        <w:rPr>
          <w:rStyle w:val="Strong1"/>
          <w:b w:val="0"/>
          <w:color w:val="1D2455"/>
          <w:sz w:val="20"/>
          <w:szCs w:val="16"/>
        </w:rPr>
        <w:t>on</w:t>
      </w:r>
      <w:r w:rsidR="003E6932">
        <w:rPr>
          <w:rStyle w:val="Strong1"/>
          <w:b w:val="0"/>
          <w:color w:val="1D2455"/>
          <w:sz w:val="20"/>
          <w:szCs w:val="16"/>
        </w:rPr>
        <w:t xml:space="preserve"> 30 June 2021</w:t>
      </w:r>
    </w:p>
    <w:tbl>
      <w:tblPr>
        <w:tblW w:w="6652" w:type="dxa"/>
        <w:jc w:val="center"/>
        <w:tblBorders>
          <w:top w:val="single" w:sz="4" w:space="0" w:color="408BCA"/>
          <w:left w:val="single" w:sz="4" w:space="0" w:color="408BCA"/>
          <w:bottom w:val="single" w:sz="4" w:space="0" w:color="408BCA"/>
          <w:right w:val="single" w:sz="4" w:space="0" w:color="408BCA"/>
        </w:tblBorders>
        <w:tblLayout w:type="fixed"/>
        <w:tblLook w:val="0420" w:firstRow="1" w:lastRow="0" w:firstColumn="0" w:lastColumn="0" w:noHBand="0" w:noVBand="1"/>
      </w:tblPr>
      <w:tblGrid>
        <w:gridCol w:w="1276"/>
        <w:gridCol w:w="1056"/>
        <w:gridCol w:w="1440"/>
        <w:gridCol w:w="1440"/>
        <w:gridCol w:w="1440"/>
      </w:tblGrid>
      <w:tr w:rsidR="00720311" w:rsidRPr="009B6E30" w14:paraId="252BB5DD" w14:textId="77777777" w:rsidTr="00F8568B">
        <w:trPr>
          <w:cantSplit/>
          <w:tblHeader/>
          <w:jc w:val="center"/>
        </w:trPr>
        <w:tc>
          <w:tcPr>
            <w:tcW w:w="1276" w:type="dxa"/>
            <w:vMerge w:val="restart"/>
            <w:tcBorders>
              <w:top w:val="single" w:sz="4" w:space="0" w:color="408BCA"/>
              <w:bottom w:val="single" w:sz="4" w:space="0" w:color="BFBFBF" w:themeColor="background1" w:themeShade="BF"/>
              <w:right w:val="single" w:sz="4" w:space="0" w:color="BFBFBF" w:themeColor="background1" w:themeShade="BF"/>
            </w:tcBorders>
            <w:shd w:val="clear" w:color="auto" w:fill="408BCA"/>
            <w:tcMar>
              <w:top w:w="0" w:type="dxa"/>
              <w:left w:w="0" w:type="dxa"/>
              <w:bottom w:w="0" w:type="dxa"/>
              <w:right w:w="0" w:type="dxa"/>
            </w:tcMar>
            <w:vAlign w:val="center"/>
          </w:tcPr>
          <w:p w14:paraId="39E1DF8C" w14:textId="77777777" w:rsidR="00720311" w:rsidRPr="009B6E30" w:rsidRDefault="00720311" w:rsidP="00F8568B">
            <w:pPr>
              <w:spacing w:after="0"/>
              <w:jc w:val="center"/>
              <w:rPr>
                <w:sz w:val="18"/>
                <w:szCs w:val="18"/>
              </w:rPr>
            </w:pPr>
            <w:r w:rsidRPr="009B6E30">
              <w:rPr>
                <w:rFonts w:eastAsia="Century Gothic" w:cs="Century Gothic"/>
                <w:b/>
                <w:color w:val="FFFFFF"/>
                <w:sz w:val="18"/>
                <w:szCs w:val="18"/>
              </w:rPr>
              <w:t>Tier at enrolment</w:t>
            </w:r>
          </w:p>
        </w:tc>
        <w:tc>
          <w:tcPr>
            <w:tcW w:w="1056" w:type="dxa"/>
            <w:vMerge w:val="restart"/>
            <w:tcBorders>
              <w:top w:val="single" w:sz="4" w:space="0" w:color="408BCA"/>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408BCA"/>
            <w:tcMar>
              <w:top w:w="0" w:type="dxa"/>
              <w:left w:w="0" w:type="dxa"/>
              <w:bottom w:w="0" w:type="dxa"/>
              <w:right w:w="0" w:type="dxa"/>
            </w:tcMar>
            <w:vAlign w:val="center"/>
          </w:tcPr>
          <w:p w14:paraId="2949C9B0" w14:textId="77777777" w:rsidR="00720311" w:rsidRPr="009B6E30" w:rsidRDefault="00720311" w:rsidP="00F8568B">
            <w:pPr>
              <w:spacing w:after="0"/>
              <w:jc w:val="center"/>
              <w:rPr>
                <w:sz w:val="18"/>
                <w:szCs w:val="18"/>
              </w:rPr>
            </w:pPr>
            <w:r w:rsidRPr="009B6E30">
              <w:rPr>
                <w:rFonts w:eastAsia="Century Gothic" w:cs="Century Gothic"/>
                <w:b/>
                <w:color w:val="FFFFFF"/>
                <w:sz w:val="18"/>
                <w:szCs w:val="18"/>
              </w:rPr>
              <w:t>Total patients</w:t>
            </w:r>
          </w:p>
        </w:tc>
        <w:tc>
          <w:tcPr>
            <w:tcW w:w="4320" w:type="dxa"/>
            <w:gridSpan w:val="3"/>
            <w:tcBorders>
              <w:top w:val="single" w:sz="4" w:space="0" w:color="408BCA"/>
              <w:left w:val="single" w:sz="4" w:space="0" w:color="BFBFBF" w:themeColor="background1" w:themeShade="BF"/>
              <w:bottom w:val="single" w:sz="4" w:space="0" w:color="BFBFBF" w:themeColor="background1" w:themeShade="BF"/>
            </w:tcBorders>
            <w:shd w:val="clear" w:color="auto" w:fill="408BCA"/>
            <w:tcMar>
              <w:top w:w="0" w:type="dxa"/>
              <w:left w:w="0" w:type="dxa"/>
              <w:bottom w:w="0" w:type="dxa"/>
              <w:right w:w="0" w:type="dxa"/>
            </w:tcMar>
            <w:vAlign w:val="center"/>
          </w:tcPr>
          <w:p w14:paraId="0ECB37E3" w14:textId="77777777" w:rsidR="00720311" w:rsidRPr="009B6E30" w:rsidRDefault="00720311" w:rsidP="00F8568B">
            <w:pPr>
              <w:spacing w:after="0"/>
              <w:jc w:val="center"/>
              <w:rPr>
                <w:sz w:val="18"/>
                <w:szCs w:val="18"/>
              </w:rPr>
            </w:pPr>
            <w:r w:rsidRPr="009B6E30">
              <w:rPr>
                <w:rFonts w:eastAsia="Century Gothic" w:cs="Century Gothic"/>
                <w:b/>
                <w:color w:val="FFFFFF"/>
                <w:sz w:val="18"/>
                <w:szCs w:val="18"/>
              </w:rPr>
              <w:t>Tier at follow-up</w:t>
            </w:r>
            <w:r w:rsidRPr="00776B57">
              <w:rPr>
                <w:rFonts w:eastAsia="Century Gothic" w:cs="Century Gothic"/>
                <w:b/>
                <w:color w:val="FFFFFF"/>
                <w:sz w:val="18"/>
                <w:szCs w:val="18"/>
                <w:vertAlign w:val="superscript"/>
              </w:rPr>
              <w:t>1</w:t>
            </w:r>
          </w:p>
        </w:tc>
      </w:tr>
      <w:tr w:rsidR="00720311" w:rsidRPr="009B6E30" w14:paraId="11DF57A0" w14:textId="77777777" w:rsidTr="00F8568B">
        <w:trPr>
          <w:cantSplit/>
          <w:tblHeader/>
          <w:jc w:val="center"/>
        </w:trPr>
        <w:tc>
          <w:tcPr>
            <w:tcW w:w="1276" w:type="dxa"/>
            <w:vMerge/>
            <w:tcBorders>
              <w:top w:val="single" w:sz="4" w:space="0" w:color="BFBFBF" w:themeColor="background1" w:themeShade="BF"/>
              <w:bottom w:val="nil"/>
              <w:right w:val="single" w:sz="4" w:space="0" w:color="BFBFBF" w:themeColor="background1" w:themeShade="BF"/>
            </w:tcBorders>
            <w:shd w:val="clear" w:color="auto" w:fill="408BCA"/>
            <w:tcMar>
              <w:top w:w="0" w:type="dxa"/>
              <w:left w:w="0" w:type="dxa"/>
              <w:bottom w:w="0" w:type="dxa"/>
              <w:right w:w="0" w:type="dxa"/>
            </w:tcMar>
            <w:vAlign w:val="center"/>
          </w:tcPr>
          <w:p w14:paraId="18ECB42E" w14:textId="77777777" w:rsidR="00720311" w:rsidRPr="009B6E30" w:rsidRDefault="00720311" w:rsidP="00F8568B">
            <w:pPr>
              <w:spacing w:after="0"/>
              <w:jc w:val="center"/>
              <w:rPr>
                <w:sz w:val="18"/>
                <w:szCs w:val="18"/>
              </w:rPr>
            </w:pPr>
          </w:p>
        </w:tc>
        <w:tc>
          <w:tcPr>
            <w:tcW w:w="1056" w:type="dxa"/>
            <w:vMerge/>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408BCA"/>
            <w:tcMar>
              <w:top w:w="0" w:type="dxa"/>
              <w:left w:w="0" w:type="dxa"/>
              <w:bottom w:w="0" w:type="dxa"/>
              <w:right w:w="0" w:type="dxa"/>
            </w:tcMar>
            <w:vAlign w:val="center"/>
          </w:tcPr>
          <w:p w14:paraId="4BC91AD5" w14:textId="77777777" w:rsidR="00720311" w:rsidRPr="009B6E30" w:rsidRDefault="00720311" w:rsidP="00F8568B">
            <w:pPr>
              <w:spacing w:after="0"/>
              <w:jc w:val="center"/>
              <w:rPr>
                <w:sz w:val="18"/>
                <w:szCs w:val="18"/>
              </w:rPr>
            </w:pPr>
          </w:p>
        </w:tc>
        <w:tc>
          <w:tcPr>
            <w:tcW w:w="1440"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408BCA"/>
            <w:tcMar>
              <w:top w:w="0" w:type="dxa"/>
              <w:left w:w="0" w:type="dxa"/>
              <w:bottom w:w="0" w:type="dxa"/>
              <w:right w:w="0" w:type="dxa"/>
            </w:tcMar>
            <w:vAlign w:val="center"/>
          </w:tcPr>
          <w:p w14:paraId="7D173A36" w14:textId="3E078DFA" w:rsidR="00720311" w:rsidRPr="00767273" w:rsidRDefault="00767273" w:rsidP="00F8568B">
            <w:pPr>
              <w:spacing w:after="0"/>
              <w:jc w:val="center"/>
              <w:rPr>
                <w:b/>
                <w:bCs/>
                <w:color w:val="FFFFFF" w:themeColor="background1"/>
                <w:sz w:val="18"/>
                <w:szCs w:val="18"/>
              </w:rPr>
            </w:pPr>
            <w:r w:rsidRPr="00767273">
              <w:rPr>
                <w:b/>
                <w:bCs/>
                <w:color w:val="FFFFFF" w:themeColor="background1"/>
                <w:sz w:val="18"/>
                <w:szCs w:val="18"/>
              </w:rPr>
              <w:t>1</w:t>
            </w:r>
          </w:p>
        </w:tc>
        <w:tc>
          <w:tcPr>
            <w:tcW w:w="1440" w:type="dxa"/>
            <w:tcBorders>
              <w:top w:val="single" w:sz="4" w:space="0" w:color="BFBFBF" w:themeColor="background1" w:themeShade="BF"/>
              <w:left w:val="single" w:sz="4" w:space="0" w:color="BFBFBF" w:themeColor="background1" w:themeShade="BF"/>
              <w:bottom w:val="nil"/>
              <w:right w:val="single" w:sz="4" w:space="0" w:color="BFBFBF" w:themeColor="background1" w:themeShade="BF"/>
            </w:tcBorders>
            <w:shd w:val="clear" w:color="auto" w:fill="408BCA"/>
            <w:tcMar>
              <w:top w:w="0" w:type="dxa"/>
              <w:left w:w="0" w:type="dxa"/>
              <w:bottom w:w="0" w:type="dxa"/>
              <w:right w:w="0" w:type="dxa"/>
            </w:tcMar>
            <w:vAlign w:val="center"/>
          </w:tcPr>
          <w:p w14:paraId="7F212BD7" w14:textId="42DE72CE" w:rsidR="00720311" w:rsidRPr="00767273" w:rsidRDefault="00767273" w:rsidP="00F8568B">
            <w:pPr>
              <w:spacing w:after="0"/>
              <w:jc w:val="center"/>
              <w:rPr>
                <w:b/>
                <w:bCs/>
                <w:color w:val="FFFFFF" w:themeColor="background1"/>
                <w:sz w:val="18"/>
                <w:szCs w:val="18"/>
              </w:rPr>
            </w:pPr>
            <w:r w:rsidRPr="00767273">
              <w:rPr>
                <w:b/>
                <w:bCs/>
                <w:color w:val="FFFFFF" w:themeColor="background1"/>
                <w:sz w:val="18"/>
                <w:szCs w:val="18"/>
              </w:rPr>
              <w:t>2</w:t>
            </w:r>
          </w:p>
        </w:tc>
        <w:tc>
          <w:tcPr>
            <w:tcW w:w="1440" w:type="dxa"/>
            <w:tcBorders>
              <w:top w:val="single" w:sz="4" w:space="0" w:color="BFBFBF" w:themeColor="background1" w:themeShade="BF"/>
              <w:left w:val="single" w:sz="4" w:space="0" w:color="BFBFBF" w:themeColor="background1" w:themeShade="BF"/>
              <w:bottom w:val="nil"/>
            </w:tcBorders>
            <w:shd w:val="clear" w:color="auto" w:fill="408BCA"/>
            <w:tcMar>
              <w:top w:w="0" w:type="dxa"/>
              <w:left w:w="0" w:type="dxa"/>
              <w:bottom w:w="0" w:type="dxa"/>
              <w:right w:w="0" w:type="dxa"/>
            </w:tcMar>
            <w:vAlign w:val="center"/>
          </w:tcPr>
          <w:p w14:paraId="369BCB9F" w14:textId="6AE73182" w:rsidR="00720311" w:rsidRPr="00767273" w:rsidRDefault="00767273" w:rsidP="00F8568B">
            <w:pPr>
              <w:spacing w:after="0"/>
              <w:jc w:val="center"/>
              <w:rPr>
                <w:b/>
                <w:bCs/>
                <w:color w:val="FFFFFF" w:themeColor="background1"/>
                <w:sz w:val="18"/>
                <w:szCs w:val="18"/>
              </w:rPr>
            </w:pPr>
            <w:r w:rsidRPr="00767273">
              <w:rPr>
                <w:b/>
                <w:bCs/>
                <w:color w:val="FFFFFF" w:themeColor="background1"/>
                <w:sz w:val="18"/>
                <w:szCs w:val="18"/>
              </w:rPr>
              <w:t>3</w:t>
            </w:r>
          </w:p>
        </w:tc>
      </w:tr>
      <w:tr w:rsidR="00720311" w:rsidRPr="009B6E30" w14:paraId="78319809" w14:textId="77777777" w:rsidTr="00F8568B">
        <w:trPr>
          <w:cantSplit/>
          <w:jc w:val="center"/>
        </w:trPr>
        <w:tc>
          <w:tcPr>
            <w:tcW w:w="1276" w:type="dxa"/>
            <w:tcBorders>
              <w:top w:val="nil"/>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403145D4" w14:textId="77777777" w:rsidR="00720311" w:rsidRPr="009B6E30" w:rsidRDefault="00720311" w:rsidP="00F8568B">
            <w:pPr>
              <w:spacing w:before="40" w:after="40"/>
              <w:ind w:left="100" w:right="100"/>
              <w:rPr>
                <w:sz w:val="18"/>
                <w:szCs w:val="18"/>
              </w:rPr>
            </w:pPr>
            <w:r w:rsidRPr="009B6E30">
              <w:rPr>
                <w:rFonts w:eastAsia="Calibri (Body)" w:cs="Calibri (Body)"/>
                <w:color w:val="000000"/>
                <w:sz w:val="18"/>
                <w:szCs w:val="18"/>
              </w:rPr>
              <w:t>Tier 1</w:t>
            </w:r>
          </w:p>
        </w:tc>
        <w:tc>
          <w:tcPr>
            <w:tcW w:w="1056"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tcPr>
          <w:p w14:paraId="3D50B267" w14:textId="77777777" w:rsidR="00720311" w:rsidRPr="001A2C9C" w:rsidRDefault="00720311" w:rsidP="00F8568B">
            <w:pPr>
              <w:spacing w:before="40" w:after="40"/>
              <w:ind w:left="100" w:right="100"/>
              <w:jc w:val="center"/>
              <w:rPr>
                <w:rFonts w:eastAsia="Calibri (Body)" w:cs="Calibri (Body)"/>
                <w:color w:val="000000"/>
                <w:sz w:val="18"/>
                <w:szCs w:val="18"/>
              </w:rPr>
            </w:pPr>
            <w:r w:rsidRPr="001A2C9C">
              <w:rPr>
                <w:rFonts w:eastAsia="Calibri (Body)" w:cs="Calibri (Body)"/>
                <w:color w:val="000000"/>
                <w:sz w:val="18"/>
                <w:szCs w:val="18"/>
              </w:rPr>
              <w:t>1</w:t>
            </w:r>
            <w:r>
              <w:rPr>
                <w:rFonts w:eastAsia="Calibri (Body)" w:cs="Calibri (Body)"/>
                <w:color w:val="000000"/>
                <w:sz w:val="18"/>
                <w:szCs w:val="18"/>
              </w:rPr>
              <w:t>,</w:t>
            </w:r>
            <w:r w:rsidRPr="001A2C9C">
              <w:rPr>
                <w:rFonts w:eastAsia="Calibri (Body)" w:cs="Calibri (Body)"/>
                <w:color w:val="000000"/>
                <w:sz w:val="18"/>
                <w:szCs w:val="18"/>
              </w:rPr>
              <w:t>427</w:t>
            </w:r>
          </w:p>
        </w:tc>
        <w:tc>
          <w:tcPr>
            <w:tcW w:w="1440"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tcPr>
          <w:p w14:paraId="5BD8F1D5" w14:textId="77777777" w:rsidR="00720311" w:rsidRPr="001A2C9C" w:rsidRDefault="00720311" w:rsidP="00F8568B">
            <w:pPr>
              <w:spacing w:before="40" w:after="40"/>
              <w:ind w:left="100" w:right="100"/>
              <w:jc w:val="center"/>
              <w:rPr>
                <w:rFonts w:eastAsia="Calibri (Body)" w:cs="Calibri (Body)"/>
                <w:color w:val="000000"/>
                <w:sz w:val="18"/>
                <w:szCs w:val="18"/>
              </w:rPr>
            </w:pPr>
            <w:r w:rsidRPr="001A2C9C">
              <w:rPr>
                <w:rFonts w:eastAsia="Calibri (Body)" w:cs="Calibri (Body)"/>
                <w:color w:val="000000"/>
                <w:sz w:val="18"/>
                <w:szCs w:val="18"/>
              </w:rPr>
              <w:t>1</w:t>
            </w:r>
            <w:r>
              <w:rPr>
                <w:rFonts w:eastAsia="Calibri (Body)" w:cs="Calibri (Body)"/>
                <w:color w:val="000000"/>
                <w:sz w:val="18"/>
                <w:szCs w:val="18"/>
              </w:rPr>
              <w:t>,</w:t>
            </w:r>
            <w:r w:rsidRPr="001A2C9C">
              <w:rPr>
                <w:rFonts w:eastAsia="Calibri (Body)" w:cs="Calibri (Body)"/>
                <w:color w:val="000000"/>
                <w:sz w:val="18"/>
                <w:szCs w:val="18"/>
              </w:rPr>
              <w:t>046 (73.3%)</w:t>
            </w:r>
          </w:p>
        </w:tc>
        <w:tc>
          <w:tcPr>
            <w:tcW w:w="1440" w:type="dxa"/>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tcPr>
          <w:p w14:paraId="2CC25F1B" w14:textId="77777777" w:rsidR="00720311" w:rsidRPr="001A2C9C" w:rsidRDefault="00720311" w:rsidP="00F8568B">
            <w:pPr>
              <w:spacing w:before="40" w:after="40"/>
              <w:ind w:left="100" w:right="100"/>
              <w:jc w:val="center"/>
              <w:rPr>
                <w:rFonts w:eastAsia="Calibri (Body)" w:cs="Calibri (Body)"/>
                <w:color w:val="000000"/>
                <w:sz w:val="18"/>
                <w:szCs w:val="18"/>
              </w:rPr>
            </w:pPr>
            <w:r w:rsidRPr="001A2C9C">
              <w:rPr>
                <w:rFonts w:eastAsia="Calibri (Body)" w:cs="Calibri (Body)"/>
                <w:color w:val="000000"/>
                <w:sz w:val="18"/>
                <w:szCs w:val="18"/>
              </w:rPr>
              <w:t>313 (21.9%)</w:t>
            </w:r>
          </w:p>
        </w:tc>
        <w:tc>
          <w:tcPr>
            <w:tcW w:w="1440" w:type="dxa"/>
            <w:tcBorders>
              <w:top w:val="nil"/>
              <w:left w:val="single" w:sz="4" w:space="0" w:color="BFBFBF" w:themeColor="background1" w:themeShade="BF"/>
              <w:bottom w:val="single" w:sz="4" w:space="0" w:color="BFBFBF" w:themeColor="background1" w:themeShade="BF"/>
            </w:tcBorders>
            <w:shd w:val="clear" w:color="auto" w:fill="FFFFFF"/>
            <w:tcMar>
              <w:top w:w="0" w:type="dxa"/>
              <w:left w:w="0" w:type="dxa"/>
              <w:bottom w:w="0" w:type="dxa"/>
              <w:right w:w="0" w:type="dxa"/>
            </w:tcMar>
          </w:tcPr>
          <w:p w14:paraId="37C769C6" w14:textId="77777777" w:rsidR="00720311" w:rsidRPr="001A2C9C" w:rsidRDefault="00720311" w:rsidP="00F8568B">
            <w:pPr>
              <w:spacing w:before="40" w:after="40"/>
              <w:ind w:left="100" w:right="100"/>
              <w:jc w:val="center"/>
              <w:rPr>
                <w:rFonts w:eastAsia="Calibri (Body)" w:cs="Calibri (Body)"/>
                <w:color w:val="000000"/>
                <w:sz w:val="18"/>
                <w:szCs w:val="18"/>
              </w:rPr>
            </w:pPr>
            <w:r w:rsidRPr="001A2C9C">
              <w:rPr>
                <w:rFonts w:eastAsia="Calibri (Body)" w:cs="Calibri (Body)"/>
                <w:color w:val="000000"/>
                <w:sz w:val="18"/>
                <w:szCs w:val="18"/>
              </w:rPr>
              <w:t>68 (4.8%)</w:t>
            </w:r>
          </w:p>
        </w:tc>
      </w:tr>
      <w:tr w:rsidR="00720311" w:rsidRPr="009B6E30" w14:paraId="220EF2CE" w14:textId="77777777" w:rsidTr="00F8568B">
        <w:trPr>
          <w:cantSplit/>
          <w:jc w:val="center"/>
        </w:trPr>
        <w:tc>
          <w:tcPr>
            <w:tcW w:w="1276" w:type="dxa"/>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21A27992" w14:textId="77777777" w:rsidR="00720311" w:rsidRPr="009B6E30" w:rsidRDefault="00720311" w:rsidP="00F8568B">
            <w:pPr>
              <w:spacing w:before="40" w:after="40"/>
              <w:ind w:left="100" w:right="100"/>
              <w:rPr>
                <w:sz w:val="18"/>
                <w:szCs w:val="18"/>
              </w:rPr>
            </w:pPr>
            <w:r w:rsidRPr="009B6E30">
              <w:rPr>
                <w:rFonts w:eastAsia="Calibri (Body)" w:cs="Calibri (Body)"/>
                <w:color w:val="000000"/>
                <w:sz w:val="18"/>
                <w:szCs w:val="18"/>
              </w:rPr>
              <w:t>Tier 2</w:t>
            </w:r>
          </w:p>
        </w:tc>
        <w:tc>
          <w:tcPr>
            <w:tcW w:w="105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tcPr>
          <w:p w14:paraId="711EA9E2" w14:textId="77777777" w:rsidR="00720311" w:rsidRPr="001A2C9C" w:rsidRDefault="00720311" w:rsidP="00F8568B">
            <w:pPr>
              <w:spacing w:before="40" w:after="40"/>
              <w:ind w:left="100" w:right="100"/>
              <w:jc w:val="center"/>
              <w:rPr>
                <w:rFonts w:eastAsia="Calibri (Body)" w:cs="Calibri (Body)"/>
                <w:color w:val="000000"/>
                <w:sz w:val="18"/>
                <w:szCs w:val="18"/>
              </w:rPr>
            </w:pPr>
            <w:r w:rsidRPr="001A2C9C">
              <w:rPr>
                <w:rFonts w:eastAsia="Calibri (Body)" w:cs="Calibri (Body)"/>
                <w:color w:val="000000"/>
                <w:sz w:val="18"/>
                <w:szCs w:val="18"/>
              </w:rPr>
              <w:t>3</w:t>
            </w:r>
            <w:r>
              <w:rPr>
                <w:rFonts w:eastAsia="Calibri (Body)" w:cs="Calibri (Body)"/>
                <w:color w:val="000000"/>
                <w:sz w:val="18"/>
                <w:szCs w:val="18"/>
              </w:rPr>
              <w:t>,</w:t>
            </w:r>
            <w:r w:rsidRPr="001A2C9C">
              <w:rPr>
                <w:rFonts w:eastAsia="Calibri (Body)" w:cs="Calibri (Body)"/>
                <w:color w:val="000000"/>
                <w:sz w:val="18"/>
                <w:szCs w:val="18"/>
              </w:rPr>
              <w:t>909</w:t>
            </w:r>
          </w:p>
        </w:tc>
        <w:tc>
          <w:tcPr>
            <w:tcW w:w="14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tcPr>
          <w:p w14:paraId="406826C2" w14:textId="77777777" w:rsidR="00720311" w:rsidRPr="001A2C9C" w:rsidRDefault="00720311" w:rsidP="00F8568B">
            <w:pPr>
              <w:spacing w:before="40" w:after="40"/>
              <w:ind w:left="100" w:right="100"/>
              <w:jc w:val="center"/>
              <w:rPr>
                <w:rFonts w:eastAsia="Calibri (Body)" w:cs="Calibri (Body)"/>
                <w:color w:val="000000"/>
                <w:sz w:val="18"/>
                <w:szCs w:val="18"/>
              </w:rPr>
            </w:pPr>
            <w:r w:rsidRPr="001A2C9C">
              <w:rPr>
                <w:rFonts w:eastAsia="Calibri (Body)" w:cs="Calibri (Body)"/>
                <w:color w:val="000000"/>
                <w:sz w:val="18"/>
                <w:szCs w:val="18"/>
              </w:rPr>
              <w:t>97 (2.5%)</w:t>
            </w:r>
          </w:p>
        </w:tc>
        <w:tc>
          <w:tcPr>
            <w:tcW w:w="144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tcPr>
          <w:p w14:paraId="76A3AA6E" w14:textId="77777777" w:rsidR="00720311" w:rsidRPr="001A2C9C" w:rsidRDefault="00720311" w:rsidP="00F8568B">
            <w:pPr>
              <w:spacing w:before="40" w:after="40"/>
              <w:ind w:left="100" w:right="100"/>
              <w:jc w:val="center"/>
              <w:rPr>
                <w:rFonts w:eastAsia="Calibri (Body)" w:cs="Calibri (Body)"/>
                <w:color w:val="000000"/>
                <w:sz w:val="18"/>
                <w:szCs w:val="18"/>
              </w:rPr>
            </w:pPr>
            <w:r w:rsidRPr="001A2C9C">
              <w:rPr>
                <w:rFonts w:eastAsia="Calibri (Body)" w:cs="Calibri (Body)"/>
                <w:color w:val="000000"/>
                <w:sz w:val="18"/>
                <w:szCs w:val="18"/>
              </w:rPr>
              <w:t>3</w:t>
            </w:r>
            <w:r>
              <w:rPr>
                <w:rFonts w:eastAsia="Calibri (Body)" w:cs="Calibri (Body)"/>
                <w:color w:val="000000"/>
                <w:sz w:val="18"/>
                <w:szCs w:val="18"/>
              </w:rPr>
              <w:t>,</w:t>
            </w:r>
            <w:r w:rsidRPr="001A2C9C">
              <w:rPr>
                <w:rFonts w:eastAsia="Calibri (Body)" w:cs="Calibri (Body)"/>
                <w:color w:val="000000"/>
                <w:sz w:val="18"/>
                <w:szCs w:val="18"/>
              </w:rPr>
              <w:t>369 (86.2%)</w:t>
            </w:r>
          </w:p>
        </w:tc>
        <w:tc>
          <w:tcPr>
            <w:tcW w:w="1440" w:type="dxa"/>
            <w:tcBorders>
              <w:top w:val="single" w:sz="4" w:space="0" w:color="BFBFBF" w:themeColor="background1" w:themeShade="BF"/>
              <w:left w:val="single" w:sz="4" w:space="0" w:color="BFBFBF" w:themeColor="background1" w:themeShade="BF"/>
              <w:bottom w:val="single" w:sz="4" w:space="0" w:color="BFBFBF" w:themeColor="background1" w:themeShade="BF"/>
            </w:tcBorders>
            <w:shd w:val="clear" w:color="auto" w:fill="FFFFFF"/>
            <w:tcMar>
              <w:top w:w="0" w:type="dxa"/>
              <w:left w:w="0" w:type="dxa"/>
              <w:bottom w:w="0" w:type="dxa"/>
              <w:right w:w="0" w:type="dxa"/>
            </w:tcMar>
          </w:tcPr>
          <w:p w14:paraId="7FCE2283" w14:textId="77777777" w:rsidR="00720311" w:rsidRPr="001A2C9C" w:rsidRDefault="00720311" w:rsidP="00F8568B">
            <w:pPr>
              <w:spacing w:before="40" w:after="40"/>
              <w:ind w:left="100" w:right="100"/>
              <w:jc w:val="center"/>
              <w:rPr>
                <w:rFonts w:eastAsia="Calibri (Body)" w:cs="Calibri (Body)"/>
                <w:color w:val="000000"/>
                <w:sz w:val="18"/>
                <w:szCs w:val="18"/>
              </w:rPr>
            </w:pPr>
            <w:r w:rsidRPr="001A2C9C">
              <w:rPr>
                <w:rFonts w:eastAsia="Calibri (Body)" w:cs="Calibri (Body)"/>
                <w:color w:val="000000"/>
                <w:sz w:val="18"/>
                <w:szCs w:val="18"/>
              </w:rPr>
              <w:t>443 (11.3%)</w:t>
            </w:r>
          </w:p>
        </w:tc>
      </w:tr>
      <w:tr w:rsidR="00720311" w:rsidRPr="009B6E30" w14:paraId="5701BF71" w14:textId="77777777" w:rsidTr="00F8568B">
        <w:trPr>
          <w:cantSplit/>
          <w:jc w:val="center"/>
        </w:trPr>
        <w:tc>
          <w:tcPr>
            <w:tcW w:w="1276" w:type="dxa"/>
            <w:tcBorders>
              <w:top w:val="single" w:sz="4" w:space="0" w:color="BFBFBF" w:themeColor="background1" w:themeShade="BF"/>
              <w:bottom w:val="single" w:sz="4" w:space="0" w:color="408BCA"/>
              <w:right w:val="single" w:sz="4" w:space="0" w:color="BFBFBF" w:themeColor="background1" w:themeShade="BF"/>
            </w:tcBorders>
            <w:shd w:val="clear" w:color="auto" w:fill="FFFFFF"/>
            <w:tcMar>
              <w:top w:w="0" w:type="dxa"/>
              <w:left w:w="0" w:type="dxa"/>
              <w:bottom w:w="0" w:type="dxa"/>
              <w:right w:w="0" w:type="dxa"/>
            </w:tcMar>
            <w:vAlign w:val="center"/>
          </w:tcPr>
          <w:p w14:paraId="32857C03" w14:textId="77777777" w:rsidR="00720311" w:rsidRPr="009B6E30" w:rsidRDefault="00720311" w:rsidP="00F8568B">
            <w:pPr>
              <w:spacing w:before="40" w:after="40"/>
              <w:ind w:left="100" w:right="100"/>
              <w:rPr>
                <w:sz w:val="18"/>
                <w:szCs w:val="18"/>
              </w:rPr>
            </w:pPr>
            <w:r w:rsidRPr="009B6E30">
              <w:rPr>
                <w:rFonts w:eastAsia="Calibri (Body)" w:cs="Calibri (Body)"/>
                <w:color w:val="000000"/>
                <w:sz w:val="18"/>
                <w:szCs w:val="18"/>
              </w:rPr>
              <w:t>Tier 3</w:t>
            </w:r>
          </w:p>
        </w:tc>
        <w:tc>
          <w:tcPr>
            <w:tcW w:w="1056" w:type="dxa"/>
            <w:tcBorders>
              <w:top w:val="single" w:sz="4" w:space="0" w:color="BFBFBF" w:themeColor="background1" w:themeShade="BF"/>
              <w:left w:val="single" w:sz="4" w:space="0" w:color="BFBFBF" w:themeColor="background1" w:themeShade="BF"/>
              <w:bottom w:val="single" w:sz="4" w:space="0" w:color="408BCA"/>
              <w:right w:val="single" w:sz="4" w:space="0" w:color="BFBFBF" w:themeColor="background1" w:themeShade="BF"/>
            </w:tcBorders>
            <w:shd w:val="clear" w:color="auto" w:fill="FFFFFF"/>
            <w:tcMar>
              <w:top w:w="0" w:type="dxa"/>
              <w:left w:w="0" w:type="dxa"/>
              <w:bottom w:w="0" w:type="dxa"/>
              <w:right w:w="0" w:type="dxa"/>
            </w:tcMar>
          </w:tcPr>
          <w:p w14:paraId="45F35B40" w14:textId="77777777" w:rsidR="00720311" w:rsidRPr="001A2C9C" w:rsidRDefault="00720311" w:rsidP="00F8568B">
            <w:pPr>
              <w:spacing w:before="40" w:after="40"/>
              <w:ind w:left="100" w:right="100"/>
              <w:jc w:val="center"/>
              <w:rPr>
                <w:rFonts w:eastAsia="Calibri (Body)" w:cs="Calibri (Body)"/>
                <w:color w:val="000000"/>
                <w:sz w:val="18"/>
                <w:szCs w:val="18"/>
              </w:rPr>
            </w:pPr>
            <w:r w:rsidRPr="001A2C9C">
              <w:rPr>
                <w:rFonts w:eastAsia="Calibri (Body)" w:cs="Calibri (Body)"/>
                <w:color w:val="000000"/>
                <w:sz w:val="18"/>
                <w:szCs w:val="18"/>
              </w:rPr>
              <w:t>2</w:t>
            </w:r>
            <w:r>
              <w:rPr>
                <w:rFonts w:eastAsia="Calibri (Body)" w:cs="Calibri (Body)"/>
                <w:color w:val="000000"/>
                <w:sz w:val="18"/>
                <w:szCs w:val="18"/>
              </w:rPr>
              <w:t>,</w:t>
            </w:r>
            <w:r w:rsidRPr="001A2C9C">
              <w:rPr>
                <w:rFonts w:eastAsia="Calibri (Body)" w:cs="Calibri (Body)"/>
                <w:color w:val="000000"/>
                <w:sz w:val="18"/>
                <w:szCs w:val="18"/>
              </w:rPr>
              <w:t>406</w:t>
            </w:r>
          </w:p>
        </w:tc>
        <w:tc>
          <w:tcPr>
            <w:tcW w:w="1440" w:type="dxa"/>
            <w:tcBorders>
              <w:top w:val="single" w:sz="4" w:space="0" w:color="BFBFBF" w:themeColor="background1" w:themeShade="BF"/>
              <w:left w:val="single" w:sz="4" w:space="0" w:color="BFBFBF" w:themeColor="background1" w:themeShade="BF"/>
              <w:bottom w:val="single" w:sz="4" w:space="0" w:color="408BCA"/>
              <w:right w:val="single" w:sz="4" w:space="0" w:color="BFBFBF" w:themeColor="background1" w:themeShade="BF"/>
            </w:tcBorders>
            <w:shd w:val="clear" w:color="auto" w:fill="FFFFFF"/>
            <w:tcMar>
              <w:top w:w="0" w:type="dxa"/>
              <w:left w:w="0" w:type="dxa"/>
              <w:bottom w:w="0" w:type="dxa"/>
              <w:right w:w="0" w:type="dxa"/>
            </w:tcMar>
          </w:tcPr>
          <w:p w14:paraId="24009020" w14:textId="77777777" w:rsidR="00720311" w:rsidRPr="001A2C9C" w:rsidRDefault="00720311" w:rsidP="00F8568B">
            <w:pPr>
              <w:spacing w:before="40" w:after="40"/>
              <w:ind w:left="100" w:right="100"/>
              <w:jc w:val="center"/>
              <w:rPr>
                <w:rFonts w:eastAsia="Calibri (Body)" w:cs="Calibri (Body)"/>
                <w:color w:val="000000"/>
                <w:sz w:val="18"/>
                <w:szCs w:val="18"/>
              </w:rPr>
            </w:pPr>
            <w:r w:rsidRPr="001A2C9C">
              <w:rPr>
                <w:rFonts w:eastAsia="Calibri (Body)" w:cs="Calibri (Body)"/>
                <w:color w:val="000000"/>
                <w:sz w:val="18"/>
                <w:szCs w:val="18"/>
              </w:rPr>
              <w:t>4 (0.2%)</w:t>
            </w:r>
          </w:p>
        </w:tc>
        <w:tc>
          <w:tcPr>
            <w:tcW w:w="1440" w:type="dxa"/>
            <w:tcBorders>
              <w:top w:val="single" w:sz="4" w:space="0" w:color="BFBFBF" w:themeColor="background1" w:themeShade="BF"/>
              <w:left w:val="single" w:sz="4" w:space="0" w:color="BFBFBF" w:themeColor="background1" w:themeShade="BF"/>
              <w:bottom w:val="single" w:sz="4" w:space="0" w:color="408BCA"/>
              <w:right w:val="single" w:sz="4" w:space="0" w:color="BFBFBF" w:themeColor="background1" w:themeShade="BF"/>
            </w:tcBorders>
            <w:shd w:val="clear" w:color="auto" w:fill="FFFFFF"/>
            <w:tcMar>
              <w:top w:w="0" w:type="dxa"/>
              <w:left w:w="0" w:type="dxa"/>
              <w:bottom w:w="0" w:type="dxa"/>
              <w:right w:w="0" w:type="dxa"/>
            </w:tcMar>
          </w:tcPr>
          <w:p w14:paraId="44A5E85A" w14:textId="77777777" w:rsidR="00720311" w:rsidRPr="001A2C9C" w:rsidRDefault="00720311" w:rsidP="00F8568B">
            <w:pPr>
              <w:spacing w:before="40" w:after="40"/>
              <w:ind w:left="100" w:right="100"/>
              <w:jc w:val="center"/>
              <w:rPr>
                <w:rFonts w:eastAsia="Calibri (Body)" w:cs="Calibri (Body)"/>
                <w:color w:val="000000"/>
                <w:sz w:val="18"/>
                <w:szCs w:val="18"/>
              </w:rPr>
            </w:pPr>
            <w:r w:rsidRPr="001A2C9C">
              <w:rPr>
                <w:rFonts w:eastAsia="Calibri (Body)" w:cs="Calibri (Body)"/>
                <w:color w:val="000000"/>
                <w:sz w:val="18"/>
                <w:szCs w:val="18"/>
              </w:rPr>
              <w:t>128 (5.3%)</w:t>
            </w:r>
          </w:p>
        </w:tc>
        <w:tc>
          <w:tcPr>
            <w:tcW w:w="1440" w:type="dxa"/>
            <w:tcBorders>
              <w:top w:val="single" w:sz="4" w:space="0" w:color="BFBFBF" w:themeColor="background1" w:themeShade="BF"/>
              <w:left w:val="single" w:sz="4" w:space="0" w:color="BFBFBF" w:themeColor="background1" w:themeShade="BF"/>
              <w:bottom w:val="single" w:sz="4" w:space="0" w:color="408BCA"/>
            </w:tcBorders>
            <w:shd w:val="clear" w:color="auto" w:fill="FFFFFF"/>
            <w:tcMar>
              <w:top w:w="0" w:type="dxa"/>
              <w:left w:w="0" w:type="dxa"/>
              <w:bottom w:w="0" w:type="dxa"/>
              <w:right w:w="0" w:type="dxa"/>
            </w:tcMar>
          </w:tcPr>
          <w:p w14:paraId="2BCF9E89" w14:textId="77777777" w:rsidR="00720311" w:rsidRPr="001A2C9C" w:rsidRDefault="00720311" w:rsidP="00F8568B">
            <w:pPr>
              <w:spacing w:before="40" w:after="40"/>
              <w:ind w:left="100" w:right="100"/>
              <w:jc w:val="center"/>
              <w:rPr>
                <w:rFonts w:eastAsia="Calibri (Body)" w:cs="Calibri (Body)"/>
                <w:color w:val="000000"/>
                <w:sz w:val="18"/>
                <w:szCs w:val="18"/>
              </w:rPr>
            </w:pPr>
            <w:r w:rsidRPr="001A2C9C">
              <w:rPr>
                <w:rFonts w:eastAsia="Calibri (Body)" w:cs="Calibri (Body)"/>
                <w:color w:val="000000"/>
                <w:sz w:val="18"/>
                <w:szCs w:val="18"/>
              </w:rPr>
              <w:t>2</w:t>
            </w:r>
            <w:r>
              <w:rPr>
                <w:rFonts w:eastAsia="Calibri (Body)" w:cs="Calibri (Body)"/>
                <w:color w:val="000000"/>
                <w:sz w:val="18"/>
                <w:szCs w:val="18"/>
              </w:rPr>
              <w:t>,</w:t>
            </w:r>
            <w:r w:rsidRPr="001A2C9C">
              <w:rPr>
                <w:rFonts w:eastAsia="Calibri (Body)" w:cs="Calibri (Body)"/>
                <w:color w:val="000000"/>
                <w:sz w:val="18"/>
                <w:szCs w:val="18"/>
              </w:rPr>
              <w:t>274 (94.5%)</w:t>
            </w:r>
          </w:p>
        </w:tc>
      </w:tr>
    </w:tbl>
    <w:p w14:paraId="791A2B70" w14:textId="3FE772A8" w:rsidR="00720311" w:rsidRDefault="005B0774" w:rsidP="009637E8">
      <w:pPr>
        <w:pStyle w:val="Chartortablefootnote"/>
        <w:spacing w:after="0"/>
        <w:ind w:left="1134" w:right="1229"/>
      </w:pPr>
      <w:r w:rsidRPr="009637E8">
        <w:t>Notes:</w:t>
      </w:r>
      <w:r w:rsidR="00720311" w:rsidRPr="00307057">
        <w:t xml:space="preserve"> </w:t>
      </w:r>
      <w:r w:rsidR="00720311" w:rsidRPr="00307057">
        <w:rPr>
          <w:vertAlign w:val="superscript"/>
        </w:rPr>
        <w:t>1</w:t>
      </w:r>
      <w:r w:rsidR="00720311" w:rsidRPr="00307057">
        <w:t xml:space="preserve"> </w:t>
      </w:r>
      <w:r w:rsidR="00082BD5">
        <w:t>V</w:t>
      </w:r>
      <w:r w:rsidR="00720311" w:rsidRPr="00307057">
        <w:t>ariable</w:t>
      </w:r>
      <w:r w:rsidR="00082BD5">
        <w:t xml:space="preserve"> follow-up periods not necessarily</w:t>
      </w:r>
      <w:r w:rsidR="00EB63D7">
        <w:t xml:space="preserve"> aligning with the requirement to review patients e</w:t>
      </w:r>
      <w:r w:rsidR="002F7183">
        <w:t>very</w:t>
      </w:r>
      <w:r w:rsidR="00EB63D7">
        <w:t xml:space="preserve"> 12 months</w:t>
      </w:r>
      <w:r w:rsidR="002F7183">
        <w:t xml:space="preserve"> following enrolment</w:t>
      </w:r>
      <w:r w:rsidR="00720311" w:rsidRPr="00307057">
        <w:t>.</w:t>
      </w:r>
      <w:r w:rsidR="00720311">
        <w:t xml:space="preserve"> </w:t>
      </w:r>
    </w:p>
    <w:p w14:paraId="2D265FCA" w14:textId="34358A2C" w:rsidR="009637E8" w:rsidRDefault="009637E8" w:rsidP="009637E8">
      <w:pPr>
        <w:pStyle w:val="Chartortablefootnote"/>
        <w:ind w:left="1134" w:right="1230"/>
        <w:rPr>
          <w:rFonts w:eastAsia="Times New Roman"/>
          <w:szCs w:val="20"/>
        </w:rPr>
      </w:pPr>
      <w:r w:rsidRPr="009B6E30">
        <w:t xml:space="preserve">Source: </w:t>
      </w:r>
      <w:r>
        <w:rPr>
          <w:szCs w:val="16"/>
        </w:rPr>
        <w:t xml:space="preserve">Health Professional Online Services (HPOS) </w:t>
      </w:r>
      <w:r w:rsidRPr="009B6E30">
        <w:t xml:space="preserve">data as </w:t>
      </w:r>
      <w:r>
        <w:t>of</w:t>
      </w:r>
      <w:r w:rsidRPr="009B6E30">
        <w:t xml:space="preserve"> 30 June 202</w:t>
      </w:r>
      <w:r>
        <w:t>1.</w:t>
      </w:r>
    </w:p>
    <w:p w14:paraId="2233602E" w14:textId="77777777" w:rsidR="00181301" w:rsidRPr="00EE7993" w:rsidRDefault="00491F34" w:rsidP="00EE7993">
      <w:pPr>
        <w:pStyle w:val="Heading2"/>
      </w:pPr>
      <w:bookmarkStart w:id="60" w:name="_Toc109996652"/>
      <w:r>
        <w:t>Patient withdrawals</w:t>
      </w:r>
      <w:bookmarkEnd w:id="60"/>
    </w:p>
    <w:p w14:paraId="3D388F7C" w14:textId="6EE0D8C6" w:rsidR="00E470C5" w:rsidRPr="009E4B76" w:rsidRDefault="00E470C5" w:rsidP="00E470C5">
      <w:pPr>
        <w:rPr>
          <w:szCs w:val="20"/>
        </w:rPr>
      </w:pPr>
      <w:r w:rsidRPr="004907D3">
        <w:rPr>
          <w:szCs w:val="20"/>
        </w:rPr>
        <w:t xml:space="preserve">Of </w:t>
      </w:r>
      <w:r w:rsidRPr="009E4B76">
        <w:rPr>
          <w:szCs w:val="20"/>
        </w:rPr>
        <w:t>the 11,332 patients who enrolled, 7,742 (68%) were still in the trial at its end on 30 June 2021 (</w:t>
      </w:r>
      <w:r w:rsidRPr="009E4B76">
        <w:rPr>
          <w:b/>
          <w:bCs/>
          <w:szCs w:val="20"/>
        </w:rPr>
        <w:fldChar w:fldCharType="begin"/>
      </w:r>
      <w:r w:rsidRPr="009E4B76">
        <w:rPr>
          <w:b/>
          <w:bCs/>
          <w:szCs w:val="20"/>
        </w:rPr>
        <w:instrText xml:space="preserve"> REF _Ref95833500 \h  \* MERGEFORMAT </w:instrText>
      </w:r>
      <w:r w:rsidRPr="009E4B76">
        <w:rPr>
          <w:b/>
          <w:bCs/>
          <w:szCs w:val="20"/>
        </w:rPr>
      </w:r>
      <w:r w:rsidRPr="009E4B76">
        <w:rPr>
          <w:b/>
          <w:bCs/>
          <w:szCs w:val="20"/>
        </w:rPr>
        <w:fldChar w:fldCharType="separate"/>
      </w:r>
      <w:r w:rsidR="003C4BC2" w:rsidRPr="003C4BC2">
        <w:rPr>
          <w:rStyle w:val="Strong1"/>
          <w:b w:val="0"/>
          <w:bCs/>
          <w:color w:val="1D2455"/>
          <w:sz w:val="20"/>
          <w:szCs w:val="16"/>
        </w:rPr>
        <w:t>Table 6</w:t>
      </w:r>
      <w:r w:rsidRPr="009E4B76">
        <w:rPr>
          <w:b/>
          <w:bCs/>
          <w:szCs w:val="20"/>
        </w:rPr>
        <w:fldChar w:fldCharType="end"/>
      </w:r>
      <w:r w:rsidRPr="009E4B76">
        <w:rPr>
          <w:szCs w:val="20"/>
        </w:rPr>
        <w:t xml:space="preserve">). Patients who had withdrawn tended to be slightly older (34.5% vs. 24.8% 75 years or older; p&lt;0.001) and allocated to a </w:t>
      </w:r>
      <w:r w:rsidR="00BA01F9">
        <w:rPr>
          <w:szCs w:val="20"/>
        </w:rPr>
        <w:t>more complex tier</w:t>
      </w:r>
      <w:r w:rsidRPr="009E4B76">
        <w:rPr>
          <w:szCs w:val="20"/>
        </w:rPr>
        <w:t xml:space="preserve"> at baseline (37.3% vs. 31.1% in tier 3; p&lt;0.001) than patients who remained in the trial.</w:t>
      </w:r>
    </w:p>
    <w:p w14:paraId="0B9582C6" w14:textId="5CEFAFFD" w:rsidR="00506AE4" w:rsidRDefault="000603FF" w:rsidP="000603FF">
      <w:pPr>
        <w:rPr>
          <w:szCs w:val="20"/>
        </w:rPr>
      </w:pPr>
      <w:r w:rsidRPr="009E4B76">
        <w:rPr>
          <w:szCs w:val="20"/>
        </w:rPr>
        <w:t xml:space="preserve">Patients were recruited over a 21-month period </w:t>
      </w:r>
      <w:r w:rsidR="00C60A73" w:rsidRPr="009E4B76">
        <w:rPr>
          <w:szCs w:val="20"/>
        </w:rPr>
        <w:t>(Octo</w:t>
      </w:r>
      <w:r w:rsidR="00AA1B4E" w:rsidRPr="009E4B76">
        <w:rPr>
          <w:szCs w:val="20"/>
        </w:rPr>
        <w:t>ber 2017 to June 2019)</w:t>
      </w:r>
      <w:r w:rsidRPr="009E4B76">
        <w:rPr>
          <w:szCs w:val="20"/>
        </w:rPr>
        <w:t xml:space="preserve">, and by 30 June </w:t>
      </w:r>
      <w:r w:rsidR="00AA1B4E" w:rsidRPr="009E4B76">
        <w:rPr>
          <w:szCs w:val="20"/>
        </w:rPr>
        <w:t>2021</w:t>
      </w:r>
      <w:r w:rsidRPr="009E4B76">
        <w:rPr>
          <w:szCs w:val="20"/>
        </w:rPr>
        <w:t xml:space="preserve">, patients </w:t>
      </w:r>
      <w:r w:rsidR="00AA1B4E" w:rsidRPr="009E4B76">
        <w:rPr>
          <w:szCs w:val="20"/>
        </w:rPr>
        <w:t>were</w:t>
      </w:r>
      <w:r w:rsidRPr="009E4B76">
        <w:rPr>
          <w:szCs w:val="20"/>
        </w:rPr>
        <w:t xml:space="preserve"> in the trial for periods between </w:t>
      </w:r>
      <w:r w:rsidR="0031175A" w:rsidRPr="009E4B76">
        <w:rPr>
          <w:szCs w:val="20"/>
        </w:rPr>
        <w:t>24</w:t>
      </w:r>
      <w:r w:rsidRPr="009E4B76">
        <w:rPr>
          <w:szCs w:val="20"/>
        </w:rPr>
        <w:t xml:space="preserve"> and </w:t>
      </w:r>
      <w:r w:rsidR="00AA1B4E" w:rsidRPr="009E4B76">
        <w:rPr>
          <w:szCs w:val="20"/>
        </w:rPr>
        <w:t>45</w:t>
      </w:r>
      <w:r w:rsidRPr="009E4B76">
        <w:rPr>
          <w:szCs w:val="20"/>
        </w:rPr>
        <w:t xml:space="preserve"> months. Therefore, examining differences in withdrawal rates between groups of patients at a particular point in time may be misleading, as the groups may have been in the trial for different lengths of time. </w:t>
      </w:r>
      <w:r w:rsidR="00384F15" w:rsidRPr="009E4B76">
        <w:rPr>
          <w:b/>
          <w:bCs/>
          <w:szCs w:val="20"/>
        </w:rPr>
        <w:fldChar w:fldCharType="begin"/>
      </w:r>
      <w:r w:rsidR="00384F15" w:rsidRPr="009E4B76">
        <w:rPr>
          <w:b/>
          <w:bCs/>
          <w:szCs w:val="20"/>
        </w:rPr>
        <w:instrText xml:space="preserve"> REF _Ref95833457 \h </w:instrText>
      </w:r>
      <w:r w:rsidR="0031175A" w:rsidRPr="009E4B76">
        <w:rPr>
          <w:b/>
          <w:bCs/>
          <w:szCs w:val="20"/>
        </w:rPr>
        <w:instrText xml:space="preserve"> \* MERGEFORMAT </w:instrText>
      </w:r>
      <w:r w:rsidR="00384F15" w:rsidRPr="009E4B76">
        <w:rPr>
          <w:b/>
          <w:bCs/>
          <w:szCs w:val="20"/>
        </w:rPr>
      </w:r>
      <w:r w:rsidR="00384F15" w:rsidRPr="009E4B76">
        <w:rPr>
          <w:b/>
          <w:bCs/>
          <w:szCs w:val="20"/>
        </w:rPr>
        <w:fldChar w:fldCharType="separate"/>
      </w:r>
      <w:r w:rsidR="003C4BC2" w:rsidRPr="003C4BC2">
        <w:rPr>
          <w:rStyle w:val="Strong1"/>
          <w:b w:val="0"/>
          <w:bCs/>
          <w:color w:val="1D2455"/>
          <w:sz w:val="20"/>
          <w:szCs w:val="16"/>
        </w:rPr>
        <w:t>Figure 5</w:t>
      </w:r>
      <w:r w:rsidR="00384F15" w:rsidRPr="009E4B76">
        <w:rPr>
          <w:b/>
          <w:bCs/>
          <w:szCs w:val="20"/>
        </w:rPr>
        <w:fldChar w:fldCharType="end"/>
      </w:r>
      <w:r w:rsidR="00384F15" w:rsidRPr="009E4B76">
        <w:rPr>
          <w:b/>
          <w:bCs/>
          <w:szCs w:val="20"/>
        </w:rPr>
        <w:t xml:space="preserve"> </w:t>
      </w:r>
      <w:r w:rsidRPr="009E4B76">
        <w:rPr>
          <w:szCs w:val="20"/>
        </w:rPr>
        <w:t>shows the probability of patients withdrawing from the trial as a function of the time from enrolment. In calculating the denominator for the curve, patients who withdrew because their practice withdrew were removed (at the time point the practice withdrew) and are not considered to have withdrawn from the trial themselves. Separate lines are fitted for risk tier at the time of enrolment. The Figure supports the data presented in</w:t>
      </w:r>
      <w:r w:rsidR="00450228" w:rsidRPr="009E4B76">
        <w:rPr>
          <w:szCs w:val="20"/>
        </w:rPr>
        <w:t xml:space="preserve"> </w:t>
      </w:r>
      <w:r w:rsidR="00450228" w:rsidRPr="009E4B76">
        <w:rPr>
          <w:b/>
          <w:bCs/>
          <w:szCs w:val="20"/>
        </w:rPr>
        <w:fldChar w:fldCharType="begin"/>
      </w:r>
      <w:r w:rsidR="00450228" w:rsidRPr="009E4B76">
        <w:rPr>
          <w:b/>
          <w:bCs/>
          <w:szCs w:val="20"/>
        </w:rPr>
        <w:instrText xml:space="preserve"> REF _Ref95833500 \h </w:instrText>
      </w:r>
      <w:r w:rsidR="0031175A" w:rsidRPr="009E4B76">
        <w:rPr>
          <w:b/>
          <w:bCs/>
          <w:szCs w:val="20"/>
        </w:rPr>
        <w:instrText xml:space="preserve"> \* MERGEFORMAT </w:instrText>
      </w:r>
      <w:r w:rsidR="00450228" w:rsidRPr="009E4B76">
        <w:rPr>
          <w:b/>
          <w:bCs/>
          <w:szCs w:val="20"/>
        </w:rPr>
      </w:r>
      <w:r w:rsidR="00450228" w:rsidRPr="009E4B76">
        <w:rPr>
          <w:b/>
          <w:bCs/>
          <w:szCs w:val="20"/>
        </w:rPr>
        <w:fldChar w:fldCharType="separate"/>
      </w:r>
      <w:r w:rsidR="003C4BC2" w:rsidRPr="003C4BC2">
        <w:rPr>
          <w:rStyle w:val="Strong1"/>
          <w:b w:val="0"/>
          <w:bCs/>
          <w:color w:val="1D2455"/>
          <w:sz w:val="20"/>
          <w:szCs w:val="16"/>
        </w:rPr>
        <w:t>Table 6</w:t>
      </w:r>
      <w:r w:rsidR="00450228" w:rsidRPr="009E4B76">
        <w:rPr>
          <w:b/>
          <w:bCs/>
          <w:szCs w:val="20"/>
        </w:rPr>
        <w:fldChar w:fldCharType="end"/>
      </w:r>
      <w:r w:rsidRPr="009E4B76">
        <w:t xml:space="preserve">, which </w:t>
      </w:r>
      <w:r w:rsidRPr="009E4B76">
        <w:rPr>
          <w:szCs w:val="20"/>
        </w:rPr>
        <w:t>shows that patients in tier 3 were more likely to withdraw from the trial than patients in</w:t>
      </w:r>
      <w:r w:rsidRPr="009B6E30">
        <w:rPr>
          <w:szCs w:val="20"/>
        </w:rPr>
        <w:t xml:space="preserve"> the other two tiers.</w:t>
      </w:r>
    </w:p>
    <w:p w14:paraId="3ADEC429" w14:textId="77777777" w:rsidR="00506AE4" w:rsidRDefault="00506AE4">
      <w:pPr>
        <w:spacing w:after="160" w:line="259" w:lineRule="auto"/>
        <w:rPr>
          <w:szCs w:val="20"/>
        </w:rPr>
      </w:pPr>
      <w:r>
        <w:rPr>
          <w:szCs w:val="20"/>
        </w:rPr>
        <w:br w:type="page"/>
      </w:r>
    </w:p>
    <w:p w14:paraId="0369F91D" w14:textId="1E05C33A" w:rsidR="00E72EA7" w:rsidRPr="00384F15" w:rsidRDefault="00E72EA7" w:rsidP="00384F15">
      <w:pPr>
        <w:pStyle w:val="TableFigureheading"/>
        <w:rPr>
          <w:rStyle w:val="Strong1"/>
          <w:b w:val="0"/>
          <w:color w:val="1D2455"/>
          <w:sz w:val="20"/>
          <w:szCs w:val="16"/>
        </w:rPr>
      </w:pPr>
      <w:bookmarkStart w:id="61" w:name="_Ref95833457"/>
      <w:r w:rsidRPr="00384F15">
        <w:rPr>
          <w:rStyle w:val="Strong1"/>
          <w:b w:val="0"/>
          <w:color w:val="1D2455"/>
          <w:sz w:val="20"/>
          <w:szCs w:val="16"/>
        </w:rPr>
        <w:lastRenderedPageBreak/>
        <w:t xml:space="preserve">Figure </w:t>
      </w:r>
      <w:r w:rsidRPr="00384F15">
        <w:rPr>
          <w:rStyle w:val="Strong1"/>
          <w:b w:val="0"/>
          <w:color w:val="1D2455"/>
          <w:sz w:val="20"/>
          <w:szCs w:val="16"/>
        </w:rPr>
        <w:fldChar w:fldCharType="begin"/>
      </w:r>
      <w:r w:rsidRPr="00384F15">
        <w:rPr>
          <w:rStyle w:val="Strong1"/>
          <w:b w:val="0"/>
          <w:color w:val="1D2455"/>
          <w:sz w:val="20"/>
          <w:szCs w:val="16"/>
        </w:rPr>
        <w:instrText xml:space="preserve"> SEQ Figure \* ARABIC </w:instrText>
      </w:r>
      <w:r w:rsidRPr="00384F15">
        <w:rPr>
          <w:rStyle w:val="Strong1"/>
          <w:b w:val="0"/>
          <w:color w:val="1D2455"/>
          <w:sz w:val="20"/>
          <w:szCs w:val="16"/>
        </w:rPr>
        <w:fldChar w:fldCharType="separate"/>
      </w:r>
      <w:r w:rsidR="003C4BC2">
        <w:rPr>
          <w:rStyle w:val="Strong1"/>
          <w:b w:val="0"/>
          <w:noProof/>
          <w:color w:val="1D2455"/>
          <w:sz w:val="20"/>
          <w:szCs w:val="16"/>
        </w:rPr>
        <w:t>5</w:t>
      </w:r>
      <w:r w:rsidRPr="00384F15">
        <w:rPr>
          <w:rStyle w:val="Strong1"/>
          <w:b w:val="0"/>
          <w:color w:val="1D2455"/>
          <w:sz w:val="20"/>
          <w:szCs w:val="16"/>
        </w:rPr>
        <w:fldChar w:fldCharType="end"/>
      </w:r>
      <w:bookmarkEnd w:id="56"/>
      <w:bookmarkEnd w:id="61"/>
      <w:r w:rsidR="00384F15" w:rsidRPr="00384F15">
        <w:rPr>
          <w:rStyle w:val="Strong1"/>
          <w:b w:val="0"/>
          <w:color w:val="1D2455"/>
          <w:sz w:val="20"/>
          <w:szCs w:val="16"/>
        </w:rPr>
        <w:t>:</w:t>
      </w:r>
      <w:r w:rsidRPr="00384F15">
        <w:rPr>
          <w:rStyle w:val="Strong1"/>
          <w:b w:val="0"/>
          <w:color w:val="1D2455"/>
          <w:sz w:val="20"/>
          <w:szCs w:val="16"/>
        </w:rPr>
        <w:t xml:space="preserve"> Probability of patients withdrawing from HCH by time </w:t>
      </w:r>
      <w:r w:rsidR="00D96A2F">
        <w:rPr>
          <w:rStyle w:val="Strong1"/>
          <w:b w:val="0"/>
          <w:color w:val="1D2455"/>
          <w:sz w:val="20"/>
          <w:szCs w:val="16"/>
        </w:rPr>
        <w:t>from enrolment</w:t>
      </w:r>
      <w:r w:rsidRPr="00384F15">
        <w:rPr>
          <w:rStyle w:val="Strong1"/>
          <w:b w:val="0"/>
          <w:color w:val="1D2455"/>
          <w:sz w:val="20"/>
          <w:szCs w:val="16"/>
        </w:rPr>
        <w:t xml:space="preserve"> and tier</w:t>
      </w:r>
    </w:p>
    <w:p w14:paraId="1CE48AAD" w14:textId="37F20D39" w:rsidR="0068481B" w:rsidRPr="009B6E30" w:rsidRDefault="00A940B8" w:rsidP="0068481B">
      <w:pPr>
        <w:spacing w:after="0"/>
        <w:jc w:val="center"/>
        <w:rPr>
          <w:szCs w:val="20"/>
        </w:rPr>
      </w:pPr>
      <w:bookmarkStart w:id="62" w:name="_Hlk20738525"/>
      <w:bookmarkStart w:id="63" w:name="_Hlk49177034"/>
      <w:r>
        <w:rPr>
          <w:noProof/>
          <w:szCs w:val="20"/>
        </w:rPr>
        <w:drawing>
          <wp:inline distT="0" distB="0" distL="0" distR="0" wp14:anchorId="1685E087" wp14:editId="0ADA37D8">
            <wp:extent cx="4525200" cy="3290400"/>
            <wp:effectExtent l="0" t="0" r="0" b="0"/>
            <wp:docPr id="15" name="Picture 1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line chart&#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525200" cy="3290400"/>
                    </a:xfrm>
                    <a:prstGeom prst="rect">
                      <a:avLst/>
                    </a:prstGeom>
                  </pic:spPr>
                </pic:pic>
              </a:graphicData>
            </a:graphic>
          </wp:inline>
        </w:drawing>
      </w:r>
    </w:p>
    <w:p w14:paraId="1389F7F3" w14:textId="616E9A93" w:rsidR="0068481B" w:rsidRDefault="0068481B" w:rsidP="005B0774">
      <w:pPr>
        <w:pStyle w:val="Chartortablefootnote"/>
        <w:spacing w:after="0"/>
      </w:pPr>
      <w:r>
        <w:t xml:space="preserve">Notes: Time cut-off at </w:t>
      </w:r>
      <w:r w:rsidR="00041B9E">
        <w:t>36</w:t>
      </w:r>
      <w:r>
        <w:t xml:space="preserve"> months.</w:t>
      </w:r>
    </w:p>
    <w:p w14:paraId="32183E8A" w14:textId="77777777" w:rsidR="00AB01A0" w:rsidRPr="005C549C" w:rsidRDefault="00AB01A0" w:rsidP="00AB01A0">
      <w:pPr>
        <w:pStyle w:val="Chartortablefootnote"/>
      </w:pPr>
      <w:r w:rsidRPr="000819FA">
        <w:t xml:space="preserve">Source: </w:t>
      </w:r>
      <w:r>
        <w:t>HPOS to 30 June 2021</w:t>
      </w:r>
      <w:r w:rsidRPr="000819FA">
        <w:t>.</w:t>
      </w:r>
    </w:p>
    <w:p w14:paraId="11CE8F3C" w14:textId="0DC46D58" w:rsidR="00C336AC" w:rsidRDefault="005455C2" w:rsidP="00506AE4">
      <w:pPr>
        <w:rPr>
          <w:szCs w:val="20"/>
        </w:rPr>
      </w:pPr>
      <w:r>
        <w:rPr>
          <w:szCs w:val="20"/>
        </w:rPr>
        <w:t>More than one</w:t>
      </w:r>
      <w:r w:rsidR="00D63CA9">
        <w:rPr>
          <w:szCs w:val="20"/>
        </w:rPr>
        <w:t xml:space="preserve"> </w:t>
      </w:r>
      <w:r>
        <w:rPr>
          <w:szCs w:val="20"/>
        </w:rPr>
        <w:t>third of</w:t>
      </w:r>
      <w:r w:rsidR="0068481B" w:rsidRPr="009B6E30">
        <w:rPr>
          <w:szCs w:val="20"/>
        </w:rPr>
        <w:t xml:space="preserve"> patients who withdrew did so because the</w:t>
      </w:r>
      <w:r w:rsidR="0001190A">
        <w:rPr>
          <w:szCs w:val="20"/>
        </w:rPr>
        <w:t>ir</w:t>
      </w:r>
      <w:r w:rsidR="0068481B" w:rsidRPr="009B6E30">
        <w:rPr>
          <w:szCs w:val="20"/>
        </w:rPr>
        <w:t xml:space="preserve"> practice withdrew (</w:t>
      </w:r>
      <w:r w:rsidR="0068481B" w:rsidRPr="009E4B76">
        <w:rPr>
          <w:rStyle w:val="Strong1"/>
          <w:rFonts w:eastAsiaTheme="minorEastAsia"/>
          <w:b w:val="0"/>
          <w:bCs/>
          <w:color w:val="1D2455"/>
          <w:sz w:val="20"/>
          <w:szCs w:val="16"/>
          <w:lang w:eastAsia="en-AU"/>
        </w:rPr>
        <w:fldChar w:fldCharType="begin"/>
      </w:r>
      <w:r w:rsidR="0068481B" w:rsidRPr="009E4B76">
        <w:rPr>
          <w:rStyle w:val="Strong1"/>
          <w:rFonts w:eastAsiaTheme="minorEastAsia"/>
          <w:b w:val="0"/>
          <w:bCs/>
          <w:color w:val="1D2455"/>
          <w:sz w:val="20"/>
          <w:szCs w:val="16"/>
          <w:lang w:eastAsia="en-AU"/>
        </w:rPr>
        <w:instrText xml:space="preserve"> REF _Ref49784491 \h  \* MERGEFORMAT </w:instrText>
      </w:r>
      <w:r w:rsidR="0068481B" w:rsidRPr="009E4B76">
        <w:rPr>
          <w:rStyle w:val="Strong1"/>
          <w:rFonts w:eastAsiaTheme="minorEastAsia"/>
          <w:b w:val="0"/>
          <w:bCs/>
          <w:color w:val="1D2455"/>
          <w:sz w:val="20"/>
          <w:szCs w:val="16"/>
          <w:lang w:eastAsia="en-AU"/>
        </w:rPr>
      </w:r>
      <w:r w:rsidR="0068481B" w:rsidRPr="009E4B76">
        <w:rPr>
          <w:rStyle w:val="Strong1"/>
          <w:rFonts w:eastAsiaTheme="minorEastAsia"/>
          <w:b w:val="0"/>
          <w:bCs/>
          <w:color w:val="1D2455"/>
          <w:sz w:val="20"/>
          <w:szCs w:val="16"/>
          <w:lang w:eastAsia="en-AU"/>
        </w:rPr>
        <w:fldChar w:fldCharType="separate"/>
      </w:r>
      <w:r w:rsidR="003C4BC2" w:rsidRPr="003C4BC2">
        <w:rPr>
          <w:rStyle w:val="Strong1"/>
          <w:rFonts w:eastAsiaTheme="minorEastAsia"/>
          <w:b w:val="0"/>
          <w:bCs/>
          <w:color w:val="1D2455"/>
          <w:sz w:val="20"/>
          <w:szCs w:val="16"/>
          <w:lang w:eastAsia="en-AU"/>
        </w:rPr>
        <w:t>Table 8</w:t>
      </w:r>
      <w:r w:rsidR="0068481B" w:rsidRPr="009E4B76">
        <w:rPr>
          <w:rStyle w:val="Strong1"/>
          <w:rFonts w:eastAsiaTheme="minorEastAsia"/>
          <w:b w:val="0"/>
          <w:bCs/>
          <w:color w:val="1D2455"/>
          <w:sz w:val="20"/>
          <w:szCs w:val="16"/>
          <w:lang w:eastAsia="en-AU"/>
        </w:rPr>
        <w:fldChar w:fldCharType="end"/>
      </w:r>
      <w:r w:rsidR="0068481B" w:rsidRPr="009B6E30">
        <w:rPr>
          <w:szCs w:val="20"/>
        </w:rPr>
        <w:t xml:space="preserve">). </w:t>
      </w:r>
      <w:r w:rsidR="0001190A" w:rsidRPr="009B6E30">
        <w:rPr>
          <w:szCs w:val="20"/>
        </w:rPr>
        <w:t xml:space="preserve">Among all patients who enrolled, </w:t>
      </w:r>
      <w:r w:rsidR="0001190A">
        <w:rPr>
          <w:szCs w:val="20"/>
        </w:rPr>
        <w:t>7.3</w:t>
      </w:r>
      <w:r w:rsidR="0001190A" w:rsidRPr="009B6E30">
        <w:rPr>
          <w:szCs w:val="20"/>
        </w:rPr>
        <w:t>% opted out of the trial.</w:t>
      </w:r>
      <w:r w:rsidR="0001190A">
        <w:rPr>
          <w:szCs w:val="20"/>
        </w:rPr>
        <w:t xml:space="preserve"> </w:t>
      </w:r>
      <w:r w:rsidR="0068481B">
        <w:rPr>
          <w:szCs w:val="20"/>
        </w:rPr>
        <w:t xml:space="preserve">In interviews with practices, staff commented that patients who opted out did not understand the HCH model or wanted more </w:t>
      </w:r>
      <w:r w:rsidR="009C6635">
        <w:rPr>
          <w:szCs w:val="20"/>
        </w:rPr>
        <w:t>one-on-one</w:t>
      </w:r>
      <w:r w:rsidR="0068481B" w:rsidRPr="008847E6">
        <w:rPr>
          <w:szCs w:val="20"/>
        </w:rPr>
        <w:t xml:space="preserve"> time</w:t>
      </w:r>
      <w:r w:rsidR="0068481B">
        <w:rPr>
          <w:szCs w:val="20"/>
        </w:rPr>
        <w:t xml:space="preserve"> with their GP.</w:t>
      </w:r>
      <w:r w:rsidR="0001190A">
        <w:rPr>
          <w:szCs w:val="20"/>
        </w:rPr>
        <w:t xml:space="preserve"> </w:t>
      </w:r>
      <w:r w:rsidR="0068481B" w:rsidRPr="009B6E30">
        <w:rPr>
          <w:szCs w:val="20"/>
        </w:rPr>
        <w:t xml:space="preserve">Other reasons </w:t>
      </w:r>
      <w:r w:rsidR="0068481B">
        <w:rPr>
          <w:szCs w:val="20"/>
        </w:rPr>
        <w:t xml:space="preserve">for </w:t>
      </w:r>
      <w:r w:rsidR="0068481B" w:rsidRPr="009B6E30">
        <w:rPr>
          <w:szCs w:val="20"/>
        </w:rPr>
        <w:t>withdr</w:t>
      </w:r>
      <w:r w:rsidR="0068481B">
        <w:rPr>
          <w:szCs w:val="20"/>
        </w:rPr>
        <w:t>awing include</w:t>
      </w:r>
      <w:r w:rsidR="00C94047">
        <w:rPr>
          <w:szCs w:val="20"/>
        </w:rPr>
        <w:t>d</w:t>
      </w:r>
      <w:r w:rsidR="00095FCD">
        <w:rPr>
          <w:szCs w:val="20"/>
        </w:rPr>
        <w:t xml:space="preserve"> that</w:t>
      </w:r>
      <w:r w:rsidR="0068481B" w:rsidRPr="009B6E30">
        <w:rPr>
          <w:szCs w:val="20"/>
        </w:rPr>
        <w:t xml:space="preserve"> the patient was no longer with the practice, the patient </w:t>
      </w:r>
      <w:r w:rsidR="00AB1C1C" w:rsidRPr="009B6E30">
        <w:rPr>
          <w:szCs w:val="20"/>
        </w:rPr>
        <w:t>died,</w:t>
      </w:r>
      <w:r w:rsidR="00447439">
        <w:rPr>
          <w:szCs w:val="20"/>
        </w:rPr>
        <w:t xml:space="preserve"> or</w:t>
      </w:r>
      <w:r w:rsidR="0068481B" w:rsidRPr="009B6E30">
        <w:rPr>
          <w:szCs w:val="20"/>
        </w:rPr>
        <w:t xml:space="preserve"> the patient moved from the area.</w:t>
      </w:r>
      <w:r w:rsidR="0068481B">
        <w:rPr>
          <w:szCs w:val="20"/>
        </w:rPr>
        <w:t xml:space="preserve"> </w:t>
      </w:r>
    </w:p>
    <w:p w14:paraId="79039687" w14:textId="1C971963" w:rsidR="0068481B" w:rsidRPr="00044379" w:rsidRDefault="0068481B" w:rsidP="00044379">
      <w:pPr>
        <w:pStyle w:val="TableFigureheading"/>
        <w:rPr>
          <w:rStyle w:val="Strong1"/>
          <w:b w:val="0"/>
          <w:color w:val="1D2455"/>
          <w:sz w:val="20"/>
          <w:szCs w:val="16"/>
        </w:rPr>
      </w:pPr>
      <w:bookmarkStart w:id="64" w:name="_Ref49784491"/>
      <w:r w:rsidRPr="00044379">
        <w:rPr>
          <w:rStyle w:val="Strong1"/>
          <w:b w:val="0"/>
          <w:color w:val="1D2455"/>
          <w:sz w:val="20"/>
          <w:szCs w:val="16"/>
        </w:rPr>
        <w:t xml:space="preserve">Table </w:t>
      </w:r>
      <w:r w:rsidRPr="00C715CE">
        <w:rPr>
          <w:rStyle w:val="Strong1"/>
          <w:color w:val="1D2455"/>
          <w:sz w:val="20"/>
          <w:szCs w:val="16"/>
        </w:rPr>
        <w:fldChar w:fldCharType="begin"/>
      </w:r>
      <w:r w:rsidRPr="00C715CE">
        <w:instrText>SEQ Table \* ARABIC</w:instrText>
      </w:r>
      <w:r w:rsidRPr="00C715CE">
        <w:rPr>
          <w:rStyle w:val="Strong1"/>
          <w:color w:val="1D2455"/>
          <w:sz w:val="20"/>
          <w:szCs w:val="16"/>
        </w:rPr>
        <w:fldChar w:fldCharType="separate"/>
      </w:r>
      <w:r w:rsidR="003C4BC2">
        <w:rPr>
          <w:noProof/>
        </w:rPr>
        <w:t>8</w:t>
      </w:r>
      <w:r w:rsidRPr="00C715CE">
        <w:rPr>
          <w:rStyle w:val="Strong1"/>
          <w:color w:val="1D2455"/>
          <w:sz w:val="20"/>
          <w:szCs w:val="16"/>
        </w:rPr>
        <w:fldChar w:fldCharType="end"/>
      </w:r>
      <w:bookmarkEnd w:id="64"/>
      <w:r w:rsidR="00044379" w:rsidRPr="00044379">
        <w:rPr>
          <w:rStyle w:val="Strong1"/>
          <w:b w:val="0"/>
          <w:color w:val="1D2455"/>
          <w:sz w:val="20"/>
          <w:szCs w:val="16"/>
        </w:rPr>
        <w:t>:</w:t>
      </w:r>
      <w:r w:rsidRPr="00044379">
        <w:rPr>
          <w:rStyle w:val="Strong1"/>
          <w:b w:val="0"/>
          <w:color w:val="1D2455"/>
          <w:sz w:val="20"/>
          <w:szCs w:val="16"/>
        </w:rPr>
        <w:t xml:space="preserve"> Number of patients withdrawing from HCH and reasons</w:t>
      </w:r>
      <w:r w:rsidR="00D96A2F">
        <w:rPr>
          <w:rStyle w:val="Strong1"/>
          <w:b w:val="0"/>
          <w:color w:val="1D2455"/>
          <w:sz w:val="20"/>
          <w:szCs w:val="16"/>
        </w:rPr>
        <w:t>,</w:t>
      </w:r>
      <w:r w:rsidRPr="00044379">
        <w:rPr>
          <w:rStyle w:val="Strong1"/>
          <w:b w:val="0"/>
          <w:color w:val="1D2455"/>
          <w:sz w:val="20"/>
          <w:szCs w:val="16"/>
        </w:rPr>
        <w:t xml:space="preserve"> 30 June 202</w:t>
      </w:r>
      <w:r w:rsidR="002474FE">
        <w:rPr>
          <w:rStyle w:val="Strong1"/>
          <w:b w:val="0"/>
          <w:color w:val="1D2455"/>
          <w:sz w:val="20"/>
          <w:szCs w:val="16"/>
        </w:rPr>
        <w:t>1</w:t>
      </w:r>
    </w:p>
    <w:tbl>
      <w:tblPr>
        <w:tblW w:w="5047"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3173"/>
        <w:gridCol w:w="1259"/>
        <w:gridCol w:w="1538"/>
        <w:gridCol w:w="1466"/>
        <w:gridCol w:w="1665"/>
      </w:tblGrid>
      <w:tr w:rsidR="0068481B" w:rsidRPr="00A56062" w14:paraId="732909FE" w14:textId="77777777" w:rsidTr="0033514E">
        <w:trPr>
          <w:cantSplit/>
          <w:tblHeader/>
          <w:jc w:val="center"/>
        </w:trPr>
        <w:tc>
          <w:tcPr>
            <w:tcW w:w="3219" w:type="dxa"/>
            <w:vMerge w:val="restart"/>
            <w:shd w:val="clear" w:color="auto" w:fill="408BCA"/>
            <w:tcMar>
              <w:top w:w="0" w:type="dxa"/>
              <w:left w:w="0" w:type="dxa"/>
              <w:bottom w:w="0" w:type="dxa"/>
              <w:right w:w="0" w:type="dxa"/>
            </w:tcMar>
            <w:vAlign w:val="center"/>
            <w:hideMark/>
          </w:tcPr>
          <w:p w14:paraId="19B2A70A" w14:textId="77777777" w:rsidR="0068481B" w:rsidRPr="005D26A3" w:rsidRDefault="0068481B" w:rsidP="00ED7396">
            <w:pPr>
              <w:spacing w:after="0"/>
              <w:jc w:val="center"/>
              <w:rPr>
                <w:sz w:val="18"/>
                <w:szCs w:val="18"/>
              </w:rPr>
            </w:pPr>
            <w:r w:rsidRPr="005D26A3">
              <w:rPr>
                <w:rFonts w:eastAsia="Century Gothic" w:cs="Century Gothic"/>
                <w:b/>
                <w:color w:val="FFFFFF"/>
                <w:sz w:val="18"/>
                <w:szCs w:val="18"/>
              </w:rPr>
              <w:t>Reason</w:t>
            </w:r>
          </w:p>
        </w:tc>
        <w:tc>
          <w:tcPr>
            <w:tcW w:w="4321" w:type="dxa"/>
            <w:gridSpan w:val="3"/>
            <w:shd w:val="clear" w:color="auto" w:fill="408BCA"/>
            <w:tcMar>
              <w:top w:w="0" w:type="dxa"/>
              <w:left w:w="0" w:type="dxa"/>
              <w:bottom w:w="0" w:type="dxa"/>
              <w:right w:w="0" w:type="dxa"/>
            </w:tcMar>
            <w:vAlign w:val="center"/>
            <w:hideMark/>
          </w:tcPr>
          <w:p w14:paraId="75BEF6FB" w14:textId="77777777" w:rsidR="0068481B" w:rsidRPr="005D26A3" w:rsidRDefault="0068481B" w:rsidP="00ED7396">
            <w:pPr>
              <w:spacing w:after="0"/>
              <w:jc w:val="center"/>
              <w:rPr>
                <w:rFonts w:eastAsia="Century Gothic" w:cs="Century Gothic"/>
                <w:b/>
                <w:color w:val="FFFFFF"/>
                <w:sz w:val="18"/>
                <w:szCs w:val="18"/>
              </w:rPr>
            </w:pPr>
            <w:r w:rsidRPr="005D26A3">
              <w:rPr>
                <w:rFonts w:eastAsia="Century Gothic" w:cs="Century Gothic"/>
                <w:b/>
                <w:color w:val="FFFFFF"/>
                <w:sz w:val="18"/>
                <w:szCs w:val="18"/>
              </w:rPr>
              <w:t>Tier</w:t>
            </w:r>
          </w:p>
          <w:p w14:paraId="3A15FEE9" w14:textId="77777777" w:rsidR="0068481B" w:rsidRPr="005D26A3" w:rsidRDefault="0068481B" w:rsidP="00ED7396">
            <w:pPr>
              <w:spacing w:after="0"/>
              <w:jc w:val="center"/>
              <w:rPr>
                <w:sz w:val="18"/>
                <w:szCs w:val="18"/>
              </w:rPr>
            </w:pPr>
            <w:r w:rsidRPr="005D26A3">
              <w:rPr>
                <w:rFonts w:eastAsia="Century Gothic" w:cs="Century Gothic"/>
                <w:b/>
                <w:color w:val="FFFFFF"/>
                <w:sz w:val="18"/>
                <w:szCs w:val="18"/>
              </w:rPr>
              <w:t>n (% of all patients within the tier)</w:t>
            </w:r>
          </w:p>
        </w:tc>
        <w:tc>
          <w:tcPr>
            <w:tcW w:w="1685" w:type="dxa"/>
            <w:vMerge w:val="restart"/>
            <w:shd w:val="clear" w:color="auto" w:fill="408BCA"/>
            <w:vAlign w:val="center"/>
          </w:tcPr>
          <w:p w14:paraId="78E0F0B4" w14:textId="77777777" w:rsidR="0068481B" w:rsidRPr="005D26A3" w:rsidRDefault="0068481B" w:rsidP="00ED7396">
            <w:pPr>
              <w:spacing w:after="0"/>
              <w:jc w:val="center"/>
              <w:rPr>
                <w:rFonts w:eastAsia="Century Gothic" w:cs="Century Gothic"/>
                <w:b/>
                <w:color w:val="FFFFFF"/>
                <w:sz w:val="18"/>
                <w:szCs w:val="18"/>
              </w:rPr>
            </w:pPr>
            <w:r w:rsidRPr="005D26A3">
              <w:rPr>
                <w:rFonts w:eastAsia="Century Gothic" w:cs="Century Gothic"/>
                <w:b/>
                <w:color w:val="FFFFFF"/>
                <w:sz w:val="18"/>
                <w:szCs w:val="18"/>
              </w:rPr>
              <w:t>Total</w:t>
            </w:r>
          </w:p>
          <w:p w14:paraId="687F3534" w14:textId="005F0F44" w:rsidR="0068481B" w:rsidRPr="005D26A3" w:rsidRDefault="0068481B" w:rsidP="00ED7396">
            <w:pPr>
              <w:spacing w:after="0"/>
              <w:jc w:val="center"/>
              <w:rPr>
                <w:rFonts w:eastAsia="Century Gothic" w:cs="Century Gothic"/>
                <w:b/>
                <w:color w:val="FFFFFF"/>
                <w:sz w:val="18"/>
                <w:szCs w:val="18"/>
              </w:rPr>
            </w:pPr>
            <w:r w:rsidRPr="005D26A3">
              <w:rPr>
                <w:rFonts w:eastAsia="Century Gothic" w:cs="Century Gothic"/>
                <w:b/>
                <w:color w:val="FFFFFF"/>
                <w:sz w:val="18"/>
                <w:szCs w:val="18"/>
              </w:rPr>
              <w:t xml:space="preserve">n (% of all </w:t>
            </w:r>
            <w:r>
              <w:rPr>
                <w:rFonts w:eastAsia="Century Gothic" w:cs="Century Gothic"/>
                <w:b/>
                <w:color w:val="FFFFFF"/>
                <w:sz w:val="18"/>
                <w:szCs w:val="18"/>
              </w:rPr>
              <w:t>patients</w:t>
            </w:r>
            <w:r w:rsidR="00447439">
              <w:rPr>
                <w:rFonts w:eastAsia="Century Gothic" w:cs="Century Gothic"/>
                <w:b/>
                <w:color w:val="FFFFFF"/>
                <w:sz w:val="18"/>
                <w:szCs w:val="18"/>
              </w:rPr>
              <w:t xml:space="preserve">: </w:t>
            </w:r>
            <w:r w:rsidR="00FC0EC1">
              <w:rPr>
                <w:rFonts w:eastAsia="Century Gothic" w:cs="Century Gothic"/>
                <w:b/>
                <w:color w:val="FFFFFF"/>
                <w:sz w:val="18"/>
                <w:szCs w:val="18"/>
              </w:rPr>
              <w:t>n=11,332</w:t>
            </w:r>
            <w:r w:rsidRPr="005D26A3">
              <w:rPr>
                <w:rFonts w:eastAsia="Century Gothic" w:cs="Century Gothic"/>
                <w:b/>
                <w:color w:val="FFFFFF"/>
                <w:sz w:val="18"/>
                <w:szCs w:val="18"/>
              </w:rPr>
              <w:t>)</w:t>
            </w:r>
          </w:p>
        </w:tc>
      </w:tr>
      <w:tr w:rsidR="0068481B" w:rsidRPr="00A56062" w14:paraId="20AA34C9" w14:textId="77777777" w:rsidTr="0033514E">
        <w:trPr>
          <w:cantSplit/>
          <w:tblHeader/>
          <w:jc w:val="center"/>
        </w:trPr>
        <w:tc>
          <w:tcPr>
            <w:tcW w:w="3219" w:type="dxa"/>
            <w:vMerge/>
            <w:vAlign w:val="center"/>
            <w:hideMark/>
          </w:tcPr>
          <w:p w14:paraId="08714A04" w14:textId="77777777" w:rsidR="0068481B" w:rsidRPr="005D26A3" w:rsidRDefault="0068481B" w:rsidP="00ED7396">
            <w:pPr>
              <w:spacing w:after="0"/>
              <w:rPr>
                <w:sz w:val="18"/>
                <w:szCs w:val="18"/>
              </w:rPr>
            </w:pPr>
          </w:p>
        </w:tc>
        <w:tc>
          <w:tcPr>
            <w:tcW w:w="1276" w:type="dxa"/>
            <w:shd w:val="clear" w:color="auto" w:fill="408BCA"/>
            <w:tcMar>
              <w:top w:w="0" w:type="dxa"/>
              <w:left w:w="0" w:type="dxa"/>
              <w:bottom w:w="0" w:type="dxa"/>
              <w:right w:w="0" w:type="dxa"/>
            </w:tcMar>
            <w:vAlign w:val="center"/>
            <w:hideMark/>
          </w:tcPr>
          <w:p w14:paraId="56927693" w14:textId="77777777" w:rsidR="0068481B" w:rsidRDefault="0068481B" w:rsidP="00ED7396">
            <w:pPr>
              <w:spacing w:after="0"/>
              <w:jc w:val="center"/>
              <w:rPr>
                <w:rFonts w:eastAsia="Century Gothic" w:cs="Century Gothic"/>
                <w:b/>
                <w:color w:val="FFFFFF"/>
                <w:sz w:val="18"/>
                <w:szCs w:val="18"/>
              </w:rPr>
            </w:pPr>
            <w:r w:rsidRPr="005D26A3">
              <w:rPr>
                <w:rFonts w:eastAsia="Century Gothic" w:cs="Century Gothic"/>
                <w:b/>
                <w:color w:val="FFFFFF"/>
                <w:sz w:val="18"/>
                <w:szCs w:val="18"/>
              </w:rPr>
              <w:t>1</w:t>
            </w:r>
          </w:p>
          <w:p w14:paraId="7D312EED" w14:textId="15AA9D39" w:rsidR="00E36F27" w:rsidRPr="005D26A3" w:rsidRDefault="00E36F27" w:rsidP="00ED7396">
            <w:pPr>
              <w:spacing w:after="0"/>
              <w:jc w:val="center"/>
              <w:rPr>
                <w:sz w:val="18"/>
                <w:szCs w:val="18"/>
              </w:rPr>
            </w:pPr>
            <w:r>
              <w:rPr>
                <w:rFonts w:eastAsia="Century Gothic" w:cs="Century Gothic"/>
                <w:b/>
                <w:color w:val="FFFFFF"/>
                <w:sz w:val="18"/>
                <w:szCs w:val="18"/>
              </w:rPr>
              <w:t xml:space="preserve">(n = </w:t>
            </w:r>
            <w:r w:rsidR="0044010F">
              <w:rPr>
                <w:rFonts w:eastAsia="Century Gothic" w:cs="Century Gothic"/>
                <w:b/>
                <w:color w:val="FFFFFF"/>
                <w:sz w:val="18"/>
                <w:szCs w:val="18"/>
              </w:rPr>
              <w:t>2,012</w:t>
            </w:r>
            <w:r>
              <w:rPr>
                <w:rFonts w:eastAsia="Century Gothic" w:cs="Century Gothic"/>
                <w:b/>
                <w:color w:val="FFFFFF"/>
                <w:sz w:val="18"/>
                <w:szCs w:val="18"/>
              </w:rPr>
              <w:t>)</w:t>
            </w:r>
          </w:p>
        </w:tc>
        <w:tc>
          <w:tcPr>
            <w:tcW w:w="1559" w:type="dxa"/>
            <w:shd w:val="clear" w:color="auto" w:fill="408BCA"/>
            <w:tcMar>
              <w:top w:w="0" w:type="dxa"/>
              <w:left w:w="0" w:type="dxa"/>
              <w:bottom w:w="0" w:type="dxa"/>
              <w:right w:w="0" w:type="dxa"/>
            </w:tcMar>
            <w:vAlign w:val="center"/>
            <w:hideMark/>
          </w:tcPr>
          <w:p w14:paraId="59AB1102" w14:textId="77777777" w:rsidR="0068481B" w:rsidRDefault="0068481B" w:rsidP="00ED7396">
            <w:pPr>
              <w:spacing w:after="0"/>
              <w:jc w:val="center"/>
              <w:rPr>
                <w:rFonts w:eastAsia="Century Gothic" w:cs="Century Gothic"/>
                <w:b/>
                <w:color w:val="FFFFFF"/>
                <w:sz w:val="18"/>
                <w:szCs w:val="18"/>
              </w:rPr>
            </w:pPr>
            <w:r w:rsidRPr="005D26A3">
              <w:rPr>
                <w:rFonts w:eastAsia="Century Gothic" w:cs="Century Gothic"/>
                <w:b/>
                <w:color w:val="FFFFFF"/>
                <w:sz w:val="18"/>
                <w:szCs w:val="18"/>
              </w:rPr>
              <w:t>2</w:t>
            </w:r>
          </w:p>
          <w:p w14:paraId="62E23222" w14:textId="4BE98A13" w:rsidR="0044010F" w:rsidRPr="005D26A3" w:rsidRDefault="0044010F" w:rsidP="00ED7396">
            <w:pPr>
              <w:spacing w:after="0"/>
              <w:jc w:val="center"/>
              <w:rPr>
                <w:sz w:val="18"/>
                <w:szCs w:val="18"/>
              </w:rPr>
            </w:pPr>
            <w:r>
              <w:rPr>
                <w:rFonts w:eastAsia="Century Gothic" w:cs="Century Gothic"/>
                <w:b/>
                <w:color w:val="FFFFFF"/>
                <w:sz w:val="18"/>
                <w:szCs w:val="18"/>
              </w:rPr>
              <w:t>(n =5,574)</w:t>
            </w:r>
          </w:p>
        </w:tc>
        <w:tc>
          <w:tcPr>
            <w:tcW w:w="1486" w:type="dxa"/>
            <w:shd w:val="clear" w:color="auto" w:fill="408BCA"/>
            <w:tcMar>
              <w:top w:w="0" w:type="dxa"/>
              <w:left w:w="0" w:type="dxa"/>
              <w:bottom w:w="0" w:type="dxa"/>
              <w:right w:w="0" w:type="dxa"/>
            </w:tcMar>
            <w:vAlign w:val="center"/>
            <w:hideMark/>
          </w:tcPr>
          <w:p w14:paraId="77B6D968" w14:textId="77777777" w:rsidR="0068481B" w:rsidRDefault="0068481B" w:rsidP="00ED7396">
            <w:pPr>
              <w:spacing w:after="0"/>
              <w:jc w:val="center"/>
              <w:rPr>
                <w:rFonts w:eastAsia="Century Gothic" w:cs="Century Gothic"/>
                <w:b/>
                <w:color w:val="FFFFFF"/>
                <w:sz w:val="18"/>
                <w:szCs w:val="18"/>
              </w:rPr>
            </w:pPr>
            <w:r w:rsidRPr="005D26A3">
              <w:rPr>
                <w:rFonts w:eastAsia="Century Gothic" w:cs="Century Gothic"/>
                <w:b/>
                <w:color w:val="FFFFFF"/>
                <w:sz w:val="18"/>
                <w:szCs w:val="18"/>
              </w:rPr>
              <w:t>3</w:t>
            </w:r>
          </w:p>
          <w:p w14:paraId="1AAA1BE5" w14:textId="5B7D00D3" w:rsidR="0044010F" w:rsidRPr="005D26A3" w:rsidRDefault="0044010F" w:rsidP="00ED7396">
            <w:pPr>
              <w:spacing w:after="0"/>
              <w:jc w:val="center"/>
              <w:rPr>
                <w:sz w:val="18"/>
                <w:szCs w:val="18"/>
              </w:rPr>
            </w:pPr>
            <w:r>
              <w:rPr>
                <w:rFonts w:eastAsia="Century Gothic" w:cs="Century Gothic"/>
                <w:b/>
                <w:color w:val="FFFFFF"/>
                <w:sz w:val="18"/>
                <w:szCs w:val="18"/>
              </w:rPr>
              <w:t>(n = 3,746)</w:t>
            </w:r>
          </w:p>
        </w:tc>
        <w:tc>
          <w:tcPr>
            <w:tcW w:w="1685" w:type="dxa"/>
            <w:vMerge/>
            <w:shd w:val="clear" w:color="auto" w:fill="003D79"/>
          </w:tcPr>
          <w:p w14:paraId="0AFCD5FE" w14:textId="77777777" w:rsidR="0068481B" w:rsidRPr="005D26A3" w:rsidRDefault="0068481B" w:rsidP="00ED7396">
            <w:pPr>
              <w:spacing w:after="0"/>
              <w:jc w:val="center"/>
              <w:rPr>
                <w:rFonts w:eastAsia="Century Gothic" w:cs="Century Gothic"/>
                <w:b/>
                <w:color w:val="FFFFFF"/>
                <w:sz w:val="18"/>
                <w:szCs w:val="18"/>
              </w:rPr>
            </w:pPr>
          </w:p>
        </w:tc>
      </w:tr>
      <w:tr w:rsidR="00704EA6" w:rsidRPr="00A56062" w14:paraId="71F4F3B3" w14:textId="77777777" w:rsidTr="0033514E">
        <w:trPr>
          <w:cantSplit/>
          <w:jc w:val="center"/>
        </w:trPr>
        <w:tc>
          <w:tcPr>
            <w:tcW w:w="3219" w:type="dxa"/>
            <w:shd w:val="clear" w:color="auto" w:fill="FFFFFF"/>
            <w:tcMar>
              <w:top w:w="0" w:type="dxa"/>
              <w:left w:w="0" w:type="dxa"/>
              <w:bottom w:w="0" w:type="dxa"/>
              <w:right w:w="0" w:type="dxa"/>
            </w:tcMar>
            <w:vAlign w:val="center"/>
            <w:hideMark/>
          </w:tcPr>
          <w:p w14:paraId="3CB7CFBF" w14:textId="77777777" w:rsidR="00704EA6" w:rsidRPr="005D26A3" w:rsidRDefault="00704EA6" w:rsidP="00704EA6">
            <w:pPr>
              <w:spacing w:before="40" w:after="40"/>
              <w:ind w:left="100" w:right="100"/>
              <w:rPr>
                <w:sz w:val="18"/>
                <w:szCs w:val="18"/>
              </w:rPr>
            </w:pPr>
            <w:r w:rsidRPr="005D26A3">
              <w:rPr>
                <w:rFonts w:eastAsia="Calibri (Body)" w:cs="Calibri (Body)"/>
                <w:color w:val="000000"/>
                <w:sz w:val="18"/>
                <w:szCs w:val="18"/>
              </w:rPr>
              <w:t>Patient died</w:t>
            </w:r>
          </w:p>
        </w:tc>
        <w:tc>
          <w:tcPr>
            <w:tcW w:w="1276" w:type="dxa"/>
            <w:shd w:val="clear" w:color="auto" w:fill="FFFFFF"/>
            <w:tcMar>
              <w:top w:w="0" w:type="dxa"/>
              <w:left w:w="0" w:type="dxa"/>
              <w:bottom w:w="0" w:type="dxa"/>
              <w:right w:w="0" w:type="dxa"/>
            </w:tcMar>
            <w:hideMark/>
          </w:tcPr>
          <w:p w14:paraId="72A9AC39" w14:textId="51CF9371"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37 (1.8%)</w:t>
            </w:r>
          </w:p>
        </w:tc>
        <w:tc>
          <w:tcPr>
            <w:tcW w:w="1559" w:type="dxa"/>
            <w:shd w:val="clear" w:color="auto" w:fill="FFFFFF"/>
            <w:tcMar>
              <w:top w:w="0" w:type="dxa"/>
              <w:left w:w="0" w:type="dxa"/>
              <w:bottom w:w="0" w:type="dxa"/>
              <w:right w:w="0" w:type="dxa"/>
            </w:tcMar>
            <w:hideMark/>
          </w:tcPr>
          <w:p w14:paraId="7240FEBD" w14:textId="0D14A2C2"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168 (3.0%)</w:t>
            </w:r>
          </w:p>
        </w:tc>
        <w:tc>
          <w:tcPr>
            <w:tcW w:w="1486" w:type="dxa"/>
            <w:shd w:val="clear" w:color="auto" w:fill="FFFFFF"/>
            <w:tcMar>
              <w:top w:w="0" w:type="dxa"/>
              <w:left w:w="0" w:type="dxa"/>
              <w:bottom w:w="0" w:type="dxa"/>
              <w:right w:w="0" w:type="dxa"/>
            </w:tcMar>
            <w:hideMark/>
          </w:tcPr>
          <w:p w14:paraId="42799890" w14:textId="0A60B137"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310 (8.3%)</w:t>
            </w:r>
          </w:p>
        </w:tc>
        <w:tc>
          <w:tcPr>
            <w:tcW w:w="1685" w:type="dxa"/>
            <w:shd w:val="clear" w:color="auto" w:fill="FFFFFF"/>
          </w:tcPr>
          <w:p w14:paraId="4DDEA88C" w14:textId="245FE874"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515 (4.5%)</w:t>
            </w:r>
          </w:p>
        </w:tc>
      </w:tr>
      <w:tr w:rsidR="00704EA6" w:rsidRPr="00A56062" w14:paraId="2D904C84" w14:textId="77777777" w:rsidTr="0033514E">
        <w:trPr>
          <w:cantSplit/>
          <w:jc w:val="center"/>
        </w:trPr>
        <w:tc>
          <w:tcPr>
            <w:tcW w:w="3219" w:type="dxa"/>
            <w:shd w:val="clear" w:color="auto" w:fill="FFFFFF"/>
            <w:tcMar>
              <w:top w:w="0" w:type="dxa"/>
              <w:left w:w="0" w:type="dxa"/>
              <w:bottom w:w="0" w:type="dxa"/>
              <w:right w:w="0" w:type="dxa"/>
            </w:tcMar>
            <w:vAlign w:val="center"/>
            <w:hideMark/>
          </w:tcPr>
          <w:p w14:paraId="5D3608FF" w14:textId="77777777" w:rsidR="00704EA6" w:rsidRPr="005D26A3" w:rsidRDefault="00704EA6" w:rsidP="00704EA6">
            <w:pPr>
              <w:spacing w:before="40" w:after="40"/>
              <w:ind w:left="100" w:right="100"/>
              <w:rPr>
                <w:sz w:val="18"/>
                <w:szCs w:val="18"/>
              </w:rPr>
            </w:pPr>
            <w:r w:rsidRPr="005D26A3">
              <w:rPr>
                <w:rFonts w:eastAsia="Calibri (Body)" w:cs="Calibri (Body)"/>
                <w:color w:val="000000"/>
                <w:sz w:val="18"/>
                <w:szCs w:val="18"/>
              </w:rPr>
              <w:t>Patient moved from the area</w:t>
            </w:r>
          </w:p>
        </w:tc>
        <w:tc>
          <w:tcPr>
            <w:tcW w:w="1276" w:type="dxa"/>
            <w:shd w:val="clear" w:color="auto" w:fill="FFFFFF"/>
            <w:tcMar>
              <w:top w:w="0" w:type="dxa"/>
              <w:left w:w="0" w:type="dxa"/>
              <w:bottom w:w="0" w:type="dxa"/>
              <w:right w:w="0" w:type="dxa"/>
            </w:tcMar>
            <w:hideMark/>
          </w:tcPr>
          <w:p w14:paraId="7D03F8EC" w14:textId="66BBCEE8"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44 (2.2%)</w:t>
            </w:r>
          </w:p>
        </w:tc>
        <w:tc>
          <w:tcPr>
            <w:tcW w:w="1559" w:type="dxa"/>
            <w:shd w:val="clear" w:color="auto" w:fill="FFFFFF"/>
            <w:tcMar>
              <w:top w:w="0" w:type="dxa"/>
              <w:left w:w="0" w:type="dxa"/>
              <w:bottom w:w="0" w:type="dxa"/>
              <w:right w:w="0" w:type="dxa"/>
            </w:tcMar>
            <w:hideMark/>
          </w:tcPr>
          <w:p w14:paraId="1C717138" w14:textId="1247F950"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186 (3.3%)</w:t>
            </w:r>
          </w:p>
        </w:tc>
        <w:tc>
          <w:tcPr>
            <w:tcW w:w="1486" w:type="dxa"/>
            <w:shd w:val="clear" w:color="auto" w:fill="FFFFFF"/>
            <w:tcMar>
              <w:top w:w="0" w:type="dxa"/>
              <w:left w:w="0" w:type="dxa"/>
              <w:bottom w:w="0" w:type="dxa"/>
              <w:right w:w="0" w:type="dxa"/>
            </w:tcMar>
            <w:hideMark/>
          </w:tcPr>
          <w:p w14:paraId="47113202" w14:textId="61E72CEC"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168 (4.5%)</w:t>
            </w:r>
          </w:p>
        </w:tc>
        <w:tc>
          <w:tcPr>
            <w:tcW w:w="1685" w:type="dxa"/>
            <w:shd w:val="clear" w:color="auto" w:fill="FFFFFF"/>
          </w:tcPr>
          <w:p w14:paraId="79B84732" w14:textId="06352D62"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398 (3.5%)</w:t>
            </w:r>
          </w:p>
        </w:tc>
      </w:tr>
      <w:tr w:rsidR="00704EA6" w:rsidRPr="00A56062" w14:paraId="5A2A5BD1" w14:textId="77777777" w:rsidTr="0033514E">
        <w:trPr>
          <w:cantSplit/>
          <w:jc w:val="center"/>
        </w:trPr>
        <w:tc>
          <w:tcPr>
            <w:tcW w:w="3219" w:type="dxa"/>
            <w:shd w:val="clear" w:color="auto" w:fill="FFFFFF"/>
            <w:tcMar>
              <w:top w:w="0" w:type="dxa"/>
              <w:left w:w="0" w:type="dxa"/>
              <w:bottom w:w="0" w:type="dxa"/>
              <w:right w:w="0" w:type="dxa"/>
            </w:tcMar>
            <w:vAlign w:val="center"/>
            <w:hideMark/>
          </w:tcPr>
          <w:p w14:paraId="13D42777" w14:textId="77777777" w:rsidR="00704EA6" w:rsidRPr="005D26A3" w:rsidRDefault="00704EA6" w:rsidP="00704EA6">
            <w:pPr>
              <w:spacing w:before="40" w:after="40"/>
              <w:ind w:left="100" w:right="100"/>
              <w:rPr>
                <w:sz w:val="18"/>
                <w:szCs w:val="18"/>
              </w:rPr>
            </w:pPr>
            <w:r w:rsidRPr="005D26A3">
              <w:rPr>
                <w:rFonts w:eastAsia="Calibri (Body)" w:cs="Calibri (Body)"/>
                <w:color w:val="000000"/>
                <w:sz w:val="18"/>
                <w:szCs w:val="18"/>
              </w:rPr>
              <w:t>Patient opted out</w:t>
            </w:r>
          </w:p>
        </w:tc>
        <w:tc>
          <w:tcPr>
            <w:tcW w:w="1276" w:type="dxa"/>
            <w:shd w:val="clear" w:color="auto" w:fill="FFFFFF"/>
            <w:tcMar>
              <w:top w:w="0" w:type="dxa"/>
              <w:left w:w="0" w:type="dxa"/>
              <w:bottom w:w="0" w:type="dxa"/>
              <w:right w:w="0" w:type="dxa"/>
            </w:tcMar>
            <w:hideMark/>
          </w:tcPr>
          <w:p w14:paraId="4CFACCF5" w14:textId="3901A4B3"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172 (8.5%)</w:t>
            </w:r>
          </w:p>
        </w:tc>
        <w:tc>
          <w:tcPr>
            <w:tcW w:w="1559" w:type="dxa"/>
            <w:shd w:val="clear" w:color="auto" w:fill="FFFFFF"/>
            <w:tcMar>
              <w:top w:w="0" w:type="dxa"/>
              <w:left w:w="0" w:type="dxa"/>
              <w:bottom w:w="0" w:type="dxa"/>
              <w:right w:w="0" w:type="dxa"/>
            </w:tcMar>
            <w:hideMark/>
          </w:tcPr>
          <w:p w14:paraId="4C95ACD8" w14:textId="2D3BBBD4"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378 (6.8%)</w:t>
            </w:r>
          </w:p>
        </w:tc>
        <w:tc>
          <w:tcPr>
            <w:tcW w:w="1486" w:type="dxa"/>
            <w:shd w:val="clear" w:color="auto" w:fill="FFFFFF"/>
            <w:tcMar>
              <w:top w:w="0" w:type="dxa"/>
              <w:left w:w="0" w:type="dxa"/>
              <w:bottom w:w="0" w:type="dxa"/>
              <w:right w:w="0" w:type="dxa"/>
            </w:tcMar>
            <w:hideMark/>
          </w:tcPr>
          <w:p w14:paraId="2514AC24" w14:textId="36DB1522"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274 (7.3%)</w:t>
            </w:r>
          </w:p>
        </w:tc>
        <w:tc>
          <w:tcPr>
            <w:tcW w:w="1685" w:type="dxa"/>
            <w:shd w:val="clear" w:color="auto" w:fill="FFFFFF"/>
          </w:tcPr>
          <w:p w14:paraId="251CBA78" w14:textId="177F3FAA"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824 (7.3%)</w:t>
            </w:r>
          </w:p>
        </w:tc>
      </w:tr>
      <w:tr w:rsidR="00704EA6" w:rsidRPr="00A56062" w14:paraId="1C8E7272" w14:textId="77777777" w:rsidTr="0033514E">
        <w:trPr>
          <w:cantSplit/>
          <w:jc w:val="center"/>
        </w:trPr>
        <w:tc>
          <w:tcPr>
            <w:tcW w:w="3219" w:type="dxa"/>
            <w:shd w:val="clear" w:color="auto" w:fill="FFFFFF"/>
            <w:tcMar>
              <w:top w:w="0" w:type="dxa"/>
              <w:left w:w="0" w:type="dxa"/>
              <w:bottom w:w="0" w:type="dxa"/>
              <w:right w:w="0" w:type="dxa"/>
            </w:tcMar>
            <w:vAlign w:val="center"/>
            <w:hideMark/>
          </w:tcPr>
          <w:p w14:paraId="2611530B" w14:textId="77777777" w:rsidR="00704EA6" w:rsidRPr="005D26A3" w:rsidRDefault="00704EA6" w:rsidP="00704EA6">
            <w:pPr>
              <w:spacing w:before="40" w:after="40"/>
              <w:ind w:left="100" w:right="100"/>
              <w:rPr>
                <w:sz w:val="18"/>
                <w:szCs w:val="18"/>
              </w:rPr>
            </w:pPr>
            <w:r w:rsidRPr="005D26A3">
              <w:rPr>
                <w:rFonts w:eastAsia="Calibri (Body)" w:cs="Calibri (Body)"/>
                <w:color w:val="000000"/>
                <w:sz w:val="18"/>
                <w:szCs w:val="18"/>
              </w:rPr>
              <w:t>Patient no longer with the practice</w:t>
            </w:r>
          </w:p>
        </w:tc>
        <w:tc>
          <w:tcPr>
            <w:tcW w:w="1276" w:type="dxa"/>
            <w:shd w:val="clear" w:color="auto" w:fill="FFFFFF"/>
            <w:tcMar>
              <w:top w:w="0" w:type="dxa"/>
              <w:left w:w="0" w:type="dxa"/>
              <w:bottom w:w="0" w:type="dxa"/>
              <w:right w:w="0" w:type="dxa"/>
            </w:tcMar>
            <w:hideMark/>
          </w:tcPr>
          <w:p w14:paraId="01AB98FA" w14:textId="08301DEC"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69 (3.4%)</w:t>
            </w:r>
          </w:p>
        </w:tc>
        <w:tc>
          <w:tcPr>
            <w:tcW w:w="1559" w:type="dxa"/>
            <w:shd w:val="clear" w:color="auto" w:fill="FFFFFF"/>
            <w:tcMar>
              <w:top w:w="0" w:type="dxa"/>
              <w:left w:w="0" w:type="dxa"/>
              <w:bottom w:w="0" w:type="dxa"/>
              <w:right w:w="0" w:type="dxa"/>
            </w:tcMar>
            <w:hideMark/>
          </w:tcPr>
          <w:p w14:paraId="2F186957" w14:textId="32862F35"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257 (4.6%)</w:t>
            </w:r>
          </w:p>
        </w:tc>
        <w:tc>
          <w:tcPr>
            <w:tcW w:w="1486" w:type="dxa"/>
            <w:shd w:val="clear" w:color="auto" w:fill="FFFFFF"/>
            <w:tcMar>
              <w:top w:w="0" w:type="dxa"/>
              <w:left w:w="0" w:type="dxa"/>
              <w:bottom w:w="0" w:type="dxa"/>
              <w:right w:w="0" w:type="dxa"/>
            </w:tcMar>
            <w:hideMark/>
          </w:tcPr>
          <w:p w14:paraId="568E0320" w14:textId="521C2F6E"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225 (6.0%)</w:t>
            </w:r>
          </w:p>
        </w:tc>
        <w:tc>
          <w:tcPr>
            <w:tcW w:w="1685" w:type="dxa"/>
            <w:shd w:val="clear" w:color="auto" w:fill="FFFFFF"/>
          </w:tcPr>
          <w:p w14:paraId="211ACF46" w14:textId="25F22168"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551 (4.9%)</w:t>
            </w:r>
          </w:p>
        </w:tc>
      </w:tr>
      <w:tr w:rsidR="00704EA6" w:rsidRPr="00A56062" w14:paraId="64F03B6D" w14:textId="77777777" w:rsidTr="0033514E">
        <w:trPr>
          <w:cantSplit/>
          <w:jc w:val="center"/>
        </w:trPr>
        <w:tc>
          <w:tcPr>
            <w:tcW w:w="3219" w:type="dxa"/>
            <w:shd w:val="clear" w:color="auto" w:fill="FFFFFF"/>
            <w:tcMar>
              <w:top w:w="0" w:type="dxa"/>
              <w:left w:w="0" w:type="dxa"/>
              <w:bottom w:w="0" w:type="dxa"/>
              <w:right w:w="0" w:type="dxa"/>
            </w:tcMar>
            <w:vAlign w:val="center"/>
            <w:hideMark/>
          </w:tcPr>
          <w:p w14:paraId="20540285" w14:textId="77777777" w:rsidR="00704EA6" w:rsidRPr="005D26A3" w:rsidRDefault="00704EA6" w:rsidP="00704EA6">
            <w:pPr>
              <w:spacing w:before="40" w:after="40"/>
              <w:ind w:left="100" w:right="100"/>
              <w:rPr>
                <w:sz w:val="18"/>
                <w:szCs w:val="18"/>
              </w:rPr>
            </w:pPr>
            <w:r w:rsidRPr="005D26A3">
              <w:rPr>
                <w:rFonts w:eastAsia="Calibri (Body)" w:cs="Calibri (Body)"/>
                <w:color w:val="000000"/>
                <w:sz w:val="18"/>
                <w:szCs w:val="18"/>
              </w:rPr>
              <w:t>Practice withdrawn from HCH</w:t>
            </w:r>
          </w:p>
        </w:tc>
        <w:tc>
          <w:tcPr>
            <w:tcW w:w="1276" w:type="dxa"/>
            <w:shd w:val="clear" w:color="auto" w:fill="FFFFFF"/>
            <w:tcMar>
              <w:top w:w="0" w:type="dxa"/>
              <w:left w:w="0" w:type="dxa"/>
              <w:bottom w:w="0" w:type="dxa"/>
              <w:right w:w="0" w:type="dxa"/>
            </w:tcMar>
            <w:hideMark/>
          </w:tcPr>
          <w:p w14:paraId="51F17E1C" w14:textId="1D51648B"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262 (13.0%)</w:t>
            </w:r>
          </w:p>
        </w:tc>
        <w:tc>
          <w:tcPr>
            <w:tcW w:w="1559" w:type="dxa"/>
            <w:shd w:val="clear" w:color="auto" w:fill="FFFFFF"/>
            <w:tcMar>
              <w:top w:w="0" w:type="dxa"/>
              <w:left w:w="0" w:type="dxa"/>
              <w:bottom w:w="0" w:type="dxa"/>
              <w:right w:w="0" w:type="dxa"/>
            </w:tcMar>
            <w:hideMark/>
          </w:tcPr>
          <w:p w14:paraId="387FD130" w14:textId="2C58C0C3"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668 (12.0%)</w:t>
            </w:r>
          </w:p>
        </w:tc>
        <w:tc>
          <w:tcPr>
            <w:tcW w:w="1486" w:type="dxa"/>
            <w:shd w:val="clear" w:color="auto" w:fill="FFFFFF"/>
            <w:tcMar>
              <w:top w:w="0" w:type="dxa"/>
              <w:left w:w="0" w:type="dxa"/>
              <w:bottom w:w="0" w:type="dxa"/>
              <w:right w:w="0" w:type="dxa"/>
            </w:tcMar>
            <w:hideMark/>
          </w:tcPr>
          <w:p w14:paraId="1A88F030" w14:textId="4E763B4C"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361 (9.6%)</w:t>
            </w:r>
          </w:p>
        </w:tc>
        <w:tc>
          <w:tcPr>
            <w:tcW w:w="1685" w:type="dxa"/>
            <w:shd w:val="clear" w:color="auto" w:fill="FFFFFF"/>
          </w:tcPr>
          <w:p w14:paraId="12731B6F" w14:textId="56E38FDD" w:rsidR="00704EA6" w:rsidRPr="00704EA6" w:rsidRDefault="00704EA6" w:rsidP="006A1D3C">
            <w:pPr>
              <w:spacing w:before="40" w:after="40"/>
              <w:ind w:left="100" w:right="100"/>
              <w:jc w:val="center"/>
              <w:rPr>
                <w:rFonts w:eastAsia="Calibri (Body)" w:cs="Calibri (Body)"/>
                <w:color w:val="000000"/>
                <w:sz w:val="18"/>
                <w:szCs w:val="18"/>
              </w:rPr>
            </w:pPr>
            <w:r w:rsidRPr="00704EA6">
              <w:rPr>
                <w:rFonts w:eastAsia="Calibri (Body)" w:cs="Calibri (Body)"/>
                <w:color w:val="000000"/>
                <w:sz w:val="18"/>
                <w:szCs w:val="18"/>
              </w:rPr>
              <w:t>1,291 (11.4%)</w:t>
            </w:r>
          </w:p>
        </w:tc>
      </w:tr>
      <w:tr w:rsidR="0094732F" w:rsidRPr="00A56062" w14:paraId="43BB9901" w14:textId="77777777" w:rsidTr="0033514E">
        <w:trPr>
          <w:cantSplit/>
          <w:jc w:val="center"/>
        </w:trPr>
        <w:tc>
          <w:tcPr>
            <w:tcW w:w="3219" w:type="dxa"/>
            <w:shd w:val="clear" w:color="auto" w:fill="FFFFFF"/>
            <w:tcMar>
              <w:top w:w="0" w:type="dxa"/>
              <w:left w:w="0" w:type="dxa"/>
              <w:bottom w:w="0" w:type="dxa"/>
              <w:right w:w="0" w:type="dxa"/>
            </w:tcMar>
            <w:vAlign w:val="center"/>
            <w:hideMark/>
          </w:tcPr>
          <w:p w14:paraId="6F24B716" w14:textId="77777777" w:rsidR="0094732F" w:rsidRPr="005D26A3" w:rsidRDefault="0094732F" w:rsidP="0094732F">
            <w:pPr>
              <w:spacing w:before="40" w:after="40"/>
              <w:ind w:left="100" w:right="100"/>
              <w:rPr>
                <w:sz w:val="18"/>
                <w:szCs w:val="18"/>
              </w:rPr>
            </w:pPr>
            <w:r w:rsidRPr="005D26A3">
              <w:rPr>
                <w:rFonts w:eastAsia="Calibri (Body)" w:cs="Calibri (Body)"/>
                <w:color w:val="000000"/>
                <w:sz w:val="18"/>
                <w:szCs w:val="18"/>
              </w:rPr>
              <w:t>Other</w:t>
            </w:r>
          </w:p>
        </w:tc>
        <w:tc>
          <w:tcPr>
            <w:tcW w:w="1276" w:type="dxa"/>
            <w:shd w:val="clear" w:color="auto" w:fill="FFFFFF"/>
            <w:tcMar>
              <w:top w:w="0" w:type="dxa"/>
              <w:left w:w="0" w:type="dxa"/>
              <w:bottom w:w="0" w:type="dxa"/>
              <w:right w:w="0" w:type="dxa"/>
            </w:tcMar>
            <w:hideMark/>
          </w:tcPr>
          <w:p w14:paraId="6E90B5CF" w14:textId="5B05F998" w:rsidR="0094732F" w:rsidRPr="00704EA6" w:rsidRDefault="0094732F" w:rsidP="0094732F">
            <w:pPr>
              <w:spacing w:before="40" w:after="40"/>
              <w:ind w:left="100" w:right="100"/>
              <w:jc w:val="center"/>
              <w:rPr>
                <w:rFonts w:eastAsia="Calibri (Body)" w:cs="Calibri (Body)"/>
                <w:color w:val="000000"/>
                <w:sz w:val="18"/>
                <w:szCs w:val="18"/>
              </w:rPr>
            </w:pPr>
            <w:r w:rsidRPr="0094732F">
              <w:rPr>
                <w:rFonts w:eastAsia="Calibri (Body)" w:cs="Calibri (Body)"/>
                <w:color w:val="000000"/>
                <w:sz w:val="18"/>
                <w:szCs w:val="18"/>
              </w:rPr>
              <w:t>1 (0.0%)</w:t>
            </w:r>
          </w:p>
        </w:tc>
        <w:tc>
          <w:tcPr>
            <w:tcW w:w="1559" w:type="dxa"/>
            <w:shd w:val="clear" w:color="auto" w:fill="FFFFFF"/>
            <w:tcMar>
              <w:top w:w="0" w:type="dxa"/>
              <w:left w:w="0" w:type="dxa"/>
              <w:bottom w:w="0" w:type="dxa"/>
              <w:right w:w="0" w:type="dxa"/>
            </w:tcMar>
            <w:hideMark/>
          </w:tcPr>
          <w:p w14:paraId="409BB8EA" w14:textId="6C20A471" w:rsidR="0094732F" w:rsidRPr="00704EA6" w:rsidRDefault="0094732F" w:rsidP="0094732F">
            <w:pPr>
              <w:spacing w:before="40" w:after="40"/>
              <w:ind w:left="100" w:right="100"/>
              <w:jc w:val="center"/>
              <w:rPr>
                <w:rFonts w:eastAsia="Calibri (Body)" w:cs="Calibri (Body)"/>
                <w:color w:val="000000"/>
                <w:sz w:val="18"/>
                <w:szCs w:val="18"/>
              </w:rPr>
            </w:pPr>
            <w:r w:rsidRPr="0094732F">
              <w:rPr>
                <w:rFonts w:eastAsia="Calibri (Body)" w:cs="Calibri (Body)"/>
                <w:color w:val="000000"/>
                <w:sz w:val="18"/>
                <w:szCs w:val="18"/>
              </w:rPr>
              <w:t>8 (0.1%)</w:t>
            </w:r>
          </w:p>
        </w:tc>
        <w:tc>
          <w:tcPr>
            <w:tcW w:w="1486" w:type="dxa"/>
            <w:shd w:val="clear" w:color="auto" w:fill="FFFFFF"/>
            <w:tcMar>
              <w:top w:w="0" w:type="dxa"/>
              <w:left w:w="0" w:type="dxa"/>
              <w:bottom w:w="0" w:type="dxa"/>
              <w:right w:w="0" w:type="dxa"/>
            </w:tcMar>
            <w:hideMark/>
          </w:tcPr>
          <w:p w14:paraId="3111C672" w14:textId="3E7EC4E2" w:rsidR="0094732F" w:rsidRPr="00704EA6" w:rsidRDefault="0094732F" w:rsidP="0094732F">
            <w:pPr>
              <w:spacing w:before="40" w:after="40"/>
              <w:ind w:left="100" w:right="100"/>
              <w:jc w:val="center"/>
              <w:rPr>
                <w:rFonts w:eastAsia="Calibri (Body)" w:cs="Calibri (Body)"/>
                <w:color w:val="000000"/>
                <w:sz w:val="18"/>
                <w:szCs w:val="18"/>
              </w:rPr>
            </w:pPr>
            <w:r w:rsidRPr="0094732F">
              <w:rPr>
                <w:rFonts w:eastAsia="Calibri (Body)" w:cs="Calibri (Body)"/>
                <w:color w:val="000000"/>
                <w:sz w:val="18"/>
                <w:szCs w:val="18"/>
              </w:rPr>
              <w:t>2 (0.1%)</w:t>
            </w:r>
          </w:p>
        </w:tc>
        <w:tc>
          <w:tcPr>
            <w:tcW w:w="1685" w:type="dxa"/>
            <w:shd w:val="clear" w:color="auto" w:fill="FFFFFF"/>
          </w:tcPr>
          <w:p w14:paraId="11F6CA4D" w14:textId="4BCF0DE8" w:rsidR="0094732F" w:rsidRPr="00704EA6" w:rsidRDefault="0094732F" w:rsidP="0094732F">
            <w:pPr>
              <w:spacing w:before="40" w:after="40"/>
              <w:ind w:left="100" w:right="100"/>
              <w:jc w:val="center"/>
              <w:rPr>
                <w:rFonts w:eastAsia="Calibri (Body)" w:cs="Calibri (Body)"/>
                <w:color w:val="000000"/>
                <w:sz w:val="18"/>
                <w:szCs w:val="18"/>
              </w:rPr>
            </w:pPr>
            <w:r w:rsidRPr="0094732F">
              <w:rPr>
                <w:rFonts w:eastAsia="Calibri (Body)" w:cs="Calibri (Body)"/>
                <w:color w:val="000000"/>
                <w:sz w:val="18"/>
                <w:szCs w:val="18"/>
              </w:rPr>
              <w:t>11 (0.1%)</w:t>
            </w:r>
          </w:p>
        </w:tc>
      </w:tr>
      <w:tr w:rsidR="0068481B" w:rsidRPr="00A56062" w14:paraId="5C7C5D10" w14:textId="77777777" w:rsidTr="0033514E">
        <w:trPr>
          <w:cantSplit/>
          <w:jc w:val="center"/>
        </w:trPr>
        <w:tc>
          <w:tcPr>
            <w:tcW w:w="3219" w:type="dxa"/>
            <w:shd w:val="clear" w:color="auto" w:fill="FFFFFF"/>
            <w:tcMar>
              <w:top w:w="0" w:type="dxa"/>
              <w:left w:w="0" w:type="dxa"/>
              <w:bottom w:w="0" w:type="dxa"/>
              <w:right w:w="0" w:type="dxa"/>
            </w:tcMar>
            <w:vAlign w:val="center"/>
          </w:tcPr>
          <w:p w14:paraId="0EE99B93" w14:textId="77777777" w:rsidR="0068481B" w:rsidRPr="005D26A3" w:rsidRDefault="0068481B" w:rsidP="00ED7396">
            <w:pPr>
              <w:spacing w:before="40" w:after="40"/>
              <w:ind w:left="100" w:right="100"/>
              <w:rPr>
                <w:rFonts w:eastAsia="Calibri (Body)" w:cs="Calibri (Body)"/>
                <w:b/>
                <w:bCs/>
                <w:color w:val="000000"/>
                <w:sz w:val="18"/>
                <w:szCs w:val="18"/>
              </w:rPr>
            </w:pPr>
            <w:r w:rsidRPr="005D26A3">
              <w:rPr>
                <w:rFonts w:eastAsia="Calibri (Body)" w:cs="Calibri (Body)"/>
                <w:b/>
                <w:bCs/>
                <w:color w:val="000000"/>
                <w:sz w:val="18"/>
                <w:szCs w:val="18"/>
              </w:rPr>
              <w:t>Total</w:t>
            </w:r>
          </w:p>
        </w:tc>
        <w:tc>
          <w:tcPr>
            <w:tcW w:w="1276" w:type="dxa"/>
            <w:shd w:val="clear" w:color="auto" w:fill="FFFFFF"/>
            <w:tcMar>
              <w:top w:w="0" w:type="dxa"/>
              <w:left w:w="0" w:type="dxa"/>
              <w:bottom w:w="0" w:type="dxa"/>
              <w:right w:w="0" w:type="dxa"/>
            </w:tcMar>
          </w:tcPr>
          <w:p w14:paraId="33021292" w14:textId="221DCD81" w:rsidR="0068481B" w:rsidRPr="0033514E" w:rsidRDefault="00A11E26" w:rsidP="006A1D3C">
            <w:pPr>
              <w:spacing w:before="40" w:after="40"/>
              <w:ind w:left="100" w:right="100"/>
              <w:jc w:val="center"/>
              <w:rPr>
                <w:rFonts w:eastAsia="Calibri (Body)" w:cs="Calibri (Body)"/>
                <w:b/>
                <w:color w:val="000000"/>
                <w:sz w:val="18"/>
                <w:szCs w:val="18"/>
              </w:rPr>
            </w:pPr>
            <w:r w:rsidRPr="0033514E">
              <w:rPr>
                <w:rFonts w:eastAsia="Calibri (Body)" w:cs="Calibri (Body)"/>
                <w:b/>
                <w:color w:val="000000"/>
                <w:sz w:val="18"/>
                <w:szCs w:val="18"/>
              </w:rPr>
              <w:t>585</w:t>
            </w:r>
            <w:r w:rsidR="0068481B" w:rsidRPr="0033514E">
              <w:rPr>
                <w:rFonts w:eastAsia="Calibri (Body)" w:cs="Calibri (Body)"/>
                <w:b/>
                <w:color w:val="000000"/>
                <w:sz w:val="18"/>
                <w:szCs w:val="18"/>
              </w:rPr>
              <w:t xml:space="preserve"> (</w:t>
            </w:r>
            <w:r w:rsidR="00212B55" w:rsidRPr="0033514E">
              <w:rPr>
                <w:rFonts w:eastAsia="Calibri (Body)" w:cs="Calibri (Body)"/>
                <w:b/>
                <w:color w:val="000000"/>
                <w:sz w:val="18"/>
                <w:szCs w:val="18"/>
              </w:rPr>
              <w:t>29.1</w:t>
            </w:r>
            <w:r w:rsidR="0068481B" w:rsidRPr="0033514E">
              <w:rPr>
                <w:rFonts w:eastAsia="Calibri (Body)" w:cs="Calibri (Body)"/>
                <w:b/>
                <w:color w:val="000000"/>
                <w:sz w:val="18"/>
                <w:szCs w:val="18"/>
              </w:rPr>
              <w:t>%)</w:t>
            </w:r>
          </w:p>
        </w:tc>
        <w:tc>
          <w:tcPr>
            <w:tcW w:w="1559" w:type="dxa"/>
            <w:shd w:val="clear" w:color="auto" w:fill="FFFFFF"/>
            <w:tcMar>
              <w:top w:w="0" w:type="dxa"/>
              <w:left w:w="0" w:type="dxa"/>
              <w:bottom w:w="0" w:type="dxa"/>
              <w:right w:w="0" w:type="dxa"/>
            </w:tcMar>
          </w:tcPr>
          <w:p w14:paraId="718F3F68" w14:textId="5288B0F6" w:rsidR="0068481B" w:rsidRPr="0033514E" w:rsidRDefault="005566CC" w:rsidP="006A1D3C">
            <w:pPr>
              <w:spacing w:before="40" w:after="40"/>
              <w:ind w:left="100" w:right="100"/>
              <w:jc w:val="center"/>
              <w:rPr>
                <w:rFonts w:eastAsia="Calibri (Body)" w:cs="Calibri (Body)"/>
                <w:b/>
                <w:color w:val="000000"/>
                <w:sz w:val="18"/>
                <w:szCs w:val="18"/>
              </w:rPr>
            </w:pPr>
            <w:r w:rsidRPr="0033514E">
              <w:rPr>
                <w:rFonts w:eastAsia="Calibri (Body)" w:cs="Calibri (Body)"/>
                <w:b/>
                <w:color w:val="000000"/>
                <w:sz w:val="18"/>
                <w:szCs w:val="18"/>
              </w:rPr>
              <w:t>1,665</w:t>
            </w:r>
            <w:r w:rsidR="0068481B" w:rsidRPr="0033514E">
              <w:rPr>
                <w:rFonts w:eastAsia="Calibri (Body)" w:cs="Calibri (Body)"/>
                <w:b/>
                <w:color w:val="000000"/>
                <w:sz w:val="18"/>
                <w:szCs w:val="18"/>
              </w:rPr>
              <w:t xml:space="preserve"> (</w:t>
            </w:r>
            <w:r w:rsidR="00212B55" w:rsidRPr="0033514E">
              <w:rPr>
                <w:rFonts w:eastAsia="Calibri (Body)" w:cs="Calibri (Body)"/>
                <w:b/>
                <w:color w:val="000000"/>
                <w:sz w:val="18"/>
                <w:szCs w:val="18"/>
              </w:rPr>
              <w:t>29.9</w:t>
            </w:r>
            <w:r w:rsidR="0068481B" w:rsidRPr="0033514E">
              <w:rPr>
                <w:rFonts w:eastAsia="Calibri (Body)" w:cs="Calibri (Body)"/>
                <w:b/>
                <w:color w:val="000000"/>
                <w:sz w:val="18"/>
                <w:szCs w:val="18"/>
              </w:rPr>
              <w:t>%)</w:t>
            </w:r>
          </w:p>
        </w:tc>
        <w:tc>
          <w:tcPr>
            <w:tcW w:w="1486" w:type="dxa"/>
            <w:shd w:val="clear" w:color="auto" w:fill="FFFFFF"/>
            <w:tcMar>
              <w:top w:w="0" w:type="dxa"/>
              <w:left w:w="0" w:type="dxa"/>
              <w:bottom w:w="0" w:type="dxa"/>
              <w:right w:w="0" w:type="dxa"/>
            </w:tcMar>
          </w:tcPr>
          <w:p w14:paraId="1F8066DA" w14:textId="349DF561" w:rsidR="0068481B" w:rsidRPr="0033514E" w:rsidRDefault="005566CC" w:rsidP="006A1D3C">
            <w:pPr>
              <w:spacing w:before="40" w:after="40"/>
              <w:ind w:left="100" w:right="100"/>
              <w:jc w:val="center"/>
              <w:rPr>
                <w:rFonts w:eastAsia="Calibri (Body)" w:cs="Calibri (Body)"/>
                <w:b/>
                <w:color w:val="000000"/>
                <w:sz w:val="18"/>
                <w:szCs w:val="18"/>
              </w:rPr>
            </w:pPr>
            <w:r w:rsidRPr="0033514E">
              <w:rPr>
                <w:rFonts w:eastAsia="Calibri (Body)" w:cs="Calibri (Body)"/>
                <w:b/>
                <w:color w:val="000000"/>
                <w:sz w:val="18"/>
                <w:szCs w:val="18"/>
              </w:rPr>
              <w:t>1,340</w:t>
            </w:r>
            <w:r w:rsidR="0068481B" w:rsidRPr="0033514E">
              <w:rPr>
                <w:rFonts w:eastAsia="Calibri (Body)" w:cs="Calibri (Body)"/>
                <w:b/>
                <w:color w:val="000000"/>
                <w:sz w:val="18"/>
                <w:szCs w:val="18"/>
              </w:rPr>
              <w:t xml:space="preserve"> (</w:t>
            </w:r>
            <w:r w:rsidR="00212B55" w:rsidRPr="0033514E">
              <w:rPr>
                <w:rFonts w:eastAsia="Calibri (Body)" w:cs="Calibri (Body)"/>
                <w:b/>
                <w:color w:val="000000"/>
                <w:sz w:val="18"/>
                <w:szCs w:val="18"/>
              </w:rPr>
              <w:t>35.8</w:t>
            </w:r>
            <w:r w:rsidR="0068481B" w:rsidRPr="0033514E">
              <w:rPr>
                <w:rFonts w:eastAsia="Calibri (Body)" w:cs="Calibri (Body)"/>
                <w:b/>
                <w:color w:val="000000"/>
                <w:sz w:val="18"/>
                <w:szCs w:val="18"/>
              </w:rPr>
              <w:t>%)</w:t>
            </w:r>
          </w:p>
        </w:tc>
        <w:tc>
          <w:tcPr>
            <w:tcW w:w="1685" w:type="dxa"/>
            <w:shd w:val="clear" w:color="auto" w:fill="FFFFFF"/>
          </w:tcPr>
          <w:p w14:paraId="1BF68C98" w14:textId="13B6E000" w:rsidR="0068481B" w:rsidRPr="0033514E" w:rsidRDefault="00FE2908" w:rsidP="006A1D3C">
            <w:pPr>
              <w:spacing w:before="40" w:after="40"/>
              <w:ind w:left="100" w:right="100"/>
              <w:jc w:val="center"/>
              <w:rPr>
                <w:rFonts w:eastAsia="Calibri (Body)" w:cs="Calibri (Body)"/>
                <w:b/>
                <w:color w:val="000000"/>
                <w:sz w:val="18"/>
                <w:szCs w:val="18"/>
              </w:rPr>
            </w:pPr>
            <w:r w:rsidRPr="0033514E">
              <w:rPr>
                <w:rFonts w:eastAsia="Calibri (Body)" w:cs="Calibri (Body)"/>
                <w:b/>
                <w:color w:val="000000"/>
                <w:sz w:val="18"/>
                <w:szCs w:val="18"/>
              </w:rPr>
              <w:t>3,590</w:t>
            </w:r>
            <w:r w:rsidR="0068481B" w:rsidRPr="0033514E">
              <w:rPr>
                <w:rFonts w:eastAsia="Calibri (Body)" w:cs="Calibri (Body)"/>
                <w:b/>
                <w:color w:val="000000"/>
                <w:sz w:val="18"/>
                <w:szCs w:val="18"/>
              </w:rPr>
              <w:t xml:space="preserve"> (</w:t>
            </w:r>
            <w:r w:rsidR="001A144F" w:rsidRPr="0033514E">
              <w:rPr>
                <w:rFonts w:eastAsia="Calibri (Body)" w:cs="Calibri (Body)"/>
                <w:b/>
                <w:color w:val="000000"/>
                <w:sz w:val="18"/>
                <w:szCs w:val="18"/>
              </w:rPr>
              <w:t>31.7</w:t>
            </w:r>
            <w:r w:rsidR="0068481B" w:rsidRPr="0033514E">
              <w:rPr>
                <w:rFonts w:eastAsia="Calibri (Body)" w:cs="Calibri (Body)"/>
                <w:b/>
                <w:color w:val="000000"/>
                <w:sz w:val="18"/>
                <w:szCs w:val="18"/>
              </w:rPr>
              <w:t>%)</w:t>
            </w:r>
          </w:p>
        </w:tc>
      </w:tr>
    </w:tbl>
    <w:p w14:paraId="2A0B1158" w14:textId="75499392" w:rsidR="0068481B" w:rsidRPr="005C549C" w:rsidRDefault="0068481B" w:rsidP="0068481B">
      <w:pPr>
        <w:pStyle w:val="Chartortablefootnote"/>
      </w:pPr>
      <w:r w:rsidRPr="000819FA">
        <w:t xml:space="preserve">Source: </w:t>
      </w:r>
      <w:r>
        <w:t>HPOS to 30 June 202</w:t>
      </w:r>
      <w:r w:rsidR="00132229">
        <w:t>1</w:t>
      </w:r>
      <w:r w:rsidRPr="000819FA">
        <w:t>.</w:t>
      </w:r>
      <w:bookmarkEnd w:id="62"/>
    </w:p>
    <w:p w14:paraId="05A53158" w14:textId="2E433A21" w:rsidR="0068481B" w:rsidRDefault="0068481B" w:rsidP="0068481B">
      <w:pPr>
        <w:rPr>
          <w:szCs w:val="20"/>
        </w:rPr>
      </w:pPr>
      <w:r w:rsidRPr="003D2810">
        <w:rPr>
          <w:rStyle w:val="Strong1"/>
          <w:rFonts w:eastAsiaTheme="minorEastAsia"/>
          <w:b w:val="0"/>
          <w:color w:val="1D2455"/>
          <w:sz w:val="20"/>
          <w:szCs w:val="16"/>
          <w:lang w:eastAsia="en-AU"/>
        </w:rPr>
        <w:fldChar w:fldCharType="begin"/>
      </w:r>
      <w:r w:rsidRPr="003D2810">
        <w:rPr>
          <w:b/>
          <w:szCs w:val="20"/>
        </w:rPr>
        <w:instrText xml:space="preserve"> REF _Ref49784491 \h  \* MERGEFORMAT </w:instrText>
      </w:r>
      <w:r w:rsidRPr="003D2810">
        <w:rPr>
          <w:rStyle w:val="Strong1"/>
          <w:rFonts w:eastAsiaTheme="minorEastAsia"/>
          <w:b w:val="0"/>
          <w:color w:val="1D2455"/>
          <w:sz w:val="20"/>
          <w:szCs w:val="16"/>
          <w:lang w:eastAsia="en-AU"/>
        </w:rPr>
      </w:r>
      <w:r w:rsidRPr="003D2810">
        <w:rPr>
          <w:rStyle w:val="Strong1"/>
          <w:rFonts w:eastAsiaTheme="minorEastAsia"/>
          <w:b w:val="0"/>
          <w:color w:val="1D2455"/>
          <w:sz w:val="20"/>
          <w:szCs w:val="16"/>
          <w:lang w:eastAsia="en-AU"/>
        </w:rPr>
        <w:fldChar w:fldCharType="separate"/>
      </w:r>
      <w:r w:rsidR="003C4BC2" w:rsidRPr="003C4BC2">
        <w:rPr>
          <w:rStyle w:val="Strong1"/>
          <w:rFonts w:eastAsiaTheme="minorEastAsia"/>
          <w:b w:val="0"/>
          <w:color w:val="1D2455"/>
          <w:sz w:val="20"/>
          <w:szCs w:val="16"/>
          <w:lang w:eastAsia="en-AU"/>
        </w:rPr>
        <w:t>Table 8</w:t>
      </w:r>
      <w:r w:rsidRPr="003D2810">
        <w:rPr>
          <w:rStyle w:val="Strong1"/>
          <w:rFonts w:eastAsiaTheme="minorEastAsia"/>
          <w:b w:val="0"/>
          <w:color w:val="1D2455"/>
          <w:sz w:val="20"/>
          <w:szCs w:val="16"/>
          <w:lang w:eastAsia="en-AU"/>
        </w:rPr>
        <w:fldChar w:fldCharType="end"/>
      </w:r>
      <w:r w:rsidRPr="009B6E30">
        <w:rPr>
          <w:szCs w:val="20"/>
        </w:rPr>
        <w:t xml:space="preserve"> shows that patients allocated to </w:t>
      </w:r>
      <w:r>
        <w:rPr>
          <w:szCs w:val="20"/>
        </w:rPr>
        <w:t>tier</w:t>
      </w:r>
      <w:r w:rsidRPr="009B6E30">
        <w:rPr>
          <w:szCs w:val="20"/>
        </w:rPr>
        <w:t xml:space="preserve"> 3 at enrolment were</w:t>
      </w:r>
      <w:r w:rsidR="005A782E">
        <w:rPr>
          <w:szCs w:val="20"/>
        </w:rPr>
        <w:t xml:space="preserve"> more than</w:t>
      </w:r>
      <w:r w:rsidR="00377A83">
        <w:rPr>
          <w:szCs w:val="20"/>
        </w:rPr>
        <w:t xml:space="preserve"> </w:t>
      </w:r>
      <w:r w:rsidR="00EC3714">
        <w:rPr>
          <w:szCs w:val="20"/>
        </w:rPr>
        <w:t>four</w:t>
      </w:r>
      <w:r w:rsidRPr="009B6E30">
        <w:rPr>
          <w:szCs w:val="20"/>
        </w:rPr>
        <w:t xml:space="preserve"> time</w:t>
      </w:r>
      <w:r w:rsidR="000513C2">
        <w:rPr>
          <w:szCs w:val="20"/>
        </w:rPr>
        <w:t>s</w:t>
      </w:r>
      <w:r w:rsidR="00516670">
        <w:rPr>
          <w:szCs w:val="20"/>
        </w:rPr>
        <w:t xml:space="preserve"> as</w:t>
      </w:r>
      <w:r w:rsidR="000513C2">
        <w:rPr>
          <w:szCs w:val="20"/>
        </w:rPr>
        <w:t xml:space="preserve"> </w:t>
      </w:r>
      <w:r w:rsidRPr="009B6E30">
        <w:rPr>
          <w:szCs w:val="20"/>
        </w:rPr>
        <w:t xml:space="preserve">likely to die than patients in </w:t>
      </w:r>
      <w:r>
        <w:rPr>
          <w:szCs w:val="20"/>
        </w:rPr>
        <w:t>tier</w:t>
      </w:r>
      <w:r w:rsidRPr="009B6E30">
        <w:rPr>
          <w:szCs w:val="20"/>
        </w:rPr>
        <w:t xml:space="preserve"> 1 (</w:t>
      </w:r>
      <w:r w:rsidR="006E5239">
        <w:rPr>
          <w:szCs w:val="20"/>
        </w:rPr>
        <w:t>8.3</w:t>
      </w:r>
      <w:r w:rsidRPr="009B6E30">
        <w:rPr>
          <w:szCs w:val="20"/>
        </w:rPr>
        <w:t>% vs</w:t>
      </w:r>
      <w:r>
        <w:rPr>
          <w:szCs w:val="20"/>
        </w:rPr>
        <w:t>.</w:t>
      </w:r>
      <w:r w:rsidRPr="009B6E30">
        <w:rPr>
          <w:szCs w:val="20"/>
        </w:rPr>
        <w:t xml:space="preserve"> </w:t>
      </w:r>
      <w:r w:rsidR="00770FF5">
        <w:rPr>
          <w:szCs w:val="20"/>
        </w:rPr>
        <w:t>1.8</w:t>
      </w:r>
      <w:r w:rsidRPr="009B6E30">
        <w:rPr>
          <w:szCs w:val="20"/>
        </w:rPr>
        <w:t>% of patients enrolled</w:t>
      </w:r>
      <w:r w:rsidR="00377A83">
        <w:rPr>
          <w:szCs w:val="20"/>
        </w:rPr>
        <w:t xml:space="preserve"> in th</w:t>
      </w:r>
      <w:r w:rsidR="000C4ABB">
        <w:rPr>
          <w:szCs w:val="20"/>
        </w:rPr>
        <w:t>e</w:t>
      </w:r>
      <w:r w:rsidR="00377A83">
        <w:rPr>
          <w:szCs w:val="20"/>
        </w:rPr>
        <w:t xml:space="preserve"> tier</w:t>
      </w:r>
      <w:r w:rsidRPr="009B6E30">
        <w:rPr>
          <w:szCs w:val="20"/>
        </w:rPr>
        <w:t>)</w:t>
      </w:r>
      <w:r>
        <w:rPr>
          <w:szCs w:val="20"/>
        </w:rPr>
        <w:t>,</w:t>
      </w:r>
      <w:r w:rsidRPr="009B6E30">
        <w:rPr>
          <w:szCs w:val="20"/>
        </w:rPr>
        <w:t xml:space="preserve"> and </w:t>
      </w:r>
      <w:r w:rsidR="00C30688">
        <w:rPr>
          <w:szCs w:val="20"/>
        </w:rPr>
        <w:t>1.6</w:t>
      </w:r>
      <w:r w:rsidR="0051633C">
        <w:rPr>
          <w:szCs w:val="20"/>
        </w:rPr>
        <w:t xml:space="preserve"> times</w:t>
      </w:r>
      <w:r w:rsidRPr="009B6E30">
        <w:rPr>
          <w:szCs w:val="20"/>
        </w:rPr>
        <w:t xml:space="preserve"> as likely to die as patients in </w:t>
      </w:r>
      <w:r>
        <w:rPr>
          <w:szCs w:val="20"/>
        </w:rPr>
        <w:t>tier</w:t>
      </w:r>
      <w:r w:rsidRPr="009B6E30">
        <w:rPr>
          <w:szCs w:val="20"/>
        </w:rPr>
        <w:t xml:space="preserve"> 2 (</w:t>
      </w:r>
      <w:r w:rsidR="002A781C">
        <w:rPr>
          <w:szCs w:val="20"/>
        </w:rPr>
        <w:t>3.0</w:t>
      </w:r>
      <w:r w:rsidRPr="009B6E30">
        <w:rPr>
          <w:szCs w:val="20"/>
        </w:rPr>
        <w:t>% vs</w:t>
      </w:r>
      <w:r>
        <w:rPr>
          <w:szCs w:val="20"/>
        </w:rPr>
        <w:t>.</w:t>
      </w:r>
      <w:r w:rsidRPr="009B6E30">
        <w:rPr>
          <w:szCs w:val="20"/>
        </w:rPr>
        <w:t xml:space="preserve"> </w:t>
      </w:r>
      <w:r w:rsidR="002A781C">
        <w:rPr>
          <w:szCs w:val="20"/>
        </w:rPr>
        <w:t>1.8</w:t>
      </w:r>
      <w:r w:rsidRPr="009B6E30">
        <w:rPr>
          <w:szCs w:val="20"/>
        </w:rPr>
        <w:t xml:space="preserve">%). </w:t>
      </w:r>
      <w:r>
        <w:rPr>
          <w:szCs w:val="20"/>
        </w:rPr>
        <w:t xml:space="preserve">Unadjusted and adjusted hazard </w:t>
      </w:r>
      <w:r>
        <w:rPr>
          <w:szCs w:val="20"/>
        </w:rPr>
        <w:lastRenderedPageBreak/>
        <w:t xml:space="preserve">ratios (for risk of dying) from a survival analysis technique that adjusts for both different lengths of follow-up time and clustering of patients within practices are presented in </w:t>
      </w:r>
      <w:r w:rsidRPr="003D2810">
        <w:rPr>
          <w:rStyle w:val="Strong1"/>
          <w:rFonts w:eastAsiaTheme="minorEastAsia"/>
          <w:b w:val="0"/>
          <w:color w:val="1D2455"/>
          <w:sz w:val="20"/>
          <w:szCs w:val="16"/>
          <w:lang w:eastAsia="en-AU"/>
        </w:rPr>
        <w:fldChar w:fldCharType="begin"/>
      </w:r>
      <w:r w:rsidRPr="003D2810">
        <w:rPr>
          <w:rStyle w:val="Strong1"/>
          <w:rFonts w:eastAsiaTheme="minorEastAsia"/>
          <w:b w:val="0"/>
          <w:color w:val="1D2455"/>
          <w:sz w:val="20"/>
          <w:szCs w:val="16"/>
          <w:lang w:eastAsia="en-AU"/>
        </w:rPr>
        <w:instrText xml:space="preserve"> REF _Ref50459911 \h  \* MERGEFORMAT </w:instrText>
      </w:r>
      <w:r w:rsidRPr="003D2810">
        <w:rPr>
          <w:rStyle w:val="Strong1"/>
          <w:rFonts w:eastAsiaTheme="minorEastAsia"/>
          <w:b w:val="0"/>
          <w:color w:val="1D2455"/>
          <w:sz w:val="20"/>
          <w:szCs w:val="16"/>
          <w:lang w:eastAsia="en-AU"/>
        </w:rPr>
      </w:r>
      <w:r w:rsidRPr="003D2810">
        <w:rPr>
          <w:rStyle w:val="Strong1"/>
          <w:rFonts w:eastAsiaTheme="minorEastAsia"/>
          <w:b w:val="0"/>
          <w:color w:val="1D2455"/>
          <w:sz w:val="20"/>
          <w:szCs w:val="16"/>
          <w:lang w:eastAsia="en-AU"/>
        </w:rPr>
        <w:fldChar w:fldCharType="separate"/>
      </w:r>
      <w:r w:rsidR="003C4BC2" w:rsidRPr="003C4BC2">
        <w:rPr>
          <w:rStyle w:val="Strong1"/>
          <w:rFonts w:eastAsiaTheme="minorEastAsia"/>
          <w:b w:val="0"/>
          <w:color w:val="1D2455"/>
          <w:sz w:val="20"/>
          <w:szCs w:val="16"/>
          <w:lang w:eastAsia="en-AU"/>
        </w:rPr>
        <w:t>Table 9</w:t>
      </w:r>
      <w:r w:rsidRPr="003D2810">
        <w:rPr>
          <w:rStyle w:val="Strong1"/>
          <w:rFonts w:eastAsiaTheme="minorEastAsia"/>
          <w:b w:val="0"/>
          <w:color w:val="1D2455"/>
          <w:sz w:val="20"/>
          <w:szCs w:val="16"/>
          <w:lang w:eastAsia="en-AU"/>
        </w:rPr>
        <w:fldChar w:fldCharType="end"/>
      </w:r>
      <w:r w:rsidRPr="000570F8">
        <w:rPr>
          <w:szCs w:val="20"/>
        </w:rPr>
        <w:t>.</w:t>
      </w:r>
      <w:r>
        <w:rPr>
          <w:szCs w:val="20"/>
        </w:rPr>
        <w:t xml:space="preserve"> The hazard ratios suggest that older patients, males and patients allocated to a </w:t>
      </w:r>
      <w:r w:rsidR="00BA01F9">
        <w:rPr>
          <w:szCs w:val="20"/>
        </w:rPr>
        <w:t>more complex tier</w:t>
      </w:r>
      <w:r>
        <w:rPr>
          <w:szCs w:val="20"/>
        </w:rPr>
        <w:t xml:space="preserve"> at baseline were more likely to die during the follow-up period.</w:t>
      </w:r>
    </w:p>
    <w:p w14:paraId="2D629E50" w14:textId="1573D1BD" w:rsidR="0068481B" w:rsidRPr="004B251C" w:rsidRDefault="0068481B" w:rsidP="00CE0213">
      <w:pPr>
        <w:pStyle w:val="TableFigureheading"/>
        <w:rPr>
          <w:rStyle w:val="Strong1"/>
          <w:b w:val="0"/>
          <w:color w:val="1D2455"/>
          <w:sz w:val="20"/>
          <w:szCs w:val="16"/>
        </w:rPr>
      </w:pPr>
      <w:bookmarkStart w:id="65" w:name="_Ref50390416"/>
      <w:bookmarkStart w:id="66" w:name="_Ref50390518"/>
      <w:bookmarkStart w:id="67" w:name="_Ref50459911"/>
      <w:bookmarkEnd w:id="63"/>
      <w:r w:rsidRPr="004B251C">
        <w:rPr>
          <w:rStyle w:val="Strong1"/>
          <w:b w:val="0"/>
          <w:color w:val="1D2455"/>
          <w:sz w:val="20"/>
          <w:szCs w:val="16"/>
        </w:rPr>
        <w:t>Table</w:t>
      </w:r>
      <w:bookmarkEnd w:id="65"/>
      <w:r w:rsidRPr="004B251C">
        <w:rPr>
          <w:rStyle w:val="Strong1"/>
          <w:b w:val="0"/>
          <w:color w:val="1D2455"/>
          <w:sz w:val="20"/>
          <w:szCs w:val="16"/>
        </w:rPr>
        <w:t xml:space="preserve"> </w:t>
      </w:r>
      <w:r w:rsidRPr="004B251C">
        <w:rPr>
          <w:rStyle w:val="Strong1"/>
          <w:b w:val="0"/>
          <w:color w:val="1D2455"/>
          <w:sz w:val="20"/>
          <w:szCs w:val="16"/>
        </w:rPr>
        <w:fldChar w:fldCharType="begin"/>
      </w:r>
      <w:r w:rsidRPr="004B251C">
        <w:rPr>
          <w:rStyle w:val="Strong1"/>
          <w:b w:val="0"/>
          <w:color w:val="1D2455"/>
          <w:sz w:val="20"/>
          <w:szCs w:val="16"/>
        </w:rPr>
        <w:instrText>SEQ Table \* ARABIC</w:instrText>
      </w:r>
      <w:r w:rsidRPr="004B251C">
        <w:rPr>
          <w:rStyle w:val="Strong1"/>
          <w:b w:val="0"/>
          <w:color w:val="1D2455"/>
          <w:sz w:val="20"/>
          <w:szCs w:val="16"/>
        </w:rPr>
        <w:fldChar w:fldCharType="separate"/>
      </w:r>
      <w:r w:rsidR="003C4BC2">
        <w:rPr>
          <w:rStyle w:val="Strong1"/>
          <w:b w:val="0"/>
          <w:noProof/>
          <w:color w:val="1D2455"/>
          <w:sz w:val="20"/>
          <w:szCs w:val="16"/>
        </w:rPr>
        <w:t>9</w:t>
      </w:r>
      <w:r w:rsidRPr="004B251C">
        <w:rPr>
          <w:rStyle w:val="Strong1"/>
          <w:b w:val="0"/>
          <w:color w:val="1D2455"/>
          <w:sz w:val="20"/>
          <w:szCs w:val="16"/>
        </w:rPr>
        <w:fldChar w:fldCharType="end"/>
      </w:r>
      <w:bookmarkEnd w:id="66"/>
      <w:bookmarkEnd w:id="67"/>
      <w:r w:rsidR="004B251C">
        <w:rPr>
          <w:rStyle w:val="Strong1"/>
          <w:b w:val="0"/>
          <w:bCs w:val="0"/>
          <w:color w:val="1D2455"/>
          <w:sz w:val="20"/>
          <w:szCs w:val="16"/>
        </w:rPr>
        <w:t>:</w:t>
      </w:r>
      <w:r w:rsidRPr="004B251C">
        <w:rPr>
          <w:rStyle w:val="Strong1"/>
          <w:b w:val="0"/>
          <w:color w:val="1D2455"/>
          <w:sz w:val="20"/>
          <w:szCs w:val="16"/>
        </w:rPr>
        <w:t xml:space="preserve"> Risk of death by level of baseline characteristics</w:t>
      </w:r>
    </w:p>
    <w:tbl>
      <w:tblPr>
        <w:tblW w:w="4612" w:type="pct"/>
        <w:jc w:val="center"/>
        <w:tblLayout w:type="fixed"/>
        <w:tblLook w:val="0420" w:firstRow="1" w:lastRow="0" w:firstColumn="0" w:lastColumn="0" w:noHBand="0" w:noVBand="1"/>
      </w:tblPr>
      <w:tblGrid>
        <w:gridCol w:w="1073"/>
        <w:gridCol w:w="1130"/>
        <w:gridCol w:w="2119"/>
        <w:gridCol w:w="989"/>
        <w:gridCol w:w="1978"/>
        <w:gridCol w:w="1027"/>
      </w:tblGrid>
      <w:tr w:rsidR="0068481B" w:rsidRPr="00170FBA" w14:paraId="4A238700" w14:textId="77777777" w:rsidTr="00881988">
        <w:trPr>
          <w:cantSplit/>
          <w:tblHeader/>
          <w:jc w:val="center"/>
        </w:trPr>
        <w:tc>
          <w:tcPr>
            <w:tcW w:w="1077" w:type="dxa"/>
            <w:vMerge w:val="restart"/>
            <w:tcBorders>
              <w:top w:val="single" w:sz="4" w:space="0" w:color="408BCA"/>
              <w:left w:val="single" w:sz="4" w:space="0" w:color="408BCA"/>
              <w:bottom w:val="single" w:sz="4" w:space="0" w:color="BFBFBF" w:themeColor="background1" w:themeShade="BF"/>
              <w:right w:val="single" w:sz="4" w:space="0" w:color="BFBFBF" w:themeColor="background1" w:themeShade="BF"/>
            </w:tcBorders>
            <w:shd w:val="clear" w:color="auto" w:fill="408BCA"/>
            <w:tcMar>
              <w:top w:w="0" w:type="dxa"/>
              <w:left w:w="0" w:type="dxa"/>
              <w:bottom w:w="0" w:type="dxa"/>
              <w:right w:w="0" w:type="dxa"/>
            </w:tcMar>
            <w:vAlign w:val="center"/>
            <w:hideMark/>
          </w:tcPr>
          <w:p w14:paraId="3B603662" w14:textId="77777777" w:rsidR="0068481B" w:rsidRPr="00170FBA" w:rsidRDefault="0068481B" w:rsidP="00ED7396">
            <w:pPr>
              <w:spacing w:after="0"/>
              <w:jc w:val="center"/>
              <w:rPr>
                <w:sz w:val="18"/>
                <w:szCs w:val="18"/>
              </w:rPr>
            </w:pPr>
            <w:r w:rsidRPr="00170FBA">
              <w:rPr>
                <w:rFonts w:eastAsia="Century Gothic" w:cs="Century Gothic"/>
                <w:b/>
                <w:color w:val="FFFFFF"/>
                <w:sz w:val="18"/>
                <w:szCs w:val="18"/>
              </w:rPr>
              <w:t>Variable</w:t>
            </w:r>
          </w:p>
        </w:tc>
        <w:tc>
          <w:tcPr>
            <w:tcW w:w="1134" w:type="dxa"/>
            <w:vMerge w:val="restart"/>
            <w:tcBorders>
              <w:top w:val="single" w:sz="4" w:space="0" w:color="408BCA"/>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408BCA"/>
            <w:tcMar>
              <w:top w:w="0" w:type="dxa"/>
              <w:left w:w="0" w:type="dxa"/>
              <w:bottom w:w="0" w:type="dxa"/>
              <w:right w:w="0" w:type="dxa"/>
            </w:tcMar>
            <w:vAlign w:val="center"/>
            <w:hideMark/>
          </w:tcPr>
          <w:p w14:paraId="751326D7" w14:textId="77777777" w:rsidR="0068481B" w:rsidRPr="00170FBA" w:rsidRDefault="0068481B" w:rsidP="00ED7396">
            <w:pPr>
              <w:spacing w:after="0"/>
              <w:jc w:val="center"/>
              <w:rPr>
                <w:sz w:val="18"/>
                <w:szCs w:val="18"/>
              </w:rPr>
            </w:pPr>
            <w:r>
              <w:rPr>
                <w:rFonts w:eastAsia="Century Gothic" w:cs="Century Gothic"/>
                <w:b/>
                <w:color w:val="FFFFFF"/>
                <w:sz w:val="18"/>
                <w:szCs w:val="18"/>
              </w:rPr>
              <w:t>L</w:t>
            </w:r>
            <w:r w:rsidRPr="00170FBA">
              <w:rPr>
                <w:rFonts w:eastAsia="Century Gothic" w:cs="Century Gothic"/>
                <w:b/>
                <w:color w:val="FFFFFF"/>
                <w:sz w:val="18"/>
                <w:szCs w:val="18"/>
              </w:rPr>
              <w:t>evel</w:t>
            </w:r>
          </w:p>
        </w:tc>
        <w:tc>
          <w:tcPr>
            <w:tcW w:w="3118" w:type="dxa"/>
            <w:gridSpan w:val="2"/>
            <w:tcBorders>
              <w:top w:val="single" w:sz="4" w:space="0" w:color="408BCA"/>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408BCA"/>
            <w:tcMar>
              <w:top w:w="0" w:type="dxa"/>
              <w:left w:w="0" w:type="dxa"/>
              <w:bottom w:w="0" w:type="dxa"/>
              <w:right w:w="0" w:type="dxa"/>
            </w:tcMar>
            <w:vAlign w:val="center"/>
            <w:hideMark/>
          </w:tcPr>
          <w:p w14:paraId="7AC5ECC1" w14:textId="77777777" w:rsidR="0068481B" w:rsidRPr="00170FBA" w:rsidRDefault="0068481B" w:rsidP="00ED7396">
            <w:pPr>
              <w:spacing w:after="0"/>
              <w:jc w:val="center"/>
              <w:rPr>
                <w:sz w:val="18"/>
                <w:szCs w:val="18"/>
              </w:rPr>
            </w:pPr>
            <w:r w:rsidRPr="00170FBA">
              <w:rPr>
                <w:rFonts w:eastAsia="Century Gothic" w:cs="Century Gothic"/>
                <w:b/>
                <w:color w:val="FFFFFF"/>
                <w:sz w:val="18"/>
                <w:szCs w:val="18"/>
              </w:rPr>
              <w:t>Unadjusted</w:t>
            </w:r>
            <w:r>
              <w:rPr>
                <w:rFonts w:eastAsia="Century Gothic" w:cs="Century Gothic"/>
                <w:b/>
                <w:color w:val="FFFFFF"/>
                <w:sz w:val="18"/>
                <w:szCs w:val="18"/>
              </w:rPr>
              <w:t xml:space="preserve"> hazard ratios</w:t>
            </w:r>
          </w:p>
        </w:tc>
        <w:tc>
          <w:tcPr>
            <w:tcW w:w="3015" w:type="dxa"/>
            <w:gridSpan w:val="2"/>
            <w:tcBorders>
              <w:top w:val="single" w:sz="4" w:space="0" w:color="408BCA"/>
              <w:left w:val="single" w:sz="4" w:space="0" w:color="BFBFBF" w:themeColor="background1" w:themeShade="BF"/>
              <w:bottom w:val="single" w:sz="4" w:space="0" w:color="BFBFBF" w:themeColor="background1" w:themeShade="BF"/>
              <w:right w:val="single" w:sz="4" w:space="0" w:color="408BCA"/>
            </w:tcBorders>
            <w:shd w:val="clear" w:color="auto" w:fill="408BCA"/>
            <w:tcMar>
              <w:top w:w="0" w:type="dxa"/>
              <w:left w:w="0" w:type="dxa"/>
              <w:bottom w:w="0" w:type="dxa"/>
              <w:right w:w="0" w:type="dxa"/>
            </w:tcMar>
            <w:vAlign w:val="center"/>
            <w:hideMark/>
          </w:tcPr>
          <w:p w14:paraId="1618A2A0" w14:textId="77777777" w:rsidR="0068481B" w:rsidRPr="00170FBA" w:rsidRDefault="0068481B" w:rsidP="00ED7396">
            <w:pPr>
              <w:spacing w:after="0"/>
              <w:jc w:val="center"/>
              <w:rPr>
                <w:sz w:val="18"/>
                <w:szCs w:val="18"/>
              </w:rPr>
            </w:pPr>
            <w:r w:rsidRPr="00170FBA">
              <w:rPr>
                <w:rFonts w:eastAsia="Century Gothic" w:cs="Century Gothic"/>
                <w:b/>
                <w:color w:val="FFFFFF"/>
                <w:sz w:val="18"/>
                <w:szCs w:val="18"/>
              </w:rPr>
              <w:t>Adjusted</w:t>
            </w:r>
            <w:r>
              <w:rPr>
                <w:rFonts w:eastAsia="Century Gothic" w:cs="Century Gothic"/>
                <w:b/>
                <w:color w:val="FFFFFF"/>
                <w:sz w:val="18"/>
                <w:szCs w:val="18"/>
              </w:rPr>
              <w:t xml:space="preserve"> hazard ratios</w:t>
            </w:r>
          </w:p>
        </w:tc>
      </w:tr>
      <w:tr w:rsidR="0068481B" w:rsidRPr="00170FBA" w14:paraId="42A947F5" w14:textId="77777777" w:rsidTr="00F60D6F">
        <w:trPr>
          <w:cantSplit/>
          <w:tblHeader/>
          <w:jc w:val="center"/>
        </w:trPr>
        <w:tc>
          <w:tcPr>
            <w:tcW w:w="1077" w:type="dxa"/>
            <w:vMerge/>
            <w:tcBorders>
              <w:top w:val="single" w:sz="4" w:space="0" w:color="BFBFBF" w:themeColor="background1" w:themeShade="BF"/>
              <w:left w:val="single" w:sz="4" w:space="0" w:color="408BCA"/>
              <w:bottom w:val="single" w:sz="4" w:space="0" w:color="408BCA"/>
              <w:right w:val="single" w:sz="4" w:space="0" w:color="BFBFBF" w:themeColor="background1" w:themeShade="BF"/>
            </w:tcBorders>
            <w:shd w:val="clear" w:color="auto" w:fill="408BCA"/>
            <w:tcMar>
              <w:top w:w="0" w:type="dxa"/>
              <w:left w:w="0" w:type="dxa"/>
              <w:bottom w:w="0" w:type="dxa"/>
              <w:right w:w="0" w:type="dxa"/>
            </w:tcMar>
            <w:vAlign w:val="center"/>
            <w:hideMark/>
          </w:tcPr>
          <w:p w14:paraId="4FFEF1A7" w14:textId="77777777" w:rsidR="0068481B" w:rsidRPr="00170FBA" w:rsidRDefault="0068481B" w:rsidP="00ED7396">
            <w:pPr>
              <w:spacing w:after="0"/>
              <w:jc w:val="center"/>
              <w:rPr>
                <w:sz w:val="18"/>
                <w:szCs w:val="18"/>
              </w:rPr>
            </w:pPr>
          </w:p>
        </w:tc>
        <w:tc>
          <w:tcPr>
            <w:tcW w:w="1134" w:type="dxa"/>
            <w:vMerge/>
            <w:tcBorders>
              <w:top w:val="single" w:sz="4" w:space="0" w:color="BFBFBF" w:themeColor="background1" w:themeShade="BF"/>
              <w:left w:val="single" w:sz="4" w:space="0" w:color="BFBFBF" w:themeColor="background1" w:themeShade="BF"/>
              <w:bottom w:val="single" w:sz="4" w:space="0" w:color="408BCA"/>
              <w:right w:val="single" w:sz="4" w:space="0" w:color="BFBFBF" w:themeColor="background1" w:themeShade="BF"/>
            </w:tcBorders>
            <w:shd w:val="clear" w:color="auto" w:fill="408BCA"/>
            <w:vAlign w:val="center"/>
            <w:hideMark/>
          </w:tcPr>
          <w:p w14:paraId="028967AB" w14:textId="77777777" w:rsidR="0068481B" w:rsidRPr="00170FBA" w:rsidRDefault="0068481B" w:rsidP="00ED7396">
            <w:pPr>
              <w:spacing w:after="0"/>
              <w:rPr>
                <w:sz w:val="18"/>
                <w:szCs w:val="18"/>
              </w:rPr>
            </w:pPr>
          </w:p>
        </w:tc>
        <w:tc>
          <w:tcPr>
            <w:tcW w:w="2126" w:type="dxa"/>
            <w:tcBorders>
              <w:top w:val="single" w:sz="4" w:space="0" w:color="BFBFBF" w:themeColor="background1" w:themeShade="BF"/>
              <w:left w:val="single" w:sz="4" w:space="0" w:color="BFBFBF" w:themeColor="background1" w:themeShade="BF"/>
              <w:bottom w:val="single" w:sz="4" w:space="0" w:color="408BCA"/>
              <w:right w:val="single" w:sz="4" w:space="0" w:color="BFBFBF" w:themeColor="background1" w:themeShade="BF"/>
            </w:tcBorders>
            <w:shd w:val="clear" w:color="auto" w:fill="408BCA"/>
            <w:tcMar>
              <w:top w:w="0" w:type="dxa"/>
              <w:left w:w="0" w:type="dxa"/>
              <w:bottom w:w="0" w:type="dxa"/>
              <w:right w:w="0" w:type="dxa"/>
            </w:tcMar>
            <w:vAlign w:val="center"/>
            <w:hideMark/>
          </w:tcPr>
          <w:p w14:paraId="6C5AAFFC" w14:textId="77777777" w:rsidR="0068481B" w:rsidRPr="00170FBA" w:rsidRDefault="0068481B" w:rsidP="00ED7396">
            <w:pPr>
              <w:spacing w:after="0"/>
              <w:jc w:val="center"/>
              <w:rPr>
                <w:sz w:val="18"/>
                <w:szCs w:val="18"/>
              </w:rPr>
            </w:pPr>
            <w:r w:rsidRPr="00170FBA">
              <w:rPr>
                <w:rFonts w:eastAsia="Century Gothic" w:cs="Century Gothic"/>
                <w:b/>
                <w:color w:val="FFFFFF"/>
                <w:sz w:val="18"/>
                <w:szCs w:val="18"/>
              </w:rPr>
              <w:t>HR (95% CI)</w:t>
            </w:r>
          </w:p>
        </w:tc>
        <w:tc>
          <w:tcPr>
            <w:tcW w:w="992" w:type="dxa"/>
            <w:tcBorders>
              <w:top w:val="single" w:sz="4" w:space="0" w:color="BFBFBF" w:themeColor="background1" w:themeShade="BF"/>
              <w:left w:val="single" w:sz="4" w:space="0" w:color="BFBFBF" w:themeColor="background1" w:themeShade="BF"/>
              <w:bottom w:val="single" w:sz="4" w:space="0" w:color="408BCA"/>
              <w:right w:val="single" w:sz="4" w:space="0" w:color="BFBFBF" w:themeColor="background1" w:themeShade="BF"/>
            </w:tcBorders>
            <w:shd w:val="clear" w:color="auto" w:fill="408BCA"/>
            <w:tcMar>
              <w:top w:w="0" w:type="dxa"/>
              <w:left w:w="0" w:type="dxa"/>
              <w:bottom w:w="0" w:type="dxa"/>
              <w:right w:w="0" w:type="dxa"/>
            </w:tcMar>
            <w:vAlign w:val="center"/>
            <w:hideMark/>
          </w:tcPr>
          <w:p w14:paraId="6E1E3E79" w14:textId="77777777" w:rsidR="0068481B" w:rsidRPr="00170FBA" w:rsidRDefault="0068481B" w:rsidP="00ED7396">
            <w:pPr>
              <w:spacing w:after="0"/>
              <w:jc w:val="center"/>
              <w:rPr>
                <w:sz w:val="18"/>
                <w:szCs w:val="18"/>
              </w:rPr>
            </w:pPr>
            <w:r w:rsidRPr="00170FBA">
              <w:rPr>
                <w:rFonts w:eastAsia="Century Gothic" w:cs="Century Gothic"/>
                <w:b/>
                <w:color w:val="FFFFFF"/>
                <w:sz w:val="18"/>
                <w:szCs w:val="18"/>
              </w:rPr>
              <w:t>p</w:t>
            </w:r>
          </w:p>
        </w:tc>
        <w:tc>
          <w:tcPr>
            <w:tcW w:w="1985" w:type="dxa"/>
            <w:tcBorders>
              <w:top w:val="single" w:sz="4" w:space="0" w:color="BFBFBF" w:themeColor="background1" w:themeShade="BF"/>
              <w:left w:val="single" w:sz="4" w:space="0" w:color="BFBFBF" w:themeColor="background1" w:themeShade="BF"/>
              <w:bottom w:val="single" w:sz="4" w:space="0" w:color="408BCA"/>
              <w:right w:val="single" w:sz="4" w:space="0" w:color="BFBFBF" w:themeColor="background1" w:themeShade="BF"/>
            </w:tcBorders>
            <w:shd w:val="clear" w:color="auto" w:fill="408BCA"/>
            <w:tcMar>
              <w:top w:w="0" w:type="dxa"/>
              <w:left w:w="0" w:type="dxa"/>
              <w:bottom w:w="0" w:type="dxa"/>
              <w:right w:w="0" w:type="dxa"/>
            </w:tcMar>
            <w:vAlign w:val="center"/>
            <w:hideMark/>
          </w:tcPr>
          <w:p w14:paraId="194F9654" w14:textId="77777777" w:rsidR="0068481B" w:rsidRPr="00170FBA" w:rsidRDefault="0068481B" w:rsidP="00ED7396">
            <w:pPr>
              <w:spacing w:after="0"/>
              <w:jc w:val="center"/>
              <w:rPr>
                <w:sz w:val="18"/>
                <w:szCs w:val="18"/>
              </w:rPr>
            </w:pPr>
            <w:r w:rsidRPr="00170FBA">
              <w:rPr>
                <w:rFonts w:eastAsia="Century Gothic" w:cs="Century Gothic"/>
                <w:b/>
                <w:color w:val="FFFFFF"/>
                <w:sz w:val="18"/>
                <w:szCs w:val="18"/>
              </w:rPr>
              <w:t>HR (95% CI)</w:t>
            </w:r>
          </w:p>
        </w:tc>
        <w:tc>
          <w:tcPr>
            <w:tcW w:w="1030" w:type="dxa"/>
            <w:tcBorders>
              <w:top w:val="single" w:sz="4" w:space="0" w:color="BFBFBF" w:themeColor="background1" w:themeShade="BF"/>
              <w:left w:val="single" w:sz="4" w:space="0" w:color="BFBFBF" w:themeColor="background1" w:themeShade="BF"/>
              <w:bottom w:val="single" w:sz="4" w:space="0" w:color="408BCA"/>
              <w:right w:val="single" w:sz="4" w:space="0" w:color="408BCA"/>
            </w:tcBorders>
            <w:shd w:val="clear" w:color="auto" w:fill="408BCA"/>
            <w:tcMar>
              <w:top w:w="0" w:type="dxa"/>
              <w:left w:w="0" w:type="dxa"/>
              <w:bottom w:w="0" w:type="dxa"/>
              <w:right w:w="0" w:type="dxa"/>
            </w:tcMar>
            <w:vAlign w:val="center"/>
            <w:hideMark/>
          </w:tcPr>
          <w:p w14:paraId="1D46DD6C" w14:textId="77777777" w:rsidR="0068481B" w:rsidRPr="00170FBA" w:rsidRDefault="0068481B" w:rsidP="00ED7396">
            <w:pPr>
              <w:spacing w:after="0"/>
              <w:jc w:val="center"/>
              <w:rPr>
                <w:sz w:val="18"/>
                <w:szCs w:val="18"/>
              </w:rPr>
            </w:pPr>
            <w:r w:rsidRPr="00170FBA">
              <w:rPr>
                <w:rFonts w:eastAsia="Century Gothic" w:cs="Century Gothic"/>
                <w:b/>
                <w:color w:val="FFFFFF"/>
                <w:sz w:val="18"/>
                <w:szCs w:val="18"/>
              </w:rPr>
              <w:t>p</w:t>
            </w:r>
          </w:p>
        </w:tc>
      </w:tr>
      <w:tr w:rsidR="0068481B" w:rsidRPr="00170FBA" w14:paraId="1EA54416" w14:textId="77777777" w:rsidTr="00F60D6F">
        <w:trPr>
          <w:cantSplit/>
          <w:jc w:val="center"/>
        </w:trPr>
        <w:tc>
          <w:tcPr>
            <w:tcW w:w="1077" w:type="dxa"/>
            <w:vMerge w:val="restart"/>
            <w:tcBorders>
              <w:top w:val="single" w:sz="4" w:space="0" w:color="408BCA"/>
              <w:left w:val="single" w:sz="4" w:space="0" w:color="408BCA"/>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733A6608" w14:textId="77777777" w:rsidR="0068481B" w:rsidRPr="00170FBA" w:rsidRDefault="0068481B" w:rsidP="00ED7396">
            <w:pPr>
              <w:spacing w:before="40" w:after="40"/>
              <w:ind w:left="100" w:right="100"/>
              <w:rPr>
                <w:rFonts w:eastAsia="Calibri (Body)" w:cs="Calibri (Body)"/>
                <w:color w:val="000000"/>
                <w:sz w:val="18"/>
                <w:szCs w:val="18"/>
              </w:rPr>
            </w:pPr>
            <w:r w:rsidRPr="00170FBA">
              <w:rPr>
                <w:rFonts w:eastAsia="Calibri (Body)" w:cs="Calibri (Body)"/>
                <w:color w:val="000000"/>
                <w:sz w:val="18"/>
                <w:szCs w:val="18"/>
              </w:rPr>
              <w:t>Tier</w:t>
            </w:r>
          </w:p>
        </w:tc>
        <w:tc>
          <w:tcPr>
            <w:tcW w:w="1134" w:type="dxa"/>
            <w:tcBorders>
              <w:top w:val="single" w:sz="4" w:space="0" w:color="408BCA"/>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22692D8E" w14:textId="68E5DA06" w:rsidR="0068481B" w:rsidRPr="00170FBA" w:rsidRDefault="0068481B" w:rsidP="00987B1D">
            <w:pPr>
              <w:spacing w:after="0"/>
              <w:jc w:val="center"/>
              <w:rPr>
                <w:rFonts w:eastAsia="Calibri (Body)" w:cs="Calibri (Body)"/>
                <w:color w:val="000000"/>
                <w:sz w:val="18"/>
                <w:szCs w:val="18"/>
              </w:rPr>
            </w:pPr>
            <w:r w:rsidRPr="00170FBA">
              <w:rPr>
                <w:rFonts w:eastAsia="Calibri (Body)" w:cs="Calibri (Body)"/>
                <w:color w:val="000000"/>
                <w:sz w:val="18"/>
                <w:szCs w:val="18"/>
              </w:rPr>
              <w:t>1</w:t>
            </w:r>
          </w:p>
        </w:tc>
        <w:tc>
          <w:tcPr>
            <w:tcW w:w="2126" w:type="dxa"/>
            <w:tcBorders>
              <w:top w:val="single" w:sz="4" w:space="0" w:color="408BCA"/>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380562C0" w14:textId="77777777" w:rsidR="0068481B" w:rsidRPr="00170FBA" w:rsidRDefault="0068481B" w:rsidP="00A928C7">
            <w:pPr>
              <w:spacing w:before="40" w:after="40"/>
              <w:ind w:left="100" w:right="100"/>
              <w:jc w:val="center"/>
              <w:rPr>
                <w:rFonts w:eastAsia="Calibri (Body)" w:cs="Calibri (Body)"/>
                <w:color w:val="000000"/>
                <w:sz w:val="18"/>
                <w:szCs w:val="18"/>
              </w:rPr>
            </w:pPr>
            <w:r w:rsidRPr="00170FBA">
              <w:rPr>
                <w:rFonts w:eastAsia="Calibri (Body)" w:cs="Calibri (Body)"/>
                <w:color w:val="000000"/>
                <w:sz w:val="18"/>
                <w:szCs w:val="18"/>
              </w:rPr>
              <w:t>Referent</w:t>
            </w:r>
          </w:p>
        </w:tc>
        <w:tc>
          <w:tcPr>
            <w:tcW w:w="992" w:type="dxa"/>
            <w:tcBorders>
              <w:top w:val="single" w:sz="4" w:space="0" w:color="408BCA"/>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41AA2223" w14:textId="77777777" w:rsidR="0068481B" w:rsidRPr="00170FBA" w:rsidRDefault="0068481B" w:rsidP="00A928C7">
            <w:pPr>
              <w:spacing w:before="40" w:after="40"/>
              <w:ind w:left="100" w:right="100"/>
              <w:jc w:val="center"/>
              <w:rPr>
                <w:rFonts w:eastAsia="Calibri (Body)" w:cs="Calibri (Body)"/>
                <w:color w:val="000000"/>
                <w:sz w:val="18"/>
                <w:szCs w:val="18"/>
              </w:rPr>
            </w:pPr>
          </w:p>
        </w:tc>
        <w:tc>
          <w:tcPr>
            <w:tcW w:w="1985" w:type="dxa"/>
            <w:tcBorders>
              <w:top w:val="single" w:sz="4" w:space="0" w:color="408BCA"/>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36EC7002" w14:textId="77777777" w:rsidR="0068481B" w:rsidRPr="00170FBA" w:rsidRDefault="0068481B" w:rsidP="00A928C7">
            <w:pPr>
              <w:spacing w:before="40" w:after="40"/>
              <w:ind w:left="100" w:right="100"/>
              <w:jc w:val="center"/>
              <w:rPr>
                <w:rFonts w:eastAsia="Calibri (Body)" w:cs="Calibri (Body)"/>
                <w:color w:val="000000"/>
                <w:sz w:val="18"/>
                <w:szCs w:val="18"/>
              </w:rPr>
            </w:pPr>
            <w:r w:rsidRPr="00170FBA">
              <w:rPr>
                <w:rFonts w:eastAsia="Calibri (Body)" w:cs="Calibri (Body)"/>
                <w:color w:val="000000"/>
                <w:sz w:val="18"/>
                <w:szCs w:val="18"/>
              </w:rPr>
              <w:t>Referent</w:t>
            </w:r>
          </w:p>
        </w:tc>
        <w:tc>
          <w:tcPr>
            <w:tcW w:w="1030" w:type="dxa"/>
            <w:tcBorders>
              <w:top w:val="single" w:sz="4" w:space="0" w:color="408BCA"/>
              <w:left w:val="single" w:sz="4" w:space="0" w:color="BFBFBF" w:themeColor="background1" w:themeShade="BF"/>
              <w:bottom w:val="single" w:sz="4" w:space="0" w:color="BFBFBF" w:themeColor="background1" w:themeShade="BF"/>
              <w:right w:val="single" w:sz="4" w:space="0" w:color="408BCA"/>
            </w:tcBorders>
            <w:shd w:val="clear" w:color="auto" w:fill="FFFFFF"/>
            <w:tcMar>
              <w:top w:w="0" w:type="dxa"/>
              <w:left w:w="0" w:type="dxa"/>
              <w:bottom w:w="0" w:type="dxa"/>
              <w:right w:w="0" w:type="dxa"/>
            </w:tcMar>
            <w:vAlign w:val="center"/>
          </w:tcPr>
          <w:p w14:paraId="2791C7A8" w14:textId="77777777" w:rsidR="0068481B" w:rsidRPr="00170FBA" w:rsidRDefault="0068481B" w:rsidP="00A928C7">
            <w:pPr>
              <w:spacing w:before="40" w:after="40"/>
              <w:ind w:left="100" w:right="100"/>
              <w:jc w:val="center"/>
              <w:rPr>
                <w:rFonts w:eastAsia="Calibri (Body)" w:cs="Calibri (Body)"/>
                <w:color w:val="000000"/>
                <w:sz w:val="18"/>
                <w:szCs w:val="18"/>
              </w:rPr>
            </w:pPr>
          </w:p>
        </w:tc>
      </w:tr>
      <w:tr w:rsidR="00635083" w:rsidRPr="00170FBA" w14:paraId="15052B98" w14:textId="77777777" w:rsidTr="00881988">
        <w:trPr>
          <w:cantSplit/>
          <w:jc w:val="center"/>
        </w:trPr>
        <w:tc>
          <w:tcPr>
            <w:tcW w:w="1077" w:type="dxa"/>
            <w:vMerge/>
            <w:tcBorders>
              <w:top w:val="single" w:sz="4" w:space="0" w:color="BFBFBF" w:themeColor="background1" w:themeShade="BF"/>
              <w:left w:val="single" w:sz="4" w:space="0" w:color="408BCA"/>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hideMark/>
          </w:tcPr>
          <w:p w14:paraId="4531C17B" w14:textId="77777777" w:rsidR="00635083" w:rsidRPr="00170FBA" w:rsidRDefault="00635083" w:rsidP="00635083">
            <w:pPr>
              <w:spacing w:before="40" w:after="40"/>
              <w:ind w:left="100" w:right="10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hideMark/>
          </w:tcPr>
          <w:p w14:paraId="20D85C15" w14:textId="77777777" w:rsidR="00635083" w:rsidRPr="00170FBA" w:rsidRDefault="00635083" w:rsidP="00635083">
            <w:pPr>
              <w:spacing w:before="40" w:after="40"/>
              <w:ind w:left="100" w:right="100"/>
              <w:jc w:val="center"/>
              <w:rPr>
                <w:sz w:val="18"/>
                <w:szCs w:val="18"/>
              </w:rPr>
            </w:pPr>
            <w:r w:rsidRPr="00170FBA">
              <w:rPr>
                <w:rFonts w:eastAsia="Calibri (Body)" w:cs="Calibri (Body)"/>
                <w:color w:val="000000"/>
                <w:sz w:val="18"/>
                <w:szCs w:val="18"/>
              </w:rPr>
              <w:t>2</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hideMark/>
          </w:tcPr>
          <w:p w14:paraId="275167A6" w14:textId="42907B96" w:rsidR="00635083" w:rsidRPr="00A928C7" w:rsidRDefault="00635083"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2.60 (1.55 to 4.35)</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hideMark/>
          </w:tcPr>
          <w:p w14:paraId="790212DC" w14:textId="259CD6F5" w:rsidR="00635083" w:rsidRPr="00A928C7" w:rsidRDefault="00635083"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&lt;0.001</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hideMark/>
          </w:tcPr>
          <w:p w14:paraId="5F9A6DAB" w14:textId="074A0C09" w:rsidR="00635083" w:rsidRPr="00A928C7" w:rsidRDefault="00635083"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2.45 (1.46 to 4.11)</w:t>
            </w:r>
          </w:p>
        </w:tc>
        <w:tc>
          <w:tcPr>
            <w:tcW w:w="10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408BCA"/>
            </w:tcBorders>
            <w:shd w:val="clear" w:color="auto" w:fill="FFFFFF"/>
            <w:tcMar>
              <w:top w:w="0" w:type="dxa"/>
              <w:left w:w="0" w:type="dxa"/>
              <w:bottom w:w="0" w:type="dxa"/>
              <w:right w:w="0" w:type="dxa"/>
            </w:tcMar>
            <w:hideMark/>
          </w:tcPr>
          <w:p w14:paraId="426E1AC1" w14:textId="23457C72" w:rsidR="00635083" w:rsidRPr="00A928C7" w:rsidRDefault="00635083"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&lt;0.001</w:t>
            </w:r>
          </w:p>
        </w:tc>
      </w:tr>
      <w:tr w:rsidR="00635083" w:rsidRPr="00170FBA" w14:paraId="510BCA6F" w14:textId="77777777" w:rsidTr="00881988">
        <w:trPr>
          <w:cantSplit/>
          <w:jc w:val="center"/>
        </w:trPr>
        <w:tc>
          <w:tcPr>
            <w:tcW w:w="1077" w:type="dxa"/>
            <w:vMerge/>
            <w:tcBorders>
              <w:top w:val="single" w:sz="4" w:space="0" w:color="BFBFBF" w:themeColor="background1" w:themeShade="BF"/>
              <w:left w:val="single" w:sz="4" w:space="0" w:color="408BCA"/>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hideMark/>
          </w:tcPr>
          <w:p w14:paraId="026612A8" w14:textId="77777777" w:rsidR="00635083" w:rsidRPr="00170FBA" w:rsidRDefault="00635083" w:rsidP="00635083">
            <w:pPr>
              <w:spacing w:before="40" w:after="40"/>
              <w:ind w:left="100" w:right="10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hideMark/>
          </w:tcPr>
          <w:p w14:paraId="20E65F7F" w14:textId="77777777" w:rsidR="00635083" w:rsidRPr="00170FBA" w:rsidRDefault="00635083" w:rsidP="00635083">
            <w:pPr>
              <w:spacing w:before="40" w:after="40"/>
              <w:ind w:left="100" w:right="100"/>
              <w:jc w:val="center"/>
              <w:rPr>
                <w:sz w:val="18"/>
                <w:szCs w:val="18"/>
              </w:rPr>
            </w:pPr>
            <w:r w:rsidRPr="00170FBA">
              <w:rPr>
                <w:rFonts w:eastAsia="Calibri (Body)" w:cs="Calibri (Body)"/>
                <w:color w:val="000000"/>
                <w:sz w:val="18"/>
                <w:szCs w:val="18"/>
              </w:rPr>
              <w:t>3</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hideMark/>
          </w:tcPr>
          <w:p w14:paraId="40EA41E9" w14:textId="66FD38B0" w:rsidR="00635083" w:rsidRPr="00A928C7" w:rsidRDefault="00635083"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8.45 (5.09 to 14.00)</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hideMark/>
          </w:tcPr>
          <w:p w14:paraId="75EF7004" w14:textId="77777777" w:rsidR="00635083" w:rsidRPr="00A928C7" w:rsidRDefault="00635083"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&lt;0.001</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hideMark/>
          </w:tcPr>
          <w:p w14:paraId="7DA94AA0" w14:textId="5F10A1C7" w:rsidR="00635083" w:rsidRPr="00A928C7" w:rsidRDefault="00635083"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7.34 (4.41 to 12.22)</w:t>
            </w:r>
          </w:p>
        </w:tc>
        <w:tc>
          <w:tcPr>
            <w:tcW w:w="10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408BCA"/>
            </w:tcBorders>
            <w:shd w:val="clear" w:color="auto" w:fill="FFFFFF"/>
            <w:tcMar>
              <w:top w:w="0" w:type="dxa"/>
              <w:left w:w="0" w:type="dxa"/>
              <w:bottom w:w="0" w:type="dxa"/>
              <w:right w:w="0" w:type="dxa"/>
            </w:tcMar>
            <w:hideMark/>
          </w:tcPr>
          <w:p w14:paraId="62A0E205" w14:textId="77777777" w:rsidR="00635083" w:rsidRPr="00A928C7" w:rsidRDefault="00635083"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&lt;0.001</w:t>
            </w:r>
          </w:p>
        </w:tc>
      </w:tr>
      <w:tr w:rsidR="0068481B" w:rsidRPr="00170FBA" w14:paraId="693A84B3" w14:textId="77777777" w:rsidTr="00881988">
        <w:trPr>
          <w:cantSplit/>
          <w:jc w:val="center"/>
        </w:trPr>
        <w:tc>
          <w:tcPr>
            <w:tcW w:w="1077" w:type="dxa"/>
            <w:vMerge w:val="restart"/>
            <w:tcBorders>
              <w:top w:val="single" w:sz="4" w:space="0" w:color="BFBFBF" w:themeColor="background1" w:themeShade="BF"/>
              <w:left w:val="single" w:sz="4" w:space="0" w:color="408BCA"/>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4C61DE63" w14:textId="77777777" w:rsidR="0068481B" w:rsidRPr="00170FBA" w:rsidRDefault="0068481B" w:rsidP="00ED7396">
            <w:pPr>
              <w:spacing w:before="40" w:after="40"/>
              <w:ind w:left="100" w:right="100"/>
              <w:rPr>
                <w:rFonts w:eastAsia="Calibri (Body)" w:cs="Calibri (Body)"/>
                <w:color w:val="000000"/>
                <w:sz w:val="18"/>
                <w:szCs w:val="18"/>
              </w:rPr>
            </w:pPr>
            <w:r w:rsidRPr="00170FBA">
              <w:rPr>
                <w:rFonts w:eastAsia="Calibri (Body)" w:cs="Calibri (Body)"/>
                <w:color w:val="000000"/>
                <w:sz w:val="18"/>
                <w:szCs w:val="18"/>
              </w:rPr>
              <w:t>Age group</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619D628A" w14:textId="77777777" w:rsidR="0068481B" w:rsidRPr="00170FBA" w:rsidRDefault="0068481B" w:rsidP="00ED7396">
            <w:pPr>
              <w:spacing w:before="40" w:after="40"/>
              <w:ind w:left="100" w:right="100"/>
              <w:rPr>
                <w:rFonts w:eastAsia="Calibri (Body)" w:cs="Calibri (Body)"/>
                <w:color w:val="000000"/>
                <w:sz w:val="18"/>
                <w:szCs w:val="18"/>
              </w:rPr>
            </w:pPr>
            <w:r w:rsidRPr="00170FBA">
              <w:rPr>
                <w:rFonts w:eastAsia="Calibri (Body)" w:cs="Calibri (Body)"/>
                <w:color w:val="000000"/>
                <w:sz w:val="18"/>
                <w:szCs w:val="18"/>
              </w:rPr>
              <w:t>45 to &lt;65</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6DDA3B85" w14:textId="77777777" w:rsidR="0068481B" w:rsidRPr="00170FBA" w:rsidRDefault="0068481B" w:rsidP="00A928C7">
            <w:pPr>
              <w:spacing w:before="40" w:after="40"/>
              <w:ind w:left="100" w:right="100"/>
              <w:jc w:val="center"/>
              <w:rPr>
                <w:rFonts w:eastAsia="Calibri (Body)" w:cs="Calibri (Body)"/>
                <w:color w:val="000000"/>
                <w:sz w:val="18"/>
                <w:szCs w:val="18"/>
              </w:rPr>
            </w:pPr>
            <w:r w:rsidRPr="00170FBA">
              <w:rPr>
                <w:rFonts w:eastAsia="Calibri (Body)" w:cs="Calibri (Body)"/>
                <w:color w:val="000000"/>
                <w:sz w:val="18"/>
                <w:szCs w:val="18"/>
              </w:rPr>
              <w:t>Referent</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682A5307" w14:textId="77777777" w:rsidR="0068481B" w:rsidRPr="00170FBA" w:rsidRDefault="0068481B" w:rsidP="00A928C7">
            <w:pPr>
              <w:spacing w:before="40" w:after="40"/>
              <w:ind w:left="100" w:right="100"/>
              <w:jc w:val="center"/>
              <w:rPr>
                <w:rFonts w:eastAsia="Calibri (Body)" w:cs="Calibri (Body)"/>
                <w:color w:val="000000"/>
                <w:sz w:val="18"/>
                <w:szCs w:val="18"/>
              </w:rPr>
            </w:pP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3AC01B2B" w14:textId="77777777" w:rsidR="0068481B" w:rsidRPr="00170FBA" w:rsidRDefault="0068481B" w:rsidP="00A928C7">
            <w:pPr>
              <w:spacing w:before="40" w:after="40"/>
              <w:ind w:left="100" w:right="100"/>
              <w:jc w:val="center"/>
              <w:rPr>
                <w:rFonts w:eastAsia="Calibri (Body)" w:cs="Calibri (Body)"/>
                <w:color w:val="000000"/>
                <w:sz w:val="18"/>
                <w:szCs w:val="18"/>
              </w:rPr>
            </w:pPr>
            <w:r w:rsidRPr="00170FBA">
              <w:rPr>
                <w:rFonts w:eastAsia="Calibri (Body)" w:cs="Calibri (Body)"/>
                <w:color w:val="000000"/>
                <w:sz w:val="18"/>
                <w:szCs w:val="18"/>
              </w:rPr>
              <w:t>Referent</w:t>
            </w:r>
          </w:p>
        </w:tc>
        <w:tc>
          <w:tcPr>
            <w:tcW w:w="10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408BCA"/>
            </w:tcBorders>
            <w:shd w:val="clear" w:color="auto" w:fill="FFFFFF"/>
            <w:tcMar>
              <w:top w:w="0" w:type="dxa"/>
              <w:left w:w="0" w:type="dxa"/>
              <w:bottom w:w="0" w:type="dxa"/>
              <w:right w:w="0" w:type="dxa"/>
            </w:tcMar>
            <w:vAlign w:val="center"/>
          </w:tcPr>
          <w:p w14:paraId="76DF2279" w14:textId="77777777" w:rsidR="0068481B" w:rsidRPr="00170FBA" w:rsidRDefault="0068481B" w:rsidP="00A928C7">
            <w:pPr>
              <w:spacing w:before="40" w:after="40"/>
              <w:ind w:left="100" w:right="100"/>
              <w:jc w:val="center"/>
              <w:rPr>
                <w:rFonts w:eastAsia="Calibri (Body)" w:cs="Calibri (Body)"/>
                <w:color w:val="000000"/>
                <w:sz w:val="18"/>
                <w:szCs w:val="18"/>
              </w:rPr>
            </w:pPr>
          </w:p>
        </w:tc>
      </w:tr>
      <w:tr w:rsidR="006E1F05" w:rsidRPr="00170FBA" w14:paraId="159FA508" w14:textId="77777777" w:rsidTr="00881988">
        <w:trPr>
          <w:cantSplit/>
          <w:jc w:val="center"/>
        </w:trPr>
        <w:tc>
          <w:tcPr>
            <w:tcW w:w="1077" w:type="dxa"/>
            <w:vMerge/>
            <w:tcBorders>
              <w:top w:val="single" w:sz="4" w:space="0" w:color="BFBFBF" w:themeColor="background1" w:themeShade="BF"/>
              <w:left w:val="single" w:sz="4" w:space="0" w:color="408BCA"/>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0501B3E7" w14:textId="77777777" w:rsidR="006E1F05" w:rsidRPr="00170FBA" w:rsidRDefault="006E1F05" w:rsidP="006E1F05">
            <w:pPr>
              <w:spacing w:before="40" w:after="40"/>
              <w:ind w:left="100" w:right="10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hideMark/>
          </w:tcPr>
          <w:p w14:paraId="2D5F5579" w14:textId="77777777" w:rsidR="006E1F05" w:rsidRPr="00170FBA" w:rsidRDefault="006E1F05" w:rsidP="006E1F05">
            <w:pPr>
              <w:spacing w:before="40" w:after="40"/>
              <w:ind w:left="100" w:right="100"/>
              <w:rPr>
                <w:sz w:val="18"/>
                <w:szCs w:val="18"/>
              </w:rPr>
            </w:pPr>
            <w:r w:rsidRPr="00170FBA">
              <w:rPr>
                <w:rFonts w:eastAsia="Calibri (Body)" w:cs="Calibri (Body)"/>
                <w:color w:val="000000"/>
                <w:sz w:val="18"/>
                <w:szCs w:val="18"/>
              </w:rPr>
              <w:t>65 to &lt;75</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hideMark/>
          </w:tcPr>
          <w:p w14:paraId="3D5ED168" w14:textId="567BBDCC" w:rsidR="006E1F05" w:rsidRPr="00A928C7" w:rsidRDefault="006E1F05"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1.22 (0.91 to 1.62)</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hideMark/>
          </w:tcPr>
          <w:p w14:paraId="79946370" w14:textId="3265DDBD" w:rsidR="006E1F05" w:rsidRPr="00A928C7" w:rsidRDefault="006E1F05"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0.177</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hideMark/>
          </w:tcPr>
          <w:p w14:paraId="4CB7A5AA" w14:textId="2F194D1A" w:rsidR="006E1F05" w:rsidRPr="00A928C7" w:rsidRDefault="006E1F05"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1.42 (1.07 to 1.89)</w:t>
            </w:r>
          </w:p>
        </w:tc>
        <w:tc>
          <w:tcPr>
            <w:tcW w:w="10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408BCA"/>
            </w:tcBorders>
            <w:shd w:val="clear" w:color="auto" w:fill="FFFFFF"/>
            <w:tcMar>
              <w:top w:w="0" w:type="dxa"/>
              <w:left w:w="0" w:type="dxa"/>
              <w:bottom w:w="0" w:type="dxa"/>
              <w:right w:w="0" w:type="dxa"/>
            </w:tcMar>
            <w:vAlign w:val="center"/>
            <w:hideMark/>
          </w:tcPr>
          <w:p w14:paraId="3C5B4CD7" w14:textId="7D2220C1" w:rsidR="006E1F05" w:rsidRPr="00A928C7" w:rsidRDefault="006E1F05"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0.015</w:t>
            </w:r>
          </w:p>
        </w:tc>
      </w:tr>
      <w:tr w:rsidR="006E1F05" w:rsidRPr="00170FBA" w14:paraId="40BA0E9C" w14:textId="77777777" w:rsidTr="00881988">
        <w:trPr>
          <w:cantSplit/>
          <w:jc w:val="center"/>
        </w:trPr>
        <w:tc>
          <w:tcPr>
            <w:tcW w:w="1077" w:type="dxa"/>
            <w:vMerge/>
            <w:tcBorders>
              <w:top w:val="single" w:sz="4" w:space="0" w:color="BFBFBF" w:themeColor="background1" w:themeShade="BF"/>
              <w:left w:val="single" w:sz="4" w:space="0" w:color="408BCA"/>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288ADDFA" w14:textId="77777777" w:rsidR="006E1F05" w:rsidRPr="00170FBA" w:rsidRDefault="006E1F05" w:rsidP="006E1F05">
            <w:pPr>
              <w:spacing w:before="40" w:after="40"/>
              <w:ind w:left="100" w:right="10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hideMark/>
          </w:tcPr>
          <w:p w14:paraId="727290E4" w14:textId="77777777" w:rsidR="006E1F05" w:rsidRPr="00170FBA" w:rsidRDefault="006E1F05" w:rsidP="006E1F05">
            <w:pPr>
              <w:spacing w:before="40" w:after="40"/>
              <w:ind w:left="100" w:right="100"/>
              <w:rPr>
                <w:sz w:val="18"/>
                <w:szCs w:val="18"/>
              </w:rPr>
            </w:pPr>
            <w:r w:rsidRPr="00170FBA">
              <w:rPr>
                <w:rFonts w:eastAsia="Calibri (Body)" w:cs="Calibri (Body)"/>
                <w:color w:val="000000"/>
                <w:sz w:val="18"/>
                <w:szCs w:val="18"/>
              </w:rPr>
              <w:t>85+</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hideMark/>
          </w:tcPr>
          <w:p w14:paraId="302D6933" w14:textId="2F4D4E2D" w:rsidR="006E1F05" w:rsidRPr="00A928C7" w:rsidRDefault="006E1F05"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6.39 (4.81 to 8.48)</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hideMark/>
          </w:tcPr>
          <w:p w14:paraId="5929926E" w14:textId="77777777" w:rsidR="006E1F05" w:rsidRPr="00A928C7" w:rsidRDefault="006E1F05"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&lt;0.001</w:t>
            </w: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hideMark/>
          </w:tcPr>
          <w:p w14:paraId="2AE37C0D" w14:textId="0372316B" w:rsidR="006E1F05" w:rsidRPr="00A928C7" w:rsidRDefault="006E1F05"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5.72 (4.32 to 7.56)</w:t>
            </w:r>
          </w:p>
        </w:tc>
        <w:tc>
          <w:tcPr>
            <w:tcW w:w="10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408BCA"/>
            </w:tcBorders>
            <w:shd w:val="clear" w:color="auto" w:fill="FFFFFF"/>
            <w:tcMar>
              <w:top w:w="0" w:type="dxa"/>
              <w:left w:w="0" w:type="dxa"/>
              <w:bottom w:w="0" w:type="dxa"/>
              <w:right w:w="0" w:type="dxa"/>
            </w:tcMar>
            <w:vAlign w:val="center"/>
            <w:hideMark/>
          </w:tcPr>
          <w:p w14:paraId="741ABC63" w14:textId="77777777" w:rsidR="006E1F05" w:rsidRPr="00A928C7" w:rsidRDefault="006E1F05"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&lt;0.001</w:t>
            </w:r>
          </w:p>
        </w:tc>
      </w:tr>
      <w:tr w:rsidR="0068481B" w:rsidRPr="00170FBA" w14:paraId="04BAC385" w14:textId="77777777" w:rsidTr="00881988">
        <w:trPr>
          <w:cantSplit/>
          <w:jc w:val="center"/>
        </w:trPr>
        <w:tc>
          <w:tcPr>
            <w:tcW w:w="1077" w:type="dxa"/>
            <w:vMerge w:val="restart"/>
            <w:tcBorders>
              <w:top w:val="single" w:sz="4" w:space="0" w:color="BFBFBF" w:themeColor="background1" w:themeShade="BF"/>
              <w:left w:val="single" w:sz="4" w:space="0" w:color="408BCA"/>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3CCF5F33" w14:textId="77777777" w:rsidR="0068481B" w:rsidRPr="00170FBA" w:rsidRDefault="0068481B" w:rsidP="00ED7396">
            <w:pPr>
              <w:spacing w:before="40" w:after="40"/>
              <w:ind w:left="100" w:right="100"/>
              <w:rPr>
                <w:rFonts w:eastAsia="Calibri (Body)" w:cs="Calibri (Body)"/>
                <w:color w:val="000000"/>
                <w:sz w:val="18"/>
                <w:szCs w:val="18"/>
              </w:rPr>
            </w:pPr>
            <w:r w:rsidRPr="00170FBA">
              <w:rPr>
                <w:rFonts w:eastAsia="Calibri (Body)" w:cs="Calibri (Body)"/>
                <w:color w:val="000000"/>
                <w:sz w:val="18"/>
                <w:szCs w:val="18"/>
              </w:rPr>
              <w:t>Gender</w:t>
            </w:r>
          </w:p>
        </w:tc>
        <w:tc>
          <w:tcPr>
            <w:tcW w:w="1134"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7A83E9E9" w14:textId="77777777" w:rsidR="0068481B" w:rsidRPr="00170FBA" w:rsidRDefault="0068481B" w:rsidP="00ED7396">
            <w:pPr>
              <w:spacing w:before="40" w:after="40"/>
              <w:ind w:left="100" w:right="100"/>
              <w:rPr>
                <w:rFonts w:eastAsia="Calibri (Body)" w:cs="Calibri (Body)"/>
                <w:color w:val="000000"/>
                <w:sz w:val="18"/>
                <w:szCs w:val="18"/>
              </w:rPr>
            </w:pPr>
            <w:r w:rsidRPr="00170FBA">
              <w:rPr>
                <w:rFonts w:eastAsia="Calibri (Body)" w:cs="Calibri (Body)"/>
                <w:color w:val="000000"/>
                <w:sz w:val="18"/>
                <w:szCs w:val="18"/>
              </w:rPr>
              <w:t>Females</w:t>
            </w:r>
          </w:p>
        </w:tc>
        <w:tc>
          <w:tcPr>
            <w:tcW w:w="212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31B18D4D" w14:textId="77777777" w:rsidR="0068481B" w:rsidRPr="00170FBA" w:rsidRDefault="0068481B" w:rsidP="00A928C7">
            <w:pPr>
              <w:spacing w:before="40" w:after="40"/>
              <w:ind w:left="100" w:right="100"/>
              <w:jc w:val="center"/>
              <w:rPr>
                <w:rFonts w:eastAsia="Calibri (Body)" w:cs="Calibri (Body)"/>
                <w:color w:val="000000"/>
                <w:sz w:val="18"/>
                <w:szCs w:val="18"/>
              </w:rPr>
            </w:pPr>
            <w:r w:rsidRPr="00170FBA">
              <w:rPr>
                <w:rFonts w:eastAsia="Calibri (Body)" w:cs="Calibri (Body)"/>
                <w:color w:val="000000"/>
                <w:sz w:val="18"/>
                <w:szCs w:val="18"/>
              </w:rPr>
              <w:t>Referent</w:t>
            </w:r>
          </w:p>
        </w:tc>
        <w:tc>
          <w:tcPr>
            <w:tcW w:w="99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03868DFB" w14:textId="77777777" w:rsidR="0068481B" w:rsidRPr="00170FBA" w:rsidRDefault="0068481B" w:rsidP="00A928C7">
            <w:pPr>
              <w:spacing w:before="40" w:after="40"/>
              <w:ind w:left="100" w:right="100"/>
              <w:jc w:val="center"/>
              <w:rPr>
                <w:rFonts w:eastAsia="Calibri (Body)" w:cs="Calibri (Body)"/>
                <w:color w:val="000000"/>
                <w:sz w:val="18"/>
                <w:szCs w:val="18"/>
              </w:rPr>
            </w:pPr>
          </w:p>
        </w:tc>
        <w:tc>
          <w:tcPr>
            <w:tcW w:w="198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FFFFF"/>
            <w:tcMar>
              <w:top w:w="0" w:type="dxa"/>
              <w:left w:w="0" w:type="dxa"/>
              <w:bottom w:w="0" w:type="dxa"/>
              <w:right w:w="0" w:type="dxa"/>
            </w:tcMar>
            <w:vAlign w:val="center"/>
          </w:tcPr>
          <w:p w14:paraId="5C0182D7" w14:textId="77777777" w:rsidR="0068481B" w:rsidRPr="00170FBA" w:rsidRDefault="0068481B" w:rsidP="00A928C7">
            <w:pPr>
              <w:spacing w:before="40" w:after="40"/>
              <w:ind w:left="100" w:right="100"/>
              <w:jc w:val="center"/>
              <w:rPr>
                <w:rFonts w:eastAsia="Calibri (Body)" w:cs="Calibri (Body)"/>
                <w:color w:val="000000"/>
                <w:sz w:val="18"/>
                <w:szCs w:val="18"/>
              </w:rPr>
            </w:pPr>
            <w:r w:rsidRPr="00170FBA">
              <w:rPr>
                <w:rFonts w:eastAsia="Calibri (Body)" w:cs="Calibri (Body)"/>
                <w:color w:val="000000"/>
                <w:sz w:val="18"/>
                <w:szCs w:val="18"/>
              </w:rPr>
              <w:t>Referent</w:t>
            </w:r>
          </w:p>
        </w:tc>
        <w:tc>
          <w:tcPr>
            <w:tcW w:w="103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408BCA"/>
            </w:tcBorders>
            <w:shd w:val="clear" w:color="auto" w:fill="FFFFFF"/>
            <w:tcMar>
              <w:top w:w="0" w:type="dxa"/>
              <w:left w:w="0" w:type="dxa"/>
              <w:bottom w:w="0" w:type="dxa"/>
              <w:right w:w="0" w:type="dxa"/>
            </w:tcMar>
            <w:vAlign w:val="center"/>
          </w:tcPr>
          <w:p w14:paraId="410555D6" w14:textId="77777777" w:rsidR="0068481B" w:rsidRPr="00170FBA" w:rsidRDefault="0068481B" w:rsidP="00A928C7">
            <w:pPr>
              <w:spacing w:before="40" w:after="40"/>
              <w:ind w:left="100" w:right="100"/>
              <w:jc w:val="center"/>
              <w:rPr>
                <w:rFonts w:eastAsia="Calibri (Body)" w:cs="Calibri (Body)"/>
                <w:color w:val="000000"/>
                <w:sz w:val="18"/>
                <w:szCs w:val="18"/>
              </w:rPr>
            </w:pPr>
          </w:p>
        </w:tc>
      </w:tr>
      <w:tr w:rsidR="0068481B" w:rsidRPr="00170FBA" w14:paraId="0F7C34F0" w14:textId="77777777" w:rsidTr="00881988">
        <w:trPr>
          <w:cantSplit/>
          <w:jc w:val="center"/>
        </w:trPr>
        <w:tc>
          <w:tcPr>
            <w:tcW w:w="1077" w:type="dxa"/>
            <w:vMerge/>
            <w:tcBorders>
              <w:top w:val="single" w:sz="4" w:space="0" w:color="BFBFBF" w:themeColor="background1" w:themeShade="BF"/>
              <w:left w:val="single" w:sz="4" w:space="0" w:color="408BCA"/>
              <w:bottom w:val="single" w:sz="4" w:space="0" w:color="408BCA"/>
              <w:right w:val="single" w:sz="4" w:space="0" w:color="BFBFBF" w:themeColor="background1" w:themeShade="BF"/>
            </w:tcBorders>
            <w:shd w:val="clear" w:color="auto" w:fill="FFFFFF"/>
            <w:tcMar>
              <w:top w:w="0" w:type="dxa"/>
              <w:left w:w="0" w:type="dxa"/>
              <w:bottom w:w="0" w:type="dxa"/>
              <w:right w:w="0" w:type="dxa"/>
            </w:tcMar>
            <w:vAlign w:val="center"/>
            <w:hideMark/>
          </w:tcPr>
          <w:p w14:paraId="0BEB7174" w14:textId="77777777" w:rsidR="0068481B" w:rsidRPr="00170FBA" w:rsidRDefault="0068481B" w:rsidP="00ED7396">
            <w:pPr>
              <w:spacing w:before="40" w:after="40"/>
              <w:ind w:left="100" w:right="100"/>
              <w:rPr>
                <w:sz w:val="18"/>
                <w:szCs w:val="18"/>
              </w:rPr>
            </w:pPr>
          </w:p>
        </w:tc>
        <w:tc>
          <w:tcPr>
            <w:tcW w:w="1134" w:type="dxa"/>
            <w:tcBorders>
              <w:top w:val="single" w:sz="4" w:space="0" w:color="BFBFBF" w:themeColor="background1" w:themeShade="BF"/>
              <w:left w:val="single" w:sz="4" w:space="0" w:color="BFBFBF" w:themeColor="background1" w:themeShade="BF"/>
              <w:bottom w:val="single" w:sz="4" w:space="0" w:color="408BCA"/>
              <w:right w:val="single" w:sz="4" w:space="0" w:color="BFBFBF" w:themeColor="background1" w:themeShade="BF"/>
            </w:tcBorders>
            <w:shd w:val="clear" w:color="auto" w:fill="FFFFFF"/>
            <w:tcMar>
              <w:top w:w="0" w:type="dxa"/>
              <w:left w:w="0" w:type="dxa"/>
              <w:bottom w:w="0" w:type="dxa"/>
              <w:right w:w="0" w:type="dxa"/>
            </w:tcMar>
            <w:vAlign w:val="center"/>
            <w:hideMark/>
          </w:tcPr>
          <w:p w14:paraId="626C2217" w14:textId="77777777" w:rsidR="0068481B" w:rsidRPr="00170FBA" w:rsidRDefault="0068481B" w:rsidP="00ED7396">
            <w:pPr>
              <w:spacing w:before="40" w:after="40"/>
              <w:ind w:left="100" w:right="100"/>
              <w:rPr>
                <w:sz w:val="18"/>
                <w:szCs w:val="18"/>
              </w:rPr>
            </w:pPr>
            <w:r w:rsidRPr="00170FBA">
              <w:rPr>
                <w:rFonts w:eastAsia="Calibri (Body)" w:cs="Calibri (Body)"/>
                <w:color w:val="000000"/>
                <w:sz w:val="18"/>
                <w:szCs w:val="18"/>
              </w:rPr>
              <w:t>Males</w:t>
            </w:r>
          </w:p>
        </w:tc>
        <w:tc>
          <w:tcPr>
            <w:tcW w:w="2126" w:type="dxa"/>
            <w:tcBorders>
              <w:top w:val="single" w:sz="4" w:space="0" w:color="BFBFBF" w:themeColor="background1" w:themeShade="BF"/>
              <w:left w:val="single" w:sz="4" w:space="0" w:color="BFBFBF" w:themeColor="background1" w:themeShade="BF"/>
              <w:bottom w:val="single" w:sz="4" w:space="0" w:color="408BCA"/>
              <w:right w:val="single" w:sz="4" w:space="0" w:color="BFBFBF" w:themeColor="background1" w:themeShade="BF"/>
            </w:tcBorders>
            <w:shd w:val="clear" w:color="auto" w:fill="FFFFFF"/>
            <w:tcMar>
              <w:top w:w="0" w:type="dxa"/>
              <w:left w:w="0" w:type="dxa"/>
              <w:bottom w:w="0" w:type="dxa"/>
              <w:right w:w="0" w:type="dxa"/>
            </w:tcMar>
            <w:hideMark/>
          </w:tcPr>
          <w:p w14:paraId="6964B9F9" w14:textId="4A2947E3" w:rsidR="0068481B" w:rsidRPr="00A928C7" w:rsidRDefault="00731D2A"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1.30 (1.04 to 1.62)</w:t>
            </w:r>
          </w:p>
        </w:tc>
        <w:tc>
          <w:tcPr>
            <w:tcW w:w="992" w:type="dxa"/>
            <w:tcBorders>
              <w:top w:val="single" w:sz="4" w:space="0" w:color="BFBFBF" w:themeColor="background1" w:themeShade="BF"/>
              <w:left w:val="single" w:sz="4" w:space="0" w:color="BFBFBF" w:themeColor="background1" w:themeShade="BF"/>
              <w:bottom w:val="single" w:sz="4" w:space="0" w:color="408BCA"/>
              <w:right w:val="single" w:sz="4" w:space="0" w:color="BFBFBF" w:themeColor="background1" w:themeShade="BF"/>
            </w:tcBorders>
            <w:shd w:val="clear" w:color="auto" w:fill="FFFFFF"/>
            <w:tcMar>
              <w:top w:w="0" w:type="dxa"/>
              <w:left w:w="0" w:type="dxa"/>
              <w:bottom w:w="0" w:type="dxa"/>
              <w:right w:w="0" w:type="dxa"/>
            </w:tcMar>
            <w:hideMark/>
          </w:tcPr>
          <w:p w14:paraId="583F7BB1" w14:textId="6A93D68A" w:rsidR="0068481B" w:rsidRPr="00A928C7" w:rsidRDefault="0068481B"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0.0</w:t>
            </w:r>
            <w:r w:rsidR="00E21B5B" w:rsidRPr="00A928C7">
              <w:rPr>
                <w:rFonts w:eastAsia="Calibri (Body)" w:cs="Calibri (Body)"/>
                <w:color w:val="000000"/>
                <w:sz w:val="18"/>
                <w:szCs w:val="18"/>
              </w:rPr>
              <w:t>19</w:t>
            </w:r>
          </w:p>
        </w:tc>
        <w:tc>
          <w:tcPr>
            <w:tcW w:w="1985" w:type="dxa"/>
            <w:tcBorders>
              <w:top w:val="single" w:sz="4" w:space="0" w:color="BFBFBF" w:themeColor="background1" w:themeShade="BF"/>
              <w:left w:val="single" w:sz="4" w:space="0" w:color="BFBFBF" w:themeColor="background1" w:themeShade="BF"/>
              <w:bottom w:val="single" w:sz="4" w:space="0" w:color="408BCA"/>
              <w:right w:val="single" w:sz="4" w:space="0" w:color="BFBFBF" w:themeColor="background1" w:themeShade="BF"/>
            </w:tcBorders>
            <w:shd w:val="clear" w:color="auto" w:fill="FFFFFF"/>
            <w:tcMar>
              <w:top w:w="0" w:type="dxa"/>
              <w:left w:w="0" w:type="dxa"/>
              <w:bottom w:w="0" w:type="dxa"/>
              <w:right w:w="0" w:type="dxa"/>
            </w:tcMar>
            <w:hideMark/>
          </w:tcPr>
          <w:p w14:paraId="16792745" w14:textId="04C93CF2" w:rsidR="0068481B" w:rsidRPr="00A928C7" w:rsidRDefault="00A928C7"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1.41 (1.13 to 1.76)</w:t>
            </w:r>
          </w:p>
        </w:tc>
        <w:tc>
          <w:tcPr>
            <w:tcW w:w="1030" w:type="dxa"/>
            <w:tcBorders>
              <w:top w:val="single" w:sz="4" w:space="0" w:color="BFBFBF" w:themeColor="background1" w:themeShade="BF"/>
              <w:left w:val="single" w:sz="4" w:space="0" w:color="BFBFBF" w:themeColor="background1" w:themeShade="BF"/>
              <w:bottom w:val="single" w:sz="4" w:space="0" w:color="408BCA"/>
              <w:right w:val="single" w:sz="4" w:space="0" w:color="408BCA"/>
            </w:tcBorders>
            <w:shd w:val="clear" w:color="auto" w:fill="FFFFFF"/>
            <w:tcMar>
              <w:top w:w="0" w:type="dxa"/>
              <w:left w:w="0" w:type="dxa"/>
              <w:bottom w:w="0" w:type="dxa"/>
              <w:right w:w="0" w:type="dxa"/>
            </w:tcMar>
            <w:hideMark/>
          </w:tcPr>
          <w:p w14:paraId="40E4401B" w14:textId="637EEAAD" w:rsidR="0068481B" w:rsidRPr="00A928C7" w:rsidRDefault="0068481B" w:rsidP="00A928C7">
            <w:pPr>
              <w:spacing w:before="40" w:after="40"/>
              <w:ind w:left="100" w:right="100"/>
              <w:jc w:val="center"/>
              <w:rPr>
                <w:rFonts w:eastAsia="Calibri (Body)" w:cs="Calibri (Body)"/>
                <w:color w:val="000000"/>
                <w:sz w:val="18"/>
                <w:szCs w:val="18"/>
              </w:rPr>
            </w:pPr>
            <w:r w:rsidRPr="00A928C7">
              <w:rPr>
                <w:rFonts w:eastAsia="Calibri (Body)" w:cs="Calibri (Body)"/>
                <w:color w:val="000000"/>
                <w:sz w:val="18"/>
                <w:szCs w:val="18"/>
              </w:rPr>
              <w:t>0.0</w:t>
            </w:r>
            <w:r w:rsidR="00E21B5B" w:rsidRPr="00A928C7">
              <w:rPr>
                <w:rFonts w:eastAsia="Calibri (Body)" w:cs="Calibri (Body)"/>
                <w:color w:val="000000"/>
                <w:sz w:val="18"/>
                <w:szCs w:val="18"/>
              </w:rPr>
              <w:t>02</w:t>
            </w:r>
          </w:p>
        </w:tc>
      </w:tr>
    </w:tbl>
    <w:p w14:paraId="2B078898" w14:textId="722442DE" w:rsidR="0068481B" w:rsidRPr="00EA46A6" w:rsidRDefault="0068481B" w:rsidP="0068481B">
      <w:pPr>
        <w:pStyle w:val="Chartortablefootnote"/>
      </w:pPr>
      <w:r w:rsidRPr="00EA46A6">
        <w:t>Source: HPOS data 30 June 202</w:t>
      </w:r>
      <w:r w:rsidR="00A928C7">
        <w:t>1</w:t>
      </w:r>
      <w:r w:rsidRPr="00EA46A6">
        <w:t>.</w:t>
      </w:r>
    </w:p>
    <w:p w14:paraId="0A0B98CC" w14:textId="77777777" w:rsidR="0068481B" w:rsidRDefault="0068481B" w:rsidP="00E76EF4">
      <w:pPr>
        <w:spacing w:after="0"/>
        <w:rPr>
          <w:rFonts w:eastAsia="Muli" w:cs="Muli"/>
          <w:color w:val="000000" w:themeColor="text1"/>
          <w:szCs w:val="20"/>
        </w:rPr>
      </w:pPr>
    </w:p>
    <w:p w14:paraId="4596C6C5" w14:textId="6AE2200F" w:rsidR="008E10EF" w:rsidRDefault="008E10EF" w:rsidP="00DC3629">
      <w:pPr>
        <w:sectPr w:rsidR="008E10EF">
          <w:pgSz w:w="11906" w:h="16838"/>
          <w:pgMar w:top="1440" w:right="1440" w:bottom="1440" w:left="1440" w:header="708" w:footer="708" w:gutter="0"/>
          <w:cols w:space="708"/>
          <w:docGrid w:linePitch="360"/>
        </w:sectPr>
      </w:pP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8E10EF" w14:paraId="252AB132" w14:textId="77777777" w:rsidTr="008E10EF">
        <w:tc>
          <w:tcPr>
            <w:tcW w:w="9016" w:type="dxa"/>
          </w:tcPr>
          <w:p w14:paraId="36F78861" w14:textId="62A4E4E3" w:rsidR="008E10EF" w:rsidRPr="00C71F42" w:rsidRDefault="008E10EF" w:rsidP="00C15B1B">
            <w:pPr>
              <w:pStyle w:val="Sectionheading"/>
            </w:pPr>
            <w:bookmarkStart w:id="68" w:name="_Toc109996653"/>
            <w:r w:rsidRPr="00C71F42">
              <w:lastRenderedPageBreak/>
              <w:t>Key evaluation question 1: How was the HCH model implemented and what were the barriers and enablers?</w:t>
            </w:r>
            <w:bookmarkEnd w:id="68"/>
          </w:p>
          <w:p w14:paraId="48335EA9" w14:textId="3D069D24" w:rsidR="00E93EFA" w:rsidRDefault="00C71F42" w:rsidP="00C71F42">
            <w:r>
              <w:t xml:space="preserve">Key evaluation question 1 focusses on the activities undertaken </w:t>
            </w:r>
            <w:r w:rsidR="00E93EFA">
              <w:t>to implement</w:t>
            </w:r>
            <w:r>
              <w:t xml:space="preserve"> the HCH trial and lessons.</w:t>
            </w:r>
          </w:p>
          <w:p w14:paraId="15F89965" w14:textId="4DF63B1C" w:rsidR="00C71F42" w:rsidRPr="00B94F15" w:rsidRDefault="00E93EFA" w:rsidP="00C71F42">
            <w:pPr>
              <w:rPr>
                <w:szCs w:val="20"/>
              </w:rPr>
            </w:pPr>
            <w:r w:rsidRPr="00B94F15">
              <w:rPr>
                <w:szCs w:val="20"/>
              </w:rPr>
              <w:t xml:space="preserve">At the program level, this question </w:t>
            </w:r>
            <w:r w:rsidR="00CC2F8A">
              <w:rPr>
                <w:szCs w:val="20"/>
              </w:rPr>
              <w:t xml:space="preserve">concerns </w:t>
            </w:r>
            <w:r w:rsidR="00C71F42" w:rsidRPr="00A24ADE">
              <w:rPr>
                <w:b/>
                <w:bCs/>
                <w:szCs w:val="20"/>
              </w:rPr>
              <w:t>how practices were recruited</w:t>
            </w:r>
            <w:r w:rsidR="00C71F42" w:rsidRPr="00B94F15">
              <w:rPr>
                <w:szCs w:val="20"/>
              </w:rPr>
              <w:t xml:space="preserve"> to participate</w:t>
            </w:r>
            <w:r w:rsidR="00B94F15" w:rsidRPr="00B94F15">
              <w:rPr>
                <w:szCs w:val="20"/>
              </w:rPr>
              <w:t xml:space="preserve"> i</w:t>
            </w:r>
            <w:r w:rsidR="001129DB">
              <w:rPr>
                <w:szCs w:val="20"/>
              </w:rPr>
              <w:t>n</w:t>
            </w:r>
            <w:r w:rsidR="00B94F15" w:rsidRPr="00B94F15">
              <w:rPr>
                <w:szCs w:val="20"/>
              </w:rPr>
              <w:t xml:space="preserve"> the trial</w:t>
            </w:r>
            <w:r w:rsidR="00C71F42" w:rsidRPr="00B94F15">
              <w:rPr>
                <w:szCs w:val="20"/>
              </w:rPr>
              <w:t xml:space="preserve"> and whether this resulted in an adequate mix of practice types, settings and enrolled patients to test the model, </w:t>
            </w:r>
            <w:r w:rsidR="00C71F42" w:rsidRPr="00A24ADE">
              <w:rPr>
                <w:b/>
                <w:bCs/>
                <w:szCs w:val="20"/>
              </w:rPr>
              <w:t>what training and support was made available</w:t>
            </w:r>
            <w:r w:rsidR="00C71F42" w:rsidRPr="00B94F15">
              <w:rPr>
                <w:szCs w:val="20"/>
              </w:rPr>
              <w:t xml:space="preserve"> to practices and whether these assisted in practices’ transformation efforts</w:t>
            </w:r>
            <w:r w:rsidRPr="00B94F15">
              <w:rPr>
                <w:szCs w:val="20"/>
              </w:rPr>
              <w:t xml:space="preserve">, </w:t>
            </w:r>
            <w:r w:rsidRPr="00C500B1">
              <w:rPr>
                <w:b/>
                <w:bCs/>
                <w:szCs w:val="20"/>
              </w:rPr>
              <w:t xml:space="preserve">the utility and effectiveness of the </w:t>
            </w:r>
            <w:r w:rsidR="00D42E3C">
              <w:rPr>
                <w:b/>
                <w:bCs/>
                <w:szCs w:val="20"/>
              </w:rPr>
              <w:t>RST</w:t>
            </w:r>
            <w:r w:rsidRPr="00B94F15">
              <w:rPr>
                <w:szCs w:val="20"/>
              </w:rPr>
              <w:t xml:space="preserve"> in identifying high risk patients and the </w:t>
            </w:r>
            <w:r w:rsidRPr="00C500B1">
              <w:rPr>
                <w:b/>
                <w:bCs/>
                <w:szCs w:val="20"/>
              </w:rPr>
              <w:t>administrative aspects</w:t>
            </w:r>
            <w:r w:rsidRPr="00B94F15">
              <w:rPr>
                <w:szCs w:val="20"/>
              </w:rPr>
              <w:t xml:space="preserve"> for practices in implementing and operating the model.</w:t>
            </w:r>
          </w:p>
          <w:p w14:paraId="5518EEEE" w14:textId="65BC9476" w:rsidR="008E10EF" w:rsidRPr="00B94F15" w:rsidRDefault="00E93EFA" w:rsidP="00C71F42">
            <w:pPr>
              <w:rPr>
                <w:szCs w:val="20"/>
              </w:rPr>
            </w:pPr>
            <w:r w:rsidRPr="00B94F15">
              <w:rPr>
                <w:szCs w:val="20"/>
              </w:rPr>
              <w:t xml:space="preserve">At the PHN level, this question looks at </w:t>
            </w:r>
            <w:r w:rsidRPr="00046A6C">
              <w:rPr>
                <w:b/>
                <w:bCs/>
                <w:szCs w:val="20"/>
              </w:rPr>
              <w:t>PHNs’ roles in the implementation</w:t>
            </w:r>
            <w:r w:rsidRPr="00B94F15">
              <w:rPr>
                <w:szCs w:val="20"/>
              </w:rPr>
              <w:t>. It also looks at how PHN/state/territory/</w:t>
            </w:r>
            <w:r w:rsidR="008E4AC1">
              <w:rPr>
                <w:szCs w:val="20"/>
              </w:rPr>
              <w:t>Local Hospital Network (</w:t>
            </w:r>
            <w:r w:rsidRPr="00B94F15">
              <w:rPr>
                <w:szCs w:val="20"/>
              </w:rPr>
              <w:t>LHN</w:t>
            </w:r>
            <w:r w:rsidR="008E4AC1">
              <w:rPr>
                <w:szCs w:val="20"/>
              </w:rPr>
              <w:t>)</w:t>
            </w:r>
            <w:r w:rsidRPr="00B94F15">
              <w:rPr>
                <w:szCs w:val="20"/>
              </w:rPr>
              <w:t xml:space="preserve"> quality improvement/chronic disease management initiatives were leveraged to assist the HCH implementation.</w:t>
            </w:r>
          </w:p>
          <w:p w14:paraId="7908CDED" w14:textId="3D4131D3" w:rsidR="00B94F15" w:rsidRPr="00B94F15" w:rsidRDefault="00B94F15" w:rsidP="00B94F15">
            <w:pPr>
              <w:rPr>
                <w:rFonts w:eastAsia="Muli" w:cs="Muli"/>
                <w:color w:val="000000" w:themeColor="text1"/>
                <w:szCs w:val="20"/>
              </w:rPr>
            </w:pPr>
            <w:r w:rsidRPr="00B94F15">
              <w:rPr>
                <w:rFonts w:eastAsia="Muli" w:cs="Muli"/>
                <w:color w:val="000000" w:themeColor="text1"/>
                <w:szCs w:val="20"/>
              </w:rPr>
              <w:t>The chapters in this section answer the following sub-questions of key evaluation question 1:</w:t>
            </w:r>
          </w:p>
          <w:p w14:paraId="61D0EBFD" w14:textId="77777777" w:rsidR="00B94F15" w:rsidRPr="00B94F15" w:rsidRDefault="00B94F15" w:rsidP="004D48A4">
            <w:pPr>
              <w:pStyle w:val="ListParagraph"/>
              <w:numPr>
                <w:ilvl w:val="0"/>
                <w:numId w:val="2"/>
              </w:numPr>
              <w:spacing w:after="60"/>
              <w:ind w:left="306" w:hanging="284"/>
              <w:rPr>
                <w:szCs w:val="20"/>
              </w:rPr>
            </w:pPr>
            <w:r w:rsidRPr="00B94F15">
              <w:rPr>
                <w:szCs w:val="20"/>
              </w:rPr>
              <w:t>1.01 What program level activities were undertaken to assist implementation?</w:t>
            </w:r>
          </w:p>
          <w:p w14:paraId="26FA4285" w14:textId="77777777" w:rsidR="00B94F15" w:rsidRPr="00B94F15" w:rsidRDefault="00B94F15" w:rsidP="004D48A4">
            <w:pPr>
              <w:pStyle w:val="ListParagraph"/>
              <w:numPr>
                <w:ilvl w:val="0"/>
                <w:numId w:val="2"/>
              </w:numPr>
              <w:spacing w:after="60"/>
              <w:ind w:left="306" w:hanging="284"/>
              <w:rPr>
                <w:szCs w:val="20"/>
              </w:rPr>
            </w:pPr>
            <w:r w:rsidRPr="00B94F15">
              <w:rPr>
                <w:szCs w:val="20"/>
              </w:rPr>
              <w:t>1.02 How were practices recruited to participate in the HCH program?</w:t>
            </w:r>
          </w:p>
          <w:p w14:paraId="69D6BA96" w14:textId="77777777" w:rsidR="00B94F15" w:rsidRPr="00B94F15" w:rsidRDefault="00B94F15" w:rsidP="004D48A4">
            <w:pPr>
              <w:pStyle w:val="ListParagraph"/>
              <w:numPr>
                <w:ilvl w:val="0"/>
                <w:numId w:val="2"/>
              </w:numPr>
              <w:spacing w:after="60"/>
              <w:ind w:left="306" w:hanging="284"/>
              <w:rPr>
                <w:szCs w:val="20"/>
              </w:rPr>
            </w:pPr>
            <w:r w:rsidRPr="00B94F15">
              <w:rPr>
                <w:szCs w:val="20"/>
              </w:rPr>
              <w:t>1.03 How was HCH training strategy implemented?</w:t>
            </w:r>
          </w:p>
          <w:p w14:paraId="6DC0F743" w14:textId="77777777" w:rsidR="00B94F15" w:rsidRPr="00B94F15" w:rsidRDefault="00B94F15" w:rsidP="004D48A4">
            <w:pPr>
              <w:pStyle w:val="ListParagraph"/>
              <w:numPr>
                <w:ilvl w:val="0"/>
                <w:numId w:val="2"/>
              </w:numPr>
              <w:spacing w:after="60"/>
              <w:ind w:left="306" w:hanging="284"/>
              <w:rPr>
                <w:szCs w:val="20"/>
              </w:rPr>
            </w:pPr>
            <w:r w:rsidRPr="00B94F15">
              <w:rPr>
                <w:szCs w:val="20"/>
              </w:rPr>
              <w:t>1.04 What infrastructure and processes were commissioned to support processes for risk stratification and patient enrolment?</w:t>
            </w:r>
          </w:p>
          <w:p w14:paraId="1EDABF53" w14:textId="77777777" w:rsidR="00B94F15" w:rsidRPr="00B94F15" w:rsidRDefault="00B94F15" w:rsidP="004D48A4">
            <w:pPr>
              <w:pStyle w:val="ListParagraph"/>
              <w:numPr>
                <w:ilvl w:val="0"/>
                <w:numId w:val="2"/>
              </w:numPr>
              <w:spacing w:after="60"/>
              <w:ind w:left="306" w:hanging="284"/>
              <w:rPr>
                <w:szCs w:val="20"/>
              </w:rPr>
            </w:pPr>
            <w:r w:rsidRPr="00B94F15">
              <w:rPr>
                <w:szCs w:val="20"/>
              </w:rPr>
              <w:t>1.05 How effective and efficient were the program's administrative processes, including for patient enrolment, claims management, monitoring program processes, and managing program compliance and integrity?</w:t>
            </w:r>
          </w:p>
          <w:p w14:paraId="73372245" w14:textId="48EAA1E7" w:rsidR="00B94F15" w:rsidRPr="008E10EF" w:rsidRDefault="00B94F15" w:rsidP="004D48A4">
            <w:pPr>
              <w:pStyle w:val="ListParagraph"/>
              <w:numPr>
                <w:ilvl w:val="0"/>
                <w:numId w:val="2"/>
              </w:numPr>
              <w:spacing w:after="60"/>
              <w:ind w:left="306" w:hanging="284"/>
            </w:pPr>
            <w:r w:rsidRPr="00B94F15">
              <w:rPr>
                <w:szCs w:val="20"/>
              </w:rPr>
              <w:t>1.06 What roles did PHNs play in the HCH implementation?</w:t>
            </w:r>
          </w:p>
        </w:tc>
      </w:tr>
    </w:tbl>
    <w:p w14:paraId="6E9AFDF0" w14:textId="75C0297D" w:rsidR="008E10EF" w:rsidRDefault="008E10EF" w:rsidP="00871B42">
      <w:pPr>
        <w:pStyle w:val="ChapterNumber"/>
        <w:sectPr w:rsidR="008E10EF" w:rsidSect="00EB3C7F">
          <w:headerReference w:type="default" r:id="rId26"/>
          <w:pgSz w:w="11906" w:h="16838" w:code="9"/>
          <w:pgMar w:top="1440" w:right="1440" w:bottom="1440" w:left="1440" w:header="709" w:footer="709" w:gutter="0"/>
          <w:cols w:space="708"/>
          <w:vAlign w:val="center"/>
          <w:docGrid w:linePitch="360"/>
        </w:sectPr>
      </w:pPr>
    </w:p>
    <w:p w14:paraId="0BEE8891" w14:textId="4D8874E5" w:rsidR="00871B42" w:rsidRPr="0094369A" w:rsidRDefault="0022510E" w:rsidP="00871B42">
      <w:pPr>
        <w:pStyle w:val="ChapterNumber"/>
      </w:pPr>
      <w:r>
        <w:lastRenderedPageBreak/>
        <w:fldChar w:fldCharType="begin"/>
      </w:r>
      <w:r>
        <w:instrText xml:space="preserve"> REF _Ref95494005 \r \h </w:instrText>
      </w:r>
      <w:r>
        <w:fldChar w:fldCharType="separate"/>
      </w:r>
      <w:r w:rsidR="003C4BC2">
        <w:t>4</w:t>
      </w:r>
      <w:r>
        <w:fldChar w:fldCharType="end"/>
      </w:r>
    </w:p>
    <w:p w14:paraId="58F9C9DD" w14:textId="1FA3F13E" w:rsidR="00871B42" w:rsidRDefault="00242A94" w:rsidP="00871B42">
      <w:pPr>
        <w:pStyle w:val="Heading1withnumber"/>
        <w:ind w:left="0" w:hanging="567"/>
      </w:pPr>
      <w:bookmarkStart w:id="69" w:name="_Ref95494005"/>
      <w:bookmarkStart w:id="70" w:name="_Ref103758821"/>
      <w:bookmarkStart w:id="71" w:name="_Toc109996654"/>
      <w:r>
        <w:t>HCH trial</w:t>
      </w:r>
      <w:bookmarkEnd w:id="69"/>
      <w:r w:rsidR="00475F7C">
        <w:t xml:space="preserve"> initiation</w:t>
      </w:r>
      <w:bookmarkEnd w:id="70"/>
      <w:bookmarkEnd w:id="71"/>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1129DB" w:rsidRPr="0048466A" w14:paraId="5ADBB4BE" w14:textId="77777777" w:rsidTr="00256EF9">
        <w:tc>
          <w:tcPr>
            <w:tcW w:w="8996" w:type="dxa"/>
            <w:shd w:val="clear" w:color="auto" w:fill="auto"/>
          </w:tcPr>
          <w:p w14:paraId="1AD7FB37" w14:textId="40CB259D" w:rsidR="001129DB" w:rsidRPr="006201AB" w:rsidRDefault="001129DB" w:rsidP="00BE164E">
            <w:pPr>
              <w:pStyle w:val="Boxheading"/>
              <w:spacing w:after="120"/>
              <w:rPr>
                <w:bCs/>
                <w:szCs w:val="20"/>
              </w:rPr>
            </w:pPr>
            <w:r w:rsidRPr="006201AB">
              <w:rPr>
                <w:bCs/>
                <w:szCs w:val="20"/>
              </w:rPr>
              <w:t xml:space="preserve">Box </w:t>
            </w:r>
            <w:r w:rsidR="00A15A08" w:rsidRPr="006201AB">
              <w:rPr>
                <w:bCs/>
              </w:rPr>
              <w:fldChar w:fldCharType="begin"/>
            </w:r>
            <w:r w:rsidR="00A15A08" w:rsidRPr="006201AB">
              <w:rPr>
                <w:bCs/>
              </w:rPr>
              <w:instrText xml:space="preserve"> SEQ Box \* ARABIC </w:instrText>
            </w:r>
            <w:r w:rsidR="00A15A08" w:rsidRPr="006201AB">
              <w:rPr>
                <w:bCs/>
              </w:rPr>
              <w:fldChar w:fldCharType="separate"/>
            </w:r>
            <w:r w:rsidR="003C4BC2">
              <w:rPr>
                <w:bCs/>
                <w:noProof/>
              </w:rPr>
              <w:t>4</w:t>
            </w:r>
            <w:r w:rsidR="00A15A08" w:rsidRPr="006201AB">
              <w:rPr>
                <w:bCs/>
                <w:noProof/>
              </w:rPr>
              <w:fldChar w:fldCharType="end"/>
            </w:r>
            <w:r w:rsidRPr="006201AB">
              <w:rPr>
                <w:bCs/>
                <w:szCs w:val="20"/>
              </w:rPr>
              <w:t>: Chapter summary</w:t>
            </w:r>
          </w:p>
          <w:p w14:paraId="4FC98EE2" w14:textId="33FC2D6F" w:rsidR="00364BBD" w:rsidRPr="00364BBD" w:rsidRDefault="00364BBD" w:rsidP="00BE164E">
            <w:pPr>
              <w:spacing w:after="120"/>
              <w:rPr>
                <w:rFonts w:eastAsia="Muli" w:cs="Muli"/>
                <w:color w:val="000000" w:themeColor="text1"/>
                <w:sz w:val="18"/>
                <w:szCs w:val="18"/>
              </w:rPr>
            </w:pPr>
            <w:r w:rsidRPr="00364BBD">
              <w:rPr>
                <w:rFonts w:eastAsia="Muli" w:cs="Muli"/>
                <w:color w:val="000000" w:themeColor="text1"/>
                <w:sz w:val="18"/>
                <w:szCs w:val="18"/>
              </w:rPr>
              <w:t xml:space="preserve">The Department </w:t>
            </w:r>
            <w:r w:rsidR="00BA01F9">
              <w:rPr>
                <w:rFonts w:eastAsia="Muli" w:cs="Muli"/>
                <w:color w:val="000000" w:themeColor="text1"/>
                <w:sz w:val="18"/>
                <w:szCs w:val="18"/>
              </w:rPr>
              <w:t xml:space="preserve">of health </w:t>
            </w:r>
            <w:r w:rsidRPr="00364BBD">
              <w:rPr>
                <w:rFonts w:eastAsia="Muli" w:cs="Muli"/>
                <w:color w:val="000000" w:themeColor="text1"/>
                <w:sz w:val="18"/>
                <w:szCs w:val="18"/>
              </w:rPr>
              <w:t xml:space="preserve">developed and commissioned infrastructure and supports for the trial, which included an incentive grant for practices, guidelines for practices and patients, software for risk stratification, practice facilitation and support provided through PHNs, </w:t>
            </w:r>
            <w:r w:rsidR="005F0F12" w:rsidRPr="00364BBD">
              <w:rPr>
                <w:rFonts w:eastAsia="Muli" w:cs="Muli"/>
                <w:color w:val="000000" w:themeColor="text1"/>
                <w:sz w:val="18"/>
                <w:szCs w:val="18"/>
              </w:rPr>
              <w:t xml:space="preserve">training </w:t>
            </w:r>
            <w:r w:rsidR="005F0F12">
              <w:rPr>
                <w:rFonts w:eastAsia="Muli" w:cs="Muli"/>
                <w:color w:val="000000" w:themeColor="text1"/>
                <w:sz w:val="18"/>
                <w:szCs w:val="18"/>
              </w:rPr>
              <w:t>for practices and practice facilitators</w:t>
            </w:r>
            <w:r w:rsidR="00434C84">
              <w:rPr>
                <w:rFonts w:eastAsia="Muli" w:cs="Muli"/>
                <w:color w:val="000000" w:themeColor="text1"/>
                <w:sz w:val="18"/>
                <w:szCs w:val="18"/>
              </w:rPr>
              <w:t xml:space="preserve"> based in the PHNs</w:t>
            </w:r>
            <w:r w:rsidR="005F0F12" w:rsidRPr="00364BBD">
              <w:rPr>
                <w:rFonts w:eastAsia="Muli" w:cs="Muli"/>
                <w:color w:val="000000" w:themeColor="text1"/>
                <w:sz w:val="18"/>
                <w:szCs w:val="18"/>
              </w:rPr>
              <w:t xml:space="preserve">, </w:t>
            </w:r>
            <w:r w:rsidRPr="00364BBD">
              <w:rPr>
                <w:rFonts w:eastAsia="Muli" w:cs="Muli"/>
                <w:color w:val="000000" w:themeColor="text1"/>
                <w:sz w:val="18"/>
                <w:szCs w:val="18"/>
              </w:rPr>
              <w:t>changed payment arrangements for HCH patients (</w:t>
            </w:r>
            <w:r w:rsidR="00434C84">
              <w:rPr>
                <w:rFonts w:eastAsia="Muli" w:cs="Muli"/>
                <w:color w:val="000000" w:themeColor="text1"/>
                <w:sz w:val="18"/>
                <w:szCs w:val="18"/>
              </w:rPr>
              <w:t xml:space="preserve">the </w:t>
            </w:r>
            <w:r w:rsidRPr="00364BBD">
              <w:rPr>
                <w:rFonts w:eastAsia="Muli" w:cs="Muli"/>
                <w:color w:val="000000" w:themeColor="text1"/>
                <w:sz w:val="18"/>
                <w:szCs w:val="18"/>
              </w:rPr>
              <w:t>bundled payment)</w:t>
            </w:r>
            <w:r w:rsidR="00950B0B">
              <w:rPr>
                <w:rFonts w:eastAsia="Muli" w:cs="Muli"/>
                <w:color w:val="000000" w:themeColor="text1"/>
                <w:sz w:val="18"/>
                <w:szCs w:val="18"/>
              </w:rPr>
              <w:t xml:space="preserve"> </w:t>
            </w:r>
            <w:r w:rsidR="00950B0B" w:rsidRPr="00950B0B">
              <w:rPr>
                <w:rFonts w:eastAsia="Muli" w:cs="Muli"/>
                <w:color w:val="000000" w:themeColor="text1"/>
                <w:sz w:val="18"/>
                <w:szCs w:val="18"/>
              </w:rPr>
              <w:t>and facilities to support the changed payment mechanisms</w:t>
            </w:r>
            <w:r w:rsidRPr="00364BBD">
              <w:rPr>
                <w:rFonts w:eastAsia="Muli" w:cs="Muli"/>
                <w:color w:val="000000" w:themeColor="text1"/>
                <w:sz w:val="18"/>
                <w:szCs w:val="18"/>
              </w:rPr>
              <w:t xml:space="preserve">, an audit and compliance system, and evaluation of the </w:t>
            </w:r>
            <w:r w:rsidR="00FD12A7">
              <w:rPr>
                <w:rFonts w:eastAsia="Muli" w:cs="Muli"/>
                <w:color w:val="000000" w:themeColor="text1"/>
                <w:sz w:val="18"/>
                <w:szCs w:val="18"/>
              </w:rPr>
              <w:t>trial</w:t>
            </w:r>
            <w:r w:rsidRPr="00364BBD">
              <w:rPr>
                <w:rFonts w:eastAsia="Muli" w:cs="Muli"/>
                <w:color w:val="000000" w:themeColor="text1"/>
                <w:sz w:val="18"/>
                <w:szCs w:val="18"/>
              </w:rPr>
              <w:t xml:space="preserve"> </w:t>
            </w:r>
            <w:r w:rsidR="000A1E0B">
              <w:rPr>
                <w:rFonts w:eastAsia="Muli" w:cs="Muli"/>
                <w:color w:val="000000" w:themeColor="text1"/>
                <w:sz w:val="18"/>
                <w:szCs w:val="18"/>
              </w:rPr>
              <w:t>with formative and</w:t>
            </w:r>
            <w:r w:rsidRPr="00364BBD">
              <w:rPr>
                <w:rFonts w:eastAsia="Muli" w:cs="Muli"/>
                <w:color w:val="000000" w:themeColor="text1"/>
                <w:sz w:val="18"/>
                <w:szCs w:val="18"/>
              </w:rPr>
              <w:t xml:space="preserve"> summative </w:t>
            </w:r>
            <w:r w:rsidR="000A1E0B">
              <w:rPr>
                <w:rFonts w:eastAsia="Muli" w:cs="Muli"/>
                <w:color w:val="000000" w:themeColor="text1"/>
                <w:sz w:val="18"/>
                <w:szCs w:val="18"/>
              </w:rPr>
              <w:t>components</w:t>
            </w:r>
            <w:r w:rsidRPr="00364BBD">
              <w:rPr>
                <w:rFonts w:eastAsia="Muli" w:cs="Muli"/>
                <w:color w:val="000000" w:themeColor="text1"/>
                <w:sz w:val="18"/>
                <w:szCs w:val="18"/>
              </w:rPr>
              <w:t>.</w:t>
            </w:r>
          </w:p>
          <w:p w14:paraId="027B42EE" w14:textId="10791D02" w:rsidR="00364BBD" w:rsidRPr="00364BBD" w:rsidRDefault="00364BBD" w:rsidP="00BE164E">
            <w:pPr>
              <w:spacing w:after="120"/>
              <w:rPr>
                <w:rFonts w:eastAsia="Muli" w:cs="Muli"/>
                <w:color w:val="000000" w:themeColor="text1"/>
                <w:sz w:val="18"/>
                <w:szCs w:val="18"/>
              </w:rPr>
            </w:pPr>
            <w:r w:rsidRPr="00364BBD">
              <w:rPr>
                <w:rFonts w:eastAsia="Muli" w:cs="Muli"/>
                <w:color w:val="000000" w:themeColor="text1"/>
                <w:sz w:val="18"/>
                <w:szCs w:val="18"/>
              </w:rPr>
              <w:t xml:space="preserve">Ten PHN were selected from which practices would be drawn for the trial. The regions were chosen to maximise geographic and socio-economic diversity amongst the populations represented and leverage chronic disease programs operating in these regions. Initially practices were recruited through an expression of interest (EOI), and subsequently suggested by the PHNs. Practice recruitment started in 2016 and continued after the launch of the trial in October 2017, through to June 2018. It was necessary to continue to recruit practices after the trial started as some that were selected through the EOI process didn’t take up the offer, and some </w:t>
            </w:r>
            <w:r w:rsidR="002A010D" w:rsidRPr="002A010D">
              <w:rPr>
                <w:rFonts w:eastAsia="Muli" w:cs="Muli"/>
                <w:color w:val="000000" w:themeColor="text1"/>
                <w:sz w:val="18"/>
                <w:szCs w:val="18"/>
              </w:rPr>
              <w:t>that were recruited</w:t>
            </w:r>
            <w:r w:rsidRPr="00364BBD">
              <w:rPr>
                <w:rFonts w:eastAsia="Muli" w:cs="Muli"/>
                <w:color w:val="000000" w:themeColor="text1"/>
                <w:sz w:val="18"/>
                <w:szCs w:val="18"/>
              </w:rPr>
              <w:t xml:space="preserve"> withdrew once they underst</w:t>
            </w:r>
            <w:r w:rsidR="007A0E2A">
              <w:rPr>
                <w:rFonts w:eastAsia="Muli" w:cs="Muli"/>
                <w:color w:val="000000" w:themeColor="text1"/>
                <w:sz w:val="18"/>
                <w:szCs w:val="18"/>
              </w:rPr>
              <w:t xml:space="preserve">ood </w:t>
            </w:r>
            <w:r w:rsidRPr="00364BBD">
              <w:rPr>
                <w:rFonts w:eastAsia="Muli" w:cs="Muli"/>
                <w:color w:val="000000" w:themeColor="text1"/>
                <w:sz w:val="18"/>
                <w:szCs w:val="18"/>
              </w:rPr>
              <w:t>the requirements</w:t>
            </w:r>
            <w:r w:rsidR="00F94210">
              <w:rPr>
                <w:rFonts w:eastAsia="Muli" w:cs="Muli"/>
                <w:color w:val="000000" w:themeColor="text1"/>
                <w:sz w:val="18"/>
                <w:szCs w:val="18"/>
              </w:rPr>
              <w:t xml:space="preserve"> </w:t>
            </w:r>
            <w:r w:rsidR="00F94210" w:rsidRPr="00364BBD">
              <w:rPr>
                <w:rFonts w:eastAsia="Muli" w:cs="Muli"/>
                <w:color w:val="000000" w:themeColor="text1"/>
                <w:sz w:val="18"/>
                <w:szCs w:val="18"/>
              </w:rPr>
              <w:t>better</w:t>
            </w:r>
            <w:r w:rsidRPr="00364BBD">
              <w:rPr>
                <w:rFonts w:eastAsia="Muli" w:cs="Muli"/>
                <w:color w:val="000000" w:themeColor="text1"/>
                <w:sz w:val="18"/>
                <w:szCs w:val="18"/>
              </w:rPr>
              <w:t>. This highlight</w:t>
            </w:r>
            <w:r w:rsidR="00131BA8">
              <w:rPr>
                <w:rFonts w:eastAsia="Muli" w:cs="Muli"/>
                <w:color w:val="000000" w:themeColor="text1"/>
                <w:sz w:val="18"/>
                <w:szCs w:val="18"/>
              </w:rPr>
              <w:t xml:space="preserve">s </w:t>
            </w:r>
            <w:r w:rsidRPr="00364BBD">
              <w:rPr>
                <w:rFonts w:eastAsia="Muli" w:cs="Muli"/>
                <w:color w:val="000000" w:themeColor="text1"/>
                <w:sz w:val="18"/>
                <w:szCs w:val="18"/>
              </w:rPr>
              <w:t>that practices needed more information before they applied</w:t>
            </w:r>
            <w:r w:rsidR="008649CD">
              <w:rPr>
                <w:rFonts w:eastAsia="Muli" w:cs="Muli"/>
                <w:color w:val="000000" w:themeColor="text1"/>
                <w:sz w:val="18"/>
                <w:szCs w:val="18"/>
              </w:rPr>
              <w:t xml:space="preserve"> to participate in the trial</w:t>
            </w:r>
            <w:r w:rsidRPr="00364BBD">
              <w:rPr>
                <w:rFonts w:eastAsia="Muli" w:cs="Muli"/>
                <w:color w:val="000000" w:themeColor="text1"/>
                <w:sz w:val="18"/>
                <w:szCs w:val="18"/>
              </w:rPr>
              <w:t>, and that PHNs could have been more closely involved in the initial recruitment to provide information to practices and advise on practices’ readiness.</w:t>
            </w:r>
          </w:p>
          <w:p w14:paraId="6ACD239A" w14:textId="64CB7DA6" w:rsidR="0056776B" w:rsidRPr="0056776B" w:rsidRDefault="00364BBD" w:rsidP="00BE164E">
            <w:pPr>
              <w:spacing w:after="120"/>
              <w:rPr>
                <w:rFonts w:eastAsia="Muli" w:cs="Muli"/>
                <w:color w:val="000000" w:themeColor="text1"/>
                <w:sz w:val="18"/>
                <w:szCs w:val="18"/>
              </w:rPr>
            </w:pPr>
            <w:r w:rsidRPr="00364BBD">
              <w:rPr>
                <w:rFonts w:eastAsia="Muli" w:cs="Muli"/>
                <w:color w:val="000000" w:themeColor="text1"/>
                <w:sz w:val="18"/>
                <w:szCs w:val="18"/>
              </w:rPr>
              <w:t xml:space="preserve">Nationally the trial was overseen by an Implementation Advisory Group (IAG). Five specialised working groups reporting to the IAG contributed to the development, design, modification and monitoring of the trial. The Department also met regularly with </w:t>
            </w:r>
            <w:r w:rsidR="00966501">
              <w:rPr>
                <w:rFonts w:eastAsia="Muli" w:cs="Muli"/>
                <w:color w:val="000000" w:themeColor="text1"/>
                <w:sz w:val="18"/>
                <w:szCs w:val="18"/>
              </w:rPr>
              <w:t xml:space="preserve">the </w:t>
            </w:r>
            <w:r w:rsidRPr="00364BBD">
              <w:rPr>
                <w:rFonts w:eastAsia="Muli" w:cs="Muli"/>
                <w:color w:val="000000" w:themeColor="text1"/>
                <w:sz w:val="18"/>
                <w:szCs w:val="18"/>
              </w:rPr>
              <w:t>10 participating PHNs throughout the trial, and regional or state-based groups were established within the 10 PHN regions to oversee the trial within their regions.</w:t>
            </w:r>
          </w:p>
        </w:tc>
      </w:tr>
    </w:tbl>
    <w:p w14:paraId="39B1C925" w14:textId="7BCAE3AC" w:rsidR="001129DB" w:rsidRDefault="001129DB" w:rsidP="001B37D6">
      <w:pPr>
        <w:spacing w:after="0"/>
        <w:rPr>
          <w:rFonts w:eastAsia="Muli" w:cs="Muli"/>
          <w:color w:val="000000" w:themeColor="text1"/>
          <w:szCs w:val="20"/>
        </w:rPr>
      </w:pPr>
    </w:p>
    <w:p w14:paraId="318D421C" w14:textId="61DE41E1" w:rsidR="00F726D6" w:rsidRDefault="00E156AD" w:rsidP="00F726D6">
      <w:pPr>
        <w:pStyle w:val="Heading2"/>
        <w:rPr>
          <w:rFonts w:eastAsia="Muli"/>
        </w:rPr>
      </w:pPr>
      <w:bookmarkStart w:id="72" w:name="_Toc109996655"/>
      <w:r>
        <w:rPr>
          <w:rFonts w:eastAsia="Muli"/>
        </w:rPr>
        <w:t>Backg</w:t>
      </w:r>
      <w:r w:rsidR="002A5CD2">
        <w:rPr>
          <w:rFonts w:eastAsia="Muli"/>
        </w:rPr>
        <w:t>r</w:t>
      </w:r>
      <w:r>
        <w:rPr>
          <w:rFonts w:eastAsia="Muli"/>
        </w:rPr>
        <w:t>ound</w:t>
      </w:r>
      <w:bookmarkEnd w:id="72"/>
    </w:p>
    <w:p w14:paraId="5B121FD6" w14:textId="0F4EDD7B" w:rsidR="00CE39B5" w:rsidRDefault="005018A4" w:rsidP="00364F7A">
      <w:pPr>
        <w:rPr>
          <w:szCs w:val="20"/>
        </w:rPr>
      </w:pPr>
      <w:r>
        <w:t xml:space="preserve">Responding to the </w:t>
      </w:r>
      <w:r w:rsidR="001C3574" w:rsidRPr="001C3574">
        <w:t xml:space="preserve">Primary Health Care Advisory Group </w:t>
      </w:r>
      <w:r w:rsidR="001C3574">
        <w:t>(</w:t>
      </w:r>
      <w:r>
        <w:t>PHCAG</w:t>
      </w:r>
      <w:r w:rsidR="001C3574">
        <w:t>)</w:t>
      </w:r>
      <w:r>
        <w:t xml:space="preserve"> report, t</w:t>
      </w:r>
      <w:r w:rsidRPr="00066658">
        <w:t>he Australian Government</w:t>
      </w:r>
      <w:r>
        <w:t xml:space="preserve"> </w:t>
      </w:r>
      <w:r w:rsidRPr="001C5A1C">
        <w:t xml:space="preserve">announced </w:t>
      </w:r>
      <w:r>
        <w:t xml:space="preserve">the HCH trial in </w:t>
      </w:r>
      <w:r w:rsidRPr="001C5A1C">
        <w:t>March 2016</w:t>
      </w:r>
      <w:r w:rsidR="00D31903">
        <w:t>.</w:t>
      </w:r>
      <w:r w:rsidR="00D31903" w:rsidRPr="001F4811">
        <w:rPr>
          <w:rStyle w:val="FootnoteReference"/>
          <w:color w:val="408BCA"/>
        </w:rPr>
        <w:footnoteReference w:id="17"/>
      </w:r>
      <w:r w:rsidR="00A561EE">
        <w:t xml:space="preserve"> </w:t>
      </w:r>
      <w:r>
        <w:t xml:space="preserve">The trial </w:t>
      </w:r>
      <w:r w:rsidRPr="00304642">
        <w:t xml:space="preserve">was </w:t>
      </w:r>
      <w:r>
        <w:t xml:space="preserve">initially scheduled to begin in </w:t>
      </w:r>
      <w:r w:rsidRPr="00304642">
        <w:t>July 2017</w:t>
      </w:r>
      <w:r>
        <w:t xml:space="preserve"> and continue through to</w:t>
      </w:r>
      <w:r w:rsidRPr="00304642">
        <w:t xml:space="preserve"> June 2019</w:t>
      </w:r>
      <w:r>
        <w:t>. U</w:t>
      </w:r>
      <w:r w:rsidRPr="00304642">
        <w:t xml:space="preserve">p to 200 </w:t>
      </w:r>
      <w:r>
        <w:t>practices</w:t>
      </w:r>
      <w:r w:rsidRPr="00304642">
        <w:t xml:space="preserve"> </w:t>
      </w:r>
      <w:r w:rsidRPr="004C5801">
        <w:t xml:space="preserve">from 10 PHN regions (of </w:t>
      </w:r>
      <w:r w:rsidR="00364F7A">
        <w:t xml:space="preserve">the </w:t>
      </w:r>
      <w:r w:rsidRPr="004C5801">
        <w:t>31 Australia-wide)</w:t>
      </w:r>
      <w:r w:rsidRPr="004C5801">
        <w:rPr>
          <w:szCs w:val="20"/>
        </w:rPr>
        <w:t xml:space="preserve"> were </w:t>
      </w:r>
      <w:r>
        <w:rPr>
          <w:szCs w:val="20"/>
        </w:rPr>
        <w:t xml:space="preserve">to </w:t>
      </w:r>
      <w:r w:rsidRPr="004C5801">
        <w:rPr>
          <w:szCs w:val="20"/>
        </w:rPr>
        <w:t>participate.</w:t>
      </w:r>
      <w:r>
        <w:rPr>
          <w:szCs w:val="20"/>
        </w:rPr>
        <w:t xml:space="preserve"> </w:t>
      </w:r>
      <w:r w:rsidRPr="004C5801">
        <w:rPr>
          <w:szCs w:val="20"/>
        </w:rPr>
        <w:t xml:space="preserve">The 10 PHN regions were selected to maximise geographic and </w:t>
      </w:r>
      <w:r>
        <w:rPr>
          <w:szCs w:val="20"/>
        </w:rPr>
        <w:t>socio-economic</w:t>
      </w:r>
      <w:r w:rsidRPr="004C5801">
        <w:rPr>
          <w:szCs w:val="20"/>
        </w:rPr>
        <w:t xml:space="preserve"> diversity amongst the populations </w:t>
      </w:r>
      <w:r w:rsidR="000D4748" w:rsidRPr="004C5801">
        <w:rPr>
          <w:szCs w:val="20"/>
        </w:rPr>
        <w:t>represented</w:t>
      </w:r>
      <w:r w:rsidR="000D4748">
        <w:rPr>
          <w:szCs w:val="20"/>
        </w:rPr>
        <w:t xml:space="preserve"> and</w:t>
      </w:r>
      <w:r>
        <w:rPr>
          <w:szCs w:val="20"/>
        </w:rPr>
        <w:t xml:space="preserve"> </w:t>
      </w:r>
      <w:r w:rsidRPr="00B73702">
        <w:rPr>
          <w:szCs w:val="20"/>
        </w:rPr>
        <w:t>leverage chronic disease programs operating in these regions</w:t>
      </w:r>
      <w:r w:rsidR="000D4748">
        <w:rPr>
          <w:szCs w:val="20"/>
        </w:rPr>
        <w:t>.</w:t>
      </w:r>
      <w:r w:rsidR="00D31903" w:rsidRPr="001F4811">
        <w:rPr>
          <w:rStyle w:val="FootnoteReference"/>
          <w:color w:val="408BCA"/>
          <w:szCs w:val="20"/>
        </w:rPr>
        <w:footnoteReference w:id="18"/>
      </w:r>
      <w:r>
        <w:rPr>
          <w:szCs w:val="20"/>
        </w:rPr>
        <w:t xml:space="preserve"> They were:</w:t>
      </w:r>
      <w:r w:rsidR="00CE39B5">
        <w:rPr>
          <w:szCs w:val="20"/>
        </w:rPr>
        <w:br w:type="page"/>
      </w:r>
    </w:p>
    <w:tbl>
      <w:tblPr>
        <w:tblW w:w="0" w:type="auto"/>
        <w:tblLook w:val="04A0" w:firstRow="1" w:lastRow="0" w:firstColumn="1" w:lastColumn="0" w:noHBand="0" w:noVBand="1"/>
      </w:tblPr>
      <w:tblGrid>
        <w:gridCol w:w="4264"/>
        <w:gridCol w:w="4762"/>
      </w:tblGrid>
      <w:tr w:rsidR="002B2A5B" w14:paraId="4468B35C" w14:textId="77777777" w:rsidTr="002B2A5B">
        <w:tc>
          <w:tcPr>
            <w:tcW w:w="4361" w:type="dxa"/>
          </w:tcPr>
          <w:p w14:paraId="51F0D05A" w14:textId="77777777" w:rsidR="002B2A5B" w:rsidRPr="00CE577E" w:rsidRDefault="002B2A5B" w:rsidP="002B2A5B">
            <w:pPr>
              <w:pStyle w:val="ListParagraph"/>
              <w:numPr>
                <w:ilvl w:val="0"/>
                <w:numId w:val="9"/>
              </w:numPr>
              <w:ind w:left="709" w:hanging="349"/>
              <w:rPr>
                <w:szCs w:val="20"/>
              </w:rPr>
            </w:pPr>
            <w:r w:rsidRPr="00CE577E">
              <w:rPr>
                <w:szCs w:val="20"/>
              </w:rPr>
              <w:lastRenderedPageBreak/>
              <w:t>Perth North</w:t>
            </w:r>
          </w:p>
          <w:p w14:paraId="1E75F227" w14:textId="77777777" w:rsidR="002B2A5B" w:rsidRPr="00CE577E" w:rsidRDefault="002B2A5B" w:rsidP="002B2A5B">
            <w:pPr>
              <w:pStyle w:val="ListParagraph"/>
              <w:numPr>
                <w:ilvl w:val="0"/>
                <w:numId w:val="9"/>
              </w:numPr>
              <w:ind w:left="709" w:hanging="349"/>
              <w:rPr>
                <w:szCs w:val="20"/>
              </w:rPr>
            </w:pPr>
            <w:r w:rsidRPr="00CE577E">
              <w:rPr>
                <w:szCs w:val="20"/>
              </w:rPr>
              <w:t>Adelaide</w:t>
            </w:r>
          </w:p>
          <w:p w14:paraId="2DD77366" w14:textId="77777777" w:rsidR="002B2A5B" w:rsidRPr="00CE577E" w:rsidRDefault="002B2A5B" w:rsidP="002B2A5B">
            <w:pPr>
              <w:pStyle w:val="ListParagraph"/>
              <w:numPr>
                <w:ilvl w:val="0"/>
                <w:numId w:val="9"/>
              </w:numPr>
              <w:ind w:left="709" w:hanging="349"/>
              <w:rPr>
                <w:szCs w:val="20"/>
              </w:rPr>
            </w:pPr>
            <w:r w:rsidRPr="00CE577E">
              <w:rPr>
                <w:szCs w:val="20"/>
              </w:rPr>
              <w:t>Country South Australia</w:t>
            </w:r>
          </w:p>
          <w:p w14:paraId="3D72D07E" w14:textId="77777777" w:rsidR="002B2A5B" w:rsidRPr="00CE577E" w:rsidRDefault="002B2A5B" w:rsidP="002B2A5B">
            <w:pPr>
              <w:pStyle w:val="ListParagraph"/>
              <w:numPr>
                <w:ilvl w:val="0"/>
                <w:numId w:val="9"/>
              </w:numPr>
              <w:ind w:left="709" w:hanging="349"/>
              <w:rPr>
                <w:szCs w:val="20"/>
              </w:rPr>
            </w:pPr>
            <w:r w:rsidRPr="00CE577E">
              <w:rPr>
                <w:szCs w:val="20"/>
              </w:rPr>
              <w:t>South Eastern Melbourne</w:t>
            </w:r>
          </w:p>
          <w:p w14:paraId="11EDCA8A" w14:textId="1640AB9A" w:rsidR="002B2A5B" w:rsidRPr="002B2A5B" w:rsidRDefault="002B2A5B" w:rsidP="002B2A5B">
            <w:pPr>
              <w:pStyle w:val="ListParagraph"/>
              <w:numPr>
                <w:ilvl w:val="0"/>
                <w:numId w:val="9"/>
              </w:numPr>
              <w:ind w:left="709" w:hanging="349"/>
              <w:rPr>
                <w:szCs w:val="20"/>
              </w:rPr>
            </w:pPr>
            <w:r w:rsidRPr="00CE577E">
              <w:rPr>
                <w:szCs w:val="20"/>
              </w:rPr>
              <w:t>Western Sydney</w:t>
            </w:r>
          </w:p>
        </w:tc>
        <w:tc>
          <w:tcPr>
            <w:tcW w:w="4881" w:type="dxa"/>
          </w:tcPr>
          <w:p w14:paraId="12CB2D7D" w14:textId="179CC079" w:rsidR="002B2A5B" w:rsidRDefault="002B2A5B" w:rsidP="002B2A5B">
            <w:pPr>
              <w:pStyle w:val="ListParagraph"/>
              <w:numPr>
                <w:ilvl w:val="0"/>
                <w:numId w:val="9"/>
              </w:numPr>
              <w:ind w:left="709" w:hanging="349"/>
              <w:rPr>
                <w:szCs w:val="20"/>
              </w:rPr>
            </w:pPr>
            <w:r w:rsidRPr="00CE577E">
              <w:rPr>
                <w:szCs w:val="20"/>
              </w:rPr>
              <w:t>Nepean Blue Mountains</w:t>
            </w:r>
          </w:p>
          <w:p w14:paraId="7AE208DA" w14:textId="4A03E73F" w:rsidR="002B2A5B" w:rsidRPr="00CE577E" w:rsidRDefault="002B2A5B" w:rsidP="002B2A5B">
            <w:pPr>
              <w:pStyle w:val="ListParagraph"/>
              <w:numPr>
                <w:ilvl w:val="0"/>
                <w:numId w:val="9"/>
              </w:numPr>
              <w:ind w:left="709" w:hanging="349"/>
              <w:rPr>
                <w:szCs w:val="20"/>
              </w:rPr>
            </w:pPr>
            <w:r w:rsidRPr="00CE577E">
              <w:rPr>
                <w:szCs w:val="20"/>
              </w:rPr>
              <w:t>Hunter, New England and Central Coast</w:t>
            </w:r>
          </w:p>
          <w:p w14:paraId="4C7A8084" w14:textId="77777777" w:rsidR="002B2A5B" w:rsidRPr="00CE577E" w:rsidRDefault="002B2A5B" w:rsidP="002B2A5B">
            <w:pPr>
              <w:pStyle w:val="ListParagraph"/>
              <w:numPr>
                <w:ilvl w:val="0"/>
                <w:numId w:val="9"/>
              </w:numPr>
              <w:ind w:left="709" w:hanging="349"/>
              <w:rPr>
                <w:szCs w:val="20"/>
              </w:rPr>
            </w:pPr>
            <w:r w:rsidRPr="00CE577E">
              <w:rPr>
                <w:szCs w:val="20"/>
              </w:rPr>
              <w:t>Tasmania</w:t>
            </w:r>
          </w:p>
          <w:p w14:paraId="12A12265" w14:textId="77777777" w:rsidR="002B2A5B" w:rsidRPr="00CE577E" w:rsidRDefault="002B2A5B" w:rsidP="002B2A5B">
            <w:pPr>
              <w:pStyle w:val="ListParagraph"/>
              <w:numPr>
                <w:ilvl w:val="0"/>
                <w:numId w:val="9"/>
              </w:numPr>
              <w:ind w:left="709" w:hanging="349"/>
              <w:rPr>
                <w:szCs w:val="20"/>
              </w:rPr>
            </w:pPr>
            <w:r w:rsidRPr="00CE577E">
              <w:rPr>
                <w:szCs w:val="20"/>
              </w:rPr>
              <w:t>Northern Territory</w:t>
            </w:r>
          </w:p>
          <w:p w14:paraId="6A7FD058" w14:textId="10DB8FBB" w:rsidR="002B2A5B" w:rsidRPr="002B2A5B" w:rsidRDefault="002B2A5B" w:rsidP="002B2A5B">
            <w:pPr>
              <w:pStyle w:val="ListParagraph"/>
              <w:numPr>
                <w:ilvl w:val="0"/>
                <w:numId w:val="9"/>
              </w:numPr>
              <w:ind w:left="709" w:hanging="349"/>
              <w:rPr>
                <w:szCs w:val="20"/>
              </w:rPr>
            </w:pPr>
            <w:r w:rsidRPr="00CE577E">
              <w:rPr>
                <w:szCs w:val="20"/>
              </w:rPr>
              <w:t>Brisbane North</w:t>
            </w:r>
          </w:p>
        </w:tc>
      </w:tr>
    </w:tbl>
    <w:p w14:paraId="0E74E2DA" w14:textId="0D43CE54" w:rsidR="00F726D6" w:rsidRDefault="005018A4" w:rsidP="00F726D6">
      <w:pPr>
        <w:rPr>
          <w:szCs w:val="20"/>
        </w:rPr>
      </w:pPr>
      <w:r>
        <w:rPr>
          <w:szCs w:val="20"/>
        </w:rPr>
        <w:t>As part of the</w:t>
      </w:r>
      <w:r w:rsidRPr="00BB4EBC">
        <w:rPr>
          <w:szCs w:val="20"/>
        </w:rPr>
        <w:t xml:space="preserve"> </w:t>
      </w:r>
      <w:r>
        <w:rPr>
          <w:szCs w:val="20"/>
        </w:rPr>
        <w:t>program</w:t>
      </w:r>
      <w:r w:rsidRPr="00BB4EBC">
        <w:rPr>
          <w:szCs w:val="20"/>
        </w:rPr>
        <w:t xml:space="preserve">, eligible patients with chronic and complex health conditions </w:t>
      </w:r>
      <w:r>
        <w:rPr>
          <w:szCs w:val="20"/>
        </w:rPr>
        <w:t xml:space="preserve">would be invited to enrol </w:t>
      </w:r>
      <w:r w:rsidRPr="0005127B">
        <w:rPr>
          <w:szCs w:val="20"/>
        </w:rPr>
        <w:t xml:space="preserve">with a participating practice </w:t>
      </w:r>
      <w:r>
        <w:rPr>
          <w:szCs w:val="20"/>
        </w:rPr>
        <w:t xml:space="preserve">– </w:t>
      </w:r>
      <w:r w:rsidRPr="0005127B">
        <w:rPr>
          <w:szCs w:val="20"/>
        </w:rPr>
        <w:t xml:space="preserve">their </w:t>
      </w:r>
      <w:r>
        <w:rPr>
          <w:szCs w:val="20"/>
        </w:rPr>
        <w:t>HCH</w:t>
      </w:r>
      <w:r w:rsidRPr="0005127B">
        <w:rPr>
          <w:szCs w:val="20"/>
        </w:rPr>
        <w:t>.</w:t>
      </w:r>
      <w:r>
        <w:rPr>
          <w:szCs w:val="20"/>
        </w:rPr>
        <w:t xml:space="preserve"> </w:t>
      </w:r>
      <w:r w:rsidRPr="0005127B">
        <w:rPr>
          <w:szCs w:val="20"/>
        </w:rPr>
        <w:t xml:space="preserve">The </w:t>
      </w:r>
      <w:r>
        <w:rPr>
          <w:szCs w:val="20"/>
        </w:rPr>
        <w:t>HCH</w:t>
      </w:r>
      <w:r w:rsidRPr="0005127B">
        <w:rPr>
          <w:szCs w:val="20"/>
        </w:rPr>
        <w:t xml:space="preserve"> </w:t>
      </w:r>
      <w:r>
        <w:rPr>
          <w:szCs w:val="20"/>
        </w:rPr>
        <w:t xml:space="preserve">was to </w:t>
      </w:r>
      <w:r w:rsidRPr="0005127B">
        <w:rPr>
          <w:szCs w:val="20"/>
        </w:rPr>
        <w:t xml:space="preserve">provide patients with a </w:t>
      </w:r>
      <w:r w:rsidR="0087126D">
        <w:rPr>
          <w:szCs w:val="20"/>
        </w:rPr>
        <w:t>“</w:t>
      </w:r>
      <w:r w:rsidRPr="0005127B">
        <w:rPr>
          <w:szCs w:val="20"/>
        </w:rPr>
        <w:t>home base</w:t>
      </w:r>
      <w:r w:rsidR="0087126D">
        <w:rPr>
          <w:szCs w:val="20"/>
        </w:rPr>
        <w:t>”</w:t>
      </w:r>
      <w:r w:rsidRPr="0005127B">
        <w:rPr>
          <w:szCs w:val="20"/>
        </w:rPr>
        <w:t xml:space="preserve"> for coordination, management, and support of their conditions. Patients would nominate a preferred </w:t>
      </w:r>
      <w:r>
        <w:rPr>
          <w:szCs w:val="20"/>
        </w:rPr>
        <w:t xml:space="preserve">GP </w:t>
      </w:r>
      <w:r w:rsidRPr="0005127B">
        <w:rPr>
          <w:szCs w:val="20"/>
        </w:rPr>
        <w:t xml:space="preserve">within the </w:t>
      </w:r>
      <w:r>
        <w:rPr>
          <w:szCs w:val="20"/>
        </w:rPr>
        <w:t>HCH. A</w:t>
      </w:r>
      <w:r w:rsidRPr="0005127B">
        <w:rPr>
          <w:szCs w:val="20"/>
        </w:rPr>
        <w:t xml:space="preserve"> tailored care plan </w:t>
      </w:r>
      <w:r>
        <w:rPr>
          <w:szCs w:val="20"/>
        </w:rPr>
        <w:t xml:space="preserve">would </w:t>
      </w:r>
      <w:r w:rsidRPr="0005127B">
        <w:rPr>
          <w:szCs w:val="20"/>
        </w:rPr>
        <w:t xml:space="preserve">be developed by the </w:t>
      </w:r>
      <w:r>
        <w:rPr>
          <w:szCs w:val="20"/>
        </w:rPr>
        <w:t>primary care team</w:t>
      </w:r>
      <w:r w:rsidRPr="0005127B">
        <w:rPr>
          <w:szCs w:val="20"/>
        </w:rPr>
        <w:t xml:space="preserve"> in partnership with the patient. </w:t>
      </w:r>
    </w:p>
    <w:p w14:paraId="3B295B9D" w14:textId="37049A0E" w:rsidR="005018A4" w:rsidRPr="007D3346" w:rsidRDefault="00F726D6" w:rsidP="00F726D6">
      <w:r>
        <w:t>Practices</w:t>
      </w:r>
      <w:r w:rsidR="005018A4" w:rsidRPr="007D3346">
        <w:t xml:space="preserve"> </w:t>
      </w:r>
      <w:r>
        <w:t xml:space="preserve">would </w:t>
      </w:r>
      <w:r w:rsidR="005018A4" w:rsidRPr="007D3346">
        <w:t xml:space="preserve">receive </w:t>
      </w:r>
      <w:r w:rsidR="005018A4">
        <w:t xml:space="preserve">a </w:t>
      </w:r>
      <w:r w:rsidR="005018A4" w:rsidRPr="007D3346">
        <w:t>bundled payment for enrolled patients</w:t>
      </w:r>
      <w:r w:rsidR="005018A4">
        <w:t xml:space="preserve">. The payment </w:t>
      </w:r>
      <w:r>
        <w:t xml:space="preserve">was aimed to </w:t>
      </w:r>
      <w:r w:rsidR="005018A4">
        <w:t>cover</w:t>
      </w:r>
      <w:r w:rsidR="005018A4" w:rsidRPr="007D3346">
        <w:t xml:space="preserve"> services related to their chronic conditions, departing from the Medicare fee-for-service model. The level of the bundled payment </w:t>
      </w:r>
      <w:r>
        <w:t>was</w:t>
      </w:r>
      <w:r w:rsidR="005018A4" w:rsidRPr="007D3346">
        <w:t xml:space="preserve"> </w:t>
      </w:r>
      <w:r w:rsidR="005018A4">
        <w:t xml:space="preserve">based on </w:t>
      </w:r>
      <w:r w:rsidR="005018A4" w:rsidRPr="007D3346">
        <w:t xml:space="preserve">the tier </w:t>
      </w:r>
      <w:r w:rsidR="003B1FAC">
        <w:t xml:space="preserve">to which </w:t>
      </w:r>
      <w:r w:rsidR="005018A4" w:rsidRPr="007D3346">
        <w:t xml:space="preserve">the patient </w:t>
      </w:r>
      <w:r w:rsidR="003B1FAC">
        <w:t xml:space="preserve">was </w:t>
      </w:r>
      <w:r w:rsidR="005018A4">
        <w:t>assigned, which in turn reflect</w:t>
      </w:r>
      <w:r>
        <w:t>ed</w:t>
      </w:r>
      <w:r w:rsidR="005018A4">
        <w:t xml:space="preserve"> the </w:t>
      </w:r>
      <w:r>
        <w:t>practices’</w:t>
      </w:r>
      <w:r w:rsidR="005018A4">
        <w:t xml:space="preserve"> assessment of their risk</w:t>
      </w:r>
      <w:r w:rsidR="005018A4" w:rsidRPr="007D3346">
        <w:t xml:space="preserve"> </w:t>
      </w:r>
      <w:r w:rsidR="005018A4">
        <w:t xml:space="preserve">of hospitalisation using the </w:t>
      </w:r>
      <w:r w:rsidR="00A574C0" w:rsidRPr="00A574C0">
        <w:t xml:space="preserve">Hospital Admission Risk Program </w:t>
      </w:r>
      <w:r w:rsidR="00A574C0">
        <w:t>(</w:t>
      </w:r>
      <w:r w:rsidR="005018A4">
        <w:t>HARP</w:t>
      </w:r>
      <w:r w:rsidR="00A574C0">
        <w:t>) tool</w:t>
      </w:r>
      <w:r w:rsidR="005018A4">
        <w:t>.</w:t>
      </w:r>
    </w:p>
    <w:p w14:paraId="3DEDDA51" w14:textId="2306FB9A" w:rsidR="005018A4" w:rsidRDefault="007F675C" w:rsidP="005018A4">
      <w:r w:rsidRPr="00925129">
        <w:rPr>
          <w:color w:val="002060"/>
        </w:rPr>
        <w:fldChar w:fldCharType="begin"/>
      </w:r>
      <w:r w:rsidRPr="00925129">
        <w:rPr>
          <w:color w:val="002060"/>
        </w:rPr>
        <w:instrText xml:space="preserve"> REF Bxpteligibility \h  \* MERGEFORMAT </w:instrText>
      </w:r>
      <w:r w:rsidRPr="00925129">
        <w:rPr>
          <w:color w:val="002060"/>
        </w:rPr>
      </w:r>
      <w:r w:rsidRPr="00925129">
        <w:rPr>
          <w:color w:val="002060"/>
        </w:rPr>
        <w:fldChar w:fldCharType="separate"/>
      </w:r>
      <w:r w:rsidR="003C4BC2" w:rsidRPr="003C4BC2">
        <w:rPr>
          <w:color w:val="002060"/>
          <w:szCs w:val="20"/>
        </w:rPr>
        <w:t xml:space="preserve">Box </w:t>
      </w:r>
      <w:r w:rsidR="003C4BC2" w:rsidRPr="003C4BC2">
        <w:rPr>
          <w:color w:val="002060"/>
        </w:rPr>
        <w:t>5</w:t>
      </w:r>
      <w:r w:rsidRPr="00925129">
        <w:rPr>
          <w:color w:val="002060"/>
        </w:rPr>
        <w:fldChar w:fldCharType="end"/>
      </w:r>
      <w:r w:rsidRPr="007F675C">
        <w:rPr>
          <w:b/>
          <w:bCs/>
          <w:color w:val="002060"/>
        </w:rPr>
        <w:t xml:space="preserve"> </w:t>
      </w:r>
      <w:r>
        <w:t>describes c</w:t>
      </w:r>
      <w:r w:rsidR="005018A4">
        <w:t xml:space="preserve">riteria that patients needed to meet to be eligible </w:t>
      </w:r>
      <w:r w:rsidR="00F726D6">
        <w:t>to enrol</w:t>
      </w:r>
      <w:r w:rsidR="005018A4">
        <w:t>.</w:t>
      </w:r>
    </w:p>
    <w:tbl>
      <w:tblPr>
        <w:tblW w:w="0" w:type="auto"/>
        <w:tblBorders>
          <w:top w:val="single" w:sz="12" w:space="0" w:color="408BCA"/>
          <w:left w:val="single" w:sz="12" w:space="0" w:color="408BCA"/>
          <w:bottom w:val="single" w:sz="12" w:space="0" w:color="408BCA"/>
          <w:right w:val="single" w:sz="12" w:space="0" w:color="408BCA"/>
        </w:tblBorders>
        <w:tblLook w:val="04A0" w:firstRow="1" w:lastRow="0" w:firstColumn="1" w:lastColumn="0" w:noHBand="0" w:noVBand="1"/>
      </w:tblPr>
      <w:tblGrid>
        <w:gridCol w:w="8996"/>
      </w:tblGrid>
      <w:tr w:rsidR="005018A4" w14:paraId="75C8810B" w14:textId="77777777" w:rsidTr="00302179">
        <w:tc>
          <w:tcPr>
            <w:tcW w:w="9016" w:type="dxa"/>
          </w:tcPr>
          <w:p w14:paraId="68DD1D5B" w14:textId="0CC2873A" w:rsidR="005018A4" w:rsidRPr="005018A4" w:rsidRDefault="005018A4" w:rsidP="00BE164E">
            <w:pPr>
              <w:pStyle w:val="Boxheading"/>
              <w:spacing w:after="120"/>
              <w:rPr>
                <w:szCs w:val="20"/>
              </w:rPr>
            </w:pPr>
            <w:bookmarkStart w:id="73" w:name="Bxpteligibility"/>
            <w:r w:rsidRPr="000E0E2F">
              <w:rPr>
                <w:bCs/>
                <w:szCs w:val="20"/>
              </w:rPr>
              <w:t xml:space="preserve">Box </w:t>
            </w:r>
            <w:r w:rsidR="00A61B29">
              <w:fldChar w:fldCharType="begin"/>
            </w:r>
            <w:r w:rsidR="00A61B29">
              <w:instrText xml:space="preserve"> SEQ Box \* ARABIC </w:instrText>
            </w:r>
            <w:r w:rsidR="00A61B29">
              <w:fldChar w:fldCharType="separate"/>
            </w:r>
            <w:r w:rsidR="003C4BC2">
              <w:rPr>
                <w:noProof/>
              </w:rPr>
              <w:t>5</w:t>
            </w:r>
            <w:r w:rsidR="00A61B29">
              <w:rPr>
                <w:noProof/>
              </w:rPr>
              <w:fldChar w:fldCharType="end"/>
            </w:r>
            <w:bookmarkEnd w:id="73"/>
            <w:r w:rsidRPr="000E0E2F">
              <w:rPr>
                <w:bCs/>
                <w:szCs w:val="20"/>
              </w:rPr>
              <w:t xml:space="preserve">: </w:t>
            </w:r>
            <w:r w:rsidRPr="000E0E2F">
              <w:rPr>
                <w:szCs w:val="20"/>
              </w:rPr>
              <w:t>P</w:t>
            </w:r>
            <w:r w:rsidRPr="005018A4">
              <w:rPr>
                <w:szCs w:val="20"/>
              </w:rPr>
              <w:t>atient eligibility for HCH</w:t>
            </w:r>
            <w:r w:rsidR="00D94785" w:rsidRPr="00D94785">
              <w:rPr>
                <w:rStyle w:val="FootnoteReference"/>
                <w:sz w:val="18"/>
                <w:szCs w:val="18"/>
              </w:rPr>
              <w:footnoteReference w:id="19"/>
            </w:r>
          </w:p>
          <w:p w14:paraId="05BC144A" w14:textId="77777777" w:rsidR="005018A4" w:rsidRPr="002E5EA0" w:rsidRDefault="005018A4" w:rsidP="00BE164E">
            <w:pPr>
              <w:pStyle w:val="ListParagraph"/>
              <w:numPr>
                <w:ilvl w:val="0"/>
                <w:numId w:val="10"/>
              </w:numPr>
              <w:spacing w:after="120"/>
              <w:rPr>
                <w:sz w:val="18"/>
                <w:szCs w:val="18"/>
              </w:rPr>
            </w:pPr>
            <w:r w:rsidRPr="002E5EA0">
              <w:rPr>
                <w:sz w:val="18"/>
                <w:szCs w:val="18"/>
              </w:rPr>
              <w:t>Green or blue Medicare Card holders.</w:t>
            </w:r>
          </w:p>
          <w:p w14:paraId="1B630166" w14:textId="77777777" w:rsidR="005018A4" w:rsidRPr="002E5EA0" w:rsidRDefault="005018A4" w:rsidP="00BE164E">
            <w:pPr>
              <w:pStyle w:val="ListParagraph"/>
              <w:numPr>
                <w:ilvl w:val="0"/>
                <w:numId w:val="10"/>
              </w:numPr>
              <w:spacing w:after="120"/>
              <w:rPr>
                <w:sz w:val="18"/>
                <w:szCs w:val="18"/>
              </w:rPr>
            </w:pPr>
            <w:r w:rsidRPr="002E5EA0">
              <w:rPr>
                <w:sz w:val="18"/>
                <w:szCs w:val="18"/>
              </w:rPr>
              <w:t>Not a resident of a residential aged care facility.</w:t>
            </w:r>
          </w:p>
          <w:p w14:paraId="40396778" w14:textId="77777777" w:rsidR="005018A4" w:rsidRPr="002E5EA0" w:rsidRDefault="005018A4" w:rsidP="00BE164E">
            <w:pPr>
              <w:pStyle w:val="ListParagraph"/>
              <w:numPr>
                <w:ilvl w:val="0"/>
                <w:numId w:val="10"/>
              </w:numPr>
              <w:spacing w:after="120"/>
              <w:rPr>
                <w:sz w:val="18"/>
                <w:szCs w:val="18"/>
              </w:rPr>
            </w:pPr>
            <w:r w:rsidRPr="002E5EA0">
              <w:rPr>
                <w:sz w:val="18"/>
                <w:szCs w:val="18"/>
              </w:rPr>
              <w:t>Not enrolled in the Department of Veterans’ Affairs Coordinated Veterans’ Care Program.</w:t>
            </w:r>
          </w:p>
          <w:p w14:paraId="2D963052" w14:textId="5326817F" w:rsidR="005018A4" w:rsidRPr="00C26A11" w:rsidRDefault="005018A4" w:rsidP="00BE164E">
            <w:pPr>
              <w:pStyle w:val="ListParagraph"/>
              <w:numPr>
                <w:ilvl w:val="0"/>
                <w:numId w:val="10"/>
              </w:numPr>
              <w:spacing w:after="120"/>
              <w:rPr>
                <w:sz w:val="18"/>
                <w:szCs w:val="18"/>
              </w:rPr>
            </w:pPr>
            <w:r w:rsidRPr="002E5EA0">
              <w:rPr>
                <w:sz w:val="18"/>
                <w:szCs w:val="18"/>
              </w:rPr>
              <w:t>Chronically ill with a score returned from the risk stratification tool (RST) that is above the threshold for patients considered for the program, and the subsequent HARP assessment results in the patient being assigned to one of the three risk tiers.</w:t>
            </w:r>
          </w:p>
        </w:tc>
      </w:tr>
    </w:tbl>
    <w:p w14:paraId="280B793C" w14:textId="73FBCDF0" w:rsidR="005018A4" w:rsidRDefault="005018A4" w:rsidP="00DB19D6">
      <w:pPr>
        <w:spacing w:after="0"/>
      </w:pPr>
    </w:p>
    <w:p w14:paraId="5FE5551D" w14:textId="163FAFB2" w:rsidR="00F726D6" w:rsidRPr="00A108D0" w:rsidRDefault="00F726D6" w:rsidP="00F726D6">
      <w:r w:rsidRPr="00A108D0">
        <w:t xml:space="preserve">The </w:t>
      </w:r>
      <w:r w:rsidRPr="00A108D0">
        <w:rPr>
          <w:i/>
        </w:rPr>
        <w:t>Handbook for general practices and Aboriginal Community Controlled Health Services</w:t>
      </w:r>
      <w:r w:rsidR="00675238" w:rsidRPr="00C26A11">
        <w:rPr>
          <w:rStyle w:val="FootnoteReference"/>
          <w:iCs/>
          <w:color w:val="408BCA"/>
        </w:rPr>
        <w:footnoteReference w:id="20"/>
      </w:r>
      <w:r w:rsidRPr="00C26A11">
        <w:rPr>
          <w:iCs/>
          <w:color w:val="408BCA"/>
        </w:rPr>
        <w:t xml:space="preserve"> </w:t>
      </w:r>
      <w:r w:rsidRPr="00A108D0">
        <w:t>outline</w:t>
      </w:r>
      <w:r w:rsidR="00675238">
        <w:t>d</w:t>
      </w:r>
      <w:r w:rsidRPr="00A108D0">
        <w:t xml:space="preserve"> the following service delivery features expected of HCHs:</w:t>
      </w:r>
    </w:p>
    <w:p w14:paraId="7BFF1026" w14:textId="77777777" w:rsidR="00F726D6" w:rsidRPr="00A108D0" w:rsidRDefault="00F726D6" w:rsidP="00920D50">
      <w:pPr>
        <w:pStyle w:val="ListParagraph"/>
        <w:numPr>
          <w:ilvl w:val="0"/>
          <w:numId w:val="11"/>
        </w:numPr>
        <w:ind w:left="714" w:hanging="357"/>
        <w:contextualSpacing w:val="0"/>
      </w:pPr>
      <w:r w:rsidRPr="00A108D0">
        <w:rPr>
          <w:b/>
        </w:rPr>
        <w:t>Enhanced access to care</w:t>
      </w:r>
      <w:r w:rsidRPr="00A108D0">
        <w:t>. Aimed at supporting a patient’s confidence in self-managing their condition through in-hours telephone support, email or video-conferencing, as well as access to after-hours care where a practice already provides this for their patients.</w:t>
      </w:r>
    </w:p>
    <w:p w14:paraId="031B811D" w14:textId="0B305435" w:rsidR="00F726D6" w:rsidRPr="00A108D0" w:rsidRDefault="00F726D6" w:rsidP="004D48A4">
      <w:pPr>
        <w:pStyle w:val="ListParagraph"/>
        <w:numPr>
          <w:ilvl w:val="0"/>
          <w:numId w:val="11"/>
        </w:numPr>
        <w:ind w:left="714" w:hanging="357"/>
        <w:contextualSpacing w:val="0"/>
      </w:pPr>
      <w:r w:rsidRPr="00A108D0">
        <w:rPr>
          <w:b/>
        </w:rPr>
        <w:t>Data driven improvement</w:t>
      </w:r>
      <w:r w:rsidRPr="00A108D0">
        <w:t xml:space="preserve">. HCHs </w:t>
      </w:r>
      <w:r>
        <w:t>were</w:t>
      </w:r>
      <w:r w:rsidRPr="00A108D0">
        <w:t xml:space="preserve"> expected to collect and use data for internal quality improvement processes.</w:t>
      </w:r>
    </w:p>
    <w:p w14:paraId="5134DA06" w14:textId="482F13BC" w:rsidR="00F726D6" w:rsidRPr="00A108D0" w:rsidRDefault="00F726D6" w:rsidP="004D48A4">
      <w:pPr>
        <w:pStyle w:val="ListParagraph"/>
        <w:numPr>
          <w:ilvl w:val="0"/>
          <w:numId w:val="11"/>
        </w:numPr>
        <w:ind w:left="714" w:hanging="357"/>
        <w:contextualSpacing w:val="0"/>
      </w:pPr>
      <w:r w:rsidRPr="00A108D0">
        <w:rPr>
          <w:b/>
        </w:rPr>
        <w:t>Electronic shared care plans</w:t>
      </w:r>
      <w:r w:rsidRPr="00A108D0">
        <w:t xml:space="preserve">. HCHs </w:t>
      </w:r>
      <w:r w:rsidR="00943390">
        <w:t>needed to</w:t>
      </w:r>
      <w:r w:rsidRPr="00A108D0">
        <w:t xml:space="preserve"> ensure that enrolled patients ha</w:t>
      </w:r>
      <w:r w:rsidR="003A2E66">
        <w:t>d</w:t>
      </w:r>
      <w:r w:rsidRPr="00A108D0">
        <w:t xml:space="preserve"> a shared care plan and </w:t>
      </w:r>
      <w:r w:rsidR="003A2E66">
        <w:t>could</w:t>
      </w:r>
      <w:r w:rsidRPr="00A108D0">
        <w:t xml:space="preserve"> access it. Practices that </w:t>
      </w:r>
      <w:r w:rsidR="00943390">
        <w:t>did not</w:t>
      </w:r>
      <w:r w:rsidRPr="00A108D0">
        <w:t xml:space="preserve"> have electronic plans </w:t>
      </w:r>
      <w:r w:rsidR="00943390">
        <w:t>were given</w:t>
      </w:r>
      <w:r w:rsidRPr="00A108D0">
        <w:t xml:space="preserve"> until 30 November 2018 to implement compliant software.</w:t>
      </w:r>
    </w:p>
    <w:p w14:paraId="739D03A0" w14:textId="43CCE561" w:rsidR="00F726D6" w:rsidRPr="00943390" w:rsidRDefault="00F726D6" w:rsidP="004D48A4">
      <w:pPr>
        <w:pStyle w:val="ListParagraph"/>
        <w:numPr>
          <w:ilvl w:val="0"/>
          <w:numId w:val="11"/>
        </w:numPr>
        <w:ind w:left="714" w:hanging="357"/>
        <w:contextualSpacing w:val="0"/>
        <w:rPr>
          <w:bCs/>
          <w:iCs/>
        </w:rPr>
      </w:pPr>
      <w:r w:rsidRPr="00A108D0">
        <w:rPr>
          <w:b/>
        </w:rPr>
        <w:lastRenderedPageBreak/>
        <w:t>Access to My Health Record</w:t>
      </w:r>
      <w:r w:rsidRPr="00A108D0">
        <w:t xml:space="preserve">. HCHs </w:t>
      </w:r>
      <w:r w:rsidR="00943390">
        <w:t>needed to</w:t>
      </w:r>
      <w:r w:rsidRPr="00A108D0">
        <w:t xml:space="preserve"> be registered with the My Health Record System</w:t>
      </w:r>
      <w:r w:rsidR="00943390">
        <w:t>,</w:t>
      </w:r>
      <w:r w:rsidRPr="00A108D0">
        <w:t xml:space="preserve"> and </w:t>
      </w:r>
      <w:r w:rsidR="00943390">
        <w:t>enrolled</w:t>
      </w:r>
      <w:r w:rsidRPr="00A108D0">
        <w:t xml:space="preserve"> patients </w:t>
      </w:r>
      <w:r w:rsidR="00943390">
        <w:t>were required to have</w:t>
      </w:r>
      <w:r w:rsidRPr="00A108D0">
        <w:t xml:space="preserve"> a My Health Record within a month of enrolment. </w:t>
      </w:r>
      <w:r w:rsidRPr="00943390">
        <w:rPr>
          <w:bCs/>
          <w:iCs/>
        </w:rPr>
        <w:t>This requirement was lifted in</w:t>
      </w:r>
      <w:r w:rsidR="00943390">
        <w:rPr>
          <w:bCs/>
          <w:iCs/>
        </w:rPr>
        <w:t xml:space="preserve"> late</w:t>
      </w:r>
      <w:r w:rsidRPr="00943390">
        <w:rPr>
          <w:bCs/>
          <w:iCs/>
        </w:rPr>
        <w:t xml:space="preserve"> 2018.</w:t>
      </w:r>
    </w:p>
    <w:p w14:paraId="69A11419" w14:textId="318E1332" w:rsidR="00F726D6" w:rsidRPr="00A108D0" w:rsidRDefault="00F726D6" w:rsidP="004D48A4">
      <w:pPr>
        <w:pStyle w:val="ListParagraph"/>
        <w:numPr>
          <w:ilvl w:val="0"/>
          <w:numId w:val="11"/>
        </w:numPr>
        <w:ind w:left="714" w:hanging="357"/>
        <w:contextualSpacing w:val="0"/>
      </w:pPr>
      <w:r w:rsidRPr="00A108D0">
        <w:rPr>
          <w:b/>
        </w:rPr>
        <w:t>Team-based care</w:t>
      </w:r>
      <w:r w:rsidRPr="00A108D0">
        <w:t xml:space="preserve">. HCHs </w:t>
      </w:r>
      <w:r w:rsidR="00943390">
        <w:t>were required</w:t>
      </w:r>
      <w:r w:rsidRPr="00A108D0">
        <w:t xml:space="preserve"> provide care for enrolled patients using a team-based approach, where the patient</w:t>
      </w:r>
      <w:r w:rsidR="00943390">
        <w:t xml:space="preserve"> (and their carer or family)</w:t>
      </w:r>
      <w:r w:rsidRPr="00A108D0">
        <w:t xml:space="preserve"> </w:t>
      </w:r>
      <w:r w:rsidR="00943390">
        <w:t>was</w:t>
      </w:r>
      <w:r w:rsidRPr="00A108D0">
        <w:t xml:space="preserve"> also part of the team. </w:t>
      </w:r>
      <w:r w:rsidR="00943390">
        <w:t>One of the aims of the</w:t>
      </w:r>
      <w:r w:rsidRPr="00A108D0">
        <w:t xml:space="preserve"> bundled payment </w:t>
      </w:r>
      <w:r w:rsidR="00943390">
        <w:t>was</w:t>
      </w:r>
      <w:r w:rsidRPr="00A108D0">
        <w:t xml:space="preserve"> for new roles to be introduced, such as nurse practitioners/ specialists or advanced practice registered nurses, Aboriginal and Torres Strait Islander health practitioners/ workers, care coordinators, medical practice assistants, allied health professionals and pharmacists.</w:t>
      </w:r>
    </w:p>
    <w:p w14:paraId="1E185A23" w14:textId="30459C29" w:rsidR="00F726D6" w:rsidRPr="00DF38D9" w:rsidRDefault="00F726D6" w:rsidP="004D48A4">
      <w:pPr>
        <w:pStyle w:val="ListParagraph"/>
        <w:numPr>
          <w:ilvl w:val="0"/>
          <w:numId w:val="11"/>
        </w:numPr>
        <w:ind w:left="714" w:hanging="357"/>
        <w:contextualSpacing w:val="0"/>
      </w:pPr>
      <w:r w:rsidRPr="00DF38D9">
        <w:rPr>
          <w:b/>
        </w:rPr>
        <w:t>Community pharmacy support</w:t>
      </w:r>
      <w:r w:rsidRPr="00DF38D9">
        <w:t xml:space="preserve">. The </w:t>
      </w:r>
      <w:r w:rsidR="00943390" w:rsidRPr="00DF38D9">
        <w:t xml:space="preserve">community pharmacy trial </w:t>
      </w:r>
      <w:r w:rsidRPr="00DF38D9">
        <w:t>was added in August 2018</w:t>
      </w:r>
      <w:r w:rsidR="00943390" w:rsidRPr="00DF38D9">
        <w:t xml:space="preserve">, aiming to </w:t>
      </w:r>
      <w:r w:rsidRPr="00DF38D9">
        <w:t>provid</w:t>
      </w:r>
      <w:r w:rsidR="00943390" w:rsidRPr="00DF38D9">
        <w:t>e</w:t>
      </w:r>
      <w:r w:rsidRPr="00DF38D9">
        <w:t xml:space="preserve"> HCH patients with access to a community pharmacist to assist them with managing their medications.</w:t>
      </w:r>
      <w:r w:rsidR="00943390" w:rsidRPr="00DF38D9">
        <w:t xml:space="preserve"> </w:t>
      </w:r>
    </w:p>
    <w:p w14:paraId="4810871F" w14:textId="0BD909F1" w:rsidR="00912DC5" w:rsidRDefault="00912DC5" w:rsidP="005018A4">
      <w:pPr>
        <w:pStyle w:val="Heading2"/>
        <w:rPr>
          <w:rFonts w:eastAsia="Muli"/>
        </w:rPr>
      </w:pPr>
      <w:bookmarkStart w:id="74" w:name="_Ref103760331"/>
      <w:bookmarkStart w:id="75" w:name="_Toc109996656"/>
      <w:r>
        <w:rPr>
          <w:rFonts w:eastAsia="Muli"/>
        </w:rPr>
        <w:t>Practice selection</w:t>
      </w:r>
      <w:bookmarkEnd w:id="74"/>
      <w:bookmarkEnd w:id="75"/>
    </w:p>
    <w:p w14:paraId="527E4E6B" w14:textId="061C9DB4" w:rsidR="000E0E2F" w:rsidRPr="000E0E2F" w:rsidRDefault="000E0E2F" w:rsidP="000E0E2F">
      <w:pPr>
        <w:rPr>
          <w:rFonts w:eastAsia="Muli" w:cs="Muli"/>
          <w:color w:val="000000" w:themeColor="text1"/>
          <w:szCs w:val="20"/>
        </w:rPr>
      </w:pPr>
      <w:r w:rsidRPr="000E0E2F">
        <w:rPr>
          <w:rFonts w:eastAsia="Muli" w:cs="Muli"/>
          <w:color w:val="000000" w:themeColor="text1"/>
          <w:szCs w:val="20"/>
        </w:rPr>
        <w:t xml:space="preserve">A call for expressions of interest (EOI) for participating in HCH was issued on 4 November 2016 and closed on 22 December 2016. The Department received 461 eligible applications. The Health State Network Division, involving the state and territory offices of the Department of Health, initially assessed compliance. In a second stage, a Departmental Assessment Committee reviewed the initial compliance assessment scores then considered the mix of selected practices against a sampling frame proposed by </w:t>
      </w:r>
      <w:r w:rsidR="00DB19D6">
        <w:rPr>
          <w:rFonts w:eastAsia="Muli" w:cs="Muli"/>
          <w:color w:val="000000" w:themeColor="text1"/>
          <w:szCs w:val="20"/>
        </w:rPr>
        <w:t>HPA for the evaluation</w:t>
      </w:r>
      <w:r w:rsidRPr="000E0E2F">
        <w:rPr>
          <w:rFonts w:eastAsia="Muli" w:cs="Muli"/>
          <w:color w:val="000000" w:themeColor="text1"/>
          <w:szCs w:val="20"/>
        </w:rPr>
        <w:t>. The sampling frame was used to ensure a minimum number of participating practices were selected for specified categories of ownership, size and location.</w:t>
      </w:r>
    </w:p>
    <w:p w14:paraId="68DEB274" w14:textId="4680E3EB" w:rsidR="003B13AF" w:rsidRPr="00E632B9" w:rsidRDefault="000E0E2F" w:rsidP="003B13AF">
      <w:pPr>
        <w:rPr>
          <w:rFonts w:eastAsia="Muli" w:cs="Muli"/>
          <w:color w:val="000000" w:themeColor="text1"/>
          <w:szCs w:val="20"/>
        </w:rPr>
      </w:pPr>
      <w:r w:rsidRPr="000E0E2F">
        <w:rPr>
          <w:rFonts w:eastAsia="Muli" w:cs="Muli"/>
          <w:color w:val="000000" w:themeColor="text1"/>
          <w:szCs w:val="20"/>
        </w:rPr>
        <w:t xml:space="preserve">Two hundred successful applicants were announced in May 2017 and formal offers made. Some practices decided not to proceed because of change of ownership, business direction, and/ or staffing. </w:t>
      </w:r>
      <w:r w:rsidR="003B13AF" w:rsidRPr="00E632B9">
        <w:rPr>
          <w:rFonts w:eastAsia="Muli" w:cs="Muli"/>
          <w:color w:val="000000" w:themeColor="text1"/>
          <w:szCs w:val="20"/>
        </w:rPr>
        <w:t xml:space="preserve">PHNs </w:t>
      </w:r>
      <w:r w:rsidR="003B13AF">
        <w:rPr>
          <w:rFonts w:eastAsia="Muli" w:cs="Muli"/>
          <w:color w:val="000000" w:themeColor="text1"/>
          <w:szCs w:val="20"/>
        </w:rPr>
        <w:t xml:space="preserve">also </w:t>
      </w:r>
      <w:r w:rsidR="003B13AF" w:rsidRPr="00E632B9">
        <w:rPr>
          <w:rFonts w:eastAsia="Muli" w:cs="Muli"/>
          <w:color w:val="000000" w:themeColor="text1"/>
          <w:szCs w:val="20"/>
        </w:rPr>
        <w:t xml:space="preserve">observed that </w:t>
      </w:r>
      <w:r w:rsidR="003B13AF">
        <w:rPr>
          <w:rFonts w:eastAsia="Muli" w:cs="Muli"/>
          <w:color w:val="000000" w:themeColor="text1"/>
          <w:szCs w:val="20"/>
        </w:rPr>
        <w:t xml:space="preserve">in some instances </w:t>
      </w:r>
      <w:r w:rsidR="003B13AF" w:rsidRPr="00E632B9">
        <w:rPr>
          <w:rFonts w:eastAsia="Muli" w:cs="Muli"/>
          <w:color w:val="000000" w:themeColor="text1"/>
          <w:szCs w:val="20"/>
        </w:rPr>
        <w:t>practice owners (including the head office of practices belonging to a corporate group) or practice managers had submitted the EOI but had not sufficiently discussed the submission with others in the practice, particularly GPs. Insufficient consultation within the practice resulted in some practices declining the offer to participate, and others who took up the offer to subsequently</w:t>
      </w:r>
      <w:r w:rsidR="00CE56E3" w:rsidRPr="00CE56E3">
        <w:rPr>
          <w:rFonts w:eastAsia="Muli" w:cs="Muli"/>
          <w:color w:val="000000" w:themeColor="text1"/>
          <w:szCs w:val="20"/>
        </w:rPr>
        <w:t xml:space="preserve"> </w:t>
      </w:r>
      <w:r w:rsidR="00CE56E3" w:rsidRPr="00E632B9">
        <w:rPr>
          <w:rFonts w:eastAsia="Muli" w:cs="Muli"/>
          <w:color w:val="000000" w:themeColor="text1"/>
          <w:szCs w:val="20"/>
        </w:rPr>
        <w:t>withdraw</w:t>
      </w:r>
      <w:r w:rsidR="003B13AF" w:rsidRPr="00E632B9">
        <w:rPr>
          <w:rFonts w:eastAsia="Muli" w:cs="Muli"/>
          <w:color w:val="000000" w:themeColor="text1"/>
          <w:szCs w:val="20"/>
        </w:rPr>
        <w:t>.</w:t>
      </w:r>
    </w:p>
    <w:p w14:paraId="52934A51" w14:textId="773E52C2" w:rsidR="000E0E2F" w:rsidRDefault="000E0E2F" w:rsidP="000E0E2F">
      <w:pPr>
        <w:rPr>
          <w:rFonts w:eastAsia="Muli" w:cs="Muli"/>
          <w:color w:val="000000" w:themeColor="text1"/>
          <w:szCs w:val="20"/>
        </w:rPr>
      </w:pPr>
      <w:r w:rsidRPr="000E0E2F">
        <w:rPr>
          <w:rFonts w:eastAsia="Muli" w:cs="Muli"/>
          <w:color w:val="000000" w:themeColor="text1"/>
          <w:szCs w:val="20"/>
        </w:rPr>
        <w:t xml:space="preserve">To achieve the target of 200 HCHs, the Department drew on its reserve list of 136 practices </w:t>
      </w:r>
      <w:r w:rsidR="00DB19D6" w:rsidRPr="000E0E2F">
        <w:rPr>
          <w:rFonts w:eastAsia="Muli" w:cs="Muli"/>
          <w:color w:val="000000" w:themeColor="text1"/>
          <w:szCs w:val="20"/>
        </w:rPr>
        <w:t>and</w:t>
      </w:r>
      <w:r w:rsidRPr="000E0E2F">
        <w:rPr>
          <w:rFonts w:eastAsia="Muli" w:cs="Muli"/>
          <w:color w:val="000000" w:themeColor="text1"/>
          <w:szCs w:val="20"/>
        </w:rPr>
        <w:t xml:space="preserve"> some of the 125 practices originally considered unsuitable. PHNs were also asked to approach practices to apply.</w:t>
      </w:r>
    </w:p>
    <w:p w14:paraId="7796F165" w14:textId="71BC9F91" w:rsidR="000E0E2F" w:rsidRPr="000E0E2F" w:rsidRDefault="000E0E2F" w:rsidP="000E0E2F">
      <w:pPr>
        <w:rPr>
          <w:rFonts w:eastAsia="Muli" w:cs="Muli"/>
          <w:color w:val="000000" w:themeColor="text1"/>
          <w:szCs w:val="20"/>
        </w:rPr>
      </w:pPr>
      <w:r w:rsidRPr="000E0E2F">
        <w:rPr>
          <w:rFonts w:eastAsia="Muli" w:cs="Muli"/>
          <w:color w:val="000000" w:themeColor="text1"/>
          <w:szCs w:val="20"/>
        </w:rPr>
        <w:t xml:space="preserve">Following the initial announcement of practices, many PHNs met with the selected practices either individually or as a group. Some PHNs held workshops/information sessions for the selected practices to provide more information about the program. Some of the practices were still deciding whether to </w:t>
      </w:r>
      <w:r w:rsidR="00DB19D6">
        <w:rPr>
          <w:rFonts w:eastAsia="Muli" w:cs="Muli"/>
          <w:color w:val="000000" w:themeColor="text1"/>
          <w:szCs w:val="20"/>
        </w:rPr>
        <w:t>proceed with the offer at</w:t>
      </w:r>
      <w:r w:rsidRPr="000E0E2F">
        <w:rPr>
          <w:rFonts w:eastAsia="Muli" w:cs="Muli"/>
          <w:color w:val="000000" w:themeColor="text1"/>
          <w:szCs w:val="20"/>
        </w:rPr>
        <w:t xml:space="preserve"> that stage. One corporate group initiated a roadshow for its practices who were given an initial offer. PHN practice facilitators joined the corporate representatives in the local forums for practices within their region.</w:t>
      </w:r>
    </w:p>
    <w:p w14:paraId="74B7A613" w14:textId="216ACC7A" w:rsidR="000E0E2F" w:rsidRPr="000E0E2F" w:rsidRDefault="000E0E2F" w:rsidP="000E0E2F">
      <w:pPr>
        <w:rPr>
          <w:rFonts w:eastAsia="Muli" w:cs="Muli"/>
          <w:color w:val="000000" w:themeColor="text1"/>
          <w:szCs w:val="20"/>
        </w:rPr>
      </w:pPr>
      <w:r w:rsidRPr="000E0E2F">
        <w:rPr>
          <w:rFonts w:eastAsia="Muli" w:cs="Muli"/>
          <w:color w:val="000000" w:themeColor="text1"/>
          <w:szCs w:val="20"/>
        </w:rPr>
        <w:t xml:space="preserve">Some PHNs developed additional resources to help communicate with practices during the initial recruitment phase. For example, one PHN developed an abridged (10-page) version of the Department’s practice handbook as </w:t>
      </w:r>
      <w:r w:rsidR="00ED1ED4">
        <w:rPr>
          <w:rFonts w:eastAsia="Muli" w:cs="Muli"/>
          <w:color w:val="000000" w:themeColor="text1"/>
          <w:szCs w:val="20"/>
        </w:rPr>
        <w:t>they thought</w:t>
      </w:r>
      <w:r w:rsidRPr="000E0E2F">
        <w:rPr>
          <w:rFonts w:eastAsia="Muli" w:cs="Muli"/>
          <w:color w:val="000000" w:themeColor="text1"/>
          <w:szCs w:val="20"/>
        </w:rPr>
        <w:t xml:space="preserve"> that 30 plus pages were too much for practices to digest at that point. Another PHN outlined the roles of the practice facilitators </w:t>
      </w:r>
      <w:r w:rsidRPr="000E0E2F">
        <w:rPr>
          <w:rFonts w:eastAsia="Muli" w:cs="Muli"/>
          <w:color w:val="000000" w:themeColor="text1"/>
          <w:szCs w:val="20"/>
        </w:rPr>
        <w:lastRenderedPageBreak/>
        <w:t xml:space="preserve">and their skill sets so that practices could know who could help and how. The PHNs used the resources they developed in the workshops with practices or took them along to </w:t>
      </w:r>
      <w:r w:rsidR="00DB19D6">
        <w:rPr>
          <w:rFonts w:eastAsia="Muli" w:cs="Muli"/>
          <w:color w:val="000000" w:themeColor="text1"/>
          <w:szCs w:val="20"/>
        </w:rPr>
        <w:t xml:space="preserve">site </w:t>
      </w:r>
      <w:r w:rsidRPr="000E0E2F">
        <w:rPr>
          <w:rFonts w:eastAsia="Muli" w:cs="Muli"/>
          <w:color w:val="000000" w:themeColor="text1"/>
          <w:szCs w:val="20"/>
        </w:rPr>
        <w:t>visits.</w:t>
      </w:r>
    </w:p>
    <w:p w14:paraId="39428541" w14:textId="438C832A" w:rsidR="00C142AE" w:rsidRDefault="000E0E2F" w:rsidP="000E0E2F">
      <w:pPr>
        <w:rPr>
          <w:rFonts w:eastAsia="Muli" w:cs="Muli"/>
          <w:color w:val="000000" w:themeColor="text1"/>
          <w:szCs w:val="20"/>
        </w:rPr>
      </w:pPr>
      <w:r w:rsidRPr="000E0E2F">
        <w:rPr>
          <w:rFonts w:eastAsia="Muli" w:cs="Muli"/>
          <w:color w:val="000000" w:themeColor="text1"/>
          <w:szCs w:val="20"/>
        </w:rPr>
        <w:t xml:space="preserve">The week before the 1 October 2017 start, 173 HCHs had been recruited, with 22 starting on 1 October and the remainder to start on 1 December 2017. However, practices continued to withdraw, and as they did, </w:t>
      </w:r>
      <w:r w:rsidR="001D1423">
        <w:rPr>
          <w:rFonts w:eastAsia="Muli" w:cs="Muli"/>
          <w:color w:val="000000" w:themeColor="text1"/>
          <w:szCs w:val="20"/>
        </w:rPr>
        <w:t xml:space="preserve">with help from the PHNs, </w:t>
      </w:r>
      <w:r w:rsidRPr="000E0E2F">
        <w:rPr>
          <w:rFonts w:eastAsia="Muli" w:cs="Muli"/>
          <w:color w:val="000000" w:themeColor="text1"/>
          <w:szCs w:val="20"/>
        </w:rPr>
        <w:t xml:space="preserve">the Department invited additional </w:t>
      </w:r>
      <w:r w:rsidRPr="00DB19D6">
        <w:rPr>
          <w:rFonts w:eastAsia="Muli" w:cs="Muli"/>
          <w:color w:val="000000" w:themeColor="text1"/>
          <w:szCs w:val="20"/>
        </w:rPr>
        <w:t>practices to join.</w:t>
      </w:r>
    </w:p>
    <w:p w14:paraId="04B54DE7" w14:textId="48BA5D32" w:rsidR="00F140FC" w:rsidRDefault="0027062F" w:rsidP="00E632B9">
      <w:pPr>
        <w:rPr>
          <w:rFonts w:eastAsia="Muli" w:cs="Muli"/>
          <w:color w:val="000000" w:themeColor="text1"/>
          <w:szCs w:val="20"/>
        </w:rPr>
      </w:pPr>
      <w:r>
        <w:rPr>
          <w:rFonts w:eastAsia="Muli" w:cs="Muli"/>
          <w:color w:val="000000" w:themeColor="text1"/>
          <w:szCs w:val="20"/>
        </w:rPr>
        <w:t xml:space="preserve">In the initial round of interviews, </w:t>
      </w:r>
      <w:r w:rsidR="007C151B" w:rsidRPr="00E632B9">
        <w:rPr>
          <w:rFonts w:eastAsia="Muli" w:cs="Muli"/>
          <w:color w:val="000000" w:themeColor="text1"/>
          <w:szCs w:val="20"/>
        </w:rPr>
        <w:t>PHNs</w:t>
      </w:r>
      <w:r>
        <w:rPr>
          <w:rFonts w:eastAsia="Muli" w:cs="Muli"/>
          <w:color w:val="000000" w:themeColor="text1"/>
          <w:szCs w:val="20"/>
        </w:rPr>
        <w:t xml:space="preserve"> expressed </w:t>
      </w:r>
      <w:r w:rsidR="007C151B" w:rsidRPr="00E632B9">
        <w:rPr>
          <w:rFonts w:eastAsia="Muli" w:cs="Muli"/>
          <w:color w:val="000000" w:themeColor="text1"/>
          <w:szCs w:val="20"/>
        </w:rPr>
        <w:t xml:space="preserve">that there wasn’t enough information given to practices about the </w:t>
      </w:r>
      <w:r>
        <w:rPr>
          <w:rFonts w:eastAsia="Muli" w:cs="Muli"/>
          <w:color w:val="000000" w:themeColor="text1"/>
          <w:szCs w:val="20"/>
        </w:rPr>
        <w:t xml:space="preserve">trial </w:t>
      </w:r>
      <w:r w:rsidR="007C151B" w:rsidRPr="00E632B9">
        <w:rPr>
          <w:rFonts w:eastAsia="Muli" w:cs="Muli"/>
          <w:color w:val="000000" w:themeColor="text1"/>
          <w:szCs w:val="20"/>
        </w:rPr>
        <w:t xml:space="preserve">when </w:t>
      </w:r>
      <w:r w:rsidR="009F1F21">
        <w:rPr>
          <w:rFonts w:eastAsia="Muli" w:cs="Muli"/>
          <w:color w:val="000000" w:themeColor="text1"/>
          <w:szCs w:val="20"/>
        </w:rPr>
        <w:t>practices</w:t>
      </w:r>
      <w:r w:rsidR="007C151B" w:rsidRPr="00E632B9">
        <w:rPr>
          <w:rFonts w:eastAsia="Muli" w:cs="Muli"/>
          <w:color w:val="000000" w:themeColor="text1"/>
          <w:szCs w:val="20"/>
        </w:rPr>
        <w:t xml:space="preserve"> applied, as they observed that some practices were surprised by the requirements</w:t>
      </w:r>
      <w:r w:rsidR="009F1F21">
        <w:rPr>
          <w:rFonts w:eastAsia="Muli" w:cs="Muli"/>
          <w:color w:val="000000" w:themeColor="text1"/>
          <w:szCs w:val="20"/>
        </w:rPr>
        <w:t xml:space="preserve"> </w:t>
      </w:r>
      <w:r w:rsidR="00C17C07">
        <w:rPr>
          <w:rFonts w:eastAsia="Muli" w:cs="Muli"/>
          <w:color w:val="000000" w:themeColor="text1"/>
          <w:szCs w:val="20"/>
        </w:rPr>
        <w:t>articulated in their agreement</w:t>
      </w:r>
      <w:r w:rsidR="007C151B" w:rsidRPr="00E632B9">
        <w:rPr>
          <w:rFonts w:eastAsia="Muli" w:cs="Muli"/>
          <w:color w:val="000000" w:themeColor="text1"/>
          <w:szCs w:val="20"/>
        </w:rPr>
        <w:t xml:space="preserve">. </w:t>
      </w:r>
      <w:r w:rsidR="00CA258E" w:rsidRPr="00CA258E">
        <w:rPr>
          <w:rFonts w:eastAsia="Muli" w:cs="Muli"/>
          <w:color w:val="000000" w:themeColor="text1"/>
          <w:szCs w:val="20"/>
        </w:rPr>
        <w:t xml:space="preserve">The consequences of </w:t>
      </w:r>
      <w:r w:rsidR="00CA258E">
        <w:rPr>
          <w:rFonts w:eastAsia="Muli" w:cs="Muli"/>
          <w:color w:val="000000" w:themeColor="text1"/>
          <w:szCs w:val="20"/>
        </w:rPr>
        <w:t xml:space="preserve">this were </w:t>
      </w:r>
      <w:r w:rsidR="00CA258E" w:rsidRPr="00CA258E">
        <w:rPr>
          <w:rFonts w:eastAsia="Muli" w:cs="Muli"/>
          <w:color w:val="000000" w:themeColor="text1"/>
          <w:szCs w:val="20"/>
        </w:rPr>
        <w:t xml:space="preserve">that </w:t>
      </w:r>
      <w:r w:rsidR="00CA258E">
        <w:rPr>
          <w:rFonts w:eastAsia="Muli" w:cs="Muli"/>
          <w:color w:val="000000" w:themeColor="text1"/>
          <w:szCs w:val="20"/>
        </w:rPr>
        <w:t>practices</w:t>
      </w:r>
      <w:r w:rsidR="00CA258E" w:rsidRPr="00CA258E">
        <w:rPr>
          <w:rFonts w:eastAsia="Muli" w:cs="Muli"/>
          <w:color w:val="000000" w:themeColor="text1"/>
          <w:szCs w:val="20"/>
        </w:rPr>
        <w:t xml:space="preserve"> withdr</w:t>
      </w:r>
      <w:r w:rsidR="00743349">
        <w:rPr>
          <w:rFonts w:eastAsia="Muli" w:cs="Muli"/>
          <w:color w:val="000000" w:themeColor="text1"/>
          <w:szCs w:val="20"/>
        </w:rPr>
        <w:t>e</w:t>
      </w:r>
      <w:r w:rsidR="00CA258E" w:rsidRPr="00CA258E">
        <w:rPr>
          <w:rFonts w:eastAsia="Muli" w:cs="Muli"/>
          <w:color w:val="000000" w:themeColor="text1"/>
          <w:szCs w:val="20"/>
        </w:rPr>
        <w:t xml:space="preserve">w from the trial once they understood the detail </w:t>
      </w:r>
      <w:r w:rsidR="00A826E5">
        <w:t xml:space="preserve">due to having different expectations about </w:t>
      </w:r>
      <w:r w:rsidR="00981188">
        <w:t>what it meant participate</w:t>
      </w:r>
      <w:r w:rsidR="00CA258E" w:rsidRPr="00CA258E">
        <w:rPr>
          <w:rFonts w:eastAsia="Muli" w:cs="Muli"/>
          <w:color w:val="000000" w:themeColor="text1"/>
          <w:szCs w:val="20"/>
        </w:rPr>
        <w:t>, or they took time to understand the detail after they joined the trial, thus delaying patient enrolment.</w:t>
      </w:r>
      <w:r w:rsidR="00CA258E">
        <w:rPr>
          <w:rFonts w:eastAsia="Muli" w:cs="Muli"/>
          <w:color w:val="000000" w:themeColor="text1"/>
          <w:szCs w:val="20"/>
        </w:rPr>
        <w:t xml:space="preserve"> </w:t>
      </w:r>
      <w:r w:rsidR="00FC64ED">
        <w:rPr>
          <w:rFonts w:eastAsia="Muli" w:cs="Muli"/>
          <w:color w:val="000000" w:themeColor="text1"/>
          <w:szCs w:val="20"/>
        </w:rPr>
        <w:t xml:space="preserve">PHNs suggested that </w:t>
      </w:r>
      <w:r w:rsidR="004B504C">
        <w:rPr>
          <w:rFonts w:eastAsia="Muli" w:cs="Muli"/>
          <w:color w:val="000000" w:themeColor="text1"/>
          <w:szCs w:val="20"/>
        </w:rPr>
        <w:t>the Depart</w:t>
      </w:r>
      <w:r w:rsidR="00DC675E">
        <w:rPr>
          <w:rFonts w:eastAsia="Muli" w:cs="Muli"/>
          <w:color w:val="000000" w:themeColor="text1"/>
          <w:szCs w:val="20"/>
        </w:rPr>
        <w:t xml:space="preserve">ment could have </w:t>
      </w:r>
      <w:r w:rsidR="004B504C" w:rsidRPr="004B504C">
        <w:rPr>
          <w:rFonts w:eastAsia="Muli" w:cs="Muli"/>
          <w:color w:val="000000" w:themeColor="text1"/>
          <w:szCs w:val="20"/>
        </w:rPr>
        <w:t>arrange</w:t>
      </w:r>
      <w:r w:rsidR="00DC675E">
        <w:rPr>
          <w:rFonts w:eastAsia="Muli" w:cs="Muli"/>
          <w:color w:val="000000" w:themeColor="text1"/>
          <w:szCs w:val="20"/>
        </w:rPr>
        <w:t>d</w:t>
      </w:r>
      <w:r w:rsidR="004B504C" w:rsidRPr="004B504C">
        <w:rPr>
          <w:rFonts w:eastAsia="Muli" w:cs="Muli"/>
          <w:color w:val="000000" w:themeColor="text1"/>
          <w:szCs w:val="20"/>
        </w:rPr>
        <w:t xml:space="preserve"> formal information sessions for prospective HCH practices before applications were due</w:t>
      </w:r>
      <w:r w:rsidR="00B216A7">
        <w:rPr>
          <w:rFonts w:eastAsia="Muli" w:cs="Muli"/>
          <w:color w:val="000000" w:themeColor="text1"/>
          <w:szCs w:val="20"/>
        </w:rPr>
        <w:t xml:space="preserve">. </w:t>
      </w:r>
      <w:r w:rsidR="00B216A7" w:rsidRPr="00B216A7">
        <w:rPr>
          <w:rFonts w:eastAsia="Muli" w:cs="Muli"/>
          <w:color w:val="000000" w:themeColor="text1"/>
          <w:szCs w:val="20"/>
        </w:rPr>
        <w:t>The sessions could have articulated what a HCH is</w:t>
      </w:r>
      <w:r w:rsidR="003F7A32">
        <w:rPr>
          <w:rFonts w:eastAsia="Muli" w:cs="Muli"/>
          <w:color w:val="000000" w:themeColor="text1"/>
          <w:szCs w:val="20"/>
        </w:rPr>
        <w:t xml:space="preserve"> and </w:t>
      </w:r>
      <w:r w:rsidR="00B216A7" w:rsidRPr="00B216A7">
        <w:rPr>
          <w:rFonts w:eastAsia="Muli" w:cs="Muli"/>
          <w:color w:val="000000" w:themeColor="text1"/>
          <w:szCs w:val="20"/>
        </w:rPr>
        <w:t>the transformation journey expected from practices</w:t>
      </w:r>
      <w:r w:rsidR="003F7A32">
        <w:rPr>
          <w:rFonts w:eastAsia="Muli" w:cs="Muli"/>
          <w:color w:val="000000" w:themeColor="text1"/>
          <w:szCs w:val="20"/>
        </w:rPr>
        <w:t xml:space="preserve">. They </w:t>
      </w:r>
      <w:r w:rsidR="00B216A7" w:rsidRPr="00B216A7">
        <w:rPr>
          <w:rFonts w:eastAsia="Muli" w:cs="Muli"/>
          <w:color w:val="000000" w:themeColor="text1"/>
          <w:szCs w:val="20"/>
        </w:rPr>
        <w:t>could have</w:t>
      </w:r>
      <w:r w:rsidR="003F7A32">
        <w:rPr>
          <w:rFonts w:eastAsia="Muli" w:cs="Muli"/>
          <w:color w:val="000000" w:themeColor="text1"/>
          <w:szCs w:val="20"/>
        </w:rPr>
        <w:t xml:space="preserve"> also</w:t>
      </w:r>
      <w:r w:rsidR="00B216A7" w:rsidRPr="00B216A7">
        <w:rPr>
          <w:rFonts w:eastAsia="Muli" w:cs="Muli"/>
          <w:color w:val="000000" w:themeColor="text1"/>
          <w:szCs w:val="20"/>
        </w:rPr>
        <w:t xml:space="preserve"> been used to promote the </w:t>
      </w:r>
      <w:r w:rsidR="00F70202">
        <w:rPr>
          <w:rFonts w:eastAsia="Muli" w:cs="Muli"/>
          <w:color w:val="000000" w:themeColor="text1"/>
          <w:szCs w:val="20"/>
        </w:rPr>
        <w:t>trial</w:t>
      </w:r>
      <w:r w:rsidR="00B216A7" w:rsidRPr="00B216A7">
        <w:rPr>
          <w:rFonts w:eastAsia="Muli" w:cs="Muli"/>
          <w:color w:val="000000" w:themeColor="text1"/>
          <w:szCs w:val="20"/>
        </w:rPr>
        <w:t>.</w:t>
      </w:r>
      <w:r w:rsidR="00CA258E">
        <w:rPr>
          <w:rFonts w:eastAsia="Muli" w:cs="Muli"/>
          <w:color w:val="000000" w:themeColor="text1"/>
          <w:szCs w:val="20"/>
        </w:rPr>
        <w:t xml:space="preserve"> </w:t>
      </w:r>
      <w:r w:rsidR="00B216A7">
        <w:rPr>
          <w:rFonts w:eastAsia="Muli" w:cs="Muli"/>
          <w:color w:val="000000" w:themeColor="text1"/>
          <w:szCs w:val="20"/>
        </w:rPr>
        <w:t xml:space="preserve">PHNs also suggested that they should have been more closely involved in the initial </w:t>
      </w:r>
      <w:r w:rsidR="00B26B30">
        <w:rPr>
          <w:rFonts w:eastAsia="Muli" w:cs="Muli"/>
          <w:color w:val="000000" w:themeColor="text1"/>
          <w:szCs w:val="20"/>
        </w:rPr>
        <w:t>recruitment</w:t>
      </w:r>
      <w:r w:rsidR="00B216A7">
        <w:rPr>
          <w:rFonts w:eastAsia="Muli" w:cs="Muli"/>
          <w:color w:val="000000" w:themeColor="text1"/>
          <w:szCs w:val="20"/>
        </w:rPr>
        <w:t xml:space="preserve"> </w:t>
      </w:r>
      <w:r w:rsidR="003F7A32">
        <w:rPr>
          <w:rFonts w:eastAsia="Muli" w:cs="Muli"/>
          <w:color w:val="000000" w:themeColor="text1"/>
          <w:szCs w:val="20"/>
        </w:rPr>
        <w:t>of practices</w:t>
      </w:r>
      <w:r w:rsidR="00B26B30">
        <w:rPr>
          <w:rFonts w:eastAsia="Muli" w:cs="Muli"/>
          <w:color w:val="000000" w:themeColor="text1"/>
          <w:szCs w:val="20"/>
        </w:rPr>
        <w:t xml:space="preserve">, as they could have </w:t>
      </w:r>
      <w:r w:rsidR="00EC0E6C">
        <w:rPr>
          <w:rFonts w:eastAsia="Muli" w:cs="Muli"/>
          <w:color w:val="000000" w:themeColor="text1"/>
          <w:szCs w:val="20"/>
        </w:rPr>
        <w:t xml:space="preserve">helped with providing information about </w:t>
      </w:r>
      <w:r w:rsidR="00766C5C">
        <w:rPr>
          <w:rFonts w:eastAsia="Muli" w:cs="Muli"/>
          <w:color w:val="000000" w:themeColor="text1"/>
          <w:szCs w:val="20"/>
        </w:rPr>
        <w:t xml:space="preserve">HCH to practices and advised on </w:t>
      </w:r>
      <w:r w:rsidR="00EC0E6C">
        <w:rPr>
          <w:rFonts w:eastAsia="Muli" w:cs="Muli"/>
          <w:color w:val="000000" w:themeColor="text1"/>
          <w:szCs w:val="20"/>
        </w:rPr>
        <w:t>practices’ readiness</w:t>
      </w:r>
      <w:r w:rsidR="00766C5C">
        <w:rPr>
          <w:rFonts w:eastAsia="Muli" w:cs="Muli"/>
          <w:color w:val="000000" w:themeColor="text1"/>
          <w:szCs w:val="20"/>
        </w:rPr>
        <w:t xml:space="preserve"> </w:t>
      </w:r>
      <w:r w:rsidR="001C16A8">
        <w:rPr>
          <w:rFonts w:eastAsia="Muli" w:cs="Muli"/>
          <w:color w:val="000000" w:themeColor="text1"/>
          <w:szCs w:val="20"/>
        </w:rPr>
        <w:t>in the selection process</w:t>
      </w:r>
      <w:r w:rsidR="003B13AF">
        <w:rPr>
          <w:rFonts w:eastAsia="Muli" w:cs="Muli"/>
          <w:color w:val="000000" w:themeColor="text1"/>
          <w:szCs w:val="20"/>
        </w:rPr>
        <w:t>.</w:t>
      </w:r>
    </w:p>
    <w:p w14:paraId="5B41A613" w14:textId="77777777" w:rsidR="00943390" w:rsidRDefault="00943390" w:rsidP="00943390">
      <w:pPr>
        <w:pStyle w:val="Heading2"/>
      </w:pPr>
      <w:bookmarkStart w:id="76" w:name="_Toc109996657"/>
      <w:r>
        <w:t>Program governance</w:t>
      </w:r>
      <w:bookmarkEnd w:id="76"/>
    </w:p>
    <w:p w14:paraId="008D1859" w14:textId="77777777" w:rsidR="00943390" w:rsidRDefault="00943390" w:rsidP="00943390">
      <w:pPr>
        <w:rPr>
          <w:szCs w:val="20"/>
        </w:rPr>
      </w:pPr>
      <w:r>
        <w:t xml:space="preserve">To provide expert advice on the implementation of the program, the Department established a two-tiered governance structure consisting of an overarching </w:t>
      </w:r>
      <w:r w:rsidRPr="00A67BA6">
        <w:t xml:space="preserve">Implementation Advisory Group (IAG) </w:t>
      </w:r>
      <w:r>
        <w:t>and specialised working groups</w:t>
      </w:r>
      <w:r>
        <w:rPr>
          <w:szCs w:val="20"/>
        </w:rPr>
        <w:t>. The specialised working groups were as follows:</w:t>
      </w:r>
    </w:p>
    <w:p w14:paraId="3FEBC1F5" w14:textId="77777777" w:rsidR="00943390" w:rsidRDefault="00943390" w:rsidP="004D48A4">
      <w:pPr>
        <w:pStyle w:val="ListParagraph"/>
        <w:numPr>
          <w:ilvl w:val="0"/>
          <w:numId w:val="12"/>
        </w:numPr>
      </w:pPr>
      <w:r>
        <w:t xml:space="preserve">Payment Mechanisms Working Group </w:t>
      </w:r>
    </w:p>
    <w:p w14:paraId="527CB39D" w14:textId="77777777" w:rsidR="00943390" w:rsidRDefault="00943390" w:rsidP="004D48A4">
      <w:pPr>
        <w:pStyle w:val="ListParagraph"/>
        <w:numPr>
          <w:ilvl w:val="0"/>
          <w:numId w:val="12"/>
        </w:numPr>
      </w:pPr>
      <w:r>
        <w:t xml:space="preserve">Patient Identification and Risk Stratification Working Group </w:t>
      </w:r>
    </w:p>
    <w:p w14:paraId="15036AA6" w14:textId="77777777" w:rsidR="00943390" w:rsidRDefault="00943390" w:rsidP="004D48A4">
      <w:pPr>
        <w:pStyle w:val="ListParagraph"/>
        <w:numPr>
          <w:ilvl w:val="0"/>
          <w:numId w:val="12"/>
        </w:numPr>
      </w:pPr>
      <w:r>
        <w:t xml:space="preserve">Guidelines, Education and Training Working Group </w:t>
      </w:r>
    </w:p>
    <w:p w14:paraId="3F1F2943" w14:textId="77777777" w:rsidR="00943390" w:rsidRDefault="00943390" w:rsidP="004D48A4">
      <w:pPr>
        <w:pStyle w:val="ListParagraph"/>
        <w:numPr>
          <w:ilvl w:val="0"/>
          <w:numId w:val="12"/>
        </w:numPr>
      </w:pPr>
      <w:r>
        <w:t>Evaluation Working Group (EWG)</w:t>
      </w:r>
    </w:p>
    <w:p w14:paraId="297EC9B4" w14:textId="77777777" w:rsidR="00943390" w:rsidRDefault="00943390" w:rsidP="004D48A4">
      <w:pPr>
        <w:pStyle w:val="ListParagraph"/>
        <w:numPr>
          <w:ilvl w:val="0"/>
          <w:numId w:val="12"/>
        </w:numPr>
      </w:pPr>
      <w:r>
        <w:t>Clinical Reference Group.</w:t>
      </w:r>
    </w:p>
    <w:p w14:paraId="000CDA7B" w14:textId="47598C9F" w:rsidR="00943390" w:rsidRDefault="00943390" w:rsidP="00943390">
      <w:r>
        <w:t xml:space="preserve">These groups were initially established in 2016 and contributed to the development, design, modification and monitoring of the </w:t>
      </w:r>
      <w:r w:rsidR="002A1D37">
        <w:t>trial</w:t>
      </w:r>
      <w:r>
        <w:t>.</w:t>
      </w:r>
    </w:p>
    <w:p w14:paraId="08265D3B" w14:textId="16C5EE05" w:rsidR="00943390" w:rsidRDefault="00943390" w:rsidP="00943390">
      <w:r>
        <w:t xml:space="preserve">The Department initially engaged with PHNs through existing advisory structures. </w:t>
      </w:r>
      <w:r w:rsidRPr="00885B71">
        <w:t xml:space="preserve">Once the </w:t>
      </w:r>
      <w:r w:rsidR="00F70202">
        <w:t>trial</w:t>
      </w:r>
      <w:r w:rsidRPr="00885B71">
        <w:t xml:space="preserve"> was established, the Department met regularly</w:t>
      </w:r>
      <w:r>
        <w:t xml:space="preserve"> (</w:t>
      </w:r>
      <w:r w:rsidRPr="00885B71">
        <w:t>initially monthly then quarterly</w:t>
      </w:r>
      <w:r>
        <w:t xml:space="preserve">) </w:t>
      </w:r>
      <w:r w:rsidRPr="00885B71">
        <w:t xml:space="preserve">with the CEOs </w:t>
      </w:r>
      <w:r>
        <w:t>and/</w:t>
      </w:r>
      <w:r w:rsidRPr="00885B71">
        <w:t>or their representatives</w:t>
      </w:r>
      <w:r>
        <w:t xml:space="preserve"> from the 10 PHNs participating in the trial</w:t>
      </w:r>
      <w:r w:rsidRPr="00885B71">
        <w:t xml:space="preserve">. </w:t>
      </w:r>
      <w:r>
        <w:t xml:space="preserve">The Department </w:t>
      </w:r>
      <w:r w:rsidRPr="00885B71">
        <w:t>also regular</w:t>
      </w:r>
      <w:r>
        <w:t>ly</w:t>
      </w:r>
      <w:r w:rsidRPr="00885B71">
        <w:t xml:space="preserve"> corresponde</w:t>
      </w:r>
      <w:r>
        <w:t>d</w:t>
      </w:r>
      <w:r w:rsidRPr="00885B71">
        <w:t xml:space="preserve"> </w:t>
      </w:r>
      <w:r>
        <w:t>with</w:t>
      </w:r>
      <w:r w:rsidRPr="00885B71">
        <w:t xml:space="preserve"> the PHN CEOs</w:t>
      </w:r>
      <w:r>
        <w:t xml:space="preserve"> (</w:t>
      </w:r>
      <w:r w:rsidRPr="00885B71">
        <w:t>initially weekly and then fortnightly</w:t>
      </w:r>
      <w:r>
        <w:t xml:space="preserve">) </w:t>
      </w:r>
      <w:r w:rsidRPr="00885B71">
        <w:t>to update them on developments and to highlight issues that practice facilitators should follow-up with HCHs</w:t>
      </w:r>
      <w:r>
        <w:t>.</w:t>
      </w:r>
    </w:p>
    <w:p w14:paraId="47A9D775" w14:textId="3CA48B73" w:rsidR="00CE39B5" w:rsidRDefault="00943390" w:rsidP="00DE4981">
      <w:r>
        <w:t>Regional or state</w:t>
      </w:r>
      <w:r w:rsidR="008A2CA5">
        <w:t>-</w:t>
      </w:r>
      <w:r>
        <w:t xml:space="preserve">based governance groups were also established within the 10 PHN regions. These usually </w:t>
      </w:r>
      <w:r w:rsidRPr="0082537B">
        <w:t>include</w:t>
      </w:r>
      <w:r>
        <w:t>d</w:t>
      </w:r>
      <w:r w:rsidRPr="0082537B">
        <w:t xml:space="preserve"> representati</w:t>
      </w:r>
      <w:r>
        <w:t xml:space="preserve">ves </w:t>
      </w:r>
      <w:r w:rsidRPr="0082537B">
        <w:t xml:space="preserve">from the </w:t>
      </w:r>
      <w:r>
        <w:t xml:space="preserve">PHN, local GPs/practices, </w:t>
      </w:r>
      <w:r w:rsidRPr="0082537B">
        <w:t>state/ territory health authorit</w:t>
      </w:r>
      <w:r>
        <w:t>ies</w:t>
      </w:r>
      <w:r w:rsidRPr="0082537B">
        <w:t xml:space="preserve">, the Commonwealth Department of Health, </w:t>
      </w:r>
      <w:r>
        <w:t>LHNs</w:t>
      </w:r>
      <w:r w:rsidRPr="0082537B">
        <w:t xml:space="preserve"> and peak </w:t>
      </w:r>
      <w:r>
        <w:t xml:space="preserve">organisations representing </w:t>
      </w:r>
      <w:r w:rsidR="00D51101" w:rsidRPr="00D51101">
        <w:t xml:space="preserve">Aboriginal Community Controlled Health Services </w:t>
      </w:r>
      <w:r w:rsidR="00D51101">
        <w:t>(</w:t>
      </w:r>
      <w:r>
        <w:t>ACCHS</w:t>
      </w:r>
      <w:r w:rsidR="00D51101">
        <w:t>)</w:t>
      </w:r>
      <w:r>
        <w:t xml:space="preserve">, consumers and </w:t>
      </w:r>
      <w:r w:rsidRPr="0082537B">
        <w:t>the Pharmacy Guild.</w:t>
      </w:r>
      <w:r w:rsidR="00CE39B5">
        <w:br w:type="page"/>
      </w:r>
    </w:p>
    <w:p w14:paraId="717EFDD9" w14:textId="2DEECED3" w:rsidR="00912DC5" w:rsidRDefault="00912DC5" w:rsidP="00912DC5">
      <w:pPr>
        <w:pStyle w:val="Heading2"/>
        <w:rPr>
          <w:rFonts w:eastAsia="Muli"/>
        </w:rPr>
      </w:pPr>
      <w:bookmarkStart w:id="77" w:name="_Toc109996658"/>
      <w:r>
        <w:rPr>
          <w:rFonts w:eastAsia="Muli"/>
        </w:rPr>
        <w:lastRenderedPageBreak/>
        <w:t>Program infrastructure</w:t>
      </w:r>
      <w:bookmarkEnd w:id="77"/>
    </w:p>
    <w:p w14:paraId="465AD91B" w14:textId="2AA92061" w:rsidR="00912DC5" w:rsidRPr="00BB4EBC" w:rsidRDefault="00912DC5" w:rsidP="00912DC5">
      <w:pPr>
        <w:rPr>
          <w:szCs w:val="20"/>
        </w:rPr>
      </w:pPr>
      <w:r>
        <w:rPr>
          <w:szCs w:val="20"/>
        </w:rPr>
        <w:t xml:space="preserve">The Department developed or commissioned </w:t>
      </w:r>
      <w:r w:rsidRPr="00BB4EBC">
        <w:rPr>
          <w:szCs w:val="20"/>
        </w:rPr>
        <w:t>infrastructure</w:t>
      </w:r>
      <w:r>
        <w:rPr>
          <w:szCs w:val="20"/>
        </w:rPr>
        <w:t xml:space="preserve"> and support</w:t>
      </w:r>
      <w:r w:rsidR="005B78B0">
        <w:rPr>
          <w:szCs w:val="20"/>
        </w:rPr>
        <w:t>s</w:t>
      </w:r>
      <w:r>
        <w:rPr>
          <w:szCs w:val="20"/>
        </w:rPr>
        <w:t xml:space="preserve"> for HCH trial,</w:t>
      </w:r>
      <w:r w:rsidRPr="00BB4EBC">
        <w:rPr>
          <w:szCs w:val="20"/>
        </w:rPr>
        <w:t xml:space="preserve"> including:</w:t>
      </w:r>
    </w:p>
    <w:p w14:paraId="2647C72A" w14:textId="14D5E6CB" w:rsidR="00912DC5" w:rsidRPr="00A84511" w:rsidRDefault="00912DC5" w:rsidP="004D48A4">
      <w:pPr>
        <w:pStyle w:val="ListParagraph"/>
        <w:numPr>
          <w:ilvl w:val="0"/>
          <w:numId w:val="7"/>
        </w:numPr>
        <w:ind w:left="714" w:hanging="357"/>
        <w:rPr>
          <w:szCs w:val="20"/>
        </w:rPr>
      </w:pPr>
      <w:bookmarkStart w:id="78" w:name="_Hlk527565627"/>
      <w:r>
        <w:t xml:space="preserve">HCH </w:t>
      </w:r>
      <w:r w:rsidRPr="00324DA9">
        <w:t>Grant Guidelines.</w:t>
      </w:r>
      <w:r w:rsidR="00D14DC2" w:rsidRPr="00ED3833">
        <w:rPr>
          <w:rStyle w:val="FootnoteReference"/>
          <w:color w:val="408BCA"/>
        </w:rPr>
        <w:footnoteReference w:id="21"/>
      </w:r>
    </w:p>
    <w:p w14:paraId="2AB04E61" w14:textId="1C0592AB" w:rsidR="00912DC5" w:rsidRDefault="00912DC5" w:rsidP="004D48A4">
      <w:pPr>
        <w:pStyle w:val="ListParagraph"/>
        <w:numPr>
          <w:ilvl w:val="0"/>
          <w:numId w:val="7"/>
        </w:numPr>
        <w:ind w:left="714" w:hanging="357"/>
        <w:rPr>
          <w:szCs w:val="20"/>
        </w:rPr>
      </w:pPr>
      <w:r w:rsidRPr="00BB4EBC">
        <w:rPr>
          <w:szCs w:val="20"/>
        </w:rPr>
        <w:t>Operational g</w:t>
      </w:r>
      <w:r>
        <w:rPr>
          <w:szCs w:val="20"/>
        </w:rPr>
        <w:t>uidelines for HCHs</w:t>
      </w:r>
      <w:r w:rsidR="00D14DC2">
        <w:rPr>
          <w:szCs w:val="20"/>
        </w:rPr>
        <w:t>.</w:t>
      </w:r>
      <w:r w:rsidR="00D14DC2" w:rsidRPr="00ED3833">
        <w:rPr>
          <w:rStyle w:val="FootnoteReference"/>
          <w:color w:val="408BCA"/>
          <w:szCs w:val="20"/>
        </w:rPr>
        <w:footnoteReference w:id="22"/>
      </w:r>
    </w:p>
    <w:p w14:paraId="48BBBAF3" w14:textId="3BD68BCB" w:rsidR="00912DC5" w:rsidRDefault="00912DC5" w:rsidP="004D48A4">
      <w:pPr>
        <w:pStyle w:val="ListParagraph"/>
        <w:numPr>
          <w:ilvl w:val="0"/>
          <w:numId w:val="7"/>
        </w:numPr>
        <w:ind w:left="714" w:hanging="357"/>
        <w:rPr>
          <w:szCs w:val="20"/>
        </w:rPr>
      </w:pPr>
      <w:r>
        <w:rPr>
          <w:szCs w:val="20"/>
        </w:rPr>
        <w:t>Patient information and handbook</w:t>
      </w:r>
      <w:r w:rsidR="00D14DC2">
        <w:rPr>
          <w:szCs w:val="20"/>
        </w:rPr>
        <w:t>.</w:t>
      </w:r>
      <w:r w:rsidR="00D14DC2" w:rsidRPr="00ED3833">
        <w:rPr>
          <w:rStyle w:val="FootnoteReference"/>
          <w:color w:val="408BCA"/>
          <w:szCs w:val="20"/>
        </w:rPr>
        <w:footnoteReference w:id="23"/>
      </w:r>
    </w:p>
    <w:p w14:paraId="64FFE2B4" w14:textId="40B0B411" w:rsidR="00912DC5" w:rsidRPr="00885B71" w:rsidRDefault="00912DC5" w:rsidP="004D48A4">
      <w:pPr>
        <w:pStyle w:val="ListParagraph"/>
        <w:numPr>
          <w:ilvl w:val="0"/>
          <w:numId w:val="7"/>
        </w:numPr>
        <w:rPr>
          <w:szCs w:val="20"/>
        </w:rPr>
      </w:pPr>
      <w:r>
        <w:t>R</w:t>
      </w:r>
      <w:r w:rsidRPr="00AF392F">
        <w:t>esources</w:t>
      </w:r>
      <w:r>
        <w:t xml:space="preserve"> targeted for health professionals, HCH practices and consumers</w:t>
      </w:r>
      <w:r w:rsidR="00D14DC2">
        <w:t>.</w:t>
      </w:r>
      <w:r w:rsidR="00D14DC2" w:rsidRPr="00ED3833">
        <w:rPr>
          <w:rStyle w:val="FootnoteReference"/>
          <w:color w:val="408BCA"/>
        </w:rPr>
        <w:footnoteReference w:id="24"/>
      </w:r>
    </w:p>
    <w:p w14:paraId="47A8F8D8" w14:textId="1EE78E57" w:rsidR="00912DC5" w:rsidRDefault="00912DC5" w:rsidP="004D48A4">
      <w:pPr>
        <w:pStyle w:val="ListParagraph"/>
        <w:numPr>
          <w:ilvl w:val="0"/>
          <w:numId w:val="7"/>
        </w:numPr>
        <w:ind w:left="714" w:hanging="357"/>
        <w:rPr>
          <w:szCs w:val="20"/>
        </w:rPr>
      </w:pPr>
      <w:r>
        <w:t xml:space="preserve">Enhancements </w:t>
      </w:r>
      <w:r w:rsidR="005C6BAD">
        <w:t>to t</w:t>
      </w:r>
      <w:r>
        <w:t>he Department of Human Service’s</w:t>
      </w:r>
      <w:r w:rsidR="0081249C">
        <w:t xml:space="preserve"> (now Services Australia)</w:t>
      </w:r>
      <w:r>
        <w:t xml:space="preserve"> </w:t>
      </w:r>
      <w:r w:rsidRPr="00D75502">
        <w:t>Health Professionals Online Services</w:t>
      </w:r>
      <w:r>
        <w:t xml:space="preserve"> (</w:t>
      </w:r>
      <w:r w:rsidRPr="00D657FD">
        <w:rPr>
          <w:szCs w:val="20"/>
        </w:rPr>
        <w:t>HPOS)</w:t>
      </w:r>
      <w:r>
        <w:rPr>
          <w:szCs w:val="20"/>
        </w:rPr>
        <w:t xml:space="preserve"> system to </w:t>
      </w:r>
      <w:r w:rsidR="005C6BAD">
        <w:rPr>
          <w:szCs w:val="20"/>
        </w:rPr>
        <w:t>enrol patients in the</w:t>
      </w:r>
      <w:r>
        <w:rPr>
          <w:szCs w:val="20"/>
        </w:rPr>
        <w:t xml:space="preserve"> </w:t>
      </w:r>
      <w:r w:rsidR="005C6BAD">
        <w:rPr>
          <w:szCs w:val="20"/>
        </w:rPr>
        <w:t>trial</w:t>
      </w:r>
      <w:r>
        <w:rPr>
          <w:szCs w:val="20"/>
        </w:rPr>
        <w:t>.</w:t>
      </w:r>
    </w:p>
    <w:p w14:paraId="385F4E10" w14:textId="77777777" w:rsidR="00912DC5" w:rsidRDefault="00912DC5" w:rsidP="004D48A4">
      <w:pPr>
        <w:pStyle w:val="ListParagraph"/>
        <w:numPr>
          <w:ilvl w:val="0"/>
          <w:numId w:val="7"/>
        </w:numPr>
        <w:ind w:left="714" w:hanging="357"/>
        <w:rPr>
          <w:szCs w:val="20"/>
        </w:rPr>
      </w:pPr>
      <w:r>
        <w:rPr>
          <w:szCs w:val="20"/>
        </w:rPr>
        <w:t>Enhancements to Medicare payment mechanisms to pay the bundled payment.</w:t>
      </w:r>
    </w:p>
    <w:p w14:paraId="3B427C40" w14:textId="2E1B2DC3" w:rsidR="00912DC5" w:rsidRPr="00BB4EBC" w:rsidRDefault="006514DC" w:rsidP="004D48A4">
      <w:pPr>
        <w:pStyle w:val="ListParagraph"/>
        <w:numPr>
          <w:ilvl w:val="0"/>
          <w:numId w:val="7"/>
        </w:numPr>
        <w:ind w:left="714" w:hanging="357"/>
      </w:pPr>
      <w:r w:rsidRPr="00E32F4D">
        <w:rPr>
          <w:szCs w:val="20"/>
        </w:rPr>
        <w:t>Software</w:t>
      </w:r>
      <w:r w:rsidR="00912DC5">
        <w:t xml:space="preserve"> </w:t>
      </w:r>
      <w:r w:rsidR="00912DC5" w:rsidRPr="00BB4EBC">
        <w:t>to assess</w:t>
      </w:r>
      <w:r w:rsidR="00912DC5">
        <w:t xml:space="preserve"> </w:t>
      </w:r>
      <w:r w:rsidR="00912DC5" w:rsidRPr="00BB4EBC">
        <w:t xml:space="preserve">patient eligibility for </w:t>
      </w:r>
      <w:r w:rsidR="00912DC5">
        <w:t>HCH</w:t>
      </w:r>
      <w:r w:rsidR="00912DC5" w:rsidRPr="00BB4EBC">
        <w:t xml:space="preserve"> and allocate </w:t>
      </w:r>
      <w:r w:rsidR="00912DC5">
        <w:t>patient</w:t>
      </w:r>
      <w:r>
        <w:t>s</w:t>
      </w:r>
      <w:r w:rsidR="00912DC5">
        <w:t xml:space="preserve"> to </w:t>
      </w:r>
      <w:r>
        <w:t>a tier.</w:t>
      </w:r>
    </w:p>
    <w:p w14:paraId="00A5852F" w14:textId="63B76456" w:rsidR="00912DC5" w:rsidRDefault="00912DC5" w:rsidP="004D48A4">
      <w:pPr>
        <w:pStyle w:val="ListParagraph"/>
        <w:numPr>
          <w:ilvl w:val="0"/>
          <w:numId w:val="7"/>
        </w:numPr>
        <w:ind w:left="714" w:hanging="357"/>
        <w:rPr>
          <w:szCs w:val="20"/>
        </w:rPr>
      </w:pPr>
      <w:bookmarkStart w:id="79" w:name="_Hlk527619437"/>
      <w:bookmarkEnd w:id="78"/>
      <w:r>
        <w:rPr>
          <w:szCs w:val="20"/>
        </w:rPr>
        <w:t xml:space="preserve">Online </w:t>
      </w:r>
      <w:r w:rsidRPr="00BB4EBC">
        <w:rPr>
          <w:szCs w:val="20"/>
        </w:rPr>
        <w:t>training</w:t>
      </w:r>
      <w:r>
        <w:rPr>
          <w:szCs w:val="20"/>
        </w:rPr>
        <w:t xml:space="preserve"> materials for staff within HCHs.</w:t>
      </w:r>
    </w:p>
    <w:p w14:paraId="68F31F0F" w14:textId="152E54D2" w:rsidR="00912DC5" w:rsidRDefault="00912DC5" w:rsidP="004D48A4">
      <w:pPr>
        <w:pStyle w:val="ListParagraph"/>
        <w:numPr>
          <w:ilvl w:val="0"/>
          <w:numId w:val="7"/>
        </w:numPr>
        <w:ind w:left="714" w:hanging="357"/>
        <w:rPr>
          <w:szCs w:val="20"/>
        </w:rPr>
      </w:pPr>
      <w:r>
        <w:rPr>
          <w:szCs w:val="20"/>
        </w:rPr>
        <w:t>Practice facilitation and support provided through PHNs.</w:t>
      </w:r>
    </w:p>
    <w:p w14:paraId="51FB6B20" w14:textId="6F16E792" w:rsidR="00912DC5" w:rsidRPr="00BB4EBC" w:rsidRDefault="00912DC5" w:rsidP="004D48A4">
      <w:pPr>
        <w:pStyle w:val="ListParagraph"/>
        <w:numPr>
          <w:ilvl w:val="0"/>
          <w:numId w:val="7"/>
        </w:numPr>
        <w:ind w:left="714" w:hanging="357"/>
        <w:rPr>
          <w:szCs w:val="20"/>
        </w:rPr>
      </w:pPr>
      <w:r>
        <w:rPr>
          <w:szCs w:val="20"/>
        </w:rPr>
        <w:t>Training workshops and ongoing support for PHN</w:t>
      </w:r>
      <w:r w:rsidR="0081249C">
        <w:rPr>
          <w:szCs w:val="20"/>
        </w:rPr>
        <w:t>-</w:t>
      </w:r>
      <w:r>
        <w:rPr>
          <w:szCs w:val="20"/>
        </w:rPr>
        <w:t>based practice facilitators</w:t>
      </w:r>
      <w:r w:rsidR="0081249C">
        <w:rPr>
          <w:szCs w:val="20"/>
        </w:rPr>
        <w:t>.</w:t>
      </w:r>
    </w:p>
    <w:bookmarkEnd w:id="79"/>
    <w:p w14:paraId="3549866A" w14:textId="77777777" w:rsidR="00912DC5" w:rsidRDefault="00912DC5" w:rsidP="004D48A4">
      <w:pPr>
        <w:pStyle w:val="ListParagraph"/>
        <w:numPr>
          <w:ilvl w:val="0"/>
          <w:numId w:val="7"/>
        </w:numPr>
        <w:ind w:left="714" w:hanging="357"/>
        <w:rPr>
          <w:szCs w:val="20"/>
        </w:rPr>
      </w:pPr>
      <w:r>
        <w:rPr>
          <w:szCs w:val="20"/>
        </w:rPr>
        <w:t>Systems for monitoring program implementation, including progress on enrolment and payments related to the program</w:t>
      </w:r>
      <w:r w:rsidRPr="00BB4EBC">
        <w:rPr>
          <w:szCs w:val="20"/>
        </w:rPr>
        <w:t>.</w:t>
      </w:r>
    </w:p>
    <w:p w14:paraId="60B6578A" w14:textId="69CCEE72" w:rsidR="00912DC5" w:rsidRDefault="00912DC5" w:rsidP="004D48A4">
      <w:pPr>
        <w:pStyle w:val="ListParagraph"/>
        <w:numPr>
          <w:ilvl w:val="0"/>
          <w:numId w:val="7"/>
        </w:numPr>
        <w:ind w:left="714" w:hanging="357"/>
        <w:rPr>
          <w:szCs w:val="20"/>
        </w:rPr>
      </w:pPr>
      <w:r>
        <w:rPr>
          <w:szCs w:val="20"/>
        </w:rPr>
        <w:t>An audit and compliance system.</w:t>
      </w:r>
    </w:p>
    <w:p w14:paraId="4E492A77" w14:textId="57A0380E" w:rsidR="00912DC5" w:rsidRDefault="00912DC5" w:rsidP="004D48A4">
      <w:pPr>
        <w:pStyle w:val="ListParagraph"/>
        <w:numPr>
          <w:ilvl w:val="0"/>
          <w:numId w:val="7"/>
        </w:numPr>
        <w:ind w:left="714" w:hanging="357"/>
        <w:contextualSpacing w:val="0"/>
        <w:rPr>
          <w:szCs w:val="20"/>
        </w:rPr>
      </w:pPr>
      <w:r>
        <w:rPr>
          <w:szCs w:val="20"/>
        </w:rPr>
        <w:t xml:space="preserve">An </w:t>
      </w:r>
      <w:r w:rsidRPr="00BB4EBC">
        <w:rPr>
          <w:szCs w:val="20"/>
        </w:rPr>
        <w:t xml:space="preserve">evaluation </w:t>
      </w:r>
      <w:r w:rsidR="005E52EA">
        <w:rPr>
          <w:szCs w:val="20"/>
        </w:rPr>
        <w:t>that included both formative and summative components</w:t>
      </w:r>
      <w:r w:rsidRPr="00BB4EBC">
        <w:rPr>
          <w:szCs w:val="20"/>
        </w:rPr>
        <w:t>.</w:t>
      </w:r>
    </w:p>
    <w:p w14:paraId="1CC4305A" w14:textId="77777777" w:rsidR="00DB19D6" w:rsidRDefault="00DB19D6" w:rsidP="00DB19D6">
      <w:pPr>
        <w:pStyle w:val="Heading3"/>
      </w:pPr>
      <w:r>
        <w:t>Incentive grant</w:t>
      </w:r>
    </w:p>
    <w:p w14:paraId="2D7FAF02" w14:textId="20A5E478" w:rsidR="00DB19D6" w:rsidRPr="00C52360" w:rsidRDefault="00DB19D6" w:rsidP="00DB19D6">
      <w:r>
        <w:t xml:space="preserve">HCH practices were </w:t>
      </w:r>
      <w:r w:rsidRPr="00C52360">
        <w:t xml:space="preserve">paid a </w:t>
      </w:r>
      <w:r w:rsidR="00E3098C">
        <w:t>one-off</w:t>
      </w:r>
      <w:r w:rsidRPr="00C52360">
        <w:t xml:space="preserve"> $10,000 incentive grant (GST exclusive)</w:t>
      </w:r>
      <w:r>
        <w:t xml:space="preserve">. </w:t>
      </w:r>
      <w:r w:rsidRPr="00C52360">
        <w:t xml:space="preserve">The amount was </w:t>
      </w:r>
      <w:r w:rsidRPr="00A84511">
        <w:rPr>
          <w:i/>
        </w:rPr>
        <w:t xml:space="preserve">“intended to incentivise participation and facilitate readiness for </w:t>
      </w:r>
      <w:r>
        <w:rPr>
          <w:i/>
        </w:rPr>
        <w:t>the</w:t>
      </w:r>
      <w:r w:rsidRPr="00A84511">
        <w:rPr>
          <w:i/>
        </w:rPr>
        <w:t xml:space="preserve"> program</w:t>
      </w:r>
      <w:r w:rsidR="00D14DC2">
        <w:rPr>
          <w:i/>
        </w:rPr>
        <w:t>”</w:t>
      </w:r>
      <w:r>
        <w:t>.</w:t>
      </w:r>
      <w:r w:rsidR="00D14DC2" w:rsidRPr="00D14DC2">
        <w:rPr>
          <w:rStyle w:val="FootnoteReference"/>
          <w:color w:val="408BCA"/>
        </w:rPr>
        <w:footnoteReference w:id="25"/>
      </w:r>
      <w:r w:rsidR="00D14DC2" w:rsidRPr="00D14DC2">
        <w:rPr>
          <w:color w:val="408BCA"/>
        </w:rPr>
        <w:t xml:space="preserve"> </w:t>
      </w:r>
      <w:r w:rsidR="00D14DC2" w:rsidRPr="00D14DC2">
        <w:rPr>
          <w:color w:val="408BCA"/>
          <w:vertAlign w:val="superscript"/>
        </w:rPr>
        <w:t>(p. 3)</w:t>
      </w:r>
      <w:r>
        <w:t xml:space="preserve"> The grant could </w:t>
      </w:r>
      <w:r w:rsidRPr="00C52360">
        <w:t xml:space="preserve">be used </w:t>
      </w:r>
      <w:r>
        <w:t xml:space="preserve">for preparing for and participating in </w:t>
      </w:r>
      <w:r w:rsidR="0081249C">
        <w:t>HCH</w:t>
      </w:r>
      <w:r>
        <w:t>. The incentive was offered under a ‘</w:t>
      </w:r>
      <w:r w:rsidRPr="00324DA9">
        <w:t>restricted competitive grants program</w:t>
      </w:r>
      <w:r>
        <w:t>’</w:t>
      </w:r>
      <w:r w:rsidR="007731C5">
        <w:t xml:space="preserve">, </w:t>
      </w:r>
      <w:r>
        <w:t xml:space="preserve">a consequence of which was the need for a competitive process managed by the Department of Health, through which applicants were assessed against criteria specified in the </w:t>
      </w:r>
      <w:r w:rsidRPr="00324DA9">
        <w:t>Health Care Homes Grant Guidelines.</w:t>
      </w:r>
      <w:r w:rsidR="00D14DC2" w:rsidRPr="00D94785">
        <w:rPr>
          <w:rStyle w:val="FootnoteReference"/>
          <w:color w:val="408BCA"/>
        </w:rPr>
        <w:footnoteReference w:id="26"/>
      </w:r>
    </w:p>
    <w:p w14:paraId="34ECD130" w14:textId="77777777" w:rsidR="00254683" w:rsidRDefault="00254683">
      <w:pPr>
        <w:spacing w:after="160" w:line="259" w:lineRule="auto"/>
        <w:rPr>
          <w:rFonts w:ascii="Roboto Slab" w:eastAsiaTheme="majorEastAsia" w:hAnsi="Roboto Slab" w:cstheme="majorBidi"/>
          <w:color w:val="408BCA"/>
          <w:sz w:val="24"/>
          <w:szCs w:val="24"/>
        </w:rPr>
      </w:pPr>
      <w:r>
        <w:br w:type="page"/>
      </w:r>
    </w:p>
    <w:p w14:paraId="1FB0C2DE" w14:textId="4F88247E" w:rsidR="00912DC5" w:rsidRPr="000E0E2F" w:rsidRDefault="000E0E2F" w:rsidP="000E0E2F">
      <w:pPr>
        <w:pStyle w:val="Heading3"/>
      </w:pPr>
      <w:r w:rsidRPr="000E0E2F">
        <w:lastRenderedPageBreak/>
        <w:t>Risk stratification tool</w:t>
      </w:r>
    </w:p>
    <w:p w14:paraId="26C1E7E3" w14:textId="39E1929A" w:rsidR="00943390" w:rsidRDefault="006514DC" w:rsidP="00135887">
      <w:pPr>
        <w:rPr>
          <w:rFonts w:eastAsia="Muli" w:cs="Muli"/>
          <w:color w:val="000000" w:themeColor="text1"/>
          <w:szCs w:val="20"/>
        </w:rPr>
      </w:pPr>
      <w:r>
        <w:rPr>
          <w:rFonts w:eastAsia="Muli" w:cs="Muli"/>
          <w:color w:val="000000" w:themeColor="text1"/>
          <w:szCs w:val="20"/>
        </w:rPr>
        <w:t xml:space="preserve">The Department commissioned </w:t>
      </w:r>
      <w:r w:rsidR="005C6BAD">
        <w:rPr>
          <w:rFonts w:eastAsia="Muli" w:cs="Muli"/>
          <w:color w:val="000000" w:themeColor="text1"/>
          <w:szCs w:val="20"/>
        </w:rPr>
        <w:t>software for risk stratification,</w:t>
      </w:r>
      <w:r>
        <w:rPr>
          <w:rFonts w:eastAsia="Muli" w:cs="Muli"/>
          <w:color w:val="000000" w:themeColor="text1"/>
          <w:szCs w:val="20"/>
        </w:rPr>
        <w:t xml:space="preserve"> </w:t>
      </w:r>
      <w:r w:rsidR="006C1ED4">
        <w:rPr>
          <w:rFonts w:eastAsia="Muli" w:cs="Muli"/>
          <w:color w:val="000000" w:themeColor="text1"/>
          <w:szCs w:val="20"/>
        </w:rPr>
        <w:t xml:space="preserve">which </w:t>
      </w:r>
      <w:r w:rsidR="00F75B23">
        <w:rPr>
          <w:rFonts w:eastAsia="Muli" w:cs="Muli"/>
          <w:color w:val="000000" w:themeColor="text1"/>
          <w:szCs w:val="20"/>
        </w:rPr>
        <w:t>was implemented</w:t>
      </w:r>
      <w:r>
        <w:rPr>
          <w:rFonts w:eastAsia="Muli" w:cs="Muli"/>
          <w:color w:val="000000" w:themeColor="text1"/>
          <w:szCs w:val="20"/>
        </w:rPr>
        <w:t xml:space="preserve"> </w:t>
      </w:r>
      <w:r w:rsidR="00F75B23">
        <w:rPr>
          <w:rFonts w:eastAsia="Muli" w:cs="Muli"/>
          <w:color w:val="000000" w:themeColor="text1"/>
          <w:szCs w:val="20"/>
        </w:rPr>
        <w:t xml:space="preserve">within </w:t>
      </w:r>
      <w:r>
        <w:rPr>
          <w:rFonts w:eastAsia="Muli" w:cs="Muli"/>
          <w:color w:val="000000" w:themeColor="text1"/>
          <w:szCs w:val="20"/>
        </w:rPr>
        <w:t>practice</w:t>
      </w:r>
      <w:r w:rsidR="00254683">
        <w:rPr>
          <w:rFonts w:eastAsia="Muli" w:cs="Muli"/>
          <w:color w:val="000000" w:themeColor="text1"/>
          <w:szCs w:val="20"/>
        </w:rPr>
        <w:t>s’</w:t>
      </w:r>
      <w:r w:rsidR="00F75B23">
        <w:rPr>
          <w:rFonts w:eastAsia="Muli" w:cs="Muli"/>
          <w:color w:val="000000" w:themeColor="text1"/>
          <w:szCs w:val="20"/>
        </w:rPr>
        <w:t xml:space="preserve"> </w:t>
      </w:r>
      <w:r w:rsidR="00254683">
        <w:rPr>
          <w:rFonts w:eastAsia="Muli" w:cs="Muli"/>
          <w:color w:val="000000" w:themeColor="text1"/>
          <w:szCs w:val="20"/>
        </w:rPr>
        <w:t>IT</w:t>
      </w:r>
      <w:r w:rsidR="00F75B23">
        <w:rPr>
          <w:rFonts w:eastAsia="Muli" w:cs="Muli"/>
          <w:color w:val="000000" w:themeColor="text1"/>
          <w:szCs w:val="20"/>
        </w:rPr>
        <w:t xml:space="preserve"> environments and interfaced with </w:t>
      </w:r>
      <w:r w:rsidR="00FF19A8">
        <w:rPr>
          <w:rFonts w:eastAsia="Muli" w:cs="Muli"/>
          <w:color w:val="000000" w:themeColor="text1"/>
          <w:szCs w:val="20"/>
        </w:rPr>
        <w:t>their</w:t>
      </w:r>
      <w:r>
        <w:rPr>
          <w:rFonts w:eastAsia="Muli" w:cs="Muli"/>
          <w:color w:val="000000" w:themeColor="text1"/>
          <w:szCs w:val="20"/>
        </w:rPr>
        <w:t xml:space="preserve"> clinical management system</w:t>
      </w:r>
      <w:r w:rsidR="00F75B23">
        <w:rPr>
          <w:rFonts w:eastAsia="Muli" w:cs="Muli"/>
          <w:color w:val="000000" w:themeColor="text1"/>
          <w:szCs w:val="20"/>
        </w:rPr>
        <w:t>s</w:t>
      </w:r>
      <w:r>
        <w:rPr>
          <w:rFonts w:eastAsia="Muli" w:cs="Muli"/>
          <w:color w:val="000000" w:themeColor="text1"/>
          <w:szCs w:val="20"/>
        </w:rPr>
        <w:t xml:space="preserve">. The </w:t>
      </w:r>
      <w:r w:rsidR="00F75B23">
        <w:rPr>
          <w:rFonts w:eastAsia="Muli" w:cs="Muli"/>
          <w:color w:val="000000" w:themeColor="text1"/>
          <w:szCs w:val="20"/>
        </w:rPr>
        <w:t xml:space="preserve">risk stratification </w:t>
      </w:r>
      <w:r w:rsidRPr="006514DC">
        <w:rPr>
          <w:rFonts w:eastAsia="Muli" w:cs="Muli"/>
          <w:color w:val="000000" w:themeColor="text1"/>
          <w:szCs w:val="20"/>
        </w:rPr>
        <w:t xml:space="preserve">process involved two </w:t>
      </w:r>
      <w:r>
        <w:rPr>
          <w:rFonts w:eastAsia="Muli" w:cs="Muli"/>
          <w:color w:val="000000" w:themeColor="text1"/>
          <w:szCs w:val="20"/>
        </w:rPr>
        <w:t>stages</w:t>
      </w:r>
      <w:r w:rsidRPr="006514DC">
        <w:rPr>
          <w:rFonts w:eastAsia="Muli" w:cs="Muli"/>
          <w:color w:val="000000" w:themeColor="text1"/>
          <w:szCs w:val="20"/>
        </w:rPr>
        <w:t xml:space="preserve">: a predictive risk model (PRM) to identify patients </w:t>
      </w:r>
      <w:r>
        <w:rPr>
          <w:rFonts w:eastAsia="Muli" w:cs="Muli"/>
          <w:color w:val="000000" w:themeColor="text1"/>
          <w:szCs w:val="20"/>
        </w:rPr>
        <w:t xml:space="preserve">potentially eligible for the trial based on their risk of </w:t>
      </w:r>
      <w:r w:rsidRPr="006514DC">
        <w:rPr>
          <w:rFonts w:eastAsia="Muli" w:cs="Muli"/>
          <w:color w:val="000000" w:themeColor="text1"/>
          <w:szCs w:val="20"/>
        </w:rPr>
        <w:t xml:space="preserve">hospitalisation in the next 12 months; and an assessment of clinical </w:t>
      </w:r>
      <w:r w:rsidR="00167222">
        <w:rPr>
          <w:rFonts w:eastAsia="Muli" w:cs="Muli"/>
          <w:color w:val="000000" w:themeColor="text1"/>
          <w:szCs w:val="20"/>
        </w:rPr>
        <w:t xml:space="preserve">factors </w:t>
      </w:r>
      <w:r w:rsidR="00887A2E">
        <w:rPr>
          <w:rFonts w:eastAsia="Muli" w:cs="Muli"/>
          <w:color w:val="000000" w:themeColor="text1"/>
          <w:szCs w:val="20"/>
        </w:rPr>
        <w:t xml:space="preserve">(such as presence of chronic conditions) </w:t>
      </w:r>
      <w:r w:rsidRPr="006514DC">
        <w:rPr>
          <w:rFonts w:eastAsia="Muli" w:cs="Muli"/>
          <w:color w:val="000000" w:themeColor="text1"/>
          <w:szCs w:val="20"/>
        </w:rPr>
        <w:t xml:space="preserve">and </w:t>
      </w:r>
      <w:r w:rsidR="00C647A6">
        <w:rPr>
          <w:rFonts w:eastAsia="Muli" w:cs="Muli"/>
          <w:color w:val="000000" w:themeColor="text1"/>
          <w:szCs w:val="20"/>
        </w:rPr>
        <w:t xml:space="preserve">other </w:t>
      </w:r>
      <w:r w:rsidRPr="006514DC">
        <w:rPr>
          <w:rFonts w:eastAsia="Muli" w:cs="Muli"/>
          <w:color w:val="000000" w:themeColor="text1"/>
          <w:szCs w:val="20"/>
        </w:rPr>
        <w:t>factors imp</w:t>
      </w:r>
      <w:r w:rsidR="00683D5B">
        <w:rPr>
          <w:rFonts w:eastAsia="Muli" w:cs="Muli"/>
          <w:color w:val="000000" w:themeColor="text1"/>
          <w:szCs w:val="20"/>
        </w:rPr>
        <w:t xml:space="preserve">acting </w:t>
      </w:r>
      <w:r w:rsidRPr="006514DC">
        <w:rPr>
          <w:rFonts w:eastAsia="Muli" w:cs="Muli"/>
          <w:color w:val="000000" w:themeColor="text1"/>
          <w:szCs w:val="20"/>
        </w:rPr>
        <w:t>on self-management to</w:t>
      </w:r>
      <w:r>
        <w:rPr>
          <w:rFonts w:eastAsia="Muli" w:cs="Muli"/>
          <w:color w:val="000000" w:themeColor="text1"/>
          <w:szCs w:val="20"/>
        </w:rPr>
        <w:t xml:space="preserve"> confirm eligibility and</w:t>
      </w:r>
      <w:r w:rsidRPr="006514DC">
        <w:rPr>
          <w:rFonts w:eastAsia="Muli" w:cs="Muli"/>
          <w:color w:val="000000" w:themeColor="text1"/>
          <w:szCs w:val="20"/>
        </w:rPr>
        <w:t xml:space="preserve"> assign patients to a tier</w:t>
      </w:r>
      <w:r>
        <w:rPr>
          <w:rFonts w:eastAsia="Muli" w:cs="Muli"/>
          <w:color w:val="000000" w:themeColor="text1"/>
          <w:szCs w:val="20"/>
        </w:rPr>
        <w:t xml:space="preserve"> </w:t>
      </w:r>
      <w:r w:rsidR="00C11B6F">
        <w:rPr>
          <w:rFonts w:eastAsia="Muli" w:cs="Muli"/>
          <w:color w:val="000000" w:themeColor="text1"/>
          <w:szCs w:val="20"/>
        </w:rPr>
        <w:t xml:space="preserve">for </w:t>
      </w:r>
      <w:r>
        <w:rPr>
          <w:rFonts w:eastAsia="Muli" w:cs="Muli"/>
          <w:color w:val="000000" w:themeColor="text1"/>
          <w:szCs w:val="20"/>
        </w:rPr>
        <w:t>payment</w:t>
      </w:r>
      <w:r w:rsidRPr="006514DC">
        <w:rPr>
          <w:rFonts w:eastAsia="Muli" w:cs="Muli"/>
          <w:color w:val="000000" w:themeColor="text1"/>
          <w:szCs w:val="20"/>
        </w:rPr>
        <w:t>.</w:t>
      </w:r>
    </w:p>
    <w:p w14:paraId="326211C0" w14:textId="77777777" w:rsidR="00912DC5" w:rsidRPr="00912DC5" w:rsidRDefault="00912DC5" w:rsidP="00912DC5">
      <w:pPr>
        <w:pStyle w:val="Heading3"/>
      </w:pPr>
      <w:bookmarkStart w:id="80" w:name="_Ref21371889"/>
      <w:r w:rsidRPr="00912DC5">
        <w:t>Bundled payment</w:t>
      </w:r>
      <w:bookmarkEnd w:id="80"/>
    </w:p>
    <w:p w14:paraId="774FCE3C" w14:textId="5D5775CB" w:rsidR="00912DC5" w:rsidRDefault="00AF3B11" w:rsidP="00912DC5">
      <w:r>
        <w:t>Practices</w:t>
      </w:r>
      <w:r w:rsidR="00912DC5">
        <w:t xml:space="preserve"> received a bundled payment for services related to </w:t>
      </w:r>
      <w:r w:rsidR="005C6BAD">
        <w:t xml:space="preserve">HCH </w:t>
      </w:r>
      <w:r w:rsidR="00912DC5">
        <w:t>patients</w:t>
      </w:r>
      <w:r w:rsidR="005C6BAD">
        <w:t>’</w:t>
      </w:r>
      <w:r w:rsidR="00912DC5">
        <w:t xml:space="preserve"> chronic conditions. An annual payment rate was set, paid </w:t>
      </w:r>
      <w:r w:rsidR="00912DC5" w:rsidRPr="00232ECD">
        <w:t>retrospective</w:t>
      </w:r>
      <w:r w:rsidR="00912DC5">
        <w:t xml:space="preserve">ly on a monthly basis. The payment began when the patient was enrolled in HCH, marked by the patient signing the HCH </w:t>
      </w:r>
      <w:r w:rsidR="00912DC5" w:rsidRPr="00232ECD">
        <w:t>enrolment/consent form</w:t>
      </w:r>
      <w:r w:rsidR="00912DC5">
        <w:t xml:space="preserve"> and being registered in </w:t>
      </w:r>
      <w:r w:rsidR="00F34C90">
        <w:t xml:space="preserve">the </w:t>
      </w:r>
      <w:r>
        <w:t xml:space="preserve">Services </w:t>
      </w:r>
      <w:r w:rsidR="00F660F0">
        <w:t>Australia</w:t>
      </w:r>
      <w:r w:rsidR="00912DC5">
        <w:t xml:space="preserve"> </w:t>
      </w:r>
      <w:r w:rsidR="00826628">
        <w:rPr>
          <w:szCs w:val="16"/>
        </w:rPr>
        <w:t xml:space="preserve">Health Professional Online Services (HPOS) </w:t>
      </w:r>
      <w:r w:rsidR="00912DC5">
        <w:t xml:space="preserve">system. Enrolment ended when a patient withdrew from the </w:t>
      </w:r>
      <w:r w:rsidR="00F34C90">
        <w:t>trial</w:t>
      </w:r>
      <w:r w:rsidR="00912DC5">
        <w:t xml:space="preserve"> due to death or other reasons or when the practice withdrew.</w:t>
      </w:r>
    </w:p>
    <w:p w14:paraId="4BA7CBAF" w14:textId="76142F34" w:rsidR="00912DC5" w:rsidRDefault="00912DC5" w:rsidP="00912DC5">
      <w:r>
        <w:t xml:space="preserve">In developing the payment rates, the Department considered spending for about 130 </w:t>
      </w:r>
      <w:r w:rsidR="005C6BAD">
        <w:t xml:space="preserve">MBS </w:t>
      </w:r>
      <w:r>
        <w:t>items relat</w:t>
      </w:r>
      <w:r w:rsidR="005E3DB1">
        <w:t>ed</w:t>
      </w:r>
      <w:r>
        <w:t xml:space="preserve"> to chronic disease. It </w:t>
      </w:r>
      <w:r w:rsidR="000E0E2F">
        <w:t xml:space="preserve">was </w:t>
      </w:r>
      <w:r>
        <w:t>estimated that the average total MBS fees claimed by general practices for patients accessing the chronic disease items was $862.</w:t>
      </w:r>
      <w:r w:rsidR="00D14DC2" w:rsidRPr="00ED3833">
        <w:rPr>
          <w:rStyle w:val="FootnoteReference"/>
          <w:color w:val="408BCA"/>
        </w:rPr>
        <w:footnoteReference w:id="27"/>
      </w:r>
      <w:r>
        <w:t xml:space="preserve"> Based on this </w:t>
      </w:r>
      <w:r w:rsidR="005C6BAD">
        <w:t>analysis</w:t>
      </w:r>
      <w:r>
        <w:t>, payments rates for three tiers were set as shown in</w:t>
      </w:r>
      <w:r w:rsidR="00302D66">
        <w:t xml:space="preserve"> </w:t>
      </w:r>
      <w:r w:rsidR="00302D66" w:rsidRPr="00C11B6F">
        <w:rPr>
          <w:rFonts w:eastAsiaTheme="minorEastAsia"/>
          <w:bCs/>
          <w:color w:val="1D2455"/>
          <w:szCs w:val="20"/>
          <w:lang w:eastAsia="en-AU"/>
        </w:rPr>
        <w:fldChar w:fldCharType="begin"/>
      </w:r>
      <w:r w:rsidR="00302D66" w:rsidRPr="00C11B6F">
        <w:rPr>
          <w:rFonts w:eastAsiaTheme="minorEastAsia"/>
          <w:bCs/>
          <w:color w:val="1D2455"/>
          <w:szCs w:val="20"/>
          <w:lang w:eastAsia="en-AU"/>
        </w:rPr>
        <w:instrText xml:space="preserve"> REF _Ref21371774 \h  \* MERGEFORMAT </w:instrText>
      </w:r>
      <w:r w:rsidR="00302D66" w:rsidRPr="00C11B6F">
        <w:rPr>
          <w:rFonts w:eastAsiaTheme="minorEastAsia"/>
          <w:bCs/>
          <w:color w:val="1D2455"/>
          <w:szCs w:val="20"/>
          <w:lang w:eastAsia="en-AU"/>
        </w:rPr>
      </w:r>
      <w:r w:rsidR="00302D66" w:rsidRPr="00C11B6F">
        <w:rPr>
          <w:rFonts w:eastAsiaTheme="minorEastAsia"/>
          <w:bCs/>
          <w:color w:val="1D2455"/>
          <w:szCs w:val="20"/>
          <w:lang w:eastAsia="en-AU"/>
        </w:rPr>
        <w:fldChar w:fldCharType="separate"/>
      </w:r>
      <w:r w:rsidR="003C4BC2" w:rsidRPr="003C4BC2">
        <w:rPr>
          <w:rFonts w:eastAsiaTheme="minorEastAsia"/>
          <w:bCs/>
          <w:color w:val="1D2455"/>
          <w:szCs w:val="20"/>
          <w:lang w:eastAsia="en-AU"/>
        </w:rPr>
        <w:t>Table 10</w:t>
      </w:r>
      <w:r w:rsidR="00302D66" w:rsidRPr="00C11B6F">
        <w:rPr>
          <w:rFonts w:eastAsiaTheme="minorEastAsia"/>
          <w:bCs/>
          <w:color w:val="1D2455"/>
          <w:szCs w:val="20"/>
          <w:lang w:eastAsia="en-AU"/>
        </w:rPr>
        <w:fldChar w:fldCharType="end"/>
      </w:r>
      <w:r>
        <w:t>.</w:t>
      </w:r>
    </w:p>
    <w:p w14:paraId="7F3DC406" w14:textId="6CD2B16C" w:rsidR="00912DC5" w:rsidRDefault="00912DC5" w:rsidP="00912DC5">
      <w:pPr>
        <w:pStyle w:val="TableFigureheading"/>
      </w:pPr>
      <w:bookmarkStart w:id="81" w:name="_Ref21371774"/>
      <w:r w:rsidRPr="000F7578">
        <w:t xml:space="preserve">Table </w:t>
      </w:r>
      <w:r w:rsidR="00A61B29">
        <w:fldChar w:fldCharType="begin"/>
      </w:r>
      <w:r w:rsidR="00A61B29">
        <w:instrText xml:space="preserve"> SEQ Table \* ARABIC </w:instrText>
      </w:r>
      <w:r w:rsidR="00A61B29">
        <w:fldChar w:fldCharType="separate"/>
      </w:r>
      <w:r w:rsidR="003C4BC2">
        <w:rPr>
          <w:noProof/>
        </w:rPr>
        <w:t>10</w:t>
      </w:r>
      <w:r w:rsidR="00A61B29">
        <w:rPr>
          <w:noProof/>
        </w:rPr>
        <w:fldChar w:fldCharType="end"/>
      </w:r>
      <w:bookmarkEnd w:id="81"/>
      <w:r>
        <w:t xml:space="preserve">: </w:t>
      </w:r>
      <w:r w:rsidRPr="00670922">
        <w:t>HCH tier payments</w:t>
      </w:r>
      <w:r>
        <w:t xml:space="preserve"> 2018</w:t>
      </w:r>
      <w:r w:rsidR="000E0E2F">
        <w:t xml:space="preserve"> (indexed annually thereafter)</w:t>
      </w:r>
    </w:p>
    <w:tbl>
      <w:tblPr>
        <w:tblW w:w="4039"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443"/>
        <w:gridCol w:w="2596"/>
      </w:tblGrid>
      <w:tr w:rsidR="004054D3" w:rsidRPr="004054D3" w14:paraId="0AECC08F" w14:textId="77777777" w:rsidTr="004054D3">
        <w:trPr>
          <w:jc w:val="center"/>
        </w:trPr>
        <w:tc>
          <w:tcPr>
            <w:tcW w:w="1443" w:type="dxa"/>
            <w:shd w:val="clear" w:color="auto" w:fill="408BCA"/>
            <w:hideMark/>
          </w:tcPr>
          <w:p w14:paraId="7F961702" w14:textId="77777777" w:rsidR="00912DC5" w:rsidRPr="004054D3" w:rsidRDefault="00912DC5" w:rsidP="00730112">
            <w:pPr>
              <w:spacing w:before="40" w:after="40"/>
              <w:jc w:val="center"/>
              <w:rPr>
                <w:b/>
                <w:bCs/>
                <w:color w:val="FFFFFF" w:themeColor="background1"/>
                <w:sz w:val="18"/>
              </w:rPr>
            </w:pPr>
            <w:r w:rsidRPr="004054D3">
              <w:rPr>
                <w:b/>
                <w:bCs/>
                <w:color w:val="FFFFFF" w:themeColor="background1"/>
                <w:sz w:val="18"/>
                <w:lang w:val="en-GB"/>
              </w:rPr>
              <w:t>HCH tier</w:t>
            </w:r>
          </w:p>
        </w:tc>
        <w:tc>
          <w:tcPr>
            <w:tcW w:w="0" w:type="auto"/>
            <w:shd w:val="clear" w:color="auto" w:fill="408BCA"/>
            <w:hideMark/>
          </w:tcPr>
          <w:p w14:paraId="3BFD993E" w14:textId="77777777" w:rsidR="00912DC5" w:rsidRPr="004054D3" w:rsidRDefault="00912DC5" w:rsidP="00730112">
            <w:pPr>
              <w:spacing w:before="40" w:after="40"/>
              <w:jc w:val="center"/>
              <w:rPr>
                <w:b/>
                <w:bCs/>
                <w:color w:val="FFFFFF" w:themeColor="background1"/>
                <w:sz w:val="18"/>
              </w:rPr>
            </w:pPr>
            <w:r w:rsidRPr="004054D3">
              <w:rPr>
                <w:b/>
                <w:bCs/>
                <w:color w:val="FFFFFF" w:themeColor="background1"/>
                <w:sz w:val="18"/>
              </w:rPr>
              <w:t>Payment</w:t>
            </w:r>
          </w:p>
        </w:tc>
      </w:tr>
      <w:tr w:rsidR="00912DC5" w:rsidRPr="008329E4" w14:paraId="5DE295E1" w14:textId="77777777" w:rsidTr="004054D3">
        <w:trPr>
          <w:jc w:val="center"/>
        </w:trPr>
        <w:tc>
          <w:tcPr>
            <w:tcW w:w="1443" w:type="dxa"/>
          </w:tcPr>
          <w:p w14:paraId="37A3EA0B" w14:textId="77777777" w:rsidR="00912DC5" w:rsidRPr="008329E4" w:rsidRDefault="00912DC5" w:rsidP="00730112">
            <w:pPr>
              <w:spacing w:before="40" w:after="40"/>
              <w:jc w:val="center"/>
              <w:rPr>
                <w:sz w:val="18"/>
              </w:rPr>
            </w:pPr>
            <w:r w:rsidRPr="008329E4">
              <w:rPr>
                <w:sz w:val="18"/>
                <w:lang w:val="en-GB"/>
              </w:rPr>
              <w:t>Tier 1</w:t>
            </w:r>
          </w:p>
        </w:tc>
        <w:tc>
          <w:tcPr>
            <w:tcW w:w="0" w:type="auto"/>
          </w:tcPr>
          <w:p w14:paraId="26567566" w14:textId="77777777" w:rsidR="00912DC5" w:rsidRPr="00A84511" w:rsidRDefault="00912DC5" w:rsidP="00730112">
            <w:pPr>
              <w:spacing w:before="40" w:after="40"/>
              <w:jc w:val="center"/>
              <w:rPr>
                <w:sz w:val="18"/>
              </w:rPr>
            </w:pPr>
            <w:r w:rsidRPr="00A84511">
              <w:rPr>
                <w:sz w:val="18"/>
              </w:rPr>
              <w:t>$591 per year</w:t>
            </w:r>
          </w:p>
        </w:tc>
      </w:tr>
      <w:tr w:rsidR="00912DC5" w:rsidRPr="008329E4" w14:paraId="24A5C128" w14:textId="77777777" w:rsidTr="004054D3">
        <w:trPr>
          <w:jc w:val="center"/>
        </w:trPr>
        <w:tc>
          <w:tcPr>
            <w:tcW w:w="1443" w:type="dxa"/>
          </w:tcPr>
          <w:p w14:paraId="589CD20C" w14:textId="77777777" w:rsidR="00912DC5" w:rsidRPr="008329E4" w:rsidRDefault="00912DC5" w:rsidP="00730112">
            <w:pPr>
              <w:spacing w:before="40" w:after="40"/>
              <w:jc w:val="center"/>
              <w:rPr>
                <w:sz w:val="18"/>
              </w:rPr>
            </w:pPr>
            <w:r w:rsidRPr="008329E4">
              <w:rPr>
                <w:sz w:val="18"/>
                <w:lang w:val="en-GB"/>
              </w:rPr>
              <w:t>Tier 2</w:t>
            </w:r>
          </w:p>
        </w:tc>
        <w:tc>
          <w:tcPr>
            <w:tcW w:w="0" w:type="auto"/>
          </w:tcPr>
          <w:p w14:paraId="1332F320" w14:textId="77777777" w:rsidR="00912DC5" w:rsidRPr="00A84511" w:rsidRDefault="00912DC5" w:rsidP="00730112">
            <w:pPr>
              <w:spacing w:before="40" w:after="40"/>
              <w:jc w:val="center"/>
              <w:rPr>
                <w:sz w:val="18"/>
              </w:rPr>
            </w:pPr>
            <w:r w:rsidRPr="00A84511">
              <w:rPr>
                <w:sz w:val="18"/>
              </w:rPr>
              <w:t>$1,267 per year</w:t>
            </w:r>
          </w:p>
        </w:tc>
      </w:tr>
      <w:tr w:rsidR="00912DC5" w:rsidRPr="008329E4" w14:paraId="35EFBCBA" w14:textId="77777777" w:rsidTr="004054D3">
        <w:trPr>
          <w:jc w:val="center"/>
        </w:trPr>
        <w:tc>
          <w:tcPr>
            <w:tcW w:w="1443" w:type="dxa"/>
          </w:tcPr>
          <w:p w14:paraId="05EFEDA8" w14:textId="77777777" w:rsidR="00912DC5" w:rsidRPr="008329E4" w:rsidRDefault="00912DC5" w:rsidP="00730112">
            <w:pPr>
              <w:spacing w:before="40" w:after="40"/>
              <w:jc w:val="center"/>
              <w:rPr>
                <w:sz w:val="18"/>
              </w:rPr>
            </w:pPr>
            <w:r w:rsidRPr="008329E4">
              <w:rPr>
                <w:sz w:val="18"/>
                <w:lang w:val="en-GB"/>
              </w:rPr>
              <w:t>Tier 3</w:t>
            </w:r>
          </w:p>
        </w:tc>
        <w:tc>
          <w:tcPr>
            <w:tcW w:w="0" w:type="auto"/>
          </w:tcPr>
          <w:p w14:paraId="607CFC81" w14:textId="77777777" w:rsidR="00912DC5" w:rsidRPr="00A84511" w:rsidRDefault="00912DC5" w:rsidP="00730112">
            <w:pPr>
              <w:spacing w:before="40" w:after="40"/>
              <w:jc w:val="center"/>
              <w:rPr>
                <w:sz w:val="18"/>
              </w:rPr>
            </w:pPr>
            <w:r w:rsidRPr="00A84511">
              <w:rPr>
                <w:sz w:val="18"/>
              </w:rPr>
              <w:t>$1,795 per year</w:t>
            </w:r>
          </w:p>
        </w:tc>
      </w:tr>
    </w:tbl>
    <w:p w14:paraId="4927F992" w14:textId="4A9C30D4" w:rsidR="00912DC5" w:rsidRPr="00A032F3" w:rsidRDefault="00912DC5" w:rsidP="00912DC5">
      <w:pPr>
        <w:pStyle w:val="Chartortablefootnote"/>
      </w:pPr>
      <w:r w:rsidRPr="00A032F3">
        <w:t xml:space="preserve">Source: </w:t>
      </w:r>
      <w:r w:rsidRPr="00A032F3">
        <w:fldChar w:fldCharType="begin"/>
      </w:r>
      <w:r w:rsidR="0015206C">
        <w:instrText xml:space="preserve"> ADDIN EN.CITE &lt;EndNote&gt;&lt;Cite AuthorYear="1"&gt;&lt;Author&gt;Australian Government Department of Health&lt;/Author&gt;&lt;Year&gt;2018&lt;/Year&gt;&lt;RecNum&gt;1034&lt;/RecNum&gt;&lt;DisplayText&gt;Australian Government Department of Health (2018d)&lt;/DisplayText&gt;&lt;record&gt;&lt;rec-number&gt;1034&lt;/rec-number&gt;&lt;foreign-keys&gt;&lt;key app="EN" db-id="zdz9xax04zr9v0evw2nvrpw9xe9ttzvs5zsv" timestamp="1535530581"&gt;1034&lt;/key&gt;&lt;/foreign-keys&gt;&lt;ref-type name="Electronic Book"&gt;44&lt;/ref-type&gt;&lt;contributors&gt;&lt;authors&gt;&lt;author&gt;Australian Government Department of Health,,&lt;/author&gt;&lt;/authors&gt;&lt;/contributors&gt;&lt;titles&gt;&lt;title&gt;Health Care Homes Handbook for general practices and Aboriginal Community Controlled Health Services Version 1.4 August 2018&lt;/title&gt;&lt;/titles&gt;&lt;dates&gt;&lt;year&gt;2018&lt;/year&gt;&lt;/dates&gt;&lt;urls&gt;&lt;/urls&gt;&lt;/record&gt;&lt;/Cite&gt;&lt;/EndNote&gt;</w:instrText>
      </w:r>
      <w:r w:rsidRPr="00A032F3">
        <w:fldChar w:fldCharType="separate"/>
      </w:r>
      <w:r w:rsidR="00501711">
        <w:rPr>
          <w:noProof/>
        </w:rPr>
        <w:t>Australian Government Department of Health (2018d)</w:t>
      </w:r>
      <w:r w:rsidRPr="00A032F3">
        <w:fldChar w:fldCharType="end"/>
      </w:r>
      <w:r>
        <w:t>.</w:t>
      </w:r>
      <w:r w:rsidR="00D14DC2" w:rsidRPr="001E731D">
        <w:rPr>
          <w:rStyle w:val="FootnoteReference"/>
          <w:color w:val="408BCA"/>
        </w:rPr>
        <w:footnoteReference w:id="28"/>
      </w:r>
    </w:p>
    <w:p w14:paraId="1D9E3341" w14:textId="5A9E195E" w:rsidR="00912DC5" w:rsidRDefault="00912DC5" w:rsidP="00912DC5">
      <w:r>
        <w:t xml:space="preserve">The </w:t>
      </w:r>
      <w:r w:rsidR="005C6BAD">
        <w:t>bundled</w:t>
      </w:r>
      <w:r>
        <w:t xml:space="preserve"> payment</w:t>
      </w:r>
      <w:r w:rsidR="005C6BAD">
        <w:t xml:space="preserve"> was intended to cover the following services</w:t>
      </w:r>
      <w:r>
        <w:t>:</w:t>
      </w:r>
      <w:r w:rsidR="00C25967" w:rsidRPr="001E731D">
        <w:rPr>
          <w:rStyle w:val="FootnoteReference"/>
          <w:color w:val="408BCA"/>
        </w:rPr>
        <w:footnoteReference w:id="29"/>
      </w:r>
      <w:r w:rsidR="00C25967" w:rsidRPr="001E731D">
        <w:rPr>
          <w:color w:val="408BCA"/>
        </w:rPr>
        <w:t xml:space="preserve"> </w:t>
      </w:r>
      <w:r w:rsidR="00C25967" w:rsidRPr="001E731D">
        <w:rPr>
          <w:color w:val="408BCA"/>
          <w:vertAlign w:val="superscript"/>
        </w:rPr>
        <w:t>(p. 20)</w:t>
      </w:r>
    </w:p>
    <w:p w14:paraId="5920F697" w14:textId="77777777" w:rsidR="00912DC5" w:rsidRDefault="00912DC5" w:rsidP="004D48A4">
      <w:pPr>
        <w:pStyle w:val="ListParagraph"/>
        <w:numPr>
          <w:ilvl w:val="0"/>
          <w:numId w:val="8"/>
        </w:numPr>
      </w:pPr>
      <w:r>
        <w:t>comprehensive health assessment</w:t>
      </w:r>
    </w:p>
    <w:p w14:paraId="60A0DE9D" w14:textId="77777777" w:rsidR="00912DC5" w:rsidRDefault="00912DC5" w:rsidP="004D48A4">
      <w:pPr>
        <w:pStyle w:val="ListParagraph"/>
        <w:numPr>
          <w:ilvl w:val="0"/>
          <w:numId w:val="8"/>
        </w:numPr>
      </w:pPr>
      <w:r>
        <w:t>shared care plan development</w:t>
      </w:r>
    </w:p>
    <w:p w14:paraId="16890C1F" w14:textId="77777777" w:rsidR="00912DC5" w:rsidRDefault="00912DC5" w:rsidP="004D48A4">
      <w:pPr>
        <w:pStyle w:val="ListParagraph"/>
        <w:numPr>
          <w:ilvl w:val="0"/>
          <w:numId w:val="8"/>
        </w:numPr>
      </w:pPr>
      <w:r>
        <w:t>regular reviews</w:t>
      </w:r>
    </w:p>
    <w:p w14:paraId="22A2C7FF" w14:textId="4A573829" w:rsidR="00912DC5" w:rsidRDefault="00912DC5" w:rsidP="004D48A4">
      <w:pPr>
        <w:pStyle w:val="ListParagraph"/>
        <w:numPr>
          <w:ilvl w:val="0"/>
          <w:numId w:val="8"/>
        </w:numPr>
      </w:pPr>
      <w:r>
        <w:t>referral to allied health providers or specialists</w:t>
      </w:r>
    </w:p>
    <w:p w14:paraId="59DF4718" w14:textId="77777777" w:rsidR="00912DC5" w:rsidRDefault="00912DC5" w:rsidP="004D48A4">
      <w:pPr>
        <w:pStyle w:val="ListParagraph"/>
        <w:numPr>
          <w:ilvl w:val="0"/>
          <w:numId w:val="8"/>
        </w:numPr>
      </w:pPr>
      <w:r>
        <w:t>case conferencing</w:t>
      </w:r>
    </w:p>
    <w:p w14:paraId="65B74C2B" w14:textId="77777777" w:rsidR="00912DC5" w:rsidRDefault="00912DC5" w:rsidP="004D48A4">
      <w:pPr>
        <w:pStyle w:val="ListParagraph"/>
        <w:numPr>
          <w:ilvl w:val="0"/>
          <w:numId w:val="8"/>
        </w:numPr>
      </w:pPr>
      <w:r>
        <w:t>telehealth services and monitoring</w:t>
      </w:r>
    </w:p>
    <w:p w14:paraId="43F1EF67" w14:textId="371A0E1A" w:rsidR="00912DC5" w:rsidRDefault="00912DC5" w:rsidP="004D48A4">
      <w:pPr>
        <w:pStyle w:val="ListParagraph"/>
        <w:numPr>
          <w:ilvl w:val="0"/>
          <w:numId w:val="8"/>
        </w:numPr>
      </w:pPr>
      <w:r>
        <w:t xml:space="preserve">standard consultations related to </w:t>
      </w:r>
      <w:r w:rsidR="007F1FCD">
        <w:t>the</w:t>
      </w:r>
      <w:r>
        <w:t xml:space="preserve"> patient’s chronic conditions</w:t>
      </w:r>
    </w:p>
    <w:p w14:paraId="337A1DD5" w14:textId="77777777" w:rsidR="00912DC5" w:rsidRDefault="00912DC5" w:rsidP="004D48A4">
      <w:pPr>
        <w:pStyle w:val="ListParagraph"/>
        <w:numPr>
          <w:ilvl w:val="0"/>
          <w:numId w:val="8"/>
        </w:numPr>
      </w:pPr>
      <w:r>
        <w:t>after-hours advice and care.</w:t>
      </w:r>
    </w:p>
    <w:p w14:paraId="52962666" w14:textId="57E6ACA5" w:rsidR="00912DC5" w:rsidRDefault="00912DC5" w:rsidP="00912DC5">
      <w:r>
        <w:lastRenderedPageBreak/>
        <w:t xml:space="preserve">HCHs could still claim for consultations or clinical services not relating to patients’ chronic </w:t>
      </w:r>
      <w:r w:rsidRPr="00E25816">
        <w:t xml:space="preserve">conditions. The </w:t>
      </w:r>
      <w:r>
        <w:t xml:space="preserve">HCH </w:t>
      </w:r>
      <w:r w:rsidRPr="00E25816">
        <w:t xml:space="preserve">Clinical Reference Group </w:t>
      </w:r>
      <w:r w:rsidR="005C6BAD">
        <w:t>developed</w:t>
      </w:r>
      <w:r w:rsidRPr="00E25816">
        <w:t xml:space="preserve"> guidance on this</w:t>
      </w:r>
      <w:r>
        <w:t>.</w:t>
      </w:r>
      <w:r w:rsidR="00E6260A" w:rsidRPr="001E731D">
        <w:rPr>
          <w:rStyle w:val="FootnoteReference"/>
          <w:color w:val="408BCA"/>
        </w:rPr>
        <w:footnoteReference w:id="30"/>
      </w:r>
    </w:p>
    <w:p w14:paraId="654BED4C" w14:textId="7712056F" w:rsidR="00912DC5" w:rsidRDefault="00912DC5" w:rsidP="00912DC5">
      <w:pPr>
        <w:rPr>
          <w:rFonts w:cs="Tahoma"/>
          <w:szCs w:val="20"/>
        </w:rPr>
      </w:pPr>
      <w:r>
        <w:t xml:space="preserve">HCH </w:t>
      </w:r>
      <w:r w:rsidRPr="00FE63EA">
        <w:t xml:space="preserve">patients </w:t>
      </w:r>
      <w:r w:rsidR="005C6BAD">
        <w:t>were</w:t>
      </w:r>
      <w:r>
        <w:t xml:space="preserve"> not prohibited </w:t>
      </w:r>
      <w:r w:rsidRPr="00FE63EA">
        <w:t xml:space="preserve">from consulting other </w:t>
      </w:r>
      <w:r>
        <w:t xml:space="preserve">primary care </w:t>
      </w:r>
      <w:r w:rsidRPr="00FE63EA">
        <w:t xml:space="preserve">practices, but the patient enrolment/consent </w:t>
      </w:r>
      <w:r w:rsidRPr="00C0191F">
        <w:t xml:space="preserve">form </w:t>
      </w:r>
      <w:r>
        <w:t>contain</w:t>
      </w:r>
      <w:r w:rsidR="005C6BAD">
        <w:t>ed</w:t>
      </w:r>
      <w:r w:rsidRPr="00C0191F">
        <w:t xml:space="preserve"> the statement “</w:t>
      </w:r>
      <w:r w:rsidRPr="00C0191F">
        <w:rPr>
          <w:i/>
        </w:rPr>
        <w:t>4. I agree to seek care from my Health Care Home practice on an ongoing basis</w:t>
      </w:r>
      <w:r w:rsidRPr="00C0191F">
        <w:t>”.</w:t>
      </w:r>
      <w:r w:rsidR="00E6260A" w:rsidRPr="001E731D">
        <w:rPr>
          <w:rStyle w:val="FootnoteReference"/>
          <w:color w:val="408BCA"/>
        </w:rPr>
        <w:footnoteReference w:id="31"/>
      </w:r>
      <w:r w:rsidRPr="001E731D">
        <w:rPr>
          <w:rFonts w:cs="Tahoma"/>
          <w:color w:val="408BCA"/>
          <w:szCs w:val="20"/>
        </w:rPr>
        <w:t xml:space="preserve"> </w:t>
      </w:r>
      <w:r w:rsidRPr="00C0191F">
        <w:rPr>
          <w:rFonts w:cs="Tahoma"/>
          <w:szCs w:val="20"/>
        </w:rPr>
        <w:t xml:space="preserve">Also, the </w:t>
      </w:r>
      <w:r>
        <w:rPr>
          <w:rFonts w:cs="Tahoma"/>
          <w:szCs w:val="20"/>
        </w:rPr>
        <w:t xml:space="preserve">HCH </w:t>
      </w:r>
      <w:r w:rsidRPr="00C0191F">
        <w:rPr>
          <w:rFonts w:cs="Tahoma"/>
          <w:szCs w:val="20"/>
        </w:rPr>
        <w:t>Funding Assurance Toolkit require</w:t>
      </w:r>
      <w:r w:rsidR="005C6BAD">
        <w:rPr>
          <w:rFonts w:cs="Tahoma"/>
          <w:szCs w:val="20"/>
        </w:rPr>
        <w:t>d</w:t>
      </w:r>
      <w:r w:rsidRPr="00C0191F">
        <w:rPr>
          <w:rFonts w:cs="Tahoma"/>
          <w:szCs w:val="20"/>
        </w:rPr>
        <w:t xml:space="preserve"> that “</w:t>
      </w:r>
      <w:r w:rsidRPr="00C0191F">
        <w:rPr>
          <w:rFonts w:cs="Tahoma"/>
          <w:i/>
          <w:szCs w:val="20"/>
        </w:rPr>
        <w:t>The practice encourages an enrolled patient to attend their HCH for all care and, in particular, care that is related to their chronic conditions. This means that visits to other practices by enrolled patients are expected to be minimal (for example, when an enrolled patient is travelling)</w:t>
      </w:r>
      <w:r>
        <w:rPr>
          <w:rFonts w:cs="Tahoma"/>
          <w:szCs w:val="20"/>
        </w:rPr>
        <w:t>”.</w:t>
      </w:r>
      <w:r w:rsidR="00364D86" w:rsidRPr="00364D86">
        <w:rPr>
          <w:rStyle w:val="FootnoteReference"/>
          <w:rFonts w:cs="Tahoma"/>
          <w:color w:val="408BCA"/>
          <w:szCs w:val="20"/>
        </w:rPr>
        <w:footnoteReference w:id="32"/>
      </w:r>
      <w:r w:rsidR="00364D86" w:rsidRPr="00364D86">
        <w:rPr>
          <w:rFonts w:cs="Tahoma"/>
          <w:color w:val="408BCA"/>
          <w:szCs w:val="20"/>
        </w:rPr>
        <w:t xml:space="preserve"> </w:t>
      </w:r>
      <w:r w:rsidR="00364D86" w:rsidRPr="00364D86">
        <w:rPr>
          <w:rFonts w:cs="Tahoma"/>
          <w:color w:val="408BCA"/>
          <w:szCs w:val="20"/>
          <w:vertAlign w:val="superscript"/>
        </w:rPr>
        <w:t>(p. 8)</w:t>
      </w:r>
    </w:p>
    <w:p w14:paraId="2CDB5913" w14:textId="650716F7" w:rsidR="00912DC5" w:rsidRDefault="00912DC5" w:rsidP="00912DC5">
      <w:r>
        <w:t xml:space="preserve">A new MBS item – item 6087 – was created </w:t>
      </w:r>
      <w:r w:rsidRPr="00C24C26">
        <w:t xml:space="preserve">to record HCH patients’ out-of-pocket expenses so that they </w:t>
      </w:r>
      <w:r w:rsidR="005C6BAD">
        <w:t>could</w:t>
      </w:r>
      <w:r w:rsidRPr="00C24C26">
        <w:t xml:space="preserve"> be counted towards the patient’s safety net. The item ha</w:t>
      </w:r>
      <w:r w:rsidR="005C6BAD">
        <w:t>d</w:t>
      </w:r>
      <w:r w:rsidRPr="00C24C26">
        <w:t xml:space="preserve"> a rebate value of $1.15. </w:t>
      </w:r>
      <w:bookmarkStart w:id="82" w:name="_Hlk528657679"/>
    </w:p>
    <w:p w14:paraId="6973BE46" w14:textId="77777777" w:rsidR="0081249C" w:rsidRPr="00885B71" w:rsidRDefault="0081249C" w:rsidP="0081249C">
      <w:pPr>
        <w:pStyle w:val="Heading3"/>
      </w:pPr>
      <w:bookmarkStart w:id="83" w:name="_Toc17036354"/>
      <w:r>
        <w:t xml:space="preserve">Practice facilitation and support from </w:t>
      </w:r>
      <w:r w:rsidRPr="00885B71">
        <w:t>PHN</w:t>
      </w:r>
      <w:r>
        <w:t>s</w:t>
      </w:r>
      <w:bookmarkEnd w:id="83"/>
    </w:p>
    <w:p w14:paraId="18577B2B" w14:textId="451E7748" w:rsidR="0081249C" w:rsidRDefault="0081249C" w:rsidP="0081249C">
      <w:bookmarkStart w:id="84" w:name="_Hlk20933111"/>
      <w:r>
        <w:t>The Department funded the 10 PHNs involved with the trial to support practices through the HCH implementation.</w:t>
      </w:r>
      <w:bookmarkEnd w:id="84"/>
      <w:r>
        <w:t xml:space="preserve"> The PHNs were </w:t>
      </w:r>
      <w:r w:rsidRPr="00885B71">
        <w:t xml:space="preserve">initially funded for three </w:t>
      </w:r>
      <w:r>
        <w:t xml:space="preserve">full time equivalent (FTE) positions from July 2017. Two positions were </w:t>
      </w:r>
      <w:r w:rsidRPr="00885B71">
        <w:t>to help practices with transformation</w:t>
      </w:r>
      <w:r w:rsidR="005B1343">
        <w:t xml:space="preserve">. This was </w:t>
      </w:r>
      <w:r>
        <w:t xml:space="preserve">the practice facilitator role. One position was to </w:t>
      </w:r>
      <w:r w:rsidRPr="00885B71">
        <w:t xml:space="preserve">help </w:t>
      </w:r>
      <w:r>
        <w:t>practices with enrolling patients</w:t>
      </w:r>
      <w:r w:rsidRPr="00885B71">
        <w:t>.</w:t>
      </w:r>
      <w:r w:rsidRPr="00BB4353">
        <w:t xml:space="preserve"> </w:t>
      </w:r>
      <w:r>
        <w:t>Funding for the roles was initially for 12 months (transformation) and 15 months (enrolment) respectively</w:t>
      </w:r>
      <w:bookmarkStart w:id="85" w:name="_Hlk20748222"/>
      <w:r>
        <w:t>, but subsequently extended through to June 2019</w:t>
      </w:r>
      <w:r w:rsidR="005C6BAD">
        <w:t xml:space="preserve"> with the extension of the trial</w:t>
      </w:r>
      <w:r>
        <w:t>. During 2019–20</w:t>
      </w:r>
      <w:r w:rsidR="00F258BB">
        <w:t>,</w:t>
      </w:r>
      <w:r>
        <w:t xml:space="preserve"> PHNs </w:t>
      </w:r>
      <w:r w:rsidR="005C6BAD">
        <w:t>were</w:t>
      </w:r>
      <w:r>
        <w:t xml:space="preserve"> funded for one FTE per 10 practices participating in HCH, with a minimum of one FTE per PHN. During 2020–21, funding scale</w:t>
      </w:r>
      <w:r w:rsidR="005C6BAD">
        <w:t>d</w:t>
      </w:r>
      <w:r>
        <w:t xml:space="preserve"> back to one FTE per 16 participating practices, with a minimum of one FTE per PHN. </w:t>
      </w:r>
    </w:p>
    <w:p w14:paraId="6F1CDE22" w14:textId="29180F24" w:rsidR="0081249C" w:rsidRDefault="0081249C" w:rsidP="0081249C">
      <w:r>
        <w:t xml:space="preserve">In the rest of this report, the funded PHN staff are referred to as </w:t>
      </w:r>
      <w:r w:rsidR="0087126D">
        <w:t>“</w:t>
      </w:r>
      <w:r w:rsidRPr="00E40119">
        <w:t>PHN practice facilitators</w:t>
      </w:r>
      <w:r w:rsidR="0087126D">
        <w:t>”</w:t>
      </w:r>
      <w:r>
        <w:t>.</w:t>
      </w:r>
    </w:p>
    <w:bookmarkEnd w:id="85"/>
    <w:p w14:paraId="4182C36D" w14:textId="1FFC90AC" w:rsidR="00EE7890" w:rsidRDefault="0081249C" w:rsidP="0081249C">
      <w:r>
        <w:t xml:space="preserve">In addition to regular meetings with PHN CEOs </w:t>
      </w:r>
      <w:r w:rsidRPr="00885B71">
        <w:t>and/ or their representatives</w:t>
      </w:r>
      <w:r>
        <w:t>, t</w:t>
      </w:r>
      <w:r w:rsidRPr="00885B71">
        <w:t xml:space="preserve">he Department met with the PHN practice facilitators </w:t>
      </w:r>
      <w:r>
        <w:t xml:space="preserve">each fortnight </w:t>
      </w:r>
      <w:r w:rsidRPr="00885B71">
        <w:t xml:space="preserve">and sent weekly emails to update them on each practice’s progress in enrolling patients, installing and using the RST and undertaking evaluation </w:t>
      </w:r>
      <w:r w:rsidR="00C447D2">
        <w:t>activities (for example, completing surveys)</w:t>
      </w:r>
      <w:r w:rsidRPr="00885B71">
        <w:t>.</w:t>
      </w:r>
    </w:p>
    <w:p w14:paraId="3746DBCB" w14:textId="77777777" w:rsidR="00EE7890" w:rsidRDefault="00EE7890">
      <w:pPr>
        <w:spacing w:after="160" w:line="259" w:lineRule="auto"/>
      </w:pPr>
      <w:r>
        <w:br w:type="page"/>
      </w:r>
    </w:p>
    <w:p w14:paraId="06036CA7" w14:textId="27AAEEA2" w:rsidR="00E23C7B" w:rsidRDefault="00E23C7B" w:rsidP="00E23C7B">
      <w:pPr>
        <w:pStyle w:val="Heading3"/>
      </w:pPr>
      <w:r>
        <w:lastRenderedPageBreak/>
        <w:t>Training for practices and PHN practice facilitators</w:t>
      </w:r>
    </w:p>
    <w:p w14:paraId="624561F8" w14:textId="107BD4F2" w:rsidR="00E23C7B" w:rsidRDefault="007D358C" w:rsidP="0081249C">
      <w:r>
        <w:t xml:space="preserve">The Department of Health engaged </w:t>
      </w:r>
      <w:r w:rsidR="00460EBD" w:rsidRPr="00460EBD">
        <w:t>AGPAL</w:t>
      </w:r>
      <w:r w:rsidR="00460EBD">
        <w:rPr>
          <w:rFonts w:ascii="Libre Franklin" w:hAnsi="Libre Franklin"/>
          <w:color w:val="7A7A7A"/>
        </w:rPr>
        <w:t> </w:t>
      </w:r>
      <w:r>
        <w:t xml:space="preserve">to develop online training modules for practices and train </w:t>
      </w:r>
      <w:r w:rsidR="00701BD9">
        <w:t xml:space="preserve">and coach PHN practice facilitators </w:t>
      </w:r>
      <w:r>
        <w:t xml:space="preserve">through train-the-trainer workshops, </w:t>
      </w:r>
      <w:r w:rsidR="006E42A4">
        <w:t xml:space="preserve">coaching </w:t>
      </w:r>
      <w:r>
        <w:t>webinars</w:t>
      </w:r>
      <w:r w:rsidR="006E42A4">
        <w:t xml:space="preserve">, and a dedicated national practice facilitator to </w:t>
      </w:r>
      <w:r w:rsidR="001451CB">
        <w:t xml:space="preserve">provide </w:t>
      </w:r>
      <w:r w:rsidR="006E42A4">
        <w:t>support as required</w:t>
      </w:r>
      <w:r w:rsidR="00F4502B">
        <w:t>.</w:t>
      </w:r>
    </w:p>
    <w:p w14:paraId="396EE9A6" w14:textId="77777777" w:rsidR="00DB19D6" w:rsidRDefault="00DB19D6" w:rsidP="00DB19D6">
      <w:pPr>
        <w:pStyle w:val="Heading3"/>
      </w:pPr>
      <w:r>
        <w:t>Clinical champions</w:t>
      </w:r>
    </w:p>
    <w:p w14:paraId="6F0649C9" w14:textId="77777777" w:rsidR="00DB19D6" w:rsidRDefault="00DB19D6" w:rsidP="00DB19D6">
      <w:r>
        <w:t xml:space="preserve">The Department established a network of clinical champions in April 2018 to: </w:t>
      </w:r>
    </w:p>
    <w:p w14:paraId="5F49A4F8" w14:textId="77777777" w:rsidR="00DB19D6" w:rsidRDefault="00DB19D6" w:rsidP="004D48A4">
      <w:pPr>
        <w:pStyle w:val="ListParagraph"/>
        <w:numPr>
          <w:ilvl w:val="0"/>
          <w:numId w:val="19"/>
        </w:numPr>
      </w:pPr>
      <w:r>
        <w:t>Support retention of participating practices, particularly those progressing more slowly, by providing leadership, support and advice throughout the trial.</w:t>
      </w:r>
    </w:p>
    <w:p w14:paraId="274AAF2A" w14:textId="77777777" w:rsidR="00DB19D6" w:rsidRDefault="00DB19D6" w:rsidP="004D48A4">
      <w:pPr>
        <w:pStyle w:val="ListParagraph"/>
        <w:numPr>
          <w:ilvl w:val="0"/>
          <w:numId w:val="19"/>
        </w:numPr>
      </w:pPr>
      <w:r>
        <w:t>Assist HCHs in harnessing and building the benefit of the model to patients.</w:t>
      </w:r>
    </w:p>
    <w:p w14:paraId="772E9567" w14:textId="77777777" w:rsidR="00DB19D6" w:rsidRDefault="00DB19D6" w:rsidP="004D48A4">
      <w:pPr>
        <w:pStyle w:val="ListParagraph"/>
        <w:numPr>
          <w:ilvl w:val="0"/>
          <w:numId w:val="19"/>
        </w:numPr>
      </w:pPr>
      <w:r>
        <w:t>Promote positive messaging and a collective understanding of the model in practice.</w:t>
      </w:r>
    </w:p>
    <w:p w14:paraId="512684A2" w14:textId="77777777" w:rsidR="00DB19D6" w:rsidRDefault="00DB19D6" w:rsidP="004D48A4">
      <w:pPr>
        <w:pStyle w:val="ListParagraph"/>
        <w:numPr>
          <w:ilvl w:val="0"/>
          <w:numId w:val="19"/>
        </w:numPr>
      </w:pPr>
      <w:r>
        <w:t>Drive and support patient enrolment across the trial regions.</w:t>
      </w:r>
    </w:p>
    <w:p w14:paraId="4DBB0A33" w14:textId="0D72B301" w:rsidR="00DB19D6" w:rsidRDefault="00DB19D6" w:rsidP="00DB19D6">
      <w:r>
        <w:t xml:space="preserve">Clinical champions came from various backgrounds, including </w:t>
      </w:r>
      <w:r w:rsidRPr="000B4C8A">
        <w:t>GPs, nurses and practice managers</w:t>
      </w:r>
      <w:r>
        <w:t>.</w:t>
      </w:r>
    </w:p>
    <w:p w14:paraId="2A105F79" w14:textId="3BAAEB6F" w:rsidR="008C7A9D" w:rsidRDefault="008C7A9D" w:rsidP="008C7A9D">
      <w:pPr>
        <w:pStyle w:val="Heading3"/>
      </w:pPr>
      <w:bookmarkStart w:id="86" w:name="_Toc532396715"/>
      <w:r>
        <w:t>Other resources</w:t>
      </w:r>
      <w:bookmarkEnd w:id="86"/>
    </w:p>
    <w:p w14:paraId="512B7727" w14:textId="7ED0F4EA" w:rsidR="008C7A9D" w:rsidRPr="00AF392F" w:rsidRDefault="008C7A9D" w:rsidP="00747BF2">
      <w:r w:rsidRPr="00AF392F">
        <w:t xml:space="preserve">The Department of Health </w:t>
      </w:r>
      <w:r>
        <w:t>made available a wide range of</w:t>
      </w:r>
      <w:r w:rsidRPr="00AF392F">
        <w:t xml:space="preserve"> resources</w:t>
      </w:r>
      <w:r>
        <w:t xml:space="preserve"> </w:t>
      </w:r>
      <w:r w:rsidRPr="00AF392F">
        <w:t>through its website. The</w:t>
      </w:r>
      <w:r>
        <w:t>y</w:t>
      </w:r>
      <w:r w:rsidRPr="00AF392F">
        <w:t xml:space="preserve"> include</w:t>
      </w:r>
      <w:r>
        <w:t>d</w:t>
      </w:r>
      <w:r w:rsidRPr="00AF392F">
        <w:t>:</w:t>
      </w:r>
    </w:p>
    <w:p w14:paraId="0B86F6FA" w14:textId="1F4B2A05" w:rsidR="008C7A9D" w:rsidRDefault="008C7A9D" w:rsidP="00747BF2">
      <w:pPr>
        <w:pStyle w:val="ListParagraph"/>
        <w:numPr>
          <w:ilvl w:val="0"/>
          <w:numId w:val="21"/>
        </w:numPr>
      </w:pPr>
      <w:r>
        <w:t>Resources for health professionals: Videos and overviews of HCH</w:t>
      </w:r>
      <w:r w:rsidR="00782AC7">
        <w:t>.</w:t>
      </w:r>
      <w:r w:rsidR="00782AC7" w:rsidRPr="005134A0">
        <w:rPr>
          <w:rStyle w:val="FootnoteReference"/>
          <w:color w:val="408BCA"/>
        </w:rPr>
        <w:footnoteReference w:id="33"/>
      </w:r>
      <w:r>
        <w:t xml:space="preserve"> </w:t>
      </w:r>
    </w:p>
    <w:p w14:paraId="53BD8632" w14:textId="0F382C1D" w:rsidR="008C7A9D" w:rsidRDefault="008C7A9D" w:rsidP="00747BF2">
      <w:pPr>
        <w:pStyle w:val="ListParagraph"/>
        <w:numPr>
          <w:ilvl w:val="0"/>
          <w:numId w:val="21"/>
        </w:numPr>
      </w:pPr>
      <w:r>
        <w:t>Updates and factsheets: Factsheets, FAQs, articles, information about the evaluation (FAQs, the evaluation plan), HCH and tax, link to AAPM guidance</w:t>
      </w:r>
      <w:r w:rsidR="00782AC7">
        <w:t>.</w:t>
      </w:r>
      <w:r w:rsidR="00782AC7" w:rsidRPr="005134A0">
        <w:rPr>
          <w:rStyle w:val="FootnoteReference"/>
          <w:color w:val="408BCA"/>
        </w:rPr>
        <w:footnoteReference w:id="34"/>
      </w:r>
    </w:p>
    <w:p w14:paraId="28D220E7" w14:textId="42D5A95F" w:rsidR="008C7A9D" w:rsidRDefault="008C7A9D" w:rsidP="00747BF2">
      <w:pPr>
        <w:pStyle w:val="ListParagraph"/>
        <w:numPr>
          <w:ilvl w:val="0"/>
          <w:numId w:val="21"/>
        </w:numPr>
      </w:pPr>
      <w:r>
        <w:t>Resources for HCHs: Resources that HCHs can use with patients (</w:t>
      </w:r>
      <w:r w:rsidR="0010747B">
        <w:t>for example,</w:t>
      </w:r>
      <w:r>
        <w:t xml:space="preserve"> HCH brochure and patient handbook), resources that HCHs can use internally (</w:t>
      </w:r>
      <w:r w:rsidR="0010747B">
        <w:t>for example,</w:t>
      </w:r>
      <w:r>
        <w:t xml:space="preserve"> HCH care team handbook, enrolment checklist for clinicians, guide for talking with prospective patients), allied health referral form and i</w:t>
      </w:r>
      <w:r w:rsidRPr="00AF392F">
        <w:t>nfographics for GPs and practice staff</w:t>
      </w:r>
      <w:r>
        <w:t>, link to evaluation resources</w:t>
      </w:r>
      <w:r w:rsidR="00782AC7">
        <w:t>.</w:t>
      </w:r>
      <w:r w:rsidR="00782AC7" w:rsidRPr="005134A0">
        <w:rPr>
          <w:rStyle w:val="FootnoteReference"/>
          <w:color w:val="408BCA"/>
        </w:rPr>
        <w:footnoteReference w:id="35"/>
      </w:r>
    </w:p>
    <w:p w14:paraId="2045179C" w14:textId="244F2BC4" w:rsidR="008C7A9D" w:rsidRDefault="008C7A9D" w:rsidP="00747BF2">
      <w:pPr>
        <w:pStyle w:val="ListParagraph"/>
        <w:numPr>
          <w:ilvl w:val="0"/>
          <w:numId w:val="21"/>
        </w:numPr>
      </w:pPr>
      <w:r>
        <w:t>Resources for consumers: Overview, benefits, FAQs on My Health record, list of participating practices</w:t>
      </w:r>
      <w:r w:rsidR="00782AC7">
        <w:t>.</w:t>
      </w:r>
      <w:r w:rsidR="00782AC7" w:rsidRPr="005134A0">
        <w:rPr>
          <w:rStyle w:val="FootnoteReference"/>
          <w:color w:val="408BCA"/>
        </w:rPr>
        <w:footnoteReference w:id="36"/>
      </w:r>
      <w:r w:rsidR="006D75FB">
        <w:t xml:space="preserve"> </w:t>
      </w:r>
    </w:p>
    <w:p w14:paraId="1E0DAD9D" w14:textId="77777777" w:rsidR="00943390" w:rsidRDefault="00943390" w:rsidP="00943390">
      <w:pPr>
        <w:pStyle w:val="Heading2"/>
      </w:pPr>
      <w:bookmarkStart w:id="87" w:name="_Toc27056590"/>
      <w:bookmarkStart w:id="88" w:name="_Toc109996659"/>
      <w:bookmarkEnd w:id="82"/>
      <w:r>
        <w:t>HCH assurance and compliance</w:t>
      </w:r>
      <w:bookmarkEnd w:id="87"/>
      <w:bookmarkEnd w:id="88"/>
    </w:p>
    <w:p w14:paraId="0DCA2C77" w14:textId="49047A44" w:rsidR="00943390" w:rsidRDefault="00943390" w:rsidP="00943390">
      <w:r>
        <w:t>The</w:t>
      </w:r>
      <w:r w:rsidRPr="00362F8B">
        <w:t xml:space="preserve"> </w:t>
      </w:r>
      <w:r>
        <w:t>Department of Health’s assurance and compliance approach aimed to minimise the following risks associated with the HCH trial:</w:t>
      </w:r>
    </w:p>
    <w:p w14:paraId="20188F33" w14:textId="77777777" w:rsidR="00943390" w:rsidRDefault="00943390" w:rsidP="004D48A4">
      <w:pPr>
        <w:pStyle w:val="ListParagraph"/>
        <w:numPr>
          <w:ilvl w:val="0"/>
          <w:numId w:val="14"/>
        </w:numPr>
      </w:pPr>
      <w:r>
        <w:t>incorrect stratification of patients</w:t>
      </w:r>
    </w:p>
    <w:p w14:paraId="693A5351" w14:textId="0D5F0792" w:rsidR="00943390" w:rsidRDefault="00943390" w:rsidP="004D48A4">
      <w:pPr>
        <w:pStyle w:val="ListParagraph"/>
        <w:numPr>
          <w:ilvl w:val="0"/>
          <w:numId w:val="14"/>
        </w:numPr>
      </w:pPr>
      <w:r>
        <w:t>non-provision of HCH services to enrolled patients</w:t>
      </w:r>
    </w:p>
    <w:p w14:paraId="7D9B48AD" w14:textId="77777777" w:rsidR="00943390" w:rsidRDefault="00943390" w:rsidP="004D48A4">
      <w:pPr>
        <w:pStyle w:val="ListParagraph"/>
        <w:numPr>
          <w:ilvl w:val="0"/>
          <w:numId w:val="14"/>
        </w:numPr>
      </w:pPr>
      <w:r>
        <w:t>systematic double billing under HCH and Medicare.</w:t>
      </w:r>
    </w:p>
    <w:p w14:paraId="49401786" w14:textId="6B214DE8" w:rsidR="00943390" w:rsidRPr="00657A5E" w:rsidRDefault="00943390" w:rsidP="00943390">
      <w:r w:rsidRPr="00657A5E">
        <w:lastRenderedPageBreak/>
        <w:t>The</w:t>
      </w:r>
      <w:r w:rsidR="000E0E2F">
        <w:t xml:space="preserve"> </w:t>
      </w:r>
      <w:r w:rsidRPr="00657A5E">
        <w:t xml:space="preserve">compliance approach </w:t>
      </w:r>
      <w:r w:rsidR="000E0E2F">
        <w:t>was</w:t>
      </w:r>
      <w:r w:rsidRPr="00657A5E">
        <w:t xml:space="preserve"> focussed on education and support</w:t>
      </w:r>
      <w:r>
        <w:t xml:space="preserve">. </w:t>
      </w:r>
      <w:r w:rsidR="000E0E2F">
        <w:t>A</w:t>
      </w:r>
      <w:r w:rsidRPr="00657A5E">
        <w:t xml:space="preserve"> </w:t>
      </w:r>
      <w:r w:rsidRPr="00657A5E">
        <w:rPr>
          <w:i/>
        </w:rPr>
        <w:t>Health Care Home Funding Assurance Toolkit</w:t>
      </w:r>
      <w:r w:rsidR="00364D86" w:rsidRPr="00134B8A">
        <w:rPr>
          <w:rStyle w:val="FootnoteReference"/>
          <w:iCs/>
          <w:color w:val="408BCA"/>
        </w:rPr>
        <w:footnoteReference w:id="37"/>
      </w:r>
      <w:r w:rsidRPr="00657A5E">
        <w:t xml:space="preserve"> </w:t>
      </w:r>
      <w:r w:rsidR="000E0E2F">
        <w:t xml:space="preserve">was developed </w:t>
      </w:r>
      <w:r w:rsidRPr="00657A5E">
        <w:t>to “</w:t>
      </w:r>
      <w:r w:rsidRPr="00657A5E">
        <w:rPr>
          <w:i/>
        </w:rPr>
        <w:t>assist practice staff in implementing policies, procedures, systems and day-to-day activities that will result in appropriate use of the HCH bundled payments and billing of MBS items for services provided to enrolled patients</w:t>
      </w:r>
      <w:r w:rsidRPr="00657A5E">
        <w:t>” (p. 4). The toolkit contain</w:t>
      </w:r>
      <w:r w:rsidR="000E0E2F">
        <w:t>ed</w:t>
      </w:r>
      <w:r w:rsidRPr="00657A5E">
        <w:t>:</w:t>
      </w:r>
    </w:p>
    <w:p w14:paraId="3AD34121" w14:textId="77777777" w:rsidR="00943390" w:rsidRDefault="00943390" w:rsidP="004D48A4">
      <w:pPr>
        <w:pStyle w:val="ListParagraph"/>
        <w:numPr>
          <w:ilvl w:val="0"/>
          <w:numId w:val="13"/>
        </w:numPr>
      </w:pPr>
      <w:r>
        <w:t>strategies for minimising incorrect billing</w:t>
      </w:r>
    </w:p>
    <w:p w14:paraId="55765379" w14:textId="3567C1A0" w:rsidR="00943390" w:rsidRPr="00657A5E" w:rsidRDefault="00DB1BD7" w:rsidP="004D48A4">
      <w:pPr>
        <w:pStyle w:val="ListParagraph"/>
        <w:numPr>
          <w:ilvl w:val="0"/>
          <w:numId w:val="13"/>
        </w:numPr>
      </w:pPr>
      <w:r>
        <w:t>a HCH</w:t>
      </w:r>
      <w:r w:rsidR="00943390">
        <w:t xml:space="preserve"> funding assurance manual template including examples of policy statements and operational guidelines that HCHs can use to develop their own MBS billing manual</w:t>
      </w:r>
    </w:p>
    <w:p w14:paraId="376D238C" w14:textId="768D1D40" w:rsidR="00943390" w:rsidRDefault="00DB1BD7" w:rsidP="004D48A4">
      <w:pPr>
        <w:pStyle w:val="ListParagraph"/>
        <w:numPr>
          <w:ilvl w:val="0"/>
          <w:numId w:val="13"/>
        </w:numPr>
      </w:pPr>
      <w:r>
        <w:t>a HCH</w:t>
      </w:r>
      <w:r w:rsidR="00943390">
        <w:t xml:space="preserve"> self-assessment checklist</w:t>
      </w:r>
    </w:p>
    <w:p w14:paraId="70F97C7C" w14:textId="7B6AA798" w:rsidR="00943390" w:rsidRPr="00657A5E" w:rsidRDefault="00943390" w:rsidP="004D48A4">
      <w:pPr>
        <w:pStyle w:val="ListParagraph"/>
        <w:numPr>
          <w:ilvl w:val="0"/>
          <w:numId w:val="13"/>
        </w:numPr>
      </w:pPr>
      <w:r>
        <w:t>pre- and post-participation questionnaires for HCHs to rate their HCH funding assurance approach (</w:t>
      </w:r>
      <w:r w:rsidR="0010747B">
        <w:t>for example,</w:t>
      </w:r>
      <w:r>
        <w:t xml:space="preserve"> “</w:t>
      </w:r>
      <w:r w:rsidRPr="003E57A7">
        <w:rPr>
          <w:i/>
        </w:rPr>
        <w:t>There is at least one person responsible for HCH funding assurance in the practice</w:t>
      </w:r>
      <w:r>
        <w:t>” p. 32)</w:t>
      </w:r>
    </w:p>
    <w:p w14:paraId="2E299DF4" w14:textId="77777777" w:rsidR="00943390" w:rsidRPr="00657A5E" w:rsidRDefault="00943390" w:rsidP="004D48A4">
      <w:pPr>
        <w:pStyle w:val="ListParagraph"/>
        <w:numPr>
          <w:ilvl w:val="0"/>
          <w:numId w:val="13"/>
        </w:numPr>
      </w:pPr>
      <w:r>
        <w:t>c</w:t>
      </w:r>
      <w:r w:rsidRPr="00657A5E">
        <w:t>onsequences of incorrect billing under Medicare</w:t>
      </w:r>
      <w:r>
        <w:t>.</w:t>
      </w:r>
    </w:p>
    <w:p w14:paraId="0D9D6BB1" w14:textId="3378ECA9" w:rsidR="00943390" w:rsidRDefault="00943390" w:rsidP="00943390">
      <w:r>
        <w:t xml:space="preserve">The </w:t>
      </w:r>
      <w:r w:rsidRPr="00FD1823">
        <w:rPr>
          <w:i/>
        </w:rPr>
        <w:t xml:space="preserve">Handbook for practices and </w:t>
      </w:r>
      <w:r>
        <w:rPr>
          <w:i/>
        </w:rPr>
        <w:t>ACCHS</w:t>
      </w:r>
      <w:r w:rsidR="00364D86" w:rsidRPr="00134B8A">
        <w:rPr>
          <w:rStyle w:val="FootnoteReference"/>
          <w:iCs/>
          <w:color w:val="408BCA"/>
        </w:rPr>
        <w:footnoteReference w:id="38"/>
      </w:r>
      <w:r>
        <w:t xml:space="preserve"> state</w:t>
      </w:r>
      <w:r w:rsidR="000E0E2F">
        <w:t>d</w:t>
      </w:r>
      <w:r>
        <w:t xml:space="preserve"> that the Department may use a range of techniques to identify, prioritise and respond to identified risks, including:</w:t>
      </w:r>
    </w:p>
    <w:p w14:paraId="6B3914CE" w14:textId="77777777" w:rsidR="00943390" w:rsidRDefault="00943390" w:rsidP="004D48A4">
      <w:pPr>
        <w:pStyle w:val="ListParagraph"/>
        <w:numPr>
          <w:ilvl w:val="0"/>
          <w:numId w:val="15"/>
        </w:numPr>
      </w:pPr>
      <w:r>
        <w:t>providing education, compliance support and tools</w:t>
      </w:r>
    </w:p>
    <w:p w14:paraId="07E002D3" w14:textId="77777777" w:rsidR="00943390" w:rsidRDefault="00943390" w:rsidP="004D48A4">
      <w:pPr>
        <w:pStyle w:val="ListParagraph"/>
        <w:numPr>
          <w:ilvl w:val="0"/>
          <w:numId w:val="15"/>
        </w:numPr>
      </w:pPr>
      <w:r>
        <w:t>using established norms and baselines (through data analysis and random audits) to identify outliers, who in turn will receive targeted communications and/ or education</w:t>
      </w:r>
    </w:p>
    <w:p w14:paraId="37D8FFFE" w14:textId="77777777" w:rsidR="00943390" w:rsidRDefault="00943390" w:rsidP="004D48A4">
      <w:pPr>
        <w:pStyle w:val="ListParagraph"/>
        <w:numPr>
          <w:ilvl w:val="0"/>
          <w:numId w:val="15"/>
        </w:numPr>
      </w:pPr>
      <w:r>
        <w:t>using environmental scanning, previous audit information, published tip-off line and data analysis to target audits and investigations.</w:t>
      </w:r>
    </w:p>
    <w:p w14:paraId="1AE1749D" w14:textId="149C9815" w:rsidR="00943390" w:rsidRDefault="000E0E2F" w:rsidP="00943390">
      <w:r>
        <w:t>The Department also</w:t>
      </w:r>
      <w:r w:rsidR="00943390">
        <w:t xml:space="preserve"> developed criteria for appropriate delivery of HCH services</w:t>
      </w:r>
      <w:r w:rsidR="007F675C">
        <w:t xml:space="preserve"> (</w:t>
      </w:r>
      <w:r w:rsidR="007F675C" w:rsidRPr="00133B3E">
        <w:rPr>
          <w:color w:val="002060"/>
        </w:rPr>
        <w:fldChar w:fldCharType="begin"/>
      </w:r>
      <w:r w:rsidR="007F675C" w:rsidRPr="00133B3E">
        <w:rPr>
          <w:color w:val="002060"/>
        </w:rPr>
        <w:instrText xml:space="preserve"> REF BxappdelvryHCH \h  \* MERGEFORMAT </w:instrText>
      </w:r>
      <w:r w:rsidR="007F675C" w:rsidRPr="00133B3E">
        <w:rPr>
          <w:color w:val="002060"/>
        </w:rPr>
      </w:r>
      <w:r w:rsidR="007F675C" w:rsidRPr="00133B3E">
        <w:rPr>
          <w:color w:val="002060"/>
        </w:rPr>
        <w:fldChar w:fldCharType="separate"/>
      </w:r>
      <w:r w:rsidR="003C4BC2" w:rsidRPr="003C4BC2">
        <w:rPr>
          <w:color w:val="002060"/>
          <w:szCs w:val="20"/>
        </w:rPr>
        <w:t xml:space="preserve">Box </w:t>
      </w:r>
      <w:r w:rsidR="003C4BC2" w:rsidRPr="003C4BC2">
        <w:rPr>
          <w:noProof/>
          <w:color w:val="002060"/>
        </w:rPr>
        <w:t>6</w:t>
      </w:r>
      <w:r w:rsidR="007F675C" w:rsidRPr="00133B3E">
        <w:rPr>
          <w:color w:val="002060"/>
        </w:rPr>
        <w:fldChar w:fldCharType="end"/>
      </w:r>
      <w:r>
        <w:t>)</w:t>
      </w:r>
      <w:r w:rsidR="00943390">
        <w:t>.</w:t>
      </w:r>
    </w:p>
    <w:tbl>
      <w:tblPr>
        <w:tblW w:w="0" w:type="auto"/>
        <w:tblBorders>
          <w:top w:val="single" w:sz="12" w:space="0" w:color="408BCA"/>
          <w:left w:val="single" w:sz="12" w:space="0" w:color="408BCA"/>
          <w:bottom w:val="single" w:sz="12" w:space="0" w:color="408BCA"/>
          <w:right w:val="single" w:sz="12" w:space="0" w:color="408BCA"/>
        </w:tblBorders>
        <w:tblLook w:val="04A0" w:firstRow="1" w:lastRow="0" w:firstColumn="1" w:lastColumn="0" w:noHBand="0" w:noVBand="1"/>
      </w:tblPr>
      <w:tblGrid>
        <w:gridCol w:w="8996"/>
      </w:tblGrid>
      <w:tr w:rsidR="000E0E2F" w:rsidRPr="00431C7C" w14:paraId="493E3F58" w14:textId="77777777" w:rsidTr="004054D3">
        <w:tc>
          <w:tcPr>
            <w:tcW w:w="9016" w:type="dxa"/>
          </w:tcPr>
          <w:p w14:paraId="47DC196F" w14:textId="761BD996" w:rsidR="000E0E2F" w:rsidRPr="000E0E2F" w:rsidRDefault="000E0E2F" w:rsidP="00BE164E">
            <w:pPr>
              <w:pStyle w:val="Boxheading"/>
              <w:spacing w:after="120"/>
            </w:pPr>
            <w:bookmarkStart w:id="89" w:name="BxappdelvryHCH"/>
            <w:r w:rsidRPr="000E0E2F">
              <w:rPr>
                <w:bCs/>
                <w:szCs w:val="20"/>
              </w:rPr>
              <w:t xml:space="preserve">Box </w:t>
            </w:r>
            <w:r w:rsidR="00A61B29">
              <w:fldChar w:fldCharType="begin"/>
            </w:r>
            <w:r w:rsidR="00A61B29">
              <w:instrText xml:space="preserve"> SEQ Box \* ARABIC </w:instrText>
            </w:r>
            <w:r w:rsidR="00A61B29">
              <w:fldChar w:fldCharType="separate"/>
            </w:r>
            <w:r w:rsidR="003C4BC2">
              <w:rPr>
                <w:noProof/>
              </w:rPr>
              <w:t>6</w:t>
            </w:r>
            <w:r w:rsidR="00A61B29">
              <w:rPr>
                <w:noProof/>
              </w:rPr>
              <w:fldChar w:fldCharType="end"/>
            </w:r>
            <w:bookmarkEnd w:id="89"/>
            <w:r w:rsidRPr="000E0E2F">
              <w:rPr>
                <w:bCs/>
                <w:szCs w:val="20"/>
              </w:rPr>
              <w:t xml:space="preserve">: </w:t>
            </w:r>
            <w:r w:rsidRPr="000E0E2F">
              <w:t>Appropriate delivery of HCH services</w:t>
            </w:r>
          </w:p>
          <w:p w14:paraId="61C8803A" w14:textId="4650B18A" w:rsidR="000E0E2F" w:rsidRPr="00431C7C" w:rsidRDefault="000E0E2F" w:rsidP="00BE164E">
            <w:pPr>
              <w:spacing w:after="120"/>
              <w:rPr>
                <w:sz w:val="18"/>
                <w:szCs w:val="18"/>
              </w:rPr>
            </w:pPr>
            <w:r w:rsidRPr="00431C7C">
              <w:rPr>
                <w:sz w:val="18"/>
                <w:szCs w:val="18"/>
              </w:rPr>
              <w:t xml:space="preserve">The </w:t>
            </w:r>
            <w:r w:rsidRPr="00431C7C">
              <w:rPr>
                <w:i/>
                <w:sz w:val="18"/>
                <w:szCs w:val="18"/>
              </w:rPr>
              <w:t>Health Care Home Funding Assurance Toolkit</w:t>
            </w:r>
            <w:r w:rsidR="00364D86" w:rsidRPr="00134B8A">
              <w:rPr>
                <w:rStyle w:val="FootnoteReference"/>
                <w:i/>
                <w:color w:val="408BCA"/>
                <w:sz w:val="18"/>
                <w:szCs w:val="18"/>
              </w:rPr>
              <w:footnoteReference w:id="39"/>
            </w:r>
            <w:r w:rsidRPr="00431C7C">
              <w:rPr>
                <w:i/>
                <w:sz w:val="18"/>
                <w:szCs w:val="18"/>
              </w:rPr>
              <w:t xml:space="preserve"> </w:t>
            </w:r>
            <w:r w:rsidRPr="00431C7C">
              <w:rPr>
                <w:sz w:val="18"/>
                <w:szCs w:val="18"/>
              </w:rPr>
              <w:t>define</w:t>
            </w:r>
            <w:r>
              <w:rPr>
                <w:sz w:val="18"/>
                <w:szCs w:val="18"/>
              </w:rPr>
              <w:t>d</w:t>
            </w:r>
            <w:r w:rsidRPr="00431C7C">
              <w:rPr>
                <w:sz w:val="18"/>
                <w:szCs w:val="18"/>
              </w:rPr>
              <w:t xml:space="preserve"> </w:t>
            </w:r>
            <w:r w:rsidR="0087126D">
              <w:rPr>
                <w:sz w:val="18"/>
                <w:szCs w:val="18"/>
              </w:rPr>
              <w:t>“</w:t>
            </w:r>
            <w:r w:rsidRPr="00431C7C">
              <w:rPr>
                <w:sz w:val="18"/>
                <w:szCs w:val="18"/>
              </w:rPr>
              <w:t>appropriate delivery of HCH services</w:t>
            </w:r>
            <w:r w:rsidR="0087126D">
              <w:rPr>
                <w:sz w:val="18"/>
                <w:szCs w:val="18"/>
              </w:rPr>
              <w:t>”</w:t>
            </w:r>
            <w:r w:rsidRPr="00431C7C">
              <w:rPr>
                <w:sz w:val="18"/>
                <w:szCs w:val="18"/>
              </w:rPr>
              <w:t xml:space="preserve"> as services where:</w:t>
            </w:r>
          </w:p>
          <w:p w14:paraId="63EC2728" w14:textId="77777777" w:rsidR="000E0E2F" w:rsidRPr="00431C7C" w:rsidRDefault="000E0E2F" w:rsidP="00BE164E">
            <w:pPr>
              <w:pStyle w:val="ListParagraph"/>
              <w:numPr>
                <w:ilvl w:val="0"/>
                <w:numId w:val="18"/>
              </w:numPr>
              <w:spacing w:after="120"/>
              <w:ind w:left="426" w:hanging="426"/>
              <w:contextualSpacing w:val="0"/>
              <w:rPr>
                <w:i/>
                <w:sz w:val="18"/>
                <w:szCs w:val="18"/>
              </w:rPr>
            </w:pPr>
            <w:r w:rsidRPr="00431C7C">
              <w:rPr>
                <w:i/>
                <w:sz w:val="18"/>
                <w:szCs w:val="18"/>
              </w:rPr>
              <w:t>Practice staff comply with the Privacy Act 1988 (particularly, the Australian Privacy Principles and the My Health Records Act 2012 (</w:t>
            </w:r>
            <w:proofErr w:type="spellStart"/>
            <w:r w:rsidRPr="00431C7C">
              <w:rPr>
                <w:i/>
                <w:sz w:val="18"/>
                <w:szCs w:val="18"/>
              </w:rPr>
              <w:t>Cth</w:t>
            </w:r>
            <w:proofErr w:type="spellEnd"/>
            <w:r w:rsidRPr="00431C7C">
              <w:rPr>
                <w:i/>
                <w:sz w:val="18"/>
                <w:szCs w:val="18"/>
              </w:rPr>
              <w:t>)), and ensure that personal information collected, used and disclosed is accurate, up-to-date, complete and relevant.</w:t>
            </w:r>
          </w:p>
          <w:p w14:paraId="75A70D8F" w14:textId="77777777" w:rsidR="000E0E2F" w:rsidRPr="00431C7C" w:rsidRDefault="000E0E2F" w:rsidP="00BE164E">
            <w:pPr>
              <w:pStyle w:val="ListParagraph"/>
              <w:numPr>
                <w:ilvl w:val="0"/>
                <w:numId w:val="18"/>
              </w:numPr>
              <w:spacing w:after="120"/>
              <w:ind w:left="426" w:hanging="426"/>
              <w:contextualSpacing w:val="0"/>
              <w:rPr>
                <w:i/>
                <w:sz w:val="18"/>
                <w:szCs w:val="18"/>
              </w:rPr>
            </w:pPr>
            <w:r w:rsidRPr="00431C7C">
              <w:rPr>
                <w:i/>
                <w:sz w:val="18"/>
                <w:szCs w:val="18"/>
              </w:rPr>
              <w:t>The practice obtains patient consent for the collection, use and disclosure of personal information for the purpose of the HCH trial before conducting the second stage of the risk stratification process.</w:t>
            </w:r>
          </w:p>
          <w:p w14:paraId="24C01399" w14:textId="77777777" w:rsidR="000E0E2F" w:rsidRPr="00431C7C" w:rsidRDefault="000E0E2F" w:rsidP="00BE164E">
            <w:pPr>
              <w:pStyle w:val="ListParagraph"/>
              <w:numPr>
                <w:ilvl w:val="0"/>
                <w:numId w:val="18"/>
              </w:numPr>
              <w:spacing w:after="120"/>
              <w:ind w:left="426" w:hanging="426"/>
              <w:contextualSpacing w:val="0"/>
              <w:rPr>
                <w:i/>
                <w:sz w:val="18"/>
                <w:szCs w:val="18"/>
              </w:rPr>
            </w:pPr>
            <w:r w:rsidRPr="00431C7C">
              <w:rPr>
                <w:i/>
                <w:sz w:val="18"/>
                <w:szCs w:val="18"/>
              </w:rPr>
              <w:t>Only the HCH enrolment and consent form provided by the Department is used by the practice for obtaining patient consent to HCH enrolment.</w:t>
            </w:r>
          </w:p>
          <w:p w14:paraId="77BC96BE" w14:textId="77777777" w:rsidR="000E0E2F" w:rsidRPr="00431C7C" w:rsidRDefault="000E0E2F" w:rsidP="00BE164E">
            <w:pPr>
              <w:pStyle w:val="ListParagraph"/>
              <w:numPr>
                <w:ilvl w:val="0"/>
                <w:numId w:val="18"/>
              </w:numPr>
              <w:spacing w:after="120"/>
              <w:ind w:left="426" w:hanging="426"/>
              <w:contextualSpacing w:val="0"/>
              <w:rPr>
                <w:i/>
                <w:sz w:val="18"/>
                <w:szCs w:val="18"/>
              </w:rPr>
            </w:pPr>
            <w:r w:rsidRPr="00431C7C">
              <w:rPr>
                <w:i/>
                <w:sz w:val="18"/>
                <w:szCs w:val="18"/>
              </w:rPr>
              <w:lastRenderedPageBreak/>
              <w:t>A copy of each enrolled patient’s signed and dated HCH enrolment and consent form is kept on the practice’s patient records.</w:t>
            </w:r>
          </w:p>
          <w:p w14:paraId="18EFDFC7" w14:textId="77777777" w:rsidR="000E0E2F" w:rsidRPr="00431C7C" w:rsidRDefault="000E0E2F" w:rsidP="00BE164E">
            <w:pPr>
              <w:pStyle w:val="ListParagraph"/>
              <w:numPr>
                <w:ilvl w:val="0"/>
                <w:numId w:val="18"/>
              </w:numPr>
              <w:spacing w:after="120"/>
              <w:ind w:left="426" w:hanging="426"/>
              <w:contextualSpacing w:val="0"/>
              <w:rPr>
                <w:i/>
                <w:sz w:val="18"/>
                <w:szCs w:val="18"/>
              </w:rPr>
            </w:pPr>
            <w:r w:rsidRPr="00431C7C">
              <w:rPr>
                <w:i/>
                <w:sz w:val="18"/>
                <w:szCs w:val="18"/>
              </w:rPr>
              <w:t>The HCH services provided by the practice to enrolled patients are consistent with industry agreed best practice and evidenced based disease management protocols, and are applicable to locally developed care pathways.</w:t>
            </w:r>
          </w:p>
          <w:p w14:paraId="4568865F" w14:textId="77777777" w:rsidR="000E0E2F" w:rsidRPr="00431C7C" w:rsidRDefault="000E0E2F" w:rsidP="00BE164E">
            <w:pPr>
              <w:pStyle w:val="ListParagraph"/>
              <w:numPr>
                <w:ilvl w:val="0"/>
                <w:numId w:val="18"/>
              </w:numPr>
              <w:spacing w:after="120"/>
              <w:ind w:left="426" w:hanging="426"/>
              <w:contextualSpacing w:val="0"/>
              <w:rPr>
                <w:i/>
                <w:sz w:val="18"/>
                <w:szCs w:val="18"/>
              </w:rPr>
            </w:pPr>
            <w:r w:rsidRPr="00431C7C">
              <w:rPr>
                <w:i/>
                <w:sz w:val="18"/>
                <w:szCs w:val="18"/>
              </w:rPr>
              <w:t xml:space="preserve">Individually tailored shared care plans are developed by the practice in partnership with each enrolled patient (and their </w:t>
            </w:r>
            <w:proofErr w:type="spellStart"/>
            <w:r w:rsidRPr="00431C7C">
              <w:rPr>
                <w:i/>
                <w:sz w:val="18"/>
                <w:szCs w:val="18"/>
              </w:rPr>
              <w:t>carers</w:t>
            </w:r>
            <w:proofErr w:type="spellEnd"/>
            <w:r w:rsidRPr="00431C7C">
              <w:rPr>
                <w:i/>
                <w:sz w:val="18"/>
                <w:szCs w:val="18"/>
              </w:rPr>
              <w:t>, where appropriate) and members of the HCH team, with input provided from any participating nominated allied health providers. The practice ensures that all patient care plans:</w:t>
            </w:r>
          </w:p>
          <w:p w14:paraId="55F7C360" w14:textId="77777777" w:rsidR="000E0E2F" w:rsidRPr="00431C7C" w:rsidRDefault="000E0E2F" w:rsidP="00BE164E">
            <w:pPr>
              <w:pStyle w:val="ListParagraph"/>
              <w:numPr>
                <w:ilvl w:val="0"/>
                <w:numId w:val="16"/>
              </w:numPr>
              <w:spacing w:after="120"/>
              <w:rPr>
                <w:i/>
                <w:sz w:val="18"/>
                <w:szCs w:val="18"/>
              </w:rPr>
            </w:pPr>
            <w:r w:rsidRPr="00431C7C">
              <w:rPr>
                <w:i/>
                <w:sz w:val="18"/>
                <w:szCs w:val="18"/>
              </w:rPr>
              <w:t>incorporate all of the minimum requirements for shared care planning identified in the HCH Handbook and online training manual</w:t>
            </w:r>
          </w:p>
          <w:p w14:paraId="1D0F240D" w14:textId="77777777" w:rsidR="000E0E2F" w:rsidRPr="00431C7C" w:rsidRDefault="000E0E2F" w:rsidP="00BE164E">
            <w:pPr>
              <w:pStyle w:val="ListParagraph"/>
              <w:numPr>
                <w:ilvl w:val="0"/>
                <w:numId w:val="16"/>
              </w:numPr>
              <w:spacing w:after="120"/>
              <w:rPr>
                <w:i/>
                <w:sz w:val="18"/>
                <w:szCs w:val="18"/>
              </w:rPr>
            </w:pPr>
            <w:r w:rsidRPr="00431C7C">
              <w:rPr>
                <w:i/>
                <w:sz w:val="18"/>
                <w:szCs w:val="18"/>
              </w:rPr>
              <w:t>reflect the patient’s level of complexity and need, and their tier level</w:t>
            </w:r>
          </w:p>
          <w:p w14:paraId="68E6C8F5" w14:textId="77777777" w:rsidR="000E0E2F" w:rsidRPr="00431C7C" w:rsidRDefault="000E0E2F" w:rsidP="00BE164E">
            <w:pPr>
              <w:pStyle w:val="ListParagraph"/>
              <w:numPr>
                <w:ilvl w:val="0"/>
                <w:numId w:val="16"/>
              </w:numPr>
              <w:spacing w:after="120"/>
              <w:rPr>
                <w:i/>
                <w:sz w:val="18"/>
                <w:szCs w:val="18"/>
              </w:rPr>
            </w:pPr>
            <w:r w:rsidRPr="00431C7C">
              <w:rPr>
                <w:i/>
                <w:sz w:val="18"/>
                <w:szCs w:val="18"/>
              </w:rPr>
              <w:t>are approved by the patient’s nominated preferred GP, who is responsible for the clinical care delivered to the enrolled patient and ensuring that care plans are followed</w:t>
            </w:r>
          </w:p>
          <w:p w14:paraId="78B84EB8" w14:textId="77777777" w:rsidR="000E0E2F" w:rsidRPr="00431C7C" w:rsidRDefault="000E0E2F" w:rsidP="00BE164E">
            <w:pPr>
              <w:pStyle w:val="ListParagraph"/>
              <w:numPr>
                <w:ilvl w:val="0"/>
                <w:numId w:val="16"/>
              </w:numPr>
              <w:spacing w:after="120"/>
              <w:rPr>
                <w:i/>
                <w:sz w:val="18"/>
                <w:szCs w:val="18"/>
              </w:rPr>
            </w:pPr>
            <w:r w:rsidRPr="00431C7C">
              <w:rPr>
                <w:i/>
                <w:sz w:val="18"/>
                <w:szCs w:val="18"/>
              </w:rPr>
              <w:t>are developed in the presence of, and agreed by the enrolled patient (or their nominated carer, where appropriate), who is also given a printed copy</w:t>
            </w:r>
          </w:p>
          <w:p w14:paraId="51B0E260" w14:textId="77777777" w:rsidR="000E0E2F" w:rsidRPr="00431C7C" w:rsidRDefault="000E0E2F" w:rsidP="00BE164E">
            <w:pPr>
              <w:pStyle w:val="ListParagraph"/>
              <w:numPr>
                <w:ilvl w:val="0"/>
                <w:numId w:val="16"/>
              </w:numPr>
              <w:spacing w:after="120"/>
              <w:rPr>
                <w:i/>
                <w:sz w:val="18"/>
                <w:szCs w:val="18"/>
              </w:rPr>
            </w:pPr>
            <w:r w:rsidRPr="00431C7C">
              <w:rPr>
                <w:i/>
                <w:sz w:val="18"/>
                <w:szCs w:val="18"/>
              </w:rPr>
              <w:t>are accessible to and shared between health care providers responsible for their care</w:t>
            </w:r>
          </w:p>
          <w:p w14:paraId="09E96EB2" w14:textId="77777777" w:rsidR="000E0E2F" w:rsidRPr="00431C7C" w:rsidRDefault="000E0E2F" w:rsidP="00BE164E">
            <w:pPr>
              <w:pStyle w:val="ListParagraph"/>
              <w:numPr>
                <w:ilvl w:val="0"/>
                <w:numId w:val="16"/>
              </w:numPr>
              <w:spacing w:after="120"/>
              <w:ind w:left="714" w:hanging="357"/>
              <w:contextualSpacing w:val="0"/>
              <w:rPr>
                <w:i/>
                <w:sz w:val="18"/>
                <w:szCs w:val="18"/>
              </w:rPr>
            </w:pPr>
            <w:r w:rsidRPr="00431C7C">
              <w:rPr>
                <w:i/>
                <w:sz w:val="18"/>
                <w:szCs w:val="18"/>
              </w:rPr>
              <w:t xml:space="preserve">are regularly reviewed by the practice and the patient’s nominated preferred GP in consultation with the enrolled patient (and their </w:t>
            </w:r>
            <w:proofErr w:type="spellStart"/>
            <w:r w:rsidRPr="00431C7C">
              <w:rPr>
                <w:i/>
                <w:sz w:val="18"/>
                <w:szCs w:val="18"/>
              </w:rPr>
              <w:t>carers</w:t>
            </w:r>
            <w:proofErr w:type="spellEnd"/>
            <w:r w:rsidRPr="00431C7C">
              <w:rPr>
                <w:i/>
                <w:sz w:val="18"/>
                <w:szCs w:val="18"/>
              </w:rPr>
              <w:t>, where appropriate) and involved allied health care providers—as a guide, this is expected to be at least:</w:t>
            </w:r>
          </w:p>
          <w:p w14:paraId="5B4852C4" w14:textId="77777777" w:rsidR="000E0E2F" w:rsidRPr="00431C7C" w:rsidRDefault="000E0E2F" w:rsidP="00BE164E">
            <w:pPr>
              <w:pStyle w:val="ListParagraph"/>
              <w:numPr>
                <w:ilvl w:val="0"/>
                <w:numId w:val="16"/>
              </w:numPr>
              <w:spacing w:after="120"/>
              <w:ind w:left="851" w:hanging="284"/>
              <w:rPr>
                <w:i/>
                <w:sz w:val="18"/>
                <w:szCs w:val="18"/>
              </w:rPr>
            </w:pPr>
            <w:r w:rsidRPr="00431C7C">
              <w:rPr>
                <w:i/>
                <w:sz w:val="18"/>
                <w:szCs w:val="18"/>
              </w:rPr>
              <w:t>once a year for tier 1 patients (or more frequently if the patient’s needs change)</w:t>
            </w:r>
          </w:p>
          <w:p w14:paraId="009C1A93" w14:textId="77777777" w:rsidR="000E0E2F" w:rsidRPr="00431C7C" w:rsidRDefault="000E0E2F" w:rsidP="00BE164E">
            <w:pPr>
              <w:pStyle w:val="ListParagraph"/>
              <w:numPr>
                <w:ilvl w:val="0"/>
                <w:numId w:val="16"/>
              </w:numPr>
              <w:spacing w:after="120"/>
              <w:ind w:left="851" w:hanging="284"/>
              <w:rPr>
                <w:i/>
                <w:sz w:val="18"/>
                <w:szCs w:val="18"/>
              </w:rPr>
            </w:pPr>
            <w:r w:rsidRPr="00431C7C">
              <w:rPr>
                <w:i/>
                <w:sz w:val="18"/>
                <w:szCs w:val="18"/>
              </w:rPr>
              <w:t>twice a year for tier 2 patients (or more frequently if the patient’s needs change)</w:t>
            </w:r>
          </w:p>
          <w:p w14:paraId="7FB4260E" w14:textId="77777777" w:rsidR="000E0E2F" w:rsidRPr="00431C7C" w:rsidRDefault="000E0E2F" w:rsidP="00BE164E">
            <w:pPr>
              <w:pStyle w:val="ListParagraph"/>
              <w:numPr>
                <w:ilvl w:val="0"/>
                <w:numId w:val="16"/>
              </w:numPr>
              <w:spacing w:after="120"/>
              <w:ind w:left="851" w:hanging="284"/>
              <w:contextualSpacing w:val="0"/>
              <w:rPr>
                <w:i/>
                <w:sz w:val="18"/>
                <w:szCs w:val="18"/>
              </w:rPr>
            </w:pPr>
            <w:r w:rsidRPr="00431C7C">
              <w:rPr>
                <w:i/>
                <w:sz w:val="18"/>
                <w:szCs w:val="18"/>
              </w:rPr>
              <w:t>three times a year for tier 3 patients (or more frequently if the patient’s needs change).</w:t>
            </w:r>
          </w:p>
          <w:p w14:paraId="3D24F12E" w14:textId="77777777" w:rsidR="000E0E2F" w:rsidRPr="00431C7C" w:rsidRDefault="000E0E2F" w:rsidP="00BE164E">
            <w:pPr>
              <w:pStyle w:val="ListParagraph"/>
              <w:numPr>
                <w:ilvl w:val="0"/>
                <w:numId w:val="16"/>
              </w:numPr>
              <w:spacing w:after="120"/>
              <w:ind w:left="714" w:hanging="357"/>
              <w:contextualSpacing w:val="0"/>
              <w:rPr>
                <w:i/>
                <w:sz w:val="18"/>
                <w:szCs w:val="18"/>
              </w:rPr>
            </w:pPr>
            <w:r w:rsidRPr="00431C7C">
              <w:rPr>
                <w:i/>
                <w:sz w:val="18"/>
                <w:szCs w:val="18"/>
              </w:rPr>
              <w:t>are updated whenever a patient’s health or health care needs change.</w:t>
            </w:r>
          </w:p>
          <w:p w14:paraId="4D454E19" w14:textId="20CCA19E" w:rsidR="000E0E2F" w:rsidRPr="00431C7C" w:rsidRDefault="000E0E2F" w:rsidP="00BE164E">
            <w:pPr>
              <w:pStyle w:val="ListParagraph"/>
              <w:numPr>
                <w:ilvl w:val="0"/>
                <w:numId w:val="18"/>
              </w:numPr>
              <w:spacing w:after="120"/>
              <w:ind w:left="426" w:hanging="426"/>
              <w:contextualSpacing w:val="0"/>
              <w:rPr>
                <w:i/>
                <w:sz w:val="18"/>
                <w:szCs w:val="18"/>
              </w:rPr>
            </w:pPr>
            <w:r w:rsidRPr="00431C7C">
              <w:rPr>
                <w:i/>
                <w:sz w:val="18"/>
                <w:szCs w:val="18"/>
              </w:rPr>
              <w:t>The practice ensures that all patients are enrolled in the My Health Record system</w:t>
            </w:r>
            <w:r>
              <w:rPr>
                <w:i/>
                <w:sz w:val="18"/>
                <w:szCs w:val="18"/>
              </w:rPr>
              <w:t>*</w:t>
            </w:r>
            <w:r w:rsidRPr="00431C7C">
              <w:rPr>
                <w:i/>
                <w:sz w:val="18"/>
                <w:szCs w:val="18"/>
              </w:rPr>
              <w:t xml:space="preserve"> and that all patients have an up-to-date Shared Health Summary. Shared Health Summaries should be updated as patient’s health needs and status changes.</w:t>
            </w:r>
          </w:p>
          <w:p w14:paraId="76D1ED7F" w14:textId="77777777" w:rsidR="000E0E2F" w:rsidRPr="00431C7C" w:rsidRDefault="000E0E2F" w:rsidP="00BE164E">
            <w:pPr>
              <w:pStyle w:val="ListParagraph"/>
              <w:numPr>
                <w:ilvl w:val="0"/>
                <w:numId w:val="18"/>
              </w:numPr>
              <w:spacing w:after="120"/>
              <w:ind w:left="426" w:hanging="426"/>
              <w:contextualSpacing w:val="0"/>
              <w:rPr>
                <w:i/>
                <w:sz w:val="18"/>
                <w:szCs w:val="18"/>
              </w:rPr>
            </w:pPr>
            <w:r w:rsidRPr="00431C7C">
              <w:rPr>
                <w:i/>
                <w:sz w:val="18"/>
                <w:szCs w:val="18"/>
              </w:rPr>
              <w:t>The practice provides all enrolled patients with information and support that helps them to understand:</w:t>
            </w:r>
          </w:p>
          <w:p w14:paraId="6E9107DC" w14:textId="77777777" w:rsidR="000E0E2F" w:rsidRPr="00431C7C" w:rsidRDefault="000E0E2F" w:rsidP="00BE164E">
            <w:pPr>
              <w:pStyle w:val="ListParagraph"/>
              <w:numPr>
                <w:ilvl w:val="0"/>
                <w:numId w:val="16"/>
              </w:numPr>
              <w:spacing w:after="120"/>
              <w:ind w:left="851" w:hanging="284"/>
              <w:rPr>
                <w:i/>
                <w:sz w:val="18"/>
                <w:szCs w:val="18"/>
              </w:rPr>
            </w:pPr>
            <w:r w:rsidRPr="00431C7C">
              <w:rPr>
                <w:i/>
                <w:sz w:val="18"/>
                <w:szCs w:val="18"/>
              </w:rPr>
              <w:t>the care they can expect to receive from their HCH;</w:t>
            </w:r>
          </w:p>
          <w:p w14:paraId="4CE78453" w14:textId="77777777" w:rsidR="000E0E2F" w:rsidRPr="00431C7C" w:rsidRDefault="000E0E2F" w:rsidP="00BE164E">
            <w:pPr>
              <w:pStyle w:val="ListParagraph"/>
              <w:numPr>
                <w:ilvl w:val="0"/>
                <w:numId w:val="16"/>
              </w:numPr>
              <w:spacing w:after="120"/>
              <w:ind w:left="851" w:hanging="284"/>
              <w:rPr>
                <w:i/>
                <w:sz w:val="18"/>
                <w:szCs w:val="18"/>
              </w:rPr>
            </w:pPr>
            <w:r w:rsidRPr="00431C7C">
              <w:rPr>
                <w:i/>
                <w:sz w:val="18"/>
                <w:szCs w:val="18"/>
              </w:rPr>
              <w:t>their roles and responsibilities as enrolled patients;</w:t>
            </w:r>
          </w:p>
          <w:p w14:paraId="68CC324D" w14:textId="77777777" w:rsidR="000E0E2F" w:rsidRPr="00431C7C" w:rsidRDefault="000E0E2F" w:rsidP="00BE164E">
            <w:pPr>
              <w:pStyle w:val="ListParagraph"/>
              <w:numPr>
                <w:ilvl w:val="0"/>
                <w:numId w:val="16"/>
              </w:numPr>
              <w:spacing w:after="120"/>
              <w:ind w:left="851" w:hanging="284"/>
              <w:rPr>
                <w:i/>
                <w:sz w:val="18"/>
                <w:szCs w:val="18"/>
              </w:rPr>
            </w:pPr>
            <w:r w:rsidRPr="00431C7C">
              <w:rPr>
                <w:i/>
                <w:sz w:val="18"/>
                <w:szCs w:val="18"/>
              </w:rPr>
              <w:t>any out-of-pocket expenses they may incur and how these will be linked to their Medicare Safety Net threshold/s;</w:t>
            </w:r>
          </w:p>
          <w:p w14:paraId="7CB29F1E" w14:textId="77777777" w:rsidR="000E0E2F" w:rsidRPr="00431C7C" w:rsidRDefault="000E0E2F" w:rsidP="00BE164E">
            <w:pPr>
              <w:pStyle w:val="ListParagraph"/>
              <w:numPr>
                <w:ilvl w:val="0"/>
                <w:numId w:val="16"/>
              </w:numPr>
              <w:spacing w:after="120"/>
              <w:ind w:left="851" w:hanging="284"/>
              <w:rPr>
                <w:i/>
                <w:sz w:val="18"/>
                <w:szCs w:val="18"/>
              </w:rPr>
            </w:pPr>
            <w:r w:rsidRPr="00431C7C">
              <w:rPr>
                <w:i/>
                <w:sz w:val="18"/>
                <w:szCs w:val="18"/>
              </w:rPr>
              <w:t>who they can contact for details of in-hours and out-of-hours care; and</w:t>
            </w:r>
          </w:p>
          <w:p w14:paraId="6B8F385C" w14:textId="77777777" w:rsidR="000E0E2F" w:rsidRPr="00431C7C" w:rsidRDefault="000E0E2F" w:rsidP="00BE164E">
            <w:pPr>
              <w:pStyle w:val="ListParagraph"/>
              <w:numPr>
                <w:ilvl w:val="0"/>
                <w:numId w:val="16"/>
              </w:numPr>
              <w:spacing w:after="120"/>
              <w:ind w:left="851" w:hanging="284"/>
              <w:contextualSpacing w:val="0"/>
              <w:rPr>
                <w:i/>
                <w:sz w:val="18"/>
                <w:szCs w:val="18"/>
              </w:rPr>
            </w:pPr>
            <w:r w:rsidRPr="00431C7C">
              <w:rPr>
                <w:i/>
                <w:sz w:val="18"/>
                <w:szCs w:val="18"/>
              </w:rPr>
              <w:t>where appropriate, the circumstances when they might need to seek support from their local hospital.</w:t>
            </w:r>
          </w:p>
          <w:p w14:paraId="70720200" w14:textId="77777777" w:rsidR="000E0E2F" w:rsidRPr="00431C7C" w:rsidRDefault="000E0E2F" w:rsidP="00BE164E">
            <w:pPr>
              <w:pStyle w:val="ListParagraph"/>
              <w:numPr>
                <w:ilvl w:val="0"/>
                <w:numId w:val="17"/>
              </w:numPr>
              <w:spacing w:after="120"/>
              <w:ind w:left="426" w:hanging="426"/>
              <w:contextualSpacing w:val="0"/>
              <w:rPr>
                <w:i/>
                <w:sz w:val="18"/>
                <w:szCs w:val="18"/>
              </w:rPr>
            </w:pPr>
            <w:r w:rsidRPr="00431C7C">
              <w:rPr>
                <w:i/>
                <w:sz w:val="18"/>
                <w:szCs w:val="18"/>
              </w:rPr>
              <w:t>The practice assists enrolled patients to:</w:t>
            </w:r>
          </w:p>
          <w:p w14:paraId="60C3BF72" w14:textId="77777777" w:rsidR="000E0E2F" w:rsidRPr="00431C7C" w:rsidRDefault="000E0E2F" w:rsidP="00BE164E">
            <w:pPr>
              <w:pStyle w:val="ListParagraph"/>
              <w:numPr>
                <w:ilvl w:val="0"/>
                <w:numId w:val="16"/>
              </w:numPr>
              <w:spacing w:after="120"/>
              <w:rPr>
                <w:i/>
                <w:sz w:val="18"/>
                <w:szCs w:val="18"/>
              </w:rPr>
            </w:pPr>
            <w:r w:rsidRPr="00431C7C">
              <w:rPr>
                <w:i/>
                <w:sz w:val="18"/>
                <w:szCs w:val="18"/>
              </w:rPr>
              <w:t>be actively involved in planning and managing their care, and in making decisions about their care; and</w:t>
            </w:r>
          </w:p>
          <w:p w14:paraId="50946595" w14:textId="77777777" w:rsidR="000E0E2F" w:rsidRPr="00431C7C" w:rsidRDefault="000E0E2F" w:rsidP="00BE164E">
            <w:pPr>
              <w:pStyle w:val="ListParagraph"/>
              <w:numPr>
                <w:ilvl w:val="0"/>
                <w:numId w:val="16"/>
              </w:numPr>
              <w:spacing w:after="120"/>
              <w:ind w:left="714" w:hanging="357"/>
              <w:contextualSpacing w:val="0"/>
              <w:rPr>
                <w:i/>
                <w:sz w:val="18"/>
                <w:szCs w:val="18"/>
              </w:rPr>
            </w:pPr>
            <w:r w:rsidRPr="00431C7C">
              <w:rPr>
                <w:i/>
                <w:sz w:val="18"/>
                <w:szCs w:val="18"/>
              </w:rPr>
              <w:t>keep healthy and better self-manage their chronic conditions.</w:t>
            </w:r>
          </w:p>
          <w:p w14:paraId="6809F7EB" w14:textId="77777777" w:rsidR="000E0E2F" w:rsidRPr="00431C7C" w:rsidRDefault="000E0E2F" w:rsidP="00BE164E">
            <w:pPr>
              <w:pStyle w:val="ListParagraph"/>
              <w:numPr>
                <w:ilvl w:val="0"/>
                <w:numId w:val="17"/>
              </w:numPr>
              <w:spacing w:after="120"/>
              <w:ind w:left="426" w:hanging="426"/>
              <w:contextualSpacing w:val="0"/>
              <w:rPr>
                <w:i/>
                <w:sz w:val="18"/>
                <w:szCs w:val="18"/>
              </w:rPr>
            </w:pPr>
            <w:r w:rsidRPr="00431C7C">
              <w:rPr>
                <w:i/>
                <w:sz w:val="18"/>
                <w:szCs w:val="18"/>
              </w:rPr>
              <w:t>The practice encourages an enrolled patient to attend their HCH for all care and, in particular, care that is related to their chronic conditions. This means that visits to other practices by enrolled patients are expected to be minimal (for example, when an enrolled patient is travelling).</w:t>
            </w:r>
          </w:p>
          <w:p w14:paraId="6178D6B3" w14:textId="77777777" w:rsidR="000E0E2F" w:rsidRPr="00431C7C" w:rsidRDefault="000E0E2F" w:rsidP="00BE164E">
            <w:pPr>
              <w:pStyle w:val="ListParagraph"/>
              <w:numPr>
                <w:ilvl w:val="0"/>
                <w:numId w:val="17"/>
              </w:numPr>
              <w:spacing w:after="120"/>
              <w:ind w:left="426" w:hanging="426"/>
              <w:contextualSpacing w:val="0"/>
              <w:rPr>
                <w:sz w:val="18"/>
                <w:szCs w:val="18"/>
              </w:rPr>
            </w:pPr>
            <w:r w:rsidRPr="00431C7C">
              <w:rPr>
                <w:i/>
                <w:sz w:val="18"/>
                <w:szCs w:val="18"/>
              </w:rPr>
              <w:lastRenderedPageBreak/>
              <w:t>The practice supports enrolled patients with life limiting health conditions (or who have a condition that may lead to a loss of capacity to make decisions) with advance care planning for end-of-life care, including preparing and keeping up to date an Advance Care Directive (ACD).</w:t>
            </w:r>
          </w:p>
          <w:p w14:paraId="73D1732E" w14:textId="1721C594" w:rsidR="000E0E2F" w:rsidRPr="00431C7C" w:rsidRDefault="000E0E2F" w:rsidP="00BE164E">
            <w:pPr>
              <w:pStyle w:val="ListParagraph"/>
              <w:numPr>
                <w:ilvl w:val="0"/>
                <w:numId w:val="17"/>
              </w:numPr>
              <w:spacing w:after="120"/>
              <w:ind w:left="426" w:hanging="426"/>
              <w:contextualSpacing w:val="0"/>
              <w:rPr>
                <w:i/>
                <w:sz w:val="18"/>
                <w:szCs w:val="18"/>
              </w:rPr>
            </w:pPr>
            <w:r w:rsidRPr="00431C7C">
              <w:rPr>
                <w:i/>
                <w:sz w:val="18"/>
                <w:szCs w:val="18"/>
              </w:rPr>
              <w:t>The practice ensures that patient ACDs are uploaded to the patient’s My Health Record.</w:t>
            </w:r>
            <w:r w:rsidR="00A161E8">
              <w:rPr>
                <w:i/>
                <w:sz w:val="18"/>
                <w:szCs w:val="18"/>
              </w:rPr>
              <w:t>*</w:t>
            </w:r>
          </w:p>
          <w:p w14:paraId="453CA9F7" w14:textId="77777777" w:rsidR="000E0E2F" w:rsidRPr="00431C7C" w:rsidRDefault="000E0E2F" w:rsidP="00BE164E">
            <w:pPr>
              <w:pStyle w:val="ListParagraph"/>
              <w:numPr>
                <w:ilvl w:val="0"/>
                <w:numId w:val="17"/>
              </w:numPr>
              <w:spacing w:after="120"/>
              <w:ind w:left="426" w:hanging="426"/>
              <w:contextualSpacing w:val="0"/>
              <w:rPr>
                <w:i/>
                <w:sz w:val="18"/>
                <w:szCs w:val="18"/>
              </w:rPr>
            </w:pPr>
            <w:r w:rsidRPr="00431C7C">
              <w:rPr>
                <w:i/>
                <w:sz w:val="18"/>
                <w:szCs w:val="18"/>
              </w:rPr>
              <w:t>The practice withdraws patients from enrolment on the DHS HPOS system as soon as the practice ceases delivering HCH services to them or when an enrolled patient dies.</w:t>
            </w:r>
          </w:p>
          <w:p w14:paraId="4351451E" w14:textId="77777777" w:rsidR="000E0E2F" w:rsidRPr="00431C7C" w:rsidRDefault="000E0E2F" w:rsidP="00BE164E">
            <w:pPr>
              <w:pStyle w:val="ListParagraph"/>
              <w:numPr>
                <w:ilvl w:val="0"/>
                <w:numId w:val="17"/>
              </w:numPr>
              <w:spacing w:after="120"/>
              <w:ind w:left="426" w:hanging="426"/>
              <w:contextualSpacing w:val="0"/>
              <w:rPr>
                <w:i/>
                <w:sz w:val="18"/>
                <w:szCs w:val="18"/>
              </w:rPr>
            </w:pPr>
            <w:r w:rsidRPr="00431C7C">
              <w:rPr>
                <w:i/>
                <w:sz w:val="18"/>
                <w:szCs w:val="18"/>
              </w:rPr>
              <w:t>The practice confirms the status of each registered enrolled patient on the DHS HPOS system twice a year through completing the biannual confirmation statement.</w:t>
            </w:r>
          </w:p>
          <w:p w14:paraId="1FD56851" w14:textId="08F88649" w:rsidR="000E0E2F" w:rsidRPr="00431C7C" w:rsidRDefault="000E0E2F" w:rsidP="00BE164E">
            <w:pPr>
              <w:pStyle w:val="ListParagraph"/>
              <w:numPr>
                <w:ilvl w:val="0"/>
                <w:numId w:val="17"/>
              </w:numPr>
              <w:spacing w:after="120"/>
              <w:ind w:left="426" w:hanging="426"/>
              <w:contextualSpacing w:val="0"/>
              <w:rPr>
                <w:i/>
                <w:sz w:val="18"/>
                <w:szCs w:val="18"/>
              </w:rPr>
            </w:pPr>
            <w:r w:rsidRPr="00431C7C">
              <w:rPr>
                <w:i/>
                <w:sz w:val="18"/>
                <w:szCs w:val="18"/>
              </w:rPr>
              <w:t>The practice reports any enrolment errors to DHS as soon as they become aware that an error has been made.</w:t>
            </w:r>
          </w:p>
          <w:p w14:paraId="590FABCA" w14:textId="5269939E" w:rsidR="000E0E2F" w:rsidRPr="008779AA" w:rsidRDefault="000E0E2F" w:rsidP="00BE164E">
            <w:pPr>
              <w:spacing w:after="120"/>
              <w:rPr>
                <w:i/>
                <w:iCs/>
                <w:sz w:val="18"/>
                <w:szCs w:val="18"/>
              </w:rPr>
            </w:pPr>
            <w:r w:rsidRPr="008779AA">
              <w:rPr>
                <w:i/>
                <w:iCs/>
                <w:sz w:val="18"/>
                <w:szCs w:val="18"/>
              </w:rPr>
              <w:t>* This requirement was lifted in late 2018.</w:t>
            </w:r>
          </w:p>
        </w:tc>
      </w:tr>
    </w:tbl>
    <w:p w14:paraId="74110070" w14:textId="77777777" w:rsidR="000E0E2F" w:rsidRDefault="000E0E2F" w:rsidP="000E0E2F">
      <w:pPr>
        <w:spacing w:after="0"/>
      </w:pPr>
    </w:p>
    <w:p w14:paraId="6EC26426" w14:textId="77777777" w:rsidR="009F604E" w:rsidRDefault="009F604E" w:rsidP="009F604E">
      <w:pPr>
        <w:rPr>
          <w:rFonts w:eastAsia="Muli" w:cs="Muli"/>
          <w:color w:val="000000" w:themeColor="text1"/>
          <w:szCs w:val="20"/>
        </w:rPr>
      </w:pPr>
    </w:p>
    <w:p w14:paraId="17F26966" w14:textId="49CE6FCF" w:rsidR="00DC3629" w:rsidRDefault="00DC3629" w:rsidP="001653EE">
      <w:pPr>
        <w:rPr>
          <w:rFonts w:eastAsia="Muli" w:cs="Muli"/>
          <w:color w:val="000000" w:themeColor="text1"/>
          <w:szCs w:val="20"/>
        </w:rPr>
        <w:sectPr w:rsidR="00DC3629">
          <w:headerReference w:type="default" r:id="rId27"/>
          <w:pgSz w:w="11906" w:h="16838"/>
          <w:pgMar w:top="1440" w:right="1440" w:bottom="1440" w:left="1440" w:header="708" w:footer="708" w:gutter="0"/>
          <w:cols w:space="708"/>
          <w:docGrid w:linePitch="360"/>
        </w:sectPr>
      </w:pPr>
    </w:p>
    <w:p w14:paraId="72FE424B" w14:textId="7FEBAB2E" w:rsidR="00032A68" w:rsidRPr="0094369A" w:rsidRDefault="00032A68" w:rsidP="00032A68">
      <w:pPr>
        <w:pStyle w:val="ChapterNumber"/>
      </w:pPr>
      <w:r>
        <w:lastRenderedPageBreak/>
        <w:fldChar w:fldCharType="begin"/>
      </w:r>
      <w:r>
        <w:instrText xml:space="preserve"> REF _Ref81990690 \r \h </w:instrText>
      </w:r>
      <w:r>
        <w:fldChar w:fldCharType="separate"/>
      </w:r>
      <w:r w:rsidR="003C4BC2">
        <w:t>5</w:t>
      </w:r>
      <w:r>
        <w:fldChar w:fldCharType="end"/>
      </w:r>
    </w:p>
    <w:p w14:paraId="1F422000" w14:textId="103B3D83" w:rsidR="00032A68" w:rsidRDefault="00DC3629" w:rsidP="00032A68">
      <w:pPr>
        <w:pStyle w:val="Heading1withnumber"/>
        <w:ind w:left="0" w:hanging="567"/>
      </w:pPr>
      <w:bookmarkStart w:id="91" w:name="_Ref81990690"/>
      <w:bookmarkStart w:id="92" w:name="_Ref103758856"/>
      <w:bookmarkStart w:id="93" w:name="_Toc109996660"/>
      <w:r>
        <w:t>Training</w:t>
      </w:r>
      <w:bookmarkEnd w:id="91"/>
      <w:r w:rsidR="00781E54">
        <w:t xml:space="preserve"> and support</w:t>
      </w:r>
      <w:bookmarkEnd w:id="92"/>
      <w:bookmarkEnd w:id="93"/>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05718E" w:rsidRPr="0048466A" w14:paraId="43075A89" w14:textId="77777777" w:rsidTr="0032660B">
        <w:tc>
          <w:tcPr>
            <w:tcW w:w="8996" w:type="dxa"/>
            <w:shd w:val="clear" w:color="auto" w:fill="auto"/>
          </w:tcPr>
          <w:p w14:paraId="755CAF1A" w14:textId="0F8E4841" w:rsidR="0005718E" w:rsidRPr="006201AB" w:rsidRDefault="0005718E" w:rsidP="00BE164E">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7</w:t>
            </w:r>
            <w:r w:rsidRPr="006201AB">
              <w:rPr>
                <w:bCs/>
                <w:noProof/>
              </w:rPr>
              <w:fldChar w:fldCharType="end"/>
            </w:r>
            <w:r w:rsidRPr="006201AB">
              <w:rPr>
                <w:bCs/>
                <w:szCs w:val="20"/>
              </w:rPr>
              <w:t>: Chapter summary</w:t>
            </w:r>
          </w:p>
          <w:p w14:paraId="20DF570C" w14:textId="598BB5B0" w:rsidR="00FF5AE6" w:rsidRPr="00FF5AE6" w:rsidRDefault="00FF5AE6" w:rsidP="00BE164E">
            <w:pPr>
              <w:spacing w:after="120"/>
              <w:rPr>
                <w:rFonts w:eastAsia="Muli" w:cs="Muli"/>
                <w:color w:val="000000" w:themeColor="text1"/>
                <w:sz w:val="18"/>
                <w:szCs w:val="18"/>
              </w:rPr>
            </w:pPr>
            <w:r w:rsidRPr="00FF5AE6">
              <w:rPr>
                <w:rFonts w:eastAsia="Muli" w:cs="Muli"/>
                <w:color w:val="000000" w:themeColor="text1"/>
                <w:sz w:val="18"/>
                <w:szCs w:val="18"/>
              </w:rPr>
              <w:t xml:space="preserve">The </w:t>
            </w:r>
            <w:r w:rsidR="00012513">
              <w:rPr>
                <w:rFonts w:eastAsia="Muli" w:cs="Muli"/>
                <w:color w:val="000000" w:themeColor="text1"/>
                <w:sz w:val="18"/>
                <w:szCs w:val="18"/>
              </w:rPr>
              <w:t xml:space="preserve">Department of Health commissioned </w:t>
            </w:r>
            <w:r w:rsidRPr="00FF5AE6">
              <w:rPr>
                <w:rFonts w:eastAsia="Muli" w:cs="Muli"/>
                <w:color w:val="000000" w:themeColor="text1"/>
                <w:sz w:val="18"/>
                <w:szCs w:val="18"/>
              </w:rPr>
              <w:t>online training modules</w:t>
            </w:r>
            <w:r w:rsidR="00D445A9">
              <w:rPr>
                <w:rFonts w:eastAsia="Muli" w:cs="Muli"/>
                <w:color w:val="000000" w:themeColor="text1"/>
                <w:sz w:val="18"/>
                <w:szCs w:val="18"/>
              </w:rPr>
              <w:t xml:space="preserve"> to be developed</w:t>
            </w:r>
            <w:r w:rsidRPr="00FF5AE6">
              <w:rPr>
                <w:rFonts w:eastAsia="Muli" w:cs="Muli"/>
                <w:color w:val="000000" w:themeColor="text1"/>
                <w:sz w:val="18"/>
                <w:szCs w:val="18"/>
              </w:rPr>
              <w:t xml:space="preserve"> </w:t>
            </w:r>
            <w:r w:rsidR="00942C18">
              <w:rPr>
                <w:rFonts w:eastAsia="Muli" w:cs="Muli"/>
                <w:color w:val="000000" w:themeColor="text1"/>
                <w:sz w:val="18"/>
                <w:szCs w:val="18"/>
              </w:rPr>
              <w:t xml:space="preserve">for practices and PHNs. </w:t>
            </w:r>
            <w:r w:rsidRPr="00FF5AE6">
              <w:rPr>
                <w:rFonts w:eastAsia="Muli" w:cs="Muli"/>
                <w:color w:val="000000" w:themeColor="text1"/>
                <w:sz w:val="18"/>
                <w:szCs w:val="18"/>
              </w:rPr>
              <w:t xml:space="preserve">The modules were not widely accessed by practices, especially by GPs and nurses, where approximately 5% of the GPs and 9% of the nurses participating in the trial completed the foundational modules (1 to 5). </w:t>
            </w:r>
            <w:r w:rsidR="00CE192E">
              <w:rPr>
                <w:rFonts w:eastAsia="Muli" w:cs="Muli"/>
                <w:color w:val="000000" w:themeColor="text1"/>
                <w:sz w:val="18"/>
                <w:szCs w:val="18"/>
              </w:rPr>
              <w:t xml:space="preserve">The main issue was with </w:t>
            </w:r>
            <w:r w:rsidR="00E171A0">
              <w:rPr>
                <w:rFonts w:eastAsia="Muli" w:cs="Muli"/>
                <w:color w:val="000000" w:themeColor="text1"/>
                <w:sz w:val="18"/>
                <w:szCs w:val="18"/>
              </w:rPr>
              <w:t xml:space="preserve">starting the modules, because </w:t>
            </w:r>
            <w:r w:rsidR="00F93242">
              <w:rPr>
                <w:rFonts w:eastAsia="Muli" w:cs="Muli"/>
                <w:color w:val="000000" w:themeColor="text1"/>
                <w:sz w:val="18"/>
                <w:szCs w:val="18"/>
              </w:rPr>
              <w:t xml:space="preserve">most </w:t>
            </w:r>
            <w:r w:rsidR="002334A2">
              <w:rPr>
                <w:rFonts w:eastAsia="Muli" w:cs="Muli"/>
                <w:color w:val="000000" w:themeColor="text1"/>
                <w:sz w:val="18"/>
                <w:szCs w:val="18"/>
              </w:rPr>
              <w:t xml:space="preserve">that started a </w:t>
            </w:r>
            <w:r w:rsidR="00F93242">
              <w:rPr>
                <w:rFonts w:eastAsia="Muli" w:cs="Muli"/>
                <w:color w:val="000000" w:themeColor="text1"/>
                <w:sz w:val="18"/>
                <w:szCs w:val="18"/>
              </w:rPr>
              <w:t>module completed it</w:t>
            </w:r>
            <w:r w:rsidR="002334A2">
              <w:rPr>
                <w:rFonts w:eastAsia="Muli" w:cs="Muli"/>
                <w:color w:val="000000" w:themeColor="text1"/>
                <w:sz w:val="18"/>
                <w:szCs w:val="18"/>
              </w:rPr>
              <w:t xml:space="preserve"> (</w:t>
            </w:r>
            <w:r w:rsidR="00A25287">
              <w:rPr>
                <w:rFonts w:eastAsia="Muli" w:cs="Muli"/>
                <w:color w:val="000000" w:themeColor="text1"/>
                <w:sz w:val="18"/>
                <w:szCs w:val="18"/>
              </w:rPr>
              <w:t>completion rates ranged from 76% for module 2</w:t>
            </w:r>
            <w:r w:rsidR="00E75A32">
              <w:rPr>
                <w:rFonts w:eastAsia="Muli" w:cs="Muli"/>
                <w:color w:val="000000" w:themeColor="text1"/>
                <w:sz w:val="18"/>
                <w:szCs w:val="18"/>
              </w:rPr>
              <w:t xml:space="preserve"> Engaged leadership</w:t>
            </w:r>
            <w:r w:rsidR="00A25287">
              <w:rPr>
                <w:rFonts w:eastAsia="Muli" w:cs="Muli"/>
                <w:color w:val="000000" w:themeColor="text1"/>
                <w:sz w:val="18"/>
                <w:szCs w:val="18"/>
              </w:rPr>
              <w:t xml:space="preserve"> to 89% for module </w:t>
            </w:r>
            <w:r w:rsidR="00E75A32">
              <w:rPr>
                <w:rFonts w:eastAsia="Muli" w:cs="Muli"/>
                <w:color w:val="000000" w:themeColor="text1"/>
                <w:sz w:val="18"/>
                <w:szCs w:val="18"/>
              </w:rPr>
              <w:t xml:space="preserve">9 </w:t>
            </w:r>
            <w:r w:rsidR="00E75A32" w:rsidRPr="00E75A32">
              <w:rPr>
                <w:rFonts w:eastAsia="Muli" w:cs="Muli"/>
                <w:color w:val="000000" w:themeColor="text1"/>
                <w:sz w:val="18"/>
                <w:szCs w:val="18"/>
              </w:rPr>
              <w:t>Prompt access to care</w:t>
            </w:r>
            <w:r w:rsidR="00E75A32">
              <w:rPr>
                <w:rFonts w:eastAsia="Muli" w:cs="Muli"/>
                <w:color w:val="000000" w:themeColor="text1"/>
                <w:sz w:val="18"/>
                <w:szCs w:val="18"/>
              </w:rPr>
              <w:t>)</w:t>
            </w:r>
            <w:r w:rsidR="00F93242">
              <w:rPr>
                <w:rFonts w:eastAsia="Muli" w:cs="Muli"/>
                <w:color w:val="000000" w:themeColor="text1"/>
                <w:sz w:val="18"/>
                <w:szCs w:val="18"/>
              </w:rPr>
              <w:t>.</w:t>
            </w:r>
          </w:p>
          <w:p w14:paraId="331B1BF6" w14:textId="4FFF37D3" w:rsidR="00FF5AE6" w:rsidRPr="00FF5AE6" w:rsidRDefault="00FF5AE6" w:rsidP="00BE164E">
            <w:pPr>
              <w:spacing w:after="120"/>
              <w:rPr>
                <w:rFonts w:eastAsia="Muli" w:cs="Muli"/>
                <w:color w:val="000000" w:themeColor="text1"/>
                <w:sz w:val="18"/>
                <w:szCs w:val="18"/>
              </w:rPr>
            </w:pPr>
            <w:r w:rsidRPr="00FF5AE6">
              <w:rPr>
                <w:rFonts w:eastAsia="Muli" w:cs="Muli"/>
                <w:color w:val="000000" w:themeColor="text1"/>
                <w:sz w:val="18"/>
                <w:szCs w:val="18"/>
              </w:rPr>
              <w:t xml:space="preserve">In keeping with the philosophy of the PCMH, </w:t>
            </w:r>
            <w:r w:rsidR="00E8122B">
              <w:rPr>
                <w:rFonts w:eastAsia="Muli" w:cs="Muli"/>
                <w:color w:val="000000" w:themeColor="text1"/>
                <w:sz w:val="18"/>
                <w:szCs w:val="18"/>
              </w:rPr>
              <w:t>the</w:t>
            </w:r>
            <w:r w:rsidRPr="00FF5AE6">
              <w:rPr>
                <w:rFonts w:eastAsia="Muli" w:cs="Muli"/>
                <w:color w:val="000000" w:themeColor="text1"/>
                <w:sz w:val="18"/>
                <w:szCs w:val="18"/>
              </w:rPr>
              <w:t xml:space="preserve"> modules were </w:t>
            </w:r>
            <w:r w:rsidR="005D4BB6">
              <w:rPr>
                <w:rFonts w:eastAsia="Muli" w:cs="Muli"/>
                <w:color w:val="000000" w:themeColor="text1"/>
                <w:sz w:val="18"/>
                <w:szCs w:val="18"/>
              </w:rPr>
              <w:t>created</w:t>
            </w:r>
            <w:r w:rsidRPr="00FF5AE6">
              <w:rPr>
                <w:rFonts w:eastAsia="Muli" w:cs="Muli"/>
                <w:color w:val="000000" w:themeColor="text1"/>
                <w:sz w:val="18"/>
                <w:szCs w:val="18"/>
              </w:rPr>
              <w:t xml:space="preserve"> to be relevant to all roles within the practice (clinical and non-clinical). </w:t>
            </w:r>
            <w:r w:rsidR="009216A2" w:rsidRPr="009216A2">
              <w:rPr>
                <w:rFonts w:eastAsia="Muli" w:cs="Muli"/>
                <w:color w:val="000000" w:themeColor="text1"/>
                <w:sz w:val="18"/>
                <w:szCs w:val="18"/>
              </w:rPr>
              <w:t>However, according to practices and PHNs</w:t>
            </w:r>
            <w:r w:rsidRPr="00FF5AE6">
              <w:rPr>
                <w:rFonts w:eastAsia="Muli" w:cs="Muli"/>
                <w:color w:val="000000" w:themeColor="text1"/>
                <w:sz w:val="18"/>
                <w:szCs w:val="18"/>
              </w:rPr>
              <w:t>, this was one of the shortcomings of the modules</w:t>
            </w:r>
            <w:r w:rsidR="009216A2" w:rsidRPr="009216A2">
              <w:rPr>
                <w:rFonts w:eastAsia="Muli" w:cs="Muli"/>
                <w:color w:val="000000" w:themeColor="text1"/>
                <w:sz w:val="18"/>
                <w:szCs w:val="18"/>
              </w:rPr>
              <w:t>.</w:t>
            </w:r>
            <w:r w:rsidRPr="00FF5AE6">
              <w:rPr>
                <w:rFonts w:eastAsia="Muli" w:cs="Muli"/>
                <w:color w:val="000000" w:themeColor="text1"/>
                <w:sz w:val="18"/>
                <w:szCs w:val="18"/>
              </w:rPr>
              <w:t xml:space="preserve"> Others were length and thus time to complete, repetition</w:t>
            </w:r>
            <w:r w:rsidR="001E24C3">
              <w:rPr>
                <w:rFonts w:eastAsia="Muli" w:cs="Muli"/>
                <w:color w:val="000000" w:themeColor="text1"/>
                <w:sz w:val="18"/>
                <w:szCs w:val="18"/>
              </w:rPr>
              <w:t xml:space="preserve"> and</w:t>
            </w:r>
            <w:r w:rsidRPr="00FF5AE6">
              <w:rPr>
                <w:rFonts w:eastAsia="Muli" w:cs="Muli"/>
                <w:color w:val="000000" w:themeColor="text1"/>
                <w:sz w:val="18"/>
                <w:szCs w:val="18"/>
              </w:rPr>
              <w:t xml:space="preserve"> </w:t>
            </w:r>
            <w:r w:rsidR="00AD0B5D">
              <w:rPr>
                <w:rFonts w:eastAsia="Muli" w:cs="Muli"/>
                <w:color w:val="000000" w:themeColor="text1"/>
                <w:sz w:val="18"/>
                <w:szCs w:val="18"/>
              </w:rPr>
              <w:t xml:space="preserve">a </w:t>
            </w:r>
            <w:r w:rsidR="001C69A8">
              <w:rPr>
                <w:rFonts w:eastAsia="Muli" w:cs="Muli"/>
                <w:color w:val="000000" w:themeColor="text1"/>
                <w:sz w:val="18"/>
                <w:szCs w:val="18"/>
              </w:rPr>
              <w:t xml:space="preserve">theoretical rather than </w:t>
            </w:r>
            <w:r w:rsidR="00AD0B5D">
              <w:rPr>
                <w:rFonts w:eastAsia="Muli" w:cs="Muli"/>
                <w:color w:val="000000" w:themeColor="text1"/>
                <w:sz w:val="18"/>
                <w:szCs w:val="18"/>
              </w:rPr>
              <w:t xml:space="preserve">a </w:t>
            </w:r>
            <w:r w:rsidR="001C69A8">
              <w:rPr>
                <w:rFonts w:eastAsia="Muli" w:cs="Muli"/>
                <w:color w:val="000000" w:themeColor="text1"/>
                <w:sz w:val="18"/>
                <w:szCs w:val="18"/>
              </w:rPr>
              <w:t>practical focus</w:t>
            </w:r>
            <w:r w:rsidR="009216A2" w:rsidRPr="009216A2">
              <w:rPr>
                <w:rFonts w:eastAsia="Muli" w:cs="Muli"/>
                <w:color w:val="000000" w:themeColor="text1"/>
                <w:sz w:val="18"/>
                <w:szCs w:val="18"/>
              </w:rPr>
              <w:t>.</w:t>
            </w:r>
          </w:p>
          <w:p w14:paraId="320C737A" w14:textId="5E9E074D" w:rsidR="00FF5AE6" w:rsidRPr="00FF5AE6" w:rsidRDefault="00FF5AE6" w:rsidP="00BE164E">
            <w:pPr>
              <w:spacing w:after="120"/>
              <w:rPr>
                <w:rFonts w:eastAsia="Muli" w:cs="Muli"/>
                <w:color w:val="000000" w:themeColor="text1"/>
                <w:sz w:val="18"/>
                <w:szCs w:val="18"/>
              </w:rPr>
            </w:pPr>
            <w:r w:rsidRPr="00FF5AE6">
              <w:rPr>
                <w:rFonts w:eastAsia="Muli" w:cs="Muli"/>
                <w:color w:val="000000" w:themeColor="text1"/>
                <w:sz w:val="18"/>
                <w:szCs w:val="18"/>
              </w:rPr>
              <w:t>Nevertheless, individuals who completed the modules reported improved understanding or confidence in the topic area following completion and practices tended to rate the modules as “moderately effective”</w:t>
            </w:r>
            <w:r w:rsidR="00A32498">
              <w:rPr>
                <w:rFonts w:eastAsia="Muli" w:cs="Muli"/>
                <w:color w:val="000000" w:themeColor="text1"/>
                <w:sz w:val="18"/>
                <w:szCs w:val="18"/>
              </w:rPr>
              <w:t xml:space="preserve"> </w:t>
            </w:r>
            <w:r w:rsidR="005C78A2">
              <w:rPr>
                <w:rFonts w:eastAsia="Muli" w:cs="Muli"/>
                <w:color w:val="000000" w:themeColor="text1"/>
                <w:sz w:val="18"/>
                <w:szCs w:val="18"/>
              </w:rPr>
              <w:t>for</w:t>
            </w:r>
            <w:r w:rsidR="00A32498" w:rsidRPr="00A32498">
              <w:rPr>
                <w:rFonts w:eastAsia="Muli" w:cs="Muli"/>
                <w:color w:val="000000" w:themeColor="text1"/>
                <w:sz w:val="18"/>
                <w:szCs w:val="18"/>
              </w:rPr>
              <w:t xml:space="preserve"> preparing them for implementing HCH</w:t>
            </w:r>
            <w:r w:rsidRPr="00FF5AE6">
              <w:rPr>
                <w:rFonts w:eastAsia="Muli" w:cs="Muli"/>
                <w:color w:val="000000" w:themeColor="text1"/>
                <w:sz w:val="18"/>
                <w:szCs w:val="18"/>
              </w:rPr>
              <w:t xml:space="preserve">. </w:t>
            </w:r>
          </w:p>
          <w:p w14:paraId="22B6D142" w14:textId="230DE358" w:rsidR="00FF5AE6" w:rsidRDefault="00FF5AE6" w:rsidP="00BE164E">
            <w:pPr>
              <w:spacing w:after="120"/>
              <w:rPr>
                <w:rFonts w:eastAsia="Muli" w:cs="Muli"/>
                <w:color w:val="000000" w:themeColor="text1"/>
                <w:sz w:val="18"/>
                <w:szCs w:val="18"/>
              </w:rPr>
            </w:pPr>
            <w:r w:rsidRPr="00FF5AE6">
              <w:rPr>
                <w:rFonts w:eastAsia="Muli" w:cs="Muli"/>
                <w:color w:val="000000" w:themeColor="text1"/>
                <w:sz w:val="18"/>
                <w:szCs w:val="18"/>
              </w:rPr>
              <w:t xml:space="preserve">PHN practice facilitators initially participated in two train-the-trainer workshops in August and November 2017. They described difficulty providing support and training to practices at the same time as learning about HCH themselves. They felt they had little guidance or clear expectations of their role at the beginning of the </w:t>
            </w:r>
            <w:r w:rsidR="006B56BD">
              <w:rPr>
                <w:rFonts w:eastAsia="Muli" w:cs="Muli"/>
                <w:color w:val="000000" w:themeColor="text1"/>
                <w:sz w:val="18"/>
                <w:szCs w:val="18"/>
              </w:rPr>
              <w:t>trial</w:t>
            </w:r>
            <w:r w:rsidRPr="00FF5AE6">
              <w:rPr>
                <w:rFonts w:eastAsia="Muli" w:cs="Muli"/>
                <w:color w:val="000000" w:themeColor="text1"/>
                <w:sz w:val="18"/>
                <w:szCs w:val="18"/>
              </w:rPr>
              <w:t xml:space="preserve">. </w:t>
            </w:r>
          </w:p>
          <w:p w14:paraId="095657B6" w14:textId="04887F7F" w:rsidR="00C40BC3" w:rsidRDefault="00275978" w:rsidP="00BE164E">
            <w:pPr>
              <w:spacing w:after="120"/>
              <w:rPr>
                <w:rFonts w:eastAsia="Muli" w:cs="Muli"/>
                <w:color w:val="000000" w:themeColor="text1"/>
                <w:sz w:val="18"/>
                <w:szCs w:val="18"/>
              </w:rPr>
            </w:pPr>
            <w:r>
              <w:rPr>
                <w:rFonts w:eastAsia="Muli" w:cs="Muli"/>
                <w:color w:val="000000" w:themeColor="text1"/>
                <w:sz w:val="18"/>
                <w:szCs w:val="18"/>
              </w:rPr>
              <w:t>At</w:t>
            </w:r>
            <w:r w:rsidRPr="00275978">
              <w:rPr>
                <w:rFonts w:eastAsia="Muli" w:cs="Muli"/>
                <w:color w:val="000000" w:themeColor="text1"/>
                <w:sz w:val="18"/>
                <w:szCs w:val="18"/>
              </w:rPr>
              <w:t xml:space="preserve"> the beginning of the trial, the PHN practice facilitators </w:t>
            </w:r>
            <w:r w:rsidR="00ED4D3F">
              <w:rPr>
                <w:rFonts w:eastAsia="Muli" w:cs="Muli"/>
                <w:color w:val="000000" w:themeColor="text1"/>
                <w:sz w:val="18"/>
                <w:szCs w:val="18"/>
              </w:rPr>
              <w:t xml:space="preserve">spent time </w:t>
            </w:r>
            <w:r w:rsidR="00ED4D3F" w:rsidRPr="00275978">
              <w:rPr>
                <w:rFonts w:eastAsia="Muli" w:cs="Muli"/>
                <w:color w:val="000000" w:themeColor="text1"/>
                <w:sz w:val="18"/>
                <w:szCs w:val="18"/>
              </w:rPr>
              <w:t>building relationships with practices</w:t>
            </w:r>
            <w:r w:rsidR="00ED4D3F">
              <w:rPr>
                <w:rFonts w:eastAsia="Muli" w:cs="Muli"/>
                <w:color w:val="000000" w:themeColor="text1"/>
                <w:sz w:val="18"/>
                <w:szCs w:val="18"/>
              </w:rPr>
              <w:t xml:space="preserve"> and</w:t>
            </w:r>
            <w:r w:rsidR="00ED4D3F" w:rsidRPr="00275978">
              <w:rPr>
                <w:rFonts w:eastAsia="Muli" w:cs="Muli"/>
                <w:color w:val="000000" w:themeColor="text1"/>
                <w:sz w:val="18"/>
                <w:szCs w:val="18"/>
              </w:rPr>
              <w:t xml:space="preserve"> </w:t>
            </w:r>
            <w:r w:rsidRPr="00275978">
              <w:rPr>
                <w:rFonts w:eastAsia="Muli" w:cs="Muli"/>
                <w:color w:val="000000" w:themeColor="text1"/>
                <w:sz w:val="18"/>
                <w:szCs w:val="18"/>
              </w:rPr>
              <w:t xml:space="preserve">helped practices with the administrative tasks of </w:t>
            </w:r>
            <w:r w:rsidR="008F279F">
              <w:rPr>
                <w:rFonts w:eastAsia="Muli" w:cs="Muli"/>
                <w:color w:val="000000" w:themeColor="text1"/>
                <w:sz w:val="18"/>
                <w:szCs w:val="18"/>
              </w:rPr>
              <w:t>setting up for HCH</w:t>
            </w:r>
            <w:r w:rsidRPr="00275978">
              <w:rPr>
                <w:rFonts w:eastAsia="Muli" w:cs="Muli"/>
                <w:color w:val="000000" w:themeColor="text1"/>
                <w:sz w:val="18"/>
                <w:szCs w:val="18"/>
              </w:rPr>
              <w:t xml:space="preserve"> (including implementing software), assessing practice readiness, and identifying and implementing strategies to recruit patients. Following the end of the enrolment period, the facilitators focussed on helping practices with their model of care and building the healthcare “neighbourhood” by raising awareness of the program amongst other providers</w:t>
            </w:r>
            <w:r w:rsidR="00916EC6">
              <w:rPr>
                <w:rFonts w:eastAsia="Muli" w:cs="Muli"/>
                <w:color w:val="000000" w:themeColor="text1"/>
                <w:sz w:val="18"/>
                <w:szCs w:val="18"/>
              </w:rPr>
              <w:t>.</w:t>
            </w:r>
          </w:p>
          <w:p w14:paraId="0BCC0BE6" w14:textId="2DF12FF4" w:rsidR="007636B8" w:rsidRDefault="007636B8" w:rsidP="00BE164E">
            <w:pPr>
              <w:spacing w:after="120"/>
              <w:rPr>
                <w:rFonts w:eastAsia="Muli" w:cs="Muli"/>
                <w:color w:val="000000" w:themeColor="text1"/>
                <w:sz w:val="18"/>
                <w:szCs w:val="18"/>
              </w:rPr>
            </w:pPr>
            <w:r w:rsidRPr="00FF5AE6">
              <w:rPr>
                <w:rFonts w:eastAsia="Muli" w:cs="Muli"/>
                <w:color w:val="000000" w:themeColor="text1"/>
                <w:sz w:val="18"/>
                <w:szCs w:val="18"/>
              </w:rPr>
              <w:t>The main enabler for PHN practice facilitators was collaboration and networking with other facilitators.</w:t>
            </w:r>
          </w:p>
          <w:p w14:paraId="1845A63E" w14:textId="4F39EA1B" w:rsidR="00233BD9" w:rsidRPr="00FF5AE6" w:rsidRDefault="00FF5AE6" w:rsidP="007636B8">
            <w:pPr>
              <w:spacing w:after="120"/>
              <w:rPr>
                <w:rFonts w:eastAsia="Muli" w:cs="Muli"/>
                <w:color w:val="000000" w:themeColor="text1"/>
                <w:sz w:val="18"/>
                <w:szCs w:val="18"/>
              </w:rPr>
            </w:pPr>
            <w:r w:rsidRPr="00FF5AE6">
              <w:rPr>
                <w:rFonts w:eastAsia="Muli" w:cs="Muli"/>
                <w:color w:val="000000" w:themeColor="text1"/>
                <w:sz w:val="18"/>
                <w:szCs w:val="18"/>
              </w:rPr>
              <w:t xml:space="preserve">Facilitator turnover was an ongoing issue that negatively impacted both PHNs and practices throughout the trial. </w:t>
            </w:r>
            <w:r w:rsidR="00233BD9" w:rsidRPr="00233BD9">
              <w:rPr>
                <w:rFonts w:eastAsia="Muli" w:cs="Muli"/>
                <w:color w:val="000000" w:themeColor="text1"/>
                <w:sz w:val="18"/>
                <w:szCs w:val="18"/>
              </w:rPr>
              <w:t>Practices were largely positive about the support they received from their PHN practice facilitators to implement HCH. Where they were critical, they were frustrated with the turnover of practice facilitators</w:t>
            </w:r>
            <w:r w:rsidR="008C0F1F">
              <w:rPr>
                <w:rFonts w:eastAsia="Muli" w:cs="Muli"/>
                <w:color w:val="000000" w:themeColor="text1"/>
                <w:sz w:val="18"/>
                <w:szCs w:val="18"/>
              </w:rPr>
              <w:t xml:space="preserve"> or </w:t>
            </w:r>
            <w:r w:rsidR="006C2964">
              <w:rPr>
                <w:rFonts w:eastAsia="Muli" w:cs="Muli"/>
                <w:color w:val="000000" w:themeColor="text1"/>
                <w:sz w:val="18"/>
                <w:szCs w:val="18"/>
              </w:rPr>
              <w:t>they would have liked more support.</w:t>
            </w:r>
          </w:p>
        </w:tc>
      </w:tr>
    </w:tbl>
    <w:p w14:paraId="0C291496" w14:textId="77777777" w:rsidR="0005718E" w:rsidRDefault="0005718E" w:rsidP="0005718E">
      <w:pPr>
        <w:spacing w:after="0"/>
        <w:rPr>
          <w:rFonts w:eastAsia="Muli" w:cs="Muli"/>
          <w:color w:val="000000" w:themeColor="text1"/>
          <w:szCs w:val="20"/>
        </w:rPr>
      </w:pPr>
    </w:p>
    <w:p w14:paraId="69B67802" w14:textId="56B8F52D" w:rsidR="00CC79EF" w:rsidRDefault="00106002" w:rsidP="00285544">
      <w:r>
        <w:t>The</w:t>
      </w:r>
      <w:r w:rsidR="00CC79EF">
        <w:t xml:space="preserve"> Department of Health engaged </w:t>
      </w:r>
      <w:r w:rsidR="00720786" w:rsidRPr="00460EBD">
        <w:t>AGPAL</w:t>
      </w:r>
      <w:r w:rsidR="00720786">
        <w:rPr>
          <w:rFonts w:ascii="Libre Franklin" w:hAnsi="Libre Franklin"/>
          <w:color w:val="7A7A7A"/>
        </w:rPr>
        <w:t> </w:t>
      </w:r>
      <w:r w:rsidR="00CC79EF">
        <w:t xml:space="preserve">to </w:t>
      </w:r>
      <w:r w:rsidR="00CC79EF" w:rsidRPr="00CC79EF">
        <w:t>develop online training modules for HCHs</w:t>
      </w:r>
      <w:r w:rsidR="00CC79EF">
        <w:t xml:space="preserve">. AGPAL also trained and supported the </w:t>
      </w:r>
      <w:r w:rsidR="00BD34E6">
        <w:t>PHN practice facilitators</w:t>
      </w:r>
      <w:r>
        <w:t>.</w:t>
      </w:r>
    </w:p>
    <w:p w14:paraId="5F95F92F" w14:textId="0E5087C3" w:rsidR="004D7551" w:rsidRDefault="0005066F" w:rsidP="004D7551">
      <w:r>
        <w:t xml:space="preserve">The online training modules for practices were </w:t>
      </w:r>
      <w:r w:rsidR="004D7551">
        <w:t>organised into 11 modules</w:t>
      </w:r>
      <w:r w:rsidR="00C57DCE">
        <w:t xml:space="preserve"> (</w:t>
      </w:r>
      <w:r w:rsidR="00C57DCE" w:rsidRPr="001018EB">
        <w:rPr>
          <w:color w:val="1D2455"/>
        </w:rPr>
        <w:fldChar w:fldCharType="begin"/>
      </w:r>
      <w:r w:rsidR="00C57DCE" w:rsidRPr="001018EB">
        <w:rPr>
          <w:color w:val="1D2455"/>
        </w:rPr>
        <w:instrText xml:space="preserve"> REF _Ref82606941 \h  \* MERGEFORMAT </w:instrText>
      </w:r>
      <w:r w:rsidR="00C57DCE" w:rsidRPr="001018EB">
        <w:rPr>
          <w:color w:val="1D2455"/>
        </w:rPr>
      </w:r>
      <w:r w:rsidR="00C57DCE" w:rsidRPr="001018EB">
        <w:rPr>
          <w:color w:val="1D2455"/>
        </w:rPr>
        <w:fldChar w:fldCharType="separate"/>
      </w:r>
      <w:r w:rsidR="003C4BC2" w:rsidRPr="003C4BC2">
        <w:rPr>
          <w:color w:val="1D2455"/>
        </w:rPr>
        <w:t xml:space="preserve">Table </w:t>
      </w:r>
      <w:r w:rsidR="003C4BC2" w:rsidRPr="003C4BC2">
        <w:rPr>
          <w:rFonts w:cs="Arial"/>
          <w:noProof/>
          <w:color w:val="1D2455"/>
        </w:rPr>
        <w:t>11</w:t>
      </w:r>
      <w:r w:rsidR="00C57DCE" w:rsidRPr="001018EB">
        <w:rPr>
          <w:color w:val="1D2455"/>
        </w:rPr>
        <w:fldChar w:fldCharType="end"/>
      </w:r>
      <w:r w:rsidR="00C57DCE">
        <w:t xml:space="preserve">). </w:t>
      </w:r>
      <w:r w:rsidR="004D7551">
        <w:t xml:space="preserve">The first six </w:t>
      </w:r>
      <w:r>
        <w:t xml:space="preserve">modules </w:t>
      </w:r>
      <w:r w:rsidR="004D7551">
        <w:t xml:space="preserve">were released in August 2017, and the remaining </w:t>
      </w:r>
      <w:r>
        <w:t>in</w:t>
      </w:r>
      <w:r w:rsidR="004D7551">
        <w:t xml:space="preserve"> December 2017.</w:t>
      </w:r>
    </w:p>
    <w:p w14:paraId="65CE5BE1" w14:textId="6C79DCE8" w:rsidR="004D7551" w:rsidRDefault="004D7551" w:rsidP="004814E0">
      <w:r>
        <w:t>Individuals completing the training modules could claim continuing professional development points from the Australian Association of Practice Management (AAPM)</w:t>
      </w:r>
      <w:r w:rsidR="004814E0">
        <w:t xml:space="preserve">, the </w:t>
      </w:r>
      <w:r>
        <w:t xml:space="preserve">Australian </w:t>
      </w:r>
      <w:r>
        <w:lastRenderedPageBreak/>
        <w:t>College of Rural and Remote Medicine (ACRRM)</w:t>
      </w:r>
      <w:r w:rsidR="004814E0">
        <w:t xml:space="preserve">, the </w:t>
      </w:r>
      <w:r>
        <w:t>Australian Practice Nurse Association (APNA)</w:t>
      </w:r>
      <w:r w:rsidR="004814E0">
        <w:t xml:space="preserve"> or the </w:t>
      </w:r>
      <w:r>
        <w:t>Royal Australian College of General Practitioners (RACGP).</w:t>
      </w:r>
    </w:p>
    <w:p w14:paraId="4B65CD70" w14:textId="02AC13AF" w:rsidR="004D7551" w:rsidRDefault="004D7551" w:rsidP="004D7551">
      <w:pPr>
        <w:pStyle w:val="Heading3"/>
      </w:pPr>
      <w:r>
        <w:t>Practices’ experiences with the online training modules</w:t>
      </w:r>
    </w:p>
    <w:p w14:paraId="7E787C46" w14:textId="6341C3C4" w:rsidR="002E4C42" w:rsidRDefault="00586980" w:rsidP="00276530">
      <w:r w:rsidRPr="00586980">
        <w:t xml:space="preserve">Data compiled by AGPAL showed that at the beginning of </w:t>
      </w:r>
      <w:r w:rsidR="004D7551" w:rsidRPr="00AE37CC">
        <w:t>September 2018, 1,822 people</w:t>
      </w:r>
      <w:r w:rsidR="004D7551">
        <w:t xml:space="preserve"> had received a login for the online training modules</w:t>
      </w:r>
      <w:r w:rsidR="0005066F">
        <w:t>. This included practice staff as well as PHN practice facilitators</w:t>
      </w:r>
      <w:r w:rsidR="004D7551">
        <w:t xml:space="preserve">. </w:t>
      </w:r>
      <w:r w:rsidR="004814E0">
        <w:t xml:space="preserve">Of </w:t>
      </w:r>
      <w:r w:rsidR="007B009F">
        <w:t xml:space="preserve">the </w:t>
      </w:r>
      <w:r w:rsidR="0005066F" w:rsidRPr="00AE37CC">
        <w:t>1,822 people</w:t>
      </w:r>
      <w:r w:rsidR="0005066F">
        <w:t xml:space="preserve"> who were provided a login</w:t>
      </w:r>
      <w:r w:rsidR="004814E0">
        <w:t>, 955 had started module 1 and 748 completed it (</w:t>
      </w:r>
      <w:r w:rsidR="00221E18">
        <w:t xml:space="preserve">78%, </w:t>
      </w:r>
      <w:r w:rsidR="004814E0" w:rsidRPr="001018EB">
        <w:rPr>
          <w:color w:val="1D2455"/>
        </w:rPr>
        <w:fldChar w:fldCharType="begin"/>
      </w:r>
      <w:r w:rsidR="004814E0" w:rsidRPr="001018EB">
        <w:rPr>
          <w:color w:val="1D2455"/>
        </w:rPr>
        <w:instrText xml:space="preserve"> REF _Ref82606941 \h  \* MERGEFORMAT </w:instrText>
      </w:r>
      <w:r w:rsidR="004814E0" w:rsidRPr="001018EB">
        <w:rPr>
          <w:color w:val="1D2455"/>
        </w:rPr>
      </w:r>
      <w:r w:rsidR="004814E0" w:rsidRPr="001018EB">
        <w:rPr>
          <w:color w:val="1D2455"/>
        </w:rPr>
        <w:fldChar w:fldCharType="separate"/>
      </w:r>
      <w:r w:rsidR="003C4BC2" w:rsidRPr="003C4BC2">
        <w:rPr>
          <w:color w:val="1D2455"/>
        </w:rPr>
        <w:t xml:space="preserve">Table </w:t>
      </w:r>
      <w:r w:rsidR="003C4BC2" w:rsidRPr="003C4BC2">
        <w:rPr>
          <w:rFonts w:cs="Arial"/>
          <w:noProof/>
          <w:color w:val="1D2455"/>
        </w:rPr>
        <w:t>11</w:t>
      </w:r>
      <w:r w:rsidR="004814E0" w:rsidRPr="001018EB">
        <w:rPr>
          <w:color w:val="1D2455"/>
        </w:rPr>
        <w:fldChar w:fldCharType="end"/>
      </w:r>
      <w:r w:rsidR="004814E0">
        <w:rPr>
          <w:color w:val="1D2455"/>
        </w:rPr>
        <w:t>)</w:t>
      </w:r>
      <w:r w:rsidR="004814E0">
        <w:t>. The number that started subsequent module</w:t>
      </w:r>
      <w:r w:rsidR="00390C92">
        <w:t>s</w:t>
      </w:r>
      <w:r w:rsidR="004814E0">
        <w:t xml:space="preserve"> steadily decreased.</w:t>
      </w:r>
      <w:r w:rsidR="00350519">
        <w:t xml:space="preserve"> N</w:t>
      </w:r>
      <w:r w:rsidR="00A65903">
        <w:t xml:space="preserve">evertheless, the </w:t>
      </w:r>
      <w:r w:rsidR="00430777">
        <w:t>proportion of people</w:t>
      </w:r>
      <w:r w:rsidR="00A65903">
        <w:t xml:space="preserve"> completing the modules </w:t>
      </w:r>
      <w:r w:rsidR="00BC4ED0">
        <w:t xml:space="preserve">increased </w:t>
      </w:r>
      <w:r w:rsidR="00F9007E">
        <w:t>with</w:t>
      </w:r>
      <w:r w:rsidR="006D31CA">
        <w:t xml:space="preserve"> </w:t>
      </w:r>
      <w:r w:rsidR="00BC4ED0">
        <w:t>module 2</w:t>
      </w:r>
      <w:r w:rsidR="00F9007E">
        <w:t xml:space="preserve">, </w:t>
      </w:r>
      <w:r w:rsidR="00BC4ED0">
        <w:t xml:space="preserve">then </w:t>
      </w:r>
      <w:r w:rsidR="00430777">
        <w:t xml:space="preserve">remained </w:t>
      </w:r>
      <w:r w:rsidR="008520E5">
        <w:t>steady</w:t>
      </w:r>
      <w:r w:rsidR="001D5B57">
        <w:t xml:space="preserve"> except for the last module where it decreased again. This suggests that the main issue was p</w:t>
      </w:r>
      <w:r w:rsidR="00826DA8">
        <w:t>eople starting the modules</w:t>
      </w:r>
      <w:r w:rsidR="002C7C37">
        <w:t>.</w:t>
      </w:r>
    </w:p>
    <w:p w14:paraId="371D7744" w14:textId="35D71244" w:rsidR="004D7551" w:rsidRPr="007E3ABB" w:rsidRDefault="004D7551" w:rsidP="006965F6">
      <w:pPr>
        <w:pStyle w:val="TableFigureheading"/>
      </w:pPr>
      <w:bookmarkStart w:id="94" w:name="_Ref82606941"/>
      <w:bookmarkStart w:id="95" w:name="_Hlk22642728"/>
      <w:r w:rsidRPr="007E3ABB">
        <w:t xml:space="preserve">Table </w:t>
      </w:r>
      <w:r w:rsidRPr="007E3ABB">
        <w:rPr>
          <w:rFonts w:cs="Arial"/>
          <w:color w:val="000000" w:themeColor="text1"/>
        </w:rPr>
        <w:fldChar w:fldCharType="begin"/>
      </w:r>
      <w:r w:rsidRPr="007E3ABB">
        <w:rPr>
          <w:rFonts w:cs="Arial"/>
          <w:color w:val="000000" w:themeColor="text1"/>
        </w:rPr>
        <w:instrText xml:space="preserve"> SEQ Table \* ARABIC </w:instrText>
      </w:r>
      <w:r w:rsidRPr="007E3ABB">
        <w:rPr>
          <w:rFonts w:cs="Arial"/>
          <w:color w:val="000000" w:themeColor="text1"/>
        </w:rPr>
        <w:fldChar w:fldCharType="separate"/>
      </w:r>
      <w:r w:rsidR="003C4BC2">
        <w:rPr>
          <w:rFonts w:cs="Arial"/>
          <w:noProof/>
          <w:color w:val="000000" w:themeColor="text1"/>
        </w:rPr>
        <w:t>11</w:t>
      </w:r>
      <w:r w:rsidRPr="007E3ABB">
        <w:rPr>
          <w:rFonts w:cs="Arial"/>
          <w:color w:val="000000" w:themeColor="text1"/>
        </w:rPr>
        <w:fldChar w:fldCharType="end"/>
      </w:r>
      <w:bookmarkEnd w:id="94"/>
      <w:r w:rsidR="006965F6">
        <w:t xml:space="preserve">: </w:t>
      </w:r>
      <w:r>
        <w:t xml:space="preserve">Users </w:t>
      </w:r>
      <w:r w:rsidR="00A1795E">
        <w:t>starting</w:t>
      </w:r>
      <w:r>
        <w:t xml:space="preserve"> and </w:t>
      </w:r>
      <w:r w:rsidR="00A1795E">
        <w:t>completing</w:t>
      </w:r>
      <w:r>
        <w:t xml:space="preserve"> HCH online training </w:t>
      </w:r>
      <w:bookmarkEnd w:id="95"/>
      <w:r>
        <w:t>modules</w:t>
      </w:r>
      <w:r w:rsidR="0002675D" w:rsidRPr="0002675D">
        <w:rPr>
          <w:vertAlign w:val="superscript"/>
        </w:rPr>
        <w:t>1</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519"/>
        <w:gridCol w:w="4703"/>
        <w:gridCol w:w="1264"/>
        <w:gridCol w:w="1264"/>
        <w:gridCol w:w="1266"/>
      </w:tblGrid>
      <w:tr w:rsidR="006965F6" w:rsidRPr="00E27353" w14:paraId="2DAAB3CF" w14:textId="77777777" w:rsidTr="00E27353">
        <w:trPr>
          <w:trHeight w:val="60"/>
        </w:trPr>
        <w:tc>
          <w:tcPr>
            <w:tcW w:w="2895" w:type="pct"/>
            <w:gridSpan w:val="2"/>
            <w:shd w:val="clear" w:color="auto" w:fill="408BCA"/>
            <w:vAlign w:val="center"/>
          </w:tcPr>
          <w:p w14:paraId="4A0793D9" w14:textId="02290055" w:rsidR="004D7551" w:rsidRPr="00E27353" w:rsidRDefault="006965F6" w:rsidP="00E27353">
            <w:pPr>
              <w:spacing w:after="0"/>
              <w:ind w:left="127"/>
              <w:jc w:val="center"/>
              <w:rPr>
                <w:b/>
                <w:bCs/>
                <w:color w:val="FFFFFF"/>
                <w:sz w:val="18"/>
                <w:lang w:eastAsia="en-AU"/>
              </w:rPr>
            </w:pPr>
            <w:r w:rsidRPr="00E27353">
              <w:rPr>
                <w:b/>
                <w:bCs/>
                <w:color w:val="FFFFFF"/>
                <w:sz w:val="18"/>
                <w:lang w:eastAsia="en-AU"/>
              </w:rPr>
              <w:t>Module</w:t>
            </w:r>
          </w:p>
        </w:tc>
        <w:tc>
          <w:tcPr>
            <w:tcW w:w="701" w:type="pct"/>
            <w:shd w:val="clear" w:color="auto" w:fill="408BCA"/>
            <w:noWrap/>
            <w:vAlign w:val="center"/>
          </w:tcPr>
          <w:p w14:paraId="1FBFCB2E" w14:textId="6330E1E4" w:rsidR="004D7551" w:rsidRPr="00E27353" w:rsidRDefault="006965F6" w:rsidP="00E27353">
            <w:pPr>
              <w:spacing w:after="0"/>
              <w:jc w:val="center"/>
              <w:rPr>
                <w:b/>
                <w:bCs/>
                <w:color w:val="FFFFFF"/>
                <w:sz w:val="18"/>
                <w:lang w:eastAsia="en-AU"/>
              </w:rPr>
            </w:pPr>
            <w:r w:rsidRPr="00E27353">
              <w:rPr>
                <w:b/>
                <w:bCs/>
                <w:color w:val="FFFFFF"/>
                <w:sz w:val="18"/>
                <w:lang w:eastAsia="en-AU"/>
              </w:rPr>
              <w:t>Number of users s</w:t>
            </w:r>
            <w:r w:rsidR="004D7551" w:rsidRPr="00E27353">
              <w:rPr>
                <w:b/>
                <w:bCs/>
                <w:color w:val="FFFFFF"/>
                <w:sz w:val="18"/>
                <w:lang w:eastAsia="en-AU"/>
              </w:rPr>
              <w:t>tarted</w:t>
            </w:r>
          </w:p>
        </w:tc>
        <w:tc>
          <w:tcPr>
            <w:tcW w:w="701" w:type="pct"/>
            <w:shd w:val="clear" w:color="auto" w:fill="408BCA"/>
            <w:vAlign w:val="center"/>
          </w:tcPr>
          <w:p w14:paraId="1BE26FB1" w14:textId="0E8B4911" w:rsidR="004D7551" w:rsidRPr="00E27353" w:rsidRDefault="006965F6" w:rsidP="00E27353">
            <w:pPr>
              <w:spacing w:after="0"/>
              <w:jc w:val="center"/>
              <w:rPr>
                <w:b/>
                <w:bCs/>
                <w:color w:val="FFFFFF"/>
                <w:sz w:val="18"/>
                <w:lang w:eastAsia="en-AU"/>
              </w:rPr>
            </w:pPr>
            <w:r w:rsidRPr="00E27353">
              <w:rPr>
                <w:b/>
                <w:bCs/>
                <w:color w:val="FFFFFF"/>
                <w:sz w:val="18"/>
                <w:lang w:eastAsia="en-AU"/>
              </w:rPr>
              <w:t>Number of users c</w:t>
            </w:r>
            <w:r w:rsidR="004D7551" w:rsidRPr="00E27353">
              <w:rPr>
                <w:b/>
                <w:bCs/>
                <w:color w:val="FFFFFF"/>
                <w:sz w:val="18"/>
                <w:lang w:eastAsia="en-AU"/>
              </w:rPr>
              <w:t>ompleted</w:t>
            </w:r>
          </w:p>
        </w:tc>
        <w:tc>
          <w:tcPr>
            <w:tcW w:w="702" w:type="pct"/>
            <w:shd w:val="clear" w:color="auto" w:fill="408BCA"/>
            <w:vAlign w:val="center"/>
          </w:tcPr>
          <w:p w14:paraId="58E393D2" w14:textId="70C101D7" w:rsidR="004D7551" w:rsidRPr="00E27353" w:rsidRDefault="006965F6" w:rsidP="00E27353">
            <w:pPr>
              <w:spacing w:after="0"/>
              <w:jc w:val="center"/>
              <w:rPr>
                <w:b/>
                <w:bCs/>
                <w:color w:val="FFFFFF"/>
                <w:sz w:val="18"/>
                <w:lang w:eastAsia="en-AU"/>
              </w:rPr>
            </w:pPr>
            <w:r w:rsidRPr="00E27353">
              <w:rPr>
                <w:b/>
                <w:bCs/>
                <w:color w:val="FFFFFF"/>
                <w:sz w:val="18"/>
                <w:lang w:eastAsia="en-AU"/>
              </w:rPr>
              <w:t xml:space="preserve">Percentage of users </w:t>
            </w:r>
            <w:r w:rsidR="004D7551" w:rsidRPr="00E27353">
              <w:rPr>
                <w:b/>
                <w:bCs/>
                <w:color w:val="FFFFFF"/>
                <w:sz w:val="18"/>
                <w:lang w:eastAsia="en-AU"/>
              </w:rPr>
              <w:t>completed</w:t>
            </w:r>
          </w:p>
        </w:tc>
      </w:tr>
      <w:tr w:rsidR="004D7551" w:rsidRPr="002A434A" w14:paraId="2F4DA181" w14:textId="77777777" w:rsidTr="004054D3">
        <w:trPr>
          <w:trHeight w:val="283"/>
        </w:trPr>
        <w:tc>
          <w:tcPr>
            <w:tcW w:w="288" w:type="pct"/>
          </w:tcPr>
          <w:p w14:paraId="08C0E1D9" w14:textId="4EBCD118" w:rsidR="004D7551" w:rsidRPr="00265264" w:rsidRDefault="004D7551" w:rsidP="00102423">
            <w:pPr>
              <w:autoSpaceDE w:val="0"/>
              <w:autoSpaceDN w:val="0"/>
              <w:adjustRightInd w:val="0"/>
              <w:spacing w:after="0"/>
              <w:ind w:left="39"/>
              <w:jc w:val="center"/>
              <w:rPr>
                <w:rFonts w:cs="Calibri"/>
                <w:color w:val="000000"/>
                <w:sz w:val="18"/>
              </w:rPr>
            </w:pPr>
            <w:r w:rsidRPr="002A434A">
              <w:rPr>
                <w:rFonts w:cs="Calibri"/>
                <w:color w:val="000000"/>
                <w:sz w:val="18"/>
              </w:rPr>
              <w:t>1</w:t>
            </w:r>
          </w:p>
        </w:tc>
        <w:tc>
          <w:tcPr>
            <w:tcW w:w="2607" w:type="pct"/>
            <w:noWrap/>
          </w:tcPr>
          <w:p w14:paraId="6AA4E68B" w14:textId="77777777" w:rsidR="004D7551" w:rsidRPr="00265264" w:rsidRDefault="004D7551" w:rsidP="00102423">
            <w:pPr>
              <w:autoSpaceDE w:val="0"/>
              <w:autoSpaceDN w:val="0"/>
              <w:adjustRightInd w:val="0"/>
              <w:spacing w:after="0"/>
              <w:rPr>
                <w:rFonts w:cs="Calibri"/>
                <w:color w:val="000000"/>
                <w:sz w:val="18"/>
              </w:rPr>
            </w:pPr>
            <w:r w:rsidRPr="00265264">
              <w:rPr>
                <w:rFonts w:cs="Calibri"/>
                <w:color w:val="000000"/>
                <w:sz w:val="18"/>
              </w:rPr>
              <w:t xml:space="preserve">Introduction to </w:t>
            </w:r>
            <w:r w:rsidRPr="002A434A">
              <w:rPr>
                <w:rFonts w:cs="Calibri"/>
                <w:color w:val="000000"/>
                <w:sz w:val="18"/>
              </w:rPr>
              <w:t>HCH</w:t>
            </w:r>
          </w:p>
        </w:tc>
        <w:tc>
          <w:tcPr>
            <w:tcW w:w="701" w:type="pct"/>
            <w:noWrap/>
          </w:tcPr>
          <w:p w14:paraId="532D62D9" w14:textId="77777777" w:rsidR="004D7551" w:rsidRPr="00265264" w:rsidRDefault="004D7551" w:rsidP="00102423">
            <w:pPr>
              <w:autoSpaceDE w:val="0"/>
              <w:autoSpaceDN w:val="0"/>
              <w:adjustRightInd w:val="0"/>
              <w:spacing w:after="0"/>
              <w:jc w:val="center"/>
              <w:rPr>
                <w:rFonts w:cs="Calibri"/>
                <w:color w:val="000000"/>
                <w:sz w:val="18"/>
              </w:rPr>
            </w:pPr>
            <w:r w:rsidRPr="00265264">
              <w:rPr>
                <w:rFonts w:cs="Calibri"/>
                <w:color w:val="000000"/>
                <w:sz w:val="18"/>
              </w:rPr>
              <w:t>955</w:t>
            </w:r>
          </w:p>
        </w:tc>
        <w:tc>
          <w:tcPr>
            <w:tcW w:w="701" w:type="pct"/>
          </w:tcPr>
          <w:p w14:paraId="0F35FE72" w14:textId="77777777" w:rsidR="004D7551" w:rsidRPr="00265264" w:rsidRDefault="004D7551" w:rsidP="00102423">
            <w:pPr>
              <w:autoSpaceDE w:val="0"/>
              <w:autoSpaceDN w:val="0"/>
              <w:adjustRightInd w:val="0"/>
              <w:spacing w:after="0"/>
              <w:ind w:right="81"/>
              <w:jc w:val="center"/>
              <w:rPr>
                <w:rFonts w:cs="Calibri"/>
                <w:color w:val="000000"/>
                <w:sz w:val="18"/>
              </w:rPr>
            </w:pPr>
            <w:r w:rsidRPr="00265264">
              <w:rPr>
                <w:rFonts w:cs="Calibri"/>
                <w:color w:val="000000"/>
                <w:sz w:val="18"/>
              </w:rPr>
              <w:t>748</w:t>
            </w:r>
          </w:p>
        </w:tc>
        <w:tc>
          <w:tcPr>
            <w:tcW w:w="702" w:type="pct"/>
          </w:tcPr>
          <w:p w14:paraId="256F0633" w14:textId="77777777" w:rsidR="004D7551" w:rsidRPr="002A434A" w:rsidRDefault="004D7551" w:rsidP="00102423">
            <w:pPr>
              <w:autoSpaceDE w:val="0"/>
              <w:autoSpaceDN w:val="0"/>
              <w:adjustRightInd w:val="0"/>
              <w:spacing w:after="0"/>
              <w:ind w:right="81"/>
              <w:jc w:val="center"/>
              <w:rPr>
                <w:rFonts w:cs="Calibri"/>
                <w:color w:val="000000"/>
                <w:sz w:val="18"/>
              </w:rPr>
            </w:pPr>
            <w:r w:rsidRPr="002A434A">
              <w:rPr>
                <w:rFonts w:cs="Calibri"/>
                <w:color w:val="000000"/>
                <w:sz w:val="18"/>
              </w:rPr>
              <w:t>78%</w:t>
            </w:r>
          </w:p>
        </w:tc>
      </w:tr>
      <w:tr w:rsidR="004D7551" w:rsidRPr="002A434A" w14:paraId="248A6708" w14:textId="77777777" w:rsidTr="004054D3">
        <w:trPr>
          <w:trHeight w:val="283"/>
        </w:trPr>
        <w:tc>
          <w:tcPr>
            <w:tcW w:w="288" w:type="pct"/>
          </w:tcPr>
          <w:p w14:paraId="50399692" w14:textId="0B51C41C" w:rsidR="004D7551" w:rsidRPr="00265264" w:rsidRDefault="004D7551" w:rsidP="00102423">
            <w:pPr>
              <w:autoSpaceDE w:val="0"/>
              <w:autoSpaceDN w:val="0"/>
              <w:adjustRightInd w:val="0"/>
              <w:spacing w:after="0"/>
              <w:ind w:left="39"/>
              <w:jc w:val="center"/>
              <w:rPr>
                <w:rFonts w:cs="Calibri"/>
                <w:color w:val="000000"/>
                <w:sz w:val="18"/>
              </w:rPr>
            </w:pPr>
            <w:r w:rsidRPr="00265264">
              <w:rPr>
                <w:rFonts w:cs="Calibri"/>
                <w:color w:val="000000"/>
                <w:sz w:val="18"/>
              </w:rPr>
              <w:t>2</w:t>
            </w:r>
          </w:p>
        </w:tc>
        <w:tc>
          <w:tcPr>
            <w:tcW w:w="2607" w:type="pct"/>
            <w:noWrap/>
          </w:tcPr>
          <w:p w14:paraId="4C524E88" w14:textId="5ADD26C2" w:rsidR="004D7551" w:rsidRPr="00265264" w:rsidRDefault="004D7551" w:rsidP="00102423">
            <w:pPr>
              <w:autoSpaceDE w:val="0"/>
              <w:autoSpaceDN w:val="0"/>
              <w:adjustRightInd w:val="0"/>
              <w:spacing w:after="0"/>
              <w:rPr>
                <w:rFonts w:cs="Calibri"/>
                <w:color w:val="000000"/>
                <w:sz w:val="18"/>
              </w:rPr>
            </w:pPr>
            <w:r w:rsidRPr="00265264">
              <w:rPr>
                <w:rFonts w:cs="Calibri"/>
                <w:color w:val="000000"/>
                <w:sz w:val="18"/>
              </w:rPr>
              <w:t>Engaged leadership</w:t>
            </w:r>
          </w:p>
        </w:tc>
        <w:tc>
          <w:tcPr>
            <w:tcW w:w="701" w:type="pct"/>
            <w:noWrap/>
          </w:tcPr>
          <w:p w14:paraId="0C9B9C0A" w14:textId="77777777" w:rsidR="004D7551" w:rsidRPr="00265264" w:rsidRDefault="004D7551" w:rsidP="00102423">
            <w:pPr>
              <w:autoSpaceDE w:val="0"/>
              <w:autoSpaceDN w:val="0"/>
              <w:adjustRightInd w:val="0"/>
              <w:spacing w:after="0"/>
              <w:jc w:val="center"/>
              <w:rPr>
                <w:rFonts w:cs="Calibri"/>
                <w:color w:val="000000"/>
                <w:sz w:val="18"/>
              </w:rPr>
            </w:pPr>
            <w:r w:rsidRPr="00265264">
              <w:rPr>
                <w:rFonts w:cs="Calibri"/>
                <w:color w:val="000000"/>
                <w:sz w:val="18"/>
              </w:rPr>
              <w:t>621</w:t>
            </w:r>
          </w:p>
        </w:tc>
        <w:tc>
          <w:tcPr>
            <w:tcW w:w="701" w:type="pct"/>
          </w:tcPr>
          <w:p w14:paraId="48BDDCEF" w14:textId="77777777" w:rsidR="004D7551" w:rsidRPr="00265264" w:rsidRDefault="004D7551" w:rsidP="00102423">
            <w:pPr>
              <w:autoSpaceDE w:val="0"/>
              <w:autoSpaceDN w:val="0"/>
              <w:adjustRightInd w:val="0"/>
              <w:spacing w:after="0"/>
              <w:ind w:right="81"/>
              <w:jc w:val="center"/>
              <w:rPr>
                <w:rFonts w:cs="Calibri"/>
                <w:color w:val="000000"/>
                <w:sz w:val="18"/>
              </w:rPr>
            </w:pPr>
            <w:r w:rsidRPr="00265264">
              <w:rPr>
                <w:rFonts w:cs="Calibri"/>
                <w:color w:val="000000"/>
                <w:sz w:val="18"/>
              </w:rPr>
              <w:t>470</w:t>
            </w:r>
          </w:p>
        </w:tc>
        <w:tc>
          <w:tcPr>
            <w:tcW w:w="702" w:type="pct"/>
          </w:tcPr>
          <w:p w14:paraId="36D1AA98" w14:textId="77777777" w:rsidR="004D7551" w:rsidRPr="002A434A" w:rsidRDefault="004D7551" w:rsidP="00102423">
            <w:pPr>
              <w:autoSpaceDE w:val="0"/>
              <w:autoSpaceDN w:val="0"/>
              <w:adjustRightInd w:val="0"/>
              <w:spacing w:after="0"/>
              <w:ind w:right="81"/>
              <w:jc w:val="center"/>
              <w:rPr>
                <w:rFonts w:cs="Calibri"/>
                <w:color w:val="000000"/>
                <w:sz w:val="18"/>
              </w:rPr>
            </w:pPr>
            <w:r w:rsidRPr="002A434A">
              <w:rPr>
                <w:rFonts w:cs="Calibri"/>
                <w:color w:val="000000"/>
                <w:sz w:val="18"/>
              </w:rPr>
              <w:t>76%</w:t>
            </w:r>
          </w:p>
        </w:tc>
      </w:tr>
      <w:tr w:rsidR="004D7551" w:rsidRPr="002A434A" w14:paraId="1A824D4E" w14:textId="77777777" w:rsidTr="004054D3">
        <w:trPr>
          <w:trHeight w:val="283"/>
        </w:trPr>
        <w:tc>
          <w:tcPr>
            <w:tcW w:w="288" w:type="pct"/>
          </w:tcPr>
          <w:p w14:paraId="6C9F6144" w14:textId="7124D058" w:rsidR="004D7551" w:rsidRPr="00265264" w:rsidRDefault="004D7551" w:rsidP="00102423">
            <w:pPr>
              <w:autoSpaceDE w:val="0"/>
              <w:autoSpaceDN w:val="0"/>
              <w:adjustRightInd w:val="0"/>
              <w:spacing w:after="0"/>
              <w:ind w:left="39"/>
              <w:jc w:val="center"/>
              <w:rPr>
                <w:rFonts w:cs="Calibri"/>
                <w:color w:val="000000"/>
                <w:sz w:val="18"/>
              </w:rPr>
            </w:pPr>
            <w:r w:rsidRPr="00265264">
              <w:rPr>
                <w:rFonts w:cs="Calibri"/>
                <w:color w:val="000000"/>
                <w:sz w:val="18"/>
              </w:rPr>
              <w:t>3</w:t>
            </w:r>
          </w:p>
        </w:tc>
        <w:tc>
          <w:tcPr>
            <w:tcW w:w="2607" w:type="pct"/>
            <w:noWrap/>
          </w:tcPr>
          <w:p w14:paraId="396352DB" w14:textId="2C59A114" w:rsidR="004D7551" w:rsidRPr="00265264" w:rsidRDefault="004D7551" w:rsidP="00102423">
            <w:pPr>
              <w:autoSpaceDE w:val="0"/>
              <w:autoSpaceDN w:val="0"/>
              <w:adjustRightInd w:val="0"/>
              <w:spacing w:after="0"/>
              <w:rPr>
                <w:rFonts w:cs="Calibri"/>
                <w:color w:val="000000"/>
                <w:sz w:val="18"/>
              </w:rPr>
            </w:pPr>
            <w:r w:rsidRPr="00265264">
              <w:rPr>
                <w:rFonts w:cs="Calibri"/>
                <w:color w:val="000000"/>
                <w:sz w:val="18"/>
              </w:rPr>
              <w:t>Patient enrolment and payment processes</w:t>
            </w:r>
          </w:p>
        </w:tc>
        <w:tc>
          <w:tcPr>
            <w:tcW w:w="701" w:type="pct"/>
            <w:noWrap/>
          </w:tcPr>
          <w:p w14:paraId="326E7DCA" w14:textId="77777777" w:rsidR="004D7551" w:rsidRPr="00265264" w:rsidRDefault="004D7551" w:rsidP="00102423">
            <w:pPr>
              <w:autoSpaceDE w:val="0"/>
              <w:autoSpaceDN w:val="0"/>
              <w:adjustRightInd w:val="0"/>
              <w:spacing w:after="0"/>
              <w:jc w:val="center"/>
              <w:rPr>
                <w:rFonts w:cs="Calibri"/>
                <w:color w:val="000000"/>
                <w:sz w:val="18"/>
              </w:rPr>
            </w:pPr>
            <w:r w:rsidRPr="00265264">
              <w:rPr>
                <w:rFonts w:cs="Calibri"/>
                <w:color w:val="000000"/>
                <w:sz w:val="18"/>
              </w:rPr>
              <w:t>520</w:t>
            </w:r>
          </w:p>
        </w:tc>
        <w:tc>
          <w:tcPr>
            <w:tcW w:w="701" w:type="pct"/>
          </w:tcPr>
          <w:p w14:paraId="53DC8D3E" w14:textId="77777777" w:rsidR="004D7551" w:rsidRPr="00265264" w:rsidRDefault="004D7551" w:rsidP="00102423">
            <w:pPr>
              <w:autoSpaceDE w:val="0"/>
              <w:autoSpaceDN w:val="0"/>
              <w:adjustRightInd w:val="0"/>
              <w:spacing w:after="0"/>
              <w:ind w:right="81"/>
              <w:jc w:val="center"/>
              <w:rPr>
                <w:rFonts w:cs="Calibri"/>
                <w:color w:val="000000"/>
                <w:sz w:val="18"/>
              </w:rPr>
            </w:pPr>
            <w:r w:rsidRPr="00265264">
              <w:rPr>
                <w:rFonts w:cs="Calibri"/>
                <w:color w:val="000000"/>
                <w:sz w:val="18"/>
              </w:rPr>
              <w:t>447</w:t>
            </w:r>
          </w:p>
        </w:tc>
        <w:tc>
          <w:tcPr>
            <w:tcW w:w="702" w:type="pct"/>
          </w:tcPr>
          <w:p w14:paraId="4F235BB7" w14:textId="77777777" w:rsidR="004D7551" w:rsidRPr="002A434A" w:rsidRDefault="004D7551" w:rsidP="00102423">
            <w:pPr>
              <w:autoSpaceDE w:val="0"/>
              <w:autoSpaceDN w:val="0"/>
              <w:adjustRightInd w:val="0"/>
              <w:spacing w:after="0"/>
              <w:ind w:right="81"/>
              <w:jc w:val="center"/>
              <w:rPr>
                <w:rFonts w:cs="Calibri"/>
                <w:color w:val="000000"/>
                <w:sz w:val="18"/>
              </w:rPr>
            </w:pPr>
            <w:r w:rsidRPr="002A434A">
              <w:rPr>
                <w:rFonts w:cs="Calibri"/>
                <w:color w:val="000000"/>
                <w:sz w:val="18"/>
              </w:rPr>
              <w:t>86%</w:t>
            </w:r>
          </w:p>
        </w:tc>
      </w:tr>
      <w:tr w:rsidR="004D7551" w:rsidRPr="002A434A" w14:paraId="61CDACCD" w14:textId="77777777" w:rsidTr="004054D3">
        <w:trPr>
          <w:trHeight w:val="283"/>
        </w:trPr>
        <w:tc>
          <w:tcPr>
            <w:tcW w:w="288" w:type="pct"/>
          </w:tcPr>
          <w:p w14:paraId="13DC6A4D" w14:textId="05853F55" w:rsidR="004D7551" w:rsidRPr="00265264" w:rsidRDefault="004D7551" w:rsidP="00102423">
            <w:pPr>
              <w:autoSpaceDE w:val="0"/>
              <w:autoSpaceDN w:val="0"/>
              <w:adjustRightInd w:val="0"/>
              <w:spacing w:after="0"/>
              <w:ind w:left="39"/>
              <w:jc w:val="center"/>
              <w:rPr>
                <w:rFonts w:cs="Calibri"/>
                <w:color w:val="000000"/>
                <w:sz w:val="18"/>
              </w:rPr>
            </w:pPr>
            <w:r w:rsidRPr="00265264">
              <w:rPr>
                <w:rFonts w:cs="Calibri"/>
                <w:color w:val="000000"/>
                <w:sz w:val="18"/>
              </w:rPr>
              <w:t>4</w:t>
            </w:r>
          </w:p>
        </w:tc>
        <w:tc>
          <w:tcPr>
            <w:tcW w:w="2607" w:type="pct"/>
            <w:noWrap/>
          </w:tcPr>
          <w:p w14:paraId="09E6D1F6" w14:textId="63DB42CB" w:rsidR="004D7551" w:rsidRPr="00265264" w:rsidRDefault="004D7551" w:rsidP="00102423">
            <w:pPr>
              <w:autoSpaceDE w:val="0"/>
              <w:autoSpaceDN w:val="0"/>
              <w:adjustRightInd w:val="0"/>
              <w:spacing w:after="0"/>
              <w:rPr>
                <w:rFonts w:cs="Calibri"/>
                <w:color w:val="000000"/>
                <w:sz w:val="18"/>
              </w:rPr>
            </w:pPr>
            <w:r w:rsidRPr="00265264">
              <w:rPr>
                <w:rFonts w:cs="Calibri"/>
                <w:color w:val="000000"/>
                <w:sz w:val="18"/>
              </w:rPr>
              <w:t>Data driven improvement</w:t>
            </w:r>
          </w:p>
        </w:tc>
        <w:tc>
          <w:tcPr>
            <w:tcW w:w="701" w:type="pct"/>
            <w:noWrap/>
          </w:tcPr>
          <w:p w14:paraId="77117081" w14:textId="77777777" w:rsidR="004D7551" w:rsidRPr="00265264" w:rsidRDefault="004D7551" w:rsidP="00102423">
            <w:pPr>
              <w:autoSpaceDE w:val="0"/>
              <w:autoSpaceDN w:val="0"/>
              <w:adjustRightInd w:val="0"/>
              <w:spacing w:after="0"/>
              <w:jc w:val="center"/>
              <w:rPr>
                <w:rFonts w:cs="Calibri"/>
                <w:color w:val="000000"/>
                <w:sz w:val="18"/>
              </w:rPr>
            </w:pPr>
            <w:r w:rsidRPr="00265264">
              <w:rPr>
                <w:rFonts w:cs="Calibri"/>
                <w:color w:val="000000"/>
                <w:sz w:val="18"/>
              </w:rPr>
              <w:t>412</w:t>
            </w:r>
          </w:p>
        </w:tc>
        <w:tc>
          <w:tcPr>
            <w:tcW w:w="701" w:type="pct"/>
          </w:tcPr>
          <w:p w14:paraId="7315F028" w14:textId="77777777" w:rsidR="004D7551" w:rsidRPr="00265264" w:rsidRDefault="004D7551" w:rsidP="00102423">
            <w:pPr>
              <w:autoSpaceDE w:val="0"/>
              <w:autoSpaceDN w:val="0"/>
              <w:adjustRightInd w:val="0"/>
              <w:spacing w:after="0"/>
              <w:ind w:right="81"/>
              <w:jc w:val="center"/>
              <w:rPr>
                <w:rFonts w:cs="Calibri"/>
                <w:color w:val="000000"/>
                <w:sz w:val="18"/>
              </w:rPr>
            </w:pPr>
            <w:r w:rsidRPr="00265264">
              <w:rPr>
                <w:rFonts w:cs="Calibri"/>
                <w:color w:val="000000"/>
                <w:sz w:val="18"/>
              </w:rPr>
              <w:t>348</w:t>
            </w:r>
          </w:p>
        </w:tc>
        <w:tc>
          <w:tcPr>
            <w:tcW w:w="702" w:type="pct"/>
          </w:tcPr>
          <w:p w14:paraId="2BAB32EE" w14:textId="77777777" w:rsidR="004D7551" w:rsidRPr="002A434A" w:rsidRDefault="004D7551" w:rsidP="00102423">
            <w:pPr>
              <w:autoSpaceDE w:val="0"/>
              <w:autoSpaceDN w:val="0"/>
              <w:adjustRightInd w:val="0"/>
              <w:spacing w:after="0"/>
              <w:ind w:right="81"/>
              <w:jc w:val="center"/>
              <w:rPr>
                <w:rFonts w:cs="Calibri"/>
                <w:color w:val="000000"/>
                <w:sz w:val="18"/>
              </w:rPr>
            </w:pPr>
            <w:r w:rsidRPr="002A434A">
              <w:rPr>
                <w:rFonts w:cs="Calibri"/>
                <w:color w:val="000000"/>
                <w:sz w:val="18"/>
              </w:rPr>
              <w:t>84%</w:t>
            </w:r>
          </w:p>
        </w:tc>
      </w:tr>
      <w:tr w:rsidR="004D7551" w:rsidRPr="002A434A" w14:paraId="22EC7A8C" w14:textId="77777777" w:rsidTr="004054D3">
        <w:trPr>
          <w:trHeight w:val="283"/>
        </w:trPr>
        <w:tc>
          <w:tcPr>
            <w:tcW w:w="288" w:type="pct"/>
          </w:tcPr>
          <w:p w14:paraId="2A6B143C" w14:textId="6D9E584F" w:rsidR="004D7551" w:rsidRPr="00265264" w:rsidRDefault="004D7551" w:rsidP="00102423">
            <w:pPr>
              <w:autoSpaceDE w:val="0"/>
              <w:autoSpaceDN w:val="0"/>
              <w:adjustRightInd w:val="0"/>
              <w:spacing w:after="0"/>
              <w:ind w:left="39" w:right="6"/>
              <w:jc w:val="center"/>
              <w:rPr>
                <w:rFonts w:cs="Calibri"/>
                <w:color w:val="000000"/>
                <w:sz w:val="18"/>
              </w:rPr>
            </w:pPr>
            <w:r w:rsidRPr="00265264">
              <w:rPr>
                <w:rFonts w:cs="Calibri"/>
                <w:color w:val="000000"/>
                <w:sz w:val="18"/>
              </w:rPr>
              <w:t>5</w:t>
            </w:r>
          </w:p>
        </w:tc>
        <w:tc>
          <w:tcPr>
            <w:tcW w:w="2607" w:type="pct"/>
            <w:noWrap/>
          </w:tcPr>
          <w:p w14:paraId="68F3FA84" w14:textId="6EAEC47C" w:rsidR="004D7551" w:rsidRPr="00265264" w:rsidRDefault="004D7551" w:rsidP="00102423">
            <w:pPr>
              <w:autoSpaceDE w:val="0"/>
              <w:autoSpaceDN w:val="0"/>
              <w:adjustRightInd w:val="0"/>
              <w:spacing w:after="0"/>
              <w:rPr>
                <w:rFonts w:cs="Calibri"/>
                <w:color w:val="000000"/>
                <w:sz w:val="18"/>
              </w:rPr>
            </w:pPr>
            <w:r w:rsidRPr="00265264">
              <w:rPr>
                <w:rFonts w:cs="Calibri"/>
                <w:color w:val="000000"/>
                <w:sz w:val="18"/>
              </w:rPr>
              <w:t>Team-based care</w:t>
            </w:r>
          </w:p>
        </w:tc>
        <w:tc>
          <w:tcPr>
            <w:tcW w:w="701" w:type="pct"/>
            <w:noWrap/>
          </w:tcPr>
          <w:p w14:paraId="72DE870C" w14:textId="77777777" w:rsidR="004D7551" w:rsidRPr="00265264" w:rsidRDefault="004D7551" w:rsidP="00102423">
            <w:pPr>
              <w:autoSpaceDE w:val="0"/>
              <w:autoSpaceDN w:val="0"/>
              <w:adjustRightInd w:val="0"/>
              <w:spacing w:after="0"/>
              <w:jc w:val="center"/>
              <w:rPr>
                <w:rFonts w:cs="Calibri"/>
                <w:color w:val="000000"/>
                <w:sz w:val="18"/>
              </w:rPr>
            </w:pPr>
            <w:r w:rsidRPr="00265264">
              <w:rPr>
                <w:rFonts w:cs="Calibri"/>
                <w:color w:val="000000"/>
                <w:sz w:val="18"/>
              </w:rPr>
              <w:t>374</w:t>
            </w:r>
          </w:p>
        </w:tc>
        <w:tc>
          <w:tcPr>
            <w:tcW w:w="701" w:type="pct"/>
          </w:tcPr>
          <w:p w14:paraId="5DEFC32E" w14:textId="77777777" w:rsidR="004D7551" w:rsidRPr="00265264" w:rsidRDefault="004D7551" w:rsidP="00102423">
            <w:pPr>
              <w:autoSpaceDE w:val="0"/>
              <w:autoSpaceDN w:val="0"/>
              <w:adjustRightInd w:val="0"/>
              <w:spacing w:after="0"/>
              <w:ind w:right="81"/>
              <w:jc w:val="center"/>
              <w:rPr>
                <w:rFonts w:cs="Calibri"/>
                <w:color w:val="000000"/>
                <w:sz w:val="18"/>
              </w:rPr>
            </w:pPr>
            <w:r w:rsidRPr="00265264">
              <w:rPr>
                <w:rFonts w:cs="Calibri"/>
                <w:color w:val="000000"/>
                <w:sz w:val="18"/>
              </w:rPr>
              <w:t>321</w:t>
            </w:r>
          </w:p>
        </w:tc>
        <w:tc>
          <w:tcPr>
            <w:tcW w:w="702" w:type="pct"/>
          </w:tcPr>
          <w:p w14:paraId="521FA43C" w14:textId="77777777" w:rsidR="004D7551" w:rsidRPr="002A434A" w:rsidRDefault="004D7551" w:rsidP="00102423">
            <w:pPr>
              <w:autoSpaceDE w:val="0"/>
              <w:autoSpaceDN w:val="0"/>
              <w:adjustRightInd w:val="0"/>
              <w:spacing w:after="0"/>
              <w:ind w:right="81"/>
              <w:jc w:val="center"/>
              <w:rPr>
                <w:rFonts w:cs="Calibri"/>
                <w:color w:val="000000"/>
                <w:sz w:val="18"/>
              </w:rPr>
            </w:pPr>
            <w:r w:rsidRPr="002A434A">
              <w:rPr>
                <w:rFonts w:cs="Calibri"/>
                <w:color w:val="000000"/>
                <w:sz w:val="18"/>
              </w:rPr>
              <w:t>86%</w:t>
            </w:r>
          </w:p>
        </w:tc>
      </w:tr>
      <w:tr w:rsidR="004D7551" w:rsidRPr="002A434A" w14:paraId="2CA0D233" w14:textId="77777777" w:rsidTr="004054D3">
        <w:trPr>
          <w:trHeight w:val="283"/>
        </w:trPr>
        <w:tc>
          <w:tcPr>
            <w:tcW w:w="288" w:type="pct"/>
          </w:tcPr>
          <w:p w14:paraId="65262426" w14:textId="41B4B791" w:rsidR="004D7551" w:rsidRPr="00265264" w:rsidRDefault="004D7551" w:rsidP="00102423">
            <w:pPr>
              <w:autoSpaceDE w:val="0"/>
              <w:autoSpaceDN w:val="0"/>
              <w:adjustRightInd w:val="0"/>
              <w:spacing w:after="0"/>
              <w:ind w:left="39" w:right="6"/>
              <w:jc w:val="center"/>
              <w:rPr>
                <w:rFonts w:cs="Calibri"/>
                <w:color w:val="000000"/>
                <w:sz w:val="18"/>
              </w:rPr>
            </w:pPr>
            <w:r w:rsidRPr="00265264">
              <w:rPr>
                <w:rFonts w:cs="Calibri"/>
                <w:color w:val="000000"/>
                <w:sz w:val="18"/>
              </w:rPr>
              <w:t>6</w:t>
            </w:r>
          </w:p>
        </w:tc>
        <w:tc>
          <w:tcPr>
            <w:tcW w:w="2607" w:type="pct"/>
            <w:noWrap/>
          </w:tcPr>
          <w:p w14:paraId="0345B71A" w14:textId="4CF30C84" w:rsidR="004D7551" w:rsidRPr="00265264" w:rsidRDefault="004D7551" w:rsidP="00102423">
            <w:pPr>
              <w:autoSpaceDE w:val="0"/>
              <w:autoSpaceDN w:val="0"/>
              <w:adjustRightInd w:val="0"/>
              <w:spacing w:after="0"/>
              <w:rPr>
                <w:rFonts w:cs="Calibri"/>
                <w:color w:val="000000"/>
                <w:sz w:val="18"/>
              </w:rPr>
            </w:pPr>
            <w:r w:rsidRPr="00265264">
              <w:rPr>
                <w:rFonts w:cs="Calibri"/>
                <w:color w:val="000000"/>
                <w:sz w:val="18"/>
              </w:rPr>
              <w:t>Developing and implementing the Shared Care Plan</w:t>
            </w:r>
          </w:p>
        </w:tc>
        <w:tc>
          <w:tcPr>
            <w:tcW w:w="701" w:type="pct"/>
            <w:noWrap/>
          </w:tcPr>
          <w:p w14:paraId="248E0623" w14:textId="77777777" w:rsidR="004D7551" w:rsidRPr="00265264" w:rsidRDefault="004D7551" w:rsidP="00102423">
            <w:pPr>
              <w:autoSpaceDE w:val="0"/>
              <w:autoSpaceDN w:val="0"/>
              <w:adjustRightInd w:val="0"/>
              <w:spacing w:after="0"/>
              <w:jc w:val="center"/>
              <w:rPr>
                <w:rFonts w:cs="Calibri"/>
                <w:color w:val="000000"/>
                <w:sz w:val="18"/>
              </w:rPr>
            </w:pPr>
            <w:r w:rsidRPr="00265264">
              <w:rPr>
                <w:rFonts w:cs="Calibri"/>
                <w:color w:val="000000"/>
                <w:sz w:val="18"/>
              </w:rPr>
              <w:t>312</w:t>
            </w:r>
          </w:p>
        </w:tc>
        <w:tc>
          <w:tcPr>
            <w:tcW w:w="701" w:type="pct"/>
          </w:tcPr>
          <w:p w14:paraId="778E2E34" w14:textId="77777777" w:rsidR="004D7551" w:rsidRPr="00265264" w:rsidRDefault="004D7551" w:rsidP="00102423">
            <w:pPr>
              <w:autoSpaceDE w:val="0"/>
              <w:autoSpaceDN w:val="0"/>
              <w:adjustRightInd w:val="0"/>
              <w:spacing w:after="0"/>
              <w:ind w:right="81"/>
              <w:jc w:val="center"/>
              <w:rPr>
                <w:rFonts w:cs="Calibri"/>
                <w:color w:val="000000"/>
                <w:sz w:val="18"/>
              </w:rPr>
            </w:pPr>
            <w:r w:rsidRPr="00265264">
              <w:rPr>
                <w:rFonts w:cs="Calibri"/>
                <w:color w:val="000000"/>
                <w:sz w:val="18"/>
              </w:rPr>
              <w:t>273</w:t>
            </w:r>
          </w:p>
        </w:tc>
        <w:tc>
          <w:tcPr>
            <w:tcW w:w="702" w:type="pct"/>
          </w:tcPr>
          <w:p w14:paraId="248F684B" w14:textId="77777777" w:rsidR="004D7551" w:rsidRPr="002A434A" w:rsidRDefault="004D7551" w:rsidP="00102423">
            <w:pPr>
              <w:autoSpaceDE w:val="0"/>
              <w:autoSpaceDN w:val="0"/>
              <w:adjustRightInd w:val="0"/>
              <w:spacing w:after="0"/>
              <w:ind w:right="81"/>
              <w:jc w:val="center"/>
              <w:rPr>
                <w:rFonts w:cs="Calibri"/>
                <w:color w:val="000000"/>
                <w:sz w:val="18"/>
              </w:rPr>
            </w:pPr>
            <w:r w:rsidRPr="002A434A">
              <w:rPr>
                <w:rFonts w:cs="Calibri"/>
                <w:color w:val="000000"/>
                <w:sz w:val="18"/>
              </w:rPr>
              <w:t>88%</w:t>
            </w:r>
          </w:p>
        </w:tc>
      </w:tr>
      <w:tr w:rsidR="004D7551" w:rsidRPr="002A434A" w14:paraId="794796D3" w14:textId="77777777" w:rsidTr="004054D3">
        <w:trPr>
          <w:trHeight w:val="283"/>
        </w:trPr>
        <w:tc>
          <w:tcPr>
            <w:tcW w:w="288" w:type="pct"/>
          </w:tcPr>
          <w:p w14:paraId="30ACB6E9" w14:textId="233411CD" w:rsidR="004D7551" w:rsidRPr="00265264" w:rsidRDefault="004D7551" w:rsidP="00102423">
            <w:pPr>
              <w:autoSpaceDE w:val="0"/>
              <w:autoSpaceDN w:val="0"/>
              <w:adjustRightInd w:val="0"/>
              <w:spacing w:after="0"/>
              <w:ind w:left="39" w:right="6"/>
              <w:jc w:val="center"/>
              <w:rPr>
                <w:rFonts w:cs="Calibri"/>
                <w:color w:val="000000"/>
                <w:sz w:val="18"/>
              </w:rPr>
            </w:pPr>
            <w:r w:rsidRPr="00265264">
              <w:rPr>
                <w:rFonts w:cs="Calibri"/>
                <w:color w:val="000000"/>
                <w:sz w:val="18"/>
              </w:rPr>
              <w:t>7</w:t>
            </w:r>
          </w:p>
        </w:tc>
        <w:tc>
          <w:tcPr>
            <w:tcW w:w="2607" w:type="pct"/>
            <w:noWrap/>
          </w:tcPr>
          <w:p w14:paraId="6CF1CDF3" w14:textId="1F9BA3E4" w:rsidR="004D7551" w:rsidRPr="00265264" w:rsidRDefault="004D7551" w:rsidP="00102423">
            <w:pPr>
              <w:autoSpaceDE w:val="0"/>
              <w:autoSpaceDN w:val="0"/>
              <w:adjustRightInd w:val="0"/>
              <w:spacing w:after="0"/>
              <w:rPr>
                <w:rFonts w:cs="Calibri"/>
                <w:color w:val="000000"/>
                <w:sz w:val="18"/>
              </w:rPr>
            </w:pPr>
            <w:r w:rsidRPr="00265264">
              <w:rPr>
                <w:rFonts w:cs="Calibri"/>
                <w:color w:val="000000"/>
                <w:sz w:val="18"/>
              </w:rPr>
              <w:t>Patient-team partnership</w:t>
            </w:r>
          </w:p>
        </w:tc>
        <w:tc>
          <w:tcPr>
            <w:tcW w:w="701" w:type="pct"/>
            <w:noWrap/>
          </w:tcPr>
          <w:p w14:paraId="1376E428" w14:textId="77777777" w:rsidR="004D7551" w:rsidRPr="00265264" w:rsidRDefault="004D7551" w:rsidP="00102423">
            <w:pPr>
              <w:autoSpaceDE w:val="0"/>
              <w:autoSpaceDN w:val="0"/>
              <w:adjustRightInd w:val="0"/>
              <w:spacing w:after="0"/>
              <w:jc w:val="center"/>
              <w:rPr>
                <w:rFonts w:cs="Calibri"/>
                <w:color w:val="000000"/>
                <w:sz w:val="18"/>
              </w:rPr>
            </w:pPr>
            <w:r w:rsidRPr="00265264">
              <w:rPr>
                <w:rFonts w:cs="Calibri"/>
                <w:color w:val="000000"/>
                <w:sz w:val="18"/>
              </w:rPr>
              <w:t>270</w:t>
            </w:r>
          </w:p>
        </w:tc>
        <w:tc>
          <w:tcPr>
            <w:tcW w:w="701" w:type="pct"/>
          </w:tcPr>
          <w:p w14:paraId="531B9631" w14:textId="77777777" w:rsidR="004D7551" w:rsidRPr="00265264" w:rsidRDefault="004D7551" w:rsidP="00102423">
            <w:pPr>
              <w:autoSpaceDE w:val="0"/>
              <w:autoSpaceDN w:val="0"/>
              <w:adjustRightInd w:val="0"/>
              <w:spacing w:after="0"/>
              <w:ind w:right="81"/>
              <w:jc w:val="center"/>
              <w:rPr>
                <w:rFonts w:cs="Calibri"/>
                <w:color w:val="000000"/>
                <w:sz w:val="18"/>
              </w:rPr>
            </w:pPr>
            <w:r w:rsidRPr="00265264">
              <w:rPr>
                <w:rFonts w:cs="Calibri"/>
                <w:color w:val="000000"/>
                <w:sz w:val="18"/>
              </w:rPr>
              <w:t>228</w:t>
            </w:r>
          </w:p>
        </w:tc>
        <w:tc>
          <w:tcPr>
            <w:tcW w:w="702" w:type="pct"/>
          </w:tcPr>
          <w:p w14:paraId="645DB076" w14:textId="77777777" w:rsidR="004D7551" w:rsidRPr="002A434A" w:rsidRDefault="004D7551" w:rsidP="00102423">
            <w:pPr>
              <w:autoSpaceDE w:val="0"/>
              <w:autoSpaceDN w:val="0"/>
              <w:adjustRightInd w:val="0"/>
              <w:spacing w:after="0"/>
              <w:ind w:right="81"/>
              <w:jc w:val="center"/>
              <w:rPr>
                <w:rFonts w:cs="Calibri"/>
                <w:color w:val="000000"/>
                <w:sz w:val="18"/>
              </w:rPr>
            </w:pPr>
            <w:r w:rsidRPr="002A434A">
              <w:rPr>
                <w:rFonts w:cs="Calibri"/>
                <w:color w:val="000000"/>
                <w:sz w:val="18"/>
              </w:rPr>
              <w:t>84%</w:t>
            </w:r>
          </w:p>
        </w:tc>
      </w:tr>
      <w:tr w:rsidR="004D7551" w:rsidRPr="002A434A" w14:paraId="4E7FA003" w14:textId="77777777" w:rsidTr="004054D3">
        <w:trPr>
          <w:trHeight w:val="283"/>
        </w:trPr>
        <w:tc>
          <w:tcPr>
            <w:tcW w:w="288" w:type="pct"/>
          </w:tcPr>
          <w:p w14:paraId="4A721570" w14:textId="30EB2112" w:rsidR="004D7551" w:rsidRPr="00265264" w:rsidRDefault="004D7551" w:rsidP="00102423">
            <w:pPr>
              <w:autoSpaceDE w:val="0"/>
              <w:autoSpaceDN w:val="0"/>
              <w:adjustRightInd w:val="0"/>
              <w:spacing w:after="0"/>
              <w:ind w:left="39" w:right="6"/>
              <w:jc w:val="center"/>
              <w:rPr>
                <w:rFonts w:cs="Calibri"/>
                <w:color w:val="000000"/>
                <w:sz w:val="18"/>
              </w:rPr>
            </w:pPr>
            <w:r w:rsidRPr="00265264">
              <w:rPr>
                <w:rFonts w:cs="Calibri"/>
                <w:color w:val="000000"/>
                <w:sz w:val="18"/>
              </w:rPr>
              <w:t>8</w:t>
            </w:r>
          </w:p>
        </w:tc>
        <w:tc>
          <w:tcPr>
            <w:tcW w:w="2607" w:type="pct"/>
            <w:noWrap/>
          </w:tcPr>
          <w:p w14:paraId="15AD3C09" w14:textId="6E9F0823" w:rsidR="004D7551" w:rsidRPr="00265264" w:rsidRDefault="004D7551" w:rsidP="00102423">
            <w:pPr>
              <w:autoSpaceDE w:val="0"/>
              <w:autoSpaceDN w:val="0"/>
              <w:adjustRightInd w:val="0"/>
              <w:spacing w:after="0"/>
              <w:rPr>
                <w:rFonts w:cs="Calibri"/>
                <w:color w:val="000000"/>
                <w:sz w:val="18"/>
              </w:rPr>
            </w:pPr>
            <w:r w:rsidRPr="00265264">
              <w:rPr>
                <w:rFonts w:cs="Calibri"/>
                <w:color w:val="000000"/>
                <w:sz w:val="18"/>
              </w:rPr>
              <w:t>Comprehensive and coordinated care</w:t>
            </w:r>
          </w:p>
        </w:tc>
        <w:tc>
          <w:tcPr>
            <w:tcW w:w="701" w:type="pct"/>
            <w:noWrap/>
          </w:tcPr>
          <w:p w14:paraId="31E4F0A6" w14:textId="77777777" w:rsidR="004D7551" w:rsidRPr="00265264" w:rsidRDefault="004D7551" w:rsidP="00102423">
            <w:pPr>
              <w:autoSpaceDE w:val="0"/>
              <w:autoSpaceDN w:val="0"/>
              <w:adjustRightInd w:val="0"/>
              <w:spacing w:after="0"/>
              <w:jc w:val="center"/>
              <w:rPr>
                <w:rFonts w:cs="Calibri"/>
                <w:color w:val="000000"/>
                <w:sz w:val="18"/>
              </w:rPr>
            </w:pPr>
            <w:r w:rsidRPr="00265264">
              <w:rPr>
                <w:rFonts w:cs="Calibri"/>
                <w:color w:val="000000"/>
                <w:sz w:val="18"/>
              </w:rPr>
              <w:t>235</w:t>
            </w:r>
          </w:p>
        </w:tc>
        <w:tc>
          <w:tcPr>
            <w:tcW w:w="701" w:type="pct"/>
          </w:tcPr>
          <w:p w14:paraId="36F0DFCE" w14:textId="77777777" w:rsidR="004D7551" w:rsidRPr="00265264" w:rsidRDefault="004D7551" w:rsidP="00102423">
            <w:pPr>
              <w:autoSpaceDE w:val="0"/>
              <w:autoSpaceDN w:val="0"/>
              <w:adjustRightInd w:val="0"/>
              <w:spacing w:after="0"/>
              <w:ind w:right="81"/>
              <w:jc w:val="center"/>
              <w:rPr>
                <w:rFonts w:cs="Calibri"/>
                <w:color w:val="000000"/>
                <w:sz w:val="18"/>
              </w:rPr>
            </w:pPr>
            <w:r w:rsidRPr="00265264">
              <w:rPr>
                <w:rFonts w:cs="Calibri"/>
                <w:color w:val="000000"/>
                <w:sz w:val="18"/>
              </w:rPr>
              <w:t>198</w:t>
            </w:r>
          </w:p>
        </w:tc>
        <w:tc>
          <w:tcPr>
            <w:tcW w:w="702" w:type="pct"/>
          </w:tcPr>
          <w:p w14:paraId="51C6B0F6" w14:textId="77777777" w:rsidR="004D7551" w:rsidRPr="002A434A" w:rsidRDefault="004D7551" w:rsidP="00102423">
            <w:pPr>
              <w:autoSpaceDE w:val="0"/>
              <w:autoSpaceDN w:val="0"/>
              <w:adjustRightInd w:val="0"/>
              <w:spacing w:after="0"/>
              <w:ind w:right="81"/>
              <w:jc w:val="center"/>
              <w:rPr>
                <w:rFonts w:cs="Calibri"/>
                <w:color w:val="000000"/>
                <w:sz w:val="18"/>
              </w:rPr>
            </w:pPr>
            <w:r w:rsidRPr="002A434A">
              <w:rPr>
                <w:rFonts w:cs="Calibri"/>
                <w:color w:val="000000"/>
                <w:sz w:val="18"/>
              </w:rPr>
              <w:t>84%</w:t>
            </w:r>
          </w:p>
        </w:tc>
      </w:tr>
      <w:tr w:rsidR="004D7551" w:rsidRPr="002A434A" w14:paraId="00E65D99" w14:textId="77777777" w:rsidTr="004054D3">
        <w:trPr>
          <w:trHeight w:val="283"/>
        </w:trPr>
        <w:tc>
          <w:tcPr>
            <w:tcW w:w="288" w:type="pct"/>
          </w:tcPr>
          <w:p w14:paraId="112A7A58" w14:textId="5983CDF3" w:rsidR="004D7551" w:rsidRPr="00265264" w:rsidRDefault="004D7551" w:rsidP="00102423">
            <w:pPr>
              <w:autoSpaceDE w:val="0"/>
              <w:autoSpaceDN w:val="0"/>
              <w:adjustRightInd w:val="0"/>
              <w:spacing w:after="0"/>
              <w:ind w:left="39" w:right="6"/>
              <w:jc w:val="center"/>
              <w:rPr>
                <w:rFonts w:cs="Calibri"/>
                <w:color w:val="000000"/>
                <w:sz w:val="18"/>
              </w:rPr>
            </w:pPr>
            <w:r w:rsidRPr="00265264">
              <w:rPr>
                <w:rFonts w:cs="Calibri"/>
                <w:color w:val="000000"/>
                <w:sz w:val="18"/>
              </w:rPr>
              <w:t>9</w:t>
            </w:r>
          </w:p>
        </w:tc>
        <w:tc>
          <w:tcPr>
            <w:tcW w:w="2607" w:type="pct"/>
            <w:noWrap/>
          </w:tcPr>
          <w:p w14:paraId="25A440FC" w14:textId="3080C5F6" w:rsidR="004D7551" w:rsidRPr="00265264" w:rsidRDefault="004D7551" w:rsidP="00102423">
            <w:pPr>
              <w:autoSpaceDE w:val="0"/>
              <w:autoSpaceDN w:val="0"/>
              <w:adjustRightInd w:val="0"/>
              <w:spacing w:after="0"/>
              <w:rPr>
                <w:rFonts w:cs="Calibri"/>
                <w:color w:val="000000"/>
                <w:sz w:val="18"/>
              </w:rPr>
            </w:pPr>
            <w:r w:rsidRPr="00265264">
              <w:rPr>
                <w:rFonts w:cs="Calibri"/>
                <w:color w:val="000000"/>
                <w:sz w:val="18"/>
              </w:rPr>
              <w:t>Prompt access to care</w:t>
            </w:r>
          </w:p>
        </w:tc>
        <w:tc>
          <w:tcPr>
            <w:tcW w:w="701" w:type="pct"/>
            <w:noWrap/>
          </w:tcPr>
          <w:p w14:paraId="295DD42C" w14:textId="77777777" w:rsidR="004D7551" w:rsidRPr="00265264" w:rsidRDefault="004D7551" w:rsidP="00102423">
            <w:pPr>
              <w:autoSpaceDE w:val="0"/>
              <w:autoSpaceDN w:val="0"/>
              <w:adjustRightInd w:val="0"/>
              <w:spacing w:after="0"/>
              <w:jc w:val="center"/>
              <w:rPr>
                <w:rFonts w:cs="Calibri"/>
                <w:color w:val="000000"/>
                <w:sz w:val="18"/>
              </w:rPr>
            </w:pPr>
            <w:r w:rsidRPr="00265264">
              <w:rPr>
                <w:rFonts w:cs="Calibri"/>
                <w:color w:val="000000"/>
                <w:sz w:val="18"/>
              </w:rPr>
              <w:t>213</w:t>
            </w:r>
          </w:p>
        </w:tc>
        <w:tc>
          <w:tcPr>
            <w:tcW w:w="701" w:type="pct"/>
          </w:tcPr>
          <w:p w14:paraId="0FA1608C" w14:textId="77777777" w:rsidR="004D7551" w:rsidRPr="00265264" w:rsidRDefault="004D7551" w:rsidP="00102423">
            <w:pPr>
              <w:autoSpaceDE w:val="0"/>
              <w:autoSpaceDN w:val="0"/>
              <w:adjustRightInd w:val="0"/>
              <w:spacing w:after="0"/>
              <w:ind w:right="81"/>
              <w:jc w:val="center"/>
              <w:rPr>
                <w:rFonts w:cs="Calibri"/>
                <w:color w:val="000000"/>
                <w:sz w:val="18"/>
              </w:rPr>
            </w:pPr>
            <w:r w:rsidRPr="00265264">
              <w:rPr>
                <w:rFonts w:cs="Calibri"/>
                <w:color w:val="000000"/>
                <w:sz w:val="18"/>
              </w:rPr>
              <w:t>189</w:t>
            </w:r>
          </w:p>
        </w:tc>
        <w:tc>
          <w:tcPr>
            <w:tcW w:w="702" w:type="pct"/>
          </w:tcPr>
          <w:p w14:paraId="3D01960E" w14:textId="77777777" w:rsidR="004D7551" w:rsidRPr="002A434A" w:rsidRDefault="004D7551" w:rsidP="00102423">
            <w:pPr>
              <w:autoSpaceDE w:val="0"/>
              <w:autoSpaceDN w:val="0"/>
              <w:adjustRightInd w:val="0"/>
              <w:spacing w:after="0"/>
              <w:ind w:right="81"/>
              <w:jc w:val="center"/>
              <w:rPr>
                <w:rFonts w:cs="Calibri"/>
                <w:color w:val="000000"/>
                <w:sz w:val="18"/>
              </w:rPr>
            </w:pPr>
            <w:r w:rsidRPr="002A434A">
              <w:rPr>
                <w:rFonts w:cs="Calibri"/>
                <w:color w:val="000000"/>
                <w:sz w:val="18"/>
              </w:rPr>
              <w:t>89%</w:t>
            </w:r>
          </w:p>
        </w:tc>
      </w:tr>
      <w:tr w:rsidR="004D7551" w:rsidRPr="002A434A" w14:paraId="6BB1439C" w14:textId="77777777" w:rsidTr="004054D3">
        <w:trPr>
          <w:trHeight w:val="283"/>
        </w:trPr>
        <w:tc>
          <w:tcPr>
            <w:tcW w:w="288" w:type="pct"/>
          </w:tcPr>
          <w:p w14:paraId="20A16723" w14:textId="57372A4F" w:rsidR="004D7551" w:rsidRPr="00265264" w:rsidRDefault="004D7551" w:rsidP="00102423">
            <w:pPr>
              <w:autoSpaceDE w:val="0"/>
              <w:autoSpaceDN w:val="0"/>
              <w:adjustRightInd w:val="0"/>
              <w:spacing w:after="0"/>
              <w:ind w:left="39" w:right="6"/>
              <w:jc w:val="center"/>
              <w:rPr>
                <w:rFonts w:cs="Calibri"/>
                <w:color w:val="000000"/>
                <w:sz w:val="18"/>
              </w:rPr>
            </w:pPr>
            <w:r w:rsidRPr="00265264">
              <w:rPr>
                <w:rFonts w:cs="Calibri"/>
                <w:color w:val="000000"/>
                <w:sz w:val="18"/>
              </w:rPr>
              <w:t>10</w:t>
            </w:r>
          </w:p>
        </w:tc>
        <w:tc>
          <w:tcPr>
            <w:tcW w:w="2607" w:type="pct"/>
            <w:noWrap/>
          </w:tcPr>
          <w:p w14:paraId="6AFE782A" w14:textId="7A5EFE86" w:rsidR="004D7551" w:rsidRPr="00265264" w:rsidRDefault="004D7551" w:rsidP="00102423">
            <w:pPr>
              <w:autoSpaceDE w:val="0"/>
              <w:autoSpaceDN w:val="0"/>
              <w:adjustRightInd w:val="0"/>
              <w:spacing w:after="0"/>
              <w:rPr>
                <w:rFonts w:cs="Calibri"/>
                <w:color w:val="000000"/>
                <w:sz w:val="18"/>
              </w:rPr>
            </w:pPr>
            <w:r w:rsidRPr="00265264">
              <w:rPr>
                <w:rFonts w:cs="Calibri"/>
                <w:color w:val="000000"/>
                <w:sz w:val="18"/>
              </w:rPr>
              <w:t>Population management</w:t>
            </w:r>
          </w:p>
        </w:tc>
        <w:tc>
          <w:tcPr>
            <w:tcW w:w="701" w:type="pct"/>
            <w:noWrap/>
          </w:tcPr>
          <w:p w14:paraId="3F54CF6B" w14:textId="77777777" w:rsidR="004D7551" w:rsidRPr="00265264" w:rsidRDefault="004D7551" w:rsidP="00102423">
            <w:pPr>
              <w:autoSpaceDE w:val="0"/>
              <w:autoSpaceDN w:val="0"/>
              <w:adjustRightInd w:val="0"/>
              <w:spacing w:after="0"/>
              <w:jc w:val="center"/>
              <w:rPr>
                <w:rFonts w:cs="Calibri"/>
                <w:color w:val="000000"/>
                <w:sz w:val="18"/>
              </w:rPr>
            </w:pPr>
            <w:r w:rsidRPr="00265264">
              <w:rPr>
                <w:rFonts w:cs="Calibri"/>
                <w:color w:val="000000"/>
                <w:sz w:val="18"/>
              </w:rPr>
              <w:t>194</w:t>
            </w:r>
          </w:p>
        </w:tc>
        <w:tc>
          <w:tcPr>
            <w:tcW w:w="701" w:type="pct"/>
          </w:tcPr>
          <w:p w14:paraId="33A60A2C" w14:textId="77777777" w:rsidR="004D7551" w:rsidRPr="00265264" w:rsidRDefault="004D7551" w:rsidP="00102423">
            <w:pPr>
              <w:autoSpaceDE w:val="0"/>
              <w:autoSpaceDN w:val="0"/>
              <w:adjustRightInd w:val="0"/>
              <w:spacing w:after="0"/>
              <w:ind w:right="81"/>
              <w:jc w:val="center"/>
              <w:rPr>
                <w:rFonts w:cs="Calibri"/>
                <w:color w:val="000000"/>
                <w:sz w:val="18"/>
              </w:rPr>
            </w:pPr>
            <w:r w:rsidRPr="00265264">
              <w:rPr>
                <w:rFonts w:cs="Calibri"/>
                <w:color w:val="000000"/>
                <w:sz w:val="18"/>
              </w:rPr>
              <w:t>161</w:t>
            </w:r>
          </w:p>
        </w:tc>
        <w:tc>
          <w:tcPr>
            <w:tcW w:w="702" w:type="pct"/>
          </w:tcPr>
          <w:p w14:paraId="03E10CB6" w14:textId="77777777" w:rsidR="004D7551" w:rsidRPr="002A434A" w:rsidRDefault="004D7551" w:rsidP="00102423">
            <w:pPr>
              <w:autoSpaceDE w:val="0"/>
              <w:autoSpaceDN w:val="0"/>
              <w:adjustRightInd w:val="0"/>
              <w:spacing w:after="0"/>
              <w:ind w:right="81"/>
              <w:jc w:val="center"/>
              <w:rPr>
                <w:rFonts w:cs="Calibri"/>
                <w:color w:val="000000"/>
                <w:sz w:val="18"/>
              </w:rPr>
            </w:pPr>
            <w:r w:rsidRPr="002A434A">
              <w:rPr>
                <w:rFonts w:cs="Calibri"/>
                <w:color w:val="000000"/>
                <w:sz w:val="18"/>
              </w:rPr>
              <w:t>83%</w:t>
            </w:r>
          </w:p>
        </w:tc>
      </w:tr>
      <w:tr w:rsidR="004D7551" w:rsidRPr="002A434A" w14:paraId="07756DC3" w14:textId="77777777" w:rsidTr="004054D3">
        <w:trPr>
          <w:trHeight w:val="283"/>
        </w:trPr>
        <w:tc>
          <w:tcPr>
            <w:tcW w:w="288" w:type="pct"/>
          </w:tcPr>
          <w:p w14:paraId="0A7B98EF" w14:textId="2957551D" w:rsidR="004D7551" w:rsidRPr="00265264" w:rsidRDefault="004D7551" w:rsidP="00102423">
            <w:pPr>
              <w:autoSpaceDE w:val="0"/>
              <w:autoSpaceDN w:val="0"/>
              <w:adjustRightInd w:val="0"/>
              <w:spacing w:after="0"/>
              <w:ind w:left="39" w:right="6"/>
              <w:jc w:val="center"/>
              <w:rPr>
                <w:rFonts w:cs="Calibri"/>
                <w:color w:val="000000"/>
                <w:sz w:val="18"/>
              </w:rPr>
            </w:pPr>
            <w:r w:rsidRPr="00265264">
              <w:rPr>
                <w:rFonts w:cs="Calibri"/>
                <w:color w:val="000000"/>
                <w:sz w:val="18"/>
              </w:rPr>
              <w:t>11</w:t>
            </w:r>
          </w:p>
        </w:tc>
        <w:tc>
          <w:tcPr>
            <w:tcW w:w="2607" w:type="pct"/>
            <w:noWrap/>
          </w:tcPr>
          <w:p w14:paraId="42A6B39C" w14:textId="16690BE2" w:rsidR="004D7551" w:rsidRPr="00265264" w:rsidRDefault="004D7551" w:rsidP="00102423">
            <w:pPr>
              <w:autoSpaceDE w:val="0"/>
              <w:autoSpaceDN w:val="0"/>
              <w:adjustRightInd w:val="0"/>
              <w:spacing w:after="0"/>
              <w:rPr>
                <w:rFonts w:cs="Calibri"/>
                <w:color w:val="000000"/>
                <w:sz w:val="18"/>
              </w:rPr>
            </w:pPr>
            <w:r w:rsidRPr="00265264">
              <w:rPr>
                <w:rFonts w:cs="Calibri"/>
                <w:color w:val="000000"/>
                <w:sz w:val="18"/>
              </w:rPr>
              <w:t>Quality primary care into the future</w:t>
            </w:r>
          </w:p>
        </w:tc>
        <w:tc>
          <w:tcPr>
            <w:tcW w:w="701" w:type="pct"/>
            <w:noWrap/>
          </w:tcPr>
          <w:p w14:paraId="104536A6" w14:textId="77777777" w:rsidR="004D7551" w:rsidRPr="00265264" w:rsidRDefault="004D7551" w:rsidP="00102423">
            <w:pPr>
              <w:autoSpaceDE w:val="0"/>
              <w:autoSpaceDN w:val="0"/>
              <w:adjustRightInd w:val="0"/>
              <w:spacing w:after="0"/>
              <w:jc w:val="center"/>
              <w:rPr>
                <w:rFonts w:cs="Calibri"/>
                <w:color w:val="000000"/>
                <w:sz w:val="18"/>
              </w:rPr>
            </w:pPr>
            <w:r w:rsidRPr="00265264">
              <w:rPr>
                <w:rFonts w:cs="Calibri"/>
                <w:color w:val="000000"/>
                <w:sz w:val="18"/>
              </w:rPr>
              <w:t>101</w:t>
            </w:r>
          </w:p>
        </w:tc>
        <w:tc>
          <w:tcPr>
            <w:tcW w:w="701" w:type="pct"/>
          </w:tcPr>
          <w:p w14:paraId="4A4E4303" w14:textId="77777777" w:rsidR="004D7551" w:rsidRPr="00265264" w:rsidRDefault="004D7551" w:rsidP="00102423">
            <w:pPr>
              <w:autoSpaceDE w:val="0"/>
              <w:autoSpaceDN w:val="0"/>
              <w:adjustRightInd w:val="0"/>
              <w:spacing w:after="0"/>
              <w:ind w:right="81"/>
              <w:jc w:val="center"/>
              <w:rPr>
                <w:rFonts w:cs="Calibri"/>
                <w:color w:val="000000"/>
                <w:sz w:val="18"/>
              </w:rPr>
            </w:pPr>
            <w:r w:rsidRPr="00265264">
              <w:rPr>
                <w:rFonts w:cs="Calibri"/>
                <w:color w:val="000000"/>
                <w:sz w:val="18"/>
              </w:rPr>
              <w:t>78</w:t>
            </w:r>
          </w:p>
        </w:tc>
        <w:tc>
          <w:tcPr>
            <w:tcW w:w="702" w:type="pct"/>
          </w:tcPr>
          <w:p w14:paraId="376DB996" w14:textId="77777777" w:rsidR="004D7551" w:rsidRPr="002A434A" w:rsidRDefault="004D7551" w:rsidP="00102423">
            <w:pPr>
              <w:autoSpaceDE w:val="0"/>
              <w:autoSpaceDN w:val="0"/>
              <w:adjustRightInd w:val="0"/>
              <w:spacing w:after="0"/>
              <w:ind w:right="81"/>
              <w:jc w:val="center"/>
              <w:rPr>
                <w:rFonts w:cs="Calibri"/>
                <w:color w:val="000000"/>
                <w:sz w:val="18"/>
              </w:rPr>
            </w:pPr>
            <w:r w:rsidRPr="002A434A">
              <w:rPr>
                <w:rFonts w:cs="Calibri"/>
                <w:color w:val="000000"/>
                <w:sz w:val="18"/>
              </w:rPr>
              <w:t>77%</w:t>
            </w:r>
          </w:p>
        </w:tc>
      </w:tr>
    </w:tbl>
    <w:p w14:paraId="3F008325" w14:textId="31417C43" w:rsidR="004D7551" w:rsidRPr="001B56A0" w:rsidRDefault="004D7551" w:rsidP="002534A9">
      <w:pPr>
        <w:pStyle w:val="Chartortablefootnote"/>
        <w:spacing w:after="0"/>
      </w:pPr>
      <w:r w:rsidRPr="001B56A0">
        <w:t xml:space="preserve">Notes: </w:t>
      </w:r>
      <w:r w:rsidR="0002675D" w:rsidRPr="0002675D">
        <w:rPr>
          <w:vertAlign w:val="superscript"/>
        </w:rPr>
        <w:t>1</w:t>
      </w:r>
      <w:r w:rsidRPr="001B56A0">
        <w:t xml:space="preserve"> As at 6 September 2018.</w:t>
      </w:r>
    </w:p>
    <w:p w14:paraId="3848F307" w14:textId="067BC435" w:rsidR="002534A9" w:rsidRPr="001B56A0" w:rsidRDefault="002534A9" w:rsidP="004D7551">
      <w:pPr>
        <w:pStyle w:val="Chartortablefootnote"/>
      </w:pPr>
      <w:r w:rsidRPr="001B56A0">
        <w:t>Source: AGPAL, September 2018</w:t>
      </w:r>
      <w:r>
        <w:t>.</w:t>
      </w:r>
    </w:p>
    <w:p w14:paraId="11B3E9DA" w14:textId="6AEDC34C" w:rsidR="004D7551" w:rsidRDefault="004D7551" w:rsidP="004D7551">
      <w:r>
        <w:t xml:space="preserve">Twenty-seven </w:t>
      </w:r>
      <w:r w:rsidRPr="00E84795">
        <w:t xml:space="preserve">GPs and 57 nurses completed the foundation modules (1 to 4), and 10 GPs and 11 </w:t>
      </w:r>
      <w:r w:rsidRPr="00AE37CC">
        <w:t>nurses completed the implementation modules (5</w:t>
      </w:r>
      <w:r w:rsidR="005F0D88">
        <w:t xml:space="preserve"> to </w:t>
      </w:r>
      <w:r w:rsidRPr="00AE37CC">
        <w:t xml:space="preserve">11). </w:t>
      </w:r>
      <w:r>
        <w:t xml:space="preserve">Based on the staffing numbers received through the </w:t>
      </w:r>
      <w:r w:rsidR="000715F3">
        <w:t>round</w:t>
      </w:r>
      <w:r>
        <w:t xml:space="preserve"> 1 practice survey, the numbers completing the foundation modules represent</w:t>
      </w:r>
      <w:r w:rsidR="007B009F">
        <w:t>ed</w:t>
      </w:r>
      <w:r w:rsidRPr="00AE37CC">
        <w:t xml:space="preserve"> approximately 5% of the GPs participating in HCH and 9% of nurses</w:t>
      </w:r>
      <w:r w:rsidRPr="00E84795">
        <w:t xml:space="preserve">. </w:t>
      </w:r>
    </w:p>
    <w:p w14:paraId="3E1F07A5" w14:textId="3F8BB527" w:rsidR="004D7551" w:rsidRDefault="004D7551" w:rsidP="004D7551">
      <w:r w:rsidRPr="00E84795">
        <w:t>AGPAL</w:t>
      </w:r>
      <w:r>
        <w:t xml:space="preserve"> data indicate</w:t>
      </w:r>
      <w:r w:rsidR="00F30385">
        <w:t>d</w:t>
      </w:r>
      <w:r>
        <w:t xml:space="preserve"> </w:t>
      </w:r>
      <w:r w:rsidRPr="00E84795">
        <w:t xml:space="preserve">that individuals </w:t>
      </w:r>
      <w:r>
        <w:t xml:space="preserve">who </w:t>
      </w:r>
      <w:r w:rsidRPr="00E84795">
        <w:t>completed the modules reported improved understanding or confidence in the topic are</w:t>
      </w:r>
      <w:r>
        <w:t>a</w:t>
      </w:r>
      <w:r w:rsidRPr="00E84795">
        <w:t xml:space="preserve"> following </w:t>
      </w:r>
      <w:r w:rsidR="00927E5A">
        <w:t>c</w:t>
      </w:r>
      <w:r w:rsidRPr="00E84795">
        <w:t>ompletion.</w:t>
      </w:r>
    </w:p>
    <w:p w14:paraId="4775084D" w14:textId="31494482" w:rsidR="00335CB4" w:rsidRDefault="004814E0" w:rsidP="004D7551">
      <w:r>
        <w:rPr>
          <w:rFonts w:eastAsia="Times New Roman"/>
          <w:iCs/>
          <w:szCs w:val="20"/>
        </w:rPr>
        <w:t>Through the practice survey</w:t>
      </w:r>
      <w:r w:rsidR="0005066F">
        <w:rPr>
          <w:rFonts w:eastAsia="Times New Roman"/>
          <w:iCs/>
          <w:szCs w:val="20"/>
        </w:rPr>
        <w:t xml:space="preserve"> undertaken for the evaluation</w:t>
      </w:r>
      <w:r>
        <w:rPr>
          <w:rFonts w:eastAsia="Times New Roman"/>
          <w:iCs/>
          <w:szCs w:val="20"/>
        </w:rPr>
        <w:t>, m</w:t>
      </w:r>
      <w:r>
        <w:t>ost p</w:t>
      </w:r>
      <w:r w:rsidR="004D7551">
        <w:t xml:space="preserve">ractices rated </w:t>
      </w:r>
      <w:r>
        <w:t>the modules as “</w:t>
      </w:r>
      <w:r w:rsidR="0005066F">
        <w:t>m</w:t>
      </w:r>
      <w:r>
        <w:t xml:space="preserve">oderately effective” </w:t>
      </w:r>
      <w:r w:rsidR="005C78A2">
        <w:t>for</w:t>
      </w:r>
      <w:r w:rsidR="00B40151" w:rsidRPr="00B40151">
        <w:t xml:space="preserve"> prepar</w:t>
      </w:r>
      <w:r w:rsidR="00B40151">
        <w:t xml:space="preserve">ing them for </w:t>
      </w:r>
      <w:r w:rsidR="00B40151" w:rsidRPr="00B40151">
        <w:t>implementing HCH</w:t>
      </w:r>
      <w:r>
        <w:t xml:space="preserve"> (</w:t>
      </w:r>
      <w:r w:rsidR="004D7551" w:rsidRPr="001018EB">
        <w:fldChar w:fldCharType="begin"/>
      </w:r>
      <w:r w:rsidR="004D7551" w:rsidRPr="001018EB">
        <w:instrText xml:space="preserve"> REF _Ref21026112 \h </w:instrText>
      </w:r>
      <w:r w:rsidR="00302D66" w:rsidRPr="001018EB">
        <w:instrText xml:space="preserve"> \* MERGEFORMAT </w:instrText>
      </w:r>
      <w:r w:rsidR="004D7551" w:rsidRPr="001018EB">
        <w:fldChar w:fldCharType="separate"/>
      </w:r>
      <w:r w:rsidR="003C4BC2">
        <w:t xml:space="preserve">Table </w:t>
      </w:r>
      <w:r w:rsidR="003C4BC2">
        <w:rPr>
          <w:noProof/>
        </w:rPr>
        <w:t>12</w:t>
      </w:r>
      <w:r w:rsidR="004D7551" w:rsidRPr="001018EB">
        <w:fldChar w:fldCharType="end"/>
      </w:r>
      <w:r>
        <w:t>).</w:t>
      </w:r>
    </w:p>
    <w:p w14:paraId="5B05D71D" w14:textId="77777777" w:rsidR="00335CB4" w:rsidRDefault="00335CB4">
      <w:pPr>
        <w:spacing w:after="160" w:line="259" w:lineRule="auto"/>
      </w:pPr>
      <w:r>
        <w:br w:type="page"/>
      </w:r>
    </w:p>
    <w:p w14:paraId="6FCC5720" w14:textId="09560848" w:rsidR="004D7551" w:rsidRDefault="004D7551" w:rsidP="006965F6">
      <w:pPr>
        <w:pStyle w:val="TableFigureheading"/>
      </w:pPr>
      <w:bookmarkStart w:id="96" w:name="_Ref21026112"/>
      <w:bookmarkStart w:id="97" w:name="_Hlk22642742"/>
      <w:r>
        <w:lastRenderedPageBreak/>
        <w:t xml:space="preserve">Table </w:t>
      </w:r>
      <w:r>
        <w:fldChar w:fldCharType="begin"/>
      </w:r>
      <w:r>
        <w:instrText>SEQ Table \* ARABIC</w:instrText>
      </w:r>
      <w:r>
        <w:fldChar w:fldCharType="separate"/>
      </w:r>
      <w:r w:rsidR="003C4BC2">
        <w:rPr>
          <w:noProof/>
        </w:rPr>
        <w:t>12</w:t>
      </w:r>
      <w:r>
        <w:fldChar w:fldCharType="end"/>
      </w:r>
      <w:bookmarkEnd w:id="96"/>
      <w:r w:rsidR="006965F6">
        <w:t>:</w:t>
      </w:r>
      <w:r>
        <w:t xml:space="preserve"> </w:t>
      </w:r>
      <w:r w:rsidR="004814E0">
        <w:t>Practice ratings of the e</w:t>
      </w:r>
      <w:r>
        <w:t>ffectiveness of the HCH online training modules</w:t>
      </w:r>
      <w:r w:rsidR="00712E58">
        <w:t xml:space="preserve"> </w:t>
      </w:r>
      <w:r w:rsidR="005C78A2">
        <w:t>for</w:t>
      </w:r>
      <w:r w:rsidR="00712E58">
        <w:t xml:space="preserve"> preparing the</w:t>
      </w:r>
      <w:r w:rsidR="00A32498">
        <w:t xml:space="preserve"> practice</w:t>
      </w:r>
      <w:r w:rsidR="00712E58">
        <w:t xml:space="preserve"> for implementation</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564"/>
        <w:gridCol w:w="1363"/>
        <w:gridCol w:w="1363"/>
        <w:gridCol w:w="1363"/>
        <w:gridCol w:w="1363"/>
      </w:tblGrid>
      <w:tr w:rsidR="006965F6" w:rsidRPr="00E27353" w14:paraId="574D9E40" w14:textId="77777777" w:rsidTr="002251A6">
        <w:trPr>
          <w:tblHeader/>
        </w:trPr>
        <w:tc>
          <w:tcPr>
            <w:tcW w:w="1976" w:type="pct"/>
            <w:shd w:val="clear" w:color="auto" w:fill="408BCA"/>
            <w:vAlign w:val="center"/>
          </w:tcPr>
          <w:bookmarkEnd w:id="97"/>
          <w:p w14:paraId="0D3748B6" w14:textId="77777777" w:rsidR="004D7551" w:rsidRPr="00E27353" w:rsidRDefault="004D7551" w:rsidP="00E27353">
            <w:pPr>
              <w:spacing w:before="20" w:after="20"/>
              <w:jc w:val="center"/>
              <w:rPr>
                <w:b/>
                <w:bCs/>
              </w:rPr>
            </w:pPr>
            <w:r w:rsidRPr="00E27353">
              <w:rPr>
                <w:rFonts w:eastAsia="Century Gothic" w:cs="Century Gothic"/>
                <w:b/>
                <w:bCs/>
                <w:color w:val="FFFFFF"/>
                <w:sz w:val="18"/>
              </w:rPr>
              <w:t>Module</w:t>
            </w:r>
          </w:p>
        </w:tc>
        <w:tc>
          <w:tcPr>
            <w:tcW w:w="756" w:type="pct"/>
            <w:shd w:val="clear" w:color="auto" w:fill="408BCA"/>
            <w:vAlign w:val="center"/>
          </w:tcPr>
          <w:p w14:paraId="1CED18C1" w14:textId="77777777" w:rsidR="004D7551" w:rsidRPr="00E27353" w:rsidRDefault="004D7551" w:rsidP="00E27353">
            <w:pPr>
              <w:spacing w:before="20" w:after="20"/>
              <w:jc w:val="center"/>
              <w:rPr>
                <w:b/>
                <w:bCs/>
              </w:rPr>
            </w:pPr>
            <w:r w:rsidRPr="00E27353">
              <w:rPr>
                <w:rFonts w:eastAsia="Century Gothic" w:cs="Century Gothic"/>
                <w:b/>
                <w:bCs/>
                <w:color w:val="FFFFFF"/>
                <w:sz w:val="18"/>
              </w:rPr>
              <w:t>Very effective</w:t>
            </w:r>
          </w:p>
        </w:tc>
        <w:tc>
          <w:tcPr>
            <w:tcW w:w="756" w:type="pct"/>
            <w:shd w:val="clear" w:color="auto" w:fill="408BCA"/>
            <w:vAlign w:val="center"/>
          </w:tcPr>
          <w:p w14:paraId="4EDB6527" w14:textId="77777777" w:rsidR="004D7551" w:rsidRPr="00E27353" w:rsidRDefault="004D7551" w:rsidP="00E27353">
            <w:pPr>
              <w:spacing w:before="20" w:after="20"/>
              <w:jc w:val="center"/>
              <w:rPr>
                <w:b/>
                <w:bCs/>
              </w:rPr>
            </w:pPr>
            <w:r w:rsidRPr="00E27353">
              <w:rPr>
                <w:rFonts w:eastAsia="Century Gothic" w:cs="Century Gothic"/>
                <w:b/>
                <w:bCs/>
                <w:color w:val="FFFFFF"/>
                <w:sz w:val="18"/>
              </w:rPr>
              <w:t>Moderately effective</w:t>
            </w:r>
          </w:p>
        </w:tc>
        <w:tc>
          <w:tcPr>
            <w:tcW w:w="756" w:type="pct"/>
            <w:shd w:val="clear" w:color="auto" w:fill="408BCA"/>
            <w:vAlign w:val="center"/>
          </w:tcPr>
          <w:p w14:paraId="51C4561E" w14:textId="77777777" w:rsidR="004D7551" w:rsidRPr="00E27353" w:rsidRDefault="004D7551" w:rsidP="00E27353">
            <w:pPr>
              <w:spacing w:before="20" w:after="20"/>
              <w:jc w:val="center"/>
              <w:rPr>
                <w:b/>
                <w:bCs/>
              </w:rPr>
            </w:pPr>
            <w:r w:rsidRPr="00E27353">
              <w:rPr>
                <w:rFonts w:eastAsia="Century Gothic" w:cs="Century Gothic"/>
                <w:b/>
                <w:bCs/>
                <w:color w:val="FFFFFF"/>
                <w:sz w:val="18"/>
              </w:rPr>
              <w:t>A little effective</w:t>
            </w:r>
          </w:p>
        </w:tc>
        <w:tc>
          <w:tcPr>
            <w:tcW w:w="756" w:type="pct"/>
            <w:shd w:val="clear" w:color="auto" w:fill="408BCA"/>
            <w:vAlign w:val="center"/>
          </w:tcPr>
          <w:p w14:paraId="7428ABA4" w14:textId="77777777" w:rsidR="004D7551" w:rsidRPr="00E27353" w:rsidRDefault="004D7551" w:rsidP="00E27353">
            <w:pPr>
              <w:spacing w:before="20" w:after="20"/>
              <w:jc w:val="center"/>
              <w:rPr>
                <w:b/>
                <w:bCs/>
              </w:rPr>
            </w:pPr>
            <w:r w:rsidRPr="00E27353">
              <w:rPr>
                <w:rFonts w:eastAsia="Century Gothic" w:cs="Century Gothic"/>
                <w:b/>
                <w:bCs/>
                <w:color w:val="FFFFFF"/>
                <w:sz w:val="18"/>
              </w:rPr>
              <w:t>Ineffective</w:t>
            </w:r>
          </w:p>
        </w:tc>
      </w:tr>
      <w:tr w:rsidR="006965F6" w14:paraId="25370EA9" w14:textId="77777777" w:rsidTr="004054D3">
        <w:tc>
          <w:tcPr>
            <w:tcW w:w="1976" w:type="pct"/>
          </w:tcPr>
          <w:p w14:paraId="57BCD7D6" w14:textId="7028E508" w:rsidR="004D7551" w:rsidRPr="00B674BD" w:rsidRDefault="004D7551" w:rsidP="000A5BA5">
            <w:pPr>
              <w:spacing w:before="20" w:after="20"/>
              <w:ind w:right="100"/>
            </w:pPr>
            <w:r w:rsidRPr="00B674BD">
              <w:rPr>
                <w:rFonts w:eastAsia="Century Gothic" w:cs="Century Gothic"/>
                <w:color w:val="000000"/>
                <w:sz w:val="18"/>
              </w:rPr>
              <w:t>1 Overview of the HCH model</w:t>
            </w:r>
          </w:p>
        </w:tc>
        <w:tc>
          <w:tcPr>
            <w:tcW w:w="756" w:type="pct"/>
          </w:tcPr>
          <w:p w14:paraId="02B11DBD" w14:textId="77777777" w:rsidR="004D7551" w:rsidRDefault="004D7551" w:rsidP="000A5BA5">
            <w:pPr>
              <w:spacing w:before="20" w:after="20"/>
              <w:ind w:left="100" w:right="100"/>
              <w:jc w:val="center"/>
            </w:pPr>
            <w:r>
              <w:rPr>
                <w:rFonts w:eastAsia="Century Gothic" w:cs="Century Gothic"/>
                <w:color w:val="000000"/>
                <w:sz w:val="18"/>
              </w:rPr>
              <w:t>12 (15.6%)</w:t>
            </w:r>
          </w:p>
        </w:tc>
        <w:tc>
          <w:tcPr>
            <w:tcW w:w="756" w:type="pct"/>
          </w:tcPr>
          <w:p w14:paraId="5FCE8BD6" w14:textId="77777777" w:rsidR="004D7551" w:rsidRDefault="004D7551" w:rsidP="000A5BA5">
            <w:pPr>
              <w:spacing w:before="20" w:after="20"/>
              <w:ind w:left="100" w:right="100"/>
              <w:jc w:val="center"/>
            </w:pPr>
            <w:r>
              <w:rPr>
                <w:rFonts w:eastAsia="Century Gothic" w:cs="Century Gothic"/>
                <w:color w:val="000000"/>
                <w:sz w:val="18"/>
              </w:rPr>
              <w:t>34 (44.2%)</w:t>
            </w:r>
          </w:p>
        </w:tc>
        <w:tc>
          <w:tcPr>
            <w:tcW w:w="756" w:type="pct"/>
          </w:tcPr>
          <w:p w14:paraId="11D78915" w14:textId="77777777" w:rsidR="004D7551" w:rsidRDefault="004D7551" w:rsidP="000A5BA5">
            <w:pPr>
              <w:spacing w:before="20" w:after="20"/>
              <w:ind w:left="100" w:right="100"/>
              <w:jc w:val="center"/>
            </w:pPr>
            <w:r>
              <w:rPr>
                <w:rFonts w:eastAsia="Century Gothic" w:cs="Century Gothic"/>
                <w:color w:val="000000"/>
                <w:sz w:val="18"/>
              </w:rPr>
              <w:t>23 (29.9%)</w:t>
            </w:r>
          </w:p>
        </w:tc>
        <w:tc>
          <w:tcPr>
            <w:tcW w:w="756" w:type="pct"/>
          </w:tcPr>
          <w:p w14:paraId="14B2AA2C" w14:textId="77777777" w:rsidR="004D7551" w:rsidRDefault="004D7551" w:rsidP="000A5BA5">
            <w:pPr>
              <w:spacing w:before="20" w:after="20"/>
              <w:ind w:left="100" w:right="100"/>
              <w:jc w:val="center"/>
            </w:pPr>
            <w:r>
              <w:rPr>
                <w:rFonts w:eastAsia="Century Gothic" w:cs="Century Gothic"/>
                <w:color w:val="000000"/>
                <w:sz w:val="18"/>
              </w:rPr>
              <w:t>8 (10.4%)</w:t>
            </w:r>
          </w:p>
        </w:tc>
      </w:tr>
      <w:tr w:rsidR="006965F6" w14:paraId="40BD3B3E" w14:textId="77777777" w:rsidTr="004054D3">
        <w:tc>
          <w:tcPr>
            <w:tcW w:w="1976" w:type="pct"/>
          </w:tcPr>
          <w:p w14:paraId="4C3A3778" w14:textId="0C2485AD" w:rsidR="004D7551" w:rsidRPr="00B674BD" w:rsidRDefault="004D7551" w:rsidP="000A5BA5">
            <w:pPr>
              <w:spacing w:before="20" w:after="20"/>
              <w:ind w:right="100"/>
            </w:pPr>
            <w:r w:rsidRPr="00B674BD">
              <w:rPr>
                <w:rFonts w:eastAsia="Century Gothic" w:cs="Century Gothic"/>
                <w:color w:val="000000"/>
                <w:sz w:val="18"/>
              </w:rPr>
              <w:t>2 Engaged leadership</w:t>
            </w:r>
          </w:p>
        </w:tc>
        <w:tc>
          <w:tcPr>
            <w:tcW w:w="756" w:type="pct"/>
          </w:tcPr>
          <w:p w14:paraId="706EDAC5" w14:textId="77777777" w:rsidR="004D7551" w:rsidRDefault="004D7551" w:rsidP="000A5BA5">
            <w:pPr>
              <w:spacing w:before="20" w:after="20"/>
              <w:ind w:left="100" w:right="100"/>
              <w:jc w:val="center"/>
            </w:pPr>
            <w:r>
              <w:rPr>
                <w:rFonts w:eastAsia="Century Gothic" w:cs="Century Gothic"/>
                <w:color w:val="000000"/>
                <w:sz w:val="18"/>
              </w:rPr>
              <w:t>11 (14.9%)</w:t>
            </w:r>
          </w:p>
        </w:tc>
        <w:tc>
          <w:tcPr>
            <w:tcW w:w="756" w:type="pct"/>
          </w:tcPr>
          <w:p w14:paraId="67CBB226" w14:textId="77777777" w:rsidR="004D7551" w:rsidRDefault="004D7551" w:rsidP="000A5BA5">
            <w:pPr>
              <w:spacing w:before="20" w:after="20"/>
              <w:ind w:left="100" w:right="100"/>
              <w:jc w:val="center"/>
            </w:pPr>
            <w:r>
              <w:rPr>
                <w:rFonts w:eastAsia="Century Gothic" w:cs="Century Gothic"/>
                <w:color w:val="000000"/>
                <w:sz w:val="18"/>
              </w:rPr>
              <w:t>32 (43.2%)</w:t>
            </w:r>
          </w:p>
        </w:tc>
        <w:tc>
          <w:tcPr>
            <w:tcW w:w="756" w:type="pct"/>
          </w:tcPr>
          <w:p w14:paraId="0C7E3BF1" w14:textId="77777777" w:rsidR="004D7551" w:rsidRDefault="004D7551" w:rsidP="000A5BA5">
            <w:pPr>
              <w:spacing w:before="20" w:after="20"/>
              <w:ind w:left="100" w:right="100"/>
              <w:jc w:val="center"/>
            </w:pPr>
            <w:r>
              <w:rPr>
                <w:rFonts w:eastAsia="Century Gothic" w:cs="Century Gothic"/>
                <w:color w:val="000000"/>
                <w:sz w:val="18"/>
              </w:rPr>
              <w:t>20 (27.0%)</w:t>
            </w:r>
          </w:p>
        </w:tc>
        <w:tc>
          <w:tcPr>
            <w:tcW w:w="756" w:type="pct"/>
          </w:tcPr>
          <w:p w14:paraId="61CE41C0" w14:textId="77777777" w:rsidR="004D7551" w:rsidRDefault="004D7551" w:rsidP="000A5BA5">
            <w:pPr>
              <w:spacing w:before="20" w:after="20"/>
              <w:ind w:left="100" w:right="100"/>
              <w:jc w:val="center"/>
            </w:pPr>
            <w:r>
              <w:rPr>
                <w:rFonts w:eastAsia="Century Gothic" w:cs="Century Gothic"/>
                <w:color w:val="000000"/>
                <w:sz w:val="18"/>
              </w:rPr>
              <w:t>11 (14.9%)</w:t>
            </w:r>
          </w:p>
        </w:tc>
      </w:tr>
      <w:tr w:rsidR="006965F6" w14:paraId="66862036" w14:textId="77777777" w:rsidTr="004054D3">
        <w:tc>
          <w:tcPr>
            <w:tcW w:w="1976" w:type="pct"/>
          </w:tcPr>
          <w:p w14:paraId="369680DB" w14:textId="6BDCAEA3" w:rsidR="004D7551" w:rsidRPr="00B674BD" w:rsidRDefault="004D7551" w:rsidP="000A5BA5">
            <w:pPr>
              <w:spacing w:before="20" w:after="20"/>
              <w:ind w:right="100"/>
            </w:pPr>
            <w:r w:rsidRPr="00B674BD">
              <w:rPr>
                <w:rFonts w:eastAsia="Century Gothic" w:cs="Century Gothic"/>
                <w:color w:val="000000"/>
                <w:sz w:val="18"/>
              </w:rPr>
              <w:t>3</w:t>
            </w:r>
            <w:r w:rsidR="004814E0">
              <w:rPr>
                <w:rFonts w:eastAsia="Century Gothic" w:cs="Century Gothic"/>
                <w:color w:val="000000"/>
                <w:sz w:val="18"/>
              </w:rPr>
              <w:t xml:space="preserve"> </w:t>
            </w:r>
            <w:r w:rsidRPr="00B674BD">
              <w:rPr>
                <w:rFonts w:eastAsia="Century Gothic" w:cs="Century Gothic"/>
                <w:color w:val="000000"/>
                <w:sz w:val="18"/>
              </w:rPr>
              <w:t>Patient enrolment (incl. risk stratification) and payment</w:t>
            </w:r>
          </w:p>
        </w:tc>
        <w:tc>
          <w:tcPr>
            <w:tcW w:w="756" w:type="pct"/>
          </w:tcPr>
          <w:p w14:paraId="46DA2867" w14:textId="77777777" w:rsidR="004D7551" w:rsidRDefault="004D7551" w:rsidP="000A5BA5">
            <w:pPr>
              <w:spacing w:before="20" w:after="20"/>
              <w:ind w:left="100" w:right="100"/>
              <w:jc w:val="center"/>
            </w:pPr>
            <w:r>
              <w:rPr>
                <w:rFonts w:eastAsia="Century Gothic" w:cs="Century Gothic"/>
                <w:color w:val="000000"/>
                <w:sz w:val="18"/>
              </w:rPr>
              <w:t>14 (18.9%)</w:t>
            </w:r>
          </w:p>
        </w:tc>
        <w:tc>
          <w:tcPr>
            <w:tcW w:w="756" w:type="pct"/>
          </w:tcPr>
          <w:p w14:paraId="3A4CBEE6" w14:textId="77777777" w:rsidR="004D7551" w:rsidRDefault="004D7551" w:rsidP="000A5BA5">
            <w:pPr>
              <w:spacing w:before="20" w:after="20"/>
              <w:ind w:left="100" w:right="100"/>
              <w:jc w:val="center"/>
            </w:pPr>
            <w:r>
              <w:rPr>
                <w:rFonts w:eastAsia="Century Gothic" w:cs="Century Gothic"/>
                <w:color w:val="000000"/>
                <w:sz w:val="18"/>
              </w:rPr>
              <w:t>31 (41.9%)</w:t>
            </w:r>
          </w:p>
        </w:tc>
        <w:tc>
          <w:tcPr>
            <w:tcW w:w="756" w:type="pct"/>
          </w:tcPr>
          <w:p w14:paraId="2D446256" w14:textId="77777777" w:rsidR="004D7551" w:rsidRDefault="004D7551" w:rsidP="000A5BA5">
            <w:pPr>
              <w:spacing w:before="20" w:after="20"/>
              <w:ind w:left="100" w:right="100"/>
              <w:jc w:val="center"/>
            </w:pPr>
            <w:r>
              <w:rPr>
                <w:rFonts w:eastAsia="Century Gothic" w:cs="Century Gothic"/>
                <w:color w:val="000000"/>
                <w:sz w:val="18"/>
              </w:rPr>
              <w:t>18 (24.3%)</w:t>
            </w:r>
          </w:p>
        </w:tc>
        <w:tc>
          <w:tcPr>
            <w:tcW w:w="756" w:type="pct"/>
          </w:tcPr>
          <w:p w14:paraId="337D3C7C" w14:textId="77777777" w:rsidR="004D7551" w:rsidRDefault="004D7551" w:rsidP="000A5BA5">
            <w:pPr>
              <w:spacing w:before="20" w:after="20"/>
              <w:ind w:left="100" w:right="100"/>
              <w:jc w:val="center"/>
            </w:pPr>
            <w:r>
              <w:rPr>
                <w:rFonts w:eastAsia="Century Gothic" w:cs="Century Gothic"/>
                <w:color w:val="000000"/>
                <w:sz w:val="18"/>
              </w:rPr>
              <w:t>11 (14.9%)</w:t>
            </w:r>
          </w:p>
        </w:tc>
      </w:tr>
      <w:tr w:rsidR="006965F6" w14:paraId="11DB016E" w14:textId="77777777" w:rsidTr="004054D3">
        <w:tc>
          <w:tcPr>
            <w:tcW w:w="1976" w:type="pct"/>
          </w:tcPr>
          <w:p w14:paraId="428E962D" w14:textId="2FB3EE2C" w:rsidR="004D7551" w:rsidRPr="00B674BD" w:rsidRDefault="004D7551" w:rsidP="000A5BA5">
            <w:pPr>
              <w:spacing w:before="20" w:after="20"/>
              <w:ind w:right="100"/>
            </w:pPr>
            <w:r w:rsidRPr="00B674BD">
              <w:rPr>
                <w:rFonts w:eastAsia="Century Gothic" w:cs="Century Gothic"/>
                <w:color w:val="000000"/>
                <w:sz w:val="18"/>
              </w:rPr>
              <w:t>4 Data-driven improvement</w:t>
            </w:r>
          </w:p>
        </w:tc>
        <w:tc>
          <w:tcPr>
            <w:tcW w:w="756" w:type="pct"/>
          </w:tcPr>
          <w:p w14:paraId="73241F07" w14:textId="77777777" w:rsidR="004D7551" w:rsidRDefault="004D7551" w:rsidP="000A5BA5">
            <w:pPr>
              <w:spacing w:before="20" w:after="20"/>
              <w:ind w:left="100" w:right="100"/>
              <w:jc w:val="center"/>
            </w:pPr>
            <w:r>
              <w:rPr>
                <w:rFonts w:eastAsia="Century Gothic" w:cs="Century Gothic"/>
                <w:color w:val="000000"/>
                <w:sz w:val="18"/>
              </w:rPr>
              <w:t>14 (19.4%)</w:t>
            </w:r>
          </w:p>
        </w:tc>
        <w:tc>
          <w:tcPr>
            <w:tcW w:w="756" w:type="pct"/>
          </w:tcPr>
          <w:p w14:paraId="4BC731D9" w14:textId="77777777" w:rsidR="004D7551" w:rsidRDefault="004D7551" w:rsidP="000A5BA5">
            <w:pPr>
              <w:spacing w:before="20" w:after="20"/>
              <w:ind w:left="100" w:right="100"/>
              <w:jc w:val="center"/>
            </w:pPr>
            <w:r>
              <w:rPr>
                <w:rFonts w:eastAsia="Century Gothic" w:cs="Century Gothic"/>
                <w:color w:val="000000"/>
                <w:sz w:val="18"/>
              </w:rPr>
              <w:t>28 (38.9%)</w:t>
            </w:r>
          </w:p>
        </w:tc>
        <w:tc>
          <w:tcPr>
            <w:tcW w:w="756" w:type="pct"/>
          </w:tcPr>
          <w:p w14:paraId="33D037A9" w14:textId="77777777" w:rsidR="004D7551" w:rsidRDefault="004D7551" w:rsidP="000A5BA5">
            <w:pPr>
              <w:spacing w:before="20" w:after="20"/>
              <w:ind w:left="100" w:right="100"/>
              <w:jc w:val="center"/>
            </w:pPr>
            <w:r>
              <w:rPr>
                <w:rFonts w:eastAsia="Century Gothic" w:cs="Century Gothic"/>
                <w:color w:val="000000"/>
                <w:sz w:val="18"/>
              </w:rPr>
              <w:t>21 (29.2%)</w:t>
            </w:r>
          </w:p>
        </w:tc>
        <w:tc>
          <w:tcPr>
            <w:tcW w:w="756" w:type="pct"/>
          </w:tcPr>
          <w:p w14:paraId="55F42277" w14:textId="77777777" w:rsidR="004D7551" w:rsidRDefault="004D7551" w:rsidP="000A5BA5">
            <w:pPr>
              <w:spacing w:before="20" w:after="20"/>
              <w:ind w:left="100" w:right="100"/>
              <w:jc w:val="center"/>
            </w:pPr>
            <w:r>
              <w:rPr>
                <w:rFonts w:eastAsia="Century Gothic" w:cs="Century Gothic"/>
                <w:color w:val="000000"/>
                <w:sz w:val="18"/>
              </w:rPr>
              <w:t>9 (12.5%)</w:t>
            </w:r>
          </w:p>
        </w:tc>
      </w:tr>
      <w:tr w:rsidR="006965F6" w14:paraId="65AAFB3F" w14:textId="77777777" w:rsidTr="004054D3">
        <w:tc>
          <w:tcPr>
            <w:tcW w:w="1976" w:type="pct"/>
          </w:tcPr>
          <w:p w14:paraId="19D29668" w14:textId="51DD3E82" w:rsidR="004D7551" w:rsidRPr="00B674BD" w:rsidRDefault="004D7551" w:rsidP="000A5BA5">
            <w:pPr>
              <w:spacing w:before="20" w:after="20"/>
              <w:ind w:right="100"/>
            </w:pPr>
            <w:r w:rsidRPr="00B674BD">
              <w:rPr>
                <w:rFonts w:eastAsia="Century Gothic" w:cs="Century Gothic"/>
                <w:color w:val="000000"/>
                <w:sz w:val="18"/>
              </w:rPr>
              <w:t>5 Team-based care</w:t>
            </w:r>
          </w:p>
        </w:tc>
        <w:tc>
          <w:tcPr>
            <w:tcW w:w="756" w:type="pct"/>
          </w:tcPr>
          <w:p w14:paraId="3EE0C529" w14:textId="77777777" w:rsidR="004D7551" w:rsidRDefault="004D7551" w:rsidP="000A5BA5">
            <w:pPr>
              <w:spacing w:before="20" w:after="20"/>
              <w:ind w:left="100" w:right="100"/>
              <w:jc w:val="center"/>
            </w:pPr>
            <w:r>
              <w:rPr>
                <w:rFonts w:eastAsia="Century Gothic" w:cs="Century Gothic"/>
                <w:color w:val="000000"/>
                <w:sz w:val="18"/>
              </w:rPr>
              <w:t>15 (21.1%)</w:t>
            </w:r>
          </w:p>
        </w:tc>
        <w:tc>
          <w:tcPr>
            <w:tcW w:w="756" w:type="pct"/>
          </w:tcPr>
          <w:p w14:paraId="4FF88445" w14:textId="77777777" w:rsidR="004D7551" w:rsidRDefault="004D7551" w:rsidP="000A5BA5">
            <w:pPr>
              <w:spacing w:before="20" w:after="20"/>
              <w:ind w:left="100" w:right="100"/>
              <w:jc w:val="center"/>
            </w:pPr>
            <w:r>
              <w:rPr>
                <w:rFonts w:eastAsia="Century Gothic" w:cs="Century Gothic"/>
                <w:color w:val="000000"/>
                <w:sz w:val="18"/>
              </w:rPr>
              <w:t>29 (40.8%)</w:t>
            </w:r>
          </w:p>
        </w:tc>
        <w:tc>
          <w:tcPr>
            <w:tcW w:w="756" w:type="pct"/>
          </w:tcPr>
          <w:p w14:paraId="0BF724C2" w14:textId="77777777" w:rsidR="004D7551" w:rsidRDefault="004D7551" w:rsidP="000A5BA5">
            <w:pPr>
              <w:spacing w:before="20" w:after="20"/>
              <w:ind w:left="100" w:right="100"/>
              <w:jc w:val="center"/>
            </w:pPr>
            <w:r>
              <w:rPr>
                <w:rFonts w:eastAsia="Century Gothic" w:cs="Century Gothic"/>
                <w:color w:val="000000"/>
                <w:sz w:val="18"/>
              </w:rPr>
              <w:t>19 (26.8%)</w:t>
            </w:r>
          </w:p>
        </w:tc>
        <w:tc>
          <w:tcPr>
            <w:tcW w:w="756" w:type="pct"/>
          </w:tcPr>
          <w:p w14:paraId="2349EA37" w14:textId="77777777" w:rsidR="004D7551" w:rsidRDefault="004D7551" w:rsidP="000A5BA5">
            <w:pPr>
              <w:spacing w:before="20" w:after="20"/>
              <w:ind w:left="100" w:right="100"/>
              <w:jc w:val="center"/>
            </w:pPr>
            <w:r>
              <w:rPr>
                <w:rFonts w:eastAsia="Century Gothic" w:cs="Century Gothic"/>
                <w:color w:val="000000"/>
                <w:sz w:val="18"/>
              </w:rPr>
              <w:t>8 (11.3%)</w:t>
            </w:r>
          </w:p>
        </w:tc>
      </w:tr>
      <w:tr w:rsidR="006965F6" w14:paraId="3AD73EF0" w14:textId="77777777" w:rsidTr="004054D3">
        <w:tc>
          <w:tcPr>
            <w:tcW w:w="1976" w:type="pct"/>
          </w:tcPr>
          <w:p w14:paraId="6B7593B9" w14:textId="47458A73" w:rsidR="004D7551" w:rsidRPr="00B674BD" w:rsidRDefault="004D7551" w:rsidP="000A5BA5">
            <w:pPr>
              <w:spacing w:before="20" w:after="20"/>
              <w:ind w:right="100"/>
            </w:pPr>
            <w:r w:rsidRPr="00B674BD">
              <w:rPr>
                <w:rFonts w:eastAsia="Century Gothic" w:cs="Century Gothic"/>
                <w:color w:val="000000"/>
                <w:sz w:val="18"/>
              </w:rPr>
              <w:t>6 Developing and implementing the shared care plan</w:t>
            </w:r>
          </w:p>
        </w:tc>
        <w:tc>
          <w:tcPr>
            <w:tcW w:w="756" w:type="pct"/>
          </w:tcPr>
          <w:p w14:paraId="18B1195E" w14:textId="77777777" w:rsidR="004D7551" w:rsidRDefault="004D7551" w:rsidP="000A5BA5">
            <w:pPr>
              <w:spacing w:before="20" w:after="20"/>
              <w:ind w:left="100" w:right="100"/>
              <w:jc w:val="center"/>
            </w:pPr>
            <w:r>
              <w:rPr>
                <w:rFonts w:eastAsia="Century Gothic" w:cs="Century Gothic"/>
                <w:color w:val="000000"/>
                <w:sz w:val="18"/>
              </w:rPr>
              <w:t>12 (17.9%)</w:t>
            </w:r>
          </w:p>
        </w:tc>
        <w:tc>
          <w:tcPr>
            <w:tcW w:w="756" w:type="pct"/>
          </w:tcPr>
          <w:p w14:paraId="5D26FA0C" w14:textId="77777777" w:rsidR="004D7551" w:rsidRDefault="004D7551" w:rsidP="000A5BA5">
            <w:pPr>
              <w:spacing w:before="20" w:after="20"/>
              <w:ind w:left="100" w:right="100"/>
              <w:jc w:val="center"/>
            </w:pPr>
            <w:r>
              <w:rPr>
                <w:rFonts w:eastAsia="Century Gothic" w:cs="Century Gothic"/>
                <w:color w:val="000000"/>
                <w:sz w:val="18"/>
              </w:rPr>
              <w:t>28 (41.8%)</w:t>
            </w:r>
          </w:p>
        </w:tc>
        <w:tc>
          <w:tcPr>
            <w:tcW w:w="756" w:type="pct"/>
          </w:tcPr>
          <w:p w14:paraId="3B538277" w14:textId="77777777" w:rsidR="004D7551" w:rsidRDefault="004D7551" w:rsidP="000A5BA5">
            <w:pPr>
              <w:spacing w:before="20" w:after="20"/>
              <w:ind w:left="100" w:right="100"/>
              <w:jc w:val="center"/>
            </w:pPr>
            <w:r>
              <w:rPr>
                <w:rFonts w:eastAsia="Century Gothic" w:cs="Century Gothic"/>
                <w:color w:val="000000"/>
                <w:sz w:val="18"/>
              </w:rPr>
              <w:t>16 (23.9%)</w:t>
            </w:r>
          </w:p>
        </w:tc>
        <w:tc>
          <w:tcPr>
            <w:tcW w:w="756" w:type="pct"/>
          </w:tcPr>
          <w:p w14:paraId="0DC0DC7C" w14:textId="77777777" w:rsidR="004D7551" w:rsidRDefault="004D7551" w:rsidP="000A5BA5">
            <w:pPr>
              <w:spacing w:before="20" w:after="20"/>
              <w:ind w:left="100" w:right="100"/>
              <w:jc w:val="center"/>
            </w:pPr>
            <w:r>
              <w:rPr>
                <w:rFonts w:eastAsia="Century Gothic" w:cs="Century Gothic"/>
                <w:color w:val="000000"/>
                <w:sz w:val="18"/>
              </w:rPr>
              <w:t>11 (16.4%)</w:t>
            </w:r>
          </w:p>
        </w:tc>
      </w:tr>
      <w:tr w:rsidR="006965F6" w14:paraId="2B6C1E8B" w14:textId="77777777" w:rsidTr="004054D3">
        <w:tc>
          <w:tcPr>
            <w:tcW w:w="1976" w:type="pct"/>
          </w:tcPr>
          <w:p w14:paraId="6E96585F" w14:textId="2BC1DCEF" w:rsidR="004D7551" w:rsidRPr="00B674BD" w:rsidRDefault="004D7551" w:rsidP="000A5BA5">
            <w:pPr>
              <w:spacing w:before="20" w:after="20"/>
              <w:ind w:right="100"/>
            </w:pPr>
            <w:r w:rsidRPr="00B674BD">
              <w:rPr>
                <w:rFonts w:eastAsia="Century Gothic" w:cs="Century Gothic"/>
                <w:color w:val="000000"/>
                <w:sz w:val="18"/>
              </w:rPr>
              <w:t>7 Patient-team partnership</w:t>
            </w:r>
          </w:p>
        </w:tc>
        <w:tc>
          <w:tcPr>
            <w:tcW w:w="756" w:type="pct"/>
          </w:tcPr>
          <w:p w14:paraId="18C936E4" w14:textId="77777777" w:rsidR="004D7551" w:rsidRDefault="004D7551" w:rsidP="000A5BA5">
            <w:pPr>
              <w:spacing w:before="20" w:after="20"/>
              <w:ind w:left="100" w:right="100"/>
              <w:jc w:val="center"/>
            </w:pPr>
            <w:r>
              <w:rPr>
                <w:rFonts w:eastAsia="Century Gothic" w:cs="Century Gothic"/>
                <w:color w:val="000000"/>
                <w:sz w:val="18"/>
              </w:rPr>
              <w:t>12 (17.9%)</w:t>
            </w:r>
          </w:p>
        </w:tc>
        <w:tc>
          <w:tcPr>
            <w:tcW w:w="756" w:type="pct"/>
          </w:tcPr>
          <w:p w14:paraId="7A4B7E66" w14:textId="77777777" w:rsidR="004D7551" w:rsidRDefault="004D7551" w:rsidP="000A5BA5">
            <w:pPr>
              <w:spacing w:before="20" w:after="20"/>
              <w:ind w:left="100" w:right="100"/>
              <w:jc w:val="center"/>
            </w:pPr>
            <w:r>
              <w:rPr>
                <w:rFonts w:eastAsia="Century Gothic" w:cs="Century Gothic"/>
                <w:color w:val="000000"/>
                <w:sz w:val="18"/>
              </w:rPr>
              <w:t>24 (35.8%)</w:t>
            </w:r>
          </w:p>
        </w:tc>
        <w:tc>
          <w:tcPr>
            <w:tcW w:w="756" w:type="pct"/>
          </w:tcPr>
          <w:p w14:paraId="3D3D0A63" w14:textId="77777777" w:rsidR="004D7551" w:rsidRDefault="004D7551" w:rsidP="000A5BA5">
            <w:pPr>
              <w:spacing w:before="20" w:after="20"/>
              <w:ind w:left="100" w:right="100"/>
              <w:jc w:val="center"/>
            </w:pPr>
            <w:r>
              <w:rPr>
                <w:rFonts w:eastAsia="Century Gothic" w:cs="Century Gothic"/>
                <w:color w:val="000000"/>
                <w:sz w:val="18"/>
              </w:rPr>
              <w:t>22 (32.8%)</w:t>
            </w:r>
          </w:p>
        </w:tc>
        <w:tc>
          <w:tcPr>
            <w:tcW w:w="756" w:type="pct"/>
          </w:tcPr>
          <w:p w14:paraId="69C45134" w14:textId="77777777" w:rsidR="004D7551" w:rsidRDefault="004D7551" w:rsidP="000A5BA5">
            <w:pPr>
              <w:spacing w:before="20" w:after="20"/>
              <w:ind w:left="100" w:right="100"/>
              <w:jc w:val="center"/>
            </w:pPr>
            <w:r>
              <w:rPr>
                <w:rFonts w:eastAsia="Century Gothic" w:cs="Century Gothic"/>
                <w:color w:val="000000"/>
                <w:sz w:val="18"/>
              </w:rPr>
              <w:t>9 (13.4%)</w:t>
            </w:r>
          </w:p>
        </w:tc>
      </w:tr>
      <w:tr w:rsidR="006965F6" w14:paraId="28CC0DEC" w14:textId="77777777" w:rsidTr="004054D3">
        <w:tc>
          <w:tcPr>
            <w:tcW w:w="1976" w:type="pct"/>
          </w:tcPr>
          <w:p w14:paraId="6DDC8E7D" w14:textId="5626DB8F" w:rsidR="004D7551" w:rsidRPr="00B674BD" w:rsidRDefault="004D7551" w:rsidP="000A5BA5">
            <w:pPr>
              <w:spacing w:before="20" w:after="20"/>
              <w:ind w:right="100"/>
            </w:pPr>
            <w:r w:rsidRPr="00B674BD">
              <w:rPr>
                <w:rFonts w:eastAsia="Century Gothic" w:cs="Century Gothic"/>
                <w:color w:val="000000"/>
                <w:sz w:val="18"/>
              </w:rPr>
              <w:t>8 Comprehensiveness and care coordination</w:t>
            </w:r>
          </w:p>
        </w:tc>
        <w:tc>
          <w:tcPr>
            <w:tcW w:w="756" w:type="pct"/>
          </w:tcPr>
          <w:p w14:paraId="41534300" w14:textId="77777777" w:rsidR="004D7551" w:rsidRDefault="004D7551" w:rsidP="000A5BA5">
            <w:pPr>
              <w:spacing w:before="20" w:after="20"/>
              <w:ind w:left="100" w:right="100"/>
              <w:jc w:val="center"/>
            </w:pPr>
            <w:r>
              <w:rPr>
                <w:rFonts w:eastAsia="Century Gothic" w:cs="Century Gothic"/>
                <w:color w:val="000000"/>
                <w:sz w:val="18"/>
              </w:rPr>
              <w:t>10 (15.4%)</w:t>
            </w:r>
          </w:p>
        </w:tc>
        <w:tc>
          <w:tcPr>
            <w:tcW w:w="756" w:type="pct"/>
          </w:tcPr>
          <w:p w14:paraId="323E3EED" w14:textId="77777777" w:rsidR="004D7551" w:rsidRDefault="004D7551" w:rsidP="000A5BA5">
            <w:pPr>
              <w:spacing w:before="20" w:after="20"/>
              <w:ind w:left="100" w:right="100"/>
              <w:jc w:val="center"/>
            </w:pPr>
            <w:r>
              <w:rPr>
                <w:rFonts w:eastAsia="Century Gothic" w:cs="Century Gothic"/>
                <w:color w:val="000000"/>
                <w:sz w:val="18"/>
              </w:rPr>
              <w:t>25 (38.5%)</w:t>
            </w:r>
          </w:p>
        </w:tc>
        <w:tc>
          <w:tcPr>
            <w:tcW w:w="756" w:type="pct"/>
          </w:tcPr>
          <w:p w14:paraId="1900E177" w14:textId="77777777" w:rsidR="004D7551" w:rsidRDefault="004D7551" w:rsidP="000A5BA5">
            <w:pPr>
              <w:spacing w:before="20" w:after="20"/>
              <w:ind w:left="100" w:right="100"/>
              <w:jc w:val="center"/>
            </w:pPr>
            <w:r>
              <w:rPr>
                <w:rFonts w:eastAsia="Century Gothic" w:cs="Century Gothic"/>
                <w:color w:val="000000"/>
                <w:sz w:val="18"/>
              </w:rPr>
              <w:t>19 (29.2%)</w:t>
            </w:r>
          </w:p>
        </w:tc>
        <w:tc>
          <w:tcPr>
            <w:tcW w:w="756" w:type="pct"/>
          </w:tcPr>
          <w:p w14:paraId="51D66420" w14:textId="77777777" w:rsidR="004D7551" w:rsidRDefault="004D7551" w:rsidP="000A5BA5">
            <w:pPr>
              <w:spacing w:before="20" w:after="20"/>
              <w:ind w:left="100" w:right="100"/>
              <w:jc w:val="center"/>
            </w:pPr>
            <w:r>
              <w:rPr>
                <w:rFonts w:eastAsia="Century Gothic" w:cs="Century Gothic"/>
                <w:color w:val="000000"/>
                <w:sz w:val="18"/>
              </w:rPr>
              <w:t>11 (16.9%)</w:t>
            </w:r>
          </w:p>
        </w:tc>
      </w:tr>
      <w:tr w:rsidR="006965F6" w14:paraId="141C3B2F" w14:textId="77777777" w:rsidTr="004054D3">
        <w:tc>
          <w:tcPr>
            <w:tcW w:w="1976" w:type="pct"/>
          </w:tcPr>
          <w:p w14:paraId="373ED899" w14:textId="6A623F64" w:rsidR="004D7551" w:rsidRPr="00B674BD" w:rsidRDefault="004D7551" w:rsidP="000A5BA5">
            <w:pPr>
              <w:spacing w:before="20" w:after="20"/>
              <w:ind w:right="100"/>
            </w:pPr>
            <w:r w:rsidRPr="00B674BD">
              <w:rPr>
                <w:rFonts w:eastAsia="Century Gothic" w:cs="Century Gothic"/>
                <w:color w:val="000000"/>
                <w:sz w:val="18"/>
              </w:rPr>
              <w:t>9 Prompt access to care</w:t>
            </w:r>
          </w:p>
        </w:tc>
        <w:tc>
          <w:tcPr>
            <w:tcW w:w="756" w:type="pct"/>
          </w:tcPr>
          <w:p w14:paraId="01083276" w14:textId="77777777" w:rsidR="004D7551" w:rsidRDefault="004D7551" w:rsidP="000A5BA5">
            <w:pPr>
              <w:spacing w:before="20" w:after="20"/>
              <w:ind w:left="100" w:right="100"/>
              <w:jc w:val="center"/>
            </w:pPr>
            <w:r>
              <w:rPr>
                <w:rFonts w:eastAsia="Century Gothic" w:cs="Century Gothic"/>
                <w:color w:val="000000"/>
                <w:sz w:val="18"/>
              </w:rPr>
              <w:t>12 (18.5%)</w:t>
            </w:r>
          </w:p>
        </w:tc>
        <w:tc>
          <w:tcPr>
            <w:tcW w:w="756" w:type="pct"/>
          </w:tcPr>
          <w:p w14:paraId="32849A48" w14:textId="77777777" w:rsidR="004D7551" w:rsidRDefault="004D7551" w:rsidP="000A5BA5">
            <w:pPr>
              <w:spacing w:before="20" w:after="20"/>
              <w:ind w:left="100" w:right="100"/>
              <w:jc w:val="center"/>
            </w:pPr>
            <w:r>
              <w:rPr>
                <w:rFonts w:eastAsia="Century Gothic" w:cs="Century Gothic"/>
                <w:color w:val="000000"/>
                <w:sz w:val="18"/>
              </w:rPr>
              <w:t>24 (36.9%)</w:t>
            </w:r>
          </w:p>
        </w:tc>
        <w:tc>
          <w:tcPr>
            <w:tcW w:w="756" w:type="pct"/>
          </w:tcPr>
          <w:p w14:paraId="241F8597" w14:textId="77777777" w:rsidR="004D7551" w:rsidRDefault="004D7551" w:rsidP="000A5BA5">
            <w:pPr>
              <w:spacing w:before="20" w:after="20"/>
              <w:ind w:left="100" w:right="100"/>
              <w:jc w:val="center"/>
            </w:pPr>
            <w:r>
              <w:rPr>
                <w:rFonts w:eastAsia="Century Gothic" w:cs="Century Gothic"/>
                <w:color w:val="000000"/>
                <w:sz w:val="18"/>
              </w:rPr>
              <w:t>20 (30.8%)</w:t>
            </w:r>
          </w:p>
        </w:tc>
        <w:tc>
          <w:tcPr>
            <w:tcW w:w="756" w:type="pct"/>
          </w:tcPr>
          <w:p w14:paraId="6854B121" w14:textId="77777777" w:rsidR="004D7551" w:rsidRDefault="004D7551" w:rsidP="000A5BA5">
            <w:pPr>
              <w:spacing w:before="20" w:after="20"/>
              <w:ind w:left="100" w:right="100"/>
              <w:jc w:val="center"/>
            </w:pPr>
            <w:r>
              <w:rPr>
                <w:rFonts w:eastAsia="Century Gothic" w:cs="Century Gothic"/>
                <w:color w:val="000000"/>
                <w:sz w:val="18"/>
              </w:rPr>
              <w:t>9 (13.8%)</w:t>
            </w:r>
          </w:p>
        </w:tc>
      </w:tr>
      <w:tr w:rsidR="006965F6" w14:paraId="1958BA51" w14:textId="77777777" w:rsidTr="004054D3">
        <w:tc>
          <w:tcPr>
            <w:tcW w:w="1976" w:type="pct"/>
          </w:tcPr>
          <w:p w14:paraId="1A17435B" w14:textId="22607B2D" w:rsidR="004D7551" w:rsidRPr="00B674BD" w:rsidRDefault="004D7551" w:rsidP="000A5BA5">
            <w:pPr>
              <w:spacing w:before="20" w:after="20"/>
              <w:ind w:right="100"/>
            </w:pPr>
            <w:r w:rsidRPr="00B674BD">
              <w:rPr>
                <w:rFonts w:eastAsia="Century Gothic" w:cs="Century Gothic"/>
                <w:color w:val="000000"/>
                <w:sz w:val="18"/>
              </w:rPr>
              <w:t>10 Population management</w:t>
            </w:r>
          </w:p>
        </w:tc>
        <w:tc>
          <w:tcPr>
            <w:tcW w:w="756" w:type="pct"/>
          </w:tcPr>
          <w:p w14:paraId="097FC644" w14:textId="77777777" w:rsidR="004D7551" w:rsidRDefault="004D7551" w:rsidP="000A5BA5">
            <w:pPr>
              <w:spacing w:before="20" w:after="20"/>
              <w:ind w:left="100" w:right="100"/>
              <w:jc w:val="center"/>
            </w:pPr>
            <w:r>
              <w:rPr>
                <w:rFonts w:eastAsia="Century Gothic" w:cs="Century Gothic"/>
                <w:color w:val="000000"/>
                <w:sz w:val="18"/>
              </w:rPr>
              <w:t>9 (13.8%)</w:t>
            </w:r>
          </w:p>
        </w:tc>
        <w:tc>
          <w:tcPr>
            <w:tcW w:w="756" w:type="pct"/>
          </w:tcPr>
          <w:p w14:paraId="05E5C7C5" w14:textId="77777777" w:rsidR="004D7551" w:rsidRDefault="004D7551" w:rsidP="000A5BA5">
            <w:pPr>
              <w:spacing w:before="20" w:after="20"/>
              <w:ind w:left="100" w:right="100"/>
              <w:jc w:val="center"/>
            </w:pPr>
            <w:r>
              <w:rPr>
                <w:rFonts w:eastAsia="Century Gothic" w:cs="Century Gothic"/>
                <w:color w:val="000000"/>
                <w:sz w:val="18"/>
              </w:rPr>
              <w:t>27 (41.5%)</w:t>
            </w:r>
          </w:p>
        </w:tc>
        <w:tc>
          <w:tcPr>
            <w:tcW w:w="756" w:type="pct"/>
          </w:tcPr>
          <w:p w14:paraId="5B2D725C" w14:textId="77777777" w:rsidR="004D7551" w:rsidRDefault="004D7551" w:rsidP="000A5BA5">
            <w:pPr>
              <w:spacing w:before="20" w:after="20"/>
              <w:ind w:left="100" w:right="100"/>
              <w:jc w:val="center"/>
            </w:pPr>
            <w:r>
              <w:rPr>
                <w:rFonts w:eastAsia="Century Gothic" w:cs="Century Gothic"/>
                <w:color w:val="000000"/>
                <w:sz w:val="18"/>
              </w:rPr>
              <w:t>18 (27.7%)</w:t>
            </w:r>
          </w:p>
        </w:tc>
        <w:tc>
          <w:tcPr>
            <w:tcW w:w="756" w:type="pct"/>
          </w:tcPr>
          <w:p w14:paraId="79890A30" w14:textId="77777777" w:rsidR="004D7551" w:rsidRDefault="004D7551" w:rsidP="000A5BA5">
            <w:pPr>
              <w:spacing w:before="20" w:after="20"/>
              <w:ind w:left="100" w:right="100"/>
              <w:jc w:val="center"/>
            </w:pPr>
            <w:r>
              <w:rPr>
                <w:rFonts w:eastAsia="Century Gothic" w:cs="Century Gothic"/>
                <w:color w:val="000000"/>
                <w:sz w:val="18"/>
              </w:rPr>
              <w:t>11 (16.9%)</w:t>
            </w:r>
          </w:p>
        </w:tc>
      </w:tr>
      <w:tr w:rsidR="006965F6" w14:paraId="3CAF41C7" w14:textId="77777777" w:rsidTr="004054D3">
        <w:tc>
          <w:tcPr>
            <w:tcW w:w="1976" w:type="pct"/>
          </w:tcPr>
          <w:p w14:paraId="7BF07809" w14:textId="13B859FA" w:rsidR="004D7551" w:rsidRPr="00B674BD" w:rsidRDefault="004D7551" w:rsidP="000A5BA5">
            <w:pPr>
              <w:spacing w:before="20" w:after="20"/>
              <w:ind w:right="100"/>
            </w:pPr>
            <w:r w:rsidRPr="00B674BD">
              <w:rPr>
                <w:rFonts w:eastAsia="Century Gothic" w:cs="Century Gothic"/>
                <w:color w:val="000000"/>
                <w:sz w:val="18"/>
              </w:rPr>
              <w:t>11 Quality primary care and the future</w:t>
            </w:r>
          </w:p>
        </w:tc>
        <w:tc>
          <w:tcPr>
            <w:tcW w:w="756" w:type="pct"/>
          </w:tcPr>
          <w:p w14:paraId="5339DD77" w14:textId="77777777" w:rsidR="004D7551" w:rsidRDefault="004D7551" w:rsidP="000A5BA5">
            <w:pPr>
              <w:spacing w:before="20" w:after="20"/>
              <w:ind w:left="100" w:right="100"/>
              <w:jc w:val="center"/>
            </w:pPr>
            <w:r>
              <w:rPr>
                <w:rFonts w:eastAsia="Century Gothic" w:cs="Century Gothic"/>
                <w:color w:val="000000"/>
                <w:sz w:val="18"/>
              </w:rPr>
              <w:t>11 (17.5%)</w:t>
            </w:r>
          </w:p>
        </w:tc>
        <w:tc>
          <w:tcPr>
            <w:tcW w:w="756" w:type="pct"/>
          </w:tcPr>
          <w:p w14:paraId="6DF20328" w14:textId="77777777" w:rsidR="004D7551" w:rsidRDefault="004D7551" w:rsidP="000A5BA5">
            <w:pPr>
              <w:spacing w:before="20" w:after="20"/>
              <w:ind w:left="100" w:right="100"/>
              <w:jc w:val="center"/>
            </w:pPr>
            <w:r>
              <w:rPr>
                <w:rFonts w:eastAsia="Century Gothic" w:cs="Century Gothic"/>
                <w:color w:val="000000"/>
                <w:sz w:val="18"/>
              </w:rPr>
              <w:t>26 (41.3%)</w:t>
            </w:r>
          </w:p>
        </w:tc>
        <w:tc>
          <w:tcPr>
            <w:tcW w:w="756" w:type="pct"/>
          </w:tcPr>
          <w:p w14:paraId="78700911" w14:textId="77777777" w:rsidR="004D7551" w:rsidRDefault="004D7551" w:rsidP="000A5BA5">
            <w:pPr>
              <w:spacing w:before="20" w:after="20"/>
              <w:ind w:left="100" w:right="100"/>
              <w:jc w:val="center"/>
            </w:pPr>
            <w:r>
              <w:rPr>
                <w:rFonts w:eastAsia="Century Gothic" w:cs="Century Gothic"/>
                <w:color w:val="000000"/>
                <w:sz w:val="18"/>
              </w:rPr>
              <w:t>16 (25.4%)</w:t>
            </w:r>
          </w:p>
        </w:tc>
        <w:tc>
          <w:tcPr>
            <w:tcW w:w="756" w:type="pct"/>
          </w:tcPr>
          <w:p w14:paraId="7D18D4F9" w14:textId="77777777" w:rsidR="004D7551" w:rsidRDefault="004D7551" w:rsidP="000A5BA5">
            <w:pPr>
              <w:spacing w:before="20" w:after="20"/>
              <w:ind w:left="100" w:right="100"/>
              <w:jc w:val="center"/>
            </w:pPr>
            <w:r>
              <w:rPr>
                <w:rFonts w:eastAsia="Century Gothic" w:cs="Century Gothic"/>
                <w:color w:val="000000"/>
                <w:sz w:val="18"/>
              </w:rPr>
              <w:t>10 (15.9%)</w:t>
            </w:r>
          </w:p>
        </w:tc>
      </w:tr>
    </w:tbl>
    <w:p w14:paraId="2A7B49BC" w14:textId="524111B1" w:rsidR="004D7551" w:rsidRDefault="004D7551" w:rsidP="004D7551">
      <w:pPr>
        <w:pStyle w:val="Chartortablefootnote"/>
      </w:pPr>
      <w:r>
        <w:t>Source: Practice survey R2, Nov 2018</w:t>
      </w:r>
      <w:r w:rsidR="0047607E">
        <w:t>–</w:t>
      </w:r>
      <w:r>
        <w:t xml:space="preserve">Mar 2019, question 25. </w:t>
      </w:r>
    </w:p>
    <w:p w14:paraId="2A863E96" w14:textId="008FF0CB" w:rsidR="00F30385" w:rsidRDefault="00F30385" w:rsidP="004D7551">
      <w:pPr>
        <w:rPr>
          <w:rFonts w:eastAsia="Times New Roman"/>
          <w:iCs/>
          <w:szCs w:val="20"/>
        </w:rPr>
      </w:pPr>
      <w:r>
        <w:rPr>
          <w:rFonts w:eastAsia="Times New Roman"/>
          <w:iCs/>
          <w:szCs w:val="20"/>
        </w:rPr>
        <w:t>Through interviews, practice staff complained about the length of the modules, repetition, the inability to move to the next module until you</w:t>
      </w:r>
      <w:r w:rsidR="009D6FAD">
        <w:rPr>
          <w:rFonts w:eastAsia="Times New Roman"/>
          <w:iCs/>
          <w:szCs w:val="20"/>
        </w:rPr>
        <w:t xml:space="preserve"> had</w:t>
      </w:r>
      <w:r>
        <w:rPr>
          <w:rFonts w:eastAsia="Times New Roman"/>
          <w:iCs/>
          <w:szCs w:val="20"/>
        </w:rPr>
        <w:t xml:space="preserve"> completed a previous one, </w:t>
      </w:r>
      <w:r w:rsidR="009153DF" w:rsidRPr="009153DF">
        <w:rPr>
          <w:rFonts w:eastAsia="Times New Roman"/>
          <w:iCs/>
          <w:szCs w:val="20"/>
        </w:rPr>
        <w:t>and</w:t>
      </w:r>
      <w:r w:rsidR="007D5CEA">
        <w:rPr>
          <w:rFonts w:eastAsia="Times New Roman"/>
          <w:iCs/>
          <w:szCs w:val="20"/>
        </w:rPr>
        <w:t xml:space="preserve"> the </w:t>
      </w:r>
      <w:r w:rsidR="007D5CEA" w:rsidRPr="007D5CEA">
        <w:rPr>
          <w:rFonts w:eastAsia="Times New Roman"/>
          <w:iCs/>
          <w:szCs w:val="20"/>
        </w:rPr>
        <w:t>theoretical rather than practical focus</w:t>
      </w:r>
      <w:r w:rsidR="007D5CEA">
        <w:rPr>
          <w:rFonts w:eastAsia="Times New Roman"/>
          <w:iCs/>
          <w:szCs w:val="20"/>
        </w:rPr>
        <w:t xml:space="preserve"> of the content</w:t>
      </w:r>
      <w:r w:rsidR="009F604E">
        <w:rPr>
          <w:rFonts w:eastAsia="Times New Roman"/>
          <w:iCs/>
          <w:szCs w:val="20"/>
        </w:rPr>
        <w:t>. They also thought that the</w:t>
      </w:r>
      <w:r w:rsidR="0005066F">
        <w:rPr>
          <w:rFonts w:eastAsia="Times New Roman"/>
          <w:iCs/>
          <w:szCs w:val="20"/>
        </w:rPr>
        <w:t xml:space="preserve"> modules</w:t>
      </w:r>
      <w:r w:rsidR="009F604E">
        <w:rPr>
          <w:rFonts w:eastAsia="Times New Roman"/>
          <w:iCs/>
          <w:szCs w:val="20"/>
        </w:rPr>
        <w:t xml:space="preserve"> should have been </w:t>
      </w:r>
      <w:r>
        <w:rPr>
          <w:rFonts w:eastAsia="Times New Roman"/>
          <w:iCs/>
          <w:szCs w:val="20"/>
        </w:rPr>
        <w:t>role-specific</w:t>
      </w:r>
      <w:r w:rsidR="009F604E">
        <w:rPr>
          <w:rFonts w:eastAsia="Times New Roman"/>
          <w:iCs/>
          <w:szCs w:val="20"/>
        </w:rPr>
        <w:t xml:space="preserve">, that is, that information should have been pitched differently </w:t>
      </w:r>
      <w:r w:rsidR="007B009F">
        <w:rPr>
          <w:rFonts w:eastAsia="Times New Roman"/>
          <w:iCs/>
          <w:szCs w:val="20"/>
        </w:rPr>
        <w:t>for</w:t>
      </w:r>
      <w:r w:rsidR="009F604E">
        <w:rPr>
          <w:rFonts w:eastAsia="Times New Roman"/>
          <w:iCs/>
          <w:szCs w:val="20"/>
        </w:rPr>
        <w:t xml:space="preserve"> different roles within the practice.</w:t>
      </w:r>
    </w:p>
    <w:p w14:paraId="56C86DFD" w14:textId="428FC413" w:rsidR="004D7551" w:rsidRDefault="004814E0" w:rsidP="004D7551">
      <w:pPr>
        <w:rPr>
          <w:rFonts w:eastAsia="Times New Roman"/>
          <w:iCs/>
          <w:szCs w:val="20"/>
        </w:rPr>
      </w:pPr>
      <w:r>
        <w:rPr>
          <w:rFonts w:eastAsia="Times New Roman"/>
          <w:iCs/>
          <w:szCs w:val="20"/>
        </w:rPr>
        <w:t>Practices</w:t>
      </w:r>
      <w:r w:rsidR="004D7551">
        <w:rPr>
          <w:rFonts w:eastAsia="Times New Roman"/>
          <w:iCs/>
          <w:szCs w:val="20"/>
        </w:rPr>
        <w:t xml:space="preserve"> </w:t>
      </w:r>
      <w:r w:rsidR="004D7551" w:rsidRPr="00720D30">
        <w:rPr>
          <w:rFonts w:eastAsia="Times New Roman"/>
          <w:iCs/>
          <w:szCs w:val="20"/>
        </w:rPr>
        <w:t>sugges</w:t>
      </w:r>
      <w:r w:rsidR="004D7551">
        <w:rPr>
          <w:rFonts w:eastAsia="Times New Roman"/>
          <w:iCs/>
          <w:szCs w:val="20"/>
        </w:rPr>
        <w:t xml:space="preserve">ted </w:t>
      </w:r>
      <w:r w:rsidR="004D7551" w:rsidRPr="00720D30">
        <w:rPr>
          <w:rFonts w:eastAsia="Times New Roman"/>
          <w:iCs/>
          <w:szCs w:val="20"/>
        </w:rPr>
        <w:t>ways to improve the modules</w:t>
      </w:r>
      <w:r w:rsidR="00927E5A">
        <w:rPr>
          <w:rFonts w:eastAsia="Times New Roman"/>
          <w:iCs/>
          <w:szCs w:val="20"/>
        </w:rPr>
        <w:t xml:space="preserve"> (</w:t>
      </w:r>
      <w:r w:rsidR="004D7551" w:rsidRPr="001018EB">
        <w:rPr>
          <w:rFonts w:eastAsia="Times New Roman"/>
          <w:iCs/>
          <w:szCs w:val="20"/>
        </w:rPr>
        <w:fldChar w:fldCharType="begin"/>
      </w:r>
      <w:r w:rsidR="004D7551" w:rsidRPr="001018EB">
        <w:rPr>
          <w:rFonts w:eastAsia="Times New Roman"/>
          <w:iCs/>
          <w:szCs w:val="20"/>
        </w:rPr>
        <w:instrText xml:space="preserve"> REF _Ref21025667 \h </w:instrText>
      </w:r>
      <w:r w:rsidR="00302D66" w:rsidRPr="001018EB">
        <w:rPr>
          <w:rFonts w:eastAsia="Times New Roman"/>
          <w:iCs/>
          <w:szCs w:val="20"/>
        </w:rPr>
        <w:instrText xml:space="preserve"> \* MERGEFORMAT </w:instrText>
      </w:r>
      <w:r w:rsidR="004D7551" w:rsidRPr="001018EB">
        <w:rPr>
          <w:rFonts w:eastAsia="Times New Roman"/>
          <w:iCs/>
          <w:szCs w:val="20"/>
        </w:rPr>
      </w:r>
      <w:r w:rsidR="004D7551" w:rsidRPr="001018EB">
        <w:rPr>
          <w:rFonts w:eastAsia="Times New Roman"/>
          <w:iCs/>
          <w:szCs w:val="20"/>
        </w:rPr>
        <w:fldChar w:fldCharType="separate"/>
      </w:r>
      <w:r w:rsidR="003C4BC2">
        <w:t xml:space="preserve">Table </w:t>
      </w:r>
      <w:r w:rsidR="003C4BC2">
        <w:rPr>
          <w:noProof/>
        </w:rPr>
        <w:t>13</w:t>
      </w:r>
      <w:r w:rsidR="004D7551" w:rsidRPr="001018EB">
        <w:rPr>
          <w:rFonts w:eastAsia="Times New Roman"/>
          <w:iCs/>
          <w:szCs w:val="20"/>
        </w:rPr>
        <w:fldChar w:fldCharType="end"/>
      </w:r>
      <w:r w:rsidR="00927E5A">
        <w:rPr>
          <w:rFonts w:eastAsia="Times New Roman"/>
          <w:iCs/>
          <w:szCs w:val="20"/>
        </w:rPr>
        <w:t>). The top suggestions were to shorten them, reduce repetition, make them more concise and provide additional practical examples/case studies</w:t>
      </w:r>
      <w:r w:rsidR="004D7551">
        <w:rPr>
          <w:rFonts w:eastAsia="Times New Roman"/>
          <w:iCs/>
          <w:szCs w:val="20"/>
        </w:rPr>
        <w:t xml:space="preserve">. </w:t>
      </w:r>
    </w:p>
    <w:p w14:paraId="5C089717" w14:textId="0E85FEA6" w:rsidR="0005057B" w:rsidRDefault="004D7551" w:rsidP="0092061B">
      <w:pPr>
        <w:pStyle w:val="TableFigureheading"/>
        <w:spacing w:after="0"/>
      </w:pPr>
      <w:bookmarkStart w:id="98" w:name="_Ref21025667"/>
      <w:bookmarkStart w:id="99" w:name="_Hlk22642806"/>
      <w:r>
        <w:t xml:space="preserve">Table </w:t>
      </w:r>
      <w:r>
        <w:fldChar w:fldCharType="begin"/>
      </w:r>
      <w:r>
        <w:instrText>SEQ Table \* ARABIC</w:instrText>
      </w:r>
      <w:r>
        <w:fldChar w:fldCharType="separate"/>
      </w:r>
      <w:r w:rsidR="003C4BC2">
        <w:rPr>
          <w:noProof/>
        </w:rPr>
        <w:t>13</w:t>
      </w:r>
      <w:r>
        <w:fldChar w:fldCharType="end"/>
      </w:r>
      <w:bookmarkEnd w:id="98"/>
      <w:r w:rsidR="006965F6">
        <w:t>:</w:t>
      </w:r>
      <w:r>
        <w:t xml:space="preserve"> Top ways in which the online training modules could be improved </w:t>
      </w:r>
    </w:p>
    <w:p w14:paraId="623061B1" w14:textId="766000B8" w:rsidR="004D7551" w:rsidRDefault="004D7551" w:rsidP="006965F6">
      <w:pPr>
        <w:pStyle w:val="TableFigureheading"/>
      </w:pPr>
      <w:r>
        <w:t>(including responses from withdrawn practices)</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285"/>
        <w:gridCol w:w="1482"/>
        <w:gridCol w:w="222"/>
        <w:gridCol w:w="2860"/>
        <w:gridCol w:w="1167"/>
      </w:tblGrid>
      <w:tr w:rsidR="004054D3" w:rsidRPr="00E27353" w14:paraId="7C4DF177" w14:textId="77777777" w:rsidTr="007224B2">
        <w:tc>
          <w:tcPr>
            <w:tcW w:w="1823" w:type="pct"/>
            <w:shd w:val="clear" w:color="auto" w:fill="408BCA"/>
          </w:tcPr>
          <w:bookmarkEnd w:id="99"/>
          <w:p w14:paraId="7520BAE2" w14:textId="77777777" w:rsidR="004D7551" w:rsidRPr="00E27353" w:rsidRDefault="004D7551" w:rsidP="004D7551">
            <w:pPr>
              <w:spacing w:after="0"/>
              <w:jc w:val="center"/>
              <w:rPr>
                <w:b/>
                <w:bCs/>
              </w:rPr>
            </w:pPr>
            <w:r w:rsidRPr="00E27353">
              <w:rPr>
                <w:rFonts w:eastAsia="Century Gothic" w:cs="Century Gothic"/>
                <w:b/>
                <w:bCs/>
                <w:color w:val="FFFFFF"/>
                <w:sz w:val="18"/>
              </w:rPr>
              <w:t>Response</w:t>
            </w:r>
          </w:p>
        </w:tc>
        <w:tc>
          <w:tcPr>
            <w:tcW w:w="823" w:type="pct"/>
            <w:shd w:val="clear" w:color="auto" w:fill="408BCA"/>
          </w:tcPr>
          <w:p w14:paraId="03AE6C69" w14:textId="77777777" w:rsidR="004D7551" w:rsidRPr="00E27353" w:rsidRDefault="004D7551" w:rsidP="004D7551">
            <w:pPr>
              <w:spacing w:after="0"/>
              <w:jc w:val="center"/>
              <w:rPr>
                <w:b/>
                <w:bCs/>
              </w:rPr>
            </w:pPr>
            <w:r w:rsidRPr="00E27353">
              <w:rPr>
                <w:rFonts w:eastAsia="Century Gothic" w:cs="Century Gothic"/>
                <w:b/>
                <w:bCs/>
                <w:color w:val="FFFFFF"/>
                <w:sz w:val="18"/>
              </w:rPr>
              <w:t>n (%)</w:t>
            </w:r>
          </w:p>
        </w:tc>
        <w:tc>
          <w:tcPr>
            <w:tcW w:w="0" w:type="auto"/>
            <w:tcBorders>
              <w:top w:val="nil"/>
              <w:bottom w:val="nil"/>
            </w:tcBorders>
            <w:shd w:val="clear" w:color="auto" w:fill="auto"/>
          </w:tcPr>
          <w:p w14:paraId="5581B8CF" w14:textId="77777777" w:rsidR="004D7551" w:rsidRPr="00E27353" w:rsidRDefault="004D7551" w:rsidP="004D7551">
            <w:pPr>
              <w:spacing w:after="0"/>
              <w:jc w:val="center"/>
              <w:rPr>
                <w:b/>
                <w:bCs/>
              </w:rPr>
            </w:pPr>
            <w:r w:rsidRPr="00E27353">
              <w:rPr>
                <w:rFonts w:eastAsia="Century Gothic" w:cs="Century Gothic"/>
                <w:b/>
                <w:bCs/>
                <w:color w:val="FFFFFF"/>
                <w:sz w:val="18"/>
              </w:rPr>
              <w:t xml:space="preserve"> </w:t>
            </w:r>
          </w:p>
        </w:tc>
        <w:tc>
          <w:tcPr>
            <w:tcW w:w="1587" w:type="pct"/>
            <w:shd w:val="clear" w:color="auto" w:fill="408BCA"/>
          </w:tcPr>
          <w:p w14:paraId="6C9BADAB" w14:textId="77777777" w:rsidR="004D7551" w:rsidRPr="00E27353" w:rsidRDefault="004D7551" w:rsidP="004D7551">
            <w:pPr>
              <w:spacing w:after="0"/>
              <w:jc w:val="center"/>
              <w:rPr>
                <w:b/>
                <w:bCs/>
              </w:rPr>
            </w:pPr>
            <w:r w:rsidRPr="00E27353">
              <w:rPr>
                <w:rFonts w:eastAsia="Century Gothic" w:cs="Century Gothic"/>
                <w:b/>
                <w:bCs/>
                <w:color w:val="FFFFFF"/>
                <w:sz w:val="18"/>
              </w:rPr>
              <w:t>Response</w:t>
            </w:r>
          </w:p>
        </w:tc>
        <w:tc>
          <w:tcPr>
            <w:tcW w:w="647" w:type="pct"/>
            <w:shd w:val="clear" w:color="auto" w:fill="408BCA"/>
          </w:tcPr>
          <w:p w14:paraId="2B627C79" w14:textId="77777777" w:rsidR="004D7551" w:rsidRPr="00E27353" w:rsidRDefault="004D7551" w:rsidP="004D7551">
            <w:pPr>
              <w:spacing w:after="0"/>
              <w:jc w:val="center"/>
              <w:rPr>
                <w:b/>
                <w:bCs/>
              </w:rPr>
            </w:pPr>
            <w:r w:rsidRPr="00E27353">
              <w:rPr>
                <w:rFonts w:eastAsia="Century Gothic" w:cs="Century Gothic"/>
                <w:b/>
                <w:bCs/>
                <w:color w:val="FFFFFF"/>
                <w:sz w:val="18"/>
              </w:rPr>
              <w:t>n (%)</w:t>
            </w:r>
          </w:p>
        </w:tc>
      </w:tr>
      <w:tr w:rsidR="006965F6" w14:paraId="6928B0EB" w14:textId="77777777" w:rsidTr="007224B2">
        <w:tc>
          <w:tcPr>
            <w:tcW w:w="1823" w:type="pct"/>
          </w:tcPr>
          <w:p w14:paraId="55355552" w14:textId="77777777" w:rsidR="004D7551" w:rsidRDefault="004D7551" w:rsidP="00FB0820">
            <w:pPr>
              <w:spacing w:after="0"/>
              <w:ind w:right="100"/>
            </w:pPr>
            <w:r>
              <w:rPr>
                <w:rFonts w:eastAsia="Century Gothic" w:cs="Century Gothic"/>
                <w:color w:val="000000"/>
                <w:sz w:val="18"/>
              </w:rPr>
              <w:t>Shorter in length</w:t>
            </w:r>
          </w:p>
        </w:tc>
        <w:tc>
          <w:tcPr>
            <w:tcW w:w="823" w:type="pct"/>
          </w:tcPr>
          <w:p w14:paraId="7A1704A0" w14:textId="77777777" w:rsidR="004D7551" w:rsidRDefault="004D7551" w:rsidP="004D7551">
            <w:pPr>
              <w:spacing w:after="0"/>
              <w:ind w:left="100" w:right="100"/>
              <w:jc w:val="right"/>
            </w:pPr>
            <w:r>
              <w:rPr>
                <w:rFonts w:eastAsia="Century Gothic" w:cs="Century Gothic"/>
                <w:color w:val="000000"/>
                <w:sz w:val="18"/>
              </w:rPr>
              <w:t>54 (51.4%)</w:t>
            </w:r>
          </w:p>
        </w:tc>
        <w:tc>
          <w:tcPr>
            <w:tcW w:w="0" w:type="auto"/>
            <w:tcBorders>
              <w:top w:val="nil"/>
              <w:bottom w:val="nil"/>
            </w:tcBorders>
            <w:shd w:val="clear" w:color="auto" w:fill="auto"/>
          </w:tcPr>
          <w:p w14:paraId="60196629" w14:textId="77777777" w:rsidR="004D7551" w:rsidRDefault="004D7551" w:rsidP="004D7551">
            <w:pPr>
              <w:spacing w:after="0"/>
              <w:ind w:left="100" w:right="100"/>
              <w:jc w:val="right"/>
            </w:pPr>
          </w:p>
        </w:tc>
        <w:tc>
          <w:tcPr>
            <w:tcW w:w="1587" w:type="pct"/>
          </w:tcPr>
          <w:p w14:paraId="49710C6F" w14:textId="1D2797FC" w:rsidR="004D7551" w:rsidRDefault="004D7551" w:rsidP="00FB0820">
            <w:pPr>
              <w:spacing w:after="0"/>
              <w:ind w:right="100"/>
            </w:pPr>
            <w:r>
              <w:rPr>
                <w:rFonts w:eastAsia="Century Gothic" w:cs="Century Gothic"/>
                <w:color w:val="000000"/>
                <w:sz w:val="18"/>
              </w:rPr>
              <w:t>Training videos/ visuals</w:t>
            </w:r>
          </w:p>
        </w:tc>
        <w:tc>
          <w:tcPr>
            <w:tcW w:w="647" w:type="pct"/>
          </w:tcPr>
          <w:p w14:paraId="10F6DA7D" w14:textId="77777777" w:rsidR="004D7551" w:rsidRDefault="004D7551" w:rsidP="004D7551">
            <w:pPr>
              <w:spacing w:after="0"/>
              <w:ind w:left="100" w:right="100"/>
              <w:jc w:val="right"/>
            </w:pPr>
            <w:r>
              <w:rPr>
                <w:rFonts w:eastAsia="Century Gothic" w:cs="Century Gothic"/>
                <w:color w:val="000000"/>
                <w:sz w:val="18"/>
              </w:rPr>
              <w:t>4 (3.8%)</w:t>
            </w:r>
          </w:p>
        </w:tc>
      </w:tr>
      <w:tr w:rsidR="006965F6" w14:paraId="50CACF77" w14:textId="77777777" w:rsidTr="007224B2">
        <w:tc>
          <w:tcPr>
            <w:tcW w:w="1823" w:type="pct"/>
          </w:tcPr>
          <w:p w14:paraId="59181A76" w14:textId="77777777" w:rsidR="004D7551" w:rsidRDefault="004D7551" w:rsidP="00FB0820">
            <w:pPr>
              <w:spacing w:after="0"/>
              <w:ind w:right="100"/>
            </w:pPr>
            <w:r>
              <w:rPr>
                <w:rFonts w:eastAsia="Century Gothic" w:cs="Century Gothic"/>
                <w:color w:val="000000"/>
                <w:sz w:val="18"/>
              </w:rPr>
              <w:t>Less repetition</w:t>
            </w:r>
          </w:p>
        </w:tc>
        <w:tc>
          <w:tcPr>
            <w:tcW w:w="823" w:type="pct"/>
          </w:tcPr>
          <w:p w14:paraId="0CBBFAB6" w14:textId="77777777" w:rsidR="004D7551" w:rsidRDefault="004D7551" w:rsidP="004D7551">
            <w:pPr>
              <w:spacing w:after="0"/>
              <w:ind w:left="100" w:right="100"/>
              <w:jc w:val="right"/>
            </w:pPr>
            <w:r>
              <w:rPr>
                <w:rFonts w:eastAsia="Century Gothic" w:cs="Century Gothic"/>
                <w:color w:val="000000"/>
                <w:sz w:val="18"/>
              </w:rPr>
              <w:t>19 (18.1%)</w:t>
            </w:r>
          </w:p>
        </w:tc>
        <w:tc>
          <w:tcPr>
            <w:tcW w:w="0" w:type="auto"/>
            <w:tcBorders>
              <w:top w:val="nil"/>
              <w:bottom w:val="nil"/>
            </w:tcBorders>
            <w:shd w:val="clear" w:color="auto" w:fill="auto"/>
          </w:tcPr>
          <w:p w14:paraId="228DC36E" w14:textId="77777777" w:rsidR="004D7551" w:rsidRDefault="004D7551" w:rsidP="004D7551">
            <w:pPr>
              <w:spacing w:after="0"/>
              <w:ind w:left="100" w:right="100"/>
              <w:jc w:val="right"/>
            </w:pPr>
          </w:p>
        </w:tc>
        <w:tc>
          <w:tcPr>
            <w:tcW w:w="1587" w:type="pct"/>
          </w:tcPr>
          <w:p w14:paraId="338F05FD" w14:textId="77777777" w:rsidR="004D7551" w:rsidRDefault="004D7551" w:rsidP="00FB0820">
            <w:pPr>
              <w:spacing w:after="0"/>
              <w:ind w:right="100"/>
            </w:pPr>
            <w:r>
              <w:rPr>
                <w:rFonts w:eastAsia="Century Gothic" w:cs="Century Gothic"/>
                <w:color w:val="000000"/>
                <w:sz w:val="18"/>
              </w:rPr>
              <w:t>Additional focus on GP engagement</w:t>
            </w:r>
          </w:p>
        </w:tc>
        <w:tc>
          <w:tcPr>
            <w:tcW w:w="647" w:type="pct"/>
          </w:tcPr>
          <w:p w14:paraId="10E58923" w14:textId="77777777" w:rsidR="004D7551" w:rsidRDefault="004D7551" w:rsidP="004D7551">
            <w:pPr>
              <w:spacing w:after="0"/>
              <w:ind w:left="100" w:right="100"/>
              <w:jc w:val="right"/>
            </w:pPr>
            <w:r>
              <w:rPr>
                <w:rFonts w:eastAsia="Century Gothic" w:cs="Century Gothic"/>
                <w:color w:val="000000"/>
                <w:sz w:val="18"/>
              </w:rPr>
              <w:t>2 (1.9%)</w:t>
            </w:r>
          </w:p>
        </w:tc>
      </w:tr>
      <w:tr w:rsidR="006965F6" w14:paraId="432EEE13" w14:textId="77777777" w:rsidTr="007224B2">
        <w:tc>
          <w:tcPr>
            <w:tcW w:w="1823" w:type="pct"/>
          </w:tcPr>
          <w:p w14:paraId="0F85FA93" w14:textId="77777777" w:rsidR="004D7551" w:rsidRDefault="004D7551" w:rsidP="00FB0820">
            <w:pPr>
              <w:spacing w:after="0"/>
              <w:ind w:right="100"/>
            </w:pPr>
            <w:r>
              <w:rPr>
                <w:rFonts w:eastAsia="Century Gothic" w:cs="Century Gothic"/>
                <w:color w:val="000000"/>
                <w:sz w:val="18"/>
              </w:rPr>
              <w:t>More simplified/concise</w:t>
            </w:r>
          </w:p>
        </w:tc>
        <w:tc>
          <w:tcPr>
            <w:tcW w:w="823" w:type="pct"/>
          </w:tcPr>
          <w:p w14:paraId="21EA93EC" w14:textId="77777777" w:rsidR="004D7551" w:rsidRDefault="004D7551" w:rsidP="004D7551">
            <w:pPr>
              <w:spacing w:after="0"/>
              <w:ind w:left="100" w:right="100"/>
              <w:jc w:val="right"/>
            </w:pPr>
            <w:r>
              <w:rPr>
                <w:rFonts w:eastAsia="Century Gothic" w:cs="Century Gothic"/>
                <w:color w:val="000000"/>
                <w:sz w:val="18"/>
              </w:rPr>
              <w:t>13 (12.4%)</w:t>
            </w:r>
          </w:p>
        </w:tc>
        <w:tc>
          <w:tcPr>
            <w:tcW w:w="0" w:type="auto"/>
            <w:tcBorders>
              <w:top w:val="nil"/>
              <w:bottom w:val="nil"/>
            </w:tcBorders>
            <w:shd w:val="clear" w:color="auto" w:fill="auto"/>
          </w:tcPr>
          <w:p w14:paraId="3F399941" w14:textId="77777777" w:rsidR="004D7551" w:rsidRDefault="004D7551" w:rsidP="004D7551">
            <w:pPr>
              <w:spacing w:after="0"/>
              <w:ind w:left="100" w:right="100"/>
              <w:jc w:val="right"/>
            </w:pPr>
          </w:p>
        </w:tc>
        <w:tc>
          <w:tcPr>
            <w:tcW w:w="1587" w:type="pct"/>
          </w:tcPr>
          <w:p w14:paraId="1FB92842" w14:textId="77777777" w:rsidR="004D7551" w:rsidRDefault="004D7551" w:rsidP="00FB0820">
            <w:pPr>
              <w:spacing w:after="0"/>
              <w:ind w:right="100"/>
            </w:pPr>
            <w:r>
              <w:rPr>
                <w:rFonts w:eastAsia="Century Gothic" w:cs="Century Gothic"/>
                <w:color w:val="000000"/>
                <w:sz w:val="18"/>
              </w:rPr>
              <w:t>Additional team involvement</w:t>
            </w:r>
          </w:p>
        </w:tc>
        <w:tc>
          <w:tcPr>
            <w:tcW w:w="647" w:type="pct"/>
          </w:tcPr>
          <w:p w14:paraId="1D4A370F" w14:textId="77777777" w:rsidR="004D7551" w:rsidRDefault="004D7551" w:rsidP="004D7551">
            <w:pPr>
              <w:spacing w:after="0"/>
              <w:ind w:left="100" w:right="100"/>
              <w:jc w:val="right"/>
            </w:pPr>
            <w:r>
              <w:rPr>
                <w:rFonts w:eastAsia="Century Gothic" w:cs="Century Gothic"/>
                <w:color w:val="000000"/>
                <w:sz w:val="18"/>
              </w:rPr>
              <w:t>2 (1.9%)</w:t>
            </w:r>
          </w:p>
        </w:tc>
      </w:tr>
      <w:tr w:rsidR="006965F6" w14:paraId="4E4FA4E7" w14:textId="77777777" w:rsidTr="007224B2">
        <w:tc>
          <w:tcPr>
            <w:tcW w:w="1823" w:type="pct"/>
          </w:tcPr>
          <w:p w14:paraId="7A702E82" w14:textId="77777777" w:rsidR="004D7551" w:rsidRDefault="004D7551" w:rsidP="00FB0820">
            <w:pPr>
              <w:spacing w:after="0"/>
              <w:ind w:right="100"/>
            </w:pPr>
            <w:r>
              <w:rPr>
                <w:rFonts w:eastAsia="Century Gothic" w:cs="Century Gothic"/>
                <w:color w:val="000000"/>
                <w:sz w:val="18"/>
              </w:rPr>
              <w:t>Additional practical examples/case studies</w:t>
            </w:r>
          </w:p>
        </w:tc>
        <w:tc>
          <w:tcPr>
            <w:tcW w:w="823" w:type="pct"/>
          </w:tcPr>
          <w:p w14:paraId="3CB528BD" w14:textId="77777777" w:rsidR="004D7551" w:rsidRDefault="004D7551" w:rsidP="004D7551">
            <w:pPr>
              <w:spacing w:after="0"/>
              <w:ind w:left="100" w:right="100"/>
              <w:jc w:val="right"/>
            </w:pPr>
            <w:r>
              <w:rPr>
                <w:rFonts w:eastAsia="Century Gothic" w:cs="Century Gothic"/>
                <w:color w:val="000000"/>
                <w:sz w:val="18"/>
              </w:rPr>
              <w:t>12 (11.4%)</w:t>
            </w:r>
          </w:p>
        </w:tc>
        <w:tc>
          <w:tcPr>
            <w:tcW w:w="0" w:type="auto"/>
            <w:tcBorders>
              <w:top w:val="nil"/>
              <w:bottom w:val="nil"/>
            </w:tcBorders>
            <w:shd w:val="clear" w:color="auto" w:fill="auto"/>
          </w:tcPr>
          <w:p w14:paraId="0CE8A9B7" w14:textId="77777777" w:rsidR="004D7551" w:rsidRDefault="004D7551" w:rsidP="004D7551">
            <w:pPr>
              <w:spacing w:after="0"/>
              <w:ind w:left="100" w:right="100"/>
              <w:jc w:val="right"/>
            </w:pPr>
          </w:p>
        </w:tc>
        <w:tc>
          <w:tcPr>
            <w:tcW w:w="1587" w:type="pct"/>
          </w:tcPr>
          <w:p w14:paraId="54C376CB" w14:textId="77777777" w:rsidR="004D7551" w:rsidRDefault="004D7551" w:rsidP="00FB0820">
            <w:pPr>
              <w:spacing w:after="0"/>
              <w:ind w:right="100"/>
            </w:pPr>
            <w:r>
              <w:rPr>
                <w:rFonts w:eastAsia="Century Gothic" w:cs="Century Gothic"/>
                <w:color w:val="000000"/>
                <w:sz w:val="18"/>
              </w:rPr>
              <w:t>Better questions to test knowledge</w:t>
            </w:r>
          </w:p>
        </w:tc>
        <w:tc>
          <w:tcPr>
            <w:tcW w:w="647" w:type="pct"/>
          </w:tcPr>
          <w:p w14:paraId="69B1351E" w14:textId="77777777" w:rsidR="004D7551" w:rsidRDefault="004D7551" w:rsidP="004D7551">
            <w:pPr>
              <w:spacing w:after="0"/>
              <w:ind w:left="100" w:right="100"/>
              <w:jc w:val="right"/>
            </w:pPr>
            <w:r>
              <w:rPr>
                <w:rFonts w:eastAsia="Century Gothic" w:cs="Century Gothic"/>
                <w:color w:val="000000"/>
                <w:sz w:val="18"/>
              </w:rPr>
              <w:t>2 (1.9%)</w:t>
            </w:r>
          </w:p>
        </w:tc>
      </w:tr>
      <w:tr w:rsidR="006965F6" w14:paraId="1CC772B8" w14:textId="77777777" w:rsidTr="007224B2">
        <w:tc>
          <w:tcPr>
            <w:tcW w:w="1823" w:type="pct"/>
          </w:tcPr>
          <w:p w14:paraId="60760610" w14:textId="77777777" w:rsidR="004D7551" w:rsidRDefault="004D7551" w:rsidP="00FB0820">
            <w:pPr>
              <w:spacing w:after="0"/>
              <w:ind w:right="100"/>
            </w:pPr>
            <w:r>
              <w:rPr>
                <w:rFonts w:eastAsia="Century Gothic" w:cs="Century Gothic"/>
                <w:color w:val="000000"/>
                <w:sz w:val="18"/>
              </w:rPr>
              <w:t>More engaging material</w:t>
            </w:r>
          </w:p>
        </w:tc>
        <w:tc>
          <w:tcPr>
            <w:tcW w:w="823" w:type="pct"/>
          </w:tcPr>
          <w:p w14:paraId="2AD36CFB" w14:textId="77777777" w:rsidR="004D7551" w:rsidRDefault="004D7551" w:rsidP="004D7551">
            <w:pPr>
              <w:spacing w:after="0"/>
              <w:ind w:left="100" w:right="100"/>
              <w:jc w:val="right"/>
            </w:pPr>
            <w:r>
              <w:rPr>
                <w:rFonts w:eastAsia="Century Gothic" w:cs="Century Gothic"/>
                <w:color w:val="000000"/>
                <w:sz w:val="18"/>
              </w:rPr>
              <w:t>9 (8.6%)</w:t>
            </w:r>
          </w:p>
        </w:tc>
        <w:tc>
          <w:tcPr>
            <w:tcW w:w="0" w:type="auto"/>
            <w:tcBorders>
              <w:top w:val="nil"/>
              <w:bottom w:val="nil"/>
            </w:tcBorders>
            <w:shd w:val="clear" w:color="auto" w:fill="auto"/>
          </w:tcPr>
          <w:p w14:paraId="0C089282" w14:textId="77777777" w:rsidR="004D7551" w:rsidRDefault="004D7551" w:rsidP="004D7551">
            <w:pPr>
              <w:spacing w:after="0"/>
              <w:ind w:left="100" w:right="100"/>
              <w:jc w:val="right"/>
            </w:pPr>
          </w:p>
        </w:tc>
        <w:tc>
          <w:tcPr>
            <w:tcW w:w="1587" w:type="pct"/>
          </w:tcPr>
          <w:p w14:paraId="3FE936FB" w14:textId="77777777" w:rsidR="004D7551" w:rsidRDefault="004D7551" w:rsidP="00FB0820">
            <w:pPr>
              <w:spacing w:after="0"/>
              <w:ind w:right="100"/>
            </w:pPr>
            <w:r>
              <w:rPr>
                <w:rFonts w:eastAsia="Century Gothic" w:cs="Century Gothic"/>
                <w:color w:val="000000"/>
                <w:sz w:val="18"/>
              </w:rPr>
              <w:t>Fewer activities</w:t>
            </w:r>
          </w:p>
        </w:tc>
        <w:tc>
          <w:tcPr>
            <w:tcW w:w="647" w:type="pct"/>
          </w:tcPr>
          <w:p w14:paraId="70EF0609" w14:textId="77777777" w:rsidR="004D7551" w:rsidRDefault="004D7551" w:rsidP="004D7551">
            <w:pPr>
              <w:spacing w:after="0"/>
              <w:ind w:left="100" w:right="100"/>
              <w:jc w:val="right"/>
            </w:pPr>
            <w:r>
              <w:rPr>
                <w:rFonts w:eastAsia="Century Gothic" w:cs="Century Gothic"/>
                <w:color w:val="000000"/>
                <w:sz w:val="18"/>
              </w:rPr>
              <w:t>2 (1.9%)</w:t>
            </w:r>
          </w:p>
        </w:tc>
      </w:tr>
      <w:tr w:rsidR="006965F6" w14:paraId="4A972E17" w14:textId="77777777" w:rsidTr="007224B2">
        <w:tc>
          <w:tcPr>
            <w:tcW w:w="1823" w:type="pct"/>
          </w:tcPr>
          <w:p w14:paraId="2A88C29B" w14:textId="77777777" w:rsidR="004D7551" w:rsidRDefault="004D7551" w:rsidP="00FB0820">
            <w:pPr>
              <w:spacing w:after="0"/>
              <w:ind w:right="100"/>
            </w:pPr>
            <w:r>
              <w:rPr>
                <w:rFonts w:eastAsia="Century Gothic" w:cs="Century Gothic"/>
                <w:color w:val="000000"/>
                <w:sz w:val="18"/>
              </w:rPr>
              <w:t>More user friendly and accessible</w:t>
            </w:r>
          </w:p>
        </w:tc>
        <w:tc>
          <w:tcPr>
            <w:tcW w:w="823" w:type="pct"/>
          </w:tcPr>
          <w:p w14:paraId="5B9E6BE7" w14:textId="77777777" w:rsidR="004D7551" w:rsidRDefault="004D7551" w:rsidP="004D7551">
            <w:pPr>
              <w:spacing w:after="0"/>
              <w:ind w:left="100" w:right="100"/>
              <w:jc w:val="right"/>
            </w:pPr>
            <w:r>
              <w:rPr>
                <w:rFonts w:eastAsia="Century Gothic" w:cs="Century Gothic"/>
                <w:color w:val="000000"/>
                <w:sz w:val="18"/>
              </w:rPr>
              <w:t>6 (5.7%)</w:t>
            </w:r>
          </w:p>
        </w:tc>
        <w:tc>
          <w:tcPr>
            <w:tcW w:w="0" w:type="auto"/>
            <w:tcBorders>
              <w:top w:val="nil"/>
              <w:bottom w:val="nil"/>
            </w:tcBorders>
            <w:shd w:val="clear" w:color="auto" w:fill="auto"/>
          </w:tcPr>
          <w:p w14:paraId="679E7494" w14:textId="77777777" w:rsidR="004D7551" w:rsidRDefault="004D7551" w:rsidP="004D7551">
            <w:pPr>
              <w:spacing w:after="0"/>
              <w:ind w:left="100" w:right="100"/>
              <w:jc w:val="right"/>
            </w:pPr>
          </w:p>
        </w:tc>
        <w:tc>
          <w:tcPr>
            <w:tcW w:w="1587" w:type="pct"/>
          </w:tcPr>
          <w:p w14:paraId="44EB2EAD" w14:textId="77777777" w:rsidR="004D7551" w:rsidRDefault="004D7551" w:rsidP="00FB0820">
            <w:pPr>
              <w:spacing w:after="0"/>
              <w:ind w:right="100"/>
            </w:pPr>
            <w:r>
              <w:rPr>
                <w:rFonts w:eastAsia="Century Gothic" w:cs="Century Gothic"/>
                <w:color w:val="000000"/>
                <w:sz w:val="18"/>
              </w:rPr>
              <w:t>Language easier to understand</w:t>
            </w:r>
          </w:p>
        </w:tc>
        <w:tc>
          <w:tcPr>
            <w:tcW w:w="647" w:type="pct"/>
          </w:tcPr>
          <w:p w14:paraId="0D6A85AE" w14:textId="77777777" w:rsidR="004D7551" w:rsidRDefault="004D7551" w:rsidP="004D7551">
            <w:pPr>
              <w:spacing w:after="0"/>
              <w:ind w:left="100" w:right="100"/>
              <w:jc w:val="right"/>
            </w:pPr>
            <w:r>
              <w:rPr>
                <w:rFonts w:eastAsia="Century Gothic" w:cs="Century Gothic"/>
                <w:color w:val="000000"/>
                <w:sz w:val="18"/>
              </w:rPr>
              <w:t>2 (1.9%)</w:t>
            </w:r>
          </w:p>
        </w:tc>
      </w:tr>
      <w:tr w:rsidR="006965F6" w14:paraId="0785865C" w14:textId="77777777" w:rsidTr="007224B2">
        <w:tc>
          <w:tcPr>
            <w:tcW w:w="1823" w:type="pct"/>
          </w:tcPr>
          <w:p w14:paraId="24D005F1" w14:textId="77777777" w:rsidR="004D7551" w:rsidRDefault="004D7551" w:rsidP="00FB0820">
            <w:pPr>
              <w:spacing w:after="0"/>
              <w:ind w:right="100"/>
            </w:pPr>
            <w:r>
              <w:rPr>
                <w:rFonts w:eastAsia="Century Gothic" w:cs="Century Gothic"/>
                <w:color w:val="000000"/>
                <w:sz w:val="18"/>
              </w:rPr>
              <w:t>Additional time to complete training</w:t>
            </w:r>
          </w:p>
        </w:tc>
        <w:tc>
          <w:tcPr>
            <w:tcW w:w="823" w:type="pct"/>
          </w:tcPr>
          <w:p w14:paraId="5B80C35E" w14:textId="77777777" w:rsidR="004D7551" w:rsidRDefault="004D7551" w:rsidP="004D7551">
            <w:pPr>
              <w:spacing w:after="0"/>
              <w:ind w:left="100" w:right="100"/>
              <w:jc w:val="right"/>
            </w:pPr>
            <w:r>
              <w:rPr>
                <w:rFonts w:eastAsia="Century Gothic" w:cs="Century Gothic"/>
                <w:color w:val="000000"/>
                <w:sz w:val="18"/>
              </w:rPr>
              <w:t>5 (4.8%)</w:t>
            </w:r>
          </w:p>
        </w:tc>
        <w:tc>
          <w:tcPr>
            <w:tcW w:w="0" w:type="auto"/>
            <w:tcBorders>
              <w:top w:val="nil"/>
              <w:bottom w:val="nil"/>
            </w:tcBorders>
            <w:shd w:val="clear" w:color="auto" w:fill="auto"/>
          </w:tcPr>
          <w:p w14:paraId="75D3DEA9" w14:textId="77777777" w:rsidR="004D7551" w:rsidRDefault="004D7551" w:rsidP="004D7551">
            <w:pPr>
              <w:spacing w:after="0"/>
              <w:ind w:left="100" w:right="100"/>
              <w:jc w:val="right"/>
            </w:pPr>
          </w:p>
        </w:tc>
        <w:tc>
          <w:tcPr>
            <w:tcW w:w="1587" w:type="pct"/>
          </w:tcPr>
          <w:p w14:paraId="5C1200B7" w14:textId="77777777" w:rsidR="004D7551" w:rsidRDefault="004D7551" w:rsidP="00FB0820">
            <w:pPr>
              <w:spacing w:after="0"/>
              <w:ind w:right="100"/>
            </w:pPr>
            <w:r>
              <w:rPr>
                <w:rFonts w:eastAsia="Century Gothic" w:cs="Century Gothic"/>
                <w:color w:val="000000"/>
                <w:sz w:val="18"/>
              </w:rPr>
              <w:t>Better leadership to drive change</w:t>
            </w:r>
          </w:p>
        </w:tc>
        <w:tc>
          <w:tcPr>
            <w:tcW w:w="647" w:type="pct"/>
          </w:tcPr>
          <w:p w14:paraId="39B2481E" w14:textId="77777777" w:rsidR="004D7551" w:rsidRDefault="004D7551" w:rsidP="004D7551">
            <w:pPr>
              <w:spacing w:after="0"/>
              <w:ind w:left="100" w:right="100"/>
              <w:jc w:val="right"/>
            </w:pPr>
            <w:r>
              <w:rPr>
                <w:rFonts w:eastAsia="Century Gothic" w:cs="Century Gothic"/>
                <w:color w:val="000000"/>
                <w:sz w:val="18"/>
              </w:rPr>
              <w:t>1 (1.0%)</w:t>
            </w:r>
          </w:p>
        </w:tc>
      </w:tr>
      <w:tr w:rsidR="006965F6" w14:paraId="6DBB7649" w14:textId="77777777" w:rsidTr="007224B2">
        <w:tc>
          <w:tcPr>
            <w:tcW w:w="1823" w:type="pct"/>
          </w:tcPr>
          <w:p w14:paraId="28803AA2" w14:textId="77777777" w:rsidR="004D7551" w:rsidRDefault="004D7551" w:rsidP="00FB0820">
            <w:pPr>
              <w:spacing w:after="0"/>
              <w:ind w:right="100"/>
            </w:pPr>
            <w:r>
              <w:rPr>
                <w:rFonts w:eastAsia="Century Gothic" w:cs="Century Gothic"/>
                <w:color w:val="000000"/>
                <w:sz w:val="18"/>
              </w:rPr>
              <w:t>In person training/workshop</w:t>
            </w:r>
          </w:p>
        </w:tc>
        <w:tc>
          <w:tcPr>
            <w:tcW w:w="823" w:type="pct"/>
          </w:tcPr>
          <w:p w14:paraId="5A563011" w14:textId="77777777" w:rsidR="004D7551" w:rsidRDefault="004D7551" w:rsidP="004D7551">
            <w:pPr>
              <w:spacing w:after="0"/>
              <w:ind w:left="100" w:right="100"/>
              <w:jc w:val="right"/>
            </w:pPr>
            <w:r>
              <w:rPr>
                <w:rFonts w:eastAsia="Century Gothic" w:cs="Century Gothic"/>
                <w:color w:val="000000"/>
                <w:sz w:val="18"/>
              </w:rPr>
              <w:t>5 (4.8%)</w:t>
            </w:r>
          </w:p>
        </w:tc>
        <w:tc>
          <w:tcPr>
            <w:tcW w:w="0" w:type="auto"/>
            <w:tcBorders>
              <w:top w:val="nil"/>
              <w:bottom w:val="nil"/>
            </w:tcBorders>
            <w:shd w:val="clear" w:color="auto" w:fill="auto"/>
          </w:tcPr>
          <w:p w14:paraId="377EE680" w14:textId="77777777" w:rsidR="004D7551" w:rsidRDefault="004D7551" w:rsidP="004D7551">
            <w:pPr>
              <w:spacing w:after="0"/>
              <w:ind w:left="100" w:right="100"/>
              <w:jc w:val="right"/>
            </w:pPr>
          </w:p>
        </w:tc>
        <w:tc>
          <w:tcPr>
            <w:tcW w:w="1587" w:type="pct"/>
          </w:tcPr>
          <w:p w14:paraId="1A5D8CAD" w14:textId="77777777" w:rsidR="004D7551" w:rsidRDefault="004D7551" w:rsidP="00FB0820">
            <w:pPr>
              <w:spacing w:after="0"/>
              <w:ind w:right="100"/>
            </w:pPr>
            <w:r>
              <w:rPr>
                <w:rFonts w:eastAsia="Century Gothic" w:cs="Century Gothic"/>
                <w:color w:val="000000"/>
                <w:sz w:val="18"/>
              </w:rPr>
              <w:t>Increased financial incentives</w:t>
            </w:r>
          </w:p>
        </w:tc>
        <w:tc>
          <w:tcPr>
            <w:tcW w:w="647" w:type="pct"/>
          </w:tcPr>
          <w:p w14:paraId="11EA89F7" w14:textId="77777777" w:rsidR="004D7551" w:rsidRDefault="004D7551" w:rsidP="004D7551">
            <w:pPr>
              <w:spacing w:after="0"/>
              <w:ind w:left="100" w:right="100"/>
              <w:jc w:val="right"/>
            </w:pPr>
            <w:r>
              <w:rPr>
                <w:rFonts w:eastAsia="Century Gothic" w:cs="Century Gothic"/>
                <w:color w:val="000000"/>
                <w:sz w:val="18"/>
              </w:rPr>
              <w:t>1 (1.0%)</w:t>
            </w:r>
          </w:p>
        </w:tc>
      </w:tr>
      <w:tr w:rsidR="006965F6" w14:paraId="06CFC498" w14:textId="77777777" w:rsidTr="007224B2">
        <w:tc>
          <w:tcPr>
            <w:tcW w:w="1823" w:type="pct"/>
          </w:tcPr>
          <w:p w14:paraId="4BB5B924" w14:textId="77777777" w:rsidR="004D7551" w:rsidRDefault="004D7551" w:rsidP="00FB0820">
            <w:pPr>
              <w:spacing w:after="0"/>
              <w:ind w:right="100"/>
            </w:pPr>
            <w:r>
              <w:rPr>
                <w:rFonts w:eastAsia="Century Gothic" w:cs="Century Gothic"/>
                <w:color w:val="000000"/>
                <w:sz w:val="18"/>
              </w:rPr>
              <w:t>Role specific modules</w:t>
            </w:r>
          </w:p>
        </w:tc>
        <w:tc>
          <w:tcPr>
            <w:tcW w:w="823" w:type="pct"/>
          </w:tcPr>
          <w:p w14:paraId="158C8634" w14:textId="77777777" w:rsidR="004D7551" w:rsidRDefault="004D7551" w:rsidP="004D7551">
            <w:pPr>
              <w:spacing w:after="0"/>
              <w:ind w:left="100" w:right="100"/>
              <w:jc w:val="right"/>
            </w:pPr>
            <w:r>
              <w:rPr>
                <w:rFonts w:eastAsia="Century Gothic" w:cs="Century Gothic"/>
                <w:color w:val="000000"/>
                <w:sz w:val="18"/>
              </w:rPr>
              <w:t>4 (3.8%)</w:t>
            </w:r>
          </w:p>
        </w:tc>
        <w:tc>
          <w:tcPr>
            <w:tcW w:w="0" w:type="auto"/>
            <w:tcBorders>
              <w:top w:val="nil"/>
              <w:bottom w:val="nil"/>
            </w:tcBorders>
            <w:shd w:val="clear" w:color="auto" w:fill="auto"/>
          </w:tcPr>
          <w:p w14:paraId="4B05307D" w14:textId="77777777" w:rsidR="004D7551" w:rsidRDefault="004D7551" w:rsidP="004D7551">
            <w:pPr>
              <w:spacing w:after="0"/>
              <w:ind w:left="100" w:right="100"/>
              <w:jc w:val="right"/>
            </w:pPr>
          </w:p>
        </w:tc>
        <w:tc>
          <w:tcPr>
            <w:tcW w:w="1587" w:type="pct"/>
          </w:tcPr>
          <w:p w14:paraId="2121FCB6" w14:textId="77777777" w:rsidR="004D7551" w:rsidRDefault="004D7551" w:rsidP="00FB0820">
            <w:pPr>
              <w:spacing w:after="0"/>
              <w:ind w:right="100"/>
            </w:pPr>
            <w:r>
              <w:rPr>
                <w:rFonts w:eastAsia="Century Gothic" w:cs="Century Gothic"/>
                <w:color w:val="000000"/>
                <w:sz w:val="18"/>
              </w:rPr>
              <w:t>More print options</w:t>
            </w:r>
          </w:p>
        </w:tc>
        <w:tc>
          <w:tcPr>
            <w:tcW w:w="647" w:type="pct"/>
          </w:tcPr>
          <w:p w14:paraId="2FE888AB" w14:textId="77777777" w:rsidR="004D7551" w:rsidRDefault="004D7551" w:rsidP="004D7551">
            <w:pPr>
              <w:spacing w:after="0"/>
              <w:ind w:left="100" w:right="100"/>
              <w:jc w:val="right"/>
            </w:pPr>
            <w:r>
              <w:rPr>
                <w:rFonts w:eastAsia="Century Gothic" w:cs="Century Gothic"/>
                <w:color w:val="000000"/>
                <w:sz w:val="18"/>
              </w:rPr>
              <w:t>1 (1.0%)</w:t>
            </w:r>
          </w:p>
        </w:tc>
      </w:tr>
    </w:tbl>
    <w:p w14:paraId="6BB59EBC" w14:textId="606DDA9A" w:rsidR="004D7551" w:rsidRDefault="004D7551" w:rsidP="004D7551">
      <w:pPr>
        <w:pStyle w:val="Chartortablefootnote"/>
      </w:pPr>
      <w:r>
        <w:t>Source: Practice survey R2, Nov 2018</w:t>
      </w:r>
      <w:r w:rsidR="00DB7B1B">
        <w:t>–</w:t>
      </w:r>
      <w:r>
        <w:t>Mar 2019, question 26.</w:t>
      </w:r>
    </w:p>
    <w:p w14:paraId="20BFA26C" w14:textId="21A834D2" w:rsidR="004D7551" w:rsidRPr="00555514" w:rsidRDefault="004D7551" w:rsidP="004D7551">
      <w:r>
        <w:lastRenderedPageBreak/>
        <w:t xml:space="preserve">In their responses to a survey, </w:t>
      </w:r>
      <w:r w:rsidRPr="00555514">
        <w:t>PHNs</w:t>
      </w:r>
      <w:r>
        <w:t xml:space="preserve"> </w:t>
      </w:r>
      <w:r w:rsidR="009F604E">
        <w:t xml:space="preserve">also </w:t>
      </w:r>
      <w:r>
        <w:t xml:space="preserve">suggested improvements to the online </w:t>
      </w:r>
      <w:r w:rsidR="0005066F">
        <w:t>modules</w:t>
      </w:r>
      <w:r w:rsidR="009F604E">
        <w:t>, including</w:t>
      </w:r>
      <w:r w:rsidRPr="00555514">
        <w:t>:</w:t>
      </w:r>
    </w:p>
    <w:p w14:paraId="72C6C6E6" w14:textId="77777777" w:rsidR="004D7551" w:rsidRPr="00555514" w:rsidRDefault="004D7551" w:rsidP="00EB5918">
      <w:pPr>
        <w:pStyle w:val="ListParagraph"/>
        <w:numPr>
          <w:ilvl w:val="0"/>
          <w:numId w:val="20"/>
        </w:numPr>
      </w:pPr>
      <w:r w:rsidRPr="00555514">
        <w:t>identify the essential and desirable features of the model</w:t>
      </w:r>
    </w:p>
    <w:p w14:paraId="4EC95233" w14:textId="77777777" w:rsidR="004D7551" w:rsidRPr="00555514" w:rsidRDefault="004D7551" w:rsidP="00EB5918">
      <w:pPr>
        <w:pStyle w:val="ListParagraph"/>
        <w:numPr>
          <w:ilvl w:val="0"/>
          <w:numId w:val="20"/>
        </w:numPr>
      </w:pPr>
      <w:r w:rsidRPr="00555514">
        <w:t>more instruction on the “</w:t>
      </w:r>
      <w:r w:rsidRPr="00555514">
        <w:rPr>
          <w:i/>
        </w:rPr>
        <w:t>global concepts beyond the model</w:t>
      </w:r>
      <w:r w:rsidRPr="00555514">
        <w:t>” [PHN 9, survey</w:t>
      </w:r>
      <w:r>
        <w:t>, R1</w:t>
      </w:r>
      <w:r w:rsidRPr="00555514">
        <w:t>]</w:t>
      </w:r>
    </w:p>
    <w:p w14:paraId="1C63570E" w14:textId="5FBCA33F" w:rsidR="004D7551" w:rsidRPr="00555514" w:rsidRDefault="004D7551" w:rsidP="00EB5918">
      <w:pPr>
        <w:pStyle w:val="ListParagraph"/>
        <w:numPr>
          <w:ilvl w:val="0"/>
          <w:numId w:val="20"/>
        </w:numPr>
      </w:pPr>
      <w:r w:rsidRPr="00555514">
        <w:t>consider where practices are at currently (</w:t>
      </w:r>
      <w:r w:rsidR="0010747B">
        <w:t>that is,</w:t>
      </w:r>
      <w:r w:rsidRPr="00555514">
        <w:t xml:space="preserve"> the modules should be “</w:t>
      </w:r>
      <w:r w:rsidRPr="00555514">
        <w:rPr>
          <w:i/>
        </w:rPr>
        <w:t>better targeted to the reality of where general practice is at not where they should be</w:t>
      </w:r>
      <w:r w:rsidRPr="00555514">
        <w:t>” [PHN 9, survey</w:t>
      </w:r>
      <w:r>
        <w:t>, R1</w:t>
      </w:r>
      <w:r w:rsidRPr="00555514">
        <w:t>])</w:t>
      </w:r>
    </w:p>
    <w:p w14:paraId="2A0F7679" w14:textId="77777777" w:rsidR="004D7551" w:rsidRPr="00555514" w:rsidRDefault="004D7551" w:rsidP="00EB5918">
      <w:pPr>
        <w:pStyle w:val="ListParagraph"/>
        <w:numPr>
          <w:ilvl w:val="0"/>
          <w:numId w:val="20"/>
        </w:numPr>
      </w:pPr>
      <w:r w:rsidRPr="00555514">
        <w:t>include activities to reinforce learning at the end of each module (in addition to practical activities)</w:t>
      </w:r>
    </w:p>
    <w:p w14:paraId="2E40D740" w14:textId="77777777" w:rsidR="004D7551" w:rsidRPr="00555514" w:rsidRDefault="004D7551" w:rsidP="00EB5918">
      <w:pPr>
        <w:pStyle w:val="ListParagraph"/>
        <w:numPr>
          <w:ilvl w:val="0"/>
          <w:numId w:val="20"/>
        </w:numPr>
      </w:pPr>
      <w:r w:rsidRPr="00555514">
        <w:t>increase video content</w:t>
      </w:r>
    </w:p>
    <w:p w14:paraId="088E7D2F" w14:textId="77777777" w:rsidR="004D7551" w:rsidRPr="00555514" w:rsidRDefault="004D7551" w:rsidP="00EB5918">
      <w:pPr>
        <w:pStyle w:val="ListParagraph"/>
        <w:numPr>
          <w:ilvl w:val="0"/>
          <w:numId w:val="20"/>
        </w:numPr>
      </w:pPr>
      <w:r w:rsidRPr="00555514">
        <w:t>provide more concise and relevant practice examples.</w:t>
      </w:r>
    </w:p>
    <w:p w14:paraId="5BF211EC" w14:textId="0846C861" w:rsidR="009F604E" w:rsidRDefault="009F604E" w:rsidP="009F604E">
      <w:pPr>
        <w:pStyle w:val="Heading3"/>
      </w:pPr>
      <w:r>
        <w:t>Preparation of PHN practice facilitators</w:t>
      </w:r>
    </w:p>
    <w:p w14:paraId="18E2DFCA" w14:textId="02D11505" w:rsidR="00527E18" w:rsidRDefault="009F604E" w:rsidP="009F604E">
      <w:r>
        <w:t>PHN practice facilitators were</w:t>
      </w:r>
      <w:r w:rsidR="008B0C0C">
        <w:t xml:space="preserve"> initially</w:t>
      </w:r>
      <w:r>
        <w:t xml:space="preserve"> trained in their roles through two </w:t>
      </w:r>
      <w:r w:rsidR="0005066F">
        <w:t xml:space="preserve">train-the-trainer </w:t>
      </w:r>
      <w:r>
        <w:t>workshops in 2017. The first, held in August, covered</w:t>
      </w:r>
      <w:r w:rsidR="0005066F">
        <w:t xml:space="preserve"> the topics of the first </w:t>
      </w:r>
      <w:r w:rsidRPr="00570527">
        <w:t xml:space="preserve">six </w:t>
      </w:r>
      <w:r w:rsidR="0005066F">
        <w:t xml:space="preserve">online training </w:t>
      </w:r>
      <w:r w:rsidRPr="00570527">
        <w:t>modules. The second</w:t>
      </w:r>
      <w:r>
        <w:t>, held in November,</w:t>
      </w:r>
      <w:r w:rsidRPr="00570527">
        <w:t xml:space="preserve"> </w:t>
      </w:r>
      <w:r>
        <w:t>covered the remaining modules.</w:t>
      </w:r>
      <w:r w:rsidR="008B0C0C">
        <w:t xml:space="preserve"> </w:t>
      </w:r>
      <w:r w:rsidR="008B0C0C" w:rsidRPr="008B0C0C">
        <w:t xml:space="preserve">What facilitators liked most about the workshops was sharing information with other facilitators. This was supported by the analysis of participant feedback </w:t>
      </w:r>
      <w:r w:rsidR="0005066F">
        <w:t xml:space="preserve">from the training workshops </w:t>
      </w:r>
      <w:r w:rsidR="008B0C0C" w:rsidRPr="008B0C0C">
        <w:t>provided by AGPAL</w:t>
      </w:r>
      <w:r w:rsidR="008B0C0C">
        <w:t>, where t</w:t>
      </w:r>
      <w:r w:rsidR="008B0C0C" w:rsidRPr="008B0C0C">
        <w:t xml:space="preserve">he </w:t>
      </w:r>
      <w:r w:rsidR="008B0C0C">
        <w:t xml:space="preserve">two </w:t>
      </w:r>
      <w:r w:rsidR="00D96930" w:rsidRPr="008B0C0C">
        <w:t xml:space="preserve">most highly rated sessions were </w:t>
      </w:r>
      <w:r w:rsidR="00D96930">
        <w:t xml:space="preserve">those </w:t>
      </w:r>
      <w:r w:rsidR="008B0C0C">
        <w:t>where facilitators shared their</w:t>
      </w:r>
      <w:r w:rsidR="008B0C0C" w:rsidRPr="008B0C0C">
        <w:t xml:space="preserve"> implementation experiences.</w:t>
      </w:r>
      <w:r w:rsidR="008B0C0C">
        <w:t xml:space="preserve"> </w:t>
      </w:r>
      <w:r w:rsidR="00D96930">
        <w:t xml:space="preserve">At the workshops, </w:t>
      </w:r>
      <w:r w:rsidR="008B0C0C">
        <w:t>PHN practice facilitators</w:t>
      </w:r>
      <w:r w:rsidR="008B0C0C" w:rsidRPr="008B0C0C">
        <w:t xml:space="preserve"> would have</w:t>
      </w:r>
      <w:r w:rsidR="008B0C0C">
        <w:t xml:space="preserve"> also</w:t>
      </w:r>
      <w:r w:rsidR="008B0C0C" w:rsidRPr="008B0C0C">
        <w:t xml:space="preserve"> liked to hear more from speakers working in practices that had implemented HCH-like models in Australia or from other countries whose systems were like the Australian health care system (</w:t>
      </w:r>
      <w:r w:rsidR="0010747B">
        <w:t>for example,</w:t>
      </w:r>
      <w:r w:rsidR="008B0C0C" w:rsidRPr="008B0C0C">
        <w:t xml:space="preserve"> New Zealand)</w:t>
      </w:r>
      <w:r w:rsidR="008B0C0C">
        <w:t xml:space="preserve"> rather than from speakers from the United States, whose health care system they considered to be very different from Australia’s.</w:t>
      </w:r>
    </w:p>
    <w:p w14:paraId="049750BC" w14:textId="303000C1" w:rsidR="00527E18" w:rsidRDefault="00527E18" w:rsidP="009F604E">
      <w:r>
        <w:t xml:space="preserve">A third </w:t>
      </w:r>
      <w:r w:rsidR="0009503C">
        <w:t>refresher workshop was run in November 2019 as part of the HCH Forum hosted by the Department of Health.</w:t>
      </w:r>
    </w:p>
    <w:p w14:paraId="1370C648" w14:textId="1988012A" w:rsidR="00205767" w:rsidRDefault="008B0C0C" w:rsidP="009F604E">
      <w:r>
        <w:t xml:space="preserve">Following the </w:t>
      </w:r>
      <w:r w:rsidR="0009503C">
        <w:t xml:space="preserve">initial </w:t>
      </w:r>
      <w:r>
        <w:t xml:space="preserve">workshops, AGPAL </w:t>
      </w:r>
      <w:r w:rsidR="0005066F">
        <w:t>ran</w:t>
      </w:r>
      <w:r>
        <w:t xml:space="preserve"> regular webinars focussed on different elements of the </w:t>
      </w:r>
      <w:r w:rsidR="0009503C">
        <w:t>PCMH and</w:t>
      </w:r>
      <w:r>
        <w:t xml:space="preserve"> </w:t>
      </w:r>
      <w:r w:rsidR="0009503C">
        <w:t>involved</w:t>
      </w:r>
      <w:r>
        <w:t xml:space="preserve"> guest speakers. A national facilitator supported </w:t>
      </w:r>
      <w:r w:rsidR="00205767">
        <w:t xml:space="preserve">PHN practice </w:t>
      </w:r>
      <w:r>
        <w:t>facilitators with questions or challenges</w:t>
      </w:r>
      <w:r w:rsidR="00CA1655">
        <w:t>. PHNs were generally very positive about the webinars:</w:t>
      </w:r>
    </w:p>
    <w:p w14:paraId="5982FFC9" w14:textId="2A4027CD" w:rsidR="00205767" w:rsidRPr="00DB5640" w:rsidRDefault="00205767" w:rsidP="00205767">
      <w:pPr>
        <w:ind w:left="567" w:right="521"/>
        <w:rPr>
          <w:i/>
          <w:iCs/>
          <w:szCs w:val="20"/>
          <w:lang w:val="en-US"/>
        </w:rPr>
      </w:pPr>
      <w:r w:rsidRPr="00DB5640">
        <w:rPr>
          <w:i/>
          <w:iCs/>
          <w:szCs w:val="20"/>
          <w:lang w:val="en-US"/>
        </w:rPr>
        <w:t xml:space="preserve">“I think the webinars have been great with [AGPAL staff member]…I haven’t got anything to say that hasn’t worked for us.” </w:t>
      </w:r>
      <w:r w:rsidRPr="00E426DB">
        <w:rPr>
          <w:szCs w:val="20"/>
          <w:lang w:val="en-US"/>
        </w:rPr>
        <w:t>[PHN 10, Interview, R5]</w:t>
      </w:r>
    </w:p>
    <w:p w14:paraId="6F1015BF" w14:textId="49C0C200" w:rsidR="008B0C0C" w:rsidRPr="00133B3E" w:rsidRDefault="007F675C" w:rsidP="009F604E">
      <w:r w:rsidRPr="00133B3E">
        <w:rPr>
          <w:color w:val="002060"/>
        </w:rPr>
        <w:fldChar w:fldCharType="begin"/>
      </w:r>
      <w:r w:rsidRPr="00133B3E">
        <w:rPr>
          <w:color w:val="002060"/>
        </w:rPr>
        <w:instrText xml:space="preserve"> REF Bxtrngspprtfacilitators \h  \* MERGEFORMAT </w:instrText>
      </w:r>
      <w:r w:rsidRPr="00133B3E">
        <w:rPr>
          <w:color w:val="002060"/>
        </w:rPr>
      </w:r>
      <w:r w:rsidRPr="00133B3E">
        <w:rPr>
          <w:color w:val="002060"/>
        </w:rPr>
        <w:fldChar w:fldCharType="separate"/>
      </w:r>
      <w:r w:rsidR="003C4BC2" w:rsidRPr="003C4BC2">
        <w:rPr>
          <w:color w:val="002060"/>
          <w:szCs w:val="20"/>
        </w:rPr>
        <w:t xml:space="preserve">Box </w:t>
      </w:r>
      <w:r w:rsidR="003C4BC2" w:rsidRPr="003C4BC2">
        <w:rPr>
          <w:noProof/>
          <w:color w:val="002060"/>
        </w:rPr>
        <w:t>8</w:t>
      </w:r>
      <w:r w:rsidRPr="00133B3E">
        <w:rPr>
          <w:color w:val="002060"/>
        </w:rPr>
        <w:fldChar w:fldCharType="end"/>
      </w:r>
      <w:r w:rsidRPr="00133B3E">
        <w:t xml:space="preserve"> lists o</w:t>
      </w:r>
      <w:r w:rsidR="0005066F" w:rsidRPr="00133B3E">
        <w:t>ther support activities.</w:t>
      </w: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D96930" w:rsidRPr="0048466A" w14:paraId="7B7F2E4D" w14:textId="77777777" w:rsidTr="00256EF9">
        <w:tc>
          <w:tcPr>
            <w:tcW w:w="8996" w:type="dxa"/>
            <w:shd w:val="clear" w:color="auto" w:fill="auto"/>
          </w:tcPr>
          <w:p w14:paraId="74B4FEAF" w14:textId="7F045C50" w:rsidR="00D96930" w:rsidRPr="0048466A" w:rsidRDefault="00D96930" w:rsidP="00BE164E">
            <w:pPr>
              <w:pStyle w:val="Boxheading"/>
              <w:spacing w:after="120"/>
              <w:rPr>
                <w:b/>
                <w:bCs/>
                <w:szCs w:val="20"/>
              </w:rPr>
            </w:pPr>
            <w:bookmarkStart w:id="100" w:name="Bxtrngspprtfacilitators"/>
            <w:r w:rsidRPr="00286AED">
              <w:rPr>
                <w:bCs/>
                <w:szCs w:val="20"/>
              </w:rPr>
              <w:t xml:space="preserve">Box </w:t>
            </w:r>
            <w:r w:rsidR="00A61B29">
              <w:fldChar w:fldCharType="begin"/>
            </w:r>
            <w:r w:rsidR="00A61B29">
              <w:instrText xml:space="preserve"> SEQ Box \* ARABIC </w:instrText>
            </w:r>
            <w:r w:rsidR="00A61B29">
              <w:fldChar w:fldCharType="separate"/>
            </w:r>
            <w:r w:rsidR="003C4BC2">
              <w:rPr>
                <w:noProof/>
              </w:rPr>
              <w:t>8</w:t>
            </w:r>
            <w:r w:rsidR="00A61B29">
              <w:rPr>
                <w:noProof/>
              </w:rPr>
              <w:fldChar w:fldCharType="end"/>
            </w:r>
            <w:bookmarkEnd w:id="100"/>
            <w:r w:rsidRPr="00286AED">
              <w:rPr>
                <w:bCs/>
                <w:szCs w:val="20"/>
              </w:rPr>
              <w:t xml:space="preserve">: </w:t>
            </w:r>
            <w:r w:rsidR="00286AED">
              <w:rPr>
                <w:bCs/>
                <w:szCs w:val="20"/>
              </w:rPr>
              <w:t xml:space="preserve">Training </w:t>
            </w:r>
            <w:r w:rsidR="0005066F">
              <w:rPr>
                <w:bCs/>
                <w:szCs w:val="20"/>
              </w:rPr>
              <w:t xml:space="preserve">and </w:t>
            </w:r>
            <w:r w:rsidR="00286AED">
              <w:rPr>
                <w:bCs/>
                <w:szCs w:val="20"/>
              </w:rPr>
              <w:t>support provided to PHN practice facilitators</w:t>
            </w:r>
          </w:p>
          <w:p w14:paraId="66E60874" w14:textId="10BE802E" w:rsidR="00D96930" w:rsidRPr="00286AED" w:rsidRDefault="00DB5640" w:rsidP="00BE164E">
            <w:pPr>
              <w:pStyle w:val="ListParagraph"/>
              <w:numPr>
                <w:ilvl w:val="0"/>
                <w:numId w:val="10"/>
              </w:numPr>
              <w:spacing w:after="120"/>
              <w:ind w:left="357" w:hanging="357"/>
              <w:contextualSpacing w:val="0"/>
              <w:rPr>
                <w:sz w:val="18"/>
                <w:szCs w:val="18"/>
              </w:rPr>
            </w:pPr>
            <w:r>
              <w:rPr>
                <w:sz w:val="18"/>
                <w:szCs w:val="18"/>
              </w:rPr>
              <w:t>Coaching</w:t>
            </w:r>
            <w:r w:rsidR="00D96930" w:rsidRPr="00286AED">
              <w:rPr>
                <w:sz w:val="18"/>
                <w:szCs w:val="18"/>
              </w:rPr>
              <w:t xml:space="preserve"> webinars, including train</w:t>
            </w:r>
            <w:r>
              <w:rPr>
                <w:sz w:val="18"/>
                <w:szCs w:val="18"/>
              </w:rPr>
              <w:t>-</w:t>
            </w:r>
            <w:r w:rsidR="00D96930" w:rsidRPr="00286AED">
              <w:rPr>
                <w:sz w:val="18"/>
                <w:szCs w:val="18"/>
              </w:rPr>
              <w:t>the</w:t>
            </w:r>
            <w:r>
              <w:rPr>
                <w:sz w:val="18"/>
                <w:szCs w:val="18"/>
              </w:rPr>
              <w:t>-</w:t>
            </w:r>
            <w:r w:rsidR="00D96930" w:rsidRPr="00286AED">
              <w:rPr>
                <w:sz w:val="18"/>
                <w:szCs w:val="18"/>
              </w:rPr>
              <w:t>trainer webinars for new practice facilitators (and those requiring a refresher) and ongoing webinars emphasising different aspects of HCH.</w:t>
            </w:r>
          </w:p>
          <w:p w14:paraId="21DF2C00" w14:textId="1758AC53" w:rsidR="00D96930" w:rsidRPr="00D96930" w:rsidRDefault="00D96930" w:rsidP="00BE164E">
            <w:pPr>
              <w:pStyle w:val="ListParagraph"/>
              <w:numPr>
                <w:ilvl w:val="0"/>
                <w:numId w:val="10"/>
              </w:numPr>
              <w:spacing w:after="120"/>
              <w:ind w:left="357" w:hanging="357"/>
              <w:contextualSpacing w:val="0"/>
              <w:rPr>
                <w:rFonts w:eastAsia="Muli" w:cs="Muli"/>
                <w:color w:val="000000" w:themeColor="text1"/>
                <w:sz w:val="18"/>
                <w:szCs w:val="18"/>
              </w:rPr>
            </w:pPr>
            <w:r w:rsidRPr="00286AED">
              <w:rPr>
                <w:sz w:val="18"/>
                <w:szCs w:val="18"/>
              </w:rPr>
              <w:t>Pioneers of change, a platform for practice facilitators to showcase experiences, highlight areas of</w:t>
            </w:r>
            <w:r w:rsidRPr="00D96930">
              <w:rPr>
                <w:rFonts w:eastAsia="Muli" w:cs="Muli"/>
                <w:color w:val="000000" w:themeColor="text1"/>
                <w:sz w:val="18"/>
                <w:szCs w:val="18"/>
              </w:rPr>
              <w:t xml:space="preserve"> challenge, different approaches to implementation, solutions, and resources.</w:t>
            </w:r>
          </w:p>
          <w:p w14:paraId="0C234242" w14:textId="5BB0805C" w:rsidR="00D96930" w:rsidRPr="00286AED" w:rsidRDefault="00D96930" w:rsidP="00BE164E">
            <w:pPr>
              <w:pStyle w:val="ListParagraph"/>
              <w:numPr>
                <w:ilvl w:val="0"/>
                <w:numId w:val="10"/>
              </w:numPr>
              <w:spacing w:after="120"/>
              <w:ind w:left="357" w:hanging="357"/>
              <w:contextualSpacing w:val="0"/>
              <w:rPr>
                <w:sz w:val="18"/>
                <w:szCs w:val="18"/>
              </w:rPr>
            </w:pPr>
            <w:r w:rsidRPr="00286AED">
              <w:rPr>
                <w:sz w:val="18"/>
                <w:szCs w:val="18"/>
              </w:rPr>
              <w:t>Review of bi-monthly reports provided by the practice facilitators, capturing HCH-related events and how these can be improved, identify and encourage collaboration on common issues and suggest solutions to moving practices through transformation.</w:t>
            </w:r>
          </w:p>
          <w:p w14:paraId="763E3843" w14:textId="4D0B410F" w:rsidR="00D96930" w:rsidRPr="00286AED" w:rsidRDefault="00D96930" w:rsidP="00BE164E">
            <w:pPr>
              <w:pStyle w:val="ListParagraph"/>
              <w:numPr>
                <w:ilvl w:val="0"/>
                <w:numId w:val="10"/>
              </w:numPr>
              <w:spacing w:after="120"/>
              <w:ind w:left="357" w:hanging="357"/>
              <w:contextualSpacing w:val="0"/>
              <w:rPr>
                <w:sz w:val="18"/>
                <w:szCs w:val="18"/>
              </w:rPr>
            </w:pPr>
            <w:r w:rsidRPr="00286AED">
              <w:rPr>
                <w:sz w:val="18"/>
                <w:szCs w:val="18"/>
              </w:rPr>
              <w:lastRenderedPageBreak/>
              <w:t>Online learning collaborative, an online interactive forum aimed to foster a community of practice through the proactive sharing of knowledge and experience including issues or challenges, strategies and solutions, quality Improvement approaches, tools and resources, articles, case studies and best practice.</w:t>
            </w:r>
          </w:p>
          <w:p w14:paraId="4C0154AE" w14:textId="43CBB158" w:rsidR="00D96930" w:rsidRPr="00286AED" w:rsidRDefault="00D96930" w:rsidP="00BE164E">
            <w:pPr>
              <w:pStyle w:val="ListParagraph"/>
              <w:numPr>
                <w:ilvl w:val="0"/>
                <w:numId w:val="10"/>
              </w:numPr>
              <w:spacing w:after="120"/>
              <w:ind w:left="357" w:hanging="357"/>
              <w:contextualSpacing w:val="0"/>
              <w:rPr>
                <w:sz w:val="18"/>
                <w:szCs w:val="18"/>
              </w:rPr>
            </w:pPr>
            <w:r w:rsidRPr="00286AED">
              <w:rPr>
                <w:sz w:val="18"/>
                <w:szCs w:val="18"/>
              </w:rPr>
              <w:t>Practice facilitator buddy scheme, linking recently appointed practice facilitators with more experienced facilitators to support learning, development and growth.</w:t>
            </w:r>
          </w:p>
          <w:p w14:paraId="182917B5" w14:textId="7B6A0230" w:rsidR="00D96930" w:rsidRPr="001129DB" w:rsidRDefault="00D96930" w:rsidP="00BE164E">
            <w:pPr>
              <w:pStyle w:val="ListParagraph"/>
              <w:numPr>
                <w:ilvl w:val="0"/>
                <w:numId w:val="10"/>
              </w:numPr>
              <w:spacing w:after="120"/>
              <w:ind w:left="357" w:hanging="357"/>
              <w:contextualSpacing w:val="0"/>
              <w:rPr>
                <w:rFonts w:eastAsia="Muli" w:cs="Muli"/>
                <w:color w:val="000000" w:themeColor="text1"/>
                <w:sz w:val="18"/>
                <w:szCs w:val="18"/>
              </w:rPr>
            </w:pPr>
            <w:r w:rsidRPr="00286AED">
              <w:rPr>
                <w:sz w:val="18"/>
                <w:szCs w:val="18"/>
              </w:rPr>
              <w:t>Quarterly webinars, aimed at sharing highlights, learnings, strategies, and resources collected from the practice facilitators.</w:t>
            </w:r>
          </w:p>
        </w:tc>
      </w:tr>
    </w:tbl>
    <w:p w14:paraId="6A5A9972" w14:textId="77777777" w:rsidR="00D96930" w:rsidRDefault="00D96930" w:rsidP="00286AED">
      <w:pPr>
        <w:spacing w:after="0"/>
      </w:pPr>
    </w:p>
    <w:p w14:paraId="1EF3E172" w14:textId="3A82DC19" w:rsidR="0005066F" w:rsidRPr="0005066F" w:rsidRDefault="0005066F" w:rsidP="0005066F">
      <w:pPr>
        <w:pStyle w:val="Heading3"/>
      </w:pPr>
      <w:r w:rsidRPr="0005066F">
        <w:t>PHN practice facilitator role</w:t>
      </w:r>
      <w:r w:rsidR="00C22804">
        <w:t xml:space="preserve"> challenges</w:t>
      </w:r>
    </w:p>
    <w:p w14:paraId="3A76270B" w14:textId="6531770B" w:rsidR="00286AED" w:rsidRDefault="00286AED" w:rsidP="00286AED">
      <w:pPr>
        <w:rPr>
          <w:rFonts w:ascii="Century Gothic" w:hAnsi="Century Gothic"/>
          <w:szCs w:val="20"/>
        </w:rPr>
      </w:pPr>
      <w:r>
        <w:rPr>
          <w:szCs w:val="20"/>
        </w:rPr>
        <w:t xml:space="preserve">At the beginning of the trial, PHN practice facilitators </w:t>
      </w:r>
      <w:r w:rsidR="00567489" w:rsidRPr="00567489">
        <w:rPr>
          <w:szCs w:val="20"/>
        </w:rPr>
        <w:t>described difficult</w:t>
      </w:r>
      <w:r w:rsidR="002A6E41">
        <w:rPr>
          <w:szCs w:val="20"/>
        </w:rPr>
        <w:t>ies</w:t>
      </w:r>
      <w:r w:rsidR="00567489" w:rsidRPr="00567489">
        <w:rPr>
          <w:szCs w:val="20"/>
        </w:rPr>
        <w:t xml:space="preserve"> providing support and training to practices at the same time as learning about HCH themselves</w:t>
      </w:r>
      <w:r>
        <w:rPr>
          <w:szCs w:val="20"/>
        </w:rPr>
        <w:t xml:space="preserve">. They </w:t>
      </w:r>
      <w:r w:rsidR="0005066F">
        <w:rPr>
          <w:szCs w:val="20"/>
        </w:rPr>
        <w:t>felt</w:t>
      </w:r>
      <w:r>
        <w:rPr>
          <w:szCs w:val="20"/>
        </w:rPr>
        <w:t xml:space="preserve"> they had little guidance or clear expectations of their role </w:t>
      </w:r>
      <w:r w:rsidR="002A6E41">
        <w:rPr>
          <w:szCs w:val="20"/>
        </w:rPr>
        <w:t>at this time</w:t>
      </w:r>
      <w:r>
        <w:rPr>
          <w:szCs w:val="20"/>
        </w:rPr>
        <w:t>. One PHN suggested that the train-the-trainer workshops designed to prepare facilitators for their role could have been used to explore the differences between a PHN’s usual support role of general practices and the facilitation role for HCH:</w:t>
      </w:r>
    </w:p>
    <w:p w14:paraId="61C49328" w14:textId="77777777" w:rsidR="00286AED" w:rsidRDefault="00286AED" w:rsidP="00286AED">
      <w:pPr>
        <w:ind w:left="284"/>
        <w:rPr>
          <w:szCs w:val="20"/>
        </w:rPr>
      </w:pPr>
      <w:r>
        <w:rPr>
          <w:i/>
          <w:iCs/>
          <w:szCs w:val="20"/>
        </w:rPr>
        <w:t>“Each PHN has just been left to sort of work their own way through it…there’s lots of support from the Commonwealth and AGPAL, but I don’t know that we’ve really landed on what does it mean and what does it really look like and what are the skill sets that you need to do this....”</w:t>
      </w:r>
      <w:r>
        <w:rPr>
          <w:szCs w:val="20"/>
        </w:rPr>
        <w:t xml:space="preserve"> [PHN 2, interview, R1]</w:t>
      </w:r>
    </w:p>
    <w:p w14:paraId="4D4E4E48" w14:textId="16B86D85" w:rsidR="00286AED" w:rsidRDefault="00286AED" w:rsidP="00286AED">
      <w:pPr>
        <w:rPr>
          <w:szCs w:val="20"/>
        </w:rPr>
      </w:pPr>
      <w:r>
        <w:rPr>
          <w:szCs w:val="20"/>
        </w:rPr>
        <w:t>As the trial progressed, facilitators developed their own understanding of the role. During subsequent rounds of interviews</w:t>
      </w:r>
      <w:r w:rsidR="002A6E41">
        <w:rPr>
          <w:szCs w:val="20"/>
        </w:rPr>
        <w:t xml:space="preserve"> for the evaluation</w:t>
      </w:r>
      <w:r>
        <w:rPr>
          <w:szCs w:val="20"/>
        </w:rPr>
        <w:t>, facilitators reported having a much better understanding of the model and how to support practices with program implementation:</w:t>
      </w:r>
    </w:p>
    <w:p w14:paraId="501DF772" w14:textId="77777777" w:rsidR="00286AED" w:rsidRDefault="00286AED" w:rsidP="00286AED">
      <w:pPr>
        <w:ind w:left="284" w:right="1089"/>
        <w:rPr>
          <w:szCs w:val="20"/>
        </w:rPr>
      </w:pPr>
      <w:r>
        <w:rPr>
          <w:i/>
          <w:szCs w:val="20"/>
        </w:rPr>
        <w:t xml:space="preserve">“…in the next phase, the next wave of practices, we know the good, the bad and the ugly basically. We’ll know exactly what we’re looking for, how the install is going to be because we’ve ironed everything out now.” </w:t>
      </w:r>
      <w:r>
        <w:rPr>
          <w:szCs w:val="20"/>
        </w:rPr>
        <w:t>[PHN 10, interview, R2]</w:t>
      </w:r>
    </w:p>
    <w:p w14:paraId="28AAC1B5" w14:textId="49EFAC21" w:rsidR="00286AED" w:rsidRPr="00DB5640" w:rsidRDefault="00DB5640" w:rsidP="00DB5640">
      <w:pPr>
        <w:rPr>
          <w:szCs w:val="20"/>
        </w:rPr>
      </w:pPr>
      <w:r w:rsidRPr="00DB5640">
        <w:rPr>
          <w:szCs w:val="20"/>
        </w:rPr>
        <w:t>S</w:t>
      </w:r>
      <w:r w:rsidR="00286AED" w:rsidRPr="00DB5640">
        <w:rPr>
          <w:szCs w:val="20"/>
        </w:rPr>
        <w:t>ome PHN facilitators reported feeling overwhelmed with their role</w:t>
      </w:r>
      <w:r w:rsidR="0005066F">
        <w:rPr>
          <w:szCs w:val="20"/>
        </w:rPr>
        <w:t xml:space="preserve"> due to competing demands</w:t>
      </w:r>
      <w:r w:rsidRPr="00DB5640">
        <w:rPr>
          <w:szCs w:val="20"/>
        </w:rPr>
        <w:t>:</w:t>
      </w:r>
    </w:p>
    <w:p w14:paraId="39D608CF" w14:textId="77777777" w:rsidR="00286AED" w:rsidRDefault="00286AED" w:rsidP="00DB5640">
      <w:pPr>
        <w:ind w:left="567" w:right="1089"/>
        <w:rPr>
          <w:iCs/>
          <w:szCs w:val="20"/>
        </w:rPr>
      </w:pPr>
      <w:r>
        <w:rPr>
          <w:i/>
          <w:szCs w:val="20"/>
        </w:rPr>
        <w:t xml:space="preserve">“It’s hard for me to say because, to be honest, I'm just feeling stretched in different directions at the moment, and I don’t feel like I've been able to do Health Care Homes the justice that I would have liked. I understand the content of it, but I wish I could be more hands-on and supportive to the practices. I just haven't had the time and capacity.” </w:t>
      </w:r>
      <w:r>
        <w:rPr>
          <w:iCs/>
          <w:szCs w:val="20"/>
        </w:rPr>
        <w:t>[PHN 3, Interview, R5]</w:t>
      </w:r>
    </w:p>
    <w:p w14:paraId="2A24A0AC" w14:textId="1AD369BC" w:rsidR="00286AED" w:rsidRDefault="00286AED" w:rsidP="00286AED">
      <w:r>
        <w:t>Facilitator turnover was an ongoing issue that negatively impacted both PHNs and practices throughout the trial</w:t>
      </w:r>
      <w:r w:rsidRPr="00C447D2">
        <w:t xml:space="preserve">. An indicator of the extent of the turnover is that of the original cohort of 45 PHN practice facilitators trained for the role </w:t>
      </w:r>
      <w:r w:rsidR="00DB5640" w:rsidRPr="00C447D2">
        <w:t xml:space="preserve">before the </w:t>
      </w:r>
      <w:r w:rsidRPr="00C447D2">
        <w:t xml:space="preserve">start of </w:t>
      </w:r>
      <w:r w:rsidR="00DB5640" w:rsidRPr="00C447D2">
        <w:t>the trial</w:t>
      </w:r>
      <w:r w:rsidRPr="00C447D2">
        <w:t xml:space="preserve"> (August to November 2017), five individuals remained in the role </w:t>
      </w:r>
      <w:r w:rsidR="00DB5640" w:rsidRPr="00C447D2">
        <w:t>at the end of</w:t>
      </w:r>
      <w:r w:rsidRPr="00C447D2">
        <w:t xml:space="preserve"> the trial. </w:t>
      </w:r>
      <w:r w:rsidR="00C22804" w:rsidRPr="00C447D2">
        <w:t>N</w:t>
      </w:r>
      <w:r w:rsidRPr="00C447D2">
        <w:t>ew facilitators had to simultaneously re-establish</w:t>
      </w:r>
      <w:r>
        <w:t xml:space="preserve"> relationships with practices and rebuild trust while learning about the program. New facilitators reported that they received little training or handover from previous facilitators and had to learn on the job:</w:t>
      </w:r>
    </w:p>
    <w:p w14:paraId="30D20F38" w14:textId="77777777" w:rsidR="00286AED" w:rsidRDefault="00286AED" w:rsidP="00DB5640">
      <w:pPr>
        <w:ind w:left="567" w:right="521"/>
      </w:pPr>
      <w:r>
        <w:rPr>
          <w:i/>
          <w:iCs/>
        </w:rPr>
        <w:lastRenderedPageBreak/>
        <w:t>“…I came into a position where the team was morphing into something different… I felt that just looking at my role I didn't have a clear understanding… I read the handbook and all of that. And how to support and facilitate but it was a lot of information to take in to just go into a practice and assist the practice.”</w:t>
      </w:r>
      <w:r>
        <w:t xml:space="preserve"> [PHN 5, interview, R2]</w:t>
      </w:r>
    </w:p>
    <w:p w14:paraId="059EA56C" w14:textId="77777777" w:rsidR="00286AED" w:rsidRDefault="00286AED" w:rsidP="00DB5640">
      <w:pPr>
        <w:ind w:left="567" w:right="521"/>
      </w:pPr>
      <w:r>
        <w:rPr>
          <w:i/>
          <w:iCs/>
        </w:rPr>
        <w:t>“Another challenge is we’re really reactive to things that happen out in practice. So, often that means we don’t get a chance to prepare or educate ourselves. So [practice facilitator], for example, when I came on board had not been trained in Health Care Homes other than being given access to the online modules and saying here you go, do the modules. That was it. So, there was no handover or training…I know that that was a source of frustration…you learn stuff when things go wrong, we’ve found.”</w:t>
      </w:r>
      <w:r>
        <w:t xml:space="preserve"> [PHN 8, Interview, R3]</w:t>
      </w:r>
    </w:p>
    <w:p w14:paraId="323CDE0D" w14:textId="11282C42" w:rsidR="00286AED" w:rsidRDefault="00286AED" w:rsidP="00286AED">
      <w:r>
        <w:t>By the end of the trial, a few PHNs commented that general uncertainty around the future of the program was difficult for facilitators and it was challenging to make decisions about PHN team arrangements</w:t>
      </w:r>
      <w:r w:rsidR="00A365BE">
        <w:t>.</w:t>
      </w:r>
    </w:p>
    <w:p w14:paraId="04449A8C" w14:textId="55C0F023" w:rsidR="00C22804" w:rsidRPr="0005066F" w:rsidRDefault="00C22804" w:rsidP="00C22804">
      <w:pPr>
        <w:pStyle w:val="Heading3"/>
      </w:pPr>
      <w:r w:rsidRPr="0005066F">
        <w:t>PHN practice facilitator role</w:t>
      </w:r>
      <w:r>
        <w:t xml:space="preserve"> enablers</w:t>
      </w:r>
    </w:p>
    <w:p w14:paraId="10542D1A" w14:textId="49F3EA71" w:rsidR="00DB5640" w:rsidRDefault="00DB5640" w:rsidP="00DB5640">
      <w:r>
        <w:t xml:space="preserve">PHN practice facilitators stated that collaborating with other facilitators was a significant enabler that helped them develop a stronger understanding of the model, establish their roles and become more effective in supporting practices. Facilitators reflected that the collaboration and networking between PHNs evolved as the trial progressed. </w:t>
      </w:r>
      <w:r w:rsidR="00C22804">
        <w:t>S</w:t>
      </w:r>
      <w:r>
        <w:t>everal PHNs stressed th</w:t>
      </w:r>
      <w:r w:rsidR="00C22804">
        <w:t>e positive effects of</w:t>
      </w:r>
      <w:r>
        <w:t xml:space="preserve"> these partnerships and sharing resources, ideas and knowledge:</w:t>
      </w:r>
    </w:p>
    <w:p w14:paraId="0852F778" w14:textId="4F16499A" w:rsidR="00DB5640" w:rsidRPr="00DB5640" w:rsidRDefault="00DB5640" w:rsidP="00DB5640">
      <w:pPr>
        <w:ind w:left="567" w:right="521"/>
        <w:rPr>
          <w:szCs w:val="20"/>
          <w:lang w:val="en-US"/>
        </w:rPr>
      </w:pPr>
      <w:r w:rsidRPr="00DB5640">
        <w:rPr>
          <w:i/>
          <w:iCs/>
          <w:szCs w:val="20"/>
          <w:lang w:val="en-US"/>
        </w:rPr>
        <w:t>“If I do have any questions about something, I might give [</w:t>
      </w:r>
      <w:r>
        <w:rPr>
          <w:i/>
          <w:iCs/>
          <w:szCs w:val="20"/>
          <w:lang w:val="en-US"/>
        </w:rPr>
        <w:t>practice facilitator in another PHN</w:t>
      </w:r>
      <w:r w:rsidRPr="00DB5640">
        <w:rPr>
          <w:i/>
          <w:iCs/>
          <w:szCs w:val="20"/>
          <w:lang w:val="en-US"/>
        </w:rPr>
        <w:t>] a call…and you can have these conversations with each other…The ability to pick up the phone and just call one of our colleagues that's doing the same role in another part of Australia has probably been one of the biggest enablers to learning for me</w:t>
      </w:r>
      <w:r w:rsidRPr="00DB5640">
        <w:rPr>
          <w:szCs w:val="20"/>
          <w:lang w:val="en-US"/>
        </w:rPr>
        <w:t>. [PHN 1, Interview, R5]</w:t>
      </w:r>
    </w:p>
    <w:p w14:paraId="71EC72D5" w14:textId="19FEA50C" w:rsidR="00DB5640" w:rsidRPr="00DB5640" w:rsidRDefault="00DB5640" w:rsidP="00DB5640">
      <w:pPr>
        <w:ind w:left="567" w:right="521"/>
        <w:rPr>
          <w:szCs w:val="20"/>
          <w:lang w:val="en-US"/>
        </w:rPr>
      </w:pPr>
      <w:bookmarkStart w:id="101" w:name="_Hlk50039375"/>
      <w:r w:rsidRPr="00DB5640">
        <w:rPr>
          <w:i/>
          <w:iCs/>
          <w:szCs w:val="20"/>
          <w:lang w:val="en-US"/>
        </w:rPr>
        <w:t xml:space="preserve">“I think even all the practice facilitators, throughout the PHNs, we’ve developed and built up that relationship. So, it’s always there, there’s always somebody to call. The information and support that we’re getting has been quite significant to our role.” </w:t>
      </w:r>
      <w:r w:rsidRPr="00DB5640">
        <w:rPr>
          <w:szCs w:val="20"/>
          <w:lang w:val="en-US"/>
        </w:rPr>
        <w:t>[PHN 2, Interview, R3]</w:t>
      </w:r>
      <w:bookmarkEnd w:id="101"/>
      <w:r w:rsidRPr="00DB5640">
        <w:rPr>
          <w:szCs w:val="20"/>
          <w:lang w:val="en-US"/>
        </w:rPr>
        <w:t xml:space="preserve"> </w:t>
      </w:r>
    </w:p>
    <w:p w14:paraId="16FE5715" w14:textId="77777777" w:rsidR="00DB5640" w:rsidRPr="00DB5640" w:rsidRDefault="00DB5640" w:rsidP="00DB5640">
      <w:pPr>
        <w:ind w:left="567" w:right="521"/>
        <w:rPr>
          <w:i/>
          <w:iCs/>
          <w:szCs w:val="20"/>
          <w:lang w:val="en-US"/>
        </w:rPr>
      </w:pPr>
      <w:r w:rsidRPr="00DB5640">
        <w:rPr>
          <w:i/>
          <w:iCs/>
          <w:szCs w:val="20"/>
          <w:lang w:val="en-US"/>
        </w:rPr>
        <w:t xml:space="preserve">“Sharing resources maybe might be something that would assist because [the PHNs are] all preparing the same documentation, the sharing of that would be ideal.” </w:t>
      </w:r>
      <w:r w:rsidRPr="00DB5640">
        <w:rPr>
          <w:szCs w:val="20"/>
          <w:lang w:val="en-US"/>
        </w:rPr>
        <w:t>[PHN 10, Interview, R3]</w:t>
      </w:r>
    </w:p>
    <w:p w14:paraId="6C7D1A1D" w14:textId="491199B1" w:rsidR="005329CF" w:rsidRDefault="00E426DB" w:rsidP="00E426DB">
      <w:pPr>
        <w:rPr>
          <w:szCs w:val="20"/>
        </w:rPr>
      </w:pPr>
      <w:r>
        <w:rPr>
          <w:szCs w:val="20"/>
        </w:rPr>
        <w:t>PHN</w:t>
      </w:r>
      <w:r w:rsidR="005329CF">
        <w:rPr>
          <w:szCs w:val="20"/>
        </w:rPr>
        <w:t xml:space="preserve"> practice facilitator</w:t>
      </w:r>
      <w:r>
        <w:rPr>
          <w:szCs w:val="20"/>
        </w:rPr>
        <w:t xml:space="preserve">s </w:t>
      </w:r>
      <w:r w:rsidR="00201C63">
        <w:rPr>
          <w:szCs w:val="20"/>
        </w:rPr>
        <w:t xml:space="preserve">also </w:t>
      </w:r>
      <w:r>
        <w:rPr>
          <w:szCs w:val="20"/>
        </w:rPr>
        <w:t xml:space="preserve">found </w:t>
      </w:r>
      <w:r w:rsidR="005329CF">
        <w:rPr>
          <w:szCs w:val="20"/>
        </w:rPr>
        <w:t xml:space="preserve">the regular meetings with the Department of Health helpful because </w:t>
      </w:r>
      <w:r w:rsidR="00DC066B">
        <w:rPr>
          <w:szCs w:val="20"/>
        </w:rPr>
        <w:t>they could keep up-to-date with what</w:t>
      </w:r>
      <w:r w:rsidR="00536513">
        <w:rPr>
          <w:szCs w:val="20"/>
        </w:rPr>
        <w:t xml:space="preserve"> other PHNs and practices were doing</w:t>
      </w:r>
      <w:r w:rsidR="005F2DC2">
        <w:rPr>
          <w:szCs w:val="20"/>
        </w:rPr>
        <w:t>, and because they could get information about trial developments directly from the Department:</w:t>
      </w:r>
    </w:p>
    <w:p w14:paraId="4551830B" w14:textId="77777777" w:rsidR="00E426DB" w:rsidRPr="00E426DB" w:rsidRDefault="00E426DB" w:rsidP="00E426DB">
      <w:pPr>
        <w:ind w:left="567" w:right="521"/>
        <w:rPr>
          <w:szCs w:val="20"/>
          <w:lang w:val="en-US"/>
        </w:rPr>
      </w:pPr>
      <w:r w:rsidRPr="00DB5640">
        <w:rPr>
          <w:i/>
          <w:iCs/>
          <w:szCs w:val="20"/>
          <w:lang w:val="en-US"/>
        </w:rPr>
        <w:t xml:space="preserve">“The Department of Health monthly teleconferences, I thought they were great. Super useful and to a degree have some pretty handy discussion in the fact that we’re talking to the </w:t>
      </w:r>
      <w:r>
        <w:rPr>
          <w:i/>
          <w:iCs/>
          <w:szCs w:val="20"/>
          <w:lang w:val="en-US"/>
        </w:rPr>
        <w:t>D</w:t>
      </w:r>
      <w:r w:rsidRPr="00DB5640">
        <w:rPr>
          <w:i/>
          <w:iCs/>
          <w:szCs w:val="20"/>
          <w:lang w:val="en-US"/>
        </w:rPr>
        <w:t xml:space="preserve">epartment. And they could pretty quickly give you an answer </w:t>
      </w:r>
      <w:r w:rsidRPr="00DB5640">
        <w:rPr>
          <w:i/>
          <w:iCs/>
          <w:szCs w:val="20"/>
          <w:lang w:val="en-US"/>
        </w:rPr>
        <w:lastRenderedPageBreak/>
        <w:t xml:space="preserve">to a question rather than having to go through channels and waiting for a response, so, that’s all been super useful. On the monthly teleconference we go through the entire PHNs from around the country, and it’s good to hear what other PHNs are doing with their practices and where their practices are at.” </w:t>
      </w:r>
      <w:r w:rsidRPr="00E426DB">
        <w:rPr>
          <w:szCs w:val="20"/>
          <w:lang w:val="en-US"/>
        </w:rPr>
        <w:t>[PHN 9, Interview, R5]</w:t>
      </w:r>
    </w:p>
    <w:p w14:paraId="0AB24ABB" w14:textId="2920726E" w:rsidR="009F604E" w:rsidRDefault="00CE0135" w:rsidP="00DC72D8">
      <w:pPr>
        <w:sectPr w:rsidR="009F604E">
          <w:pgSz w:w="11906" w:h="16838"/>
          <w:pgMar w:top="1440" w:right="1440" w:bottom="1440" w:left="1440" w:header="708" w:footer="708" w:gutter="0"/>
          <w:cols w:space="708"/>
          <w:docGrid w:linePitch="360"/>
        </w:sectPr>
      </w:pPr>
      <w:r>
        <w:t>Therefore, opportunities for collaboration and networking were most values by PHN practice facilitators, as was the ability to get information about trial developments or answers to questions</w:t>
      </w:r>
      <w:r w:rsidR="00E56F2D" w:rsidRPr="00E56F2D">
        <w:t xml:space="preserve"> </w:t>
      </w:r>
      <w:r w:rsidR="00E56F2D">
        <w:t>quickly</w:t>
      </w:r>
      <w:r>
        <w:t>.</w:t>
      </w:r>
    </w:p>
    <w:p w14:paraId="74E9A55F" w14:textId="4A922872" w:rsidR="00C142AE" w:rsidRPr="0094369A" w:rsidRDefault="00E74152" w:rsidP="00C142AE">
      <w:pPr>
        <w:pStyle w:val="ChapterNumber"/>
      </w:pPr>
      <w:r>
        <w:lastRenderedPageBreak/>
        <w:fldChar w:fldCharType="begin"/>
      </w:r>
      <w:r>
        <w:instrText xml:space="preserve"> REF _Ref84157910 \r \h </w:instrText>
      </w:r>
      <w:r>
        <w:fldChar w:fldCharType="separate"/>
      </w:r>
      <w:r w:rsidR="003C4BC2">
        <w:t>6</w:t>
      </w:r>
      <w:r>
        <w:fldChar w:fldCharType="end"/>
      </w:r>
    </w:p>
    <w:p w14:paraId="427A2B9E" w14:textId="4BCEFB6D" w:rsidR="00C142AE" w:rsidRDefault="00E426DB" w:rsidP="00C142AE">
      <w:pPr>
        <w:pStyle w:val="Heading1withnumber"/>
        <w:ind w:left="0" w:hanging="567"/>
      </w:pPr>
      <w:bookmarkStart w:id="102" w:name="_Ref84157910"/>
      <w:bookmarkStart w:id="103" w:name="_Toc109996661"/>
      <w:r>
        <w:t>Risk stratification</w:t>
      </w:r>
      <w:bookmarkEnd w:id="102"/>
      <w:bookmarkEnd w:id="103"/>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05718E" w:rsidRPr="0048466A" w14:paraId="1F1A6555" w14:textId="77777777" w:rsidTr="0032660B">
        <w:tc>
          <w:tcPr>
            <w:tcW w:w="8996" w:type="dxa"/>
            <w:shd w:val="clear" w:color="auto" w:fill="auto"/>
          </w:tcPr>
          <w:p w14:paraId="31750B70" w14:textId="18279F9B" w:rsidR="0005718E" w:rsidRPr="006201AB" w:rsidRDefault="0005718E" w:rsidP="00BE164E">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9</w:t>
            </w:r>
            <w:r w:rsidRPr="006201AB">
              <w:rPr>
                <w:bCs/>
                <w:noProof/>
              </w:rPr>
              <w:fldChar w:fldCharType="end"/>
            </w:r>
            <w:r w:rsidRPr="006201AB">
              <w:rPr>
                <w:bCs/>
                <w:szCs w:val="20"/>
              </w:rPr>
              <w:t>: Chapter summary</w:t>
            </w:r>
          </w:p>
          <w:p w14:paraId="5909C05C" w14:textId="2B829E37" w:rsidR="00B05746" w:rsidRPr="00B05746" w:rsidRDefault="00B05746" w:rsidP="00BE164E">
            <w:pPr>
              <w:spacing w:after="120"/>
              <w:rPr>
                <w:rFonts w:eastAsia="Muli" w:cs="Muli"/>
                <w:color w:val="000000" w:themeColor="text1"/>
                <w:sz w:val="18"/>
                <w:szCs w:val="18"/>
              </w:rPr>
            </w:pPr>
            <w:r w:rsidRPr="00B05746">
              <w:rPr>
                <w:rFonts w:eastAsia="Muli" w:cs="Muli"/>
                <w:color w:val="000000" w:themeColor="text1"/>
                <w:sz w:val="18"/>
                <w:szCs w:val="18"/>
              </w:rPr>
              <w:t xml:space="preserve">The Department </w:t>
            </w:r>
            <w:r w:rsidR="003D79F8">
              <w:rPr>
                <w:rFonts w:eastAsia="Muli" w:cs="Muli"/>
                <w:color w:val="000000" w:themeColor="text1"/>
                <w:sz w:val="18"/>
                <w:szCs w:val="18"/>
              </w:rPr>
              <w:t xml:space="preserve">of Health </w:t>
            </w:r>
            <w:r w:rsidRPr="00B05746">
              <w:rPr>
                <w:rFonts w:eastAsia="Muli" w:cs="Muli"/>
                <w:color w:val="000000" w:themeColor="text1"/>
                <w:sz w:val="18"/>
                <w:szCs w:val="18"/>
              </w:rPr>
              <w:t xml:space="preserve">commissioned a risk stratification tool (RST) for practices to identify patients with high coordination and care team needs. The process involved two steps: a predictive risk model (PRM) to identify patients at high risk of hospitalisation in the next 12 months; and an assessment of clinical factors and factors </w:t>
            </w:r>
            <w:r w:rsidR="00163149">
              <w:rPr>
                <w:rFonts w:eastAsia="Muli" w:cs="Muli"/>
                <w:color w:val="000000" w:themeColor="text1"/>
                <w:sz w:val="18"/>
                <w:szCs w:val="18"/>
              </w:rPr>
              <w:t>affecting</w:t>
            </w:r>
            <w:r w:rsidRPr="00B05746">
              <w:rPr>
                <w:rFonts w:eastAsia="Muli" w:cs="Muli"/>
                <w:color w:val="000000" w:themeColor="text1"/>
                <w:sz w:val="18"/>
                <w:szCs w:val="18"/>
              </w:rPr>
              <w:t xml:space="preserve"> self-management using </w:t>
            </w:r>
            <w:r w:rsidR="00F0548A">
              <w:rPr>
                <w:rFonts w:eastAsia="Muli" w:cs="Muli"/>
                <w:color w:val="000000" w:themeColor="text1"/>
                <w:sz w:val="18"/>
                <w:szCs w:val="18"/>
              </w:rPr>
              <w:t xml:space="preserve">the </w:t>
            </w:r>
            <w:r w:rsidR="00F0548A" w:rsidRPr="00F0548A">
              <w:rPr>
                <w:rFonts w:eastAsia="Muli" w:cs="Muli"/>
                <w:color w:val="000000" w:themeColor="text1"/>
                <w:sz w:val="18"/>
                <w:szCs w:val="18"/>
              </w:rPr>
              <w:t xml:space="preserve">Hospital Admission Risk Program (HARP) </w:t>
            </w:r>
            <w:r w:rsidRPr="00B05746">
              <w:rPr>
                <w:rFonts w:eastAsia="Muli" w:cs="Muli"/>
                <w:color w:val="000000" w:themeColor="text1"/>
                <w:sz w:val="18"/>
                <w:szCs w:val="18"/>
              </w:rPr>
              <w:t>tool. The HARP score was used to determine the tier of the patient for the purposes of the bundled payment.</w:t>
            </w:r>
          </w:p>
          <w:p w14:paraId="6625612A" w14:textId="6678CDCD" w:rsidR="00B05746" w:rsidRDefault="00B05746" w:rsidP="00BE164E">
            <w:pPr>
              <w:spacing w:after="120"/>
              <w:rPr>
                <w:rFonts w:eastAsia="Muli" w:cs="Muli"/>
                <w:color w:val="000000" w:themeColor="text1"/>
                <w:sz w:val="18"/>
                <w:szCs w:val="18"/>
              </w:rPr>
            </w:pPr>
            <w:r w:rsidRPr="00B05746">
              <w:rPr>
                <w:rFonts w:eastAsia="Muli" w:cs="Muli"/>
                <w:color w:val="000000" w:themeColor="text1"/>
                <w:sz w:val="18"/>
                <w:szCs w:val="18"/>
              </w:rPr>
              <w:t>Most practices experienced challenges in installing the RST</w:t>
            </w:r>
            <w:r w:rsidR="00282EF0">
              <w:rPr>
                <w:rFonts w:eastAsia="Muli" w:cs="Muli"/>
                <w:color w:val="000000" w:themeColor="text1"/>
                <w:sz w:val="18"/>
                <w:szCs w:val="18"/>
              </w:rPr>
              <w:t xml:space="preserve"> software</w:t>
            </w:r>
            <w:r w:rsidRPr="00B05746">
              <w:rPr>
                <w:rFonts w:eastAsia="Muli" w:cs="Muli"/>
                <w:color w:val="000000" w:themeColor="text1"/>
                <w:sz w:val="18"/>
                <w:szCs w:val="18"/>
              </w:rPr>
              <w:t>. Some of the practices that didn’t take up the initial offer to participate in the trial and some that withdrew soon after they joined identified problems with the software (installing it</w:t>
            </w:r>
            <w:r w:rsidR="00442972">
              <w:rPr>
                <w:rFonts w:eastAsia="Muli" w:cs="Muli"/>
                <w:color w:val="000000" w:themeColor="text1"/>
                <w:sz w:val="18"/>
                <w:szCs w:val="18"/>
              </w:rPr>
              <w:t xml:space="preserve"> and/or </w:t>
            </w:r>
            <w:r w:rsidR="00442972" w:rsidRPr="00B05746">
              <w:rPr>
                <w:rFonts w:eastAsia="Muli" w:cs="Muli"/>
                <w:color w:val="000000" w:themeColor="text1"/>
                <w:sz w:val="18"/>
                <w:szCs w:val="18"/>
              </w:rPr>
              <w:t>compatibility with their other software</w:t>
            </w:r>
            <w:r w:rsidRPr="00B05746">
              <w:rPr>
                <w:rFonts w:eastAsia="Muli" w:cs="Muli"/>
                <w:color w:val="000000" w:themeColor="text1"/>
                <w:sz w:val="18"/>
                <w:szCs w:val="18"/>
              </w:rPr>
              <w:t>), as reasons for not continuing with HCH.</w:t>
            </w:r>
          </w:p>
          <w:p w14:paraId="591D9047" w14:textId="6A214180" w:rsidR="009418F3" w:rsidRDefault="009418F3" w:rsidP="00BE164E">
            <w:pPr>
              <w:spacing w:after="120"/>
              <w:rPr>
                <w:rFonts w:eastAsia="Muli" w:cs="Muli"/>
                <w:color w:val="000000" w:themeColor="text1"/>
                <w:sz w:val="18"/>
                <w:szCs w:val="18"/>
              </w:rPr>
            </w:pPr>
            <w:r w:rsidRPr="009418F3">
              <w:rPr>
                <w:rFonts w:eastAsia="Muli" w:cs="Muli"/>
                <w:color w:val="000000" w:themeColor="text1"/>
                <w:sz w:val="18"/>
                <w:szCs w:val="18"/>
              </w:rPr>
              <w:t xml:space="preserve">While most practices reported that the patients identified </w:t>
            </w:r>
            <w:r w:rsidR="00193109" w:rsidRPr="00193109">
              <w:rPr>
                <w:rFonts w:eastAsia="Muli" w:cs="Muli"/>
                <w:color w:val="000000" w:themeColor="text1"/>
                <w:sz w:val="18"/>
                <w:szCs w:val="18"/>
              </w:rPr>
              <w:t>at</w:t>
            </w:r>
            <w:r w:rsidRPr="009418F3">
              <w:rPr>
                <w:rFonts w:eastAsia="Muli" w:cs="Muli"/>
                <w:color w:val="000000" w:themeColor="text1"/>
                <w:sz w:val="18"/>
                <w:szCs w:val="18"/>
              </w:rPr>
              <w:t xml:space="preserve"> </w:t>
            </w:r>
            <w:r w:rsidR="009B6060">
              <w:rPr>
                <w:rFonts w:eastAsia="Muli" w:cs="Muli"/>
                <w:color w:val="000000" w:themeColor="text1"/>
                <w:sz w:val="18"/>
                <w:szCs w:val="18"/>
              </w:rPr>
              <w:t>the</w:t>
            </w:r>
            <w:r w:rsidR="00193109" w:rsidRPr="00193109">
              <w:rPr>
                <w:rFonts w:eastAsia="Muli" w:cs="Muli"/>
                <w:color w:val="000000" w:themeColor="text1"/>
                <w:sz w:val="18"/>
                <w:szCs w:val="18"/>
              </w:rPr>
              <w:t xml:space="preserve"> first stage </w:t>
            </w:r>
            <w:r w:rsidR="009B6060">
              <w:rPr>
                <w:rFonts w:eastAsia="Muli" w:cs="Muli"/>
                <w:color w:val="000000" w:themeColor="text1"/>
                <w:sz w:val="18"/>
                <w:szCs w:val="18"/>
              </w:rPr>
              <w:t>of risk stratification</w:t>
            </w:r>
            <w:r w:rsidRPr="009418F3">
              <w:rPr>
                <w:rFonts w:eastAsia="Muli" w:cs="Muli"/>
                <w:color w:val="000000" w:themeColor="text1"/>
                <w:sz w:val="18"/>
                <w:szCs w:val="18"/>
              </w:rPr>
              <w:t xml:space="preserve"> were suitable for enrolment, there were other patients </w:t>
            </w:r>
            <w:r w:rsidR="000C3616">
              <w:rPr>
                <w:rFonts w:eastAsia="Muli" w:cs="Muli"/>
                <w:color w:val="000000" w:themeColor="text1"/>
                <w:sz w:val="18"/>
                <w:szCs w:val="18"/>
              </w:rPr>
              <w:t>who</w:t>
            </w:r>
            <w:r w:rsidRPr="009418F3">
              <w:rPr>
                <w:rFonts w:eastAsia="Muli" w:cs="Muli"/>
                <w:color w:val="000000" w:themeColor="text1"/>
                <w:sz w:val="18"/>
                <w:szCs w:val="18"/>
              </w:rPr>
              <w:t xml:space="preserve"> were also suitable that the </w:t>
            </w:r>
            <w:r w:rsidR="00193109" w:rsidRPr="00193109">
              <w:rPr>
                <w:rFonts w:eastAsia="Muli" w:cs="Muli"/>
                <w:color w:val="000000" w:themeColor="text1"/>
                <w:sz w:val="18"/>
                <w:szCs w:val="18"/>
              </w:rPr>
              <w:t>PRM</w:t>
            </w:r>
            <w:r w:rsidRPr="009418F3">
              <w:rPr>
                <w:rFonts w:eastAsia="Muli" w:cs="Muli"/>
                <w:color w:val="000000" w:themeColor="text1"/>
                <w:sz w:val="18"/>
                <w:szCs w:val="18"/>
              </w:rPr>
              <w:t xml:space="preserve"> didn’t identify. GPs could override the score returned by the PRM and invite patients to undertake the second stage of the process to assess eligibility. </w:t>
            </w:r>
            <w:r w:rsidR="005B0683" w:rsidRPr="005B0683">
              <w:rPr>
                <w:rFonts w:eastAsia="Muli" w:cs="Muli"/>
                <w:color w:val="000000" w:themeColor="text1"/>
                <w:sz w:val="18"/>
                <w:szCs w:val="18"/>
              </w:rPr>
              <w:t>Of</w:t>
            </w:r>
            <w:r w:rsidRPr="009418F3">
              <w:rPr>
                <w:rFonts w:eastAsia="Muli" w:cs="Muli"/>
                <w:color w:val="000000" w:themeColor="text1"/>
                <w:sz w:val="18"/>
                <w:szCs w:val="18"/>
              </w:rPr>
              <w:t xml:space="preserve"> the </w:t>
            </w:r>
            <w:r w:rsidR="005B0683" w:rsidRPr="005B0683">
              <w:rPr>
                <w:rFonts w:eastAsia="Muli" w:cs="Muli"/>
                <w:color w:val="000000" w:themeColor="text1"/>
                <w:sz w:val="18"/>
                <w:szCs w:val="18"/>
              </w:rPr>
              <w:t>12,377</w:t>
            </w:r>
            <w:r w:rsidRPr="009418F3">
              <w:rPr>
                <w:rFonts w:eastAsia="Muli" w:cs="Muli"/>
                <w:color w:val="000000" w:themeColor="text1"/>
                <w:sz w:val="18"/>
                <w:szCs w:val="18"/>
              </w:rPr>
              <w:t xml:space="preserve"> patients </w:t>
            </w:r>
            <w:r w:rsidR="005B0683" w:rsidRPr="005B0683">
              <w:rPr>
                <w:rFonts w:eastAsia="Muli" w:cs="Muli"/>
                <w:color w:val="000000" w:themeColor="text1"/>
                <w:sz w:val="18"/>
                <w:szCs w:val="18"/>
              </w:rPr>
              <w:t>for whom valid baseline data were available, 30% (3,745) had a HARP completed because</w:t>
            </w:r>
            <w:r w:rsidRPr="009418F3">
              <w:rPr>
                <w:rFonts w:eastAsia="Muli" w:cs="Muli"/>
                <w:color w:val="000000" w:themeColor="text1"/>
                <w:sz w:val="18"/>
                <w:szCs w:val="18"/>
              </w:rPr>
              <w:t xml:space="preserve"> the </w:t>
            </w:r>
            <w:r w:rsidR="005B0683" w:rsidRPr="005B0683">
              <w:rPr>
                <w:rFonts w:eastAsia="Muli" w:cs="Muli"/>
                <w:color w:val="000000" w:themeColor="text1"/>
                <w:sz w:val="18"/>
                <w:szCs w:val="18"/>
              </w:rPr>
              <w:t>GP overrode their PRM score.</w:t>
            </w:r>
            <w:r w:rsidRPr="009418F3">
              <w:rPr>
                <w:rFonts w:eastAsia="Muli" w:cs="Muli"/>
                <w:color w:val="000000" w:themeColor="text1"/>
                <w:sz w:val="18"/>
                <w:szCs w:val="18"/>
              </w:rPr>
              <w:t xml:space="preserve"> The override function was more likely to </w:t>
            </w:r>
            <w:r w:rsidR="009630DA">
              <w:rPr>
                <w:rFonts w:eastAsia="Muli" w:cs="Muli"/>
                <w:color w:val="000000" w:themeColor="text1"/>
                <w:sz w:val="18"/>
                <w:szCs w:val="18"/>
              </w:rPr>
              <w:t>be</w:t>
            </w:r>
            <w:r w:rsidRPr="009418F3">
              <w:rPr>
                <w:rFonts w:eastAsia="Muli" w:cs="Muli"/>
                <w:color w:val="000000" w:themeColor="text1"/>
                <w:sz w:val="18"/>
                <w:szCs w:val="18"/>
              </w:rPr>
              <w:t xml:space="preserve"> used for patients allocated to tier 1 (40.8%) than to tier 2 (32.4%) or to tier 3 (20.5%).</w:t>
            </w:r>
          </w:p>
          <w:p w14:paraId="430D6505" w14:textId="1E3BEBC0" w:rsidR="00B05746" w:rsidRPr="00B05746" w:rsidRDefault="00B05746" w:rsidP="000A3A16">
            <w:pPr>
              <w:spacing w:after="120"/>
              <w:rPr>
                <w:rFonts w:eastAsia="Muli" w:cs="Muli"/>
                <w:color w:val="000000" w:themeColor="text1"/>
                <w:sz w:val="18"/>
                <w:szCs w:val="18"/>
              </w:rPr>
            </w:pPr>
            <w:r w:rsidRPr="00B05746">
              <w:rPr>
                <w:rFonts w:eastAsia="Muli" w:cs="Muli"/>
                <w:color w:val="000000" w:themeColor="text1"/>
                <w:sz w:val="18"/>
                <w:szCs w:val="18"/>
              </w:rPr>
              <w:t xml:space="preserve">The main issue with the HARP </w:t>
            </w:r>
            <w:r w:rsidR="00F12019">
              <w:rPr>
                <w:rFonts w:eastAsia="Muli" w:cs="Muli"/>
                <w:color w:val="000000" w:themeColor="text1"/>
                <w:sz w:val="18"/>
                <w:szCs w:val="18"/>
              </w:rPr>
              <w:t xml:space="preserve">that </w:t>
            </w:r>
            <w:r w:rsidR="00292B63">
              <w:rPr>
                <w:rFonts w:eastAsia="Muli" w:cs="Muli"/>
                <w:color w:val="000000" w:themeColor="text1"/>
                <w:sz w:val="18"/>
                <w:szCs w:val="18"/>
              </w:rPr>
              <w:t>practices reported</w:t>
            </w:r>
            <w:r w:rsidRPr="00B05746">
              <w:rPr>
                <w:rFonts w:eastAsia="Muli" w:cs="Muli"/>
                <w:color w:val="000000" w:themeColor="text1"/>
                <w:sz w:val="18"/>
                <w:szCs w:val="18"/>
              </w:rPr>
              <w:t xml:space="preserve"> was that it scored all chronic diseases equally and didn’t consider their severity. Also, some chronic diseases were missing altogether (for example, cancer). Some of the questions in the HARP were also described as “vague” or “subjective”, and stakeholders thought that training and further guidance on interpreting the questions would be helpful.</w:t>
            </w:r>
            <w:r w:rsidR="00865750">
              <w:rPr>
                <w:rFonts w:eastAsia="Muli" w:cs="Muli"/>
                <w:color w:val="000000" w:themeColor="text1"/>
                <w:sz w:val="18"/>
                <w:szCs w:val="18"/>
              </w:rPr>
              <w:t xml:space="preserve"> Others considered that some of the items failed to appropriate</w:t>
            </w:r>
            <w:r w:rsidR="00AE06AF">
              <w:rPr>
                <w:rFonts w:eastAsia="Muli" w:cs="Muli"/>
                <w:color w:val="000000" w:themeColor="text1"/>
                <w:sz w:val="18"/>
                <w:szCs w:val="18"/>
              </w:rPr>
              <w:t>ly</w:t>
            </w:r>
            <w:r w:rsidR="00865750">
              <w:rPr>
                <w:rFonts w:eastAsia="Muli" w:cs="Muli"/>
                <w:color w:val="000000" w:themeColor="text1"/>
                <w:sz w:val="18"/>
                <w:szCs w:val="18"/>
              </w:rPr>
              <w:t xml:space="preserve"> account for </w:t>
            </w:r>
            <w:r w:rsidR="00AE06AF">
              <w:rPr>
                <w:rFonts w:eastAsia="Muli" w:cs="Muli"/>
                <w:color w:val="000000" w:themeColor="text1"/>
                <w:sz w:val="18"/>
                <w:szCs w:val="18"/>
              </w:rPr>
              <w:t>extreme</w:t>
            </w:r>
            <w:r w:rsidR="00B76C80">
              <w:rPr>
                <w:rFonts w:eastAsia="Muli" w:cs="Muli"/>
                <w:color w:val="000000" w:themeColor="text1"/>
                <w:sz w:val="18"/>
                <w:szCs w:val="18"/>
              </w:rPr>
              <w:t xml:space="preserve"> </w:t>
            </w:r>
            <w:r w:rsidR="00743851">
              <w:rPr>
                <w:rFonts w:eastAsia="Muli" w:cs="Muli"/>
                <w:color w:val="000000" w:themeColor="text1"/>
                <w:sz w:val="18"/>
                <w:szCs w:val="18"/>
              </w:rPr>
              <w:t>level</w:t>
            </w:r>
            <w:r w:rsidR="00B76C80">
              <w:rPr>
                <w:rFonts w:eastAsia="Muli" w:cs="Muli"/>
                <w:color w:val="000000" w:themeColor="text1"/>
                <w:sz w:val="18"/>
                <w:szCs w:val="18"/>
              </w:rPr>
              <w:t xml:space="preserve">s of disadvantage faced by </w:t>
            </w:r>
            <w:r w:rsidR="0005724C">
              <w:rPr>
                <w:rFonts w:eastAsia="Muli" w:cs="Muli"/>
                <w:color w:val="000000" w:themeColor="text1"/>
                <w:sz w:val="18"/>
                <w:szCs w:val="18"/>
              </w:rPr>
              <w:t>patients in some communities</w:t>
            </w:r>
            <w:r w:rsidR="00AE06AF">
              <w:rPr>
                <w:rFonts w:eastAsia="Muli" w:cs="Muli"/>
                <w:color w:val="000000" w:themeColor="text1"/>
                <w:sz w:val="18"/>
                <w:szCs w:val="18"/>
              </w:rPr>
              <w:t xml:space="preserve"> such as</w:t>
            </w:r>
            <w:r w:rsidR="0005724C">
              <w:rPr>
                <w:rFonts w:eastAsia="Muli" w:cs="Muli"/>
                <w:color w:val="000000" w:themeColor="text1"/>
                <w:sz w:val="18"/>
                <w:szCs w:val="18"/>
              </w:rPr>
              <w:t xml:space="preserve"> remote Aboriginal communities.</w:t>
            </w:r>
            <w:r w:rsidR="00B76C80">
              <w:rPr>
                <w:rFonts w:eastAsia="Muli" w:cs="Muli"/>
                <w:color w:val="000000" w:themeColor="text1"/>
                <w:sz w:val="18"/>
                <w:szCs w:val="18"/>
              </w:rPr>
              <w:t xml:space="preserve"> </w:t>
            </w:r>
          </w:p>
          <w:p w14:paraId="73E945B5" w14:textId="068C3AFC" w:rsidR="00B05746" w:rsidRPr="00B05746" w:rsidRDefault="00B05746" w:rsidP="00BE164E">
            <w:pPr>
              <w:spacing w:after="120"/>
              <w:rPr>
                <w:rFonts w:eastAsia="Muli" w:cs="Muli"/>
                <w:color w:val="000000" w:themeColor="text1"/>
                <w:sz w:val="18"/>
                <w:szCs w:val="18"/>
              </w:rPr>
            </w:pPr>
            <w:r w:rsidRPr="00B05746">
              <w:rPr>
                <w:rFonts w:eastAsia="Muli" w:cs="Muli"/>
                <w:color w:val="000000" w:themeColor="text1"/>
                <w:sz w:val="18"/>
                <w:szCs w:val="18"/>
              </w:rPr>
              <w:t xml:space="preserve">Some practices completed a HARP for specific patients before they approached those patients to enrol. This was to determine whether the tier allocated would be financially viable for the practice. Almost one third of practices said that they didn’t enrol some patients flagged as potentially eligible by the RST because the payment level would be insufficient to cover the costs of their </w:t>
            </w:r>
            <w:r w:rsidR="00F572DB">
              <w:rPr>
                <w:rFonts w:eastAsia="Muli" w:cs="Muli"/>
                <w:color w:val="000000" w:themeColor="text1"/>
                <w:sz w:val="18"/>
                <w:szCs w:val="18"/>
              </w:rPr>
              <w:t>care needs</w:t>
            </w:r>
            <w:r w:rsidRPr="00B05746">
              <w:rPr>
                <w:rFonts w:eastAsia="Muli" w:cs="Muli"/>
                <w:color w:val="000000" w:themeColor="text1"/>
                <w:sz w:val="18"/>
                <w:szCs w:val="18"/>
              </w:rPr>
              <w:t>.</w:t>
            </w:r>
          </w:p>
          <w:p w14:paraId="28A7B4B0" w14:textId="44292CAB" w:rsidR="0005718E" w:rsidRDefault="00B05746" w:rsidP="008C43C3">
            <w:pPr>
              <w:spacing w:after="120"/>
              <w:rPr>
                <w:rFonts w:eastAsia="Muli" w:cs="Muli"/>
                <w:color w:val="000000" w:themeColor="text1"/>
                <w:sz w:val="18"/>
                <w:szCs w:val="18"/>
              </w:rPr>
            </w:pPr>
            <w:r w:rsidRPr="00B05746">
              <w:rPr>
                <w:rFonts w:eastAsia="Muli" w:cs="Muli"/>
                <w:color w:val="000000" w:themeColor="text1"/>
                <w:sz w:val="18"/>
                <w:szCs w:val="18"/>
              </w:rPr>
              <w:t xml:space="preserve">Some practices reported not re-stratifying patients as regularly as required by the program rules. Reasons were lack of time, limited face-to-face interactions with patients during the COVD-19 pandemic, few perceived changes in their patients’ conditions and a lack of motivation to do what they considered an administrative activity. When they re-stratified and patients went up a tier, this was usually attributed to a new diagnosis, the progression of a patient’s existing conditions or the natural ageing process. A small number of practices reported </w:t>
            </w:r>
            <w:r w:rsidR="00DE36E7">
              <w:rPr>
                <w:rFonts w:eastAsia="Muli" w:cs="Muli"/>
                <w:color w:val="000000" w:themeColor="text1"/>
                <w:sz w:val="18"/>
                <w:szCs w:val="18"/>
              </w:rPr>
              <w:t xml:space="preserve">a </w:t>
            </w:r>
            <w:r w:rsidRPr="00B05746">
              <w:rPr>
                <w:rFonts w:eastAsia="Muli" w:cs="Muli"/>
                <w:color w:val="000000" w:themeColor="text1"/>
                <w:sz w:val="18"/>
                <w:szCs w:val="18"/>
              </w:rPr>
              <w:t xml:space="preserve">slight improvement in some of their HCH patients </w:t>
            </w:r>
            <w:r w:rsidR="0010425E">
              <w:rPr>
                <w:rFonts w:eastAsia="Muli" w:cs="Muli"/>
                <w:color w:val="000000" w:themeColor="text1"/>
                <w:sz w:val="18"/>
                <w:szCs w:val="18"/>
              </w:rPr>
              <w:t>who they</w:t>
            </w:r>
            <w:r w:rsidRPr="00B05746">
              <w:rPr>
                <w:rFonts w:eastAsia="Muli" w:cs="Muli"/>
                <w:color w:val="000000" w:themeColor="text1"/>
                <w:sz w:val="18"/>
                <w:szCs w:val="18"/>
              </w:rPr>
              <w:t xml:space="preserve"> move</w:t>
            </w:r>
            <w:r w:rsidR="00C86F1F">
              <w:rPr>
                <w:rFonts w:eastAsia="Muli" w:cs="Muli"/>
                <w:color w:val="000000" w:themeColor="text1"/>
                <w:sz w:val="18"/>
                <w:szCs w:val="18"/>
              </w:rPr>
              <w:t>d</w:t>
            </w:r>
            <w:r w:rsidR="00DE36E7">
              <w:rPr>
                <w:rFonts w:eastAsia="Muli" w:cs="Muli"/>
                <w:color w:val="000000" w:themeColor="text1"/>
                <w:sz w:val="18"/>
                <w:szCs w:val="18"/>
              </w:rPr>
              <w:t xml:space="preserve"> </w:t>
            </w:r>
            <w:r w:rsidRPr="00B05746">
              <w:rPr>
                <w:rFonts w:eastAsia="Muli" w:cs="Muli"/>
                <w:color w:val="000000" w:themeColor="text1"/>
                <w:sz w:val="18"/>
                <w:szCs w:val="18"/>
              </w:rPr>
              <w:t xml:space="preserve">to a </w:t>
            </w:r>
            <w:r w:rsidR="000C7AF1">
              <w:rPr>
                <w:rFonts w:eastAsia="Muli" w:cs="Muli"/>
                <w:color w:val="000000" w:themeColor="text1"/>
                <w:sz w:val="18"/>
                <w:szCs w:val="18"/>
              </w:rPr>
              <w:t xml:space="preserve">less complex </w:t>
            </w:r>
            <w:r w:rsidRPr="00B05746">
              <w:rPr>
                <w:rFonts w:eastAsia="Muli" w:cs="Muli"/>
                <w:color w:val="000000" w:themeColor="text1"/>
                <w:sz w:val="18"/>
                <w:szCs w:val="18"/>
              </w:rPr>
              <w:t>tier. However, the</w:t>
            </w:r>
            <w:r w:rsidR="0041359A">
              <w:rPr>
                <w:rFonts w:eastAsia="Muli" w:cs="Muli"/>
                <w:color w:val="000000" w:themeColor="text1"/>
                <w:sz w:val="18"/>
                <w:szCs w:val="18"/>
              </w:rPr>
              <w:t xml:space="preserve"> payment scheme did not provide </w:t>
            </w:r>
            <w:r w:rsidR="00985BA3">
              <w:rPr>
                <w:rFonts w:eastAsia="Muli" w:cs="Muli"/>
                <w:color w:val="000000" w:themeColor="text1"/>
                <w:sz w:val="18"/>
                <w:szCs w:val="18"/>
              </w:rPr>
              <w:t>an</w:t>
            </w:r>
            <w:r w:rsidR="0041359A">
              <w:rPr>
                <w:rFonts w:eastAsia="Muli" w:cs="Muli"/>
                <w:color w:val="000000" w:themeColor="text1"/>
                <w:sz w:val="18"/>
                <w:szCs w:val="18"/>
              </w:rPr>
              <w:t xml:space="preserve"> incentive </w:t>
            </w:r>
            <w:r w:rsidR="003F24C7">
              <w:rPr>
                <w:rFonts w:eastAsia="Muli" w:cs="Muli"/>
                <w:color w:val="000000" w:themeColor="text1"/>
                <w:sz w:val="18"/>
                <w:szCs w:val="18"/>
              </w:rPr>
              <w:t>to do this</w:t>
            </w:r>
            <w:r w:rsidR="008C43C3">
              <w:rPr>
                <w:rFonts w:eastAsia="Muli" w:cs="Muli"/>
                <w:color w:val="000000" w:themeColor="text1"/>
                <w:sz w:val="18"/>
                <w:szCs w:val="18"/>
              </w:rPr>
              <w:t>.</w:t>
            </w:r>
          </w:p>
          <w:p w14:paraId="619E2F0A" w14:textId="77777777" w:rsidR="00C41536" w:rsidRDefault="005D4DCC" w:rsidP="00C41536">
            <w:pPr>
              <w:spacing w:after="120"/>
              <w:rPr>
                <w:rFonts w:eastAsia="Muli" w:cs="Muli"/>
                <w:color w:val="000000" w:themeColor="text1"/>
                <w:sz w:val="18"/>
                <w:szCs w:val="18"/>
              </w:rPr>
            </w:pPr>
            <w:r w:rsidRPr="005D4DCC">
              <w:rPr>
                <w:rFonts w:eastAsia="Muli" w:cs="Muli"/>
                <w:color w:val="000000" w:themeColor="text1"/>
                <w:sz w:val="18"/>
                <w:szCs w:val="18"/>
              </w:rPr>
              <w:t xml:space="preserve">De-identified data from the RST </w:t>
            </w:r>
            <w:r w:rsidR="008053EC">
              <w:rPr>
                <w:rFonts w:eastAsia="Muli" w:cs="Muli"/>
                <w:color w:val="000000" w:themeColor="text1"/>
                <w:sz w:val="18"/>
                <w:szCs w:val="18"/>
              </w:rPr>
              <w:t>were available for analysis by the evaluation team</w:t>
            </w:r>
            <w:r w:rsidR="008B173C">
              <w:rPr>
                <w:rFonts w:eastAsia="Muli" w:cs="Muli"/>
                <w:color w:val="000000" w:themeColor="text1"/>
                <w:sz w:val="18"/>
                <w:szCs w:val="18"/>
              </w:rPr>
              <w:t>, and results of this analysis are presented in this chapter.</w:t>
            </w:r>
          </w:p>
          <w:p w14:paraId="3E88BF29" w14:textId="01323114" w:rsidR="003429E9" w:rsidRPr="008C43C3" w:rsidRDefault="003429E9" w:rsidP="00C41536">
            <w:pPr>
              <w:spacing w:after="120"/>
              <w:rPr>
                <w:rFonts w:eastAsia="Muli" w:cs="Muli"/>
                <w:color w:val="000000" w:themeColor="text1"/>
                <w:sz w:val="18"/>
                <w:szCs w:val="18"/>
              </w:rPr>
            </w:pPr>
            <w:r w:rsidRPr="003429E9">
              <w:rPr>
                <w:rFonts w:eastAsia="Muli" w:cs="Muli"/>
                <w:color w:val="000000" w:themeColor="text1"/>
                <w:sz w:val="18"/>
                <w:szCs w:val="18"/>
              </w:rPr>
              <w:t xml:space="preserve">The HCH trial demonstrated </w:t>
            </w:r>
            <w:r w:rsidRPr="00EE56A9">
              <w:rPr>
                <w:rFonts w:eastAsia="Muli" w:cs="Muli"/>
                <w:color w:val="000000" w:themeColor="text1"/>
                <w:sz w:val="18"/>
                <w:szCs w:val="18"/>
              </w:rPr>
              <w:t xml:space="preserve">the </w:t>
            </w:r>
            <w:r w:rsidRPr="003429E9">
              <w:rPr>
                <w:rFonts w:eastAsia="Muli" w:cs="Muli"/>
                <w:color w:val="000000" w:themeColor="text1"/>
                <w:sz w:val="18"/>
                <w:szCs w:val="18"/>
              </w:rPr>
              <w:t>feasib</w:t>
            </w:r>
            <w:r w:rsidRPr="00EE56A9">
              <w:rPr>
                <w:rFonts w:eastAsia="Muli" w:cs="Muli"/>
                <w:color w:val="000000" w:themeColor="text1"/>
                <w:sz w:val="18"/>
                <w:szCs w:val="18"/>
              </w:rPr>
              <w:t xml:space="preserve">ility of </w:t>
            </w:r>
            <w:r w:rsidRPr="003429E9">
              <w:rPr>
                <w:rFonts w:eastAsia="Muli" w:cs="Muli"/>
                <w:color w:val="000000" w:themeColor="text1"/>
                <w:sz w:val="18"/>
                <w:szCs w:val="18"/>
              </w:rPr>
              <w:t xml:space="preserve">real-time risk stratification </w:t>
            </w:r>
            <w:r w:rsidR="002B0E65" w:rsidRPr="00EE56A9">
              <w:rPr>
                <w:rFonts w:eastAsia="Muli" w:cs="Muli"/>
                <w:color w:val="000000" w:themeColor="text1"/>
                <w:sz w:val="18"/>
                <w:szCs w:val="18"/>
              </w:rPr>
              <w:t xml:space="preserve">systems implemented </w:t>
            </w:r>
            <w:r w:rsidRPr="003429E9">
              <w:rPr>
                <w:rFonts w:eastAsia="Muli" w:cs="Muli"/>
                <w:color w:val="000000" w:themeColor="text1"/>
                <w:sz w:val="18"/>
                <w:szCs w:val="18"/>
              </w:rPr>
              <w:t xml:space="preserve">within Australian primary care services using practice data. </w:t>
            </w:r>
            <w:r w:rsidR="003505DC" w:rsidRPr="00EE56A9">
              <w:rPr>
                <w:rFonts w:eastAsia="Muli" w:cs="Muli"/>
                <w:color w:val="000000" w:themeColor="text1"/>
                <w:sz w:val="18"/>
                <w:szCs w:val="18"/>
              </w:rPr>
              <w:t>In the trial, r</w:t>
            </w:r>
            <w:r w:rsidRPr="003429E9">
              <w:rPr>
                <w:rFonts w:eastAsia="Muli" w:cs="Muli"/>
                <w:color w:val="000000" w:themeColor="text1"/>
                <w:sz w:val="18"/>
                <w:szCs w:val="18"/>
              </w:rPr>
              <w:t xml:space="preserve">isk stratification of practice </w:t>
            </w:r>
            <w:r w:rsidRPr="003429E9">
              <w:rPr>
                <w:rFonts w:eastAsia="Muli" w:cs="Muli"/>
                <w:color w:val="000000" w:themeColor="text1"/>
                <w:sz w:val="18"/>
                <w:szCs w:val="18"/>
              </w:rPr>
              <w:lastRenderedPageBreak/>
              <w:t>population</w:t>
            </w:r>
            <w:r w:rsidR="0020018F" w:rsidRPr="00EE56A9">
              <w:rPr>
                <w:rFonts w:eastAsia="Muli" w:cs="Muli"/>
                <w:color w:val="000000" w:themeColor="text1"/>
                <w:sz w:val="18"/>
                <w:szCs w:val="18"/>
              </w:rPr>
              <w:t xml:space="preserve">s was used </w:t>
            </w:r>
            <w:r w:rsidR="00107348" w:rsidRPr="00EE56A9">
              <w:rPr>
                <w:rFonts w:eastAsia="Muli" w:cs="Muli"/>
                <w:color w:val="000000" w:themeColor="text1"/>
                <w:sz w:val="18"/>
                <w:szCs w:val="18"/>
              </w:rPr>
              <w:t xml:space="preserve">principally for </w:t>
            </w:r>
            <w:r w:rsidR="0087126D">
              <w:rPr>
                <w:rFonts w:eastAsia="Muli" w:cs="Muli"/>
                <w:color w:val="000000" w:themeColor="text1"/>
                <w:sz w:val="18"/>
                <w:szCs w:val="18"/>
              </w:rPr>
              <w:t>“</w:t>
            </w:r>
            <w:r w:rsidR="00107348" w:rsidRPr="00EE56A9">
              <w:rPr>
                <w:rFonts w:eastAsia="Muli" w:cs="Muli"/>
                <w:color w:val="000000" w:themeColor="text1"/>
                <w:sz w:val="18"/>
                <w:szCs w:val="18"/>
              </w:rPr>
              <w:t>case f</w:t>
            </w:r>
            <w:r w:rsidR="009B6060" w:rsidRPr="00EE56A9">
              <w:rPr>
                <w:rFonts w:eastAsia="Muli" w:cs="Muli"/>
                <w:color w:val="000000" w:themeColor="text1"/>
                <w:sz w:val="18"/>
                <w:szCs w:val="18"/>
              </w:rPr>
              <w:t>i</w:t>
            </w:r>
            <w:r w:rsidR="00107348" w:rsidRPr="00EE56A9">
              <w:rPr>
                <w:rFonts w:eastAsia="Muli" w:cs="Muli"/>
                <w:color w:val="000000" w:themeColor="text1"/>
                <w:sz w:val="18"/>
                <w:szCs w:val="18"/>
              </w:rPr>
              <w:t>nding</w:t>
            </w:r>
            <w:r w:rsidR="0087126D">
              <w:rPr>
                <w:rFonts w:eastAsia="Muli" w:cs="Muli"/>
                <w:color w:val="000000" w:themeColor="text1"/>
                <w:sz w:val="18"/>
                <w:szCs w:val="18"/>
              </w:rPr>
              <w:t>”</w:t>
            </w:r>
            <w:r w:rsidR="00107348" w:rsidRPr="00EE56A9">
              <w:rPr>
                <w:rFonts w:eastAsia="Muli" w:cs="Muli"/>
                <w:color w:val="000000" w:themeColor="text1"/>
                <w:sz w:val="18"/>
                <w:szCs w:val="18"/>
              </w:rPr>
              <w:t xml:space="preserve"> </w:t>
            </w:r>
            <w:r w:rsidR="001C6849" w:rsidRPr="00EE56A9">
              <w:rPr>
                <w:rFonts w:eastAsia="Muli" w:cs="Muli"/>
                <w:color w:val="000000" w:themeColor="text1"/>
                <w:sz w:val="18"/>
                <w:szCs w:val="18"/>
              </w:rPr>
              <w:t xml:space="preserve">and </w:t>
            </w:r>
            <w:r w:rsidR="001C6849" w:rsidRPr="003429E9">
              <w:rPr>
                <w:rFonts w:eastAsia="Muli" w:cs="Muli"/>
                <w:color w:val="000000" w:themeColor="text1"/>
                <w:sz w:val="18"/>
                <w:szCs w:val="18"/>
              </w:rPr>
              <w:t>as</w:t>
            </w:r>
            <w:r w:rsidR="004E6BCA" w:rsidRPr="00EE56A9">
              <w:rPr>
                <w:rFonts w:eastAsia="Muli" w:cs="Muli"/>
                <w:color w:val="000000" w:themeColor="text1"/>
                <w:sz w:val="18"/>
                <w:szCs w:val="18"/>
              </w:rPr>
              <w:t xml:space="preserve"> a basis for allocating patients to payment tiers. Risk strat</w:t>
            </w:r>
            <w:r w:rsidR="009B6060" w:rsidRPr="00EE56A9">
              <w:rPr>
                <w:rFonts w:eastAsia="Muli" w:cs="Muli"/>
                <w:color w:val="000000" w:themeColor="text1"/>
                <w:sz w:val="18"/>
                <w:szCs w:val="18"/>
              </w:rPr>
              <w:t>i</w:t>
            </w:r>
            <w:r w:rsidR="004E6BCA" w:rsidRPr="00EE56A9">
              <w:rPr>
                <w:rFonts w:eastAsia="Muli" w:cs="Muli"/>
                <w:color w:val="000000" w:themeColor="text1"/>
                <w:sz w:val="18"/>
                <w:szCs w:val="18"/>
              </w:rPr>
              <w:t xml:space="preserve">fication </w:t>
            </w:r>
            <w:r w:rsidRPr="003429E9">
              <w:rPr>
                <w:rFonts w:eastAsia="Muli" w:cs="Muli"/>
                <w:color w:val="000000" w:themeColor="text1"/>
                <w:sz w:val="18"/>
                <w:szCs w:val="18"/>
              </w:rPr>
              <w:t xml:space="preserve">has uses beyond </w:t>
            </w:r>
            <w:r w:rsidR="00EE56A9" w:rsidRPr="00EE56A9">
              <w:rPr>
                <w:rFonts w:eastAsia="Muli" w:cs="Muli"/>
                <w:color w:val="000000" w:themeColor="text1"/>
                <w:sz w:val="18"/>
                <w:szCs w:val="18"/>
              </w:rPr>
              <w:t>case finding</w:t>
            </w:r>
            <w:r w:rsidR="009B6060" w:rsidRPr="00EE56A9">
              <w:rPr>
                <w:rFonts w:eastAsia="Muli" w:cs="Muli"/>
                <w:color w:val="000000" w:themeColor="text1"/>
                <w:sz w:val="18"/>
                <w:szCs w:val="18"/>
              </w:rPr>
              <w:t>,</w:t>
            </w:r>
            <w:r w:rsidR="00D72E3D" w:rsidRPr="00EE56A9">
              <w:rPr>
                <w:rFonts w:eastAsia="Muli" w:cs="Muli"/>
                <w:color w:val="000000" w:themeColor="text1"/>
                <w:sz w:val="18"/>
                <w:szCs w:val="18"/>
              </w:rPr>
              <w:t xml:space="preserve"> </w:t>
            </w:r>
            <w:r w:rsidRPr="003429E9">
              <w:rPr>
                <w:rFonts w:eastAsia="Muli" w:cs="Muli"/>
                <w:color w:val="000000" w:themeColor="text1"/>
                <w:sz w:val="18"/>
                <w:szCs w:val="18"/>
              </w:rPr>
              <w:t xml:space="preserve">including practice population </w:t>
            </w:r>
            <w:r w:rsidR="001C6849" w:rsidRPr="003429E9">
              <w:rPr>
                <w:rFonts w:eastAsia="Muli" w:cs="Muli"/>
                <w:color w:val="000000" w:themeColor="text1"/>
                <w:sz w:val="18"/>
                <w:szCs w:val="18"/>
              </w:rPr>
              <w:t>profiling, benchmarking</w:t>
            </w:r>
            <w:r w:rsidRPr="003429E9">
              <w:rPr>
                <w:rFonts w:eastAsia="Muli" w:cs="Muli"/>
                <w:color w:val="000000" w:themeColor="text1"/>
                <w:sz w:val="18"/>
                <w:szCs w:val="18"/>
              </w:rPr>
              <w:t>, utilisation review and quality improvement and performance measurement.</w:t>
            </w:r>
            <w:r w:rsidR="00AA6372" w:rsidRPr="00EE56A9">
              <w:rPr>
                <w:rFonts w:eastAsia="Muli" w:cs="Muli"/>
                <w:color w:val="000000" w:themeColor="text1"/>
                <w:sz w:val="18"/>
                <w:szCs w:val="18"/>
              </w:rPr>
              <w:t xml:space="preserve"> It can also be used to predict </w:t>
            </w:r>
            <w:r w:rsidR="00302B7D" w:rsidRPr="00EE56A9">
              <w:rPr>
                <w:rFonts w:eastAsia="Muli" w:cs="Muli"/>
                <w:color w:val="000000" w:themeColor="text1"/>
                <w:sz w:val="18"/>
                <w:szCs w:val="18"/>
              </w:rPr>
              <w:t xml:space="preserve">risk </w:t>
            </w:r>
            <w:r w:rsidR="00EA6708" w:rsidRPr="00EE56A9">
              <w:rPr>
                <w:rFonts w:eastAsia="Muli" w:cs="Muli"/>
                <w:color w:val="000000" w:themeColor="text1"/>
                <w:sz w:val="18"/>
                <w:szCs w:val="18"/>
              </w:rPr>
              <w:t>of a range of outcomes beyon</w:t>
            </w:r>
            <w:r w:rsidR="00302B7D" w:rsidRPr="00EE56A9">
              <w:rPr>
                <w:rFonts w:eastAsia="Muli" w:cs="Muli"/>
                <w:color w:val="000000" w:themeColor="text1"/>
                <w:sz w:val="18"/>
                <w:szCs w:val="18"/>
              </w:rPr>
              <w:t xml:space="preserve">d </w:t>
            </w:r>
            <w:r w:rsidR="001C6849" w:rsidRPr="00EE56A9">
              <w:rPr>
                <w:rFonts w:eastAsia="Muli" w:cs="Muli"/>
                <w:color w:val="000000" w:themeColor="text1"/>
                <w:sz w:val="18"/>
                <w:szCs w:val="18"/>
              </w:rPr>
              <w:t>hospitalisation</w:t>
            </w:r>
            <w:r w:rsidR="001C6849">
              <w:rPr>
                <w:rFonts w:eastAsia="Muli" w:cs="Muli"/>
                <w:color w:val="000000" w:themeColor="text1"/>
                <w:sz w:val="18"/>
                <w:szCs w:val="18"/>
              </w:rPr>
              <w:t>.</w:t>
            </w:r>
            <w:r w:rsidR="001C6849" w:rsidRPr="00EE56A9">
              <w:rPr>
                <w:rFonts w:eastAsia="Muli" w:cs="Muli"/>
                <w:color w:val="000000" w:themeColor="text1"/>
                <w:sz w:val="18"/>
                <w:szCs w:val="18"/>
              </w:rPr>
              <w:t xml:space="preserve"> </w:t>
            </w:r>
            <w:r w:rsidR="001C6849" w:rsidRPr="003429E9">
              <w:rPr>
                <w:rFonts w:eastAsia="Muli" w:cs="Muli"/>
                <w:color w:val="000000" w:themeColor="text1"/>
                <w:sz w:val="18"/>
                <w:szCs w:val="18"/>
              </w:rPr>
              <w:t>These</w:t>
            </w:r>
            <w:r w:rsidRPr="003429E9">
              <w:rPr>
                <w:rFonts w:eastAsia="Muli" w:cs="Muli"/>
                <w:color w:val="000000" w:themeColor="text1"/>
                <w:sz w:val="18"/>
                <w:szCs w:val="18"/>
              </w:rPr>
              <w:t xml:space="preserve"> </w:t>
            </w:r>
            <w:r w:rsidR="00302B7D" w:rsidRPr="00EE56A9">
              <w:rPr>
                <w:rFonts w:eastAsia="Muli" w:cs="Muli"/>
                <w:color w:val="000000" w:themeColor="text1"/>
                <w:sz w:val="18"/>
                <w:szCs w:val="18"/>
              </w:rPr>
              <w:t xml:space="preserve">uses </w:t>
            </w:r>
            <w:r w:rsidRPr="003429E9">
              <w:rPr>
                <w:rFonts w:eastAsia="Muli" w:cs="Muli"/>
                <w:color w:val="000000" w:themeColor="text1"/>
                <w:sz w:val="18"/>
                <w:szCs w:val="18"/>
              </w:rPr>
              <w:t xml:space="preserve">are all important for supporting future primary care </w:t>
            </w:r>
            <w:r w:rsidRPr="00EE56A9">
              <w:rPr>
                <w:rFonts w:eastAsia="Muli" w:cs="Muli"/>
                <w:color w:val="000000" w:themeColor="text1"/>
                <w:sz w:val="18"/>
                <w:szCs w:val="18"/>
              </w:rPr>
              <w:t>reform.</w:t>
            </w:r>
            <w:r w:rsidRPr="003429E9">
              <w:rPr>
                <w:rFonts w:eastAsia="Muli" w:cs="Muli"/>
                <w:color w:val="000000" w:themeColor="text1"/>
                <w:sz w:val="18"/>
                <w:szCs w:val="18"/>
              </w:rPr>
              <w:t xml:space="preserve"> </w:t>
            </w:r>
            <w:r w:rsidR="004C315B" w:rsidRPr="00EE56A9">
              <w:rPr>
                <w:rFonts w:eastAsia="Muli" w:cs="Muli"/>
                <w:color w:val="000000" w:themeColor="text1"/>
                <w:sz w:val="18"/>
                <w:szCs w:val="18"/>
              </w:rPr>
              <w:t xml:space="preserve">Chapter </w:t>
            </w:r>
            <w:r w:rsidR="004C315B">
              <w:rPr>
                <w:rFonts w:eastAsia="Muli" w:cs="Muli"/>
                <w:color w:val="000000" w:themeColor="text1"/>
                <w:sz w:val="18"/>
                <w:szCs w:val="18"/>
              </w:rPr>
              <w:fldChar w:fldCharType="begin"/>
            </w:r>
            <w:r w:rsidR="004C315B">
              <w:rPr>
                <w:rFonts w:eastAsia="Muli" w:cs="Muli"/>
                <w:color w:val="000000" w:themeColor="text1"/>
                <w:sz w:val="18"/>
                <w:szCs w:val="18"/>
              </w:rPr>
              <w:instrText xml:space="preserve"> REF _Ref99902892 \r \h </w:instrText>
            </w:r>
            <w:r w:rsidR="004C315B">
              <w:rPr>
                <w:rFonts w:eastAsia="Muli" w:cs="Muli"/>
                <w:color w:val="000000" w:themeColor="text1"/>
                <w:sz w:val="18"/>
                <w:szCs w:val="18"/>
              </w:rPr>
            </w:r>
            <w:r w:rsidR="004C315B">
              <w:rPr>
                <w:rFonts w:eastAsia="Muli" w:cs="Muli"/>
                <w:color w:val="000000" w:themeColor="text1"/>
                <w:sz w:val="18"/>
                <w:szCs w:val="18"/>
              </w:rPr>
              <w:fldChar w:fldCharType="separate"/>
            </w:r>
            <w:r w:rsidR="003C4BC2">
              <w:rPr>
                <w:rFonts w:eastAsia="Muli" w:cs="Muli"/>
                <w:color w:val="000000" w:themeColor="text1"/>
                <w:sz w:val="18"/>
                <w:szCs w:val="18"/>
              </w:rPr>
              <w:t>26</w:t>
            </w:r>
            <w:r w:rsidR="004C315B">
              <w:rPr>
                <w:rFonts w:eastAsia="Muli" w:cs="Muli"/>
                <w:color w:val="000000" w:themeColor="text1"/>
                <w:sz w:val="18"/>
                <w:szCs w:val="18"/>
              </w:rPr>
              <w:fldChar w:fldCharType="end"/>
            </w:r>
            <w:r w:rsidR="004C315B" w:rsidRPr="00EE56A9">
              <w:rPr>
                <w:rFonts w:eastAsia="Muli" w:cs="Muli"/>
                <w:color w:val="000000" w:themeColor="text1"/>
                <w:sz w:val="18"/>
                <w:szCs w:val="18"/>
              </w:rPr>
              <w:t xml:space="preserve"> (p. </w:t>
            </w:r>
            <w:r w:rsidR="004C315B" w:rsidRPr="00EE56A9">
              <w:rPr>
                <w:rFonts w:eastAsia="Muli" w:cs="Muli"/>
                <w:color w:val="000000" w:themeColor="text1"/>
                <w:sz w:val="18"/>
                <w:szCs w:val="18"/>
              </w:rPr>
              <w:fldChar w:fldCharType="begin"/>
            </w:r>
            <w:r w:rsidR="004C315B" w:rsidRPr="00EE56A9">
              <w:rPr>
                <w:rFonts w:eastAsia="Muli" w:cs="Muli"/>
                <w:color w:val="000000" w:themeColor="text1"/>
                <w:sz w:val="18"/>
                <w:szCs w:val="18"/>
              </w:rPr>
              <w:instrText xml:space="preserve"> PAGEREF _Ref103681470 \h </w:instrText>
            </w:r>
            <w:r w:rsidR="004C315B" w:rsidRPr="00EE56A9">
              <w:rPr>
                <w:rFonts w:eastAsia="Muli" w:cs="Muli"/>
                <w:color w:val="000000" w:themeColor="text1"/>
                <w:sz w:val="18"/>
                <w:szCs w:val="18"/>
              </w:rPr>
            </w:r>
            <w:r w:rsidR="004C315B" w:rsidRPr="00EE56A9">
              <w:rPr>
                <w:rFonts w:eastAsia="Muli" w:cs="Muli"/>
                <w:color w:val="000000" w:themeColor="text1"/>
                <w:sz w:val="18"/>
                <w:szCs w:val="18"/>
              </w:rPr>
              <w:fldChar w:fldCharType="separate"/>
            </w:r>
            <w:r w:rsidR="003C4BC2">
              <w:rPr>
                <w:rFonts w:eastAsia="Muli" w:cs="Muli"/>
                <w:noProof/>
                <w:color w:val="000000" w:themeColor="text1"/>
                <w:sz w:val="18"/>
                <w:szCs w:val="18"/>
              </w:rPr>
              <w:t>341</w:t>
            </w:r>
            <w:r w:rsidR="004C315B" w:rsidRPr="00EE56A9">
              <w:rPr>
                <w:rFonts w:eastAsia="Muli" w:cs="Muli"/>
                <w:color w:val="000000" w:themeColor="text1"/>
                <w:sz w:val="18"/>
                <w:szCs w:val="18"/>
              </w:rPr>
              <w:fldChar w:fldCharType="end"/>
            </w:r>
            <w:r w:rsidR="004C315B" w:rsidRPr="00EE56A9">
              <w:rPr>
                <w:rFonts w:eastAsia="Muli" w:cs="Muli"/>
                <w:color w:val="000000" w:themeColor="text1"/>
                <w:sz w:val="18"/>
                <w:szCs w:val="18"/>
              </w:rPr>
              <w:t>)</w:t>
            </w:r>
            <w:r w:rsidR="004C315B">
              <w:rPr>
                <w:rFonts w:eastAsia="Muli" w:cs="Muli"/>
                <w:color w:val="000000" w:themeColor="text1"/>
                <w:sz w:val="18"/>
                <w:szCs w:val="18"/>
              </w:rPr>
              <w:t xml:space="preserve"> </w:t>
            </w:r>
            <w:r w:rsidR="00F91AC7">
              <w:rPr>
                <w:rFonts w:eastAsia="Muli" w:cs="Muli"/>
                <w:color w:val="000000" w:themeColor="text1"/>
                <w:sz w:val="18"/>
                <w:szCs w:val="18"/>
              </w:rPr>
              <w:t xml:space="preserve">outlines </w:t>
            </w:r>
            <w:r w:rsidR="00B63C58">
              <w:rPr>
                <w:rFonts w:eastAsia="Muli" w:cs="Muli"/>
                <w:color w:val="000000" w:themeColor="text1"/>
                <w:sz w:val="18"/>
                <w:szCs w:val="18"/>
              </w:rPr>
              <w:t>p</w:t>
            </w:r>
            <w:r w:rsidR="00B27A25" w:rsidRPr="00EE56A9">
              <w:rPr>
                <w:rFonts w:eastAsia="Muli" w:cs="Muli"/>
                <w:color w:val="000000" w:themeColor="text1"/>
                <w:sz w:val="18"/>
                <w:szCs w:val="18"/>
              </w:rPr>
              <w:t xml:space="preserve">otential directions for </w:t>
            </w:r>
            <w:r w:rsidR="00C675D0" w:rsidRPr="00EE56A9">
              <w:rPr>
                <w:rFonts w:eastAsia="Muli" w:cs="Muli"/>
                <w:color w:val="000000" w:themeColor="text1"/>
                <w:sz w:val="18"/>
                <w:szCs w:val="18"/>
              </w:rPr>
              <w:t>risk stratification.</w:t>
            </w:r>
          </w:p>
        </w:tc>
      </w:tr>
    </w:tbl>
    <w:p w14:paraId="52AE34C3" w14:textId="77777777" w:rsidR="0005718E" w:rsidRDefault="0005718E" w:rsidP="0005718E">
      <w:pPr>
        <w:spacing w:after="0"/>
        <w:rPr>
          <w:rFonts w:eastAsia="Muli" w:cs="Muli"/>
          <w:color w:val="000000" w:themeColor="text1"/>
          <w:szCs w:val="20"/>
        </w:rPr>
      </w:pPr>
    </w:p>
    <w:p w14:paraId="24ACFC96" w14:textId="217FF8F4" w:rsidR="00CE39B5" w:rsidRDefault="00EE56A9" w:rsidP="003937E8">
      <w:pPr>
        <w:rPr>
          <w:szCs w:val="20"/>
        </w:rPr>
      </w:pPr>
      <w:r>
        <w:rPr>
          <w:szCs w:val="20"/>
        </w:rPr>
        <w:t xml:space="preserve">The </w:t>
      </w:r>
      <w:r w:rsidR="00D4213C">
        <w:rPr>
          <w:szCs w:val="20"/>
        </w:rPr>
        <w:t xml:space="preserve">PHCAG recommended </w:t>
      </w:r>
      <w:r w:rsidR="004D7880">
        <w:rPr>
          <w:szCs w:val="20"/>
        </w:rPr>
        <w:t xml:space="preserve">the use of </w:t>
      </w:r>
      <w:r w:rsidR="00D4213C">
        <w:rPr>
          <w:szCs w:val="20"/>
        </w:rPr>
        <w:t xml:space="preserve">risk stratification to identify patients with high care and coordination needs. The Department commissioned </w:t>
      </w:r>
      <w:r w:rsidR="006E3C18">
        <w:rPr>
          <w:szCs w:val="20"/>
        </w:rPr>
        <w:t xml:space="preserve">the development of </w:t>
      </w:r>
      <w:r w:rsidR="00D4213C">
        <w:rPr>
          <w:szCs w:val="20"/>
        </w:rPr>
        <w:t xml:space="preserve">a risk stratification tool (RST) to be used for this. The process involved two </w:t>
      </w:r>
      <w:r w:rsidR="00597D1E">
        <w:rPr>
          <w:szCs w:val="20"/>
        </w:rPr>
        <w:t>stages</w:t>
      </w:r>
      <w:r w:rsidR="00D4213C">
        <w:rPr>
          <w:szCs w:val="20"/>
        </w:rPr>
        <w:t xml:space="preserve">: a predictive risk model (PRM) to identify patients at high risk of hospitalisation </w:t>
      </w:r>
      <w:r w:rsidR="003937E8">
        <w:rPr>
          <w:szCs w:val="20"/>
        </w:rPr>
        <w:t>with</w:t>
      </w:r>
      <w:r w:rsidR="00D4213C">
        <w:rPr>
          <w:szCs w:val="20"/>
        </w:rPr>
        <w:t>in 12 months</w:t>
      </w:r>
      <w:r w:rsidR="00482D9C" w:rsidRPr="00134B8A">
        <w:rPr>
          <w:rStyle w:val="FootnoteReference"/>
          <w:color w:val="408BCA"/>
          <w:szCs w:val="20"/>
        </w:rPr>
        <w:footnoteReference w:id="40"/>
      </w:r>
      <w:r w:rsidR="00D4213C">
        <w:rPr>
          <w:szCs w:val="20"/>
        </w:rPr>
        <w:t xml:space="preserve"> and an assessment of clinical factors and factors affecting self-management using the </w:t>
      </w:r>
      <w:r w:rsidR="00157F66" w:rsidRPr="00157F66">
        <w:rPr>
          <w:szCs w:val="20"/>
        </w:rPr>
        <w:t xml:space="preserve">Hospital Admission Risk Program (HARP) </w:t>
      </w:r>
      <w:r w:rsidR="00D4213C">
        <w:rPr>
          <w:szCs w:val="20"/>
        </w:rPr>
        <w:t xml:space="preserve">tool </w:t>
      </w:r>
      <w:r w:rsidR="003937E8">
        <w:rPr>
          <w:szCs w:val="20"/>
        </w:rPr>
        <w:fldChar w:fldCharType="begin"/>
      </w:r>
      <w:r w:rsidR="003937E8">
        <w:rPr>
          <w:szCs w:val="20"/>
        </w:rPr>
        <w:instrText xml:space="preserve"> ADDIN EN.CITE &lt;EndNote&gt;&lt;Cite&gt;&lt;Author&gt;Western HARP&lt;/Author&gt;&lt;Year&gt;2009&lt;/Year&gt;&lt;RecNum&gt;1051&lt;/RecNum&gt;&lt;DisplayText&gt;(Western HARP, 2009)&lt;/DisplayText&gt;&lt;record&gt;&lt;rec-number&gt;1051&lt;/rec-number&gt;&lt;foreign-keys&gt;&lt;key app="EN" db-id="zdz9xax04zr9v0evw2nvrpw9xe9ttzvs5zsv" timestamp="1536537172"&gt;1051&lt;/key&gt;&lt;/foreign-keys&gt;&lt;ref-type name="Web Page"&gt;12&lt;/ref-type&gt;&lt;contributors&gt;&lt;authors&gt;&lt;author&gt;Western HARP,&lt;/author&gt;&lt;/authors&gt;&lt;/contributors&gt;&lt;titles&gt;&lt;title&gt;Summary: HARP risk calculator&lt;/title&gt;&lt;/titles&gt;&lt;volume&gt;2018&lt;/volume&gt;&lt;number&gt;10 September&lt;/number&gt;&lt;dates&gt;&lt;year&gt;2009&lt;/year&gt;&lt;/dates&gt;&lt;urls&gt;&lt;related-urls&gt;&lt;url&gt;https://adma.org.au/download/western-harp-risk-calculator/&lt;/url&gt;&lt;/related-urls&gt;&lt;/urls&gt;&lt;/record&gt;&lt;/Cite&gt;&lt;/EndNote&gt;</w:instrText>
      </w:r>
      <w:r w:rsidR="003937E8">
        <w:rPr>
          <w:szCs w:val="20"/>
        </w:rPr>
        <w:fldChar w:fldCharType="separate"/>
      </w:r>
      <w:r w:rsidR="003937E8">
        <w:rPr>
          <w:noProof/>
          <w:szCs w:val="20"/>
        </w:rPr>
        <w:t>(Western HARP, 2009)</w:t>
      </w:r>
      <w:r w:rsidR="003937E8">
        <w:rPr>
          <w:szCs w:val="20"/>
        </w:rPr>
        <w:fldChar w:fldCharType="end"/>
      </w:r>
      <w:r w:rsidR="003937E8">
        <w:rPr>
          <w:szCs w:val="20"/>
        </w:rPr>
        <w:t xml:space="preserve">. The HARP score </w:t>
      </w:r>
      <w:r w:rsidR="007E7CD7">
        <w:rPr>
          <w:szCs w:val="20"/>
        </w:rPr>
        <w:t xml:space="preserve">was used to </w:t>
      </w:r>
      <w:r w:rsidR="003937E8">
        <w:rPr>
          <w:szCs w:val="20"/>
        </w:rPr>
        <w:t>determ</w:t>
      </w:r>
      <w:r w:rsidR="007E7CD7">
        <w:rPr>
          <w:szCs w:val="20"/>
        </w:rPr>
        <w:t>ine</w:t>
      </w:r>
      <w:r w:rsidR="003937E8">
        <w:rPr>
          <w:szCs w:val="20"/>
        </w:rPr>
        <w:t xml:space="preserve"> the </w:t>
      </w:r>
      <w:r w:rsidR="00D4213C">
        <w:rPr>
          <w:szCs w:val="20"/>
        </w:rPr>
        <w:t>tier</w:t>
      </w:r>
      <w:r w:rsidR="003937E8">
        <w:rPr>
          <w:szCs w:val="20"/>
        </w:rPr>
        <w:t xml:space="preserve"> of the patient for the purposes of the bundled payment. </w:t>
      </w:r>
      <w:r w:rsidR="00482D9C" w:rsidRPr="00FF78AE">
        <w:rPr>
          <w:b/>
          <w:szCs w:val="20"/>
        </w:rPr>
        <w:fldChar w:fldCharType="begin"/>
      </w:r>
      <w:r w:rsidR="00482D9C" w:rsidRPr="00FF78AE">
        <w:rPr>
          <w:b/>
          <w:szCs w:val="20"/>
        </w:rPr>
        <w:instrText xml:space="preserve"> REF _Ref85532713 \h </w:instrText>
      </w:r>
      <w:r w:rsidR="00034863" w:rsidRPr="00FF78AE">
        <w:rPr>
          <w:b/>
          <w:szCs w:val="20"/>
        </w:rPr>
        <w:instrText xml:space="preserve"> \* MERGEFORMAT </w:instrText>
      </w:r>
      <w:r w:rsidR="00482D9C" w:rsidRPr="00FF78AE">
        <w:rPr>
          <w:b/>
          <w:szCs w:val="20"/>
        </w:rPr>
      </w:r>
      <w:r w:rsidR="00482D9C" w:rsidRPr="00FF78AE">
        <w:rPr>
          <w:b/>
          <w:szCs w:val="20"/>
        </w:rPr>
        <w:fldChar w:fldCharType="separate"/>
      </w:r>
      <w:r w:rsidR="003C4BC2" w:rsidRPr="00E426DB">
        <w:rPr>
          <w:rStyle w:val="Strong1"/>
          <w:b w:val="0"/>
          <w:color w:val="1D2455"/>
          <w:sz w:val="20"/>
          <w:szCs w:val="16"/>
        </w:rPr>
        <w:t xml:space="preserve">Figure </w:t>
      </w:r>
      <w:r w:rsidR="003C4BC2">
        <w:rPr>
          <w:rStyle w:val="Strong1"/>
          <w:b w:val="0"/>
          <w:color w:val="1D2455"/>
          <w:sz w:val="20"/>
          <w:szCs w:val="16"/>
        </w:rPr>
        <w:t>6</w:t>
      </w:r>
      <w:r w:rsidR="00482D9C" w:rsidRPr="00FF78AE">
        <w:rPr>
          <w:b/>
          <w:szCs w:val="20"/>
        </w:rPr>
        <w:fldChar w:fldCharType="end"/>
      </w:r>
      <w:r w:rsidR="00482D9C" w:rsidRPr="00034863">
        <w:rPr>
          <w:b/>
          <w:bCs/>
          <w:szCs w:val="20"/>
        </w:rPr>
        <w:t xml:space="preserve"> </w:t>
      </w:r>
      <w:r w:rsidR="003937E8">
        <w:rPr>
          <w:szCs w:val="20"/>
        </w:rPr>
        <w:t>shows the Department of Health’s descriptions of the three tiers.</w:t>
      </w:r>
    </w:p>
    <w:p w14:paraId="1B62C06A" w14:textId="005AED0C" w:rsidR="00D4213C" w:rsidRPr="00E426DB" w:rsidRDefault="00D4213C" w:rsidP="00731EFD">
      <w:pPr>
        <w:pStyle w:val="TableFigureheading"/>
        <w:spacing w:after="0"/>
        <w:rPr>
          <w:rStyle w:val="Strong1"/>
          <w:b w:val="0"/>
          <w:color w:val="1D2455"/>
          <w:sz w:val="20"/>
          <w:szCs w:val="16"/>
        </w:rPr>
      </w:pPr>
      <w:bookmarkStart w:id="104" w:name="_Ref85532713"/>
      <w:bookmarkStart w:id="105" w:name="_Ref96339237"/>
      <w:r w:rsidRPr="00E426DB">
        <w:rPr>
          <w:rStyle w:val="Strong1"/>
          <w:b w:val="0"/>
          <w:color w:val="1D2455"/>
          <w:sz w:val="20"/>
          <w:szCs w:val="16"/>
        </w:rPr>
        <w:t xml:space="preserve">Figure </w:t>
      </w:r>
      <w:r w:rsidRPr="00E426DB">
        <w:rPr>
          <w:rStyle w:val="Strong1"/>
          <w:b w:val="0"/>
          <w:color w:val="1D2455"/>
          <w:sz w:val="20"/>
        </w:rPr>
        <w:fldChar w:fldCharType="begin"/>
      </w:r>
      <w:r w:rsidRPr="00E426DB">
        <w:rPr>
          <w:rStyle w:val="Strong1"/>
          <w:b w:val="0"/>
          <w:color w:val="1D2455"/>
          <w:sz w:val="20"/>
          <w:szCs w:val="16"/>
        </w:rPr>
        <w:instrText xml:space="preserve"> SEQ Figure \* ARABIC </w:instrText>
      </w:r>
      <w:r w:rsidRPr="00E426DB">
        <w:rPr>
          <w:rStyle w:val="Strong1"/>
          <w:b w:val="0"/>
          <w:color w:val="1D2455"/>
          <w:sz w:val="20"/>
        </w:rPr>
        <w:fldChar w:fldCharType="separate"/>
      </w:r>
      <w:r w:rsidR="003C4BC2">
        <w:rPr>
          <w:rStyle w:val="Strong1"/>
          <w:b w:val="0"/>
          <w:noProof/>
          <w:color w:val="1D2455"/>
          <w:sz w:val="20"/>
          <w:szCs w:val="16"/>
        </w:rPr>
        <w:t>6</w:t>
      </w:r>
      <w:r w:rsidRPr="00E426DB">
        <w:rPr>
          <w:rStyle w:val="Strong1"/>
          <w:b w:val="0"/>
          <w:color w:val="1D2455"/>
          <w:sz w:val="20"/>
        </w:rPr>
        <w:fldChar w:fldCharType="end"/>
      </w:r>
      <w:bookmarkEnd w:id="104"/>
      <w:r>
        <w:rPr>
          <w:rStyle w:val="Strong1"/>
          <w:b w:val="0"/>
          <w:color w:val="1D2455"/>
          <w:sz w:val="20"/>
        </w:rPr>
        <w:t>:</w:t>
      </w:r>
      <w:r w:rsidRPr="00E426DB">
        <w:rPr>
          <w:rStyle w:val="Strong1"/>
          <w:b w:val="0"/>
          <w:color w:val="1D2455"/>
          <w:sz w:val="20"/>
          <w:szCs w:val="16"/>
        </w:rPr>
        <w:t xml:space="preserve"> Tier characteristics</w:t>
      </w:r>
      <w:bookmarkEnd w:id="105"/>
    </w:p>
    <w:p w14:paraId="367C65A5" w14:textId="77777777" w:rsidR="00D4213C" w:rsidRDefault="00D4213C" w:rsidP="00D4213C">
      <w:pPr>
        <w:pStyle w:val="Chartortablefootnote"/>
        <w:spacing w:after="0"/>
      </w:pPr>
      <w:r w:rsidRPr="00A86CE1">
        <w:rPr>
          <w:noProof/>
        </w:rPr>
        <w:drawing>
          <wp:inline distT="0" distB="0" distL="0" distR="0" wp14:anchorId="2ABEB370" wp14:editId="2237ABE6">
            <wp:extent cx="5688000" cy="3978000"/>
            <wp:effectExtent l="0" t="0" r="0" b="0"/>
            <wp:docPr id="6294" name="Picture 6294" descr="diagram, health care homes ti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4" name="Picture 6294" descr="diagram, health care homes tiers&#1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688000" cy="3978000"/>
                    </a:xfrm>
                    <a:prstGeom prst="rect">
                      <a:avLst/>
                    </a:prstGeom>
                    <a:noFill/>
                    <a:ln>
                      <a:noFill/>
                    </a:ln>
                  </pic:spPr>
                </pic:pic>
              </a:graphicData>
            </a:graphic>
          </wp:inline>
        </w:drawing>
      </w:r>
    </w:p>
    <w:p w14:paraId="5D543B30" w14:textId="77777777" w:rsidR="00D4213C" w:rsidRDefault="00D4213C" w:rsidP="00A15F9B">
      <w:pPr>
        <w:pStyle w:val="Chartortablefootnote"/>
        <w:spacing w:after="0"/>
      </w:pPr>
      <w:r>
        <w:t>Notes: * Estimates based on analysis of available population, hospitalisation and Medicare data.</w:t>
      </w:r>
    </w:p>
    <w:p w14:paraId="0447A992" w14:textId="027385D9" w:rsidR="00065063" w:rsidRDefault="00D4213C" w:rsidP="00157F66">
      <w:pPr>
        <w:pStyle w:val="Chartortablefootnote"/>
        <w:rPr>
          <w:szCs w:val="20"/>
        </w:rPr>
      </w:pPr>
      <w:r>
        <w:t xml:space="preserve">Source: </w:t>
      </w:r>
      <w:r>
        <w:fldChar w:fldCharType="begin"/>
      </w:r>
      <w:r>
        <w:instrText xml:space="preserve"> ADDIN EN.CITE &lt;EndNote&gt;&lt;Cite AuthorYear="1"&gt;&lt;Author&gt;Australian Government Department of Health&lt;/Author&gt;&lt;Year&gt;2016&lt;/Year&gt;&lt;RecNum&gt;520&lt;/RecNum&gt;&lt;DisplayText&gt;Australian Government Department of Health (2016a)&lt;/DisplayText&gt;&lt;record&gt;&lt;rec-number&gt;520&lt;/rec-number&gt;&lt;foreign-keys&gt;&lt;key app="EN" db-id="zdz9xax04zr9v0evw2nvrpw9xe9ttzvs5zsv" timestamp="1485909813"&gt;520&lt;/key&gt;&lt;/foreign-keys&gt;&lt;ref-type name="Electronic Book"&gt;44&lt;/ref-type&gt;&lt;contributors&gt;&lt;authors&gt;&lt;author&gt;Australian Government Department of Health,,&lt;/author&gt;&lt;/authors&gt;&lt;/contributors&gt;&lt;titles&gt;&lt;title&gt;Factsheet: Patient eligibility&lt;/title&gt;&lt;/titles&gt;&lt;dates&gt;&lt;year&gt;2016&lt;/year&gt;&lt;/dates&gt;&lt;urls&gt;&lt;related-urls&gt;&lt;url&gt;http://www.health.gov.au/internet/main/publishing.nsf/Content/health-care-homes&lt;/url&gt;&lt;/related-urls&gt;&lt;/urls&gt;&lt;/record&gt;&lt;/Cite&gt;&lt;/EndNote&gt;</w:instrText>
      </w:r>
      <w:r>
        <w:fldChar w:fldCharType="separate"/>
      </w:r>
      <w:r>
        <w:rPr>
          <w:noProof/>
        </w:rPr>
        <w:t>Australian Government Department of Health (2016a)</w:t>
      </w:r>
      <w:r>
        <w:fldChar w:fldCharType="end"/>
      </w:r>
      <w:r>
        <w:t>.</w:t>
      </w:r>
      <w:r w:rsidR="00482D9C" w:rsidRPr="00134B8A">
        <w:rPr>
          <w:rStyle w:val="FootnoteReference"/>
          <w:i w:val="0"/>
          <w:iCs/>
          <w:color w:val="408BCA"/>
        </w:rPr>
        <w:footnoteReference w:id="41"/>
      </w:r>
      <w:r w:rsidR="00065063">
        <w:rPr>
          <w:szCs w:val="20"/>
        </w:rPr>
        <w:br w:type="page"/>
      </w:r>
    </w:p>
    <w:p w14:paraId="11D94954" w14:textId="7F83F47F" w:rsidR="00065063" w:rsidRDefault="00065063" w:rsidP="00065063">
      <w:pPr>
        <w:rPr>
          <w:szCs w:val="20"/>
        </w:rPr>
      </w:pPr>
      <w:r>
        <w:rPr>
          <w:szCs w:val="20"/>
        </w:rPr>
        <w:lastRenderedPageBreak/>
        <w:t>A feature of the RST was an override mechanism. If a GP encountered a patient who in their clinical opinion was at risk but was not identified as such by the tool (and this was not due to data errors or omissions), the GP could initiate a HARP assessment. A note in the software was required as justification for the override.</w:t>
      </w:r>
    </w:p>
    <w:p w14:paraId="57DECB22" w14:textId="77777777" w:rsidR="00065063" w:rsidRDefault="00065063" w:rsidP="00065063">
      <w:pPr>
        <w:rPr>
          <w:szCs w:val="20"/>
        </w:rPr>
      </w:pPr>
      <w:r>
        <w:rPr>
          <w:szCs w:val="20"/>
        </w:rPr>
        <w:t>The certificate generated by the RST was valid for 12 months, at which stage the HARP needed to be repeated to review the tier. The tier could also be reviewed within the 12-months if there were changes in the patient’s circumstances.</w:t>
      </w:r>
    </w:p>
    <w:p w14:paraId="59792758" w14:textId="77777777" w:rsidR="00D4213C" w:rsidRDefault="00D4213C" w:rsidP="00D4213C">
      <w:pPr>
        <w:pStyle w:val="Heading2"/>
        <w:rPr>
          <w:bCs w:val="0"/>
          <w:szCs w:val="26"/>
        </w:rPr>
      </w:pPr>
      <w:bookmarkStart w:id="106" w:name="_Toc109996662"/>
      <w:r>
        <w:t>Software implementation</w:t>
      </w:r>
      <w:bookmarkEnd w:id="106"/>
      <w:r>
        <w:t xml:space="preserve"> </w:t>
      </w:r>
    </w:p>
    <w:p w14:paraId="7EB8B44A" w14:textId="113E1C95" w:rsidR="00621CA8" w:rsidRDefault="00597D1E" w:rsidP="00D4213C">
      <w:pPr>
        <w:rPr>
          <w:szCs w:val="20"/>
        </w:rPr>
      </w:pPr>
      <w:r>
        <w:rPr>
          <w:szCs w:val="20"/>
        </w:rPr>
        <w:t>T</w:t>
      </w:r>
      <w:r w:rsidR="000644BD">
        <w:rPr>
          <w:szCs w:val="20"/>
        </w:rPr>
        <w:t xml:space="preserve">he RST </w:t>
      </w:r>
      <w:r>
        <w:rPr>
          <w:szCs w:val="20"/>
        </w:rPr>
        <w:t xml:space="preserve">needed to be in place before practices could </w:t>
      </w:r>
      <w:r w:rsidR="000644BD">
        <w:rPr>
          <w:szCs w:val="20"/>
        </w:rPr>
        <w:t>enrol</w:t>
      </w:r>
      <w:r>
        <w:rPr>
          <w:szCs w:val="20"/>
        </w:rPr>
        <w:t xml:space="preserve"> </w:t>
      </w:r>
      <w:r w:rsidR="000644BD">
        <w:rPr>
          <w:szCs w:val="20"/>
        </w:rPr>
        <w:t>patients</w:t>
      </w:r>
      <w:r w:rsidR="00D4213C">
        <w:rPr>
          <w:szCs w:val="20"/>
        </w:rPr>
        <w:t xml:space="preserve">. </w:t>
      </w:r>
      <w:r w:rsidR="00157F66">
        <w:rPr>
          <w:szCs w:val="20"/>
        </w:rPr>
        <w:t xml:space="preserve">The </w:t>
      </w:r>
      <w:r w:rsidR="00D4213C">
        <w:rPr>
          <w:szCs w:val="20"/>
        </w:rPr>
        <w:t xml:space="preserve">Round 2 practice surveys revealed that while </w:t>
      </w:r>
      <w:r w:rsidR="00621CA8">
        <w:rPr>
          <w:szCs w:val="20"/>
        </w:rPr>
        <w:t>some</w:t>
      </w:r>
      <w:r w:rsidR="00D4213C">
        <w:rPr>
          <w:szCs w:val="20"/>
        </w:rPr>
        <w:t xml:space="preserve"> practices described implementing the RST as “smooth”, </w:t>
      </w:r>
      <w:r w:rsidR="005C295F">
        <w:rPr>
          <w:szCs w:val="20"/>
        </w:rPr>
        <w:t>most</w:t>
      </w:r>
      <w:r w:rsidR="00D4213C">
        <w:rPr>
          <w:szCs w:val="20"/>
        </w:rPr>
        <w:t xml:space="preserve"> experienced challenges</w:t>
      </w:r>
      <w:r w:rsidR="00302D66">
        <w:rPr>
          <w:szCs w:val="20"/>
        </w:rPr>
        <w:t xml:space="preserve"> (</w:t>
      </w:r>
      <w:r w:rsidR="00302D66" w:rsidRPr="001018EB">
        <w:rPr>
          <w:b/>
          <w:bCs/>
          <w:szCs w:val="20"/>
        </w:rPr>
        <w:fldChar w:fldCharType="begin"/>
      </w:r>
      <w:r w:rsidR="00302D66" w:rsidRPr="001018EB">
        <w:rPr>
          <w:b/>
          <w:bCs/>
          <w:szCs w:val="20"/>
        </w:rPr>
        <w:instrText xml:space="preserve"> REF _Ref85560828 \h  \* MERGEFORMAT </w:instrText>
      </w:r>
      <w:r w:rsidR="00302D66" w:rsidRPr="001018EB">
        <w:rPr>
          <w:b/>
          <w:bCs/>
          <w:szCs w:val="20"/>
        </w:rPr>
      </w:r>
      <w:r w:rsidR="00302D66" w:rsidRPr="001018EB">
        <w:rPr>
          <w:b/>
          <w:bCs/>
          <w:szCs w:val="20"/>
        </w:rPr>
        <w:fldChar w:fldCharType="separate"/>
      </w:r>
      <w:r w:rsidR="003C4BC2" w:rsidRPr="003C4BC2">
        <w:rPr>
          <w:rStyle w:val="Strong1"/>
          <w:b w:val="0"/>
          <w:bCs/>
          <w:color w:val="1D2455"/>
          <w:sz w:val="20"/>
          <w:szCs w:val="16"/>
        </w:rPr>
        <w:t xml:space="preserve">Table </w:t>
      </w:r>
      <w:r w:rsidR="003C4BC2" w:rsidRPr="003C4BC2">
        <w:rPr>
          <w:rStyle w:val="Strong1"/>
          <w:b w:val="0"/>
          <w:bCs/>
          <w:noProof/>
          <w:color w:val="1D2455"/>
          <w:sz w:val="20"/>
        </w:rPr>
        <w:t>14</w:t>
      </w:r>
      <w:r w:rsidR="00302D66" w:rsidRPr="001018EB">
        <w:rPr>
          <w:b/>
          <w:bCs/>
          <w:szCs w:val="20"/>
        </w:rPr>
        <w:fldChar w:fldCharType="end"/>
      </w:r>
      <w:r w:rsidR="00302D66">
        <w:rPr>
          <w:szCs w:val="20"/>
        </w:rPr>
        <w:t>)</w:t>
      </w:r>
      <w:r>
        <w:rPr>
          <w:szCs w:val="20"/>
        </w:rPr>
        <w:t>. A few experienced</w:t>
      </w:r>
      <w:r w:rsidR="00621CA8">
        <w:rPr>
          <w:szCs w:val="20"/>
        </w:rPr>
        <w:t xml:space="preserve"> ongoing difficulties. The challenges often reflected IT environments and the skills of practice staff.</w:t>
      </w:r>
    </w:p>
    <w:p w14:paraId="74A7D048" w14:textId="1CD4A06F" w:rsidR="006B656C" w:rsidRPr="00E426DB" w:rsidRDefault="006B656C" w:rsidP="006B656C">
      <w:pPr>
        <w:pStyle w:val="TableFigureheading"/>
        <w:rPr>
          <w:rStyle w:val="Strong1"/>
          <w:b w:val="0"/>
          <w:color w:val="1D2455"/>
          <w:sz w:val="20"/>
          <w:szCs w:val="16"/>
        </w:rPr>
      </w:pPr>
      <w:bookmarkStart w:id="107" w:name="_Ref85560828"/>
      <w:r>
        <w:rPr>
          <w:rStyle w:val="Strong1"/>
          <w:b w:val="0"/>
          <w:color w:val="1D2455"/>
          <w:sz w:val="20"/>
          <w:szCs w:val="16"/>
        </w:rPr>
        <w:t>Table</w:t>
      </w:r>
      <w:r w:rsidRPr="00E426DB">
        <w:rPr>
          <w:rStyle w:val="Strong1"/>
          <w:b w:val="0"/>
          <w:color w:val="1D2455"/>
          <w:sz w:val="20"/>
          <w:szCs w:val="16"/>
        </w:rPr>
        <w:t xml:space="preserve"> </w:t>
      </w:r>
      <w:r>
        <w:rPr>
          <w:rStyle w:val="Strong1"/>
          <w:b w:val="0"/>
          <w:color w:val="1D2455"/>
          <w:sz w:val="20"/>
        </w:rPr>
        <w:fldChar w:fldCharType="begin"/>
      </w:r>
      <w:r>
        <w:rPr>
          <w:rStyle w:val="Strong1"/>
          <w:b w:val="0"/>
          <w:color w:val="1D2455"/>
          <w:sz w:val="20"/>
        </w:rPr>
        <w:instrText xml:space="preserve"> SEQ Table \* ARABIC </w:instrText>
      </w:r>
      <w:r>
        <w:rPr>
          <w:rStyle w:val="Strong1"/>
          <w:b w:val="0"/>
          <w:color w:val="1D2455"/>
          <w:sz w:val="20"/>
        </w:rPr>
        <w:fldChar w:fldCharType="separate"/>
      </w:r>
      <w:r w:rsidR="003C4BC2">
        <w:rPr>
          <w:rStyle w:val="Strong1"/>
          <w:b w:val="0"/>
          <w:noProof/>
          <w:color w:val="1D2455"/>
          <w:sz w:val="20"/>
        </w:rPr>
        <w:t>14</w:t>
      </w:r>
      <w:r>
        <w:rPr>
          <w:rStyle w:val="Strong1"/>
          <w:b w:val="0"/>
          <w:color w:val="1D2455"/>
          <w:sz w:val="20"/>
        </w:rPr>
        <w:fldChar w:fldCharType="end"/>
      </w:r>
      <w:bookmarkEnd w:id="107"/>
      <w:r>
        <w:rPr>
          <w:rStyle w:val="Strong1"/>
          <w:b w:val="0"/>
          <w:color w:val="1D2455"/>
          <w:sz w:val="20"/>
        </w:rPr>
        <w:t>:</w:t>
      </w:r>
      <w:r w:rsidRPr="00E426DB">
        <w:rPr>
          <w:rStyle w:val="Strong1"/>
          <w:b w:val="0"/>
          <w:color w:val="1D2455"/>
          <w:sz w:val="20"/>
          <w:szCs w:val="16"/>
        </w:rPr>
        <w:t xml:space="preserve"> </w:t>
      </w:r>
      <w:r w:rsidRPr="006B656C">
        <w:rPr>
          <w:rStyle w:val="Strong1"/>
          <w:b w:val="0"/>
          <w:color w:val="1D2455"/>
          <w:sz w:val="20"/>
          <w:szCs w:val="16"/>
        </w:rPr>
        <w:t xml:space="preserve">Practice rating of </w:t>
      </w:r>
      <w:r>
        <w:rPr>
          <w:rStyle w:val="Strong1"/>
          <w:b w:val="0"/>
          <w:color w:val="1D2455"/>
          <w:sz w:val="20"/>
          <w:szCs w:val="16"/>
        </w:rPr>
        <w:t>implementing the</w:t>
      </w:r>
      <w:r w:rsidRPr="006B656C">
        <w:rPr>
          <w:rStyle w:val="Strong1"/>
          <w:b w:val="0"/>
          <w:color w:val="1D2455"/>
          <w:sz w:val="20"/>
          <w:szCs w:val="16"/>
        </w:rPr>
        <w:t xml:space="preserve"> </w:t>
      </w:r>
      <w:r w:rsidR="00E34852">
        <w:rPr>
          <w:rStyle w:val="Strong1"/>
          <w:b w:val="0"/>
          <w:color w:val="1D2455"/>
          <w:sz w:val="20"/>
          <w:szCs w:val="16"/>
        </w:rPr>
        <w:t>RST</w:t>
      </w:r>
      <w:r w:rsidRPr="006B656C">
        <w:rPr>
          <w:rStyle w:val="Strong1"/>
          <w:b w:val="0"/>
          <w:color w:val="1D2455"/>
          <w:sz w:val="20"/>
          <w:szCs w:val="16"/>
        </w:rPr>
        <w:t xml:space="preserve"> software</w:t>
      </w:r>
    </w:p>
    <w:tbl>
      <w:tblPr>
        <w:tblW w:w="3838"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947"/>
        <w:gridCol w:w="1974"/>
      </w:tblGrid>
      <w:tr w:rsidR="002D3CBB" w:rsidRPr="006B656C" w14:paraId="01FC19D3" w14:textId="77777777" w:rsidTr="00E27353">
        <w:trPr>
          <w:trHeight w:val="290"/>
          <w:jc w:val="center"/>
        </w:trPr>
        <w:tc>
          <w:tcPr>
            <w:tcW w:w="3574" w:type="pct"/>
            <w:shd w:val="clear" w:color="auto" w:fill="408BCA"/>
          </w:tcPr>
          <w:p w14:paraId="57DF8E95" w14:textId="77777777" w:rsidR="002D3CBB" w:rsidRPr="006B656C" w:rsidRDefault="002D3CBB">
            <w:pPr>
              <w:autoSpaceDE w:val="0"/>
              <w:autoSpaceDN w:val="0"/>
              <w:adjustRightInd w:val="0"/>
              <w:spacing w:after="0"/>
              <w:rPr>
                <w:rFonts w:cs="Calibri"/>
                <w:b/>
                <w:bCs/>
                <w:color w:val="FFFFFF" w:themeColor="background1"/>
                <w:sz w:val="18"/>
                <w:szCs w:val="18"/>
              </w:rPr>
            </w:pPr>
            <w:r w:rsidRPr="006B656C">
              <w:rPr>
                <w:rFonts w:cs="Calibri"/>
                <w:b/>
                <w:bCs/>
                <w:color w:val="FFFFFF" w:themeColor="background1"/>
                <w:sz w:val="18"/>
                <w:szCs w:val="18"/>
              </w:rPr>
              <w:t>Response</w:t>
            </w:r>
          </w:p>
        </w:tc>
        <w:tc>
          <w:tcPr>
            <w:tcW w:w="1426" w:type="pct"/>
            <w:shd w:val="clear" w:color="auto" w:fill="408BCA"/>
          </w:tcPr>
          <w:p w14:paraId="366DD235" w14:textId="26EC79A7" w:rsidR="002D3CBB" w:rsidRPr="006B656C" w:rsidRDefault="002D3CBB" w:rsidP="006B656C">
            <w:pPr>
              <w:autoSpaceDE w:val="0"/>
              <w:autoSpaceDN w:val="0"/>
              <w:adjustRightInd w:val="0"/>
              <w:spacing w:after="0"/>
              <w:jc w:val="center"/>
              <w:rPr>
                <w:rFonts w:cs="Calibri"/>
                <w:b/>
                <w:bCs/>
                <w:color w:val="FFFFFF" w:themeColor="background1"/>
                <w:sz w:val="18"/>
                <w:szCs w:val="18"/>
              </w:rPr>
            </w:pPr>
            <w:r>
              <w:rPr>
                <w:rFonts w:cs="Calibri"/>
                <w:b/>
                <w:bCs/>
                <w:color w:val="FFFFFF" w:themeColor="background1"/>
                <w:sz w:val="18"/>
                <w:szCs w:val="18"/>
              </w:rPr>
              <w:t>No. of practices (%)</w:t>
            </w:r>
          </w:p>
        </w:tc>
      </w:tr>
      <w:tr w:rsidR="002D3CBB" w:rsidRPr="006B656C" w14:paraId="7875C11B" w14:textId="77777777" w:rsidTr="00E27353">
        <w:trPr>
          <w:trHeight w:val="290"/>
          <w:jc w:val="center"/>
        </w:trPr>
        <w:tc>
          <w:tcPr>
            <w:tcW w:w="3574" w:type="pct"/>
          </w:tcPr>
          <w:p w14:paraId="3F7755F8" w14:textId="77777777" w:rsidR="002D3CBB" w:rsidRPr="006B656C" w:rsidRDefault="002D3CBB" w:rsidP="00144790">
            <w:pPr>
              <w:autoSpaceDE w:val="0"/>
              <w:autoSpaceDN w:val="0"/>
              <w:adjustRightInd w:val="0"/>
              <w:spacing w:after="0"/>
              <w:rPr>
                <w:rFonts w:cs="Calibri"/>
                <w:color w:val="000000"/>
                <w:sz w:val="18"/>
                <w:szCs w:val="18"/>
              </w:rPr>
            </w:pPr>
            <w:r w:rsidRPr="006B656C">
              <w:rPr>
                <w:rFonts w:cs="Calibri"/>
                <w:color w:val="000000"/>
                <w:sz w:val="18"/>
                <w:szCs w:val="18"/>
              </w:rPr>
              <w:t>The process was very smooth</w:t>
            </w:r>
          </w:p>
        </w:tc>
        <w:tc>
          <w:tcPr>
            <w:tcW w:w="1426" w:type="pct"/>
          </w:tcPr>
          <w:p w14:paraId="6029EC47" w14:textId="798A0008" w:rsidR="002D3CBB" w:rsidRPr="006B656C" w:rsidRDefault="002D3CBB" w:rsidP="00144790">
            <w:pPr>
              <w:autoSpaceDE w:val="0"/>
              <w:autoSpaceDN w:val="0"/>
              <w:adjustRightInd w:val="0"/>
              <w:spacing w:after="0"/>
              <w:jc w:val="right"/>
              <w:rPr>
                <w:rFonts w:cs="Calibri"/>
                <w:color w:val="000000"/>
                <w:sz w:val="18"/>
                <w:szCs w:val="18"/>
              </w:rPr>
            </w:pPr>
            <w:r w:rsidRPr="006B656C">
              <w:rPr>
                <w:rFonts w:cs="Calibri"/>
                <w:color w:val="000000"/>
                <w:sz w:val="18"/>
                <w:szCs w:val="18"/>
              </w:rPr>
              <w:t>22</w:t>
            </w:r>
            <w:r>
              <w:rPr>
                <w:rFonts w:cs="Calibri"/>
                <w:color w:val="000000"/>
                <w:sz w:val="18"/>
                <w:szCs w:val="18"/>
              </w:rPr>
              <w:t xml:space="preserve"> (21.0%)</w:t>
            </w:r>
          </w:p>
        </w:tc>
      </w:tr>
      <w:tr w:rsidR="002D3CBB" w:rsidRPr="006B656C" w14:paraId="5CF1C8E4" w14:textId="77777777" w:rsidTr="00E27353">
        <w:trPr>
          <w:trHeight w:val="290"/>
          <w:jc w:val="center"/>
        </w:trPr>
        <w:tc>
          <w:tcPr>
            <w:tcW w:w="3574" w:type="pct"/>
          </w:tcPr>
          <w:p w14:paraId="587E1C92" w14:textId="77777777" w:rsidR="002D3CBB" w:rsidRPr="006B656C" w:rsidRDefault="002D3CBB" w:rsidP="00144790">
            <w:pPr>
              <w:autoSpaceDE w:val="0"/>
              <w:autoSpaceDN w:val="0"/>
              <w:adjustRightInd w:val="0"/>
              <w:spacing w:after="0"/>
              <w:rPr>
                <w:rFonts w:cs="Calibri"/>
                <w:color w:val="000000"/>
                <w:sz w:val="18"/>
                <w:szCs w:val="18"/>
              </w:rPr>
            </w:pPr>
            <w:r w:rsidRPr="006B656C">
              <w:rPr>
                <w:rFonts w:cs="Calibri"/>
                <w:color w:val="000000"/>
                <w:sz w:val="18"/>
                <w:szCs w:val="18"/>
              </w:rPr>
              <w:t>We had some challenges, but we overcame them</w:t>
            </w:r>
          </w:p>
        </w:tc>
        <w:tc>
          <w:tcPr>
            <w:tcW w:w="1426" w:type="pct"/>
          </w:tcPr>
          <w:p w14:paraId="791AFF4D" w14:textId="24844DF6" w:rsidR="002D3CBB" w:rsidRPr="006B656C" w:rsidRDefault="002D3CBB" w:rsidP="00144790">
            <w:pPr>
              <w:autoSpaceDE w:val="0"/>
              <w:autoSpaceDN w:val="0"/>
              <w:adjustRightInd w:val="0"/>
              <w:spacing w:after="0"/>
              <w:jc w:val="right"/>
              <w:rPr>
                <w:rFonts w:cs="Calibri"/>
                <w:color w:val="000000"/>
                <w:sz w:val="18"/>
                <w:szCs w:val="18"/>
              </w:rPr>
            </w:pPr>
            <w:r w:rsidRPr="006B656C">
              <w:rPr>
                <w:rFonts w:cs="Calibri"/>
                <w:color w:val="000000"/>
                <w:sz w:val="18"/>
                <w:szCs w:val="18"/>
              </w:rPr>
              <w:t>65</w:t>
            </w:r>
            <w:r>
              <w:rPr>
                <w:rFonts w:cs="Calibri"/>
                <w:color w:val="000000"/>
                <w:sz w:val="18"/>
                <w:szCs w:val="18"/>
              </w:rPr>
              <w:t xml:space="preserve"> (61.9%)</w:t>
            </w:r>
          </w:p>
        </w:tc>
      </w:tr>
      <w:tr w:rsidR="002D3CBB" w:rsidRPr="006B656C" w14:paraId="565C1692" w14:textId="77777777" w:rsidTr="00E27353">
        <w:trPr>
          <w:trHeight w:val="290"/>
          <w:jc w:val="center"/>
        </w:trPr>
        <w:tc>
          <w:tcPr>
            <w:tcW w:w="3574" w:type="pct"/>
          </w:tcPr>
          <w:p w14:paraId="42B4A819" w14:textId="77777777" w:rsidR="002D3CBB" w:rsidRPr="006B656C" w:rsidRDefault="002D3CBB" w:rsidP="00144790">
            <w:pPr>
              <w:autoSpaceDE w:val="0"/>
              <w:autoSpaceDN w:val="0"/>
              <w:adjustRightInd w:val="0"/>
              <w:spacing w:after="0"/>
              <w:rPr>
                <w:rFonts w:cs="Calibri"/>
                <w:color w:val="000000"/>
                <w:sz w:val="18"/>
                <w:szCs w:val="18"/>
              </w:rPr>
            </w:pPr>
            <w:r w:rsidRPr="006B656C">
              <w:rPr>
                <w:rFonts w:cs="Calibri"/>
                <w:color w:val="000000"/>
                <w:sz w:val="18"/>
                <w:szCs w:val="18"/>
              </w:rPr>
              <w:t>We experienced ongoing difficulties</w:t>
            </w:r>
          </w:p>
        </w:tc>
        <w:tc>
          <w:tcPr>
            <w:tcW w:w="1426" w:type="pct"/>
          </w:tcPr>
          <w:p w14:paraId="27A195AF" w14:textId="26C02D2E" w:rsidR="002D3CBB" w:rsidRPr="006B656C" w:rsidRDefault="002D3CBB" w:rsidP="00144790">
            <w:pPr>
              <w:autoSpaceDE w:val="0"/>
              <w:autoSpaceDN w:val="0"/>
              <w:adjustRightInd w:val="0"/>
              <w:spacing w:after="0"/>
              <w:jc w:val="right"/>
              <w:rPr>
                <w:rFonts w:cs="Calibri"/>
                <w:color w:val="000000"/>
                <w:sz w:val="18"/>
                <w:szCs w:val="18"/>
              </w:rPr>
            </w:pPr>
            <w:r w:rsidRPr="006B656C">
              <w:rPr>
                <w:rFonts w:cs="Calibri"/>
                <w:color w:val="000000"/>
                <w:sz w:val="18"/>
                <w:szCs w:val="18"/>
              </w:rPr>
              <w:t>17</w:t>
            </w:r>
            <w:r>
              <w:rPr>
                <w:rFonts w:cs="Calibri"/>
                <w:color w:val="000000"/>
                <w:sz w:val="18"/>
                <w:szCs w:val="18"/>
              </w:rPr>
              <w:t xml:space="preserve"> (16.2%)</w:t>
            </w:r>
          </w:p>
        </w:tc>
      </w:tr>
      <w:tr w:rsidR="002D3CBB" w:rsidRPr="006B656C" w14:paraId="6D1B3853" w14:textId="77777777" w:rsidTr="00E27353">
        <w:trPr>
          <w:trHeight w:val="290"/>
          <w:jc w:val="center"/>
        </w:trPr>
        <w:tc>
          <w:tcPr>
            <w:tcW w:w="3574" w:type="pct"/>
          </w:tcPr>
          <w:p w14:paraId="25DAC1DF" w14:textId="77777777" w:rsidR="002D3CBB" w:rsidRPr="006B656C" w:rsidRDefault="002D3CBB" w:rsidP="00144790">
            <w:pPr>
              <w:autoSpaceDE w:val="0"/>
              <w:autoSpaceDN w:val="0"/>
              <w:adjustRightInd w:val="0"/>
              <w:spacing w:after="0"/>
              <w:rPr>
                <w:rFonts w:cs="Calibri"/>
                <w:color w:val="000000"/>
                <w:sz w:val="18"/>
                <w:szCs w:val="18"/>
              </w:rPr>
            </w:pPr>
            <w:r w:rsidRPr="006B656C">
              <w:rPr>
                <w:rFonts w:cs="Calibri"/>
                <w:color w:val="000000"/>
                <w:sz w:val="18"/>
                <w:szCs w:val="18"/>
              </w:rPr>
              <w:t>Don't know/ no response</w:t>
            </w:r>
          </w:p>
        </w:tc>
        <w:tc>
          <w:tcPr>
            <w:tcW w:w="1426" w:type="pct"/>
          </w:tcPr>
          <w:p w14:paraId="544C51E4" w14:textId="3F70927A" w:rsidR="002D3CBB" w:rsidRPr="006B656C" w:rsidRDefault="002D3CBB" w:rsidP="00144790">
            <w:pPr>
              <w:autoSpaceDE w:val="0"/>
              <w:autoSpaceDN w:val="0"/>
              <w:adjustRightInd w:val="0"/>
              <w:spacing w:after="0"/>
              <w:jc w:val="right"/>
              <w:rPr>
                <w:rFonts w:cs="Calibri"/>
                <w:color w:val="000000"/>
                <w:sz w:val="18"/>
                <w:szCs w:val="18"/>
              </w:rPr>
            </w:pPr>
            <w:r w:rsidRPr="006B656C">
              <w:rPr>
                <w:rFonts w:cs="Calibri"/>
                <w:color w:val="000000"/>
                <w:sz w:val="18"/>
                <w:szCs w:val="18"/>
              </w:rPr>
              <w:t>1</w:t>
            </w:r>
            <w:r>
              <w:rPr>
                <w:rFonts w:cs="Calibri"/>
                <w:color w:val="000000"/>
                <w:sz w:val="18"/>
                <w:szCs w:val="18"/>
              </w:rPr>
              <w:t xml:space="preserve"> (1.0%)</w:t>
            </w:r>
          </w:p>
        </w:tc>
      </w:tr>
      <w:tr w:rsidR="002D3CBB" w:rsidRPr="006B656C" w14:paraId="0B0E3F88" w14:textId="77777777" w:rsidTr="00E27353">
        <w:trPr>
          <w:trHeight w:val="290"/>
          <w:jc w:val="center"/>
        </w:trPr>
        <w:tc>
          <w:tcPr>
            <w:tcW w:w="3574" w:type="pct"/>
          </w:tcPr>
          <w:p w14:paraId="484CB9AB" w14:textId="77777777" w:rsidR="002D3CBB" w:rsidRPr="006B656C" w:rsidRDefault="002D3CBB" w:rsidP="00144790">
            <w:pPr>
              <w:autoSpaceDE w:val="0"/>
              <w:autoSpaceDN w:val="0"/>
              <w:adjustRightInd w:val="0"/>
              <w:spacing w:after="0"/>
              <w:rPr>
                <w:rFonts w:cs="Calibri"/>
                <w:b/>
                <w:bCs/>
                <w:color w:val="000000"/>
                <w:sz w:val="18"/>
                <w:szCs w:val="18"/>
              </w:rPr>
            </w:pPr>
            <w:r w:rsidRPr="006B656C">
              <w:rPr>
                <w:rFonts w:cs="Calibri"/>
                <w:b/>
                <w:bCs/>
                <w:color w:val="000000"/>
                <w:sz w:val="18"/>
                <w:szCs w:val="18"/>
              </w:rPr>
              <w:t>Total</w:t>
            </w:r>
          </w:p>
        </w:tc>
        <w:tc>
          <w:tcPr>
            <w:tcW w:w="1426" w:type="pct"/>
          </w:tcPr>
          <w:p w14:paraId="427BB627" w14:textId="2ECDFAED" w:rsidR="002D3CBB" w:rsidRPr="006B656C" w:rsidRDefault="002D3CBB" w:rsidP="00144790">
            <w:pPr>
              <w:autoSpaceDE w:val="0"/>
              <w:autoSpaceDN w:val="0"/>
              <w:adjustRightInd w:val="0"/>
              <w:spacing w:after="0"/>
              <w:jc w:val="right"/>
              <w:rPr>
                <w:rFonts w:cs="Calibri"/>
                <w:b/>
                <w:bCs/>
                <w:color w:val="000000"/>
                <w:sz w:val="18"/>
                <w:szCs w:val="18"/>
              </w:rPr>
            </w:pPr>
            <w:r w:rsidRPr="006B656C">
              <w:rPr>
                <w:rFonts w:cs="Calibri"/>
                <w:b/>
                <w:bCs/>
                <w:color w:val="000000"/>
                <w:sz w:val="18"/>
                <w:szCs w:val="18"/>
              </w:rPr>
              <w:t>105</w:t>
            </w:r>
            <w:r>
              <w:rPr>
                <w:rFonts w:cs="Calibri"/>
                <w:b/>
                <w:bCs/>
                <w:color w:val="000000"/>
                <w:sz w:val="18"/>
                <w:szCs w:val="18"/>
              </w:rPr>
              <w:t xml:space="preserve"> (100%)</w:t>
            </w:r>
          </w:p>
        </w:tc>
      </w:tr>
    </w:tbl>
    <w:p w14:paraId="52515C43" w14:textId="00140B9B" w:rsidR="00CE39B5" w:rsidRDefault="006B656C" w:rsidP="00065063">
      <w:pPr>
        <w:pStyle w:val="Chartortablefootnote"/>
        <w:rPr>
          <w:szCs w:val="20"/>
        </w:rPr>
      </w:pPr>
      <w:r w:rsidRPr="00597D1E">
        <w:t>Source: Practice survey R2, Nov 2018</w:t>
      </w:r>
      <w:r w:rsidR="0047607E">
        <w:t>–</w:t>
      </w:r>
      <w:r w:rsidRPr="00597D1E">
        <w:t>Mar 2019, question</w:t>
      </w:r>
      <w:r w:rsidR="00597D1E" w:rsidRPr="00597D1E">
        <w:t xml:space="preserve"> 2</w:t>
      </w:r>
      <w:r w:rsidR="008E59B0">
        <w:t>.</w:t>
      </w:r>
    </w:p>
    <w:p w14:paraId="4A5FE502" w14:textId="492A1B35" w:rsidR="00D4213C" w:rsidRDefault="00C50E3F" w:rsidP="00BE18D0">
      <w:pPr>
        <w:rPr>
          <w:szCs w:val="20"/>
        </w:rPr>
      </w:pPr>
      <w:r>
        <w:rPr>
          <w:szCs w:val="20"/>
        </w:rPr>
        <w:t xml:space="preserve">Initially the tool was compatible with </w:t>
      </w:r>
      <w:r w:rsidR="00717DDF">
        <w:rPr>
          <w:szCs w:val="20"/>
        </w:rPr>
        <w:t xml:space="preserve">two of the common </w:t>
      </w:r>
      <w:r w:rsidR="0072146D">
        <w:rPr>
          <w:szCs w:val="20"/>
        </w:rPr>
        <w:t xml:space="preserve">practice clinical management system in use across Australia- </w:t>
      </w:r>
      <w:r>
        <w:rPr>
          <w:szCs w:val="20"/>
        </w:rPr>
        <w:t>Best Practice and Medical Director</w:t>
      </w:r>
      <w:r w:rsidR="002C4A27">
        <w:rPr>
          <w:szCs w:val="20"/>
        </w:rPr>
        <w:t xml:space="preserve">. Later </w:t>
      </w:r>
      <w:r w:rsidR="0008692D">
        <w:rPr>
          <w:szCs w:val="20"/>
        </w:rPr>
        <w:t xml:space="preserve">compatibility with </w:t>
      </w:r>
      <w:proofErr w:type="spellStart"/>
      <w:r>
        <w:rPr>
          <w:szCs w:val="20"/>
        </w:rPr>
        <w:t>ZedMed</w:t>
      </w:r>
      <w:proofErr w:type="spellEnd"/>
      <w:r>
        <w:rPr>
          <w:szCs w:val="20"/>
        </w:rPr>
        <w:t>, Monet and MedTech32</w:t>
      </w:r>
      <w:r w:rsidR="0008692D">
        <w:rPr>
          <w:szCs w:val="20"/>
        </w:rPr>
        <w:t xml:space="preserve"> was achieved</w:t>
      </w:r>
      <w:r>
        <w:rPr>
          <w:szCs w:val="20"/>
        </w:rPr>
        <w:t xml:space="preserve">. </w:t>
      </w:r>
      <w:r w:rsidR="00D4213C">
        <w:rPr>
          <w:szCs w:val="20"/>
        </w:rPr>
        <w:t xml:space="preserve">Compatibility </w:t>
      </w:r>
      <w:r w:rsidR="00BE18D0">
        <w:rPr>
          <w:szCs w:val="20"/>
        </w:rPr>
        <w:t xml:space="preserve">issues </w:t>
      </w:r>
      <w:r w:rsidR="00D4213C">
        <w:rPr>
          <w:szCs w:val="20"/>
        </w:rPr>
        <w:t xml:space="preserve">with </w:t>
      </w:r>
      <w:proofErr w:type="spellStart"/>
      <w:r w:rsidR="00D4213C">
        <w:rPr>
          <w:szCs w:val="20"/>
        </w:rPr>
        <w:t>Communicare</w:t>
      </w:r>
      <w:proofErr w:type="spellEnd"/>
      <w:r w:rsidR="00D4213C">
        <w:rPr>
          <w:szCs w:val="20"/>
        </w:rPr>
        <w:t xml:space="preserve"> continued into 2019</w:t>
      </w:r>
      <w:r w:rsidR="00AD34C8">
        <w:rPr>
          <w:szCs w:val="20"/>
        </w:rPr>
        <w:t>. A</w:t>
      </w:r>
      <w:r w:rsidR="006A1B05">
        <w:rPr>
          <w:szCs w:val="20"/>
        </w:rPr>
        <w:t>dditional compatibility issues</w:t>
      </w:r>
      <w:r w:rsidR="00AD34C8">
        <w:rPr>
          <w:szCs w:val="20"/>
        </w:rPr>
        <w:t xml:space="preserve"> </w:t>
      </w:r>
      <w:r w:rsidR="006A1B05">
        <w:rPr>
          <w:szCs w:val="20"/>
        </w:rPr>
        <w:t xml:space="preserve">were created by a </w:t>
      </w:r>
      <w:r w:rsidR="00D4213C">
        <w:rPr>
          <w:szCs w:val="20"/>
        </w:rPr>
        <w:t xml:space="preserve">concurrent update </w:t>
      </w:r>
      <w:r>
        <w:rPr>
          <w:szCs w:val="20"/>
        </w:rPr>
        <w:t>of</w:t>
      </w:r>
      <w:r w:rsidR="00D4213C">
        <w:rPr>
          <w:szCs w:val="20"/>
        </w:rPr>
        <w:t xml:space="preserve"> </w:t>
      </w:r>
      <w:proofErr w:type="spellStart"/>
      <w:r w:rsidR="00D4213C">
        <w:rPr>
          <w:szCs w:val="20"/>
        </w:rPr>
        <w:t>Communicare</w:t>
      </w:r>
      <w:proofErr w:type="spellEnd"/>
      <w:r w:rsidR="00D4213C">
        <w:rPr>
          <w:szCs w:val="20"/>
        </w:rPr>
        <w:t xml:space="preserve"> to </w:t>
      </w:r>
      <w:r>
        <w:rPr>
          <w:szCs w:val="20"/>
        </w:rPr>
        <w:t xml:space="preserve">enable </w:t>
      </w:r>
      <w:r w:rsidR="00D4213C">
        <w:rPr>
          <w:szCs w:val="20"/>
        </w:rPr>
        <w:t>HCH patients</w:t>
      </w:r>
      <w:r>
        <w:rPr>
          <w:szCs w:val="20"/>
        </w:rPr>
        <w:t xml:space="preserve"> to be flagged within the software</w:t>
      </w:r>
      <w:r w:rsidR="00D4213C">
        <w:rPr>
          <w:szCs w:val="20"/>
        </w:rPr>
        <w:t xml:space="preserve"> and produce extracts for the evaluation. </w:t>
      </w:r>
      <w:r w:rsidR="00BE18D0">
        <w:rPr>
          <w:szCs w:val="20"/>
        </w:rPr>
        <w:t xml:space="preserve">These issues delayed </w:t>
      </w:r>
      <w:r w:rsidR="00D4213C">
        <w:rPr>
          <w:szCs w:val="20"/>
        </w:rPr>
        <w:t>ACCHS</w:t>
      </w:r>
      <w:r w:rsidR="000F2731">
        <w:rPr>
          <w:szCs w:val="20"/>
        </w:rPr>
        <w:t xml:space="preserve"> clinics</w:t>
      </w:r>
      <w:r w:rsidR="00D4213C">
        <w:rPr>
          <w:szCs w:val="20"/>
        </w:rPr>
        <w:t xml:space="preserve"> </w:t>
      </w:r>
      <w:r w:rsidR="00674754">
        <w:rPr>
          <w:szCs w:val="20"/>
        </w:rPr>
        <w:t xml:space="preserve">in the Northern Territory </w:t>
      </w:r>
      <w:r w:rsidR="00D4213C">
        <w:rPr>
          <w:szCs w:val="20"/>
        </w:rPr>
        <w:t xml:space="preserve">implementing the </w:t>
      </w:r>
      <w:r>
        <w:rPr>
          <w:szCs w:val="20"/>
        </w:rPr>
        <w:t>trial</w:t>
      </w:r>
      <w:r w:rsidR="00D4213C">
        <w:rPr>
          <w:szCs w:val="20"/>
        </w:rPr>
        <w:t xml:space="preserve">. To avoid further delays, the Department of Health instructed the ACCHS to bypass the PRM and </w:t>
      </w:r>
      <w:r w:rsidR="00BE18D0">
        <w:rPr>
          <w:szCs w:val="20"/>
        </w:rPr>
        <w:t xml:space="preserve">instead </w:t>
      </w:r>
      <w:r w:rsidR="00D4213C">
        <w:rPr>
          <w:szCs w:val="20"/>
        </w:rPr>
        <w:t xml:space="preserve">use </w:t>
      </w:r>
      <w:r w:rsidR="00BE18D0">
        <w:rPr>
          <w:szCs w:val="20"/>
        </w:rPr>
        <w:t xml:space="preserve">age </w:t>
      </w:r>
      <w:r w:rsidR="00BE18D0" w:rsidRPr="00BE18D0">
        <w:rPr>
          <w:szCs w:val="20"/>
        </w:rPr>
        <w:t xml:space="preserve">45 years or older </w:t>
      </w:r>
      <w:r w:rsidR="00BE18D0">
        <w:rPr>
          <w:szCs w:val="20"/>
        </w:rPr>
        <w:t>(</w:t>
      </w:r>
      <w:r w:rsidR="00BE18D0" w:rsidRPr="00BE18D0">
        <w:rPr>
          <w:szCs w:val="20"/>
        </w:rPr>
        <w:t xml:space="preserve">or 35 years or older if Aboriginal and/ or Torres Strait Islander) with two or more chronic diseases </w:t>
      </w:r>
      <w:r w:rsidR="00BE18D0">
        <w:rPr>
          <w:szCs w:val="20"/>
        </w:rPr>
        <w:t xml:space="preserve">to </w:t>
      </w:r>
      <w:r w:rsidR="00D4213C">
        <w:rPr>
          <w:szCs w:val="20"/>
        </w:rPr>
        <w:t>identify potentially eligible patients</w:t>
      </w:r>
      <w:r w:rsidR="00BE18D0">
        <w:rPr>
          <w:szCs w:val="20"/>
        </w:rPr>
        <w:t xml:space="preserve">. </w:t>
      </w:r>
      <w:r w:rsidR="00D84570">
        <w:rPr>
          <w:szCs w:val="20"/>
        </w:rPr>
        <w:t xml:space="preserve">Practices </w:t>
      </w:r>
      <w:r w:rsidR="00BE18D0">
        <w:rPr>
          <w:szCs w:val="20"/>
        </w:rPr>
        <w:t xml:space="preserve">then had to complete the HARP tool built into </w:t>
      </w:r>
      <w:proofErr w:type="spellStart"/>
      <w:r w:rsidR="00BE18D0">
        <w:rPr>
          <w:szCs w:val="20"/>
        </w:rPr>
        <w:t>Communicare</w:t>
      </w:r>
      <w:proofErr w:type="spellEnd"/>
      <w:r w:rsidR="00BE18D0">
        <w:rPr>
          <w:szCs w:val="20"/>
        </w:rPr>
        <w:t xml:space="preserve"> </w:t>
      </w:r>
      <w:r>
        <w:rPr>
          <w:szCs w:val="20"/>
        </w:rPr>
        <w:t>to</w:t>
      </w:r>
      <w:r w:rsidR="00BE18D0">
        <w:rPr>
          <w:szCs w:val="20"/>
        </w:rPr>
        <w:t xml:space="preserve"> confirm eligibility and</w:t>
      </w:r>
      <w:r>
        <w:rPr>
          <w:szCs w:val="20"/>
        </w:rPr>
        <w:t xml:space="preserve"> assign </w:t>
      </w:r>
      <w:r w:rsidR="00BE18D0">
        <w:rPr>
          <w:szCs w:val="20"/>
        </w:rPr>
        <w:t xml:space="preserve">the </w:t>
      </w:r>
      <w:r>
        <w:rPr>
          <w:szCs w:val="20"/>
        </w:rPr>
        <w:t>patient to a tier.</w:t>
      </w:r>
    </w:p>
    <w:p w14:paraId="5BE153F8" w14:textId="790B6FB7" w:rsidR="00D4213C" w:rsidRDefault="00D4213C" w:rsidP="00D4213C">
      <w:pPr>
        <w:rPr>
          <w:szCs w:val="20"/>
        </w:rPr>
      </w:pPr>
      <w:r>
        <w:rPr>
          <w:szCs w:val="20"/>
        </w:rPr>
        <w:t xml:space="preserve">Enhancements to </w:t>
      </w:r>
      <w:r w:rsidR="00BE18D0">
        <w:rPr>
          <w:szCs w:val="20"/>
        </w:rPr>
        <w:t xml:space="preserve">the RST </w:t>
      </w:r>
      <w:r>
        <w:rPr>
          <w:szCs w:val="20"/>
        </w:rPr>
        <w:t>suggest</w:t>
      </w:r>
      <w:r w:rsidR="00C50E3F">
        <w:rPr>
          <w:szCs w:val="20"/>
        </w:rPr>
        <w:t>ed by practices and PHNs</w:t>
      </w:r>
      <w:r w:rsidR="00597D1E">
        <w:rPr>
          <w:szCs w:val="20"/>
        </w:rPr>
        <w:t xml:space="preserve"> through surveys and interviews</w:t>
      </w:r>
      <w:r>
        <w:rPr>
          <w:szCs w:val="20"/>
        </w:rPr>
        <w:t xml:space="preserve"> included:</w:t>
      </w:r>
    </w:p>
    <w:p w14:paraId="6E5F2D8E" w14:textId="32AD8ED9" w:rsidR="00D4213C" w:rsidRDefault="00D4213C" w:rsidP="004D48A4">
      <w:pPr>
        <w:numPr>
          <w:ilvl w:val="0"/>
          <w:numId w:val="6"/>
        </w:numPr>
        <w:contextualSpacing/>
        <w:rPr>
          <w:szCs w:val="20"/>
        </w:rPr>
      </w:pPr>
      <w:r>
        <w:rPr>
          <w:szCs w:val="20"/>
        </w:rPr>
        <w:t>Display</w:t>
      </w:r>
      <w:r w:rsidR="008450C8">
        <w:rPr>
          <w:szCs w:val="20"/>
        </w:rPr>
        <w:t xml:space="preserve"> </w:t>
      </w:r>
      <w:r>
        <w:rPr>
          <w:szCs w:val="20"/>
        </w:rPr>
        <w:t>the most at-risk patients at the top of the list (including patients not yet enrolled).</w:t>
      </w:r>
    </w:p>
    <w:p w14:paraId="5D6802EF" w14:textId="2CE077EE" w:rsidR="00D06564" w:rsidRDefault="008450C8" w:rsidP="004D48A4">
      <w:pPr>
        <w:numPr>
          <w:ilvl w:val="0"/>
          <w:numId w:val="6"/>
        </w:numPr>
        <w:contextualSpacing/>
        <w:rPr>
          <w:szCs w:val="20"/>
        </w:rPr>
      </w:pPr>
      <w:r>
        <w:rPr>
          <w:szCs w:val="20"/>
        </w:rPr>
        <w:t>Include a f</w:t>
      </w:r>
      <w:r w:rsidR="00D06564">
        <w:rPr>
          <w:szCs w:val="20"/>
        </w:rPr>
        <w:t>unction to filter out ineligible patients (</w:t>
      </w:r>
      <w:r w:rsidR="0010747B">
        <w:rPr>
          <w:szCs w:val="20"/>
        </w:rPr>
        <w:t>for example,</w:t>
      </w:r>
      <w:r w:rsidR="00D06564">
        <w:rPr>
          <w:szCs w:val="20"/>
        </w:rPr>
        <w:t xml:space="preserve"> Department of Veterans’ Affairs funded patients</w:t>
      </w:r>
      <w:r w:rsidR="00597D1E">
        <w:rPr>
          <w:szCs w:val="20"/>
        </w:rPr>
        <w:t>, residents of nursing homes</w:t>
      </w:r>
      <w:r w:rsidR="00D06564">
        <w:rPr>
          <w:szCs w:val="20"/>
        </w:rPr>
        <w:t>).</w:t>
      </w:r>
    </w:p>
    <w:p w14:paraId="54637FF8" w14:textId="474DF891" w:rsidR="00D4213C" w:rsidRDefault="00C50E3F" w:rsidP="004D48A4">
      <w:pPr>
        <w:numPr>
          <w:ilvl w:val="0"/>
          <w:numId w:val="6"/>
        </w:numPr>
        <w:contextualSpacing/>
        <w:rPr>
          <w:szCs w:val="20"/>
        </w:rPr>
      </w:pPr>
      <w:r>
        <w:rPr>
          <w:szCs w:val="20"/>
        </w:rPr>
        <w:t>F</w:t>
      </w:r>
      <w:r w:rsidR="00D4213C">
        <w:rPr>
          <w:szCs w:val="20"/>
        </w:rPr>
        <w:t>ilter</w:t>
      </w:r>
      <w:r w:rsidR="008450C8">
        <w:rPr>
          <w:szCs w:val="20"/>
        </w:rPr>
        <w:t xml:space="preserve"> </w:t>
      </w:r>
      <w:r>
        <w:rPr>
          <w:szCs w:val="20"/>
        </w:rPr>
        <w:t>the RST results</w:t>
      </w:r>
      <w:r w:rsidR="00D4213C">
        <w:rPr>
          <w:szCs w:val="20"/>
        </w:rPr>
        <w:t xml:space="preserve"> by selected criteria (</w:t>
      </w:r>
      <w:r w:rsidR="0010747B">
        <w:rPr>
          <w:szCs w:val="20"/>
        </w:rPr>
        <w:t>for example,</w:t>
      </w:r>
      <w:r w:rsidR="00D4213C">
        <w:rPr>
          <w:szCs w:val="20"/>
        </w:rPr>
        <w:t xml:space="preserve"> chronic condition, regular GP).</w:t>
      </w:r>
    </w:p>
    <w:p w14:paraId="08312FC7" w14:textId="1896024F" w:rsidR="00D4213C" w:rsidRDefault="00D4213C" w:rsidP="004D48A4">
      <w:pPr>
        <w:numPr>
          <w:ilvl w:val="0"/>
          <w:numId w:val="6"/>
        </w:numPr>
        <w:ind w:left="714" w:hanging="357"/>
        <w:rPr>
          <w:szCs w:val="20"/>
        </w:rPr>
      </w:pPr>
      <w:r>
        <w:rPr>
          <w:szCs w:val="20"/>
        </w:rPr>
        <w:t>Integrat</w:t>
      </w:r>
      <w:r w:rsidR="008450C8">
        <w:rPr>
          <w:szCs w:val="20"/>
        </w:rPr>
        <w:t>e</w:t>
      </w:r>
      <w:r>
        <w:rPr>
          <w:szCs w:val="20"/>
        </w:rPr>
        <w:t xml:space="preserve"> </w:t>
      </w:r>
      <w:r w:rsidR="00C50E3F">
        <w:rPr>
          <w:szCs w:val="20"/>
        </w:rPr>
        <w:t xml:space="preserve">the RST </w:t>
      </w:r>
      <w:r>
        <w:rPr>
          <w:szCs w:val="20"/>
        </w:rPr>
        <w:t>with HPOS and other HCH enrolment processes.</w:t>
      </w:r>
    </w:p>
    <w:p w14:paraId="20B134D5" w14:textId="5E1A63C2" w:rsidR="005F5469" w:rsidRDefault="005F5469" w:rsidP="005F5469">
      <w:pPr>
        <w:contextualSpacing/>
        <w:rPr>
          <w:szCs w:val="20"/>
        </w:rPr>
      </w:pPr>
      <w:r w:rsidRPr="005F5469">
        <w:rPr>
          <w:szCs w:val="20"/>
        </w:rPr>
        <w:t xml:space="preserve">An </w:t>
      </w:r>
      <w:r>
        <w:rPr>
          <w:szCs w:val="20"/>
        </w:rPr>
        <w:t>additional</w:t>
      </w:r>
      <w:r w:rsidRPr="005F5469">
        <w:rPr>
          <w:szCs w:val="20"/>
        </w:rPr>
        <w:t xml:space="preserve"> challenge </w:t>
      </w:r>
      <w:r>
        <w:rPr>
          <w:szCs w:val="20"/>
        </w:rPr>
        <w:t xml:space="preserve">with </w:t>
      </w:r>
      <w:r w:rsidRPr="005F5469">
        <w:rPr>
          <w:szCs w:val="20"/>
        </w:rPr>
        <w:t>the RST</w:t>
      </w:r>
      <w:r>
        <w:rPr>
          <w:szCs w:val="20"/>
        </w:rPr>
        <w:t xml:space="preserve"> at start-up</w:t>
      </w:r>
      <w:r w:rsidRPr="005F5469">
        <w:rPr>
          <w:szCs w:val="20"/>
        </w:rPr>
        <w:t xml:space="preserve"> was that </w:t>
      </w:r>
      <w:r w:rsidR="004133BC">
        <w:rPr>
          <w:szCs w:val="20"/>
        </w:rPr>
        <w:t xml:space="preserve">de-identified </w:t>
      </w:r>
      <w:r w:rsidRPr="005F5469">
        <w:rPr>
          <w:szCs w:val="20"/>
        </w:rPr>
        <w:t xml:space="preserve">data from practice clinical management systems would be transferred </w:t>
      </w:r>
      <w:r w:rsidR="004133BC">
        <w:rPr>
          <w:szCs w:val="20"/>
        </w:rPr>
        <w:t xml:space="preserve">out of the practice computing </w:t>
      </w:r>
      <w:r w:rsidR="004133BC">
        <w:rPr>
          <w:szCs w:val="20"/>
        </w:rPr>
        <w:lastRenderedPageBreak/>
        <w:t xml:space="preserve">environment </w:t>
      </w:r>
      <w:r w:rsidRPr="005F5469">
        <w:rPr>
          <w:szCs w:val="20"/>
        </w:rPr>
        <w:t xml:space="preserve">to </w:t>
      </w:r>
      <w:r w:rsidR="0038296B">
        <w:rPr>
          <w:szCs w:val="20"/>
        </w:rPr>
        <w:t xml:space="preserve">a </w:t>
      </w:r>
      <w:r w:rsidR="00BE6BD1">
        <w:rPr>
          <w:szCs w:val="20"/>
        </w:rPr>
        <w:t xml:space="preserve">secure </w:t>
      </w:r>
      <w:r w:rsidRPr="005F5469">
        <w:rPr>
          <w:szCs w:val="20"/>
        </w:rPr>
        <w:t>cloud</w:t>
      </w:r>
      <w:r w:rsidR="009570FE">
        <w:rPr>
          <w:szCs w:val="20"/>
        </w:rPr>
        <w:t xml:space="preserve"> environment in which the </w:t>
      </w:r>
      <w:r w:rsidR="00AC7F07">
        <w:rPr>
          <w:szCs w:val="20"/>
        </w:rPr>
        <w:t>relevant alg</w:t>
      </w:r>
      <w:r w:rsidR="00F11E3B">
        <w:rPr>
          <w:szCs w:val="20"/>
        </w:rPr>
        <w:t>o</w:t>
      </w:r>
      <w:r w:rsidR="00AC7F07">
        <w:rPr>
          <w:szCs w:val="20"/>
        </w:rPr>
        <w:t>r</w:t>
      </w:r>
      <w:r w:rsidR="0072563A">
        <w:rPr>
          <w:szCs w:val="20"/>
        </w:rPr>
        <w:t>i</w:t>
      </w:r>
      <w:r w:rsidR="00AC7F07">
        <w:rPr>
          <w:szCs w:val="20"/>
        </w:rPr>
        <w:t>thms would be applied</w:t>
      </w:r>
      <w:r w:rsidRPr="005F5469">
        <w:rPr>
          <w:szCs w:val="20"/>
        </w:rPr>
        <w:t xml:space="preserve">. Practices were concerned about the security </w:t>
      </w:r>
      <w:r w:rsidR="005328A3">
        <w:rPr>
          <w:szCs w:val="20"/>
        </w:rPr>
        <w:t xml:space="preserve">and confidentiality of </w:t>
      </w:r>
      <w:r w:rsidRPr="005F5469">
        <w:rPr>
          <w:szCs w:val="20"/>
        </w:rPr>
        <w:t xml:space="preserve">data. </w:t>
      </w:r>
      <w:r>
        <w:rPr>
          <w:szCs w:val="20"/>
        </w:rPr>
        <w:t>Th</w:t>
      </w:r>
      <w:r w:rsidR="00287BB7">
        <w:rPr>
          <w:szCs w:val="20"/>
        </w:rPr>
        <w:t xml:space="preserve">ese concerns were addressed </w:t>
      </w:r>
      <w:r>
        <w:rPr>
          <w:szCs w:val="20"/>
        </w:rPr>
        <w:t xml:space="preserve">through assurance that the data </w:t>
      </w:r>
      <w:r w:rsidRPr="005F5469">
        <w:rPr>
          <w:szCs w:val="20"/>
        </w:rPr>
        <w:t>would only be stored within Australia and patients’ identifying information</w:t>
      </w:r>
      <w:r>
        <w:rPr>
          <w:szCs w:val="20"/>
        </w:rPr>
        <w:t xml:space="preserve"> would be suitably de-identified</w:t>
      </w:r>
      <w:r w:rsidR="00F63E27">
        <w:rPr>
          <w:szCs w:val="20"/>
        </w:rPr>
        <w:t xml:space="preserve"> (hashed)</w:t>
      </w:r>
      <w:r>
        <w:rPr>
          <w:szCs w:val="20"/>
        </w:rPr>
        <w:t>)</w:t>
      </w:r>
      <w:r w:rsidRPr="005F5469">
        <w:rPr>
          <w:szCs w:val="20"/>
        </w:rPr>
        <w:t>, so that no patient could be identified through data uploaded to the cloud.</w:t>
      </w:r>
    </w:p>
    <w:p w14:paraId="287D35AE" w14:textId="77777777" w:rsidR="005574D8" w:rsidRDefault="005574D8" w:rsidP="005574D8">
      <w:pPr>
        <w:pStyle w:val="Heading2"/>
        <w:rPr>
          <w:szCs w:val="26"/>
        </w:rPr>
      </w:pPr>
      <w:bookmarkStart w:id="108" w:name="_Toc109996663"/>
      <w:r>
        <w:t>Predictive risk model (PRM)</w:t>
      </w:r>
      <w:bookmarkEnd w:id="108"/>
    </w:p>
    <w:p w14:paraId="510A630C" w14:textId="1B2BF4E6" w:rsidR="00FC1C16" w:rsidRDefault="007138E1" w:rsidP="005574D8">
      <w:pPr>
        <w:rPr>
          <w:szCs w:val="20"/>
        </w:rPr>
      </w:pPr>
      <w:r w:rsidRPr="007138E1">
        <w:rPr>
          <w:szCs w:val="20"/>
        </w:rPr>
        <w:t>While most practices reported that the patients identified by t</w:t>
      </w:r>
      <w:r w:rsidR="00DA56A6">
        <w:rPr>
          <w:szCs w:val="20"/>
        </w:rPr>
        <w:t xml:space="preserve">he first </w:t>
      </w:r>
      <w:r w:rsidRPr="007138E1">
        <w:rPr>
          <w:szCs w:val="20"/>
        </w:rPr>
        <w:t>stage</w:t>
      </w:r>
      <w:r w:rsidR="00DA56A6">
        <w:rPr>
          <w:szCs w:val="20"/>
        </w:rPr>
        <w:t xml:space="preserve"> of the RST</w:t>
      </w:r>
      <w:r w:rsidRPr="007138E1">
        <w:rPr>
          <w:szCs w:val="20"/>
        </w:rPr>
        <w:t xml:space="preserve"> were suitable for enrolment, there were other patients </w:t>
      </w:r>
      <w:r w:rsidR="000C3616">
        <w:rPr>
          <w:szCs w:val="20"/>
        </w:rPr>
        <w:t>who</w:t>
      </w:r>
      <w:r w:rsidRPr="007138E1">
        <w:rPr>
          <w:szCs w:val="20"/>
        </w:rPr>
        <w:t xml:space="preserve"> were also suitable that the tool didn’t identify</w:t>
      </w:r>
      <w:r w:rsidR="00FC1C16">
        <w:rPr>
          <w:szCs w:val="20"/>
        </w:rPr>
        <w:t>:</w:t>
      </w:r>
    </w:p>
    <w:p w14:paraId="02A5B35C" w14:textId="77777777" w:rsidR="005574D8" w:rsidRDefault="005574D8" w:rsidP="005574D8">
      <w:pPr>
        <w:ind w:left="567" w:right="521"/>
        <w:rPr>
          <w:szCs w:val="20"/>
        </w:rPr>
      </w:pPr>
      <w:r>
        <w:rPr>
          <w:i/>
          <w:iCs/>
          <w:szCs w:val="20"/>
        </w:rPr>
        <w:t>“I was just a bit surprised when there were some people that weren’t included. I certainly had no issue with those people that they wanted to include.”</w:t>
      </w:r>
      <w:r>
        <w:rPr>
          <w:szCs w:val="20"/>
        </w:rPr>
        <w:t xml:space="preserve"> [GP, Practice 2, R2]</w:t>
      </w:r>
    </w:p>
    <w:p w14:paraId="29DE792F" w14:textId="0EFA4703" w:rsidR="005574D8" w:rsidRDefault="005574D8" w:rsidP="005574D8">
      <w:pPr>
        <w:ind w:left="567" w:right="521"/>
        <w:rPr>
          <w:szCs w:val="20"/>
        </w:rPr>
      </w:pPr>
      <w:r>
        <w:rPr>
          <w:i/>
          <w:iCs/>
          <w:szCs w:val="20"/>
        </w:rPr>
        <w:t>“The system just isn’t flagging certain people, and I don’t know why, because they are absolutely candidates for it. It’s not pulling out all of them. Most, but it is missing people.”</w:t>
      </w:r>
      <w:r>
        <w:rPr>
          <w:szCs w:val="20"/>
        </w:rPr>
        <w:t xml:space="preserve"> [Practice nurse, Practice 1, R2]</w:t>
      </w:r>
    </w:p>
    <w:p w14:paraId="3282F35D" w14:textId="64BF163E" w:rsidR="00FC1C16" w:rsidRPr="00FC1C16" w:rsidRDefault="00FC1C16" w:rsidP="005574D8">
      <w:pPr>
        <w:ind w:left="567" w:right="521"/>
        <w:rPr>
          <w:i/>
          <w:iCs/>
          <w:szCs w:val="20"/>
        </w:rPr>
      </w:pPr>
      <w:bookmarkStart w:id="109" w:name="_Hlk83718236"/>
      <w:r w:rsidRPr="00FC1C16">
        <w:rPr>
          <w:i/>
          <w:iCs/>
          <w:szCs w:val="20"/>
        </w:rPr>
        <w:t xml:space="preserve">“One patient has chronic pain, chronic infection in her bones, disability, financial difficulties, socially isolated, depression, mental health issues, 12 medications--a perfect patient to enrol. The PRM didn’t pick her up plus she wasn’t even eligible according to the PRM. I had to override it and put it all in, and she is a T3.” </w:t>
      </w:r>
      <w:r w:rsidRPr="00FC1C16">
        <w:rPr>
          <w:szCs w:val="20"/>
        </w:rPr>
        <w:t>[GP, Practice 5, interview, R2]</w:t>
      </w:r>
      <w:bookmarkEnd w:id="109"/>
    </w:p>
    <w:p w14:paraId="61AE1F0E" w14:textId="2C483C9A" w:rsidR="00FC1C16" w:rsidRDefault="00FC1C16" w:rsidP="005574D8">
      <w:pPr>
        <w:rPr>
          <w:szCs w:val="20"/>
        </w:rPr>
      </w:pPr>
      <w:r w:rsidRPr="005871C5">
        <w:rPr>
          <w:szCs w:val="20"/>
        </w:rPr>
        <w:t xml:space="preserve">These experiences </w:t>
      </w:r>
      <w:r w:rsidR="00C443C2" w:rsidRPr="005871C5">
        <w:rPr>
          <w:szCs w:val="20"/>
        </w:rPr>
        <w:t xml:space="preserve">partly reflect issues </w:t>
      </w:r>
      <w:r w:rsidR="00EF50BA" w:rsidRPr="005871C5">
        <w:rPr>
          <w:szCs w:val="20"/>
        </w:rPr>
        <w:t xml:space="preserve">around the completeness of </w:t>
      </w:r>
      <w:r w:rsidR="00023A4E" w:rsidRPr="005871C5">
        <w:rPr>
          <w:szCs w:val="20"/>
        </w:rPr>
        <w:t xml:space="preserve">capture of </w:t>
      </w:r>
      <w:r w:rsidR="00EF50BA" w:rsidRPr="005871C5">
        <w:rPr>
          <w:szCs w:val="20"/>
        </w:rPr>
        <w:t xml:space="preserve">data on chronic conditions and related </w:t>
      </w:r>
      <w:r w:rsidR="00BA6C4D" w:rsidRPr="005871C5">
        <w:rPr>
          <w:szCs w:val="20"/>
        </w:rPr>
        <w:t>measures</w:t>
      </w:r>
      <w:r w:rsidR="00EF50BA" w:rsidRPr="005871C5">
        <w:rPr>
          <w:szCs w:val="20"/>
        </w:rPr>
        <w:t xml:space="preserve"> </w:t>
      </w:r>
      <w:r w:rsidR="00023A4E" w:rsidRPr="005871C5">
        <w:rPr>
          <w:szCs w:val="20"/>
        </w:rPr>
        <w:t xml:space="preserve">in </w:t>
      </w:r>
      <w:r w:rsidR="00BA6C4D" w:rsidRPr="005871C5">
        <w:rPr>
          <w:szCs w:val="20"/>
        </w:rPr>
        <w:t>practice</w:t>
      </w:r>
      <w:r w:rsidR="00023A4E" w:rsidRPr="005871C5">
        <w:rPr>
          <w:szCs w:val="20"/>
        </w:rPr>
        <w:t xml:space="preserve"> </w:t>
      </w:r>
      <w:r w:rsidR="00716250" w:rsidRPr="005871C5">
        <w:rPr>
          <w:szCs w:val="20"/>
        </w:rPr>
        <w:t xml:space="preserve">clinical management </w:t>
      </w:r>
      <w:r w:rsidR="005871C5" w:rsidRPr="005871C5">
        <w:rPr>
          <w:szCs w:val="20"/>
        </w:rPr>
        <w:t>systems and</w:t>
      </w:r>
      <w:r w:rsidR="00962375" w:rsidRPr="005871C5">
        <w:rPr>
          <w:szCs w:val="20"/>
        </w:rPr>
        <w:t xml:space="preserve"> may also </w:t>
      </w:r>
      <w:r w:rsidR="00931885" w:rsidRPr="005871C5">
        <w:rPr>
          <w:szCs w:val="20"/>
        </w:rPr>
        <w:t xml:space="preserve">be impacted by the </w:t>
      </w:r>
      <w:r w:rsidR="00750E08" w:rsidRPr="005871C5">
        <w:rPr>
          <w:szCs w:val="20"/>
        </w:rPr>
        <w:t>fact</w:t>
      </w:r>
      <w:r w:rsidR="007B67C4" w:rsidRPr="005871C5">
        <w:rPr>
          <w:szCs w:val="20"/>
        </w:rPr>
        <w:t xml:space="preserve"> that the PRM algorithm was built on predicting </w:t>
      </w:r>
      <w:r w:rsidRPr="005871C5">
        <w:rPr>
          <w:szCs w:val="20"/>
        </w:rPr>
        <w:t xml:space="preserve">hospitalisation </w:t>
      </w:r>
      <w:r w:rsidR="005B7F4B" w:rsidRPr="005871C5">
        <w:rPr>
          <w:szCs w:val="20"/>
        </w:rPr>
        <w:t>rather than other outcomes</w:t>
      </w:r>
      <w:r w:rsidR="00351371" w:rsidRPr="005871C5">
        <w:rPr>
          <w:szCs w:val="20"/>
        </w:rPr>
        <w:t xml:space="preserve"> or measures of need. However, </w:t>
      </w:r>
      <w:r w:rsidR="00E83FBF" w:rsidRPr="005871C5">
        <w:rPr>
          <w:szCs w:val="20"/>
        </w:rPr>
        <w:t>it is not e</w:t>
      </w:r>
      <w:r w:rsidR="00455682" w:rsidRPr="005871C5">
        <w:rPr>
          <w:szCs w:val="20"/>
        </w:rPr>
        <w:t xml:space="preserve">ntirely unusual that clinical knowledge of patients </w:t>
      </w:r>
      <w:r w:rsidR="00F97E5C" w:rsidRPr="005871C5">
        <w:rPr>
          <w:szCs w:val="20"/>
        </w:rPr>
        <w:t>and the comp</w:t>
      </w:r>
      <w:r w:rsidR="00BA6C4D" w:rsidRPr="005871C5">
        <w:rPr>
          <w:szCs w:val="20"/>
        </w:rPr>
        <w:t>le</w:t>
      </w:r>
      <w:r w:rsidR="00F97E5C" w:rsidRPr="005871C5">
        <w:rPr>
          <w:szCs w:val="20"/>
        </w:rPr>
        <w:t xml:space="preserve">xity of their conditions and circumstances </w:t>
      </w:r>
      <w:r w:rsidR="0016010D" w:rsidRPr="005871C5">
        <w:rPr>
          <w:szCs w:val="20"/>
        </w:rPr>
        <w:t xml:space="preserve">will </w:t>
      </w:r>
      <w:r w:rsidR="00BA6C4D" w:rsidRPr="005871C5">
        <w:rPr>
          <w:szCs w:val="20"/>
        </w:rPr>
        <w:t>–</w:t>
      </w:r>
      <w:r w:rsidR="00F97E5C" w:rsidRPr="005871C5">
        <w:rPr>
          <w:szCs w:val="20"/>
        </w:rPr>
        <w:t xml:space="preserve"> </w:t>
      </w:r>
      <w:r w:rsidR="003D6B77" w:rsidRPr="005871C5">
        <w:rPr>
          <w:szCs w:val="20"/>
        </w:rPr>
        <w:t xml:space="preserve">in some cases </w:t>
      </w:r>
      <w:r w:rsidR="00F97E5C" w:rsidRPr="005871C5">
        <w:rPr>
          <w:szCs w:val="20"/>
        </w:rPr>
        <w:t>–</w:t>
      </w:r>
      <w:r w:rsidR="003D6B77" w:rsidRPr="005871C5">
        <w:rPr>
          <w:szCs w:val="20"/>
        </w:rPr>
        <w:t xml:space="preserve"> </w:t>
      </w:r>
      <w:r w:rsidR="00F97E5C" w:rsidRPr="005871C5">
        <w:rPr>
          <w:szCs w:val="20"/>
        </w:rPr>
        <w:t xml:space="preserve">be richer </w:t>
      </w:r>
      <w:r w:rsidR="001D7C19" w:rsidRPr="005871C5">
        <w:rPr>
          <w:szCs w:val="20"/>
        </w:rPr>
        <w:t xml:space="preserve">than the results of applying a risk stratification </w:t>
      </w:r>
      <w:r w:rsidR="00D6188D">
        <w:rPr>
          <w:szCs w:val="20"/>
        </w:rPr>
        <w:t>algorithm</w:t>
      </w:r>
      <w:r w:rsidRPr="005871C5">
        <w:rPr>
          <w:szCs w:val="20"/>
        </w:rPr>
        <w:t>.</w:t>
      </w:r>
      <w:r w:rsidR="00B00C07" w:rsidRPr="005871C5">
        <w:rPr>
          <w:szCs w:val="20"/>
        </w:rPr>
        <w:t xml:space="preserve"> Hence having </w:t>
      </w:r>
      <w:r w:rsidR="00EB43AC" w:rsidRPr="005871C5">
        <w:rPr>
          <w:szCs w:val="20"/>
        </w:rPr>
        <w:t xml:space="preserve">a </w:t>
      </w:r>
      <w:r w:rsidR="0036470A" w:rsidRPr="005871C5">
        <w:rPr>
          <w:szCs w:val="20"/>
        </w:rPr>
        <w:t xml:space="preserve">clinical </w:t>
      </w:r>
      <w:r w:rsidR="00EB43AC" w:rsidRPr="005871C5">
        <w:rPr>
          <w:szCs w:val="20"/>
        </w:rPr>
        <w:t xml:space="preserve">override function </w:t>
      </w:r>
      <w:r w:rsidR="00BD5719" w:rsidRPr="005871C5">
        <w:rPr>
          <w:szCs w:val="20"/>
        </w:rPr>
        <w:t>is important for any</w:t>
      </w:r>
      <w:r w:rsidR="006F0176" w:rsidRPr="005871C5">
        <w:rPr>
          <w:szCs w:val="20"/>
        </w:rPr>
        <w:t xml:space="preserve"> approach </w:t>
      </w:r>
      <w:r w:rsidR="00BA6C4D" w:rsidRPr="005871C5">
        <w:rPr>
          <w:szCs w:val="20"/>
        </w:rPr>
        <w:t>that aims</w:t>
      </w:r>
      <w:r w:rsidR="006F0176" w:rsidRPr="005871C5">
        <w:rPr>
          <w:szCs w:val="20"/>
        </w:rPr>
        <w:t xml:space="preserve"> to </w:t>
      </w:r>
      <w:r w:rsidR="006B044C" w:rsidRPr="005871C5">
        <w:rPr>
          <w:szCs w:val="20"/>
        </w:rPr>
        <w:t>find patients</w:t>
      </w:r>
      <w:r w:rsidR="00F97E5C" w:rsidRPr="005871C5">
        <w:rPr>
          <w:szCs w:val="20"/>
        </w:rPr>
        <w:t xml:space="preserve"> </w:t>
      </w:r>
      <w:r w:rsidR="005871C5" w:rsidRPr="005871C5">
        <w:rPr>
          <w:szCs w:val="20"/>
        </w:rPr>
        <w:t>suitable</w:t>
      </w:r>
      <w:r w:rsidR="006B044C" w:rsidRPr="005871C5">
        <w:rPr>
          <w:szCs w:val="20"/>
        </w:rPr>
        <w:t xml:space="preserve"> for an initiative or program</w:t>
      </w:r>
      <w:r w:rsidR="0036470A" w:rsidRPr="005871C5">
        <w:rPr>
          <w:szCs w:val="20"/>
        </w:rPr>
        <w:t>, provide</w:t>
      </w:r>
      <w:r w:rsidR="00BA6C4D" w:rsidRPr="005871C5">
        <w:rPr>
          <w:szCs w:val="20"/>
        </w:rPr>
        <w:t>d</w:t>
      </w:r>
      <w:r w:rsidR="0036470A" w:rsidRPr="005871C5">
        <w:rPr>
          <w:szCs w:val="20"/>
        </w:rPr>
        <w:t xml:space="preserve"> relevant justification is supplied</w:t>
      </w:r>
      <w:r w:rsidR="00BA6C4D" w:rsidRPr="005871C5">
        <w:rPr>
          <w:szCs w:val="20"/>
        </w:rPr>
        <w:t xml:space="preserve"> for the override</w:t>
      </w:r>
      <w:r w:rsidR="0036470A" w:rsidRPr="005871C5">
        <w:rPr>
          <w:szCs w:val="20"/>
        </w:rPr>
        <w:t>.</w:t>
      </w:r>
      <w:r w:rsidR="006D75FB">
        <w:rPr>
          <w:szCs w:val="20"/>
        </w:rPr>
        <w:t xml:space="preserve"> </w:t>
      </w:r>
    </w:p>
    <w:p w14:paraId="4A2FDB19" w14:textId="58AAC6BA" w:rsidR="005574D8" w:rsidRDefault="005574D8" w:rsidP="00FC1C16">
      <w:pPr>
        <w:rPr>
          <w:szCs w:val="20"/>
        </w:rPr>
      </w:pPr>
      <w:r>
        <w:rPr>
          <w:szCs w:val="20"/>
        </w:rPr>
        <w:t>Practices made several recommendations to improve the PRM</w:t>
      </w:r>
      <w:r w:rsidR="00FC1C16">
        <w:rPr>
          <w:szCs w:val="20"/>
        </w:rPr>
        <w:t>,</w:t>
      </w:r>
      <w:r>
        <w:rPr>
          <w:szCs w:val="20"/>
        </w:rPr>
        <w:t xml:space="preserve"> including</w:t>
      </w:r>
      <w:r w:rsidR="00FC1C16">
        <w:rPr>
          <w:szCs w:val="20"/>
        </w:rPr>
        <w:t xml:space="preserve"> expanding the conditions list to include conditions such as </w:t>
      </w:r>
      <w:r w:rsidR="00FC1C16" w:rsidRPr="00FC1C16">
        <w:rPr>
          <w:szCs w:val="20"/>
        </w:rPr>
        <w:t xml:space="preserve">HIV and chronic lung diseases </w:t>
      </w:r>
      <w:r w:rsidR="00597D1E">
        <w:rPr>
          <w:szCs w:val="20"/>
        </w:rPr>
        <w:t xml:space="preserve">that is not </w:t>
      </w:r>
      <w:r w:rsidR="00FC1C16" w:rsidRPr="00FC1C16">
        <w:rPr>
          <w:szCs w:val="20"/>
        </w:rPr>
        <w:t>COPD, emphysema and bronchiectasis</w:t>
      </w:r>
      <w:r w:rsidR="00FC1C16">
        <w:rPr>
          <w:szCs w:val="20"/>
        </w:rPr>
        <w:t xml:space="preserve">, which are already included in the tool, and considering </w:t>
      </w:r>
      <w:r>
        <w:rPr>
          <w:szCs w:val="20"/>
        </w:rPr>
        <w:t>cultural, demographic and socio-economic factors.</w:t>
      </w:r>
    </w:p>
    <w:p w14:paraId="7832502C" w14:textId="2E5C8053" w:rsidR="003B30EA" w:rsidRPr="003B30EA" w:rsidRDefault="003B30EA" w:rsidP="003B30EA">
      <w:pPr>
        <w:pStyle w:val="Heading2"/>
      </w:pPr>
      <w:bookmarkStart w:id="110" w:name="_Toc109996664"/>
      <w:r w:rsidRPr="003B30EA">
        <w:t xml:space="preserve">HARP </w:t>
      </w:r>
      <w:r w:rsidR="00AC44E5">
        <w:t>assessment</w:t>
      </w:r>
      <w:bookmarkEnd w:id="110"/>
    </w:p>
    <w:p w14:paraId="2DAB10E9" w14:textId="558527FC" w:rsidR="00065063" w:rsidRDefault="003B30EA" w:rsidP="00FC1C16">
      <w:pPr>
        <w:rPr>
          <w:szCs w:val="20"/>
        </w:rPr>
      </w:pPr>
      <w:r w:rsidRPr="003B30EA">
        <w:rPr>
          <w:szCs w:val="20"/>
        </w:rPr>
        <w:t>The second component of the RST, the HARP assessment, was used by practices to stratify patients into one of three tiers</w:t>
      </w:r>
      <w:r>
        <w:rPr>
          <w:szCs w:val="20"/>
        </w:rPr>
        <w:t xml:space="preserve"> determining the amount of the bundled payment</w:t>
      </w:r>
      <w:r w:rsidRPr="003B30EA">
        <w:rPr>
          <w:szCs w:val="20"/>
        </w:rPr>
        <w:t>.</w:t>
      </w:r>
      <w:r>
        <w:rPr>
          <w:szCs w:val="20"/>
        </w:rPr>
        <w:t xml:space="preserve"> Most practices felt that their patients ended up “in the right tier” and that the tool was “useful” to “very useful” for assessing the key needs of patients</w:t>
      </w:r>
      <w:r w:rsidR="009B0E37">
        <w:rPr>
          <w:szCs w:val="20"/>
        </w:rPr>
        <w:t xml:space="preserve"> (</w:t>
      </w:r>
      <w:r w:rsidR="009B0E37" w:rsidRPr="00FF78AE">
        <w:rPr>
          <w:b/>
          <w:szCs w:val="20"/>
        </w:rPr>
        <w:fldChar w:fldCharType="begin"/>
      </w:r>
      <w:r w:rsidR="009B0E37" w:rsidRPr="00FF78AE">
        <w:rPr>
          <w:b/>
          <w:szCs w:val="20"/>
        </w:rPr>
        <w:instrText xml:space="preserve"> REF _Ref82623776 \h </w:instrText>
      </w:r>
      <w:r w:rsidR="00034863" w:rsidRPr="00FF78AE">
        <w:rPr>
          <w:b/>
          <w:szCs w:val="20"/>
        </w:rPr>
        <w:instrText xml:space="preserve"> \* MERGEFORMAT </w:instrText>
      </w:r>
      <w:r w:rsidR="009B0E37" w:rsidRPr="00FF78AE">
        <w:rPr>
          <w:b/>
          <w:szCs w:val="20"/>
        </w:rPr>
      </w:r>
      <w:r w:rsidR="009B0E37" w:rsidRPr="00FF78AE">
        <w:rPr>
          <w:b/>
          <w:szCs w:val="20"/>
        </w:rPr>
        <w:fldChar w:fldCharType="separate"/>
      </w:r>
      <w:r w:rsidR="003C4BC2" w:rsidRPr="00C76A5E">
        <w:rPr>
          <w:rStyle w:val="Strong1"/>
          <w:b w:val="0"/>
          <w:color w:val="1D2455"/>
          <w:sz w:val="20"/>
          <w:szCs w:val="16"/>
        </w:rPr>
        <w:t xml:space="preserve">Figure </w:t>
      </w:r>
      <w:r w:rsidR="003C4BC2" w:rsidRPr="003C4BC2">
        <w:rPr>
          <w:rStyle w:val="Strong1"/>
          <w:b w:val="0"/>
          <w:color w:val="1D2455"/>
          <w:sz w:val="20"/>
          <w:szCs w:val="16"/>
        </w:rPr>
        <w:t>7</w:t>
      </w:r>
      <w:r w:rsidR="009B0E37" w:rsidRPr="00FF78AE">
        <w:rPr>
          <w:b/>
          <w:szCs w:val="20"/>
        </w:rPr>
        <w:fldChar w:fldCharType="end"/>
      </w:r>
      <w:r w:rsidR="009B0E37">
        <w:rPr>
          <w:szCs w:val="20"/>
        </w:rPr>
        <w:t>)</w:t>
      </w:r>
      <w:r w:rsidRPr="003B30EA">
        <w:rPr>
          <w:szCs w:val="20"/>
        </w:rPr>
        <w:t xml:space="preserve">. </w:t>
      </w:r>
    </w:p>
    <w:p w14:paraId="2665DA0A" w14:textId="77777777" w:rsidR="00065063" w:rsidRDefault="00065063">
      <w:pPr>
        <w:spacing w:after="160" w:line="259" w:lineRule="auto"/>
        <w:rPr>
          <w:szCs w:val="20"/>
        </w:rPr>
      </w:pPr>
      <w:r>
        <w:rPr>
          <w:szCs w:val="20"/>
        </w:rPr>
        <w:br w:type="page"/>
      </w:r>
    </w:p>
    <w:p w14:paraId="194A63C9" w14:textId="53259691" w:rsidR="003B30EA" w:rsidRPr="00C76A5E" w:rsidRDefault="003B30EA" w:rsidP="003B30EA">
      <w:pPr>
        <w:pStyle w:val="TableFigureheading"/>
        <w:rPr>
          <w:rStyle w:val="Strong1"/>
          <w:b w:val="0"/>
          <w:bCs w:val="0"/>
          <w:color w:val="1D2455"/>
          <w:sz w:val="20"/>
          <w:szCs w:val="16"/>
        </w:rPr>
      </w:pPr>
      <w:bookmarkStart w:id="111" w:name="_Ref82623776"/>
      <w:r w:rsidRPr="00C76A5E">
        <w:rPr>
          <w:rStyle w:val="Strong1"/>
          <w:b w:val="0"/>
          <w:bCs w:val="0"/>
          <w:color w:val="1D2455"/>
          <w:sz w:val="20"/>
          <w:szCs w:val="16"/>
        </w:rPr>
        <w:lastRenderedPageBreak/>
        <w:t xml:space="preserve">Figure </w:t>
      </w:r>
      <w:r w:rsidRPr="00C76A5E">
        <w:rPr>
          <w:rStyle w:val="Strong1"/>
          <w:b w:val="0"/>
          <w:bCs w:val="0"/>
          <w:color w:val="1D2455"/>
          <w:sz w:val="20"/>
          <w:szCs w:val="16"/>
        </w:rPr>
        <w:fldChar w:fldCharType="begin"/>
      </w:r>
      <w:r w:rsidRPr="00C76A5E">
        <w:rPr>
          <w:rStyle w:val="Strong1"/>
          <w:b w:val="0"/>
          <w:bCs w:val="0"/>
          <w:color w:val="1D2455"/>
          <w:sz w:val="20"/>
          <w:szCs w:val="16"/>
        </w:rPr>
        <w:instrText xml:space="preserve"> SEQ Figure \* ARABIC </w:instrText>
      </w:r>
      <w:r w:rsidRPr="00C76A5E">
        <w:rPr>
          <w:rStyle w:val="Strong1"/>
          <w:b w:val="0"/>
          <w:bCs w:val="0"/>
          <w:color w:val="1D2455"/>
          <w:sz w:val="20"/>
          <w:szCs w:val="16"/>
        </w:rPr>
        <w:fldChar w:fldCharType="separate"/>
      </w:r>
      <w:r w:rsidR="003C4BC2">
        <w:rPr>
          <w:rStyle w:val="Strong1"/>
          <w:b w:val="0"/>
          <w:bCs w:val="0"/>
          <w:noProof/>
          <w:color w:val="1D2455"/>
          <w:sz w:val="20"/>
          <w:szCs w:val="16"/>
        </w:rPr>
        <w:t>7</w:t>
      </w:r>
      <w:r w:rsidRPr="00C76A5E">
        <w:rPr>
          <w:rStyle w:val="Strong1"/>
          <w:b w:val="0"/>
          <w:bCs w:val="0"/>
          <w:color w:val="1D2455"/>
          <w:sz w:val="20"/>
          <w:szCs w:val="16"/>
        </w:rPr>
        <w:fldChar w:fldCharType="end"/>
      </w:r>
      <w:bookmarkEnd w:id="111"/>
      <w:r w:rsidRPr="00C76A5E">
        <w:rPr>
          <w:rStyle w:val="Strong1"/>
          <w:b w:val="0"/>
          <w:bCs w:val="0"/>
          <w:color w:val="1D2455"/>
          <w:sz w:val="20"/>
          <w:szCs w:val="16"/>
        </w:rPr>
        <w:t>: Practices’ use and assessment of the HARP tool</w:t>
      </w:r>
    </w:p>
    <w:p w14:paraId="55E2D303" w14:textId="299F6595" w:rsidR="003B30EA" w:rsidRDefault="003B30EA" w:rsidP="003B30EA">
      <w:pPr>
        <w:rPr>
          <w:szCs w:val="20"/>
        </w:rPr>
      </w:pPr>
      <w:r w:rsidRPr="003B30EA">
        <w:rPr>
          <w:noProof/>
        </w:rPr>
        <w:drawing>
          <wp:inline distT="0" distB="0" distL="0" distR="0" wp14:anchorId="1E3D9011" wp14:editId="1967287F">
            <wp:extent cx="5731510" cy="3763645"/>
            <wp:effectExtent l="0" t="0" r="0" b="0"/>
            <wp:docPr id="21" name="Picture 21" descr="diagram, how Practice's utilised HARP too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 how Practice's utilised HARP tool "/>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31510" cy="3763645"/>
                    </a:xfrm>
                    <a:prstGeom prst="rect">
                      <a:avLst/>
                    </a:prstGeom>
                    <a:noFill/>
                    <a:ln>
                      <a:noFill/>
                    </a:ln>
                  </pic:spPr>
                </pic:pic>
              </a:graphicData>
            </a:graphic>
          </wp:inline>
        </w:drawing>
      </w:r>
    </w:p>
    <w:p w14:paraId="49778AD3" w14:textId="79AA1ACF" w:rsidR="003B30EA" w:rsidRDefault="003B30EA" w:rsidP="003B30EA">
      <w:pPr>
        <w:pStyle w:val="Chartortablefootnote"/>
      </w:pPr>
      <w:r w:rsidRPr="003B30EA">
        <w:t>Source: Practice survey R2, Nov 2018</w:t>
      </w:r>
      <w:r w:rsidR="00E360ED">
        <w:t>–</w:t>
      </w:r>
      <w:r w:rsidRPr="003B30EA">
        <w:t xml:space="preserve">Mar 2019, </w:t>
      </w:r>
      <w:r w:rsidRPr="00597D1E">
        <w:t xml:space="preserve">questions 2 </w:t>
      </w:r>
      <w:r w:rsidR="00597D1E">
        <w:t>to</w:t>
      </w:r>
      <w:r w:rsidR="00597D1E" w:rsidRPr="00597D1E">
        <w:t xml:space="preserve"> 8</w:t>
      </w:r>
      <w:r w:rsidRPr="00597D1E">
        <w:t>.</w:t>
      </w:r>
    </w:p>
    <w:p w14:paraId="0EF3C586" w14:textId="45808E17" w:rsidR="00E34C6D" w:rsidRDefault="003B30EA" w:rsidP="00FC1C16">
      <w:pPr>
        <w:rPr>
          <w:szCs w:val="20"/>
        </w:rPr>
      </w:pPr>
      <w:r w:rsidRPr="003B30EA">
        <w:rPr>
          <w:szCs w:val="20"/>
        </w:rPr>
        <w:t xml:space="preserve">Those practices that felt their patients did not end up in the </w:t>
      </w:r>
      <w:r w:rsidR="00CB74DC">
        <w:rPr>
          <w:szCs w:val="20"/>
        </w:rPr>
        <w:t>right</w:t>
      </w:r>
      <w:r w:rsidRPr="003B30EA">
        <w:rPr>
          <w:szCs w:val="20"/>
        </w:rPr>
        <w:t xml:space="preserve"> tier </w:t>
      </w:r>
      <w:r w:rsidR="00E34C6D">
        <w:rPr>
          <w:szCs w:val="20"/>
        </w:rPr>
        <w:t xml:space="preserve">thought that the tool was potentially skewed towards </w:t>
      </w:r>
      <w:r w:rsidR="00E34C6D" w:rsidRPr="003B30EA">
        <w:rPr>
          <w:szCs w:val="20"/>
        </w:rPr>
        <w:t>factors impinging on self-management</w:t>
      </w:r>
      <w:r w:rsidR="00E34C6D">
        <w:rPr>
          <w:szCs w:val="20"/>
        </w:rPr>
        <w:t xml:space="preserve"> without enough emphasis on physical disease:</w:t>
      </w:r>
    </w:p>
    <w:p w14:paraId="6B5B7D65" w14:textId="6FD3ADF4" w:rsidR="003B30EA" w:rsidRPr="003B30EA" w:rsidRDefault="003B30EA" w:rsidP="003B30EA">
      <w:pPr>
        <w:ind w:left="567" w:right="521"/>
        <w:rPr>
          <w:i/>
          <w:iCs/>
          <w:szCs w:val="20"/>
        </w:rPr>
      </w:pPr>
      <w:r>
        <w:rPr>
          <w:i/>
          <w:iCs/>
          <w:szCs w:val="20"/>
        </w:rPr>
        <w:t>“</w:t>
      </w:r>
      <w:r w:rsidRPr="003B30EA">
        <w:rPr>
          <w:i/>
          <w:iCs/>
          <w:szCs w:val="20"/>
        </w:rPr>
        <w:t xml:space="preserve">So, for example, I had a gentleman who was at home with his wife, on the farm, with no services at all, looking after himself, with severe cardiovascular disease, mixed valvular and ischaemic heart disease, who was in-and-out of hospital, marginally controlled, and came out as a one, and yet I was seeing him weekly, and twice weekly sometimes.” </w:t>
      </w:r>
      <w:r w:rsidRPr="003B30EA">
        <w:rPr>
          <w:szCs w:val="20"/>
        </w:rPr>
        <w:t>[GP, Practice 4, R2]</w:t>
      </w:r>
    </w:p>
    <w:p w14:paraId="11EF1206" w14:textId="2FE66981" w:rsidR="003B30EA" w:rsidRPr="003B30EA" w:rsidRDefault="003B30EA" w:rsidP="003B30EA">
      <w:pPr>
        <w:ind w:left="567" w:right="521"/>
        <w:rPr>
          <w:szCs w:val="20"/>
        </w:rPr>
      </w:pPr>
      <w:r w:rsidRPr="003B30EA">
        <w:rPr>
          <w:i/>
          <w:iCs/>
          <w:szCs w:val="20"/>
        </w:rPr>
        <w:t>“Let's say if you had diabetes with end-stage renal failure, about to start dialysis and you’re on insulin and you're highly brittle, you still only score one point. … we had quite a few patients who actually were exactly that category, where they were actually tiering as level ones. Because they were well-educated, they were mentally well, …they were still coming through with tier ones. Of course, we also knew that their hospitalisation levels are going to be very high in the coming years because that was just the natural trajectory. But of course, none of this was reflected in the selection criteria nor the funding criteria of results. So, what it meant was that we ended up just not putting those patients in</w:t>
      </w:r>
      <w:r w:rsidRPr="003B30EA">
        <w:rPr>
          <w:szCs w:val="20"/>
        </w:rPr>
        <w:t>.” [GP, Practice 11, R5]</w:t>
      </w:r>
    </w:p>
    <w:p w14:paraId="56C111FA" w14:textId="77777777" w:rsidR="00065063" w:rsidRDefault="00065063">
      <w:pPr>
        <w:spacing w:after="160" w:line="259" w:lineRule="auto"/>
        <w:rPr>
          <w:szCs w:val="20"/>
        </w:rPr>
      </w:pPr>
      <w:r>
        <w:rPr>
          <w:szCs w:val="20"/>
        </w:rPr>
        <w:br w:type="page"/>
      </w:r>
    </w:p>
    <w:p w14:paraId="5A9C376D" w14:textId="786BB30E" w:rsidR="00E34C6D" w:rsidRDefault="007E3439" w:rsidP="00E34C6D">
      <w:pPr>
        <w:rPr>
          <w:szCs w:val="20"/>
        </w:rPr>
      </w:pPr>
      <w:r>
        <w:rPr>
          <w:szCs w:val="20"/>
        </w:rPr>
        <w:lastRenderedPageBreak/>
        <w:t>A</w:t>
      </w:r>
      <w:r w:rsidR="00E34C6D">
        <w:rPr>
          <w:szCs w:val="20"/>
        </w:rPr>
        <w:t xml:space="preserve"> consequence of </w:t>
      </w:r>
      <w:r>
        <w:rPr>
          <w:szCs w:val="20"/>
        </w:rPr>
        <w:t>this emphasis</w:t>
      </w:r>
      <w:r w:rsidR="00E34C6D">
        <w:rPr>
          <w:szCs w:val="20"/>
        </w:rPr>
        <w:t xml:space="preserve"> was that children were assessed as being more complex because they had a </w:t>
      </w:r>
      <w:proofErr w:type="spellStart"/>
      <w:r w:rsidR="00E34C6D">
        <w:rPr>
          <w:szCs w:val="20"/>
        </w:rPr>
        <w:t>carer</w:t>
      </w:r>
      <w:proofErr w:type="spellEnd"/>
      <w:r w:rsidR="00E34C6D">
        <w:rPr>
          <w:szCs w:val="20"/>
        </w:rPr>
        <w:t xml:space="preserve">, which is not necessarily </w:t>
      </w:r>
      <w:r w:rsidR="003D4E49">
        <w:rPr>
          <w:szCs w:val="20"/>
        </w:rPr>
        <w:t>appropriate</w:t>
      </w:r>
      <w:r w:rsidR="00E34C6D">
        <w:rPr>
          <w:szCs w:val="20"/>
        </w:rPr>
        <w:t xml:space="preserve">. </w:t>
      </w:r>
    </w:p>
    <w:p w14:paraId="60459D69" w14:textId="3526EA6B" w:rsidR="00E34C6D" w:rsidRDefault="00E34C6D" w:rsidP="00E34C6D">
      <w:pPr>
        <w:rPr>
          <w:szCs w:val="20"/>
        </w:rPr>
      </w:pPr>
      <w:r>
        <w:rPr>
          <w:szCs w:val="20"/>
        </w:rPr>
        <w:t>Other concerns were that the tool</w:t>
      </w:r>
      <w:r w:rsidR="007E3439" w:rsidRPr="007E3439">
        <w:rPr>
          <w:szCs w:val="20"/>
        </w:rPr>
        <w:t xml:space="preserve"> </w:t>
      </w:r>
      <w:r w:rsidR="007E3439">
        <w:rPr>
          <w:szCs w:val="20"/>
        </w:rPr>
        <w:t>scored all chronic diseases equally</w:t>
      </w:r>
      <w:r w:rsidR="007D6325">
        <w:rPr>
          <w:szCs w:val="20"/>
        </w:rPr>
        <w:t xml:space="preserve"> and didn’t consider their </w:t>
      </w:r>
      <w:r w:rsidR="007E3439">
        <w:rPr>
          <w:szCs w:val="20"/>
        </w:rPr>
        <w:t xml:space="preserve">severity, </w:t>
      </w:r>
      <w:r>
        <w:rPr>
          <w:szCs w:val="20"/>
        </w:rPr>
        <w:t xml:space="preserve">and </w:t>
      </w:r>
      <w:r w:rsidR="007D6325">
        <w:rPr>
          <w:szCs w:val="20"/>
        </w:rPr>
        <w:t xml:space="preserve">that </w:t>
      </w:r>
      <w:r>
        <w:rPr>
          <w:szCs w:val="20"/>
        </w:rPr>
        <w:t>some chronic</w:t>
      </w:r>
      <w:r w:rsidR="007E3439">
        <w:rPr>
          <w:szCs w:val="20"/>
        </w:rPr>
        <w:t xml:space="preserve"> diseases were missing altogether (</w:t>
      </w:r>
      <w:r w:rsidR="009C14FB">
        <w:rPr>
          <w:szCs w:val="20"/>
        </w:rPr>
        <w:t>for example,</w:t>
      </w:r>
      <w:r w:rsidR="007E3439">
        <w:rPr>
          <w:szCs w:val="20"/>
        </w:rPr>
        <w:t xml:space="preserve"> cancer).</w:t>
      </w:r>
    </w:p>
    <w:p w14:paraId="11C84276" w14:textId="76EC852E" w:rsidR="007E3439" w:rsidRDefault="007E3439" w:rsidP="00FC1C16">
      <w:pPr>
        <w:rPr>
          <w:szCs w:val="20"/>
        </w:rPr>
      </w:pPr>
      <w:r>
        <w:rPr>
          <w:szCs w:val="20"/>
        </w:rPr>
        <w:t>Some thought that the approach and remuneration offered particularly for tier 1 m</w:t>
      </w:r>
      <w:r w:rsidRPr="007E3439">
        <w:rPr>
          <w:szCs w:val="20"/>
        </w:rPr>
        <w:t>issed opportunities for early intervention</w:t>
      </w:r>
      <w:r>
        <w:rPr>
          <w:szCs w:val="20"/>
        </w:rPr>
        <w:t>, which was a key aim of the HCH model:</w:t>
      </w:r>
    </w:p>
    <w:p w14:paraId="7E565877" w14:textId="353E81AE" w:rsidR="00FC1C16" w:rsidRDefault="007F0CDF" w:rsidP="009C14FB">
      <w:pPr>
        <w:ind w:left="567" w:right="522"/>
        <w:rPr>
          <w:szCs w:val="20"/>
        </w:rPr>
      </w:pPr>
      <w:r>
        <w:rPr>
          <w:szCs w:val="20"/>
        </w:rPr>
        <w:t xml:space="preserve">Context – </w:t>
      </w:r>
      <w:r w:rsidR="007E3439" w:rsidRPr="007E3439">
        <w:rPr>
          <w:szCs w:val="20"/>
        </w:rPr>
        <w:t>GP discussing patients with physical health problems that the practice did not invite to enrol due to expected higher resource use than the tier level allowed for:</w:t>
      </w:r>
      <w:r w:rsidR="007E3439">
        <w:rPr>
          <w:i/>
          <w:iCs/>
          <w:szCs w:val="20"/>
        </w:rPr>
        <w:t xml:space="preserve"> </w:t>
      </w:r>
      <w:r w:rsidR="00FC1C16">
        <w:rPr>
          <w:i/>
          <w:iCs/>
          <w:szCs w:val="20"/>
        </w:rPr>
        <w:t>“</w:t>
      </w:r>
      <w:r w:rsidR="007E3439" w:rsidRPr="007E3439">
        <w:rPr>
          <w:i/>
          <w:iCs/>
          <w:szCs w:val="20"/>
        </w:rPr>
        <w:t>Oddly enough, we actually did [enrol these patients] when they got depressed and when they got all the other comorbidities further down the track. Whereas if we really wanted to look at true prevention, we would have put them in at the very beginning, put in a lot of efforts and resources into trying to help them at that point to stop them going into tier three</w:t>
      </w:r>
      <w:r w:rsidR="00FC1C16">
        <w:rPr>
          <w:i/>
          <w:iCs/>
          <w:szCs w:val="20"/>
        </w:rPr>
        <w:t>.”</w:t>
      </w:r>
      <w:r w:rsidR="00FC1C16">
        <w:rPr>
          <w:szCs w:val="20"/>
        </w:rPr>
        <w:t xml:space="preserve"> [GP, Practice 11, R5]</w:t>
      </w:r>
    </w:p>
    <w:p w14:paraId="6CF963D6" w14:textId="77777777" w:rsidR="002C156A" w:rsidRDefault="007E3439" w:rsidP="002C156A">
      <w:r>
        <w:rPr>
          <w:szCs w:val="20"/>
        </w:rPr>
        <w:t>In terms of completing the tool, practices and PHNs thought that some of the HARP questions were “vague” or “subjective”</w:t>
      </w:r>
      <w:r w:rsidR="00961BD3">
        <w:rPr>
          <w:szCs w:val="20"/>
        </w:rPr>
        <w:t>:</w:t>
      </w:r>
      <w:r w:rsidR="002C156A" w:rsidRPr="002C156A">
        <w:t xml:space="preserve"> </w:t>
      </w:r>
    </w:p>
    <w:p w14:paraId="73FD9EF4" w14:textId="65B9689B" w:rsidR="002C156A" w:rsidRPr="002C156A" w:rsidRDefault="002C156A" w:rsidP="002C156A">
      <w:pPr>
        <w:ind w:left="567" w:right="522"/>
        <w:rPr>
          <w:szCs w:val="20"/>
        </w:rPr>
      </w:pPr>
      <w:r>
        <w:rPr>
          <w:i/>
          <w:iCs/>
          <w:szCs w:val="20"/>
        </w:rPr>
        <w:t>“</w:t>
      </w:r>
      <w:r w:rsidRPr="002C156A">
        <w:rPr>
          <w:i/>
          <w:iCs/>
          <w:szCs w:val="20"/>
        </w:rPr>
        <w:t>Some of the questions aren't really clear, they could be clearer. Like use of previous services, well what exactly do you mean?</w:t>
      </w:r>
      <w:r w:rsidRPr="002C156A">
        <w:rPr>
          <w:szCs w:val="20"/>
        </w:rPr>
        <w:t>” [Practice Nurse, Practice 04, R2]</w:t>
      </w:r>
    </w:p>
    <w:p w14:paraId="63C7F8F0" w14:textId="3D9B235D" w:rsidR="002C156A" w:rsidRPr="002C156A" w:rsidRDefault="002C156A" w:rsidP="002C156A">
      <w:pPr>
        <w:ind w:left="567" w:right="522"/>
        <w:rPr>
          <w:szCs w:val="20"/>
        </w:rPr>
      </w:pPr>
      <w:r w:rsidRPr="002C156A">
        <w:rPr>
          <w:szCs w:val="20"/>
        </w:rPr>
        <w:t>“</w:t>
      </w:r>
      <w:r w:rsidRPr="002C156A">
        <w:rPr>
          <w:i/>
          <w:iCs/>
          <w:szCs w:val="20"/>
        </w:rPr>
        <w:t>It was very subjective and open to interpretation</w:t>
      </w:r>
      <w:r w:rsidRPr="002C156A">
        <w:rPr>
          <w:szCs w:val="20"/>
        </w:rPr>
        <w:t>.”</w:t>
      </w:r>
      <w:r w:rsidR="00D225A5">
        <w:rPr>
          <w:szCs w:val="20"/>
        </w:rPr>
        <w:t xml:space="preserve"> </w:t>
      </w:r>
      <w:r w:rsidRPr="002C156A">
        <w:rPr>
          <w:szCs w:val="20"/>
        </w:rPr>
        <w:t>[Practice Nurse, Practice 6, R2]</w:t>
      </w:r>
    </w:p>
    <w:p w14:paraId="00420CF1" w14:textId="09A60A99" w:rsidR="00961BD3" w:rsidRDefault="002C156A" w:rsidP="002C156A">
      <w:pPr>
        <w:ind w:left="567" w:right="522"/>
        <w:rPr>
          <w:szCs w:val="20"/>
        </w:rPr>
      </w:pPr>
      <w:r w:rsidRPr="002C156A">
        <w:rPr>
          <w:szCs w:val="20"/>
        </w:rPr>
        <w:t>“</w:t>
      </w:r>
      <w:r w:rsidRPr="002C156A">
        <w:rPr>
          <w:i/>
          <w:iCs/>
          <w:szCs w:val="20"/>
        </w:rPr>
        <w:t>And then the questions themselves on that assessment are very subjective. So often in your head you're going, oh, I feel like this question is really complex and probably should be in tier three, but I've answered these questions or you've asked them some of them as well, and are you meant to? Are you meant to ask the patient? Or is it meant to be your judgment? It's not very clear</w:t>
      </w:r>
      <w:r w:rsidRPr="002C156A">
        <w:rPr>
          <w:szCs w:val="20"/>
        </w:rPr>
        <w:t>.” [Practice Nurse, Practice 10, R2]</w:t>
      </w:r>
    </w:p>
    <w:p w14:paraId="3C1F5214" w14:textId="423EDBB6" w:rsidR="00E96194" w:rsidRDefault="00FC4E27" w:rsidP="007E3439">
      <w:pPr>
        <w:rPr>
          <w:szCs w:val="20"/>
        </w:rPr>
      </w:pPr>
      <w:r>
        <w:rPr>
          <w:szCs w:val="20"/>
        </w:rPr>
        <w:t xml:space="preserve">Other </w:t>
      </w:r>
      <w:r w:rsidR="009C14FB">
        <w:rPr>
          <w:szCs w:val="20"/>
        </w:rPr>
        <w:t>concerns</w:t>
      </w:r>
      <w:r>
        <w:rPr>
          <w:szCs w:val="20"/>
        </w:rPr>
        <w:t xml:space="preserve"> were that nurses, who mostly did the assessments, didn’t necessarily know the patients well enough to accurately complete the items, and that this was exacerbated by p</w:t>
      </w:r>
      <w:r w:rsidR="007E3439" w:rsidRPr="003B30EA">
        <w:rPr>
          <w:szCs w:val="20"/>
        </w:rPr>
        <w:t>atients’ underestimate of the burden of their condition</w:t>
      </w:r>
      <w:r>
        <w:rPr>
          <w:szCs w:val="20"/>
        </w:rPr>
        <w:t>s</w:t>
      </w:r>
      <w:r w:rsidR="001E2985">
        <w:rPr>
          <w:szCs w:val="20"/>
        </w:rPr>
        <w:t>:</w:t>
      </w:r>
    </w:p>
    <w:p w14:paraId="5296D87B" w14:textId="0AD4DF1B" w:rsidR="00C7673F" w:rsidRPr="00C7673F" w:rsidRDefault="00C7673F" w:rsidP="00C7673F">
      <w:pPr>
        <w:ind w:left="567" w:right="521"/>
        <w:rPr>
          <w:i/>
          <w:iCs/>
          <w:szCs w:val="20"/>
        </w:rPr>
      </w:pPr>
      <w:r w:rsidRPr="00C7673F">
        <w:rPr>
          <w:i/>
          <w:iCs/>
          <w:szCs w:val="20"/>
        </w:rPr>
        <w:t>“The nurses did most of the HARPs the doctor rarely did it, and if you didn't know that patient maybe as well as maybe the doctor…” [Practice Nurse 2, Practice 6, R2]</w:t>
      </w:r>
    </w:p>
    <w:p w14:paraId="4536CD1B" w14:textId="52ADB8EA" w:rsidR="004B4EA0" w:rsidRPr="004B4EA0" w:rsidRDefault="004B4EA0" w:rsidP="004B4EA0">
      <w:pPr>
        <w:ind w:left="567" w:right="521"/>
        <w:rPr>
          <w:i/>
          <w:iCs/>
          <w:szCs w:val="20"/>
        </w:rPr>
      </w:pPr>
      <w:r w:rsidRPr="004B4EA0">
        <w:rPr>
          <w:i/>
          <w:iCs/>
          <w:szCs w:val="20"/>
        </w:rPr>
        <w:t>“Health management in itself, a lot of people are in denial. They don't want to believe that they have a chronic condition that needs to be looked at on a regular basis</w:t>
      </w:r>
      <w:r w:rsidR="00033550">
        <w:rPr>
          <w:i/>
          <w:iCs/>
          <w:szCs w:val="20"/>
        </w:rPr>
        <w:t>..</w:t>
      </w:r>
      <w:r w:rsidRPr="004B4EA0">
        <w:rPr>
          <w:i/>
          <w:iCs/>
          <w:szCs w:val="20"/>
        </w:rPr>
        <w:t xml:space="preserve">.” </w:t>
      </w:r>
      <w:r w:rsidRPr="004B4EA0">
        <w:rPr>
          <w:szCs w:val="20"/>
        </w:rPr>
        <w:t>[GP, Practice 1, R2]</w:t>
      </w:r>
    </w:p>
    <w:p w14:paraId="345F02FA" w14:textId="6B4BD3E1" w:rsidR="0049615B" w:rsidRDefault="004B4EA0" w:rsidP="004B4EA0">
      <w:pPr>
        <w:ind w:left="567" w:right="521"/>
        <w:rPr>
          <w:szCs w:val="20"/>
        </w:rPr>
      </w:pPr>
      <w:r w:rsidRPr="004B4EA0">
        <w:rPr>
          <w:i/>
          <w:iCs/>
          <w:szCs w:val="20"/>
        </w:rPr>
        <w:t>“I think patients tend to generally underestimate what they have</w:t>
      </w:r>
      <w:r w:rsidR="001E2985">
        <w:rPr>
          <w:i/>
          <w:iCs/>
          <w:szCs w:val="20"/>
        </w:rPr>
        <w:t>..</w:t>
      </w:r>
      <w:r w:rsidRPr="004B4EA0">
        <w:rPr>
          <w:i/>
          <w:iCs/>
          <w:szCs w:val="20"/>
        </w:rPr>
        <w:t xml:space="preserve">.” </w:t>
      </w:r>
      <w:r w:rsidRPr="004B4EA0">
        <w:rPr>
          <w:szCs w:val="20"/>
        </w:rPr>
        <w:t>[GP, Practice 9, R2]</w:t>
      </w:r>
    </w:p>
    <w:p w14:paraId="48CDB00C" w14:textId="72C8BB72" w:rsidR="00870F41" w:rsidRPr="008211A5" w:rsidRDefault="00E15188" w:rsidP="00870F41">
      <w:pPr>
        <w:ind w:right="521"/>
        <w:rPr>
          <w:szCs w:val="20"/>
        </w:rPr>
      </w:pPr>
      <w:r w:rsidRPr="00BD152C">
        <w:rPr>
          <w:szCs w:val="20"/>
        </w:rPr>
        <w:lastRenderedPageBreak/>
        <w:t xml:space="preserve">GPs </w:t>
      </w:r>
      <w:r w:rsidR="00D806DD" w:rsidRPr="00BD152C">
        <w:rPr>
          <w:szCs w:val="20"/>
        </w:rPr>
        <w:t xml:space="preserve">working </w:t>
      </w:r>
      <w:r w:rsidR="00683427" w:rsidRPr="00BD152C">
        <w:rPr>
          <w:szCs w:val="20"/>
        </w:rPr>
        <w:t xml:space="preserve">in </w:t>
      </w:r>
      <w:r w:rsidR="00BD152C" w:rsidRPr="00BD152C">
        <w:rPr>
          <w:szCs w:val="20"/>
        </w:rPr>
        <w:t>clinics</w:t>
      </w:r>
      <w:r w:rsidR="00683427" w:rsidRPr="00BD152C">
        <w:rPr>
          <w:szCs w:val="20"/>
        </w:rPr>
        <w:t xml:space="preserve"> serv</w:t>
      </w:r>
      <w:r w:rsidR="00B822BE" w:rsidRPr="00BD152C">
        <w:rPr>
          <w:szCs w:val="20"/>
        </w:rPr>
        <w:t xml:space="preserve">ing remote Aboriginal communities </w:t>
      </w:r>
      <w:r w:rsidR="008211A5" w:rsidRPr="00BD152C">
        <w:rPr>
          <w:szCs w:val="20"/>
        </w:rPr>
        <w:t xml:space="preserve">considered that some of the </w:t>
      </w:r>
      <w:r w:rsidR="00EE40B7" w:rsidRPr="00BD152C">
        <w:rPr>
          <w:szCs w:val="20"/>
        </w:rPr>
        <w:t>item</w:t>
      </w:r>
      <w:r w:rsidR="0045166B" w:rsidRPr="00BD152C">
        <w:rPr>
          <w:szCs w:val="20"/>
        </w:rPr>
        <w:t>s</w:t>
      </w:r>
      <w:r w:rsidR="00EE40B7" w:rsidRPr="00BD152C">
        <w:rPr>
          <w:szCs w:val="20"/>
        </w:rPr>
        <w:t xml:space="preserve"> </w:t>
      </w:r>
      <w:r w:rsidR="00B822BE" w:rsidRPr="00BD152C">
        <w:rPr>
          <w:szCs w:val="20"/>
        </w:rPr>
        <w:t xml:space="preserve">in the HARP </w:t>
      </w:r>
      <w:r w:rsidR="0045166B" w:rsidRPr="00BD152C">
        <w:rPr>
          <w:szCs w:val="20"/>
        </w:rPr>
        <w:t xml:space="preserve">related to social circumstances </w:t>
      </w:r>
      <w:r w:rsidR="008211A5" w:rsidRPr="00BD152C">
        <w:rPr>
          <w:szCs w:val="20"/>
        </w:rPr>
        <w:t xml:space="preserve">failed to appropriate account for </w:t>
      </w:r>
      <w:r w:rsidR="00BD152C" w:rsidRPr="00BD152C">
        <w:rPr>
          <w:szCs w:val="20"/>
        </w:rPr>
        <w:t>extreme</w:t>
      </w:r>
      <w:r w:rsidR="008211A5" w:rsidRPr="00BD152C">
        <w:rPr>
          <w:szCs w:val="20"/>
        </w:rPr>
        <w:t xml:space="preserve"> levels of disadvantage faced by patients in </w:t>
      </w:r>
      <w:r w:rsidR="00EE40B7" w:rsidRPr="00BD152C">
        <w:rPr>
          <w:szCs w:val="20"/>
        </w:rPr>
        <w:t xml:space="preserve">these </w:t>
      </w:r>
      <w:r w:rsidR="008211A5" w:rsidRPr="00BD152C">
        <w:rPr>
          <w:szCs w:val="20"/>
        </w:rPr>
        <w:t>communities.</w:t>
      </w:r>
    </w:p>
    <w:p w14:paraId="510A8E7B" w14:textId="79FE85C6" w:rsidR="007E3439" w:rsidRDefault="00FC4E27" w:rsidP="007E3439">
      <w:pPr>
        <w:rPr>
          <w:szCs w:val="20"/>
        </w:rPr>
      </w:pPr>
      <w:r>
        <w:rPr>
          <w:szCs w:val="20"/>
        </w:rPr>
        <w:t xml:space="preserve">Practices suggested that for future use of the </w:t>
      </w:r>
      <w:r w:rsidR="00AC44E5">
        <w:rPr>
          <w:szCs w:val="20"/>
        </w:rPr>
        <w:t>HARP</w:t>
      </w:r>
      <w:r>
        <w:rPr>
          <w:szCs w:val="20"/>
        </w:rPr>
        <w:t xml:space="preserve">, </w:t>
      </w:r>
      <w:r w:rsidR="00AC44E5">
        <w:rPr>
          <w:szCs w:val="20"/>
        </w:rPr>
        <w:t>additional guidance be given on</w:t>
      </w:r>
      <w:r w:rsidR="00AC44E5" w:rsidRPr="00AC44E5">
        <w:rPr>
          <w:szCs w:val="20"/>
        </w:rPr>
        <w:t xml:space="preserve"> who should be completing the assessment with the patient, the context of the questions, how </w:t>
      </w:r>
      <w:r w:rsidR="009C14FB">
        <w:rPr>
          <w:szCs w:val="20"/>
        </w:rPr>
        <w:t>the assessment</w:t>
      </w:r>
      <w:r w:rsidR="00AC44E5" w:rsidRPr="00AC44E5">
        <w:rPr>
          <w:szCs w:val="20"/>
        </w:rPr>
        <w:t xml:space="preserve"> should be </w:t>
      </w:r>
      <w:r w:rsidR="009C14FB">
        <w:rPr>
          <w:szCs w:val="20"/>
        </w:rPr>
        <w:t>undertaken</w:t>
      </w:r>
      <w:r w:rsidR="00AC44E5" w:rsidRPr="00AC44E5">
        <w:rPr>
          <w:szCs w:val="20"/>
        </w:rPr>
        <w:t xml:space="preserve">, and the way in which staff members should interpret both the questions and </w:t>
      </w:r>
      <w:r w:rsidR="009C14FB">
        <w:rPr>
          <w:szCs w:val="20"/>
        </w:rPr>
        <w:t xml:space="preserve">the </w:t>
      </w:r>
      <w:r w:rsidR="00AC44E5" w:rsidRPr="00AC44E5">
        <w:rPr>
          <w:szCs w:val="20"/>
        </w:rPr>
        <w:t>options</w:t>
      </w:r>
      <w:r w:rsidR="009C14FB">
        <w:rPr>
          <w:szCs w:val="20"/>
        </w:rPr>
        <w:t xml:space="preserve"> provided for answering</w:t>
      </w:r>
      <w:r w:rsidR="007E3439" w:rsidRPr="003B30EA">
        <w:rPr>
          <w:szCs w:val="20"/>
        </w:rPr>
        <w:t>.</w:t>
      </w:r>
    </w:p>
    <w:p w14:paraId="2FFE356B" w14:textId="1A89D272" w:rsidR="003B1CE0" w:rsidRDefault="00F674DA" w:rsidP="00F674DA">
      <w:pPr>
        <w:rPr>
          <w:szCs w:val="20"/>
        </w:rPr>
      </w:pPr>
      <w:r w:rsidRPr="00F674DA">
        <w:rPr>
          <w:szCs w:val="20"/>
        </w:rPr>
        <w:t>The Department of Health undertook a compliance audit of a sample of practices examining the use of the RST for categorising patients into tiers based on the complexity of their medical conditions and care needs. The audit concluded that the RST is suitable for the purpose of assigning patients to a tier level (and corresponding payment level) based on the relative complexity of their chronic conditions and required care. In all the cases reviewed, the risk tier applied by the practice for the patient was assessed as appropriate.</w:t>
      </w:r>
    </w:p>
    <w:p w14:paraId="54AD5617" w14:textId="51C8C59A" w:rsidR="00A410AB" w:rsidRDefault="00E34C6D" w:rsidP="00FC1C16">
      <w:pPr>
        <w:rPr>
          <w:szCs w:val="20"/>
        </w:rPr>
      </w:pPr>
      <w:r>
        <w:rPr>
          <w:szCs w:val="20"/>
        </w:rPr>
        <w:t xml:space="preserve">Some </w:t>
      </w:r>
      <w:r w:rsidR="00FC1C16">
        <w:rPr>
          <w:szCs w:val="20"/>
        </w:rPr>
        <w:t xml:space="preserve">practices reported completing the HARP </w:t>
      </w:r>
      <w:r w:rsidR="00A410AB">
        <w:rPr>
          <w:szCs w:val="20"/>
        </w:rPr>
        <w:t>assessment</w:t>
      </w:r>
      <w:r w:rsidR="00FC1C16">
        <w:rPr>
          <w:szCs w:val="20"/>
        </w:rPr>
        <w:t xml:space="preserve"> </w:t>
      </w:r>
      <w:r w:rsidR="00A410AB">
        <w:rPr>
          <w:szCs w:val="20"/>
        </w:rPr>
        <w:t xml:space="preserve">to determine patients’ tiers </w:t>
      </w:r>
      <w:r w:rsidR="00F30F93">
        <w:rPr>
          <w:szCs w:val="20"/>
        </w:rPr>
        <w:t>before</w:t>
      </w:r>
      <w:r w:rsidR="00FC1C16">
        <w:rPr>
          <w:szCs w:val="20"/>
        </w:rPr>
        <w:t xml:space="preserve"> approaching </w:t>
      </w:r>
      <w:r w:rsidR="00AC44E5">
        <w:rPr>
          <w:szCs w:val="20"/>
        </w:rPr>
        <w:t>patients</w:t>
      </w:r>
      <w:r w:rsidR="00A410AB">
        <w:rPr>
          <w:szCs w:val="20"/>
        </w:rPr>
        <w:t xml:space="preserve"> to decide </w:t>
      </w:r>
      <w:r w:rsidR="00FC1C16">
        <w:rPr>
          <w:szCs w:val="20"/>
        </w:rPr>
        <w:t xml:space="preserve">if it was financially viable to enrol </w:t>
      </w:r>
      <w:r w:rsidR="00A410AB">
        <w:rPr>
          <w:szCs w:val="20"/>
        </w:rPr>
        <w:t>them</w:t>
      </w:r>
      <w:r w:rsidR="00FC1C16">
        <w:rPr>
          <w:szCs w:val="20"/>
        </w:rPr>
        <w:t xml:space="preserve">. </w:t>
      </w:r>
      <w:r w:rsidR="00A410AB">
        <w:rPr>
          <w:szCs w:val="20"/>
        </w:rPr>
        <w:t xml:space="preserve">This “cherry picking” occurred because practices </w:t>
      </w:r>
      <w:r w:rsidR="00E64055">
        <w:rPr>
          <w:szCs w:val="20"/>
        </w:rPr>
        <w:t>didn’t</w:t>
      </w:r>
      <w:r w:rsidR="00A410AB">
        <w:rPr>
          <w:szCs w:val="20"/>
        </w:rPr>
        <w:t xml:space="preserve"> want to risk a lower payment for patients </w:t>
      </w:r>
      <w:r w:rsidR="000C3616">
        <w:rPr>
          <w:szCs w:val="20"/>
        </w:rPr>
        <w:t>who</w:t>
      </w:r>
      <w:r w:rsidR="00A410AB">
        <w:rPr>
          <w:szCs w:val="20"/>
        </w:rPr>
        <w:t xml:space="preserve"> they considered high risk from a resource perspective</w:t>
      </w:r>
      <w:r w:rsidR="00A55FC2">
        <w:rPr>
          <w:szCs w:val="20"/>
        </w:rPr>
        <w:t>:</w:t>
      </w:r>
    </w:p>
    <w:p w14:paraId="155EA3E7" w14:textId="654BEFDF" w:rsidR="00A55FC2" w:rsidRDefault="00A55FC2" w:rsidP="00A55FC2">
      <w:pPr>
        <w:ind w:left="567" w:right="521"/>
        <w:rPr>
          <w:szCs w:val="20"/>
        </w:rPr>
      </w:pPr>
      <w:r w:rsidRPr="00A55FC2">
        <w:rPr>
          <w:szCs w:val="20"/>
        </w:rPr>
        <w:t>“</w:t>
      </w:r>
      <w:r>
        <w:rPr>
          <w:szCs w:val="20"/>
        </w:rPr>
        <w:t xml:space="preserve">[The order in which we assessed patients using the HARP] </w:t>
      </w:r>
      <w:r w:rsidRPr="00A55FC2">
        <w:rPr>
          <w:i/>
          <w:iCs/>
          <w:szCs w:val="20"/>
        </w:rPr>
        <w:t>was as patients presented</w:t>
      </w:r>
      <w:r>
        <w:rPr>
          <w:i/>
          <w:iCs/>
          <w:szCs w:val="20"/>
        </w:rPr>
        <w:t>,</w:t>
      </w:r>
      <w:r w:rsidRPr="00A55FC2">
        <w:rPr>
          <w:i/>
          <w:iCs/>
          <w:szCs w:val="20"/>
        </w:rPr>
        <w:t xml:space="preserve"> and if we deemed them as someone that would benefit from Health Care Homes we would run the risk stratification tool and just see where they would place on it…At the very beginning we probably were doing everything backwards in that we identified patients that would benefit from the program but then they would necessarily be reflected on that risk stratification tool as in, this patient had high-end care. Some patients missed out for that reason, if that makes sense. They may only have been a </w:t>
      </w:r>
      <w:r w:rsidR="00770301">
        <w:rPr>
          <w:i/>
          <w:iCs/>
          <w:szCs w:val="20"/>
        </w:rPr>
        <w:t>tier</w:t>
      </w:r>
      <w:r w:rsidRPr="00A55FC2">
        <w:rPr>
          <w:i/>
          <w:iCs/>
          <w:szCs w:val="20"/>
        </w:rPr>
        <w:t xml:space="preserve"> 1 or </w:t>
      </w:r>
      <w:r w:rsidR="00770301">
        <w:rPr>
          <w:i/>
          <w:iCs/>
          <w:szCs w:val="20"/>
        </w:rPr>
        <w:t>tier</w:t>
      </w:r>
      <w:r w:rsidRPr="00A55FC2">
        <w:rPr>
          <w:i/>
          <w:iCs/>
          <w:szCs w:val="20"/>
        </w:rPr>
        <w:t xml:space="preserve"> 2, but their needs were great. From the practice perspective it wasn’t always feasible for us to actually enrol them. We did look at quite a few patients and balanced that and then waited, but at the end of the day it is a business too</w:t>
      </w:r>
      <w:r w:rsidRPr="00A55FC2">
        <w:rPr>
          <w:szCs w:val="20"/>
        </w:rPr>
        <w:t>.” [Practice nurse, Practice 13, interview, R2]</w:t>
      </w:r>
    </w:p>
    <w:p w14:paraId="1CB3C82E" w14:textId="73657F1E" w:rsidR="00F674DA" w:rsidRDefault="00A55FC2" w:rsidP="00BD152C">
      <w:pPr>
        <w:rPr>
          <w:szCs w:val="20"/>
        </w:rPr>
      </w:pPr>
      <w:r>
        <w:rPr>
          <w:szCs w:val="20"/>
        </w:rPr>
        <w:t xml:space="preserve">Through the </w:t>
      </w:r>
      <w:r w:rsidR="000715F3">
        <w:rPr>
          <w:szCs w:val="20"/>
        </w:rPr>
        <w:t>round</w:t>
      </w:r>
      <w:r>
        <w:rPr>
          <w:szCs w:val="20"/>
        </w:rPr>
        <w:t xml:space="preserve"> 2 practice survey, 31%</w:t>
      </w:r>
      <w:r w:rsidR="009C14FB">
        <w:rPr>
          <w:szCs w:val="20"/>
        </w:rPr>
        <w:t xml:space="preserve"> of practices (32 out of the 100 that completed this question)</w:t>
      </w:r>
      <w:r>
        <w:rPr>
          <w:szCs w:val="20"/>
        </w:rPr>
        <w:t xml:space="preserve"> identified “Financially not viable (frequent attendance)” as the main factor that the GP/practice decided not to </w:t>
      </w:r>
      <w:r w:rsidRPr="00A55FC2">
        <w:rPr>
          <w:szCs w:val="20"/>
        </w:rPr>
        <w:t xml:space="preserve">approach some patients flagged by the </w:t>
      </w:r>
      <w:r w:rsidR="009C14FB">
        <w:rPr>
          <w:szCs w:val="20"/>
        </w:rPr>
        <w:t>PRM</w:t>
      </w:r>
      <w:r>
        <w:rPr>
          <w:szCs w:val="20"/>
        </w:rPr>
        <w:t xml:space="preserve"> as potentially eligible for the trial.</w:t>
      </w:r>
    </w:p>
    <w:p w14:paraId="3906B7D0" w14:textId="2E40ADD2" w:rsidR="00D4213C" w:rsidRDefault="009277EA" w:rsidP="00D4213C">
      <w:pPr>
        <w:pStyle w:val="Heading2"/>
        <w:rPr>
          <w:szCs w:val="26"/>
        </w:rPr>
      </w:pPr>
      <w:bookmarkStart w:id="112" w:name="_Toc109996665"/>
      <w:r>
        <w:t>Review of tier allocation</w:t>
      </w:r>
      <w:bookmarkEnd w:id="112"/>
    </w:p>
    <w:p w14:paraId="3825A3BA" w14:textId="45D78C19" w:rsidR="00415EB4" w:rsidRDefault="00415EB4" w:rsidP="00415EB4">
      <w:pPr>
        <w:rPr>
          <w:szCs w:val="20"/>
        </w:rPr>
      </w:pPr>
      <w:r>
        <w:rPr>
          <w:szCs w:val="20"/>
        </w:rPr>
        <w:t xml:space="preserve">According to the Department of Health’s </w:t>
      </w:r>
      <w:r w:rsidRPr="00E64055">
        <w:rPr>
          <w:i/>
          <w:iCs/>
          <w:szCs w:val="20"/>
        </w:rPr>
        <w:t>Handbook for general practices and Aboriginal Community Controlled Health Services</w:t>
      </w:r>
      <w:r>
        <w:rPr>
          <w:szCs w:val="20"/>
        </w:rPr>
        <w:t>:</w:t>
      </w:r>
    </w:p>
    <w:p w14:paraId="1706F6DB" w14:textId="293928CC" w:rsidR="00415EB4" w:rsidRDefault="00415EB4" w:rsidP="00415EB4">
      <w:pPr>
        <w:ind w:left="567" w:right="521"/>
        <w:rPr>
          <w:szCs w:val="20"/>
        </w:rPr>
      </w:pPr>
      <w:r>
        <w:rPr>
          <w:i/>
          <w:iCs/>
          <w:szCs w:val="20"/>
        </w:rPr>
        <w:t>“</w:t>
      </w:r>
      <w:r w:rsidRPr="008D418E">
        <w:rPr>
          <w:i/>
          <w:iCs/>
          <w:szCs w:val="20"/>
        </w:rPr>
        <w:t xml:space="preserve">An enrolled patient’s tier level is intended to account for fluctuations in their health care needs over the course of 12 months. A patient’s risk stratification </w:t>
      </w:r>
      <w:r w:rsidRPr="008D418E">
        <w:rPr>
          <w:i/>
          <w:iCs/>
          <w:szCs w:val="20"/>
        </w:rPr>
        <w:lastRenderedPageBreak/>
        <w:t>certificate is valid for 12 months, at which time their risk tier level will need to be reviewed by repeating the risk stratification process.</w:t>
      </w:r>
      <w:r>
        <w:rPr>
          <w:i/>
          <w:iCs/>
          <w:szCs w:val="20"/>
        </w:rPr>
        <w:t>”</w:t>
      </w:r>
      <w:r>
        <w:rPr>
          <w:szCs w:val="20"/>
        </w:rPr>
        <w:t xml:space="preserve"> </w:t>
      </w:r>
      <w:r w:rsidR="00E64055" w:rsidRPr="00E64055">
        <w:rPr>
          <w:rStyle w:val="FootnoteReference"/>
          <w:color w:val="408BCA"/>
          <w:szCs w:val="20"/>
        </w:rPr>
        <w:footnoteReference w:id="42"/>
      </w:r>
      <w:r w:rsidR="00E64055">
        <w:rPr>
          <w:szCs w:val="20"/>
        </w:rPr>
        <w:t xml:space="preserve"> </w:t>
      </w:r>
      <w:r w:rsidRPr="00E64055">
        <w:rPr>
          <w:color w:val="408BCA"/>
          <w:szCs w:val="20"/>
          <w:vertAlign w:val="superscript"/>
        </w:rPr>
        <w:t>(p. 9)</w:t>
      </w:r>
    </w:p>
    <w:p w14:paraId="11AB85DD" w14:textId="10DEF35A" w:rsidR="007A7C43" w:rsidRDefault="009E71B6" w:rsidP="00D4213C">
      <w:r>
        <w:t>I</w:t>
      </w:r>
      <w:r w:rsidR="00D4213C">
        <w:t xml:space="preserve">n the final round of interviews, which took place a few months before the end of the trial, </w:t>
      </w:r>
      <w:r>
        <w:t xml:space="preserve">a few practices reported </w:t>
      </w:r>
      <w:r w:rsidR="00D4213C">
        <w:t>that they hadn</w:t>
      </w:r>
      <w:r w:rsidR="007D2F71">
        <w:t>’</w:t>
      </w:r>
      <w:r w:rsidR="00D4213C">
        <w:t xml:space="preserve">t </w:t>
      </w:r>
      <w:r w:rsidR="005F5469">
        <w:t>regularly re-stratified patients</w:t>
      </w:r>
      <w:r w:rsidR="00D4213C">
        <w:t>. PHN</w:t>
      </w:r>
      <w:r w:rsidR="009277EA">
        <w:t xml:space="preserve"> practice facilitators </w:t>
      </w:r>
      <w:r w:rsidR="00D4213C">
        <w:t xml:space="preserve">stated that </w:t>
      </w:r>
      <w:r w:rsidR="005F5469">
        <w:t xml:space="preserve">the main reasons for this were </w:t>
      </w:r>
      <w:r w:rsidR="00D4213C">
        <w:t>the</w:t>
      </w:r>
      <w:r w:rsidR="007A7C43">
        <w:t xml:space="preserve"> lack of time for the </w:t>
      </w:r>
      <w:r w:rsidR="00D4213C">
        <w:t xml:space="preserve">effort </w:t>
      </w:r>
      <w:r w:rsidR="009C14FB">
        <w:t>needed for this</w:t>
      </w:r>
      <w:r w:rsidR="00D4213C">
        <w:t>, limited face-to-face interaction</w:t>
      </w:r>
      <w:r w:rsidR="007374A1">
        <w:t>s</w:t>
      </w:r>
      <w:r w:rsidR="00D4213C">
        <w:t xml:space="preserve"> with patients during </w:t>
      </w:r>
      <w:r w:rsidR="005F5469">
        <w:t xml:space="preserve">the </w:t>
      </w:r>
      <w:r w:rsidR="00D4213C">
        <w:t>COV</w:t>
      </w:r>
      <w:r w:rsidR="001403E1">
        <w:t>I</w:t>
      </w:r>
      <w:r w:rsidR="00D4213C">
        <w:t>D-19</w:t>
      </w:r>
      <w:r w:rsidR="005F5469">
        <w:t xml:space="preserve"> pandemic</w:t>
      </w:r>
      <w:r w:rsidR="00D4213C">
        <w:t xml:space="preserve">, few perceived changes in their patients’ conditions and a lack of </w:t>
      </w:r>
      <w:r w:rsidR="005F5469">
        <w:t>motivation</w:t>
      </w:r>
      <w:r w:rsidR="00D4213C">
        <w:t xml:space="preserve"> to do what </w:t>
      </w:r>
      <w:r w:rsidR="009C14FB">
        <w:t>they considered an administrative activity</w:t>
      </w:r>
      <w:r w:rsidR="007A7C43">
        <w:t>:</w:t>
      </w:r>
    </w:p>
    <w:p w14:paraId="4652CB70" w14:textId="77777777" w:rsidR="00D4213C" w:rsidRDefault="00D4213C" w:rsidP="00D4213C">
      <w:pPr>
        <w:ind w:left="567" w:right="521"/>
      </w:pPr>
      <w:r>
        <w:rPr>
          <w:i/>
          <w:iCs/>
        </w:rPr>
        <w:t xml:space="preserve">“A lot of them have gone, the patient's not changing tiers...We know they're going to stay at tier one or tier </w:t>
      </w:r>
      <w:r w:rsidRPr="00AC07E9">
        <w:rPr>
          <w:i/>
          <w:iCs/>
          <w:szCs w:val="20"/>
        </w:rPr>
        <w:t>three</w:t>
      </w:r>
      <w:r>
        <w:rPr>
          <w:i/>
          <w:iCs/>
        </w:rPr>
        <w:t xml:space="preserve">. That's been difficult. And then that conversation has just come down to, you need to do this...with the COVID pandemic, that took a backseat…I think with having everyone's got to do it on those regular intervals, it becomes…just another admin thing to do. And I tend to find that usually most of the practices…are a bit put off by the amount of…administrative workload. You're coming at them with another thing and they're just like…This isn't going to change how we deliver our care.” </w:t>
      </w:r>
      <w:r>
        <w:t>[PHN 1, interview, R5]</w:t>
      </w:r>
    </w:p>
    <w:p w14:paraId="47A968E4" w14:textId="3BB032EE" w:rsidR="007A7C43" w:rsidRDefault="00D4213C" w:rsidP="008A3D22">
      <w:pPr>
        <w:ind w:left="567" w:right="521"/>
      </w:pPr>
      <w:r>
        <w:rPr>
          <w:i/>
          <w:iCs/>
        </w:rPr>
        <w:t>“The re-stratification, you have to do it every 12 months, and they were reaching that 12-month period in the middle of the pandemic, so it’s about how do you then bring the patient back to do the re-stratification. You can do most of it over the phone, but generally, practices like to do these types of health assessments and re</w:t>
      </w:r>
      <w:r w:rsidR="009C14FB">
        <w:rPr>
          <w:i/>
          <w:iCs/>
        </w:rPr>
        <w:t>-</w:t>
      </w:r>
      <w:r>
        <w:rPr>
          <w:i/>
          <w:iCs/>
        </w:rPr>
        <w:t>stratification with patients face-to-face...And then the reviewing, with Health Care Homes, it’s a continuous reviewing process…It’s more administrative than anything else, …and their headspace wasn’t in that space at that moment…The problem with the re-stratification is that some of the practices assumed that the re-stratification doesn’t need to be redone and it only needs to be redone if there’s a change with the patient’s condition…”</w:t>
      </w:r>
      <w:r>
        <w:t xml:space="preserve"> [PHN 5, interview, R5]</w:t>
      </w:r>
    </w:p>
    <w:p w14:paraId="164BAA4E" w14:textId="54DFC419" w:rsidR="007A7C43" w:rsidRDefault="007A7C43" w:rsidP="007A7C43">
      <w:r>
        <w:t>PHNs serving largely rural areas also reported ongoing issues with the RST. This made the re-stratification process more arduous for practices in these regions:</w:t>
      </w:r>
    </w:p>
    <w:p w14:paraId="2772C32F" w14:textId="7C31482F" w:rsidR="007A7C43" w:rsidRPr="007A7C43" w:rsidRDefault="007A7C43" w:rsidP="007A7C43">
      <w:pPr>
        <w:ind w:left="567" w:right="521"/>
      </w:pPr>
      <w:r>
        <w:rPr>
          <w:i/>
          <w:iCs/>
        </w:rPr>
        <w:t>“…the RST tool does grind their systems quite a bit, slows them down</w:t>
      </w:r>
      <w:r w:rsidRPr="007A7C43">
        <w:t xml:space="preserve">” [PHN 10, </w:t>
      </w:r>
      <w:r>
        <w:t xml:space="preserve">interview, </w:t>
      </w:r>
      <w:r w:rsidRPr="007A7C43">
        <w:t>R5]</w:t>
      </w:r>
    </w:p>
    <w:p w14:paraId="246A2564" w14:textId="31184CE0" w:rsidR="00D4213C" w:rsidRDefault="00D4213C" w:rsidP="00D4213C">
      <w:pPr>
        <w:ind w:left="567" w:right="521"/>
      </w:pPr>
      <w:r>
        <w:rPr>
          <w:i/>
          <w:iCs/>
        </w:rPr>
        <w:t xml:space="preserve">“We’ve </w:t>
      </w:r>
      <w:r w:rsidRPr="00AC07E9">
        <w:rPr>
          <w:i/>
          <w:iCs/>
          <w:szCs w:val="20"/>
        </w:rPr>
        <w:t>had</w:t>
      </w:r>
      <w:r>
        <w:rPr>
          <w:i/>
          <w:iCs/>
        </w:rPr>
        <w:t xml:space="preserve"> a lot of trouble though with [</w:t>
      </w:r>
      <w:r w:rsidR="009C14FB">
        <w:rPr>
          <w:i/>
          <w:iCs/>
        </w:rPr>
        <w:t xml:space="preserve">the </w:t>
      </w:r>
      <w:r>
        <w:rPr>
          <w:i/>
          <w:iCs/>
        </w:rPr>
        <w:t>RST] matching up to software and everything like that. So, that’s been a huge challenge that they have. I think in my time they only had to do it once in that period so I supported them to do that, but it was very challenging…Then one of them was saying it was really hard, especially during the COVID period…”</w:t>
      </w:r>
      <w:r>
        <w:t xml:space="preserve"> [PHN 8, interview, R5]</w:t>
      </w:r>
    </w:p>
    <w:p w14:paraId="17294645" w14:textId="09AB33E1" w:rsidR="00D4213C" w:rsidRDefault="00D4213C" w:rsidP="00D4213C">
      <w:r>
        <w:t xml:space="preserve">Practices that did re-stratify their patients predominantly reported going through this process in the last 12 to 18 months of the trial. Staff experience of the re-stratification process was </w:t>
      </w:r>
      <w:r>
        <w:lastRenderedPageBreak/>
        <w:t>variable, and some stated that this task involved a high degree of administrative burden that they felt derived little to no benefit to the practice or the patient:</w:t>
      </w:r>
    </w:p>
    <w:p w14:paraId="25798FD9" w14:textId="77777777" w:rsidR="00D4213C" w:rsidRDefault="00D4213C" w:rsidP="00D4213C">
      <w:pPr>
        <w:ind w:left="567" w:right="521"/>
      </w:pPr>
      <w:r>
        <w:rPr>
          <w:i/>
          <w:iCs/>
        </w:rPr>
        <w:t xml:space="preserve">“I also think that the compliance activities [are] more onerous than [they] need to be. For example, our </w:t>
      </w:r>
      <w:r w:rsidRPr="00AC07E9">
        <w:rPr>
          <w:i/>
          <w:iCs/>
          <w:szCs w:val="20"/>
        </w:rPr>
        <w:t>nurses</w:t>
      </w:r>
      <w:r>
        <w:rPr>
          <w:i/>
          <w:iCs/>
        </w:rPr>
        <w:t xml:space="preserve"> do regularly reassess people for tiers and the feedback I’ve had from [Nurse 1] and others who did it for her is it would take a good chunk of time. I think in most situations patients’ tiers wouldn't change and; therefore, there’s very limited benefit out of it.”</w:t>
      </w:r>
      <w:r>
        <w:t xml:space="preserve"> [GP, Practice 22, R5]</w:t>
      </w:r>
    </w:p>
    <w:p w14:paraId="439035F3" w14:textId="480B2D94" w:rsidR="00D4213C" w:rsidRDefault="00D4213C" w:rsidP="00D4213C">
      <w:pPr>
        <w:ind w:left="567" w:right="521"/>
        <w:rPr>
          <w:i/>
          <w:iCs/>
        </w:rPr>
      </w:pPr>
      <w:r>
        <w:rPr>
          <w:i/>
          <w:iCs/>
        </w:rPr>
        <w:t xml:space="preserve">“There's a lot of things though, and you must know the extra amount of work that we've done. We had about seven tick boxes to just change one patient here in our system anyway because we had flagged them in Medical Director, </w:t>
      </w:r>
      <w:proofErr w:type="spellStart"/>
      <w:r>
        <w:rPr>
          <w:i/>
          <w:iCs/>
        </w:rPr>
        <w:t>PracSoft</w:t>
      </w:r>
      <w:proofErr w:type="spellEnd"/>
      <w:r>
        <w:rPr>
          <w:i/>
          <w:iCs/>
        </w:rPr>
        <w:t>, HPA</w:t>
      </w:r>
      <w:r w:rsidR="00E9348F">
        <w:rPr>
          <w:i/>
          <w:iCs/>
        </w:rPr>
        <w:t xml:space="preserve"> [evaluation activities]</w:t>
      </w:r>
      <w:r>
        <w:rPr>
          <w:i/>
          <w:iCs/>
        </w:rPr>
        <w:t xml:space="preserve">, </w:t>
      </w:r>
      <w:proofErr w:type="spellStart"/>
      <w:r>
        <w:rPr>
          <w:i/>
          <w:iCs/>
        </w:rPr>
        <w:t>PRoDA</w:t>
      </w:r>
      <w:proofErr w:type="spellEnd"/>
      <w:r>
        <w:rPr>
          <w:i/>
          <w:iCs/>
        </w:rPr>
        <w:t xml:space="preserve">, that spreadsheet, the top bar. You have to change everything and it's all time and then that takes away from the amount of care planning you do.” </w:t>
      </w:r>
      <w:r>
        <w:t xml:space="preserve">[Nurse, Practice 4, </w:t>
      </w:r>
      <w:r w:rsidR="00293B07">
        <w:t xml:space="preserve">interview, </w:t>
      </w:r>
      <w:r>
        <w:t>R5]</w:t>
      </w:r>
    </w:p>
    <w:p w14:paraId="559E62C6" w14:textId="03C27F29" w:rsidR="00293B07" w:rsidRDefault="00D4213C" w:rsidP="00D4213C">
      <w:r>
        <w:t>Staff commonly attributed movement</w:t>
      </w:r>
      <w:r w:rsidR="00293B07">
        <w:t xml:space="preserve"> of </w:t>
      </w:r>
      <w:r w:rsidR="000D07C8">
        <w:t>patients from a lower risk tier to a higher risk</w:t>
      </w:r>
      <w:r w:rsidR="006E5767">
        <w:t xml:space="preserve"> tier</w:t>
      </w:r>
      <w:r w:rsidR="000D07C8">
        <w:t xml:space="preserve"> to</w:t>
      </w:r>
      <w:r w:rsidR="00293B07">
        <w:t xml:space="preserve"> </w:t>
      </w:r>
      <w:r>
        <w:t xml:space="preserve">a </w:t>
      </w:r>
      <w:r w:rsidR="00293B07">
        <w:t xml:space="preserve">patient’s </w:t>
      </w:r>
      <w:r>
        <w:t>new diagnosis, the progression of their existing condition(s) or the ageing process</w:t>
      </w:r>
      <w:r w:rsidR="00293B07">
        <w:t>:</w:t>
      </w:r>
    </w:p>
    <w:p w14:paraId="0E727503" w14:textId="79CD3E37" w:rsidR="00D4213C" w:rsidRDefault="00D4213C" w:rsidP="00293B07">
      <w:pPr>
        <w:ind w:left="567" w:right="521"/>
      </w:pPr>
      <w:r>
        <w:t>“</w:t>
      </w:r>
      <w:r>
        <w:rPr>
          <w:i/>
          <w:iCs/>
        </w:rPr>
        <w:t xml:space="preserve">…bearing in mind that all these disease states are progressive…you’re not going to cure them…” </w:t>
      </w:r>
      <w:r>
        <w:t xml:space="preserve">[Practice Owner, Practice 6, </w:t>
      </w:r>
      <w:r w:rsidR="00293B07">
        <w:t xml:space="preserve">interview </w:t>
      </w:r>
      <w:r>
        <w:t xml:space="preserve">R5]). </w:t>
      </w:r>
    </w:p>
    <w:p w14:paraId="710BE997" w14:textId="66EEF4FA" w:rsidR="00D4213C" w:rsidRDefault="00D4213C" w:rsidP="00D4213C">
      <w:pPr>
        <w:ind w:left="567" w:right="521"/>
      </w:pPr>
      <w:r>
        <w:rPr>
          <w:i/>
          <w:iCs/>
        </w:rPr>
        <w:t>“…when there’s a crisis for a patient, or there’s a new diagnosis of say a brain tumour or breast cancer, that sort of situation would take them up a notch. Because patients are getting older they will naturally tend to go up a notch as well in most instances.”</w:t>
      </w:r>
      <w:r>
        <w:t xml:space="preserve"> [GP, Practice 9, </w:t>
      </w:r>
      <w:r w:rsidR="00293B07">
        <w:t xml:space="preserve">interview, </w:t>
      </w:r>
      <w:r>
        <w:t>R5]</w:t>
      </w:r>
    </w:p>
    <w:p w14:paraId="710D2DDA" w14:textId="4A0135BA" w:rsidR="00D4213C" w:rsidRDefault="00293B07" w:rsidP="00D4213C">
      <w:r>
        <w:t>Practices re-stratified patients when they felt that a patient’s health was deteriorating. When the re-stratification resulted in the patient staying in the same tier, in some instances practices would withdraw the patient if they felt it was no longer financially viable to look after that patient at the same tier level. This also happened for patients already at the highest tier level</w:t>
      </w:r>
      <w:r w:rsidR="00D4213C">
        <w:t xml:space="preserve">. There were instances where a patient was considered what practices and PHNs described as a </w:t>
      </w:r>
      <w:r w:rsidR="007D2F71">
        <w:t>“</w:t>
      </w:r>
      <w:r w:rsidR="00D4213C">
        <w:t>tier 4</w:t>
      </w:r>
      <w:r w:rsidR="007D2F71">
        <w:t>”</w:t>
      </w:r>
      <w:r w:rsidR="00D4213C">
        <w:t>, meaning that</w:t>
      </w:r>
      <w:r>
        <w:t xml:space="preserve"> the patient was more complex than the most complex tier available</w:t>
      </w:r>
      <w:r w:rsidR="00D4213C">
        <w:t xml:space="preserve">. This </w:t>
      </w:r>
      <w:r w:rsidR="007D2F71">
        <w:t>reflected practices’ perception that</w:t>
      </w:r>
      <w:r w:rsidR="00D4213C">
        <w:t xml:space="preserve"> bundled payment </w:t>
      </w:r>
      <w:r w:rsidR="007D2F71">
        <w:t xml:space="preserve">didn’t </w:t>
      </w:r>
      <w:r w:rsidR="00D4213C">
        <w:t>adequately reflect the amount of effort required</w:t>
      </w:r>
      <w:r w:rsidR="007D2F71">
        <w:t xml:space="preserve"> for some patients</w:t>
      </w:r>
      <w:r w:rsidR="00D4213C">
        <w:t>:</w:t>
      </w:r>
    </w:p>
    <w:p w14:paraId="21A508E5" w14:textId="3C5725D1" w:rsidR="00D4213C" w:rsidRDefault="00D4213C" w:rsidP="00D4213C">
      <w:pPr>
        <w:ind w:left="567" w:right="521"/>
      </w:pPr>
      <w:r>
        <w:rPr>
          <w:i/>
          <w:iCs/>
        </w:rPr>
        <w:t>“One thing I think you do need to keep on top of though is if you have people that go to hospital and develop new issues, is to keep on top of should you be re-stratifying these people. Those people who were really significantly unwell and perhaps stratified out… Well, sometimes I think the stratification process wasn’t truly reflective of the amount of effort.”</w:t>
      </w:r>
      <w:r>
        <w:t xml:space="preserve"> [GP, Practice 4, </w:t>
      </w:r>
      <w:r w:rsidR="00293B07">
        <w:t xml:space="preserve">interview, </w:t>
      </w:r>
      <w:r>
        <w:t>R5]</w:t>
      </w:r>
    </w:p>
    <w:p w14:paraId="5353070B" w14:textId="20B5C220" w:rsidR="00D4213C" w:rsidRDefault="00D4213C" w:rsidP="00D4213C">
      <w:pPr>
        <w:ind w:left="567" w:right="521"/>
      </w:pPr>
      <w:r>
        <w:rPr>
          <w:i/>
          <w:iCs/>
        </w:rPr>
        <w:t xml:space="preserve">“I think it’s also worth noting that a couple of my practices removed a couple of the patients from the trial just because they weren’t a </w:t>
      </w:r>
      <w:r w:rsidR="00770301">
        <w:rPr>
          <w:i/>
          <w:iCs/>
        </w:rPr>
        <w:t>tier</w:t>
      </w:r>
      <w:r>
        <w:rPr>
          <w:i/>
          <w:iCs/>
        </w:rPr>
        <w:t xml:space="preserve"> </w:t>
      </w:r>
      <w:r w:rsidR="00820B8A">
        <w:rPr>
          <w:i/>
          <w:iCs/>
        </w:rPr>
        <w:t>three</w:t>
      </w:r>
      <w:r>
        <w:rPr>
          <w:i/>
          <w:iCs/>
        </w:rPr>
        <w:t xml:space="preserve"> anymore. That’s where a </w:t>
      </w:r>
      <w:r w:rsidR="00770301">
        <w:rPr>
          <w:i/>
          <w:iCs/>
        </w:rPr>
        <w:t>tier</w:t>
      </w:r>
      <w:r>
        <w:rPr>
          <w:i/>
          <w:iCs/>
        </w:rPr>
        <w:t xml:space="preserve"> </w:t>
      </w:r>
      <w:r w:rsidR="00820B8A">
        <w:rPr>
          <w:i/>
          <w:iCs/>
        </w:rPr>
        <w:t>four</w:t>
      </w:r>
      <w:r>
        <w:rPr>
          <w:i/>
          <w:iCs/>
        </w:rPr>
        <w:t xml:space="preserve"> could have come in.”</w:t>
      </w:r>
      <w:r>
        <w:t xml:space="preserve"> [PHN 8, interview, R5]</w:t>
      </w:r>
    </w:p>
    <w:p w14:paraId="33420045" w14:textId="51F13EDB" w:rsidR="00D4213C" w:rsidRDefault="00D4213C" w:rsidP="00D4213C">
      <w:pPr>
        <w:ind w:left="567" w:right="521"/>
      </w:pPr>
      <w:r>
        <w:rPr>
          <w:i/>
          <w:iCs/>
        </w:rPr>
        <w:t xml:space="preserve">“…the final point of this whole billing thing is what I’m going to call my </w:t>
      </w:r>
      <w:r w:rsidR="00770301">
        <w:rPr>
          <w:i/>
          <w:iCs/>
        </w:rPr>
        <w:t>tier</w:t>
      </w:r>
      <w:r>
        <w:rPr>
          <w:i/>
          <w:iCs/>
        </w:rPr>
        <w:t xml:space="preserve"> four patients… two of them who are still with us, two of them have died, have been so complex and so demanding. I’ve got one who’s coming in twice a week, every week, if not more often than that. And has been doing so, for the whole duration </w:t>
      </w:r>
      <w:r>
        <w:rPr>
          <w:i/>
          <w:iCs/>
        </w:rPr>
        <w:lastRenderedPageBreak/>
        <w:t xml:space="preserve">of the time…These are well beyond </w:t>
      </w:r>
      <w:r w:rsidR="00770301">
        <w:rPr>
          <w:i/>
          <w:iCs/>
        </w:rPr>
        <w:t>tier</w:t>
      </w:r>
      <w:r>
        <w:rPr>
          <w:i/>
          <w:iCs/>
        </w:rPr>
        <w:t xml:space="preserve"> three patients. Very happily accepted them into this whole process, because they know there’s </w:t>
      </w:r>
      <w:r w:rsidR="00770301">
        <w:rPr>
          <w:i/>
          <w:iCs/>
        </w:rPr>
        <w:t>tier</w:t>
      </w:r>
      <w:r>
        <w:rPr>
          <w:i/>
          <w:iCs/>
        </w:rPr>
        <w:t xml:space="preserve"> ones, for which I’ve done very little. And so, it’s swings and roundabouts. But there’s no question that there are some people who are so sick, are so unwell, so demanding of your time and your resource, that there’s no way that a capitation process sorts them out.”</w:t>
      </w:r>
      <w:r>
        <w:t xml:space="preserve"> [GP, Practice 12, </w:t>
      </w:r>
      <w:r w:rsidR="00293B07">
        <w:t xml:space="preserve">interview, </w:t>
      </w:r>
      <w:r>
        <w:t>R5]</w:t>
      </w:r>
    </w:p>
    <w:p w14:paraId="061137A7" w14:textId="6D4A2084" w:rsidR="00D4213C" w:rsidRDefault="00D4213C" w:rsidP="00D4213C">
      <w:r>
        <w:t xml:space="preserve">A small number of practices reported slight improvement in some of their HCH patients and had a few move to a </w:t>
      </w:r>
      <w:r w:rsidR="000C7AF1">
        <w:t>less complex tier</w:t>
      </w:r>
      <w:r>
        <w:t>. One practice described this improvement as gradual and another stated that this tangible outcome had a great impact on their patients</w:t>
      </w:r>
      <w:r w:rsidR="00820B8A">
        <w:t>:</w:t>
      </w:r>
    </w:p>
    <w:p w14:paraId="5D90BA50" w14:textId="7FDE4C9F" w:rsidR="00D4213C" w:rsidRDefault="00D4213C" w:rsidP="00D4213C">
      <w:pPr>
        <w:ind w:left="567" w:right="521"/>
      </w:pPr>
      <w:r>
        <w:rPr>
          <w:i/>
          <w:iCs/>
        </w:rPr>
        <w:t>“</w:t>
      </w:r>
      <w:r w:rsidR="00820B8A">
        <w:rPr>
          <w:i/>
          <w:iCs/>
        </w:rPr>
        <w:t>…</w:t>
      </w:r>
      <w:r>
        <w:rPr>
          <w:i/>
          <w:iCs/>
        </w:rPr>
        <w:t xml:space="preserve"> if you follow the routine of doing the care plan and reviews periodically you can see people gradually improving, and therefore go down tiers. And with GP management plans you see that people graduate from not needing monthly or three-monthly reviews anymore but being able to get away with six monthly reviews. Or no longer even qualify for a GP management plan, because those various health issues are no longer a problem, or haven’t been for whatever period of time because of maintenance.”</w:t>
      </w:r>
      <w:r>
        <w:t xml:space="preserve"> [GP, Practice 9, R5]</w:t>
      </w:r>
    </w:p>
    <w:p w14:paraId="14487531" w14:textId="0D1FDFB5" w:rsidR="00D4213C" w:rsidRDefault="00D4213C" w:rsidP="00D4213C">
      <w:pPr>
        <w:ind w:left="567" w:right="521"/>
      </w:pPr>
      <w:r>
        <w:rPr>
          <w:i/>
          <w:iCs/>
        </w:rPr>
        <w:t xml:space="preserve">“I know there were some patients who were initially a </w:t>
      </w:r>
      <w:r w:rsidR="00770301">
        <w:rPr>
          <w:i/>
          <w:iCs/>
        </w:rPr>
        <w:t>tier</w:t>
      </w:r>
      <w:r>
        <w:rPr>
          <w:i/>
          <w:iCs/>
        </w:rPr>
        <w:t xml:space="preserve"> </w:t>
      </w:r>
      <w:r w:rsidR="00820B8A">
        <w:rPr>
          <w:i/>
          <w:iCs/>
        </w:rPr>
        <w:t>three</w:t>
      </w:r>
      <w:r>
        <w:rPr>
          <w:i/>
          <w:iCs/>
        </w:rPr>
        <w:t xml:space="preserve"> and then now they’re </w:t>
      </w:r>
      <w:r w:rsidR="00770301">
        <w:rPr>
          <w:i/>
          <w:iCs/>
        </w:rPr>
        <w:t>tier</w:t>
      </w:r>
      <w:r>
        <w:rPr>
          <w:i/>
          <w:iCs/>
        </w:rPr>
        <w:t xml:space="preserve"> </w:t>
      </w:r>
      <w:r w:rsidR="00820B8A">
        <w:rPr>
          <w:i/>
          <w:iCs/>
        </w:rPr>
        <w:t>two</w:t>
      </w:r>
      <w:r>
        <w:rPr>
          <w:i/>
          <w:iCs/>
        </w:rPr>
        <w:t xml:space="preserve">. The impact of that, actually, when you talk to the patient and telling them, oh, you were </w:t>
      </w:r>
      <w:r w:rsidR="00770301">
        <w:rPr>
          <w:i/>
          <w:iCs/>
        </w:rPr>
        <w:t>tier</w:t>
      </w:r>
      <w:r>
        <w:rPr>
          <w:i/>
          <w:iCs/>
        </w:rPr>
        <w:t xml:space="preserve"> </w:t>
      </w:r>
      <w:r w:rsidR="00820B8A">
        <w:rPr>
          <w:i/>
          <w:iCs/>
        </w:rPr>
        <w:t>three</w:t>
      </w:r>
      <w:r>
        <w:rPr>
          <w:i/>
          <w:iCs/>
        </w:rPr>
        <w:t xml:space="preserve"> before and now you’re a </w:t>
      </w:r>
      <w:r w:rsidR="00770301">
        <w:rPr>
          <w:i/>
          <w:iCs/>
        </w:rPr>
        <w:t>tier</w:t>
      </w:r>
      <w:r>
        <w:rPr>
          <w:i/>
          <w:iCs/>
        </w:rPr>
        <w:t xml:space="preserve"> </w:t>
      </w:r>
      <w:r w:rsidR="00820B8A">
        <w:rPr>
          <w:i/>
          <w:iCs/>
        </w:rPr>
        <w:t>two</w:t>
      </w:r>
      <w:r>
        <w:rPr>
          <w:i/>
          <w:iCs/>
        </w:rPr>
        <w:t>, it’s like that feeling of joy that you can get from them… to be able to do that assessment and for them to know that, okay, I am at this level now, that’s really a great thing for the patient.”</w:t>
      </w:r>
      <w:r>
        <w:t xml:space="preserve"> [Nurse, Practice 24, R5]</w:t>
      </w:r>
    </w:p>
    <w:p w14:paraId="3AC4A262" w14:textId="3D14118E" w:rsidR="00D4213C" w:rsidRDefault="00D4213C" w:rsidP="00D4213C">
      <w:r>
        <w:t xml:space="preserve">PHNs </w:t>
      </w:r>
      <w:r w:rsidR="00820B8A">
        <w:t>also commented that</w:t>
      </w:r>
      <w:r>
        <w:t xml:space="preserve"> the incentives</w:t>
      </w:r>
      <w:r w:rsidR="00820B8A">
        <w:t xml:space="preserve"> were</w:t>
      </w:r>
      <w:r>
        <w:t xml:space="preserve"> </w:t>
      </w:r>
      <w:r w:rsidR="00820B8A">
        <w:t xml:space="preserve">not there </w:t>
      </w:r>
      <w:r>
        <w:t xml:space="preserve">for practices to work </w:t>
      </w:r>
      <w:r w:rsidR="00820B8A">
        <w:t xml:space="preserve">towards moving </w:t>
      </w:r>
      <w:r>
        <w:t xml:space="preserve">patients </w:t>
      </w:r>
      <w:r w:rsidR="00820B8A">
        <w:t xml:space="preserve">to </w:t>
      </w:r>
      <w:r>
        <w:t xml:space="preserve">a </w:t>
      </w:r>
      <w:r w:rsidR="000C7AF1">
        <w:t>less complex tier</w:t>
      </w:r>
      <w:r>
        <w:t>:</w:t>
      </w:r>
    </w:p>
    <w:p w14:paraId="24964B51" w14:textId="2B93BC9C" w:rsidR="00D4213C" w:rsidRDefault="00D4213C" w:rsidP="00D4213C">
      <w:pPr>
        <w:ind w:left="567" w:right="521"/>
      </w:pPr>
      <w:r>
        <w:rPr>
          <w:i/>
          <w:iCs/>
        </w:rPr>
        <w:t>“It’s a double-edged sword in the sense that you lose out for money, you’re no longer paid at that higher rate....We did have one practice say, yay, the patient’s improved, but what about the money?”</w:t>
      </w:r>
      <w:r>
        <w:t xml:space="preserve"> [PHN 5, interview, R5]</w:t>
      </w:r>
    </w:p>
    <w:p w14:paraId="34D4215E" w14:textId="71F18E11" w:rsidR="00D4213C" w:rsidRDefault="00D4213C" w:rsidP="00D4213C">
      <w:pPr>
        <w:ind w:left="567" w:right="521"/>
      </w:pPr>
      <w:r>
        <w:rPr>
          <w:i/>
          <w:iCs/>
        </w:rPr>
        <w:t xml:space="preserve">“I had an interesting comment from one of the nurses at the practice that I’m looking after around reviewing and reclassifying and the benefit for the practice in doing that. There’s the benefit for the patient obviously, because there’s health outcomes, but in reclassifying from a </w:t>
      </w:r>
      <w:r w:rsidR="00770301">
        <w:rPr>
          <w:i/>
          <w:iCs/>
        </w:rPr>
        <w:t>tier</w:t>
      </w:r>
      <w:r>
        <w:rPr>
          <w:i/>
          <w:iCs/>
        </w:rPr>
        <w:t xml:space="preserve"> </w:t>
      </w:r>
      <w:r w:rsidR="00820B8A">
        <w:rPr>
          <w:i/>
          <w:iCs/>
        </w:rPr>
        <w:t>three</w:t>
      </w:r>
      <w:r>
        <w:rPr>
          <w:i/>
          <w:iCs/>
        </w:rPr>
        <w:t xml:space="preserve"> to a </w:t>
      </w:r>
      <w:r w:rsidR="00770301">
        <w:rPr>
          <w:i/>
          <w:iCs/>
        </w:rPr>
        <w:t>tier</w:t>
      </w:r>
      <w:r>
        <w:rPr>
          <w:i/>
          <w:iCs/>
        </w:rPr>
        <w:t xml:space="preserve"> </w:t>
      </w:r>
      <w:r w:rsidR="00820B8A">
        <w:rPr>
          <w:i/>
          <w:iCs/>
        </w:rPr>
        <w:t>two</w:t>
      </w:r>
      <w:r>
        <w:rPr>
          <w:i/>
          <w:iCs/>
        </w:rPr>
        <w:t>, they’re actually going to lose financial benefits from that.”</w:t>
      </w:r>
      <w:r>
        <w:t xml:space="preserve"> [PHN 7, interview, R5]</w:t>
      </w:r>
    </w:p>
    <w:p w14:paraId="4910DCCD" w14:textId="0BBCB438" w:rsidR="00D4213C" w:rsidRDefault="00D4213C" w:rsidP="00D4213C">
      <w:pPr>
        <w:pStyle w:val="Heading2"/>
      </w:pPr>
      <w:bookmarkStart w:id="113" w:name="_Toc109996666"/>
      <w:r>
        <w:t>Training</w:t>
      </w:r>
      <w:r w:rsidR="0022660B">
        <w:t xml:space="preserve"> on the RST</w:t>
      </w:r>
      <w:bookmarkEnd w:id="113"/>
    </w:p>
    <w:p w14:paraId="26F39385" w14:textId="5EB8D72E" w:rsidR="00D4213C" w:rsidRDefault="00D4213C" w:rsidP="00D4213C">
      <w:pPr>
        <w:rPr>
          <w:szCs w:val="20"/>
        </w:rPr>
      </w:pPr>
      <w:r>
        <w:rPr>
          <w:szCs w:val="20"/>
        </w:rPr>
        <w:t>Education about the RST was available through the training webinars and online training. However, PHN practice facilitators commented that some practices still took time</w:t>
      </w:r>
      <w:r w:rsidR="002878A8">
        <w:rPr>
          <w:szCs w:val="20"/>
        </w:rPr>
        <w:t xml:space="preserve"> to</w:t>
      </w:r>
      <w:r>
        <w:rPr>
          <w:szCs w:val="20"/>
        </w:rPr>
        <w:t xml:space="preserve"> </w:t>
      </w:r>
      <w:r w:rsidR="00431F50">
        <w:rPr>
          <w:szCs w:val="20"/>
        </w:rPr>
        <w:t>learn</w:t>
      </w:r>
      <w:r>
        <w:rPr>
          <w:szCs w:val="20"/>
        </w:rPr>
        <w:t xml:space="preserve"> exactly how the RST worked. For example, one practice did not know about the CSV file of potentially eligible patients that the RST Connector save</w:t>
      </w:r>
      <w:r w:rsidR="002878A8">
        <w:rPr>
          <w:szCs w:val="20"/>
        </w:rPr>
        <w:t>d</w:t>
      </w:r>
      <w:r>
        <w:rPr>
          <w:szCs w:val="20"/>
        </w:rPr>
        <w:t xml:space="preserve"> to the practice’s desktop computer. Staff in the practice only identified potential patients when a pop-up appeared for a patient when the patient attended the practice for an appointment. This slowed the practice’s rate of enrolment. P</w:t>
      </w:r>
      <w:r w:rsidR="005F5469">
        <w:rPr>
          <w:szCs w:val="20"/>
        </w:rPr>
        <w:t>HN p</w:t>
      </w:r>
      <w:r>
        <w:rPr>
          <w:szCs w:val="20"/>
        </w:rPr>
        <w:t>ractice facilitators suggested more training</w:t>
      </w:r>
      <w:r w:rsidR="005F5469">
        <w:rPr>
          <w:szCs w:val="20"/>
        </w:rPr>
        <w:t xml:space="preserve"> </w:t>
      </w:r>
      <w:r>
        <w:rPr>
          <w:szCs w:val="20"/>
        </w:rPr>
        <w:t>to help practices with these types of issues.</w:t>
      </w:r>
    </w:p>
    <w:p w14:paraId="696F1022" w14:textId="2F0FFF5B" w:rsidR="00D4213C" w:rsidRDefault="00D4213C" w:rsidP="00D4213C">
      <w:pPr>
        <w:rPr>
          <w:szCs w:val="20"/>
        </w:rPr>
      </w:pPr>
      <w:r>
        <w:rPr>
          <w:szCs w:val="20"/>
        </w:rPr>
        <w:lastRenderedPageBreak/>
        <w:t xml:space="preserve">The need for training for GPs on how patients were assigned to tiers using the HARP tool was identified by practice facilitators and the PHN survey. One PHN conducted a workshop with GPs </w:t>
      </w:r>
      <w:r w:rsidR="005F5469">
        <w:rPr>
          <w:szCs w:val="20"/>
        </w:rPr>
        <w:t xml:space="preserve">on the </w:t>
      </w:r>
      <w:r w:rsidR="00AB1C1C">
        <w:rPr>
          <w:szCs w:val="20"/>
        </w:rPr>
        <w:t>RST,</w:t>
      </w:r>
      <w:r w:rsidR="005F5469">
        <w:rPr>
          <w:szCs w:val="20"/>
        </w:rPr>
        <w:t xml:space="preserve"> </w:t>
      </w:r>
      <w:r>
        <w:rPr>
          <w:szCs w:val="20"/>
        </w:rPr>
        <w:t>and it emerged there were differences amongst GPs in how they interpreted questions in the HARP. Some were “</w:t>
      </w:r>
      <w:r>
        <w:rPr>
          <w:i/>
          <w:szCs w:val="20"/>
        </w:rPr>
        <w:t>erring on the side of caution by not wanting to over stratify</w:t>
      </w:r>
      <w:r>
        <w:rPr>
          <w:szCs w:val="20"/>
        </w:rPr>
        <w:t>.” [PHN 2, interview, R1]. Through the survey, PHNs suggested training tailored to clinicians in the HARP and the RST more broadly (</w:t>
      </w:r>
      <w:r w:rsidR="0010747B">
        <w:rPr>
          <w:szCs w:val="20"/>
        </w:rPr>
        <w:t>for example,</w:t>
      </w:r>
      <w:r>
        <w:rPr>
          <w:szCs w:val="20"/>
        </w:rPr>
        <w:t xml:space="preserve"> “[The]</w:t>
      </w:r>
      <w:r>
        <w:rPr>
          <w:i/>
          <w:szCs w:val="20"/>
        </w:rPr>
        <w:t xml:space="preserve"> RST is new to general practice—consider developing a training tool for clinicians</w:t>
      </w:r>
      <w:r>
        <w:rPr>
          <w:szCs w:val="20"/>
        </w:rPr>
        <w:t>” [PHN 4, survey, R1]).</w:t>
      </w:r>
    </w:p>
    <w:p w14:paraId="33A7CE67" w14:textId="3707D231" w:rsidR="00BE18D0" w:rsidRDefault="00BE18D0" w:rsidP="00BE18D0">
      <w:pPr>
        <w:pStyle w:val="Heading2"/>
      </w:pPr>
      <w:bookmarkStart w:id="114" w:name="_Toc27056568"/>
      <w:bookmarkStart w:id="115" w:name="_Toc109996667"/>
      <w:r w:rsidRPr="0002675D">
        <w:t>Analysis of data from the tool</w:t>
      </w:r>
      <w:bookmarkEnd w:id="114"/>
      <w:bookmarkEnd w:id="115"/>
    </w:p>
    <w:p w14:paraId="47A6166A" w14:textId="313567E9" w:rsidR="00BE18D0" w:rsidRDefault="00BE18D0" w:rsidP="00BE18D0">
      <w:pPr>
        <w:rPr>
          <w:rFonts w:cstheme="minorHAnsi"/>
          <w:szCs w:val="20"/>
        </w:rPr>
      </w:pPr>
      <w:r>
        <w:t>D</w:t>
      </w:r>
      <w:r w:rsidRPr="00547922">
        <w:t xml:space="preserve">e-identified data </w:t>
      </w:r>
      <w:r w:rsidRPr="004312CA">
        <w:t xml:space="preserve">were provided </w:t>
      </w:r>
      <w:r w:rsidR="00F1101D" w:rsidRPr="004312CA">
        <w:t>to the evaluation team</w:t>
      </w:r>
      <w:r w:rsidR="00F1101D">
        <w:t xml:space="preserve"> </w:t>
      </w:r>
      <w:r w:rsidR="000B476D">
        <w:t>by</w:t>
      </w:r>
      <w:r w:rsidR="00F1101D">
        <w:t xml:space="preserve"> the proprietor of the RST,</w:t>
      </w:r>
      <w:r w:rsidR="000B476D">
        <w:t xml:space="preserve"> Precedence Health Care</w:t>
      </w:r>
      <w:r w:rsidRPr="004312CA">
        <w:t>. The data</w:t>
      </w:r>
      <w:r w:rsidRPr="00547922">
        <w:t xml:space="preserve"> relate to items and risk scores for the two stages of the risk stratification process</w:t>
      </w:r>
      <w:r>
        <w:t>:</w:t>
      </w:r>
      <w:r w:rsidRPr="00547922">
        <w:t xml:space="preserve"> the PRM and the HARP. </w:t>
      </w:r>
      <w:r w:rsidR="001139A8" w:rsidRPr="004312CA">
        <w:t>Data were available for 12,767 patients</w:t>
      </w:r>
      <w:r w:rsidR="00E50FAD" w:rsidRPr="004312CA">
        <w:t xml:space="preserve">, some of </w:t>
      </w:r>
      <w:r w:rsidR="00404D63" w:rsidRPr="004312CA">
        <w:t>whom</w:t>
      </w:r>
      <w:r w:rsidR="00E50FAD" w:rsidRPr="004312CA">
        <w:t xml:space="preserve"> were never enrolled in HCH</w:t>
      </w:r>
      <w:r w:rsidR="004A764E" w:rsidRPr="004312CA">
        <w:t>,</w:t>
      </w:r>
      <w:r w:rsidR="00E50FAD" w:rsidRPr="004312CA">
        <w:t xml:space="preserve"> but because the data were deidentified it was not possible to </w:t>
      </w:r>
      <w:r w:rsidR="00CB09D1">
        <w:t>distinguish</w:t>
      </w:r>
      <w:r w:rsidR="00E50FAD" w:rsidRPr="004312CA">
        <w:t xml:space="preserve"> </w:t>
      </w:r>
      <w:r w:rsidR="00D219F8">
        <w:t>enrolled and not enrolled patients</w:t>
      </w:r>
      <w:r w:rsidR="00E50FAD" w:rsidRPr="004312CA">
        <w:t>.</w:t>
      </w:r>
      <w:r w:rsidR="00011819">
        <w:t xml:space="preserve"> </w:t>
      </w:r>
    </w:p>
    <w:p w14:paraId="5E50DC9C" w14:textId="0091565E" w:rsidR="00022604" w:rsidRDefault="00BE18D0" w:rsidP="00022604">
      <w:pPr>
        <w:rPr>
          <w:rFonts w:cstheme="minorHAnsi"/>
          <w:szCs w:val="20"/>
        </w:rPr>
      </w:pPr>
      <w:r w:rsidRPr="00D157CC">
        <w:rPr>
          <w:rFonts w:cstheme="minorHAnsi"/>
          <w:szCs w:val="20"/>
        </w:rPr>
        <w:t>The overall mean for</w:t>
      </w:r>
      <w:r w:rsidR="00011819">
        <w:rPr>
          <w:rFonts w:cstheme="minorHAnsi"/>
          <w:szCs w:val="20"/>
        </w:rPr>
        <w:t xml:space="preserve"> the initial</w:t>
      </w:r>
      <w:r w:rsidRPr="00D157CC">
        <w:rPr>
          <w:rFonts w:cstheme="minorHAnsi"/>
          <w:szCs w:val="20"/>
        </w:rPr>
        <w:t xml:space="preserve"> PRM scores was 0.1</w:t>
      </w:r>
      <w:r w:rsidR="00011819">
        <w:rPr>
          <w:rFonts w:cstheme="minorHAnsi"/>
          <w:szCs w:val="20"/>
        </w:rPr>
        <w:t>68</w:t>
      </w:r>
      <w:r w:rsidRPr="00D157CC">
        <w:rPr>
          <w:rFonts w:cstheme="minorHAnsi"/>
          <w:szCs w:val="20"/>
        </w:rPr>
        <w:t xml:space="preserve"> (a 1</w:t>
      </w:r>
      <w:r w:rsidR="00011819">
        <w:rPr>
          <w:rFonts w:cstheme="minorHAnsi"/>
          <w:szCs w:val="20"/>
        </w:rPr>
        <w:t>7</w:t>
      </w:r>
      <w:r w:rsidRPr="00D157CC">
        <w:rPr>
          <w:rFonts w:cstheme="minorHAnsi"/>
          <w:szCs w:val="20"/>
        </w:rPr>
        <w:t xml:space="preserve">% probability of hospital admission in the next year) and </w:t>
      </w:r>
      <w:r w:rsidR="00E035A2">
        <w:rPr>
          <w:rFonts w:cstheme="minorHAnsi"/>
          <w:szCs w:val="20"/>
        </w:rPr>
        <w:t xml:space="preserve">the </w:t>
      </w:r>
      <w:r w:rsidRPr="00D157CC">
        <w:rPr>
          <w:rFonts w:cstheme="minorHAnsi"/>
          <w:szCs w:val="20"/>
        </w:rPr>
        <w:t>median</w:t>
      </w:r>
      <w:r w:rsidR="00E035A2">
        <w:rPr>
          <w:rFonts w:cstheme="minorHAnsi"/>
          <w:szCs w:val="20"/>
        </w:rPr>
        <w:t xml:space="preserve"> was</w:t>
      </w:r>
      <w:r w:rsidRPr="00D157CC">
        <w:rPr>
          <w:rFonts w:cstheme="minorHAnsi"/>
          <w:szCs w:val="20"/>
        </w:rPr>
        <w:t xml:space="preserve"> 0.13</w:t>
      </w:r>
      <w:r w:rsidR="00011819">
        <w:rPr>
          <w:rFonts w:cstheme="minorHAnsi"/>
          <w:szCs w:val="20"/>
        </w:rPr>
        <w:t>4</w:t>
      </w:r>
      <w:r>
        <w:rPr>
          <w:rFonts w:cstheme="minorHAnsi"/>
          <w:szCs w:val="20"/>
        </w:rPr>
        <w:t xml:space="preserve"> (a 1</w:t>
      </w:r>
      <w:r w:rsidR="00011819">
        <w:rPr>
          <w:rFonts w:cstheme="minorHAnsi"/>
          <w:szCs w:val="20"/>
        </w:rPr>
        <w:t>3</w:t>
      </w:r>
      <w:r>
        <w:rPr>
          <w:rFonts w:cstheme="minorHAnsi"/>
          <w:szCs w:val="20"/>
        </w:rPr>
        <w:t>% probability)</w:t>
      </w:r>
      <w:r w:rsidRPr="00D157CC">
        <w:rPr>
          <w:rFonts w:cstheme="minorHAnsi"/>
          <w:szCs w:val="20"/>
        </w:rPr>
        <w:t xml:space="preserve">. The mean </w:t>
      </w:r>
      <w:r w:rsidR="00C246D8">
        <w:rPr>
          <w:rFonts w:cstheme="minorHAnsi"/>
          <w:szCs w:val="20"/>
        </w:rPr>
        <w:t>increased with tier,</w:t>
      </w:r>
      <w:r w:rsidRPr="00D157CC">
        <w:rPr>
          <w:rFonts w:cstheme="minorHAnsi"/>
          <w:szCs w:val="20"/>
        </w:rPr>
        <w:t xml:space="preserve"> 0.1</w:t>
      </w:r>
      <w:r w:rsidR="00011819">
        <w:rPr>
          <w:rFonts w:cstheme="minorHAnsi"/>
          <w:szCs w:val="20"/>
        </w:rPr>
        <w:t>30</w:t>
      </w:r>
      <w:r w:rsidRPr="00D157CC">
        <w:rPr>
          <w:rFonts w:cstheme="minorHAnsi"/>
          <w:szCs w:val="20"/>
        </w:rPr>
        <w:t xml:space="preserve"> </w:t>
      </w:r>
      <w:r w:rsidR="00C246D8">
        <w:rPr>
          <w:rFonts w:cstheme="minorHAnsi"/>
          <w:szCs w:val="20"/>
        </w:rPr>
        <w:t>in</w:t>
      </w:r>
      <w:r w:rsidRPr="00D157CC">
        <w:rPr>
          <w:rFonts w:cstheme="minorHAnsi"/>
          <w:szCs w:val="20"/>
        </w:rPr>
        <w:t xml:space="preserve"> </w:t>
      </w:r>
      <w:r w:rsidR="00770301">
        <w:rPr>
          <w:rFonts w:cstheme="minorHAnsi"/>
          <w:szCs w:val="20"/>
        </w:rPr>
        <w:t>tier</w:t>
      </w:r>
      <w:r w:rsidRPr="00D157CC">
        <w:rPr>
          <w:rFonts w:cstheme="minorHAnsi"/>
          <w:szCs w:val="20"/>
        </w:rPr>
        <w:t xml:space="preserve"> 1, 0.1</w:t>
      </w:r>
      <w:r w:rsidR="00011819">
        <w:rPr>
          <w:rFonts w:cstheme="minorHAnsi"/>
          <w:szCs w:val="20"/>
        </w:rPr>
        <w:t>55</w:t>
      </w:r>
      <w:r w:rsidRPr="00D157CC">
        <w:rPr>
          <w:rFonts w:cstheme="minorHAnsi"/>
          <w:szCs w:val="20"/>
        </w:rPr>
        <w:t xml:space="preserve"> </w:t>
      </w:r>
      <w:r w:rsidR="00C246D8">
        <w:rPr>
          <w:rFonts w:cstheme="minorHAnsi"/>
          <w:szCs w:val="20"/>
        </w:rPr>
        <w:t>in</w:t>
      </w:r>
      <w:r w:rsidRPr="00D157CC">
        <w:rPr>
          <w:rFonts w:cstheme="minorHAnsi"/>
          <w:szCs w:val="20"/>
        </w:rPr>
        <w:t xml:space="preserve"> </w:t>
      </w:r>
      <w:r w:rsidR="00770301">
        <w:rPr>
          <w:rFonts w:cstheme="minorHAnsi"/>
          <w:szCs w:val="20"/>
        </w:rPr>
        <w:t>tier</w:t>
      </w:r>
      <w:r w:rsidRPr="00D157CC">
        <w:rPr>
          <w:rFonts w:cstheme="minorHAnsi"/>
          <w:szCs w:val="20"/>
        </w:rPr>
        <w:t xml:space="preserve"> 2 and 0.2</w:t>
      </w:r>
      <w:r w:rsidR="00011819">
        <w:rPr>
          <w:rFonts w:cstheme="minorHAnsi"/>
          <w:szCs w:val="20"/>
        </w:rPr>
        <w:t>11</w:t>
      </w:r>
      <w:r w:rsidRPr="00D157CC">
        <w:rPr>
          <w:rFonts w:cstheme="minorHAnsi"/>
          <w:szCs w:val="20"/>
        </w:rPr>
        <w:t xml:space="preserve"> </w:t>
      </w:r>
      <w:r w:rsidR="005E444C">
        <w:rPr>
          <w:rFonts w:cstheme="minorHAnsi"/>
          <w:szCs w:val="20"/>
        </w:rPr>
        <w:t>in</w:t>
      </w:r>
      <w:r w:rsidRPr="00D157CC">
        <w:rPr>
          <w:rFonts w:cstheme="minorHAnsi"/>
          <w:szCs w:val="20"/>
        </w:rPr>
        <w:t xml:space="preserve"> </w:t>
      </w:r>
      <w:r w:rsidR="00770301">
        <w:rPr>
          <w:rFonts w:cstheme="minorHAnsi"/>
          <w:szCs w:val="20"/>
        </w:rPr>
        <w:t>tier</w:t>
      </w:r>
      <w:r w:rsidRPr="00D157CC">
        <w:rPr>
          <w:rFonts w:cstheme="minorHAnsi"/>
          <w:szCs w:val="20"/>
        </w:rPr>
        <w:t xml:space="preserve"> 3. </w:t>
      </w:r>
    </w:p>
    <w:p w14:paraId="682F0398" w14:textId="45310BF4" w:rsidR="00213E81" w:rsidRDefault="008A2836" w:rsidP="00904E4D">
      <w:r w:rsidRPr="00FF78AE">
        <w:rPr>
          <w:color w:val="1D2455"/>
        </w:rPr>
        <w:fldChar w:fldCharType="begin"/>
      </w:r>
      <w:r w:rsidRPr="00FF78AE">
        <w:rPr>
          <w:color w:val="1D2455"/>
        </w:rPr>
        <w:instrText xml:space="preserve"> REF _Ref85198556 \h  \* MERGEFORMAT </w:instrText>
      </w:r>
      <w:r w:rsidRPr="00FF78AE">
        <w:rPr>
          <w:color w:val="1D2455"/>
        </w:rPr>
      </w:r>
      <w:r w:rsidRPr="00FF78AE">
        <w:rPr>
          <w:color w:val="1D2455"/>
        </w:rPr>
        <w:fldChar w:fldCharType="separate"/>
      </w:r>
      <w:r w:rsidR="003C4BC2" w:rsidRPr="003C4BC2">
        <w:rPr>
          <w:color w:val="1D2455"/>
        </w:rPr>
        <w:t>Figure 8</w:t>
      </w:r>
      <w:r w:rsidRPr="00FF78AE">
        <w:rPr>
          <w:color w:val="1D2455"/>
        </w:rPr>
        <w:fldChar w:fldCharType="end"/>
      </w:r>
      <w:r w:rsidR="00BE18D0" w:rsidRPr="008E0E3C">
        <w:t xml:space="preserve"> shows density plots for the </w:t>
      </w:r>
      <w:r w:rsidR="001C5127">
        <w:t xml:space="preserve">initial </w:t>
      </w:r>
      <w:r w:rsidR="00BE18D0" w:rsidRPr="008E0E3C">
        <w:t>PRM scores for HCH patients</w:t>
      </w:r>
      <w:r w:rsidR="00BE18D0">
        <w:t>.</w:t>
      </w:r>
      <w:r w:rsidR="00BE18D0" w:rsidRPr="008E0E3C">
        <w:t xml:space="preserve"> Most patients ha</w:t>
      </w:r>
      <w:r w:rsidR="001C5127">
        <w:t>d</w:t>
      </w:r>
      <w:r w:rsidR="00BE18D0" w:rsidRPr="008E0E3C">
        <w:t xml:space="preserve"> a risk of 0.25 or below (25% chance) of being hospitalised in the next 12 months. </w:t>
      </w:r>
      <w:r w:rsidR="00BE18D0" w:rsidRPr="00FB143C">
        <w:t xml:space="preserve">There was overlap across the tiers, but patients </w:t>
      </w:r>
      <w:r w:rsidR="000C3616">
        <w:t>who</w:t>
      </w:r>
      <w:r w:rsidR="00BE18D0">
        <w:t xml:space="preserve"> were assigned to a </w:t>
      </w:r>
      <w:r w:rsidR="00BA01F9">
        <w:t>more complex tier</w:t>
      </w:r>
      <w:r w:rsidR="00BE18D0">
        <w:t xml:space="preserve"> in the second step of the risk </w:t>
      </w:r>
      <w:r w:rsidR="00183DAD">
        <w:t xml:space="preserve">stratification </w:t>
      </w:r>
      <w:r w:rsidR="00BE18D0">
        <w:t>process</w:t>
      </w:r>
      <w:r w:rsidR="00CA6400">
        <w:t xml:space="preserve"> (using the HARP tool)</w:t>
      </w:r>
      <w:r w:rsidR="00BE18D0" w:rsidRPr="00FB143C">
        <w:t xml:space="preserve"> were more likely to have a higher risk</w:t>
      </w:r>
      <w:r w:rsidR="00BE18D0">
        <w:t xml:space="preserve"> of hospitalisation</w:t>
      </w:r>
      <w:r w:rsidR="00BE18D0" w:rsidRPr="008E0E3C">
        <w:t>.</w:t>
      </w:r>
      <w:bookmarkStart w:id="116" w:name="_Ref20931557"/>
    </w:p>
    <w:p w14:paraId="791CB1E5" w14:textId="789A3957" w:rsidR="00BE18D0" w:rsidRDefault="00BE18D0" w:rsidP="005744BB">
      <w:pPr>
        <w:pStyle w:val="tabletitle"/>
      </w:pPr>
      <w:bookmarkStart w:id="117" w:name="_Ref85198556"/>
      <w:r>
        <w:t>Figure</w:t>
      </w:r>
      <w:r w:rsidRPr="00E76010">
        <w:t xml:space="preserve"> </w:t>
      </w:r>
      <w:r w:rsidR="00A61B29">
        <w:fldChar w:fldCharType="begin"/>
      </w:r>
      <w:r w:rsidR="00A61B29">
        <w:instrText xml:space="preserve"> SEQ Figure \* ARABIC </w:instrText>
      </w:r>
      <w:r w:rsidR="00A61B29">
        <w:fldChar w:fldCharType="separate"/>
      </w:r>
      <w:r w:rsidR="003C4BC2">
        <w:rPr>
          <w:noProof/>
        </w:rPr>
        <w:t>8</w:t>
      </w:r>
      <w:r w:rsidR="00A61B29">
        <w:rPr>
          <w:noProof/>
        </w:rPr>
        <w:fldChar w:fldCharType="end"/>
      </w:r>
      <w:bookmarkEnd w:id="117"/>
      <w:r>
        <w:t>:</w:t>
      </w:r>
      <w:r w:rsidRPr="00E76010">
        <w:t xml:space="preserve"> </w:t>
      </w:r>
      <w:r w:rsidRPr="00476E9E">
        <w:t xml:space="preserve">Distribution of </w:t>
      </w:r>
      <w:r w:rsidR="001C5127">
        <w:t>initial</w:t>
      </w:r>
      <w:r w:rsidRPr="00476E9E">
        <w:t xml:space="preserve"> </w:t>
      </w:r>
      <w:r>
        <w:t xml:space="preserve">PRM </w:t>
      </w:r>
      <w:r w:rsidRPr="00476E9E">
        <w:t>risk scores by HCH tier</w:t>
      </w:r>
    </w:p>
    <w:p w14:paraId="6B8AB319" w14:textId="0E3FEC6E" w:rsidR="00A52BF2" w:rsidRPr="00A52BF2" w:rsidRDefault="00D947B6" w:rsidP="00DB43BC">
      <w:pPr>
        <w:spacing w:after="0"/>
        <w:jc w:val="center"/>
      </w:pPr>
      <w:r>
        <w:rPr>
          <w:b/>
          <w:noProof/>
          <w:szCs w:val="20"/>
        </w:rPr>
        <w:drawing>
          <wp:inline distT="0" distB="0" distL="0" distR="0" wp14:anchorId="455DE5E4" wp14:editId="3E4942EE">
            <wp:extent cx="4408759" cy="3232841"/>
            <wp:effectExtent l="0" t="0" r="0" b="0"/>
            <wp:docPr id="29" name="Picture 29"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histogram&#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14772" cy="3237250"/>
                    </a:xfrm>
                    <a:prstGeom prst="rect">
                      <a:avLst/>
                    </a:prstGeom>
                  </pic:spPr>
                </pic:pic>
              </a:graphicData>
            </a:graphic>
          </wp:inline>
        </w:drawing>
      </w:r>
    </w:p>
    <w:p w14:paraId="52D48625" w14:textId="3BE92B31" w:rsidR="00BE18D0" w:rsidRDefault="00BE18D0" w:rsidP="00BE18D0">
      <w:pPr>
        <w:pStyle w:val="Chartortablefootnote"/>
      </w:pPr>
      <w:bookmarkStart w:id="118" w:name="_Hlk27041801"/>
      <w:bookmarkEnd w:id="116"/>
      <w:r w:rsidRPr="00C2020E">
        <w:t xml:space="preserve">Source: </w:t>
      </w:r>
      <w:bookmarkStart w:id="119" w:name="_Hlk27054172"/>
      <w:r w:rsidRPr="00C2020E">
        <w:t xml:space="preserve">Risk stratification data provided by Precedence Health Care, to </w:t>
      </w:r>
      <w:bookmarkEnd w:id="119"/>
      <w:r w:rsidR="00EA0E8B" w:rsidRPr="00C2020E">
        <w:t>May</w:t>
      </w:r>
      <w:r w:rsidRPr="00C2020E">
        <w:t xml:space="preserve"> 20</w:t>
      </w:r>
      <w:r w:rsidR="00EA0E8B" w:rsidRPr="00C2020E">
        <w:t>21</w:t>
      </w:r>
      <w:r w:rsidRPr="00C2020E">
        <w:t>.</w:t>
      </w:r>
    </w:p>
    <w:bookmarkEnd w:id="118"/>
    <w:p w14:paraId="3E2B2377" w14:textId="22537616" w:rsidR="00BE18D0" w:rsidRPr="002B22CD" w:rsidRDefault="00BE18D0" w:rsidP="00BE18D0">
      <w:r>
        <w:t xml:space="preserve">As indicated </w:t>
      </w:r>
      <w:r w:rsidR="00F868FE">
        <w:t>earlier</w:t>
      </w:r>
      <w:r>
        <w:t xml:space="preserve">, the factors influencing patient selection </w:t>
      </w:r>
      <w:r w:rsidR="00F868FE">
        <w:t>were</w:t>
      </w:r>
      <w:r>
        <w:t xml:space="preserve"> not fully available in the practice </w:t>
      </w:r>
      <w:r w:rsidR="00F868FE">
        <w:t xml:space="preserve">clinical </w:t>
      </w:r>
      <w:r>
        <w:t xml:space="preserve">management system alone, so </w:t>
      </w:r>
      <w:bookmarkStart w:id="120" w:name="_Hlk21366256"/>
      <w:r w:rsidRPr="005F742D">
        <w:t xml:space="preserve">GPs could override the score returned by the </w:t>
      </w:r>
      <w:r w:rsidRPr="005F742D">
        <w:lastRenderedPageBreak/>
        <w:t xml:space="preserve">PRM and invite patients to undertake the next stage of the </w:t>
      </w:r>
      <w:r w:rsidRPr="00F868FE">
        <w:t>assessment – the HARP</w:t>
      </w:r>
      <w:r w:rsidRPr="00F868FE">
        <w:rPr>
          <w:rFonts w:cs="Calibri (Body)"/>
          <w:color w:val="000000"/>
          <w:szCs w:val="20"/>
        </w:rPr>
        <w:t>. Of the 12,</w:t>
      </w:r>
      <w:r w:rsidR="00442916">
        <w:rPr>
          <w:rFonts w:cs="Calibri (Body)"/>
          <w:color w:val="000000"/>
          <w:szCs w:val="20"/>
        </w:rPr>
        <w:t>377</w:t>
      </w:r>
      <w:r w:rsidRPr="00F868FE">
        <w:rPr>
          <w:rFonts w:cs="Calibri (Body)"/>
          <w:color w:val="000000"/>
          <w:szCs w:val="20"/>
        </w:rPr>
        <w:t xml:space="preserve"> patients for wh</w:t>
      </w:r>
      <w:r w:rsidR="004041B9">
        <w:rPr>
          <w:rFonts w:cs="Calibri (Body)"/>
          <w:color w:val="000000"/>
          <w:szCs w:val="20"/>
        </w:rPr>
        <w:t>om</w:t>
      </w:r>
      <w:r w:rsidR="00442916">
        <w:rPr>
          <w:rFonts w:cs="Calibri (Body)"/>
          <w:color w:val="000000"/>
          <w:szCs w:val="20"/>
        </w:rPr>
        <w:t xml:space="preserve"> valid baseline</w:t>
      </w:r>
      <w:r w:rsidRPr="00F868FE">
        <w:rPr>
          <w:rFonts w:cs="Calibri (Body)"/>
          <w:color w:val="000000"/>
          <w:szCs w:val="20"/>
        </w:rPr>
        <w:t xml:space="preserve"> data were available, 30% (3,</w:t>
      </w:r>
      <w:r w:rsidR="00442916">
        <w:rPr>
          <w:rFonts w:cs="Calibri (Body)"/>
          <w:color w:val="000000"/>
          <w:szCs w:val="20"/>
        </w:rPr>
        <w:t>745</w:t>
      </w:r>
      <w:r w:rsidRPr="00F868FE">
        <w:rPr>
          <w:rFonts w:cs="Calibri (Body)"/>
          <w:color w:val="000000"/>
          <w:szCs w:val="20"/>
        </w:rPr>
        <w:t xml:space="preserve">) had a HARP completed because the GP overrode their PRM </w:t>
      </w:r>
      <w:r w:rsidRPr="00CF5D6B">
        <w:rPr>
          <w:rFonts w:cs="Calibri (Body)"/>
          <w:color w:val="000000"/>
          <w:szCs w:val="20"/>
        </w:rPr>
        <w:t xml:space="preserve">score. </w:t>
      </w:r>
      <w:r w:rsidR="000E25C2" w:rsidRPr="00CF5D6B">
        <w:t xml:space="preserve">Patients were more </w:t>
      </w:r>
      <w:r w:rsidR="000E25C2" w:rsidRPr="00CF5D6B">
        <w:rPr>
          <w:lang w:val="en-GB"/>
        </w:rPr>
        <w:t xml:space="preserve">likely to have their </w:t>
      </w:r>
      <w:r w:rsidR="00215574" w:rsidRPr="00CF5D6B">
        <w:rPr>
          <w:lang w:val="en-GB"/>
        </w:rPr>
        <w:t>PRM score</w:t>
      </w:r>
      <w:r w:rsidR="000E25C2" w:rsidRPr="00CF5D6B">
        <w:rPr>
          <w:lang w:val="en-GB"/>
        </w:rPr>
        <w:t xml:space="preserve"> overridden if they were in </w:t>
      </w:r>
      <w:r w:rsidR="00183DAD" w:rsidRPr="00CF5D6B">
        <w:rPr>
          <w:lang w:val="en-GB"/>
        </w:rPr>
        <w:t>t</w:t>
      </w:r>
      <w:r w:rsidR="000E25C2" w:rsidRPr="00CF5D6B">
        <w:rPr>
          <w:lang w:val="en-GB"/>
        </w:rPr>
        <w:t xml:space="preserve">ier 1 (40.8%) than if they were in </w:t>
      </w:r>
      <w:r w:rsidR="00183DAD" w:rsidRPr="00CF5D6B">
        <w:rPr>
          <w:lang w:val="en-GB"/>
        </w:rPr>
        <w:t>t</w:t>
      </w:r>
      <w:r w:rsidR="000E25C2" w:rsidRPr="00CF5D6B">
        <w:rPr>
          <w:lang w:val="en-GB"/>
        </w:rPr>
        <w:t xml:space="preserve">ier 2 (32.4%) or </w:t>
      </w:r>
      <w:r w:rsidR="00215574" w:rsidRPr="00CF5D6B">
        <w:rPr>
          <w:lang w:val="en-GB"/>
        </w:rPr>
        <w:t>t</w:t>
      </w:r>
      <w:r w:rsidR="000E25C2" w:rsidRPr="00CF5D6B">
        <w:rPr>
          <w:lang w:val="en-GB"/>
        </w:rPr>
        <w:t>ier 3 (20.5%).</w:t>
      </w:r>
    </w:p>
    <w:p w14:paraId="17FC66E5" w14:textId="7315C526" w:rsidR="00BE18D0" w:rsidRPr="009656F8" w:rsidRDefault="00BE18D0" w:rsidP="00BE18D0">
      <w:pPr>
        <w:rPr>
          <w:rFonts w:cs="Calibri (Body)"/>
          <w:color w:val="000000"/>
          <w:szCs w:val="20"/>
        </w:rPr>
      </w:pPr>
      <w:bookmarkStart w:id="121" w:name="_Hlk21366500"/>
      <w:bookmarkEnd w:id="120"/>
      <w:r w:rsidRPr="009656F8">
        <w:rPr>
          <w:rFonts w:cstheme="minorHAnsi"/>
          <w:szCs w:val="20"/>
        </w:rPr>
        <w:t xml:space="preserve">Patients were likely to have </w:t>
      </w:r>
      <w:r w:rsidR="005C5104" w:rsidRPr="009656F8">
        <w:rPr>
          <w:rFonts w:cstheme="minorHAnsi"/>
          <w:szCs w:val="20"/>
        </w:rPr>
        <w:t xml:space="preserve">more </w:t>
      </w:r>
      <w:r w:rsidRPr="009656F8">
        <w:rPr>
          <w:rFonts w:cstheme="minorHAnsi"/>
          <w:szCs w:val="20"/>
        </w:rPr>
        <w:t xml:space="preserve">chronic conditions and more social problems with increasing tier. </w:t>
      </w:r>
      <w:bookmarkEnd w:id="121"/>
      <w:r w:rsidRPr="009656F8">
        <w:rPr>
          <w:rFonts w:cstheme="minorHAnsi"/>
          <w:szCs w:val="20"/>
        </w:rPr>
        <w:t xml:space="preserve">The most common chronic disease groups were </w:t>
      </w:r>
      <w:r w:rsidR="000D4272" w:rsidRPr="009656F8">
        <w:rPr>
          <w:rFonts w:cstheme="minorHAnsi"/>
          <w:szCs w:val="20"/>
        </w:rPr>
        <w:t>“</w:t>
      </w:r>
      <w:r w:rsidRPr="009656F8">
        <w:rPr>
          <w:rFonts w:cs="Calibri (Body)"/>
          <w:color w:val="000000"/>
          <w:szCs w:val="20"/>
        </w:rPr>
        <w:t>diabetes and/or renal failure and/or liver disease</w:t>
      </w:r>
      <w:r w:rsidR="000D4272" w:rsidRPr="009656F8">
        <w:rPr>
          <w:rFonts w:cs="Calibri (Body)"/>
          <w:color w:val="000000"/>
          <w:szCs w:val="20"/>
        </w:rPr>
        <w:t>”</w:t>
      </w:r>
      <w:r w:rsidRPr="009656F8">
        <w:rPr>
          <w:rFonts w:cs="Calibri (Body)"/>
          <w:color w:val="000000"/>
          <w:szCs w:val="20"/>
        </w:rPr>
        <w:t xml:space="preserve"> (prevalence of 43.1%), cardiac conditions (CHF or angina) (33.2%) and chronic respiratory condition (33.7%). The steepest gradient in the prevalence across tiers was for </w:t>
      </w:r>
      <w:r w:rsidR="00343D4E">
        <w:rPr>
          <w:rFonts w:cs="Calibri (Body)"/>
          <w:color w:val="000000"/>
          <w:szCs w:val="20"/>
        </w:rPr>
        <w:t xml:space="preserve">a </w:t>
      </w:r>
      <w:r w:rsidRPr="009656F8">
        <w:rPr>
          <w:rFonts w:cs="Calibri (Body)"/>
          <w:color w:val="000000"/>
          <w:szCs w:val="20"/>
        </w:rPr>
        <w:t xml:space="preserve">diagnosis of </w:t>
      </w:r>
      <w:r w:rsidR="000D4272" w:rsidRPr="009656F8">
        <w:rPr>
          <w:rFonts w:cs="Calibri (Body)"/>
          <w:color w:val="000000"/>
          <w:szCs w:val="20"/>
        </w:rPr>
        <w:t>“</w:t>
      </w:r>
      <w:r w:rsidRPr="009656F8">
        <w:rPr>
          <w:rFonts w:cs="Calibri (Body)"/>
          <w:color w:val="000000"/>
          <w:szCs w:val="20"/>
        </w:rPr>
        <w:t>complex care needs in frail aged</w:t>
      </w:r>
      <w:r w:rsidR="000D4272" w:rsidRPr="009656F8">
        <w:rPr>
          <w:rFonts w:cs="Calibri (Body)"/>
          <w:color w:val="000000"/>
          <w:szCs w:val="20"/>
        </w:rPr>
        <w:t>”</w:t>
      </w:r>
      <w:r w:rsidRPr="009656F8">
        <w:rPr>
          <w:rFonts w:cs="Calibri (Body)"/>
          <w:color w:val="000000"/>
          <w:szCs w:val="20"/>
        </w:rPr>
        <w:t xml:space="preserve">, such as dementia, falls and incontinence (prevalence of 4.7% in </w:t>
      </w:r>
      <w:r w:rsidR="00CE15ED">
        <w:rPr>
          <w:rFonts w:cs="Calibri (Body)"/>
          <w:color w:val="000000"/>
          <w:szCs w:val="20"/>
        </w:rPr>
        <w:t>t</w:t>
      </w:r>
      <w:r w:rsidRPr="009656F8">
        <w:rPr>
          <w:rFonts w:cs="Calibri (Body)"/>
          <w:color w:val="000000"/>
          <w:szCs w:val="20"/>
        </w:rPr>
        <w:t xml:space="preserve">ier 1, 11.6% in </w:t>
      </w:r>
      <w:r w:rsidR="00CE15ED">
        <w:rPr>
          <w:rFonts w:cs="Calibri (Body)"/>
          <w:color w:val="000000"/>
          <w:szCs w:val="20"/>
        </w:rPr>
        <w:t>t</w:t>
      </w:r>
      <w:r w:rsidRPr="009656F8">
        <w:rPr>
          <w:rFonts w:cs="Calibri (Body)"/>
          <w:color w:val="000000"/>
          <w:szCs w:val="20"/>
        </w:rPr>
        <w:t xml:space="preserve">ier 2, and 34.5% in </w:t>
      </w:r>
      <w:r w:rsidR="00CE15ED">
        <w:rPr>
          <w:rFonts w:cs="Calibri (Body)"/>
          <w:color w:val="000000"/>
          <w:szCs w:val="20"/>
        </w:rPr>
        <w:t>t</w:t>
      </w:r>
      <w:r w:rsidRPr="009656F8">
        <w:rPr>
          <w:rFonts w:cs="Calibri (Body)"/>
          <w:color w:val="000000"/>
          <w:szCs w:val="20"/>
        </w:rPr>
        <w:t>ier 3).</w:t>
      </w:r>
    </w:p>
    <w:p w14:paraId="490430CA" w14:textId="5DAB152B" w:rsidR="00BE18D0" w:rsidRPr="009656F8" w:rsidRDefault="00BE18D0" w:rsidP="00BE18D0">
      <w:pPr>
        <w:rPr>
          <w:rFonts w:cs="Calibri (Body)"/>
          <w:color w:val="000000"/>
          <w:szCs w:val="20"/>
        </w:rPr>
      </w:pPr>
      <w:r w:rsidRPr="009656F8">
        <w:rPr>
          <w:rFonts w:cs="Calibri (Body)"/>
          <w:color w:val="000000"/>
          <w:szCs w:val="20"/>
        </w:rPr>
        <w:t>Within the service access profile category</w:t>
      </w:r>
      <w:r w:rsidR="00CD7834">
        <w:rPr>
          <w:rFonts w:cs="Calibri (Body)"/>
          <w:color w:val="000000"/>
          <w:szCs w:val="20"/>
        </w:rPr>
        <w:t xml:space="preserve"> of the HARP</w:t>
      </w:r>
      <w:r w:rsidRPr="009656F8">
        <w:rPr>
          <w:rFonts w:cs="Calibri (Body)"/>
          <w:color w:val="000000"/>
          <w:szCs w:val="20"/>
        </w:rPr>
        <w:t xml:space="preserve">, patients in </w:t>
      </w:r>
      <w:r w:rsidR="008536FD">
        <w:rPr>
          <w:rFonts w:cs="Calibri (Body)"/>
          <w:color w:val="000000"/>
          <w:szCs w:val="20"/>
        </w:rPr>
        <w:t>t</w:t>
      </w:r>
      <w:r w:rsidRPr="009656F8">
        <w:rPr>
          <w:rFonts w:cs="Calibri (Body)"/>
          <w:color w:val="000000"/>
          <w:szCs w:val="20"/>
        </w:rPr>
        <w:t xml:space="preserve">ier 3 were more likely to have been in hospital more than once in the last 12 months (41.3% in </w:t>
      </w:r>
      <w:r w:rsidR="00CE15ED">
        <w:rPr>
          <w:rFonts w:cs="Calibri (Body)"/>
          <w:color w:val="000000"/>
          <w:szCs w:val="20"/>
        </w:rPr>
        <w:t>t</w:t>
      </w:r>
      <w:r w:rsidRPr="009656F8">
        <w:rPr>
          <w:rFonts w:cs="Calibri (Body)"/>
          <w:color w:val="000000"/>
          <w:szCs w:val="20"/>
        </w:rPr>
        <w:t xml:space="preserve">ier 3, 18.5% in </w:t>
      </w:r>
      <w:r w:rsidR="00770301">
        <w:rPr>
          <w:rFonts w:cs="Calibri (Body)"/>
          <w:color w:val="000000"/>
          <w:szCs w:val="20"/>
        </w:rPr>
        <w:t>tier</w:t>
      </w:r>
      <w:r w:rsidRPr="009656F8">
        <w:rPr>
          <w:rFonts w:cs="Calibri (Body)"/>
          <w:color w:val="000000"/>
          <w:szCs w:val="20"/>
        </w:rPr>
        <w:t xml:space="preserve"> 2, 7.4% in </w:t>
      </w:r>
      <w:r w:rsidR="00CE15ED">
        <w:rPr>
          <w:rFonts w:cs="Calibri (Body)"/>
          <w:color w:val="000000"/>
          <w:szCs w:val="20"/>
        </w:rPr>
        <w:t>t</w:t>
      </w:r>
      <w:r w:rsidRPr="009656F8">
        <w:rPr>
          <w:rFonts w:cs="Calibri (Body)"/>
          <w:color w:val="000000"/>
          <w:szCs w:val="20"/>
        </w:rPr>
        <w:t xml:space="preserve">ier 1) and more likely to have a reduced ability to self-care (62.5% in </w:t>
      </w:r>
      <w:r w:rsidR="00CE15ED">
        <w:rPr>
          <w:rFonts w:cs="Calibri (Body)"/>
          <w:color w:val="000000"/>
          <w:szCs w:val="20"/>
        </w:rPr>
        <w:t>t</w:t>
      </w:r>
      <w:r w:rsidRPr="009656F8">
        <w:rPr>
          <w:rFonts w:cs="Calibri (Body)"/>
          <w:color w:val="000000"/>
          <w:szCs w:val="20"/>
        </w:rPr>
        <w:t xml:space="preserve">ier 3, 12.8% in </w:t>
      </w:r>
      <w:r w:rsidR="00CE15ED">
        <w:rPr>
          <w:rFonts w:cs="Calibri (Body)"/>
          <w:color w:val="000000"/>
          <w:szCs w:val="20"/>
        </w:rPr>
        <w:t>t</w:t>
      </w:r>
      <w:r w:rsidRPr="009656F8">
        <w:rPr>
          <w:rFonts w:cs="Calibri (Body)"/>
          <w:color w:val="000000"/>
          <w:szCs w:val="20"/>
        </w:rPr>
        <w:t xml:space="preserve">ier 2, 1.5% in </w:t>
      </w:r>
      <w:r w:rsidR="00CE15ED">
        <w:rPr>
          <w:rFonts w:cs="Calibri (Body)"/>
          <w:color w:val="000000"/>
          <w:szCs w:val="20"/>
        </w:rPr>
        <w:t>t</w:t>
      </w:r>
      <w:r w:rsidRPr="009656F8">
        <w:rPr>
          <w:rFonts w:cs="Calibri (Body)"/>
          <w:color w:val="000000"/>
          <w:szCs w:val="20"/>
        </w:rPr>
        <w:t xml:space="preserve">ier 1). </w:t>
      </w:r>
    </w:p>
    <w:p w14:paraId="40D087CE" w14:textId="20158E78" w:rsidR="00BE18D0" w:rsidRPr="009656F8" w:rsidRDefault="00BE18D0" w:rsidP="00BE18D0">
      <w:pPr>
        <w:rPr>
          <w:rFonts w:cs="Calibri (Body)"/>
          <w:color w:val="000000"/>
          <w:szCs w:val="20"/>
        </w:rPr>
      </w:pPr>
      <w:r w:rsidRPr="009656F8">
        <w:rPr>
          <w:rFonts w:cs="Calibri (Body)"/>
          <w:color w:val="000000"/>
          <w:szCs w:val="20"/>
        </w:rPr>
        <w:t xml:space="preserve">There were high levels (&gt;50%) of all the lifestyle risk factors, except smoking (which had a prevalence of 18.0%). High blood pressure, high cholesterol and overweight/obese were more prevalent amongst patients in </w:t>
      </w:r>
      <w:r w:rsidR="00770301">
        <w:rPr>
          <w:rFonts w:cs="Calibri (Body)"/>
          <w:color w:val="000000"/>
          <w:szCs w:val="20"/>
        </w:rPr>
        <w:t>tier</w:t>
      </w:r>
      <w:r w:rsidRPr="009656F8">
        <w:rPr>
          <w:rFonts w:cs="Calibri (Body)"/>
          <w:color w:val="000000"/>
          <w:szCs w:val="20"/>
        </w:rPr>
        <w:t xml:space="preserve"> 1, but patients in </w:t>
      </w:r>
      <w:r w:rsidR="00770301">
        <w:rPr>
          <w:rFonts w:cs="Calibri (Body)"/>
          <w:color w:val="000000"/>
          <w:szCs w:val="20"/>
        </w:rPr>
        <w:t>tier</w:t>
      </w:r>
      <w:r w:rsidRPr="009656F8">
        <w:rPr>
          <w:rFonts w:cs="Calibri (Body)"/>
          <w:color w:val="000000"/>
          <w:szCs w:val="20"/>
        </w:rPr>
        <w:t xml:space="preserve"> 3 had substantially higher levels of physical inactivity (73.8% in </w:t>
      </w:r>
      <w:r w:rsidR="00770301">
        <w:rPr>
          <w:rFonts w:cs="Calibri (Body)"/>
          <w:color w:val="000000"/>
          <w:szCs w:val="20"/>
        </w:rPr>
        <w:t>tier</w:t>
      </w:r>
      <w:r w:rsidRPr="009656F8">
        <w:rPr>
          <w:rFonts w:cs="Calibri (Body)"/>
          <w:color w:val="000000"/>
          <w:szCs w:val="20"/>
        </w:rPr>
        <w:t xml:space="preserve"> 3, 53.3% in </w:t>
      </w:r>
      <w:r w:rsidR="00770301">
        <w:rPr>
          <w:rFonts w:cs="Calibri (Body)"/>
          <w:color w:val="000000"/>
          <w:szCs w:val="20"/>
        </w:rPr>
        <w:t>tier</w:t>
      </w:r>
      <w:r w:rsidRPr="009656F8">
        <w:rPr>
          <w:rFonts w:cs="Calibri (Body)"/>
          <w:color w:val="000000"/>
          <w:szCs w:val="20"/>
        </w:rPr>
        <w:t xml:space="preserve"> 2, 29.8% in </w:t>
      </w:r>
      <w:r w:rsidR="00770301">
        <w:rPr>
          <w:rFonts w:cs="Calibri (Body)"/>
          <w:color w:val="000000"/>
          <w:szCs w:val="20"/>
        </w:rPr>
        <w:t>tier</w:t>
      </w:r>
      <w:r w:rsidRPr="009656F8">
        <w:rPr>
          <w:rFonts w:cs="Calibri (Body)"/>
          <w:color w:val="000000"/>
          <w:szCs w:val="20"/>
        </w:rPr>
        <w:t xml:space="preserve"> 1) and polypharmacy (79.5% in </w:t>
      </w:r>
      <w:r w:rsidR="00770301">
        <w:rPr>
          <w:rFonts w:cs="Calibri (Body)"/>
          <w:color w:val="000000"/>
          <w:szCs w:val="20"/>
        </w:rPr>
        <w:t>tier</w:t>
      </w:r>
      <w:r w:rsidRPr="009656F8">
        <w:rPr>
          <w:rFonts w:cs="Calibri (Body)"/>
          <w:color w:val="000000"/>
          <w:szCs w:val="20"/>
        </w:rPr>
        <w:t xml:space="preserve"> 3, 63.3% in </w:t>
      </w:r>
      <w:r w:rsidR="00770301">
        <w:rPr>
          <w:rFonts w:cs="Calibri (Body)"/>
          <w:color w:val="000000"/>
          <w:szCs w:val="20"/>
        </w:rPr>
        <w:t>tier</w:t>
      </w:r>
      <w:r w:rsidRPr="009656F8">
        <w:rPr>
          <w:rFonts w:cs="Calibri (Body)"/>
          <w:color w:val="000000"/>
          <w:szCs w:val="20"/>
        </w:rPr>
        <w:t xml:space="preserve"> 2, 46.6% in </w:t>
      </w:r>
      <w:r w:rsidR="00770301">
        <w:rPr>
          <w:rFonts w:cs="Calibri (Body)"/>
          <w:color w:val="000000"/>
          <w:szCs w:val="20"/>
        </w:rPr>
        <w:t>tier</w:t>
      </w:r>
      <w:r w:rsidRPr="009656F8">
        <w:rPr>
          <w:rFonts w:cs="Calibri (Body)"/>
          <w:color w:val="000000"/>
          <w:szCs w:val="20"/>
        </w:rPr>
        <w:t xml:space="preserve"> 1).</w:t>
      </w:r>
    </w:p>
    <w:p w14:paraId="3782E569" w14:textId="22C7FA84" w:rsidR="00BE18D0" w:rsidRDefault="00F07529" w:rsidP="00D4213C">
      <w:pPr>
        <w:rPr>
          <w:rFonts w:cs="Calibri (Body)"/>
          <w:color w:val="000000"/>
          <w:szCs w:val="20"/>
        </w:rPr>
      </w:pPr>
      <w:r w:rsidRPr="009656F8">
        <w:rPr>
          <w:rFonts w:cs="Calibri (Body)"/>
          <w:color w:val="000000"/>
          <w:szCs w:val="20"/>
        </w:rPr>
        <w:t xml:space="preserve">In the </w:t>
      </w:r>
      <w:r w:rsidR="00C52E6C">
        <w:rPr>
          <w:rFonts w:cs="Calibri (Body)"/>
          <w:color w:val="000000"/>
          <w:szCs w:val="20"/>
        </w:rPr>
        <w:t>HARP</w:t>
      </w:r>
      <w:r w:rsidRPr="009656F8">
        <w:rPr>
          <w:rFonts w:cs="Calibri (Body)"/>
          <w:color w:val="000000"/>
          <w:szCs w:val="20"/>
        </w:rPr>
        <w:t xml:space="preserve">, there </w:t>
      </w:r>
      <w:r w:rsidR="00BE18D0" w:rsidRPr="009656F8">
        <w:rPr>
          <w:rFonts w:cs="Calibri (Body)"/>
          <w:color w:val="000000"/>
          <w:szCs w:val="20"/>
        </w:rPr>
        <w:t xml:space="preserve">are eight complications, </w:t>
      </w:r>
      <w:r w:rsidR="009E456D" w:rsidRPr="009656F8">
        <w:rPr>
          <w:rFonts w:cs="Calibri (Body)"/>
          <w:color w:val="000000"/>
          <w:szCs w:val="20"/>
        </w:rPr>
        <w:t xml:space="preserve">and when </w:t>
      </w:r>
      <w:r w:rsidR="00CD6AF6" w:rsidRPr="009656F8">
        <w:rPr>
          <w:rFonts w:cs="Calibri (Body)"/>
          <w:color w:val="000000"/>
          <w:szCs w:val="20"/>
        </w:rPr>
        <w:t>any of these are presen</w:t>
      </w:r>
      <w:r w:rsidR="001A1DD3">
        <w:rPr>
          <w:rFonts w:cs="Calibri (Body)"/>
          <w:color w:val="000000"/>
          <w:szCs w:val="20"/>
        </w:rPr>
        <w:t>t</w:t>
      </w:r>
      <w:r w:rsidR="00CD6AF6" w:rsidRPr="009656F8">
        <w:rPr>
          <w:rFonts w:cs="Calibri (Body)"/>
          <w:color w:val="000000"/>
          <w:szCs w:val="20"/>
        </w:rPr>
        <w:t xml:space="preserve">, </w:t>
      </w:r>
      <w:r w:rsidR="00BE18D0" w:rsidRPr="009656F8">
        <w:rPr>
          <w:rFonts w:cs="Calibri (Body)"/>
          <w:color w:val="000000"/>
          <w:szCs w:val="20"/>
        </w:rPr>
        <w:t xml:space="preserve">a score of </w:t>
      </w:r>
      <w:r w:rsidR="005A732B" w:rsidRPr="009656F8">
        <w:rPr>
          <w:rFonts w:cs="Calibri (Body)"/>
          <w:color w:val="000000"/>
          <w:szCs w:val="20"/>
        </w:rPr>
        <w:t xml:space="preserve">1 </w:t>
      </w:r>
      <w:r w:rsidR="00CD6AF6" w:rsidRPr="009656F8">
        <w:rPr>
          <w:rFonts w:cs="Calibri (Body)"/>
          <w:color w:val="000000"/>
          <w:szCs w:val="20"/>
        </w:rPr>
        <w:t>is assigned</w:t>
      </w:r>
      <w:r w:rsidR="00BE18D0" w:rsidRPr="009656F8">
        <w:rPr>
          <w:rFonts w:cs="Calibri (Body)"/>
          <w:color w:val="000000"/>
          <w:szCs w:val="20"/>
        </w:rPr>
        <w:t>. The prevalence of the</w:t>
      </w:r>
      <w:r w:rsidR="00E149E1" w:rsidRPr="009656F8">
        <w:rPr>
          <w:rFonts w:cs="Calibri (Body)"/>
          <w:color w:val="000000"/>
          <w:szCs w:val="20"/>
        </w:rPr>
        <w:t xml:space="preserve">se were </w:t>
      </w:r>
      <w:r w:rsidR="00BE18D0" w:rsidRPr="009656F8">
        <w:rPr>
          <w:rFonts w:cs="Calibri (Body)"/>
          <w:color w:val="000000"/>
          <w:szCs w:val="20"/>
        </w:rPr>
        <w:t xml:space="preserve">17.8% for carer stress issues, 16.5% for change in drug regime, 43.6% for chronic pain, 10.8% for cognitive impairment, 10.9% for compromised skin integrity, 13.5% for triggers for asthma, 10.0% for no carer available, and 37.4% of use of services previously. Each of the eight complications were more common amongst </w:t>
      </w:r>
      <w:r w:rsidR="00770301">
        <w:rPr>
          <w:rFonts w:cs="Calibri (Body)"/>
          <w:color w:val="000000"/>
          <w:szCs w:val="20"/>
        </w:rPr>
        <w:t>tier</w:t>
      </w:r>
      <w:r w:rsidR="00BE18D0" w:rsidRPr="009656F8">
        <w:rPr>
          <w:rFonts w:cs="Calibri (Body)"/>
          <w:color w:val="000000"/>
          <w:szCs w:val="20"/>
        </w:rPr>
        <w:t xml:space="preserve"> 3 patients.</w:t>
      </w:r>
      <w:r w:rsidR="00BE18D0">
        <w:rPr>
          <w:rFonts w:cs="Calibri (Body)"/>
          <w:color w:val="000000"/>
          <w:szCs w:val="20"/>
        </w:rPr>
        <w:t xml:space="preserve"> </w:t>
      </w:r>
    </w:p>
    <w:p w14:paraId="4B0D19F8" w14:textId="320EA551" w:rsidR="00711524" w:rsidRDefault="004F0148" w:rsidP="005915D4">
      <w:pPr>
        <w:rPr>
          <w:rFonts w:cs="Calibri (Body)"/>
          <w:color w:val="000000"/>
          <w:szCs w:val="20"/>
        </w:rPr>
      </w:pPr>
      <w:r>
        <w:rPr>
          <w:rFonts w:cs="Calibri (Body)"/>
          <w:color w:val="000000"/>
          <w:szCs w:val="20"/>
        </w:rPr>
        <w:t>L</w:t>
      </w:r>
      <w:r w:rsidR="005915D4" w:rsidRPr="005915D4">
        <w:rPr>
          <w:rFonts w:cs="Calibri (Body)"/>
          <w:color w:val="000000"/>
          <w:szCs w:val="20"/>
        </w:rPr>
        <w:t xml:space="preserve">ongitudinal analysis </w:t>
      </w:r>
      <w:r w:rsidR="00260844">
        <w:rPr>
          <w:rFonts w:cs="Calibri (Body)"/>
          <w:color w:val="000000"/>
          <w:szCs w:val="20"/>
        </w:rPr>
        <w:t xml:space="preserve">was undertaken for </w:t>
      </w:r>
      <w:r w:rsidR="007C73D0">
        <w:rPr>
          <w:rFonts w:cs="Calibri (Body)"/>
          <w:color w:val="000000"/>
          <w:szCs w:val="20"/>
        </w:rPr>
        <w:t xml:space="preserve">patients </w:t>
      </w:r>
      <w:r w:rsidR="00201F1F">
        <w:rPr>
          <w:rFonts w:cs="Calibri (Body)"/>
          <w:color w:val="000000"/>
          <w:szCs w:val="20"/>
        </w:rPr>
        <w:t xml:space="preserve">in </w:t>
      </w:r>
      <w:r w:rsidR="005915D4" w:rsidRPr="005915D4">
        <w:rPr>
          <w:rFonts w:cs="Calibri (Body)"/>
          <w:color w:val="000000"/>
          <w:szCs w:val="20"/>
        </w:rPr>
        <w:t xml:space="preserve">practices that </w:t>
      </w:r>
      <w:r w:rsidR="00A411C2">
        <w:rPr>
          <w:rFonts w:cs="Calibri (Body)"/>
          <w:color w:val="000000"/>
          <w:szCs w:val="20"/>
        </w:rPr>
        <w:t xml:space="preserve">applied </w:t>
      </w:r>
      <w:r w:rsidR="00B660F3">
        <w:rPr>
          <w:rFonts w:cs="Calibri (Body)"/>
          <w:color w:val="000000"/>
          <w:szCs w:val="20"/>
        </w:rPr>
        <w:t xml:space="preserve">the RST </w:t>
      </w:r>
      <w:r w:rsidR="00A22107">
        <w:rPr>
          <w:rFonts w:cs="Calibri (Body)"/>
          <w:color w:val="000000"/>
          <w:szCs w:val="20"/>
        </w:rPr>
        <w:t>(</w:t>
      </w:r>
      <w:r w:rsidR="006D057E">
        <w:rPr>
          <w:rFonts w:cs="Calibri (Body)"/>
          <w:color w:val="000000"/>
          <w:szCs w:val="20"/>
        </w:rPr>
        <w:t xml:space="preserve">both the </w:t>
      </w:r>
      <w:r w:rsidR="002A7C4D">
        <w:rPr>
          <w:rFonts w:cs="Calibri (Body)"/>
          <w:color w:val="000000"/>
          <w:szCs w:val="20"/>
        </w:rPr>
        <w:t>PRM and</w:t>
      </w:r>
      <w:r w:rsidR="00A22107">
        <w:rPr>
          <w:rFonts w:cs="Calibri (Body)"/>
          <w:color w:val="000000"/>
          <w:szCs w:val="20"/>
        </w:rPr>
        <w:t xml:space="preserve"> the HARP tool) </w:t>
      </w:r>
      <w:r w:rsidR="00A411C2">
        <w:rPr>
          <w:rFonts w:cs="Calibri (Body)"/>
          <w:color w:val="000000"/>
          <w:szCs w:val="20"/>
        </w:rPr>
        <w:t xml:space="preserve">to their </w:t>
      </w:r>
      <w:r w:rsidR="0031265D">
        <w:rPr>
          <w:rFonts w:cs="Calibri (Body)"/>
          <w:color w:val="000000"/>
          <w:szCs w:val="20"/>
        </w:rPr>
        <w:t>patients and</w:t>
      </w:r>
      <w:r w:rsidR="001521B6">
        <w:rPr>
          <w:rFonts w:cs="Calibri (Body)"/>
          <w:color w:val="000000"/>
          <w:szCs w:val="20"/>
        </w:rPr>
        <w:t xml:space="preserve"> </w:t>
      </w:r>
      <w:r w:rsidR="005915D4" w:rsidRPr="005915D4">
        <w:rPr>
          <w:rFonts w:cs="Calibri (Body)"/>
          <w:color w:val="000000"/>
          <w:szCs w:val="20"/>
        </w:rPr>
        <w:t xml:space="preserve">were still </w:t>
      </w:r>
      <w:r w:rsidR="0059050D">
        <w:rPr>
          <w:rFonts w:cs="Calibri (Body)"/>
          <w:color w:val="000000"/>
          <w:szCs w:val="20"/>
        </w:rPr>
        <w:t xml:space="preserve">in the trial </w:t>
      </w:r>
      <w:r w:rsidR="00AB1C1C">
        <w:rPr>
          <w:rFonts w:cs="Calibri (Body)"/>
          <w:color w:val="000000"/>
          <w:szCs w:val="20"/>
        </w:rPr>
        <w:t>on</w:t>
      </w:r>
      <w:r w:rsidR="00005AE4">
        <w:rPr>
          <w:rFonts w:cs="Calibri (Body)"/>
          <w:color w:val="000000"/>
          <w:szCs w:val="20"/>
        </w:rPr>
        <w:t xml:space="preserve"> </w:t>
      </w:r>
      <w:r w:rsidR="00D3395A">
        <w:rPr>
          <w:rFonts w:cs="Calibri (Body)"/>
          <w:color w:val="000000"/>
          <w:szCs w:val="20"/>
        </w:rPr>
        <w:t>31 March</w:t>
      </w:r>
      <w:r w:rsidR="005915D4" w:rsidRPr="005915D4">
        <w:rPr>
          <w:rFonts w:cs="Calibri (Body)"/>
          <w:color w:val="000000"/>
          <w:szCs w:val="20"/>
        </w:rPr>
        <w:t xml:space="preserve"> 2021</w:t>
      </w:r>
      <w:r w:rsidR="00D3395A">
        <w:rPr>
          <w:rFonts w:cs="Calibri (Body)"/>
          <w:color w:val="000000"/>
          <w:szCs w:val="20"/>
        </w:rPr>
        <w:t xml:space="preserve"> </w:t>
      </w:r>
      <w:r w:rsidR="00D3395A" w:rsidRPr="00564AF9">
        <w:rPr>
          <w:rFonts w:cs="Calibri (Body)"/>
          <w:color w:val="000000"/>
          <w:szCs w:val="20"/>
        </w:rPr>
        <w:t xml:space="preserve">(n = </w:t>
      </w:r>
      <w:r w:rsidR="000C1E9E" w:rsidRPr="00564AF9">
        <w:rPr>
          <w:rFonts w:cs="Calibri (Body)"/>
          <w:szCs w:val="20"/>
        </w:rPr>
        <w:t>10,1</w:t>
      </w:r>
      <w:r w:rsidR="00956EB9" w:rsidRPr="00564AF9">
        <w:rPr>
          <w:rFonts w:cs="Calibri (Body)"/>
          <w:szCs w:val="20"/>
        </w:rPr>
        <w:t>18</w:t>
      </w:r>
      <w:r w:rsidR="00CE387E" w:rsidRPr="00564AF9">
        <w:rPr>
          <w:rFonts w:cs="Calibri (Body)"/>
          <w:color w:val="FF0000"/>
          <w:szCs w:val="20"/>
        </w:rPr>
        <w:t xml:space="preserve"> </w:t>
      </w:r>
      <w:r w:rsidR="00CE387E" w:rsidRPr="00564AF9">
        <w:rPr>
          <w:rFonts w:cs="Calibri (Body)"/>
          <w:color w:val="000000"/>
          <w:szCs w:val="20"/>
        </w:rPr>
        <w:t>patients from 97 practices</w:t>
      </w:r>
      <w:r w:rsidR="002E086C">
        <w:rPr>
          <w:rFonts w:cs="Calibri (Body)"/>
          <w:color w:val="000000"/>
          <w:szCs w:val="20"/>
        </w:rPr>
        <w:t xml:space="preserve">, with </w:t>
      </w:r>
      <w:r w:rsidR="00537A44">
        <w:rPr>
          <w:rFonts w:cs="Calibri (Body)"/>
          <w:color w:val="000000"/>
          <w:szCs w:val="20"/>
        </w:rPr>
        <w:t>16,416 separate assessments</w:t>
      </w:r>
      <w:r w:rsidR="00D3395A" w:rsidRPr="00564AF9">
        <w:rPr>
          <w:rFonts w:cs="Calibri (Body)"/>
          <w:color w:val="000000"/>
          <w:szCs w:val="20"/>
        </w:rPr>
        <w:t>)</w:t>
      </w:r>
      <w:r w:rsidR="005915D4" w:rsidRPr="00564AF9">
        <w:rPr>
          <w:rFonts w:cs="Calibri (Body)"/>
          <w:color w:val="000000"/>
          <w:szCs w:val="20"/>
        </w:rPr>
        <w:t xml:space="preserve">. </w:t>
      </w:r>
      <w:r w:rsidR="00711524" w:rsidRPr="00711524">
        <w:rPr>
          <w:rFonts w:cs="Calibri (Body)"/>
          <w:color w:val="000000"/>
          <w:szCs w:val="20"/>
        </w:rPr>
        <w:t xml:space="preserve">The </w:t>
      </w:r>
      <w:r w:rsidR="00935CAB">
        <w:rPr>
          <w:rFonts w:cs="Calibri (Body)"/>
          <w:color w:val="000000"/>
          <w:szCs w:val="20"/>
        </w:rPr>
        <w:t>RST</w:t>
      </w:r>
      <w:r w:rsidR="00B40222">
        <w:rPr>
          <w:rFonts w:cs="Calibri (Body)"/>
          <w:color w:val="000000"/>
          <w:szCs w:val="20"/>
        </w:rPr>
        <w:t xml:space="preserve"> </w:t>
      </w:r>
      <w:r w:rsidR="00711524" w:rsidRPr="00711524">
        <w:rPr>
          <w:rFonts w:cs="Calibri (Body)"/>
          <w:color w:val="000000"/>
          <w:szCs w:val="20"/>
        </w:rPr>
        <w:t>was completed once</w:t>
      </w:r>
      <w:r w:rsidR="00D3395A">
        <w:rPr>
          <w:rFonts w:cs="Calibri (Body)"/>
          <w:color w:val="000000"/>
          <w:szCs w:val="20"/>
        </w:rPr>
        <w:t xml:space="preserve"> </w:t>
      </w:r>
      <w:r w:rsidR="00711524" w:rsidRPr="00711524">
        <w:rPr>
          <w:rFonts w:cs="Calibri (Body)"/>
          <w:color w:val="000000"/>
          <w:szCs w:val="20"/>
        </w:rPr>
        <w:t>for 6</w:t>
      </w:r>
      <w:r w:rsidR="000C4BDF">
        <w:rPr>
          <w:rFonts w:cs="Calibri (Body)"/>
          <w:color w:val="000000"/>
          <w:szCs w:val="20"/>
        </w:rPr>
        <w:t>0</w:t>
      </w:r>
      <w:r w:rsidR="00711524" w:rsidRPr="00711524">
        <w:rPr>
          <w:rFonts w:cs="Calibri (Body)"/>
          <w:color w:val="000000"/>
          <w:szCs w:val="20"/>
        </w:rPr>
        <w:t>.</w:t>
      </w:r>
      <w:r w:rsidR="000C4BDF">
        <w:rPr>
          <w:rFonts w:cs="Calibri (Body)"/>
          <w:color w:val="000000"/>
          <w:szCs w:val="20"/>
        </w:rPr>
        <w:t>8</w:t>
      </w:r>
      <w:r w:rsidR="00711524" w:rsidRPr="00711524">
        <w:rPr>
          <w:rFonts w:cs="Calibri (Body)"/>
          <w:color w:val="000000"/>
          <w:szCs w:val="20"/>
        </w:rPr>
        <w:t>% (n = 6,</w:t>
      </w:r>
      <w:r w:rsidR="00496A3B">
        <w:rPr>
          <w:rFonts w:cs="Calibri (Body)"/>
          <w:color w:val="000000"/>
          <w:szCs w:val="20"/>
        </w:rPr>
        <w:t>1</w:t>
      </w:r>
      <w:r w:rsidR="000C4BDF">
        <w:rPr>
          <w:rFonts w:cs="Calibri (Body)"/>
          <w:color w:val="000000"/>
          <w:szCs w:val="20"/>
        </w:rPr>
        <w:t>54</w:t>
      </w:r>
      <w:r w:rsidR="00711524" w:rsidRPr="00711524">
        <w:rPr>
          <w:rFonts w:cs="Calibri (Body)"/>
          <w:color w:val="000000"/>
          <w:szCs w:val="20"/>
        </w:rPr>
        <w:t>) of patients in the</w:t>
      </w:r>
      <w:r w:rsidR="00653E38">
        <w:rPr>
          <w:rFonts w:cs="Calibri (Body)"/>
          <w:color w:val="000000"/>
          <w:szCs w:val="20"/>
        </w:rPr>
        <w:t>se</w:t>
      </w:r>
      <w:r w:rsidR="00711524" w:rsidRPr="00711524">
        <w:rPr>
          <w:rFonts w:cs="Calibri (Body)"/>
          <w:color w:val="000000"/>
          <w:szCs w:val="20"/>
        </w:rPr>
        <w:t xml:space="preserve"> practices, twice for 25.4% (n = 2,</w:t>
      </w:r>
      <w:r w:rsidR="00A9161C">
        <w:rPr>
          <w:rFonts w:cs="Calibri (Body)"/>
          <w:color w:val="000000"/>
          <w:szCs w:val="20"/>
        </w:rPr>
        <w:t>57</w:t>
      </w:r>
      <w:r w:rsidR="000C4BDF">
        <w:rPr>
          <w:rFonts w:cs="Calibri (Body)"/>
          <w:color w:val="000000"/>
          <w:szCs w:val="20"/>
        </w:rPr>
        <w:t>0</w:t>
      </w:r>
      <w:r w:rsidR="00711524" w:rsidRPr="00711524">
        <w:rPr>
          <w:rFonts w:cs="Calibri (Body)"/>
          <w:color w:val="000000"/>
          <w:szCs w:val="20"/>
        </w:rPr>
        <w:t xml:space="preserve">), three times for </w:t>
      </w:r>
      <w:r w:rsidR="00223971">
        <w:rPr>
          <w:rFonts w:cs="Calibri (Body)"/>
          <w:color w:val="000000"/>
          <w:szCs w:val="20"/>
        </w:rPr>
        <w:t>10.1</w:t>
      </w:r>
      <w:r w:rsidR="00711524" w:rsidRPr="00711524">
        <w:rPr>
          <w:rFonts w:cs="Calibri (Body)"/>
          <w:color w:val="000000"/>
          <w:szCs w:val="20"/>
        </w:rPr>
        <w:t xml:space="preserve">% (n = </w:t>
      </w:r>
      <w:r w:rsidR="00223971">
        <w:rPr>
          <w:rFonts w:cs="Calibri (Body)"/>
          <w:color w:val="000000"/>
          <w:szCs w:val="20"/>
        </w:rPr>
        <w:t>1,025</w:t>
      </w:r>
      <w:r w:rsidR="00711524" w:rsidRPr="00711524">
        <w:rPr>
          <w:rFonts w:cs="Calibri (Body)"/>
          <w:color w:val="000000"/>
          <w:szCs w:val="20"/>
        </w:rPr>
        <w:t xml:space="preserve">), and four or more times for </w:t>
      </w:r>
      <w:r w:rsidR="00711524">
        <w:rPr>
          <w:rFonts w:cs="Calibri (Body)"/>
          <w:color w:val="000000"/>
          <w:szCs w:val="20"/>
        </w:rPr>
        <w:t>the remaining</w:t>
      </w:r>
      <w:r w:rsidR="00D3395A">
        <w:rPr>
          <w:rFonts w:cs="Calibri (Body)"/>
          <w:color w:val="000000"/>
          <w:szCs w:val="20"/>
        </w:rPr>
        <w:t xml:space="preserve"> </w:t>
      </w:r>
      <w:r w:rsidR="009D705B">
        <w:rPr>
          <w:rFonts w:cs="Calibri (Body)"/>
          <w:color w:val="000000"/>
          <w:szCs w:val="20"/>
        </w:rPr>
        <w:t>3.</w:t>
      </w:r>
      <w:r w:rsidR="00223971">
        <w:rPr>
          <w:rFonts w:cs="Calibri (Body)"/>
          <w:color w:val="000000"/>
          <w:szCs w:val="20"/>
        </w:rPr>
        <w:t>6</w:t>
      </w:r>
      <w:r w:rsidR="00711524" w:rsidRPr="00711524">
        <w:rPr>
          <w:rFonts w:cs="Calibri (Body)"/>
          <w:color w:val="000000"/>
          <w:szCs w:val="20"/>
        </w:rPr>
        <w:t>% of patients.</w:t>
      </w:r>
      <w:r w:rsidR="00101962">
        <w:rPr>
          <w:rFonts w:cs="Calibri (Body)"/>
          <w:color w:val="000000"/>
          <w:szCs w:val="20"/>
        </w:rPr>
        <w:t xml:space="preserve"> </w:t>
      </w:r>
      <w:r w:rsidR="00101962" w:rsidRPr="00B52630">
        <w:rPr>
          <w:rFonts w:cs="Calibri (Body)"/>
          <w:color w:val="000000"/>
          <w:szCs w:val="20"/>
          <w:lang w:val="en-GB"/>
        </w:rPr>
        <w:t>Practi</w:t>
      </w:r>
      <w:r w:rsidR="00101962">
        <w:rPr>
          <w:rFonts w:cs="Calibri (Body)"/>
          <w:color w:val="000000"/>
          <w:szCs w:val="20"/>
          <w:lang w:val="en-GB"/>
        </w:rPr>
        <w:t>c</w:t>
      </w:r>
      <w:r w:rsidR="00101962" w:rsidRPr="00B52630">
        <w:rPr>
          <w:rFonts w:cs="Calibri (Body)"/>
          <w:color w:val="000000"/>
          <w:szCs w:val="20"/>
          <w:lang w:val="en-GB"/>
        </w:rPr>
        <w:t xml:space="preserve">es </w:t>
      </w:r>
      <w:r w:rsidR="00C4712E">
        <w:rPr>
          <w:rFonts w:cs="Calibri (Body)"/>
          <w:color w:val="000000"/>
          <w:szCs w:val="20"/>
          <w:lang w:val="en-GB"/>
        </w:rPr>
        <w:t>participating</w:t>
      </w:r>
      <w:r w:rsidR="00101962">
        <w:rPr>
          <w:rFonts w:cs="Calibri (Body)"/>
          <w:color w:val="000000"/>
          <w:szCs w:val="20"/>
          <w:lang w:val="en-GB"/>
        </w:rPr>
        <w:t xml:space="preserve"> in HCH</w:t>
      </w:r>
      <w:r w:rsidR="00101962" w:rsidRPr="00B52630">
        <w:rPr>
          <w:rFonts w:cs="Calibri (Body)"/>
          <w:color w:val="000000"/>
          <w:szCs w:val="20"/>
          <w:lang w:val="en-GB"/>
        </w:rPr>
        <w:t xml:space="preserve"> </w:t>
      </w:r>
      <w:r w:rsidR="008B1C62">
        <w:rPr>
          <w:rFonts w:cs="Calibri (Body)"/>
          <w:color w:val="000000"/>
          <w:szCs w:val="20"/>
          <w:lang w:val="en-GB"/>
        </w:rPr>
        <w:t xml:space="preserve">were asked to </w:t>
      </w:r>
      <w:r w:rsidR="00101962" w:rsidRPr="00230078">
        <w:rPr>
          <w:rFonts w:cs="Calibri (Body)"/>
          <w:color w:val="000000"/>
          <w:szCs w:val="20"/>
          <w:lang w:val="en-GB"/>
        </w:rPr>
        <w:t>reassess patien</w:t>
      </w:r>
      <w:r w:rsidR="007C419B">
        <w:rPr>
          <w:rFonts w:cs="Calibri (Body)"/>
          <w:color w:val="000000"/>
          <w:szCs w:val="20"/>
          <w:lang w:val="en-GB"/>
        </w:rPr>
        <w:t>ts</w:t>
      </w:r>
      <w:r w:rsidR="00101962" w:rsidRPr="00230078">
        <w:rPr>
          <w:rFonts w:cs="Calibri (Body)"/>
          <w:color w:val="000000"/>
          <w:szCs w:val="20"/>
          <w:lang w:val="en-GB"/>
        </w:rPr>
        <w:t xml:space="preserve"> </w:t>
      </w:r>
      <w:r w:rsidR="00BA4D21">
        <w:rPr>
          <w:rFonts w:cs="Calibri (Body)"/>
          <w:color w:val="000000"/>
          <w:szCs w:val="20"/>
          <w:lang w:val="en-GB"/>
        </w:rPr>
        <w:t xml:space="preserve">using the </w:t>
      </w:r>
      <w:r w:rsidR="00101962" w:rsidRPr="00EE301C">
        <w:rPr>
          <w:rFonts w:cs="Calibri (Body)"/>
          <w:color w:val="000000"/>
          <w:szCs w:val="20"/>
          <w:lang w:val="en-GB"/>
        </w:rPr>
        <w:t>RST</w:t>
      </w:r>
      <w:r w:rsidR="00101962">
        <w:rPr>
          <w:rFonts w:cs="Calibri (Body)"/>
          <w:color w:val="000000"/>
          <w:szCs w:val="20"/>
          <w:lang w:val="en-GB"/>
        </w:rPr>
        <w:t xml:space="preserve"> </w:t>
      </w:r>
      <w:r w:rsidR="00101962" w:rsidRPr="00230078">
        <w:rPr>
          <w:rFonts w:cs="Calibri (Body)"/>
          <w:color w:val="000000"/>
          <w:szCs w:val="20"/>
          <w:lang w:val="en-GB"/>
        </w:rPr>
        <w:t>every 12 months</w:t>
      </w:r>
      <w:r w:rsidR="00101962">
        <w:rPr>
          <w:rFonts w:cs="Calibri (Body)"/>
          <w:color w:val="000000"/>
          <w:szCs w:val="20"/>
          <w:lang w:val="en-GB"/>
        </w:rPr>
        <w:t xml:space="preserve">. </w:t>
      </w:r>
      <w:r w:rsidR="00F758AE">
        <w:rPr>
          <w:rFonts w:cs="Calibri (Body)"/>
          <w:color w:val="000000"/>
          <w:szCs w:val="20"/>
          <w:lang w:val="en-GB"/>
        </w:rPr>
        <w:t>As discussed above, t</w:t>
      </w:r>
      <w:r w:rsidR="00596A2B">
        <w:rPr>
          <w:rFonts w:cs="Calibri (Body)"/>
          <w:color w:val="000000"/>
          <w:szCs w:val="20"/>
          <w:lang w:val="en-GB"/>
        </w:rPr>
        <w:t xml:space="preserve">his </w:t>
      </w:r>
      <w:r w:rsidR="00596A2B" w:rsidRPr="00230078">
        <w:rPr>
          <w:rFonts w:cs="Calibri (Body)"/>
          <w:color w:val="000000"/>
          <w:szCs w:val="20"/>
          <w:lang w:val="en-GB"/>
        </w:rPr>
        <w:t xml:space="preserve">didn't happen, and </w:t>
      </w:r>
      <w:r w:rsidR="0011280B">
        <w:rPr>
          <w:rFonts w:cs="Calibri (Body)"/>
          <w:color w:val="000000"/>
          <w:szCs w:val="20"/>
          <w:lang w:val="en-GB"/>
        </w:rPr>
        <w:t xml:space="preserve">consequently there is a potential </w:t>
      </w:r>
      <w:r w:rsidR="00596A2B">
        <w:rPr>
          <w:rFonts w:cs="Calibri (Body)"/>
          <w:color w:val="000000"/>
          <w:szCs w:val="20"/>
          <w:lang w:val="en-GB"/>
        </w:rPr>
        <w:t xml:space="preserve">bias </w:t>
      </w:r>
      <w:r w:rsidR="00596A2B" w:rsidRPr="00230078">
        <w:rPr>
          <w:rFonts w:cs="Calibri (Body)"/>
          <w:color w:val="000000"/>
          <w:szCs w:val="20"/>
          <w:lang w:val="en-GB"/>
        </w:rPr>
        <w:t xml:space="preserve">towards reassessing patients who were likely to move between </w:t>
      </w:r>
      <w:r w:rsidR="00596A2B">
        <w:rPr>
          <w:rFonts w:cs="Calibri (Body)"/>
          <w:color w:val="000000"/>
          <w:szCs w:val="20"/>
          <w:lang w:val="en-GB"/>
        </w:rPr>
        <w:t xml:space="preserve">tiers. </w:t>
      </w:r>
      <w:r w:rsidR="004E5E51">
        <w:rPr>
          <w:rFonts w:cs="Calibri (Body)"/>
          <w:color w:val="000000"/>
          <w:szCs w:val="20"/>
          <w:lang w:val="en-GB"/>
        </w:rPr>
        <w:t>Consequently</w:t>
      </w:r>
      <w:r w:rsidR="00E72CD1">
        <w:rPr>
          <w:rFonts w:cs="Calibri (Body)"/>
          <w:color w:val="000000"/>
          <w:szCs w:val="20"/>
          <w:lang w:val="en-GB"/>
        </w:rPr>
        <w:t>,</w:t>
      </w:r>
      <w:r w:rsidR="00596A2B">
        <w:rPr>
          <w:rFonts w:cs="Calibri (Body)"/>
          <w:color w:val="000000"/>
          <w:szCs w:val="20"/>
          <w:lang w:val="en-GB"/>
        </w:rPr>
        <w:t xml:space="preserve"> trends over the study period, and </w:t>
      </w:r>
      <w:r w:rsidR="00596A2B" w:rsidRPr="00230078">
        <w:rPr>
          <w:rFonts w:cs="Calibri (Body)"/>
          <w:color w:val="000000"/>
          <w:szCs w:val="20"/>
          <w:lang w:val="en-GB"/>
        </w:rPr>
        <w:t>difference</w:t>
      </w:r>
      <w:r w:rsidR="0022097D">
        <w:rPr>
          <w:rFonts w:cs="Calibri (Body)"/>
          <w:color w:val="000000"/>
          <w:szCs w:val="20"/>
          <w:lang w:val="en-GB"/>
        </w:rPr>
        <w:t>s</w:t>
      </w:r>
      <w:r w:rsidR="00596A2B" w:rsidRPr="00230078">
        <w:rPr>
          <w:rFonts w:cs="Calibri (Body)"/>
          <w:color w:val="000000"/>
          <w:szCs w:val="20"/>
          <w:lang w:val="en-GB"/>
        </w:rPr>
        <w:t xml:space="preserve"> </w:t>
      </w:r>
      <w:r w:rsidR="00596A2B">
        <w:rPr>
          <w:rFonts w:cs="Calibri (Body)"/>
          <w:color w:val="000000"/>
          <w:szCs w:val="20"/>
          <w:lang w:val="en-GB"/>
        </w:rPr>
        <w:t xml:space="preserve">in trends, </w:t>
      </w:r>
      <w:r w:rsidR="00596A2B" w:rsidRPr="00230078">
        <w:rPr>
          <w:rFonts w:cs="Calibri (Body)"/>
          <w:color w:val="000000"/>
          <w:szCs w:val="20"/>
          <w:lang w:val="en-GB"/>
        </w:rPr>
        <w:t>should be interpreted with caution</w:t>
      </w:r>
      <w:r w:rsidR="00596A2B">
        <w:rPr>
          <w:rFonts w:cs="Calibri (Body)"/>
          <w:color w:val="000000"/>
          <w:szCs w:val="20"/>
          <w:lang w:val="en-GB"/>
        </w:rPr>
        <w:t>.</w:t>
      </w:r>
    </w:p>
    <w:p w14:paraId="2B2A4CC4" w14:textId="27123DF9" w:rsidR="00B32199" w:rsidRDefault="005915D4" w:rsidP="001467D9">
      <w:pPr>
        <w:rPr>
          <w:rFonts w:cs="Calibri (Body)"/>
          <w:color w:val="000000"/>
          <w:szCs w:val="20"/>
        </w:rPr>
      </w:pPr>
      <w:r w:rsidRPr="005915D4">
        <w:rPr>
          <w:rFonts w:cs="Calibri (Body)"/>
          <w:color w:val="000000"/>
          <w:szCs w:val="20"/>
        </w:rPr>
        <w:t xml:space="preserve">There was a relatively small but significant increase </w:t>
      </w:r>
      <w:r w:rsidR="00A54909">
        <w:rPr>
          <w:rFonts w:cs="Calibri (Body)"/>
          <w:color w:val="000000"/>
          <w:szCs w:val="20"/>
        </w:rPr>
        <w:t xml:space="preserve">in </w:t>
      </w:r>
      <w:r w:rsidR="00D412C8">
        <w:rPr>
          <w:rFonts w:cs="Calibri (Body)"/>
          <w:color w:val="000000"/>
          <w:szCs w:val="20"/>
        </w:rPr>
        <w:t xml:space="preserve">the </w:t>
      </w:r>
      <w:r w:rsidR="00E92B61">
        <w:rPr>
          <w:rFonts w:cs="Calibri (Body)"/>
          <w:color w:val="000000"/>
          <w:szCs w:val="20"/>
        </w:rPr>
        <w:t xml:space="preserve">average </w:t>
      </w:r>
      <w:r w:rsidR="00D412C8">
        <w:rPr>
          <w:rFonts w:cs="Calibri (Body)"/>
          <w:color w:val="000000"/>
          <w:szCs w:val="20"/>
        </w:rPr>
        <w:t xml:space="preserve">PRM score </w:t>
      </w:r>
      <w:r w:rsidR="0050524E" w:rsidRPr="005915D4">
        <w:rPr>
          <w:rFonts w:cs="Calibri (Body)"/>
          <w:color w:val="000000"/>
          <w:szCs w:val="20"/>
        </w:rPr>
        <w:t>of 0.008 per year (95% CI 0.00</w:t>
      </w:r>
      <w:r w:rsidR="001467D9">
        <w:rPr>
          <w:rFonts w:cs="Calibri (Body)"/>
          <w:color w:val="000000"/>
          <w:szCs w:val="20"/>
        </w:rPr>
        <w:t>6</w:t>
      </w:r>
      <w:r w:rsidR="0050524E" w:rsidRPr="005915D4">
        <w:rPr>
          <w:rFonts w:cs="Calibri (Body)"/>
          <w:color w:val="000000"/>
          <w:szCs w:val="20"/>
        </w:rPr>
        <w:t xml:space="preserve"> to 0.0</w:t>
      </w:r>
      <w:r w:rsidR="001467D9">
        <w:rPr>
          <w:rFonts w:cs="Calibri (Body)"/>
          <w:color w:val="000000"/>
          <w:szCs w:val="20"/>
        </w:rPr>
        <w:t>10</w:t>
      </w:r>
      <w:r w:rsidR="0050524E" w:rsidRPr="005915D4">
        <w:rPr>
          <w:rFonts w:cs="Calibri (Body)"/>
          <w:color w:val="000000"/>
          <w:szCs w:val="20"/>
        </w:rPr>
        <w:t>)</w:t>
      </w:r>
      <w:r w:rsidR="00A54909">
        <w:rPr>
          <w:rFonts w:cs="Calibri (Body)"/>
          <w:color w:val="000000"/>
          <w:szCs w:val="20"/>
        </w:rPr>
        <w:t xml:space="preserve">, </w:t>
      </w:r>
      <w:r w:rsidR="00E92B61">
        <w:rPr>
          <w:rFonts w:cs="Calibri (Body)"/>
          <w:color w:val="000000"/>
          <w:szCs w:val="20"/>
        </w:rPr>
        <w:t>which in relative terms was a</w:t>
      </w:r>
      <w:r w:rsidR="00BA6C4D">
        <w:rPr>
          <w:rFonts w:cs="Calibri (Body)"/>
          <w:color w:val="000000"/>
          <w:szCs w:val="20"/>
        </w:rPr>
        <w:t>bout</w:t>
      </w:r>
      <w:r w:rsidR="00E92B61">
        <w:rPr>
          <w:rFonts w:cs="Calibri (Body)"/>
          <w:color w:val="000000"/>
          <w:szCs w:val="20"/>
        </w:rPr>
        <w:t xml:space="preserve"> a 5% increase per year </w:t>
      </w:r>
      <w:r w:rsidRPr="005915D4">
        <w:rPr>
          <w:rFonts w:cs="Calibri (Body)"/>
          <w:color w:val="000000"/>
          <w:szCs w:val="20"/>
        </w:rPr>
        <w:t xml:space="preserve">over the period of the </w:t>
      </w:r>
      <w:r w:rsidR="00103608">
        <w:rPr>
          <w:rFonts w:cs="Calibri (Body)"/>
          <w:color w:val="000000"/>
          <w:szCs w:val="20"/>
        </w:rPr>
        <w:t>study</w:t>
      </w:r>
      <w:r w:rsidR="008F70D7">
        <w:rPr>
          <w:rFonts w:cs="Calibri (Body)"/>
          <w:color w:val="000000"/>
          <w:szCs w:val="20"/>
        </w:rPr>
        <w:t xml:space="preserve"> (</w:t>
      </w:r>
      <w:r w:rsidR="002F43E6" w:rsidRPr="001E1ECD">
        <w:rPr>
          <w:rFonts w:cs="Calibri (Body)"/>
          <w:color w:val="1D2455"/>
          <w:szCs w:val="20"/>
        </w:rPr>
        <w:fldChar w:fldCharType="begin"/>
      </w:r>
      <w:r w:rsidR="002F43E6" w:rsidRPr="001E1ECD">
        <w:rPr>
          <w:rFonts w:cs="Calibri (Body)"/>
          <w:color w:val="1D2455"/>
          <w:szCs w:val="20"/>
        </w:rPr>
        <w:instrText xml:space="preserve"> REF _Ref97114398 \h </w:instrText>
      </w:r>
      <w:r w:rsidR="001E1ECD">
        <w:rPr>
          <w:rFonts w:cs="Calibri (Body)"/>
          <w:color w:val="1D2455"/>
          <w:szCs w:val="20"/>
        </w:rPr>
        <w:instrText xml:space="preserve"> \* MERGEFORMAT </w:instrText>
      </w:r>
      <w:r w:rsidR="002F43E6" w:rsidRPr="001E1ECD">
        <w:rPr>
          <w:rFonts w:cs="Calibri (Body)"/>
          <w:color w:val="1D2455"/>
          <w:szCs w:val="20"/>
        </w:rPr>
      </w:r>
      <w:r w:rsidR="002F43E6" w:rsidRPr="001E1ECD">
        <w:rPr>
          <w:rFonts w:cs="Calibri (Body)"/>
          <w:color w:val="1D2455"/>
          <w:szCs w:val="20"/>
        </w:rPr>
        <w:fldChar w:fldCharType="separate"/>
      </w:r>
      <w:r w:rsidR="003C4BC2" w:rsidRPr="003C4BC2">
        <w:rPr>
          <w:color w:val="1D2455"/>
        </w:rPr>
        <w:t xml:space="preserve">Figure </w:t>
      </w:r>
      <w:r w:rsidR="003C4BC2" w:rsidRPr="003C4BC2">
        <w:rPr>
          <w:noProof/>
          <w:color w:val="1D2455"/>
        </w:rPr>
        <w:t>9</w:t>
      </w:r>
      <w:r w:rsidR="002F43E6" w:rsidRPr="001E1ECD">
        <w:rPr>
          <w:rFonts w:cs="Calibri (Body)"/>
          <w:color w:val="1D2455"/>
          <w:szCs w:val="20"/>
        </w:rPr>
        <w:fldChar w:fldCharType="end"/>
      </w:r>
      <w:r w:rsidR="008F70D7">
        <w:rPr>
          <w:rFonts w:cs="Calibri (Body)"/>
          <w:color w:val="000000"/>
          <w:szCs w:val="20"/>
        </w:rPr>
        <w:t>)</w:t>
      </w:r>
      <w:r w:rsidR="00103608">
        <w:rPr>
          <w:rFonts w:cs="Calibri (Body)"/>
          <w:color w:val="000000"/>
          <w:szCs w:val="20"/>
        </w:rPr>
        <w:t>.</w:t>
      </w:r>
      <w:r w:rsidR="00A561EE">
        <w:rPr>
          <w:rFonts w:cs="Calibri (Body)"/>
          <w:color w:val="000000"/>
          <w:szCs w:val="20"/>
        </w:rPr>
        <w:t xml:space="preserve"> </w:t>
      </w:r>
      <w:r w:rsidR="00472300">
        <w:rPr>
          <w:rFonts w:cs="Calibri (Body)"/>
          <w:color w:val="000000"/>
          <w:szCs w:val="20"/>
        </w:rPr>
        <w:t>The t</w:t>
      </w:r>
      <w:r w:rsidR="00850B3E">
        <w:rPr>
          <w:rFonts w:cs="Calibri (Body)"/>
          <w:color w:val="000000"/>
          <w:szCs w:val="20"/>
        </w:rPr>
        <w:t xml:space="preserve">rends </w:t>
      </w:r>
      <w:r w:rsidR="00472300">
        <w:rPr>
          <w:rFonts w:cs="Calibri (Body)"/>
          <w:color w:val="000000"/>
          <w:szCs w:val="20"/>
        </w:rPr>
        <w:t>were similar across tiers.</w:t>
      </w:r>
    </w:p>
    <w:p w14:paraId="43A23CF5" w14:textId="0C4DE61F" w:rsidR="001467D9" w:rsidRPr="005915D4" w:rsidRDefault="001467D9" w:rsidP="001467D9">
      <w:pPr>
        <w:rPr>
          <w:rFonts w:cs="Calibri (Body)"/>
          <w:color w:val="000000"/>
          <w:szCs w:val="20"/>
        </w:rPr>
      </w:pPr>
      <w:r w:rsidRPr="005915D4">
        <w:rPr>
          <w:rFonts w:cs="Calibri (Body)"/>
          <w:color w:val="000000"/>
          <w:szCs w:val="20"/>
        </w:rPr>
        <w:t>There was a</w:t>
      </w:r>
      <w:r>
        <w:rPr>
          <w:rFonts w:cs="Calibri (Body)"/>
          <w:color w:val="000000"/>
          <w:szCs w:val="20"/>
        </w:rPr>
        <w:t>lso</w:t>
      </w:r>
      <w:r w:rsidRPr="005915D4">
        <w:rPr>
          <w:rFonts w:cs="Calibri (Body)"/>
          <w:color w:val="000000"/>
          <w:szCs w:val="20"/>
        </w:rPr>
        <w:t xml:space="preserve"> </w:t>
      </w:r>
      <w:r>
        <w:rPr>
          <w:rFonts w:cs="Calibri (Body)"/>
          <w:color w:val="000000"/>
          <w:szCs w:val="20"/>
        </w:rPr>
        <w:t>a</w:t>
      </w:r>
      <w:r w:rsidRPr="005915D4">
        <w:rPr>
          <w:rFonts w:cs="Calibri (Body)"/>
          <w:color w:val="000000"/>
          <w:szCs w:val="20"/>
        </w:rPr>
        <w:t xml:space="preserve"> significant increase </w:t>
      </w:r>
      <w:r w:rsidR="00CE3907">
        <w:rPr>
          <w:rFonts w:cs="Calibri (Body)"/>
          <w:color w:val="000000"/>
          <w:szCs w:val="20"/>
        </w:rPr>
        <w:t xml:space="preserve">in the </w:t>
      </w:r>
      <w:r w:rsidR="00DE02C4">
        <w:rPr>
          <w:rFonts w:cs="Calibri (Body)"/>
          <w:color w:val="000000"/>
          <w:szCs w:val="20"/>
        </w:rPr>
        <w:t xml:space="preserve">average </w:t>
      </w:r>
      <w:r w:rsidR="00CE3907" w:rsidRPr="00EE301C">
        <w:rPr>
          <w:rFonts w:cs="Calibri (Body)"/>
          <w:color w:val="000000"/>
          <w:szCs w:val="20"/>
        </w:rPr>
        <w:t xml:space="preserve">HARP scores </w:t>
      </w:r>
      <w:r w:rsidRPr="00EE301C">
        <w:rPr>
          <w:rFonts w:cs="Calibri (Body)"/>
          <w:color w:val="000000"/>
          <w:szCs w:val="20"/>
        </w:rPr>
        <w:t xml:space="preserve">of </w:t>
      </w:r>
      <w:r w:rsidR="002B2BE0" w:rsidRPr="00EE301C">
        <w:rPr>
          <w:rFonts w:cs="Calibri (Body)"/>
          <w:color w:val="000000"/>
          <w:szCs w:val="20"/>
        </w:rPr>
        <w:t>1.</w:t>
      </w:r>
      <w:r w:rsidRPr="00EE301C">
        <w:rPr>
          <w:rFonts w:cs="Calibri (Body)"/>
          <w:color w:val="000000"/>
          <w:szCs w:val="20"/>
        </w:rPr>
        <w:t>0 per year (95% CI 0.</w:t>
      </w:r>
      <w:r w:rsidR="00FE7AC5" w:rsidRPr="00EE301C">
        <w:rPr>
          <w:rFonts w:cs="Calibri (Body)"/>
          <w:color w:val="000000"/>
          <w:szCs w:val="20"/>
        </w:rPr>
        <w:t>89</w:t>
      </w:r>
      <w:r w:rsidRPr="00EE301C">
        <w:rPr>
          <w:rFonts w:cs="Calibri (Body)"/>
          <w:color w:val="000000"/>
          <w:szCs w:val="20"/>
        </w:rPr>
        <w:t xml:space="preserve"> to </w:t>
      </w:r>
      <w:r w:rsidR="00AD2FAC" w:rsidRPr="00EE301C">
        <w:rPr>
          <w:rFonts w:cs="Calibri (Body)"/>
          <w:color w:val="000000"/>
          <w:szCs w:val="20"/>
        </w:rPr>
        <w:t>1.1</w:t>
      </w:r>
      <w:r w:rsidRPr="00EE301C">
        <w:rPr>
          <w:rFonts w:cs="Calibri (Body)"/>
          <w:color w:val="000000"/>
          <w:szCs w:val="20"/>
        </w:rPr>
        <w:t>0)</w:t>
      </w:r>
      <w:r w:rsidR="00C77690">
        <w:rPr>
          <w:rFonts w:cs="Calibri (Body)"/>
          <w:color w:val="000000"/>
          <w:szCs w:val="20"/>
        </w:rPr>
        <w:t xml:space="preserve">, </w:t>
      </w:r>
      <w:r w:rsidR="00FC757E" w:rsidRPr="00EE301C">
        <w:rPr>
          <w:rFonts w:cs="Calibri (Body)"/>
          <w:color w:val="000000"/>
          <w:szCs w:val="20"/>
        </w:rPr>
        <w:t xml:space="preserve">which in relative terms was </w:t>
      </w:r>
      <w:r w:rsidR="00BA6C4D">
        <w:rPr>
          <w:rFonts w:cs="Calibri (Body)"/>
          <w:color w:val="000000"/>
          <w:szCs w:val="20"/>
        </w:rPr>
        <w:t>about</w:t>
      </w:r>
      <w:r w:rsidR="00FC757E" w:rsidRPr="00EE301C">
        <w:rPr>
          <w:rFonts w:cs="Calibri (Body)"/>
          <w:color w:val="000000"/>
          <w:szCs w:val="20"/>
        </w:rPr>
        <w:t xml:space="preserve"> a </w:t>
      </w:r>
      <w:r w:rsidR="0099181E" w:rsidRPr="00EE301C">
        <w:rPr>
          <w:rFonts w:cs="Calibri (Body)"/>
          <w:color w:val="000000"/>
          <w:szCs w:val="20"/>
        </w:rPr>
        <w:t>5</w:t>
      </w:r>
      <w:r w:rsidR="00FC757E" w:rsidRPr="00EE301C">
        <w:rPr>
          <w:rFonts w:cs="Calibri (Body)"/>
          <w:color w:val="000000"/>
          <w:szCs w:val="20"/>
        </w:rPr>
        <w:t>%</w:t>
      </w:r>
      <w:r w:rsidR="00FC757E">
        <w:rPr>
          <w:rFonts w:cs="Calibri (Body)"/>
          <w:color w:val="000000"/>
          <w:szCs w:val="20"/>
        </w:rPr>
        <w:t xml:space="preserve"> </w:t>
      </w:r>
      <w:r w:rsidR="0000647B">
        <w:rPr>
          <w:rFonts w:cs="Calibri (Body)"/>
          <w:color w:val="000000"/>
          <w:szCs w:val="20"/>
        </w:rPr>
        <w:t>increase per year</w:t>
      </w:r>
      <w:r w:rsidRPr="005915D4">
        <w:rPr>
          <w:rFonts w:cs="Calibri (Body)"/>
          <w:color w:val="000000"/>
          <w:szCs w:val="20"/>
        </w:rPr>
        <w:t xml:space="preserve"> over the period of the </w:t>
      </w:r>
      <w:r w:rsidR="00C77690">
        <w:rPr>
          <w:rFonts w:cs="Calibri (Body)"/>
          <w:color w:val="000000"/>
          <w:szCs w:val="20"/>
        </w:rPr>
        <w:t>trial</w:t>
      </w:r>
      <w:r>
        <w:rPr>
          <w:rFonts w:cs="Calibri (Body)"/>
          <w:color w:val="000000"/>
          <w:szCs w:val="20"/>
        </w:rPr>
        <w:t xml:space="preserve"> (</w:t>
      </w:r>
      <w:r w:rsidR="00786CCA" w:rsidRPr="00EE301C">
        <w:rPr>
          <w:rFonts w:cs="Calibri (Body)"/>
          <w:color w:val="000000"/>
          <w:szCs w:val="20"/>
        </w:rPr>
        <w:fldChar w:fldCharType="begin"/>
      </w:r>
      <w:r w:rsidR="00786CCA" w:rsidRPr="00EE301C">
        <w:rPr>
          <w:rFonts w:cs="Calibri (Body)"/>
          <w:color w:val="000000"/>
          <w:szCs w:val="20"/>
        </w:rPr>
        <w:instrText xml:space="preserve"> REF _Ref97624375 \h </w:instrText>
      </w:r>
      <w:r w:rsidR="00EE301C">
        <w:rPr>
          <w:rFonts w:cs="Calibri (Body)"/>
          <w:color w:val="000000"/>
          <w:szCs w:val="20"/>
        </w:rPr>
        <w:instrText xml:space="preserve"> \* MERGEFORMAT </w:instrText>
      </w:r>
      <w:r w:rsidR="00786CCA" w:rsidRPr="00EE301C">
        <w:rPr>
          <w:rFonts w:cs="Calibri (Body)"/>
          <w:color w:val="000000"/>
          <w:szCs w:val="20"/>
        </w:rPr>
      </w:r>
      <w:r w:rsidR="00786CCA" w:rsidRPr="00EE301C">
        <w:rPr>
          <w:rFonts w:cs="Calibri (Body)"/>
          <w:color w:val="000000"/>
          <w:szCs w:val="20"/>
        </w:rPr>
        <w:fldChar w:fldCharType="separate"/>
      </w:r>
      <w:r w:rsidR="003C4BC2">
        <w:t>F</w:t>
      </w:r>
      <w:r w:rsidR="003C4BC2" w:rsidRPr="00C77690">
        <w:t xml:space="preserve">igure </w:t>
      </w:r>
      <w:r w:rsidR="003C4BC2">
        <w:rPr>
          <w:noProof/>
        </w:rPr>
        <w:t>10</w:t>
      </w:r>
      <w:r w:rsidR="00786CCA" w:rsidRPr="00EE301C">
        <w:rPr>
          <w:rFonts w:cs="Calibri (Body)"/>
          <w:color w:val="000000"/>
          <w:szCs w:val="20"/>
        </w:rPr>
        <w:fldChar w:fldCharType="end"/>
      </w:r>
      <w:r w:rsidRPr="00EE301C">
        <w:rPr>
          <w:rFonts w:cs="Calibri (Body)"/>
          <w:color w:val="000000"/>
          <w:szCs w:val="20"/>
        </w:rPr>
        <w:t>).</w:t>
      </w:r>
      <w:r>
        <w:rPr>
          <w:rFonts w:cs="Calibri (Body)"/>
          <w:color w:val="000000"/>
          <w:szCs w:val="20"/>
        </w:rPr>
        <w:t xml:space="preserve"> </w:t>
      </w:r>
      <w:r w:rsidR="00FD3B68">
        <w:rPr>
          <w:rFonts w:cs="Calibri (Body)"/>
          <w:color w:val="000000"/>
          <w:szCs w:val="20"/>
        </w:rPr>
        <w:t>The trends in the HARP score were similar across tiers</w:t>
      </w:r>
      <w:r w:rsidR="0099181E" w:rsidRPr="00EE301C">
        <w:rPr>
          <w:rFonts w:cs="Calibri (Body)"/>
          <w:color w:val="000000"/>
          <w:szCs w:val="20"/>
        </w:rPr>
        <w:t>.</w:t>
      </w:r>
    </w:p>
    <w:p w14:paraId="2AA75231" w14:textId="3F40EDEB" w:rsidR="00242BC9" w:rsidRPr="00F22F05" w:rsidRDefault="00834555" w:rsidP="00F22F05">
      <w:pPr>
        <w:pStyle w:val="tabletitle"/>
      </w:pPr>
      <w:bookmarkStart w:id="122" w:name="_Ref97114398"/>
      <w:r>
        <w:lastRenderedPageBreak/>
        <w:t>Figure</w:t>
      </w:r>
      <w:r w:rsidRPr="00E76010">
        <w:t xml:space="preserve"> </w:t>
      </w:r>
      <w:r w:rsidR="00A61B29">
        <w:fldChar w:fldCharType="begin"/>
      </w:r>
      <w:r w:rsidR="00A61B29">
        <w:instrText xml:space="preserve"> SEQ Figure \* ARABIC </w:instrText>
      </w:r>
      <w:r w:rsidR="00A61B29">
        <w:fldChar w:fldCharType="separate"/>
      </w:r>
      <w:r w:rsidR="003C4BC2">
        <w:rPr>
          <w:noProof/>
        </w:rPr>
        <w:t>9</w:t>
      </w:r>
      <w:r w:rsidR="00A61B29">
        <w:rPr>
          <w:noProof/>
        </w:rPr>
        <w:fldChar w:fldCharType="end"/>
      </w:r>
      <w:bookmarkEnd w:id="122"/>
      <w:r>
        <w:t>:</w:t>
      </w:r>
      <w:r w:rsidRPr="00E76010">
        <w:t xml:space="preserve"> </w:t>
      </w:r>
      <w:r w:rsidRPr="00476E9E">
        <w:t>Distribution of</w:t>
      </w:r>
      <w:r>
        <w:t xml:space="preserve"> PRM </w:t>
      </w:r>
      <w:r w:rsidRPr="00476E9E">
        <w:t xml:space="preserve">risk scores by HCH </w:t>
      </w:r>
      <w:r w:rsidR="00C66311">
        <w:t xml:space="preserve">baseline </w:t>
      </w:r>
      <w:r w:rsidRPr="00476E9E">
        <w:t>tier</w:t>
      </w:r>
      <w:r w:rsidR="00C66311">
        <w:t xml:space="preserve"> and period after baseline</w:t>
      </w:r>
    </w:p>
    <w:p w14:paraId="57643272" w14:textId="31B82CD4" w:rsidR="00992871" w:rsidRDefault="003E2BC9" w:rsidP="00947647">
      <w:pPr>
        <w:jc w:val="center"/>
        <w:rPr>
          <w:rFonts w:cs="Calibri (Body)"/>
          <w:color w:val="000000"/>
          <w:szCs w:val="20"/>
        </w:rPr>
      </w:pPr>
      <w:r>
        <w:rPr>
          <w:rFonts w:cs="Calibri (Body)"/>
          <w:noProof/>
          <w:color w:val="000000"/>
          <w:szCs w:val="20"/>
        </w:rPr>
        <w:drawing>
          <wp:inline distT="0" distB="0" distL="0" distR="0" wp14:anchorId="3DF5ACE6" wp14:editId="59F0EBEA">
            <wp:extent cx="4644000" cy="3405600"/>
            <wp:effectExtent l="0" t="0" r="0" b="0"/>
            <wp:docPr id="32" name="Picture 32"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box and whisker chart&#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644000" cy="3405600"/>
                    </a:xfrm>
                    <a:prstGeom prst="rect">
                      <a:avLst/>
                    </a:prstGeom>
                  </pic:spPr>
                </pic:pic>
              </a:graphicData>
            </a:graphic>
          </wp:inline>
        </w:drawing>
      </w:r>
    </w:p>
    <w:p w14:paraId="6FE7D57D" w14:textId="77777777" w:rsidR="00A545B0" w:rsidRDefault="00A545B0" w:rsidP="00A545B0">
      <w:pPr>
        <w:pStyle w:val="Chartortablefootnote"/>
      </w:pPr>
      <w:r w:rsidRPr="00C2020E">
        <w:t>Source: Risk stratification data provided by Precedence Health Care, to May 2021.</w:t>
      </w:r>
    </w:p>
    <w:p w14:paraId="342555D5" w14:textId="75F4F5A4" w:rsidR="00206774" w:rsidRDefault="00F22F05" w:rsidP="000A49DC">
      <w:pPr>
        <w:pStyle w:val="TableorFigurecaptionHPA"/>
      </w:pPr>
      <w:bookmarkStart w:id="123" w:name="_Ref97624375"/>
      <w:r>
        <w:t>F</w:t>
      </w:r>
      <w:r w:rsidRPr="00C77690">
        <w:t xml:space="preserve">igure </w:t>
      </w:r>
      <w:r w:rsidR="00A61B29">
        <w:fldChar w:fldCharType="begin"/>
      </w:r>
      <w:r w:rsidR="00A61B29">
        <w:instrText xml:space="preserve"> SEQ Figure \* ARABIC </w:instrText>
      </w:r>
      <w:r w:rsidR="00A61B29">
        <w:fldChar w:fldCharType="separate"/>
      </w:r>
      <w:r w:rsidR="003C4BC2">
        <w:rPr>
          <w:noProof/>
        </w:rPr>
        <w:t>10</w:t>
      </w:r>
      <w:r w:rsidR="00A61B29">
        <w:rPr>
          <w:noProof/>
        </w:rPr>
        <w:fldChar w:fldCharType="end"/>
      </w:r>
      <w:bookmarkEnd w:id="123"/>
      <w:r w:rsidRPr="00C77690">
        <w:t xml:space="preserve">: Distribution of scores </w:t>
      </w:r>
      <w:r w:rsidR="00206774" w:rsidRPr="00C77690">
        <w:t xml:space="preserve">on the HARP </w:t>
      </w:r>
      <w:r w:rsidRPr="00C77690">
        <w:t xml:space="preserve">by HCH baseline tier and period after </w:t>
      </w:r>
      <w:r w:rsidR="0002675D" w:rsidRPr="00C77690">
        <w:t>baseline</w:t>
      </w:r>
    </w:p>
    <w:p w14:paraId="12F974C6" w14:textId="77777777" w:rsidR="00A545B0" w:rsidRDefault="00EE301C" w:rsidP="00A545B0">
      <w:pPr>
        <w:pStyle w:val="Chartortablefootnote"/>
      </w:pPr>
      <w:r>
        <w:rPr>
          <w:rFonts w:cs="Calibri (Body)"/>
          <w:noProof/>
          <w:color w:val="000000"/>
          <w:szCs w:val="20"/>
        </w:rPr>
        <w:drawing>
          <wp:inline distT="0" distB="0" distL="0" distR="0" wp14:anchorId="458DF26E" wp14:editId="0A9745E1">
            <wp:extent cx="4644000" cy="3405600"/>
            <wp:effectExtent l="0" t="0" r="0" b="0"/>
            <wp:docPr id="34" name="Picture 34"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Chart, box and whisker chart&#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4644000" cy="3405600"/>
                    </a:xfrm>
                    <a:prstGeom prst="rect">
                      <a:avLst/>
                    </a:prstGeom>
                  </pic:spPr>
                </pic:pic>
              </a:graphicData>
            </a:graphic>
          </wp:inline>
        </w:drawing>
      </w:r>
    </w:p>
    <w:p w14:paraId="6077DBBD" w14:textId="56945122" w:rsidR="006457EC" w:rsidRPr="00A545B0" w:rsidRDefault="00A545B0" w:rsidP="00A545B0">
      <w:pPr>
        <w:pStyle w:val="Chartortablefootnote"/>
      </w:pPr>
      <w:r w:rsidRPr="00A545B0">
        <w:t xml:space="preserve"> </w:t>
      </w:r>
      <w:r w:rsidRPr="00C2020E">
        <w:t>Source: Risk stratification data provided by Precedence Health Care, to May 2021.</w:t>
      </w:r>
      <w:r w:rsidR="006457EC">
        <w:rPr>
          <w:rFonts w:cs="Calibri (Body)"/>
          <w:color w:val="000000"/>
          <w:szCs w:val="20"/>
          <w:lang w:val="en-GB"/>
        </w:rPr>
        <w:br w:type="page"/>
      </w:r>
    </w:p>
    <w:p w14:paraId="1A65DAEE" w14:textId="766FCCC5" w:rsidR="004344A8" w:rsidRPr="0094369A" w:rsidRDefault="00A56F24" w:rsidP="004344A8">
      <w:pPr>
        <w:pStyle w:val="ChapterNumber"/>
      </w:pPr>
      <w:r>
        <w:lastRenderedPageBreak/>
        <w:fldChar w:fldCharType="begin"/>
      </w:r>
      <w:r>
        <w:instrText xml:space="preserve"> REF _Ref84158990 \r \h </w:instrText>
      </w:r>
      <w:r>
        <w:fldChar w:fldCharType="separate"/>
      </w:r>
      <w:r w:rsidR="003C4BC2">
        <w:t>7</w:t>
      </w:r>
      <w:r>
        <w:fldChar w:fldCharType="end"/>
      </w:r>
    </w:p>
    <w:p w14:paraId="508C9E9F" w14:textId="18BF7433" w:rsidR="004344A8" w:rsidRDefault="004344A8" w:rsidP="004344A8">
      <w:pPr>
        <w:pStyle w:val="Heading1withnumber"/>
        <w:ind w:left="0" w:hanging="567"/>
      </w:pPr>
      <w:bookmarkStart w:id="124" w:name="_Ref84158990"/>
      <w:bookmarkStart w:id="125" w:name="_Toc109996668"/>
      <w:r>
        <w:t>Patient enrolment</w:t>
      </w:r>
      <w:bookmarkEnd w:id="124"/>
      <w:bookmarkEnd w:id="125"/>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110725" w:rsidRPr="0048466A" w14:paraId="22689DF2" w14:textId="77777777" w:rsidTr="0032660B">
        <w:tc>
          <w:tcPr>
            <w:tcW w:w="8996" w:type="dxa"/>
            <w:shd w:val="clear" w:color="auto" w:fill="auto"/>
          </w:tcPr>
          <w:p w14:paraId="2B3917F1" w14:textId="03026BCC" w:rsidR="00110725" w:rsidRPr="006201AB" w:rsidRDefault="00110725" w:rsidP="00BE164E">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10</w:t>
            </w:r>
            <w:r w:rsidRPr="006201AB">
              <w:rPr>
                <w:bCs/>
                <w:noProof/>
              </w:rPr>
              <w:fldChar w:fldCharType="end"/>
            </w:r>
            <w:r w:rsidRPr="006201AB">
              <w:rPr>
                <w:bCs/>
                <w:szCs w:val="20"/>
              </w:rPr>
              <w:t>: Chapter summary</w:t>
            </w:r>
          </w:p>
          <w:p w14:paraId="3DFB3D13" w14:textId="77777777" w:rsidR="0055053A" w:rsidRDefault="0055053A" w:rsidP="0055053A">
            <w:pPr>
              <w:spacing w:after="120"/>
              <w:rPr>
                <w:sz w:val="18"/>
                <w:szCs w:val="18"/>
              </w:rPr>
            </w:pPr>
            <w:r w:rsidRPr="00F118AE">
              <w:rPr>
                <w:sz w:val="18"/>
                <w:szCs w:val="18"/>
              </w:rPr>
              <w:t>A key feature of HCH was voluntary enrolment of patients to a practice and a specific GP</w:t>
            </w:r>
            <w:r>
              <w:rPr>
                <w:sz w:val="18"/>
                <w:szCs w:val="18"/>
              </w:rPr>
              <w:t xml:space="preserve">. Practices could enrol patients on joining the trial and until 30 June 2019 (extended from 30 November 2018). </w:t>
            </w:r>
          </w:p>
          <w:p w14:paraId="6A62D824" w14:textId="155A2EC8" w:rsidR="0055053A" w:rsidRDefault="0055053A" w:rsidP="0055053A">
            <w:pPr>
              <w:spacing w:after="120"/>
              <w:rPr>
                <w:sz w:val="18"/>
                <w:szCs w:val="18"/>
              </w:rPr>
            </w:pPr>
            <w:r>
              <w:rPr>
                <w:sz w:val="18"/>
                <w:szCs w:val="18"/>
              </w:rPr>
              <w:t xml:space="preserve">The Department of Health provided guidance to practices on the enrolment processes in the HCH handbook for practices and funded </w:t>
            </w:r>
            <w:r w:rsidR="00623A51">
              <w:rPr>
                <w:sz w:val="18"/>
                <w:szCs w:val="18"/>
              </w:rPr>
              <w:t>staff</w:t>
            </w:r>
            <w:r>
              <w:rPr>
                <w:sz w:val="18"/>
                <w:szCs w:val="18"/>
              </w:rPr>
              <w:t xml:space="preserve"> in each of the 10 PHNs to help practices with enrolment.</w:t>
            </w:r>
          </w:p>
          <w:p w14:paraId="6D0ADFE7" w14:textId="3A5FA2BB" w:rsidR="0055053A" w:rsidRPr="00441F13" w:rsidRDefault="0055053A" w:rsidP="0055053A">
            <w:pPr>
              <w:spacing w:after="120"/>
              <w:rPr>
                <w:sz w:val="18"/>
                <w:szCs w:val="18"/>
              </w:rPr>
            </w:pPr>
            <w:r>
              <w:rPr>
                <w:sz w:val="18"/>
                <w:szCs w:val="18"/>
              </w:rPr>
              <w:t xml:space="preserve">Practices used different approaches </w:t>
            </w:r>
            <w:r w:rsidR="00291094">
              <w:rPr>
                <w:sz w:val="18"/>
                <w:szCs w:val="18"/>
              </w:rPr>
              <w:t>to enrol</w:t>
            </w:r>
            <w:r>
              <w:rPr>
                <w:sz w:val="18"/>
                <w:szCs w:val="18"/>
              </w:rPr>
              <w:t xml:space="preserve"> patients. Some </w:t>
            </w:r>
            <w:r w:rsidRPr="00441F13">
              <w:rPr>
                <w:sz w:val="18"/>
                <w:szCs w:val="18"/>
              </w:rPr>
              <w:t xml:space="preserve">opportunistically enrolled patients as they attended the practice for their appointments. Others were more strategic, for example, holding a forum to explain the </w:t>
            </w:r>
            <w:r>
              <w:rPr>
                <w:sz w:val="18"/>
                <w:szCs w:val="18"/>
              </w:rPr>
              <w:t>trial</w:t>
            </w:r>
            <w:r w:rsidRPr="00441F13">
              <w:rPr>
                <w:sz w:val="18"/>
                <w:szCs w:val="18"/>
              </w:rPr>
              <w:t xml:space="preserve"> to </w:t>
            </w:r>
            <w:r>
              <w:rPr>
                <w:sz w:val="18"/>
                <w:szCs w:val="18"/>
              </w:rPr>
              <w:t xml:space="preserve">their </w:t>
            </w:r>
            <w:r w:rsidRPr="00441F13">
              <w:rPr>
                <w:sz w:val="18"/>
                <w:szCs w:val="18"/>
              </w:rPr>
              <w:t>patients</w:t>
            </w:r>
            <w:r>
              <w:rPr>
                <w:sz w:val="18"/>
                <w:szCs w:val="18"/>
              </w:rPr>
              <w:t xml:space="preserve"> and providing on-the-spot enrolment facilities. Practices did not approach some patients flagged as potentially suitable by the RST mainly because they thought it would not be financially viable based on the patient’s past attendance patterns. Practices </w:t>
            </w:r>
            <w:r w:rsidRPr="001C07C2">
              <w:rPr>
                <w:sz w:val="18"/>
                <w:szCs w:val="18"/>
              </w:rPr>
              <w:t xml:space="preserve">generally </w:t>
            </w:r>
            <w:r>
              <w:rPr>
                <w:sz w:val="18"/>
                <w:szCs w:val="18"/>
              </w:rPr>
              <w:t>approached</w:t>
            </w:r>
            <w:r w:rsidRPr="001C07C2">
              <w:rPr>
                <w:sz w:val="18"/>
                <w:szCs w:val="18"/>
              </w:rPr>
              <w:t xml:space="preserve"> patients</w:t>
            </w:r>
            <w:r>
              <w:rPr>
                <w:sz w:val="18"/>
                <w:szCs w:val="18"/>
              </w:rPr>
              <w:t xml:space="preserve"> to enrol</w:t>
            </w:r>
            <w:r w:rsidRPr="001C07C2">
              <w:rPr>
                <w:sz w:val="18"/>
                <w:szCs w:val="18"/>
              </w:rPr>
              <w:t xml:space="preserve"> who were already motivated to manage their health</w:t>
            </w:r>
            <w:r>
              <w:rPr>
                <w:sz w:val="18"/>
                <w:szCs w:val="18"/>
              </w:rPr>
              <w:t xml:space="preserve"> and who </w:t>
            </w:r>
            <w:r w:rsidRPr="001C07C2">
              <w:rPr>
                <w:sz w:val="18"/>
                <w:szCs w:val="18"/>
              </w:rPr>
              <w:t xml:space="preserve">they thought were activated or were willing to try new things. </w:t>
            </w:r>
          </w:p>
          <w:p w14:paraId="553C804D" w14:textId="076B1260" w:rsidR="0055053A" w:rsidRPr="00441F13" w:rsidRDefault="002A257A" w:rsidP="0055053A">
            <w:pPr>
              <w:spacing w:after="120"/>
              <w:rPr>
                <w:sz w:val="18"/>
                <w:szCs w:val="18"/>
              </w:rPr>
            </w:pPr>
            <w:r w:rsidRPr="00441F13">
              <w:rPr>
                <w:sz w:val="18"/>
                <w:szCs w:val="18"/>
              </w:rPr>
              <w:t xml:space="preserve">Practices reported that distilling the goals of the </w:t>
            </w:r>
            <w:r>
              <w:rPr>
                <w:sz w:val="18"/>
                <w:szCs w:val="18"/>
              </w:rPr>
              <w:t>model</w:t>
            </w:r>
            <w:r w:rsidRPr="00441F13">
              <w:rPr>
                <w:sz w:val="18"/>
                <w:szCs w:val="18"/>
              </w:rPr>
              <w:t xml:space="preserve"> into benefits that patients could understand and getting the GPs to talk to patients about the program were effective in recruiting patients.</w:t>
            </w:r>
            <w:r>
              <w:rPr>
                <w:sz w:val="18"/>
                <w:szCs w:val="18"/>
              </w:rPr>
              <w:t xml:space="preserve"> </w:t>
            </w:r>
            <w:r w:rsidR="00E75F45">
              <w:rPr>
                <w:sz w:val="18"/>
                <w:szCs w:val="18"/>
              </w:rPr>
              <w:t xml:space="preserve">However, a challenge for many </w:t>
            </w:r>
            <w:r w:rsidR="0055053A" w:rsidRPr="00441F13">
              <w:rPr>
                <w:sz w:val="18"/>
                <w:szCs w:val="18"/>
              </w:rPr>
              <w:t xml:space="preserve">practices was </w:t>
            </w:r>
            <w:r w:rsidR="00E92D10">
              <w:rPr>
                <w:sz w:val="18"/>
                <w:szCs w:val="18"/>
              </w:rPr>
              <w:t xml:space="preserve">to </w:t>
            </w:r>
            <w:r w:rsidR="0055053A" w:rsidRPr="00441F13">
              <w:rPr>
                <w:sz w:val="18"/>
                <w:szCs w:val="18"/>
              </w:rPr>
              <w:t>articulat</w:t>
            </w:r>
            <w:r w:rsidR="00E92D10">
              <w:rPr>
                <w:sz w:val="18"/>
                <w:szCs w:val="18"/>
              </w:rPr>
              <w:t>e</w:t>
            </w:r>
            <w:r w:rsidR="0055053A" w:rsidRPr="00441F13">
              <w:rPr>
                <w:sz w:val="18"/>
                <w:szCs w:val="18"/>
              </w:rPr>
              <w:t xml:space="preserve"> the value proposition</w:t>
            </w:r>
            <w:r w:rsidR="007E27E0">
              <w:rPr>
                <w:sz w:val="18"/>
                <w:szCs w:val="18"/>
              </w:rPr>
              <w:t xml:space="preserve"> </w:t>
            </w:r>
            <w:r w:rsidR="0055053A" w:rsidRPr="00441F13">
              <w:rPr>
                <w:sz w:val="18"/>
                <w:szCs w:val="18"/>
              </w:rPr>
              <w:t xml:space="preserve">to patients. </w:t>
            </w:r>
            <w:r w:rsidR="00E242CF">
              <w:rPr>
                <w:sz w:val="18"/>
                <w:szCs w:val="18"/>
              </w:rPr>
              <w:t>S</w:t>
            </w:r>
            <w:r w:rsidR="0055053A" w:rsidRPr="00441F13">
              <w:rPr>
                <w:sz w:val="18"/>
                <w:szCs w:val="18"/>
              </w:rPr>
              <w:t xml:space="preserve">ometimes practice </w:t>
            </w:r>
            <w:r w:rsidR="00E71E85">
              <w:rPr>
                <w:sz w:val="18"/>
                <w:szCs w:val="18"/>
              </w:rPr>
              <w:t xml:space="preserve">staff </w:t>
            </w:r>
            <w:r w:rsidR="0055053A" w:rsidRPr="00441F13">
              <w:rPr>
                <w:sz w:val="18"/>
                <w:szCs w:val="18"/>
              </w:rPr>
              <w:t xml:space="preserve">thought that </w:t>
            </w:r>
            <w:r w:rsidR="00E71E85">
              <w:rPr>
                <w:sz w:val="18"/>
                <w:szCs w:val="18"/>
              </w:rPr>
              <w:t>their</w:t>
            </w:r>
            <w:r w:rsidR="0055053A">
              <w:rPr>
                <w:sz w:val="18"/>
                <w:szCs w:val="18"/>
              </w:rPr>
              <w:t xml:space="preserve"> model </w:t>
            </w:r>
            <w:r w:rsidR="0055053A" w:rsidRPr="00441F13">
              <w:rPr>
                <w:sz w:val="18"/>
                <w:szCs w:val="18"/>
              </w:rPr>
              <w:t xml:space="preserve">was already consistent with the HCH model, and it was hard to identify what additional benefits patients would receive under the new model. Practices also reported </w:t>
            </w:r>
            <w:r w:rsidR="008F0B42">
              <w:rPr>
                <w:sz w:val="18"/>
                <w:szCs w:val="18"/>
              </w:rPr>
              <w:t>that sometimes nurses lacked</w:t>
            </w:r>
            <w:r w:rsidR="0055053A" w:rsidRPr="00441F13">
              <w:rPr>
                <w:sz w:val="18"/>
                <w:szCs w:val="18"/>
              </w:rPr>
              <w:t xml:space="preserve"> confidence </w:t>
            </w:r>
            <w:r w:rsidR="008F0B42">
              <w:rPr>
                <w:sz w:val="18"/>
                <w:szCs w:val="18"/>
              </w:rPr>
              <w:t>in</w:t>
            </w:r>
            <w:r w:rsidR="0055053A" w:rsidRPr="00441F13">
              <w:rPr>
                <w:sz w:val="18"/>
                <w:szCs w:val="18"/>
              </w:rPr>
              <w:t xml:space="preserve"> explain</w:t>
            </w:r>
            <w:r w:rsidR="00EB31C1">
              <w:rPr>
                <w:sz w:val="18"/>
                <w:szCs w:val="18"/>
              </w:rPr>
              <w:t>ing the</w:t>
            </w:r>
            <w:r w:rsidR="0055053A" w:rsidRPr="00441F13">
              <w:rPr>
                <w:sz w:val="18"/>
                <w:szCs w:val="18"/>
              </w:rPr>
              <w:t xml:space="preserve"> model</w:t>
            </w:r>
            <w:r w:rsidR="00EB31C1">
              <w:rPr>
                <w:sz w:val="18"/>
                <w:szCs w:val="18"/>
              </w:rPr>
              <w:t xml:space="preserve"> to patients </w:t>
            </w:r>
            <w:r w:rsidR="00EB31C1" w:rsidRPr="00441F13">
              <w:rPr>
                <w:sz w:val="18"/>
                <w:szCs w:val="18"/>
              </w:rPr>
              <w:t xml:space="preserve">and </w:t>
            </w:r>
            <w:r w:rsidR="00EB31C1">
              <w:rPr>
                <w:sz w:val="18"/>
                <w:szCs w:val="18"/>
              </w:rPr>
              <w:t>delivering a c</w:t>
            </w:r>
            <w:r w:rsidR="00EB31C1" w:rsidRPr="00441F13">
              <w:rPr>
                <w:sz w:val="18"/>
                <w:szCs w:val="18"/>
              </w:rPr>
              <w:t xml:space="preserve">lear and consistent message </w:t>
            </w:r>
            <w:r w:rsidR="00EB31C1">
              <w:rPr>
                <w:sz w:val="18"/>
                <w:szCs w:val="18"/>
              </w:rPr>
              <w:t>about</w:t>
            </w:r>
            <w:r w:rsidR="00EB31C1" w:rsidRPr="00441F13">
              <w:rPr>
                <w:sz w:val="18"/>
                <w:szCs w:val="18"/>
              </w:rPr>
              <w:t xml:space="preserve"> </w:t>
            </w:r>
            <w:r w:rsidR="00A61AB7">
              <w:rPr>
                <w:sz w:val="18"/>
                <w:szCs w:val="18"/>
              </w:rPr>
              <w:t>its</w:t>
            </w:r>
            <w:r w:rsidR="00EB31C1" w:rsidRPr="00441F13">
              <w:rPr>
                <w:sz w:val="18"/>
                <w:szCs w:val="18"/>
              </w:rPr>
              <w:t xml:space="preserve"> goals</w:t>
            </w:r>
            <w:r w:rsidR="0055053A" w:rsidRPr="00441F13">
              <w:rPr>
                <w:sz w:val="18"/>
                <w:szCs w:val="18"/>
              </w:rPr>
              <w:t xml:space="preserve">. </w:t>
            </w:r>
            <w:r w:rsidR="0055053A">
              <w:rPr>
                <w:sz w:val="18"/>
                <w:szCs w:val="18"/>
              </w:rPr>
              <w:t>Consequently,</w:t>
            </w:r>
            <w:r w:rsidR="0055053A" w:rsidRPr="00441F13">
              <w:rPr>
                <w:sz w:val="18"/>
                <w:szCs w:val="18"/>
              </w:rPr>
              <w:t xml:space="preserve"> </w:t>
            </w:r>
            <w:r w:rsidR="003C0687">
              <w:rPr>
                <w:sz w:val="18"/>
                <w:szCs w:val="18"/>
              </w:rPr>
              <w:t>some</w:t>
            </w:r>
            <w:r w:rsidR="0055053A" w:rsidRPr="00441F13">
              <w:rPr>
                <w:sz w:val="18"/>
                <w:szCs w:val="18"/>
              </w:rPr>
              <w:t xml:space="preserve"> patients reported being confused by staff</w:t>
            </w:r>
            <w:r w:rsidR="00A61AB7">
              <w:rPr>
                <w:sz w:val="18"/>
                <w:szCs w:val="18"/>
              </w:rPr>
              <w:t>’s</w:t>
            </w:r>
            <w:r w:rsidR="0055053A" w:rsidRPr="00441F13">
              <w:rPr>
                <w:sz w:val="18"/>
                <w:szCs w:val="18"/>
              </w:rPr>
              <w:t xml:space="preserve"> explanation</w:t>
            </w:r>
            <w:r w:rsidR="00426D71">
              <w:rPr>
                <w:sz w:val="18"/>
                <w:szCs w:val="18"/>
              </w:rPr>
              <w:t>s</w:t>
            </w:r>
            <w:r w:rsidR="0055053A" w:rsidRPr="00441F13">
              <w:rPr>
                <w:sz w:val="18"/>
                <w:szCs w:val="18"/>
              </w:rPr>
              <w:t xml:space="preserve"> of the </w:t>
            </w:r>
            <w:r w:rsidR="00A61AB7">
              <w:rPr>
                <w:sz w:val="18"/>
                <w:szCs w:val="18"/>
              </w:rPr>
              <w:t>model</w:t>
            </w:r>
            <w:r w:rsidR="0055053A" w:rsidRPr="00441F13">
              <w:rPr>
                <w:sz w:val="18"/>
                <w:szCs w:val="18"/>
              </w:rPr>
              <w:t xml:space="preserve">. </w:t>
            </w:r>
          </w:p>
          <w:p w14:paraId="63DF05D3" w14:textId="45BF8C03" w:rsidR="004B656C" w:rsidRPr="00441F13" w:rsidRDefault="004B656C" w:rsidP="0055053A">
            <w:pPr>
              <w:spacing w:after="120"/>
              <w:rPr>
                <w:sz w:val="18"/>
                <w:szCs w:val="18"/>
              </w:rPr>
            </w:pPr>
            <w:r w:rsidRPr="004B656C">
              <w:rPr>
                <w:sz w:val="18"/>
                <w:szCs w:val="18"/>
              </w:rPr>
              <w:t xml:space="preserve">The HCH trial involved voluntary enrolment of patients to a practice and a GP. </w:t>
            </w:r>
            <w:r w:rsidR="000F4D6B">
              <w:rPr>
                <w:sz w:val="18"/>
                <w:szCs w:val="18"/>
              </w:rPr>
              <w:t>P</w:t>
            </w:r>
            <w:r w:rsidRPr="004B656C">
              <w:rPr>
                <w:sz w:val="18"/>
                <w:szCs w:val="18"/>
              </w:rPr>
              <w:t xml:space="preserve">atients with </w:t>
            </w:r>
            <w:r w:rsidR="00202C84">
              <w:rPr>
                <w:sz w:val="18"/>
                <w:szCs w:val="18"/>
              </w:rPr>
              <w:t>long-standing</w:t>
            </w:r>
            <w:r w:rsidRPr="004B656C">
              <w:rPr>
                <w:sz w:val="18"/>
                <w:szCs w:val="18"/>
              </w:rPr>
              <w:t xml:space="preserve"> relationships with their GPs who also trust their GP were prepared to enrol. </w:t>
            </w:r>
            <w:r>
              <w:rPr>
                <w:sz w:val="18"/>
                <w:szCs w:val="18"/>
              </w:rPr>
              <w:t>However</w:t>
            </w:r>
            <w:r w:rsidRPr="004B656C">
              <w:rPr>
                <w:sz w:val="18"/>
                <w:szCs w:val="18"/>
              </w:rPr>
              <w:t xml:space="preserve">, patients </w:t>
            </w:r>
            <w:r w:rsidR="00CF4DC7">
              <w:rPr>
                <w:sz w:val="18"/>
                <w:szCs w:val="18"/>
              </w:rPr>
              <w:t xml:space="preserve">still </w:t>
            </w:r>
            <w:r w:rsidRPr="004B656C">
              <w:rPr>
                <w:sz w:val="18"/>
                <w:szCs w:val="18"/>
              </w:rPr>
              <w:t>need a clear value proposition to commit to an initiative.</w:t>
            </w:r>
          </w:p>
          <w:p w14:paraId="0D12ECA8" w14:textId="09C689A5" w:rsidR="0055053A" w:rsidRDefault="0055053A" w:rsidP="0055053A">
            <w:pPr>
              <w:spacing w:after="120"/>
              <w:rPr>
                <w:sz w:val="18"/>
                <w:szCs w:val="18"/>
              </w:rPr>
            </w:pPr>
            <w:r w:rsidRPr="00441F13">
              <w:rPr>
                <w:sz w:val="18"/>
                <w:szCs w:val="18"/>
              </w:rPr>
              <w:t xml:space="preserve">Time was a major issue for practices in enrolling patients. Explaining the program, getting consent, assessing the patient’s eligibility, creating a care plan, and registering patients on multiple platforms were time-consuming. </w:t>
            </w:r>
            <w:r>
              <w:rPr>
                <w:sz w:val="18"/>
                <w:szCs w:val="18"/>
              </w:rPr>
              <w:t>P</w:t>
            </w:r>
            <w:r w:rsidRPr="00441F13">
              <w:rPr>
                <w:sz w:val="18"/>
                <w:szCs w:val="18"/>
              </w:rPr>
              <w:t xml:space="preserve">ractices </w:t>
            </w:r>
            <w:r>
              <w:rPr>
                <w:sz w:val="18"/>
                <w:szCs w:val="18"/>
              </w:rPr>
              <w:t xml:space="preserve">recommended that these processes </w:t>
            </w:r>
            <w:r w:rsidR="001261F5">
              <w:rPr>
                <w:sz w:val="18"/>
                <w:szCs w:val="18"/>
              </w:rPr>
              <w:t>be</w:t>
            </w:r>
            <w:r>
              <w:rPr>
                <w:sz w:val="18"/>
                <w:szCs w:val="18"/>
              </w:rPr>
              <w:t xml:space="preserve"> </w:t>
            </w:r>
            <w:r w:rsidR="00047E98">
              <w:rPr>
                <w:sz w:val="18"/>
                <w:szCs w:val="18"/>
              </w:rPr>
              <w:t>significantly</w:t>
            </w:r>
            <w:r>
              <w:rPr>
                <w:sz w:val="18"/>
                <w:szCs w:val="18"/>
              </w:rPr>
              <w:t xml:space="preserve"> streamlined for similar programs in the future, especially the IT components. </w:t>
            </w:r>
          </w:p>
          <w:p w14:paraId="2A0DA4FA" w14:textId="77777777" w:rsidR="0055053A" w:rsidRPr="00441F13" w:rsidRDefault="0055053A" w:rsidP="0055053A">
            <w:pPr>
              <w:spacing w:after="120"/>
              <w:rPr>
                <w:sz w:val="18"/>
                <w:szCs w:val="18"/>
              </w:rPr>
            </w:pPr>
            <w:r w:rsidRPr="00854F36">
              <w:rPr>
                <w:sz w:val="18"/>
                <w:szCs w:val="18"/>
              </w:rPr>
              <w:t xml:space="preserve">Despite the extension of the patient enrolment period, some practices found it challenging to increase enrolments. Practices cited ongoing IT issues, convincing GPs to participate and </w:t>
            </w:r>
            <w:r>
              <w:rPr>
                <w:sz w:val="18"/>
                <w:szCs w:val="18"/>
              </w:rPr>
              <w:t xml:space="preserve">the extensive </w:t>
            </w:r>
            <w:r w:rsidRPr="00854F36">
              <w:rPr>
                <w:sz w:val="18"/>
                <w:szCs w:val="18"/>
              </w:rPr>
              <w:t>processes for registering patients as barriers to enrolling additional patients</w:t>
            </w:r>
            <w:r>
              <w:rPr>
                <w:sz w:val="18"/>
                <w:szCs w:val="18"/>
              </w:rPr>
              <w:t>. U</w:t>
            </w:r>
            <w:r w:rsidRPr="00854F36">
              <w:rPr>
                <w:sz w:val="18"/>
                <w:szCs w:val="18"/>
              </w:rPr>
              <w:t>ncertainty about the future of the program</w:t>
            </w:r>
            <w:r>
              <w:rPr>
                <w:sz w:val="18"/>
                <w:szCs w:val="18"/>
              </w:rPr>
              <w:t xml:space="preserve"> was also an issue</w:t>
            </w:r>
            <w:r w:rsidRPr="00854F36">
              <w:rPr>
                <w:sz w:val="18"/>
                <w:szCs w:val="18"/>
              </w:rPr>
              <w:t>.</w:t>
            </w:r>
          </w:p>
          <w:p w14:paraId="687ECA48" w14:textId="56C9C8FD" w:rsidR="0055053A" w:rsidRDefault="0055053A" w:rsidP="0055053A">
            <w:pPr>
              <w:rPr>
                <w:sz w:val="18"/>
                <w:szCs w:val="18"/>
              </w:rPr>
            </w:pPr>
            <w:r w:rsidRPr="00441F13">
              <w:rPr>
                <w:sz w:val="18"/>
                <w:szCs w:val="18"/>
              </w:rPr>
              <w:t>Patient concern around the security and confidentiality of their personal and medical information – in particular, the requirement to have a My Health Record – w</w:t>
            </w:r>
            <w:r w:rsidR="006C0A95">
              <w:rPr>
                <w:sz w:val="18"/>
                <w:szCs w:val="18"/>
              </w:rPr>
              <w:t>as</w:t>
            </w:r>
            <w:r w:rsidRPr="00441F13">
              <w:rPr>
                <w:sz w:val="18"/>
                <w:szCs w:val="18"/>
              </w:rPr>
              <w:t xml:space="preserve"> a major deterrent to enrol</w:t>
            </w:r>
            <w:r>
              <w:rPr>
                <w:sz w:val="18"/>
                <w:szCs w:val="18"/>
              </w:rPr>
              <w:t>ling in HCH</w:t>
            </w:r>
            <w:r w:rsidRPr="00441F13">
              <w:rPr>
                <w:sz w:val="18"/>
                <w:szCs w:val="18"/>
              </w:rPr>
              <w:t xml:space="preserve">. </w:t>
            </w:r>
            <w:r w:rsidR="00F86054">
              <w:rPr>
                <w:sz w:val="18"/>
                <w:szCs w:val="18"/>
              </w:rPr>
              <w:t xml:space="preserve">However, this was subsequently lifted. </w:t>
            </w:r>
            <w:r w:rsidRPr="00441F13">
              <w:rPr>
                <w:sz w:val="18"/>
                <w:szCs w:val="18"/>
              </w:rPr>
              <w:t>Another deterrent was the perce</w:t>
            </w:r>
            <w:r w:rsidR="00D064C5">
              <w:rPr>
                <w:sz w:val="18"/>
                <w:szCs w:val="18"/>
              </w:rPr>
              <w:t>ption that</w:t>
            </w:r>
            <w:r w:rsidRPr="00441F13">
              <w:rPr>
                <w:sz w:val="18"/>
                <w:szCs w:val="18"/>
              </w:rPr>
              <w:t xml:space="preserve"> their relationship with their GP</w:t>
            </w:r>
            <w:r w:rsidR="00D064C5">
              <w:rPr>
                <w:sz w:val="18"/>
                <w:szCs w:val="18"/>
              </w:rPr>
              <w:t xml:space="preserve"> would be threatened</w:t>
            </w:r>
            <w:r w:rsidRPr="00441F13">
              <w:rPr>
                <w:sz w:val="18"/>
                <w:szCs w:val="18"/>
              </w:rPr>
              <w:t xml:space="preserve">. Practices also highlighted difficulties in enrolling patients from different cultures, non-English speaking backgrounds, recent migrants, and homeless people, due to cultural expectations, language barriers and lack of permanent accommodation. </w:t>
            </w:r>
            <w:r w:rsidR="008955C7">
              <w:rPr>
                <w:sz w:val="18"/>
                <w:szCs w:val="18"/>
              </w:rPr>
              <w:t>S</w:t>
            </w:r>
            <w:r w:rsidRPr="00441F13">
              <w:rPr>
                <w:sz w:val="18"/>
                <w:szCs w:val="18"/>
              </w:rPr>
              <w:t xml:space="preserve">ometimes these barriers </w:t>
            </w:r>
            <w:r w:rsidR="008955C7">
              <w:rPr>
                <w:sz w:val="18"/>
                <w:szCs w:val="18"/>
              </w:rPr>
              <w:t>arose from</w:t>
            </w:r>
            <w:r w:rsidRPr="00441F13">
              <w:rPr>
                <w:sz w:val="18"/>
                <w:szCs w:val="18"/>
              </w:rPr>
              <w:t xml:space="preserve"> what practices were planning to offer as part of HCH (</w:t>
            </w:r>
            <w:r>
              <w:rPr>
                <w:sz w:val="18"/>
                <w:szCs w:val="18"/>
              </w:rPr>
              <w:t>such as</w:t>
            </w:r>
            <w:r w:rsidRPr="00441F13">
              <w:rPr>
                <w:sz w:val="18"/>
                <w:szCs w:val="18"/>
              </w:rPr>
              <w:t xml:space="preserve"> telephone </w:t>
            </w:r>
            <w:r w:rsidRPr="00441F13">
              <w:rPr>
                <w:sz w:val="18"/>
                <w:szCs w:val="18"/>
              </w:rPr>
              <w:lastRenderedPageBreak/>
              <w:t>consults, which would not work for people with limited English without an interpreter) rather than the model not being suit</w:t>
            </w:r>
            <w:r w:rsidR="00E9666A">
              <w:rPr>
                <w:sz w:val="18"/>
                <w:szCs w:val="18"/>
              </w:rPr>
              <w:t>able for</w:t>
            </w:r>
            <w:r w:rsidRPr="00441F13">
              <w:rPr>
                <w:sz w:val="18"/>
                <w:szCs w:val="18"/>
              </w:rPr>
              <w:t xml:space="preserve"> these individuals.</w:t>
            </w:r>
            <w:r>
              <w:rPr>
                <w:sz w:val="18"/>
                <w:szCs w:val="18"/>
              </w:rPr>
              <w:t xml:space="preserve"> </w:t>
            </w:r>
          </w:p>
          <w:p w14:paraId="63232696" w14:textId="126532BB" w:rsidR="0055053A" w:rsidRPr="004B0633" w:rsidRDefault="0055053A" w:rsidP="0055053A">
            <w:pPr>
              <w:rPr>
                <w:sz w:val="18"/>
                <w:szCs w:val="18"/>
              </w:rPr>
            </w:pPr>
            <w:r>
              <w:rPr>
                <w:sz w:val="18"/>
                <w:szCs w:val="18"/>
              </w:rPr>
              <w:t>Overall, practices reported that they selected the right patients to enrol. W</w:t>
            </w:r>
            <w:r w:rsidRPr="004B0633">
              <w:rPr>
                <w:sz w:val="18"/>
                <w:szCs w:val="18"/>
              </w:rPr>
              <w:t xml:space="preserve">here practices did not feel they selected the right patients, this was because the patients </w:t>
            </w:r>
            <w:r>
              <w:rPr>
                <w:sz w:val="18"/>
                <w:szCs w:val="18"/>
              </w:rPr>
              <w:t>t</w:t>
            </w:r>
            <w:r w:rsidRPr="004B0633">
              <w:rPr>
                <w:sz w:val="18"/>
                <w:szCs w:val="18"/>
              </w:rPr>
              <w:t xml:space="preserve">hey enrolled </w:t>
            </w:r>
            <w:r w:rsidR="00E9666A">
              <w:rPr>
                <w:sz w:val="18"/>
                <w:szCs w:val="18"/>
              </w:rPr>
              <w:t>were not open to receiving care from a wider team</w:t>
            </w:r>
            <w:r w:rsidRPr="004B0633">
              <w:rPr>
                <w:sz w:val="18"/>
                <w:szCs w:val="18"/>
              </w:rPr>
              <w:t>.</w:t>
            </w:r>
          </w:p>
          <w:p w14:paraId="75463B94" w14:textId="158DA993" w:rsidR="00110725" w:rsidRPr="0055053A" w:rsidRDefault="0038596F" w:rsidP="0055053A">
            <w:pPr>
              <w:spacing w:after="120"/>
              <w:rPr>
                <w:rFonts w:eastAsia="Muli" w:cs="Muli"/>
                <w:color w:val="000000" w:themeColor="text1"/>
                <w:sz w:val="18"/>
                <w:szCs w:val="18"/>
              </w:rPr>
            </w:pPr>
            <w:r>
              <w:rPr>
                <w:sz w:val="18"/>
                <w:szCs w:val="18"/>
              </w:rPr>
              <w:t>Some p</w:t>
            </w:r>
            <w:r w:rsidR="007006BF">
              <w:rPr>
                <w:sz w:val="18"/>
                <w:szCs w:val="18"/>
              </w:rPr>
              <w:t>ractices</w:t>
            </w:r>
            <w:r w:rsidR="0055053A" w:rsidRPr="004B0633">
              <w:rPr>
                <w:sz w:val="18"/>
                <w:szCs w:val="18"/>
              </w:rPr>
              <w:t xml:space="preserve"> also </w:t>
            </w:r>
            <w:r>
              <w:rPr>
                <w:sz w:val="18"/>
                <w:szCs w:val="18"/>
              </w:rPr>
              <w:t>reported that</w:t>
            </w:r>
            <w:r w:rsidR="0055053A" w:rsidRPr="004B0633">
              <w:rPr>
                <w:sz w:val="18"/>
                <w:szCs w:val="18"/>
              </w:rPr>
              <w:t xml:space="preserve"> very complex patients and low complexity patients were not suitable</w:t>
            </w:r>
            <w:r w:rsidR="0055053A">
              <w:rPr>
                <w:sz w:val="18"/>
                <w:szCs w:val="18"/>
              </w:rPr>
              <w:t xml:space="preserve">, the former due to financial viability </w:t>
            </w:r>
            <w:r w:rsidR="00042B05">
              <w:rPr>
                <w:sz w:val="18"/>
                <w:szCs w:val="18"/>
              </w:rPr>
              <w:t xml:space="preserve">(as the bundled payment was insufficient) </w:t>
            </w:r>
            <w:r w:rsidR="0055053A">
              <w:rPr>
                <w:sz w:val="18"/>
                <w:szCs w:val="18"/>
              </w:rPr>
              <w:t xml:space="preserve">and for the latter </w:t>
            </w:r>
            <w:r w:rsidR="00A60F9D">
              <w:rPr>
                <w:sz w:val="18"/>
                <w:szCs w:val="18"/>
              </w:rPr>
              <w:t xml:space="preserve">due to </w:t>
            </w:r>
            <w:r w:rsidR="0055053A">
              <w:rPr>
                <w:sz w:val="18"/>
                <w:szCs w:val="18"/>
              </w:rPr>
              <w:t>question</w:t>
            </w:r>
            <w:r w:rsidR="00A60F9D">
              <w:rPr>
                <w:sz w:val="18"/>
                <w:szCs w:val="18"/>
              </w:rPr>
              <w:t>s over whether</w:t>
            </w:r>
            <w:r w:rsidR="0055053A" w:rsidRPr="004B0633">
              <w:rPr>
                <w:sz w:val="18"/>
                <w:szCs w:val="18"/>
              </w:rPr>
              <w:t xml:space="preserve"> the model</w:t>
            </w:r>
            <w:r w:rsidR="00A60F9D">
              <w:rPr>
                <w:sz w:val="18"/>
                <w:szCs w:val="18"/>
              </w:rPr>
              <w:t xml:space="preserve"> would benefit these patients</w:t>
            </w:r>
            <w:r w:rsidR="0055053A">
              <w:rPr>
                <w:sz w:val="18"/>
                <w:szCs w:val="18"/>
              </w:rPr>
              <w:t>.</w:t>
            </w:r>
          </w:p>
        </w:tc>
      </w:tr>
    </w:tbl>
    <w:p w14:paraId="22800616" w14:textId="77777777" w:rsidR="00110725" w:rsidRDefault="00110725" w:rsidP="00110725">
      <w:pPr>
        <w:spacing w:after="0"/>
        <w:rPr>
          <w:rFonts w:eastAsia="Muli" w:cs="Muli"/>
          <w:color w:val="000000" w:themeColor="text1"/>
          <w:szCs w:val="20"/>
        </w:rPr>
      </w:pPr>
    </w:p>
    <w:p w14:paraId="04E3AFC7" w14:textId="0D905AAE" w:rsidR="00F03CC0" w:rsidRPr="000854E7" w:rsidRDefault="00F03CC0" w:rsidP="00F03CC0">
      <w:pPr>
        <w:pStyle w:val="Heading2"/>
      </w:pPr>
      <w:bookmarkStart w:id="126" w:name="_Toc109996669"/>
      <w:r w:rsidRPr="000854E7">
        <w:t>Overview of the enrolment process</w:t>
      </w:r>
      <w:bookmarkEnd w:id="126"/>
    </w:p>
    <w:p w14:paraId="2DDB1207" w14:textId="60B9C366" w:rsidR="00F03CC0" w:rsidRPr="001B1EFB" w:rsidRDefault="00F03CC0" w:rsidP="00F03CC0">
      <w:r w:rsidRPr="001B1EFB">
        <w:t xml:space="preserve">A key feature of HCH </w:t>
      </w:r>
      <w:r>
        <w:t>wa</w:t>
      </w:r>
      <w:r w:rsidRPr="001B1EFB">
        <w:t>s voluntary enrolment of patients to a practice and a specific GP.</w:t>
      </w:r>
      <w:r w:rsidR="00CF6563" w:rsidRPr="00A251C0">
        <w:rPr>
          <w:rStyle w:val="FootnoteReference"/>
          <w:color w:val="408BCA"/>
        </w:rPr>
        <w:footnoteReference w:id="43"/>
      </w:r>
      <w:r w:rsidRPr="001B1EFB">
        <w:t xml:space="preserve"> Selected practices started enrolling patients on 1 October 2017, and the remainder</w:t>
      </w:r>
      <w:r>
        <w:t xml:space="preserve"> could</w:t>
      </w:r>
      <w:r w:rsidRPr="001B1EFB">
        <w:t xml:space="preserve"> enrol </w:t>
      </w:r>
      <w:r w:rsidR="008A5DA6">
        <w:t>patient</w:t>
      </w:r>
      <w:r w:rsidR="00D0335B">
        <w:t>s</w:t>
      </w:r>
      <w:r w:rsidR="008A5DA6">
        <w:t xml:space="preserve"> </w:t>
      </w:r>
      <w:r w:rsidRPr="001B1EFB">
        <w:t>from 1 December 2017. Originally, the enrolment period was from 1 October 2017 until 30 November 201</w:t>
      </w:r>
      <w:r w:rsidR="00DF42FB">
        <w:t>8</w:t>
      </w:r>
      <w:r w:rsidRPr="001B1EFB">
        <w:t xml:space="preserve">. In </w:t>
      </w:r>
      <w:r w:rsidR="00EF5107">
        <w:t>late</w:t>
      </w:r>
      <w:r w:rsidRPr="001B1EFB">
        <w:t xml:space="preserve"> 2018, the Department announced the extension of the HCH trial</w:t>
      </w:r>
      <w:r w:rsidR="00EF5107">
        <w:t xml:space="preserve"> and extension of</w:t>
      </w:r>
      <w:r w:rsidRPr="001B1EFB">
        <w:t xml:space="preserve"> the enrolment period to 30 June 2019. </w:t>
      </w:r>
    </w:p>
    <w:p w14:paraId="484F5AE1" w14:textId="0201F91F" w:rsidR="00F03CC0" w:rsidRDefault="00F03CC0" w:rsidP="00F03CC0">
      <w:r w:rsidRPr="001B1EFB">
        <w:t>Acknowledging that enrolling patients in HCH was a new process for practices, GPs and patients, the Department provided detailed guidance on this</w:t>
      </w:r>
      <w:r w:rsidR="00EF473A">
        <w:t xml:space="preserve"> (</w:t>
      </w:r>
      <w:r w:rsidR="00256345" w:rsidRPr="00133B3E">
        <w:rPr>
          <w:color w:val="002060"/>
        </w:rPr>
        <w:fldChar w:fldCharType="begin"/>
      </w:r>
      <w:r w:rsidR="00256345" w:rsidRPr="00133B3E">
        <w:rPr>
          <w:color w:val="002060"/>
        </w:rPr>
        <w:instrText xml:space="preserve"> REF Bxptenrolment \h  \* MERGEFORMAT </w:instrText>
      </w:r>
      <w:r w:rsidR="00256345" w:rsidRPr="00133B3E">
        <w:rPr>
          <w:color w:val="002060"/>
        </w:rPr>
      </w:r>
      <w:r w:rsidR="00256345" w:rsidRPr="00133B3E">
        <w:rPr>
          <w:color w:val="002060"/>
        </w:rPr>
        <w:fldChar w:fldCharType="separate"/>
      </w:r>
      <w:r w:rsidR="003C4BC2" w:rsidRPr="003C4BC2">
        <w:rPr>
          <w:color w:val="002060"/>
          <w:szCs w:val="20"/>
        </w:rPr>
        <w:t xml:space="preserve">Box </w:t>
      </w:r>
      <w:r w:rsidR="003C4BC2" w:rsidRPr="003C4BC2">
        <w:rPr>
          <w:noProof/>
          <w:color w:val="002060"/>
        </w:rPr>
        <w:t>11</w:t>
      </w:r>
      <w:r w:rsidR="00256345" w:rsidRPr="00133B3E">
        <w:rPr>
          <w:color w:val="002060"/>
        </w:rPr>
        <w:fldChar w:fldCharType="end"/>
      </w:r>
      <w:r w:rsidR="00256345">
        <w:t>)</w:t>
      </w:r>
      <w:r w:rsidRPr="001B1EFB">
        <w:t>.</w:t>
      </w: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BA2A05" w:rsidRPr="0048466A" w14:paraId="51B30B41" w14:textId="77777777" w:rsidTr="0032660B">
        <w:tc>
          <w:tcPr>
            <w:tcW w:w="8996" w:type="dxa"/>
            <w:shd w:val="clear" w:color="auto" w:fill="auto"/>
          </w:tcPr>
          <w:p w14:paraId="482CF960" w14:textId="1EFC5605" w:rsidR="00BA2A05" w:rsidRPr="0048466A" w:rsidRDefault="00BA2A05" w:rsidP="00BE164E">
            <w:pPr>
              <w:pStyle w:val="Boxheading"/>
              <w:spacing w:after="120"/>
              <w:rPr>
                <w:b/>
                <w:bCs/>
                <w:szCs w:val="20"/>
              </w:rPr>
            </w:pPr>
            <w:bookmarkStart w:id="127" w:name="Bxptenrolment"/>
            <w:r w:rsidRPr="00BE164E">
              <w:rPr>
                <w:bCs/>
                <w:szCs w:val="20"/>
              </w:rPr>
              <w:t xml:space="preserve">Box </w:t>
            </w:r>
            <w:r w:rsidRPr="00BE164E">
              <w:rPr>
                <w:bCs/>
              </w:rPr>
              <w:fldChar w:fldCharType="begin"/>
            </w:r>
            <w:r w:rsidRPr="00BE164E">
              <w:rPr>
                <w:bCs/>
              </w:rPr>
              <w:instrText xml:space="preserve"> SEQ Box \* ARABIC </w:instrText>
            </w:r>
            <w:r w:rsidRPr="00BE164E">
              <w:rPr>
                <w:bCs/>
              </w:rPr>
              <w:fldChar w:fldCharType="separate"/>
            </w:r>
            <w:r w:rsidR="003C4BC2">
              <w:rPr>
                <w:bCs/>
                <w:noProof/>
              </w:rPr>
              <w:t>11</w:t>
            </w:r>
            <w:r w:rsidRPr="00BE164E">
              <w:rPr>
                <w:bCs/>
                <w:noProof/>
              </w:rPr>
              <w:fldChar w:fldCharType="end"/>
            </w:r>
            <w:bookmarkEnd w:id="127"/>
            <w:r w:rsidRPr="00BE164E">
              <w:rPr>
                <w:bCs/>
                <w:szCs w:val="20"/>
              </w:rPr>
              <w:t>: Patient enrolment process</w:t>
            </w:r>
            <w:r w:rsidR="00FC3919" w:rsidRPr="00E31172">
              <w:rPr>
                <w:rStyle w:val="FootnoteReference"/>
                <w:szCs w:val="20"/>
              </w:rPr>
              <w:footnoteReference w:id="44"/>
            </w:r>
            <w:r w:rsidR="008A6FC2">
              <w:rPr>
                <w:b/>
                <w:bCs/>
                <w:szCs w:val="20"/>
              </w:rPr>
              <w:t xml:space="preserve"> </w:t>
            </w:r>
            <w:r w:rsidR="008A6FC2" w:rsidRPr="008A6FC2">
              <w:rPr>
                <w:b/>
                <w:bCs/>
                <w:szCs w:val="20"/>
                <w:vertAlign w:val="superscript"/>
              </w:rPr>
              <w:t>(p. 11–12)</w:t>
            </w:r>
          </w:p>
          <w:p w14:paraId="4021D569" w14:textId="77777777" w:rsidR="00BA2A05" w:rsidRPr="00E90075" w:rsidRDefault="00BA2A05" w:rsidP="00BE164E">
            <w:pPr>
              <w:spacing w:after="120"/>
              <w:rPr>
                <w:rFonts w:eastAsia="Muli" w:cs="Muli"/>
                <w:color w:val="408BCA"/>
                <w:sz w:val="18"/>
                <w:szCs w:val="18"/>
              </w:rPr>
            </w:pPr>
            <w:r w:rsidRPr="00E90075">
              <w:rPr>
                <w:rFonts w:eastAsia="Muli" w:cs="Muli"/>
                <w:color w:val="408BCA"/>
                <w:sz w:val="18"/>
                <w:szCs w:val="18"/>
              </w:rPr>
              <w:t>Step 1: Identify potentially eligible patients (case finding)</w:t>
            </w:r>
          </w:p>
          <w:p w14:paraId="6D050657" w14:textId="3EE68B56" w:rsidR="00BA2A05" w:rsidRPr="00BA2A05" w:rsidRDefault="00BA2A05" w:rsidP="00BB7C8D">
            <w:pPr>
              <w:pStyle w:val="ListParagraph"/>
              <w:numPr>
                <w:ilvl w:val="0"/>
                <w:numId w:val="34"/>
              </w:numPr>
              <w:spacing w:after="120"/>
              <w:ind w:left="714" w:hanging="357"/>
              <w:contextualSpacing w:val="0"/>
              <w:rPr>
                <w:rFonts w:eastAsia="Muli" w:cs="Muli"/>
                <w:color w:val="000000" w:themeColor="text1"/>
                <w:sz w:val="18"/>
                <w:szCs w:val="18"/>
              </w:rPr>
            </w:pPr>
            <w:r w:rsidRPr="00BA2A05">
              <w:rPr>
                <w:rFonts w:eastAsia="Muli" w:cs="Muli"/>
                <w:color w:val="000000" w:themeColor="text1"/>
                <w:sz w:val="18"/>
                <w:szCs w:val="18"/>
              </w:rPr>
              <w:t xml:space="preserve">The HCH identifies potentially eligible patients via the first part of the RST (the predictive risk model or PRM). GPs may also identify </w:t>
            </w:r>
            <w:r w:rsidR="00CF1804">
              <w:rPr>
                <w:rFonts w:eastAsia="Muli" w:cs="Muli"/>
                <w:color w:val="000000" w:themeColor="text1"/>
                <w:sz w:val="18"/>
                <w:szCs w:val="18"/>
              </w:rPr>
              <w:t xml:space="preserve">additional </w:t>
            </w:r>
            <w:r w:rsidRPr="00BA2A05">
              <w:rPr>
                <w:rFonts w:eastAsia="Muli" w:cs="Muli"/>
                <w:color w:val="000000" w:themeColor="text1"/>
                <w:sz w:val="18"/>
                <w:szCs w:val="18"/>
              </w:rPr>
              <w:t xml:space="preserve">patients considered to be suitable for HCH. </w:t>
            </w:r>
          </w:p>
          <w:p w14:paraId="74D138B4" w14:textId="77777777" w:rsidR="00BA2A05" w:rsidRPr="00E90075" w:rsidRDefault="00BA2A05" w:rsidP="00BE164E">
            <w:pPr>
              <w:spacing w:after="120"/>
              <w:rPr>
                <w:rFonts w:eastAsia="Muli" w:cs="Muli"/>
                <w:color w:val="408BCA"/>
                <w:sz w:val="18"/>
                <w:szCs w:val="18"/>
              </w:rPr>
            </w:pPr>
            <w:r w:rsidRPr="00E90075">
              <w:rPr>
                <w:rFonts w:eastAsia="Muli" w:cs="Muli"/>
                <w:color w:val="408BCA"/>
                <w:sz w:val="18"/>
                <w:szCs w:val="18"/>
              </w:rPr>
              <w:t>Step 2: Discuss HCH with the patient</w:t>
            </w:r>
          </w:p>
          <w:p w14:paraId="19795066" w14:textId="7C2D0074" w:rsidR="00BA2A05" w:rsidRPr="00BA2A05" w:rsidRDefault="00BA2A05" w:rsidP="00BB7C8D">
            <w:pPr>
              <w:pStyle w:val="ListParagraph"/>
              <w:numPr>
                <w:ilvl w:val="0"/>
                <w:numId w:val="34"/>
              </w:numPr>
              <w:spacing w:after="120"/>
              <w:ind w:left="714" w:hanging="357"/>
              <w:contextualSpacing w:val="0"/>
              <w:rPr>
                <w:rFonts w:eastAsia="Muli" w:cs="Muli"/>
                <w:color w:val="000000" w:themeColor="text1"/>
                <w:sz w:val="18"/>
                <w:szCs w:val="18"/>
              </w:rPr>
            </w:pPr>
            <w:r w:rsidRPr="00BA2A05">
              <w:rPr>
                <w:rFonts w:eastAsia="Muli" w:cs="Muli"/>
                <w:color w:val="000000" w:themeColor="text1"/>
                <w:sz w:val="18"/>
                <w:szCs w:val="18"/>
              </w:rPr>
              <w:t xml:space="preserve">The HCH checks that the patient holds a green or blue Medicare Card, that they are not a resident of a residential care facility or enrolled in the Department of Veterans’ Affairs Coordinated Veterans’ Care Program. The HCH invites the patient for a consultation. </w:t>
            </w:r>
            <w:r w:rsidR="00E56AF1">
              <w:rPr>
                <w:rFonts w:eastAsia="Muli" w:cs="Muli"/>
                <w:color w:val="000000" w:themeColor="text1"/>
                <w:sz w:val="18"/>
                <w:szCs w:val="18"/>
              </w:rPr>
              <w:t>T</w:t>
            </w:r>
            <w:r w:rsidRPr="00BA2A05">
              <w:rPr>
                <w:rFonts w:eastAsia="Muli" w:cs="Muli"/>
                <w:color w:val="000000" w:themeColor="text1"/>
                <w:sz w:val="18"/>
                <w:szCs w:val="18"/>
              </w:rPr>
              <w:t xml:space="preserve">he patient </w:t>
            </w:r>
            <w:r w:rsidR="00473600">
              <w:rPr>
                <w:rFonts w:eastAsia="Muli" w:cs="Muli"/>
                <w:color w:val="000000" w:themeColor="text1"/>
                <w:sz w:val="18"/>
                <w:szCs w:val="18"/>
              </w:rPr>
              <w:t xml:space="preserve">is given </w:t>
            </w:r>
            <w:r w:rsidRPr="00BA2A05">
              <w:rPr>
                <w:rFonts w:eastAsia="Muli" w:cs="Muli"/>
                <w:color w:val="000000" w:themeColor="text1"/>
                <w:sz w:val="18"/>
                <w:szCs w:val="18"/>
              </w:rPr>
              <w:t>a brochure about the program and inform</w:t>
            </w:r>
            <w:r w:rsidR="00CD73F7">
              <w:rPr>
                <w:rFonts w:eastAsia="Muli" w:cs="Muli"/>
                <w:color w:val="000000" w:themeColor="text1"/>
                <w:sz w:val="18"/>
                <w:szCs w:val="18"/>
              </w:rPr>
              <w:t xml:space="preserve">ed of </w:t>
            </w:r>
            <w:r w:rsidRPr="00BA2A05">
              <w:rPr>
                <w:rFonts w:eastAsia="Muli" w:cs="Muli"/>
                <w:color w:val="000000" w:themeColor="text1"/>
                <w:sz w:val="18"/>
                <w:szCs w:val="18"/>
              </w:rPr>
              <w:t xml:space="preserve">out-of-pocket costs that may apply. </w:t>
            </w:r>
          </w:p>
          <w:p w14:paraId="5E0E0809" w14:textId="77777777" w:rsidR="00BA2A05" w:rsidRPr="00E90075" w:rsidRDefault="00BA2A05" w:rsidP="00BE164E">
            <w:pPr>
              <w:spacing w:after="120"/>
              <w:rPr>
                <w:rFonts w:eastAsia="Muli" w:cs="Muli"/>
                <w:color w:val="408BCA"/>
                <w:sz w:val="18"/>
                <w:szCs w:val="18"/>
              </w:rPr>
            </w:pPr>
            <w:r w:rsidRPr="00E90075">
              <w:rPr>
                <w:rFonts w:eastAsia="Muli" w:cs="Muli"/>
                <w:color w:val="408BCA"/>
                <w:sz w:val="18"/>
                <w:szCs w:val="18"/>
              </w:rPr>
              <w:t>Step 3: Assign a risk tier</w:t>
            </w:r>
          </w:p>
          <w:p w14:paraId="5B5716D6" w14:textId="6C4A6971" w:rsidR="00BA2A05" w:rsidRPr="00BA2A05" w:rsidRDefault="00BA2A05" w:rsidP="00BB7C8D">
            <w:pPr>
              <w:pStyle w:val="ListParagraph"/>
              <w:numPr>
                <w:ilvl w:val="0"/>
                <w:numId w:val="34"/>
              </w:numPr>
              <w:spacing w:after="120"/>
              <w:ind w:left="714" w:hanging="357"/>
              <w:contextualSpacing w:val="0"/>
              <w:rPr>
                <w:rFonts w:eastAsia="Muli" w:cs="Muli"/>
                <w:color w:val="000000" w:themeColor="text1"/>
                <w:sz w:val="18"/>
                <w:szCs w:val="18"/>
              </w:rPr>
            </w:pPr>
            <w:r w:rsidRPr="00BA2A05">
              <w:rPr>
                <w:rFonts w:eastAsia="Muli" w:cs="Muli"/>
                <w:color w:val="000000" w:themeColor="text1"/>
                <w:sz w:val="18"/>
                <w:szCs w:val="18"/>
              </w:rPr>
              <w:t xml:space="preserve">The patient’s verbal consent to proceed with an assessment is obtained. A clinician completes the second stage of the RST, the HARP assessment, based on information provided by the patient during the assessment. The HARP score determines the eligibility of the patient. If eligible, the score is used to assign the patient to </w:t>
            </w:r>
            <w:r w:rsidR="00DB1BD7">
              <w:rPr>
                <w:rFonts w:eastAsia="Muli" w:cs="Muli"/>
                <w:color w:val="000000" w:themeColor="text1"/>
                <w:sz w:val="18"/>
                <w:szCs w:val="18"/>
              </w:rPr>
              <w:t>a HCH</w:t>
            </w:r>
            <w:r w:rsidRPr="00BA2A05">
              <w:rPr>
                <w:rFonts w:eastAsia="Muli" w:cs="Muli"/>
                <w:color w:val="000000" w:themeColor="text1"/>
                <w:sz w:val="18"/>
                <w:szCs w:val="18"/>
              </w:rPr>
              <w:t xml:space="preserve"> tier (1, 2 or 3). The RST issues a digital certificate </w:t>
            </w:r>
            <w:r w:rsidR="00643A9C">
              <w:rPr>
                <w:rFonts w:eastAsia="Muli" w:cs="Muli"/>
                <w:color w:val="000000" w:themeColor="text1"/>
                <w:sz w:val="18"/>
                <w:szCs w:val="18"/>
              </w:rPr>
              <w:t xml:space="preserve">confirming </w:t>
            </w:r>
            <w:r w:rsidRPr="00BA2A05">
              <w:rPr>
                <w:rFonts w:eastAsia="Muli" w:cs="Muli"/>
                <w:color w:val="000000" w:themeColor="text1"/>
                <w:sz w:val="18"/>
                <w:szCs w:val="18"/>
              </w:rPr>
              <w:t>tier assignment, which is saved in the clinical management system.</w:t>
            </w:r>
          </w:p>
          <w:p w14:paraId="3713FA37" w14:textId="77777777" w:rsidR="00BA2A05" w:rsidRPr="00E90075" w:rsidRDefault="00BA2A05" w:rsidP="00BE164E">
            <w:pPr>
              <w:spacing w:after="120"/>
              <w:rPr>
                <w:rFonts w:eastAsia="Muli" w:cs="Muli"/>
                <w:color w:val="408BCA"/>
                <w:sz w:val="18"/>
                <w:szCs w:val="18"/>
              </w:rPr>
            </w:pPr>
            <w:r w:rsidRPr="00E90075">
              <w:rPr>
                <w:rFonts w:eastAsia="Muli" w:cs="Muli"/>
                <w:color w:val="408BCA"/>
                <w:sz w:val="18"/>
                <w:szCs w:val="18"/>
              </w:rPr>
              <w:t>Step 4: Obtain patient’s consent to enrol in HCH</w:t>
            </w:r>
          </w:p>
          <w:p w14:paraId="1472EE18" w14:textId="1CECDCDC" w:rsidR="00BA2A05" w:rsidRPr="00BA2A05" w:rsidRDefault="00BA2A05" w:rsidP="00BB7C8D">
            <w:pPr>
              <w:pStyle w:val="ListParagraph"/>
              <w:numPr>
                <w:ilvl w:val="0"/>
                <w:numId w:val="34"/>
              </w:numPr>
              <w:spacing w:after="120"/>
              <w:ind w:left="714" w:hanging="357"/>
              <w:contextualSpacing w:val="0"/>
              <w:rPr>
                <w:rFonts w:eastAsia="Muli" w:cs="Muli"/>
                <w:color w:val="000000" w:themeColor="text1"/>
                <w:sz w:val="18"/>
                <w:szCs w:val="18"/>
              </w:rPr>
            </w:pPr>
            <w:r w:rsidRPr="00BA2A05">
              <w:rPr>
                <w:rFonts w:eastAsia="Muli" w:cs="Muli"/>
                <w:color w:val="000000" w:themeColor="text1"/>
                <w:sz w:val="18"/>
                <w:szCs w:val="18"/>
              </w:rPr>
              <w:t>The HCH answers any further questions that the patient has and gives the patient a consent/enrolment form and a resource pack with detailed information about HCH. The patient provides written consent to enrol in HCH.</w:t>
            </w:r>
          </w:p>
          <w:p w14:paraId="1824C798" w14:textId="77777777" w:rsidR="00BA2A05" w:rsidRPr="00E90075" w:rsidRDefault="00BA2A05" w:rsidP="00BE164E">
            <w:pPr>
              <w:spacing w:after="120"/>
              <w:rPr>
                <w:rFonts w:eastAsia="Muli" w:cs="Muli"/>
                <w:color w:val="408BCA"/>
                <w:sz w:val="18"/>
                <w:szCs w:val="18"/>
              </w:rPr>
            </w:pPr>
            <w:r w:rsidRPr="00E90075">
              <w:rPr>
                <w:rFonts w:eastAsia="Muli" w:cs="Muli"/>
                <w:color w:val="408BCA"/>
                <w:sz w:val="18"/>
                <w:szCs w:val="18"/>
              </w:rPr>
              <w:lastRenderedPageBreak/>
              <w:t>Step 5: Provide further information and complete any outstanding requirements</w:t>
            </w:r>
          </w:p>
          <w:p w14:paraId="5609C086" w14:textId="45E1B691" w:rsidR="00BA2A05" w:rsidRPr="00BA2A05" w:rsidRDefault="00BA2A05" w:rsidP="00BB7C8D">
            <w:pPr>
              <w:pStyle w:val="ListParagraph"/>
              <w:numPr>
                <w:ilvl w:val="0"/>
                <w:numId w:val="34"/>
              </w:numPr>
              <w:spacing w:after="120"/>
              <w:ind w:left="714" w:hanging="357"/>
              <w:contextualSpacing w:val="0"/>
              <w:rPr>
                <w:rFonts w:eastAsia="Muli" w:cs="Muli"/>
                <w:color w:val="000000" w:themeColor="text1"/>
                <w:sz w:val="18"/>
                <w:szCs w:val="18"/>
              </w:rPr>
            </w:pPr>
            <w:r w:rsidRPr="00BA2A05">
              <w:rPr>
                <w:rFonts w:eastAsia="Muli" w:cs="Muli"/>
                <w:color w:val="000000" w:themeColor="text1"/>
                <w:sz w:val="18"/>
                <w:szCs w:val="18"/>
              </w:rPr>
              <w:t>The HCH gives the patient a copy of the patient handbook and answers any further questions that they may have.</w:t>
            </w:r>
          </w:p>
          <w:p w14:paraId="4F2BB842" w14:textId="5E700E6D" w:rsidR="00BA2A05" w:rsidRPr="00E90075" w:rsidRDefault="00BA2A05" w:rsidP="00BE164E">
            <w:pPr>
              <w:spacing w:after="120"/>
              <w:rPr>
                <w:rFonts w:eastAsia="Muli" w:cs="Muli"/>
                <w:color w:val="408BCA"/>
                <w:sz w:val="18"/>
                <w:szCs w:val="18"/>
              </w:rPr>
            </w:pPr>
            <w:r w:rsidRPr="00E90075">
              <w:rPr>
                <w:rFonts w:eastAsia="Muli" w:cs="Muli"/>
                <w:color w:val="408BCA"/>
                <w:sz w:val="18"/>
                <w:szCs w:val="18"/>
              </w:rPr>
              <w:t>Step 6: Register the patien</w:t>
            </w:r>
            <w:r w:rsidR="0054330C">
              <w:rPr>
                <w:rFonts w:eastAsia="Muli" w:cs="Muli"/>
                <w:color w:val="408BCA"/>
                <w:sz w:val="18"/>
                <w:szCs w:val="18"/>
              </w:rPr>
              <w:t>t</w:t>
            </w:r>
          </w:p>
          <w:p w14:paraId="5B48A52D" w14:textId="7F25BFEC" w:rsidR="00BA2A05" w:rsidRPr="00E90075" w:rsidRDefault="00BA2A05" w:rsidP="00BB7C8D">
            <w:pPr>
              <w:pStyle w:val="ListParagraph"/>
              <w:numPr>
                <w:ilvl w:val="0"/>
                <w:numId w:val="34"/>
              </w:numPr>
              <w:spacing w:after="0"/>
              <w:ind w:left="714" w:hanging="357"/>
              <w:contextualSpacing w:val="0"/>
              <w:rPr>
                <w:rFonts w:eastAsia="Muli" w:cs="Muli"/>
                <w:color w:val="000000" w:themeColor="text1"/>
                <w:sz w:val="18"/>
                <w:szCs w:val="18"/>
              </w:rPr>
            </w:pPr>
            <w:r w:rsidRPr="00E90075">
              <w:rPr>
                <w:rFonts w:eastAsia="Muli" w:cs="Muli"/>
                <w:color w:val="000000" w:themeColor="text1"/>
                <w:sz w:val="18"/>
                <w:szCs w:val="18"/>
              </w:rPr>
              <w:t>Patient registration in HPOS: This must be completed within seven days of the patient completing the consent form.</w:t>
            </w:r>
          </w:p>
          <w:p w14:paraId="0CF58A17" w14:textId="6640CC79" w:rsidR="00BA2A05" w:rsidRPr="00E90075" w:rsidRDefault="00BA2A05" w:rsidP="00BB7C8D">
            <w:pPr>
              <w:pStyle w:val="ListParagraph"/>
              <w:numPr>
                <w:ilvl w:val="0"/>
                <w:numId w:val="34"/>
              </w:numPr>
              <w:spacing w:after="0"/>
              <w:ind w:left="714" w:hanging="357"/>
              <w:contextualSpacing w:val="0"/>
              <w:rPr>
                <w:rFonts w:eastAsia="Muli" w:cs="Muli"/>
                <w:color w:val="000000" w:themeColor="text1"/>
                <w:sz w:val="18"/>
                <w:szCs w:val="18"/>
              </w:rPr>
            </w:pPr>
            <w:r w:rsidRPr="00E90075">
              <w:rPr>
                <w:rFonts w:eastAsia="Muli" w:cs="Muli"/>
                <w:color w:val="000000" w:themeColor="text1"/>
                <w:sz w:val="18"/>
                <w:szCs w:val="18"/>
              </w:rPr>
              <w:t xml:space="preserve">Practice clinical management system: Patients should be flagged in the practice clinical management system so that they can be identified as HCH patients by clinicians in the practice that will contribute to their care. </w:t>
            </w:r>
          </w:p>
          <w:p w14:paraId="42BF468F" w14:textId="68B7264F" w:rsidR="00BA2A05" w:rsidRPr="00E90075" w:rsidRDefault="00BA2A05" w:rsidP="00BB7C8D">
            <w:pPr>
              <w:pStyle w:val="ListParagraph"/>
              <w:numPr>
                <w:ilvl w:val="0"/>
                <w:numId w:val="34"/>
              </w:numPr>
              <w:spacing w:after="0"/>
              <w:ind w:left="714" w:hanging="357"/>
              <w:contextualSpacing w:val="0"/>
              <w:rPr>
                <w:rFonts w:eastAsia="Muli" w:cs="Muli"/>
                <w:color w:val="000000" w:themeColor="text1"/>
                <w:sz w:val="18"/>
                <w:szCs w:val="18"/>
              </w:rPr>
            </w:pPr>
            <w:r w:rsidRPr="00E90075">
              <w:rPr>
                <w:rFonts w:eastAsia="Muli" w:cs="Muli"/>
                <w:color w:val="000000" w:themeColor="text1"/>
                <w:sz w:val="18"/>
                <w:szCs w:val="18"/>
              </w:rPr>
              <w:t xml:space="preserve">Clinical audit/data extraction tool: The practice also flags HCH patients in the clinical audit/data extraction software, so they can be identified in the practice extracts provided for the evaluation. </w:t>
            </w:r>
          </w:p>
          <w:p w14:paraId="281BE87F" w14:textId="407DEDF8" w:rsidR="00BA2A05" w:rsidRPr="00E90075" w:rsidRDefault="00BA2A05" w:rsidP="00BB7C8D">
            <w:pPr>
              <w:pStyle w:val="ListParagraph"/>
              <w:numPr>
                <w:ilvl w:val="0"/>
                <w:numId w:val="34"/>
              </w:numPr>
              <w:spacing w:after="120"/>
              <w:ind w:left="714" w:hanging="357"/>
              <w:contextualSpacing w:val="0"/>
              <w:rPr>
                <w:rFonts w:eastAsia="Muli" w:cs="Muli"/>
                <w:color w:val="000000" w:themeColor="text1"/>
                <w:sz w:val="18"/>
                <w:szCs w:val="18"/>
              </w:rPr>
            </w:pPr>
            <w:r w:rsidRPr="00E90075">
              <w:rPr>
                <w:rFonts w:eastAsia="Muli" w:cs="Muli"/>
                <w:color w:val="000000" w:themeColor="text1"/>
                <w:sz w:val="18"/>
                <w:szCs w:val="18"/>
              </w:rPr>
              <w:t xml:space="preserve">HCH evaluation app: The HCH enters contact details about registered patients for the evaluation into the online evaluation app. This is for the purposes of inviting patients to participate in surveys, interviews and focus groups. These details are not required for patients enrolled by the </w:t>
            </w:r>
            <w:r w:rsidR="001A3C0F">
              <w:rPr>
                <w:rFonts w:eastAsia="Muli" w:cs="Muli"/>
                <w:color w:val="000000" w:themeColor="text1"/>
                <w:sz w:val="18"/>
                <w:szCs w:val="18"/>
              </w:rPr>
              <w:t>Northern Territory</w:t>
            </w:r>
            <w:r w:rsidRPr="00E90075">
              <w:rPr>
                <w:rFonts w:eastAsia="Muli" w:cs="Muli"/>
                <w:color w:val="000000" w:themeColor="text1"/>
                <w:sz w:val="18"/>
                <w:szCs w:val="18"/>
              </w:rPr>
              <w:t xml:space="preserve"> ACCHS, as </w:t>
            </w:r>
            <w:r w:rsidR="001A3C0F">
              <w:rPr>
                <w:rFonts w:eastAsia="Muli" w:cs="Muli"/>
                <w:color w:val="000000" w:themeColor="text1"/>
                <w:sz w:val="18"/>
                <w:szCs w:val="18"/>
              </w:rPr>
              <w:t xml:space="preserve">there are </w:t>
            </w:r>
            <w:r w:rsidRPr="00E90075">
              <w:rPr>
                <w:rFonts w:eastAsia="Muli" w:cs="Muli"/>
                <w:color w:val="000000" w:themeColor="text1"/>
                <w:sz w:val="18"/>
                <w:szCs w:val="18"/>
              </w:rPr>
              <w:t xml:space="preserve">alternative arrangements </w:t>
            </w:r>
            <w:r w:rsidR="001A3C0F">
              <w:rPr>
                <w:rFonts w:eastAsia="Muli" w:cs="Muli"/>
                <w:color w:val="000000" w:themeColor="text1"/>
                <w:sz w:val="18"/>
                <w:szCs w:val="18"/>
              </w:rPr>
              <w:t>for these services</w:t>
            </w:r>
            <w:r w:rsidRPr="00E90075">
              <w:rPr>
                <w:rFonts w:eastAsia="Muli" w:cs="Muli"/>
                <w:color w:val="000000" w:themeColor="text1"/>
                <w:sz w:val="18"/>
                <w:szCs w:val="18"/>
              </w:rPr>
              <w:t>).</w:t>
            </w:r>
          </w:p>
        </w:tc>
      </w:tr>
    </w:tbl>
    <w:p w14:paraId="66F3C517" w14:textId="77777777" w:rsidR="00F03CC0" w:rsidRPr="001B1EFB" w:rsidRDefault="00F03CC0" w:rsidP="00F03CC0">
      <w:pPr>
        <w:pStyle w:val="Heading2"/>
        <w:spacing w:before="200"/>
      </w:pPr>
      <w:bookmarkStart w:id="128" w:name="_Toc109996670"/>
      <w:r w:rsidRPr="001B1EFB">
        <w:lastRenderedPageBreak/>
        <w:t>Practice experiences with enrolment</w:t>
      </w:r>
      <w:bookmarkEnd w:id="128"/>
    </w:p>
    <w:p w14:paraId="30DCF420" w14:textId="2DE964BD" w:rsidR="00F03CC0" w:rsidRPr="001B1EFB" w:rsidRDefault="00F03CC0" w:rsidP="00F03CC0">
      <w:pPr>
        <w:pStyle w:val="Heading3"/>
      </w:pPr>
      <w:r w:rsidRPr="001B1EFB">
        <w:t>Identifying potentially eligible patients</w:t>
      </w:r>
    </w:p>
    <w:p w14:paraId="278E3CBA" w14:textId="02C0C294" w:rsidR="00F03CC0" w:rsidRPr="001B1EFB" w:rsidRDefault="00F03CC0" w:rsidP="00F03CC0">
      <w:pPr>
        <w:spacing w:after="160"/>
        <w:rPr>
          <w:szCs w:val="20"/>
        </w:rPr>
      </w:pPr>
      <w:r w:rsidRPr="001B1EFB">
        <w:rPr>
          <w:szCs w:val="20"/>
        </w:rPr>
        <w:t xml:space="preserve">The identification of potentially </w:t>
      </w:r>
      <w:r w:rsidR="00246F3A">
        <w:rPr>
          <w:szCs w:val="20"/>
        </w:rPr>
        <w:t>suitable</w:t>
      </w:r>
      <w:r w:rsidRPr="001B1EFB">
        <w:rPr>
          <w:szCs w:val="20"/>
        </w:rPr>
        <w:t xml:space="preserve"> patients was intended to be a systematic process </w:t>
      </w:r>
      <w:r w:rsidR="00246F3A">
        <w:rPr>
          <w:szCs w:val="20"/>
        </w:rPr>
        <w:t>using</w:t>
      </w:r>
      <w:r w:rsidRPr="001B1EFB">
        <w:rPr>
          <w:szCs w:val="20"/>
        </w:rPr>
        <w:t xml:space="preserve"> the RST. In practice, a variety of approaches emerged. These c</w:t>
      </w:r>
      <w:r>
        <w:rPr>
          <w:szCs w:val="20"/>
        </w:rPr>
        <w:t xml:space="preserve">ould </w:t>
      </w:r>
      <w:r w:rsidRPr="001B1EFB">
        <w:rPr>
          <w:szCs w:val="20"/>
        </w:rPr>
        <w:t xml:space="preserve">be broadly categorised into systematic and opportunistic approaches </w:t>
      </w:r>
      <w:r w:rsidR="00246F3A">
        <w:rPr>
          <w:szCs w:val="20"/>
        </w:rPr>
        <w:t>for</w:t>
      </w:r>
      <w:r w:rsidRPr="001B1EFB">
        <w:rPr>
          <w:szCs w:val="20"/>
        </w:rPr>
        <w:t xml:space="preserve"> identifying </w:t>
      </w:r>
      <w:r w:rsidR="00246F3A">
        <w:rPr>
          <w:szCs w:val="20"/>
        </w:rPr>
        <w:t>suitable</w:t>
      </w:r>
      <w:r w:rsidRPr="001B1EFB">
        <w:rPr>
          <w:szCs w:val="20"/>
        </w:rPr>
        <w:t xml:space="preserve"> patients.</w:t>
      </w:r>
    </w:p>
    <w:p w14:paraId="16BC81E4" w14:textId="18F13E6B" w:rsidR="00F03CC0" w:rsidRPr="001B1EFB" w:rsidRDefault="00F03CC0" w:rsidP="00F03CC0">
      <w:pPr>
        <w:spacing w:after="160"/>
        <w:rPr>
          <w:szCs w:val="20"/>
        </w:rPr>
      </w:pPr>
      <w:r w:rsidRPr="001B1EFB">
        <w:rPr>
          <w:szCs w:val="20"/>
        </w:rPr>
        <w:t xml:space="preserve">The intended systematic approach involved using the RST or other data on the practice population to produce </w:t>
      </w:r>
      <w:r w:rsidR="003922BC">
        <w:rPr>
          <w:szCs w:val="20"/>
        </w:rPr>
        <w:t xml:space="preserve">a </w:t>
      </w:r>
      <w:r w:rsidRPr="001B1EFB">
        <w:rPr>
          <w:szCs w:val="20"/>
        </w:rPr>
        <w:t xml:space="preserve">list of </w:t>
      </w:r>
      <w:r w:rsidR="00246F3A" w:rsidRPr="001B1EFB">
        <w:rPr>
          <w:szCs w:val="20"/>
        </w:rPr>
        <w:t xml:space="preserve">potentially </w:t>
      </w:r>
      <w:r w:rsidR="00246F3A">
        <w:rPr>
          <w:szCs w:val="20"/>
        </w:rPr>
        <w:t>suitable</w:t>
      </w:r>
      <w:r w:rsidR="00246F3A" w:rsidRPr="001B1EFB">
        <w:rPr>
          <w:szCs w:val="20"/>
        </w:rPr>
        <w:t xml:space="preserve"> patients</w:t>
      </w:r>
      <w:r w:rsidRPr="001B1EFB">
        <w:rPr>
          <w:szCs w:val="20"/>
        </w:rPr>
        <w:t xml:space="preserve">. GPs would review the list and could add patients </w:t>
      </w:r>
      <w:r w:rsidR="000C3616">
        <w:rPr>
          <w:szCs w:val="20"/>
        </w:rPr>
        <w:t>who</w:t>
      </w:r>
      <w:r w:rsidRPr="001B1EFB">
        <w:rPr>
          <w:szCs w:val="20"/>
        </w:rPr>
        <w:t xml:space="preserve"> they thought </w:t>
      </w:r>
      <w:r w:rsidR="00246F3A">
        <w:rPr>
          <w:szCs w:val="20"/>
        </w:rPr>
        <w:t>would</w:t>
      </w:r>
      <w:r w:rsidRPr="001B1EFB">
        <w:rPr>
          <w:szCs w:val="20"/>
        </w:rPr>
        <w:t xml:space="preserve"> benefit from </w:t>
      </w:r>
      <w:r w:rsidR="00980959">
        <w:rPr>
          <w:szCs w:val="20"/>
        </w:rPr>
        <w:t xml:space="preserve">the </w:t>
      </w:r>
      <w:r w:rsidRPr="001B1EFB">
        <w:rPr>
          <w:szCs w:val="20"/>
        </w:rPr>
        <w:t>HCH</w:t>
      </w:r>
      <w:r w:rsidR="00980959">
        <w:rPr>
          <w:szCs w:val="20"/>
        </w:rPr>
        <w:t xml:space="preserve"> model</w:t>
      </w:r>
      <w:r w:rsidRPr="001B1EFB">
        <w:rPr>
          <w:szCs w:val="20"/>
        </w:rPr>
        <w:t xml:space="preserve">. </w:t>
      </w:r>
      <w:r w:rsidR="007C5A18">
        <w:rPr>
          <w:szCs w:val="20"/>
        </w:rPr>
        <w:t>Following identification of suitable patients</w:t>
      </w:r>
      <w:r w:rsidRPr="001B1EFB">
        <w:rPr>
          <w:szCs w:val="20"/>
        </w:rPr>
        <w:t>, the practice contact</w:t>
      </w:r>
      <w:r w:rsidR="00293065">
        <w:rPr>
          <w:szCs w:val="20"/>
        </w:rPr>
        <w:t>ed</w:t>
      </w:r>
      <w:r w:rsidRPr="001B1EFB">
        <w:rPr>
          <w:szCs w:val="20"/>
        </w:rPr>
        <w:t xml:space="preserve"> the patient by phone or letter to invite them for a</w:t>
      </w:r>
      <w:r w:rsidR="00980959">
        <w:rPr>
          <w:szCs w:val="20"/>
        </w:rPr>
        <w:t>n individual</w:t>
      </w:r>
      <w:r w:rsidRPr="001B1EFB">
        <w:rPr>
          <w:szCs w:val="20"/>
        </w:rPr>
        <w:t xml:space="preserve"> consultation about enrolment or to a group information session. </w:t>
      </w:r>
    </w:p>
    <w:p w14:paraId="58CFC4E5" w14:textId="2863F5F5" w:rsidR="00F03CC0" w:rsidRPr="001B1EFB" w:rsidRDefault="004D690C" w:rsidP="00F03CC0">
      <w:pPr>
        <w:spacing w:after="160"/>
        <w:rPr>
          <w:szCs w:val="20"/>
        </w:rPr>
      </w:pPr>
      <w:r>
        <w:rPr>
          <w:szCs w:val="20"/>
        </w:rPr>
        <w:t>T</w:t>
      </w:r>
      <w:r w:rsidR="00F03CC0" w:rsidRPr="001B1EFB">
        <w:rPr>
          <w:szCs w:val="20"/>
        </w:rPr>
        <w:t>o begin with a manageable and potentially easily identifiable group of patients, some practices opted to target individuals with a specific chronic disease, such as diabetes or COPD, rather tha</w:t>
      </w:r>
      <w:r w:rsidR="00F03CC0">
        <w:rPr>
          <w:szCs w:val="20"/>
        </w:rPr>
        <w:t xml:space="preserve">n </w:t>
      </w:r>
      <w:r w:rsidR="00F03CC0" w:rsidRPr="001B1EFB">
        <w:rPr>
          <w:szCs w:val="20"/>
        </w:rPr>
        <w:t xml:space="preserve">their entire </w:t>
      </w:r>
      <w:r>
        <w:rPr>
          <w:szCs w:val="20"/>
        </w:rPr>
        <w:t>list of patients with chronic diseases</w:t>
      </w:r>
      <w:r w:rsidR="00F03CC0" w:rsidRPr="001B1EFB">
        <w:rPr>
          <w:szCs w:val="20"/>
        </w:rPr>
        <w:t>.</w:t>
      </w:r>
    </w:p>
    <w:p w14:paraId="35C16074" w14:textId="29BF0C39" w:rsidR="00F03CC0" w:rsidRPr="001B1EFB" w:rsidRDefault="00F03CC0" w:rsidP="00F03CC0">
      <w:pPr>
        <w:spacing w:after="160"/>
        <w:rPr>
          <w:szCs w:val="20"/>
        </w:rPr>
      </w:pPr>
      <w:r w:rsidRPr="001B1EFB">
        <w:rPr>
          <w:szCs w:val="20"/>
        </w:rPr>
        <w:t xml:space="preserve">Other practices took a more opportunistic approach and discussed HCH with patients </w:t>
      </w:r>
      <w:r w:rsidR="000C3616">
        <w:rPr>
          <w:szCs w:val="20"/>
        </w:rPr>
        <w:t>who</w:t>
      </w:r>
      <w:r w:rsidRPr="001B1EFB">
        <w:rPr>
          <w:szCs w:val="20"/>
        </w:rPr>
        <w:t xml:space="preserve"> the GP or nurse thought were suitable for the </w:t>
      </w:r>
      <w:r>
        <w:rPr>
          <w:szCs w:val="20"/>
        </w:rPr>
        <w:t>p</w:t>
      </w:r>
      <w:r w:rsidRPr="001B1EFB">
        <w:rPr>
          <w:szCs w:val="20"/>
        </w:rPr>
        <w:t xml:space="preserve">rogram when they attended routine appointments. </w:t>
      </w:r>
    </w:p>
    <w:p w14:paraId="569E251F" w14:textId="02A9078F" w:rsidR="00F03CC0" w:rsidRPr="001B1EFB" w:rsidRDefault="00F03CC0" w:rsidP="00F03CC0">
      <w:pPr>
        <w:spacing w:after="160"/>
        <w:rPr>
          <w:szCs w:val="20"/>
        </w:rPr>
      </w:pPr>
      <w:r>
        <w:rPr>
          <w:szCs w:val="20"/>
        </w:rPr>
        <w:t>Several</w:t>
      </w:r>
      <w:r w:rsidRPr="001B1EFB">
        <w:rPr>
          <w:szCs w:val="20"/>
        </w:rPr>
        <w:t xml:space="preserve"> practices reported using a combination of these approaches. Some practices also used methods to raise </w:t>
      </w:r>
      <w:r>
        <w:rPr>
          <w:szCs w:val="20"/>
        </w:rPr>
        <w:t>program</w:t>
      </w:r>
      <w:r w:rsidRPr="001B1EFB">
        <w:rPr>
          <w:szCs w:val="20"/>
        </w:rPr>
        <w:t xml:space="preserve"> awareness within their chronic disease patient cohort. For example, posters in their waiting rooms or information sessions </w:t>
      </w:r>
      <w:r>
        <w:rPr>
          <w:szCs w:val="20"/>
        </w:rPr>
        <w:t xml:space="preserve">or workshops </w:t>
      </w:r>
      <w:r w:rsidRPr="001B1EFB">
        <w:rPr>
          <w:szCs w:val="20"/>
        </w:rPr>
        <w:t xml:space="preserve">where they could enrol multiple patients at </w:t>
      </w:r>
      <w:r w:rsidR="00FB3A75">
        <w:rPr>
          <w:szCs w:val="20"/>
        </w:rPr>
        <w:t>the same</w:t>
      </w:r>
      <w:r w:rsidRPr="001B1EFB">
        <w:rPr>
          <w:szCs w:val="20"/>
        </w:rPr>
        <w:t xml:space="preserve"> time</w:t>
      </w:r>
      <w:r w:rsidR="00EE0FC3">
        <w:rPr>
          <w:szCs w:val="20"/>
        </w:rPr>
        <w:t xml:space="preserve"> </w:t>
      </w:r>
      <w:r w:rsidR="00D805BE">
        <w:rPr>
          <w:szCs w:val="20"/>
        </w:rPr>
        <w:t>after</w:t>
      </w:r>
      <w:r w:rsidR="00EE0FC3">
        <w:rPr>
          <w:szCs w:val="20"/>
        </w:rPr>
        <w:t xml:space="preserve"> providing</w:t>
      </w:r>
      <w:r w:rsidR="00D805BE">
        <w:rPr>
          <w:szCs w:val="20"/>
        </w:rPr>
        <w:t xml:space="preserve"> them with</w:t>
      </w:r>
      <w:r w:rsidR="00EE0FC3">
        <w:rPr>
          <w:szCs w:val="20"/>
        </w:rPr>
        <w:t xml:space="preserve"> information</w:t>
      </w:r>
      <w:r w:rsidRPr="001B1EFB">
        <w:rPr>
          <w:szCs w:val="20"/>
        </w:rPr>
        <w:t>.</w:t>
      </w:r>
    </w:p>
    <w:p w14:paraId="2D4937B5" w14:textId="21FBB79A" w:rsidR="003E3DD7" w:rsidRDefault="00F03CC0" w:rsidP="00E71CE0">
      <w:pPr>
        <w:spacing w:after="160"/>
        <w:rPr>
          <w:szCs w:val="20"/>
        </w:rPr>
      </w:pPr>
      <w:r w:rsidRPr="001B1EFB">
        <w:rPr>
          <w:szCs w:val="20"/>
        </w:rPr>
        <w:t>In addition to the formal requirements for enrolment, practices reported approach</w:t>
      </w:r>
      <w:r w:rsidR="0000595E">
        <w:rPr>
          <w:szCs w:val="20"/>
        </w:rPr>
        <w:t>ing</w:t>
      </w:r>
      <w:r w:rsidRPr="001B1EFB">
        <w:rPr>
          <w:szCs w:val="20"/>
        </w:rPr>
        <w:t xml:space="preserve"> patients based on</w:t>
      </w:r>
      <w:r w:rsidR="00E317B1">
        <w:rPr>
          <w:szCs w:val="20"/>
        </w:rPr>
        <w:t xml:space="preserve"> </w:t>
      </w:r>
      <w:r w:rsidR="00C761BB">
        <w:rPr>
          <w:szCs w:val="20"/>
        </w:rPr>
        <w:t xml:space="preserve">specific </w:t>
      </w:r>
      <w:r w:rsidR="00E317B1">
        <w:rPr>
          <w:szCs w:val="20"/>
        </w:rPr>
        <w:t>patient</w:t>
      </w:r>
      <w:r w:rsidR="00374C47">
        <w:rPr>
          <w:szCs w:val="20"/>
        </w:rPr>
        <w:t xml:space="preserve"> factors</w:t>
      </w:r>
      <w:r w:rsidR="00E317B1">
        <w:rPr>
          <w:szCs w:val="20"/>
        </w:rPr>
        <w:t xml:space="preserve"> and financial </w:t>
      </w:r>
      <w:r w:rsidR="00374C47">
        <w:rPr>
          <w:szCs w:val="20"/>
        </w:rPr>
        <w:t>considerations</w:t>
      </w:r>
      <w:r w:rsidR="00775CCD">
        <w:rPr>
          <w:szCs w:val="20"/>
        </w:rPr>
        <w:t xml:space="preserve"> (</w:t>
      </w:r>
      <w:r w:rsidR="00B1604A" w:rsidRPr="00CE39B5">
        <w:rPr>
          <w:rFonts w:eastAsiaTheme="minorEastAsia"/>
          <w:bCs/>
          <w:color w:val="1D2455"/>
          <w:szCs w:val="20"/>
          <w:lang w:eastAsia="en-AU"/>
        </w:rPr>
        <w:fldChar w:fldCharType="begin"/>
      </w:r>
      <w:r w:rsidR="00B1604A" w:rsidRPr="00CE39B5">
        <w:rPr>
          <w:rFonts w:eastAsiaTheme="minorEastAsia"/>
          <w:bCs/>
          <w:color w:val="1D2455"/>
          <w:szCs w:val="20"/>
          <w:lang w:eastAsia="en-AU"/>
        </w:rPr>
        <w:instrText xml:space="preserve"> REF _Ref85623700 \h </w:instrText>
      </w:r>
      <w:r w:rsidR="0000595E" w:rsidRPr="00CE39B5">
        <w:rPr>
          <w:rFonts w:eastAsiaTheme="minorEastAsia"/>
          <w:bCs/>
          <w:color w:val="1D2455"/>
          <w:szCs w:val="20"/>
          <w:lang w:eastAsia="en-AU"/>
        </w:rPr>
        <w:instrText xml:space="preserve"> \* MERGEFORMAT </w:instrText>
      </w:r>
      <w:r w:rsidR="00B1604A" w:rsidRPr="00CE39B5">
        <w:rPr>
          <w:rFonts w:eastAsiaTheme="minorEastAsia"/>
          <w:bCs/>
          <w:color w:val="1D2455"/>
          <w:szCs w:val="20"/>
          <w:lang w:eastAsia="en-AU"/>
        </w:rPr>
      </w:r>
      <w:r w:rsidR="00B1604A" w:rsidRPr="00CE39B5">
        <w:rPr>
          <w:rFonts w:eastAsiaTheme="minorEastAsia"/>
          <w:bCs/>
          <w:color w:val="1D2455"/>
          <w:szCs w:val="20"/>
          <w:lang w:eastAsia="en-AU"/>
        </w:rPr>
        <w:fldChar w:fldCharType="separate"/>
      </w:r>
      <w:r w:rsidR="003C4BC2" w:rsidRPr="003C4BC2">
        <w:rPr>
          <w:rFonts w:eastAsiaTheme="minorEastAsia"/>
          <w:bCs/>
          <w:color w:val="1D2455"/>
          <w:szCs w:val="20"/>
          <w:lang w:eastAsia="en-AU"/>
        </w:rPr>
        <w:t>Figure 11</w:t>
      </w:r>
      <w:r w:rsidR="00B1604A" w:rsidRPr="00CE39B5">
        <w:rPr>
          <w:rFonts w:eastAsiaTheme="minorEastAsia"/>
          <w:bCs/>
          <w:color w:val="1D2455"/>
          <w:szCs w:val="20"/>
          <w:lang w:eastAsia="en-AU"/>
        </w:rPr>
        <w:fldChar w:fldCharType="end"/>
      </w:r>
      <w:r w:rsidR="00775CCD">
        <w:rPr>
          <w:szCs w:val="20"/>
        </w:rPr>
        <w:t>).</w:t>
      </w:r>
    </w:p>
    <w:p w14:paraId="19864BFC" w14:textId="77777777" w:rsidR="003E3DD7" w:rsidRDefault="003E3DD7">
      <w:pPr>
        <w:spacing w:after="160" w:line="259" w:lineRule="auto"/>
        <w:rPr>
          <w:szCs w:val="20"/>
        </w:rPr>
      </w:pPr>
      <w:r>
        <w:rPr>
          <w:szCs w:val="20"/>
        </w:rPr>
        <w:br w:type="page"/>
      </w:r>
    </w:p>
    <w:p w14:paraId="2F286A50" w14:textId="42F943E3" w:rsidR="00F03CC0" w:rsidRPr="003F0FCC" w:rsidRDefault="00F03CC0" w:rsidP="00046862">
      <w:pPr>
        <w:pStyle w:val="TableFigureheading"/>
      </w:pPr>
      <w:bookmarkStart w:id="129" w:name="_Ref85623700"/>
      <w:r w:rsidRPr="009D25A1">
        <w:lastRenderedPageBreak/>
        <w:t xml:space="preserve">Figure </w:t>
      </w:r>
      <w:r w:rsidR="00A61B29">
        <w:fldChar w:fldCharType="begin"/>
      </w:r>
      <w:r w:rsidR="00A61B29">
        <w:instrText xml:space="preserve"> SEQ Figure \* ARABIC </w:instrText>
      </w:r>
      <w:r w:rsidR="00A61B29">
        <w:fldChar w:fldCharType="separate"/>
      </w:r>
      <w:r w:rsidR="003C4BC2">
        <w:rPr>
          <w:noProof/>
        </w:rPr>
        <w:t>11</w:t>
      </w:r>
      <w:r w:rsidR="00A61B29">
        <w:rPr>
          <w:noProof/>
        </w:rPr>
        <w:fldChar w:fldCharType="end"/>
      </w:r>
      <w:bookmarkEnd w:id="129"/>
      <w:r w:rsidR="00046862">
        <w:t>:</w:t>
      </w:r>
      <w:r>
        <w:t xml:space="preserve"> Reasons practices approach</w:t>
      </w:r>
      <w:r w:rsidR="00374C47">
        <w:t>ed</w:t>
      </w:r>
      <w:r>
        <w:t xml:space="preserve"> patients to enrol in HCH</w:t>
      </w:r>
    </w:p>
    <w:p w14:paraId="78678C64" w14:textId="5125036C" w:rsidR="00F03CC0" w:rsidRDefault="00DE4502" w:rsidP="00A3478D">
      <w:pPr>
        <w:spacing w:after="160"/>
        <w:jc w:val="center"/>
        <w:rPr>
          <w:szCs w:val="20"/>
        </w:rPr>
      </w:pPr>
      <w:r w:rsidRPr="00DE4502">
        <w:rPr>
          <w:noProof/>
        </w:rPr>
        <w:drawing>
          <wp:inline distT="0" distB="0" distL="0" distR="0" wp14:anchorId="14012E63" wp14:editId="081BEE1F">
            <wp:extent cx="5867036" cy="4320000"/>
            <wp:effectExtent l="0" t="0" r="0" b="0"/>
            <wp:docPr id="8" name="Picture 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33"/>
                    <a:stretch>
                      <a:fillRect/>
                    </a:stretch>
                  </pic:blipFill>
                  <pic:spPr>
                    <a:xfrm>
                      <a:off x="0" y="0"/>
                      <a:ext cx="5867036" cy="4320000"/>
                    </a:xfrm>
                    <a:prstGeom prst="rect">
                      <a:avLst/>
                    </a:prstGeom>
                  </pic:spPr>
                </pic:pic>
              </a:graphicData>
            </a:graphic>
          </wp:inline>
        </w:drawing>
      </w:r>
    </w:p>
    <w:p w14:paraId="4F5B088F" w14:textId="26AA24F9" w:rsidR="00A82806" w:rsidRPr="001B1EFB" w:rsidRDefault="00A82806" w:rsidP="00A82806">
      <w:pPr>
        <w:pStyle w:val="Chartortablefootnote"/>
      </w:pPr>
      <w:r w:rsidRPr="001B1EFB">
        <w:t xml:space="preserve">Source: </w:t>
      </w:r>
      <w:r>
        <w:t>Case study</w:t>
      </w:r>
      <w:r w:rsidRPr="001B1EFB">
        <w:t xml:space="preserve"> </w:t>
      </w:r>
      <w:r>
        <w:t>interviews</w:t>
      </w:r>
      <w:r w:rsidRPr="001B1EFB">
        <w:t xml:space="preserve"> R2, </w:t>
      </w:r>
      <w:r w:rsidR="00493782" w:rsidRPr="00493782">
        <w:t>Sept–Oct 2018</w:t>
      </w:r>
      <w:r w:rsidRPr="001B1EFB">
        <w:t>.</w:t>
      </w:r>
    </w:p>
    <w:p w14:paraId="3C834D5D" w14:textId="5EFDDE27" w:rsidR="00F03CC0" w:rsidRDefault="00F03CC0" w:rsidP="00F03CC0">
      <w:pPr>
        <w:spacing w:after="160"/>
        <w:rPr>
          <w:szCs w:val="20"/>
        </w:rPr>
      </w:pPr>
      <w:r w:rsidRPr="001B1EFB">
        <w:rPr>
          <w:szCs w:val="20"/>
        </w:rPr>
        <w:t>In the practice survey, practices identified why they did</w:t>
      </w:r>
      <w:r>
        <w:rPr>
          <w:szCs w:val="20"/>
        </w:rPr>
        <w:t>n’t</w:t>
      </w:r>
      <w:r w:rsidRPr="001B1EFB">
        <w:rPr>
          <w:szCs w:val="20"/>
        </w:rPr>
        <w:t xml:space="preserve"> approach some patients identified by the RST as candidates for enrolment (</w:t>
      </w:r>
      <w:r w:rsidRPr="001018EB">
        <w:rPr>
          <w:szCs w:val="20"/>
        </w:rPr>
        <w:fldChar w:fldCharType="begin"/>
      </w:r>
      <w:r w:rsidRPr="001018EB">
        <w:rPr>
          <w:szCs w:val="20"/>
        </w:rPr>
        <w:instrText xml:space="preserve"> REF _Ref77940826 \h </w:instrText>
      </w:r>
      <w:r w:rsidR="00302D66" w:rsidRPr="001018EB">
        <w:rPr>
          <w:szCs w:val="20"/>
        </w:rPr>
        <w:instrText xml:space="preserve"> \* MERGEFORMAT </w:instrText>
      </w:r>
      <w:r w:rsidRPr="001018EB">
        <w:rPr>
          <w:szCs w:val="20"/>
        </w:rPr>
      </w:r>
      <w:r w:rsidRPr="001018EB">
        <w:rPr>
          <w:szCs w:val="20"/>
        </w:rPr>
        <w:fldChar w:fldCharType="separate"/>
      </w:r>
      <w:r w:rsidR="003C4BC2" w:rsidRPr="008931E6">
        <w:t xml:space="preserve">Table </w:t>
      </w:r>
      <w:r w:rsidR="003C4BC2">
        <w:rPr>
          <w:rStyle w:val="TableFigureheadingChar"/>
          <w:noProof/>
        </w:rPr>
        <w:t>15</w:t>
      </w:r>
      <w:r w:rsidRPr="001018EB">
        <w:rPr>
          <w:szCs w:val="20"/>
        </w:rPr>
        <w:fldChar w:fldCharType="end"/>
      </w:r>
      <w:r w:rsidRPr="001018EB">
        <w:rPr>
          <w:szCs w:val="20"/>
        </w:rPr>
        <w:t>)</w:t>
      </w:r>
      <w:r w:rsidRPr="001B1EFB">
        <w:rPr>
          <w:szCs w:val="20"/>
        </w:rPr>
        <w:t>.</w:t>
      </w:r>
    </w:p>
    <w:p w14:paraId="52953215" w14:textId="044F4C98" w:rsidR="00F03CC0" w:rsidRPr="00F621D7" w:rsidRDefault="00F03CC0" w:rsidP="008931E6">
      <w:pPr>
        <w:pStyle w:val="TableFigureheading"/>
        <w:rPr>
          <w:rFonts w:eastAsia="Times New Roman"/>
          <w:b/>
          <w:lang w:val="en-US"/>
        </w:rPr>
      </w:pPr>
      <w:bookmarkStart w:id="130" w:name="_Ref77940826"/>
      <w:bookmarkStart w:id="131" w:name="_Hlk22642078"/>
      <w:r w:rsidRPr="008931E6">
        <w:t xml:space="preserve">Table </w:t>
      </w:r>
      <w:r w:rsidRPr="008931E6">
        <w:rPr>
          <w:rStyle w:val="TableFigureheadingChar"/>
        </w:rPr>
        <w:fldChar w:fldCharType="begin"/>
      </w:r>
      <w:r w:rsidRPr="008931E6">
        <w:rPr>
          <w:rStyle w:val="TableFigureheadingChar"/>
        </w:rPr>
        <w:instrText xml:space="preserve"> SEQ Table \* ARABIC </w:instrText>
      </w:r>
      <w:r w:rsidRPr="008931E6">
        <w:rPr>
          <w:rStyle w:val="TableFigureheadingChar"/>
        </w:rPr>
        <w:fldChar w:fldCharType="separate"/>
      </w:r>
      <w:r w:rsidR="003C4BC2">
        <w:rPr>
          <w:rStyle w:val="TableFigureheadingChar"/>
          <w:noProof/>
        </w:rPr>
        <w:t>15</w:t>
      </w:r>
      <w:r w:rsidRPr="008931E6">
        <w:rPr>
          <w:rStyle w:val="TableFigureheadingChar"/>
        </w:rPr>
        <w:fldChar w:fldCharType="end"/>
      </w:r>
      <w:bookmarkEnd w:id="130"/>
      <w:r w:rsidR="008931E6">
        <w:rPr>
          <w:rStyle w:val="TableFigureheadingChar"/>
        </w:rPr>
        <w:t>:</w:t>
      </w:r>
      <w:r w:rsidRPr="008931E6">
        <w:t xml:space="preserve"> Main factors that </w:t>
      </w:r>
      <w:r w:rsidR="005E795F">
        <w:t xml:space="preserve">the </w:t>
      </w:r>
      <w:r w:rsidRPr="008931E6">
        <w:t>practice/GP decided not to approach some of the patients</w:t>
      </w:r>
      <w:r w:rsidRPr="00F621D7">
        <w:rPr>
          <w:rFonts w:eastAsia="Times New Roman"/>
          <w:lang w:val="en-US"/>
        </w:rPr>
        <w:t xml:space="preserve"> flagged by the </w:t>
      </w:r>
      <w:r w:rsidR="005E795F">
        <w:rPr>
          <w:rFonts w:eastAsia="Times New Roman"/>
          <w:lang w:val="en-US"/>
        </w:rPr>
        <w:t>RST as</w:t>
      </w:r>
      <w:r w:rsidR="001F1308">
        <w:rPr>
          <w:rFonts w:eastAsia="Times New Roman"/>
          <w:lang w:val="en-US"/>
        </w:rPr>
        <w:t xml:space="preserve"> suitable</w:t>
      </w:r>
      <w:r w:rsidRPr="00F621D7">
        <w:rPr>
          <w:rFonts w:eastAsia="Times New Roman"/>
          <w:lang w:val="en-US"/>
        </w:rPr>
        <w:t xml:space="preserve"> (including responses from withdrawn practices)</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146"/>
        <w:gridCol w:w="1250"/>
        <w:gridCol w:w="222"/>
        <w:gridCol w:w="3232"/>
        <w:gridCol w:w="1166"/>
      </w:tblGrid>
      <w:tr w:rsidR="00E27353" w:rsidRPr="00E27353" w14:paraId="091558D7" w14:textId="77777777" w:rsidTr="00E27353">
        <w:trPr>
          <w:trHeight w:val="336"/>
        </w:trPr>
        <w:tc>
          <w:tcPr>
            <w:tcW w:w="1746" w:type="pct"/>
            <w:shd w:val="clear" w:color="auto" w:fill="408BCA"/>
            <w:vAlign w:val="center"/>
          </w:tcPr>
          <w:bookmarkEnd w:id="131"/>
          <w:p w14:paraId="40AF30E3" w14:textId="77777777" w:rsidR="00F03CC0" w:rsidRPr="00E27353" w:rsidRDefault="00F03CC0" w:rsidP="00E27353">
            <w:pPr>
              <w:spacing w:after="0"/>
              <w:jc w:val="center"/>
              <w:rPr>
                <w:rFonts w:ascii="Calibri" w:hAnsi="Calibri"/>
                <w:b/>
                <w:bCs/>
                <w:sz w:val="22"/>
              </w:rPr>
            </w:pPr>
            <w:r w:rsidRPr="00E27353">
              <w:rPr>
                <w:rFonts w:ascii="Calibri" w:eastAsia="Century Gothic" w:hAnsi="Calibri" w:cs="Century Gothic"/>
                <w:b/>
                <w:bCs/>
                <w:color w:val="FFFFFF"/>
                <w:sz w:val="18"/>
                <w:szCs w:val="18"/>
              </w:rPr>
              <w:t>Response</w:t>
            </w:r>
          </w:p>
        </w:tc>
        <w:tc>
          <w:tcPr>
            <w:tcW w:w="694" w:type="pct"/>
            <w:shd w:val="clear" w:color="auto" w:fill="408BCA"/>
            <w:vAlign w:val="center"/>
          </w:tcPr>
          <w:p w14:paraId="1BF34577" w14:textId="77777777" w:rsidR="00F03CC0" w:rsidRPr="00E27353" w:rsidRDefault="00F03CC0" w:rsidP="00E27353">
            <w:pPr>
              <w:spacing w:after="0"/>
              <w:jc w:val="center"/>
              <w:rPr>
                <w:rFonts w:ascii="Calibri" w:hAnsi="Calibri"/>
                <w:b/>
                <w:bCs/>
                <w:sz w:val="22"/>
              </w:rPr>
            </w:pPr>
            <w:r w:rsidRPr="00E27353">
              <w:rPr>
                <w:rFonts w:ascii="Calibri" w:eastAsia="Century Gothic" w:hAnsi="Calibri" w:cs="Century Gothic"/>
                <w:b/>
                <w:bCs/>
                <w:color w:val="FFFFFF"/>
                <w:sz w:val="18"/>
                <w:szCs w:val="18"/>
              </w:rPr>
              <w:t>n (%)</w:t>
            </w:r>
          </w:p>
        </w:tc>
        <w:tc>
          <w:tcPr>
            <w:tcW w:w="120" w:type="pct"/>
            <w:tcBorders>
              <w:top w:val="nil"/>
              <w:bottom w:val="nil"/>
            </w:tcBorders>
            <w:shd w:val="clear" w:color="auto" w:fill="auto"/>
            <w:vAlign w:val="center"/>
          </w:tcPr>
          <w:p w14:paraId="5EBCA744" w14:textId="2325EB26" w:rsidR="00F03CC0" w:rsidRPr="00E27353" w:rsidRDefault="00F03CC0" w:rsidP="00E27353">
            <w:pPr>
              <w:spacing w:after="0"/>
              <w:jc w:val="center"/>
              <w:rPr>
                <w:rFonts w:ascii="Calibri" w:hAnsi="Calibri"/>
                <w:b/>
                <w:bCs/>
                <w:sz w:val="22"/>
              </w:rPr>
            </w:pPr>
          </w:p>
        </w:tc>
        <w:tc>
          <w:tcPr>
            <w:tcW w:w="1793" w:type="pct"/>
            <w:shd w:val="clear" w:color="auto" w:fill="408BCA"/>
            <w:vAlign w:val="center"/>
          </w:tcPr>
          <w:p w14:paraId="0669CF06" w14:textId="77777777" w:rsidR="00F03CC0" w:rsidRPr="00E27353" w:rsidRDefault="00F03CC0" w:rsidP="00E27353">
            <w:pPr>
              <w:spacing w:after="0"/>
              <w:jc w:val="center"/>
              <w:rPr>
                <w:rFonts w:ascii="Calibri" w:hAnsi="Calibri"/>
                <w:b/>
                <w:bCs/>
                <w:sz w:val="22"/>
              </w:rPr>
            </w:pPr>
            <w:r w:rsidRPr="00E27353">
              <w:rPr>
                <w:rFonts w:ascii="Calibri" w:eastAsia="Century Gothic" w:hAnsi="Calibri" w:cs="Century Gothic"/>
                <w:b/>
                <w:bCs/>
                <w:color w:val="FFFFFF"/>
                <w:sz w:val="18"/>
                <w:szCs w:val="18"/>
              </w:rPr>
              <w:t>Response</w:t>
            </w:r>
          </w:p>
        </w:tc>
        <w:tc>
          <w:tcPr>
            <w:tcW w:w="647" w:type="pct"/>
            <w:shd w:val="clear" w:color="auto" w:fill="408BCA"/>
            <w:vAlign w:val="center"/>
          </w:tcPr>
          <w:p w14:paraId="2437BB33" w14:textId="77777777" w:rsidR="00F03CC0" w:rsidRPr="00E27353" w:rsidRDefault="00F03CC0" w:rsidP="00E27353">
            <w:pPr>
              <w:spacing w:after="0"/>
              <w:jc w:val="center"/>
              <w:rPr>
                <w:rFonts w:ascii="Calibri" w:hAnsi="Calibri"/>
                <w:b/>
                <w:bCs/>
                <w:sz w:val="22"/>
              </w:rPr>
            </w:pPr>
            <w:r w:rsidRPr="00E27353">
              <w:rPr>
                <w:rFonts w:ascii="Calibri" w:eastAsia="Century Gothic" w:hAnsi="Calibri" w:cs="Century Gothic"/>
                <w:b/>
                <w:bCs/>
                <w:color w:val="FFFFFF"/>
                <w:sz w:val="18"/>
                <w:szCs w:val="18"/>
              </w:rPr>
              <w:t>n (%)</w:t>
            </w:r>
          </w:p>
        </w:tc>
      </w:tr>
      <w:tr w:rsidR="00F03CC0" w:rsidRPr="001B1EFB" w14:paraId="75676C1A" w14:textId="77777777" w:rsidTr="00E27353">
        <w:trPr>
          <w:trHeight w:val="442"/>
        </w:trPr>
        <w:tc>
          <w:tcPr>
            <w:tcW w:w="1746" w:type="pct"/>
          </w:tcPr>
          <w:p w14:paraId="12FDE442" w14:textId="77777777" w:rsidR="00F03CC0" w:rsidRPr="001B1EFB" w:rsidRDefault="00F03CC0" w:rsidP="004E62A4">
            <w:pPr>
              <w:spacing w:after="0"/>
              <w:ind w:right="102"/>
              <w:rPr>
                <w:sz w:val="18"/>
                <w:szCs w:val="18"/>
              </w:rPr>
            </w:pPr>
            <w:r w:rsidRPr="001B1EFB">
              <w:rPr>
                <w:rFonts w:eastAsia="Century Gothic" w:cs="Century Gothic"/>
                <w:color w:val="000000"/>
                <w:sz w:val="18"/>
                <w:szCs w:val="18"/>
              </w:rPr>
              <w:t>Financially not viable (frequent attendance)</w:t>
            </w:r>
          </w:p>
        </w:tc>
        <w:tc>
          <w:tcPr>
            <w:tcW w:w="694" w:type="pct"/>
          </w:tcPr>
          <w:p w14:paraId="312A7BA3" w14:textId="77777777" w:rsidR="00F03CC0" w:rsidRPr="001B1EFB" w:rsidRDefault="00F03CC0" w:rsidP="004E62A4">
            <w:pPr>
              <w:spacing w:after="0"/>
              <w:ind w:left="102"/>
              <w:jc w:val="right"/>
              <w:rPr>
                <w:sz w:val="18"/>
                <w:szCs w:val="18"/>
              </w:rPr>
            </w:pPr>
            <w:r w:rsidRPr="001B1EFB">
              <w:rPr>
                <w:rFonts w:eastAsia="Century Gothic" w:cs="Century Gothic"/>
                <w:color w:val="000000"/>
                <w:sz w:val="18"/>
                <w:szCs w:val="18"/>
              </w:rPr>
              <w:t>32 (30.5%)</w:t>
            </w:r>
          </w:p>
        </w:tc>
        <w:tc>
          <w:tcPr>
            <w:tcW w:w="120" w:type="pct"/>
            <w:tcBorders>
              <w:top w:val="nil"/>
              <w:bottom w:val="nil"/>
            </w:tcBorders>
          </w:tcPr>
          <w:p w14:paraId="45D5F6E1" w14:textId="77777777" w:rsidR="00F03CC0" w:rsidRPr="001B1EFB" w:rsidRDefault="00F03CC0" w:rsidP="00136562">
            <w:pPr>
              <w:spacing w:after="0"/>
              <w:ind w:left="102" w:right="102"/>
              <w:jc w:val="right"/>
              <w:rPr>
                <w:sz w:val="18"/>
                <w:szCs w:val="18"/>
              </w:rPr>
            </w:pPr>
          </w:p>
        </w:tc>
        <w:tc>
          <w:tcPr>
            <w:tcW w:w="1793" w:type="pct"/>
          </w:tcPr>
          <w:p w14:paraId="3C6CE756" w14:textId="77777777" w:rsidR="00F03CC0" w:rsidRPr="001B1EFB" w:rsidRDefault="00F03CC0" w:rsidP="00136562">
            <w:pPr>
              <w:spacing w:after="0"/>
              <w:ind w:left="102" w:right="102"/>
              <w:rPr>
                <w:sz w:val="18"/>
                <w:szCs w:val="18"/>
              </w:rPr>
            </w:pPr>
            <w:r w:rsidRPr="001B1EFB">
              <w:rPr>
                <w:rFonts w:eastAsia="Century Gothic" w:cs="Century Gothic"/>
                <w:color w:val="000000"/>
                <w:sz w:val="18"/>
                <w:szCs w:val="18"/>
              </w:rPr>
              <w:t>Complex mental health patients</w:t>
            </w:r>
          </w:p>
        </w:tc>
        <w:tc>
          <w:tcPr>
            <w:tcW w:w="647" w:type="pct"/>
          </w:tcPr>
          <w:p w14:paraId="38F3A0AA" w14:textId="77777777" w:rsidR="00F03CC0" w:rsidRPr="001B1EFB" w:rsidRDefault="00F03CC0" w:rsidP="00AA66B4">
            <w:pPr>
              <w:spacing w:after="0"/>
              <w:ind w:left="102"/>
              <w:jc w:val="right"/>
              <w:rPr>
                <w:sz w:val="18"/>
                <w:szCs w:val="18"/>
              </w:rPr>
            </w:pPr>
            <w:r w:rsidRPr="001B1EFB">
              <w:rPr>
                <w:rFonts w:eastAsia="Century Gothic" w:cs="Century Gothic"/>
                <w:color w:val="000000"/>
                <w:sz w:val="18"/>
                <w:szCs w:val="18"/>
              </w:rPr>
              <w:t>4 (3.8%)</w:t>
            </w:r>
          </w:p>
        </w:tc>
      </w:tr>
      <w:tr w:rsidR="00F03CC0" w:rsidRPr="001B1EFB" w14:paraId="247D417B" w14:textId="77777777" w:rsidTr="00E27353">
        <w:trPr>
          <w:trHeight w:val="442"/>
        </w:trPr>
        <w:tc>
          <w:tcPr>
            <w:tcW w:w="1746" w:type="pct"/>
          </w:tcPr>
          <w:p w14:paraId="1BAB1330" w14:textId="1428D593" w:rsidR="00F03CC0" w:rsidRPr="001B1EFB" w:rsidRDefault="00F03CC0" w:rsidP="004E62A4">
            <w:pPr>
              <w:spacing w:after="0"/>
              <w:ind w:right="102"/>
              <w:rPr>
                <w:sz w:val="18"/>
                <w:szCs w:val="18"/>
              </w:rPr>
            </w:pPr>
            <w:r w:rsidRPr="001B1EFB">
              <w:rPr>
                <w:rFonts w:eastAsia="Century Gothic" w:cs="Century Gothic"/>
                <w:color w:val="000000"/>
                <w:sz w:val="18"/>
                <w:szCs w:val="18"/>
              </w:rPr>
              <w:t>Patient</w:t>
            </w:r>
            <w:r w:rsidR="004F10C3">
              <w:rPr>
                <w:rFonts w:eastAsia="Century Gothic" w:cs="Century Gothic"/>
                <w:color w:val="000000"/>
                <w:sz w:val="18"/>
                <w:szCs w:val="18"/>
              </w:rPr>
              <w:t>’</w:t>
            </w:r>
            <w:r w:rsidRPr="001B1EFB">
              <w:rPr>
                <w:rFonts w:eastAsia="Century Gothic" w:cs="Century Gothic"/>
                <w:color w:val="000000"/>
                <w:sz w:val="18"/>
                <w:szCs w:val="18"/>
              </w:rPr>
              <w:t>s personality not suitable/</w:t>
            </w:r>
            <w:r w:rsidR="009D6DF1">
              <w:rPr>
                <w:rFonts w:eastAsia="Century Gothic" w:cs="Century Gothic"/>
                <w:color w:val="000000"/>
                <w:sz w:val="18"/>
                <w:szCs w:val="18"/>
              </w:rPr>
              <w:t>model</w:t>
            </w:r>
            <w:r w:rsidRPr="001B1EFB">
              <w:rPr>
                <w:rFonts w:eastAsia="Century Gothic" w:cs="Century Gothic"/>
                <w:color w:val="000000"/>
                <w:sz w:val="18"/>
                <w:szCs w:val="18"/>
              </w:rPr>
              <w:t xml:space="preserve"> wouldn't suit</w:t>
            </w:r>
          </w:p>
        </w:tc>
        <w:tc>
          <w:tcPr>
            <w:tcW w:w="694" w:type="pct"/>
          </w:tcPr>
          <w:p w14:paraId="0D0BE817" w14:textId="77777777" w:rsidR="00F03CC0" w:rsidRPr="001B1EFB" w:rsidRDefault="00F03CC0" w:rsidP="004E62A4">
            <w:pPr>
              <w:spacing w:after="0"/>
              <w:ind w:left="102"/>
              <w:jc w:val="right"/>
              <w:rPr>
                <w:sz w:val="18"/>
                <w:szCs w:val="18"/>
              </w:rPr>
            </w:pPr>
            <w:r w:rsidRPr="001B1EFB">
              <w:rPr>
                <w:rFonts w:eastAsia="Century Gothic" w:cs="Century Gothic"/>
                <w:color w:val="000000"/>
                <w:sz w:val="18"/>
                <w:szCs w:val="18"/>
              </w:rPr>
              <w:t>22 (21.0%)</w:t>
            </w:r>
          </w:p>
        </w:tc>
        <w:tc>
          <w:tcPr>
            <w:tcW w:w="120" w:type="pct"/>
            <w:tcBorders>
              <w:top w:val="nil"/>
              <w:bottom w:val="nil"/>
            </w:tcBorders>
          </w:tcPr>
          <w:p w14:paraId="1CD3710E" w14:textId="77777777" w:rsidR="00F03CC0" w:rsidRPr="001B1EFB" w:rsidRDefault="00F03CC0" w:rsidP="00136562">
            <w:pPr>
              <w:spacing w:after="0"/>
              <w:ind w:left="102" w:right="102"/>
              <w:jc w:val="right"/>
              <w:rPr>
                <w:sz w:val="18"/>
                <w:szCs w:val="18"/>
              </w:rPr>
            </w:pPr>
          </w:p>
        </w:tc>
        <w:tc>
          <w:tcPr>
            <w:tcW w:w="1793" w:type="pct"/>
          </w:tcPr>
          <w:p w14:paraId="76A4F07D" w14:textId="77777777" w:rsidR="00F03CC0" w:rsidRPr="001B1EFB" w:rsidRDefault="00F03CC0" w:rsidP="00136562">
            <w:pPr>
              <w:spacing w:after="0"/>
              <w:ind w:left="102" w:right="102"/>
              <w:rPr>
                <w:sz w:val="18"/>
                <w:szCs w:val="18"/>
              </w:rPr>
            </w:pPr>
            <w:r w:rsidRPr="001B1EFB">
              <w:rPr>
                <w:rFonts w:eastAsia="Century Gothic" w:cs="Century Gothic"/>
                <w:color w:val="000000"/>
                <w:sz w:val="18"/>
                <w:szCs w:val="18"/>
              </w:rPr>
              <w:t>Patient prefers to see their GP (a doctor)</w:t>
            </w:r>
          </w:p>
        </w:tc>
        <w:tc>
          <w:tcPr>
            <w:tcW w:w="647" w:type="pct"/>
          </w:tcPr>
          <w:p w14:paraId="30AAD369" w14:textId="77777777" w:rsidR="00F03CC0" w:rsidRPr="001B1EFB" w:rsidRDefault="00F03CC0" w:rsidP="00AA66B4">
            <w:pPr>
              <w:spacing w:after="0"/>
              <w:ind w:left="102"/>
              <w:jc w:val="right"/>
              <w:rPr>
                <w:sz w:val="18"/>
                <w:szCs w:val="18"/>
              </w:rPr>
            </w:pPr>
            <w:r w:rsidRPr="001B1EFB">
              <w:rPr>
                <w:rFonts w:eastAsia="Century Gothic" w:cs="Century Gothic"/>
                <w:color w:val="000000"/>
                <w:sz w:val="18"/>
                <w:szCs w:val="18"/>
              </w:rPr>
              <w:t>4 (3.8%)</w:t>
            </w:r>
          </w:p>
        </w:tc>
      </w:tr>
      <w:tr w:rsidR="00F03CC0" w:rsidRPr="001B1EFB" w14:paraId="58B01653" w14:textId="77777777" w:rsidTr="00E27353">
        <w:trPr>
          <w:trHeight w:val="442"/>
        </w:trPr>
        <w:tc>
          <w:tcPr>
            <w:tcW w:w="1746" w:type="pct"/>
          </w:tcPr>
          <w:p w14:paraId="7445D975" w14:textId="62F8B85A" w:rsidR="00F03CC0" w:rsidRPr="001B1EFB" w:rsidRDefault="00F03CC0" w:rsidP="004E62A4">
            <w:pPr>
              <w:spacing w:after="0"/>
              <w:ind w:right="102"/>
              <w:rPr>
                <w:sz w:val="18"/>
                <w:szCs w:val="18"/>
              </w:rPr>
            </w:pPr>
            <w:r w:rsidRPr="001B1EFB">
              <w:rPr>
                <w:rFonts w:eastAsia="Century Gothic" w:cs="Century Gothic"/>
                <w:color w:val="000000"/>
                <w:sz w:val="18"/>
                <w:szCs w:val="18"/>
              </w:rPr>
              <w:t>Doctor</w:t>
            </w:r>
            <w:r w:rsidR="004F10C3">
              <w:rPr>
                <w:rFonts w:eastAsia="Century Gothic" w:cs="Century Gothic"/>
                <w:color w:val="000000"/>
                <w:sz w:val="18"/>
                <w:szCs w:val="18"/>
              </w:rPr>
              <w:t>’</w:t>
            </w:r>
            <w:r w:rsidRPr="001B1EFB">
              <w:rPr>
                <w:rFonts w:eastAsia="Century Gothic" w:cs="Century Gothic"/>
                <w:color w:val="000000"/>
                <w:sz w:val="18"/>
                <w:szCs w:val="18"/>
              </w:rPr>
              <w:t>s choice</w:t>
            </w:r>
          </w:p>
        </w:tc>
        <w:tc>
          <w:tcPr>
            <w:tcW w:w="694" w:type="pct"/>
          </w:tcPr>
          <w:p w14:paraId="36B44C2D" w14:textId="77777777" w:rsidR="00F03CC0" w:rsidRPr="001B1EFB" w:rsidRDefault="00F03CC0" w:rsidP="004E62A4">
            <w:pPr>
              <w:spacing w:after="0"/>
              <w:ind w:left="102"/>
              <w:jc w:val="right"/>
              <w:rPr>
                <w:sz w:val="18"/>
                <w:szCs w:val="18"/>
              </w:rPr>
            </w:pPr>
            <w:r w:rsidRPr="001B1EFB">
              <w:rPr>
                <w:rFonts w:eastAsia="Century Gothic" w:cs="Century Gothic"/>
                <w:color w:val="000000"/>
                <w:sz w:val="18"/>
                <w:szCs w:val="18"/>
              </w:rPr>
              <w:t>8 (7.6%)</w:t>
            </w:r>
          </w:p>
        </w:tc>
        <w:tc>
          <w:tcPr>
            <w:tcW w:w="120" w:type="pct"/>
            <w:tcBorders>
              <w:top w:val="nil"/>
              <w:bottom w:val="nil"/>
            </w:tcBorders>
          </w:tcPr>
          <w:p w14:paraId="3DDB18C3" w14:textId="77777777" w:rsidR="00F03CC0" w:rsidRPr="001B1EFB" w:rsidRDefault="00F03CC0" w:rsidP="00136562">
            <w:pPr>
              <w:spacing w:after="0"/>
              <w:ind w:left="102" w:right="102"/>
              <w:jc w:val="right"/>
              <w:rPr>
                <w:sz w:val="18"/>
                <w:szCs w:val="18"/>
              </w:rPr>
            </w:pPr>
          </w:p>
        </w:tc>
        <w:tc>
          <w:tcPr>
            <w:tcW w:w="1793" w:type="pct"/>
          </w:tcPr>
          <w:p w14:paraId="1951D672" w14:textId="77777777" w:rsidR="00F03CC0" w:rsidRPr="001B1EFB" w:rsidRDefault="00F03CC0" w:rsidP="00136562">
            <w:pPr>
              <w:spacing w:after="0"/>
              <w:ind w:left="102" w:right="102"/>
              <w:rPr>
                <w:sz w:val="18"/>
                <w:szCs w:val="18"/>
              </w:rPr>
            </w:pPr>
            <w:r w:rsidRPr="001B1EFB">
              <w:rPr>
                <w:rFonts w:eastAsia="Century Gothic" w:cs="Century Gothic"/>
                <w:color w:val="000000"/>
                <w:sz w:val="18"/>
                <w:szCs w:val="18"/>
              </w:rPr>
              <w:t>To restrict the number of HCH patients</w:t>
            </w:r>
          </w:p>
        </w:tc>
        <w:tc>
          <w:tcPr>
            <w:tcW w:w="647" w:type="pct"/>
          </w:tcPr>
          <w:p w14:paraId="739C9293" w14:textId="77777777" w:rsidR="00F03CC0" w:rsidRPr="001B1EFB" w:rsidRDefault="00F03CC0" w:rsidP="00AA66B4">
            <w:pPr>
              <w:spacing w:after="0"/>
              <w:ind w:left="102"/>
              <w:jc w:val="right"/>
              <w:rPr>
                <w:sz w:val="18"/>
                <w:szCs w:val="18"/>
              </w:rPr>
            </w:pPr>
            <w:r w:rsidRPr="001B1EFB">
              <w:rPr>
                <w:rFonts w:eastAsia="Century Gothic" w:cs="Century Gothic"/>
                <w:color w:val="000000"/>
                <w:sz w:val="18"/>
                <w:szCs w:val="18"/>
              </w:rPr>
              <w:t>3 (2.9%)</w:t>
            </w:r>
          </w:p>
        </w:tc>
      </w:tr>
      <w:tr w:rsidR="00F03CC0" w:rsidRPr="001B1EFB" w14:paraId="6E5A2054" w14:textId="77777777" w:rsidTr="00E27353">
        <w:trPr>
          <w:trHeight w:val="442"/>
        </w:trPr>
        <w:tc>
          <w:tcPr>
            <w:tcW w:w="1746" w:type="pct"/>
          </w:tcPr>
          <w:p w14:paraId="765550FB" w14:textId="77777777" w:rsidR="00F03CC0" w:rsidRPr="001B1EFB" w:rsidRDefault="00F03CC0" w:rsidP="004E62A4">
            <w:pPr>
              <w:spacing w:after="0"/>
              <w:ind w:right="102"/>
              <w:rPr>
                <w:sz w:val="18"/>
                <w:szCs w:val="18"/>
              </w:rPr>
            </w:pPr>
            <w:r w:rsidRPr="001B1EFB">
              <w:rPr>
                <w:rFonts w:eastAsia="Century Gothic" w:cs="Century Gothic"/>
                <w:color w:val="000000"/>
                <w:sz w:val="18"/>
                <w:szCs w:val="18"/>
              </w:rPr>
              <w:t>Patient also attends other practices</w:t>
            </w:r>
          </w:p>
        </w:tc>
        <w:tc>
          <w:tcPr>
            <w:tcW w:w="694" w:type="pct"/>
          </w:tcPr>
          <w:p w14:paraId="42109D6D" w14:textId="77777777" w:rsidR="00F03CC0" w:rsidRPr="001B1EFB" w:rsidRDefault="00F03CC0" w:rsidP="004E62A4">
            <w:pPr>
              <w:spacing w:after="0"/>
              <w:ind w:left="102"/>
              <w:jc w:val="right"/>
              <w:rPr>
                <w:sz w:val="18"/>
                <w:szCs w:val="18"/>
              </w:rPr>
            </w:pPr>
            <w:r w:rsidRPr="001B1EFB">
              <w:rPr>
                <w:rFonts w:eastAsia="Century Gothic" w:cs="Century Gothic"/>
                <w:color w:val="000000"/>
                <w:sz w:val="18"/>
                <w:szCs w:val="18"/>
              </w:rPr>
              <w:t>7 (6.7%)</w:t>
            </w:r>
          </w:p>
        </w:tc>
        <w:tc>
          <w:tcPr>
            <w:tcW w:w="120" w:type="pct"/>
            <w:tcBorders>
              <w:top w:val="nil"/>
              <w:bottom w:val="nil"/>
            </w:tcBorders>
          </w:tcPr>
          <w:p w14:paraId="12743C56" w14:textId="77777777" w:rsidR="00F03CC0" w:rsidRPr="001B1EFB" w:rsidRDefault="00F03CC0" w:rsidP="00136562">
            <w:pPr>
              <w:spacing w:after="0"/>
              <w:ind w:left="102" w:right="102"/>
              <w:jc w:val="right"/>
              <w:rPr>
                <w:sz w:val="18"/>
                <w:szCs w:val="18"/>
              </w:rPr>
            </w:pPr>
          </w:p>
        </w:tc>
        <w:tc>
          <w:tcPr>
            <w:tcW w:w="1793" w:type="pct"/>
          </w:tcPr>
          <w:p w14:paraId="103B6BA3" w14:textId="77777777" w:rsidR="00F03CC0" w:rsidRPr="001B1EFB" w:rsidRDefault="00F03CC0" w:rsidP="00136562">
            <w:pPr>
              <w:spacing w:after="0"/>
              <w:ind w:left="102" w:right="102"/>
              <w:rPr>
                <w:sz w:val="18"/>
                <w:szCs w:val="18"/>
              </w:rPr>
            </w:pPr>
            <w:r w:rsidRPr="001B1EFB">
              <w:rPr>
                <w:rFonts w:eastAsia="Century Gothic" w:cs="Century Gothic"/>
                <w:color w:val="000000"/>
                <w:sz w:val="18"/>
                <w:szCs w:val="18"/>
              </w:rPr>
              <w:t>Language barrier</w:t>
            </w:r>
          </w:p>
        </w:tc>
        <w:tc>
          <w:tcPr>
            <w:tcW w:w="647" w:type="pct"/>
          </w:tcPr>
          <w:p w14:paraId="529D0F20" w14:textId="77777777" w:rsidR="00F03CC0" w:rsidRPr="001B1EFB" w:rsidRDefault="00F03CC0" w:rsidP="00AA66B4">
            <w:pPr>
              <w:spacing w:after="0"/>
              <w:ind w:left="102"/>
              <w:jc w:val="right"/>
              <w:rPr>
                <w:sz w:val="18"/>
                <w:szCs w:val="18"/>
              </w:rPr>
            </w:pPr>
            <w:r w:rsidRPr="001B1EFB">
              <w:rPr>
                <w:rFonts w:eastAsia="Century Gothic" w:cs="Century Gothic"/>
                <w:color w:val="000000"/>
                <w:sz w:val="18"/>
                <w:szCs w:val="18"/>
              </w:rPr>
              <w:t>1 (1.0%)</w:t>
            </w:r>
          </w:p>
        </w:tc>
      </w:tr>
      <w:tr w:rsidR="00F03CC0" w:rsidRPr="001B1EFB" w14:paraId="3279A353" w14:textId="77777777" w:rsidTr="00E27353">
        <w:trPr>
          <w:trHeight w:val="442"/>
        </w:trPr>
        <w:tc>
          <w:tcPr>
            <w:tcW w:w="1746" w:type="pct"/>
          </w:tcPr>
          <w:p w14:paraId="12973154" w14:textId="77777777" w:rsidR="00F03CC0" w:rsidRPr="001B1EFB" w:rsidRDefault="00F03CC0" w:rsidP="004E62A4">
            <w:pPr>
              <w:spacing w:after="0"/>
              <w:ind w:right="102"/>
              <w:rPr>
                <w:sz w:val="18"/>
                <w:szCs w:val="18"/>
              </w:rPr>
            </w:pPr>
            <w:r w:rsidRPr="001B1EFB">
              <w:rPr>
                <w:rFonts w:eastAsia="Century Gothic" w:cs="Century Gothic"/>
                <w:color w:val="000000"/>
                <w:sz w:val="18"/>
                <w:szCs w:val="18"/>
              </w:rPr>
              <w:t>Time constraints</w:t>
            </w:r>
          </w:p>
        </w:tc>
        <w:tc>
          <w:tcPr>
            <w:tcW w:w="694" w:type="pct"/>
          </w:tcPr>
          <w:p w14:paraId="4D4C0BE7" w14:textId="77777777" w:rsidR="00F03CC0" w:rsidRPr="001B1EFB" w:rsidRDefault="00F03CC0" w:rsidP="004E62A4">
            <w:pPr>
              <w:spacing w:after="0"/>
              <w:ind w:left="102"/>
              <w:jc w:val="right"/>
              <w:rPr>
                <w:sz w:val="18"/>
                <w:szCs w:val="18"/>
              </w:rPr>
            </w:pPr>
            <w:r w:rsidRPr="001B1EFB">
              <w:rPr>
                <w:rFonts w:eastAsia="Century Gothic" w:cs="Century Gothic"/>
                <w:color w:val="000000"/>
                <w:sz w:val="18"/>
                <w:szCs w:val="18"/>
              </w:rPr>
              <w:t>6 (5.7%)</w:t>
            </w:r>
          </w:p>
        </w:tc>
        <w:tc>
          <w:tcPr>
            <w:tcW w:w="120" w:type="pct"/>
            <w:tcBorders>
              <w:top w:val="nil"/>
              <w:bottom w:val="nil"/>
            </w:tcBorders>
          </w:tcPr>
          <w:p w14:paraId="79717315" w14:textId="77777777" w:rsidR="00F03CC0" w:rsidRPr="001B1EFB" w:rsidRDefault="00F03CC0" w:rsidP="00136562">
            <w:pPr>
              <w:spacing w:after="0"/>
              <w:ind w:left="102" w:right="102"/>
              <w:jc w:val="right"/>
              <w:rPr>
                <w:sz w:val="18"/>
                <w:szCs w:val="18"/>
              </w:rPr>
            </w:pPr>
          </w:p>
        </w:tc>
        <w:tc>
          <w:tcPr>
            <w:tcW w:w="1793" w:type="pct"/>
          </w:tcPr>
          <w:p w14:paraId="1058E87D" w14:textId="77777777" w:rsidR="00F03CC0" w:rsidRPr="001B1EFB" w:rsidRDefault="00F03CC0" w:rsidP="00136562">
            <w:pPr>
              <w:spacing w:after="0"/>
              <w:ind w:left="102" w:right="102"/>
              <w:rPr>
                <w:sz w:val="18"/>
                <w:szCs w:val="18"/>
              </w:rPr>
            </w:pPr>
            <w:r w:rsidRPr="001B1EFB">
              <w:rPr>
                <w:rFonts w:eastAsia="Century Gothic" w:cs="Century Gothic"/>
                <w:color w:val="000000"/>
                <w:sz w:val="18"/>
                <w:szCs w:val="18"/>
              </w:rPr>
              <w:t>Patient too complex to be seen by the nurse</w:t>
            </w:r>
          </w:p>
        </w:tc>
        <w:tc>
          <w:tcPr>
            <w:tcW w:w="647" w:type="pct"/>
          </w:tcPr>
          <w:p w14:paraId="3DDBC0A1" w14:textId="77777777" w:rsidR="00F03CC0" w:rsidRPr="001B1EFB" w:rsidRDefault="00F03CC0" w:rsidP="00AA66B4">
            <w:pPr>
              <w:spacing w:after="0"/>
              <w:ind w:left="102"/>
              <w:jc w:val="right"/>
              <w:rPr>
                <w:sz w:val="18"/>
                <w:szCs w:val="18"/>
              </w:rPr>
            </w:pPr>
            <w:r w:rsidRPr="001B1EFB">
              <w:rPr>
                <w:rFonts w:eastAsia="Century Gothic" w:cs="Century Gothic"/>
                <w:color w:val="000000"/>
                <w:sz w:val="18"/>
                <w:szCs w:val="18"/>
              </w:rPr>
              <w:t>1 (1.0%)</w:t>
            </w:r>
          </w:p>
        </w:tc>
      </w:tr>
      <w:tr w:rsidR="00F03CC0" w:rsidRPr="001B1EFB" w14:paraId="2B7A6B2E" w14:textId="77777777" w:rsidTr="00E27353">
        <w:trPr>
          <w:trHeight w:val="442"/>
        </w:trPr>
        <w:tc>
          <w:tcPr>
            <w:tcW w:w="1746" w:type="pct"/>
          </w:tcPr>
          <w:p w14:paraId="7F7B81E3" w14:textId="77777777" w:rsidR="00F03CC0" w:rsidRPr="001B1EFB" w:rsidRDefault="00F03CC0" w:rsidP="004E62A4">
            <w:pPr>
              <w:spacing w:after="0"/>
              <w:ind w:right="102"/>
              <w:rPr>
                <w:sz w:val="18"/>
                <w:szCs w:val="18"/>
              </w:rPr>
            </w:pPr>
            <w:r w:rsidRPr="001B1EFB">
              <w:rPr>
                <w:rFonts w:eastAsia="Century Gothic" w:cs="Century Gothic"/>
                <w:color w:val="000000"/>
                <w:sz w:val="18"/>
                <w:szCs w:val="18"/>
              </w:rPr>
              <w:t>Patient sees multiple GPs at the practice</w:t>
            </w:r>
          </w:p>
        </w:tc>
        <w:tc>
          <w:tcPr>
            <w:tcW w:w="694" w:type="pct"/>
          </w:tcPr>
          <w:p w14:paraId="4032E065" w14:textId="77777777" w:rsidR="00F03CC0" w:rsidRPr="001B1EFB" w:rsidRDefault="00F03CC0" w:rsidP="004E62A4">
            <w:pPr>
              <w:spacing w:after="0"/>
              <w:ind w:left="102"/>
              <w:jc w:val="right"/>
              <w:rPr>
                <w:sz w:val="18"/>
                <w:szCs w:val="18"/>
              </w:rPr>
            </w:pPr>
            <w:r w:rsidRPr="001B1EFB">
              <w:rPr>
                <w:rFonts w:eastAsia="Century Gothic" w:cs="Century Gothic"/>
                <w:color w:val="000000"/>
                <w:sz w:val="18"/>
                <w:szCs w:val="18"/>
              </w:rPr>
              <w:t>5 (4.8%)</w:t>
            </w:r>
          </w:p>
        </w:tc>
        <w:tc>
          <w:tcPr>
            <w:tcW w:w="120" w:type="pct"/>
            <w:tcBorders>
              <w:top w:val="nil"/>
              <w:bottom w:val="nil"/>
            </w:tcBorders>
          </w:tcPr>
          <w:p w14:paraId="7AD75123" w14:textId="77777777" w:rsidR="00F03CC0" w:rsidRPr="001B1EFB" w:rsidRDefault="00F03CC0" w:rsidP="00136562">
            <w:pPr>
              <w:spacing w:after="0"/>
              <w:ind w:left="102" w:right="102"/>
              <w:jc w:val="right"/>
              <w:rPr>
                <w:sz w:val="18"/>
                <w:szCs w:val="18"/>
              </w:rPr>
            </w:pPr>
          </w:p>
        </w:tc>
        <w:tc>
          <w:tcPr>
            <w:tcW w:w="1793" w:type="pct"/>
          </w:tcPr>
          <w:p w14:paraId="3150B2BD" w14:textId="77777777" w:rsidR="00F03CC0" w:rsidRPr="001B1EFB" w:rsidRDefault="00F03CC0" w:rsidP="00136562">
            <w:pPr>
              <w:spacing w:after="0"/>
              <w:ind w:left="102" w:right="102"/>
              <w:rPr>
                <w:sz w:val="18"/>
                <w:szCs w:val="18"/>
              </w:rPr>
            </w:pPr>
            <w:r w:rsidRPr="001B1EFB">
              <w:rPr>
                <w:rFonts w:eastAsia="Century Gothic" w:cs="Century Gothic"/>
                <w:color w:val="000000"/>
                <w:sz w:val="18"/>
                <w:szCs w:val="18"/>
              </w:rPr>
              <w:t>Patients conditions are not fully managed at this stage</w:t>
            </w:r>
          </w:p>
        </w:tc>
        <w:tc>
          <w:tcPr>
            <w:tcW w:w="647" w:type="pct"/>
          </w:tcPr>
          <w:p w14:paraId="7FE5BC6C" w14:textId="77777777" w:rsidR="00F03CC0" w:rsidRPr="001B1EFB" w:rsidRDefault="00F03CC0" w:rsidP="00AA66B4">
            <w:pPr>
              <w:spacing w:after="0"/>
              <w:ind w:left="102"/>
              <w:jc w:val="right"/>
              <w:rPr>
                <w:sz w:val="18"/>
                <w:szCs w:val="18"/>
              </w:rPr>
            </w:pPr>
            <w:r w:rsidRPr="001B1EFB">
              <w:rPr>
                <w:rFonts w:eastAsia="Century Gothic" w:cs="Century Gothic"/>
                <w:color w:val="000000"/>
                <w:sz w:val="18"/>
                <w:szCs w:val="18"/>
              </w:rPr>
              <w:t>1 (1.0%)</w:t>
            </w:r>
          </w:p>
        </w:tc>
      </w:tr>
      <w:tr w:rsidR="00F03CC0" w:rsidRPr="001B1EFB" w14:paraId="0C79BA8F" w14:textId="77777777" w:rsidTr="00E27353">
        <w:trPr>
          <w:trHeight w:val="442"/>
        </w:trPr>
        <w:tc>
          <w:tcPr>
            <w:tcW w:w="1746" w:type="pct"/>
          </w:tcPr>
          <w:p w14:paraId="126E8593" w14:textId="77777777" w:rsidR="00F03CC0" w:rsidRPr="001B1EFB" w:rsidRDefault="00F03CC0" w:rsidP="004E62A4">
            <w:pPr>
              <w:spacing w:after="0"/>
              <w:ind w:right="102"/>
              <w:rPr>
                <w:sz w:val="18"/>
                <w:szCs w:val="18"/>
              </w:rPr>
            </w:pPr>
            <w:r w:rsidRPr="001B1EFB">
              <w:rPr>
                <w:rFonts w:eastAsia="Century Gothic" w:cs="Century Gothic"/>
                <w:color w:val="000000"/>
                <w:sz w:val="18"/>
                <w:szCs w:val="18"/>
              </w:rPr>
              <w:t>Time constraints (for registering patient)</w:t>
            </w:r>
          </w:p>
        </w:tc>
        <w:tc>
          <w:tcPr>
            <w:tcW w:w="694" w:type="pct"/>
          </w:tcPr>
          <w:p w14:paraId="35072548" w14:textId="77777777" w:rsidR="00F03CC0" w:rsidRPr="001B1EFB" w:rsidRDefault="00F03CC0" w:rsidP="004E62A4">
            <w:pPr>
              <w:spacing w:after="0"/>
              <w:ind w:left="102"/>
              <w:jc w:val="right"/>
              <w:rPr>
                <w:sz w:val="18"/>
                <w:szCs w:val="18"/>
              </w:rPr>
            </w:pPr>
            <w:r w:rsidRPr="001B1EFB">
              <w:rPr>
                <w:rFonts w:eastAsia="Century Gothic" w:cs="Century Gothic"/>
                <w:color w:val="000000"/>
                <w:sz w:val="18"/>
                <w:szCs w:val="18"/>
              </w:rPr>
              <w:t>5 (4.8%)</w:t>
            </w:r>
          </w:p>
        </w:tc>
        <w:tc>
          <w:tcPr>
            <w:tcW w:w="120" w:type="pct"/>
            <w:tcBorders>
              <w:top w:val="nil"/>
              <w:bottom w:val="nil"/>
            </w:tcBorders>
          </w:tcPr>
          <w:p w14:paraId="6E2DFC91" w14:textId="77777777" w:rsidR="00F03CC0" w:rsidRPr="001B1EFB" w:rsidRDefault="00F03CC0" w:rsidP="00136562">
            <w:pPr>
              <w:spacing w:after="0"/>
              <w:ind w:left="102" w:right="102"/>
              <w:jc w:val="right"/>
              <w:rPr>
                <w:sz w:val="18"/>
                <w:szCs w:val="18"/>
              </w:rPr>
            </w:pPr>
          </w:p>
        </w:tc>
        <w:tc>
          <w:tcPr>
            <w:tcW w:w="1793" w:type="pct"/>
          </w:tcPr>
          <w:p w14:paraId="753F3677" w14:textId="77777777" w:rsidR="00F03CC0" w:rsidRPr="001B1EFB" w:rsidRDefault="00F03CC0" w:rsidP="00136562">
            <w:pPr>
              <w:spacing w:after="0"/>
              <w:ind w:left="102" w:right="102"/>
              <w:rPr>
                <w:sz w:val="18"/>
                <w:szCs w:val="18"/>
              </w:rPr>
            </w:pPr>
            <w:r w:rsidRPr="001B1EFB">
              <w:rPr>
                <w:rFonts w:eastAsia="Century Gothic" w:cs="Century Gothic"/>
                <w:color w:val="000000"/>
                <w:sz w:val="18"/>
                <w:szCs w:val="18"/>
              </w:rPr>
              <w:t>Patients don't have a chronic condition</w:t>
            </w:r>
          </w:p>
        </w:tc>
        <w:tc>
          <w:tcPr>
            <w:tcW w:w="647" w:type="pct"/>
          </w:tcPr>
          <w:p w14:paraId="151973BC" w14:textId="77777777" w:rsidR="00F03CC0" w:rsidRPr="001B1EFB" w:rsidRDefault="00F03CC0" w:rsidP="00AA66B4">
            <w:pPr>
              <w:spacing w:after="0"/>
              <w:ind w:left="102"/>
              <w:jc w:val="right"/>
              <w:rPr>
                <w:sz w:val="18"/>
                <w:szCs w:val="18"/>
              </w:rPr>
            </w:pPr>
            <w:r w:rsidRPr="001B1EFB">
              <w:rPr>
                <w:rFonts w:eastAsia="Century Gothic" w:cs="Century Gothic"/>
                <w:color w:val="000000"/>
                <w:sz w:val="18"/>
                <w:szCs w:val="18"/>
              </w:rPr>
              <w:t>1 (1.0%)</w:t>
            </w:r>
          </w:p>
        </w:tc>
      </w:tr>
    </w:tbl>
    <w:p w14:paraId="01DD6AA4" w14:textId="1A2821BE" w:rsidR="00A3478D" w:rsidRDefault="00F03CC0" w:rsidP="00493782">
      <w:pPr>
        <w:pStyle w:val="Chartortablefootnote"/>
        <w:rPr>
          <w:szCs w:val="20"/>
        </w:rPr>
      </w:pPr>
      <w:r w:rsidRPr="001B1EFB">
        <w:t>Source: Practice survey R2, Nov 2018</w:t>
      </w:r>
      <w:r w:rsidR="00E360ED">
        <w:t>–</w:t>
      </w:r>
      <w:r w:rsidRPr="001B1EFB">
        <w:t>Mar 2019, question 5.</w:t>
      </w:r>
      <w:r w:rsidR="00A3478D">
        <w:rPr>
          <w:szCs w:val="20"/>
        </w:rPr>
        <w:br w:type="page"/>
      </w:r>
    </w:p>
    <w:p w14:paraId="42BCE2FF" w14:textId="5C855366" w:rsidR="00F03CC0" w:rsidRPr="001B1EFB" w:rsidRDefault="00F03CC0" w:rsidP="009803CD">
      <w:pPr>
        <w:rPr>
          <w:szCs w:val="20"/>
        </w:rPr>
      </w:pPr>
      <w:r w:rsidRPr="001B1EFB">
        <w:rPr>
          <w:szCs w:val="20"/>
        </w:rPr>
        <w:lastRenderedPageBreak/>
        <w:t xml:space="preserve">Practices reported that </w:t>
      </w:r>
      <w:r w:rsidR="003F169F">
        <w:rPr>
          <w:szCs w:val="20"/>
        </w:rPr>
        <w:t>they generally enrolled</w:t>
      </w:r>
      <w:r w:rsidR="00655C5C">
        <w:rPr>
          <w:szCs w:val="20"/>
        </w:rPr>
        <w:t xml:space="preserve"> </w:t>
      </w:r>
      <w:r w:rsidRPr="001B1EFB">
        <w:rPr>
          <w:szCs w:val="20"/>
        </w:rPr>
        <w:t xml:space="preserve">patients in HCH </w:t>
      </w:r>
      <w:r w:rsidR="003F169F">
        <w:rPr>
          <w:szCs w:val="20"/>
        </w:rPr>
        <w:t xml:space="preserve">who </w:t>
      </w:r>
      <w:r w:rsidRPr="001B1EFB">
        <w:rPr>
          <w:szCs w:val="20"/>
        </w:rPr>
        <w:t xml:space="preserve">were already motivated </w:t>
      </w:r>
      <w:r w:rsidR="003F169F">
        <w:rPr>
          <w:szCs w:val="20"/>
        </w:rPr>
        <w:t>to manage</w:t>
      </w:r>
      <w:r w:rsidRPr="001B1EFB">
        <w:rPr>
          <w:szCs w:val="20"/>
        </w:rPr>
        <w:t xml:space="preserve"> their health. GPs also tended to approach patients to enrol that they thought were activated or were willing to try new things.</w:t>
      </w:r>
      <w:r w:rsidR="003F169F">
        <w:rPr>
          <w:szCs w:val="20"/>
        </w:rPr>
        <w:t xml:space="preserve"> </w:t>
      </w:r>
      <w:r w:rsidR="00984186">
        <w:rPr>
          <w:szCs w:val="20"/>
        </w:rPr>
        <w:t xml:space="preserve">Therefore, the </w:t>
      </w:r>
      <w:r w:rsidR="00B21C12">
        <w:rPr>
          <w:szCs w:val="20"/>
        </w:rPr>
        <w:t>model</w:t>
      </w:r>
      <w:r w:rsidR="00984186">
        <w:rPr>
          <w:szCs w:val="20"/>
        </w:rPr>
        <w:t xml:space="preserve"> </w:t>
      </w:r>
      <w:r w:rsidR="00B21C12">
        <w:rPr>
          <w:szCs w:val="20"/>
        </w:rPr>
        <w:t xml:space="preserve">was not </w:t>
      </w:r>
      <w:r w:rsidR="00383F25">
        <w:rPr>
          <w:szCs w:val="20"/>
        </w:rPr>
        <w:t xml:space="preserve">fully </w:t>
      </w:r>
      <w:r w:rsidR="00B21C12">
        <w:rPr>
          <w:szCs w:val="20"/>
        </w:rPr>
        <w:t>tested on</w:t>
      </w:r>
      <w:r w:rsidR="00984186">
        <w:rPr>
          <w:szCs w:val="20"/>
        </w:rPr>
        <w:t xml:space="preserve"> the general population</w:t>
      </w:r>
      <w:r w:rsidR="004D35E1">
        <w:rPr>
          <w:szCs w:val="20"/>
        </w:rPr>
        <w:t xml:space="preserve"> of patients with chronic disease</w:t>
      </w:r>
      <w:r w:rsidR="00984186">
        <w:rPr>
          <w:szCs w:val="20"/>
        </w:rPr>
        <w:t>:</w:t>
      </w:r>
    </w:p>
    <w:p w14:paraId="15795A5C" w14:textId="57BA0C56" w:rsidR="00F03CC0" w:rsidRPr="00E40400" w:rsidRDefault="00F03CC0" w:rsidP="009803CD">
      <w:pPr>
        <w:ind w:left="567" w:right="521"/>
        <w:rPr>
          <w:rFonts w:eastAsia="Times New Roman"/>
          <w:szCs w:val="20"/>
          <w:lang w:val="en-US"/>
        </w:rPr>
      </w:pPr>
      <w:r>
        <w:rPr>
          <w:rFonts w:eastAsia="Times New Roman" w:cs="Arial"/>
          <w:i/>
          <w:iCs/>
          <w:szCs w:val="20"/>
          <w:lang w:val="en-US"/>
        </w:rPr>
        <w:t>“…</w:t>
      </w:r>
      <w:r w:rsidRPr="004B2290">
        <w:rPr>
          <w:rFonts w:eastAsia="Times New Roman" w:cs="Arial"/>
          <w:i/>
          <w:iCs/>
          <w:szCs w:val="20"/>
          <w:lang w:val="en-US"/>
        </w:rPr>
        <w:t xml:space="preserve">if you want the policy to work, </w:t>
      </w:r>
      <w:r w:rsidRPr="00031E4E">
        <w:rPr>
          <w:i/>
          <w:iCs/>
        </w:rPr>
        <w:t>you</w:t>
      </w:r>
      <w:r w:rsidRPr="004B2290">
        <w:rPr>
          <w:rFonts w:eastAsia="Times New Roman" w:cs="Arial"/>
          <w:i/>
          <w:iCs/>
          <w:szCs w:val="20"/>
          <w:lang w:val="en-US"/>
        </w:rPr>
        <w:t xml:space="preserve"> come and say, [General Practitioner], go and pick out 100 naughty patients who don’t want to come and participate, who are not going to do well. I give you double the incentive for the first year, but you make sure that, at the end of the first year, they improve</w:t>
      </w:r>
      <w:r w:rsidR="001676D0">
        <w:rPr>
          <w:rFonts w:eastAsia="Times New Roman" w:cs="Arial"/>
          <w:i/>
          <w:iCs/>
          <w:szCs w:val="20"/>
          <w:lang w:val="en-US"/>
        </w:rPr>
        <w:t>..</w:t>
      </w:r>
      <w:r w:rsidRPr="004B2290">
        <w:rPr>
          <w:rFonts w:eastAsia="Times New Roman" w:cs="Arial"/>
          <w:i/>
          <w:iCs/>
          <w:szCs w:val="20"/>
          <w:lang w:val="en-US"/>
        </w:rPr>
        <w:t>.”</w:t>
      </w:r>
      <w:r>
        <w:rPr>
          <w:rFonts w:eastAsia="Times New Roman" w:cs="Arial"/>
          <w:i/>
          <w:iCs/>
          <w:szCs w:val="20"/>
          <w:lang w:val="en-US"/>
        </w:rPr>
        <w:t xml:space="preserve"> </w:t>
      </w:r>
      <w:r>
        <w:rPr>
          <w:rFonts w:eastAsia="Times New Roman" w:cs="Arial"/>
          <w:szCs w:val="20"/>
          <w:lang w:val="en-US"/>
        </w:rPr>
        <w:t>[GP, Practice 3, R5]</w:t>
      </w:r>
    </w:p>
    <w:p w14:paraId="6B8C4958" w14:textId="5DBC35DF" w:rsidR="00F03CC0" w:rsidRPr="001B1EFB" w:rsidRDefault="00F03CC0" w:rsidP="00F03CC0">
      <w:pPr>
        <w:pStyle w:val="Heading3"/>
      </w:pPr>
      <w:r w:rsidRPr="001B1EFB">
        <w:t>Informing patients about HCH</w:t>
      </w:r>
    </w:p>
    <w:p w14:paraId="7FE6B192" w14:textId="77777777" w:rsidR="00F03CC0" w:rsidRPr="001B1EFB" w:rsidRDefault="00F03CC0" w:rsidP="004868E3">
      <w:r w:rsidRPr="001B1EFB">
        <w:t>Several approaches to informing patients about the program were identified in interviews. These can also be categoris</w:t>
      </w:r>
      <w:r>
        <w:t>ed</w:t>
      </w:r>
      <w:r w:rsidRPr="001B1EFB">
        <w:t xml:space="preserve"> into systematic and opportunistic. </w:t>
      </w:r>
    </w:p>
    <w:p w14:paraId="503730F0" w14:textId="34C5C5DE" w:rsidR="00F03CC0" w:rsidRPr="001B1EFB" w:rsidRDefault="00F03CC0" w:rsidP="004868E3">
      <w:r w:rsidRPr="001B1EFB">
        <w:t>Beyond identifying potentially eligible patients through the RST, the systematic approach involved information sessions to groups of potentially eligible patients. Information sessions typically involved several clinical staff and, in some instances, PHN practice facilitators</w:t>
      </w:r>
      <w:r w:rsidRPr="001B1EFB">
        <w:rPr>
          <w:i/>
        </w:rPr>
        <w:t xml:space="preserve">. </w:t>
      </w:r>
      <w:r w:rsidRPr="001B1EFB">
        <w:t>Sufficient time was needed for information about HCH to be provided and for patients, famil</w:t>
      </w:r>
      <w:r w:rsidR="001F795D">
        <w:t>ies</w:t>
      </w:r>
      <w:r w:rsidRPr="001B1EFB">
        <w:t xml:space="preserve"> and carers to ask questions. At the sessions, patients would be asked whether they wanted to proceed to the next stage of enrolment (the HARP assessment) and a follow-up consultation </w:t>
      </w:r>
      <w:r w:rsidR="001309D1">
        <w:t xml:space="preserve">would be </w:t>
      </w:r>
      <w:r w:rsidRPr="001B1EFB">
        <w:t xml:space="preserve">arranged. These sessions ranged from very successful in some practices to unsuccessful in others. </w:t>
      </w:r>
    </w:p>
    <w:p w14:paraId="705D4D9D" w14:textId="290BA947" w:rsidR="00F03CC0" w:rsidRPr="001B1EFB" w:rsidRDefault="00F03CC0" w:rsidP="004868E3">
      <w:r w:rsidRPr="001B1EFB">
        <w:t xml:space="preserve">The opportunistic approach involved providing patients with information during a GP consultation. This was sometimes divided between a consultation with a GP, where an overview of HCH would be provided and a lengthier consultation with a practice nurse who would provide more detail on the program. The consultation at which information was given was often also used to get a patient’s permission to proceed with the HARP assessment. Some practices reported that several consultations were often required before a patient felt they </w:t>
      </w:r>
      <w:r w:rsidR="00882429">
        <w:t>were comfortable</w:t>
      </w:r>
      <w:r w:rsidRPr="001B1EFB">
        <w:t xml:space="preserve"> to proceed to the next stage.</w:t>
      </w:r>
    </w:p>
    <w:p w14:paraId="4677657D" w14:textId="77777777" w:rsidR="00F03CC0" w:rsidRPr="001B1EFB" w:rsidRDefault="00F03CC0" w:rsidP="00F03CC0">
      <w:pPr>
        <w:pStyle w:val="Heading3"/>
      </w:pPr>
      <w:r w:rsidRPr="001B1EFB">
        <w:t>Messages for patients about the benefits of HCH</w:t>
      </w:r>
    </w:p>
    <w:p w14:paraId="6D7D4426" w14:textId="6528B7E9" w:rsidR="00F03CC0" w:rsidRPr="001B1EFB" w:rsidRDefault="00F03CC0" w:rsidP="004868E3">
      <w:pPr>
        <w:rPr>
          <w:rFonts w:eastAsia="Times New Roman"/>
          <w:i/>
          <w:iCs/>
          <w:color w:val="003D79"/>
          <w:szCs w:val="20"/>
        </w:rPr>
      </w:pPr>
      <w:r w:rsidRPr="001B1EFB">
        <w:rPr>
          <w:rFonts w:eastAsia="Times New Roman"/>
          <w:iCs/>
          <w:szCs w:val="20"/>
        </w:rPr>
        <w:t xml:space="preserve">When discussing HCH with patients, practices had a wide variety of HCH </w:t>
      </w:r>
      <w:r w:rsidR="0087126D">
        <w:rPr>
          <w:rFonts w:eastAsia="Times New Roman"/>
          <w:iCs/>
          <w:szCs w:val="20"/>
        </w:rPr>
        <w:t>“</w:t>
      </w:r>
      <w:r w:rsidRPr="001B1EFB">
        <w:rPr>
          <w:rFonts w:eastAsia="Times New Roman"/>
          <w:iCs/>
          <w:szCs w:val="20"/>
        </w:rPr>
        <w:t>selling points</w:t>
      </w:r>
      <w:r w:rsidR="0087126D">
        <w:rPr>
          <w:rFonts w:eastAsia="Times New Roman"/>
          <w:iCs/>
          <w:szCs w:val="20"/>
        </w:rPr>
        <w:t>”</w:t>
      </w:r>
      <w:r w:rsidRPr="001B1EFB">
        <w:rPr>
          <w:rFonts w:eastAsia="Times New Roman"/>
          <w:iCs/>
          <w:szCs w:val="20"/>
        </w:rPr>
        <w:t>:</w:t>
      </w:r>
    </w:p>
    <w:p w14:paraId="79AC5A8A" w14:textId="77777777" w:rsidR="00F03CC0" w:rsidRPr="001B1EFB" w:rsidRDefault="00F03CC0" w:rsidP="00BB7C8D">
      <w:pPr>
        <w:numPr>
          <w:ilvl w:val="0"/>
          <w:numId w:val="33"/>
        </w:numPr>
        <w:ind w:left="714" w:hanging="357"/>
        <w:contextualSpacing/>
        <w:rPr>
          <w:rFonts w:eastAsia="Times New Roman"/>
          <w:iCs/>
          <w:szCs w:val="20"/>
        </w:rPr>
      </w:pPr>
      <w:r w:rsidRPr="001B1EFB">
        <w:rPr>
          <w:rFonts w:eastAsia="Times New Roman"/>
          <w:iCs/>
          <w:szCs w:val="20"/>
        </w:rPr>
        <w:t xml:space="preserve">increased access via phone, skype and email </w:t>
      </w:r>
    </w:p>
    <w:p w14:paraId="641A6055" w14:textId="77777777" w:rsidR="00F03CC0" w:rsidRPr="001B1EFB" w:rsidRDefault="00F03CC0" w:rsidP="00BB7C8D">
      <w:pPr>
        <w:numPr>
          <w:ilvl w:val="0"/>
          <w:numId w:val="33"/>
        </w:numPr>
        <w:ind w:left="714" w:hanging="357"/>
        <w:contextualSpacing/>
        <w:rPr>
          <w:rFonts w:eastAsia="Times New Roman"/>
          <w:iCs/>
          <w:szCs w:val="20"/>
        </w:rPr>
      </w:pPr>
      <w:r w:rsidRPr="001B1EFB">
        <w:rPr>
          <w:rFonts w:eastAsia="Times New Roman"/>
          <w:iCs/>
          <w:szCs w:val="20"/>
        </w:rPr>
        <w:t>shorter waiting times</w:t>
      </w:r>
    </w:p>
    <w:p w14:paraId="62EE94FD" w14:textId="0D4AD931" w:rsidR="00F03CC0" w:rsidRPr="001B1EFB" w:rsidRDefault="00F03CC0" w:rsidP="00BB7C8D">
      <w:pPr>
        <w:numPr>
          <w:ilvl w:val="0"/>
          <w:numId w:val="33"/>
        </w:numPr>
        <w:ind w:left="714" w:hanging="357"/>
        <w:contextualSpacing/>
        <w:rPr>
          <w:rFonts w:eastAsia="Times New Roman"/>
          <w:iCs/>
          <w:szCs w:val="20"/>
        </w:rPr>
      </w:pPr>
      <w:r w:rsidRPr="001B1EFB">
        <w:rPr>
          <w:rFonts w:eastAsia="Times New Roman"/>
          <w:iCs/>
          <w:szCs w:val="20"/>
        </w:rPr>
        <w:t>improved monitoring of chronic disease (</w:t>
      </w:r>
      <w:bookmarkStart w:id="132" w:name="_Hlk20928300"/>
      <w:r w:rsidRPr="001B1EFB">
        <w:rPr>
          <w:rFonts w:eastAsia="Times New Roman"/>
          <w:iCs/>
          <w:szCs w:val="20"/>
        </w:rPr>
        <w:t>including through shared care plans, routine recalls</w:t>
      </w:r>
      <w:bookmarkEnd w:id="132"/>
      <w:r w:rsidRPr="001B1EFB">
        <w:rPr>
          <w:rFonts w:eastAsia="Times New Roman"/>
          <w:iCs/>
          <w:szCs w:val="20"/>
        </w:rPr>
        <w:t xml:space="preserve"> to</w:t>
      </w:r>
      <w:r>
        <w:rPr>
          <w:rFonts w:eastAsia="Times New Roman"/>
          <w:iCs/>
          <w:szCs w:val="20"/>
        </w:rPr>
        <w:t xml:space="preserve"> </w:t>
      </w:r>
      <w:r w:rsidRPr="001B1EFB">
        <w:rPr>
          <w:rFonts w:eastAsia="Times New Roman"/>
          <w:iCs/>
          <w:szCs w:val="20"/>
        </w:rPr>
        <w:t>check</w:t>
      </w:r>
      <w:r w:rsidR="00193BEE">
        <w:rPr>
          <w:rFonts w:eastAsia="Times New Roman"/>
          <w:iCs/>
          <w:szCs w:val="20"/>
        </w:rPr>
        <w:t xml:space="preserve"> the</w:t>
      </w:r>
      <w:r w:rsidRPr="001B1EFB">
        <w:rPr>
          <w:rFonts w:eastAsia="Times New Roman"/>
          <w:iCs/>
          <w:szCs w:val="20"/>
        </w:rPr>
        <w:t xml:space="preserve"> patient</w:t>
      </w:r>
      <w:r>
        <w:rPr>
          <w:rFonts w:eastAsia="Times New Roman"/>
          <w:iCs/>
          <w:szCs w:val="20"/>
        </w:rPr>
        <w:t>s</w:t>
      </w:r>
      <w:r w:rsidR="006F13EC">
        <w:rPr>
          <w:rFonts w:eastAsia="Times New Roman"/>
          <w:iCs/>
          <w:szCs w:val="20"/>
        </w:rPr>
        <w:t>’</w:t>
      </w:r>
      <w:r w:rsidRPr="001B1EFB">
        <w:rPr>
          <w:rFonts w:eastAsia="Times New Roman"/>
          <w:iCs/>
          <w:szCs w:val="20"/>
        </w:rPr>
        <w:t xml:space="preserve"> </w:t>
      </w:r>
      <w:r w:rsidR="00193BEE">
        <w:rPr>
          <w:rFonts w:eastAsia="Times New Roman"/>
          <w:iCs/>
          <w:szCs w:val="20"/>
        </w:rPr>
        <w:t>health</w:t>
      </w:r>
      <w:r w:rsidRPr="001B1EFB">
        <w:rPr>
          <w:rFonts w:eastAsia="Times New Roman"/>
          <w:iCs/>
          <w:szCs w:val="20"/>
        </w:rPr>
        <w:t>)</w:t>
      </w:r>
    </w:p>
    <w:p w14:paraId="75D68E44" w14:textId="77777777" w:rsidR="00F03CC0" w:rsidRPr="001B1EFB" w:rsidRDefault="00F03CC0" w:rsidP="00BB7C8D">
      <w:pPr>
        <w:numPr>
          <w:ilvl w:val="0"/>
          <w:numId w:val="33"/>
        </w:numPr>
        <w:ind w:left="714" w:hanging="357"/>
        <w:contextualSpacing/>
        <w:rPr>
          <w:rFonts w:eastAsia="Times New Roman"/>
          <w:iCs/>
          <w:szCs w:val="20"/>
        </w:rPr>
      </w:pPr>
      <w:r w:rsidRPr="001B1EFB">
        <w:rPr>
          <w:rFonts w:eastAsia="Times New Roman"/>
          <w:iCs/>
          <w:szCs w:val="20"/>
        </w:rPr>
        <w:t>improved coordination between general practice, allied health, and external specialists</w:t>
      </w:r>
    </w:p>
    <w:p w14:paraId="431CB72C" w14:textId="77777777" w:rsidR="00F03CC0" w:rsidRPr="001B1EFB" w:rsidRDefault="00F03CC0" w:rsidP="00BB7C8D">
      <w:pPr>
        <w:numPr>
          <w:ilvl w:val="0"/>
          <w:numId w:val="33"/>
        </w:numPr>
        <w:ind w:left="714" w:hanging="357"/>
        <w:contextualSpacing/>
        <w:rPr>
          <w:rFonts w:eastAsia="Times New Roman"/>
          <w:iCs/>
          <w:szCs w:val="20"/>
        </w:rPr>
      </w:pPr>
      <w:r w:rsidRPr="001B1EFB">
        <w:rPr>
          <w:rFonts w:eastAsia="Times New Roman"/>
          <w:iCs/>
          <w:szCs w:val="20"/>
        </w:rPr>
        <w:t xml:space="preserve">focus on patient activation and the patient taking control of their health </w:t>
      </w:r>
    </w:p>
    <w:p w14:paraId="3FABDF30" w14:textId="77777777" w:rsidR="00F03CC0" w:rsidRPr="001B1EFB" w:rsidRDefault="00F03CC0" w:rsidP="00BB7C8D">
      <w:pPr>
        <w:numPr>
          <w:ilvl w:val="0"/>
          <w:numId w:val="33"/>
        </w:numPr>
        <w:ind w:left="714" w:hanging="357"/>
        <w:contextualSpacing/>
        <w:rPr>
          <w:rFonts w:eastAsia="Times New Roman"/>
          <w:iCs/>
          <w:szCs w:val="20"/>
        </w:rPr>
      </w:pPr>
      <w:r w:rsidRPr="001B1EFB">
        <w:rPr>
          <w:rFonts w:eastAsia="Times New Roman"/>
          <w:iCs/>
          <w:szCs w:val="20"/>
        </w:rPr>
        <w:t>ability to request some prescriptions and referral over the phone</w:t>
      </w:r>
    </w:p>
    <w:p w14:paraId="3F9E03DD" w14:textId="77777777" w:rsidR="00F03CC0" w:rsidRPr="001B1EFB" w:rsidRDefault="00F03CC0" w:rsidP="00BB7C8D">
      <w:pPr>
        <w:numPr>
          <w:ilvl w:val="0"/>
          <w:numId w:val="33"/>
        </w:numPr>
        <w:ind w:left="714" w:hanging="357"/>
        <w:contextualSpacing/>
        <w:rPr>
          <w:rFonts w:eastAsia="Times New Roman"/>
          <w:iCs/>
          <w:szCs w:val="20"/>
        </w:rPr>
      </w:pPr>
      <w:bookmarkStart w:id="133" w:name="_Hlk20928365"/>
      <w:r w:rsidRPr="001B1EFB">
        <w:rPr>
          <w:rFonts w:eastAsia="Times New Roman"/>
          <w:iCs/>
          <w:szCs w:val="20"/>
        </w:rPr>
        <w:t>access to a nurse for routine management and health measurements</w:t>
      </w:r>
    </w:p>
    <w:p w14:paraId="2C06FD71" w14:textId="2BEDC226" w:rsidR="00F03CC0" w:rsidRPr="001B1EFB" w:rsidRDefault="00F03CC0" w:rsidP="00BB7C8D">
      <w:pPr>
        <w:numPr>
          <w:ilvl w:val="0"/>
          <w:numId w:val="33"/>
        </w:numPr>
        <w:ind w:left="714" w:hanging="357"/>
        <w:contextualSpacing/>
        <w:rPr>
          <w:rFonts w:eastAsia="Times New Roman"/>
          <w:iCs/>
          <w:szCs w:val="20"/>
        </w:rPr>
      </w:pPr>
      <w:r w:rsidRPr="001B1EFB">
        <w:rPr>
          <w:rFonts w:eastAsia="Times New Roman"/>
          <w:iCs/>
          <w:szCs w:val="20"/>
        </w:rPr>
        <w:t xml:space="preserve">a more personalised </w:t>
      </w:r>
      <w:r w:rsidR="00784053">
        <w:rPr>
          <w:rFonts w:eastAsia="Times New Roman"/>
          <w:iCs/>
          <w:szCs w:val="20"/>
        </w:rPr>
        <w:t>approach to managing</w:t>
      </w:r>
      <w:r w:rsidRPr="001B1EFB">
        <w:rPr>
          <w:rFonts w:eastAsia="Times New Roman"/>
          <w:iCs/>
          <w:szCs w:val="20"/>
        </w:rPr>
        <w:t xml:space="preserve"> health issues</w:t>
      </w:r>
    </w:p>
    <w:p w14:paraId="5D806ECD" w14:textId="076C4492" w:rsidR="00F03CC0" w:rsidRPr="004868E3" w:rsidRDefault="00F03CC0" w:rsidP="00BB7C8D">
      <w:pPr>
        <w:numPr>
          <w:ilvl w:val="0"/>
          <w:numId w:val="33"/>
        </w:numPr>
        <w:ind w:left="714" w:hanging="357"/>
        <w:rPr>
          <w:rFonts w:eastAsia="Times New Roman"/>
          <w:iCs/>
          <w:szCs w:val="20"/>
        </w:rPr>
      </w:pPr>
      <w:bookmarkStart w:id="134" w:name="_Hlk20928345"/>
      <w:bookmarkEnd w:id="133"/>
      <w:r w:rsidRPr="001B1EFB">
        <w:rPr>
          <w:rFonts w:eastAsia="Times New Roman"/>
          <w:iCs/>
          <w:szCs w:val="20"/>
        </w:rPr>
        <w:t>access to more services (</w:t>
      </w:r>
      <w:r w:rsidR="0010747B">
        <w:rPr>
          <w:rFonts w:eastAsia="Times New Roman"/>
          <w:iCs/>
          <w:szCs w:val="20"/>
        </w:rPr>
        <w:t>for example,</w:t>
      </w:r>
      <w:r w:rsidRPr="001B1EFB">
        <w:rPr>
          <w:rFonts w:eastAsia="Times New Roman"/>
          <w:iCs/>
          <w:szCs w:val="20"/>
        </w:rPr>
        <w:t xml:space="preserve"> education, home visits).</w:t>
      </w:r>
    </w:p>
    <w:bookmarkEnd w:id="134"/>
    <w:p w14:paraId="052F64E7" w14:textId="77777777" w:rsidR="00A3478D" w:rsidRDefault="00A3478D">
      <w:pPr>
        <w:spacing w:after="160" w:line="259" w:lineRule="auto"/>
        <w:rPr>
          <w:szCs w:val="20"/>
        </w:rPr>
      </w:pPr>
      <w:r>
        <w:rPr>
          <w:szCs w:val="20"/>
        </w:rPr>
        <w:br w:type="page"/>
      </w:r>
    </w:p>
    <w:p w14:paraId="23279760" w14:textId="2650CF5A" w:rsidR="00F03CC0" w:rsidRPr="001B1EFB" w:rsidRDefault="00F03CC0" w:rsidP="004868E3">
      <w:pPr>
        <w:rPr>
          <w:szCs w:val="20"/>
        </w:rPr>
      </w:pPr>
      <w:r w:rsidRPr="001B1EFB">
        <w:rPr>
          <w:szCs w:val="20"/>
        </w:rPr>
        <w:lastRenderedPageBreak/>
        <w:t xml:space="preserve">Despite these selling points, practices and </w:t>
      </w:r>
      <w:r w:rsidR="00784053">
        <w:rPr>
          <w:szCs w:val="20"/>
        </w:rPr>
        <w:t xml:space="preserve">PHN </w:t>
      </w:r>
      <w:r w:rsidRPr="001B1EFB">
        <w:rPr>
          <w:szCs w:val="20"/>
        </w:rPr>
        <w:t xml:space="preserve">practice facilitators often struggled to create a coherent and convincing message for why a patient should enrol in HCH. A common issue was that practices felt that they were already providing services consistent with the HCH model, so that </w:t>
      </w:r>
      <w:r w:rsidR="005D70B0">
        <w:rPr>
          <w:szCs w:val="20"/>
        </w:rPr>
        <w:t xml:space="preserve">HCH would not change the care they were providing </w:t>
      </w:r>
      <w:r w:rsidRPr="001B1EFB">
        <w:rPr>
          <w:szCs w:val="20"/>
        </w:rPr>
        <w:t>to a</w:t>
      </w:r>
      <w:r w:rsidR="00384074">
        <w:rPr>
          <w:szCs w:val="20"/>
        </w:rPr>
        <w:t>ny</w:t>
      </w:r>
      <w:r w:rsidRPr="001B1EFB">
        <w:rPr>
          <w:szCs w:val="20"/>
        </w:rPr>
        <w:t xml:space="preserve"> great extent. Several practices stated that access and the ability to request prescriptions over the phone was the “juicy carrot” that encouraged patients to participate. Otherwise, practices thought that many of the major changes under HCH were internal to the practice and </w:t>
      </w:r>
      <w:r w:rsidR="00326A5F">
        <w:rPr>
          <w:szCs w:val="20"/>
        </w:rPr>
        <w:t xml:space="preserve">weren’t always visible to </w:t>
      </w:r>
      <w:r w:rsidRPr="001B1EFB">
        <w:rPr>
          <w:szCs w:val="20"/>
        </w:rPr>
        <w:t>patients.</w:t>
      </w:r>
    </w:p>
    <w:p w14:paraId="40E6FCBD" w14:textId="76DFA18F" w:rsidR="00F03CC0" w:rsidRPr="001B1EFB" w:rsidRDefault="00F03CC0" w:rsidP="004868E3">
      <w:pPr>
        <w:rPr>
          <w:szCs w:val="20"/>
        </w:rPr>
      </w:pPr>
      <w:r w:rsidRPr="001B1EFB">
        <w:rPr>
          <w:szCs w:val="20"/>
        </w:rPr>
        <w:t xml:space="preserve">Overall, practices found creating a clear and consistent message that outlined the goals of the program a challenge. It was especially difficult for staff members to explain the advantages to patients from different cultures, non-English speaking backgrounds, recent migrants and homeless people. </w:t>
      </w:r>
    </w:p>
    <w:p w14:paraId="787AC7B5" w14:textId="7C45F317" w:rsidR="00F03CC0" w:rsidRPr="001B1EFB" w:rsidRDefault="00384074" w:rsidP="004868E3">
      <w:pPr>
        <w:rPr>
          <w:szCs w:val="20"/>
        </w:rPr>
      </w:pPr>
      <w:r>
        <w:rPr>
          <w:szCs w:val="20"/>
        </w:rPr>
        <w:t>Many</w:t>
      </w:r>
      <w:r w:rsidR="00F03CC0" w:rsidRPr="001B1EFB">
        <w:rPr>
          <w:szCs w:val="20"/>
        </w:rPr>
        <w:t xml:space="preserve"> practices stated that the GP recommend</w:t>
      </w:r>
      <w:r w:rsidR="00287BE9">
        <w:rPr>
          <w:szCs w:val="20"/>
        </w:rPr>
        <w:t xml:space="preserve">ing the </w:t>
      </w:r>
      <w:r w:rsidR="00F03CC0">
        <w:rPr>
          <w:szCs w:val="20"/>
        </w:rPr>
        <w:t>p</w:t>
      </w:r>
      <w:r w:rsidR="00F03CC0" w:rsidRPr="001B1EFB">
        <w:rPr>
          <w:szCs w:val="20"/>
        </w:rPr>
        <w:t>rogram to the</w:t>
      </w:r>
      <w:r w:rsidR="00287BE9">
        <w:rPr>
          <w:szCs w:val="20"/>
        </w:rPr>
        <w:t>ir</w:t>
      </w:r>
      <w:r w:rsidR="00F03CC0" w:rsidRPr="001B1EFB">
        <w:rPr>
          <w:szCs w:val="20"/>
        </w:rPr>
        <w:t xml:space="preserve"> patient</w:t>
      </w:r>
      <w:r w:rsidR="00287BE9">
        <w:rPr>
          <w:szCs w:val="20"/>
        </w:rPr>
        <w:t>s</w:t>
      </w:r>
      <w:r w:rsidR="00F03CC0" w:rsidRPr="001B1EFB">
        <w:rPr>
          <w:szCs w:val="20"/>
        </w:rPr>
        <w:t xml:space="preserve"> was often integral to convincing </w:t>
      </w:r>
      <w:r w:rsidR="00287BE9">
        <w:rPr>
          <w:szCs w:val="20"/>
        </w:rPr>
        <w:t>patients</w:t>
      </w:r>
      <w:r w:rsidR="00F03CC0" w:rsidRPr="001B1EFB">
        <w:rPr>
          <w:szCs w:val="20"/>
        </w:rPr>
        <w:t xml:space="preserve"> to enrol. This was due to the strong relationships and trust that GPs have with their patients.</w:t>
      </w:r>
    </w:p>
    <w:p w14:paraId="194C5DEC" w14:textId="11632F37" w:rsidR="00F03CC0" w:rsidRPr="001B1EFB" w:rsidRDefault="00F03CC0" w:rsidP="004868E3">
      <w:pPr>
        <w:rPr>
          <w:szCs w:val="20"/>
        </w:rPr>
      </w:pPr>
      <w:r w:rsidRPr="001B1EFB">
        <w:rPr>
          <w:szCs w:val="20"/>
        </w:rPr>
        <w:t xml:space="preserve">Some practices found that delivering a simple message was the most effective way to get patients to understand the </w:t>
      </w:r>
      <w:r>
        <w:rPr>
          <w:szCs w:val="20"/>
        </w:rPr>
        <w:t>p</w:t>
      </w:r>
      <w:r w:rsidRPr="001B1EFB">
        <w:rPr>
          <w:szCs w:val="20"/>
        </w:rPr>
        <w:t>rogram benefits. Others show</w:t>
      </w:r>
      <w:r w:rsidR="00911B1F">
        <w:rPr>
          <w:szCs w:val="20"/>
        </w:rPr>
        <w:t>ed</w:t>
      </w:r>
      <w:r w:rsidRPr="001B1EFB">
        <w:rPr>
          <w:szCs w:val="20"/>
        </w:rPr>
        <w:t xml:space="preserve"> patients the HCH patient video </w:t>
      </w:r>
      <w:r w:rsidR="001764FE">
        <w:rPr>
          <w:szCs w:val="20"/>
        </w:rPr>
        <w:t>developed</w:t>
      </w:r>
      <w:r w:rsidRPr="001B1EFB">
        <w:rPr>
          <w:szCs w:val="20"/>
        </w:rPr>
        <w:t xml:space="preserve"> by the Department of Health.</w:t>
      </w:r>
    </w:p>
    <w:p w14:paraId="21BBE141" w14:textId="155813E4" w:rsidR="00F03CC0" w:rsidRDefault="00C32F26" w:rsidP="004868E3">
      <w:pPr>
        <w:rPr>
          <w:szCs w:val="20"/>
        </w:rPr>
      </w:pPr>
      <w:r>
        <w:rPr>
          <w:szCs w:val="20"/>
        </w:rPr>
        <w:t>P</w:t>
      </w:r>
      <w:r w:rsidR="00F03CC0" w:rsidRPr="001B1EFB">
        <w:rPr>
          <w:szCs w:val="20"/>
        </w:rPr>
        <w:t xml:space="preserve">ractices continued to describe issues with patient understanding and expectations of </w:t>
      </w:r>
      <w:r>
        <w:rPr>
          <w:szCs w:val="20"/>
        </w:rPr>
        <w:t>the program</w:t>
      </w:r>
      <w:r w:rsidR="00F03CC0" w:rsidRPr="001B1EFB">
        <w:rPr>
          <w:szCs w:val="20"/>
        </w:rPr>
        <w:t xml:space="preserve"> that lasted beyond </w:t>
      </w:r>
      <w:r>
        <w:rPr>
          <w:szCs w:val="20"/>
        </w:rPr>
        <w:t>enrolling patients</w:t>
      </w:r>
      <w:r w:rsidR="00F03CC0" w:rsidRPr="001B1EFB">
        <w:rPr>
          <w:szCs w:val="20"/>
        </w:rPr>
        <w:t>. Specifically, practices reported instances of patients’ misunderstanding the model, confusion, or lack of awareness about being enrolled</w:t>
      </w:r>
      <w:r w:rsidR="0079652C">
        <w:rPr>
          <w:szCs w:val="20"/>
        </w:rPr>
        <w:t>:</w:t>
      </w:r>
    </w:p>
    <w:p w14:paraId="3FBD4F22" w14:textId="77777777" w:rsidR="00F03CC0" w:rsidRPr="001B1EFB" w:rsidRDefault="00F03CC0" w:rsidP="00046862">
      <w:pPr>
        <w:ind w:left="567" w:right="521"/>
        <w:rPr>
          <w:szCs w:val="20"/>
        </w:rPr>
      </w:pPr>
      <w:r w:rsidRPr="00B034C9">
        <w:rPr>
          <w:i/>
          <w:iCs/>
          <w:szCs w:val="20"/>
        </w:rPr>
        <w:t xml:space="preserve">“Initially, we </w:t>
      </w:r>
      <w:r w:rsidRPr="00046862">
        <w:rPr>
          <w:i/>
          <w:iCs/>
        </w:rPr>
        <w:t>started</w:t>
      </w:r>
      <w:r w:rsidRPr="00B034C9">
        <w:rPr>
          <w:i/>
          <w:iCs/>
          <w:szCs w:val="20"/>
        </w:rPr>
        <w:t xml:space="preserve"> it, we were saying Health Care Homes and a lot of the patients were thinking that it’s home care or something like that. Most of them didn’t want to even talk about it.”</w:t>
      </w:r>
      <w:r>
        <w:rPr>
          <w:szCs w:val="20"/>
        </w:rPr>
        <w:t xml:space="preserve"> [Practice Manager, Practice 9, R5]</w:t>
      </w:r>
    </w:p>
    <w:p w14:paraId="5C91A0FE" w14:textId="1DC6FCD0" w:rsidR="00F03CC0" w:rsidRPr="001B1EFB" w:rsidRDefault="00F03CC0" w:rsidP="004868E3">
      <w:pPr>
        <w:rPr>
          <w:szCs w:val="20"/>
        </w:rPr>
      </w:pPr>
      <w:r w:rsidRPr="001B1EFB">
        <w:rPr>
          <w:szCs w:val="20"/>
        </w:rPr>
        <w:t>Another area of misunderstanding was the extent to which patients would have access to their GP once enrolled in HCH. In some instances, patients withdrew from the trial when they found that they would be interacting less with their GP and more with nurses and other clinicians. Other</w:t>
      </w:r>
      <w:r w:rsidR="009E6966">
        <w:rPr>
          <w:szCs w:val="20"/>
        </w:rPr>
        <w:t xml:space="preserve"> patients</w:t>
      </w:r>
      <w:r w:rsidRPr="001B1EFB">
        <w:rPr>
          <w:szCs w:val="20"/>
        </w:rPr>
        <w:t xml:space="preserve"> persevered and found benefits with the team-based approach. In other instances, practices thought that some of their patients had become overdependent on the practice as HCH </w:t>
      </w:r>
      <w:r w:rsidR="004A382E">
        <w:rPr>
          <w:szCs w:val="20"/>
        </w:rPr>
        <w:t>enrolees</w:t>
      </w:r>
      <w:r w:rsidRPr="001B1EFB">
        <w:rPr>
          <w:szCs w:val="20"/>
        </w:rPr>
        <w:t>.</w:t>
      </w:r>
    </w:p>
    <w:p w14:paraId="7E2EF161" w14:textId="1C00B742" w:rsidR="00F03CC0" w:rsidRPr="00F7521E" w:rsidRDefault="00F03CC0" w:rsidP="00F03CC0">
      <w:pPr>
        <w:pStyle w:val="Heading3"/>
      </w:pPr>
      <w:r w:rsidRPr="00F7521E">
        <w:t>Why patients decide</w:t>
      </w:r>
      <w:r w:rsidR="002C03EE">
        <w:t>d</w:t>
      </w:r>
      <w:r w:rsidRPr="00F7521E">
        <w:t xml:space="preserve"> not to enrol</w:t>
      </w:r>
    </w:p>
    <w:p w14:paraId="69EF05BB" w14:textId="1FF5B56B" w:rsidR="00A3478D" w:rsidRDefault="00F03CC0" w:rsidP="00AD4F9E">
      <w:pPr>
        <w:rPr>
          <w:szCs w:val="20"/>
        </w:rPr>
      </w:pPr>
      <w:r w:rsidRPr="001B1EFB">
        <w:rPr>
          <w:szCs w:val="20"/>
        </w:rPr>
        <w:t>Not all patients agreed to proceed with enrolment in HCH</w:t>
      </w:r>
      <w:r>
        <w:rPr>
          <w:szCs w:val="20"/>
        </w:rPr>
        <w:t xml:space="preserve"> and practices expressed challenges encouraging patients to enrol</w:t>
      </w:r>
      <w:r w:rsidRPr="001B1EFB">
        <w:rPr>
          <w:szCs w:val="20"/>
        </w:rPr>
        <w:t xml:space="preserve">. </w:t>
      </w:r>
      <w:r w:rsidRPr="001018EB">
        <w:rPr>
          <w:b/>
          <w:bCs/>
          <w:szCs w:val="20"/>
        </w:rPr>
        <w:fldChar w:fldCharType="begin"/>
      </w:r>
      <w:r w:rsidRPr="001018EB">
        <w:rPr>
          <w:b/>
          <w:bCs/>
          <w:szCs w:val="20"/>
        </w:rPr>
        <w:instrText xml:space="preserve"> REF _Ref21024382 \h </w:instrText>
      </w:r>
      <w:r w:rsidR="00302D66" w:rsidRPr="001018EB">
        <w:rPr>
          <w:b/>
          <w:bCs/>
          <w:szCs w:val="20"/>
        </w:rPr>
        <w:instrText xml:space="preserve"> \* MERGEFORMAT </w:instrText>
      </w:r>
      <w:r w:rsidRPr="001018EB">
        <w:rPr>
          <w:b/>
          <w:bCs/>
          <w:szCs w:val="20"/>
        </w:rPr>
      </w:r>
      <w:r w:rsidRPr="001018EB">
        <w:rPr>
          <w:b/>
          <w:bCs/>
          <w:szCs w:val="20"/>
        </w:rPr>
        <w:fldChar w:fldCharType="separate"/>
      </w:r>
      <w:r w:rsidR="003C4BC2" w:rsidRPr="003C4BC2">
        <w:rPr>
          <w:rStyle w:val="Strong1"/>
          <w:b w:val="0"/>
          <w:bCs/>
          <w:color w:val="1D2455"/>
          <w:sz w:val="20"/>
        </w:rPr>
        <w:t xml:space="preserve">Table </w:t>
      </w:r>
      <w:r w:rsidR="003C4BC2" w:rsidRPr="003C4BC2">
        <w:rPr>
          <w:rStyle w:val="Strong1"/>
          <w:b w:val="0"/>
          <w:bCs/>
          <w:noProof/>
          <w:color w:val="1D2455"/>
          <w:sz w:val="20"/>
        </w:rPr>
        <w:t>16</w:t>
      </w:r>
      <w:r w:rsidRPr="001018EB">
        <w:rPr>
          <w:b/>
          <w:bCs/>
          <w:szCs w:val="20"/>
        </w:rPr>
        <w:fldChar w:fldCharType="end"/>
      </w:r>
      <w:r w:rsidRPr="001B1EFB">
        <w:rPr>
          <w:szCs w:val="20"/>
        </w:rPr>
        <w:t xml:space="preserve"> shows the main reasons that patients who practices approached to enrol in HCH program opted not to enrol.</w:t>
      </w:r>
    </w:p>
    <w:p w14:paraId="1562815C" w14:textId="77777777" w:rsidR="00A3478D" w:rsidRDefault="00A3478D">
      <w:pPr>
        <w:spacing w:after="160" w:line="259" w:lineRule="auto"/>
        <w:rPr>
          <w:szCs w:val="20"/>
        </w:rPr>
      </w:pPr>
      <w:r>
        <w:rPr>
          <w:szCs w:val="20"/>
        </w:rPr>
        <w:br w:type="page"/>
      </w:r>
    </w:p>
    <w:p w14:paraId="35EF9266" w14:textId="2DE5A54D" w:rsidR="009969A3" w:rsidRPr="006D05A6" w:rsidRDefault="00F03CC0" w:rsidP="006D05A6">
      <w:pPr>
        <w:pStyle w:val="TableFigureheading"/>
        <w:rPr>
          <w:rStyle w:val="Strong1"/>
          <w:b w:val="0"/>
          <w:color w:val="1D2455"/>
          <w:sz w:val="20"/>
        </w:rPr>
      </w:pPr>
      <w:bookmarkStart w:id="135" w:name="_Ref21024382"/>
      <w:bookmarkStart w:id="136" w:name="_Hlk22642327"/>
      <w:r w:rsidRPr="006D05A6">
        <w:rPr>
          <w:rStyle w:val="Strong1"/>
          <w:b w:val="0"/>
          <w:color w:val="1D2455"/>
          <w:sz w:val="20"/>
        </w:rPr>
        <w:lastRenderedPageBreak/>
        <w:t xml:space="preserve">Table </w:t>
      </w:r>
      <w:r w:rsidRPr="006D05A6">
        <w:rPr>
          <w:rStyle w:val="Strong1"/>
          <w:b w:val="0"/>
          <w:color w:val="1D2455"/>
          <w:sz w:val="20"/>
        </w:rPr>
        <w:fldChar w:fldCharType="begin"/>
      </w:r>
      <w:r w:rsidRPr="006D05A6">
        <w:rPr>
          <w:rStyle w:val="Strong1"/>
          <w:b w:val="0"/>
          <w:color w:val="1D2455"/>
          <w:sz w:val="20"/>
        </w:rPr>
        <w:instrText xml:space="preserve"> SEQ Table \* ARABIC </w:instrText>
      </w:r>
      <w:r w:rsidRPr="006D05A6">
        <w:rPr>
          <w:rStyle w:val="Strong1"/>
          <w:b w:val="0"/>
          <w:color w:val="1D2455"/>
          <w:sz w:val="20"/>
        </w:rPr>
        <w:fldChar w:fldCharType="separate"/>
      </w:r>
      <w:r w:rsidR="003C4BC2">
        <w:rPr>
          <w:rStyle w:val="Strong1"/>
          <w:b w:val="0"/>
          <w:noProof/>
          <w:color w:val="1D2455"/>
          <w:sz w:val="20"/>
        </w:rPr>
        <w:t>16</w:t>
      </w:r>
      <w:r w:rsidRPr="006D05A6">
        <w:rPr>
          <w:rStyle w:val="Strong1"/>
          <w:b w:val="0"/>
          <w:color w:val="1D2455"/>
          <w:sz w:val="20"/>
        </w:rPr>
        <w:fldChar w:fldCharType="end"/>
      </w:r>
      <w:bookmarkEnd w:id="135"/>
      <w:r w:rsidR="00BF7B0A" w:rsidRPr="006D05A6">
        <w:rPr>
          <w:rStyle w:val="Strong1"/>
          <w:b w:val="0"/>
          <w:color w:val="1D2455"/>
          <w:sz w:val="20"/>
        </w:rPr>
        <w:t xml:space="preserve">: </w:t>
      </w:r>
      <w:r w:rsidRPr="006D05A6">
        <w:rPr>
          <w:rStyle w:val="Strong1"/>
          <w:b w:val="0"/>
          <w:color w:val="1D2455"/>
          <w:sz w:val="20"/>
        </w:rPr>
        <w:t xml:space="preserve">Main reasons </w:t>
      </w:r>
      <w:r w:rsidR="001E03FB">
        <w:rPr>
          <w:rStyle w:val="Strong1"/>
          <w:b w:val="0"/>
          <w:color w:val="1D2455"/>
          <w:sz w:val="20"/>
        </w:rPr>
        <w:t>that</w:t>
      </w:r>
      <w:r w:rsidRPr="006D05A6">
        <w:rPr>
          <w:rStyle w:val="Strong1"/>
          <w:b w:val="0"/>
          <w:color w:val="1D2455"/>
          <w:sz w:val="20"/>
        </w:rPr>
        <w:t xml:space="preserve"> patients approached opted not to </w:t>
      </w:r>
      <w:r w:rsidR="00AD4F9E" w:rsidRPr="006D05A6">
        <w:rPr>
          <w:rStyle w:val="Strong1"/>
          <w:b w:val="0"/>
          <w:color w:val="1D2455"/>
          <w:sz w:val="20"/>
        </w:rPr>
        <w:t>enrol</w:t>
      </w:r>
      <w:r w:rsidRPr="006D05A6">
        <w:rPr>
          <w:rStyle w:val="Strong1"/>
          <w:b w:val="0"/>
          <w:color w:val="1D2455"/>
          <w:sz w:val="20"/>
        </w:rPr>
        <w:t xml:space="preserve"> in HCH </w:t>
      </w:r>
      <w:r w:rsidR="009969A3">
        <w:rPr>
          <w:rStyle w:val="Strong1"/>
          <w:b w:val="0"/>
          <w:color w:val="1D2455"/>
          <w:sz w:val="20"/>
        </w:rPr>
        <w:t>(</w:t>
      </w:r>
      <w:r w:rsidR="001F1308">
        <w:rPr>
          <w:rStyle w:val="Strong1"/>
          <w:b w:val="0"/>
          <w:color w:val="1D2455"/>
          <w:sz w:val="20"/>
        </w:rPr>
        <w:t xml:space="preserve">practices could report </w:t>
      </w:r>
      <w:r w:rsidR="009969A3">
        <w:rPr>
          <w:rStyle w:val="Strong1"/>
          <w:b w:val="0"/>
          <w:color w:val="1D2455"/>
          <w:sz w:val="20"/>
        </w:rPr>
        <w:t xml:space="preserve">more than </w:t>
      </w:r>
      <w:r w:rsidR="00402E57">
        <w:rPr>
          <w:rStyle w:val="Strong1"/>
          <w:b w:val="0"/>
          <w:color w:val="1D2455"/>
          <w:sz w:val="20"/>
        </w:rPr>
        <w:t xml:space="preserve">one </w:t>
      </w:r>
      <w:r w:rsidR="00E71000">
        <w:rPr>
          <w:rStyle w:val="Strong1"/>
          <w:b w:val="0"/>
          <w:color w:val="1D2455"/>
          <w:sz w:val="20"/>
        </w:rPr>
        <w:t>reason</w:t>
      </w:r>
      <w:r w:rsidR="00402E57">
        <w:rPr>
          <w:rStyle w:val="Strong1"/>
          <w:b w:val="0"/>
          <w:color w:val="1D2455"/>
          <w:sz w:val="20"/>
        </w:rPr>
        <w:t>)</w:t>
      </w:r>
    </w:p>
    <w:tbl>
      <w:tblPr>
        <w:tblW w:w="5000"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146"/>
        <w:gridCol w:w="1250"/>
        <w:gridCol w:w="222"/>
        <w:gridCol w:w="3351"/>
        <w:gridCol w:w="1047"/>
      </w:tblGrid>
      <w:tr w:rsidR="00E27353" w:rsidRPr="00E27353" w14:paraId="415241D3" w14:textId="77777777" w:rsidTr="00E27353">
        <w:trPr>
          <w:trHeight w:val="336"/>
          <w:jc w:val="center"/>
        </w:trPr>
        <w:tc>
          <w:tcPr>
            <w:tcW w:w="1746" w:type="pct"/>
            <w:shd w:val="clear" w:color="auto" w:fill="408BCA"/>
            <w:vAlign w:val="center"/>
          </w:tcPr>
          <w:bookmarkEnd w:id="136"/>
          <w:p w14:paraId="6A175AFA" w14:textId="77777777" w:rsidR="00F03CC0" w:rsidRPr="00E27353" w:rsidRDefault="00F03CC0" w:rsidP="00E27353">
            <w:pPr>
              <w:spacing w:after="0"/>
              <w:jc w:val="center"/>
              <w:rPr>
                <w:b/>
                <w:bCs/>
              </w:rPr>
            </w:pPr>
            <w:r w:rsidRPr="00E27353">
              <w:rPr>
                <w:rFonts w:eastAsia="Century Gothic" w:cs="Century Gothic"/>
                <w:b/>
                <w:bCs/>
                <w:color w:val="FFFFFF"/>
                <w:sz w:val="18"/>
                <w:szCs w:val="18"/>
              </w:rPr>
              <w:t>Response</w:t>
            </w:r>
          </w:p>
        </w:tc>
        <w:tc>
          <w:tcPr>
            <w:tcW w:w="694" w:type="pct"/>
            <w:shd w:val="clear" w:color="auto" w:fill="408BCA"/>
            <w:vAlign w:val="center"/>
          </w:tcPr>
          <w:p w14:paraId="1D0A1698" w14:textId="77777777" w:rsidR="00F03CC0" w:rsidRPr="00E27353" w:rsidRDefault="00F03CC0" w:rsidP="00E27353">
            <w:pPr>
              <w:spacing w:after="0"/>
              <w:jc w:val="center"/>
              <w:rPr>
                <w:b/>
                <w:bCs/>
              </w:rPr>
            </w:pPr>
            <w:r w:rsidRPr="00E27353">
              <w:rPr>
                <w:rFonts w:eastAsia="Century Gothic" w:cs="Century Gothic"/>
                <w:b/>
                <w:bCs/>
                <w:color w:val="FFFFFF"/>
                <w:sz w:val="18"/>
                <w:szCs w:val="18"/>
              </w:rPr>
              <w:t>n (%)</w:t>
            </w:r>
          </w:p>
        </w:tc>
        <w:tc>
          <w:tcPr>
            <w:tcW w:w="120" w:type="pct"/>
            <w:tcBorders>
              <w:top w:val="nil"/>
              <w:bottom w:val="nil"/>
            </w:tcBorders>
            <w:shd w:val="clear" w:color="auto" w:fill="auto"/>
            <w:vAlign w:val="center"/>
          </w:tcPr>
          <w:p w14:paraId="27117CAB" w14:textId="55A67F03" w:rsidR="00F03CC0" w:rsidRPr="00E27353" w:rsidRDefault="00F03CC0" w:rsidP="00E27353">
            <w:pPr>
              <w:spacing w:after="0"/>
              <w:jc w:val="center"/>
              <w:rPr>
                <w:b/>
                <w:bCs/>
              </w:rPr>
            </w:pPr>
          </w:p>
        </w:tc>
        <w:tc>
          <w:tcPr>
            <w:tcW w:w="1859" w:type="pct"/>
            <w:shd w:val="clear" w:color="auto" w:fill="408BCA"/>
            <w:vAlign w:val="center"/>
          </w:tcPr>
          <w:p w14:paraId="64E86F7B" w14:textId="77777777" w:rsidR="00F03CC0" w:rsidRPr="00E27353" w:rsidRDefault="00F03CC0" w:rsidP="00E27353">
            <w:pPr>
              <w:spacing w:after="0"/>
              <w:jc w:val="center"/>
              <w:rPr>
                <w:b/>
                <w:bCs/>
              </w:rPr>
            </w:pPr>
            <w:r w:rsidRPr="00E27353">
              <w:rPr>
                <w:rFonts w:eastAsia="Century Gothic" w:cs="Century Gothic"/>
                <w:b/>
                <w:bCs/>
                <w:color w:val="FFFFFF"/>
                <w:sz w:val="18"/>
                <w:szCs w:val="18"/>
              </w:rPr>
              <w:t>Response</w:t>
            </w:r>
          </w:p>
        </w:tc>
        <w:tc>
          <w:tcPr>
            <w:tcW w:w="581" w:type="pct"/>
            <w:shd w:val="clear" w:color="auto" w:fill="408BCA"/>
            <w:vAlign w:val="center"/>
          </w:tcPr>
          <w:p w14:paraId="4409A6D6" w14:textId="77777777" w:rsidR="00F03CC0" w:rsidRPr="00E27353" w:rsidRDefault="00F03CC0" w:rsidP="00E27353">
            <w:pPr>
              <w:spacing w:after="0"/>
              <w:jc w:val="center"/>
              <w:rPr>
                <w:b/>
                <w:bCs/>
              </w:rPr>
            </w:pPr>
            <w:r w:rsidRPr="00E27353">
              <w:rPr>
                <w:rFonts w:eastAsia="Century Gothic" w:cs="Century Gothic"/>
                <w:b/>
                <w:bCs/>
                <w:color w:val="FFFFFF"/>
                <w:sz w:val="18"/>
                <w:szCs w:val="18"/>
              </w:rPr>
              <w:t>n (%)</w:t>
            </w:r>
          </w:p>
        </w:tc>
      </w:tr>
      <w:tr w:rsidR="00E27A9E" w:rsidRPr="001B1EFB" w14:paraId="017FA8AC" w14:textId="77777777" w:rsidTr="00E27353">
        <w:trPr>
          <w:trHeight w:val="442"/>
          <w:jc w:val="center"/>
        </w:trPr>
        <w:tc>
          <w:tcPr>
            <w:tcW w:w="1746" w:type="pct"/>
          </w:tcPr>
          <w:p w14:paraId="386FFE0C" w14:textId="3B8BC582" w:rsidR="00E27A9E" w:rsidRPr="001B1EFB" w:rsidRDefault="00E27A9E" w:rsidP="00A60BCC">
            <w:pPr>
              <w:spacing w:before="40" w:after="40"/>
              <w:ind w:right="100"/>
              <w:rPr>
                <w:rFonts w:eastAsia="Century Gothic" w:cs="Century Gothic"/>
                <w:color w:val="000000"/>
                <w:sz w:val="18"/>
                <w:szCs w:val="18"/>
              </w:rPr>
            </w:pPr>
            <w:r w:rsidRPr="001B1EFB">
              <w:rPr>
                <w:rFonts w:eastAsia="Century Gothic" w:cs="Century Gothic"/>
                <w:color w:val="000000"/>
                <w:sz w:val="18"/>
                <w:szCs w:val="18"/>
              </w:rPr>
              <w:t>Patient concerned about privacy of their data/My Health Record</w:t>
            </w:r>
          </w:p>
        </w:tc>
        <w:tc>
          <w:tcPr>
            <w:tcW w:w="694" w:type="pct"/>
          </w:tcPr>
          <w:p w14:paraId="3B71DE0A" w14:textId="7C24D5A7" w:rsidR="00E27A9E" w:rsidRPr="001B1EFB" w:rsidRDefault="00E27A9E" w:rsidP="00C47C05">
            <w:pPr>
              <w:spacing w:before="40" w:after="40"/>
              <w:ind w:left="100"/>
              <w:jc w:val="right"/>
              <w:rPr>
                <w:rFonts w:eastAsia="Century Gothic" w:cs="Century Gothic"/>
                <w:color w:val="000000"/>
                <w:sz w:val="18"/>
                <w:szCs w:val="18"/>
              </w:rPr>
            </w:pPr>
            <w:r w:rsidRPr="001B1EFB">
              <w:rPr>
                <w:rFonts w:eastAsia="Century Gothic" w:cs="Century Gothic"/>
                <w:color w:val="000000"/>
                <w:sz w:val="18"/>
                <w:szCs w:val="18"/>
              </w:rPr>
              <w:t>46 (43.8%)</w:t>
            </w:r>
          </w:p>
        </w:tc>
        <w:tc>
          <w:tcPr>
            <w:tcW w:w="120" w:type="pct"/>
            <w:tcBorders>
              <w:top w:val="nil"/>
              <w:bottom w:val="nil"/>
            </w:tcBorders>
          </w:tcPr>
          <w:p w14:paraId="1A5FEAA5" w14:textId="77777777" w:rsidR="00E27A9E" w:rsidRPr="001B1EFB" w:rsidRDefault="00E27A9E" w:rsidP="00E27A9E">
            <w:pPr>
              <w:spacing w:before="40" w:after="40"/>
              <w:ind w:left="100" w:right="100"/>
              <w:jc w:val="right"/>
            </w:pPr>
          </w:p>
        </w:tc>
        <w:tc>
          <w:tcPr>
            <w:tcW w:w="1859" w:type="pct"/>
          </w:tcPr>
          <w:p w14:paraId="6CB97A94" w14:textId="46363693" w:rsidR="00E27A9E" w:rsidRPr="001B1EFB" w:rsidRDefault="00E27A9E" w:rsidP="00A60BCC">
            <w:pPr>
              <w:spacing w:before="40" w:after="40"/>
              <w:ind w:right="100"/>
              <w:rPr>
                <w:rFonts w:eastAsia="Century Gothic" w:cs="Century Gothic"/>
                <w:color w:val="000000"/>
                <w:sz w:val="18"/>
                <w:szCs w:val="18"/>
              </w:rPr>
            </w:pPr>
            <w:r w:rsidRPr="001B1EFB">
              <w:rPr>
                <w:rFonts w:eastAsia="Century Gothic" w:cs="Century Gothic"/>
                <w:color w:val="000000"/>
                <w:sz w:val="18"/>
                <w:szCs w:val="18"/>
              </w:rPr>
              <w:t>Preferred to see a GP (rather than nurse)</w:t>
            </w:r>
          </w:p>
        </w:tc>
        <w:tc>
          <w:tcPr>
            <w:tcW w:w="581" w:type="pct"/>
          </w:tcPr>
          <w:p w14:paraId="22A07A47" w14:textId="28D87FD8" w:rsidR="00E27A9E" w:rsidRPr="001B1EFB" w:rsidRDefault="00E27A9E" w:rsidP="00C47C05">
            <w:pPr>
              <w:spacing w:before="40" w:after="40"/>
              <w:ind w:left="100"/>
              <w:jc w:val="right"/>
              <w:rPr>
                <w:rFonts w:eastAsia="Century Gothic" w:cs="Century Gothic"/>
                <w:color w:val="000000"/>
                <w:sz w:val="18"/>
                <w:szCs w:val="18"/>
              </w:rPr>
            </w:pPr>
            <w:r w:rsidRPr="001B1EFB">
              <w:rPr>
                <w:rFonts w:eastAsia="Century Gothic" w:cs="Century Gothic"/>
                <w:color w:val="000000"/>
                <w:sz w:val="18"/>
                <w:szCs w:val="18"/>
              </w:rPr>
              <w:t>10 (9.5%)</w:t>
            </w:r>
          </w:p>
        </w:tc>
      </w:tr>
      <w:tr w:rsidR="00E27A9E" w:rsidRPr="001B1EFB" w14:paraId="64F748C9" w14:textId="77777777" w:rsidTr="00E27353">
        <w:trPr>
          <w:trHeight w:val="442"/>
          <w:jc w:val="center"/>
        </w:trPr>
        <w:tc>
          <w:tcPr>
            <w:tcW w:w="1746" w:type="pct"/>
          </w:tcPr>
          <w:p w14:paraId="0BB40C94" w14:textId="61D55909" w:rsidR="00E27A9E" w:rsidRPr="001B1EFB" w:rsidRDefault="00E27A9E" w:rsidP="00A60BCC">
            <w:pPr>
              <w:spacing w:before="40" w:after="40"/>
              <w:ind w:right="100"/>
            </w:pPr>
            <w:r w:rsidRPr="001B1EFB">
              <w:rPr>
                <w:rFonts w:eastAsia="Century Gothic" w:cs="Century Gothic"/>
                <w:color w:val="000000"/>
                <w:sz w:val="18"/>
                <w:szCs w:val="18"/>
              </w:rPr>
              <w:t>Patient felt it was unnecessary/ couldn't be bothered</w:t>
            </w:r>
          </w:p>
        </w:tc>
        <w:tc>
          <w:tcPr>
            <w:tcW w:w="694" w:type="pct"/>
          </w:tcPr>
          <w:p w14:paraId="155343D7" w14:textId="50C58FE7" w:rsidR="00E27A9E" w:rsidRPr="001B1EFB" w:rsidRDefault="00E27A9E" w:rsidP="00C47C05">
            <w:pPr>
              <w:spacing w:before="40" w:after="40"/>
              <w:ind w:left="100"/>
              <w:jc w:val="right"/>
            </w:pPr>
            <w:r w:rsidRPr="001B1EFB">
              <w:rPr>
                <w:rFonts w:eastAsia="Century Gothic" w:cs="Century Gothic"/>
                <w:color w:val="000000"/>
                <w:sz w:val="18"/>
                <w:szCs w:val="18"/>
              </w:rPr>
              <w:t>43 (41.0%)</w:t>
            </w:r>
          </w:p>
        </w:tc>
        <w:tc>
          <w:tcPr>
            <w:tcW w:w="120" w:type="pct"/>
            <w:tcBorders>
              <w:top w:val="nil"/>
              <w:bottom w:val="nil"/>
            </w:tcBorders>
          </w:tcPr>
          <w:p w14:paraId="365E39D1" w14:textId="77777777" w:rsidR="00E27A9E" w:rsidRPr="001B1EFB" w:rsidRDefault="00E27A9E" w:rsidP="00E27A9E">
            <w:pPr>
              <w:spacing w:before="40" w:after="40"/>
              <w:ind w:left="100" w:right="100"/>
              <w:jc w:val="right"/>
            </w:pPr>
          </w:p>
        </w:tc>
        <w:tc>
          <w:tcPr>
            <w:tcW w:w="1859" w:type="pct"/>
          </w:tcPr>
          <w:p w14:paraId="57DCCEEE" w14:textId="03F0D336" w:rsidR="00E27A9E" w:rsidRPr="001B1EFB" w:rsidRDefault="00E27A9E" w:rsidP="00A60BCC">
            <w:pPr>
              <w:spacing w:before="40" w:after="40"/>
              <w:ind w:right="100"/>
            </w:pPr>
            <w:r w:rsidRPr="001B1EFB">
              <w:rPr>
                <w:rFonts w:eastAsia="Century Gothic" w:cs="Century Gothic"/>
                <w:color w:val="000000"/>
                <w:sz w:val="18"/>
                <w:szCs w:val="18"/>
              </w:rPr>
              <w:t>Patient didn't want to be restricted to one practice</w:t>
            </w:r>
          </w:p>
        </w:tc>
        <w:tc>
          <w:tcPr>
            <w:tcW w:w="581" w:type="pct"/>
          </w:tcPr>
          <w:p w14:paraId="4CFB6FA7" w14:textId="48E3753D" w:rsidR="00E27A9E" w:rsidRPr="001B1EFB" w:rsidRDefault="00E27A9E" w:rsidP="00C47C05">
            <w:pPr>
              <w:spacing w:before="40" w:after="40"/>
              <w:ind w:left="100"/>
              <w:jc w:val="right"/>
            </w:pPr>
            <w:r w:rsidRPr="001B1EFB">
              <w:rPr>
                <w:rFonts w:eastAsia="Century Gothic" w:cs="Century Gothic"/>
                <w:color w:val="000000"/>
                <w:sz w:val="18"/>
                <w:szCs w:val="18"/>
              </w:rPr>
              <w:t>10 (9.5%)</w:t>
            </w:r>
          </w:p>
        </w:tc>
      </w:tr>
      <w:tr w:rsidR="00E27A9E" w:rsidRPr="001B1EFB" w14:paraId="38F295E7" w14:textId="77777777" w:rsidTr="00E27353">
        <w:trPr>
          <w:trHeight w:val="442"/>
          <w:jc w:val="center"/>
        </w:trPr>
        <w:tc>
          <w:tcPr>
            <w:tcW w:w="1746" w:type="pct"/>
          </w:tcPr>
          <w:p w14:paraId="7DB02F2B" w14:textId="24665460" w:rsidR="00E27A9E" w:rsidRPr="001B1EFB" w:rsidRDefault="00E27A9E" w:rsidP="00A60BCC">
            <w:pPr>
              <w:spacing w:before="40" w:after="40"/>
              <w:ind w:right="100"/>
            </w:pPr>
            <w:r w:rsidRPr="001B1EFB">
              <w:rPr>
                <w:rFonts w:eastAsia="Century Gothic" w:cs="Century Gothic"/>
                <w:color w:val="000000"/>
                <w:sz w:val="18"/>
                <w:szCs w:val="18"/>
              </w:rPr>
              <w:t>Patient didn't understand model or the potential benefits</w:t>
            </w:r>
          </w:p>
        </w:tc>
        <w:tc>
          <w:tcPr>
            <w:tcW w:w="694" w:type="pct"/>
          </w:tcPr>
          <w:p w14:paraId="6B0E70E4" w14:textId="04BFACC9" w:rsidR="00E27A9E" w:rsidRPr="001B1EFB" w:rsidRDefault="00E27A9E" w:rsidP="00C47C05">
            <w:pPr>
              <w:spacing w:before="40" w:after="40"/>
              <w:ind w:left="100"/>
              <w:jc w:val="right"/>
            </w:pPr>
            <w:r w:rsidRPr="001B1EFB">
              <w:rPr>
                <w:rFonts w:eastAsia="Century Gothic" w:cs="Century Gothic"/>
                <w:color w:val="000000"/>
                <w:sz w:val="18"/>
                <w:szCs w:val="18"/>
              </w:rPr>
              <w:t>32 (30.5%)</w:t>
            </w:r>
          </w:p>
        </w:tc>
        <w:tc>
          <w:tcPr>
            <w:tcW w:w="120" w:type="pct"/>
            <w:tcBorders>
              <w:top w:val="nil"/>
              <w:bottom w:val="nil"/>
            </w:tcBorders>
          </w:tcPr>
          <w:p w14:paraId="240DC6CD" w14:textId="77777777" w:rsidR="00E27A9E" w:rsidRPr="001B1EFB" w:rsidRDefault="00E27A9E" w:rsidP="00E27A9E">
            <w:pPr>
              <w:spacing w:before="40" w:after="40"/>
              <w:ind w:left="100" w:right="100"/>
              <w:jc w:val="right"/>
            </w:pPr>
          </w:p>
        </w:tc>
        <w:tc>
          <w:tcPr>
            <w:tcW w:w="1859" w:type="pct"/>
          </w:tcPr>
          <w:p w14:paraId="3F907692" w14:textId="3B5201FF" w:rsidR="00E27A9E" w:rsidRPr="001B1EFB" w:rsidRDefault="00E27A9E" w:rsidP="00A60BCC">
            <w:pPr>
              <w:spacing w:before="40" w:after="40"/>
              <w:ind w:right="100"/>
            </w:pPr>
            <w:r w:rsidRPr="001B1EFB">
              <w:rPr>
                <w:rFonts w:eastAsia="Century Gothic" w:cs="Century Gothic"/>
                <w:color w:val="000000"/>
                <w:sz w:val="18"/>
                <w:szCs w:val="18"/>
              </w:rPr>
              <w:t>Not interested in care planning</w:t>
            </w:r>
          </w:p>
        </w:tc>
        <w:tc>
          <w:tcPr>
            <w:tcW w:w="581" w:type="pct"/>
          </w:tcPr>
          <w:p w14:paraId="24219F8C" w14:textId="542358DF" w:rsidR="00E27A9E" w:rsidRPr="001B1EFB" w:rsidRDefault="00E27A9E" w:rsidP="00C47C05">
            <w:pPr>
              <w:spacing w:before="40" w:after="40"/>
              <w:ind w:left="100"/>
              <w:jc w:val="right"/>
            </w:pPr>
            <w:r w:rsidRPr="001B1EFB">
              <w:rPr>
                <w:rFonts w:eastAsia="Century Gothic" w:cs="Century Gothic"/>
                <w:color w:val="000000"/>
                <w:sz w:val="18"/>
                <w:szCs w:val="18"/>
              </w:rPr>
              <w:t>3 (2.9%)</w:t>
            </w:r>
          </w:p>
        </w:tc>
      </w:tr>
      <w:tr w:rsidR="00E27A9E" w:rsidRPr="001B1EFB" w14:paraId="40D24505" w14:textId="77777777" w:rsidTr="00E27353">
        <w:trPr>
          <w:trHeight w:val="442"/>
          <w:jc w:val="center"/>
        </w:trPr>
        <w:tc>
          <w:tcPr>
            <w:tcW w:w="1746" w:type="pct"/>
          </w:tcPr>
          <w:p w14:paraId="4D6D82CD" w14:textId="0A4B2AB8" w:rsidR="00E27A9E" w:rsidRPr="001B1EFB" w:rsidRDefault="00E27A9E" w:rsidP="00A60BCC">
            <w:pPr>
              <w:spacing w:before="40" w:after="40"/>
              <w:ind w:right="100"/>
            </w:pPr>
            <w:r w:rsidRPr="001B1EFB">
              <w:rPr>
                <w:rFonts w:eastAsia="Century Gothic" w:cs="Century Gothic"/>
                <w:color w:val="000000"/>
                <w:sz w:val="18"/>
                <w:szCs w:val="18"/>
              </w:rPr>
              <w:t>Patient didn't want to change / happy with current care</w:t>
            </w:r>
          </w:p>
        </w:tc>
        <w:tc>
          <w:tcPr>
            <w:tcW w:w="694" w:type="pct"/>
          </w:tcPr>
          <w:p w14:paraId="7D3FE20A" w14:textId="00B27C2F" w:rsidR="00E27A9E" w:rsidRPr="001B1EFB" w:rsidRDefault="00E27A9E" w:rsidP="00C47C05">
            <w:pPr>
              <w:spacing w:before="40" w:after="40"/>
              <w:ind w:left="100"/>
              <w:jc w:val="right"/>
            </w:pPr>
            <w:r w:rsidRPr="001B1EFB">
              <w:rPr>
                <w:rFonts w:eastAsia="Century Gothic" w:cs="Century Gothic"/>
                <w:color w:val="000000"/>
                <w:sz w:val="18"/>
                <w:szCs w:val="18"/>
              </w:rPr>
              <w:t>32 (30.5%)</w:t>
            </w:r>
          </w:p>
        </w:tc>
        <w:tc>
          <w:tcPr>
            <w:tcW w:w="120" w:type="pct"/>
            <w:tcBorders>
              <w:top w:val="nil"/>
              <w:bottom w:val="nil"/>
            </w:tcBorders>
          </w:tcPr>
          <w:p w14:paraId="16CF853C" w14:textId="77777777" w:rsidR="00E27A9E" w:rsidRPr="001B1EFB" w:rsidRDefault="00E27A9E" w:rsidP="00E27A9E">
            <w:pPr>
              <w:spacing w:before="40" w:after="40"/>
              <w:ind w:left="100" w:right="100"/>
              <w:jc w:val="right"/>
            </w:pPr>
          </w:p>
        </w:tc>
        <w:tc>
          <w:tcPr>
            <w:tcW w:w="1859" w:type="pct"/>
          </w:tcPr>
          <w:p w14:paraId="3236FBFB" w14:textId="27DF41DB" w:rsidR="00E27A9E" w:rsidRPr="001B1EFB" w:rsidRDefault="00E27A9E" w:rsidP="00A60BCC">
            <w:pPr>
              <w:spacing w:before="40" w:after="40"/>
              <w:ind w:right="100"/>
            </w:pPr>
            <w:r>
              <w:rPr>
                <w:rFonts w:eastAsia="Century Gothic" w:cs="Century Gothic"/>
                <w:color w:val="000000"/>
                <w:sz w:val="18"/>
                <w:szCs w:val="18"/>
              </w:rPr>
              <w:t>Other (t</w:t>
            </w:r>
            <w:r w:rsidRPr="001B1EFB">
              <w:rPr>
                <w:rFonts w:eastAsia="Century Gothic" w:cs="Century Gothic"/>
                <w:color w:val="000000"/>
                <w:sz w:val="18"/>
                <w:szCs w:val="18"/>
              </w:rPr>
              <w:t>oo hard to get carers on board</w:t>
            </w:r>
            <w:r>
              <w:rPr>
                <w:rFonts w:eastAsia="Century Gothic" w:cs="Century Gothic"/>
                <w:color w:val="000000"/>
                <w:sz w:val="18"/>
                <w:szCs w:val="18"/>
              </w:rPr>
              <w:t>, language barrier)</w:t>
            </w:r>
          </w:p>
        </w:tc>
        <w:tc>
          <w:tcPr>
            <w:tcW w:w="581" w:type="pct"/>
          </w:tcPr>
          <w:p w14:paraId="026D93F8" w14:textId="3AEE41BB" w:rsidR="00E27A9E" w:rsidRPr="001B1EFB" w:rsidRDefault="00E27A9E" w:rsidP="00C47C05">
            <w:pPr>
              <w:spacing w:before="40" w:after="40"/>
              <w:ind w:left="100"/>
              <w:jc w:val="right"/>
            </w:pPr>
            <w:r>
              <w:rPr>
                <w:rFonts w:eastAsia="Century Gothic" w:cs="Century Gothic"/>
                <w:color w:val="000000"/>
                <w:sz w:val="18"/>
                <w:szCs w:val="18"/>
              </w:rPr>
              <w:t>3</w:t>
            </w:r>
            <w:r w:rsidRPr="001B1EFB">
              <w:rPr>
                <w:rFonts w:eastAsia="Century Gothic" w:cs="Century Gothic"/>
                <w:color w:val="000000"/>
                <w:sz w:val="18"/>
                <w:szCs w:val="18"/>
              </w:rPr>
              <w:t xml:space="preserve"> (</w:t>
            </w:r>
            <w:r>
              <w:rPr>
                <w:rFonts w:eastAsia="Century Gothic" w:cs="Century Gothic"/>
                <w:color w:val="000000"/>
                <w:sz w:val="18"/>
                <w:szCs w:val="18"/>
              </w:rPr>
              <w:t>3</w:t>
            </w:r>
            <w:r w:rsidRPr="001B1EFB">
              <w:rPr>
                <w:rFonts w:eastAsia="Century Gothic" w:cs="Century Gothic"/>
                <w:color w:val="000000"/>
                <w:sz w:val="18"/>
                <w:szCs w:val="18"/>
              </w:rPr>
              <w:t>.0%)</w:t>
            </w:r>
          </w:p>
        </w:tc>
      </w:tr>
      <w:tr w:rsidR="00E27A9E" w:rsidRPr="001B1EFB" w14:paraId="254B21B7" w14:textId="77777777" w:rsidTr="00E27353">
        <w:trPr>
          <w:trHeight w:val="442"/>
          <w:jc w:val="center"/>
        </w:trPr>
        <w:tc>
          <w:tcPr>
            <w:tcW w:w="1746" w:type="pct"/>
          </w:tcPr>
          <w:p w14:paraId="5DAEA5F0" w14:textId="01E43FFF" w:rsidR="00E27A9E" w:rsidRPr="001B1EFB" w:rsidRDefault="00E27A9E" w:rsidP="00A60BCC">
            <w:pPr>
              <w:spacing w:before="40" w:after="40"/>
              <w:ind w:right="100"/>
            </w:pPr>
            <w:r w:rsidRPr="001B1EFB">
              <w:rPr>
                <w:rFonts w:eastAsia="Century Gothic" w:cs="Century Gothic"/>
                <w:color w:val="000000"/>
                <w:sz w:val="18"/>
                <w:szCs w:val="18"/>
              </w:rPr>
              <w:t>Patient didn't want to be in a (government) trial</w:t>
            </w:r>
          </w:p>
        </w:tc>
        <w:tc>
          <w:tcPr>
            <w:tcW w:w="694" w:type="pct"/>
          </w:tcPr>
          <w:p w14:paraId="1020BFDB" w14:textId="2C77BEF4" w:rsidR="00E27A9E" w:rsidRPr="001B1EFB" w:rsidRDefault="00E27A9E" w:rsidP="00C47C05">
            <w:pPr>
              <w:spacing w:before="40" w:after="40"/>
              <w:ind w:left="100"/>
              <w:jc w:val="right"/>
            </w:pPr>
            <w:r w:rsidRPr="001B1EFB">
              <w:rPr>
                <w:rFonts w:eastAsia="Century Gothic" w:cs="Century Gothic"/>
                <w:color w:val="000000"/>
                <w:sz w:val="18"/>
                <w:szCs w:val="18"/>
              </w:rPr>
              <w:t>11 (10.5%)</w:t>
            </w:r>
          </w:p>
        </w:tc>
        <w:tc>
          <w:tcPr>
            <w:tcW w:w="120" w:type="pct"/>
            <w:tcBorders>
              <w:top w:val="nil"/>
              <w:bottom w:val="nil"/>
            </w:tcBorders>
          </w:tcPr>
          <w:p w14:paraId="536CFBF7" w14:textId="77777777" w:rsidR="00E27A9E" w:rsidRPr="001B1EFB" w:rsidRDefault="00E27A9E" w:rsidP="00E27A9E">
            <w:pPr>
              <w:spacing w:before="40" w:after="40"/>
              <w:ind w:left="100" w:right="100"/>
              <w:jc w:val="right"/>
            </w:pPr>
          </w:p>
        </w:tc>
        <w:tc>
          <w:tcPr>
            <w:tcW w:w="1859" w:type="pct"/>
          </w:tcPr>
          <w:p w14:paraId="170B108B" w14:textId="6D83DECA" w:rsidR="00E27A9E" w:rsidRPr="001B1EFB" w:rsidRDefault="00E27A9E" w:rsidP="00E27A9E">
            <w:pPr>
              <w:spacing w:before="40" w:after="40"/>
              <w:ind w:left="100" w:right="100"/>
            </w:pPr>
          </w:p>
        </w:tc>
        <w:tc>
          <w:tcPr>
            <w:tcW w:w="581" w:type="pct"/>
          </w:tcPr>
          <w:p w14:paraId="1E8667DC" w14:textId="193A52B6" w:rsidR="00E27A9E" w:rsidRPr="001B1EFB" w:rsidRDefault="00E27A9E" w:rsidP="00E27A9E">
            <w:pPr>
              <w:spacing w:before="40" w:after="40"/>
              <w:ind w:left="100" w:right="100"/>
              <w:jc w:val="right"/>
            </w:pPr>
          </w:p>
        </w:tc>
      </w:tr>
    </w:tbl>
    <w:p w14:paraId="360CF92F" w14:textId="6D64B980" w:rsidR="00F03CC0" w:rsidRPr="00046862" w:rsidRDefault="00F03CC0" w:rsidP="00046862">
      <w:pPr>
        <w:pStyle w:val="Chartortablefootnote"/>
      </w:pPr>
      <w:r w:rsidRPr="00046862">
        <w:t>Source: Practice survey R2, Nov 2018</w:t>
      </w:r>
      <w:r w:rsidR="00E360ED">
        <w:t>–</w:t>
      </w:r>
      <w:r w:rsidRPr="00046862">
        <w:t>Mar 2019, question 12.</w:t>
      </w:r>
    </w:p>
    <w:p w14:paraId="45BC2418" w14:textId="77777777" w:rsidR="000977B2" w:rsidRDefault="00F03CC0" w:rsidP="004868E3">
      <w:pPr>
        <w:rPr>
          <w:szCs w:val="20"/>
        </w:rPr>
      </w:pPr>
      <w:r w:rsidRPr="001B1EFB">
        <w:rPr>
          <w:szCs w:val="20"/>
        </w:rPr>
        <w:t xml:space="preserve">The top reason </w:t>
      </w:r>
      <w:r w:rsidR="009969A3">
        <w:rPr>
          <w:szCs w:val="20"/>
        </w:rPr>
        <w:t>that</w:t>
      </w:r>
      <w:r w:rsidRPr="001B1EFB">
        <w:rPr>
          <w:szCs w:val="20"/>
        </w:rPr>
        <w:t xml:space="preserve"> patients decided against enrolling in HCH was </w:t>
      </w:r>
      <w:r w:rsidR="00963583">
        <w:rPr>
          <w:szCs w:val="20"/>
        </w:rPr>
        <w:t xml:space="preserve">concern with </w:t>
      </w:r>
      <w:r w:rsidRPr="001B1EFB">
        <w:rPr>
          <w:szCs w:val="20"/>
        </w:rPr>
        <w:t xml:space="preserve">privacy and security </w:t>
      </w:r>
      <w:r w:rsidR="00D878F1">
        <w:rPr>
          <w:szCs w:val="20"/>
        </w:rPr>
        <w:t xml:space="preserve">resulting from </w:t>
      </w:r>
      <w:r w:rsidR="00963583">
        <w:rPr>
          <w:szCs w:val="20"/>
        </w:rPr>
        <w:t>having to opt into</w:t>
      </w:r>
      <w:r w:rsidRPr="001B1EFB">
        <w:rPr>
          <w:szCs w:val="20"/>
        </w:rPr>
        <w:t xml:space="preserve"> My Health Record. </w:t>
      </w:r>
      <w:r w:rsidR="00527DEA">
        <w:rPr>
          <w:szCs w:val="20"/>
        </w:rPr>
        <w:t>Initially</w:t>
      </w:r>
      <w:r w:rsidR="00C44B78">
        <w:rPr>
          <w:szCs w:val="20"/>
        </w:rPr>
        <w:t xml:space="preserve">, </w:t>
      </w:r>
      <w:r w:rsidR="00963583">
        <w:rPr>
          <w:szCs w:val="20"/>
        </w:rPr>
        <w:t>opting into</w:t>
      </w:r>
      <w:r w:rsidR="00C44B78">
        <w:rPr>
          <w:szCs w:val="20"/>
        </w:rPr>
        <w:t xml:space="preserve"> My Health Record </w:t>
      </w:r>
      <w:r w:rsidR="00963583">
        <w:rPr>
          <w:szCs w:val="20"/>
        </w:rPr>
        <w:t xml:space="preserve">was a requirement to </w:t>
      </w:r>
      <w:r w:rsidR="00527DEA">
        <w:rPr>
          <w:szCs w:val="20"/>
        </w:rPr>
        <w:t>enrol in HCH</w:t>
      </w:r>
      <w:r w:rsidR="00963583">
        <w:rPr>
          <w:szCs w:val="20"/>
        </w:rPr>
        <w:t xml:space="preserve"> but</w:t>
      </w:r>
      <w:r w:rsidR="00C44B78">
        <w:rPr>
          <w:szCs w:val="20"/>
        </w:rPr>
        <w:t xml:space="preserve"> was later removed.</w:t>
      </w:r>
      <w:r w:rsidR="00963583">
        <w:rPr>
          <w:szCs w:val="20"/>
        </w:rPr>
        <w:t xml:space="preserve"> O</w:t>
      </w:r>
      <w:r w:rsidRPr="001B1EFB">
        <w:rPr>
          <w:szCs w:val="20"/>
        </w:rPr>
        <w:t xml:space="preserve">ther reasons that patients decided not to enrol were personal preference, </w:t>
      </w:r>
      <w:r w:rsidR="00200E79">
        <w:rPr>
          <w:szCs w:val="20"/>
        </w:rPr>
        <w:t>not</w:t>
      </w:r>
      <w:r w:rsidRPr="001B1EFB">
        <w:rPr>
          <w:szCs w:val="20"/>
        </w:rPr>
        <w:t xml:space="preserve"> understand</w:t>
      </w:r>
      <w:r w:rsidR="00200E79">
        <w:rPr>
          <w:szCs w:val="20"/>
        </w:rPr>
        <w:t>ing</w:t>
      </w:r>
      <w:r w:rsidRPr="001B1EFB">
        <w:rPr>
          <w:szCs w:val="20"/>
        </w:rPr>
        <w:t xml:space="preserve"> the </w:t>
      </w:r>
      <w:r>
        <w:rPr>
          <w:szCs w:val="20"/>
        </w:rPr>
        <w:t>p</w:t>
      </w:r>
      <w:r w:rsidRPr="001B1EFB">
        <w:rPr>
          <w:szCs w:val="20"/>
        </w:rPr>
        <w:t>rogram advantages or they felt it was not necessary for their care</w:t>
      </w:r>
      <w:r w:rsidR="000977B2">
        <w:rPr>
          <w:szCs w:val="20"/>
        </w:rPr>
        <w:t>:</w:t>
      </w:r>
    </w:p>
    <w:p w14:paraId="5D8F12C5" w14:textId="46615E80" w:rsidR="000977B2" w:rsidRDefault="00F03CC0" w:rsidP="000977B2">
      <w:pPr>
        <w:ind w:left="567" w:right="521"/>
        <w:rPr>
          <w:szCs w:val="20"/>
        </w:rPr>
      </w:pPr>
      <w:r w:rsidRPr="009B2098">
        <w:rPr>
          <w:i/>
          <w:iCs/>
          <w:szCs w:val="20"/>
        </w:rPr>
        <w:t xml:space="preserve">“It was actually quite hard to enrol patients. A lot of patients just felt like, well what am I getting out of this?” </w:t>
      </w:r>
      <w:r>
        <w:rPr>
          <w:szCs w:val="20"/>
        </w:rPr>
        <w:t>[GP2, Practice 1, R5]</w:t>
      </w:r>
      <w:r w:rsidRPr="001B1EFB">
        <w:rPr>
          <w:szCs w:val="20"/>
        </w:rPr>
        <w:t xml:space="preserve">. </w:t>
      </w:r>
    </w:p>
    <w:p w14:paraId="2D74B824" w14:textId="13AB4E5F" w:rsidR="00F03CC0" w:rsidRDefault="00F03CC0" w:rsidP="00892124">
      <w:pPr>
        <w:rPr>
          <w:szCs w:val="20"/>
        </w:rPr>
      </w:pPr>
      <w:r w:rsidRPr="001B1EFB">
        <w:rPr>
          <w:szCs w:val="20"/>
        </w:rPr>
        <w:t xml:space="preserve">In some instances, there was an expectation that a patient would </w:t>
      </w:r>
      <w:r w:rsidR="00892124">
        <w:rPr>
          <w:szCs w:val="20"/>
        </w:rPr>
        <w:t xml:space="preserve">be solely looked after by their </w:t>
      </w:r>
      <w:r w:rsidR="0044056D">
        <w:rPr>
          <w:szCs w:val="20"/>
        </w:rPr>
        <w:t xml:space="preserve">GP </w:t>
      </w:r>
      <w:r w:rsidR="0017407C">
        <w:rPr>
          <w:szCs w:val="20"/>
        </w:rPr>
        <w:t xml:space="preserve">and </w:t>
      </w:r>
      <w:proofErr w:type="spellStart"/>
      <w:r w:rsidR="0017407C">
        <w:rPr>
          <w:szCs w:val="20"/>
        </w:rPr>
        <w:t>not</w:t>
      </w:r>
      <w:proofErr w:type="spellEnd"/>
      <w:r w:rsidR="0017407C">
        <w:rPr>
          <w:szCs w:val="20"/>
        </w:rPr>
        <w:t xml:space="preserve"> other members of the team</w:t>
      </w:r>
      <w:r w:rsidRPr="001B1EFB">
        <w:rPr>
          <w:szCs w:val="20"/>
        </w:rPr>
        <w:t>. This was particularly an issue for some cultural groups but was not isolated to these groups. It often took GPs to convince their patients that their relationship would not be hindered by the HCH model.</w:t>
      </w:r>
    </w:p>
    <w:p w14:paraId="71C9150B" w14:textId="1E9F5E1D" w:rsidR="00F03CC0" w:rsidRDefault="00F03CC0" w:rsidP="004868E3">
      <w:pPr>
        <w:rPr>
          <w:szCs w:val="20"/>
        </w:rPr>
      </w:pPr>
      <w:r>
        <w:rPr>
          <w:szCs w:val="20"/>
        </w:rPr>
        <w:t xml:space="preserve">One practice reflected that since COVID-19 and the broader rollout of telehealth, patients who were </w:t>
      </w:r>
      <w:r w:rsidR="00CB0255">
        <w:rPr>
          <w:szCs w:val="20"/>
        </w:rPr>
        <w:t xml:space="preserve">previously </w:t>
      </w:r>
      <w:r>
        <w:rPr>
          <w:szCs w:val="20"/>
        </w:rPr>
        <w:t xml:space="preserve">not interested in joining HCH because they only wanted to engage with practice staff face-to-face would probably agree to participate </w:t>
      </w:r>
      <w:r w:rsidR="00C41AC2">
        <w:rPr>
          <w:szCs w:val="20"/>
        </w:rPr>
        <w:t xml:space="preserve">following </w:t>
      </w:r>
      <w:r w:rsidR="009B31F3">
        <w:rPr>
          <w:szCs w:val="20"/>
        </w:rPr>
        <w:t xml:space="preserve">their experiences during the </w:t>
      </w:r>
      <w:r w:rsidR="0044056D">
        <w:rPr>
          <w:szCs w:val="20"/>
        </w:rPr>
        <w:t>pandemic</w:t>
      </w:r>
      <w:r w:rsidR="00C41AC2">
        <w:rPr>
          <w:szCs w:val="20"/>
        </w:rPr>
        <w:t xml:space="preserve"> </w:t>
      </w:r>
      <w:r w:rsidR="009B31F3">
        <w:rPr>
          <w:szCs w:val="20"/>
        </w:rPr>
        <w:t>where they became</w:t>
      </w:r>
      <w:r>
        <w:rPr>
          <w:szCs w:val="20"/>
        </w:rPr>
        <w:t xml:space="preserve"> familiar with and accepting of </w:t>
      </w:r>
      <w:r w:rsidR="00DB2EB4">
        <w:rPr>
          <w:szCs w:val="20"/>
        </w:rPr>
        <w:t xml:space="preserve">receiving care </w:t>
      </w:r>
      <w:r w:rsidR="004B656C">
        <w:rPr>
          <w:szCs w:val="20"/>
        </w:rPr>
        <w:t>virtually</w:t>
      </w:r>
      <w:r w:rsidR="00C41AC2">
        <w:rPr>
          <w:szCs w:val="20"/>
        </w:rPr>
        <w:t>:</w:t>
      </w:r>
    </w:p>
    <w:p w14:paraId="4A392A47" w14:textId="77777777" w:rsidR="00F03CC0" w:rsidRDefault="00F03CC0" w:rsidP="00046862">
      <w:pPr>
        <w:ind w:left="567" w:right="521"/>
        <w:rPr>
          <w:szCs w:val="20"/>
        </w:rPr>
      </w:pPr>
      <w:r w:rsidRPr="005D3746">
        <w:rPr>
          <w:i/>
          <w:iCs/>
          <w:szCs w:val="20"/>
        </w:rPr>
        <w:t>“It’s just if we were to ask them who’s interested in enrolling, I have a feeling that we’d have a lot more take-up, considering so many people now are used to the change in consults, phone consults, change like that. I think because this wasn’t a thing before COVID, whereas, now it is.”</w:t>
      </w:r>
      <w:r>
        <w:rPr>
          <w:szCs w:val="20"/>
        </w:rPr>
        <w:t xml:space="preserve"> [Senior Receptionist, Practice 9, R5]</w:t>
      </w:r>
    </w:p>
    <w:p w14:paraId="6E9F39D5" w14:textId="77777777" w:rsidR="00145B14" w:rsidRDefault="00145B14" w:rsidP="00145B14">
      <w:pPr>
        <w:pStyle w:val="Heading3"/>
      </w:pPr>
      <w:r w:rsidRPr="00145B14">
        <w:t>Did practices feel they selected the right patients?</w:t>
      </w:r>
    </w:p>
    <w:p w14:paraId="6D7A9305" w14:textId="1D39DD42" w:rsidR="00145B14" w:rsidRDefault="00145B14" w:rsidP="00145B14">
      <w:pPr>
        <w:spacing w:line="259" w:lineRule="auto"/>
        <w:rPr>
          <w:szCs w:val="20"/>
        </w:rPr>
      </w:pPr>
      <w:r>
        <w:rPr>
          <w:szCs w:val="20"/>
        </w:rPr>
        <w:t>When asked if they chose the right patients for HCH,</w:t>
      </w:r>
      <w:r w:rsidRPr="002F43B7">
        <w:rPr>
          <w:szCs w:val="20"/>
        </w:rPr>
        <w:t xml:space="preserve"> </w:t>
      </w:r>
      <w:r>
        <w:rPr>
          <w:szCs w:val="20"/>
        </w:rPr>
        <w:t xml:space="preserve">many practices felt the patient cohort selected was largely appropriate for the </w:t>
      </w:r>
      <w:r w:rsidR="00601130">
        <w:rPr>
          <w:szCs w:val="20"/>
        </w:rPr>
        <w:t>model</w:t>
      </w:r>
      <w:r>
        <w:rPr>
          <w:szCs w:val="20"/>
        </w:rPr>
        <w:t xml:space="preserve">. The </w:t>
      </w:r>
      <w:r w:rsidR="000155A5">
        <w:rPr>
          <w:szCs w:val="20"/>
        </w:rPr>
        <w:t xml:space="preserve">range </w:t>
      </w:r>
      <w:r>
        <w:rPr>
          <w:szCs w:val="20"/>
        </w:rPr>
        <w:t xml:space="preserve">of approaches </w:t>
      </w:r>
      <w:r w:rsidR="00BB7F63">
        <w:rPr>
          <w:szCs w:val="20"/>
        </w:rPr>
        <w:t xml:space="preserve">taken by </w:t>
      </w:r>
      <w:r>
        <w:rPr>
          <w:szCs w:val="20"/>
        </w:rPr>
        <w:t>practices to select patients for the program appeared to influence their responses to th</w:t>
      </w:r>
      <w:r w:rsidR="00C171E1">
        <w:rPr>
          <w:szCs w:val="20"/>
        </w:rPr>
        <w:t>is</w:t>
      </w:r>
      <w:r>
        <w:rPr>
          <w:szCs w:val="20"/>
        </w:rPr>
        <w:t xml:space="preserve"> question. Some practices stated they carefully selected their patients after considering a variety of factors while others specifically selected individuals with complex, high needs or targeted patients with certain conditions or from a particular demographic:</w:t>
      </w:r>
    </w:p>
    <w:p w14:paraId="12670B99" w14:textId="0CE085D6" w:rsidR="00145B14" w:rsidRDefault="00145B14" w:rsidP="00145B14">
      <w:pPr>
        <w:ind w:left="567" w:right="521"/>
        <w:rPr>
          <w:szCs w:val="20"/>
        </w:rPr>
      </w:pPr>
      <w:r w:rsidRPr="00216707">
        <w:rPr>
          <w:i/>
          <w:iCs/>
          <w:szCs w:val="20"/>
        </w:rPr>
        <w:lastRenderedPageBreak/>
        <w:t xml:space="preserve"> “Yes, because a lot of ours were the elderly patients. The doctors chose them and maybe because they were elderly, and they needed more emotional support with keeping them in the home…We've helped them with their appointments and some of their medical problems, appointments, transport and things.</w:t>
      </w:r>
      <w:r w:rsidR="00A561EE">
        <w:rPr>
          <w:i/>
          <w:iCs/>
          <w:szCs w:val="20"/>
        </w:rPr>
        <w:t xml:space="preserve"> </w:t>
      </w:r>
      <w:r w:rsidRPr="00216707">
        <w:rPr>
          <w:i/>
          <w:iCs/>
          <w:szCs w:val="20"/>
        </w:rPr>
        <w:t>I think they probably thought the younger ones didn't need the extra help.</w:t>
      </w:r>
      <w:r w:rsidRPr="00216707">
        <w:rPr>
          <w:szCs w:val="20"/>
        </w:rPr>
        <w:t>” [Nurse, Practice 4, R5]</w:t>
      </w:r>
    </w:p>
    <w:p w14:paraId="1634ABE6" w14:textId="77777777" w:rsidR="00145B14" w:rsidRDefault="00145B14" w:rsidP="00145B14">
      <w:pPr>
        <w:ind w:left="567" w:right="521"/>
        <w:rPr>
          <w:szCs w:val="20"/>
        </w:rPr>
      </w:pPr>
      <w:r w:rsidRPr="00D32E3B">
        <w:rPr>
          <w:i/>
          <w:iCs/>
          <w:szCs w:val="20"/>
        </w:rPr>
        <w:t>“Yes, I think so. I think the patients that have been selected, I think we’ve got a better understanding now about who should be involved and who shouldn’t. And I really do think the GP has to be the key as to whether that patient, whether they think they’re…in the right headspace to be taking ownership a little bit, and getting involved in their own health care, and their own outcomes.”</w:t>
      </w:r>
      <w:r w:rsidRPr="00432B60">
        <w:rPr>
          <w:szCs w:val="20"/>
        </w:rPr>
        <w:t xml:space="preserve"> </w:t>
      </w:r>
      <w:r>
        <w:rPr>
          <w:szCs w:val="20"/>
        </w:rPr>
        <w:t xml:space="preserve">[Practice Manager, </w:t>
      </w:r>
      <w:r w:rsidRPr="00432B60">
        <w:rPr>
          <w:szCs w:val="20"/>
        </w:rPr>
        <w:t>Practice 10</w:t>
      </w:r>
      <w:r>
        <w:rPr>
          <w:szCs w:val="20"/>
        </w:rPr>
        <w:t>,</w:t>
      </w:r>
      <w:r w:rsidRPr="00432B60">
        <w:rPr>
          <w:szCs w:val="20"/>
        </w:rPr>
        <w:t xml:space="preserve"> R5</w:t>
      </w:r>
      <w:r>
        <w:rPr>
          <w:szCs w:val="20"/>
        </w:rPr>
        <w:t>]</w:t>
      </w:r>
    </w:p>
    <w:p w14:paraId="64F7A660" w14:textId="31CCD9AC" w:rsidR="00145B14" w:rsidRDefault="00145B14" w:rsidP="00145B14">
      <w:pPr>
        <w:spacing w:line="259" w:lineRule="auto"/>
        <w:rPr>
          <w:szCs w:val="20"/>
        </w:rPr>
      </w:pPr>
      <w:r>
        <w:rPr>
          <w:szCs w:val="20"/>
        </w:rPr>
        <w:t>In instances where practices did not feel they selected the right patients, this was because the patients enrolled only wanted to see their GP</w:t>
      </w:r>
      <w:r w:rsidR="001D35D0">
        <w:rPr>
          <w:szCs w:val="20"/>
        </w:rPr>
        <w:t xml:space="preserve">. Practices </w:t>
      </w:r>
      <w:r>
        <w:rPr>
          <w:szCs w:val="20"/>
        </w:rPr>
        <w:t>also felt that very complex patients and low complexity patients were not suitable. Very complex patients became financially not viable to continue. For low complexity patients they questioned the benefits of the model:</w:t>
      </w:r>
    </w:p>
    <w:p w14:paraId="0BB69402" w14:textId="77777777" w:rsidR="00145B14" w:rsidRDefault="00145B14" w:rsidP="00145B14">
      <w:pPr>
        <w:ind w:left="567" w:right="521"/>
        <w:rPr>
          <w:szCs w:val="20"/>
        </w:rPr>
      </w:pPr>
      <w:r w:rsidRPr="00CA68EC">
        <w:rPr>
          <w:i/>
          <w:iCs/>
          <w:szCs w:val="20"/>
        </w:rPr>
        <w:t>“…they were on the low risk but just across the line, what additional support could I give them that I wasn't already giving them under the normal funding arrangement?”</w:t>
      </w:r>
      <w:r>
        <w:rPr>
          <w:szCs w:val="20"/>
        </w:rPr>
        <w:t xml:space="preserve"> [GP, Practice 15, R5]</w:t>
      </w:r>
    </w:p>
    <w:p w14:paraId="0E17B333" w14:textId="49691EAC" w:rsidR="00F03CC0" w:rsidRPr="001B1EFB" w:rsidRDefault="00F03CC0" w:rsidP="00F03CC0">
      <w:pPr>
        <w:pStyle w:val="Heading3"/>
      </w:pPr>
      <w:r w:rsidRPr="00DB2EB4">
        <w:t>Other enrolment processes</w:t>
      </w:r>
    </w:p>
    <w:p w14:paraId="3E4250FE" w14:textId="704BAED7" w:rsidR="00F03CC0" w:rsidRDefault="00F03CC0" w:rsidP="004868E3">
      <w:pPr>
        <w:rPr>
          <w:szCs w:val="20"/>
        </w:rPr>
      </w:pPr>
      <w:r w:rsidRPr="001B1EFB">
        <w:rPr>
          <w:szCs w:val="20"/>
        </w:rPr>
        <w:t>Beyond the HARP assessment and the assignment of patients to tiers</w:t>
      </w:r>
      <w:r w:rsidR="0009099E">
        <w:rPr>
          <w:szCs w:val="20"/>
        </w:rPr>
        <w:t>, whi</w:t>
      </w:r>
      <w:r w:rsidRPr="001B1EFB">
        <w:rPr>
          <w:szCs w:val="20"/>
        </w:rPr>
        <w:t xml:space="preserve">ch is discussed in </w:t>
      </w:r>
      <w:r w:rsidRPr="0002675D">
        <w:rPr>
          <w:szCs w:val="20"/>
        </w:rPr>
        <w:t xml:space="preserve">Chapter </w:t>
      </w:r>
      <w:r w:rsidR="004C315B">
        <w:rPr>
          <w:szCs w:val="20"/>
        </w:rPr>
        <w:t>6</w:t>
      </w:r>
      <w:r w:rsidRPr="0002675D">
        <w:rPr>
          <w:szCs w:val="20"/>
        </w:rPr>
        <w:t xml:space="preserve"> </w:t>
      </w:r>
      <w:r w:rsidR="00B63C58">
        <w:rPr>
          <w:szCs w:val="20"/>
        </w:rPr>
        <w:t xml:space="preserve">Risk stratification </w:t>
      </w:r>
      <w:r w:rsidRPr="0002675D">
        <w:rPr>
          <w:szCs w:val="20"/>
        </w:rPr>
        <w:t>(</w:t>
      </w:r>
      <w:r w:rsidR="00B63C58">
        <w:rPr>
          <w:szCs w:val="20"/>
        </w:rPr>
        <w:t xml:space="preserve">p. </w:t>
      </w:r>
      <w:r w:rsidR="00B63C58">
        <w:rPr>
          <w:szCs w:val="20"/>
        </w:rPr>
        <w:fldChar w:fldCharType="begin"/>
      </w:r>
      <w:r w:rsidR="00B63C58">
        <w:rPr>
          <w:szCs w:val="20"/>
        </w:rPr>
        <w:instrText xml:space="preserve"> PAGEREF _Ref84157910 \h </w:instrText>
      </w:r>
      <w:r w:rsidR="00B63C58">
        <w:rPr>
          <w:szCs w:val="20"/>
        </w:rPr>
      </w:r>
      <w:r w:rsidR="00B63C58">
        <w:rPr>
          <w:szCs w:val="20"/>
        </w:rPr>
        <w:fldChar w:fldCharType="separate"/>
      </w:r>
      <w:r w:rsidR="003C4BC2">
        <w:rPr>
          <w:noProof/>
          <w:szCs w:val="20"/>
        </w:rPr>
        <w:t>39</w:t>
      </w:r>
      <w:r w:rsidR="00B63C58">
        <w:rPr>
          <w:szCs w:val="20"/>
        </w:rPr>
        <w:fldChar w:fldCharType="end"/>
      </w:r>
      <w:r w:rsidRPr="006E0738">
        <w:rPr>
          <w:szCs w:val="20"/>
        </w:rPr>
        <w:t>),</w:t>
      </w:r>
      <w:r w:rsidRPr="001B1EFB">
        <w:rPr>
          <w:szCs w:val="20"/>
        </w:rPr>
        <w:t xml:space="preserve"> the additional areas in which practices provided feedback </w:t>
      </w:r>
      <w:r w:rsidR="00C41AC2">
        <w:rPr>
          <w:szCs w:val="20"/>
        </w:rPr>
        <w:t>were</w:t>
      </w:r>
      <w:r w:rsidRPr="001B1EFB">
        <w:rPr>
          <w:szCs w:val="20"/>
        </w:rPr>
        <w:t xml:space="preserve"> administrative processes, particularly registering patients (Step 6). </w:t>
      </w:r>
      <w:r w:rsidR="00893EFB">
        <w:rPr>
          <w:szCs w:val="20"/>
        </w:rPr>
        <w:t>About t</w:t>
      </w:r>
      <w:r w:rsidR="00066FB3">
        <w:rPr>
          <w:szCs w:val="20"/>
        </w:rPr>
        <w:t>wo</w:t>
      </w:r>
      <w:r w:rsidR="001D0F94">
        <w:rPr>
          <w:szCs w:val="20"/>
        </w:rPr>
        <w:t xml:space="preserve"> </w:t>
      </w:r>
      <w:r w:rsidR="00066FB3">
        <w:rPr>
          <w:szCs w:val="20"/>
        </w:rPr>
        <w:t>thirds</w:t>
      </w:r>
      <w:r>
        <w:rPr>
          <w:szCs w:val="20"/>
        </w:rPr>
        <w:t xml:space="preserve"> </w:t>
      </w:r>
      <w:r w:rsidR="00893EFB">
        <w:rPr>
          <w:szCs w:val="20"/>
        </w:rPr>
        <w:t xml:space="preserve">of </w:t>
      </w:r>
      <w:r w:rsidRPr="001B1EFB">
        <w:rPr>
          <w:szCs w:val="20"/>
        </w:rPr>
        <w:t xml:space="preserve">practices </w:t>
      </w:r>
      <w:r>
        <w:rPr>
          <w:szCs w:val="20"/>
        </w:rPr>
        <w:t xml:space="preserve">felt </w:t>
      </w:r>
      <w:r w:rsidRPr="001B1EFB">
        <w:rPr>
          <w:szCs w:val="20"/>
        </w:rPr>
        <w:t xml:space="preserve">they </w:t>
      </w:r>
      <w:r w:rsidRPr="001B1EFB">
        <w:rPr>
          <w:i/>
          <w:szCs w:val="20"/>
        </w:rPr>
        <w:t>had some challenges</w:t>
      </w:r>
      <w:r w:rsidRPr="001B1EFB">
        <w:rPr>
          <w:szCs w:val="20"/>
        </w:rPr>
        <w:t xml:space="preserve"> [with these processes], </w:t>
      </w:r>
      <w:r w:rsidRPr="001B1EFB">
        <w:rPr>
          <w:i/>
          <w:szCs w:val="20"/>
        </w:rPr>
        <w:t>but overcame them</w:t>
      </w:r>
      <w:r w:rsidRPr="001B1EFB">
        <w:rPr>
          <w:szCs w:val="20"/>
        </w:rPr>
        <w:t xml:space="preserve">, and </w:t>
      </w:r>
      <w:r w:rsidR="006F5772">
        <w:rPr>
          <w:szCs w:val="20"/>
        </w:rPr>
        <w:t>one-</w:t>
      </w:r>
      <w:r w:rsidR="001C4BF1">
        <w:rPr>
          <w:szCs w:val="20"/>
        </w:rPr>
        <w:t>fifth</w:t>
      </w:r>
      <w:r w:rsidRPr="001B1EFB">
        <w:rPr>
          <w:szCs w:val="20"/>
        </w:rPr>
        <w:t xml:space="preserve"> reported that </w:t>
      </w:r>
      <w:r w:rsidRPr="001B1EFB">
        <w:rPr>
          <w:i/>
          <w:szCs w:val="20"/>
        </w:rPr>
        <w:t>the process was very smooth</w:t>
      </w:r>
      <w:r w:rsidR="00302D66">
        <w:rPr>
          <w:iCs/>
          <w:szCs w:val="20"/>
        </w:rPr>
        <w:t xml:space="preserve"> (</w:t>
      </w:r>
      <w:r w:rsidR="00302D66" w:rsidRPr="001018EB">
        <w:rPr>
          <w:b/>
          <w:bCs/>
          <w:iCs/>
          <w:szCs w:val="20"/>
        </w:rPr>
        <w:fldChar w:fldCharType="begin"/>
      </w:r>
      <w:r w:rsidR="00302D66" w:rsidRPr="001018EB">
        <w:rPr>
          <w:b/>
          <w:bCs/>
          <w:iCs/>
          <w:szCs w:val="20"/>
        </w:rPr>
        <w:instrText xml:space="preserve"> REF _Ref94695010 \h  \* MERGEFORMAT </w:instrText>
      </w:r>
      <w:r w:rsidR="00302D66" w:rsidRPr="001018EB">
        <w:rPr>
          <w:b/>
          <w:bCs/>
          <w:iCs/>
          <w:szCs w:val="20"/>
        </w:rPr>
      </w:r>
      <w:r w:rsidR="00302D66" w:rsidRPr="001018EB">
        <w:rPr>
          <w:b/>
          <w:bCs/>
          <w:iCs/>
          <w:szCs w:val="20"/>
        </w:rPr>
        <w:fldChar w:fldCharType="separate"/>
      </w:r>
      <w:r w:rsidR="003C4BC2" w:rsidRPr="003C4BC2">
        <w:rPr>
          <w:rStyle w:val="Strong1"/>
          <w:b w:val="0"/>
          <w:bCs/>
          <w:color w:val="1D2455"/>
          <w:sz w:val="20"/>
        </w:rPr>
        <w:t xml:space="preserve">Table </w:t>
      </w:r>
      <w:r w:rsidR="003C4BC2" w:rsidRPr="003C4BC2">
        <w:rPr>
          <w:rStyle w:val="Strong1"/>
          <w:b w:val="0"/>
          <w:bCs/>
          <w:noProof/>
          <w:color w:val="1D2455"/>
          <w:sz w:val="20"/>
        </w:rPr>
        <w:t>17</w:t>
      </w:r>
      <w:r w:rsidR="00302D66" w:rsidRPr="001018EB">
        <w:rPr>
          <w:b/>
          <w:bCs/>
          <w:iCs/>
          <w:szCs w:val="20"/>
        </w:rPr>
        <w:fldChar w:fldCharType="end"/>
      </w:r>
      <w:r w:rsidR="00302D66">
        <w:rPr>
          <w:iCs/>
          <w:szCs w:val="20"/>
        </w:rPr>
        <w:t>)</w:t>
      </w:r>
      <w:r w:rsidRPr="001B1EFB">
        <w:rPr>
          <w:szCs w:val="20"/>
        </w:rPr>
        <w:t xml:space="preserve">. </w:t>
      </w:r>
      <w:r w:rsidR="00773F2F">
        <w:rPr>
          <w:szCs w:val="20"/>
        </w:rPr>
        <w:t>A smaller proportion</w:t>
      </w:r>
      <w:r w:rsidRPr="001B1EFB">
        <w:rPr>
          <w:szCs w:val="20"/>
        </w:rPr>
        <w:t xml:space="preserve"> reported </w:t>
      </w:r>
      <w:r w:rsidRPr="001B1EFB">
        <w:rPr>
          <w:i/>
          <w:szCs w:val="20"/>
        </w:rPr>
        <w:t>ongoing difficulties</w:t>
      </w:r>
      <w:r w:rsidR="00C9342B">
        <w:rPr>
          <w:szCs w:val="20"/>
        </w:rPr>
        <w:t>.</w:t>
      </w:r>
    </w:p>
    <w:p w14:paraId="2C6060CA" w14:textId="17D68660" w:rsidR="005010F3" w:rsidRPr="00F840BF" w:rsidRDefault="005010F3" w:rsidP="006D05A6">
      <w:pPr>
        <w:pStyle w:val="TableFigureheading"/>
        <w:rPr>
          <w:rStyle w:val="Strong1"/>
          <w:b w:val="0"/>
          <w:color w:val="1D2455"/>
          <w:sz w:val="20"/>
        </w:rPr>
      </w:pPr>
      <w:bookmarkStart w:id="137" w:name="_Ref94695010"/>
      <w:r w:rsidRPr="00F840BF">
        <w:rPr>
          <w:rStyle w:val="Strong1"/>
          <w:b w:val="0"/>
          <w:color w:val="1D2455"/>
          <w:sz w:val="20"/>
        </w:rPr>
        <w:t xml:space="preserve">Table </w:t>
      </w:r>
      <w:r w:rsidRPr="00F840BF">
        <w:rPr>
          <w:rStyle w:val="Strong1"/>
          <w:b w:val="0"/>
          <w:color w:val="1D2455"/>
          <w:sz w:val="20"/>
        </w:rPr>
        <w:fldChar w:fldCharType="begin"/>
      </w:r>
      <w:r w:rsidRPr="00F840BF">
        <w:rPr>
          <w:rStyle w:val="Strong1"/>
          <w:b w:val="0"/>
          <w:color w:val="1D2455"/>
          <w:sz w:val="20"/>
        </w:rPr>
        <w:instrText xml:space="preserve"> SEQ Table \* ARABIC </w:instrText>
      </w:r>
      <w:r w:rsidRPr="00F840BF">
        <w:rPr>
          <w:rStyle w:val="Strong1"/>
          <w:b w:val="0"/>
          <w:color w:val="1D2455"/>
          <w:sz w:val="20"/>
        </w:rPr>
        <w:fldChar w:fldCharType="separate"/>
      </w:r>
      <w:r w:rsidR="003C4BC2">
        <w:rPr>
          <w:rStyle w:val="Strong1"/>
          <w:b w:val="0"/>
          <w:noProof/>
          <w:color w:val="1D2455"/>
          <w:sz w:val="20"/>
        </w:rPr>
        <w:t>17</w:t>
      </w:r>
      <w:r w:rsidRPr="00F840BF">
        <w:rPr>
          <w:rStyle w:val="Strong1"/>
          <w:b w:val="0"/>
          <w:color w:val="1D2455"/>
          <w:sz w:val="20"/>
        </w:rPr>
        <w:fldChar w:fldCharType="end"/>
      </w:r>
      <w:bookmarkEnd w:id="137"/>
      <w:r w:rsidRPr="00F840BF">
        <w:rPr>
          <w:rStyle w:val="Strong1"/>
          <w:b w:val="0"/>
          <w:color w:val="1D2455"/>
          <w:sz w:val="20"/>
        </w:rPr>
        <w:t>: Practice</w:t>
      </w:r>
      <w:r w:rsidR="001F1308">
        <w:rPr>
          <w:rStyle w:val="Strong1"/>
          <w:b w:val="0"/>
          <w:color w:val="1D2455"/>
          <w:sz w:val="20"/>
        </w:rPr>
        <w:t>s’</w:t>
      </w:r>
      <w:r w:rsidRPr="00F840BF">
        <w:rPr>
          <w:rStyle w:val="Strong1"/>
          <w:b w:val="0"/>
          <w:color w:val="1D2455"/>
          <w:sz w:val="20"/>
        </w:rPr>
        <w:t xml:space="preserve"> rating of </w:t>
      </w:r>
      <w:r w:rsidR="004A11BC" w:rsidRPr="00F840BF">
        <w:rPr>
          <w:rStyle w:val="Strong1"/>
          <w:b w:val="0"/>
          <w:color w:val="1D2455"/>
          <w:sz w:val="20"/>
        </w:rPr>
        <w:t>administrative processes for enrolling patients in HCH</w:t>
      </w:r>
    </w:p>
    <w:tbl>
      <w:tblPr>
        <w:tblW w:w="3970"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949"/>
        <w:gridCol w:w="1105"/>
        <w:gridCol w:w="1105"/>
      </w:tblGrid>
      <w:tr w:rsidR="005010F3" w:rsidRPr="006B656C" w14:paraId="696C47D3" w14:textId="77777777" w:rsidTr="00E27353">
        <w:trPr>
          <w:trHeight w:val="290"/>
          <w:jc w:val="center"/>
        </w:trPr>
        <w:tc>
          <w:tcPr>
            <w:tcW w:w="3456" w:type="pct"/>
            <w:shd w:val="clear" w:color="auto" w:fill="408BCA"/>
          </w:tcPr>
          <w:p w14:paraId="086DEA8C" w14:textId="77777777" w:rsidR="005010F3" w:rsidRPr="00F840BF" w:rsidRDefault="005010F3" w:rsidP="0032660B">
            <w:pPr>
              <w:autoSpaceDE w:val="0"/>
              <w:autoSpaceDN w:val="0"/>
              <w:adjustRightInd w:val="0"/>
              <w:spacing w:after="0"/>
              <w:rPr>
                <w:rFonts w:cs="Calibri"/>
                <w:b/>
                <w:bCs/>
                <w:color w:val="FFFFFF" w:themeColor="background1"/>
                <w:sz w:val="18"/>
                <w:szCs w:val="18"/>
              </w:rPr>
            </w:pPr>
            <w:r w:rsidRPr="00F840BF">
              <w:rPr>
                <w:rFonts w:cs="Calibri"/>
                <w:b/>
                <w:bCs/>
                <w:color w:val="FFFFFF" w:themeColor="background1"/>
                <w:sz w:val="18"/>
                <w:szCs w:val="18"/>
              </w:rPr>
              <w:t>Response</w:t>
            </w:r>
          </w:p>
        </w:tc>
        <w:tc>
          <w:tcPr>
            <w:tcW w:w="772" w:type="pct"/>
            <w:shd w:val="clear" w:color="auto" w:fill="408BCA"/>
          </w:tcPr>
          <w:p w14:paraId="7BCBA312" w14:textId="77777777" w:rsidR="005010F3" w:rsidRPr="00F840BF" w:rsidRDefault="005010F3" w:rsidP="0032660B">
            <w:pPr>
              <w:autoSpaceDE w:val="0"/>
              <w:autoSpaceDN w:val="0"/>
              <w:adjustRightInd w:val="0"/>
              <w:spacing w:after="0"/>
              <w:jc w:val="center"/>
              <w:rPr>
                <w:rFonts w:cs="Calibri"/>
                <w:b/>
                <w:bCs/>
                <w:color w:val="FFFFFF" w:themeColor="background1"/>
                <w:sz w:val="18"/>
                <w:szCs w:val="18"/>
              </w:rPr>
            </w:pPr>
            <w:r w:rsidRPr="00F840BF">
              <w:rPr>
                <w:rFonts w:cs="Calibri"/>
                <w:b/>
                <w:bCs/>
                <w:color w:val="FFFFFF" w:themeColor="background1"/>
                <w:sz w:val="18"/>
                <w:szCs w:val="18"/>
              </w:rPr>
              <w:t>n</w:t>
            </w:r>
          </w:p>
        </w:tc>
        <w:tc>
          <w:tcPr>
            <w:tcW w:w="772" w:type="pct"/>
            <w:shd w:val="clear" w:color="auto" w:fill="408BCA"/>
          </w:tcPr>
          <w:p w14:paraId="4E3BDBCE" w14:textId="77777777" w:rsidR="005010F3" w:rsidRPr="006B656C" w:rsidRDefault="005010F3" w:rsidP="0032660B">
            <w:pPr>
              <w:autoSpaceDE w:val="0"/>
              <w:autoSpaceDN w:val="0"/>
              <w:adjustRightInd w:val="0"/>
              <w:spacing w:after="0"/>
              <w:jc w:val="center"/>
              <w:rPr>
                <w:rFonts w:cs="Calibri"/>
                <w:b/>
                <w:bCs/>
                <w:color w:val="FFFFFF" w:themeColor="background1"/>
                <w:sz w:val="18"/>
                <w:szCs w:val="18"/>
              </w:rPr>
            </w:pPr>
            <w:r w:rsidRPr="00F840BF">
              <w:rPr>
                <w:rFonts w:cs="Calibri"/>
                <w:b/>
                <w:bCs/>
                <w:color w:val="FFFFFF" w:themeColor="background1"/>
                <w:sz w:val="18"/>
                <w:szCs w:val="18"/>
              </w:rPr>
              <w:t>%</w:t>
            </w:r>
          </w:p>
        </w:tc>
      </w:tr>
      <w:tr w:rsidR="0055599A" w:rsidRPr="006B656C" w14:paraId="53F5FC8B" w14:textId="77777777" w:rsidTr="00E27353">
        <w:trPr>
          <w:trHeight w:val="290"/>
          <w:jc w:val="center"/>
        </w:trPr>
        <w:tc>
          <w:tcPr>
            <w:tcW w:w="3456" w:type="pct"/>
          </w:tcPr>
          <w:p w14:paraId="7A0C4942" w14:textId="77777777" w:rsidR="0055599A" w:rsidRPr="006B656C" w:rsidRDefault="0055599A" w:rsidP="0055599A">
            <w:pPr>
              <w:autoSpaceDE w:val="0"/>
              <w:autoSpaceDN w:val="0"/>
              <w:adjustRightInd w:val="0"/>
              <w:spacing w:after="0"/>
              <w:rPr>
                <w:rFonts w:cs="Calibri"/>
                <w:color w:val="000000"/>
                <w:sz w:val="18"/>
                <w:szCs w:val="18"/>
              </w:rPr>
            </w:pPr>
            <w:r w:rsidRPr="006B656C">
              <w:rPr>
                <w:rFonts w:cs="Calibri"/>
                <w:color w:val="000000"/>
                <w:sz w:val="18"/>
                <w:szCs w:val="18"/>
              </w:rPr>
              <w:t>The process was very smooth</w:t>
            </w:r>
          </w:p>
        </w:tc>
        <w:tc>
          <w:tcPr>
            <w:tcW w:w="772" w:type="pct"/>
          </w:tcPr>
          <w:p w14:paraId="4463607D" w14:textId="2ABE4950" w:rsidR="0055599A" w:rsidRPr="006B656C" w:rsidRDefault="0055599A" w:rsidP="0055599A">
            <w:pPr>
              <w:autoSpaceDE w:val="0"/>
              <w:autoSpaceDN w:val="0"/>
              <w:adjustRightInd w:val="0"/>
              <w:spacing w:after="0"/>
              <w:jc w:val="center"/>
              <w:rPr>
                <w:rFonts w:cs="Calibri"/>
                <w:color w:val="000000"/>
                <w:sz w:val="18"/>
                <w:szCs w:val="18"/>
              </w:rPr>
            </w:pPr>
            <w:r>
              <w:rPr>
                <w:rFonts w:cs="Calibri"/>
                <w:color w:val="000000"/>
                <w:sz w:val="18"/>
                <w:szCs w:val="18"/>
              </w:rPr>
              <w:t>23</w:t>
            </w:r>
          </w:p>
        </w:tc>
        <w:tc>
          <w:tcPr>
            <w:tcW w:w="772" w:type="pct"/>
          </w:tcPr>
          <w:p w14:paraId="33796A76" w14:textId="467E8E99" w:rsidR="0055599A" w:rsidRPr="006B656C" w:rsidRDefault="0055599A" w:rsidP="0055599A">
            <w:pPr>
              <w:autoSpaceDE w:val="0"/>
              <w:autoSpaceDN w:val="0"/>
              <w:adjustRightInd w:val="0"/>
              <w:spacing w:after="0"/>
              <w:jc w:val="center"/>
              <w:rPr>
                <w:rFonts w:cs="Calibri"/>
                <w:color w:val="000000"/>
                <w:sz w:val="18"/>
                <w:szCs w:val="18"/>
              </w:rPr>
            </w:pPr>
            <w:r w:rsidRPr="0055599A">
              <w:rPr>
                <w:rFonts w:cs="Calibri"/>
                <w:color w:val="000000"/>
                <w:sz w:val="18"/>
                <w:szCs w:val="18"/>
              </w:rPr>
              <w:t>22%</w:t>
            </w:r>
          </w:p>
        </w:tc>
      </w:tr>
      <w:tr w:rsidR="0055599A" w:rsidRPr="006B656C" w14:paraId="6EE2DEBA" w14:textId="77777777" w:rsidTr="00E27353">
        <w:trPr>
          <w:trHeight w:val="290"/>
          <w:jc w:val="center"/>
        </w:trPr>
        <w:tc>
          <w:tcPr>
            <w:tcW w:w="3456" w:type="pct"/>
          </w:tcPr>
          <w:p w14:paraId="1EE64BDF" w14:textId="77777777" w:rsidR="0055599A" w:rsidRPr="006B656C" w:rsidRDefault="0055599A" w:rsidP="0055599A">
            <w:pPr>
              <w:autoSpaceDE w:val="0"/>
              <w:autoSpaceDN w:val="0"/>
              <w:adjustRightInd w:val="0"/>
              <w:spacing w:after="0"/>
              <w:rPr>
                <w:rFonts w:cs="Calibri"/>
                <w:color w:val="000000"/>
                <w:sz w:val="18"/>
                <w:szCs w:val="18"/>
              </w:rPr>
            </w:pPr>
            <w:r w:rsidRPr="006B656C">
              <w:rPr>
                <w:rFonts w:cs="Calibri"/>
                <w:color w:val="000000"/>
                <w:sz w:val="18"/>
                <w:szCs w:val="18"/>
              </w:rPr>
              <w:t>We had some challenges, but we overcame them</w:t>
            </w:r>
          </w:p>
        </w:tc>
        <w:tc>
          <w:tcPr>
            <w:tcW w:w="772" w:type="pct"/>
          </w:tcPr>
          <w:p w14:paraId="03F968A8" w14:textId="275ADFBC" w:rsidR="0055599A" w:rsidRPr="006B656C" w:rsidRDefault="0055599A" w:rsidP="0055599A">
            <w:pPr>
              <w:autoSpaceDE w:val="0"/>
              <w:autoSpaceDN w:val="0"/>
              <w:adjustRightInd w:val="0"/>
              <w:spacing w:after="0"/>
              <w:jc w:val="center"/>
              <w:rPr>
                <w:rFonts w:cs="Calibri"/>
                <w:color w:val="000000"/>
                <w:sz w:val="18"/>
                <w:szCs w:val="18"/>
              </w:rPr>
            </w:pPr>
            <w:r>
              <w:rPr>
                <w:rFonts w:cs="Calibri"/>
                <w:color w:val="000000"/>
                <w:sz w:val="18"/>
                <w:szCs w:val="18"/>
              </w:rPr>
              <w:t>64</w:t>
            </w:r>
          </w:p>
        </w:tc>
        <w:tc>
          <w:tcPr>
            <w:tcW w:w="772" w:type="pct"/>
          </w:tcPr>
          <w:p w14:paraId="1230A2D1" w14:textId="00315269" w:rsidR="0055599A" w:rsidRPr="006B656C" w:rsidRDefault="0055599A" w:rsidP="0055599A">
            <w:pPr>
              <w:autoSpaceDE w:val="0"/>
              <w:autoSpaceDN w:val="0"/>
              <w:adjustRightInd w:val="0"/>
              <w:spacing w:after="0"/>
              <w:jc w:val="center"/>
              <w:rPr>
                <w:rFonts w:cs="Calibri"/>
                <w:color w:val="000000"/>
                <w:sz w:val="18"/>
                <w:szCs w:val="18"/>
              </w:rPr>
            </w:pPr>
            <w:r w:rsidRPr="0055599A">
              <w:rPr>
                <w:rFonts w:cs="Calibri"/>
                <w:color w:val="000000"/>
                <w:sz w:val="18"/>
                <w:szCs w:val="18"/>
              </w:rPr>
              <w:t>62%</w:t>
            </w:r>
          </w:p>
        </w:tc>
      </w:tr>
      <w:tr w:rsidR="0055599A" w:rsidRPr="006B656C" w14:paraId="6A6DFA5B" w14:textId="77777777" w:rsidTr="00E27353">
        <w:trPr>
          <w:trHeight w:val="290"/>
          <w:jc w:val="center"/>
        </w:trPr>
        <w:tc>
          <w:tcPr>
            <w:tcW w:w="3456" w:type="pct"/>
          </w:tcPr>
          <w:p w14:paraId="10876542" w14:textId="77777777" w:rsidR="0055599A" w:rsidRPr="006B656C" w:rsidRDefault="0055599A" w:rsidP="0055599A">
            <w:pPr>
              <w:autoSpaceDE w:val="0"/>
              <w:autoSpaceDN w:val="0"/>
              <w:adjustRightInd w:val="0"/>
              <w:spacing w:after="0"/>
              <w:rPr>
                <w:rFonts w:cs="Calibri"/>
                <w:color w:val="000000"/>
                <w:sz w:val="18"/>
                <w:szCs w:val="18"/>
              </w:rPr>
            </w:pPr>
            <w:r w:rsidRPr="006B656C">
              <w:rPr>
                <w:rFonts w:cs="Calibri"/>
                <w:color w:val="000000"/>
                <w:sz w:val="18"/>
                <w:szCs w:val="18"/>
              </w:rPr>
              <w:t>We experienced ongoing difficulties</w:t>
            </w:r>
          </w:p>
        </w:tc>
        <w:tc>
          <w:tcPr>
            <w:tcW w:w="772" w:type="pct"/>
          </w:tcPr>
          <w:p w14:paraId="354446CE" w14:textId="6864543D" w:rsidR="0055599A" w:rsidRPr="006B656C" w:rsidRDefault="0055599A" w:rsidP="0055599A">
            <w:pPr>
              <w:autoSpaceDE w:val="0"/>
              <w:autoSpaceDN w:val="0"/>
              <w:adjustRightInd w:val="0"/>
              <w:spacing w:after="0"/>
              <w:jc w:val="center"/>
              <w:rPr>
                <w:rFonts w:cs="Calibri"/>
                <w:color w:val="000000"/>
                <w:sz w:val="18"/>
                <w:szCs w:val="18"/>
              </w:rPr>
            </w:pPr>
            <w:r>
              <w:rPr>
                <w:rFonts w:cs="Calibri"/>
                <w:color w:val="000000"/>
                <w:sz w:val="18"/>
                <w:szCs w:val="18"/>
              </w:rPr>
              <w:t>16</w:t>
            </w:r>
          </w:p>
        </w:tc>
        <w:tc>
          <w:tcPr>
            <w:tcW w:w="772" w:type="pct"/>
          </w:tcPr>
          <w:p w14:paraId="175D1EA9" w14:textId="7F333CEA" w:rsidR="0055599A" w:rsidRPr="006B656C" w:rsidRDefault="0055599A" w:rsidP="0055599A">
            <w:pPr>
              <w:autoSpaceDE w:val="0"/>
              <w:autoSpaceDN w:val="0"/>
              <w:adjustRightInd w:val="0"/>
              <w:spacing w:after="0"/>
              <w:jc w:val="center"/>
              <w:rPr>
                <w:rFonts w:cs="Calibri"/>
                <w:color w:val="000000"/>
                <w:sz w:val="18"/>
                <w:szCs w:val="18"/>
              </w:rPr>
            </w:pPr>
            <w:r w:rsidRPr="0055599A">
              <w:rPr>
                <w:rFonts w:cs="Calibri"/>
                <w:color w:val="000000"/>
                <w:sz w:val="18"/>
                <w:szCs w:val="18"/>
              </w:rPr>
              <w:t>16%</w:t>
            </w:r>
          </w:p>
        </w:tc>
      </w:tr>
      <w:tr w:rsidR="005010F3" w:rsidRPr="006B656C" w14:paraId="18E17848" w14:textId="77777777" w:rsidTr="00E27353">
        <w:trPr>
          <w:trHeight w:val="290"/>
          <w:jc w:val="center"/>
        </w:trPr>
        <w:tc>
          <w:tcPr>
            <w:tcW w:w="3456" w:type="pct"/>
          </w:tcPr>
          <w:p w14:paraId="258D0E9D" w14:textId="77777777" w:rsidR="005010F3" w:rsidRPr="006B656C" w:rsidRDefault="005010F3" w:rsidP="0032660B">
            <w:pPr>
              <w:autoSpaceDE w:val="0"/>
              <w:autoSpaceDN w:val="0"/>
              <w:adjustRightInd w:val="0"/>
              <w:spacing w:after="0"/>
              <w:rPr>
                <w:rFonts w:cs="Calibri"/>
                <w:b/>
                <w:bCs/>
                <w:color w:val="000000"/>
                <w:sz w:val="18"/>
                <w:szCs w:val="18"/>
              </w:rPr>
            </w:pPr>
            <w:r w:rsidRPr="006B656C">
              <w:rPr>
                <w:rFonts w:cs="Calibri"/>
                <w:b/>
                <w:bCs/>
                <w:color w:val="000000"/>
                <w:sz w:val="18"/>
                <w:szCs w:val="18"/>
              </w:rPr>
              <w:t>Total</w:t>
            </w:r>
          </w:p>
        </w:tc>
        <w:tc>
          <w:tcPr>
            <w:tcW w:w="772" w:type="pct"/>
          </w:tcPr>
          <w:p w14:paraId="2F7675D4" w14:textId="4AF73415" w:rsidR="005010F3" w:rsidRPr="006B656C" w:rsidRDefault="005010F3" w:rsidP="0032660B">
            <w:pPr>
              <w:autoSpaceDE w:val="0"/>
              <w:autoSpaceDN w:val="0"/>
              <w:adjustRightInd w:val="0"/>
              <w:spacing w:after="0"/>
              <w:jc w:val="center"/>
              <w:rPr>
                <w:rFonts w:cs="Calibri"/>
                <w:b/>
                <w:bCs/>
                <w:color w:val="000000"/>
                <w:sz w:val="18"/>
                <w:szCs w:val="18"/>
              </w:rPr>
            </w:pPr>
            <w:r w:rsidRPr="006B656C">
              <w:rPr>
                <w:rFonts w:cs="Calibri"/>
                <w:b/>
                <w:bCs/>
                <w:color w:val="000000"/>
                <w:sz w:val="18"/>
                <w:szCs w:val="18"/>
              </w:rPr>
              <w:t>10</w:t>
            </w:r>
            <w:r w:rsidR="004A11BC">
              <w:rPr>
                <w:rFonts w:cs="Calibri"/>
                <w:b/>
                <w:bCs/>
                <w:color w:val="000000"/>
                <w:sz w:val="18"/>
                <w:szCs w:val="18"/>
              </w:rPr>
              <w:t>3</w:t>
            </w:r>
          </w:p>
        </w:tc>
        <w:tc>
          <w:tcPr>
            <w:tcW w:w="772" w:type="pct"/>
          </w:tcPr>
          <w:p w14:paraId="6E9302DB" w14:textId="77777777" w:rsidR="005010F3" w:rsidRPr="006B656C" w:rsidRDefault="005010F3" w:rsidP="0032660B">
            <w:pPr>
              <w:autoSpaceDE w:val="0"/>
              <w:autoSpaceDN w:val="0"/>
              <w:adjustRightInd w:val="0"/>
              <w:spacing w:after="0"/>
              <w:jc w:val="center"/>
              <w:rPr>
                <w:rFonts w:cs="Calibri"/>
                <w:b/>
                <w:bCs/>
                <w:color w:val="000000"/>
                <w:sz w:val="18"/>
                <w:szCs w:val="18"/>
              </w:rPr>
            </w:pPr>
            <w:r w:rsidRPr="006B656C">
              <w:rPr>
                <w:rFonts w:cs="Calibri"/>
                <w:b/>
                <w:bCs/>
                <w:color w:val="000000"/>
                <w:sz w:val="18"/>
                <w:szCs w:val="18"/>
              </w:rPr>
              <w:t>100%</w:t>
            </w:r>
          </w:p>
        </w:tc>
      </w:tr>
    </w:tbl>
    <w:p w14:paraId="1CD02B37" w14:textId="7FE42743" w:rsidR="005010F3" w:rsidRDefault="005010F3" w:rsidP="005010F3">
      <w:pPr>
        <w:pStyle w:val="Chartortablefootnote"/>
      </w:pPr>
      <w:r w:rsidRPr="0009099E">
        <w:t>Source: Practice survey R2, Nov 2018</w:t>
      </w:r>
      <w:r w:rsidR="007474CC">
        <w:t>–</w:t>
      </w:r>
      <w:r w:rsidRPr="0009099E">
        <w:t xml:space="preserve">Mar 2019, question </w:t>
      </w:r>
      <w:r w:rsidR="003D6648" w:rsidRPr="0009099E">
        <w:t>13</w:t>
      </w:r>
      <w:r w:rsidRPr="0009099E">
        <w:t>.</w:t>
      </w:r>
    </w:p>
    <w:p w14:paraId="2EF927B6" w14:textId="77777777" w:rsidR="00A3478D" w:rsidRDefault="00A3478D">
      <w:pPr>
        <w:spacing w:after="160" w:line="259" w:lineRule="auto"/>
        <w:rPr>
          <w:rFonts w:ascii="Roboto Slab" w:eastAsiaTheme="majorEastAsia" w:hAnsi="Roboto Slab" w:cstheme="majorBidi"/>
          <w:color w:val="408BCA"/>
          <w:sz w:val="24"/>
          <w:szCs w:val="24"/>
        </w:rPr>
      </w:pPr>
      <w:r>
        <w:br w:type="page"/>
      </w:r>
    </w:p>
    <w:p w14:paraId="19DF7D9F" w14:textId="60B8DCBD" w:rsidR="00F03CC0" w:rsidRPr="001B1EFB" w:rsidRDefault="00F03CC0" w:rsidP="00F03CC0">
      <w:pPr>
        <w:pStyle w:val="Heading3"/>
        <w:spacing w:before="200"/>
      </w:pPr>
      <w:r w:rsidRPr="001B1EFB">
        <w:lastRenderedPageBreak/>
        <w:t>Extension of the patient enrolment period</w:t>
      </w:r>
    </w:p>
    <w:p w14:paraId="2DE30F56" w14:textId="7B83773D" w:rsidR="00F03CC0" w:rsidRDefault="00F03CC0" w:rsidP="006C2355">
      <w:pPr>
        <w:rPr>
          <w:szCs w:val="20"/>
        </w:rPr>
      </w:pPr>
      <w:r w:rsidRPr="001B1EFB">
        <w:rPr>
          <w:szCs w:val="20"/>
        </w:rPr>
        <w:t>The trial extension gave some practices more time to engage staff and firmly implement HCH, allowing them to enrol more patients</w:t>
      </w:r>
      <w:r w:rsidR="007C0B56">
        <w:rPr>
          <w:szCs w:val="20"/>
        </w:rPr>
        <w:t>:</w:t>
      </w:r>
      <w:r w:rsidRPr="001B1EFB">
        <w:rPr>
          <w:szCs w:val="20"/>
        </w:rPr>
        <w:t xml:space="preserve"> </w:t>
      </w:r>
    </w:p>
    <w:p w14:paraId="7AD01029" w14:textId="77777777" w:rsidR="00F03CC0" w:rsidRPr="001B1EFB" w:rsidRDefault="00F03CC0" w:rsidP="006C2355">
      <w:pPr>
        <w:ind w:left="567" w:right="521"/>
        <w:rPr>
          <w:szCs w:val="20"/>
        </w:rPr>
      </w:pPr>
      <w:r w:rsidRPr="00B2261B">
        <w:rPr>
          <w:i/>
          <w:iCs/>
          <w:szCs w:val="20"/>
        </w:rPr>
        <w:t>“I think last year, January [2019], we were a bit ramped up a little bit, and [the GP] got quite a few more of these patients in, because he understood how things would work.”</w:t>
      </w:r>
      <w:r w:rsidRPr="00B2261B">
        <w:rPr>
          <w:szCs w:val="20"/>
        </w:rPr>
        <w:t xml:space="preserve"> [Business Manager, Practice 15</w:t>
      </w:r>
      <w:r>
        <w:rPr>
          <w:szCs w:val="20"/>
        </w:rPr>
        <w:t>, R4</w:t>
      </w:r>
      <w:r w:rsidRPr="00B2261B">
        <w:rPr>
          <w:szCs w:val="20"/>
        </w:rPr>
        <w:t>]</w:t>
      </w:r>
    </w:p>
    <w:p w14:paraId="1B08DE65" w14:textId="1B3F3AA5" w:rsidR="00F03CC0" w:rsidRDefault="000D65AC" w:rsidP="006C2355">
      <w:pPr>
        <w:rPr>
          <w:szCs w:val="20"/>
        </w:rPr>
      </w:pPr>
      <w:r>
        <w:rPr>
          <w:szCs w:val="20"/>
        </w:rPr>
        <w:t>Other</w:t>
      </w:r>
      <w:r w:rsidR="00F03CC0" w:rsidRPr="001B1EFB">
        <w:rPr>
          <w:szCs w:val="20"/>
        </w:rPr>
        <w:t xml:space="preserve"> practices found it challenging to increase their enrolments. A key frustration was the lack of time to simultaneously implement the model and enrol patients while running </w:t>
      </w:r>
      <w:r w:rsidR="007C0B56">
        <w:rPr>
          <w:szCs w:val="20"/>
        </w:rPr>
        <w:t xml:space="preserve">a </w:t>
      </w:r>
      <w:r w:rsidR="00F03CC0" w:rsidRPr="001B1EFB">
        <w:rPr>
          <w:szCs w:val="20"/>
        </w:rPr>
        <w:t xml:space="preserve">busy practice and other competing priorities. Practices specifically cited ongoing IT issues, convincing GPs to participate and </w:t>
      </w:r>
      <w:r w:rsidR="0076073E">
        <w:rPr>
          <w:szCs w:val="20"/>
        </w:rPr>
        <w:t>processes for registering patients</w:t>
      </w:r>
      <w:r w:rsidR="00F03CC0" w:rsidRPr="001B1EFB">
        <w:rPr>
          <w:szCs w:val="20"/>
        </w:rPr>
        <w:t xml:space="preserve"> as barriers to enrolling additional patients</w:t>
      </w:r>
      <w:r w:rsidR="00283251">
        <w:rPr>
          <w:szCs w:val="20"/>
        </w:rPr>
        <w:t>:</w:t>
      </w:r>
    </w:p>
    <w:p w14:paraId="3E4898F1" w14:textId="77777777" w:rsidR="00F03CC0" w:rsidRPr="001B1EFB" w:rsidRDefault="00F03CC0" w:rsidP="006C2355">
      <w:pPr>
        <w:ind w:left="567" w:right="521"/>
        <w:rPr>
          <w:szCs w:val="20"/>
        </w:rPr>
      </w:pPr>
      <w:r w:rsidRPr="001D3153">
        <w:rPr>
          <w:i/>
          <w:iCs/>
          <w:szCs w:val="20"/>
        </w:rPr>
        <w:t>“I think it was hard to incorporate the registration timing into the existing clinics, you sort of had to get these registrations done and care plans done whilst the clinic was going on. … [Y]</w:t>
      </w:r>
      <w:proofErr w:type="spellStart"/>
      <w:r w:rsidRPr="001D3153">
        <w:rPr>
          <w:i/>
          <w:iCs/>
          <w:szCs w:val="20"/>
        </w:rPr>
        <w:t>ou</w:t>
      </w:r>
      <w:proofErr w:type="spellEnd"/>
      <w:r w:rsidRPr="001D3153">
        <w:rPr>
          <w:i/>
          <w:iCs/>
          <w:szCs w:val="20"/>
        </w:rPr>
        <w:t xml:space="preserve"> still had your other … duties or patients to attend to … [H]</w:t>
      </w:r>
      <w:proofErr w:type="spellStart"/>
      <w:r w:rsidRPr="001D3153">
        <w:rPr>
          <w:i/>
          <w:iCs/>
          <w:szCs w:val="20"/>
        </w:rPr>
        <w:t>aving</w:t>
      </w:r>
      <w:proofErr w:type="spellEnd"/>
      <w:r w:rsidRPr="001D3153">
        <w:rPr>
          <w:i/>
          <w:iCs/>
          <w:szCs w:val="20"/>
        </w:rPr>
        <w:t xml:space="preserve"> to do these as well was hard.”</w:t>
      </w:r>
      <w:r w:rsidRPr="001D3153">
        <w:rPr>
          <w:szCs w:val="20"/>
        </w:rPr>
        <w:t xml:space="preserve"> [Nurse, Practice 10</w:t>
      </w:r>
      <w:r>
        <w:rPr>
          <w:szCs w:val="20"/>
        </w:rPr>
        <w:t>, R4</w:t>
      </w:r>
      <w:r w:rsidRPr="001D3153">
        <w:rPr>
          <w:szCs w:val="20"/>
        </w:rPr>
        <w:t>]</w:t>
      </w:r>
    </w:p>
    <w:p w14:paraId="02201DA3" w14:textId="3D03FC97" w:rsidR="00F03CC0" w:rsidRDefault="00F03CC0" w:rsidP="006C2355">
      <w:pPr>
        <w:rPr>
          <w:szCs w:val="20"/>
        </w:rPr>
      </w:pPr>
      <w:r w:rsidRPr="001B1EFB">
        <w:rPr>
          <w:szCs w:val="20"/>
        </w:rPr>
        <w:t xml:space="preserve">There were also concerns and general uncertainty about the future of the </w:t>
      </w:r>
      <w:r w:rsidR="001746CD">
        <w:rPr>
          <w:szCs w:val="20"/>
        </w:rPr>
        <w:t>program</w:t>
      </w:r>
      <w:r w:rsidRPr="001B1EFB">
        <w:rPr>
          <w:szCs w:val="20"/>
        </w:rPr>
        <w:t xml:space="preserve">. They did not want to invest significant resources in the trial when it was not clear </w:t>
      </w:r>
      <w:r>
        <w:rPr>
          <w:szCs w:val="20"/>
        </w:rPr>
        <w:t xml:space="preserve">if </w:t>
      </w:r>
      <w:r w:rsidRPr="001B1EFB">
        <w:rPr>
          <w:szCs w:val="20"/>
        </w:rPr>
        <w:t xml:space="preserve">it would continue. Other practices wanted to test the model </w:t>
      </w:r>
      <w:r w:rsidR="001746CD">
        <w:rPr>
          <w:szCs w:val="20"/>
        </w:rPr>
        <w:t>before</w:t>
      </w:r>
      <w:r w:rsidRPr="001B1EFB">
        <w:rPr>
          <w:szCs w:val="20"/>
        </w:rPr>
        <w:t xml:space="preserve"> enrolling a large number of patients</w:t>
      </w:r>
      <w:r w:rsidR="009F09B2">
        <w:rPr>
          <w:szCs w:val="20"/>
        </w:rPr>
        <w:t>:</w:t>
      </w:r>
    </w:p>
    <w:p w14:paraId="251D9FA7" w14:textId="77777777" w:rsidR="00F03CC0" w:rsidRDefault="00F03CC0" w:rsidP="006C2355">
      <w:pPr>
        <w:ind w:left="567" w:right="521"/>
        <w:rPr>
          <w:szCs w:val="20"/>
        </w:rPr>
      </w:pPr>
      <w:r w:rsidRPr="008E661F">
        <w:rPr>
          <w:i/>
          <w:iCs/>
          <w:szCs w:val="20"/>
        </w:rPr>
        <w:t>“… the other reason why we didn't end up [enrolling] too many patients in the program was uncertainty about where the program would be after two years. So, it’s difficult to get … a large cohort of patients used to it and then after two years say well, we’re going to now can it and we’ll have to do things differently.”</w:t>
      </w:r>
      <w:r w:rsidRPr="008E661F">
        <w:rPr>
          <w:szCs w:val="20"/>
        </w:rPr>
        <w:t xml:space="preserve"> [GP, Practice 11</w:t>
      </w:r>
      <w:r>
        <w:rPr>
          <w:szCs w:val="20"/>
        </w:rPr>
        <w:t>, R4</w:t>
      </w:r>
      <w:r w:rsidRPr="008E661F">
        <w:rPr>
          <w:szCs w:val="20"/>
        </w:rPr>
        <w:t>]</w:t>
      </w:r>
    </w:p>
    <w:p w14:paraId="7C828E4D" w14:textId="50676BF4" w:rsidR="00F03CC0" w:rsidRDefault="00746615" w:rsidP="006C2355">
      <w:pPr>
        <w:rPr>
          <w:szCs w:val="20"/>
        </w:rPr>
      </w:pPr>
      <w:r>
        <w:rPr>
          <w:szCs w:val="20"/>
        </w:rPr>
        <w:t xml:space="preserve">Later practices reflected on </w:t>
      </w:r>
      <w:r w:rsidR="003C6A99">
        <w:rPr>
          <w:szCs w:val="20"/>
        </w:rPr>
        <w:t>the missed opportunity of enrolling more patients</w:t>
      </w:r>
      <w:r w:rsidR="00361199" w:rsidRPr="00746615">
        <w:rPr>
          <w:szCs w:val="20"/>
        </w:rPr>
        <w:t>:</w:t>
      </w:r>
    </w:p>
    <w:p w14:paraId="379A1F80" w14:textId="233EA406" w:rsidR="00F03CC0" w:rsidRDefault="00F03CC0" w:rsidP="006C2355">
      <w:pPr>
        <w:ind w:left="567" w:right="521"/>
        <w:rPr>
          <w:szCs w:val="20"/>
        </w:rPr>
      </w:pPr>
      <w:r w:rsidRPr="00847C83">
        <w:rPr>
          <w:i/>
          <w:iCs/>
          <w:szCs w:val="20"/>
        </w:rPr>
        <w:t xml:space="preserve">“If [General Practitioner] would have done that training before the enrolment process ended, he would have probably got a lot more patients </w:t>
      </w:r>
      <w:r w:rsidR="00BB3ED5">
        <w:rPr>
          <w:i/>
          <w:iCs/>
          <w:szCs w:val="20"/>
        </w:rPr>
        <w:t>..</w:t>
      </w:r>
      <w:r w:rsidRPr="00847C83">
        <w:rPr>
          <w:i/>
          <w:iCs/>
          <w:szCs w:val="20"/>
        </w:rPr>
        <w:t>. But</w:t>
      </w:r>
      <w:r>
        <w:rPr>
          <w:i/>
          <w:iCs/>
          <w:szCs w:val="20"/>
        </w:rPr>
        <w:t>,</w:t>
      </w:r>
      <w:r w:rsidRPr="00847C83">
        <w:rPr>
          <w:i/>
          <w:iCs/>
          <w:szCs w:val="20"/>
        </w:rPr>
        <w:t xml:space="preserve"> unfortunately</w:t>
      </w:r>
      <w:r>
        <w:rPr>
          <w:i/>
          <w:iCs/>
          <w:szCs w:val="20"/>
        </w:rPr>
        <w:t>,</w:t>
      </w:r>
      <w:r w:rsidRPr="00847C83">
        <w:rPr>
          <w:i/>
          <w:iCs/>
          <w:szCs w:val="20"/>
        </w:rPr>
        <w:t xml:space="preserve"> he wasn’t able to enrol anyone after that.”</w:t>
      </w:r>
      <w:r>
        <w:rPr>
          <w:szCs w:val="20"/>
        </w:rPr>
        <w:t xml:space="preserve"> [Practice Manager, Practice 15, R5]</w:t>
      </w:r>
    </w:p>
    <w:p w14:paraId="301EC1D3" w14:textId="1D7727F0" w:rsidR="00C24E96" w:rsidRDefault="00F03CC0" w:rsidP="000155F9">
      <w:pPr>
        <w:ind w:left="567" w:right="521"/>
        <w:rPr>
          <w:rFonts w:ascii="Roboto Slab" w:eastAsia="Times New Roman" w:hAnsi="Roboto Slab" w:cs="Times New Roman"/>
          <w:bCs/>
          <w:color w:val="408BCA"/>
          <w:sz w:val="32"/>
          <w:szCs w:val="36"/>
          <w:lang w:eastAsia="en-AU"/>
        </w:rPr>
      </w:pPr>
      <w:r w:rsidRPr="00D24E97">
        <w:rPr>
          <w:i/>
          <w:iCs/>
          <w:szCs w:val="20"/>
        </w:rPr>
        <w:t>“Definitely, if we could enrol more patients, I think that’s been a bit limiting factor. And part of the reason why that’s limiting is because over time we’ve had patients withdraw for various reasons, and then we can’t add others to replace them. So, it creates this artificial scarcity, which makes it less appealing to then continue being part of.”</w:t>
      </w:r>
      <w:r>
        <w:rPr>
          <w:szCs w:val="20"/>
        </w:rPr>
        <w:t xml:space="preserve"> [GP, Practice 22, R5]</w:t>
      </w:r>
    </w:p>
    <w:p w14:paraId="57D5412D" w14:textId="77777777" w:rsidR="00A3478D" w:rsidRDefault="00A3478D">
      <w:pPr>
        <w:spacing w:after="160" w:line="259" w:lineRule="auto"/>
        <w:rPr>
          <w:rFonts w:ascii="Roboto Slab" w:eastAsia="Times New Roman" w:hAnsi="Roboto Slab" w:cs="Times New Roman"/>
          <w:bCs/>
          <w:color w:val="408BCA"/>
          <w:sz w:val="32"/>
          <w:szCs w:val="36"/>
          <w:lang w:eastAsia="en-AU"/>
        </w:rPr>
      </w:pPr>
      <w:r>
        <w:br w:type="page"/>
      </w:r>
    </w:p>
    <w:p w14:paraId="08337F16" w14:textId="27753DEC" w:rsidR="00F03CC0" w:rsidRPr="001B1EFB" w:rsidRDefault="006A7E2D" w:rsidP="00F03CC0">
      <w:pPr>
        <w:pStyle w:val="Heading2"/>
      </w:pPr>
      <w:bookmarkStart w:id="138" w:name="_Toc109996671"/>
      <w:r>
        <w:lastRenderedPageBreak/>
        <w:t>Suggestions to improve enrolment</w:t>
      </w:r>
      <w:bookmarkEnd w:id="138"/>
    </w:p>
    <w:p w14:paraId="081F2E91" w14:textId="11CD21E3" w:rsidR="00F03CC0" w:rsidRPr="001B1EFB" w:rsidRDefault="00F03CC0" w:rsidP="00D937F3">
      <w:pPr>
        <w:rPr>
          <w:szCs w:val="20"/>
        </w:rPr>
      </w:pPr>
      <w:r w:rsidRPr="001B1EFB">
        <w:rPr>
          <w:szCs w:val="20"/>
        </w:rPr>
        <w:t xml:space="preserve">Practices </w:t>
      </w:r>
      <w:r w:rsidR="00461519">
        <w:rPr>
          <w:szCs w:val="20"/>
        </w:rPr>
        <w:t xml:space="preserve">suggested </w:t>
      </w:r>
      <w:r w:rsidR="001B4540">
        <w:rPr>
          <w:szCs w:val="20"/>
        </w:rPr>
        <w:t xml:space="preserve">streamlining the enrolment process to </w:t>
      </w:r>
      <w:r w:rsidR="0030494F">
        <w:rPr>
          <w:szCs w:val="20"/>
        </w:rPr>
        <w:t>save time</w:t>
      </w:r>
      <w:r w:rsidR="00D937F3">
        <w:rPr>
          <w:szCs w:val="20"/>
        </w:rPr>
        <w:t xml:space="preserve">, </w:t>
      </w:r>
      <w:r w:rsidR="00816D03">
        <w:rPr>
          <w:szCs w:val="20"/>
        </w:rPr>
        <w:t xml:space="preserve">educating </w:t>
      </w:r>
      <w:r w:rsidR="00B325D2">
        <w:rPr>
          <w:szCs w:val="20"/>
        </w:rPr>
        <w:t xml:space="preserve">staff and </w:t>
      </w:r>
      <w:r w:rsidR="00816D03">
        <w:rPr>
          <w:szCs w:val="20"/>
        </w:rPr>
        <w:t>raising</w:t>
      </w:r>
      <w:r w:rsidR="00B325D2">
        <w:rPr>
          <w:szCs w:val="20"/>
        </w:rPr>
        <w:t xml:space="preserve"> patients’ awareness of the program as key mechanisms to improve </w:t>
      </w:r>
      <w:r w:rsidR="006A7E2D">
        <w:rPr>
          <w:szCs w:val="20"/>
        </w:rPr>
        <w:t>patient enrolment (</w:t>
      </w:r>
      <w:r w:rsidR="006A7E2D" w:rsidRPr="009C2FEA">
        <w:rPr>
          <w:color w:val="1D2455"/>
          <w:szCs w:val="20"/>
        </w:rPr>
        <w:fldChar w:fldCharType="begin"/>
      </w:r>
      <w:r w:rsidR="006A7E2D" w:rsidRPr="009C2FEA">
        <w:rPr>
          <w:color w:val="1D2455"/>
          <w:szCs w:val="20"/>
        </w:rPr>
        <w:instrText xml:space="preserve"> REF _Ref85808495 \h </w:instrText>
      </w:r>
      <w:r w:rsidR="00302D66" w:rsidRPr="009C2FEA">
        <w:rPr>
          <w:color w:val="1D2455"/>
          <w:szCs w:val="20"/>
        </w:rPr>
        <w:instrText xml:space="preserve"> \* MERGEFORMAT </w:instrText>
      </w:r>
      <w:r w:rsidR="006A7E2D" w:rsidRPr="009C2FEA">
        <w:rPr>
          <w:color w:val="1D2455"/>
          <w:szCs w:val="20"/>
        </w:rPr>
      </w:r>
      <w:r w:rsidR="006A7E2D" w:rsidRPr="009C2FEA">
        <w:rPr>
          <w:color w:val="1D2455"/>
          <w:szCs w:val="20"/>
        </w:rPr>
        <w:fldChar w:fldCharType="separate"/>
      </w:r>
      <w:r w:rsidR="003C4BC2" w:rsidRPr="003C4BC2">
        <w:rPr>
          <w:color w:val="1D2455"/>
        </w:rPr>
        <w:t xml:space="preserve">Table </w:t>
      </w:r>
      <w:r w:rsidR="003C4BC2" w:rsidRPr="003C4BC2">
        <w:rPr>
          <w:noProof/>
          <w:color w:val="1D2455"/>
        </w:rPr>
        <w:t>18</w:t>
      </w:r>
      <w:r w:rsidR="006A7E2D" w:rsidRPr="009C2FEA">
        <w:rPr>
          <w:color w:val="1D2455"/>
          <w:szCs w:val="20"/>
        </w:rPr>
        <w:fldChar w:fldCharType="end"/>
      </w:r>
      <w:r w:rsidR="006A7E2D">
        <w:rPr>
          <w:szCs w:val="20"/>
        </w:rPr>
        <w:t>)</w:t>
      </w:r>
      <w:r w:rsidRPr="001B1EFB">
        <w:rPr>
          <w:szCs w:val="20"/>
        </w:rPr>
        <w:t>.</w:t>
      </w:r>
    </w:p>
    <w:p w14:paraId="2F4A3636" w14:textId="1149C105" w:rsidR="00F03CC0" w:rsidRPr="00F621D7" w:rsidRDefault="00F03CC0" w:rsidP="00DA3752">
      <w:pPr>
        <w:pStyle w:val="TableFigureheading"/>
        <w:rPr>
          <w:b/>
          <w:lang w:val="en-US"/>
        </w:rPr>
      </w:pPr>
      <w:bookmarkStart w:id="139" w:name="_Ref85808495"/>
      <w:bookmarkStart w:id="140" w:name="_Hlk22642430"/>
      <w:r w:rsidRPr="00F621D7">
        <w:t xml:space="preserve">Table </w:t>
      </w:r>
      <w:r w:rsidR="00A61B29">
        <w:fldChar w:fldCharType="begin"/>
      </w:r>
      <w:r w:rsidR="00A61B29">
        <w:instrText xml:space="preserve"> SEQ Table \* ARABIC </w:instrText>
      </w:r>
      <w:r w:rsidR="00A61B29">
        <w:fldChar w:fldCharType="separate"/>
      </w:r>
      <w:r w:rsidR="003C4BC2">
        <w:rPr>
          <w:noProof/>
        </w:rPr>
        <w:t>18</w:t>
      </w:r>
      <w:r w:rsidR="00A61B29">
        <w:rPr>
          <w:noProof/>
        </w:rPr>
        <w:fldChar w:fldCharType="end"/>
      </w:r>
      <w:bookmarkEnd w:id="139"/>
      <w:r w:rsidR="00DA3752">
        <w:t>:</w:t>
      </w:r>
      <w:r w:rsidRPr="00F621D7">
        <w:rPr>
          <w:lang w:val="en-US"/>
        </w:rPr>
        <w:t xml:space="preserve"> Suggestions for improving the enrolment process</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146"/>
        <w:gridCol w:w="1250"/>
        <w:gridCol w:w="222"/>
        <w:gridCol w:w="3232"/>
        <w:gridCol w:w="1166"/>
      </w:tblGrid>
      <w:tr w:rsidR="00E27353" w:rsidRPr="00E27353" w14:paraId="423C2547" w14:textId="77777777" w:rsidTr="00E27353">
        <w:trPr>
          <w:trHeight w:val="336"/>
        </w:trPr>
        <w:tc>
          <w:tcPr>
            <w:tcW w:w="1746" w:type="pct"/>
            <w:shd w:val="clear" w:color="auto" w:fill="408BCA"/>
          </w:tcPr>
          <w:bookmarkEnd w:id="140"/>
          <w:p w14:paraId="4D0E7EAC" w14:textId="77777777" w:rsidR="00F03CC0" w:rsidRPr="00E27353" w:rsidRDefault="00F03CC0" w:rsidP="00DA3752">
            <w:pPr>
              <w:spacing w:after="0"/>
              <w:jc w:val="center"/>
              <w:rPr>
                <w:b/>
                <w:bCs/>
              </w:rPr>
            </w:pPr>
            <w:r w:rsidRPr="00E27353">
              <w:rPr>
                <w:rFonts w:eastAsia="Century Gothic" w:cs="Century Gothic"/>
                <w:b/>
                <w:bCs/>
                <w:color w:val="FFFFFF"/>
                <w:sz w:val="18"/>
                <w:szCs w:val="18"/>
              </w:rPr>
              <w:t>Response</w:t>
            </w:r>
          </w:p>
        </w:tc>
        <w:tc>
          <w:tcPr>
            <w:tcW w:w="694" w:type="pct"/>
            <w:shd w:val="clear" w:color="auto" w:fill="408BCA"/>
          </w:tcPr>
          <w:p w14:paraId="401E6A25" w14:textId="77777777" w:rsidR="00F03CC0" w:rsidRPr="00E27353" w:rsidRDefault="00F03CC0" w:rsidP="00DA3752">
            <w:pPr>
              <w:spacing w:after="0"/>
              <w:jc w:val="center"/>
              <w:rPr>
                <w:b/>
                <w:bCs/>
              </w:rPr>
            </w:pPr>
            <w:r w:rsidRPr="00E27353">
              <w:rPr>
                <w:rFonts w:eastAsia="Century Gothic" w:cs="Century Gothic"/>
                <w:b/>
                <w:bCs/>
                <w:color w:val="FFFFFF"/>
                <w:sz w:val="18"/>
                <w:szCs w:val="18"/>
              </w:rPr>
              <w:t>n (%)</w:t>
            </w:r>
          </w:p>
        </w:tc>
        <w:tc>
          <w:tcPr>
            <w:tcW w:w="120" w:type="pct"/>
            <w:tcBorders>
              <w:top w:val="nil"/>
              <w:bottom w:val="nil"/>
            </w:tcBorders>
            <w:shd w:val="clear" w:color="auto" w:fill="auto"/>
          </w:tcPr>
          <w:p w14:paraId="69DAE93A" w14:textId="77777777" w:rsidR="00F03CC0" w:rsidRPr="00E27353" w:rsidRDefault="00F03CC0" w:rsidP="00DA3752">
            <w:pPr>
              <w:spacing w:after="0"/>
              <w:jc w:val="center"/>
              <w:rPr>
                <w:b/>
                <w:bCs/>
              </w:rPr>
            </w:pPr>
            <w:r w:rsidRPr="00E27353">
              <w:rPr>
                <w:rFonts w:eastAsia="Century Gothic" w:cs="Century Gothic"/>
                <w:b/>
                <w:bCs/>
                <w:color w:val="FFFFFF"/>
                <w:sz w:val="18"/>
                <w:szCs w:val="18"/>
              </w:rPr>
              <w:t xml:space="preserve"> </w:t>
            </w:r>
          </w:p>
        </w:tc>
        <w:tc>
          <w:tcPr>
            <w:tcW w:w="1793" w:type="pct"/>
            <w:shd w:val="clear" w:color="auto" w:fill="408BCA"/>
          </w:tcPr>
          <w:p w14:paraId="0E324378" w14:textId="77777777" w:rsidR="00F03CC0" w:rsidRPr="00E27353" w:rsidRDefault="00F03CC0" w:rsidP="00DA3752">
            <w:pPr>
              <w:spacing w:after="0"/>
              <w:jc w:val="center"/>
              <w:rPr>
                <w:b/>
                <w:bCs/>
              </w:rPr>
            </w:pPr>
            <w:r w:rsidRPr="00E27353">
              <w:rPr>
                <w:rFonts w:eastAsia="Century Gothic" w:cs="Century Gothic"/>
                <w:b/>
                <w:bCs/>
                <w:color w:val="FFFFFF"/>
                <w:sz w:val="18"/>
                <w:szCs w:val="18"/>
              </w:rPr>
              <w:t>Response</w:t>
            </w:r>
          </w:p>
        </w:tc>
        <w:tc>
          <w:tcPr>
            <w:tcW w:w="647" w:type="pct"/>
            <w:shd w:val="clear" w:color="auto" w:fill="408BCA"/>
          </w:tcPr>
          <w:p w14:paraId="39530D90" w14:textId="77777777" w:rsidR="00F03CC0" w:rsidRPr="00E27353" w:rsidRDefault="00F03CC0" w:rsidP="00DA3752">
            <w:pPr>
              <w:spacing w:after="0"/>
              <w:jc w:val="center"/>
              <w:rPr>
                <w:b/>
                <w:bCs/>
              </w:rPr>
            </w:pPr>
            <w:r w:rsidRPr="00E27353">
              <w:rPr>
                <w:rFonts w:eastAsia="Century Gothic" w:cs="Century Gothic"/>
                <w:b/>
                <w:bCs/>
                <w:color w:val="FFFFFF"/>
                <w:sz w:val="18"/>
                <w:szCs w:val="18"/>
              </w:rPr>
              <w:t>n (%)</w:t>
            </w:r>
          </w:p>
        </w:tc>
      </w:tr>
      <w:tr w:rsidR="00F03CC0" w:rsidRPr="001B1EFB" w14:paraId="58053115" w14:textId="77777777" w:rsidTr="00E27353">
        <w:trPr>
          <w:trHeight w:val="442"/>
        </w:trPr>
        <w:tc>
          <w:tcPr>
            <w:tcW w:w="1746" w:type="pct"/>
          </w:tcPr>
          <w:p w14:paraId="186EF813" w14:textId="77777777" w:rsidR="00F03CC0" w:rsidRPr="001B1EFB" w:rsidRDefault="00F03CC0" w:rsidP="008A5DA6">
            <w:pPr>
              <w:spacing w:after="0"/>
              <w:ind w:left="102" w:right="102"/>
            </w:pPr>
            <w:r w:rsidRPr="001B1EFB">
              <w:rPr>
                <w:rFonts w:eastAsia="Century Gothic" w:cs="Century Gothic"/>
                <w:color w:val="000000"/>
                <w:sz w:val="18"/>
                <w:szCs w:val="18"/>
              </w:rPr>
              <w:t>Synchronising the various enrolling portals</w:t>
            </w:r>
          </w:p>
        </w:tc>
        <w:tc>
          <w:tcPr>
            <w:tcW w:w="694" w:type="pct"/>
          </w:tcPr>
          <w:p w14:paraId="742FBE3A" w14:textId="77777777" w:rsidR="00F03CC0" w:rsidRPr="001B1EFB" w:rsidRDefault="00F03CC0" w:rsidP="007D3306">
            <w:pPr>
              <w:spacing w:after="0"/>
              <w:ind w:left="102"/>
              <w:jc w:val="right"/>
            </w:pPr>
            <w:r w:rsidRPr="001B1EFB">
              <w:rPr>
                <w:rFonts w:eastAsia="Century Gothic" w:cs="Century Gothic"/>
                <w:color w:val="000000"/>
                <w:sz w:val="18"/>
                <w:szCs w:val="18"/>
              </w:rPr>
              <w:t>29 (27.6%)</w:t>
            </w:r>
          </w:p>
        </w:tc>
        <w:tc>
          <w:tcPr>
            <w:tcW w:w="120" w:type="pct"/>
            <w:tcBorders>
              <w:top w:val="nil"/>
              <w:bottom w:val="nil"/>
            </w:tcBorders>
          </w:tcPr>
          <w:p w14:paraId="66A1A24A" w14:textId="77777777" w:rsidR="00F03CC0" w:rsidRPr="001B1EFB" w:rsidRDefault="00F03CC0" w:rsidP="008A5DA6">
            <w:pPr>
              <w:spacing w:after="0"/>
              <w:ind w:left="102" w:right="102"/>
              <w:jc w:val="right"/>
            </w:pPr>
          </w:p>
        </w:tc>
        <w:tc>
          <w:tcPr>
            <w:tcW w:w="1793" w:type="pct"/>
          </w:tcPr>
          <w:p w14:paraId="61DBEE63" w14:textId="77777777" w:rsidR="00F03CC0" w:rsidRPr="001B1EFB" w:rsidRDefault="00F03CC0" w:rsidP="008A5DA6">
            <w:pPr>
              <w:spacing w:after="0"/>
              <w:ind w:left="102" w:right="102"/>
            </w:pPr>
            <w:r w:rsidRPr="001B1EFB">
              <w:rPr>
                <w:rFonts w:eastAsia="Century Gothic" w:cs="Century Gothic"/>
                <w:color w:val="000000"/>
                <w:sz w:val="18"/>
                <w:szCs w:val="18"/>
              </w:rPr>
              <w:t>Increase the engagement of doctors</w:t>
            </w:r>
          </w:p>
        </w:tc>
        <w:tc>
          <w:tcPr>
            <w:tcW w:w="647" w:type="pct"/>
          </w:tcPr>
          <w:p w14:paraId="4D552F52" w14:textId="77777777" w:rsidR="00F03CC0" w:rsidRPr="001B1EFB" w:rsidRDefault="00F03CC0" w:rsidP="008A5DA6">
            <w:pPr>
              <w:spacing w:after="0"/>
              <w:ind w:left="102" w:right="102"/>
              <w:jc w:val="right"/>
            </w:pPr>
            <w:r w:rsidRPr="001B1EFB">
              <w:rPr>
                <w:rFonts w:eastAsia="Century Gothic" w:cs="Century Gothic"/>
                <w:color w:val="000000"/>
                <w:sz w:val="18"/>
                <w:szCs w:val="18"/>
              </w:rPr>
              <w:t>3 (2.9%)</w:t>
            </w:r>
          </w:p>
        </w:tc>
      </w:tr>
      <w:tr w:rsidR="00F03CC0" w:rsidRPr="001B1EFB" w14:paraId="1A5DA28B" w14:textId="77777777" w:rsidTr="00E27353">
        <w:trPr>
          <w:trHeight w:val="442"/>
        </w:trPr>
        <w:tc>
          <w:tcPr>
            <w:tcW w:w="1746" w:type="pct"/>
          </w:tcPr>
          <w:p w14:paraId="5A38D9BB" w14:textId="77777777" w:rsidR="00F03CC0" w:rsidRPr="001B1EFB" w:rsidRDefault="00F03CC0" w:rsidP="008A5DA6">
            <w:pPr>
              <w:spacing w:after="0"/>
              <w:ind w:left="102" w:right="102"/>
            </w:pPr>
            <w:r w:rsidRPr="001B1EFB">
              <w:rPr>
                <w:rFonts w:eastAsia="Century Gothic" w:cs="Century Gothic"/>
                <w:color w:val="000000"/>
                <w:sz w:val="18"/>
                <w:szCs w:val="18"/>
              </w:rPr>
              <w:t>Simplify the enrolment process/ make it easier to find eligible patients</w:t>
            </w:r>
          </w:p>
        </w:tc>
        <w:tc>
          <w:tcPr>
            <w:tcW w:w="694" w:type="pct"/>
          </w:tcPr>
          <w:p w14:paraId="5205B260" w14:textId="77777777" w:rsidR="00F03CC0" w:rsidRPr="001B1EFB" w:rsidRDefault="00F03CC0" w:rsidP="007D3306">
            <w:pPr>
              <w:spacing w:after="0"/>
              <w:ind w:left="102"/>
              <w:jc w:val="right"/>
            </w:pPr>
            <w:r w:rsidRPr="001B1EFB">
              <w:rPr>
                <w:rFonts w:eastAsia="Century Gothic" w:cs="Century Gothic"/>
                <w:color w:val="000000"/>
                <w:sz w:val="18"/>
                <w:szCs w:val="18"/>
              </w:rPr>
              <w:t>16 (15.2%)</w:t>
            </w:r>
          </w:p>
        </w:tc>
        <w:tc>
          <w:tcPr>
            <w:tcW w:w="120" w:type="pct"/>
            <w:tcBorders>
              <w:top w:val="nil"/>
              <w:bottom w:val="nil"/>
            </w:tcBorders>
          </w:tcPr>
          <w:p w14:paraId="3F98E5BE" w14:textId="77777777" w:rsidR="00F03CC0" w:rsidRPr="001B1EFB" w:rsidRDefault="00F03CC0" w:rsidP="008A5DA6">
            <w:pPr>
              <w:spacing w:after="0"/>
              <w:ind w:left="102" w:right="102"/>
              <w:jc w:val="right"/>
            </w:pPr>
          </w:p>
        </w:tc>
        <w:tc>
          <w:tcPr>
            <w:tcW w:w="1793" w:type="pct"/>
          </w:tcPr>
          <w:p w14:paraId="67B26DD5" w14:textId="77777777" w:rsidR="00F03CC0" w:rsidRPr="001B1EFB" w:rsidRDefault="00F03CC0" w:rsidP="008A5DA6">
            <w:pPr>
              <w:spacing w:after="0"/>
              <w:ind w:left="102" w:right="102"/>
            </w:pPr>
            <w:r w:rsidRPr="001B1EFB">
              <w:rPr>
                <w:rFonts w:eastAsia="Century Gothic" w:cs="Century Gothic"/>
                <w:color w:val="000000"/>
                <w:sz w:val="18"/>
                <w:szCs w:val="18"/>
              </w:rPr>
              <w:t>Payment for nurses to register patients</w:t>
            </w:r>
          </w:p>
        </w:tc>
        <w:tc>
          <w:tcPr>
            <w:tcW w:w="647" w:type="pct"/>
          </w:tcPr>
          <w:p w14:paraId="432C6CFB" w14:textId="77777777" w:rsidR="00F03CC0" w:rsidRPr="001B1EFB" w:rsidRDefault="00F03CC0" w:rsidP="008A5DA6">
            <w:pPr>
              <w:spacing w:after="0"/>
              <w:ind w:left="102" w:right="102"/>
              <w:jc w:val="right"/>
            </w:pPr>
            <w:r w:rsidRPr="001B1EFB">
              <w:rPr>
                <w:rFonts w:eastAsia="Century Gothic" w:cs="Century Gothic"/>
                <w:color w:val="000000"/>
                <w:sz w:val="18"/>
                <w:szCs w:val="18"/>
              </w:rPr>
              <w:t>2 (1.9%)</w:t>
            </w:r>
          </w:p>
        </w:tc>
      </w:tr>
      <w:tr w:rsidR="00F03CC0" w:rsidRPr="001B1EFB" w14:paraId="64B741D9" w14:textId="77777777" w:rsidTr="00E27353">
        <w:trPr>
          <w:trHeight w:val="442"/>
        </w:trPr>
        <w:tc>
          <w:tcPr>
            <w:tcW w:w="1746" w:type="pct"/>
          </w:tcPr>
          <w:p w14:paraId="15315B4E" w14:textId="77777777" w:rsidR="00F03CC0" w:rsidRPr="001B1EFB" w:rsidRDefault="00F03CC0" w:rsidP="008A5DA6">
            <w:pPr>
              <w:spacing w:after="0"/>
              <w:ind w:left="102" w:right="102"/>
            </w:pPr>
            <w:r w:rsidRPr="001B1EFB">
              <w:rPr>
                <w:rFonts w:eastAsia="Century Gothic" w:cs="Century Gothic"/>
                <w:color w:val="000000"/>
                <w:sz w:val="18"/>
                <w:szCs w:val="18"/>
              </w:rPr>
              <w:t>IT and admin process working more efficiently</w:t>
            </w:r>
          </w:p>
        </w:tc>
        <w:tc>
          <w:tcPr>
            <w:tcW w:w="694" w:type="pct"/>
          </w:tcPr>
          <w:p w14:paraId="21888AA4" w14:textId="77777777" w:rsidR="00F03CC0" w:rsidRPr="001B1EFB" w:rsidRDefault="00F03CC0" w:rsidP="007D3306">
            <w:pPr>
              <w:spacing w:after="0"/>
              <w:ind w:left="102"/>
              <w:jc w:val="right"/>
            </w:pPr>
            <w:r w:rsidRPr="001B1EFB">
              <w:rPr>
                <w:rFonts w:eastAsia="Century Gothic" w:cs="Century Gothic"/>
                <w:color w:val="000000"/>
                <w:sz w:val="18"/>
                <w:szCs w:val="18"/>
              </w:rPr>
              <w:t>6 (5.7%)</w:t>
            </w:r>
          </w:p>
        </w:tc>
        <w:tc>
          <w:tcPr>
            <w:tcW w:w="120" w:type="pct"/>
            <w:tcBorders>
              <w:top w:val="nil"/>
              <w:bottom w:val="nil"/>
            </w:tcBorders>
          </w:tcPr>
          <w:p w14:paraId="0E3B7E1D" w14:textId="77777777" w:rsidR="00F03CC0" w:rsidRPr="001B1EFB" w:rsidRDefault="00F03CC0" w:rsidP="008A5DA6">
            <w:pPr>
              <w:spacing w:after="0"/>
              <w:ind w:left="102" w:right="102"/>
              <w:jc w:val="right"/>
            </w:pPr>
          </w:p>
        </w:tc>
        <w:tc>
          <w:tcPr>
            <w:tcW w:w="1793" w:type="pct"/>
          </w:tcPr>
          <w:p w14:paraId="1B61CB6B" w14:textId="77777777" w:rsidR="00F03CC0" w:rsidRPr="001B1EFB" w:rsidRDefault="00F03CC0" w:rsidP="008A5DA6">
            <w:pPr>
              <w:spacing w:after="0"/>
              <w:ind w:left="102" w:right="102"/>
            </w:pPr>
            <w:r w:rsidRPr="002B1B57">
              <w:rPr>
                <w:rFonts w:eastAsia="Century Gothic" w:cs="Century Gothic"/>
                <w:color w:val="000000"/>
                <w:sz w:val="18"/>
                <w:szCs w:val="18"/>
              </w:rPr>
              <w:t>Counter negative publicity of My Health record</w:t>
            </w:r>
          </w:p>
        </w:tc>
        <w:tc>
          <w:tcPr>
            <w:tcW w:w="647" w:type="pct"/>
          </w:tcPr>
          <w:p w14:paraId="11C59A25" w14:textId="77777777" w:rsidR="00F03CC0" w:rsidRPr="001B1EFB" w:rsidRDefault="00F03CC0" w:rsidP="008A5DA6">
            <w:pPr>
              <w:spacing w:after="0"/>
              <w:ind w:left="102" w:right="102"/>
              <w:jc w:val="right"/>
            </w:pPr>
            <w:r w:rsidRPr="001B1EFB">
              <w:rPr>
                <w:rFonts w:eastAsia="Century Gothic" w:cs="Century Gothic"/>
                <w:color w:val="000000"/>
                <w:sz w:val="18"/>
                <w:szCs w:val="18"/>
              </w:rPr>
              <w:t>1 (1.0%)</w:t>
            </w:r>
          </w:p>
        </w:tc>
      </w:tr>
      <w:tr w:rsidR="00F03CC0" w:rsidRPr="001B1EFB" w14:paraId="2FDE621A" w14:textId="77777777" w:rsidTr="00E27353">
        <w:trPr>
          <w:trHeight w:val="442"/>
        </w:trPr>
        <w:tc>
          <w:tcPr>
            <w:tcW w:w="1746" w:type="pct"/>
          </w:tcPr>
          <w:p w14:paraId="65661BD0" w14:textId="77777777" w:rsidR="00F03CC0" w:rsidRPr="001B1EFB" w:rsidRDefault="00F03CC0" w:rsidP="008A5DA6">
            <w:pPr>
              <w:spacing w:after="0"/>
              <w:ind w:left="102" w:right="102"/>
            </w:pPr>
            <w:r w:rsidRPr="001B1EFB">
              <w:rPr>
                <w:rFonts w:eastAsia="Century Gothic" w:cs="Century Gothic"/>
                <w:color w:val="000000"/>
                <w:sz w:val="18"/>
                <w:szCs w:val="18"/>
              </w:rPr>
              <w:t>Provide doctors/ other staff with more education</w:t>
            </w:r>
          </w:p>
        </w:tc>
        <w:tc>
          <w:tcPr>
            <w:tcW w:w="694" w:type="pct"/>
          </w:tcPr>
          <w:p w14:paraId="1945EFAE" w14:textId="77777777" w:rsidR="00F03CC0" w:rsidRPr="001B1EFB" w:rsidRDefault="00F03CC0" w:rsidP="008A5DA6">
            <w:pPr>
              <w:spacing w:after="0"/>
              <w:ind w:left="102" w:right="102"/>
              <w:jc w:val="right"/>
            </w:pPr>
            <w:r w:rsidRPr="001B1EFB">
              <w:rPr>
                <w:rFonts w:eastAsia="Century Gothic" w:cs="Century Gothic"/>
                <w:color w:val="000000"/>
                <w:sz w:val="18"/>
                <w:szCs w:val="18"/>
              </w:rPr>
              <w:t>6 (5.7%)</w:t>
            </w:r>
          </w:p>
        </w:tc>
        <w:tc>
          <w:tcPr>
            <w:tcW w:w="120" w:type="pct"/>
            <w:tcBorders>
              <w:top w:val="nil"/>
              <w:bottom w:val="nil"/>
            </w:tcBorders>
          </w:tcPr>
          <w:p w14:paraId="2B089604" w14:textId="77777777" w:rsidR="00F03CC0" w:rsidRPr="001B1EFB" w:rsidRDefault="00F03CC0" w:rsidP="008A5DA6">
            <w:pPr>
              <w:spacing w:after="0"/>
              <w:ind w:left="102" w:right="102"/>
              <w:jc w:val="right"/>
            </w:pPr>
          </w:p>
        </w:tc>
        <w:tc>
          <w:tcPr>
            <w:tcW w:w="1793" w:type="pct"/>
          </w:tcPr>
          <w:p w14:paraId="036FECF3" w14:textId="77777777" w:rsidR="00F03CC0" w:rsidRPr="001B1EFB" w:rsidRDefault="00F03CC0" w:rsidP="008A5DA6">
            <w:pPr>
              <w:spacing w:after="0"/>
              <w:ind w:left="102" w:right="102"/>
            </w:pPr>
            <w:r w:rsidRPr="001B1EFB">
              <w:rPr>
                <w:rFonts w:eastAsia="Century Gothic" w:cs="Century Gothic"/>
                <w:color w:val="000000"/>
                <w:sz w:val="18"/>
                <w:szCs w:val="18"/>
              </w:rPr>
              <w:t>Flexibility for patients to see different providers within the practice</w:t>
            </w:r>
          </w:p>
        </w:tc>
        <w:tc>
          <w:tcPr>
            <w:tcW w:w="647" w:type="pct"/>
          </w:tcPr>
          <w:p w14:paraId="77E1E36A" w14:textId="77777777" w:rsidR="00F03CC0" w:rsidRPr="001B1EFB" w:rsidRDefault="00F03CC0" w:rsidP="008A5DA6">
            <w:pPr>
              <w:spacing w:after="0"/>
              <w:ind w:left="102" w:right="102"/>
              <w:jc w:val="right"/>
            </w:pPr>
            <w:r w:rsidRPr="001B1EFB">
              <w:rPr>
                <w:rFonts w:eastAsia="Century Gothic" w:cs="Century Gothic"/>
                <w:color w:val="000000"/>
                <w:sz w:val="18"/>
                <w:szCs w:val="18"/>
              </w:rPr>
              <w:t>1 (1.0%)</w:t>
            </w:r>
          </w:p>
        </w:tc>
      </w:tr>
      <w:tr w:rsidR="00F03CC0" w:rsidRPr="001B1EFB" w14:paraId="2E8B487F" w14:textId="77777777" w:rsidTr="00E27353">
        <w:trPr>
          <w:trHeight w:val="442"/>
        </w:trPr>
        <w:tc>
          <w:tcPr>
            <w:tcW w:w="1746" w:type="pct"/>
          </w:tcPr>
          <w:p w14:paraId="01665E62" w14:textId="77777777" w:rsidR="00F03CC0" w:rsidRPr="001B1EFB" w:rsidRDefault="00F03CC0" w:rsidP="008A5DA6">
            <w:pPr>
              <w:spacing w:after="0"/>
              <w:ind w:left="102" w:right="102"/>
            </w:pPr>
            <w:r w:rsidRPr="001B1EFB">
              <w:rPr>
                <w:rFonts w:eastAsia="Century Gothic" w:cs="Century Gothic"/>
                <w:color w:val="000000"/>
                <w:sz w:val="18"/>
                <w:szCs w:val="18"/>
              </w:rPr>
              <w:t>Increase publicity of HCH to make patients more aware</w:t>
            </w:r>
          </w:p>
        </w:tc>
        <w:tc>
          <w:tcPr>
            <w:tcW w:w="694" w:type="pct"/>
          </w:tcPr>
          <w:p w14:paraId="4F3F8E66" w14:textId="77777777" w:rsidR="00F03CC0" w:rsidRPr="001B1EFB" w:rsidRDefault="00F03CC0" w:rsidP="008A5DA6">
            <w:pPr>
              <w:spacing w:after="0"/>
              <w:ind w:left="102" w:right="102"/>
              <w:jc w:val="right"/>
            </w:pPr>
            <w:r w:rsidRPr="001B1EFB">
              <w:rPr>
                <w:rFonts w:eastAsia="Century Gothic" w:cs="Century Gothic"/>
                <w:color w:val="000000"/>
                <w:sz w:val="18"/>
                <w:szCs w:val="18"/>
              </w:rPr>
              <w:t>5 (4.8%)</w:t>
            </w:r>
          </w:p>
        </w:tc>
        <w:tc>
          <w:tcPr>
            <w:tcW w:w="120" w:type="pct"/>
            <w:tcBorders>
              <w:top w:val="nil"/>
              <w:bottom w:val="nil"/>
            </w:tcBorders>
          </w:tcPr>
          <w:p w14:paraId="5446ACC1" w14:textId="77777777" w:rsidR="00F03CC0" w:rsidRPr="001B1EFB" w:rsidRDefault="00F03CC0" w:rsidP="008A5DA6">
            <w:pPr>
              <w:spacing w:after="0"/>
              <w:ind w:left="102" w:right="102"/>
              <w:jc w:val="right"/>
            </w:pPr>
          </w:p>
        </w:tc>
        <w:tc>
          <w:tcPr>
            <w:tcW w:w="1793" w:type="pct"/>
          </w:tcPr>
          <w:p w14:paraId="365E5B47" w14:textId="77777777" w:rsidR="00F03CC0" w:rsidRPr="001B1EFB" w:rsidRDefault="00F03CC0" w:rsidP="008A5DA6">
            <w:pPr>
              <w:spacing w:after="0"/>
              <w:ind w:left="102" w:right="102"/>
            </w:pPr>
            <w:r w:rsidRPr="001B1EFB">
              <w:rPr>
                <w:rFonts w:eastAsia="Century Gothic" w:cs="Century Gothic"/>
                <w:color w:val="000000"/>
                <w:sz w:val="18"/>
                <w:szCs w:val="18"/>
              </w:rPr>
              <w:t>Involvement of family members</w:t>
            </w:r>
          </w:p>
        </w:tc>
        <w:tc>
          <w:tcPr>
            <w:tcW w:w="647" w:type="pct"/>
          </w:tcPr>
          <w:p w14:paraId="5CE09399" w14:textId="77777777" w:rsidR="00F03CC0" w:rsidRPr="001B1EFB" w:rsidRDefault="00F03CC0" w:rsidP="008A5DA6">
            <w:pPr>
              <w:spacing w:after="0"/>
              <w:ind w:left="102" w:right="102"/>
              <w:jc w:val="right"/>
            </w:pPr>
            <w:r w:rsidRPr="001B1EFB">
              <w:rPr>
                <w:rFonts w:eastAsia="Century Gothic" w:cs="Century Gothic"/>
                <w:color w:val="000000"/>
                <w:sz w:val="18"/>
                <w:szCs w:val="18"/>
              </w:rPr>
              <w:t>1 (1.0%)</w:t>
            </w:r>
          </w:p>
        </w:tc>
      </w:tr>
      <w:tr w:rsidR="00F03CC0" w:rsidRPr="001B1EFB" w14:paraId="4B73868B" w14:textId="77777777" w:rsidTr="00E27353">
        <w:trPr>
          <w:trHeight w:val="442"/>
        </w:trPr>
        <w:tc>
          <w:tcPr>
            <w:tcW w:w="1746" w:type="pct"/>
          </w:tcPr>
          <w:p w14:paraId="306909E7" w14:textId="77777777" w:rsidR="00F03CC0" w:rsidRPr="001B1EFB" w:rsidRDefault="00F03CC0" w:rsidP="008A5DA6">
            <w:pPr>
              <w:spacing w:after="0"/>
              <w:ind w:left="102" w:right="102"/>
            </w:pPr>
            <w:r w:rsidRPr="001B1EFB">
              <w:rPr>
                <w:rFonts w:eastAsia="Century Gothic" w:cs="Century Gothic"/>
                <w:color w:val="000000"/>
                <w:sz w:val="18"/>
                <w:szCs w:val="18"/>
              </w:rPr>
              <w:t>Provide literature for patients and standardised approach to recruitment</w:t>
            </w:r>
          </w:p>
        </w:tc>
        <w:tc>
          <w:tcPr>
            <w:tcW w:w="694" w:type="pct"/>
          </w:tcPr>
          <w:p w14:paraId="48ADAD9F" w14:textId="77777777" w:rsidR="00F03CC0" w:rsidRPr="001B1EFB" w:rsidRDefault="00F03CC0" w:rsidP="008A5DA6">
            <w:pPr>
              <w:spacing w:after="0"/>
              <w:ind w:left="102" w:right="102"/>
              <w:jc w:val="right"/>
            </w:pPr>
            <w:r w:rsidRPr="001B1EFB">
              <w:rPr>
                <w:rFonts w:eastAsia="Century Gothic" w:cs="Century Gothic"/>
                <w:color w:val="000000"/>
                <w:sz w:val="18"/>
                <w:szCs w:val="18"/>
              </w:rPr>
              <w:t>4 (3.8%)</w:t>
            </w:r>
          </w:p>
        </w:tc>
        <w:tc>
          <w:tcPr>
            <w:tcW w:w="120" w:type="pct"/>
            <w:tcBorders>
              <w:top w:val="nil"/>
              <w:bottom w:val="nil"/>
            </w:tcBorders>
          </w:tcPr>
          <w:p w14:paraId="49EA8A46" w14:textId="77777777" w:rsidR="00F03CC0" w:rsidRPr="001B1EFB" w:rsidRDefault="00F03CC0" w:rsidP="008A5DA6">
            <w:pPr>
              <w:spacing w:after="0"/>
              <w:ind w:left="102" w:right="102"/>
              <w:jc w:val="right"/>
            </w:pPr>
          </w:p>
        </w:tc>
        <w:tc>
          <w:tcPr>
            <w:tcW w:w="1793" w:type="pct"/>
          </w:tcPr>
          <w:p w14:paraId="45C76D48" w14:textId="77777777" w:rsidR="00F03CC0" w:rsidRPr="001B1EFB" w:rsidRDefault="00F03CC0" w:rsidP="008A5DA6">
            <w:pPr>
              <w:spacing w:after="0"/>
              <w:ind w:left="102" w:right="102"/>
            </w:pPr>
            <w:r w:rsidRPr="001B1EFB">
              <w:rPr>
                <w:rFonts w:eastAsia="Century Gothic" w:cs="Century Gothic"/>
                <w:color w:val="000000"/>
                <w:sz w:val="18"/>
                <w:szCs w:val="18"/>
              </w:rPr>
              <w:t>MBS item number to prompt HCH registration</w:t>
            </w:r>
          </w:p>
        </w:tc>
        <w:tc>
          <w:tcPr>
            <w:tcW w:w="647" w:type="pct"/>
          </w:tcPr>
          <w:p w14:paraId="0EB8326F" w14:textId="77777777" w:rsidR="00F03CC0" w:rsidRPr="001B1EFB" w:rsidRDefault="00F03CC0" w:rsidP="008A5DA6">
            <w:pPr>
              <w:spacing w:after="0"/>
              <w:ind w:left="102" w:right="102"/>
              <w:jc w:val="right"/>
            </w:pPr>
            <w:r w:rsidRPr="001B1EFB">
              <w:rPr>
                <w:rFonts w:eastAsia="Century Gothic" w:cs="Century Gothic"/>
                <w:color w:val="000000"/>
                <w:sz w:val="18"/>
                <w:szCs w:val="18"/>
              </w:rPr>
              <w:t>1 (1.0%)</w:t>
            </w:r>
          </w:p>
        </w:tc>
      </w:tr>
    </w:tbl>
    <w:p w14:paraId="1D2F96FE" w14:textId="5B99065E" w:rsidR="00CA4767" w:rsidRPr="00BE18D0" w:rsidRDefault="00F03CC0" w:rsidP="002C00FA">
      <w:pPr>
        <w:pStyle w:val="Chartortablefootnote"/>
        <w:rPr>
          <w:rFonts w:cs="Calibri (Body)"/>
          <w:color w:val="000000"/>
          <w:szCs w:val="20"/>
        </w:rPr>
      </w:pPr>
      <w:r w:rsidRPr="002B1B57">
        <w:t>Source: Practice survey R2, Nov 2018</w:t>
      </w:r>
      <w:r w:rsidR="00E360ED">
        <w:t>–</w:t>
      </w:r>
      <w:r w:rsidRPr="002B1B57">
        <w:t>Mar 2019, question 14.</w:t>
      </w:r>
    </w:p>
    <w:p w14:paraId="60C45E58" w14:textId="77777777" w:rsidR="00253722" w:rsidRDefault="00253722" w:rsidP="00CF40AE">
      <w:pPr>
        <w:sectPr w:rsidR="00253722">
          <w:pgSz w:w="11906" w:h="16838"/>
          <w:pgMar w:top="1440" w:right="1440" w:bottom="1440" w:left="1440" w:header="708" w:footer="708" w:gutter="0"/>
          <w:cols w:space="708"/>
          <w:docGrid w:linePitch="360"/>
        </w:sectPr>
      </w:pPr>
    </w:p>
    <w:p w14:paraId="6864338D" w14:textId="45A29B1F" w:rsidR="00253722" w:rsidRPr="0094369A" w:rsidRDefault="00072628" w:rsidP="00253722">
      <w:pPr>
        <w:pStyle w:val="ChapterNumber"/>
      </w:pPr>
      <w:r>
        <w:lastRenderedPageBreak/>
        <w:fldChar w:fldCharType="begin"/>
      </w:r>
      <w:r>
        <w:instrText xml:space="preserve"> REF _Ref98410338 \r \h </w:instrText>
      </w:r>
      <w:r>
        <w:fldChar w:fldCharType="separate"/>
      </w:r>
      <w:r w:rsidR="003C4BC2">
        <w:t>8</w:t>
      </w:r>
      <w:r>
        <w:fldChar w:fldCharType="end"/>
      </w:r>
    </w:p>
    <w:p w14:paraId="671AA367" w14:textId="5E897B14" w:rsidR="00253722" w:rsidRDefault="00253722" w:rsidP="00253722">
      <w:pPr>
        <w:pStyle w:val="Heading1withnumber"/>
        <w:ind w:left="0" w:hanging="567"/>
      </w:pPr>
      <w:bookmarkStart w:id="141" w:name="_Ref98410338"/>
      <w:bookmarkStart w:id="142" w:name="_Toc109996672"/>
      <w:r>
        <w:t>Bundled payment</w:t>
      </w:r>
      <w:bookmarkEnd w:id="141"/>
      <w:bookmarkEnd w:id="142"/>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253722" w:rsidRPr="0048466A" w14:paraId="0C78C08C" w14:textId="77777777" w:rsidTr="0032660B">
        <w:tc>
          <w:tcPr>
            <w:tcW w:w="8996" w:type="dxa"/>
            <w:shd w:val="clear" w:color="auto" w:fill="auto"/>
          </w:tcPr>
          <w:p w14:paraId="03FB97F0" w14:textId="40E7C2C6" w:rsidR="00253722" w:rsidRPr="00E76EF4" w:rsidRDefault="00253722" w:rsidP="00BE164E">
            <w:pPr>
              <w:pStyle w:val="Boxheading"/>
              <w:spacing w:after="120"/>
              <w:rPr>
                <w:bCs/>
                <w:szCs w:val="20"/>
              </w:rPr>
            </w:pPr>
            <w:r w:rsidRPr="00E76EF4">
              <w:rPr>
                <w:bCs/>
                <w:szCs w:val="20"/>
              </w:rPr>
              <w:t xml:space="preserve">Box </w:t>
            </w:r>
            <w:r w:rsidRPr="00E76EF4">
              <w:rPr>
                <w:bCs/>
              </w:rPr>
              <w:fldChar w:fldCharType="begin"/>
            </w:r>
            <w:r w:rsidRPr="00E76EF4">
              <w:rPr>
                <w:bCs/>
              </w:rPr>
              <w:instrText xml:space="preserve"> SEQ Box \* ARABIC </w:instrText>
            </w:r>
            <w:r w:rsidRPr="00E76EF4">
              <w:rPr>
                <w:bCs/>
              </w:rPr>
              <w:fldChar w:fldCharType="separate"/>
            </w:r>
            <w:r w:rsidR="003C4BC2">
              <w:rPr>
                <w:bCs/>
                <w:noProof/>
              </w:rPr>
              <w:t>12</w:t>
            </w:r>
            <w:r w:rsidRPr="00E76EF4">
              <w:rPr>
                <w:bCs/>
                <w:noProof/>
              </w:rPr>
              <w:fldChar w:fldCharType="end"/>
            </w:r>
            <w:r w:rsidRPr="00E76EF4">
              <w:rPr>
                <w:bCs/>
                <w:szCs w:val="20"/>
              </w:rPr>
              <w:t xml:space="preserve">: </w:t>
            </w:r>
            <w:r w:rsidR="007F675C" w:rsidRPr="00E76EF4">
              <w:rPr>
                <w:bCs/>
                <w:szCs w:val="20"/>
              </w:rPr>
              <w:t>Chapter summary</w:t>
            </w:r>
          </w:p>
          <w:p w14:paraId="0C58EC8E" w14:textId="5A549D98" w:rsidR="00F63D2E" w:rsidRPr="00F63D2E" w:rsidRDefault="00F63D2E" w:rsidP="00F63D2E">
            <w:pPr>
              <w:spacing w:after="120"/>
              <w:rPr>
                <w:rFonts w:eastAsia="Muli" w:cs="Muli"/>
                <w:color w:val="000000" w:themeColor="text1"/>
                <w:sz w:val="18"/>
                <w:szCs w:val="18"/>
              </w:rPr>
            </w:pPr>
            <w:r w:rsidRPr="00F63D2E">
              <w:rPr>
                <w:rFonts w:eastAsia="Muli" w:cs="Muli"/>
                <w:color w:val="000000" w:themeColor="text1"/>
                <w:sz w:val="18"/>
                <w:szCs w:val="18"/>
              </w:rPr>
              <w:t xml:space="preserve">Implementing the bundled payment </w:t>
            </w:r>
            <w:r w:rsidR="000155F9">
              <w:rPr>
                <w:rFonts w:eastAsia="Muli" w:cs="Muli"/>
                <w:color w:val="000000" w:themeColor="text1"/>
                <w:sz w:val="18"/>
                <w:szCs w:val="18"/>
              </w:rPr>
              <w:t>absorbed</w:t>
            </w:r>
            <w:r w:rsidR="007D48BF">
              <w:rPr>
                <w:rFonts w:eastAsia="Muli" w:cs="Muli"/>
                <w:color w:val="000000" w:themeColor="text1"/>
                <w:sz w:val="18"/>
                <w:szCs w:val="18"/>
              </w:rPr>
              <w:t xml:space="preserve"> </w:t>
            </w:r>
            <w:r w:rsidRPr="00F63D2E">
              <w:rPr>
                <w:rFonts w:eastAsia="Muli" w:cs="Muli"/>
                <w:color w:val="000000" w:themeColor="text1"/>
                <w:sz w:val="18"/>
                <w:szCs w:val="18"/>
              </w:rPr>
              <w:t xml:space="preserve">a large amount of practices’ time </w:t>
            </w:r>
            <w:r w:rsidR="005E0A8F">
              <w:rPr>
                <w:rFonts w:eastAsia="Muli" w:cs="Muli"/>
                <w:color w:val="000000" w:themeColor="text1"/>
                <w:sz w:val="18"/>
                <w:szCs w:val="18"/>
              </w:rPr>
              <w:t xml:space="preserve">in </w:t>
            </w:r>
            <w:r w:rsidRPr="00F63D2E">
              <w:rPr>
                <w:rFonts w:eastAsia="Muli" w:cs="Muli"/>
                <w:color w:val="000000" w:themeColor="text1"/>
                <w:sz w:val="18"/>
                <w:szCs w:val="18"/>
              </w:rPr>
              <w:t>the initial stages of the trial, working out how to distribute the payment amongst staff and what services were in the bundle versus what could be charged separately. Some practices also spent time convincing their GPs about the advantages of the payment model compared with fee-for-service.</w:t>
            </w:r>
          </w:p>
          <w:p w14:paraId="4A77C7D8" w14:textId="06E773D7" w:rsidR="00F63D2E" w:rsidRPr="00F63D2E" w:rsidRDefault="00F63D2E" w:rsidP="00F63D2E">
            <w:pPr>
              <w:spacing w:after="120"/>
              <w:rPr>
                <w:rFonts w:eastAsia="Muli" w:cs="Muli"/>
                <w:color w:val="000000" w:themeColor="text1"/>
                <w:sz w:val="18"/>
                <w:szCs w:val="18"/>
              </w:rPr>
            </w:pPr>
            <w:r w:rsidRPr="00F63D2E">
              <w:rPr>
                <w:rFonts w:eastAsia="Muli" w:cs="Muli"/>
                <w:color w:val="000000" w:themeColor="text1"/>
                <w:sz w:val="18"/>
                <w:szCs w:val="18"/>
              </w:rPr>
              <w:t xml:space="preserve">As the trial progressed, practices appeared to have worked out how to manage the bundled payment, but many continued to report difficulties with how to distribute the payments amongst staff and differentiating between chronic and acute care for the purposes of payment. Managing two systems of charging in the same practice </w:t>
            </w:r>
            <w:r w:rsidR="00111715">
              <w:rPr>
                <w:rFonts w:eastAsia="Muli" w:cs="Muli"/>
                <w:color w:val="000000" w:themeColor="text1"/>
                <w:sz w:val="18"/>
                <w:szCs w:val="18"/>
              </w:rPr>
              <w:t xml:space="preserve">– fee-for-service alongside the bundled payment </w:t>
            </w:r>
            <w:r w:rsidR="009571FA">
              <w:rPr>
                <w:rFonts w:eastAsia="Muli" w:cs="Muli"/>
                <w:color w:val="000000" w:themeColor="text1"/>
                <w:sz w:val="18"/>
                <w:szCs w:val="18"/>
              </w:rPr>
              <w:t>–</w:t>
            </w:r>
            <w:r w:rsidR="00111715">
              <w:rPr>
                <w:rFonts w:eastAsia="Muli" w:cs="Muli"/>
                <w:color w:val="000000" w:themeColor="text1"/>
                <w:sz w:val="18"/>
                <w:szCs w:val="18"/>
              </w:rPr>
              <w:t xml:space="preserve"> </w:t>
            </w:r>
            <w:r w:rsidRPr="00F63D2E">
              <w:rPr>
                <w:rFonts w:eastAsia="Muli" w:cs="Muli"/>
                <w:color w:val="000000" w:themeColor="text1"/>
                <w:sz w:val="18"/>
                <w:szCs w:val="18"/>
              </w:rPr>
              <w:t xml:space="preserve">was </w:t>
            </w:r>
            <w:r w:rsidR="00B9413C" w:rsidRPr="00F63D2E">
              <w:rPr>
                <w:rFonts w:eastAsia="Muli" w:cs="Muli"/>
                <w:color w:val="000000" w:themeColor="text1"/>
                <w:sz w:val="18"/>
                <w:szCs w:val="18"/>
              </w:rPr>
              <w:t xml:space="preserve">also </w:t>
            </w:r>
            <w:r w:rsidR="00B9413C">
              <w:rPr>
                <w:rFonts w:eastAsia="Muli" w:cs="Muli"/>
                <w:color w:val="000000" w:themeColor="text1"/>
                <w:sz w:val="18"/>
                <w:szCs w:val="18"/>
              </w:rPr>
              <w:t>challenge</w:t>
            </w:r>
            <w:r w:rsidR="008A6E6E">
              <w:rPr>
                <w:rFonts w:eastAsia="Muli" w:cs="Muli"/>
                <w:color w:val="000000" w:themeColor="text1"/>
                <w:sz w:val="18"/>
                <w:szCs w:val="18"/>
              </w:rPr>
              <w:t xml:space="preserve"> </w:t>
            </w:r>
            <w:r w:rsidRPr="00F63D2E">
              <w:rPr>
                <w:rFonts w:eastAsia="Muli" w:cs="Muli"/>
                <w:color w:val="000000" w:themeColor="text1"/>
                <w:sz w:val="18"/>
                <w:szCs w:val="18"/>
              </w:rPr>
              <w:t xml:space="preserve">for many practices, especially where they had </w:t>
            </w:r>
            <w:r w:rsidR="0028726D">
              <w:rPr>
                <w:rFonts w:eastAsia="Muli" w:cs="Muli"/>
                <w:color w:val="000000" w:themeColor="text1"/>
                <w:sz w:val="18"/>
                <w:szCs w:val="18"/>
              </w:rPr>
              <w:t xml:space="preserve">only </w:t>
            </w:r>
            <w:r w:rsidRPr="00F63D2E">
              <w:rPr>
                <w:rFonts w:eastAsia="Muli" w:cs="Muli"/>
                <w:color w:val="000000" w:themeColor="text1"/>
                <w:sz w:val="18"/>
                <w:szCs w:val="18"/>
              </w:rPr>
              <w:t>few patients enrolled.</w:t>
            </w:r>
          </w:p>
          <w:p w14:paraId="703A9583" w14:textId="77777777" w:rsidR="00F63D2E" w:rsidRDefault="00F63D2E" w:rsidP="00F63D2E">
            <w:pPr>
              <w:spacing w:after="120"/>
              <w:rPr>
                <w:rFonts w:eastAsia="Muli" w:cs="Muli"/>
                <w:color w:val="000000" w:themeColor="text1"/>
                <w:sz w:val="18"/>
                <w:szCs w:val="18"/>
              </w:rPr>
            </w:pPr>
            <w:r w:rsidRPr="00F63D2E">
              <w:rPr>
                <w:rFonts w:eastAsia="Muli" w:cs="Muli"/>
                <w:color w:val="000000" w:themeColor="text1"/>
                <w:sz w:val="18"/>
                <w:szCs w:val="18"/>
              </w:rPr>
              <w:t>The perceived benefits of the bundled payment for practices and GPs included certainty of funding, additional financial flexibility and potential time savings for GPs as they could delegate certain tasks to other team members. Perceived disadvantages included an increased workload and the amount of time it took to understand and implement the HCH model.</w:t>
            </w:r>
          </w:p>
          <w:p w14:paraId="40AC013C" w14:textId="4FB725DF" w:rsidR="000A5254" w:rsidRPr="00F63D2E" w:rsidRDefault="00727A6D" w:rsidP="00F63D2E">
            <w:pPr>
              <w:spacing w:after="120"/>
              <w:rPr>
                <w:rFonts w:eastAsia="Muli" w:cs="Muli"/>
                <w:color w:val="000000" w:themeColor="text1"/>
                <w:sz w:val="18"/>
                <w:szCs w:val="18"/>
              </w:rPr>
            </w:pPr>
            <w:r>
              <w:rPr>
                <w:rFonts w:eastAsia="Muli" w:cs="Muli"/>
                <w:color w:val="000000" w:themeColor="text1"/>
                <w:sz w:val="18"/>
                <w:szCs w:val="18"/>
              </w:rPr>
              <w:t>The</w:t>
            </w:r>
            <w:r w:rsidR="008D1F89" w:rsidRPr="008D1F89">
              <w:rPr>
                <w:rFonts w:eastAsia="Muli" w:cs="Muli"/>
                <w:color w:val="000000" w:themeColor="text1"/>
                <w:sz w:val="18"/>
                <w:szCs w:val="18"/>
              </w:rPr>
              <w:t xml:space="preserve"> ACCHS suggested that the bundled payment – with refinements – may a viable and appropriate </w:t>
            </w:r>
            <w:r w:rsidR="0019073C">
              <w:rPr>
                <w:rFonts w:eastAsia="Muli" w:cs="Muli"/>
                <w:color w:val="000000" w:themeColor="text1"/>
                <w:sz w:val="18"/>
                <w:szCs w:val="18"/>
              </w:rPr>
              <w:t xml:space="preserve">payment </w:t>
            </w:r>
            <w:r w:rsidR="008D1F89" w:rsidRPr="008D1F89">
              <w:rPr>
                <w:rFonts w:eastAsia="Muli" w:cs="Muli"/>
                <w:color w:val="000000" w:themeColor="text1"/>
                <w:sz w:val="18"/>
                <w:szCs w:val="18"/>
              </w:rPr>
              <w:t xml:space="preserve">approach </w:t>
            </w:r>
            <w:r w:rsidR="0019073C">
              <w:rPr>
                <w:rFonts w:eastAsia="Muli" w:cs="Muli"/>
                <w:color w:val="000000" w:themeColor="text1"/>
                <w:sz w:val="18"/>
                <w:szCs w:val="18"/>
              </w:rPr>
              <w:t>for</w:t>
            </w:r>
            <w:r w:rsidR="008D1F89" w:rsidRPr="008D1F89">
              <w:rPr>
                <w:rFonts w:eastAsia="Muli" w:cs="Muli"/>
                <w:color w:val="000000" w:themeColor="text1"/>
                <w:sz w:val="18"/>
                <w:szCs w:val="18"/>
              </w:rPr>
              <w:t xml:space="preserve"> the</w:t>
            </w:r>
            <w:r>
              <w:rPr>
                <w:rFonts w:eastAsia="Muli" w:cs="Muli"/>
                <w:color w:val="000000" w:themeColor="text1"/>
                <w:sz w:val="18"/>
                <w:szCs w:val="18"/>
              </w:rPr>
              <w:t>ir</w:t>
            </w:r>
            <w:r w:rsidR="008D1F89" w:rsidRPr="008D1F89">
              <w:rPr>
                <w:rFonts w:eastAsia="Muli" w:cs="Muli"/>
                <w:color w:val="000000" w:themeColor="text1"/>
                <w:sz w:val="18"/>
                <w:szCs w:val="18"/>
              </w:rPr>
              <w:t xml:space="preserve"> settings. This partly reflects that ACCHS are typically offering a team-based approach in which there is much greater reliance on nurses, Aboriginal health practitioners and workers, and allied health professionals, and that these service providers are only partially and inadequately supported through MBS fee-for-service revenue. Additionally, the bundled payment offered greater predictability in revenue and opportunities to use funds more flexibly in addressing priority needs within the practice population.</w:t>
            </w:r>
          </w:p>
          <w:p w14:paraId="1286BFF3" w14:textId="4189C7F8" w:rsidR="00F63D2E" w:rsidRPr="00F63D2E" w:rsidRDefault="00F63D2E" w:rsidP="00F63D2E">
            <w:pPr>
              <w:spacing w:after="120"/>
              <w:rPr>
                <w:rFonts w:eastAsia="Muli" w:cs="Muli"/>
                <w:color w:val="000000" w:themeColor="text1"/>
                <w:sz w:val="18"/>
                <w:szCs w:val="18"/>
              </w:rPr>
            </w:pPr>
            <w:r w:rsidRPr="00F63D2E">
              <w:rPr>
                <w:rFonts w:eastAsia="Muli" w:cs="Muli"/>
                <w:color w:val="000000" w:themeColor="text1"/>
                <w:sz w:val="18"/>
                <w:szCs w:val="18"/>
              </w:rPr>
              <w:t xml:space="preserve">Many practices were interested in testing and/or comparing the bundled payment with the fee-for-service model and thus enrolled only a few patients. Practices that enrolled a higher number of patients were more likely to report that the bundled payment model was having a positive financial impact. Nevertheless, some felt that regardless of the number of patients, the financial model </w:t>
            </w:r>
            <w:r w:rsidR="00A274B9">
              <w:rPr>
                <w:rFonts w:eastAsia="Muli" w:cs="Muli"/>
                <w:color w:val="000000" w:themeColor="text1"/>
                <w:sz w:val="18"/>
                <w:szCs w:val="18"/>
              </w:rPr>
              <w:t>did</w:t>
            </w:r>
            <w:r w:rsidRPr="00F63D2E">
              <w:rPr>
                <w:rFonts w:eastAsia="Muli" w:cs="Muli"/>
                <w:color w:val="000000" w:themeColor="text1"/>
                <w:sz w:val="18"/>
                <w:szCs w:val="18"/>
              </w:rPr>
              <w:t xml:space="preserve"> not allow them to provide more services or hire additional staff.</w:t>
            </w:r>
          </w:p>
          <w:p w14:paraId="7A6B074B" w14:textId="77777777" w:rsidR="00253722" w:rsidRDefault="00F63D2E" w:rsidP="00F63D2E">
            <w:pPr>
              <w:spacing w:after="120"/>
              <w:rPr>
                <w:rFonts w:eastAsia="Muli" w:cs="Muli"/>
                <w:color w:val="000000" w:themeColor="text1"/>
                <w:sz w:val="18"/>
                <w:szCs w:val="18"/>
              </w:rPr>
            </w:pPr>
            <w:r w:rsidRPr="00F63D2E">
              <w:rPr>
                <w:rFonts w:eastAsia="Muli" w:cs="Muli"/>
                <w:color w:val="000000" w:themeColor="text1"/>
                <w:sz w:val="18"/>
                <w:szCs w:val="18"/>
              </w:rPr>
              <w:t>Practices offered a range of ways in which the bundled payment could be improved. Many recommended increasing the level of funding by tier or expanding the tiers to recognise more costly patients to further incentivising practices to focus on prevention and the achievement of positive health outcomes.</w:t>
            </w:r>
          </w:p>
          <w:p w14:paraId="190C6B30" w14:textId="6F563915" w:rsidR="0070726A" w:rsidRPr="005579AD" w:rsidRDefault="0070726A" w:rsidP="00F63D2E">
            <w:pPr>
              <w:spacing w:after="120"/>
              <w:rPr>
                <w:rFonts w:eastAsia="Muli" w:cs="Muli"/>
                <w:color w:val="000000" w:themeColor="text1"/>
                <w:sz w:val="18"/>
                <w:szCs w:val="18"/>
              </w:rPr>
            </w:pPr>
            <w:r>
              <w:rPr>
                <w:rFonts w:eastAsia="Muli" w:cs="Muli"/>
                <w:color w:val="000000" w:themeColor="text1"/>
                <w:sz w:val="18"/>
                <w:szCs w:val="18"/>
              </w:rPr>
              <w:t>Overa</w:t>
            </w:r>
            <w:r w:rsidR="00217003">
              <w:rPr>
                <w:rFonts w:eastAsia="Muli" w:cs="Muli"/>
                <w:color w:val="000000" w:themeColor="text1"/>
                <w:sz w:val="18"/>
                <w:szCs w:val="18"/>
              </w:rPr>
              <w:t>l</w:t>
            </w:r>
            <w:r>
              <w:rPr>
                <w:rFonts w:eastAsia="Muli" w:cs="Muli"/>
                <w:color w:val="000000" w:themeColor="text1"/>
                <w:sz w:val="18"/>
                <w:szCs w:val="18"/>
              </w:rPr>
              <w:t xml:space="preserve">l, the </w:t>
            </w:r>
            <w:r w:rsidRPr="0070726A">
              <w:rPr>
                <w:rFonts w:eastAsia="Muli" w:cs="Muli"/>
                <w:color w:val="000000" w:themeColor="text1"/>
                <w:sz w:val="18"/>
                <w:szCs w:val="18"/>
              </w:rPr>
              <w:t>HCH trial demonstrated that it is feasible to implement a bundled payment approach for Australian primary care services</w:t>
            </w:r>
            <w:r w:rsidR="00BB3A27">
              <w:rPr>
                <w:rFonts w:eastAsia="Muli" w:cs="Muli"/>
                <w:color w:val="000000" w:themeColor="text1"/>
                <w:sz w:val="18"/>
                <w:szCs w:val="18"/>
              </w:rPr>
              <w:t xml:space="preserve">. However, </w:t>
            </w:r>
            <w:r w:rsidR="000C6BEF">
              <w:rPr>
                <w:rFonts w:eastAsia="Muli" w:cs="Muli"/>
                <w:color w:val="000000" w:themeColor="text1"/>
                <w:sz w:val="18"/>
                <w:szCs w:val="18"/>
              </w:rPr>
              <w:t xml:space="preserve">the evaluation </w:t>
            </w:r>
            <w:r w:rsidRPr="0070726A">
              <w:rPr>
                <w:rFonts w:eastAsia="Muli" w:cs="Muli"/>
                <w:color w:val="000000" w:themeColor="text1"/>
                <w:sz w:val="18"/>
                <w:szCs w:val="18"/>
              </w:rPr>
              <w:t xml:space="preserve">was unable to reach clear conclusions about the long-term value of this payment reform. </w:t>
            </w:r>
            <w:r w:rsidR="00BB3A27">
              <w:rPr>
                <w:rFonts w:eastAsia="Muli" w:cs="Muli"/>
                <w:color w:val="000000" w:themeColor="text1"/>
                <w:sz w:val="18"/>
                <w:szCs w:val="18"/>
              </w:rPr>
              <w:t>P</w:t>
            </w:r>
            <w:r w:rsidRPr="0070726A">
              <w:rPr>
                <w:rFonts w:eastAsia="Muli" w:cs="Muli"/>
                <w:color w:val="000000" w:themeColor="text1"/>
                <w:sz w:val="18"/>
                <w:szCs w:val="18"/>
              </w:rPr>
              <w:t>otential improvements to the approach were identified, and the circumstances in which the approach may be more appropriate</w:t>
            </w:r>
            <w:r w:rsidR="007449C5">
              <w:rPr>
                <w:rFonts w:eastAsia="Muli" w:cs="Muli"/>
                <w:color w:val="000000" w:themeColor="text1"/>
                <w:sz w:val="18"/>
                <w:szCs w:val="18"/>
              </w:rPr>
              <w:t xml:space="preserve">. </w:t>
            </w:r>
            <w:r w:rsidR="004C315B" w:rsidRPr="00EE56A9">
              <w:rPr>
                <w:rFonts w:eastAsia="Muli" w:cs="Muli"/>
                <w:color w:val="000000" w:themeColor="text1"/>
                <w:sz w:val="18"/>
                <w:szCs w:val="18"/>
              </w:rPr>
              <w:t xml:space="preserve">Chapter </w:t>
            </w:r>
            <w:r w:rsidR="004C315B">
              <w:rPr>
                <w:rFonts w:eastAsia="Muli" w:cs="Muli"/>
                <w:color w:val="000000" w:themeColor="text1"/>
                <w:sz w:val="18"/>
                <w:szCs w:val="18"/>
              </w:rPr>
              <w:fldChar w:fldCharType="begin"/>
            </w:r>
            <w:r w:rsidR="004C315B">
              <w:rPr>
                <w:rFonts w:eastAsia="Muli" w:cs="Muli"/>
                <w:color w:val="000000" w:themeColor="text1"/>
                <w:sz w:val="18"/>
                <w:szCs w:val="18"/>
              </w:rPr>
              <w:instrText xml:space="preserve"> REF _Ref99902892 \r \h </w:instrText>
            </w:r>
            <w:r w:rsidR="004C315B">
              <w:rPr>
                <w:rFonts w:eastAsia="Muli" w:cs="Muli"/>
                <w:color w:val="000000" w:themeColor="text1"/>
                <w:sz w:val="18"/>
                <w:szCs w:val="18"/>
              </w:rPr>
            </w:r>
            <w:r w:rsidR="004C315B">
              <w:rPr>
                <w:rFonts w:eastAsia="Muli" w:cs="Muli"/>
                <w:color w:val="000000" w:themeColor="text1"/>
                <w:sz w:val="18"/>
                <w:szCs w:val="18"/>
              </w:rPr>
              <w:fldChar w:fldCharType="separate"/>
            </w:r>
            <w:r w:rsidR="003C4BC2">
              <w:rPr>
                <w:rFonts w:eastAsia="Muli" w:cs="Muli"/>
                <w:color w:val="000000" w:themeColor="text1"/>
                <w:sz w:val="18"/>
                <w:szCs w:val="18"/>
              </w:rPr>
              <w:t>26</w:t>
            </w:r>
            <w:r w:rsidR="004C315B">
              <w:rPr>
                <w:rFonts w:eastAsia="Muli" w:cs="Muli"/>
                <w:color w:val="000000" w:themeColor="text1"/>
                <w:sz w:val="18"/>
                <w:szCs w:val="18"/>
              </w:rPr>
              <w:fldChar w:fldCharType="end"/>
            </w:r>
            <w:r w:rsidR="004C315B" w:rsidRPr="00EE56A9">
              <w:rPr>
                <w:rFonts w:eastAsia="Muli" w:cs="Muli"/>
                <w:color w:val="000000" w:themeColor="text1"/>
                <w:sz w:val="18"/>
                <w:szCs w:val="18"/>
              </w:rPr>
              <w:t xml:space="preserve"> (p. </w:t>
            </w:r>
            <w:r w:rsidR="004C315B" w:rsidRPr="00EE56A9">
              <w:rPr>
                <w:rFonts w:eastAsia="Muli" w:cs="Muli"/>
                <w:color w:val="000000" w:themeColor="text1"/>
                <w:sz w:val="18"/>
                <w:szCs w:val="18"/>
              </w:rPr>
              <w:fldChar w:fldCharType="begin"/>
            </w:r>
            <w:r w:rsidR="004C315B" w:rsidRPr="00EE56A9">
              <w:rPr>
                <w:rFonts w:eastAsia="Muli" w:cs="Muli"/>
                <w:color w:val="000000" w:themeColor="text1"/>
                <w:sz w:val="18"/>
                <w:szCs w:val="18"/>
              </w:rPr>
              <w:instrText xml:space="preserve"> PAGEREF _Ref103681470 \h </w:instrText>
            </w:r>
            <w:r w:rsidR="004C315B" w:rsidRPr="00EE56A9">
              <w:rPr>
                <w:rFonts w:eastAsia="Muli" w:cs="Muli"/>
                <w:color w:val="000000" w:themeColor="text1"/>
                <w:sz w:val="18"/>
                <w:szCs w:val="18"/>
              </w:rPr>
            </w:r>
            <w:r w:rsidR="004C315B" w:rsidRPr="00EE56A9">
              <w:rPr>
                <w:rFonts w:eastAsia="Muli" w:cs="Muli"/>
                <w:color w:val="000000" w:themeColor="text1"/>
                <w:sz w:val="18"/>
                <w:szCs w:val="18"/>
              </w:rPr>
              <w:fldChar w:fldCharType="separate"/>
            </w:r>
            <w:r w:rsidR="003C4BC2">
              <w:rPr>
                <w:rFonts w:eastAsia="Muli" w:cs="Muli"/>
                <w:noProof/>
                <w:color w:val="000000" w:themeColor="text1"/>
                <w:sz w:val="18"/>
                <w:szCs w:val="18"/>
              </w:rPr>
              <w:t>341</w:t>
            </w:r>
            <w:r w:rsidR="004C315B" w:rsidRPr="00EE56A9">
              <w:rPr>
                <w:rFonts w:eastAsia="Muli" w:cs="Muli"/>
                <w:color w:val="000000" w:themeColor="text1"/>
                <w:sz w:val="18"/>
                <w:szCs w:val="18"/>
              </w:rPr>
              <w:fldChar w:fldCharType="end"/>
            </w:r>
            <w:r w:rsidR="004C315B" w:rsidRPr="00EE56A9">
              <w:rPr>
                <w:rFonts w:eastAsia="Muli" w:cs="Muli"/>
                <w:color w:val="000000" w:themeColor="text1"/>
                <w:sz w:val="18"/>
                <w:szCs w:val="18"/>
              </w:rPr>
              <w:t>)</w:t>
            </w:r>
            <w:r w:rsidR="004C315B">
              <w:rPr>
                <w:rFonts w:eastAsia="Muli" w:cs="Muli"/>
                <w:color w:val="000000" w:themeColor="text1"/>
                <w:sz w:val="18"/>
                <w:szCs w:val="18"/>
              </w:rPr>
              <w:t xml:space="preserve"> </w:t>
            </w:r>
            <w:r w:rsidR="00B63C58">
              <w:rPr>
                <w:rFonts w:eastAsia="Muli" w:cs="Muli"/>
                <w:color w:val="000000" w:themeColor="text1"/>
                <w:sz w:val="18"/>
                <w:szCs w:val="18"/>
              </w:rPr>
              <w:t>outlines these</w:t>
            </w:r>
            <w:r w:rsidR="004C315B">
              <w:rPr>
                <w:rFonts w:eastAsia="Muli" w:cs="Muli"/>
                <w:color w:val="000000" w:themeColor="text1"/>
                <w:sz w:val="18"/>
                <w:szCs w:val="18"/>
              </w:rPr>
              <w:t>.</w:t>
            </w:r>
          </w:p>
        </w:tc>
      </w:tr>
    </w:tbl>
    <w:p w14:paraId="0F7F5F81" w14:textId="1678E866" w:rsidR="000155F9" w:rsidRDefault="000155F9" w:rsidP="00253722">
      <w:pPr>
        <w:spacing w:after="0"/>
      </w:pPr>
    </w:p>
    <w:p w14:paraId="37785743" w14:textId="77777777" w:rsidR="000155F9" w:rsidRDefault="000155F9">
      <w:pPr>
        <w:spacing w:after="160" w:line="259" w:lineRule="auto"/>
      </w:pPr>
      <w:r>
        <w:br w:type="page"/>
      </w:r>
    </w:p>
    <w:p w14:paraId="247F8486" w14:textId="1EC4D566" w:rsidR="00253722" w:rsidRDefault="003E0C5F" w:rsidP="00253722">
      <w:pPr>
        <w:pStyle w:val="Heading2"/>
      </w:pPr>
      <w:bookmarkStart w:id="143" w:name="_Toc109996673"/>
      <w:r>
        <w:lastRenderedPageBreak/>
        <w:t>Overview</w:t>
      </w:r>
      <w:bookmarkEnd w:id="143"/>
    </w:p>
    <w:p w14:paraId="439FD7AA" w14:textId="5A394B52" w:rsidR="00A36D08" w:rsidRPr="00B716C2" w:rsidRDefault="00A36D08" w:rsidP="00A36D08">
      <w:r w:rsidRPr="00B716C2">
        <w:t>HCHs receive</w:t>
      </w:r>
      <w:r w:rsidR="00423629">
        <w:t>d</w:t>
      </w:r>
      <w:r w:rsidRPr="00B716C2">
        <w:t xml:space="preserve"> a bundled payment for services related to </w:t>
      </w:r>
      <w:r w:rsidR="00F33BF0">
        <w:t>enrolled</w:t>
      </w:r>
      <w:r w:rsidRPr="00B716C2">
        <w:t xml:space="preserve"> patients</w:t>
      </w:r>
      <w:r w:rsidR="00F33BF0">
        <w:t>’</w:t>
      </w:r>
      <w:r w:rsidRPr="00B716C2">
        <w:t xml:space="preserve"> chronic conditions</w:t>
      </w:r>
      <w:r w:rsidR="007F675C">
        <w:t xml:space="preserve"> (</w:t>
      </w:r>
      <w:r w:rsidR="007F675C" w:rsidRPr="001018EB">
        <w:rPr>
          <w:color w:val="002060"/>
        </w:rPr>
        <w:fldChar w:fldCharType="begin"/>
      </w:r>
      <w:r w:rsidR="007F675C" w:rsidRPr="001018EB">
        <w:rPr>
          <w:color w:val="002060"/>
        </w:rPr>
        <w:instrText xml:space="preserve"> REF Bxbndldpymntinclsns \h  \* MERGEFORMAT </w:instrText>
      </w:r>
      <w:r w:rsidR="007F675C" w:rsidRPr="001018EB">
        <w:rPr>
          <w:color w:val="002060"/>
        </w:rPr>
      </w:r>
      <w:r w:rsidR="007F675C" w:rsidRPr="001018EB">
        <w:rPr>
          <w:color w:val="002060"/>
        </w:rPr>
        <w:fldChar w:fldCharType="separate"/>
      </w:r>
      <w:r w:rsidR="003C4BC2" w:rsidRPr="003C4BC2">
        <w:rPr>
          <w:color w:val="002060"/>
          <w:szCs w:val="20"/>
        </w:rPr>
        <w:t xml:space="preserve">Box </w:t>
      </w:r>
      <w:r w:rsidR="003C4BC2" w:rsidRPr="003C4BC2">
        <w:rPr>
          <w:noProof/>
          <w:color w:val="002060"/>
        </w:rPr>
        <w:t>13</w:t>
      </w:r>
      <w:r w:rsidR="007F675C" w:rsidRPr="001018EB">
        <w:rPr>
          <w:color w:val="002060"/>
        </w:rPr>
        <w:fldChar w:fldCharType="end"/>
      </w:r>
      <w:r w:rsidR="007F675C">
        <w:t>)</w:t>
      </w:r>
      <w:r w:rsidRPr="00B716C2">
        <w:t xml:space="preserve">. An annual payment rate </w:t>
      </w:r>
      <w:r w:rsidR="00423629">
        <w:t>wa</w:t>
      </w:r>
      <w:r w:rsidRPr="00B716C2">
        <w:t xml:space="preserve">s set </w:t>
      </w:r>
      <w:r w:rsidR="0036066E">
        <w:t>and</w:t>
      </w:r>
      <w:r w:rsidRPr="00B716C2">
        <w:t xml:space="preserve"> paid monthly, retrospectively. </w:t>
      </w:r>
      <w:r w:rsidR="00423629">
        <w:t>Payment</w:t>
      </w:r>
      <w:r w:rsidR="008E5B71">
        <w:t>s</w:t>
      </w:r>
      <w:r w:rsidR="008C0BED">
        <w:t xml:space="preserve"> for each patient</w:t>
      </w:r>
      <w:r w:rsidR="00423629">
        <w:t xml:space="preserve"> began</w:t>
      </w:r>
      <w:r w:rsidRPr="00B716C2">
        <w:t xml:space="preserve"> when </w:t>
      </w:r>
      <w:r w:rsidR="008C0BED">
        <w:t>the</w:t>
      </w:r>
      <w:r w:rsidRPr="00B716C2">
        <w:t xml:space="preserve"> patient </w:t>
      </w:r>
      <w:r w:rsidR="00423629">
        <w:t>wa</w:t>
      </w:r>
      <w:r w:rsidRPr="00B716C2">
        <w:t>s enrolled in HCH</w:t>
      </w:r>
      <w:r w:rsidR="00972912">
        <w:t xml:space="preserve"> and</w:t>
      </w:r>
      <w:r w:rsidRPr="00B716C2">
        <w:t xml:space="preserve"> end</w:t>
      </w:r>
      <w:r w:rsidR="00423629">
        <w:t>ed</w:t>
      </w:r>
      <w:r w:rsidRPr="00B716C2">
        <w:t xml:space="preserve"> when a patient withdr</w:t>
      </w:r>
      <w:r w:rsidR="00423629">
        <w:t>ew</w:t>
      </w:r>
      <w:r w:rsidRPr="00B716C2">
        <w:t xml:space="preserve"> from the </w:t>
      </w:r>
      <w:r w:rsidR="00707B7A">
        <w:t>trial</w:t>
      </w:r>
      <w:r w:rsidRPr="00B716C2">
        <w:t xml:space="preserve"> due to death or other reasons</w:t>
      </w:r>
      <w:r w:rsidR="00955AF1">
        <w:t>, when the practice withdrew</w:t>
      </w:r>
      <w:r w:rsidR="00707B7A">
        <w:t>,</w:t>
      </w:r>
      <w:r w:rsidR="00955AF1">
        <w:t xml:space="preserve"> or when the trial wrapped up in June 2021.</w:t>
      </w:r>
    </w:p>
    <w:p w14:paraId="75911EA0" w14:textId="6AE04F74" w:rsidR="00A36D08" w:rsidRPr="00B716C2" w:rsidRDefault="00A36D08" w:rsidP="00A36D08">
      <w:pPr>
        <w:rPr>
          <w:iCs/>
        </w:rPr>
      </w:pPr>
      <w:r w:rsidRPr="00B716C2">
        <w:t>In developing the payment rates, the Department considered spending for about 130 items listed in the Medical Benefits Schedule (MBS) relating to chronic disease. It estimated that the average total MBS fees claimed by general practices for patients accessing the chronic disease items was $862</w:t>
      </w:r>
      <w:r w:rsidR="00976C27">
        <w:t xml:space="preserve"> (2016 prices)</w:t>
      </w:r>
      <w:r w:rsidRPr="00B716C2">
        <w:t>.</w:t>
      </w:r>
      <w:r w:rsidR="00423629" w:rsidRPr="00A251C0">
        <w:rPr>
          <w:rStyle w:val="FootnoteReference"/>
          <w:color w:val="408BCA"/>
        </w:rPr>
        <w:footnoteReference w:id="45"/>
      </w:r>
      <w:r w:rsidRPr="00A251C0">
        <w:rPr>
          <w:color w:val="408BCA"/>
        </w:rPr>
        <w:t xml:space="preserve"> </w:t>
      </w:r>
      <w:r w:rsidRPr="00B716C2">
        <w:t xml:space="preserve">Based on this information, payments rates for three tiers were set as shown in </w:t>
      </w:r>
      <w:r w:rsidR="00302D66" w:rsidRPr="001018EB">
        <w:rPr>
          <w:color w:val="002060"/>
        </w:rPr>
        <w:fldChar w:fldCharType="begin"/>
      </w:r>
      <w:r w:rsidR="00302D66" w:rsidRPr="001018EB">
        <w:rPr>
          <w:color w:val="002060"/>
        </w:rPr>
        <w:instrText xml:space="preserve"> REF _Ref94695065 \h  \* MERGEFORMAT </w:instrText>
      </w:r>
      <w:r w:rsidR="00302D66" w:rsidRPr="001018EB">
        <w:rPr>
          <w:color w:val="002060"/>
        </w:rPr>
      </w:r>
      <w:r w:rsidR="00302D66" w:rsidRPr="001018EB">
        <w:rPr>
          <w:color w:val="002060"/>
        </w:rPr>
        <w:fldChar w:fldCharType="separate"/>
      </w:r>
      <w:r w:rsidR="003C4BC2" w:rsidRPr="003C4BC2">
        <w:rPr>
          <w:color w:val="002060"/>
        </w:rPr>
        <w:t xml:space="preserve">Table </w:t>
      </w:r>
      <w:r w:rsidR="003C4BC2" w:rsidRPr="003C4BC2">
        <w:rPr>
          <w:noProof/>
          <w:color w:val="002060"/>
        </w:rPr>
        <w:t>19</w:t>
      </w:r>
      <w:r w:rsidR="00302D66" w:rsidRPr="001018EB">
        <w:rPr>
          <w:color w:val="002060"/>
        </w:rPr>
        <w:fldChar w:fldCharType="end"/>
      </w:r>
      <w:r w:rsidRPr="00B716C2">
        <w:t>.</w:t>
      </w:r>
    </w:p>
    <w:p w14:paraId="2BDED248" w14:textId="3BE45C7D" w:rsidR="00A36D08" w:rsidRPr="00B716C2" w:rsidRDefault="00A36D08" w:rsidP="00A36D08">
      <w:pPr>
        <w:pStyle w:val="TableFigureheading"/>
      </w:pPr>
      <w:bookmarkStart w:id="144" w:name="_Ref94695065"/>
      <w:r w:rsidRPr="00B716C2">
        <w:t xml:space="preserve">Table </w:t>
      </w:r>
      <w:r w:rsidR="00A61B29">
        <w:fldChar w:fldCharType="begin"/>
      </w:r>
      <w:r w:rsidR="00A61B29">
        <w:instrText xml:space="preserve"> SEQ Table \* ARABIC </w:instrText>
      </w:r>
      <w:r w:rsidR="00A61B29">
        <w:fldChar w:fldCharType="separate"/>
      </w:r>
      <w:r w:rsidR="003C4BC2">
        <w:rPr>
          <w:noProof/>
        </w:rPr>
        <w:t>19</w:t>
      </w:r>
      <w:r w:rsidR="00A61B29">
        <w:rPr>
          <w:noProof/>
        </w:rPr>
        <w:fldChar w:fldCharType="end"/>
      </w:r>
      <w:bookmarkEnd w:id="144"/>
      <w:r>
        <w:t>:</w:t>
      </w:r>
      <w:r w:rsidRPr="00B716C2">
        <w:t xml:space="preserve"> HCH tier payments</w:t>
      </w:r>
      <w:r w:rsidR="00423629">
        <w:t xml:space="preserve"> (2018 prices)</w:t>
      </w:r>
    </w:p>
    <w:tbl>
      <w:tblPr>
        <w:tblW w:w="4441"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845"/>
        <w:gridCol w:w="2596"/>
      </w:tblGrid>
      <w:tr w:rsidR="00A36D08" w:rsidRPr="00B716C2" w14:paraId="05328219" w14:textId="77777777" w:rsidTr="00E27353">
        <w:trPr>
          <w:jc w:val="center"/>
        </w:trPr>
        <w:tc>
          <w:tcPr>
            <w:tcW w:w="1845" w:type="dxa"/>
            <w:shd w:val="clear" w:color="auto" w:fill="408BCA"/>
            <w:vAlign w:val="center"/>
            <w:hideMark/>
          </w:tcPr>
          <w:p w14:paraId="1E35DB7E" w14:textId="77777777" w:rsidR="00A36D08" w:rsidRPr="00E27353" w:rsidRDefault="00A36D08" w:rsidP="00E27353">
            <w:pPr>
              <w:spacing w:after="0"/>
              <w:jc w:val="center"/>
              <w:rPr>
                <w:b/>
                <w:color w:val="FFFFFF" w:themeColor="background1"/>
                <w:sz w:val="18"/>
                <w:szCs w:val="18"/>
              </w:rPr>
            </w:pPr>
            <w:r w:rsidRPr="00E27353">
              <w:rPr>
                <w:b/>
                <w:color w:val="FFFFFF" w:themeColor="background1"/>
                <w:sz w:val="18"/>
                <w:szCs w:val="18"/>
                <w:lang w:val="en-GB"/>
              </w:rPr>
              <w:t>HCH tier</w:t>
            </w:r>
          </w:p>
        </w:tc>
        <w:tc>
          <w:tcPr>
            <w:tcW w:w="0" w:type="auto"/>
            <w:shd w:val="clear" w:color="auto" w:fill="408BCA"/>
            <w:vAlign w:val="center"/>
            <w:hideMark/>
          </w:tcPr>
          <w:p w14:paraId="13322141" w14:textId="77777777" w:rsidR="00A36D08" w:rsidRPr="00E27353" w:rsidRDefault="00A36D08" w:rsidP="00E27353">
            <w:pPr>
              <w:spacing w:after="0"/>
              <w:jc w:val="center"/>
              <w:rPr>
                <w:b/>
                <w:color w:val="FFFFFF" w:themeColor="background1"/>
                <w:sz w:val="18"/>
                <w:szCs w:val="18"/>
              </w:rPr>
            </w:pPr>
            <w:r w:rsidRPr="00E27353">
              <w:rPr>
                <w:b/>
                <w:color w:val="FFFFFF" w:themeColor="background1"/>
                <w:sz w:val="18"/>
                <w:szCs w:val="18"/>
              </w:rPr>
              <w:t>Payment</w:t>
            </w:r>
          </w:p>
        </w:tc>
      </w:tr>
      <w:tr w:rsidR="00A36D08" w:rsidRPr="00B716C2" w14:paraId="17B80031" w14:textId="77777777" w:rsidTr="00E27353">
        <w:trPr>
          <w:jc w:val="center"/>
        </w:trPr>
        <w:tc>
          <w:tcPr>
            <w:tcW w:w="1845" w:type="dxa"/>
          </w:tcPr>
          <w:p w14:paraId="7DB5B77E" w14:textId="77777777" w:rsidR="00A36D08" w:rsidRPr="00B716C2" w:rsidRDefault="00A36D08" w:rsidP="0032660B">
            <w:pPr>
              <w:spacing w:after="0"/>
              <w:rPr>
                <w:sz w:val="18"/>
                <w:szCs w:val="18"/>
              </w:rPr>
            </w:pPr>
            <w:r w:rsidRPr="00B716C2">
              <w:rPr>
                <w:sz w:val="18"/>
                <w:szCs w:val="18"/>
                <w:lang w:val="en-GB"/>
              </w:rPr>
              <w:t>Tier 1</w:t>
            </w:r>
          </w:p>
        </w:tc>
        <w:tc>
          <w:tcPr>
            <w:tcW w:w="0" w:type="auto"/>
          </w:tcPr>
          <w:p w14:paraId="3F4D68BD" w14:textId="77777777" w:rsidR="00A36D08" w:rsidRPr="00B716C2" w:rsidRDefault="00A36D08" w:rsidP="0032660B">
            <w:pPr>
              <w:spacing w:after="0"/>
              <w:rPr>
                <w:sz w:val="18"/>
                <w:szCs w:val="18"/>
              </w:rPr>
            </w:pPr>
            <w:r w:rsidRPr="00B716C2">
              <w:rPr>
                <w:sz w:val="18"/>
                <w:szCs w:val="18"/>
              </w:rPr>
              <w:t>$591 per year</w:t>
            </w:r>
          </w:p>
        </w:tc>
      </w:tr>
      <w:tr w:rsidR="00A36D08" w:rsidRPr="00B716C2" w14:paraId="0BC9E1BC" w14:textId="77777777" w:rsidTr="00E27353">
        <w:trPr>
          <w:jc w:val="center"/>
        </w:trPr>
        <w:tc>
          <w:tcPr>
            <w:tcW w:w="1845" w:type="dxa"/>
          </w:tcPr>
          <w:p w14:paraId="08EC1000" w14:textId="77777777" w:rsidR="00A36D08" w:rsidRPr="00B716C2" w:rsidRDefault="00A36D08" w:rsidP="0032660B">
            <w:pPr>
              <w:spacing w:after="0"/>
              <w:rPr>
                <w:sz w:val="18"/>
                <w:szCs w:val="18"/>
              </w:rPr>
            </w:pPr>
            <w:r w:rsidRPr="00B716C2">
              <w:rPr>
                <w:sz w:val="18"/>
                <w:szCs w:val="18"/>
                <w:lang w:val="en-GB"/>
              </w:rPr>
              <w:t>Tier 2</w:t>
            </w:r>
          </w:p>
        </w:tc>
        <w:tc>
          <w:tcPr>
            <w:tcW w:w="0" w:type="auto"/>
          </w:tcPr>
          <w:p w14:paraId="632E8C51" w14:textId="77777777" w:rsidR="00A36D08" w:rsidRPr="00B716C2" w:rsidRDefault="00A36D08" w:rsidP="0032660B">
            <w:pPr>
              <w:spacing w:after="0"/>
              <w:rPr>
                <w:sz w:val="18"/>
                <w:szCs w:val="18"/>
              </w:rPr>
            </w:pPr>
            <w:r w:rsidRPr="00B716C2">
              <w:rPr>
                <w:sz w:val="18"/>
                <w:szCs w:val="18"/>
              </w:rPr>
              <w:t>$1,267 per year</w:t>
            </w:r>
          </w:p>
        </w:tc>
      </w:tr>
      <w:tr w:rsidR="00A36D08" w:rsidRPr="00B716C2" w14:paraId="7A9700D6" w14:textId="77777777" w:rsidTr="00E27353">
        <w:trPr>
          <w:jc w:val="center"/>
        </w:trPr>
        <w:tc>
          <w:tcPr>
            <w:tcW w:w="1845" w:type="dxa"/>
          </w:tcPr>
          <w:p w14:paraId="5AE5A8C3" w14:textId="77777777" w:rsidR="00A36D08" w:rsidRPr="00B716C2" w:rsidRDefault="00A36D08" w:rsidP="0032660B">
            <w:pPr>
              <w:spacing w:after="0"/>
              <w:rPr>
                <w:sz w:val="18"/>
                <w:szCs w:val="18"/>
              </w:rPr>
            </w:pPr>
            <w:r w:rsidRPr="00B716C2">
              <w:rPr>
                <w:sz w:val="18"/>
                <w:szCs w:val="18"/>
                <w:lang w:val="en-GB"/>
              </w:rPr>
              <w:t>Tier 3</w:t>
            </w:r>
          </w:p>
        </w:tc>
        <w:tc>
          <w:tcPr>
            <w:tcW w:w="0" w:type="auto"/>
          </w:tcPr>
          <w:p w14:paraId="378814E9" w14:textId="77777777" w:rsidR="00A36D08" w:rsidRPr="00B716C2" w:rsidRDefault="00A36D08" w:rsidP="0032660B">
            <w:pPr>
              <w:spacing w:after="0"/>
              <w:rPr>
                <w:sz w:val="18"/>
                <w:szCs w:val="18"/>
              </w:rPr>
            </w:pPr>
            <w:r w:rsidRPr="00B716C2">
              <w:rPr>
                <w:sz w:val="18"/>
                <w:szCs w:val="18"/>
              </w:rPr>
              <w:t>$1,795 per year</w:t>
            </w:r>
          </w:p>
        </w:tc>
      </w:tr>
    </w:tbl>
    <w:p w14:paraId="0E081BEA" w14:textId="126030EA" w:rsidR="00A36D08" w:rsidRDefault="00F650F5" w:rsidP="00A36D08">
      <w:pPr>
        <w:jc w:val="center"/>
        <w:rPr>
          <w:i/>
          <w:sz w:val="16"/>
          <w:szCs w:val="16"/>
        </w:rPr>
      </w:pPr>
      <w:r>
        <w:rPr>
          <w:i/>
          <w:sz w:val="16"/>
          <w:szCs w:val="16"/>
        </w:rPr>
        <w:t xml:space="preserve">Source: </w:t>
      </w:r>
      <w:r w:rsidRPr="00F650F5">
        <w:rPr>
          <w:i/>
          <w:sz w:val="16"/>
          <w:szCs w:val="16"/>
        </w:rPr>
        <w:t>Australian Government Department of Health</w:t>
      </w:r>
      <w:r w:rsidR="009E546A">
        <w:rPr>
          <w:i/>
          <w:sz w:val="16"/>
          <w:szCs w:val="16"/>
        </w:rPr>
        <w:t xml:space="preserve"> (2018).</w:t>
      </w:r>
      <w:r w:rsidRPr="00A251C0">
        <w:rPr>
          <w:rStyle w:val="FootnoteReference"/>
          <w:color w:val="408BCA"/>
          <w:sz w:val="16"/>
          <w:szCs w:val="16"/>
        </w:rPr>
        <w:footnoteReference w:id="46"/>
      </w: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3E0C5F" w:rsidRPr="0048466A" w14:paraId="42F2CF52" w14:textId="77777777" w:rsidTr="0032660B">
        <w:tc>
          <w:tcPr>
            <w:tcW w:w="8996" w:type="dxa"/>
            <w:shd w:val="clear" w:color="auto" w:fill="auto"/>
          </w:tcPr>
          <w:p w14:paraId="6D84085C" w14:textId="106E914C" w:rsidR="003E0C5F" w:rsidRPr="007D0D5A" w:rsidRDefault="003E0C5F" w:rsidP="00BE164E">
            <w:pPr>
              <w:pStyle w:val="Boxheading"/>
              <w:spacing w:after="120"/>
              <w:rPr>
                <w:b/>
                <w:bCs/>
                <w:szCs w:val="20"/>
              </w:rPr>
            </w:pPr>
            <w:bookmarkStart w:id="145" w:name="Bxbndldpymntinclsns"/>
            <w:r w:rsidRPr="00E76EF4">
              <w:rPr>
                <w:bCs/>
                <w:szCs w:val="20"/>
              </w:rPr>
              <w:t xml:space="preserve">Box </w:t>
            </w:r>
            <w:r w:rsidRPr="00E76EF4">
              <w:rPr>
                <w:bCs/>
              </w:rPr>
              <w:fldChar w:fldCharType="begin"/>
            </w:r>
            <w:r w:rsidRPr="00E76EF4">
              <w:rPr>
                <w:bCs/>
              </w:rPr>
              <w:instrText xml:space="preserve"> SEQ Box \* ARABIC </w:instrText>
            </w:r>
            <w:r w:rsidRPr="00E76EF4">
              <w:rPr>
                <w:bCs/>
              </w:rPr>
              <w:fldChar w:fldCharType="separate"/>
            </w:r>
            <w:r w:rsidR="003C4BC2">
              <w:rPr>
                <w:bCs/>
                <w:noProof/>
              </w:rPr>
              <w:t>13</w:t>
            </w:r>
            <w:r w:rsidRPr="00E76EF4">
              <w:rPr>
                <w:bCs/>
                <w:noProof/>
              </w:rPr>
              <w:fldChar w:fldCharType="end"/>
            </w:r>
            <w:bookmarkEnd w:id="145"/>
            <w:r w:rsidRPr="00E76EF4">
              <w:rPr>
                <w:bCs/>
                <w:szCs w:val="20"/>
              </w:rPr>
              <w:t>: Bundled payment inclusions</w:t>
            </w:r>
            <w:r w:rsidR="009D07D2">
              <w:rPr>
                <w:rStyle w:val="FootnoteReference"/>
                <w:b/>
                <w:szCs w:val="20"/>
              </w:rPr>
              <w:footnoteReference w:id="47"/>
            </w:r>
          </w:p>
          <w:p w14:paraId="54F1BC98" w14:textId="12BB7A63" w:rsidR="00B66A8A" w:rsidRPr="00AA1BF8" w:rsidRDefault="00B66A8A" w:rsidP="00BE164E">
            <w:pPr>
              <w:spacing w:after="120"/>
              <w:rPr>
                <w:sz w:val="18"/>
                <w:szCs w:val="18"/>
              </w:rPr>
            </w:pPr>
            <w:r w:rsidRPr="00AA1BF8">
              <w:rPr>
                <w:sz w:val="18"/>
                <w:szCs w:val="18"/>
              </w:rPr>
              <w:t xml:space="preserve">The </w:t>
            </w:r>
            <w:r w:rsidR="009D07D2">
              <w:rPr>
                <w:sz w:val="18"/>
                <w:szCs w:val="18"/>
              </w:rPr>
              <w:t>bundled payment was</w:t>
            </w:r>
            <w:r w:rsidR="00B72E80">
              <w:rPr>
                <w:sz w:val="18"/>
                <w:szCs w:val="18"/>
              </w:rPr>
              <w:t xml:space="preserve"> </w:t>
            </w:r>
            <w:r w:rsidR="00EA3148">
              <w:rPr>
                <w:sz w:val="18"/>
                <w:szCs w:val="18"/>
              </w:rPr>
              <w:t>intended to cover the following services relating to patients’ chronic conditions</w:t>
            </w:r>
            <w:r w:rsidRPr="00AA1BF8">
              <w:rPr>
                <w:sz w:val="18"/>
                <w:szCs w:val="18"/>
              </w:rPr>
              <w:t>:</w:t>
            </w:r>
          </w:p>
          <w:p w14:paraId="58DCE78D" w14:textId="77777777" w:rsidR="00B66A8A" w:rsidRPr="00AA1BF8" w:rsidRDefault="00B66A8A" w:rsidP="00BE164E">
            <w:pPr>
              <w:numPr>
                <w:ilvl w:val="0"/>
                <w:numId w:val="8"/>
              </w:numPr>
              <w:spacing w:after="120"/>
              <w:contextualSpacing/>
              <w:rPr>
                <w:sz w:val="18"/>
                <w:szCs w:val="18"/>
              </w:rPr>
            </w:pPr>
            <w:r w:rsidRPr="00AA1BF8">
              <w:rPr>
                <w:sz w:val="18"/>
                <w:szCs w:val="18"/>
              </w:rPr>
              <w:t>shared care plan development</w:t>
            </w:r>
          </w:p>
          <w:p w14:paraId="2DABE397" w14:textId="77777777" w:rsidR="00B66A8A" w:rsidRPr="00AA1BF8" w:rsidRDefault="00B66A8A" w:rsidP="00BE164E">
            <w:pPr>
              <w:numPr>
                <w:ilvl w:val="0"/>
                <w:numId w:val="8"/>
              </w:numPr>
              <w:spacing w:after="120"/>
              <w:contextualSpacing/>
              <w:rPr>
                <w:sz w:val="18"/>
                <w:szCs w:val="18"/>
              </w:rPr>
            </w:pPr>
            <w:r w:rsidRPr="00AA1BF8">
              <w:rPr>
                <w:sz w:val="18"/>
                <w:szCs w:val="18"/>
              </w:rPr>
              <w:t>regular reviews</w:t>
            </w:r>
          </w:p>
          <w:p w14:paraId="3646E9C1" w14:textId="77777777" w:rsidR="00B66A8A" w:rsidRPr="00AA1BF8" w:rsidRDefault="00B66A8A" w:rsidP="00BE164E">
            <w:pPr>
              <w:numPr>
                <w:ilvl w:val="0"/>
                <w:numId w:val="8"/>
              </w:numPr>
              <w:spacing w:after="120"/>
              <w:contextualSpacing/>
              <w:rPr>
                <w:sz w:val="18"/>
                <w:szCs w:val="18"/>
              </w:rPr>
            </w:pPr>
            <w:r w:rsidRPr="00AA1BF8">
              <w:rPr>
                <w:sz w:val="18"/>
                <w:szCs w:val="18"/>
              </w:rPr>
              <w:t>comprehensive health assessment</w:t>
            </w:r>
          </w:p>
          <w:p w14:paraId="5982590B" w14:textId="77777777" w:rsidR="00B66A8A" w:rsidRPr="00AA1BF8" w:rsidRDefault="00B66A8A" w:rsidP="00BE164E">
            <w:pPr>
              <w:numPr>
                <w:ilvl w:val="0"/>
                <w:numId w:val="8"/>
              </w:numPr>
              <w:spacing w:after="120"/>
              <w:contextualSpacing/>
              <w:rPr>
                <w:sz w:val="18"/>
                <w:szCs w:val="18"/>
              </w:rPr>
            </w:pPr>
            <w:r w:rsidRPr="00AA1BF8">
              <w:rPr>
                <w:sz w:val="18"/>
                <w:szCs w:val="18"/>
              </w:rPr>
              <w:t>making a referral to allied health providers or specialists</w:t>
            </w:r>
          </w:p>
          <w:p w14:paraId="789EE338" w14:textId="77777777" w:rsidR="00B66A8A" w:rsidRPr="00AA1BF8" w:rsidRDefault="00B66A8A" w:rsidP="00BE164E">
            <w:pPr>
              <w:numPr>
                <w:ilvl w:val="0"/>
                <w:numId w:val="8"/>
              </w:numPr>
              <w:spacing w:after="120"/>
              <w:contextualSpacing/>
              <w:rPr>
                <w:sz w:val="18"/>
                <w:szCs w:val="18"/>
              </w:rPr>
            </w:pPr>
            <w:r w:rsidRPr="00AA1BF8">
              <w:rPr>
                <w:sz w:val="18"/>
                <w:szCs w:val="18"/>
              </w:rPr>
              <w:t>case conferencing</w:t>
            </w:r>
          </w:p>
          <w:p w14:paraId="027FCE96" w14:textId="77777777" w:rsidR="00B66A8A" w:rsidRPr="00AA1BF8" w:rsidRDefault="00B66A8A" w:rsidP="00BE164E">
            <w:pPr>
              <w:numPr>
                <w:ilvl w:val="0"/>
                <w:numId w:val="8"/>
              </w:numPr>
              <w:spacing w:after="120"/>
              <w:contextualSpacing/>
              <w:rPr>
                <w:sz w:val="18"/>
                <w:szCs w:val="18"/>
              </w:rPr>
            </w:pPr>
            <w:r w:rsidRPr="00AA1BF8">
              <w:rPr>
                <w:sz w:val="18"/>
                <w:szCs w:val="18"/>
              </w:rPr>
              <w:t>telehealth services and monitoring</w:t>
            </w:r>
          </w:p>
          <w:p w14:paraId="7C25120D" w14:textId="77777777" w:rsidR="00B66A8A" w:rsidRPr="00AA1BF8" w:rsidRDefault="00B66A8A" w:rsidP="00BE164E">
            <w:pPr>
              <w:numPr>
                <w:ilvl w:val="0"/>
                <w:numId w:val="8"/>
              </w:numPr>
              <w:spacing w:after="120"/>
              <w:contextualSpacing/>
              <w:rPr>
                <w:sz w:val="18"/>
                <w:szCs w:val="18"/>
              </w:rPr>
            </w:pPr>
            <w:r w:rsidRPr="00AA1BF8">
              <w:rPr>
                <w:sz w:val="18"/>
                <w:szCs w:val="18"/>
              </w:rPr>
              <w:t>standard consultations related to an enrolled patient’s chronic and complex conditions</w:t>
            </w:r>
          </w:p>
          <w:p w14:paraId="6C909D1D" w14:textId="0154956F" w:rsidR="00B66A8A" w:rsidRPr="00AC1207" w:rsidRDefault="00B66A8A" w:rsidP="00BE164E">
            <w:pPr>
              <w:numPr>
                <w:ilvl w:val="0"/>
                <w:numId w:val="8"/>
              </w:numPr>
              <w:spacing w:after="120"/>
              <w:ind w:left="714" w:hanging="357"/>
              <w:rPr>
                <w:sz w:val="18"/>
                <w:szCs w:val="18"/>
              </w:rPr>
            </w:pPr>
            <w:r w:rsidRPr="00AA1BF8">
              <w:rPr>
                <w:sz w:val="18"/>
                <w:szCs w:val="18"/>
              </w:rPr>
              <w:t>after-hours advice and care.</w:t>
            </w:r>
          </w:p>
          <w:p w14:paraId="02E84DBC" w14:textId="430F2FC0" w:rsidR="00B66A8A" w:rsidRPr="00AA1BF8" w:rsidRDefault="00B66A8A" w:rsidP="00BE164E">
            <w:pPr>
              <w:spacing w:after="120"/>
              <w:rPr>
                <w:sz w:val="18"/>
                <w:szCs w:val="18"/>
              </w:rPr>
            </w:pPr>
            <w:r w:rsidRPr="00AA1BF8">
              <w:rPr>
                <w:sz w:val="18"/>
                <w:szCs w:val="18"/>
              </w:rPr>
              <w:t xml:space="preserve">HCHs </w:t>
            </w:r>
            <w:r w:rsidR="009879CC">
              <w:rPr>
                <w:sz w:val="18"/>
                <w:szCs w:val="18"/>
              </w:rPr>
              <w:t>could</w:t>
            </w:r>
            <w:r w:rsidRPr="00AA1BF8">
              <w:rPr>
                <w:sz w:val="18"/>
                <w:szCs w:val="18"/>
              </w:rPr>
              <w:t xml:space="preserve"> still claim for consultation</w:t>
            </w:r>
            <w:r w:rsidR="009879CC">
              <w:rPr>
                <w:sz w:val="18"/>
                <w:szCs w:val="18"/>
              </w:rPr>
              <w:t>s</w:t>
            </w:r>
            <w:r w:rsidRPr="00AA1BF8">
              <w:rPr>
                <w:sz w:val="18"/>
                <w:szCs w:val="18"/>
              </w:rPr>
              <w:t xml:space="preserve"> not relating to patients’ chronic conditions. The Clinical Reference Group created guidance on this.</w:t>
            </w:r>
            <w:r w:rsidR="009879CC" w:rsidRPr="00D3112B">
              <w:rPr>
                <w:rStyle w:val="FootnoteReference"/>
                <w:color w:val="408BCA"/>
                <w:sz w:val="18"/>
                <w:szCs w:val="18"/>
              </w:rPr>
              <w:footnoteReference w:id="48"/>
            </w:r>
            <w:r w:rsidRPr="00AA1BF8">
              <w:rPr>
                <w:sz w:val="18"/>
                <w:szCs w:val="18"/>
              </w:rPr>
              <w:t xml:space="preserve"> For example:</w:t>
            </w:r>
          </w:p>
          <w:p w14:paraId="24FAE3DD" w14:textId="77777777" w:rsidR="00B66A8A" w:rsidRPr="00AA1BF8" w:rsidRDefault="00B66A8A" w:rsidP="00BE164E">
            <w:pPr>
              <w:spacing w:after="120"/>
              <w:rPr>
                <w:i/>
                <w:sz w:val="18"/>
                <w:szCs w:val="18"/>
              </w:rPr>
            </w:pPr>
            <w:r w:rsidRPr="00AA1BF8">
              <w:rPr>
                <w:i/>
                <w:sz w:val="18"/>
                <w:szCs w:val="18"/>
              </w:rPr>
              <w:t>Question</w:t>
            </w:r>
          </w:p>
          <w:p w14:paraId="48046277" w14:textId="77777777" w:rsidR="00B66A8A" w:rsidRPr="00AA1BF8" w:rsidRDefault="00B66A8A" w:rsidP="00BE164E">
            <w:pPr>
              <w:spacing w:after="120"/>
              <w:rPr>
                <w:i/>
                <w:sz w:val="18"/>
                <w:szCs w:val="18"/>
              </w:rPr>
            </w:pPr>
            <w:r w:rsidRPr="00AA1BF8">
              <w:rPr>
                <w:i/>
                <w:sz w:val="18"/>
                <w:szCs w:val="18"/>
              </w:rPr>
              <w:t xml:space="preserve">Does </w:t>
            </w:r>
            <w:bookmarkStart w:id="146" w:name="_Hlk22482456"/>
            <w:r w:rsidRPr="00AA1BF8">
              <w:rPr>
                <w:i/>
                <w:sz w:val="18"/>
                <w:szCs w:val="18"/>
              </w:rPr>
              <w:t xml:space="preserve">Point of Care (POC) </w:t>
            </w:r>
            <w:bookmarkEnd w:id="146"/>
            <w:r w:rsidRPr="00AA1BF8">
              <w:rPr>
                <w:i/>
                <w:sz w:val="18"/>
                <w:szCs w:val="18"/>
              </w:rPr>
              <w:t xml:space="preserve">testing of INRs (including the cost of the consumables) come under the HCH bundled payment? </w:t>
            </w:r>
          </w:p>
          <w:p w14:paraId="6B423D27" w14:textId="77777777" w:rsidR="00B66A8A" w:rsidRPr="00AA1BF8" w:rsidRDefault="00B66A8A" w:rsidP="00BE164E">
            <w:pPr>
              <w:spacing w:after="120"/>
              <w:rPr>
                <w:i/>
                <w:sz w:val="18"/>
                <w:szCs w:val="18"/>
              </w:rPr>
            </w:pPr>
            <w:r w:rsidRPr="00AA1BF8">
              <w:rPr>
                <w:i/>
                <w:sz w:val="18"/>
                <w:szCs w:val="18"/>
              </w:rPr>
              <w:t>Answer</w:t>
            </w:r>
          </w:p>
          <w:p w14:paraId="6730FDC6" w14:textId="77777777" w:rsidR="00B66A8A" w:rsidRPr="00AA1BF8" w:rsidRDefault="00B66A8A" w:rsidP="00BE164E">
            <w:pPr>
              <w:spacing w:after="120"/>
              <w:rPr>
                <w:i/>
                <w:sz w:val="18"/>
                <w:szCs w:val="18"/>
              </w:rPr>
            </w:pPr>
            <w:r w:rsidRPr="00AA1BF8">
              <w:rPr>
                <w:i/>
                <w:sz w:val="18"/>
                <w:szCs w:val="18"/>
              </w:rPr>
              <w:lastRenderedPageBreak/>
              <w:t>Consults related to INR results from POC testing would normally be MBS-rebated as part of chronic disease management (for example Atrial Fibrillation). Accordingly, these consults, including associated consumables, form part of and are covered by the bundled payment.</w:t>
            </w:r>
          </w:p>
          <w:p w14:paraId="5D847177" w14:textId="77777777" w:rsidR="00B66A8A" w:rsidRPr="00AA1BF8" w:rsidRDefault="00B66A8A" w:rsidP="00BE164E">
            <w:pPr>
              <w:spacing w:after="120"/>
              <w:rPr>
                <w:i/>
                <w:sz w:val="18"/>
                <w:szCs w:val="18"/>
              </w:rPr>
            </w:pPr>
            <w:r w:rsidRPr="00AA1BF8">
              <w:rPr>
                <w:i/>
                <w:sz w:val="18"/>
                <w:szCs w:val="18"/>
              </w:rPr>
              <w:t>Question</w:t>
            </w:r>
          </w:p>
          <w:p w14:paraId="3D01C895" w14:textId="77777777" w:rsidR="00B66A8A" w:rsidRPr="00AA1BF8" w:rsidRDefault="00B66A8A" w:rsidP="00BE164E">
            <w:pPr>
              <w:spacing w:after="120"/>
              <w:rPr>
                <w:i/>
                <w:sz w:val="18"/>
                <w:szCs w:val="18"/>
              </w:rPr>
            </w:pPr>
            <w:r w:rsidRPr="00AA1BF8">
              <w:rPr>
                <w:i/>
                <w:sz w:val="18"/>
                <w:szCs w:val="18"/>
              </w:rPr>
              <w:t>AN HCH COPD patient gets an infectious exacerbation. With any patient, this would generally be considered as an acute episode, especially if treated with antibiotics. Considering that COPD patients are more prone to respiratory infections, would the consultation addressing this event be considered as part of an extension of the patient’s chronic condition and therefore be covered by the bundle, or would this be an acute event to be billed to the MBS?</w:t>
            </w:r>
          </w:p>
          <w:p w14:paraId="0878DA9E" w14:textId="77777777" w:rsidR="00B66A8A" w:rsidRPr="00AA1BF8" w:rsidRDefault="00B66A8A" w:rsidP="00BE164E">
            <w:pPr>
              <w:spacing w:after="120"/>
              <w:contextualSpacing/>
              <w:rPr>
                <w:i/>
                <w:sz w:val="18"/>
                <w:szCs w:val="18"/>
              </w:rPr>
            </w:pPr>
            <w:r w:rsidRPr="00AA1BF8">
              <w:rPr>
                <w:i/>
                <w:sz w:val="18"/>
                <w:szCs w:val="18"/>
              </w:rPr>
              <w:t>Answer</w:t>
            </w:r>
          </w:p>
          <w:p w14:paraId="1F6794C0" w14:textId="77777777" w:rsidR="00B66A8A" w:rsidRPr="00AA1BF8" w:rsidRDefault="00B66A8A" w:rsidP="00BE164E">
            <w:pPr>
              <w:spacing w:after="120"/>
              <w:rPr>
                <w:i/>
                <w:sz w:val="18"/>
                <w:szCs w:val="18"/>
              </w:rPr>
            </w:pPr>
            <w:r w:rsidRPr="00AA1BF8">
              <w:rPr>
                <w:i/>
                <w:sz w:val="18"/>
                <w:szCs w:val="18"/>
              </w:rPr>
              <w:t xml:space="preserve">The consultation addressing this event is considered an extension of the patient’s chronic condition and therefore covered by the bundled payment. </w:t>
            </w:r>
          </w:p>
          <w:p w14:paraId="63C249D0" w14:textId="77777777" w:rsidR="00B66A8A" w:rsidRPr="00AA1BF8" w:rsidRDefault="00B66A8A" w:rsidP="00BE164E">
            <w:pPr>
              <w:spacing w:after="120"/>
              <w:contextualSpacing/>
              <w:rPr>
                <w:i/>
                <w:sz w:val="18"/>
                <w:szCs w:val="18"/>
              </w:rPr>
            </w:pPr>
            <w:r w:rsidRPr="00AA1BF8">
              <w:rPr>
                <w:i/>
                <w:sz w:val="18"/>
                <w:szCs w:val="18"/>
              </w:rPr>
              <w:t>Question</w:t>
            </w:r>
          </w:p>
          <w:p w14:paraId="2F969604" w14:textId="77777777" w:rsidR="00B66A8A" w:rsidRPr="00AA1BF8" w:rsidRDefault="00B66A8A" w:rsidP="00BE164E">
            <w:pPr>
              <w:spacing w:after="120"/>
              <w:rPr>
                <w:i/>
                <w:sz w:val="18"/>
                <w:szCs w:val="18"/>
              </w:rPr>
            </w:pPr>
            <w:r w:rsidRPr="00AA1BF8">
              <w:rPr>
                <w:i/>
                <w:sz w:val="18"/>
                <w:szCs w:val="18"/>
              </w:rPr>
              <w:t>How should the consultation for the administration of free government vaccines such as the Flu and Pneumococcal be billed for eligible HCH patients?</w:t>
            </w:r>
          </w:p>
          <w:p w14:paraId="3F05EF0B" w14:textId="77777777" w:rsidR="00B66A8A" w:rsidRPr="00AA1BF8" w:rsidRDefault="00B66A8A" w:rsidP="00BE164E">
            <w:pPr>
              <w:spacing w:after="120"/>
              <w:contextualSpacing/>
              <w:rPr>
                <w:i/>
                <w:sz w:val="18"/>
                <w:szCs w:val="18"/>
              </w:rPr>
            </w:pPr>
            <w:r w:rsidRPr="00AA1BF8">
              <w:rPr>
                <w:i/>
                <w:sz w:val="18"/>
                <w:szCs w:val="18"/>
              </w:rPr>
              <w:t>Answer</w:t>
            </w:r>
          </w:p>
          <w:p w14:paraId="05EBD263" w14:textId="61B05FCC" w:rsidR="003E0C5F" w:rsidRPr="00236F96" w:rsidRDefault="00B66A8A" w:rsidP="00BE164E">
            <w:pPr>
              <w:spacing w:after="120"/>
              <w:rPr>
                <w:rFonts w:eastAsia="Muli" w:cs="Muli"/>
                <w:color w:val="000000" w:themeColor="text1"/>
                <w:sz w:val="18"/>
                <w:szCs w:val="18"/>
              </w:rPr>
            </w:pPr>
            <w:r w:rsidRPr="00AA1BF8">
              <w:rPr>
                <w:i/>
                <w:sz w:val="18"/>
                <w:szCs w:val="18"/>
              </w:rPr>
              <w:t>The consultation for the administration of free government vaccines in this scenario should be covered by the bundled payment as it would form part of a patient’s care plan.</w:t>
            </w:r>
          </w:p>
        </w:tc>
      </w:tr>
    </w:tbl>
    <w:p w14:paraId="007D1C36" w14:textId="77777777" w:rsidR="003E0C5F" w:rsidRDefault="003E0C5F" w:rsidP="00072F71">
      <w:pPr>
        <w:spacing w:after="0"/>
      </w:pPr>
    </w:p>
    <w:p w14:paraId="27B6AC9D" w14:textId="2CCDCB7B" w:rsidR="00B51D61" w:rsidRDefault="00F2632A" w:rsidP="00F2632A">
      <w:pPr>
        <w:rPr>
          <w:iCs/>
        </w:rPr>
      </w:pPr>
      <w:r w:rsidRPr="00936DE3">
        <w:rPr>
          <w:iCs/>
        </w:rPr>
        <w:t xml:space="preserve">The </w:t>
      </w:r>
      <w:r w:rsidR="003E6564" w:rsidRPr="007F675C">
        <w:rPr>
          <w:szCs w:val="20"/>
        </w:rPr>
        <w:t>Department of Health</w:t>
      </w:r>
      <w:r w:rsidR="00C36DBE">
        <w:rPr>
          <w:iCs/>
        </w:rPr>
        <w:t xml:space="preserve"> stated that the </w:t>
      </w:r>
      <w:r w:rsidRPr="00936DE3">
        <w:rPr>
          <w:iCs/>
        </w:rPr>
        <w:t>payment values for each of the tiers were</w:t>
      </w:r>
      <w:r w:rsidR="00B51D61">
        <w:rPr>
          <w:iCs/>
        </w:rPr>
        <w:t>:</w:t>
      </w:r>
    </w:p>
    <w:p w14:paraId="49694A28" w14:textId="5DBC7240" w:rsidR="00F2632A" w:rsidRDefault="00F2632A" w:rsidP="00B51D61">
      <w:pPr>
        <w:ind w:left="567" w:right="521"/>
        <w:rPr>
          <w:iCs/>
        </w:rPr>
      </w:pPr>
      <w:r w:rsidRPr="00936DE3">
        <w:rPr>
          <w:iCs/>
        </w:rPr>
        <w:t>“</w:t>
      </w:r>
      <w:r w:rsidR="00B51D61">
        <w:rPr>
          <w:iCs/>
        </w:rPr>
        <w:t>…</w:t>
      </w:r>
      <w:r w:rsidRPr="00936DE3">
        <w:rPr>
          <w:i/>
          <w:iCs/>
        </w:rPr>
        <w:t>developed from best practice clinical models. They were progressed through a payments working group and have been tested against individual clinician data outside of the 10 selected PHN regions</w:t>
      </w:r>
      <w:r w:rsidRPr="00936DE3">
        <w:rPr>
          <w:iCs/>
        </w:rPr>
        <w:t>”.</w:t>
      </w:r>
      <w:r w:rsidR="00072F71" w:rsidRPr="00BB5141">
        <w:rPr>
          <w:rStyle w:val="FootnoteReference"/>
          <w:iCs/>
          <w:color w:val="408BCA"/>
        </w:rPr>
        <w:footnoteReference w:id="49"/>
      </w:r>
    </w:p>
    <w:p w14:paraId="674EB965" w14:textId="3C4B20F3" w:rsidR="00F2632A" w:rsidRPr="00B57E82" w:rsidRDefault="00F2632A" w:rsidP="00F2632A">
      <w:pPr>
        <w:rPr>
          <w:iCs/>
        </w:rPr>
      </w:pPr>
      <w:r w:rsidRPr="00B57E82">
        <w:rPr>
          <w:iCs/>
        </w:rPr>
        <w:t xml:space="preserve">The Department anticipated that the bundled payment under HCH would result in practices receiving about 10% more than under the fee-for-service arrangements for HCH </w:t>
      </w:r>
      <w:r w:rsidR="004A382E">
        <w:rPr>
          <w:iCs/>
        </w:rPr>
        <w:t>enrolees</w:t>
      </w:r>
      <w:r w:rsidRPr="00B57E82">
        <w:rPr>
          <w:iCs/>
        </w:rPr>
        <w:t>.</w:t>
      </w:r>
      <w:r w:rsidR="00072F71" w:rsidRPr="00BB5141">
        <w:rPr>
          <w:rStyle w:val="FootnoteReference"/>
          <w:iCs/>
          <w:color w:val="408BCA"/>
        </w:rPr>
        <w:footnoteReference w:id="50"/>
      </w:r>
      <w:r w:rsidRPr="00B57E82">
        <w:rPr>
          <w:iCs/>
        </w:rPr>
        <w:t xml:space="preserve"> It also recognised that the bundled payment may not be suitable for all chronically ill patients, and allow</w:t>
      </w:r>
      <w:r w:rsidR="00C36DBE">
        <w:rPr>
          <w:iCs/>
        </w:rPr>
        <w:t>ed</w:t>
      </w:r>
      <w:r w:rsidRPr="00B57E82">
        <w:rPr>
          <w:iCs/>
        </w:rPr>
        <w:t xml:space="preserve"> HCHs to withdraw </w:t>
      </w:r>
      <w:r w:rsidR="0087126D">
        <w:rPr>
          <w:iCs/>
        </w:rPr>
        <w:t>“</w:t>
      </w:r>
      <w:r w:rsidRPr="00B57E82">
        <w:rPr>
          <w:iCs/>
        </w:rPr>
        <w:t>very unwell</w:t>
      </w:r>
      <w:r w:rsidR="0087126D">
        <w:rPr>
          <w:iCs/>
        </w:rPr>
        <w:t>”</w:t>
      </w:r>
      <w:r w:rsidRPr="00B57E82">
        <w:rPr>
          <w:iCs/>
        </w:rPr>
        <w:t xml:space="preserve"> patients and revert to fee-for-service MBS charges for these patients.</w:t>
      </w:r>
      <w:r w:rsidR="00072F71" w:rsidRPr="00BB5141">
        <w:rPr>
          <w:rStyle w:val="FootnoteReference"/>
          <w:iCs/>
          <w:color w:val="408BCA"/>
        </w:rPr>
        <w:footnoteReference w:id="51"/>
      </w:r>
    </w:p>
    <w:p w14:paraId="522B41DD" w14:textId="23A30356" w:rsidR="00F2632A" w:rsidRPr="00B57E82" w:rsidRDefault="00F2632A" w:rsidP="00F2632A">
      <w:pPr>
        <w:rPr>
          <w:iCs/>
        </w:rPr>
      </w:pPr>
      <w:r w:rsidRPr="00B57E82">
        <w:rPr>
          <w:iCs/>
        </w:rPr>
        <w:t xml:space="preserve">Given that payments under various Commonwealth incentive programs – the Practice Incentive Program (PIP), Service Incentive Program, Practice Nurse Incentive Program and the General Practitioner Rural Incentive program – are dependent on MBS billing, </w:t>
      </w:r>
      <w:bookmarkStart w:id="147" w:name="_Hlk528657499"/>
      <w:r w:rsidRPr="00B57E82">
        <w:rPr>
          <w:iCs/>
        </w:rPr>
        <w:t xml:space="preserve">the Department, together with </w:t>
      </w:r>
      <w:bookmarkStart w:id="148" w:name="_Hlk528657469"/>
      <w:r w:rsidR="001761E3">
        <w:rPr>
          <w:iCs/>
        </w:rPr>
        <w:t>Services Australia</w:t>
      </w:r>
      <w:r w:rsidRPr="00B57E82">
        <w:rPr>
          <w:iCs/>
        </w:rPr>
        <w:t>, undertook to monitor the incentive payment</w:t>
      </w:r>
      <w:r w:rsidR="001761E3">
        <w:rPr>
          <w:iCs/>
        </w:rPr>
        <w:t>s</w:t>
      </w:r>
      <w:r w:rsidRPr="00B57E82">
        <w:rPr>
          <w:iCs/>
        </w:rPr>
        <w:t xml:space="preserve"> for practices and provide a top-up for any </w:t>
      </w:r>
      <w:r w:rsidR="006A76FA">
        <w:rPr>
          <w:iCs/>
        </w:rPr>
        <w:t>practice</w:t>
      </w:r>
      <w:r w:rsidRPr="00B57E82">
        <w:rPr>
          <w:iCs/>
        </w:rPr>
        <w:t xml:space="preserve"> that </w:t>
      </w:r>
      <w:r w:rsidR="006A76FA">
        <w:rPr>
          <w:iCs/>
        </w:rPr>
        <w:t>was</w:t>
      </w:r>
      <w:r w:rsidRPr="00B57E82">
        <w:rPr>
          <w:iCs/>
        </w:rPr>
        <w:t xml:space="preserve"> disadvantaged as a result of participating </w:t>
      </w:r>
      <w:bookmarkEnd w:id="148"/>
      <w:r w:rsidRPr="00B57E82">
        <w:rPr>
          <w:iCs/>
        </w:rPr>
        <w:t xml:space="preserve">in </w:t>
      </w:r>
      <w:bookmarkEnd w:id="147"/>
      <w:r w:rsidR="006A76FA">
        <w:rPr>
          <w:iCs/>
        </w:rPr>
        <w:t>trial</w:t>
      </w:r>
      <w:r w:rsidRPr="00B57E82">
        <w:rPr>
          <w:iCs/>
        </w:rPr>
        <w:t>.</w:t>
      </w:r>
      <w:r w:rsidR="00072F71" w:rsidRPr="00BB5141">
        <w:rPr>
          <w:rStyle w:val="FootnoteReference"/>
          <w:iCs/>
          <w:color w:val="408BCA"/>
        </w:rPr>
        <w:footnoteReference w:id="52"/>
      </w:r>
    </w:p>
    <w:p w14:paraId="608AA3E2" w14:textId="2726E0E0" w:rsidR="00F2632A" w:rsidRPr="00B716C2" w:rsidRDefault="00F2632A" w:rsidP="00F2632A">
      <w:pPr>
        <w:rPr>
          <w:iCs/>
        </w:rPr>
      </w:pPr>
      <w:r w:rsidRPr="00B57E82">
        <w:rPr>
          <w:iCs/>
        </w:rPr>
        <w:t xml:space="preserve">A new MBS item – item 6087 – was also created </w:t>
      </w:r>
      <w:r w:rsidR="001761E3">
        <w:rPr>
          <w:iCs/>
        </w:rPr>
        <w:t>before</w:t>
      </w:r>
      <w:r w:rsidRPr="00B57E82">
        <w:rPr>
          <w:iCs/>
        </w:rPr>
        <w:t xml:space="preserve"> the start date of the </w:t>
      </w:r>
      <w:r w:rsidR="006A76FA">
        <w:rPr>
          <w:iCs/>
        </w:rPr>
        <w:t>trial</w:t>
      </w:r>
      <w:r w:rsidRPr="00B57E82">
        <w:rPr>
          <w:iCs/>
        </w:rPr>
        <w:t xml:space="preserve"> to record HCH patients’ out-of-pocket expenses (so that they </w:t>
      </w:r>
      <w:r w:rsidR="006A76FA">
        <w:rPr>
          <w:iCs/>
        </w:rPr>
        <w:t>could</w:t>
      </w:r>
      <w:r w:rsidRPr="00B57E82">
        <w:rPr>
          <w:iCs/>
        </w:rPr>
        <w:t xml:space="preserve"> be counted towards to the patient’s </w:t>
      </w:r>
      <w:r w:rsidRPr="00B57E82">
        <w:rPr>
          <w:iCs/>
        </w:rPr>
        <w:lastRenderedPageBreak/>
        <w:t>safety net). The item ha</w:t>
      </w:r>
      <w:r w:rsidR="001761E3">
        <w:rPr>
          <w:iCs/>
        </w:rPr>
        <w:t>d</w:t>
      </w:r>
      <w:r w:rsidRPr="00B57E82">
        <w:rPr>
          <w:iCs/>
        </w:rPr>
        <w:t xml:space="preserve"> a rebate value of $1.15. </w:t>
      </w:r>
      <w:bookmarkStart w:id="149" w:name="_Hlk528657599"/>
      <w:r w:rsidRPr="00B57E82">
        <w:rPr>
          <w:iCs/>
        </w:rPr>
        <w:t>This item was also</w:t>
      </w:r>
      <w:r w:rsidR="001761E3">
        <w:rPr>
          <w:iCs/>
        </w:rPr>
        <w:t xml:space="preserve"> to</w:t>
      </w:r>
      <w:r w:rsidRPr="00B57E82">
        <w:rPr>
          <w:iCs/>
        </w:rPr>
        <w:t xml:space="preserve"> make out-of-pocket costs visible for the evaluation.</w:t>
      </w:r>
      <w:bookmarkEnd w:id="149"/>
    </w:p>
    <w:p w14:paraId="41BE04D2" w14:textId="095F6EB7" w:rsidR="00F2632A" w:rsidRPr="00B716C2" w:rsidRDefault="00F2632A" w:rsidP="00F2632A">
      <w:r w:rsidRPr="00B716C2">
        <w:t xml:space="preserve">HCHs </w:t>
      </w:r>
      <w:r w:rsidR="001761E3">
        <w:t>could</w:t>
      </w:r>
      <w:r w:rsidRPr="00B716C2">
        <w:t xml:space="preserve"> still claim for consultations or clinical services not relating to patients’ chronic conditions. The HCH Clinical Reference Group created guidance on this.</w:t>
      </w:r>
      <w:r w:rsidR="00072F71" w:rsidRPr="00BB5141">
        <w:rPr>
          <w:rStyle w:val="FootnoteReference"/>
          <w:color w:val="408BCA"/>
        </w:rPr>
        <w:footnoteReference w:id="53"/>
      </w:r>
    </w:p>
    <w:p w14:paraId="26E432E9" w14:textId="77777777" w:rsidR="00D220DF" w:rsidRDefault="00461E45" w:rsidP="00F2632A">
      <w:r>
        <w:t xml:space="preserve">While </w:t>
      </w:r>
      <w:r w:rsidR="00F2632A" w:rsidRPr="00B716C2">
        <w:t>HCH patients</w:t>
      </w:r>
      <w:r>
        <w:t xml:space="preserve"> could stil</w:t>
      </w:r>
      <w:r w:rsidR="0096160A">
        <w:t>l seek services from practices outside of their HCH, t</w:t>
      </w:r>
      <w:r w:rsidR="00F2632A" w:rsidRPr="00B716C2">
        <w:t>he patient enrolment/consent form contain</w:t>
      </w:r>
      <w:r w:rsidR="006E36ED">
        <w:t>ed</w:t>
      </w:r>
      <w:r w:rsidR="00F2632A" w:rsidRPr="00B716C2">
        <w:t xml:space="preserve"> the statement “</w:t>
      </w:r>
      <w:r w:rsidR="00F2632A" w:rsidRPr="00B716C2">
        <w:rPr>
          <w:i/>
        </w:rPr>
        <w:t>4. I agree to seek care from my Health Care Home practice on an ongoing basis</w:t>
      </w:r>
      <w:r w:rsidR="00F2632A" w:rsidRPr="00B716C2">
        <w:t>”.</w:t>
      </w:r>
      <w:r w:rsidR="00072F71" w:rsidRPr="00C60FBB">
        <w:rPr>
          <w:rStyle w:val="FootnoteReference"/>
          <w:color w:val="408BCA"/>
        </w:rPr>
        <w:footnoteReference w:id="54"/>
      </w:r>
      <w:r w:rsidR="00F2632A" w:rsidRPr="00B716C2">
        <w:t xml:space="preserve"> Also, the HCH Funding Assurance Toolkit require</w:t>
      </w:r>
      <w:r w:rsidR="006E36ED">
        <w:t>d</w:t>
      </w:r>
      <w:r w:rsidR="00F2632A" w:rsidRPr="00B716C2">
        <w:t xml:space="preserve"> that</w:t>
      </w:r>
      <w:r w:rsidR="00D220DF">
        <w:t>:</w:t>
      </w:r>
    </w:p>
    <w:p w14:paraId="31CBBF76" w14:textId="2B04FFDA" w:rsidR="00F2632A" w:rsidRPr="006C7400" w:rsidRDefault="00F2632A" w:rsidP="00D220DF">
      <w:pPr>
        <w:ind w:left="567" w:right="521"/>
      </w:pPr>
      <w:r w:rsidRPr="00B716C2">
        <w:rPr>
          <w:i/>
        </w:rPr>
        <w:t>The practice encourages an enrolled patient to attend their HCH for all care and, in particular, care that is related to their chronic conditions. This means that visits to other practices by enrolled patients are expected to be minimal (for example, when an enrolled patient is travelling)</w:t>
      </w:r>
      <w:r w:rsidR="00072F71">
        <w:rPr>
          <w:i/>
        </w:rPr>
        <w:t>.</w:t>
      </w:r>
      <w:r w:rsidR="00072F71" w:rsidRPr="00BB5141">
        <w:rPr>
          <w:rStyle w:val="FootnoteReference"/>
          <w:color w:val="408BCA"/>
        </w:rPr>
        <w:footnoteReference w:id="55"/>
      </w:r>
      <w:r w:rsidRPr="00BB5141">
        <w:rPr>
          <w:color w:val="408BCA"/>
        </w:rPr>
        <w:t xml:space="preserve"> </w:t>
      </w:r>
      <w:r w:rsidRPr="00BB5141">
        <w:rPr>
          <w:color w:val="408BCA"/>
          <w:vertAlign w:val="superscript"/>
        </w:rPr>
        <w:t>(p. 8)</w:t>
      </w:r>
    </w:p>
    <w:p w14:paraId="6B90ED11" w14:textId="13044CE5" w:rsidR="00472940" w:rsidRDefault="007F675C" w:rsidP="007F675C">
      <w:pPr>
        <w:rPr>
          <w:szCs w:val="20"/>
        </w:rPr>
      </w:pPr>
      <w:r w:rsidRPr="007F675C">
        <w:rPr>
          <w:szCs w:val="20"/>
        </w:rPr>
        <w:t>One of the concerns of practices was how the bundled payment would be shared within the practice. The Department engaged</w:t>
      </w:r>
      <w:r w:rsidR="008B342A">
        <w:rPr>
          <w:szCs w:val="20"/>
        </w:rPr>
        <w:t xml:space="preserve"> the </w:t>
      </w:r>
      <w:r w:rsidR="008B342A" w:rsidRPr="008B342A">
        <w:rPr>
          <w:szCs w:val="20"/>
        </w:rPr>
        <w:t>Australian Association of Practice Management</w:t>
      </w:r>
      <w:r w:rsidR="008B342A">
        <w:rPr>
          <w:szCs w:val="20"/>
        </w:rPr>
        <w:t xml:space="preserve"> (</w:t>
      </w:r>
      <w:r w:rsidRPr="007F675C">
        <w:rPr>
          <w:szCs w:val="20"/>
        </w:rPr>
        <w:t>AAPM</w:t>
      </w:r>
      <w:r w:rsidR="008B342A">
        <w:rPr>
          <w:szCs w:val="20"/>
        </w:rPr>
        <w:t>)</w:t>
      </w:r>
      <w:r w:rsidRPr="007F675C">
        <w:rPr>
          <w:szCs w:val="20"/>
        </w:rPr>
        <w:t xml:space="preserve"> to prepare a guide for practices – the </w:t>
      </w:r>
      <w:r w:rsidRPr="007F675C">
        <w:rPr>
          <w:i/>
          <w:szCs w:val="20"/>
        </w:rPr>
        <w:t>Health Care Home Activity Monitoring Guide</w:t>
      </w:r>
      <w:r w:rsidRPr="007F675C">
        <w:rPr>
          <w:rStyle w:val="FootnoteReference"/>
          <w:iCs/>
          <w:color w:val="408BCA"/>
          <w:szCs w:val="20"/>
        </w:rPr>
        <w:footnoteReference w:id="56"/>
      </w:r>
      <w:r w:rsidRPr="007F675C">
        <w:rPr>
          <w:i/>
          <w:szCs w:val="20"/>
        </w:rPr>
        <w:t xml:space="preserve"> – </w:t>
      </w:r>
      <w:r w:rsidRPr="007F675C">
        <w:rPr>
          <w:szCs w:val="20"/>
        </w:rPr>
        <w:t>for building an internal system to record and monitor HCH activities and allocate funds</w:t>
      </w:r>
      <w:r>
        <w:rPr>
          <w:szCs w:val="20"/>
        </w:rPr>
        <w:t xml:space="preserve"> (</w:t>
      </w:r>
      <w:r w:rsidRPr="00133B3E">
        <w:rPr>
          <w:color w:val="002060"/>
          <w:szCs w:val="20"/>
        </w:rPr>
        <w:fldChar w:fldCharType="begin"/>
      </w:r>
      <w:r w:rsidRPr="00133B3E">
        <w:rPr>
          <w:color w:val="002060"/>
          <w:szCs w:val="20"/>
        </w:rPr>
        <w:instrText xml:space="preserve"> REF BxAAPMguide \h  \* MERGEFORMAT </w:instrText>
      </w:r>
      <w:r w:rsidRPr="00133B3E">
        <w:rPr>
          <w:color w:val="002060"/>
          <w:szCs w:val="20"/>
        </w:rPr>
      </w:r>
      <w:r w:rsidRPr="00133B3E">
        <w:rPr>
          <w:color w:val="002060"/>
          <w:szCs w:val="20"/>
        </w:rPr>
        <w:fldChar w:fldCharType="separate"/>
      </w:r>
      <w:r w:rsidR="003C4BC2" w:rsidRPr="003C4BC2">
        <w:rPr>
          <w:color w:val="002060"/>
          <w:szCs w:val="20"/>
        </w:rPr>
        <w:t xml:space="preserve">Box </w:t>
      </w:r>
      <w:r w:rsidR="003C4BC2" w:rsidRPr="003C4BC2">
        <w:rPr>
          <w:noProof/>
          <w:color w:val="002060"/>
        </w:rPr>
        <w:t>14</w:t>
      </w:r>
      <w:r w:rsidRPr="00133B3E">
        <w:rPr>
          <w:color w:val="002060"/>
          <w:szCs w:val="20"/>
        </w:rPr>
        <w:fldChar w:fldCharType="end"/>
      </w:r>
      <w:r>
        <w:rPr>
          <w:szCs w:val="20"/>
        </w:rPr>
        <w:t>)</w:t>
      </w:r>
      <w:r w:rsidRPr="007F675C">
        <w:rPr>
          <w:szCs w:val="20"/>
        </w:rPr>
        <w:t xml:space="preserve">. </w:t>
      </w:r>
      <w:r>
        <w:rPr>
          <w:szCs w:val="20"/>
        </w:rPr>
        <w:t>The Guide provided</w:t>
      </w:r>
      <w:r w:rsidRPr="007F675C">
        <w:rPr>
          <w:szCs w:val="20"/>
        </w:rPr>
        <w:t xml:space="preserve"> consistent method</w:t>
      </w:r>
      <w:r>
        <w:rPr>
          <w:szCs w:val="20"/>
        </w:rPr>
        <w:t>s</w:t>
      </w:r>
      <w:r w:rsidRPr="007F675C">
        <w:rPr>
          <w:szCs w:val="20"/>
        </w:rPr>
        <w:t xml:space="preserve"> within practice clinical management software for flagging HCH patients and recording their tier. </w:t>
      </w:r>
      <w:r>
        <w:rPr>
          <w:szCs w:val="20"/>
        </w:rPr>
        <w:t>The g</w:t>
      </w:r>
      <w:r w:rsidRPr="007F675C">
        <w:rPr>
          <w:szCs w:val="20"/>
        </w:rPr>
        <w:t>uidance was</w:t>
      </w:r>
      <w:r>
        <w:rPr>
          <w:szCs w:val="20"/>
        </w:rPr>
        <w:t xml:space="preserve"> tailored </w:t>
      </w:r>
      <w:r w:rsidR="00EB3E36">
        <w:rPr>
          <w:szCs w:val="20"/>
        </w:rPr>
        <w:t>for</w:t>
      </w:r>
      <w:r>
        <w:rPr>
          <w:szCs w:val="20"/>
        </w:rPr>
        <w:t xml:space="preserve"> specific software</w:t>
      </w:r>
      <w:r w:rsidR="00ED746F">
        <w:rPr>
          <w:szCs w:val="20"/>
        </w:rPr>
        <w:t xml:space="preserve"> tools</w:t>
      </w:r>
      <w:r>
        <w:rPr>
          <w:szCs w:val="20"/>
        </w:rPr>
        <w:t>, which included</w:t>
      </w:r>
      <w:r w:rsidRPr="007F675C">
        <w:rPr>
          <w:szCs w:val="20"/>
        </w:rPr>
        <w:t>: Medical Director/</w:t>
      </w:r>
      <w:proofErr w:type="spellStart"/>
      <w:r w:rsidRPr="007F675C">
        <w:rPr>
          <w:szCs w:val="20"/>
        </w:rPr>
        <w:t>PracSoft</w:t>
      </w:r>
      <w:proofErr w:type="spellEnd"/>
      <w:r w:rsidRPr="007F675C">
        <w:rPr>
          <w:szCs w:val="20"/>
        </w:rPr>
        <w:t xml:space="preserve">, Best Practice, </w:t>
      </w:r>
      <w:proofErr w:type="spellStart"/>
      <w:r w:rsidRPr="007F675C">
        <w:rPr>
          <w:szCs w:val="20"/>
        </w:rPr>
        <w:t>ZedMed</w:t>
      </w:r>
      <w:proofErr w:type="spellEnd"/>
      <w:r w:rsidRPr="007F675C">
        <w:rPr>
          <w:szCs w:val="20"/>
        </w:rPr>
        <w:t xml:space="preserve"> and </w:t>
      </w:r>
      <w:proofErr w:type="spellStart"/>
      <w:r w:rsidRPr="007F675C">
        <w:rPr>
          <w:szCs w:val="20"/>
        </w:rPr>
        <w:t>Communicare</w:t>
      </w:r>
      <w:proofErr w:type="spellEnd"/>
      <w:r w:rsidRPr="007F675C">
        <w:rPr>
          <w:szCs w:val="20"/>
        </w:rPr>
        <w:t>.</w:t>
      </w:r>
      <w:r>
        <w:rPr>
          <w:szCs w:val="20"/>
        </w:rPr>
        <w:t xml:space="preserve"> </w:t>
      </w:r>
      <w:r w:rsidRPr="007F675C">
        <w:rPr>
          <w:szCs w:val="20"/>
        </w:rPr>
        <w:t>The Department did not mandate the guide</w:t>
      </w:r>
      <w:r>
        <w:rPr>
          <w:szCs w:val="20"/>
        </w:rPr>
        <w:t xml:space="preserve"> but</w:t>
      </w:r>
      <w:r w:rsidRPr="007F675C">
        <w:rPr>
          <w:szCs w:val="20"/>
        </w:rPr>
        <w:t xml:space="preserve"> provided </w:t>
      </w:r>
      <w:r>
        <w:rPr>
          <w:szCs w:val="20"/>
        </w:rPr>
        <w:t xml:space="preserve">it </w:t>
      </w:r>
      <w:r w:rsidRPr="007F675C">
        <w:rPr>
          <w:szCs w:val="20"/>
        </w:rPr>
        <w:t>as a resource.</w:t>
      </w:r>
      <w:r w:rsidRPr="007F675C">
        <w:rPr>
          <w:sz w:val="18"/>
          <w:szCs w:val="18"/>
        </w:rPr>
        <w:t xml:space="preserve"> </w:t>
      </w:r>
      <w:r w:rsidRPr="007F675C">
        <w:rPr>
          <w:szCs w:val="20"/>
        </w:rPr>
        <w:t>AAPM conducted a webinar on the Guide through the HCH training platform in October 2017.</w:t>
      </w:r>
      <w:r w:rsidRPr="007F675C">
        <w:rPr>
          <w:rStyle w:val="FootnoteReference"/>
          <w:color w:val="408BCA"/>
          <w:szCs w:val="20"/>
        </w:rPr>
        <w:footnoteReference w:id="57"/>
      </w:r>
    </w:p>
    <w:p w14:paraId="357C0232" w14:textId="77777777" w:rsidR="00472940" w:rsidRDefault="00472940">
      <w:pPr>
        <w:spacing w:after="160" w:line="259" w:lineRule="auto"/>
        <w:rPr>
          <w:szCs w:val="20"/>
        </w:rPr>
      </w:pPr>
      <w:r>
        <w:rPr>
          <w:szCs w:val="20"/>
        </w:rPr>
        <w:br w:type="page"/>
      </w: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756EAA" w:rsidRPr="0048466A" w14:paraId="03A0A0E4" w14:textId="77777777" w:rsidTr="0032660B">
        <w:tc>
          <w:tcPr>
            <w:tcW w:w="8996" w:type="dxa"/>
            <w:shd w:val="clear" w:color="auto" w:fill="auto"/>
          </w:tcPr>
          <w:p w14:paraId="7D0A2E8F" w14:textId="70C53284" w:rsidR="00756EAA" w:rsidRPr="007D0D5A" w:rsidRDefault="00756EAA" w:rsidP="00BE164E">
            <w:pPr>
              <w:pStyle w:val="Boxheading"/>
              <w:spacing w:after="120"/>
              <w:rPr>
                <w:b/>
                <w:bCs/>
                <w:szCs w:val="20"/>
              </w:rPr>
            </w:pPr>
            <w:bookmarkStart w:id="150" w:name="BxAAPMguide"/>
            <w:r w:rsidRPr="00BE164E">
              <w:rPr>
                <w:bCs/>
                <w:szCs w:val="20"/>
              </w:rPr>
              <w:lastRenderedPageBreak/>
              <w:t xml:space="preserve">Box </w:t>
            </w:r>
            <w:r w:rsidRPr="00BE164E">
              <w:rPr>
                <w:bCs/>
              </w:rPr>
              <w:fldChar w:fldCharType="begin"/>
            </w:r>
            <w:r w:rsidRPr="00BE164E">
              <w:rPr>
                <w:bCs/>
              </w:rPr>
              <w:instrText xml:space="preserve"> SEQ Box \* ARABIC </w:instrText>
            </w:r>
            <w:r w:rsidRPr="00BE164E">
              <w:rPr>
                <w:bCs/>
              </w:rPr>
              <w:fldChar w:fldCharType="separate"/>
            </w:r>
            <w:r w:rsidR="003C4BC2">
              <w:rPr>
                <w:bCs/>
                <w:noProof/>
              </w:rPr>
              <w:t>14</w:t>
            </w:r>
            <w:r w:rsidRPr="00BE164E">
              <w:rPr>
                <w:bCs/>
                <w:noProof/>
              </w:rPr>
              <w:fldChar w:fldCharType="end"/>
            </w:r>
            <w:bookmarkEnd w:id="150"/>
            <w:r w:rsidRPr="00BE164E">
              <w:rPr>
                <w:bCs/>
                <w:szCs w:val="20"/>
              </w:rPr>
              <w:t xml:space="preserve">: </w:t>
            </w:r>
            <w:r w:rsidR="009376A3">
              <w:rPr>
                <w:bCs/>
                <w:szCs w:val="20"/>
              </w:rPr>
              <w:t>AAPM HCH</w:t>
            </w:r>
            <w:r w:rsidR="009376A3" w:rsidRPr="009376A3">
              <w:rPr>
                <w:bCs/>
                <w:szCs w:val="20"/>
              </w:rPr>
              <w:t xml:space="preserve"> Activity Monitoring Guide</w:t>
            </w:r>
            <w:r w:rsidR="00EB3E36" w:rsidRPr="007F675C">
              <w:rPr>
                <w:rStyle w:val="FootnoteReference"/>
                <w:iCs/>
                <w:szCs w:val="20"/>
              </w:rPr>
              <w:footnoteReference w:id="58"/>
            </w:r>
          </w:p>
          <w:p w14:paraId="712A53E0" w14:textId="67E9E70B" w:rsidR="009C7A82" w:rsidRDefault="007F675C" w:rsidP="009C7A82">
            <w:pPr>
              <w:spacing w:after="120"/>
              <w:rPr>
                <w:sz w:val="18"/>
                <w:szCs w:val="18"/>
              </w:rPr>
            </w:pPr>
            <w:r>
              <w:rPr>
                <w:sz w:val="18"/>
                <w:szCs w:val="18"/>
              </w:rPr>
              <w:t xml:space="preserve">The </w:t>
            </w:r>
            <w:r w:rsidR="00933443">
              <w:rPr>
                <w:sz w:val="18"/>
                <w:szCs w:val="18"/>
              </w:rPr>
              <w:t>g</w:t>
            </w:r>
            <w:r>
              <w:rPr>
                <w:sz w:val="18"/>
                <w:szCs w:val="18"/>
              </w:rPr>
              <w:t>uide provided</w:t>
            </w:r>
            <w:r w:rsidR="009C7A82">
              <w:rPr>
                <w:sz w:val="18"/>
                <w:szCs w:val="18"/>
              </w:rPr>
              <w:t xml:space="preserve"> a</w:t>
            </w:r>
            <w:r w:rsidR="00076217" w:rsidRPr="00AA1BF8">
              <w:rPr>
                <w:sz w:val="18"/>
                <w:szCs w:val="18"/>
              </w:rPr>
              <w:t xml:space="preserve"> list of standardised activities, modes of delivery and responsible roles</w:t>
            </w:r>
            <w:r w:rsidR="00AF15A5">
              <w:rPr>
                <w:sz w:val="18"/>
                <w:szCs w:val="18"/>
              </w:rPr>
              <w:t xml:space="preserve">, </w:t>
            </w:r>
            <w:r w:rsidR="00076217" w:rsidRPr="00AA1BF8">
              <w:rPr>
                <w:sz w:val="18"/>
                <w:szCs w:val="18"/>
              </w:rPr>
              <w:t>and corresponding codes for</w:t>
            </w:r>
            <w:r w:rsidR="00AF15A5">
              <w:rPr>
                <w:sz w:val="18"/>
                <w:szCs w:val="18"/>
              </w:rPr>
              <w:t xml:space="preserve"> each of</w:t>
            </w:r>
            <w:r w:rsidR="00076217" w:rsidRPr="00AA1BF8">
              <w:rPr>
                <w:sz w:val="18"/>
                <w:szCs w:val="18"/>
              </w:rPr>
              <w:t xml:space="preserve"> these. </w:t>
            </w:r>
          </w:p>
          <w:p w14:paraId="36994E60" w14:textId="7FE0AC10" w:rsidR="00076217" w:rsidRPr="00AA1BF8" w:rsidRDefault="00076217" w:rsidP="009C7A82">
            <w:pPr>
              <w:spacing w:after="120"/>
              <w:rPr>
                <w:sz w:val="18"/>
                <w:szCs w:val="18"/>
              </w:rPr>
            </w:pPr>
            <w:r w:rsidRPr="00AA1BF8">
              <w:rPr>
                <w:sz w:val="18"/>
                <w:szCs w:val="18"/>
              </w:rPr>
              <w:t>Activities included:</w:t>
            </w:r>
          </w:p>
          <w:p w14:paraId="3260800F" w14:textId="77777777" w:rsidR="00076217" w:rsidRPr="00AA1BF8" w:rsidRDefault="00076217" w:rsidP="00BB7C8D">
            <w:pPr>
              <w:numPr>
                <w:ilvl w:val="0"/>
                <w:numId w:val="45"/>
              </w:numPr>
              <w:spacing w:after="120"/>
              <w:contextualSpacing/>
              <w:rPr>
                <w:sz w:val="18"/>
                <w:szCs w:val="18"/>
              </w:rPr>
            </w:pPr>
            <w:r w:rsidRPr="00AA1BF8">
              <w:rPr>
                <w:sz w:val="18"/>
                <w:szCs w:val="18"/>
              </w:rPr>
              <w:t>prepare a shared care plan</w:t>
            </w:r>
          </w:p>
          <w:p w14:paraId="3B1D885B" w14:textId="77777777" w:rsidR="00076217" w:rsidRPr="00AA1BF8" w:rsidRDefault="00076217" w:rsidP="00BB7C8D">
            <w:pPr>
              <w:numPr>
                <w:ilvl w:val="0"/>
                <w:numId w:val="45"/>
              </w:numPr>
              <w:spacing w:after="120"/>
              <w:contextualSpacing/>
              <w:rPr>
                <w:sz w:val="18"/>
                <w:szCs w:val="18"/>
              </w:rPr>
            </w:pPr>
            <w:r w:rsidRPr="00AA1BF8">
              <w:rPr>
                <w:sz w:val="18"/>
                <w:szCs w:val="18"/>
              </w:rPr>
              <w:t>share care plan review</w:t>
            </w:r>
          </w:p>
          <w:p w14:paraId="7704DAC7" w14:textId="77777777" w:rsidR="00076217" w:rsidRPr="00AA1BF8" w:rsidRDefault="00076217" w:rsidP="00BB7C8D">
            <w:pPr>
              <w:numPr>
                <w:ilvl w:val="0"/>
                <w:numId w:val="45"/>
              </w:numPr>
              <w:spacing w:after="120"/>
              <w:contextualSpacing/>
              <w:rPr>
                <w:sz w:val="18"/>
                <w:szCs w:val="18"/>
              </w:rPr>
            </w:pPr>
            <w:r w:rsidRPr="00AA1BF8">
              <w:rPr>
                <w:sz w:val="18"/>
                <w:szCs w:val="18"/>
              </w:rPr>
              <w:t>consultation</w:t>
            </w:r>
          </w:p>
          <w:p w14:paraId="104A0EB0" w14:textId="77777777" w:rsidR="00076217" w:rsidRPr="00AA1BF8" w:rsidRDefault="00076217" w:rsidP="00BB7C8D">
            <w:pPr>
              <w:numPr>
                <w:ilvl w:val="0"/>
                <w:numId w:val="45"/>
              </w:numPr>
              <w:spacing w:after="120"/>
              <w:contextualSpacing/>
              <w:rPr>
                <w:sz w:val="18"/>
                <w:szCs w:val="18"/>
              </w:rPr>
            </w:pPr>
            <w:r w:rsidRPr="00AA1BF8">
              <w:rPr>
                <w:sz w:val="18"/>
                <w:szCs w:val="18"/>
              </w:rPr>
              <w:t>prescribing/ referral</w:t>
            </w:r>
          </w:p>
          <w:p w14:paraId="04223C4D" w14:textId="77777777" w:rsidR="00076217" w:rsidRPr="00AA1BF8" w:rsidRDefault="00076217" w:rsidP="00BB7C8D">
            <w:pPr>
              <w:numPr>
                <w:ilvl w:val="0"/>
                <w:numId w:val="45"/>
              </w:numPr>
              <w:spacing w:after="120"/>
              <w:contextualSpacing/>
              <w:rPr>
                <w:sz w:val="18"/>
                <w:szCs w:val="18"/>
              </w:rPr>
            </w:pPr>
            <w:r w:rsidRPr="00AA1BF8">
              <w:rPr>
                <w:sz w:val="18"/>
                <w:szCs w:val="18"/>
              </w:rPr>
              <w:t>education</w:t>
            </w:r>
          </w:p>
          <w:p w14:paraId="306FF897" w14:textId="77777777" w:rsidR="00076217" w:rsidRPr="00AA1BF8" w:rsidRDefault="00076217" w:rsidP="00BB7C8D">
            <w:pPr>
              <w:numPr>
                <w:ilvl w:val="0"/>
                <w:numId w:val="45"/>
              </w:numPr>
              <w:spacing w:after="120"/>
              <w:contextualSpacing/>
              <w:rPr>
                <w:sz w:val="18"/>
                <w:szCs w:val="18"/>
              </w:rPr>
            </w:pPr>
            <w:r w:rsidRPr="00AA1BF8">
              <w:rPr>
                <w:sz w:val="18"/>
                <w:szCs w:val="18"/>
              </w:rPr>
              <w:t>group consultation</w:t>
            </w:r>
          </w:p>
          <w:p w14:paraId="52A08F8C" w14:textId="77777777" w:rsidR="00076217" w:rsidRPr="00AA1BF8" w:rsidRDefault="00076217" w:rsidP="00BB7C8D">
            <w:pPr>
              <w:numPr>
                <w:ilvl w:val="0"/>
                <w:numId w:val="45"/>
              </w:numPr>
              <w:spacing w:after="120"/>
              <w:ind w:left="714" w:hanging="357"/>
              <w:rPr>
                <w:sz w:val="18"/>
                <w:szCs w:val="18"/>
              </w:rPr>
            </w:pPr>
            <w:r w:rsidRPr="00AA1BF8">
              <w:rPr>
                <w:sz w:val="18"/>
                <w:szCs w:val="18"/>
              </w:rPr>
              <w:t>wound care</w:t>
            </w:r>
          </w:p>
          <w:p w14:paraId="74AFCDC4" w14:textId="77777777" w:rsidR="00076217" w:rsidRPr="00AA1BF8" w:rsidRDefault="00076217" w:rsidP="00933443">
            <w:pPr>
              <w:spacing w:after="120"/>
              <w:rPr>
                <w:sz w:val="18"/>
                <w:szCs w:val="18"/>
              </w:rPr>
            </w:pPr>
            <w:r w:rsidRPr="00AA1BF8">
              <w:rPr>
                <w:sz w:val="18"/>
                <w:szCs w:val="18"/>
              </w:rPr>
              <w:t>Modes of delivery included:</w:t>
            </w:r>
          </w:p>
          <w:p w14:paraId="1775C53A" w14:textId="77777777" w:rsidR="00076217" w:rsidRPr="00AA1BF8" w:rsidRDefault="00076217" w:rsidP="00BB7C8D">
            <w:pPr>
              <w:numPr>
                <w:ilvl w:val="0"/>
                <w:numId w:val="46"/>
              </w:numPr>
              <w:spacing w:after="120"/>
              <w:contextualSpacing/>
              <w:rPr>
                <w:sz w:val="18"/>
                <w:szCs w:val="18"/>
              </w:rPr>
            </w:pPr>
            <w:r w:rsidRPr="00AA1BF8">
              <w:rPr>
                <w:sz w:val="18"/>
                <w:szCs w:val="18"/>
              </w:rPr>
              <w:t>face-to-face</w:t>
            </w:r>
          </w:p>
          <w:p w14:paraId="1C1C00A3" w14:textId="77777777" w:rsidR="00076217" w:rsidRPr="00AA1BF8" w:rsidRDefault="00076217" w:rsidP="00BB7C8D">
            <w:pPr>
              <w:numPr>
                <w:ilvl w:val="0"/>
                <w:numId w:val="46"/>
              </w:numPr>
              <w:spacing w:after="120"/>
              <w:contextualSpacing/>
              <w:rPr>
                <w:sz w:val="18"/>
                <w:szCs w:val="18"/>
              </w:rPr>
            </w:pPr>
            <w:r w:rsidRPr="00AA1BF8">
              <w:rPr>
                <w:sz w:val="18"/>
                <w:szCs w:val="18"/>
              </w:rPr>
              <w:t>telephone</w:t>
            </w:r>
          </w:p>
          <w:p w14:paraId="79513A63" w14:textId="77777777" w:rsidR="00076217" w:rsidRPr="00AA1BF8" w:rsidRDefault="00076217" w:rsidP="00BB7C8D">
            <w:pPr>
              <w:numPr>
                <w:ilvl w:val="0"/>
                <w:numId w:val="46"/>
              </w:numPr>
              <w:spacing w:after="120"/>
              <w:contextualSpacing/>
              <w:rPr>
                <w:sz w:val="18"/>
                <w:szCs w:val="18"/>
              </w:rPr>
            </w:pPr>
            <w:r w:rsidRPr="00AA1BF8">
              <w:rPr>
                <w:sz w:val="18"/>
                <w:szCs w:val="18"/>
              </w:rPr>
              <w:t>videoconferencing</w:t>
            </w:r>
          </w:p>
          <w:p w14:paraId="3C39EB9D" w14:textId="77777777" w:rsidR="00076217" w:rsidRPr="00AA1BF8" w:rsidRDefault="00076217" w:rsidP="00BB7C8D">
            <w:pPr>
              <w:numPr>
                <w:ilvl w:val="0"/>
                <w:numId w:val="46"/>
              </w:numPr>
              <w:spacing w:after="120"/>
              <w:contextualSpacing/>
              <w:rPr>
                <w:sz w:val="18"/>
                <w:szCs w:val="18"/>
              </w:rPr>
            </w:pPr>
            <w:r w:rsidRPr="00AA1BF8">
              <w:rPr>
                <w:sz w:val="18"/>
                <w:szCs w:val="18"/>
              </w:rPr>
              <w:t>email/secure messaging</w:t>
            </w:r>
          </w:p>
          <w:p w14:paraId="1510C56C" w14:textId="77777777" w:rsidR="00076217" w:rsidRPr="00AA1BF8" w:rsidRDefault="00076217" w:rsidP="00BB7C8D">
            <w:pPr>
              <w:numPr>
                <w:ilvl w:val="0"/>
                <w:numId w:val="46"/>
              </w:numPr>
              <w:spacing w:after="120"/>
              <w:contextualSpacing/>
              <w:rPr>
                <w:sz w:val="18"/>
                <w:szCs w:val="18"/>
              </w:rPr>
            </w:pPr>
            <w:r w:rsidRPr="00AA1BF8">
              <w:rPr>
                <w:sz w:val="18"/>
                <w:szCs w:val="18"/>
              </w:rPr>
              <w:t>non-contact</w:t>
            </w:r>
          </w:p>
          <w:p w14:paraId="3F727C7A" w14:textId="77777777" w:rsidR="00076217" w:rsidRPr="00AA1BF8" w:rsidRDefault="00076217" w:rsidP="00BB7C8D">
            <w:pPr>
              <w:numPr>
                <w:ilvl w:val="0"/>
                <w:numId w:val="46"/>
              </w:numPr>
              <w:spacing w:after="120"/>
              <w:contextualSpacing/>
              <w:rPr>
                <w:sz w:val="18"/>
                <w:szCs w:val="18"/>
              </w:rPr>
            </w:pPr>
            <w:r w:rsidRPr="00AA1BF8">
              <w:rPr>
                <w:sz w:val="18"/>
                <w:szCs w:val="18"/>
              </w:rPr>
              <w:t>devices/equipment</w:t>
            </w:r>
          </w:p>
          <w:p w14:paraId="261E2FA9" w14:textId="77777777" w:rsidR="00076217" w:rsidRPr="00AA1BF8" w:rsidRDefault="00076217" w:rsidP="00BB7C8D">
            <w:pPr>
              <w:numPr>
                <w:ilvl w:val="0"/>
                <w:numId w:val="45"/>
              </w:numPr>
              <w:spacing w:after="120"/>
              <w:ind w:left="714" w:hanging="357"/>
              <w:rPr>
                <w:sz w:val="18"/>
                <w:szCs w:val="18"/>
              </w:rPr>
            </w:pPr>
            <w:r w:rsidRPr="00AA1BF8">
              <w:rPr>
                <w:sz w:val="18"/>
                <w:szCs w:val="18"/>
              </w:rPr>
              <w:t>other</w:t>
            </w:r>
          </w:p>
          <w:p w14:paraId="6F1729FA" w14:textId="77777777" w:rsidR="00076217" w:rsidRPr="00AA1BF8" w:rsidRDefault="00076217" w:rsidP="00933443">
            <w:pPr>
              <w:spacing w:after="120"/>
              <w:rPr>
                <w:sz w:val="18"/>
                <w:szCs w:val="18"/>
              </w:rPr>
            </w:pPr>
            <w:r w:rsidRPr="00AA1BF8">
              <w:rPr>
                <w:sz w:val="18"/>
                <w:szCs w:val="18"/>
              </w:rPr>
              <w:t>Responsible roles included:</w:t>
            </w:r>
          </w:p>
          <w:p w14:paraId="66B255E0" w14:textId="77777777" w:rsidR="00076217" w:rsidRPr="00AA1BF8" w:rsidRDefault="00076217" w:rsidP="00BB7C8D">
            <w:pPr>
              <w:numPr>
                <w:ilvl w:val="0"/>
                <w:numId w:val="46"/>
              </w:numPr>
              <w:spacing w:after="120"/>
              <w:contextualSpacing/>
              <w:rPr>
                <w:sz w:val="18"/>
                <w:szCs w:val="18"/>
              </w:rPr>
            </w:pPr>
            <w:r w:rsidRPr="00AA1BF8">
              <w:rPr>
                <w:sz w:val="18"/>
                <w:szCs w:val="18"/>
              </w:rPr>
              <w:t>GP</w:t>
            </w:r>
          </w:p>
          <w:p w14:paraId="62956E88" w14:textId="77777777" w:rsidR="00076217" w:rsidRPr="00AA1BF8" w:rsidRDefault="00076217" w:rsidP="00BB7C8D">
            <w:pPr>
              <w:numPr>
                <w:ilvl w:val="0"/>
                <w:numId w:val="46"/>
              </w:numPr>
              <w:spacing w:after="120"/>
              <w:contextualSpacing/>
              <w:rPr>
                <w:sz w:val="18"/>
                <w:szCs w:val="18"/>
              </w:rPr>
            </w:pPr>
            <w:r w:rsidRPr="00AA1BF8">
              <w:rPr>
                <w:sz w:val="18"/>
                <w:szCs w:val="18"/>
              </w:rPr>
              <w:t>registered nurse or nurse practitioner</w:t>
            </w:r>
          </w:p>
          <w:p w14:paraId="19BE306C" w14:textId="77777777" w:rsidR="00076217" w:rsidRPr="00AA1BF8" w:rsidRDefault="00076217" w:rsidP="00BB7C8D">
            <w:pPr>
              <w:numPr>
                <w:ilvl w:val="0"/>
                <w:numId w:val="46"/>
              </w:numPr>
              <w:spacing w:after="120"/>
              <w:contextualSpacing/>
              <w:rPr>
                <w:sz w:val="18"/>
                <w:szCs w:val="18"/>
              </w:rPr>
            </w:pPr>
            <w:r w:rsidRPr="00AA1BF8">
              <w:rPr>
                <w:sz w:val="18"/>
                <w:szCs w:val="18"/>
              </w:rPr>
              <w:t>enrolled nurse</w:t>
            </w:r>
          </w:p>
          <w:p w14:paraId="305470FC" w14:textId="77777777" w:rsidR="00076217" w:rsidRPr="00AA1BF8" w:rsidRDefault="00076217" w:rsidP="00BB7C8D">
            <w:pPr>
              <w:numPr>
                <w:ilvl w:val="0"/>
                <w:numId w:val="46"/>
              </w:numPr>
              <w:spacing w:after="120"/>
              <w:contextualSpacing/>
              <w:rPr>
                <w:sz w:val="18"/>
                <w:szCs w:val="18"/>
              </w:rPr>
            </w:pPr>
            <w:r w:rsidRPr="00AA1BF8">
              <w:rPr>
                <w:sz w:val="18"/>
                <w:szCs w:val="18"/>
              </w:rPr>
              <w:t>medical practice assistant</w:t>
            </w:r>
          </w:p>
          <w:p w14:paraId="327F2D8B" w14:textId="77777777" w:rsidR="00076217" w:rsidRPr="00AA1BF8" w:rsidRDefault="00076217" w:rsidP="00BB7C8D">
            <w:pPr>
              <w:numPr>
                <w:ilvl w:val="0"/>
                <w:numId w:val="46"/>
              </w:numPr>
              <w:spacing w:after="120"/>
              <w:contextualSpacing/>
              <w:rPr>
                <w:sz w:val="18"/>
                <w:szCs w:val="18"/>
              </w:rPr>
            </w:pPr>
            <w:r w:rsidRPr="00AA1BF8">
              <w:rPr>
                <w:sz w:val="18"/>
                <w:szCs w:val="18"/>
              </w:rPr>
              <w:t>administration</w:t>
            </w:r>
          </w:p>
          <w:p w14:paraId="5402F799" w14:textId="77777777" w:rsidR="00076217" w:rsidRPr="00AA1BF8" w:rsidRDefault="00076217" w:rsidP="00BB7C8D">
            <w:pPr>
              <w:numPr>
                <w:ilvl w:val="0"/>
                <w:numId w:val="46"/>
              </w:numPr>
              <w:spacing w:after="120"/>
              <w:contextualSpacing/>
              <w:rPr>
                <w:sz w:val="18"/>
                <w:szCs w:val="18"/>
              </w:rPr>
            </w:pPr>
            <w:r w:rsidRPr="00AA1BF8">
              <w:rPr>
                <w:sz w:val="18"/>
                <w:szCs w:val="18"/>
              </w:rPr>
              <w:t>pharmacist</w:t>
            </w:r>
          </w:p>
          <w:p w14:paraId="2D89341A" w14:textId="65BDA71C" w:rsidR="00A949A9" w:rsidRPr="007F675C" w:rsidRDefault="00076217" w:rsidP="00BB7C8D">
            <w:pPr>
              <w:numPr>
                <w:ilvl w:val="0"/>
                <w:numId w:val="46"/>
              </w:numPr>
              <w:spacing w:after="120"/>
              <w:ind w:left="714" w:hanging="357"/>
              <w:rPr>
                <w:sz w:val="18"/>
                <w:szCs w:val="18"/>
              </w:rPr>
            </w:pPr>
            <w:r w:rsidRPr="00AA1BF8">
              <w:rPr>
                <w:sz w:val="18"/>
                <w:szCs w:val="18"/>
              </w:rPr>
              <w:t>Aboriginal and Torres Strait Islander health practitioners</w:t>
            </w:r>
          </w:p>
        </w:tc>
      </w:tr>
    </w:tbl>
    <w:p w14:paraId="4448FD54" w14:textId="77777777" w:rsidR="00756EAA" w:rsidRDefault="00756EAA" w:rsidP="00756EAA">
      <w:pPr>
        <w:spacing w:after="0"/>
      </w:pPr>
    </w:p>
    <w:p w14:paraId="18972D24" w14:textId="77777777" w:rsidR="00292CBF" w:rsidRPr="0036066E" w:rsidRDefault="00292CBF" w:rsidP="0036066E">
      <w:pPr>
        <w:pStyle w:val="Heading2"/>
      </w:pPr>
      <w:bookmarkStart w:id="151" w:name="_Toc109996674"/>
      <w:r w:rsidRPr="0036066E">
        <w:t>Practice and PHN perspectives on the bundled payment</w:t>
      </w:r>
      <w:bookmarkEnd w:id="151"/>
    </w:p>
    <w:p w14:paraId="7AAB7778" w14:textId="365AA235" w:rsidR="00292CBF" w:rsidRDefault="0036066E" w:rsidP="00292CBF">
      <w:r>
        <w:t>PHN practice facilitators</w:t>
      </w:r>
      <w:r w:rsidR="00292CBF">
        <w:t xml:space="preserve"> observed that practical issues </w:t>
      </w:r>
      <w:r w:rsidR="00292CBF" w:rsidRPr="00FD434A">
        <w:t>associated with the bundled payment</w:t>
      </w:r>
      <w:r w:rsidR="00292CBF">
        <w:t xml:space="preserve">, such as how they would divide the payment between participating GPs and what is considered chronic versus acute care, took up a large amount of practices’ time </w:t>
      </w:r>
      <w:r>
        <w:t>in</w:t>
      </w:r>
      <w:r w:rsidR="00292CBF">
        <w:t xml:space="preserve"> the initial stages of the trial. Managing the bundled payment was a major focus in the beginning stages of program implementation, and some practices felt that they received little guidance on how to effectively set-up and distribute the payment.</w:t>
      </w:r>
    </w:p>
    <w:p w14:paraId="1F133C0B" w14:textId="77777777" w:rsidR="00292CBF" w:rsidRDefault="00292CBF" w:rsidP="00D15D48">
      <w:pPr>
        <w:ind w:left="567" w:right="521"/>
      </w:pPr>
      <w:r w:rsidRPr="00D51D26">
        <w:rPr>
          <w:i/>
          <w:iCs/>
        </w:rPr>
        <w:t xml:space="preserve">“… how are we going to then divide that up? How’s that going to work? And GPs in particular, [were] very concerned about that. One of the things that really has come out for us is if this is my patient and I’m away and somebody else needs to see that patient, then how am I going to get paid? That sort of thing. Business </w:t>
      </w:r>
      <w:r w:rsidRPr="00D51D26">
        <w:rPr>
          <w:i/>
          <w:iCs/>
        </w:rPr>
        <w:lastRenderedPageBreak/>
        <w:t>owners and practice managers are really, even still, grappling with that aspect.”</w:t>
      </w:r>
      <w:r w:rsidRPr="00D51D26">
        <w:t xml:space="preserve"> [PHN</w:t>
      </w:r>
      <w:r>
        <w:t xml:space="preserve"> </w:t>
      </w:r>
      <w:r w:rsidRPr="00D51D26">
        <w:t>1, interview, R1]</w:t>
      </w:r>
    </w:p>
    <w:p w14:paraId="3FF338CE" w14:textId="77777777" w:rsidR="00292CBF" w:rsidRDefault="00292CBF" w:rsidP="00D15D48">
      <w:pPr>
        <w:ind w:left="567" w:right="521"/>
      </w:pPr>
      <w:r w:rsidRPr="00CD4CB3">
        <w:rPr>
          <w:i/>
          <w:iCs/>
        </w:rPr>
        <w:t>“Each practice will do it differently, how they prepare and remunerate people but there's no real guide for that at all in the program. So, no-one's actually said to me: This is how you would pay assistants, this is how… And even setting it up there was none of that information so we've had to do that on our own…. I have a real issue with that, I still really do.”</w:t>
      </w:r>
      <w:r w:rsidRPr="00CD4CB3">
        <w:t xml:space="preserve"> [Practice manager, Practice 4, R2]</w:t>
      </w:r>
    </w:p>
    <w:p w14:paraId="321A3A75" w14:textId="7EB599F1" w:rsidR="00CE39B5" w:rsidRDefault="00034863" w:rsidP="00727A6D">
      <w:r>
        <w:t>P</w:t>
      </w:r>
      <w:r w:rsidR="00292CBF">
        <w:t>ractices initially reported challenges and uncertainty</w:t>
      </w:r>
      <w:r>
        <w:t xml:space="preserve"> in setting up and managing the bundled payment (</w:t>
      </w:r>
      <w:r w:rsidRPr="00FF78AE">
        <w:rPr>
          <w:color w:val="002060"/>
        </w:rPr>
        <w:fldChar w:fldCharType="begin"/>
      </w:r>
      <w:r w:rsidRPr="00FF78AE">
        <w:rPr>
          <w:color w:val="002060"/>
        </w:rPr>
        <w:instrText xml:space="preserve"> REF _Ref94696292 \h  \* MERGEFORMAT </w:instrText>
      </w:r>
      <w:r w:rsidRPr="00FF78AE">
        <w:rPr>
          <w:color w:val="002060"/>
        </w:rPr>
      </w:r>
      <w:r w:rsidRPr="00FF78AE">
        <w:rPr>
          <w:color w:val="002060"/>
        </w:rPr>
        <w:fldChar w:fldCharType="separate"/>
      </w:r>
      <w:r w:rsidR="003C4BC2" w:rsidRPr="003C4BC2">
        <w:rPr>
          <w:color w:val="002060"/>
        </w:rPr>
        <w:t>Figure 12</w:t>
      </w:r>
      <w:r w:rsidRPr="00FF78AE">
        <w:rPr>
          <w:color w:val="002060"/>
        </w:rPr>
        <w:fldChar w:fldCharType="end"/>
      </w:r>
      <w:r>
        <w:t>).</w:t>
      </w:r>
    </w:p>
    <w:p w14:paraId="2BBBA568" w14:textId="1BA6B9EB" w:rsidR="00292CBF" w:rsidRPr="007439DE" w:rsidRDefault="00292CBF" w:rsidP="00AD5D70">
      <w:pPr>
        <w:pStyle w:val="TableFigureheading"/>
      </w:pPr>
      <w:bookmarkStart w:id="152" w:name="_Ref94696292"/>
      <w:r w:rsidRPr="007439DE">
        <w:t xml:space="preserve">Figure </w:t>
      </w:r>
      <w:r w:rsidR="00A61B29">
        <w:fldChar w:fldCharType="begin"/>
      </w:r>
      <w:r w:rsidR="00A61B29">
        <w:instrText xml:space="preserve"> SEQ Figure \* ARABIC </w:instrText>
      </w:r>
      <w:r w:rsidR="00A61B29">
        <w:fldChar w:fldCharType="separate"/>
      </w:r>
      <w:r w:rsidR="003C4BC2">
        <w:rPr>
          <w:noProof/>
        </w:rPr>
        <w:t>12</w:t>
      </w:r>
      <w:r w:rsidR="00A61B29">
        <w:rPr>
          <w:noProof/>
        </w:rPr>
        <w:fldChar w:fldCharType="end"/>
      </w:r>
      <w:bookmarkEnd w:id="152"/>
      <w:r w:rsidR="00AD5D70">
        <w:t xml:space="preserve">: </w:t>
      </w:r>
      <w:r w:rsidRPr="007439DE">
        <w:t xml:space="preserve">Challenges </w:t>
      </w:r>
      <w:r w:rsidR="002409CF">
        <w:t>practices</w:t>
      </w:r>
      <w:r w:rsidR="0088084B">
        <w:t xml:space="preserve"> reported in</w:t>
      </w:r>
      <w:r w:rsidRPr="007439DE">
        <w:t xml:space="preserve"> implementing and managing the bundled payment</w:t>
      </w:r>
    </w:p>
    <w:p w14:paraId="0BA86953" w14:textId="00737FA2" w:rsidR="00AD5D70" w:rsidRDefault="00540779" w:rsidP="00292CBF">
      <w:r w:rsidRPr="00540779">
        <w:rPr>
          <w:noProof/>
        </w:rPr>
        <w:drawing>
          <wp:inline distT="0" distB="0" distL="0" distR="0" wp14:anchorId="69F42C3C" wp14:editId="1C50E9AF">
            <wp:extent cx="5731510" cy="2730500"/>
            <wp:effectExtent l="0" t="0" r="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34"/>
                    <a:stretch>
                      <a:fillRect/>
                    </a:stretch>
                  </pic:blipFill>
                  <pic:spPr>
                    <a:xfrm>
                      <a:off x="0" y="0"/>
                      <a:ext cx="5731510" cy="2730500"/>
                    </a:xfrm>
                    <a:prstGeom prst="rect">
                      <a:avLst/>
                    </a:prstGeom>
                  </pic:spPr>
                </pic:pic>
              </a:graphicData>
            </a:graphic>
          </wp:inline>
        </w:drawing>
      </w:r>
    </w:p>
    <w:p w14:paraId="6F698835" w14:textId="77777777" w:rsidR="009E546A" w:rsidRPr="001B1EFB" w:rsidRDefault="009E546A" w:rsidP="009E546A">
      <w:pPr>
        <w:pStyle w:val="Chartortablefootnote"/>
      </w:pPr>
      <w:r w:rsidRPr="001B1EFB">
        <w:t xml:space="preserve">Source: </w:t>
      </w:r>
      <w:r>
        <w:t>Case study</w:t>
      </w:r>
      <w:r w:rsidRPr="001B1EFB">
        <w:t xml:space="preserve"> </w:t>
      </w:r>
      <w:r>
        <w:t>interviews</w:t>
      </w:r>
      <w:r w:rsidRPr="001B1EFB">
        <w:t xml:space="preserve"> R2, </w:t>
      </w:r>
      <w:r w:rsidRPr="00493782">
        <w:t>Sept–Oct 2018</w:t>
      </w:r>
      <w:r w:rsidRPr="001B1EFB">
        <w:t>.</w:t>
      </w:r>
    </w:p>
    <w:p w14:paraId="58C54AAA" w14:textId="726B48A4" w:rsidR="00292CBF" w:rsidRPr="00CC5100" w:rsidRDefault="00292CBF" w:rsidP="00292CBF">
      <w:pPr>
        <w:rPr>
          <w:i/>
          <w:iCs/>
        </w:rPr>
      </w:pPr>
      <w:r>
        <w:t xml:space="preserve">PHNs commented that the high level of change management that practices had to undergo to implement HCH coupled with introducing a novel bundled payment proved to be too much for some practices. </w:t>
      </w:r>
      <w:r w:rsidRPr="0000552D">
        <w:t xml:space="preserve">PHN practice facilitators spoke of spending time with practices to help them work out how to monitor the bundled payment, leaving </w:t>
      </w:r>
      <w:r w:rsidRPr="006B6352">
        <w:t>limited time for changes to practice</w:t>
      </w:r>
      <w:r w:rsidR="007A2B16">
        <w:t>:</w:t>
      </w:r>
    </w:p>
    <w:p w14:paraId="23CE4B54" w14:textId="77777777" w:rsidR="00292CBF" w:rsidRDefault="00292CBF" w:rsidP="00AD5D70">
      <w:pPr>
        <w:ind w:left="567" w:right="521"/>
      </w:pPr>
      <w:r w:rsidRPr="00CC5100">
        <w:rPr>
          <w:i/>
          <w:iCs/>
        </w:rPr>
        <w:t>“…it would have been great to say, give practices 18 months leeway to see, this is where we are heading, let us get in there, do the data cleansing, start preparing them for service delivery under a different model of care. All of those sort of things. Then bring in the payment structure later.”</w:t>
      </w:r>
      <w:r w:rsidRPr="00CC5100">
        <w:t xml:space="preserve"> [PHN 6, interview, R1]</w:t>
      </w:r>
    </w:p>
    <w:p w14:paraId="3C2C9AC0" w14:textId="3B66191E" w:rsidR="00292CBF" w:rsidRDefault="00292CBF" w:rsidP="00292CBF">
      <w:r>
        <w:t xml:space="preserve">In </w:t>
      </w:r>
      <w:r w:rsidR="007A2B16">
        <w:t>some</w:t>
      </w:r>
      <w:r>
        <w:t xml:space="preserve"> instances practices also had to convince their GPs and staff about the advantages of </w:t>
      </w:r>
      <w:r w:rsidRPr="0036066E">
        <w:t xml:space="preserve">the bundled payment versus fee-for-service before they could </w:t>
      </w:r>
      <w:r w:rsidR="004D086C">
        <w:t>start work on</w:t>
      </w:r>
      <w:r w:rsidR="0036066E">
        <w:t xml:space="preserve"> changes to their model of care</w:t>
      </w:r>
      <w:r w:rsidRPr="0036066E">
        <w:t xml:space="preserve">. </w:t>
      </w:r>
      <w:r w:rsidR="0036066E" w:rsidRPr="0036066E">
        <w:t xml:space="preserve">One GP described adjusting to the bundled payment model as a “steep learning curve”, as it required a </w:t>
      </w:r>
      <w:r w:rsidR="0036066E">
        <w:t xml:space="preserve">different </w:t>
      </w:r>
      <w:r w:rsidR="0036066E" w:rsidRPr="0036066E">
        <w:t>mindset</w:t>
      </w:r>
      <w:r w:rsidR="0036066E">
        <w:t xml:space="preserve"> where </w:t>
      </w:r>
      <w:r w:rsidR="0036066E" w:rsidRPr="0036066E">
        <w:t>not every activity</w:t>
      </w:r>
      <w:r w:rsidR="0036066E">
        <w:t xml:space="preserve"> </w:t>
      </w:r>
      <w:r w:rsidR="0036066E" w:rsidRPr="0036066E">
        <w:t>would be billed.</w:t>
      </w:r>
      <w:r w:rsidR="0036066E">
        <w:t xml:space="preserve"> </w:t>
      </w:r>
      <w:r w:rsidR="009A2066">
        <w:t xml:space="preserve">Many GPs and practices also thought that payments under the model were uncertain, which led </w:t>
      </w:r>
      <w:r>
        <w:t xml:space="preserve">to resistance </w:t>
      </w:r>
      <w:r w:rsidR="007662E2">
        <w:t>by some</w:t>
      </w:r>
      <w:r>
        <w:t>.</w:t>
      </w:r>
      <w:r w:rsidR="00A561EE">
        <w:t xml:space="preserve"> </w:t>
      </w:r>
      <w:r>
        <w:t xml:space="preserve">One GP described the </w:t>
      </w:r>
      <w:r w:rsidR="009A2066">
        <w:t>bundled payment</w:t>
      </w:r>
      <w:r>
        <w:t xml:space="preserve"> as a form of “drip-feed funding”</w:t>
      </w:r>
      <w:r w:rsidR="009A2066">
        <w:t>, and suggested a different approach to the monthly payments:</w:t>
      </w:r>
    </w:p>
    <w:p w14:paraId="16398B4C" w14:textId="77777777" w:rsidR="00292CBF" w:rsidRDefault="00292CBF" w:rsidP="00AD5D70">
      <w:pPr>
        <w:ind w:left="567" w:right="521"/>
      </w:pPr>
      <w:r w:rsidRPr="006F3735">
        <w:rPr>
          <w:i/>
          <w:lang w:val="en-GB"/>
        </w:rPr>
        <w:lastRenderedPageBreak/>
        <w:t>“So, in terms of the drip-feed funding, it needs to be turned around in terms of more</w:t>
      </w:r>
      <w:r w:rsidRPr="006F3735">
        <w:rPr>
          <w:i/>
        </w:rPr>
        <w:t xml:space="preserve"> upfront in terms of the payments, so that you've got some level of certainty, and are able to plan…” </w:t>
      </w:r>
      <w:r w:rsidRPr="006F3735">
        <w:t>[GP, Practice 12,</w:t>
      </w:r>
      <w:r>
        <w:t xml:space="preserve"> </w:t>
      </w:r>
      <w:r w:rsidRPr="006F3735">
        <w:t>R2]</w:t>
      </w:r>
    </w:p>
    <w:p w14:paraId="38A1AA64" w14:textId="378DD3F2" w:rsidR="00292CBF" w:rsidRDefault="009A2066" w:rsidP="00292CBF">
      <w:r>
        <w:t xml:space="preserve">Further into the trial practices </w:t>
      </w:r>
      <w:r w:rsidR="00292CBF">
        <w:t>appeared to have a better understanding of how to manage the bundled payment</w:t>
      </w:r>
      <w:r>
        <w:t>:</w:t>
      </w:r>
    </w:p>
    <w:p w14:paraId="2D12989E" w14:textId="77777777" w:rsidR="00292CBF" w:rsidRDefault="00292CBF" w:rsidP="00292CBF">
      <w:pPr>
        <w:ind w:left="567" w:right="521"/>
        <w:rPr>
          <w:szCs w:val="20"/>
          <w:lang w:val="en-GB"/>
        </w:rPr>
      </w:pPr>
      <w:r w:rsidRPr="003234EA">
        <w:rPr>
          <w:i/>
          <w:iCs/>
          <w:szCs w:val="20"/>
          <w:lang w:val="en-GB"/>
        </w:rPr>
        <w:t xml:space="preserve">“In terms of funding, I think the way the payments are happening now is quite easy, it’s quite good. We’re not running an </w:t>
      </w:r>
      <w:r w:rsidRPr="00AD5D70">
        <w:rPr>
          <w:i/>
          <w:lang w:val="en-GB"/>
        </w:rPr>
        <w:t>internal</w:t>
      </w:r>
      <w:r w:rsidRPr="003234EA">
        <w:rPr>
          <w:i/>
          <w:iCs/>
          <w:szCs w:val="20"/>
          <w:lang w:val="en-GB"/>
        </w:rPr>
        <w:t xml:space="preserve"> </w:t>
      </w:r>
      <w:r>
        <w:rPr>
          <w:i/>
          <w:iCs/>
          <w:szCs w:val="20"/>
          <w:lang w:val="en-GB"/>
        </w:rPr>
        <w:t>fee-for-service</w:t>
      </w:r>
      <w:r w:rsidRPr="003234EA">
        <w:rPr>
          <w:i/>
          <w:iCs/>
          <w:szCs w:val="20"/>
          <w:lang w:val="en-GB"/>
        </w:rPr>
        <w:t xml:space="preserve"> system, like new practices are. We’re just dividing up the money on a percentage basis to these patients, and that's it. So, we’re doing it the easy way.”</w:t>
      </w:r>
      <w:r w:rsidRPr="003234EA">
        <w:rPr>
          <w:szCs w:val="20"/>
          <w:lang w:val="en-GB"/>
        </w:rPr>
        <w:t xml:space="preserve"> [GP1, Practice 5</w:t>
      </w:r>
      <w:r>
        <w:rPr>
          <w:szCs w:val="20"/>
          <w:lang w:val="en-GB"/>
        </w:rPr>
        <w:t>, R4</w:t>
      </w:r>
      <w:r w:rsidRPr="003234EA">
        <w:rPr>
          <w:szCs w:val="20"/>
          <w:lang w:val="en-GB"/>
        </w:rPr>
        <w:t>]</w:t>
      </w:r>
    </w:p>
    <w:p w14:paraId="3D75BA84" w14:textId="1CB7A94A" w:rsidR="00292CBF" w:rsidRDefault="00292CBF" w:rsidP="00292CBF">
      <w:pPr>
        <w:ind w:left="567" w:right="521"/>
        <w:rPr>
          <w:szCs w:val="20"/>
        </w:rPr>
      </w:pPr>
      <w:r w:rsidRPr="001A0154">
        <w:rPr>
          <w:i/>
          <w:iCs/>
          <w:szCs w:val="20"/>
        </w:rPr>
        <w:t xml:space="preserve">“Again, I'm actually </w:t>
      </w:r>
      <w:r w:rsidRPr="00AD5D70">
        <w:rPr>
          <w:i/>
          <w:lang w:val="en-GB"/>
        </w:rPr>
        <w:t>pretty</w:t>
      </w:r>
      <w:r w:rsidRPr="001A0154">
        <w:rPr>
          <w:i/>
          <w:iCs/>
          <w:szCs w:val="20"/>
        </w:rPr>
        <w:t xml:space="preserve"> happy with how things are at the moment, and I think any tweaks would require a change in the funding model. So, there's nothing that I have planned to actually tweak at this sta</w:t>
      </w:r>
      <w:r w:rsidR="00906F79">
        <w:rPr>
          <w:i/>
          <w:iCs/>
          <w:szCs w:val="20"/>
        </w:rPr>
        <w:t>g</w:t>
      </w:r>
      <w:r w:rsidRPr="001A0154">
        <w:rPr>
          <w:i/>
          <w:iCs/>
          <w:szCs w:val="20"/>
        </w:rPr>
        <w:t>e. I think it’s actually working quite well of what it is currently.”</w:t>
      </w:r>
      <w:r>
        <w:rPr>
          <w:szCs w:val="20"/>
        </w:rPr>
        <w:t xml:space="preserve"> [GP, Practice 4, R4]</w:t>
      </w:r>
    </w:p>
    <w:p w14:paraId="688140FA" w14:textId="77777777" w:rsidR="00292CBF" w:rsidRDefault="00292CBF" w:rsidP="00292CBF">
      <w:pPr>
        <w:ind w:left="567" w:right="521"/>
        <w:rPr>
          <w:szCs w:val="20"/>
        </w:rPr>
      </w:pPr>
      <w:r w:rsidRPr="00E667C9">
        <w:rPr>
          <w:i/>
          <w:iCs/>
          <w:szCs w:val="20"/>
        </w:rPr>
        <w:t xml:space="preserve">“We’ve also had to tweak our billing structure a little bit. How we manage and how we try and see the workflow … We wrote up our own [items] and tried to mimic </w:t>
      </w:r>
      <w:r w:rsidRPr="00AD5D70">
        <w:rPr>
          <w:i/>
          <w:lang w:val="en-GB"/>
        </w:rPr>
        <w:t>the</w:t>
      </w:r>
      <w:r w:rsidRPr="00E667C9">
        <w:rPr>
          <w:i/>
          <w:iCs/>
          <w:szCs w:val="20"/>
        </w:rPr>
        <w:t xml:space="preserve"> MBS a little bit. Because that’s where the doctors book in already, so we didn’t reinvent the wheel. We were finding they just weren’t using it, and wasn’t getting used right … So we found it working a lot better by creating that, and we’re slowing getting nurses a little bit more onboard with them billing as well so that we can actually see the service that they’re doing, and try and justify that a little better.”</w:t>
      </w:r>
      <w:r w:rsidRPr="00E667C9">
        <w:rPr>
          <w:szCs w:val="20"/>
        </w:rPr>
        <w:t xml:space="preserve"> [Practice Manager</w:t>
      </w:r>
      <w:r>
        <w:rPr>
          <w:szCs w:val="20"/>
        </w:rPr>
        <w:t>,</w:t>
      </w:r>
      <w:r w:rsidRPr="00E667C9">
        <w:rPr>
          <w:szCs w:val="20"/>
        </w:rPr>
        <w:t xml:space="preserve"> Practice 10</w:t>
      </w:r>
      <w:r>
        <w:rPr>
          <w:szCs w:val="20"/>
        </w:rPr>
        <w:t>, R4</w:t>
      </w:r>
      <w:r w:rsidRPr="00E667C9">
        <w:rPr>
          <w:szCs w:val="20"/>
        </w:rPr>
        <w:t>]</w:t>
      </w:r>
    </w:p>
    <w:p w14:paraId="41A6ADA8" w14:textId="062AF3B1" w:rsidR="00292CBF" w:rsidRDefault="00F3047E" w:rsidP="00292CBF">
      <w:r>
        <w:t xml:space="preserve">However, </w:t>
      </w:r>
      <w:r w:rsidR="00A26B65">
        <w:t xml:space="preserve">some practices continued to have issues with </w:t>
      </w:r>
      <w:r w:rsidR="00EE189D">
        <w:t xml:space="preserve">how to </w:t>
      </w:r>
      <w:r w:rsidR="00292CBF">
        <w:t>distribute the payment</w:t>
      </w:r>
      <w:r>
        <w:t>s</w:t>
      </w:r>
      <w:r w:rsidR="00292CBF">
        <w:t xml:space="preserve"> </w:t>
      </w:r>
      <w:r>
        <w:t>amongst</w:t>
      </w:r>
      <w:r w:rsidR="00292CBF">
        <w:t xml:space="preserve"> staff</w:t>
      </w:r>
      <w:r w:rsidR="00A26B65">
        <w:t xml:space="preserve"> and </w:t>
      </w:r>
      <w:r w:rsidR="00640337">
        <w:t>differentiating between</w:t>
      </w:r>
      <w:r w:rsidR="00A26B65">
        <w:t xml:space="preserve"> chronic </w:t>
      </w:r>
      <w:r w:rsidR="00640337">
        <w:t>and acute care for the purposes of payment</w:t>
      </w:r>
      <w:r w:rsidR="00EE189D">
        <w:t>:</w:t>
      </w:r>
    </w:p>
    <w:p w14:paraId="3260E305" w14:textId="77777777" w:rsidR="00292CBF" w:rsidRDefault="00292CBF" w:rsidP="00AD5D70">
      <w:pPr>
        <w:ind w:left="567" w:right="521"/>
      </w:pPr>
      <w:r w:rsidRPr="009A5DC1">
        <w:rPr>
          <w:i/>
          <w:iCs/>
        </w:rPr>
        <w:t xml:space="preserve">“The grey zone is this </w:t>
      </w:r>
      <w:r w:rsidRPr="00AD5D70">
        <w:rPr>
          <w:i/>
          <w:lang w:val="en-GB"/>
        </w:rPr>
        <w:t>thing</w:t>
      </w:r>
      <w:r w:rsidRPr="009A5DC1">
        <w:rPr>
          <w:i/>
          <w:iCs/>
        </w:rPr>
        <w:t xml:space="preserve"> in the middle. They come in with three things wrong with them. One of them, which is their Health Care Home thing. Two of which are acute, like that, or they come in with an acute flare of their COPD or an acute flare of their diabetes. And where exactly does that line get drawn? Is that acute, or is that chronic? And how do you bill it?”</w:t>
      </w:r>
      <w:r>
        <w:t xml:space="preserve"> [GP, Practice 12, R5]</w:t>
      </w:r>
    </w:p>
    <w:p w14:paraId="49F1FA40" w14:textId="77777777" w:rsidR="00292CBF" w:rsidRDefault="00292CBF" w:rsidP="00AD5D70">
      <w:pPr>
        <w:ind w:left="567" w:right="521"/>
      </w:pPr>
      <w:r w:rsidRPr="009935A3">
        <w:rPr>
          <w:i/>
          <w:iCs/>
        </w:rPr>
        <w:t>“I think one of the key challenges we haven’t yet really figured out, and I think one of the bigger challenges across the board, is how do you manage, when you’ve got multiple practitioners seeing one patient in the clinic. And if you’ve got a bundle of funding for the patient going directly to the clinic, how do you fairly portion that in a way that makes sense for each doctor and for the clinic? And how much flexibility can you allow depending on how often a patient sees Doctor A, B, or C? Or how do you manage that?”</w:t>
      </w:r>
      <w:r w:rsidRPr="002E1237">
        <w:t xml:space="preserve"> [GP, Practice </w:t>
      </w:r>
      <w:r>
        <w:t>22, R4</w:t>
      </w:r>
      <w:r w:rsidRPr="002E1237">
        <w:t>]</w:t>
      </w:r>
    </w:p>
    <w:p w14:paraId="50287CF9" w14:textId="0A54764F" w:rsidR="00EE189D" w:rsidRPr="00A914FC" w:rsidRDefault="0069734E" w:rsidP="00292CBF">
      <w:r>
        <w:t xml:space="preserve">Managing two systems of charging in the same practice was also an issue for many </w:t>
      </w:r>
      <w:r w:rsidR="0040132E">
        <w:t xml:space="preserve">practices, </w:t>
      </w:r>
      <w:r w:rsidR="0040132E" w:rsidRPr="00A914FC">
        <w:t>especially</w:t>
      </w:r>
      <w:r w:rsidR="00A914FC" w:rsidRPr="00A914FC">
        <w:t xml:space="preserve"> where they had </w:t>
      </w:r>
      <w:r w:rsidR="00D03519">
        <w:t>only a</w:t>
      </w:r>
      <w:r w:rsidR="00A914FC" w:rsidRPr="00A914FC">
        <w:t xml:space="preserve"> few patients enrolled</w:t>
      </w:r>
      <w:r w:rsidR="00FE6602" w:rsidRPr="00A914FC">
        <w:t>:</w:t>
      </w:r>
      <w:r w:rsidR="00EE189D" w:rsidRPr="00A914FC">
        <w:t xml:space="preserve"> </w:t>
      </w:r>
    </w:p>
    <w:p w14:paraId="25412242" w14:textId="5D59D8E2" w:rsidR="00292CBF" w:rsidRPr="00A914FC" w:rsidRDefault="00292CBF" w:rsidP="00AD5D70">
      <w:pPr>
        <w:ind w:left="567" w:right="521"/>
      </w:pPr>
      <w:r w:rsidRPr="00A914FC">
        <w:rPr>
          <w:i/>
          <w:iCs/>
        </w:rPr>
        <w:t xml:space="preserve">“It’s very difficult when you’ve got a practice with 15 doctors and there’s only one GP enrolled, seven, 10 patients. And he only works half a day a week. Distributing that care within the care team and then obviously the payments, it’s causing </w:t>
      </w:r>
      <w:r w:rsidRPr="00A914FC">
        <w:rPr>
          <w:i/>
          <w:iCs/>
        </w:rPr>
        <w:lastRenderedPageBreak/>
        <w:t>some conflict within the GPs in that practice because the GPs will not see the Health</w:t>
      </w:r>
      <w:r w:rsidR="00FE6602" w:rsidRPr="00A914FC">
        <w:rPr>
          <w:i/>
          <w:iCs/>
        </w:rPr>
        <w:t xml:space="preserve"> C</w:t>
      </w:r>
      <w:r w:rsidRPr="00A914FC">
        <w:rPr>
          <w:i/>
          <w:iCs/>
        </w:rPr>
        <w:t>are Homes patients because the doctor’s not on until next Wednesday afternoon.”</w:t>
      </w:r>
      <w:r w:rsidRPr="00A914FC">
        <w:t xml:space="preserve"> [PHN 2, Interview, R5]</w:t>
      </w:r>
    </w:p>
    <w:p w14:paraId="3344977D" w14:textId="77777777" w:rsidR="00FE6602" w:rsidRDefault="00FE6602" w:rsidP="00FE6602">
      <w:pPr>
        <w:ind w:left="567" w:right="521"/>
      </w:pPr>
      <w:r w:rsidRPr="00A914FC">
        <w:rPr>
          <w:i/>
          <w:iCs/>
        </w:rPr>
        <w:t>“We had four main participating doctors. Me, being one of them. But all the other doctors are affected, because they’ve then got to bill the right thing and you’ve got to reiterate them, and then when it happens at a certain amount, it’s just a whole lot of effort…</w:t>
      </w:r>
      <w:r w:rsidRPr="00A914FC">
        <w:t xml:space="preserve"> </w:t>
      </w:r>
      <w:r w:rsidRPr="00A914FC">
        <w:rPr>
          <w:i/>
          <w:iCs/>
        </w:rPr>
        <w:t xml:space="preserve">The fact that it doesn’t fit into our normal billing processes. That’s the barrier. That it adds a whole new billing process and it just makes you have to learn another way of doing things.” </w:t>
      </w:r>
      <w:r w:rsidRPr="00A914FC">
        <w:t>[GP, Practice 17, R5]</w:t>
      </w:r>
    </w:p>
    <w:p w14:paraId="4ECBF486" w14:textId="439629D0" w:rsidR="00292CBF" w:rsidRDefault="00292CBF" w:rsidP="00292CBF">
      <w:pPr>
        <w:pStyle w:val="Heading3"/>
        <w:spacing w:line="276" w:lineRule="auto"/>
      </w:pPr>
      <w:r>
        <w:t xml:space="preserve">Practice perceptions on the financial impact of </w:t>
      </w:r>
      <w:r w:rsidR="00FE6602">
        <w:t xml:space="preserve">the </w:t>
      </w:r>
      <w:r>
        <w:t>bundled payment</w:t>
      </w:r>
    </w:p>
    <w:p w14:paraId="01709B84" w14:textId="261BA0DC" w:rsidR="00292CBF" w:rsidRDefault="00292CBF" w:rsidP="00292CBF">
      <w:r>
        <w:t xml:space="preserve">The financial impact of </w:t>
      </w:r>
      <w:r w:rsidR="00FE6602">
        <w:t>the</w:t>
      </w:r>
      <w:r>
        <w:t xml:space="preserve"> bundled payment was of central importance to HCHs. Many practices were interested in testing and/or comparing the bundled payment with the fee-for-service model. Some practices deliberately only enrolled a small number of patients to test the model. In the early stages of the evaluation, practices were unable to determine the financial impact, but uncertainty around the new funding model and how to effectively plan their budget was of concern</w:t>
      </w:r>
      <w:r w:rsidR="00FE6602">
        <w:t>:</w:t>
      </w:r>
    </w:p>
    <w:p w14:paraId="580ABA78" w14:textId="77777777" w:rsidR="00292CBF" w:rsidRDefault="00292CBF" w:rsidP="00AD5D70">
      <w:pPr>
        <w:ind w:left="567" w:right="521"/>
      </w:pPr>
      <w:r w:rsidRPr="00DC03E8">
        <w:rPr>
          <w:i/>
        </w:rPr>
        <w:t xml:space="preserve">“And I'm </w:t>
      </w:r>
      <w:r w:rsidRPr="00AD5D70">
        <w:rPr>
          <w:i/>
          <w:iCs/>
        </w:rPr>
        <w:t>sure</w:t>
      </w:r>
      <w:r w:rsidRPr="00DC03E8">
        <w:rPr>
          <w:i/>
        </w:rPr>
        <w:t xml:space="preserve"> each clinician is going to sit down and look at, how much did that end up making a difference in terms of finances, having a patient enrolled in Health Care Homes. So that uncertainty is the most uncomfortable thing.”</w:t>
      </w:r>
      <w:r w:rsidRPr="00DC03E8">
        <w:t xml:space="preserve"> [Practice manager, Practice 9, R2] </w:t>
      </w:r>
    </w:p>
    <w:p w14:paraId="2EA06B2F" w14:textId="77777777" w:rsidR="00292CBF" w:rsidRDefault="00292CBF" w:rsidP="00AD5D70">
      <w:pPr>
        <w:ind w:left="567" w:right="521"/>
        <w:rPr>
          <w:lang w:val="en-GB"/>
        </w:rPr>
      </w:pPr>
      <w:r w:rsidRPr="00B813BB">
        <w:rPr>
          <w:i/>
          <w:lang w:val="en-GB"/>
        </w:rPr>
        <w:t>“…trying to be able to budget that money that comes in, because we will have to set-up a separate budget for each patient and then try to work out their care around that income. So, we’re struggling with the, it only comes in monthly so you get like $100 for that patient upfront but the first month or whatever, where you might do a shared care plan which is $255 essentially, whatever the costs are, I’m not sure.”</w:t>
      </w:r>
      <w:r w:rsidRPr="00B813BB">
        <w:rPr>
          <w:lang w:val="en-GB"/>
        </w:rPr>
        <w:t xml:space="preserve"> [Practice manager, Practice 14, R2]</w:t>
      </w:r>
    </w:p>
    <w:p w14:paraId="4103F2A3" w14:textId="77777777" w:rsidR="00573D24" w:rsidRPr="00B97C04" w:rsidRDefault="00573D24" w:rsidP="00573D24">
      <w:pPr>
        <w:ind w:left="567" w:right="521"/>
        <w:rPr>
          <w:szCs w:val="20"/>
          <w:lang w:val="en-GB"/>
        </w:rPr>
      </w:pPr>
      <w:r w:rsidRPr="006F6073">
        <w:rPr>
          <w:i/>
          <w:iCs/>
          <w:szCs w:val="20"/>
          <w:lang w:val="en-GB"/>
        </w:rPr>
        <w:t xml:space="preserve">“I think numbers are key to being able to diversify that model, and I think from the practices that have already got 200-plus people enrolled, there’s a lot more flexibility in how you can deliver that service, and how you can model the financials </w:t>
      </w:r>
      <w:r w:rsidRPr="00AD5D70">
        <w:rPr>
          <w:i/>
          <w:iCs/>
          <w:szCs w:val="20"/>
        </w:rPr>
        <w:t>of</w:t>
      </w:r>
      <w:r w:rsidRPr="006F6073">
        <w:rPr>
          <w:i/>
          <w:iCs/>
          <w:szCs w:val="20"/>
          <w:lang w:val="en-GB"/>
        </w:rPr>
        <w:t xml:space="preserve"> it. For us, we weren’t able to do that with the numbers that we enrolled. We needed to, really, push that money to the GPs that have taken a really big hit with the chronic health management compliance issues, and things like that… I think I would really like to be able to use funds to justify more work with dieticians, podiatrists, those allied services. And more nursing support…”</w:t>
      </w:r>
      <w:r>
        <w:rPr>
          <w:szCs w:val="20"/>
          <w:lang w:val="en-GB"/>
        </w:rPr>
        <w:t xml:space="preserve"> [Practice Manager, Practice 10, R5]</w:t>
      </w:r>
    </w:p>
    <w:p w14:paraId="5B3CA3FE" w14:textId="47807317" w:rsidR="00292CBF" w:rsidRDefault="00292CBF" w:rsidP="00292CBF">
      <w:r>
        <w:t xml:space="preserve">As the trial progressed, practices reported mixed feedback </w:t>
      </w:r>
      <w:r w:rsidR="00591340">
        <w:t>about whether they were better or worse off with the bundled payments:</w:t>
      </w:r>
    </w:p>
    <w:p w14:paraId="406C30C6" w14:textId="77777777" w:rsidR="00292CBF" w:rsidRPr="00F91ACD" w:rsidRDefault="00292CBF" w:rsidP="00AD5D70">
      <w:pPr>
        <w:ind w:left="567" w:right="521"/>
        <w:rPr>
          <w:lang w:val="en-GB"/>
        </w:rPr>
      </w:pPr>
      <w:r>
        <w:rPr>
          <w:i/>
          <w:iCs/>
          <w:lang w:val="en-GB"/>
        </w:rPr>
        <w:t xml:space="preserve">“We </w:t>
      </w:r>
      <w:r w:rsidRPr="00574D20">
        <w:rPr>
          <w:i/>
          <w:iCs/>
          <w:lang w:val="en-GB"/>
        </w:rPr>
        <w:t xml:space="preserve">had a look at how although some were spending more, some were spending less, is that accurate? So, when </w:t>
      </w:r>
      <w:r w:rsidRPr="00AD5D70">
        <w:rPr>
          <w:i/>
          <w:lang w:val="en-GB"/>
        </w:rPr>
        <w:t>you</w:t>
      </w:r>
      <w:r w:rsidRPr="00574D20">
        <w:rPr>
          <w:i/>
          <w:iCs/>
          <w:lang w:val="en-GB"/>
        </w:rPr>
        <w:t xml:space="preserve"> look at in terms of the cost of that patient is now spending through Health Care Homes and what we would be billing through </w:t>
      </w:r>
      <w:r w:rsidRPr="00574D20">
        <w:rPr>
          <w:i/>
          <w:iCs/>
          <w:lang w:val="en-GB"/>
        </w:rPr>
        <w:lastRenderedPageBreak/>
        <w:t>Medicare, it actually ends up being almost exactly the same as what we would have got if we’d done it through Medicare.”</w:t>
      </w:r>
      <w:r w:rsidRPr="00574D20">
        <w:rPr>
          <w:lang w:val="en-GB"/>
        </w:rPr>
        <w:t xml:space="preserve"> [Practice Manager,</w:t>
      </w:r>
      <w:r>
        <w:rPr>
          <w:lang w:val="en-GB"/>
        </w:rPr>
        <w:t xml:space="preserve"> </w:t>
      </w:r>
      <w:r w:rsidRPr="00574D20">
        <w:rPr>
          <w:lang w:val="en-GB"/>
        </w:rPr>
        <w:t xml:space="preserve">Practice </w:t>
      </w:r>
      <w:r>
        <w:rPr>
          <w:lang w:val="en-GB"/>
        </w:rPr>
        <w:t>23, R4</w:t>
      </w:r>
      <w:r w:rsidRPr="00574D20">
        <w:rPr>
          <w:lang w:val="en-GB"/>
        </w:rPr>
        <w:t>]</w:t>
      </w:r>
    </w:p>
    <w:p w14:paraId="1197EC2E" w14:textId="77777777" w:rsidR="00292CBF" w:rsidRDefault="00292CBF" w:rsidP="00AD5D70">
      <w:pPr>
        <w:ind w:left="567" w:right="521"/>
      </w:pPr>
      <w:r w:rsidRPr="00574D20">
        <w:rPr>
          <w:i/>
          <w:iCs/>
        </w:rPr>
        <w:t>“My impression is that it’s probably similar overall to if we weren’t part of Health Care Homes. We might be slightly better off.”</w:t>
      </w:r>
      <w:r w:rsidRPr="00306632">
        <w:t xml:space="preserve"> [GP, Practice </w:t>
      </w:r>
      <w:r>
        <w:t>22, R4</w:t>
      </w:r>
      <w:r w:rsidRPr="00306632">
        <w:t>]</w:t>
      </w:r>
    </w:p>
    <w:p w14:paraId="0C4C68CC" w14:textId="77777777" w:rsidR="00292CBF" w:rsidRDefault="00292CBF" w:rsidP="00AD5D70">
      <w:pPr>
        <w:ind w:left="567" w:right="521"/>
        <w:rPr>
          <w:szCs w:val="20"/>
          <w:lang w:val="en-GB"/>
        </w:rPr>
      </w:pPr>
      <w:r>
        <w:rPr>
          <w:i/>
          <w:iCs/>
          <w:szCs w:val="20"/>
          <w:lang w:val="en-GB"/>
        </w:rPr>
        <w:t xml:space="preserve">“… </w:t>
      </w:r>
      <w:r w:rsidRPr="00662AEE">
        <w:rPr>
          <w:i/>
          <w:iCs/>
          <w:szCs w:val="20"/>
          <w:lang w:val="en-GB"/>
        </w:rPr>
        <w:t>financially, for us, it’s been a benefit too. We can say that. We’ve done the modelling on that. It’s definitely beneficial. It’s probably been 15%</w:t>
      </w:r>
      <w:r>
        <w:rPr>
          <w:i/>
          <w:iCs/>
          <w:szCs w:val="20"/>
          <w:lang w:val="en-GB"/>
        </w:rPr>
        <w:t>,</w:t>
      </w:r>
      <w:r w:rsidRPr="00662AEE">
        <w:rPr>
          <w:i/>
          <w:iCs/>
          <w:szCs w:val="20"/>
          <w:lang w:val="en-GB"/>
        </w:rPr>
        <w:t xml:space="preserve"> 10% up.”</w:t>
      </w:r>
      <w:r>
        <w:rPr>
          <w:szCs w:val="20"/>
          <w:lang w:val="en-GB"/>
        </w:rPr>
        <w:t xml:space="preserve"> [GP1, Practice 5, R4]</w:t>
      </w:r>
    </w:p>
    <w:p w14:paraId="6A5D038B" w14:textId="77777777" w:rsidR="00292CBF" w:rsidRPr="00DC03E8" w:rsidRDefault="00292CBF" w:rsidP="00AD5D70">
      <w:pPr>
        <w:ind w:left="567" w:right="521"/>
        <w:rPr>
          <w:szCs w:val="20"/>
          <w:lang w:val="en-GB"/>
        </w:rPr>
      </w:pPr>
      <w:r>
        <w:rPr>
          <w:i/>
          <w:iCs/>
          <w:szCs w:val="20"/>
          <w:lang w:val="en-GB"/>
        </w:rPr>
        <w:t xml:space="preserve">“… </w:t>
      </w:r>
      <w:r w:rsidRPr="00CF0219">
        <w:rPr>
          <w:i/>
          <w:iCs/>
          <w:szCs w:val="20"/>
          <w:lang w:val="en-GB"/>
        </w:rPr>
        <w:t>it has taken our nurse more time than expected to do the tracking and administration side of things</w:t>
      </w:r>
      <w:r>
        <w:rPr>
          <w:i/>
          <w:iCs/>
          <w:szCs w:val="20"/>
          <w:lang w:val="en-GB"/>
        </w:rPr>
        <w:t xml:space="preserve"> … </w:t>
      </w:r>
      <w:r w:rsidRPr="00CF0219">
        <w:rPr>
          <w:i/>
          <w:iCs/>
          <w:szCs w:val="20"/>
          <w:lang w:val="en-GB"/>
        </w:rPr>
        <w:t xml:space="preserve">If we’re seeing a patient for something related to their chronic disease, we can’t bill it to the MBS. But it’s not been as easy from a tracking perspective to work out would that have been the case when they’re not in Health Care Home. For example, if a patient has a few issues in the one visit and part of it is to do with their Health Care Home chronic disease, and part of it is completely acute which wouldn’t be Health Care Home related, we should still be able to bill the MBS. And if it was say less than 20 minutes, either way we’d be getting the same money. So whether or not we’d be better off if the patient was Health Care Home or not, that’s harder to judge at a more finite level.” </w:t>
      </w:r>
      <w:r w:rsidRPr="00CF0219">
        <w:rPr>
          <w:szCs w:val="20"/>
          <w:lang w:val="en-GB"/>
        </w:rPr>
        <w:t xml:space="preserve">[GP, Practice </w:t>
      </w:r>
      <w:r>
        <w:rPr>
          <w:szCs w:val="20"/>
          <w:lang w:val="en-GB"/>
        </w:rPr>
        <w:t>22, R4</w:t>
      </w:r>
      <w:r w:rsidRPr="00CF0219">
        <w:rPr>
          <w:szCs w:val="20"/>
          <w:lang w:val="en-GB"/>
        </w:rPr>
        <w:t xml:space="preserve">] </w:t>
      </w:r>
    </w:p>
    <w:p w14:paraId="0D5DD67F" w14:textId="4CC9A417" w:rsidR="00292CBF" w:rsidRDefault="00292CBF" w:rsidP="00AD5D70">
      <w:pPr>
        <w:ind w:left="567" w:right="521"/>
        <w:rPr>
          <w:szCs w:val="20"/>
        </w:rPr>
      </w:pPr>
      <w:r w:rsidRPr="00355AE2">
        <w:rPr>
          <w:i/>
          <w:iCs/>
          <w:szCs w:val="20"/>
        </w:rPr>
        <w:t>“I think it would be less. Because it’s just the monthly payment each month comes through, which is a small amount, especially depending on the level. And they could have come twice during the amount. And the amount of work, we do actually put in a lot of work behind the scenes, and the patients don’t actually come in. The nurse does a lot of monitoring on [</w:t>
      </w:r>
      <w:r w:rsidR="00591340">
        <w:rPr>
          <w:i/>
          <w:iCs/>
          <w:szCs w:val="20"/>
        </w:rPr>
        <w:t>a</w:t>
      </w:r>
      <w:r w:rsidRPr="00355AE2">
        <w:rPr>
          <w:i/>
          <w:iCs/>
          <w:szCs w:val="20"/>
        </w:rPr>
        <w:t xml:space="preserve">pp], and calls them if she needs to, and things like that. So, we’re very proactive.” </w:t>
      </w:r>
      <w:r w:rsidRPr="00355AE2">
        <w:rPr>
          <w:szCs w:val="20"/>
        </w:rPr>
        <w:t>[Practice Manager, Practice 11</w:t>
      </w:r>
      <w:r>
        <w:rPr>
          <w:szCs w:val="20"/>
        </w:rPr>
        <w:t>, R4</w:t>
      </w:r>
      <w:r w:rsidRPr="00355AE2">
        <w:rPr>
          <w:szCs w:val="20"/>
        </w:rPr>
        <w:t>]</w:t>
      </w:r>
    </w:p>
    <w:p w14:paraId="63FA884C" w14:textId="3ACB40C7" w:rsidR="00292CBF" w:rsidRDefault="00292CBF" w:rsidP="00AD5D70">
      <w:pPr>
        <w:ind w:left="567" w:right="521"/>
        <w:rPr>
          <w:szCs w:val="20"/>
        </w:rPr>
      </w:pPr>
      <w:r w:rsidRPr="00B84063">
        <w:rPr>
          <w:i/>
          <w:iCs/>
          <w:szCs w:val="20"/>
        </w:rPr>
        <w:t xml:space="preserve">“…it’s not working very well for us financially….we get a fixed amount of money and then we have to spend a lot of time making sure that the patient obliges and does come in. So I think the only advantage I can see here is some patient like this </w:t>
      </w:r>
      <w:r w:rsidR="0002675D">
        <w:rPr>
          <w:i/>
          <w:iCs/>
          <w:szCs w:val="20"/>
        </w:rPr>
        <w:t>program</w:t>
      </w:r>
      <w:r w:rsidRPr="00B84063">
        <w:rPr>
          <w:i/>
          <w:iCs/>
          <w:szCs w:val="20"/>
        </w:rPr>
        <w:t xml:space="preserve"> very much.”</w:t>
      </w:r>
      <w:r>
        <w:rPr>
          <w:szCs w:val="20"/>
        </w:rPr>
        <w:t xml:space="preserve"> [GP, Practice 3, R5]</w:t>
      </w:r>
    </w:p>
    <w:p w14:paraId="5A5FD5C0" w14:textId="6286375C" w:rsidR="00591340" w:rsidRDefault="00591340" w:rsidP="00292CBF">
      <w:r>
        <w:t xml:space="preserve">Those that were negative or still unsure about the impact of the funding model also factored in the increased workload and the significant amount of time that it took to understand and implement the HCH model. Given </w:t>
      </w:r>
      <w:r w:rsidR="00326430">
        <w:t>this</w:t>
      </w:r>
      <w:r>
        <w:t>, they were unsure they were being adequately compensated by the bundled payment.</w:t>
      </w:r>
    </w:p>
    <w:p w14:paraId="6F72F1EF" w14:textId="3487E310" w:rsidR="00472940" w:rsidRDefault="00615D6E" w:rsidP="00292CBF">
      <w:r>
        <w:t>In the final survey</w:t>
      </w:r>
      <w:r w:rsidR="00BE4C83">
        <w:t xml:space="preserve"> for the evaluation</w:t>
      </w:r>
      <w:r>
        <w:t xml:space="preserve">, practices were asked </w:t>
      </w:r>
      <w:r w:rsidR="00CB6F0B">
        <w:t xml:space="preserve">to qualitatively describe the </w:t>
      </w:r>
      <w:r w:rsidR="00CB6F0B" w:rsidRPr="00CB6F0B">
        <w:t>impact of HCH on the financial viability of the</w:t>
      </w:r>
      <w:r w:rsidR="00482DEC">
        <w:t>ir</w:t>
      </w:r>
      <w:r w:rsidR="00CB6F0B" w:rsidRPr="00CB6F0B">
        <w:t xml:space="preserve"> practice</w:t>
      </w:r>
      <w:r w:rsidR="00CB6F0B">
        <w:t xml:space="preserve">. </w:t>
      </w:r>
      <w:r w:rsidR="0026799F">
        <w:t>Their responses were grouped into the categories shown in</w:t>
      </w:r>
      <w:r w:rsidR="00302D66">
        <w:t xml:space="preserve"> </w:t>
      </w:r>
      <w:r w:rsidR="00302D66" w:rsidRPr="001018EB">
        <w:rPr>
          <w:color w:val="002060"/>
        </w:rPr>
        <w:fldChar w:fldCharType="begin"/>
      </w:r>
      <w:r w:rsidR="00302D66" w:rsidRPr="001018EB">
        <w:rPr>
          <w:color w:val="002060"/>
        </w:rPr>
        <w:instrText xml:space="preserve"> REF _Ref94695100 \h  \* MERGEFORMAT </w:instrText>
      </w:r>
      <w:r w:rsidR="00302D66" w:rsidRPr="001018EB">
        <w:rPr>
          <w:color w:val="002060"/>
        </w:rPr>
      </w:r>
      <w:r w:rsidR="00302D66" w:rsidRPr="001018EB">
        <w:rPr>
          <w:color w:val="002060"/>
        </w:rPr>
        <w:fldChar w:fldCharType="separate"/>
      </w:r>
      <w:r w:rsidR="003C4BC2" w:rsidRPr="003C4BC2">
        <w:rPr>
          <w:color w:val="002060"/>
        </w:rPr>
        <w:t xml:space="preserve">Table </w:t>
      </w:r>
      <w:r w:rsidR="003C4BC2" w:rsidRPr="003C4BC2">
        <w:rPr>
          <w:noProof/>
          <w:color w:val="002060"/>
        </w:rPr>
        <w:t>20</w:t>
      </w:r>
      <w:r w:rsidR="00302D66" w:rsidRPr="001018EB">
        <w:rPr>
          <w:color w:val="002060"/>
        </w:rPr>
        <w:fldChar w:fldCharType="end"/>
      </w:r>
      <w:r w:rsidR="0026799F">
        <w:t xml:space="preserve">. </w:t>
      </w:r>
    </w:p>
    <w:p w14:paraId="1EB9D2CD" w14:textId="77777777" w:rsidR="00472940" w:rsidRDefault="00472940">
      <w:pPr>
        <w:spacing w:after="160" w:line="259" w:lineRule="auto"/>
      </w:pPr>
      <w:r>
        <w:br w:type="page"/>
      </w:r>
    </w:p>
    <w:p w14:paraId="131D9A86" w14:textId="3EE2B143" w:rsidR="00615D6E" w:rsidRDefault="00615D6E" w:rsidP="00615D6E">
      <w:pPr>
        <w:pStyle w:val="TableFigureheading"/>
      </w:pPr>
      <w:bookmarkStart w:id="153" w:name="_Ref94695100"/>
      <w:r w:rsidRPr="00193A79">
        <w:rPr>
          <w:bCs w:val="0"/>
        </w:rPr>
        <w:lastRenderedPageBreak/>
        <w:t xml:space="preserve">Table </w:t>
      </w:r>
      <w:r w:rsidRPr="00193A79">
        <w:rPr>
          <w:bCs w:val="0"/>
        </w:rPr>
        <w:fldChar w:fldCharType="begin"/>
      </w:r>
      <w:r w:rsidRPr="00193A79">
        <w:rPr>
          <w:bCs w:val="0"/>
        </w:rPr>
        <w:instrText xml:space="preserve"> SEQ Table \* ARABIC </w:instrText>
      </w:r>
      <w:r w:rsidRPr="00193A79">
        <w:rPr>
          <w:bCs w:val="0"/>
        </w:rPr>
        <w:fldChar w:fldCharType="separate"/>
      </w:r>
      <w:r w:rsidR="003C4BC2">
        <w:rPr>
          <w:bCs w:val="0"/>
          <w:noProof/>
        </w:rPr>
        <w:t>20</w:t>
      </w:r>
      <w:r w:rsidRPr="00193A79">
        <w:rPr>
          <w:bCs w:val="0"/>
        </w:rPr>
        <w:fldChar w:fldCharType="end"/>
      </w:r>
      <w:bookmarkEnd w:id="153"/>
      <w:r w:rsidRPr="00193A79">
        <w:rPr>
          <w:bCs w:val="0"/>
        </w:rPr>
        <w:t>: Practices’ perceptions of the impact of HCH on the financial viability for their practice</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6742"/>
        <w:gridCol w:w="2274"/>
      </w:tblGrid>
      <w:tr w:rsidR="0016256A" w:rsidRPr="0016256A" w14:paraId="5078C56D" w14:textId="77777777" w:rsidTr="00727A6D">
        <w:tc>
          <w:tcPr>
            <w:tcW w:w="3739" w:type="pct"/>
            <w:shd w:val="clear" w:color="auto" w:fill="408BCA"/>
            <w:vAlign w:val="center"/>
          </w:tcPr>
          <w:p w14:paraId="71BDB55B" w14:textId="77777777" w:rsidR="00615D6E" w:rsidRPr="0016256A" w:rsidRDefault="00615D6E" w:rsidP="0016256A">
            <w:pPr>
              <w:spacing w:after="0"/>
              <w:ind w:left="102" w:right="102"/>
              <w:rPr>
                <w:rFonts w:eastAsia="Century Gothic" w:cs="Century Gothic"/>
                <w:b/>
                <w:bCs/>
                <w:color w:val="FFFFFF" w:themeColor="background1"/>
                <w:sz w:val="18"/>
                <w:szCs w:val="18"/>
              </w:rPr>
            </w:pPr>
            <w:r w:rsidRPr="0016256A">
              <w:rPr>
                <w:rFonts w:eastAsia="Century Gothic" w:cs="Century Gothic"/>
                <w:b/>
                <w:bCs/>
                <w:color w:val="FFFFFF" w:themeColor="background1"/>
                <w:sz w:val="18"/>
                <w:szCs w:val="18"/>
              </w:rPr>
              <w:t>Response</w:t>
            </w:r>
          </w:p>
        </w:tc>
        <w:tc>
          <w:tcPr>
            <w:tcW w:w="1261" w:type="pct"/>
            <w:shd w:val="clear" w:color="auto" w:fill="408BCA"/>
            <w:vAlign w:val="center"/>
          </w:tcPr>
          <w:p w14:paraId="15E36A7C" w14:textId="77777777" w:rsidR="00615D6E" w:rsidRPr="0016256A" w:rsidRDefault="00615D6E" w:rsidP="0016256A">
            <w:pPr>
              <w:spacing w:after="0"/>
              <w:ind w:left="102" w:right="102"/>
              <w:jc w:val="center"/>
              <w:rPr>
                <w:rFonts w:eastAsia="Century Gothic" w:cs="Century Gothic"/>
                <w:b/>
                <w:bCs/>
                <w:color w:val="FFFFFF" w:themeColor="background1"/>
                <w:sz w:val="18"/>
                <w:szCs w:val="18"/>
              </w:rPr>
            </w:pPr>
            <w:r w:rsidRPr="0016256A">
              <w:rPr>
                <w:rFonts w:eastAsia="Century Gothic" w:cs="Century Gothic"/>
                <w:b/>
                <w:bCs/>
                <w:color w:val="FFFFFF" w:themeColor="background1"/>
                <w:sz w:val="18"/>
                <w:szCs w:val="18"/>
              </w:rPr>
              <w:t>No. of responses (% of practices providing this response)</w:t>
            </w:r>
            <w:r w:rsidRPr="0016256A">
              <w:rPr>
                <w:rFonts w:eastAsia="Century Gothic" w:cs="Century Gothic"/>
                <w:b/>
                <w:bCs/>
                <w:color w:val="FFFFFF" w:themeColor="background1"/>
                <w:sz w:val="18"/>
                <w:szCs w:val="18"/>
                <w:vertAlign w:val="superscript"/>
              </w:rPr>
              <w:t>1</w:t>
            </w:r>
          </w:p>
        </w:tc>
      </w:tr>
      <w:tr w:rsidR="00615D6E" w:rsidRPr="00A144BD" w14:paraId="1AEE926F" w14:textId="77777777" w:rsidTr="00727A6D">
        <w:tc>
          <w:tcPr>
            <w:tcW w:w="3739" w:type="pct"/>
          </w:tcPr>
          <w:p w14:paraId="443AD125" w14:textId="4893B9B0" w:rsidR="00615D6E" w:rsidRPr="00B07BEB" w:rsidRDefault="004B47C1" w:rsidP="00886BBF">
            <w:pPr>
              <w:spacing w:after="0"/>
              <w:ind w:right="102"/>
              <w:rPr>
                <w:sz w:val="18"/>
                <w:szCs w:val="18"/>
              </w:rPr>
            </w:pPr>
            <w:r>
              <w:rPr>
                <w:sz w:val="18"/>
                <w:szCs w:val="18"/>
              </w:rPr>
              <w:t xml:space="preserve">Improved </w:t>
            </w:r>
            <w:r w:rsidR="001945EB">
              <w:rPr>
                <w:sz w:val="18"/>
                <w:szCs w:val="18"/>
              </w:rPr>
              <w:t>finances of practice</w:t>
            </w:r>
            <w:r w:rsidR="002369AA">
              <w:rPr>
                <w:sz w:val="18"/>
                <w:szCs w:val="18"/>
              </w:rPr>
              <w:t>/ provides coverage for otherwise unpaid work</w:t>
            </w:r>
          </w:p>
        </w:tc>
        <w:tc>
          <w:tcPr>
            <w:tcW w:w="1261" w:type="pct"/>
          </w:tcPr>
          <w:p w14:paraId="1F765D86" w14:textId="77777777" w:rsidR="00615D6E" w:rsidRPr="00B07BEB" w:rsidRDefault="00615D6E" w:rsidP="0032660B">
            <w:pPr>
              <w:spacing w:after="0"/>
              <w:ind w:left="102" w:right="102"/>
              <w:jc w:val="right"/>
              <w:rPr>
                <w:sz w:val="18"/>
                <w:szCs w:val="18"/>
              </w:rPr>
            </w:pPr>
            <w:r w:rsidRPr="00B07BEB">
              <w:rPr>
                <w:sz w:val="18"/>
                <w:szCs w:val="18"/>
              </w:rPr>
              <w:t>18 (24.7%)</w:t>
            </w:r>
          </w:p>
        </w:tc>
      </w:tr>
      <w:tr w:rsidR="00615D6E" w:rsidRPr="00A144BD" w14:paraId="7A46A4D3" w14:textId="77777777" w:rsidTr="00727A6D">
        <w:tc>
          <w:tcPr>
            <w:tcW w:w="3739" w:type="pct"/>
          </w:tcPr>
          <w:p w14:paraId="4D745B01" w14:textId="62908565" w:rsidR="00615D6E" w:rsidRPr="00B07BEB" w:rsidRDefault="00615D6E" w:rsidP="00886BBF">
            <w:pPr>
              <w:spacing w:after="0"/>
              <w:ind w:right="102"/>
              <w:rPr>
                <w:sz w:val="18"/>
                <w:szCs w:val="18"/>
              </w:rPr>
            </w:pPr>
            <w:r w:rsidRPr="00B07BEB">
              <w:rPr>
                <w:sz w:val="18"/>
                <w:szCs w:val="18"/>
              </w:rPr>
              <w:t>Neutral or little to no financial advantage</w:t>
            </w:r>
          </w:p>
        </w:tc>
        <w:tc>
          <w:tcPr>
            <w:tcW w:w="1261" w:type="pct"/>
          </w:tcPr>
          <w:p w14:paraId="03D4156D" w14:textId="77777777" w:rsidR="00615D6E" w:rsidRPr="00B07BEB" w:rsidRDefault="00615D6E" w:rsidP="0032660B">
            <w:pPr>
              <w:spacing w:after="0"/>
              <w:ind w:left="102" w:right="102"/>
              <w:jc w:val="right"/>
              <w:rPr>
                <w:sz w:val="18"/>
                <w:szCs w:val="18"/>
              </w:rPr>
            </w:pPr>
            <w:r w:rsidRPr="00B07BEB">
              <w:rPr>
                <w:sz w:val="18"/>
                <w:szCs w:val="18"/>
              </w:rPr>
              <w:t>14 (19.2%)</w:t>
            </w:r>
          </w:p>
        </w:tc>
      </w:tr>
      <w:tr w:rsidR="00615D6E" w:rsidRPr="00A144BD" w14:paraId="193877C8" w14:textId="77777777" w:rsidTr="00727A6D">
        <w:tc>
          <w:tcPr>
            <w:tcW w:w="3739" w:type="pct"/>
          </w:tcPr>
          <w:p w14:paraId="032E35A2" w14:textId="45FBC377" w:rsidR="00615D6E" w:rsidRPr="00B07BEB" w:rsidRDefault="00615D6E" w:rsidP="00886BBF">
            <w:pPr>
              <w:spacing w:after="0"/>
              <w:ind w:right="102"/>
              <w:rPr>
                <w:rFonts w:eastAsia="Century Gothic" w:cs="Century Gothic"/>
                <w:color w:val="000000"/>
                <w:sz w:val="18"/>
                <w:szCs w:val="18"/>
              </w:rPr>
            </w:pPr>
            <w:r w:rsidRPr="00B07BEB">
              <w:rPr>
                <w:sz w:val="18"/>
                <w:szCs w:val="18"/>
              </w:rPr>
              <w:t>Negative</w:t>
            </w:r>
            <w:r w:rsidR="00941F41">
              <w:rPr>
                <w:sz w:val="18"/>
                <w:szCs w:val="18"/>
              </w:rPr>
              <w:t xml:space="preserve"> impact (overall income decreased)</w:t>
            </w:r>
          </w:p>
        </w:tc>
        <w:tc>
          <w:tcPr>
            <w:tcW w:w="1261" w:type="pct"/>
          </w:tcPr>
          <w:p w14:paraId="1ECC2873" w14:textId="77777777" w:rsidR="00615D6E" w:rsidRPr="00B07BEB" w:rsidRDefault="00615D6E" w:rsidP="0032660B">
            <w:pPr>
              <w:spacing w:after="0"/>
              <w:ind w:left="102" w:right="102"/>
              <w:jc w:val="right"/>
              <w:rPr>
                <w:rFonts w:eastAsia="Century Gothic" w:cs="Century Gothic"/>
                <w:color w:val="000000"/>
                <w:sz w:val="18"/>
                <w:szCs w:val="18"/>
              </w:rPr>
            </w:pPr>
            <w:r w:rsidRPr="00B07BEB">
              <w:rPr>
                <w:sz w:val="18"/>
                <w:szCs w:val="18"/>
              </w:rPr>
              <w:t>12 (16.4%)</w:t>
            </w:r>
          </w:p>
        </w:tc>
      </w:tr>
      <w:tr w:rsidR="00615D6E" w:rsidRPr="00A144BD" w14:paraId="1D8C85BA" w14:textId="77777777" w:rsidTr="00727A6D">
        <w:tc>
          <w:tcPr>
            <w:tcW w:w="3739" w:type="pct"/>
          </w:tcPr>
          <w:p w14:paraId="26580062" w14:textId="1CA4C113" w:rsidR="00615D6E" w:rsidRPr="00B07BEB" w:rsidRDefault="00E351D2" w:rsidP="00886BBF">
            <w:pPr>
              <w:spacing w:after="0"/>
              <w:ind w:right="102"/>
              <w:rPr>
                <w:sz w:val="18"/>
                <w:szCs w:val="18"/>
              </w:rPr>
            </w:pPr>
            <w:r>
              <w:rPr>
                <w:sz w:val="18"/>
                <w:szCs w:val="18"/>
              </w:rPr>
              <w:t>C</w:t>
            </w:r>
            <w:r w:rsidR="00615D6E" w:rsidRPr="00B07BEB">
              <w:rPr>
                <w:sz w:val="18"/>
                <w:szCs w:val="18"/>
              </w:rPr>
              <w:t>oncerns around staff time/work required to operate program</w:t>
            </w:r>
          </w:p>
        </w:tc>
        <w:tc>
          <w:tcPr>
            <w:tcW w:w="1261" w:type="pct"/>
          </w:tcPr>
          <w:p w14:paraId="19138971" w14:textId="77777777" w:rsidR="00615D6E" w:rsidRPr="00B07BEB" w:rsidRDefault="00615D6E" w:rsidP="0032660B">
            <w:pPr>
              <w:spacing w:after="0"/>
              <w:ind w:left="102" w:right="102"/>
              <w:jc w:val="right"/>
              <w:rPr>
                <w:sz w:val="18"/>
                <w:szCs w:val="18"/>
              </w:rPr>
            </w:pPr>
            <w:r w:rsidRPr="00B07BEB">
              <w:rPr>
                <w:sz w:val="18"/>
                <w:szCs w:val="18"/>
              </w:rPr>
              <w:t>7 (9.6%)</w:t>
            </w:r>
          </w:p>
        </w:tc>
      </w:tr>
      <w:tr w:rsidR="00615D6E" w:rsidRPr="00A144BD" w14:paraId="7433FAF3" w14:textId="77777777" w:rsidTr="00727A6D">
        <w:tc>
          <w:tcPr>
            <w:tcW w:w="3739" w:type="pct"/>
          </w:tcPr>
          <w:p w14:paraId="32F2E399" w14:textId="0F571EEB" w:rsidR="00615D6E" w:rsidRPr="00B07BEB" w:rsidRDefault="00615D6E" w:rsidP="00886BBF">
            <w:pPr>
              <w:spacing w:after="0"/>
              <w:ind w:right="102"/>
              <w:rPr>
                <w:sz w:val="18"/>
                <w:szCs w:val="18"/>
              </w:rPr>
            </w:pPr>
            <w:r w:rsidRPr="00B07BEB">
              <w:rPr>
                <w:sz w:val="18"/>
                <w:szCs w:val="18"/>
              </w:rPr>
              <w:t>Small scale of HCH patients</w:t>
            </w:r>
            <w:r w:rsidR="00E351D2">
              <w:rPr>
                <w:sz w:val="18"/>
                <w:szCs w:val="18"/>
              </w:rPr>
              <w:t xml:space="preserve"> enrolled</w:t>
            </w:r>
            <w:r w:rsidRPr="00B07BEB">
              <w:rPr>
                <w:sz w:val="18"/>
                <w:szCs w:val="18"/>
              </w:rPr>
              <w:t xml:space="preserve"> impacted viability or unable to sufficiently evaluate viability</w:t>
            </w:r>
            <w:r w:rsidR="00E351D2">
              <w:rPr>
                <w:sz w:val="18"/>
                <w:szCs w:val="18"/>
              </w:rPr>
              <w:t xml:space="preserve"> due to </w:t>
            </w:r>
            <w:r w:rsidR="00E37789">
              <w:rPr>
                <w:sz w:val="18"/>
                <w:szCs w:val="18"/>
              </w:rPr>
              <w:t>small number of enrolments</w:t>
            </w:r>
          </w:p>
        </w:tc>
        <w:tc>
          <w:tcPr>
            <w:tcW w:w="1261" w:type="pct"/>
          </w:tcPr>
          <w:p w14:paraId="2B1232CF" w14:textId="77777777" w:rsidR="00615D6E" w:rsidRPr="00B07BEB" w:rsidRDefault="00615D6E" w:rsidP="0032660B">
            <w:pPr>
              <w:spacing w:after="0"/>
              <w:ind w:left="102" w:right="102"/>
              <w:jc w:val="right"/>
              <w:rPr>
                <w:sz w:val="18"/>
                <w:szCs w:val="18"/>
              </w:rPr>
            </w:pPr>
            <w:r w:rsidRPr="00B07BEB">
              <w:rPr>
                <w:sz w:val="18"/>
                <w:szCs w:val="18"/>
              </w:rPr>
              <w:t>6 (8.2%)</w:t>
            </w:r>
          </w:p>
        </w:tc>
      </w:tr>
      <w:tr w:rsidR="00615D6E" w:rsidRPr="00A144BD" w14:paraId="417A126B" w14:textId="77777777" w:rsidTr="00727A6D">
        <w:tc>
          <w:tcPr>
            <w:tcW w:w="3739" w:type="pct"/>
          </w:tcPr>
          <w:p w14:paraId="092F2E9F" w14:textId="62F3B46C" w:rsidR="00615D6E" w:rsidRPr="00B07BEB" w:rsidRDefault="00615D6E" w:rsidP="00886BBF">
            <w:pPr>
              <w:spacing w:after="0"/>
              <w:ind w:right="102"/>
              <w:rPr>
                <w:sz w:val="18"/>
                <w:szCs w:val="18"/>
              </w:rPr>
            </w:pPr>
            <w:r w:rsidRPr="00B07BEB">
              <w:rPr>
                <w:sz w:val="18"/>
                <w:szCs w:val="18"/>
              </w:rPr>
              <w:t xml:space="preserve">Viability </w:t>
            </w:r>
            <w:r w:rsidR="00E37789">
              <w:rPr>
                <w:sz w:val="18"/>
                <w:szCs w:val="18"/>
              </w:rPr>
              <w:t>is variable by</w:t>
            </w:r>
            <w:r w:rsidRPr="00B07BEB">
              <w:rPr>
                <w:sz w:val="18"/>
                <w:szCs w:val="18"/>
              </w:rPr>
              <w:t xml:space="preserve"> patient tier</w:t>
            </w:r>
          </w:p>
        </w:tc>
        <w:tc>
          <w:tcPr>
            <w:tcW w:w="1261" w:type="pct"/>
          </w:tcPr>
          <w:p w14:paraId="721C446E" w14:textId="77777777" w:rsidR="00615D6E" w:rsidRPr="00B07BEB" w:rsidRDefault="00615D6E" w:rsidP="0032660B">
            <w:pPr>
              <w:spacing w:after="0"/>
              <w:ind w:left="102" w:right="102"/>
              <w:jc w:val="right"/>
              <w:rPr>
                <w:sz w:val="18"/>
                <w:szCs w:val="18"/>
              </w:rPr>
            </w:pPr>
            <w:r w:rsidRPr="00B07BEB">
              <w:rPr>
                <w:sz w:val="18"/>
                <w:szCs w:val="18"/>
              </w:rPr>
              <w:t>6 (8.2%)</w:t>
            </w:r>
          </w:p>
        </w:tc>
      </w:tr>
      <w:tr w:rsidR="00615D6E" w:rsidRPr="00A144BD" w14:paraId="7D036FB4" w14:textId="77777777" w:rsidTr="00727A6D">
        <w:tc>
          <w:tcPr>
            <w:tcW w:w="3739" w:type="pct"/>
          </w:tcPr>
          <w:p w14:paraId="0321606D" w14:textId="77777777" w:rsidR="00615D6E" w:rsidRPr="00B07BEB" w:rsidRDefault="00615D6E" w:rsidP="00886BBF">
            <w:pPr>
              <w:spacing w:after="0"/>
              <w:ind w:right="102"/>
              <w:rPr>
                <w:sz w:val="18"/>
                <w:szCs w:val="18"/>
              </w:rPr>
            </w:pPr>
            <w:r w:rsidRPr="00B07BEB">
              <w:rPr>
                <w:sz w:val="18"/>
                <w:szCs w:val="18"/>
              </w:rPr>
              <w:t>Don't know/ no response</w:t>
            </w:r>
          </w:p>
        </w:tc>
        <w:tc>
          <w:tcPr>
            <w:tcW w:w="1261" w:type="pct"/>
          </w:tcPr>
          <w:p w14:paraId="327CE900" w14:textId="77777777" w:rsidR="00615D6E" w:rsidRPr="00B07BEB" w:rsidRDefault="00615D6E" w:rsidP="0032660B">
            <w:pPr>
              <w:spacing w:after="0"/>
              <w:ind w:left="102" w:right="102"/>
              <w:jc w:val="right"/>
              <w:rPr>
                <w:sz w:val="18"/>
                <w:szCs w:val="18"/>
              </w:rPr>
            </w:pPr>
            <w:r w:rsidRPr="00B07BEB">
              <w:rPr>
                <w:sz w:val="18"/>
                <w:szCs w:val="18"/>
              </w:rPr>
              <w:t>18 (24.7%)</w:t>
            </w:r>
          </w:p>
        </w:tc>
      </w:tr>
    </w:tbl>
    <w:p w14:paraId="07E140E8" w14:textId="77777777" w:rsidR="00615D6E" w:rsidRDefault="00615D6E" w:rsidP="00615D6E">
      <w:pPr>
        <w:pStyle w:val="Chartortablefootnote"/>
        <w:contextualSpacing/>
      </w:pPr>
      <w:r w:rsidRPr="00034515">
        <w:rPr>
          <w:vertAlign w:val="superscript"/>
        </w:rPr>
        <w:t>1</w:t>
      </w:r>
      <w:r>
        <w:t xml:space="preserve"> Practices could provide more than one response. Number of practices is 73. </w:t>
      </w:r>
    </w:p>
    <w:p w14:paraId="6783C923" w14:textId="62CAF2CA" w:rsidR="00615D6E" w:rsidRDefault="00615D6E" w:rsidP="00615D6E">
      <w:pPr>
        <w:pStyle w:val="Chartortablefootnote"/>
        <w:ind w:left="1985" w:right="2081"/>
      </w:pPr>
      <w:r>
        <w:t xml:space="preserve">Source: Practice survey R5, </w:t>
      </w:r>
      <w:r w:rsidR="00BC2D7A">
        <w:t>Mar–May</w:t>
      </w:r>
      <w:r>
        <w:t xml:space="preserve"> 2021, question 32.</w:t>
      </w:r>
    </w:p>
    <w:p w14:paraId="622ADBD8" w14:textId="27175951" w:rsidR="00615D6E" w:rsidRDefault="00D74D45" w:rsidP="00292CBF">
      <w:pPr>
        <w:rPr>
          <w:szCs w:val="20"/>
          <w:lang w:val="en-GB"/>
        </w:rPr>
      </w:pPr>
      <w:r>
        <w:rPr>
          <w:szCs w:val="20"/>
          <w:lang w:val="en-GB"/>
        </w:rPr>
        <w:t xml:space="preserve">The responses echo the feedback from the interviews in that </w:t>
      </w:r>
      <w:r w:rsidR="004F610E">
        <w:rPr>
          <w:szCs w:val="20"/>
          <w:lang w:val="en-GB"/>
        </w:rPr>
        <w:t xml:space="preserve">practices have varying perceptions about the </w:t>
      </w:r>
      <w:r w:rsidR="004F610E" w:rsidRPr="004F610E">
        <w:rPr>
          <w:szCs w:val="20"/>
          <w:lang w:val="en-GB"/>
        </w:rPr>
        <w:t>impact of HCH on the financial viability for their practice</w:t>
      </w:r>
      <w:r w:rsidR="003A0FA5">
        <w:rPr>
          <w:szCs w:val="20"/>
          <w:lang w:val="en-GB"/>
        </w:rPr>
        <w:t>.</w:t>
      </w:r>
      <w:r w:rsidR="00B83A0D">
        <w:rPr>
          <w:szCs w:val="20"/>
          <w:lang w:val="en-GB"/>
        </w:rPr>
        <w:t xml:space="preserve"> </w:t>
      </w:r>
    </w:p>
    <w:p w14:paraId="1D4BB45D" w14:textId="17CD9700" w:rsidR="00292CBF" w:rsidRDefault="00292CBF" w:rsidP="00292CBF">
      <w:pPr>
        <w:rPr>
          <w:szCs w:val="20"/>
          <w:lang w:val="en-GB"/>
        </w:rPr>
      </w:pPr>
      <w:r>
        <w:rPr>
          <w:szCs w:val="20"/>
          <w:lang w:val="en-GB"/>
        </w:rPr>
        <w:t xml:space="preserve">To ensure that patients were getting services </w:t>
      </w:r>
      <w:r w:rsidR="00375961">
        <w:rPr>
          <w:szCs w:val="20"/>
          <w:lang w:val="en-GB"/>
        </w:rPr>
        <w:t>that reflected</w:t>
      </w:r>
      <w:r>
        <w:rPr>
          <w:szCs w:val="20"/>
          <w:lang w:val="en-GB"/>
        </w:rPr>
        <w:t xml:space="preserve"> their needs as indicated by their tier</w:t>
      </w:r>
      <w:r w:rsidR="0087126D">
        <w:rPr>
          <w:szCs w:val="20"/>
          <w:lang w:val="en-GB"/>
        </w:rPr>
        <w:t xml:space="preserve"> and that the practice wasn’t worse off financially, </w:t>
      </w:r>
      <w:r>
        <w:rPr>
          <w:szCs w:val="20"/>
          <w:lang w:val="en-GB"/>
        </w:rPr>
        <w:t>some practices carefully monitored patients’ use of services:</w:t>
      </w:r>
    </w:p>
    <w:p w14:paraId="7C5304B6" w14:textId="1F29D2BE" w:rsidR="00292CBF" w:rsidRPr="001F77AD" w:rsidRDefault="00292CBF" w:rsidP="00AD5D70">
      <w:pPr>
        <w:ind w:left="567" w:right="521"/>
        <w:rPr>
          <w:szCs w:val="20"/>
          <w:lang w:val="en-GB"/>
        </w:rPr>
      </w:pPr>
      <w:r>
        <w:rPr>
          <w:i/>
          <w:iCs/>
          <w:szCs w:val="20"/>
          <w:lang w:val="en-GB"/>
        </w:rPr>
        <w:t>“</w:t>
      </w:r>
      <w:r w:rsidRPr="003D598A">
        <w:rPr>
          <w:i/>
          <w:iCs/>
          <w:szCs w:val="20"/>
          <w:lang w:val="en-GB"/>
        </w:rPr>
        <w:t>So, what happens is when the patient comes into the clinic and they see the doctor, the girls</w:t>
      </w:r>
      <w:r w:rsidR="00AF4113">
        <w:rPr>
          <w:i/>
          <w:iCs/>
          <w:szCs w:val="20"/>
          <w:lang w:val="en-GB"/>
        </w:rPr>
        <w:t xml:space="preserve"> [sic]</w:t>
      </w:r>
      <w:r w:rsidRPr="003D598A">
        <w:rPr>
          <w:i/>
          <w:iCs/>
          <w:szCs w:val="20"/>
          <w:lang w:val="en-GB"/>
        </w:rPr>
        <w:t xml:space="preserve"> will process </w:t>
      </w:r>
      <w:r w:rsidRPr="00AD5D70">
        <w:rPr>
          <w:i/>
          <w:iCs/>
          <w:szCs w:val="20"/>
        </w:rPr>
        <w:t>the</w:t>
      </w:r>
      <w:r w:rsidRPr="003D598A">
        <w:rPr>
          <w:i/>
          <w:iCs/>
          <w:szCs w:val="20"/>
          <w:lang w:val="en-GB"/>
        </w:rPr>
        <w:t xml:space="preserve"> account through the system, and give it a particular code that corresponds to that Health Care Home patient. And then, from there, that invoice is then transferred onto a spreadsheet, and the amount of money that they’re utilising is recorded in that spreadsheet. And then, I will then get a bit of tally on what’s left in that patient’s funding area, to see what other things we can offer them if we can.</w:t>
      </w:r>
      <w:r>
        <w:rPr>
          <w:i/>
          <w:iCs/>
          <w:szCs w:val="20"/>
          <w:lang w:val="en-GB"/>
        </w:rPr>
        <w:t xml:space="preserve"> </w:t>
      </w:r>
      <w:r w:rsidRPr="003D598A">
        <w:rPr>
          <w:i/>
          <w:iCs/>
          <w:szCs w:val="20"/>
          <w:lang w:val="en-GB"/>
        </w:rPr>
        <w:t>Or, say, someone’s running $1,000 behind, that’s okay because there might be something else we can do for them that will alleviate the costs.”</w:t>
      </w:r>
      <w:r>
        <w:rPr>
          <w:szCs w:val="20"/>
          <w:lang w:val="en-GB"/>
        </w:rPr>
        <w:t xml:space="preserve"> [Practice Manager, Practice 23, R4]</w:t>
      </w:r>
    </w:p>
    <w:p w14:paraId="17E8AB69" w14:textId="35CBDAD3" w:rsidR="00292CBF" w:rsidRPr="00CC77A4" w:rsidRDefault="00292CBF" w:rsidP="00292CBF">
      <w:r>
        <w:t xml:space="preserve">Practices that had enrolled </w:t>
      </w:r>
      <w:r w:rsidR="00375961">
        <w:t>more patients</w:t>
      </w:r>
      <w:r>
        <w:t xml:space="preserve"> were more likely to report that the bundled payment was having a positive financial impact</w:t>
      </w:r>
      <w:r w:rsidR="00B44132">
        <w:t>:</w:t>
      </w:r>
      <w:r w:rsidRPr="00CC77A4">
        <w:t xml:space="preserve"> </w:t>
      </w:r>
    </w:p>
    <w:p w14:paraId="5404A732" w14:textId="77777777" w:rsidR="00292CBF" w:rsidRDefault="00292CBF" w:rsidP="00292CBF">
      <w:pPr>
        <w:ind w:left="567" w:right="521"/>
        <w:rPr>
          <w:szCs w:val="20"/>
        </w:rPr>
      </w:pPr>
      <w:r w:rsidRPr="00425DE8">
        <w:rPr>
          <w:i/>
          <w:iCs/>
          <w:szCs w:val="20"/>
        </w:rPr>
        <w:t>“Overall, financially</w:t>
      </w:r>
      <w:r>
        <w:rPr>
          <w:i/>
          <w:iCs/>
          <w:szCs w:val="20"/>
        </w:rPr>
        <w:t xml:space="preserve"> … </w:t>
      </w:r>
      <w:r w:rsidRPr="00425DE8">
        <w:rPr>
          <w:i/>
          <w:iCs/>
          <w:szCs w:val="20"/>
        </w:rPr>
        <w:t>I really was very negative about the whole thing. But now that we have</w:t>
      </w:r>
      <w:r>
        <w:rPr>
          <w:i/>
          <w:iCs/>
          <w:szCs w:val="20"/>
        </w:rPr>
        <w:t xml:space="preserve"> … </w:t>
      </w:r>
      <w:r w:rsidRPr="00425DE8">
        <w:rPr>
          <w:i/>
          <w:iCs/>
          <w:szCs w:val="20"/>
        </w:rPr>
        <w:t>capped at [</w:t>
      </w:r>
      <w:r>
        <w:rPr>
          <w:i/>
          <w:iCs/>
          <w:szCs w:val="20"/>
        </w:rPr>
        <w:t xml:space="preserve">more than 200 </w:t>
      </w:r>
      <w:r w:rsidRPr="00425DE8">
        <w:rPr>
          <w:i/>
          <w:iCs/>
          <w:szCs w:val="20"/>
        </w:rPr>
        <w:t>patients]</w:t>
      </w:r>
      <w:r>
        <w:rPr>
          <w:i/>
          <w:iCs/>
          <w:szCs w:val="20"/>
        </w:rPr>
        <w:t xml:space="preserve"> … </w:t>
      </w:r>
      <w:r w:rsidRPr="00425DE8">
        <w:rPr>
          <w:i/>
          <w:iCs/>
          <w:szCs w:val="20"/>
        </w:rPr>
        <w:t>we’re seeing a good amount of funding that's coming through to us now on a regular basis</w:t>
      </w:r>
      <w:r>
        <w:rPr>
          <w:i/>
          <w:iCs/>
          <w:szCs w:val="20"/>
        </w:rPr>
        <w:t xml:space="preserve"> … </w:t>
      </w:r>
      <w:r w:rsidRPr="00425DE8">
        <w:rPr>
          <w:i/>
          <w:iCs/>
          <w:szCs w:val="20"/>
        </w:rPr>
        <w:t xml:space="preserve">it has made no difference to us and the consulting pattern of the GPs that are involved. So, to me, the income is additional to what we’re seeing. So, I have changed from very negative to quite positive.” </w:t>
      </w:r>
      <w:r>
        <w:rPr>
          <w:szCs w:val="20"/>
        </w:rPr>
        <w:t>[Practice Manager, Practice 4, R4]</w:t>
      </w:r>
    </w:p>
    <w:p w14:paraId="4483FF37" w14:textId="62D1C823" w:rsidR="00292CBF" w:rsidRDefault="00292CBF" w:rsidP="00292CBF">
      <w:pPr>
        <w:ind w:right="521"/>
        <w:rPr>
          <w:szCs w:val="20"/>
        </w:rPr>
      </w:pPr>
      <w:r w:rsidRPr="002717FF">
        <w:rPr>
          <w:szCs w:val="20"/>
        </w:rPr>
        <w:t>Other</w:t>
      </w:r>
      <w:r w:rsidR="00AE1049">
        <w:rPr>
          <w:szCs w:val="20"/>
        </w:rPr>
        <w:t>s</w:t>
      </w:r>
      <w:r w:rsidRPr="002717FF">
        <w:rPr>
          <w:szCs w:val="20"/>
        </w:rPr>
        <w:t xml:space="preserve"> reported benefits of the model included </w:t>
      </w:r>
      <w:r>
        <w:rPr>
          <w:szCs w:val="20"/>
        </w:rPr>
        <w:t xml:space="preserve">increased </w:t>
      </w:r>
      <w:r w:rsidRPr="002717FF">
        <w:rPr>
          <w:szCs w:val="20"/>
        </w:rPr>
        <w:t>financial flexibility</w:t>
      </w:r>
      <w:r>
        <w:rPr>
          <w:szCs w:val="20"/>
        </w:rPr>
        <w:t xml:space="preserve">, </w:t>
      </w:r>
      <w:r w:rsidR="00B44132">
        <w:rPr>
          <w:szCs w:val="20"/>
        </w:rPr>
        <w:t xml:space="preserve">income </w:t>
      </w:r>
      <w:r>
        <w:rPr>
          <w:szCs w:val="20"/>
        </w:rPr>
        <w:t>certainty and time savings for GPs</w:t>
      </w:r>
      <w:r w:rsidR="00B44132">
        <w:rPr>
          <w:szCs w:val="20"/>
        </w:rPr>
        <w:t>:</w:t>
      </w:r>
    </w:p>
    <w:p w14:paraId="16E2A88A" w14:textId="77777777" w:rsidR="00292CBF" w:rsidRDefault="00292CBF" w:rsidP="00AD5D70">
      <w:pPr>
        <w:ind w:left="567" w:right="521"/>
        <w:rPr>
          <w:szCs w:val="20"/>
          <w:lang w:val="en-GB"/>
        </w:rPr>
      </w:pPr>
      <w:r w:rsidRPr="00F92AB4">
        <w:rPr>
          <w:i/>
          <w:iCs/>
          <w:szCs w:val="20"/>
          <w:lang w:val="en-GB"/>
        </w:rPr>
        <w:t xml:space="preserve">“…the benefit might be that a bit less time is needed by the doctor compared to the nurse. In other words, for some patients if it might have been a 15-minute </w:t>
      </w:r>
      <w:r w:rsidRPr="00F92AB4">
        <w:rPr>
          <w:i/>
          <w:iCs/>
          <w:szCs w:val="20"/>
          <w:lang w:val="en-GB"/>
        </w:rPr>
        <w:lastRenderedPageBreak/>
        <w:t>discussion with the doctor, it could instead be with the nurse.</w:t>
      </w:r>
      <w:r w:rsidRPr="00F92AB4">
        <w:rPr>
          <w:rFonts w:ascii="Tahoma" w:hAnsi="Tahoma" w:cs="Tahoma"/>
          <w:i/>
          <w:iCs/>
          <w:szCs w:val="20"/>
          <w:lang w:val="en-GB"/>
        </w:rPr>
        <w:t xml:space="preserve"> </w:t>
      </w:r>
      <w:r w:rsidRPr="00F92AB4">
        <w:rPr>
          <w:i/>
          <w:iCs/>
          <w:szCs w:val="20"/>
          <w:lang w:val="en-GB"/>
        </w:rPr>
        <w:t xml:space="preserve">Which then frees the doctor up to see other </w:t>
      </w:r>
      <w:r w:rsidRPr="00AD5D70">
        <w:rPr>
          <w:i/>
          <w:iCs/>
          <w:szCs w:val="20"/>
        </w:rPr>
        <w:t>patients</w:t>
      </w:r>
      <w:r w:rsidRPr="00F92AB4">
        <w:rPr>
          <w:i/>
          <w:iCs/>
          <w:szCs w:val="20"/>
          <w:lang w:val="en-GB"/>
        </w:rPr>
        <w:t xml:space="preserve"> or do other things.”</w:t>
      </w:r>
      <w:r>
        <w:rPr>
          <w:szCs w:val="20"/>
          <w:lang w:val="en-GB"/>
        </w:rPr>
        <w:t xml:space="preserve"> [GP, Practice 22, R5]</w:t>
      </w:r>
    </w:p>
    <w:p w14:paraId="13575870" w14:textId="77777777" w:rsidR="00292CBF" w:rsidRDefault="00292CBF" w:rsidP="00AD5D70">
      <w:pPr>
        <w:ind w:left="567" w:right="521"/>
        <w:rPr>
          <w:szCs w:val="20"/>
          <w:lang w:val="en-GB"/>
        </w:rPr>
      </w:pPr>
      <w:r w:rsidRPr="00282B01">
        <w:rPr>
          <w:i/>
          <w:iCs/>
          <w:szCs w:val="20"/>
          <w:lang w:val="en-GB"/>
        </w:rPr>
        <w:t xml:space="preserve">“The doctors loved it. I have to say all the doctors here are contracted and so when they go on annual leave, </w:t>
      </w:r>
      <w:r w:rsidRPr="00AD5D70">
        <w:rPr>
          <w:i/>
          <w:iCs/>
          <w:szCs w:val="20"/>
        </w:rPr>
        <w:t>they</w:t>
      </w:r>
      <w:r w:rsidRPr="00282B01">
        <w:rPr>
          <w:i/>
          <w:iCs/>
          <w:szCs w:val="20"/>
          <w:lang w:val="en-GB"/>
        </w:rPr>
        <w:t xml:space="preserve"> don’t get paid. Simple as that. And they get paid a percentage of the fees and so if they see no patients then they get 0% and there’s no fees. Whereas in this case they still manage to get this amount of money paid for them whether they’re on holiday or not and so as far as that side of it was concerned, the doctors absolutely loved it.”</w:t>
      </w:r>
      <w:r>
        <w:rPr>
          <w:szCs w:val="20"/>
          <w:lang w:val="en-GB"/>
        </w:rPr>
        <w:t xml:space="preserve"> [Practice Owner, Practice 6, R5]</w:t>
      </w:r>
    </w:p>
    <w:p w14:paraId="18E8803B" w14:textId="52C99387" w:rsidR="00292CBF" w:rsidRDefault="00B44132" w:rsidP="00292CBF">
      <w:pPr>
        <w:rPr>
          <w:szCs w:val="20"/>
          <w:lang w:val="en-GB"/>
        </w:rPr>
      </w:pPr>
      <w:r>
        <w:rPr>
          <w:szCs w:val="20"/>
          <w:lang w:val="en-GB"/>
        </w:rPr>
        <w:t>However, even practices with a higher number of enrolments did not think that the bundled payment would allow them to</w:t>
      </w:r>
      <w:r w:rsidR="00292CBF">
        <w:rPr>
          <w:szCs w:val="20"/>
          <w:lang w:val="en-GB"/>
        </w:rPr>
        <w:t xml:space="preserve"> offer additional patient services (</w:t>
      </w:r>
      <w:r w:rsidR="0010747B">
        <w:rPr>
          <w:szCs w:val="20"/>
          <w:lang w:val="en-GB"/>
        </w:rPr>
        <w:t>that is,</w:t>
      </w:r>
      <w:r w:rsidR="00292CBF">
        <w:rPr>
          <w:szCs w:val="20"/>
          <w:lang w:val="en-GB"/>
        </w:rPr>
        <w:t xml:space="preserve"> hiring allied health staff, additional nursing support, hosting group sessions, etc.)</w:t>
      </w:r>
      <w:r>
        <w:rPr>
          <w:szCs w:val="20"/>
          <w:lang w:val="en-GB"/>
        </w:rPr>
        <w:t>:</w:t>
      </w:r>
    </w:p>
    <w:p w14:paraId="59B95C3F" w14:textId="4E7FDE1D" w:rsidR="00292CBF" w:rsidRDefault="00292CBF" w:rsidP="00AD5D70">
      <w:pPr>
        <w:ind w:left="567" w:right="521"/>
        <w:rPr>
          <w:szCs w:val="20"/>
        </w:rPr>
      </w:pPr>
      <w:r w:rsidRPr="00D50040">
        <w:rPr>
          <w:i/>
          <w:iCs/>
          <w:szCs w:val="20"/>
        </w:rPr>
        <w:t>“</w:t>
      </w:r>
      <w:r w:rsidRPr="00D50040">
        <w:rPr>
          <w:i/>
          <w:iCs/>
          <w:szCs w:val="20"/>
          <w:lang w:val="en-GB"/>
        </w:rPr>
        <w:t xml:space="preserve">The concept of having in-house clinical pharmacists, etc., somehow being funded through the program is a little </w:t>
      </w:r>
      <w:r w:rsidRPr="00AD5D70">
        <w:rPr>
          <w:i/>
          <w:iCs/>
          <w:szCs w:val="20"/>
        </w:rPr>
        <w:t>bit</w:t>
      </w:r>
      <w:r w:rsidRPr="00D50040">
        <w:rPr>
          <w:i/>
          <w:iCs/>
          <w:szCs w:val="20"/>
          <w:lang w:val="en-GB"/>
        </w:rPr>
        <w:t xml:space="preserve"> pie in the sky as far as the current funding model is </w:t>
      </w:r>
      <w:r w:rsidRPr="0040614F">
        <w:rPr>
          <w:i/>
          <w:iCs/>
          <w:szCs w:val="20"/>
          <w:lang w:val="en-GB"/>
        </w:rPr>
        <w:t>concerne</w:t>
      </w:r>
      <w:r>
        <w:rPr>
          <w:i/>
          <w:iCs/>
          <w:szCs w:val="20"/>
          <w:lang w:val="en-GB"/>
        </w:rPr>
        <w:t>d…</w:t>
      </w:r>
      <w:r w:rsidRPr="0040614F">
        <w:rPr>
          <w:i/>
          <w:iCs/>
          <w:szCs w:val="20"/>
          <w:lang w:val="en-GB"/>
        </w:rPr>
        <w:t xml:space="preserve">I think the program is funded to the point to which we’ve taken it.” </w:t>
      </w:r>
      <w:r w:rsidRPr="00D50040">
        <w:rPr>
          <w:szCs w:val="20"/>
          <w:lang w:val="en-GB"/>
        </w:rPr>
        <w:t>[GP</w:t>
      </w:r>
      <w:r w:rsidRPr="00D50040">
        <w:rPr>
          <w:szCs w:val="20"/>
        </w:rPr>
        <w:t>, Practice 4</w:t>
      </w:r>
      <w:r>
        <w:rPr>
          <w:szCs w:val="20"/>
        </w:rPr>
        <w:t>, R4</w:t>
      </w:r>
      <w:r w:rsidRPr="00D50040">
        <w:rPr>
          <w:szCs w:val="20"/>
        </w:rPr>
        <w:t>]</w:t>
      </w:r>
    </w:p>
    <w:p w14:paraId="3714C111" w14:textId="77777777" w:rsidR="00292CBF" w:rsidRDefault="00292CBF" w:rsidP="00AD5D70">
      <w:pPr>
        <w:ind w:left="567" w:right="521"/>
        <w:rPr>
          <w:rFonts w:cs="Arial"/>
          <w:color w:val="000000"/>
          <w:szCs w:val="20"/>
          <w:lang w:val="en-GB"/>
        </w:rPr>
      </w:pPr>
      <w:r>
        <w:rPr>
          <w:rFonts w:cs="Arial"/>
          <w:i/>
          <w:iCs/>
          <w:color w:val="000000"/>
          <w:szCs w:val="20"/>
          <w:lang w:val="en-GB"/>
        </w:rPr>
        <w:t xml:space="preserve">“… </w:t>
      </w:r>
      <w:r w:rsidRPr="004B3C16">
        <w:rPr>
          <w:rFonts w:cs="Arial"/>
          <w:i/>
          <w:iCs/>
          <w:color w:val="000000"/>
          <w:szCs w:val="20"/>
          <w:lang w:val="en-GB"/>
        </w:rPr>
        <w:t xml:space="preserve">our nurse here, she’s only doing this part-time. This is where we see 100 patients, right? </w:t>
      </w:r>
      <w:r w:rsidRPr="00AD5D70">
        <w:rPr>
          <w:i/>
          <w:iCs/>
          <w:szCs w:val="20"/>
        </w:rPr>
        <w:t>Because</w:t>
      </w:r>
      <w:r w:rsidRPr="004B3C16">
        <w:rPr>
          <w:rFonts w:cs="Arial"/>
          <w:i/>
          <w:iCs/>
          <w:color w:val="000000"/>
          <w:szCs w:val="20"/>
          <w:lang w:val="en-GB"/>
        </w:rPr>
        <w:t xml:space="preserve"> we cannot afford to provide a nurse to do this full-time with 100 where we sit down and find that out of the 100 patients of this quality registrations, how many of them would call per week, how many our nurse can do this. The nurse also has other responsibilities as well.”</w:t>
      </w:r>
      <w:r w:rsidRPr="004B3C16">
        <w:rPr>
          <w:rFonts w:cs="Arial"/>
          <w:color w:val="000000"/>
          <w:szCs w:val="20"/>
          <w:lang w:val="en-GB"/>
        </w:rPr>
        <w:t xml:space="preserve"> [GP, Practice 3</w:t>
      </w:r>
      <w:r>
        <w:rPr>
          <w:rFonts w:cs="Arial"/>
          <w:color w:val="000000"/>
          <w:szCs w:val="20"/>
          <w:lang w:val="en-GB"/>
        </w:rPr>
        <w:t>, R4</w:t>
      </w:r>
      <w:r w:rsidRPr="004B3C16">
        <w:rPr>
          <w:rFonts w:cs="Arial"/>
          <w:color w:val="000000"/>
          <w:szCs w:val="20"/>
          <w:lang w:val="en-GB"/>
        </w:rPr>
        <w:t>]</w:t>
      </w:r>
    </w:p>
    <w:p w14:paraId="323F7D65" w14:textId="71B50A8F" w:rsidR="00292CBF" w:rsidRDefault="00292CBF" w:rsidP="00AD5D70">
      <w:pPr>
        <w:ind w:left="567" w:right="521"/>
        <w:rPr>
          <w:szCs w:val="20"/>
          <w:lang w:val="en-GB"/>
        </w:rPr>
      </w:pPr>
      <w:r>
        <w:rPr>
          <w:i/>
          <w:iCs/>
          <w:szCs w:val="20"/>
          <w:lang w:val="en-GB"/>
        </w:rPr>
        <w:t>“</w:t>
      </w:r>
      <w:r w:rsidRPr="0025175B">
        <w:rPr>
          <w:i/>
          <w:iCs/>
          <w:szCs w:val="20"/>
          <w:lang w:val="en-GB"/>
        </w:rPr>
        <w:t>… to be honest with you, I think the bundled payment doesn’t really cover those services because the amount of time it takes…We have to do house calls…The administrative burden has been high.</w:t>
      </w:r>
      <w:r>
        <w:rPr>
          <w:i/>
          <w:iCs/>
          <w:szCs w:val="20"/>
          <w:lang w:val="en-GB"/>
        </w:rPr>
        <w:t xml:space="preserve">” </w:t>
      </w:r>
      <w:r>
        <w:rPr>
          <w:szCs w:val="20"/>
          <w:lang w:val="en-GB"/>
        </w:rPr>
        <w:t>[GP, Practice 21, R5]</w:t>
      </w:r>
    </w:p>
    <w:p w14:paraId="5E665905" w14:textId="0B265722" w:rsidR="00C563FC" w:rsidRPr="00C563FC" w:rsidRDefault="00C563FC" w:rsidP="00C563FC">
      <w:pPr>
        <w:ind w:right="521"/>
        <w:rPr>
          <w:szCs w:val="20"/>
        </w:rPr>
      </w:pPr>
      <w:r w:rsidRPr="00C563FC">
        <w:rPr>
          <w:szCs w:val="20"/>
        </w:rPr>
        <w:t>ACCHS</w:t>
      </w:r>
      <w:r>
        <w:rPr>
          <w:szCs w:val="20"/>
        </w:rPr>
        <w:t xml:space="preserve"> suggested</w:t>
      </w:r>
      <w:r w:rsidRPr="00C563FC">
        <w:rPr>
          <w:szCs w:val="20"/>
        </w:rPr>
        <w:t xml:space="preserve"> that the bundled payment may a viable and appropriate payment approach for the</w:t>
      </w:r>
      <w:r>
        <w:rPr>
          <w:szCs w:val="20"/>
        </w:rPr>
        <w:t>ir</w:t>
      </w:r>
      <w:r w:rsidRPr="00C563FC">
        <w:rPr>
          <w:szCs w:val="20"/>
        </w:rPr>
        <w:t xml:space="preserve"> settings</w:t>
      </w:r>
      <w:r>
        <w:rPr>
          <w:szCs w:val="20"/>
        </w:rPr>
        <w:t>, potentially with some refinements</w:t>
      </w:r>
      <w:r w:rsidRPr="00C563FC">
        <w:rPr>
          <w:szCs w:val="20"/>
        </w:rPr>
        <w:t>. ACCHS typically offer a team-based approach in which there is much greater reliance on nurses, Aboriginal health practitioners and workers, and allied health professionals, and that these service providers are only partially and inadequately supported through MBS fee-for-service revenue. Additionally, the bundled payment offered greater predictability in revenue and opportunities to use funds more flexibly in addressing priority needs within the practice population.</w:t>
      </w:r>
    </w:p>
    <w:p w14:paraId="48BA6BD3" w14:textId="77777777" w:rsidR="00292CBF" w:rsidRDefault="00292CBF" w:rsidP="00292CBF">
      <w:pPr>
        <w:pStyle w:val="Heading3"/>
        <w:spacing w:line="276" w:lineRule="auto"/>
      </w:pPr>
      <w:r w:rsidRPr="009A49E1">
        <w:t xml:space="preserve">Practice </w:t>
      </w:r>
      <w:r>
        <w:t>suggestions</w:t>
      </w:r>
      <w:r w:rsidRPr="009A49E1">
        <w:t xml:space="preserve"> </w:t>
      </w:r>
      <w:r>
        <w:t>for the</w:t>
      </w:r>
      <w:r w:rsidRPr="009A49E1">
        <w:t xml:space="preserve"> HCH financial model</w:t>
      </w:r>
      <w:r>
        <w:t xml:space="preserve"> </w:t>
      </w:r>
    </w:p>
    <w:p w14:paraId="32C75937" w14:textId="77777777" w:rsidR="00292CBF" w:rsidRPr="00C4162D" w:rsidRDefault="00292CBF" w:rsidP="00292CBF">
      <w:pPr>
        <w:rPr>
          <w:szCs w:val="20"/>
        </w:rPr>
      </w:pPr>
      <w:r>
        <w:rPr>
          <w:szCs w:val="20"/>
        </w:rPr>
        <w:t xml:space="preserve">Practices offered a range of ways in which the bundled payment could be improved. Many recommended </w:t>
      </w:r>
      <w:r w:rsidRPr="00720A9B">
        <w:rPr>
          <w:szCs w:val="20"/>
        </w:rPr>
        <w:t>increasing the level of funding by tier or expanding the tiers to recognise more costly patient</w:t>
      </w:r>
      <w:r>
        <w:rPr>
          <w:szCs w:val="20"/>
        </w:rPr>
        <w:t>s:</w:t>
      </w:r>
    </w:p>
    <w:p w14:paraId="24B66B79" w14:textId="77777777" w:rsidR="00292CBF" w:rsidRPr="00AD743A" w:rsidRDefault="00292CBF" w:rsidP="00456282">
      <w:pPr>
        <w:ind w:left="567" w:right="521"/>
        <w:rPr>
          <w:rFonts w:cs="Arial"/>
          <w:color w:val="000000"/>
          <w:szCs w:val="20"/>
          <w:lang w:val="en-GB"/>
        </w:rPr>
      </w:pPr>
      <w:r>
        <w:rPr>
          <w:rFonts w:cs="Arial"/>
          <w:i/>
          <w:iCs/>
          <w:color w:val="000000"/>
          <w:szCs w:val="20"/>
          <w:lang w:val="en-GB"/>
        </w:rPr>
        <w:t>“</w:t>
      </w:r>
      <w:r w:rsidRPr="000D14A6">
        <w:rPr>
          <w:rFonts w:cs="Arial"/>
          <w:i/>
          <w:iCs/>
          <w:color w:val="000000"/>
          <w:szCs w:val="20"/>
          <w:lang w:val="en-GB"/>
        </w:rPr>
        <w:t xml:space="preserve">I think </w:t>
      </w:r>
      <w:r w:rsidRPr="00456282">
        <w:rPr>
          <w:i/>
          <w:iCs/>
          <w:szCs w:val="20"/>
          <w:lang w:val="en-GB"/>
        </w:rPr>
        <w:t>the</w:t>
      </w:r>
      <w:r w:rsidRPr="000D14A6">
        <w:rPr>
          <w:rFonts w:cs="Arial"/>
          <w:i/>
          <w:iCs/>
          <w:color w:val="000000"/>
          <w:szCs w:val="20"/>
          <w:lang w:val="en-GB"/>
        </w:rPr>
        <w:t xml:space="preserve"> amount of funding would need to be increased at least maybe by a third, on a per patient basis. Because I think the financial structure, particularly with telehealth as it is now, has been barely enough to meet the status quo. And I don't think the perceived benefits for patient, doctor or clinic would be enough to </w:t>
      </w:r>
      <w:r w:rsidRPr="000D14A6">
        <w:rPr>
          <w:rFonts w:cs="Arial"/>
          <w:i/>
          <w:iCs/>
          <w:color w:val="000000"/>
          <w:szCs w:val="20"/>
          <w:lang w:val="en-GB"/>
        </w:rPr>
        <w:lastRenderedPageBreak/>
        <w:t xml:space="preserve">incentivise at this stage, particularly because of the fears that the healthcare profession have about a UK style model. </w:t>
      </w:r>
      <w:r w:rsidRPr="00662AEE">
        <w:rPr>
          <w:rFonts w:cs="Arial"/>
          <w:color w:val="000000"/>
          <w:szCs w:val="20"/>
          <w:lang w:val="en-GB"/>
        </w:rPr>
        <w:t>[</w:t>
      </w:r>
      <w:r>
        <w:rPr>
          <w:rFonts w:cs="Arial"/>
          <w:color w:val="000000"/>
          <w:szCs w:val="20"/>
          <w:lang w:val="en-GB"/>
        </w:rPr>
        <w:t>GP,</w:t>
      </w:r>
      <w:r w:rsidRPr="00662AEE">
        <w:rPr>
          <w:rFonts w:cs="Arial"/>
          <w:color w:val="000000"/>
          <w:szCs w:val="20"/>
          <w:lang w:val="en-GB"/>
        </w:rPr>
        <w:t xml:space="preserve"> Practice </w:t>
      </w:r>
      <w:r>
        <w:rPr>
          <w:rFonts w:cs="Arial"/>
          <w:color w:val="000000"/>
          <w:szCs w:val="20"/>
          <w:lang w:val="en-GB"/>
        </w:rPr>
        <w:t>22, R5</w:t>
      </w:r>
      <w:r w:rsidRPr="00662AEE">
        <w:rPr>
          <w:rFonts w:cs="Arial"/>
          <w:color w:val="000000"/>
          <w:szCs w:val="20"/>
          <w:lang w:val="en-GB"/>
        </w:rPr>
        <w:t>]</w:t>
      </w:r>
    </w:p>
    <w:p w14:paraId="0545C84B" w14:textId="77777777" w:rsidR="00292CBF" w:rsidRPr="0068164A" w:rsidRDefault="00292CBF" w:rsidP="00456282">
      <w:pPr>
        <w:ind w:left="567" w:right="521"/>
        <w:rPr>
          <w:szCs w:val="20"/>
          <w:lang w:val="en-GB"/>
        </w:rPr>
      </w:pPr>
      <w:r>
        <w:rPr>
          <w:i/>
          <w:iCs/>
          <w:szCs w:val="20"/>
          <w:lang w:val="en-GB"/>
        </w:rPr>
        <w:t xml:space="preserve">“… </w:t>
      </w:r>
      <w:r w:rsidRPr="00662AEE">
        <w:rPr>
          <w:i/>
          <w:iCs/>
          <w:szCs w:val="20"/>
          <w:lang w:val="en-GB"/>
        </w:rPr>
        <w:t xml:space="preserve">the next thought is that we’ve got some very complex patients at our </w:t>
      </w:r>
      <w:r>
        <w:rPr>
          <w:i/>
          <w:iCs/>
          <w:szCs w:val="20"/>
          <w:lang w:val="en-GB"/>
        </w:rPr>
        <w:t>tier</w:t>
      </w:r>
      <w:r w:rsidRPr="00662AEE">
        <w:rPr>
          <w:i/>
          <w:iCs/>
          <w:szCs w:val="20"/>
          <w:lang w:val="en-GB"/>
        </w:rPr>
        <w:t xml:space="preserve"> 3 level. And there’s no way that the process of payments as they’re coming through in Health</w:t>
      </w:r>
      <w:r>
        <w:rPr>
          <w:i/>
          <w:iCs/>
          <w:szCs w:val="20"/>
          <w:lang w:val="en-GB"/>
        </w:rPr>
        <w:t xml:space="preserve"> C</w:t>
      </w:r>
      <w:r w:rsidRPr="00662AEE">
        <w:rPr>
          <w:i/>
          <w:iCs/>
          <w:szCs w:val="20"/>
          <w:lang w:val="en-GB"/>
        </w:rPr>
        <w:t xml:space="preserve">are Home block funding model would match the Medicare money that we would earn from seeing those more complex patients on a </w:t>
      </w:r>
      <w:r>
        <w:rPr>
          <w:i/>
          <w:iCs/>
          <w:szCs w:val="20"/>
          <w:lang w:val="en-GB"/>
        </w:rPr>
        <w:t>fee-for-service</w:t>
      </w:r>
      <w:r w:rsidRPr="00662AEE">
        <w:rPr>
          <w:i/>
          <w:iCs/>
          <w:szCs w:val="20"/>
          <w:lang w:val="en-GB"/>
        </w:rPr>
        <w:t xml:space="preserve"> basis.”</w:t>
      </w:r>
      <w:r w:rsidRPr="00662AEE">
        <w:rPr>
          <w:szCs w:val="20"/>
          <w:lang w:val="en-GB"/>
        </w:rPr>
        <w:t xml:space="preserve"> [GP, Practice 12</w:t>
      </w:r>
      <w:r>
        <w:rPr>
          <w:szCs w:val="20"/>
          <w:lang w:val="en-GB"/>
        </w:rPr>
        <w:t>, R4</w:t>
      </w:r>
      <w:r w:rsidRPr="00662AEE">
        <w:rPr>
          <w:szCs w:val="20"/>
          <w:lang w:val="en-GB"/>
        </w:rPr>
        <w:t>]</w:t>
      </w:r>
    </w:p>
    <w:p w14:paraId="612195B9" w14:textId="77777777" w:rsidR="00292CBF" w:rsidRPr="00241F13" w:rsidRDefault="00292CBF" w:rsidP="00456282">
      <w:pPr>
        <w:ind w:left="567" w:right="521"/>
        <w:rPr>
          <w:rFonts w:cs="Arial"/>
          <w:szCs w:val="20"/>
          <w:lang w:val="en-GB"/>
        </w:rPr>
      </w:pPr>
      <w:r>
        <w:rPr>
          <w:rFonts w:cs="Arial"/>
          <w:i/>
          <w:iCs/>
          <w:szCs w:val="20"/>
          <w:lang w:val="en-GB"/>
        </w:rPr>
        <w:t>“</w:t>
      </w:r>
      <w:r w:rsidRPr="00C541EB">
        <w:rPr>
          <w:rFonts w:cs="Arial"/>
          <w:i/>
          <w:iCs/>
          <w:szCs w:val="20"/>
          <w:lang w:val="en-GB"/>
        </w:rPr>
        <w:t xml:space="preserve">In terms of the current </w:t>
      </w:r>
      <w:r>
        <w:rPr>
          <w:rFonts w:cs="Arial"/>
          <w:i/>
          <w:iCs/>
          <w:szCs w:val="20"/>
          <w:lang w:val="en-GB"/>
        </w:rPr>
        <w:t>program…</w:t>
      </w:r>
      <w:r w:rsidRPr="00C541EB">
        <w:rPr>
          <w:rFonts w:cs="Arial"/>
          <w:i/>
          <w:iCs/>
          <w:szCs w:val="20"/>
          <w:lang w:val="en-GB"/>
        </w:rPr>
        <w:t xml:space="preserve">there needs to be a </w:t>
      </w:r>
      <w:r>
        <w:rPr>
          <w:rFonts w:cs="Arial"/>
          <w:i/>
          <w:iCs/>
          <w:szCs w:val="20"/>
          <w:lang w:val="en-GB"/>
        </w:rPr>
        <w:t>tier</w:t>
      </w:r>
      <w:r w:rsidRPr="00C541EB">
        <w:rPr>
          <w:rFonts w:cs="Arial"/>
          <w:i/>
          <w:iCs/>
          <w:szCs w:val="20"/>
          <w:lang w:val="en-GB"/>
        </w:rPr>
        <w:t xml:space="preserve"> fou</w:t>
      </w:r>
      <w:r>
        <w:rPr>
          <w:rFonts w:cs="Arial"/>
          <w:i/>
          <w:iCs/>
          <w:szCs w:val="20"/>
          <w:lang w:val="en-GB"/>
        </w:rPr>
        <w:t>r…</w:t>
      </w:r>
      <w:r w:rsidRPr="00C541EB">
        <w:rPr>
          <w:rFonts w:cs="Arial"/>
          <w:i/>
          <w:iCs/>
          <w:szCs w:val="20"/>
          <w:lang w:val="en-GB"/>
        </w:rPr>
        <w:t xml:space="preserve">there's some patients </w:t>
      </w:r>
      <w:r w:rsidRPr="00456282">
        <w:rPr>
          <w:i/>
          <w:iCs/>
          <w:szCs w:val="20"/>
          <w:lang w:val="en-GB"/>
        </w:rPr>
        <w:t>that</w:t>
      </w:r>
      <w:r w:rsidRPr="00C541EB">
        <w:rPr>
          <w:rFonts w:cs="Arial"/>
          <w:i/>
          <w:iCs/>
          <w:szCs w:val="20"/>
          <w:lang w:val="en-GB"/>
        </w:rPr>
        <w:t xml:space="preserve"> will lose money badly if we enrolled them and we didn't</w:t>
      </w:r>
      <w:r>
        <w:rPr>
          <w:rFonts w:cs="Arial"/>
          <w:i/>
          <w:iCs/>
          <w:szCs w:val="20"/>
          <w:lang w:val="en-GB"/>
        </w:rPr>
        <w:t>…</w:t>
      </w:r>
      <w:r w:rsidRPr="00C541EB">
        <w:rPr>
          <w:rFonts w:cs="Arial"/>
          <w:i/>
          <w:iCs/>
          <w:szCs w:val="20"/>
          <w:lang w:val="en-GB"/>
        </w:rPr>
        <w:t xml:space="preserve">But likewise, you probably need a </w:t>
      </w:r>
      <w:r>
        <w:rPr>
          <w:rFonts w:cs="Arial"/>
          <w:i/>
          <w:iCs/>
          <w:szCs w:val="20"/>
          <w:lang w:val="en-GB"/>
        </w:rPr>
        <w:t>tier</w:t>
      </w:r>
      <w:r w:rsidRPr="00C541EB">
        <w:rPr>
          <w:rFonts w:cs="Arial"/>
          <w:i/>
          <w:iCs/>
          <w:szCs w:val="20"/>
          <w:lang w:val="en-GB"/>
        </w:rPr>
        <w:t xml:space="preserve"> zero, because there's the 40 to 50-year-old working, busy, middle that are just separate</w:t>
      </w:r>
      <w:r>
        <w:rPr>
          <w:rFonts w:cs="Arial"/>
          <w:i/>
          <w:iCs/>
          <w:szCs w:val="20"/>
          <w:lang w:val="en-GB"/>
        </w:rPr>
        <w:t>…</w:t>
      </w:r>
      <w:r w:rsidRPr="00C541EB">
        <w:rPr>
          <w:rFonts w:cs="Arial"/>
          <w:i/>
          <w:iCs/>
          <w:szCs w:val="20"/>
          <w:lang w:val="en-GB"/>
        </w:rPr>
        <w:t>Their enrolment model would be perfect, insofar it would provide remote access. All their questions, their scripts, their referrals. And you don’t need to pay much for that. But</w:t>
      </w:r>
      <w:r>
        <w:rPr>
          <w:rFonts w:cs="Arial"/>
          <w:i/>
          <w:iCs/>
          <w:szCs w:val="20"/>
          <w:lang w:val="en-GB"/>
        </w:rPr>
        <w:t>…</w:t>
      </w:r>
      <w:r w:rsidRPr="00C541EB">
        <w:rPr>
          <w:rFonts w:cs="Arial"/>
          <w:i/>
          <w:iCs/>
          <w:szCs w:val="20"/>
          <w:lang w:val="en-GB"/>
        </w:rPr>
        <w:t xml:space="preserve">that would be </w:t>
      </w:r>
      <w:r>
        <w:rPr>
          <w:rFonts w:cs="Arial"/>
          <w:i/>
          <w:iCs/>
          <w:szCs w:val="20"/>
          <w:lang w:val="en-GB"/>
        </w:rPr>
        <w:t>tier</w:t>
      </w:r>
      <w:r w:rsidRPr="00C541EB">
        <w:rPr>
          <w:rFonts w:cs="Arial"/>
          <w:i/>
          <w:iCs/>
          <w:szCs w:val="20"/>
          <w:lang w:val="en-GB"/>
        </w:rPr>
        <w:t xml:space="preserve"> zero.”</w:t>
      </w:r>
      <w:r w:rsidRPr="00C541EB">
        <w:rPr>
          <w:rFonts w:cs="Arial"/>
          <w:szCs w:val="20"/>
          <w:lang w:val="en-GB"/>
        </w:rPr>
        <w:t xml:space="preserve"> [GP1, Practice 5</w:t>
      </w:r>
      <w:r>
        <w:rPr>
          <w:rFonts w:cs="Arial"/>
          <w:szCs w:val="20"/>
          <w:lang w:val="en-GB"/>
        </w:rPr>
        <w:t>, R4</w:t>
      </w:r>
      <w:r w:rsidRPr="00C541EB">
        <w:rPr>
          <w:rFonts w:cs="Arial"/>
          <w:szCs w:val="20"/>
          <w:lang w:val="en-GB"/>
        </w:rPr>
        <w:t xml:space="preserve">] </w:t>
      </w:r>
    </w:p>
    <w:p w14:paraId="6079C80D" w14:textId="2205BA87" w:rsidR="00292CBF" w:rsidRPr="00811F53" w:rsidRDefault="00292CBF" w:rsidP="00292CBF">
      <w:pPr>
        <w:rPr>
          <w:szCs w:val="20"/>
        </w:rPr>
      </w:pPr>
      <w:r>
        <w:rPr>
          <w:szCs w:val="20"/>
        </w:rPr>
        <w:t xml:space="preserve">One GP suggested </w:t>
      </w:r>
      <w:r w:rsidRPr="00DB39FB">
        <w:rPr>
          <w:szCs w:val="20"/>
        </w:rPr>
        <w:t xml:space="preserve">weighting the payment to account for </w:t>
      </w:r>
      <w:r w:rsidR="00E14644">
        <w:rPr>
          <w:szCs w:val="20"/>
        </w:rPr>
        <w:t>locality</w:t>
      </w:r>
      <w:r w:rsidRPr="00DB39FB">
        <w:rPr>
          <w:szCs w:val="20"/>
        </w:rPr>
        <w:t>, practice and patient factors</w:t>
      </w:r>
      <w:r>
        <w:rPr>
          <w:szCs w:val="20"/>
        </w:rPr>
        <w:t xml:space="preserve">. </w:t>
      </w:r>
      <w:r w:rsidR="00E14644">
        <w:rPr>
          <w:szCs w:val="20"/>
        </w:rPr>
        <w:t>The GP</w:t>
      </w:r>
      <w:r>
        <w:rPr>
          <w:szCs w:val="20"/>
        </w:rPr>
        <w:t xml:space="preserve"> had concerns about picking a subset of patients and treating them differently; therefore, they advocated for establishing an improvement-based-structure that incentivises the achievement of program objectives</w:t>
      </w:r>
      <w:r w:rsidR="00E14644">
        <w:rPr>
          <w:szCs w:val="20"/>
        </w:rPr>
        <w:t>,</w:t>
      </w:r>
      <w:r>
        <w:rPr>
          <w:szCs w:val="20"/>
        </w:rPr>
        <w:t xml:space="preserve"> with the aim of improving patient health outcomes</w:t>
      </w:r>
      <w:r w:rsidR="00E14644">
        <w:rPr>
          <w:szCs w:val="20"/>
        </w:rPr>
        <w:t>:</w:t>
      </w:r>
    </w:p>
    <w:p w14:paraId="3AFC7F80" w14:textId="2AAF2D14" w:rsidR="00292CBF" w:rsidRPr="00BC4AFA" w:rsidRDefault="00292CBF" w:rsidP="00456282">
      <w:pPr>
        <w:ind w:left="567" w:right="521"/>
        <w:rPr>
          <w:i/>
          <w:iCs/>
          <w:szCs w:val="20"/>
        </w:rPr>
      </w:pPr>
      <w:r>
        <w:rPr>
          <w:i/>
          <w:iCs/>
          <w:szCs w:val="20"/>
        </w:rPr>
        <w:t>“…</w:t>
      </w:r>
      <w:r w:rsidRPr="00BC4AFA">
        <w:rPr>
          <w:i/>
          <w:iCs/>
          <w:szCs w:val="20"/>
        </w:rPr>
        <w:t xml:space="preserve">we actually offer the same level of offline support, </w:t>
      </w:r>
      <w:r w:rsidR="000908C4" w:rsidRPr="00BC4AFA">
        <w:rPr>
          <w:i/>
          <w:iCs/>
          <w:szCs w:val="20"/>
        </w:rPr>
        <w:t>non</w:t>
      </w:r>
      <w:r w:rsidR="000908C4">
        <w:rPr>
          <w:i/>
          <w:iCs/>
          <w:szCs w:val="20"/>
        </w:rPr>
        <w:t>-face-to-face</w:t>
      </w:r>
      <w:r w:rsidRPr="00BC4AFA">
        <w:rPr>
          <w:i/>
          <w:iCs/>
          <w:szCs w:val="20"/>
        </w:rPr>
        <w:t xml:space="preserve"> support to all patients at the practice</w:t>
      </w:r>
      <w:r>
        <w:rPr>
          <w:i/>
          <w:iCs/>
          <w:szCs w:val="20"/>
        </w:rPr>
        <w:t>…</w:t>
      </w:r>
      <w:r w:rsidRPr="00BC4AFA">
        <w:rPr>
          <w:i/>
          <w:iCs/>
          <w:szCs w:val="20"/>
        </w:rPr>
        <w:t>And then</w:t>
      </w:r>
      <w:r w:rsidR="00E14644">
        <w:rPr>
          <w:i/>
          <w:iCs/>
          <w:szCs w:val="20"/>
        </w:rPr>
        <w:t xml:space="preserve"> </w:t>
      </w:r>
      <w:r>
        <w:rPr>
          <w:i/>
          <w:iCs/>
          <w:szCs w:val="20"/>
        </w:rPr>
        <w:t>[the]</w:t>
      </w:r>
      <w:r w:rsidRPr="00BC4AFA">
        <w:rPr>
          <w:i/>
          <w:iCs/>
          <w:szCs w:val="20"/>
        </w:rPr>
        <w:t xml:space="preserve"> improvement structure</w:t>
      </w:r>
      <w:r>
        <w:rPr>
          <w:i/>
          <w:iCs/>
          <w:szCs w:val="20"/>
        </w:rPr>
        <w:t>…</w:t>
      </w:r>
      <w:r w:rsidRPr="00BC4AFA">
        <w:rPr>
          <w:i/>
          <w:iCs/>
          <w:szCs w:val="20"/>
        </w:rPr>
        <w:t xml:space="preserve">it is a three-tier, </w:t>
      </w:r>
      <w:r w:rsidR="00E14644">
        <w:rPr>
          <w:i/>
          <w:iCs/>
          <w:szCs w:val="20"/>
        </w:rPr>
        <w:t>10</w:t>
      </w:r>
      <w:r w:rsidRPr="00BC4AFA">
        <w:rPr>
          <w:i/>
          <w:iCs/>
          <w:szCs w:val="20"/>
        </w:rPr>
        <w:t xml:space="preserve">-step </w:t>
      </w:r>
      <w:r w:rsidR="0002675D">
        <w:rPr>
          <w:i/>
          <w:iCs/>
          <w:szCs w:val="20"/>
        </w:rPr>
        <w:t>program</w:t>
      </w:r>
      <w:r w:rsidRPr="00BC4AFA">
        <w:rPr>
          <w:i/>
          <w:iCs/>
          <w:szCs w:val="20"/>
        </w:rPr>
        <w:t xml:space="preserve">. The </w:t>
      </w:r>
      <w:r w:rsidR="00E14644">
        <w:rPr>
          <w:i/>
          <w:iCs/>
          <w:szCs w:val="20"/>
        </w:rPr>
        <w:t>10</w:t>
      </w:r>
      <w:r w:rsidRPr="00BC4AFA">
        <w:rPr>
          <w:i/>
          <w:iCs/>
          <w:szCs w:val="20"/>
        </w:rPr>
        <w:t xml:space="preserve"> steps are broken into three tiers, with the first tier, of course, being the main building blocks. And practices will only be eligible to move up to the next tier when they have </w:t>
      </w:r>
      <w:r w:rsidRPr="00456282">
        <w:rPr>
          <w:i/>
          <w:iCs/>
          <w:szCs w:val="20"/>
          <w:lang w:val="en-GB"/>
        </w:rPr>
        <w:t>demonstrated</w:t>
      </w:r>
      <w:r w:rsidRPr="00BC4AFA">
        <w:rPr>
          <w:i/>
          <w:iCs/>
          <w:szCs w:val="20"/>
        </w:rPr>
        <w:t xml:space="preserve"> improvement and some level of mastery of those blocks in the first tier. An</w:t>
      </w:r>
      <w:r>
        <w:rPr>
          <w:i/>
          <w:iCs/>
          <w:szCs w:val="20"/>
        </w:rPr>
        <w:t>d then…</w:t>
      </w:r>
      <w:r w:rsidRPr="00BC4AFA">
        <w:rPr>
          <w:i/>
          <w:iCs/>
          <w:szCs w:val="20"/>
        </w:rPr>
        <w:t>the payment structure to a practice goes up, according to each tier. And of course, the requirements and the deliverables for practice will be higher as you go up each tier as well. So, the concept of having it as a practice level payment is to allow that payment to be directed more towards team-based care. So, this allows the practice.</w:t>
      </w:r>
      <w:r>
        <w:rPr>
          <w:i/>
          <w:iCs/>
          <w:szCs w:val="20"/>
        </w:rPr>
        <w:t>.</w:t>
      </w:r>
      <w:r w:rsidRPr="00662AEE">
        <w:rPr>
          <w:rFonts w:cs="Arial"/>
          <w:i/>
          <w:iCs/>
          <w:szCs w:val="20"/>
          <w:lang w:val="en-GB"/>
        </w:rPr>
        <w:t>.</w:t>
      </w:r>
      <w:r w:rsidRPr="00CE6BF2">
        <w:t xml:space="preserve"> </w:t>
      </w:r>
      <w:r>
        <w:t xml:space="preserve">[to] </w:t>
      </w:r>
      <w:r>
        <w:rPr>
          <w:rFonts w:cs="Arial"/>
          <w:i/>
          <w:iCs/>
          <w:szCs w:val="20"/>
          <w:lang w:val="en-GB"/>
        </w:rPr>
        <w:t>e</w:t>
      </w:r>
      <w:r w:rsidRPr="00CE6BF2">
        <w:rPr>
          <w:rFonts w:cs="Arial"/>
          <w:i/>
          <w:iCs/>
          <w:szCs w:val="20"/>
          <w:lang w:val="en-GB"/>
        </w:rPr>
        <w:t>ngage other staff and services as needed</w:t>
      </w:r>
      <w:r>
        <w:rPr>
          <w:rFonts w:cs="Arial"/>
          <w:i/>
          <w:iCs/>
          <w:szCs w:val="20"/>
          <w:lang w:val="en-GB"/>
        </w:rPr>
        <w:t>…</w:t>
      </w:r>
      <w:r w:rsidRPr="00A45059">
        <w:t xml:space="preserve"> </w:t>
      </w:r>
      <w:r w:rsidRPr="00A45059">
        <w:rPr>
          <w:rFonts w:cs="Arial"/>
          <w:i/>
          <w:iCs/>
          <w:szCs w:val="20"/>
          <w:lang w:val="en-GB"/>
        </w:rPr>
        <w:t>we give them a pool of funds which can be used to engage. But to ensure that they are using it properly, you'll have a combination of deliverables, but also, you need to meet certain training levels in order to get to the next tier of payment</w:t>
      </w:r>
      <w:r>
        <w:rPr>
          <w:rFonts w:cs="Arial"/>
          <w:i/>
          <w:iCs/>
          <w:szCs w:val="20"/>
          <w:lang w:val="en-GB"/>
        </w:rPr>
        <w:t>…</w:t>
      </w:r>
      <w:r w:rsidRPr="0044001A">
        <w:t xml:space="preserve"> </w:t>
      </w:r>
      <w:r w:rsidRPr="0044001A">
        <w:rPr>
          <w:rFonts w:cs="Arial"/>
          <w:i/>
          <w:iCs/>
          <w:szCs w:val="20"/>
          <w:lang w:val="en-GB"/>
        </w:rPr>
        <w:t>that then allows practices to take on a much better role within the healthcare neighbourhood. Which means we can talk about, say, hospital prevention and actually measure hospital prevention, reduction in progression to stage five CKD, chronic kidney disease, which is dialysis.</w:t>
      </w:r>
      <w:r w:rsidRPr="00662AEE">
        <w:rPr>
          <w:rFonts w:cs="Arial"/>
          <w:i/>
          <w:iCs/>
          <w:szCs w:val="20"/>
          <w:lang w:val="en-GB"/>
        </w:rPr>
        <w:t xml:space="preserve">” </w:t>
      </w:r>
      <w:r>
        <w:rPr>
          <w:rFonts w:cs="Arial"/>
          <w:szCs w:val="20"/>
          <w:lang w:val="en-GB"/>
        </w:rPr>
        <w:t>[GP, Practice 11, R5]</w:t>
      </w:r>
      <w:r>
        <w:rPr>
          <w:rFonts w:ascii="Arial" w:hAnsi="Arial" w:cs="Arial"/>
          <w:lang w:val="en-GB"/>
        </w:rPr>
        <w:t xml:space="preserve"> </w:t>
      </w:r>
    </w:p>
    <w:p w14:paraId="414CA0BE" w14:textId="77777777" w:rsidR="00472940" w:rsidRDefault="00472940">
      <w:pPr>
        <w:spacing w:after="160" w:line="259" w:lineRule="auto"/>
        <w:rPr>
          <w:szCs w:val="20"/>
        </w:rPr>
      </w:pPr>
      <w:r>
        <w:rPr>
          <w:szCs w:val="20"/>
        </w:rPr>
        <w:br w:type="page"/>
      </w:r>
    </w:p>
    <w:p w14:paraId="03B4371B" w14:textId="3CB33031" w:rsidR="00292CBF" w:rsidRDefault="00292CBF" w:rsidP="00292CBF">
      <w:pPr>
        <w:ind w:right="522"/>
        <w:rPr>
          <w:szCs w:val="20"/>
        </w:rPr>
      </w:pPr>
      <w:r>
        <w:rPr>
          <w:szCs w:val="20"/>
        </w:rPr>
        <w:lastRenderedPageBreak/>
        <w:t xml:space="preserve">A few practices suggested a wider rollout of </w:t>
      </w:r>
      <w:r w:rsidR="00E14644">
        <w:rPr>
          <w:szCs w:val="20"/>
        </w:rPr>
        <w:t>the HCH model supported by a bundled payment:</w:t>
      </w:r>
    </w:p>
    <w:p w14:paraId="33B2C5F9" w14:textId="1B742C15" w:rsidR="00292CBF" w:rsidRPr="00E65AA6" w:rsidRDefault="00292CBF" w:rsidP="00456282">
      <w:pPr>
        <w:ind w:left="567" w:right="521"/>
        <w:rPr>
          <w:rFonts w:cs="Arial"/>
          <w:i/>
          <w:iCs/>
          <w:szCs w:val="20"/>
          <w:lang w:val="en-GB"/>
        </w:rPr>
      </w:pPr>
      <w:r w:rsidRPr="00E65AA6">
        <w:rPr>
          <w:rFonts w:cs="Arial"/>
          <w:i/>
          <w:iCs/>
          <w:szCs w:val="20"/>
          <w:lang w:val="en-GB"/>
        </w:rPr>
        <w:t xml:space="preserve">“I think they should definitely embrace it because some model along this line, focusing on preventive </w:t>
      </w:r>
      <w:r w:rsidR="00DA34EA">
        <w:rPr>
          <w:rFonts w:cs="Arial"/>
          <w:i/>
          <w:iCs/>
          <w:szCs w:val="20"/>
          <w:lang w:val="en-GB"/>
        </w:rPr>
        <w:t>health care</w:t>
      </w:r>
      <w:r w:rsidRPr="00E65AA6">
        <w:rPr>
          <w:rFonts w:cs="Arial"/>
          <w:i/>
          <w:iCs/>
          <w:szCs w:val="20"/>
          <w:lang w:val="en-GB"/>
        </w:rPr>
        <w:t xml:space="preserve"> and increasing patient autonomy, will have to be the way of the future. The fee-for-service model is not going to stay. It just can’t.” </w:t>
      </w:r>
      <w:r w:rsidRPr="00F72BCC">
        <w:rPr>
          <w:rFonts w:cs="Arial"/>
          <w:szCs w:val="20"/>
          <w:lang w:val="en-GB"/>
        </w:rPr>
        <w:t>[GP, Practice 4, R5]</w:t>
      </w:r>
    </w:p>
    <w:p w14:paraId="6C61C004" w14:textId="6BFBBD6E" w:rsidR="00292CBF" w:rsidRDefault="00E14644" w:rsidP="00292CBF">
      <w:pPr>
        <w:ind w:right="522"/>
        <w:rPr>
          <w:szCs w:val="20"/>
        </w:rPr>
      </w:pPr>
      <w:r>
        <w:rPr>
          <w:szCs w:val="20"/>
        </w:rPr>
        <w:t>Several</w:t>
      </w:r>
      <w:r w:rsidR="00292CBF">
        <w:rPr>
          <w:szCs w:val="20"/>
        </w:rPr>
        <w:t xml:space="preserve"> practices and PHNs suggested providing further incentives that focus on prevention and patient outcomes. Th</w:t>
      </w:r>
      <w:r w:rsidR="006B0693">
        <w:rPr>
          <w:szCs w:val="20"/>
        </w:rPr>
        <w:t>ese</w:t>
      </w:r>
      <w:r w:rsidR="00292CBF">
        <w:rPr>
          <w:szCs w:val="20"/>
        </w:rPr>
        <w:t xml:space="preserve"> included engaging and incentivising other providers and stakeholders </w:t>
      </w:r>
      <w:r w:rsidR="00292CBF" w:rsidRPr="00CA640C">
        <w:rPr>
          <w:szCs w:val="20"/>
        </w:rPr>
        <w:t xml:space="preserve">across the health system </w:t>
      </w:r>
      <w:r w:rsidR="00292CBF">
        <w:rPr>
          <w:szCs w:val="20"/>
        </w:rPr>
        <w:t>to work to achieve a common goal</w:t>
      </w:r>
      <w:r>
        <w:rPr>
          <w:szCs w:val="20"/>
        </w:rPr>
        <w:t>:</w:t>
      </w:r>
    </w:p>
    <w:p w14:paraId="7D103C21" w14:textId="77777777" w:rsidR="00292CBF" w:rsidRDefault="00292CBF" w:rsidP="00456282">
      <w:pPr>
        <w:ind w:left="567" w:right="521"/>
        <w:rPr>
          <w:szCs w:val="20"/>
        </w:rPr>
      </w:pPr>
      <w:r w:rsidRPr="00B21A54">
        <w:rPr>
          <w:i/>
          <w:iCs/>
          <w:szCs w:val="20"/>
        </w:rPr>
        <w:t>“…the government sees the big reward as they can keep people out of hospitals, then that’s a lot cheaper for the government. But to really reflect that, it would be, for example, can clinics get paid more if their patients are hospitalised less compared to the expected rate? While in reality, yes, we get paid whether or not we see the patient, but it doesn't in itself incentivise better health outcomes…I think it</w:t>
      </w:r>
      <w:r w:rsidRPr="00B21A54">
        <w:rPr>
          <w:rFonts w:cs="Century Gothic"/>
          <w:i/>
          <w:iCs/>
          <w:szCs w:val="20"/>
        </w:rPr>
        <w:t>’</w:t>
      </w:r>
      <w:r w:rsidRPr="00B21A54">
        <w:rPr>
          <w:i/>
          <w:iCs/>
          <w:szCs w:val="20"/>
        </w:rPr>
        <w:t>s important to recognise that whether it</w:t>
      </w:r>
      <w:r w:rsidRPr="00B21A54">
        <w:rPr>
          <w:rFonts w:cs="Century Gothic"/>
          <w:i/>
          <w:iCs/>
          <w:szCs w:val="20"/>
        </w:rPr>
        <w:t>’</w:t>
      </w:r>
      <w:r w:rsidRPr="00B21A54">
        <w:rPr>
          <w:i/>
          <w:iCs/>
          <w:szCs w:val="20"/>
        </w:rPr>
        <w:t>s intended or not, however a system is set up will incentivise certain behaviours and not others. What</w:t>
      </w:r>
      <w:r w:rsidRPr="00B21A54">
        <w:rPr>
          <w:rFonts w:cs="Century Gothic"/>
          <w:i/>
          <w:iCs/>
          <w:szCs w:val="20"/>
        </w:rPr>
        <w:t>’</w:t>
      </w:r>
      <w:r w:rsidRPr="00B21A54">
        <w:rPr>
          <w:i/>
          <w:iCs/>
          <w:szCs w:val="20"/>
        </w:rPr>
        <w:t>s happened with Medicare is Medicare incentivises face-to-face generally quicker consults, because it doesn't pay as well for longer, complex care. And Health Care Homes in theory could address that, but it does have those weaknesses in the current format.”</w:t>
      </w:r>
      <w:r>
        <w:rPr>
          <w:szCs w:val="20"/>
        </w:rPr>
        <w:t xml:space="preserve"> [GP, Practice 22, R5]</w:t>
      </w:r>
    </w:p>
    <w:p w14:paraId="72DFC6BB" w14:textId="77777777" w:rsidR="00292CBF" w:rsidRDefault="00292CBF" w:rsidP="00456282">
      <w:pPr>
        <w:ind w:left="567" w:right="521"/>
        <w:rPr>
          <w:szCs w:val="20"/>
        </w:rPr>
      </w:pPr>
      <w:r>
        <w:rPr>
          <w:i/>
          <w:iCs/>
          <w:szCs w:val="20"/>
        </w:rPr>
        <w:t>“</w:t>
      </w:r>
      <w:r w:rsidRPr="0066310E">
        <w:rPr>
          <w:i/>
          <w:iCs/>
          <w:szCs w:val="20"/>
        </w:rPr>
        <w:t>The Yanks, with their insurer for both the hospitals the primary care had a very clear reason for wanting to keep people in primary care and out of hospital, because it saved the insurer money. We don’t have that here, because we’ve got the dual funding. So, it doesn</w:t>
      </w:r>
      <w:r w:rsidRPr="0066310E">
        <w:rPr>
          <w:rFonts w:cs="Century Gothic"/>
          <w:i/>
          <w:iCs/>
          <w:szCs w:val="20"/>
        </w:rPr>
        <w:t>’</w:t>
      </w:r>
      <w:r w:rsidRPr="0066310E">
        <w:rPr>
          <w:i/>
          <w:iCs/>
          <w:szCs w:val="20"/>
        </w:rPr>
        <w:t>t do the Commonwealth any direct benefit to keep people out of hospitals. And it doesn</w:t>
      </w:r>
      <w:r w:rsidRPr="0066310E">
        <w:rPr>
          <w:rFonts w:cs="Century Gothic"/>
          <w:i/>
          <w:iCs/>
          <w:szCs w:val="20"/>
        </w:rPr>
        <w:t>’</w:t>
      </w:r>
      <w:r w:rsidRPr="0066310E">
        <w:rPr>
          <w:i/>
          <w:iCs/>
          <w:szCs w:val="20"/>
        </w:rPr>
        <w:t>t do the states any direct benefit to invest in primary care, because they can’t see that. But we saw it astoundingly when you had the insurer investing and putting a facilitator care, monitor care, manager, whatever, a nurse, in each practice. Because they were on top of their patients who were in hospital. And as soon as they got out of hospital, they did everything they could in primary care to keep them from going back. It was an investment well worth it…it goes back to the notion of how I think the further investment could play, by the hospitals investing in primary care.”</w:t>
      </w:r>
      <w:r>
        <w:rPr>
          <w:szCs w:val="20"/>
        </w:rPr>
        <w:t xml:space="preserve"> [GP, Practice 12, R5]</w:t>
      </w:r>
    </w:p>
    <w:p w14:paraId="0DD7E0CF" w14:textId="2C1994DF" w:rsidR="00292CBF" w:rsidRPr="00F5631E" w:rsidRDefault="00292CBF" w:rsidP="00456282">
      <w:pPr>
        <w:ind w:left="567" w:right="521"/>
        <w:rPr>
          <w:szCs w:val="20"/>
        </w:rPr>
      </w:pPr>
      <w:r w:rsidRPr="005625BA">
        <w:rPr>
          <w:i/>
          <w:iCs/>
          <w:szCs w:val="20"/>
        </w:rPr>
        <w:t>“There is no benefit to us as a practice, apart from making everyone feel good. So, I think that when we do talk about what we call level three improvement plan…there is definitely the concept of shared savings. This is where we have regional pool funded and shared savings.”</w:t>
      </w:r>
      <w:r w:rsidR="00A561EE">
        <w:rPr>
          <w:szCs w:val="20"/>
        </w:rPr>
        <w:t xml:space="preserve"> </w:t>
      </w:r>
      <w:r>
        <w:rPr>
          <w:szCs w:val="20"/>
        </w:rPr>
        <w:t>[GP, Practice 11, R5]</w:t>
      </w:r>
    </w:p>
    <w:p w14:paraId="4E582293" w14:textId="22D7E01F" w:rsidR="009E4819" w:rsidRDefault="006B0693" w:rsidP="00292CBF">
      <w:pPr>
        <w:tabs>
          <w:tab w:val="left" w:pos="1134"/>
        </w:tabs>
        <w:autoSpaceDE w:val="0"/>
        <w:autoSpaceDN w:val="0"/>
        <w:adjustRightInd w:val="0"/>
        <w:rPr>
          <w:szCs w:val="20"/>
        </w:rPr>
      </w:pPr>
      <w:r>
        <w:rPr>
          <w:szCs w:val="20"/>
        </w:rPr>
        <w:t>Many</w:t>
      </w:r>
      <w:r w:rsidR="00292CBF">
        <w:rPr>
          <w:szCs w:val="20"/>
        </w:rPr>
        <w:t xml:space="preserve"> felt that running dual financial systems was too difficult</w:t>
      </w:r>
      <w:r w:rsidR="009E4819">
        <w:rPr>
          <w:szCs w:val="20"/>
        </w:rPr>
        <w:t xml:space="preserve"> and suggested a single financial model:</w:t>
      </w:r>
    </w:p>
    <w:p w14:paraId="14CB1E57" w14:textId="0150A754" w:rsidR="009E4819" w:rsidRDefault="009E4819" w:rsidP="009E4819">
      <w:pPr>
        <w:ind w:left="567" w:right="521"/>
        <w:rPr>
          <w:szCs w:val="20"/>
        </w:rPr>
      </w:pPr>
      <w:r w:rsidRPr="00C541EB">
        <w:rPr>
          <w:i/>
          <w:iCs/>
          <w:szCs w:val="20"/>
        </w:rPr>
        <w:t xml:space="preserve">“I think probably a </w:t>
      </w:r>
      <w:r w:rsidRPr="009E4819">
        <w:rPr>
          <w:i/>
          <w:iCs/>
          <w:szCs w:val="20"/>
          <w:lang w:val="en-GB"/>
        </w:rPr>
        <w:t>decision</w:t>
      </w:r>
      <w:r w:rsidRPr="00C541EB">
        <w:rPr>
          <w:i/>
          <w:iCs/>
          <w:szCs w:val="20"/>
        </w:rPr>
        <w:t xml:space="preserve"> needs to be made one way or the other whether chronic disease management’s going to be funded through </w:t>
      </w:r>
      <w:r>
        <w:rPr>
          <w:i/>
          <w:iCs/>
          <w:szCs w:val="20"/>
        </w:rPr>
        <w:t>fee-for-service</w:t>
      </w:r>
      <w:r w:rsidRPr="00C541EB">
        <w:rPr>
          <w:i/>
          <w:iCs/>
          <w:szCs w:val="20"/>
        </w:rPr>
        <w:t xml:space="preserve"> or is it going to be funded through Health Care Homes and running the two systems side by side seems a bit dumb. So a decision needs to be made about what the </w:t>
      </w:r>
      <w:r w:rsidRPr="00C541EB">
        <w:rPr>
          <w:i/>
          <w:iCs/>
          <w:szCs w:val="20"/>
        </w:rPr>
        <w:lastRenderedPageBreak/>
        <w:t>funding model is. And as far as, and which model is used, doesn’t bother me either way.”</w:t>
      </w:r>
      <w:r w:rsidRPr="00C541EB">
        <w:rPr>
          <w:szCs w:val="20"/>
        </w:rPr>
        <w:t xml:space="preserve"> [GP</w:t>
      </w:r>
      <w:r>
        <w:rPr>
          <w:szCs w:val="20"/>
        </w:rPr>
        <w:t>, Practice 2, R4</w:t>
      </w:r>
      <w:r w:rsidRPr="00C541EB">
        <w:rPr>
          <w:szCs w:val="20"/>
        </w:rPr>
        <w:t>]</w:t>
      </w:r>
    </w:p>
    <w:p w14:paraId="2DD815D4" w14:textId="2A23DBF6" w:rsidR="00292CBF" w:rsidRDefault="009E4819" w:rsidP="00292CBF">
      <w:pPr>
        <w:tabs>
          <w:tab w:val="left" w:pos="1134"/>
        </w:tabs>
        <w:autoSpaceDE w:val="0"/>
        <w:autoSpaceDN w:val="0"/>
        <w:adjustRightInd w:val="0"/>
        <w:rPr>
          <w:szCs w:val="20"/>
        </w:rPr>
      </w:pPr>
      <w:r>
        <w:rPr>
          <w:szCs w:val="20"/>
        </w:rPr>
        <w:t>Suggestions were also made about ensuring continuity of care for patients at least for their chronic illnesses</w:t>
      </w:r>
      <w:r w:rsidR="00292CBF">
        <w:rPr>
          <w:szCs w:val="20"/>
        </w:rPr>
        <w:t>:</w:t>
      </w:r>
    </w:p>
    <w:p w14:paraId="55CA3B6F" w14:textId="77777777" w:rsidR="00292CBF" w:rsidRPr="00A038F1" w:rsidRDefault="00292CBF" w:rsidP="00456282">
      <w:pPr>
        <w:ind w:left="567" w:right="521"/>
        <w:rPr>
          <w:szCs w:val="20"/>
        </w:rPr>
      </w:pPr>
      <w:r>
        <w:rPr>
          <w:i/>
          <w:iCs/>
          <w:szCs w:val="20"/>
          <w:lang w:val="en-GB"/>
        </w:rPr>
        <w:t>“</w:t>
      </w:r>
      <w:r w:rsidRPr="009A49E1">
        <w:rPr>
          <w:i/>
          <w:iCs/>
          <w:szCs w:val="20"/>
          <w:lang w:val="en-GB"/>
        </w:rPr>
        <w:t>There’s a different philosophy that you need to have patients say, but not like in the UK where</w:t>
      </w:r>
      <w:r>
        <w:rPr>
          <w:i/>
          <w:iCs/>
          <w:szCs w:val="20"/>
          <w:lang w:val="en-GB"/>
        </w:rPr>
        <w:t xml:space="preserve"> … </w:t>
      </w:r>
      <w:r w:rsidRPr="009A49E1">
        <w:rPr>
          <w:i/>
          <w:iCs/>
          <w:szCs w:val="20"/>
          <w:lang w:val="en-GB"/>
        </w:rPr>
        <w:t xml:space="preserve">you </w:t>
      </w:r>
      <w:r w:rsidRPr="00456282">
        <w:rPr>
          <w:i/>
          <w:iCs/>
          <w:szCs w:val="20"/>
        </w:rPr>
        <w:t>just</w:t>
      </w:r>
      <w:r w:rsidRPr="009A49E1">
        <w:rPr>
          <w:i/>
          <w:iCs/>
          <w:szCs w:val="20"/>
          <w:lang w:val="en-GB"/>
        </w:rPr>
        <w:t xml:space="preserve"> see your one GP, I think you should have your chronic GP and you’re only allowed x amounts of visits per year with another GP that Medicare will pay for. They need to look at other options on how to manage chronic care, but I do agree you should have one GP, one home</w:t>
      </w:r>
      <w:r>
        <w:rPr>
          <w:i/>
          <w:iCs/>
          <w:szCs w:val="20"/>
          <w:lang w:val="en-GB"/>
        </w:rPr>
        <w:t xml:space="preserve"> …”</w:t>
      </w:r>
      <w:r>
        <w:rPr>
          <w:szCs w:val="20"/>
          <w:lang w:val="en-GB"/>
        </w:rPr>
        <w:t xml:space="preserve"> [GP2, Practice 18, R4]</w:t>
      </w:r>
    </w:p>
    <w:p w14:paraId="4ADE09DF" w14:textId="15DE72D5" w:rsidR="0018670E" w:rsidRDefault="00292CBF" w:rsidP="00BC0627">
      <w:pPr>
        <w:ind w:left="567" w:right="521"/>
      </w:pPr>
      <w:r>
        <w:rPr>
          <w:i/>
          <w:iCs/>
          <w:szCs w:val="20"/>
        </w:rPr>
        <w:t xml:space="preserve">“… </w:t>
      </w:r>
      <w:r w:rsidRPr="009A49E1">
        <w:rPr>
          <w:i/>
          <w:iCs/>
          <w:szCs w:val="20"/>
        </w:rPr>
        <w:t xml:space="preserve">if I was in charge of Medicare, I would be saying look, I’m going to limit the number of care plans that can be done for X conditions. I’ll be making sure people were locked in with their regular doctors for their chronic disease management so another doctor couldn’t just do their </w:t>
      </w:r>
      <w:r>
        <w:rPr>
          <w:i/>
          <w:iCs/>
          <w:szCs w:val="20"/>
        </w:rPr>
        <w:t>[GP management plan]</w:t>
      </w:r>
      <w:r w:rsidRPr="009A49E1">
        <w:rPr>
          <w:i/>
          <w:iCs/>
          <w:szCs w:val="20"/>
        </w:rPr>
        <w:t xml:space="preserve"> having seen them once or twice while that doctor was on holiday. So that would stop some of the abuse in the system. And just control it in that way, because obviously cost is an issue for the Department of Health and Medicare in terms of overbilling or too frequent attendances</w:t>
      </w:r>
      <w:r>
        <w:rPr>
          <w:i/>
          <w:iCs/>
          <w:szCs w:val="20"/>
        </w:rPr>
        <w:t>…</w:t>
      </w:r>
      <w:r w:rsidRPr="009A49E1">
        <w:rPr>
          <w:i/>
          <w:iCs/>
          <w:szCs w:val="20"/>
        </w:rPr>
        <w:t>But I think in terms of the chronic disease management, I think it is pretty well run here</w:t>
      </w:r>
      <w:r>
        <w:rPr>
          <w:i/>
          <w:iCs/>
          <w:szCs w:val="20"/>
        </w:rPr>
        <w:t xml:space="preserve"> … </w:t>
      </w:r>
      <w:r w:rsidRPr="009A49E1">
        <w:rPr>
          <w:i/>
          <w:iCs/>
          <w:szCs w:val="20"/>
        </w:rPr>
        <w:t>I think the nurse’s time is still undervalued, [so] I think again is an area which could be improved on. An</w:t>
      </w:r>
      <w:r>
        <w:rPr>
          <w:i/>
          <w:iCs/>
          <w:szCs w:val="20"/>
        </w:rPr>
        <w:t xml:space="preserve">d … </w:t>
      </w:r>
      <w:r w:rsidRPr="009A49E1">
        <w:rPr>
          <w:i/>
          <w:iCs/>
          <w:szCs w:val="20"/>
        </w:rPr>
        <w:t>have an item number which may come out with this coronavirus thing that twice a year, or three or four times a year</w:t>
      </w:r>
      <w:r>
        <w:rPr>
          <w:i/>
          <w:iCs/>
          <w:szCs w:val="20"/>
        </w:rPr>
        <w:t xml:space="preserve"> … </w:t>
      </w:r>
      <w:r w:rsidRPr="009A49E1">
        <w:rPr>
          <w:i/>
          <w:iCs/>
          <w:szCs w:val="20"/>
        </w:rPr>
        <w:t xml:space="preserve">you could have a telephone consultation included in that person’s chronic disease care, to make it less arduous than coming in for normal results or for routine </w:t>
      </w:r>
      <w:r>
        <w:rPr>
          <w:i/>
          <w:iCs/>
          <w:szCs w:val="20"/>
        </w:rPr>
        <w:t>follow-up</w:t>
      </w:r>
      <w:r w:rsidRPr="009A49E1">
        <w:rPr>
          <w:i/>
          <w:iCs/>
          <w:szCs w:val="20"/>
        </w:rPr>
        <w:t>.”</w:t>
      </w:r>
      <w:r w:rsidRPr="009A49E1">
        <w:rPr>
          <w:szCs w:val="20"/>
        </w:rPr>
        <w:t xml:space="preserve"> [GP1, Practice 1</w:t>
      </w:r>
      <w:r>
        <w:rPr>
          <w:szCs w:val="20"/>
        </w:rPr>
        <w:t>, R4</w:t>
      </w:r>
      <w:r w:rsidRPr="009A49E1">
        <w:rPr>
          <w:szCs w:val="20"/>
        </w:rPr>
        <w:t>]</w:t>
      </w:r>
    </w:p>
    <w:p w14:paraId="734DE604" w14:textId="77777777" w:rsidR="00F0489E" w:rsidRDefault="00F0489E" w:rsidP="00E426DB"/>
    <w:p w14:paraId="63E81AD9" w14:textId="4DFD7925" w:rsidR="00C142AE" w:rsidRDefault="00C142AE" w:rsidP="00C142AE">
      <w:r>
        <w:t xml:space="preserve"> </w:t>
      </w:r>
    </w:p>
    <w:p w14:paraId="00748DF1" w14:textId="77777777" w:rsidR="00C142AE" w:rsidRDefault="00C142AE" w:rsidP="00DC72D8">
      <w:pPr>
        <w:sectPr w:rsidR="00C142AE">
          <w:pgSz w:w="11906" w:h="16838"/>
          <w:pgMar w:top="1440" w:right="1440" w:bottom="1440" w:left="1440" w:header="708" w:footer="708" w:gutter="0"/>
          <w:cols w:space="708"/>
          <w:docGrid w:linePitch="360"/>
        </w:sectPr>
      </w:pP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EB3C7F" w14:paraId="2571B1CE" w14:textId="77777777" w:rsidTr="00256EF9">
        <w:tc>
          <w:tcPr>
            <w:tcW w:w="9016" w:type="dxa"/>
          </w:tcPr>
          <w:p w14:paraId="6E4907AF" w14:textId="042135DE" w:rsidR="00EB3C7F" w:rsidRPr="00C71F42" w:rsidRDefault="00EB3C7F" w:rsidP="00C15B1B">
            <w:pPr>
              <w:pStyle w:val="Sectionheading"/>
            </w:pPr>
            <w:r>
              <w:lastRenderedPageBreak/>
              <w:br w:type="page"/>
            </w:r>
            <w:bookmarkStart w:id="154" w:name="_Toc109996675"/>
            <w:r w:rsidRPr="00C71F42">
              <w:t xml:space="preserve">Key evaluation question </w:t>
            </w:r>
            <w:r>
              <w:t>2</w:t>
            </w:r>
            <w:r w:rsidRPr="00C71F42">
              <w:t xml:space="preserve">: </w:t>
            </w:r>
            <w:r w:rsidR="00754378" w:rsidRPr="00754378">
              <w:t>How does the HCH model change the way practices approach chronic disease management</w:t>
            </w:r>
            <w:r w:rsidRPr="00C71F42">
              <w:t>?</w:t>
            </w:r>
            <w:bookmarkEnd w:id="154"/>
          </w:p>
          <w:p w14:paraId="47551A50" w14:textId="77777777" w:rsidR="00EB3C7F" w:rsidRPr="00B94F15" w:rsidRDefault="00754378" w:rsidP="00754378">
            <w:pPr>
              <w:rPr>
                <w:szCs w:val="20"/>
              </w:rPr>
            </w:pPr>
            <w:r w:rsidRPr="00B94F15">
              <w:rPr>
                <w:szCs w:val="20"/>
              </w:rPr>
              <w:t xml:space="preserve">High-risk patients with chronic disease are the target group for the HCH program, and consequently, chronic disease management is a principal focus. The evaluation examined changes that occurred within practices over the course of the trial in managing patients’ chronic diseases, recognising that some practices reported to have already incorporated chronic disease management processes within their practice before the trial. </w:t>
            </w:r>
          </w:p>
          <w:p w14:paraId="0E583CD9" w14:textId="106916F0" w:rsidR="00B94F15" w:rsidRPr="00B94F15" w:rsidRDefault="00B94F15" w:rsidP="00B94F15">
            <w:pPr>
              <w:rPr>
                <w:rFonts w:eastAsia="Muli" w:cs="Muli"/>
                <w:color w:val="000000" w:themeColor="text1"/>
                <w:szCs w:val="20"/>
              </w:rPr>
            </w:pPr>
            <w:r w:rsidRPr="00B94F15">
              <w:rPr>
                <w:rFonts w:eastAsia="Muli" w:cs="Muli"/>
                <w:color w:val="000000" w:themeColor="text1"/>
                <w:szCs w:val="20"/>
              </w:rPr>
              <w:t>The chapters</w:t>
            </w:r>
            <w:r>
              <w:rPr>
                <w:rFonts w:eastAsia="Muli" w:cs="Muli"/>
                <w:color w:val="000000" w:themeColor="text1"/>
                <w:szCs w:val="20"/>
              </w:rPr>
              <w:t xml:space="preserve"> in this section</w:t>
            </w:r>
            <w:r w:rsidRPr="00B94F15">
              <w:rPr>
                <w:rFonts w:eastAsia="Muli" w:cs="Muli"/>
                <w:color w:val="000000" w:themeColor="text1"/>
                <w:szCs w:val="20"/>
              </w:rPr>
              <w:t xml:space="preserve"> answer the following sub-questions of key </w:t>
            </w:r>
            <w:r>
              <w:rPr>
                <w:rFonts w:eastAsia="Muli" w:cs="Muli"/>
                <w:color w:val="000000" w:themeColor="text1"/>
                <w:szCs w:val="20"/>
              </w:rPr>
              <w:t xml:space="preserve">evaluation </w:t>
            </w:r>
            <w:r w:rsidRPr="00B94F15">
              <w:rPr>
                <w:rFonts w:eastAsia="Muli" w:cs="Muli"/>
                <w:color w:val="000000" w:themeColor="text1"/>
                <w:szCs w:val="20"/>
              </w:rPr>
              <w:t>question 2:</w:t>
            </w:r>
          </w:p>
          <w:p w14:paraId="6A231683" w14:textId="77777777" w:rsidR="00B94F15" w:rsidRPr="00B94F15" w:rsidRDefault="00B94F15" w:rsidP="004D48A4">
            <w:pPr>
              <w:pStyle w:val="ListParagraph"/>
              <w:numPr>
                <w:ilvl w:val="0"/>
                <w:numId w:val="2"/>
              </w:numPr>
              <w:spacing w:after="60"/>
              <w:ind w:left="306" w:hanging="284"/>
              <w:rPr>
                <w:szCs w:val="20"/>
              </w:rPr>
            </w:pPr>
            <w:r w:rsidRPr="00B94F15">
              <w:rPr>
                <w:szCs w:val="20"/>
              </w:rPr>
              <w:t>2.01 What did practices do to implement HCH, and how did this differ between practices, including changes to policies, procedures, systems, administrative processes, changes to manage payment for HCH patients, processes for risk stratification, and patient enrolment?</w:t>
            </w:r>
          </w:p>
          <w:p w14:paraId="5F239CF1" w14:textId="2F6FAB61" w:rsidR="00B94F15" w:rsidRPr="00B94F15" w:rsidRDefault="00B94F15" w:rsidP="004D48A4">
            <w:pPr>
              <w:pStyle w:val="ListParagraph"/>
              <w:numPr>
                <w:ilvl w:val="0"/>
                <w:numId w:val="2"/>
              </w:numPr>
              <w:spacing w:after="60"/>
              <w:ind w:left="306" w:hanging="284"/>
              <w:rPr>
                <w:szCs w:val="20"/>
              </w:rPr>
            </w:pPr>
            <w:r w:rsidRPr="00B94F15">
              <w:rPr>
                <w:szCs w:val="20"/>
              </w:rPr>
              <w:t xml:space="preserve">2.02 How did practices approach provision of chronic disease care </w:t>
            </w:r>
            <w:r w:rsidR="0002675D">
              <w:rPr>
                <w:szCs w:val="20"/>
              </w:rPr>
              <w:t>before</w:t>
            </w:r>
            <w:r w:rsidRPr="00B94F15">
              <w:rPr>
                <w:szCs w:val="20"/>
              </w:rPr>
              <w:t xml:space="preserve"> the implementation of HCH? What chronic disease management and quality improvement initiatives were in place within the practice at the commencement of the HCH program? Which of these were used and/or enhanced for the HCH implementation?</w:t>
            </w:r>
          </w:p>
          <w:p w14:paraId="7448C554" w14:textId="77777777" w:rsidR="00B94F15" w:rsidRPr="00B94F15" w:rsidRDefault="00B94F15" w:rsidP="004D48A4">
            <w:pPr>
              <w:pStyle w:val="ListParagraph"/>
              <w:numPr>
                <w:ilvl w:val="0"/>
                <w:numId w:val="2"/>
              </w:numPr>
              <w:spacing w:after="60"/>
              <w:ind w:left="306" w:hanging="284"/>
              <w:rPr>
                <w:szCs w:val="20"/>
              </w:rPr>
            </w:pPr>
            <w:r w:rsidRPr="00B94F15">
              <w:rPr>
                <w:szCs w:val="20"/>
              </w:rPr>
              <w:t>2.03 How did the mix, roles and activities of primary health care staff change following the HCH program implementation?</w:t>
            </w:r>
          </w:p>
          <w:p w14:paraId="26C72A6B" w14:textId="77777777" w:rsidR="00B94F15" w:rsidRPr="00B94F15" w:rsidRDefault="00B94F15" w:rsidP="004D48A4">
            <w:pPr>
              <w:pStyle w:val="ListParagraph"/>
              <w:numPr>
                <w:ilvl w:val="0"/>
                <w:numId w:val="2"/>
              </w:numPr>
              <w:spacing w:after="60"/>
              <w:ind w:left="306" w:hanging="284"/>
              <w:rPr>
                <w:szCs w:val="20"/>
              </w:rPr>
            </w:pPr>
            <w:r w:rsidRPr="00B94F15">
              <w:rPr>
                <w:szCs w:val="20"/>
              </w:rPr>
              <w:t>2.04 How did the relationship between the practice and other health care and service providers change during the HCH implementation? Did the HCH program provide opportunities for better coordination of care, information sharing and communication with other health care and service providers?</w:t>
            </w:r>
          </w:p>
          <w:p w14:paraId="41B30AEF" w14:textId="77777777" w:rsidR="00B94F15" w:rsidRPr="00B94F15" w:rsidRDefault="00B94F15" w:rsidP="004D48A4">
            <w:pPr>
              <w:pStyle w:val="ListParagraph"/>
              <w:numPr>
                <w:ilvl w:val="0"/>
                <w:numId w:val="2"/>
              </w:numPr>
              <w:spacing w:after="60"/>
              <w:ind w:left="306" w:hanging="284"/>
              <w:rPr>
                <w:szCs w:val="20"/>
              </w:rPr>
            </w:pPr>
            <w:r w:rsidRPr="00B94F15">
              <w:rPr>
                <w:szCs w:val="20"/>
              </w:rPr>
              <w:t>2.05 How did the additional flexibility associated with the bundled payment facilitate practice change? Was the value of the bundled payment sufficient to change the way practices provide chronic disease care?</w:t>
            </w:r>
          </w:p>
          <w:p w14:paraId="0CB75848" w14:textId="4500C038" w:rsidR="00B94F15" w:rsidRPr="00B94F15" w:rsidRDefault="00B94F15" w:rsidP="004D48A4">
            <w:pPr>
              <w:pStyle w:val="ListParagraph"/>
              <w:numPr>
                <w:ilvl w:val="0"/>
                <w:numId w:val="2"/>
              </w:numPr>
              <w:spacing w:after="60"/>
              <w:ind w:left="306" w:hanging="284"/>
              <w:rPr>
                <w:szCs w:val="20"/>
              </w:rPr>
            </w:pPr>
            <w:r w:rsidRPr="00B94F15">
              <w:rPr>
                <w:szCs w:val="20"/>
              </w:rPr>
              <w:t xml:space="preserve">2.06 How did practices change from </w:t>
            </w:r>
            <w:r w:rsidR="0002675D">
              <w:rPr>
                <w:szCs w:val="20"/>
              </w:rPr>
              <w:t>before</w:t>
            </w:r>
            <w:r w:rsidRPr="00B94F15">
              <w:rPr>
                <w:szCs w:val="20"/>
              </w:rPr>
              <w:t xml:space="preserve"> the HCH program implementation to the end of the trial in implementing the dimensions of the patient centred medical home?</w:t>
            </w:r>
          </w:p>
          <w:p w14:paraId="70C27362" w14:textId="77777777" w:rsidR="00B94F15" w:rsidRPr="00B94F15" w:rsidRDefault="00B94F15" w:rsidP="004D48A4">
            <w:pPr>
              <w:pStyle w:val="ListParagraph"/>
              <w:numPr>
                <w:ilvl w:val="0"/>
                <w:numId w:val="2"/>
              </w:numPr>
              <w:spacing w:after="60"/>
              <w:ind w:left="306" w:hanging="284"/>
              <w:rPr>
                <w:szCs w:val="20"/>
              </w:rPr>
            </w:pPr>
            <w:r w:rsidRPr="00B94F15">
              <w:rPr>
                <w:szCs w:val="20"/>
              </w:rPr>
              <w:t>2.07 Which practice level approaches to implementation worked well, and in what contexts?</w:t>
            </w:r>
          </w:p>
          <w:p w14:paraId="6ED15D67" w14:textId="1805D44F" w:rsidR="00B94F15" w:rsidRPr="00B94F15" w:rsidRDefault="00B94F15" w:rsidP="004D48A4">
            <w:pPr>
              <w:pStyle w:val="ListParagraph"/>
              <w:numPr>
                <w:ilvl w:val="0"/>
                <w:numId w:val="2"/>
              </w:numPr>
              <w:spacing w:after="60"/>
              <w:ind w:left="306" w:hanging="284"/>
              <w:rPr>
                <w:szCs w:val="20"/>
              </w:rPr>
            </w:pPr>
            <w:r w:rsidRPr="00B94F15">
              <w:rPr>
                <w:szCs w:val="20"/>
              </w:rPr>
              <w:t>2.08 How did the impact of HCH vary across practices with different characteristics (</w:t>
            </w:r>
            <w:r w:rsidR="0010747B">
              <w:rPr>
                <w:szCs w:val="20"/>
              </w:rPr>
              <w:t>for example,</w:t>
            </w:r>
            <w:r w:rsidRPr="00B94F15">
              <w:rPr>
                <w:szCs w:val="20"/>
              </w:rPr>
              <w:t xml:space="preserve"> across different remoteness areas and ownership arrangements)? How did these characteristics affect the success of the model? What does this tell us about the potential of the HCH program to improve access to primary health care, particularly for vulnerable and disadvantaged populations, and improve equity in health outcomes?</w:t>
            </w:r>
          </w:p>
          <w:p w14:paraId="2BE90501" w14:textId="70F91A59" w:rsidR="00B94F15" w:rsidRPr="008E10EF" w:rsidRDefault="00B94F15" w:rsidP="004D48A4">
            <w:pPr>
              <w:pStyle w:val="ListParagraph"/>
              <w:numPr>
                <w:ilvl w:val="0"/>
                <w:numId w:val="2"/>
              </w:numPr>
              <w:spacing w:after="60"/>
              <w:ind w:left="306" w:hanging="284"/>
            </w:pPr>
            <w:r w:rsidRPr="00B94F15">
              <w:rPr>
                <w:szCs w:val="20"/>
              </w:rPr>
              <w:t>2.09 How did the HCH implementation change provider experiences of delivering primary care services?</w:t>
            </w:r>
          </w:p>
        </w:tc>
      </w:tr>
    </w:tbl>
    <w:p w14:paraId="568DD327" w14:textId="77777777" w:rsidR="00032A68" w:rsidRDefault="00032A68" w:rsidP="00DC72D8"/>
    <w:p w14:paraId="4F39A937" w14:textId="77777777" w:rsidR="00C142AE" w:rsidRDefault="00C142AE" w:rsidP="00DC72D8"/>
    <w:p w14:paraId="706714AA" w14:textId="4B7280E3" w:rsidR="00C142AE" w:rsidRDefault="00C142AE" w:rsidP="00DC72D8"/>
    <w:p w14:paraId="7455DDCD" w14:textId="77777777" w:rsidR="00C142AE" w:rsidRDefault="00C142AE" w:rsidP="00DC72D8">
      <w:pPr>
        <w:sectPr w:rsidR="00C142AE" w:rsidSect="00EB3C7F">
          <w:headerReference w:type="default" r:id="rId35"/>
          <w:pgSz w:w="11906" w:h="16838"/>
          <w:pgMar w:top="1440" w:right="1440" w:bottom="1440" w:left="1440" w:header="709" w:footer="709" w:gutter="0"/>
          <w:cols w:space="708"/>
          <w:vAlign w:val="center"/>
          <w:docGrid w:linePitch="360"/>
        </w:sectPr>
      </w:pPr>
    </w:p>
    <w:p w14:paraId="5EE1213E" w14:textId="7C2AFF47" w:rsidR="00032A68" w:rsidRPr="0094369A" w:rsidRDefault="00FA425F" w:rsidP="00032A68">
      <w:pPr>
        <w:pStyle w:val="ChapterNumber"/>
      </w:pPr>
      <w:r>
        <w:lastRenderedPageBreak/>
        <w:fldChar w:fldCharType="begin"/>
      </w:r>
      <w:r>
        <w:instrText xml:space="preserve"> REF _Ref81990738 \r \h </w:instrText>
      </w:r>
      <w:r>
        <w:fldChar w:fldCharType="separate"/>
      </w:r>
      <w:r w:rsidR="003C4BC2">
        <w:t>9</w:t>
      </w:r>
      <w:r>
        <w:fldChar w:fldCharType="end"/>
      </w:r>
    </w:p>
    <w:p w14:paraId="7DC52F72" w14:textId="188BC556" w:rsidR="00032A68" w:rsidRDefault="00754378" w:rsidP="00032A68">
      <w:pPr>
        <w:pStyle w:val="Heading1withnumber"/>
        <w:ind w:left="0" w:hanging="567"/>
      </w:pPr>
      <w:bookmarkStart w:id="155" w:name="_Ref81990738"/>
      <w:bookmarkStart w:id="156" w:name="_Ref103761797"/>
      <w:bookmarkStart w:id="157" w:name="_Ref103761803"/>
      <w:bookmarkStart w:id="158" w:name="_Ref103764745"/>
      <w:bookmarkStart w:id="159" w:name="_Ref103764758"/>
      <w:bookmarkStart w:id="160" w:name="_Toc109996676"/>
      <w:r>
        <w:t xml:space="preserve">Practice </w:t>
      </w:r>
      <w:bookmarkEnd w:id="155"/>
      <w:r w:rsidR="00343D95">
        <w:t xml:space="preserve">early </w:t>
      </w:r>
      <w:r w:rsidR="00CA68BF">
        <w:t xml:space="preserve">implementation </w:t>
      </w:r>
      <w:r w:rsidR="00346CFF">
        <w:t>challenges</w:t>
      </w:r>
      <w:bookmarkEnd w:id="156"/>
      <w:bookmarkEnd w:id="157"/>
      <w:bookmarkEnd w:id="158"/>
      <w:bookmarkEnd w:id="159"/>
      <w:bookmarkEnd w:id="160"/>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8D7B23" w:rsidRPr="0048466A" w14:paraId="0AC45723" w14:textId="77777777" w:rsidTr="0032660B">
        <w:tc>
          <w:tcPr>
            <w:tcW w:w="8996" w:type="dxa"/>
            <w:shd w:val="clear" w:color="auto" w:fill="auto"/>
          </w:tcPr>
          <w:p w14:paraId="6625AF39" w14:textId="2519EC59" w:rsidR="008D7B23" w:rsidRPr="00E76EF4" w:rsidRDefault="008D7B23" w:rsidP="00AF15A5">
            <w:pPr>
              <w:pStyle w:val="Boxheading"/>
              <w:spacing w:after="120"/>
              <w:rPr>
                <w:bCs/>
                <w:szCs w:val="20"/>
              </w:rPr>
            </w:pPr>
            <w:r w:rsidRPr="00E76EF4">
              <w:rPr>
                <w:bCs/>
                <w:szCs w:val="20"/>
              </w:rPr>
              <w:t xml:space="preserve">Box </w:t>
            </w:r>
            <w:r w:rsidRPr="00E76EF4">
              <w:rPr>
                <w:bCs/>
              </w:rPr>
              <w:fldChar w:fldCharType="begin"/>
            </w:r>
            <w:r w:rsidRPr="00E76EF4">
              <w:rPr>
                <w:bCs/>
              </w:rPr>
              <w:instrText xml:space="preserve"> SEQ Box \* ARABIC </w:instrText>
            </w:r>
            <w:r w:rsidRPr="00E76EF4">
              <w:rPr>
                <w:bCs/>
              </w:rPr>
              <w:fldChar w:fldCharType="separate"/>
            </w:r>
            <w:r w:rsidR="003C4BC2">
              <w:rPr>
                <w:bCs/>
                <w:noProof/>
              </w:rPr>
              <w:t>15</w:t>
            </w:r>
            <w:r w:rsidRPr="00E76EF4">
              <w:rPr>
                <w:bCs/>
                <w:noProof/>
              </w:rPr>
              <w:fldChar w:fldCharType="end"/>
            </w:r>
            <w:r w:rsidRPr="00E76EF4">
              <w:rPr>
                <w:bCs/>
                <w:szCs w:val="20"/>
              </w:rPr>
              <w:t xml:space="preserve">: </w:t>
            </w:r>
            <w:r w:rsidR="00E76EF4" w:rsidRPr="00E76EF4">
              <w:rPr>
                <w:bCs/>
                <w:szCs w:val="20"/>
              </w:rPr>
              <w:t>Chapter summary</w:t>
            </w:r>
          </w:p>
          <w:p w14:paraId="4F403BC7" w14:textId="77777777" w:rsidR="00AD76F2" w:rsidRPr="00AD76F2" w:rsidRDefault="00AD76F2" w:rsidP="00AD76F2">
            <w:pPr>
              <w:spacing w:after="120"/>
              <w:rPr>
                <w:rFonts w:eastAsia="Muli" w:cs="Muli"/>
                <w:color w:val="000000" w:themeColor="text1"/>
                <w:sz w:val="18"/>
                <w:szCs w:val="18"/>
              </w:rPr>
            </w:pPr>
            <w:r w:rsidRPr="00AD76F2">
              <w:rPr>
                <w:rFonts w:eastAsia="Muli" w:cs="Muli"/>
                <w:color w:val="000000" w:themeColor="text1"/>
                <w:sz w:val="18"/>
                <w:szCs w:val="18"/>
              </w:rPr>
              <w:t>Practices had very little time to establish themselves as a HCH before patient enrolment opened. The start of the enrolment period also coincided with end-of-year staff leave and the busiest months of the year, delaying enrolment for most practices. The Department later rectified this by extending the enrolment period.</w:t>
            </w:r>
          </w:p>
          <w:p w14:paraId="6E423129" w14:textId="155C07E3" w:rsidR="00AD76F2" w:rsidRPr="00AD76F2" w:rsidRDefault="00AD76F2" w:rsidP="00AD76F2">
            <w:pPr>
              <w:spacing w:after="120"/>
              <w:rPr>
                <w:rFonts w:eastAsia="Muli" w:cs="Muli"/>
                <w:color w:val="000000" w:themeColor="text1"/>
                <w:sz w:val="18"/>
                <w:szCs w:val="18"/>
              </w:rPr>
            </w:pPr>
            <w:r w:rsidRPr="00AD76F2">
              <w:rPr>
                <w:rFonts w:eastAsia="Muli" w:cs="Muli"/>
                <w:color w:val="000000" w:themeColor="text1"/>
                <w:sz w:val="18"/>
                <w:szCs w:val="18"/>
              </w:rPr>
              <w:t xml:space="preserve">Practices were often unaware of or surprised about the level of training, set up, change management and staff engagement needed to implement the trial. Practices needed to better understand what it meant to be </w:t>
            </w:r>
            <w:r w:rsidR="00A03105">
              <w:rPr>
                <w:rFonts w:eastAsia="Muli" w:cs="Muli"/>
                <w:color w:val="000000" w:themeColor="text1"/>
                <w:sz w:val="18"/>
                <w:szCs w:val="18"/>
              </w:rPr>
              <w:t>a HCH</w:t>
            </w:r>
            <w:r w:rsidRPr="00AD76F2">
              <w:rPr>
                <w:rFonts w:eastAsia="Muli" w:cs="Muli"/>
                <w:color w:val="000000" w:themeColor="text1"/>
                <w:sz w:val="18"/>
                <w:szCs w:val="18"/>
              </w:rPr>
              <w:t>.</w:t>
            </w:r>
          </w:p>
          <w:p w14:paraId="1C18C9B3" w14:textId="10F7F09E" w:rsidR="00B401A0" w:rsidRPr="00AD76F2" w:rsidRDefault="00AD76F2" w:rsidP="00AD76F2">
            <w:pPr>
              <w:spacing w:after="120"/>
              <w:rPr>
                <w:rFonts w:eastAsia="Muli" w:cs="Muli"/>
                <w:color w:val="000000" w:themeColor="text1"/>
                <w:sz w:val="18"/>
                <w:szCs w:val="18"/>
              </w:rPr>
            </w:pPr>
            <w:r w:rsidRPr="00AD76F2">
              <w:rPr>
                <w:rFonts w:eastAsia="Muli" w:cs="Muli"/>
                <w:color w:val="000000" w:themeColor="text1"/>
                <w:sz w:val="18"/>
                <w:szCs w:val="18"/>
              </w:rPr>
              <w:t xml:space="preserve">Some practices </w:t>
            </w:r>
            <w:r w:rsidR="00B401A0">
              <w:rPr>
                <w:rFonts w:eastAsia="Muli" w:cs="Muli"/>
                <w:color w:val="000000" w:themeColor="text1"/>
                <w:sz w:val="18"/>
                <w:szCs w:val="18"/>
              </w:rPr>
              <w:t>faced challenges launching HCH within the practice</w:t>
            </w:r>
            <w:r w:rsidRPr="00AD76F2">
              <w:rPr>
                <w:rFonts w:eastAsia="Muli" w:cs="Muli"/>
                <w:color w:val="000000" w:themeColor="text1"/>
                <w:sz w:val="18"/>
                <w:szCs w:val="18"/>
              </w:rPr>
              <w:t xml:space="preserve"> because they had not achieved buy-in and engagement from key staff in the practice</w:t>
            </w:r>
            <w:r w:rsidR="006119BD">
              <w:rPr>
                <w:rFonts w:eastAsia="Muli" w:cs="Muli"/>
                <w:color w:val="000000" w:themeColor="text1"/>
                <w:sz w:val="18"/>
                <w:szCs w:val="18"/>
              </w:rPr>
              <w:t>, particularly GPs,</w:t>
            </w:r>
            <w:r w:rsidRPr="00AD76F2">
              <w:rPr>
                <w:rFonts w:eastAsia="Muli" w:cs="Muli"/>
                <w:color w:val="000000" w:themeColor="text1"/>
                <w:sz w:val="18"/>
                <w:szCs w:val="18"/>
              </w:rPr>
              <w:t xml:space="preserve"> before applying to participate the trial.</w:t>
            </w:r>
          </w:p>
          <w:p w14:paraId="42FF906D" w14:textId="0B35E349" w:rsidR="00AD76F2" w:rsidRPr="00AD76F2" w:rsidRDefault="00AD76F2" w:rsidP="00AD76F2">
            <w:pPr>
              <w:spacing w:after="120"/>
              <w:rPr>
                <w:rFonts w:eastAsia="Muli" w:cs="Muli"/>
                <w:color w:val="000000" w:themeColor="text1"/>
                <w:sz w:val="18"/>
                <w:szCs w:val="18"/>
              </w:rPr>
            </w:pPr>
            <w:r w:rsidRPr="00AD76F2">
              <w:rPr>
                <w:rFonts w:eastAsia="Muli" w:cs="Muli"/>
                <w:color w:val="000000" w:themeColor="text1"/>
                <w:sz w:val="18"/>
                <w:szCs w:val="18"/>
              </w:rPr>
              <w:t>Practices felt that it was challenging to set up for HCH alongside their usually busy workloads. Set up included completing the modules, designing the model that the practice would adopt, installing IT, and preparing for enrolment. Practices need</w:t>
            </w:r>
            <w:r w:rsidR="006119BD">
              <w:rPr>
                <w:rFonts w:eastAsia="Muli" w:cs="Muli"/>
                <w:color w:val="000000" w:themeColor="text1"/>
                <w:sz w:val="18"/>
                <w:szCs w:val="18"/>
              </w:rPr>
              <w:t>ed</w:t>
            </w:r>
            <w:r w:rsidRPr="00AD76F2">
              <w:rPr>
                <w:rFonts w:eastAsia="Muli" w:cs="Muli"/>
                <w:color w:val="000000" w:themeColor="text1"/>
                <w:sz w:val="18"/>
                <w:szCs w:val="18"/>
              </w:rPr>
              <w:t xml:space="preserve"> time to prepare for</w:t>
            </w:r>
            <w:r w:rsidR="006119BD">
              <w:rPr>
                <w:rFonts w:eastAsia="Muli" w:cs="Muli"/>
                <w:color w:val="000000" w:themeColor="text1"/>
                <w:sz w:val="18"/>
                <w:szCs w:val="18"/>
              </w:rPr>
              <w:t xml:space="preserve"> this</w:t>
            </w:r>
            <w:r w:rsidRPr="00AD76F2">
              <w:rPr>
                <w:rFonts w:eastAsia="Muli" w:cs="Muli"/>
                <w:color w:val="000000" w:themeColor="text1"/>
                <w:sz w:val="18"/>
                <w:szCs w:val="18"/>
              </w:rPr>
              <w:t xml:space="preserve"> large-scale change.</w:t>
            </w:r>
          </w:p>
          <w:p w14:paraId="3FDAD4FC" w14:textId="77777777" w:rsidR="008D7B23" w:rsidRDefault="00AD76F2" w:rsidP="00AD76F2">
            <w:pPr>
              <w:spacing w:after="120"/>
              <w:rPr>
                <w:rFonts w:eastAsia="Muli" w:cs="Muli"/>
                <w:color w:val="000000" w:themeColor="text1"/>
                <w:sz w:val="18"/>
                <w:szCs w:val="18"/>
              </w:rPr>
            </w:pPr>
            <w:r w:rsidRPr="00AD76F2">
              <w:rPr>
                <w:rFonts w:eastAsia="Muli" w:cs="Muli"/>
                <w:color w:val="000000" w:themeColor="text1"/>
                <w:sz w:val="18"/>
                <w:szCs w:val="18"/>
              </w:rPr>
              <w:t>Many practices reported “teething issues” with IT, which were largely resolved as the trial progressed. However, IT issues persisted for many practices in rural and remote locations</w:t>
            </w:r>
            <w:r w:rsidR="00971774" w:rsidRPr="00133652">
              <w:rPr>
                <w:rFonts w:eastAsia="Muli" w:cs="Muli"/>
                <w:color w:val="000000" w:themeColor="text1"/>
                <w:sz w:val="18"/>
                <w:szCs w:val="18"/>
              </w:rPr>
              <w:t xml:space="preserve">. </w:t>
            </w:r>
          </w:p>
          <w:p w14:paraId="0BE5D260" w14:textId="2ED69057" w:rsidR="006E10E0" w:rsidRPr="00133652" w:rsidRDefault="006E10E0" w:rsidP="00AD76F2">
            <w:pPr>
              <w:spacing w:after="120"/>
              <w:rPr>
                <w:rFonts w:eastAsia="Muli" w:cs="Muli"/>
                <w:color w:val="000000" w:themeColor="text1"/>
                <w:sz w:val="18"/>
                <w:szCs w:val="18"/>
              </w:rPr>
            </w:pPr>
            <w:r>
              <w:rPr>
                <w:rFonts w:eastAsia="Muli" w:cs="Muli"/>
                <w:color w:val="000000" w:themeColor="text1"/>
                <w:sz w:val="18"/>
                <w:szCs w:val="18"/>
              </w:rPr>
              <w:t xml:space="preserve">A key lesson </w:t>
            </w:r>
            <w:r w:rsidR="002D030C">
              <w:rPr>
                <w:rFonts w:eastAsia="Muli" w:cs="Muli"/>
                <w:color w:val="000000" w:themeColor="text1"/>
                <w:sz w:val="18"/>
                <w:szCs w:val="18"/>
              </w:rPr>
              <w:t>from the HCH</w:t>
            </w:r>
            <w:r w:rsidR="006119BD">
              <w:rPr>
                <w:rFonts w:eastAsia="Muli" w:cs="Muli"/>
                <w:color w:val="000000" w:themeColor="text1"/>
                <w:sz w:val="18"/>
                <w:szCs w:val="18"/>
              </w:rPr>
              <w:t xml:space="preserve"> </w:t>
            </w:r>
            <w:r w:rsidR="002D030C">
              <w:rPr>
                <w:rFonts w:eastAsia="Muli" w:cs="Muli"/>
                <w:color w:val="000000" w:themeColor="text1"/>
                <w:sz w:val="18"/>
                <w:szCs w:val="18"/>
              </w:rPr>
              <w:t>trial is that f</w:t>
            </w:r>
            <w:r w:rsidRPr="006E10E0">
              <w:rPr>
                <w:rFonts w:eastAsia="Muli" w:cs="Muli"/>
                <w:color w:val="000000" w:themeColor="text1"/>
                <w:sz w:val="18"/>
                <w:szCs w:val="18"/>
              </w:rPr>
              <w:t>or complex programs or innovations such as HCH, allow adequate time for implementation, including time for practices to prepare for change before going live with the initiative. Appropriate resourcing and support should be available during this preparatory period.</w:t>
            </w:r>
            <w:r w:rsidR="00EE4F95">
              <w:rPr>
                <w:rFonts w:eastAsia="Muli" w:cs="Muli"/>
                <w:color w:val="000000" w:themeColor="text1"/>
                <w:sz w:val="18"/>
                <w:szCs w:val="18"/>
              </w:rPr>
              <w:t xml:space="preserve"> </w:t>
            </w:r>
            <w:r w:rsidR="004C315B" w:rsidRPr="00EE56A9">
              <w:rPr>
                <w:rFonts w:eastAsia="Muli" w:cs="Muli"/>
                <w:color w:val="000000" w:themeColor="text1"/>
                <w:sz w:val="18"/>
                <w:szCs w:val="18"/>
              </w:rPr>
              <w:t xml:space="preserve">Chapter </w:t>
            </w:r>
            <w:r w:rsidR="004C315B">
              <w:rPr>
                <w:rFonts w:eastAsia="Muli" w:cs="Muli"/>
                <w:color w:val="000000" w:themeColor="text1"/>
                <w:sz w:val="18"/>
                <w:szCs w:val="18"/>
              </w:rPr>
              <w:fldChar w:fldCharType="begin"/>
            </w:r>
            <w:r w:rsidR="004C315B">
              <w:rPr>
                <w:rFonts w:eastAsia="Muli" w:cs="Muli"/>
                <w:color w:val="000000" w:themeColor="text1"/>
                <w:sz w:val="18"/>
                <w:szCs w:val="18"/>
              </w:rPr>
              <w:instrText xml:space="preserve"> REF _Ref99902892 \r \h </w:instrText>
            </w:r>
            <w:r w:rsidR="004C315B">
              <w:rPr>
                <w:rFonts w:eastAsia="Muli" w:cs="Muli"/>
                <w:color w:val="000000" w:themeColor="text1"/>
                <w:sz w:val="18"/>
                <w:szCs w:val="18"/>
              </w:rPr>
            </w:r>
            <w:r w:rsidR="004C315B">
              <w:rPr>
                <w:rFonts w:eastAsia="Muli" w:cs="Muli"/>
                <w:color w:val="000000" w:themeColor="text1"/>
                <w:sz w:val="18"/>
                <w:szCs w:val="18"/>
              </w:rPr>
              <w:fldChar w:fldCharType="separate"/>
            </w:r>
            <w:r w:rsidR="003C4BC2">
              <w:rPr>
                <w:rFonts w:eastAsia="Muli" w:cs="Muli"/>
                <w:color w:val="000000" w:themeColor="text1"/>
                <w:sz w:val="18"/>
                <w:szCs w:val="18"/>
              </w:rPr>
              <w:t>26</w:t>
            </w:r>
            <w:r w:rsidR="004C315B">
              <w:rPr>
                <w:rFonts w:eastAsia="Muli" w:cs="Muli"/>
                <w:color w:val="000000" w:themeColor="text1"/>
                <w:sz w:val="18"/>
                <w:szCs w:val="18"/>
              </w:rPr>
              <w:fldChar w:fldCharType="end"/>
            </w:r>
            <w:r w:rsidR="004C315B" w:rsidRPr="00EE56A9">
              <w:rPr>
                <w:rFonts w:eastAsia="Muli" w:cs="Muli"/>
                <w:color w:val="000000" w:themeColor="text1"/>
                <w:sz w:val="18"/>
                <w:szCs w:val="18"/>
              </w:rPr>
              <w:t xml:space="preserve"> (p. </w:t>
            </w:r>
            <w:r w:rsidR="004C315B" w:rsidRPr="00EE56A9">
              <w:rPr>
                <w:rFonts w:eastAsia="Muli" w:cs="Muli"/>
                <w:color w:val="000000" w:themeColor="text1"/>
                <w:sz w:val="18"/>
                <w:szCs w:val="18"/>
              </w:rPr>
              <w:fldChar w:fldCharType="begin"/>
            </w:r>
            <w:r w:rsidR="004C315B" w:rsidRPr="00EE56A9">
              <w:rPr>
                <w:rFonts w:eastAsia="Muli" w:cs="Muli"/>
                <w:color w:val="000000" w:themeColor="text1"/>
                <w:sz w:val="18"/>
                <w:szCs w:val="18"/>
              </w:rPr>
              <w:instrText xml:space="preserve"> PAGEREF _Ref103681470 \h </w:instrText>
            </w:r>
            <w:r w:rsidR="004C315B" w:rsidRPr="00EE56A9">
              <w:rPr>
                <w:rFonts w:eastAsia="Muli" w:cs="Muli"/>
                <w:color w:val="000000" w:themeColor="text1"/>
                <w:sz w:val="18"/>
                <w:szCs w:val="18"/>
              </w:rPr>
            </w:r>
            <w:r w:rsidR="004C315B" w:rsidRPr="00EE56A9">
              <w:rPr>
                <w:rFonts w:eastAsia="Muli" w:cs="Muli"/>
                <w:color w:val="000000" w:themeColor="text1"/>
                <w:sz w:val="18"/>
                <w:szCs w:val="18"/>
              </w:rPr>
              <w:fldChar w:fldCharType="separate"/>
            </w:r>
            <w:r w:rsidR="003C4BC2">
              <w:rPr>
                <w:rFonts w:eastAsia="Muli" w:cs="Muli"/>
                <w:noProof/>
                <w:color w:val="000000" w:themeColor="text1"/>
                <w:sz w:val="18"/>
                <w:szCs w:val="18"/>
              </w:rPr>
              <w:t>341</w:t>
            </w:r>
            <w:r w:rsidR="004C315B" w:rsidRPr="00EE56A9">
              <w:rPr>
                <w:rFonts w:eastAsia="Muli" w:cs="Muli"/>
                <w:color w:val="000000" w:themeColor="text1"/>
                <w:sz w:val="18"/>
                <w:szCs w:val="18"/>
              </w:rPr>
              <w:fldChar w:fldCharType="end"/>
            </w:r>
            <w:r w:rsidR="004C315B" w:rsidRPr="00EE56A9">
              <w:rPr>
                <w:rFonts w:eastAsia="Muli" w:cs="Muli"/>
                <w:color w:val="000000" w:themeColor="text1"/>
                <w:sz w:val="18"/>
                <w:szCs w:val="18"/>
              </w:rPr>
              <w:t>)</w:t>
            </w:r>
            <w:r w:rsidR="004C315B">
              <w:rPr>
                <w:rFonts w:eastAsia="Muli" w:cs="Muli"/>
                <w:color w:val="000000" w:themeColor="text1"/>
                <w:sz w:val="18"/>
                <w:szCs w:val="18"/>
              </w:rPr>
              <w:t xml:space="preserve"> outlines </w:t>
            </w:r>
            <w:r w:rsidR="00EE10CD">
              <w:rPr>
                <w:rFonts w:eastAsia="Muli" w:cs="Muli"/>
                <w:color w:val="000000" w:themeColor="text1"/>
                <w:sz w:val="18"/>
                <w:szCs w:val="18"/>
              </w:rPr>
              <w:t xml:space="preserve">key </w:t>
            </w:r>
            <w:r w:rsidR="006119BD">
              <w:rPr>
                <w:rFonts w:eastAsia="Muli" w:cs="Muli"/>
                <w:color w:val="000000" w:themeColor="text1"/>
                <w:sz w:val="18"/>
                <w:szCs w:val="18"/>
              </w:rPr>
              <w:t>lessons from the HCH trial for implementing large-scale primary health reform initiatives.</w:t>
            </w:r>
            <w:r w:rsidR="00EF47E6">
              <w:rPr>
                <w:rFonts w:eastAsia="Muli" w:cs="Muli"/>
                <w:color w:val="000000" w:themeColor="text1"/>
                <w:sz w:val="18"/>
                <w:szCs w:val="18"/>
              </w:rPr>
              <w:t xml:space="preserve"> </w:t>
            </w:r>
          </w:p>
        </w:tc>
      </w:tr>
    </w:tbl>
    <w:p w14:paraId="7CFD0B03" w14:textId="77777777" w:rsidR="00E8389A" w:rsidRDefault="00E8389A" w:rsidP="00E8389A">
      <w:pPr>
        <w:spacing w:after="0"/>
      </w:pPr>
    </w:p>
    <w:p w14:paraId="09327216" w14:textId="09837EDC" w:rsidR="007F5DC4" w:rsidRDefault="007F5DC4" w:rsidP="007F5DC4">
      <w:pPr>
        <w:pStyle w:val="Heading2"/>
      </w:pPr>
      <w:bookmarkStart w:id="161" w:name="_Toc109996677"/>
      <w:r>
        <w:t>Program timeframes</w:t>
      </w:r>
      <w:bookmarkEnd w:id="161"/>
    </w:p>
    <w:p w14:paraId="78D3893E" w14:textId="5D3C9296" w:rsidR="00F930BB" w:rsidRDefault="00E8389A" w:rsidP="005D69B9">
      <w:pPr>
        <w:rPr>
          <w:lang w:val="en-GB"/>
        </w:rPr>
      </w:pPr>
      <w:r>
        <w:t>In May 2017, the Department</w:t>
      </w:r>
      <w:r w:rsidR="00306FF6">
        <w:t xml:space="preserve"> of Health</w:t>
      </w:r>
      <w:r>
        <w:t xml:space="preserve"> notified the practices that had been successful in their applications for HCH. Select</w:t>
      </w:r>
      <w:r w:rsidR="00C84E79">
        <w:t>ed</w:t>
      </w:r>
      <w:r>
        <w:t xml:space="preserve"> HCH practices </w:t>
      </w:r>
      <w:r w:rsidR="00F37C32">
        <w:t xml:space="preserve">were to </w:t>
      </w:r>
      <w:r>
        <w:t>begin enrolling</w:t>
      </w:r>
      <w:r w:rsidR="00C84E79">
        <w:t xml:space="preserve"> patients</w:t>
      </w:r>
      <w:r>
        <w:t xml:space="preserve"> from October 2017 and </w:t>
      </w:r>
      <w:r w:rsidR="00C84E79">
        <w:t xml:space="preserve">the remainder would do so </w:t>
      </w:r>
      <w:r>
        <w:t xml:space="preserve">from December 2017. </w:t>
      </w:r>
      <w:r w:rsidR="00937112">
        <w:t>B</w:t>
      </w:r>
      <w:r>
        <w:t xml:space="preserve">efore </w:t>
      </w:r>
      <w:r w:rsidR="00C84E79">
        <w:t>practices could enrol patients</w:t>
      </w:r>
      <w:r>
        <w:t xml:space="preserve">, </w:t>
      </w:r>
      <w:r w:rsidR="00F926B6">
        <w:t xml:space="preserve">the </w:t>
      </w:r>
      <w:r w:rsidR="00306FF6">
        <w:t xml:space="preserve">Department had to execute </w:t>
      </w:r>
      <w:r w:rsidR="00CC48BE">
        <w:t xml:space="preserve">the </w:t>
      </w:r>
      <w:r w:rsidR="00E66442">
        <w:t xml:space="preserve">agreements with </w:t>
      </w:r>
      <w:r w:rsidR="00CC48BE">
        <w:t xml:space="preserve">the </w:t>
      </w:r>
      <w:r w:rsidR="00E66442">
        <w:t>practices</w:t>
      </w:r>
      <w:r w:rsidR="00CC48BE">
        <w:t xml:space="preserve"> and finalise aspects of the program, including </w:t>
      </w:r>
      <w:r w:rsidR="000E7140">
        <w:t xml:space="preserve">the risk stratification </w:t>
      </w:r>
      <w:r w:rsidR="00027212">
        <w:t>software and</w:t>
      </w:r>
      <w:r w:rsidR="000E7140">
        <w:t xml:space="preserve"> training modules</w:t>
      </w:r>
      <w:r w:rsidR="00553468">
        <w:t xml:space="preserve">. The PHNs also had to recruit practice facilitators and </w:t>
      </w:r>
      <w:r w:rsidR="00DD0BD5">
        <w:t>the facilitators needed to be trained before they could help practices with setting up as a HCH.</w:t>
      </w:r>
      <w:r w:rsidR="00A83BC3">
        <w:t xml:space="preserve"> Therefore, there was very little time available to </w:t>
      </w:r>
      <w:r w:rsidR="005A5BC4">
        <w:t>finalise elements of the program before the sta</w:t>
      </w:r>
      <w:r w:rsidR="00C1798E">
        <w:t>rt date for enrolment</w:t>
      </w:r>
      <w:r w:rsidR="00A83BC3">
        <w:t>.</w:t>
      </w:r>
      <w:r w:rsidR="00C1798E">
        <w:t xml:space="preserve"> </w:t>
      </w:r>
      <w:r w:rsidR="00624351">
        <w:rPr>
          <w:lang w:val="en-GB"/>
        </w:rPr>
        <w:t>P</w:t>
      </w:r>
      <w:r w:rsidR="00E568F3">
        <w:rPr>
          <w:lang w:val="en-GB"/>
        </w:rPr>
        <w:t xml:space="preserve">ractices </w:t>
      </w:r>
      <w:r w:rsidR="00624351">
        <w:rPr>
          <w:lang w:val="en-GB"/>
        </w:rPr>
        <w:t xml:space="preserve">also </w:t>
      </w:r>
      <w:r w:rsidR="00E568F3">
        <w:rPr>
          <w:lang w:val="en-GB"/>
        </w:rPr>
        <w:t>had very little time</w:t>
      </w:r>
      <w:r w:rsidR="00F930BB">
        <w:rPr>
          <w:lang w:val="en-GB"/>
        </w:rPr>
        <w:t xml:space="preserve"> to prepare </w:t>
      </w:r>
      <w:r w:rsidR="00C1798E">
        <w:rPr>
          <w:lang w:val="en-GB"/>
        </w:rPr>
        <w:t>internally</w:t>
      </w:r>
      <w:r w:rsidR="00F930BB">
        <w:rPr>
          <w:lang w:val="en-GB"/>
        </w:rPr>
        <w:t xml:space="preserve"> before </w:t>
      </w:r>
      <w:r w:rsidR="00646DDE">
        <w:rPr>
          <w:lang w:val="en-GB"/>
        </w:rPr>
        <w:t>the patient enrolment window opened</w:t>
      </w:r>
      <w:r w:rsidR="00D64232">
        <w:rPr>
          <w:lang w:val="en-GB"/>
        </w:rPr>
        <w:t xml:space="preserve">. During this time </w:t>
      </w:r>
      <w:r w:rsidR="00EF6C41">
        <w:rPr>
          <w:lang w:val="en-GB"/>
        </w:rPr>
        <w:t>they had to engage GPs and other staff in the practice</w:t>
      </w:r>
      <w:r w:rsidR="00560C6E">
        <w:rPr>
          <w:lang w:val="en-GB"/>
        </w:rPr>
        <w:t xml:space="preserve">, </w:t>
      </w:r>
      <w:r w:rsidR="00C1798E">
        <w:rPr>
          <w:lang w:val="en-GB"/>
        </w:rPr>
        <w:t xml:space="preserve">allocate </w:t>
      </w:r>
      <w:r w:rsidR="004B54EB">
        <w:rPr>
          <w:lang w:val="en-GB"/>
        </w:rPr>
        <w:t>time</w:t>
      </w:r>
      <w:r w:rsidR="00C1798E">
        <w:rPr>
          <w:lang w:val="en-GB"/>
        </w:rPr>
        <w:t xml:space="preserve"> for staff</w:t>
      </w:r>
      <w:r w:rsidR="004B54EB">
        <w:rPr>
          <w:lang w:val="en-GB"/>
        </w:rPr>
        <w:t xml:space="preserve"> to train</w:t>
      </w:r>
      <w:r w:rsidR="00C93912">
        <w:rPr>
          <w:lang w:val="en-GB"/>
        </w:rPr>
        <w:t xml:space="preserve"> and </w:t>
      </w:r>
      <w:r w:rsidR="00EF6C41">
        <w:rPr>
          <w:lang w:val="en-GB"/>
        </w:rPr>
        <w:t>design their model</w:t>
      </w:r>
      <w:r w:rsidR="00560C6E">
        <w:rPr>
          <w:lang w:val="en-GB"/>
        </w:rPr>
        <w:t xml:space="preserve"> </w:t>
      </w:r>
      <w:r w:rsidR="00C93912">
        <w:rPr>
          <w:lang w:val="en-GB"/>
        </w:rPr>
        <w:t>while still managing their usual workload</w:t>
      </w:r>
      <w:r w:rsidR="00624351">
        <w:rPr>
          <w:lang w:val="en-GB"/>
        </w:rPr>
        <w:t>:</w:t>
      </w:r>
      <w:r w:rsidR="00C93912">
        <w:rPr>
          <w:lang w:val="en-GB"/>
        </w:rPr>
        <w:t xml:space="preserve"> </w:t>
      </w:r>
    </w:p>
    <w:p w14:paraId="0CC89DF2" w14:textId="0A08C4FB" w:rsidR="005D69B9" w:rsidRDefault="0087126D" w:rsidP="005D69B9">
      <w:pPr>
        <w:ind w:left="567" w:right="521"/>
        <w:rPr>
          <w:szCs w:val="20"/>
        </w:rPr>
      </w:pPr>
      <w:r>
        <w:rPr>
          <w:i/>
          <w:szCs w:val="20"/>
        </w:rPr>
        <w:lastRenderedPageBreak/>
        <w:t>“</w:t>
      </w:r>
      <w:r w:rsidR="005D69B9" w:rsidRPr="008760C3">
        <w:rPr>
          <w:i/>
          <w:szCs w:val="20"/>
        </w:rPr>
        <w:t xml:space="preserve">I don’t think </w:t>
      </w:r>
      <w:r w:rsidR="005D69B9" w:rsidRPr="00587508">
        <w:rPr>
          <w:i/>
          <w:iCs/>
          <w:szCs w:val="20"/>
        </w:rPr>
        <w:t>practices</w:t>
      </w:r>
      <w:r w:rsidR="005D69B9" w:rsidRPr="008760C3">
        <w:rPr>
          <w:i/>
          <w:szCs w:val="20"/>
        </w:rPr>
        <w:t xml:space="preserve"> have that </w:t>
      </w:r>
      <w:r w:rsidR="005D69B9" w:rsidRPr="005D69B9">
        <w:rPr>
          <w:rFonts w:eastAsia="Times New Roman" w:cs="Arial"/>
          <w:i/>
          <w:iCs/>
          <w:szCs w:val="20"/>
          <w:lang w:val="en-US"/>
        </w:rPr>
        <w:t>long</w:t>
      </w:r>
      <w:r w:rsidR="005D69B9" w:rsidRPr="008760C3">
        <w:rPr>
          <w:i/>
          <w:szCs w:val="20"/>
        </w:rPr>
        <w:t xml:space="preserve"> lead time, and that’s the issue that you</w:t>
      </w:r>
      <w:r>
        <w:rPr>
          <w:i/>
          <w:szCs w:val="20"/>
        </w:rPr>
        <w:t>’</w:t>
      </w:r>
      <w:r w:rsidR="005D69B9" w:rsidRPr="008760C3">
        <w:rPr>
          <w:i/>
          <w:szCs w:val="20"/>
        </w:rPr>
        <w:t>ve got to be given time for this change to occur. It’s a fundamental change.”</w:t>
      </w:r>
      <w:r w:rsidR="005D69B9" w:rsidRPr="008760C3">
        <w:rPr>
          <w:szCs w:val="20"/>
        </w:rPr>
        <w:t xml:space="preserve"> [Practice owner, Practice 9</w:t>
      </w:r>
      <w:r w:rsidR="005D69B9">
        <w:rPr>
          <w:szCs w:val="20"/>
        </w:rPr>
        <w:t>, R2]</w:t>
      </w:r>
    </w:p>
    <w:p w14:paraId="381769E0" w14:textId="331AF443" w:rsidR="00DB346F" w:rsidRDefault="003A2420" w:rsidP="00CB5BA8">
      <w:pPr>
        <w:rPr>
          <w:lang w:val="en-GB"/>
        </w:rPr>
      </w:pPr>
      <w:r>
        <w:rPr>
          <w:lang w:val="en-GB"/>
        </w:rPr>
        <w:t xml:space="preserve">The enrolment start date also coincided with </w:t>
      </w:r>
      <w:r w:rsidR="00343DB1">
        <w:rPr>
          <w:lang w:val="en-GB"/>
        </w:rPr>
        <w:t>end-of-year staff leave</w:t>
      </w:r>
      <w:r w:rsidR="00CB5BA8">
        <w:rPr>
          <w:lang w:val="en-GB"/>
        </w:rPr>
        <w:t xml:space="preserve">. </w:t>
      </w:r>
      <w:r w:rsidR="00EC6B28" w:rsidRPr="003A2420">
        <w:rPr>
          <w:lang w:val="en-GB"/>
        </w:rPr>
        <w:t xml:space="preserve">With February and March </w:t>
      </w:r>
      <w:r w:rsidR="000E6E7C" w:rsidRPr="003A2420">
        <w:rPr>
          <w:lang w:val="en-GB"/>
        </w:rPr>
        <w:t xml:space="preserve">being the busiest </w:t>
      </w:r>
      <w:r w:rsidR="00CB5BA8">
        <w:rPr>
          <w:lang w:val="en-GB"/>
        </w:rPr>
        <w:t>months</w:t>
      </w:r>
      <w:r w:rsidR="000E6E7C" w:rsidRPr="003A2420">
        <w:rPr>
          <w:lang w:val="en-GB"/>
        </w:rPr>
        <w:t xml:space="preserve"> for practices due to the start of the school year, practices could not significantly progress enrolments until </w:t>
      </w:r>
      <w:r w:rsidR="003F3674" w:rsidRPr="003A2420">
        <w:rPr>
          <w:lang w:val="en-GB"/>
        </w:rPr>
        <w:t>April 2018.</w:t>
      </w:r>
    </w:p>
    <w:p w14:paraId="24CF0209" w14:textId="3A69C478" w:rsidR="00833F23" w:rsidRDefault="00833F23" w:rsidP="00833F23">
      <w:r>
        <w:t>The timeframes for implementing HCH needed to both recognise the complexity of the model as well as the context, which is that general practices are busy places</w:t>
      </w:r>
      <w:r w:rsidR="00E82F52">
        <w:t>:</w:t>
      </w:r>
    </w:p>
    <w:p w14:paraId="348DC9BE" w14:textId="77777777" w:rsidR="00833F23" w:rsidRDefault="00833F23" w:rsidP="00833F23">
      <w:pPr>
        <w:ind w:left="567" w:right="521"/>
      </w:pPr>
      <w:r w:rsidRPr="009D5404">
        <w:rPr>
          <w:i/>
          <w:iCs/>
        </w:rPr>
        <w:t>“The program has been quite difficult. There's been dramatic amount of change in a short period of time</w:t>
      </w:r>
      <w:r>
        <w:rPr>
          <w:i/>
          <w:iCs/>
        </w:rPr>
        <w:t>,</w:t>
      </w:r>
      <w:r w:rsidRPr="009D5404">
        <w:rPr>
          <w:i/>
          <w:iCs/>
        </w:rPr>
        <w:t xml:space="preserve"> and I can tell you now where practices are at. They're at change fatigue stages…”</w:t>
      </w:r>
      <w:r w:rsidRPr="009D5404">
        <w:t xml:space="preserve"> [PHN 5, </w:t>
      </w:r>
      <w:r>
        <w:t xml:space="preserve">Interview, </w:t>
      </w:r>
      <w:r w:rsidRPr="009D5404">
        <w:t>R2]</w:t>
      </w:r>
    </w:p>
    <w:p w14:paraId="090A2D5B" w14:textId="478ED8CF" w:rsidR="005D69B9" w:rsidRDefault="005D69B9" w:rsidP="005D69B9">
      <w:pPr>
        <w:rPr>
          <w:lang w:val="en-GB"/>
        </w:rPr>
      </w:pPr>
      <w:r>
        <w:rPr>
          <w:lang w:val="en-GB"/>
        </w:rPr>
        <w:t xml:space="preserve">Practices and PHNs recommended </w:t>
      </w:r>
      <w:r w:rsidR="00BC7E66">
        <w:rPr>
          <w:lang w:val="en-GB"/>
        </w:rPr>
        <w:t>allocating more time</w:t>
      </w:r>
      <w:r w:rsidR="003F45C1">
        <w:rPr>
          <w:lang w:val="en-GB"/>
        </w:rPr>
        <w:t xml:space="preserve"> to getting ready</w:t>
      </w:r>
      <w:r w:rsidR="005503E1">
        <w:rPr>
          <w:lang w:val="en-GB"/>
        </w:rPr>
        <w:t xml:space="preserve"> before enrolling patients and</w:t>
      </w:r>
      <w:r w:rsidR="00DA2E1C">
        <w:rPr>
          <w:lang w:val="en-GB"/>
        </w:rPr>
        <w:t xml:space="preserve"> to the program overall</w:t>
      </w:r>
      <w:r w:rsidR="00AC3A0D">
        <w:rPr>
          <w:lang w:val="en-GB"/>
        </w:rPr>
        <w:t>:</w:t>
      </w:r>
    </w:p>
    <w:p w14:paraId="72D02951" w14:textId="77777777" w:rsidR="00BD5F3B" w:rsidRDefault="00BD5F3B" w:rsidP="00BD5F3B">
      <w:pPr>
        <w:ind w:left="567" w:right="521"/>
      </w:pPr>
      <w:r w:rsidRPr="00EA039B">
        <w:rPr>
          <w:i/>
          <w:iCs/>
        </w:rPr>
        <w:t>“Well, going back three years, when we started, it was a quick turnaround. I was thinking, we do programs for three years, give them three years of planning within the practice, one year, second year recruiting, third year actually implementing. Give them time. Because a lot of our programs run for the three years, and we get them involved, we set it up.”</w:t>
      </w:r>
      <w:r>
        <w:t xml:space="preserve"> [PHN 10, Interview, R5]</w:t>
      </w:r>
    </w:p>
    <w:p w14:paraId="0E44EE92" w14:textId="77777777" w:rsidR="005D69B9" w:rsidRDefault="005D69B9" w:rsidP="005D69B9">
      <w:pPr>
        <w:ind w:left="567" w:right="521"/>
      </w:pPr>
      <w:r w:rsidRPr="00F277C1">
        <w:rPr>
          <w:i/>
          <w:szCs w:val="20"/>
        </w:rPr>
        <w:t xml:space="preserve">“…If I was redesigning the program, I would say, give one year of investment into leadership, data, cleaning your data, some workflow issues and teamwork, before you are allowed to enrol a patient.” </w:t>
      </w:r>
      <w:r w:rsidRPr="00F277C1">
        <w:t xml:space="preserve">[GP </w:t>
      </w:r>
      <w:r w:rsidRPr="00F277C1">
        <w:rPr>
          <w:szCs w:val="20"/>
        </w:rPr>
        <w:t>and</w:t>
      </w:r>
      <w:r w:rsidRPr="00F277C1">
        <w:t xml:space="preserve"> practice manager, Practice 5, R2]</w:t>
      </w:r>
      <w:r>
        <w:t>.</w:t>
      </w:r>
    </w:p>
    <w:p w14:paraId="05811130" w14:textId="77777777" w:rsidR="005D69B9" w:rsidRDefault="005D69B9" w:rsidP="005D69B9">
      <w:pPr>
        <w:ind w:left="567" w:right="521"/>
      </w:pPr>
      <w:r w:rsidRPr="003E5064">
        <w:rPr>
          <w:i/>
          <w:iCs/>
        </w:rPr>
        <w:t xml:space="preserve">“…give us another few years…We’re getting there with a lot, absolutely. A few are really running with it now and we can see that engagement within the team, quality improvement activities happening, they’re really running with it, and they’re excited about change. COVID didn’t upset them because it’s something they embraced. So, give us another three years.” </w:t>
      </w:r>
      <w:r>
        <w:t>[PHN 2, Interview, R5]</w:t>
      </w:r>
    </w:p>
    <w:p w14:paraId="6141A585" w14:textId="77777777" w:rsidR="005D69B9" w:rsidRDefault="005D69B9" w:rsidP="005D69B9">
      <w:pPr>
        <w:ind w:left="567" w:right="521"/>
      </w:pPr>
      <w:r>
        <w:rPr>
          <w:i/>
          <w:iCs/>
        </w:rPr>
        <w:t>“</w:t>
      </w:r>
      <w:r w:rsidRPr="00F6055A">
        <w:rPr>
          <w:i/>
          <w:iCs/>
        </w:rPr>
        <w:t>Yes, time…that would be the main thing because as you can appreciate, if you’re dealing with a new thing what you need is time, and that’s the thing you don’t have a lot of. One of the things I’d keep going forward…is a certain amount of team time that involves just planning Health Care Homes. And the funding is only for that and can’t be used for something else. I think that’s one of the things our practice really needs.”</w:t>
      </w:r>
      <w:r>
        <w:t xml:space="preserve"> [Nurse, Practice 9, R5]</w:t>
      </w:r>
    </w:p>
    <w:p w14:paraId="76C06007" w14:textId="44C70363" w:rsidR="00127F5C" w:rsidRDefault="00620DA8" w:rsidP="008F4331">
      <w:pPr>
        <w:pStyle w:val="Heading2"/>
      </w:pPr>
      <w:bookmarkStart w:id="162" w:name="_Toc109996678"/>
      <w:r>
        <w:t>P</w:t>
      </w:r>
      <w:r w:rsidR="00127F5C">
        <w:t>ractice understanding</w:t>
      </w:r>
      <w:r>
        <w:t xml:space="preserve"> of HCH</w:t>
      </w:r>
      <w:bookmarkEnd w:id="162"/>
      <w:r w:rsidR="00A561EE">
        <w:t xml:space="preserve"> </w:t>
      </w:r>
    </w:p>
    <w:p w14:paraId="72B1C069" w14:textId="3E2CED52" w:rsidR="00127F5C" w:rsidRPr="003C0820" w:rsidRDefault="009C097B" w:rsidP="00000924">
      <w:pPr>
        <w:rPr>
          <w:iCs/>
        </w:rPr>
      </w:pPr>
      <w:r>
        <w:t>B</w:t>
      </w:r>
      <w:r w:rsidR="00127F5C">
        <w:t xml:space="preserve">oth PHNs and practices </w:t>
      </w:r>
      <w:r>
        <w:t>reported a</w:t>
      </w:r>
      <w:r w:rsidR="00127F5C">
        <w:t xml:space="preserve"> lack of understanding </w:t>
      </w:r>
      <w:r>
        <w:t>of</w:t>
      </w:r>
      <w:r w:rsidR="00127F5C">
        <w:t xml:space="preserve"> what</w:t>
      </w:r>
      <w:r w:rsidR="00B83EBF">
        <w:t xml:space="preserve"> </w:t>
      </w:r>
      <w:r w:rsidR="00127F5C">
        <w:t>was required of practices participating in HCH</w:t>
      </w:r>
      <w:r w:rsidR="00CD5CD2">
        <w:t xml:space="preserve"> before the start of the trial</w:t>
      </w:r>
      <w:r w:rsidR="00000924">
        <w:t>:</w:t>
      </w:r>
    </w:p>
    <w:p w14:paraId="282F80EB" w14:textId="77777777" w:rsidR="00127F5C" w:rsidRDefault="00127F5C" w:rsidP="00127F5C">
      <w:pPr>
        <w:ind w:left="567" w:right="521"/>
      </w:pPr>
      <w:r w:rsidRPr="00DE252F">
        <w:rPr>
          <w:i/>
          <w:iCs/>
        </w:rPr>
        <w:t xml:space="preserve">“It was very confusing, and even our [PHN] liaison wasn't sure. We were feeding back questions, and then she wasn't sure herself...And through no fault of her own too. Just, the information </w:t>
      </w:r>
      <w:r w:rsidRPr="00127F5C">
        <w:rPr>
          <w:i/>
        </w:rPr>
        <w:t>wasn’t</w:t>
      </w:r>
      <w:r w:rsidRPr="00DE252F">
        <w:rPr>
          <w:i/>
          <w:iCs/>
        </w:rPr>
        <w:t xml:space="preserve"> out there. It wasn't tried and tested…Maybe just </w:t>
      </w:r>
      <w:r w:rsidRPr="00DE252F">
        <w:rPr>
          <w:i/>
          <w:iCs/>
        </w:rPr>
        <w:lastRenderedPageBreak/>
        <w:t>really clear planning before the trial started would have been better.”</w:t>
      </w:r>
      <w:r>
        <w:t xml:space="preserve"> [Nurse, Practice 6, R2]</w:t>
      </w:r>
    </w:p>
    <w:p w14:paraId="41718C1D" w14:textId="77777777" w:rsidR="00127F5C" w:rsidRDefault="00127F5C" w:rsidP="00127F5C">
      <w:pPr>
        <w:ind w:left="567" w:right="521"/>
      </w:pPr>
      <w:r w:rsidRPr="00DE252F">
        <w:rPr>
          <w:i/>
          <w:iCs/>
        </w:rPr>
        <w:t xml:space="preserve">“It was like the business model came really late in the process. We didn’t even know what we were signing up to </w:t>
      </w:r>
      <w:r w:rsidRPr="00127F5C">
        <w:rPr>
          <w:i/>
        </w:rPr>
        <w:t>initially</w:t>
      </w:r>
      <w:r w:rsidRPr="00DE252F">
        <w:rPr>
          <w:i/>
          <w:iCs/>
        </w:rPr>
        <w:t>. It’s like, here’s an open-ended fuzzy, warm contract, and it’s not until we were in the trenches that we knew what we signed up for because they didn’t know what they were doing…”</w:t>
      </w:r>
      <w:r>
        <w:t xml:space="preserve"> [GP, Practice 7, R2]</w:t>
      </w:r>
    </w:p>
    <w:p w14:paraId="07AD465D" w14:textId="5CA587DB" w:rsidR="00127F5C" w:rsidRDefault="00753A9B" w:rsidP="00127F5C">
      <w:r>
        <w:t>PHN p</w:t>
      </w:r>
      <w:r w:rsidR="00127F5C">
        <w:t xml:space="preserve">ractice facilitators </w:t>
      </w:r>
      <w:r w:rsidR="00C60A81">
        <w:t xml:space="preserve">also </w:t>
      </w:r>
      <w:r w:rsidR="00127F5C">
        <w:t>described the level of transform</w:t>
      </w:r>
      <w:r w:rsidR="00D43845">
        <w:t xml:space="preserve">ation required of practices to become </w:t>
      </w:r>
      <w:r w:rsidR="00A03105">
        <w:t>a HCH</w:t>
      </w:r>
      <w:r w:rsidR="00127F5C">
        <w:t xml:space="preserve"> as a “</w:t>
      </w:r>
      <w:r w:rsidR="00127F5C" w:rsidRPr="004A39D7">
        <w:rPr>
          <w:i/>
          <w:iCs/>
        </w:rPr>
        <w:t>cultural change at several levels</w:t>
      </w:r>
      <w:r w:rsidR="00127F5C">
        <w:t>” [PHN 1, Interview, R1] and an “</w:t>
      </w:r>
      <w:r w:rsidR="00127F5C" w:rsidRPr="004A39D7">
        <w:rPr>
          <w:i/>
          <w:iCs/>
        </w:rPr>
        <w:t>eye opener</w:t>
      </w:r>
      <w:r w:rsidR="00127F5C">
        <w:t xml:space="preserve">” [PHN 2, interview R1]. This </w:t>
      </w:r>
      <w:r w:rsidR="00127F5C" w:rsidRPr="00061648">
        <w:rPr>
          <w:i/>
          <w:iCs/>
        </w:rPr>
        <w:t>“massive transformation change”</w:t>
      </w:r>
      <w:r w:rsidR="00127F5C">
        <w:rPr>
          <w:i/>
          <w:iCs/>
        </w:rPr>
        <w:t xml:space="preserve"> </w:t>
      </w:r>
      <w:r w:rsidR="00127F5C">
        <w:t>[PHN 1, interview, R1], was unanticipated by some practices who may not have understood or appreciated the extent of change required and thought it was simply a</w:t>
      </w:r>
      <w:r w:rsidR="0036684C">
        <w:t xml:space="preserve"> different way of paying for chronic </w:t>
      </w:r>
      <w:r w:rsidR="006F3FD0">
        <w:t>disease management</w:t>
      </w:r>
      <w:r w:rsidR="00ED15A8">
        <w:t>:</w:t>
      </w:r>
    </w:p>
    <w:p w14:paraId="1D710C05" w14:textId="77777777" w:rsidR="00127F5C" w:rsidRPr="00061648" w:rsidRDefault="00127F5C" w:rsidP="00127F5C">
      <w:pPr>
        <w:ind w:left="567" w:right="521"/>
      </w:pPr>
      <w:r w:rsidRPr="00C81318">
        <w:rPr>
          <w:i/>
        </w:rPr>
        <w:t>“</w:t>
      </w:r>
      <w:r w:rsidRPr="00C81318">
        <w:t xml:space="preserve">[The bundled payment] </w:t>
      </w:r>
      <w:r w:rsidRPr="00C81318">
        <w:rPr>
          <w:i/>
        </w:rPr>
        <w:t xml:space="preserve">was such a compelling motivator that some of the other microlevel changes that are assumed in this model didn't really seem to get a look in some of the </w:t>
      </w:r>
      <w:r w:rsidRPr="00127F5C">
        <w:rPr>
          <w:i/>
          <w:iCs/>
        </w:rPr>
        <w:t>thinking</w:t>
      </w:r>
      <w:r w:rsidRPr="00C81318">
        <w:rPr>
          <w:i/>
        </w:rPr>
        <w:t xml:space="preserve">. And because the funding issue was the big issue, I think in some ways Health Care Homes has seemed to be a back-in thing. Like, it's all about financing. And it's not about frontline practice.” </w:t>
      </w:r>
      <w:r w:rsidRPr="00C81318">
        <w:t>[PHN 8, interview, R1]</w:t>
      </w:r>
    </w:p>
    <w:p w14:paraId="1A4F9853" w14:textId="5FD7C714" w:rsidR="00127F5C" w:rsidRPr="00F93CB7" w:rsidRDefault="003C2D2E" w:rsidP="00F93CB7">
      <w:pPr>
        <w:pStyle w:val="Heading2"/>
      </w:pPr>
      <w:bookmarkStart w:id="163" w:name="_Buy-in_from_key"/>
      <w:bookmarkStart w:id="164" w:name="_Ref108453753"/>
      <w:bookmarkStart w:id="165" w:name="_Ref108453757"/>
      <w:bookmarkStart w:id="166" w:name="_Toc109996679"/>
      <w:bookmarkEnd w:id="163"/>
      <w:r>
        <w:t>B</w:t>
      </w:r>
      <w:r w:rsidR="00127F5C" w:rsidRPr="00F93CB7">
        <w:t>uy-in</w:t>
      </w:r>
      <w:r>
        <w:t xml:space="preserve"> from practice staff</w:t>
      </w:r>
      <w:bookmarkEnd w:id="164"/>
      <w:bookmarkEnd w:id="165"/>
      <w:bookmarkEnd w:id="166"/>
    </w:p>
    <w:p w14:paraId="1245A5E9" w14:textId="65AEB738" w:rsidR="005735D0" w:rsidRDefault="00127F5C" w:rsidP="00127F5C">
      <w:r>
        <w:t xml:space="preserve">Some practices </w:t>
      </w:r>
      <w:r w:rsidR="005D3DC4">
        <w:t>faced challenges launching HCH within the practice</w:t>
      </w:r>
      <w:r>
        <w:t xml:space="preserve"> because they had not achieved buy-in and engagement from key staff in the practice </w:t>
      </w:r>
      <w:r w:rsidR="00F93CB7">
        <w:t>before</w:t>
      </w:r>
      <w:r>
        <w:t xml:space="preserve"> applying </w:t>
      </w:r>
      <w:r w:rsidR="00FC788C">
        <w:t>to participate</w:t>
      </w:r>
      <w:r w:rsidR="00677D55">
        <w:t xml:space="preserve"> the trial</w:t>
      </w:r>
      <w:r w:rsidR="005735D0">
        <w:t>:</w:t>
      </w:r>
    </w:p>
    <w:p w14:paraId="6D664754" w14:textId="77777777" w:rsidR="005735D0" w:rsidRDefault="005735D0" w:rsidP="005735D0">
      <w:pPr>
        <w:ind w:left="567" w:right="521"/>
      </w:pPr>
      <w:r w:rsidRPr="00E07BBD">
        <w:t>“…</w:t>
      </w:r>
      <w:r w:rsidRPr="00E07BBD">
        <w:rPr>
          <w:i/>
        </w:rPr>
        <w:t xml:space="preserve">a significant omission at the beginning of the process was that when practices had to submit an expression of interest, </w:t>
      </w:r>
      <w:r w:rsidRPr="007331AC">
        <w:rPr>
          <w:rFonts w:cs="Arial"/>
          <w:i/>
          <w:szCs w:val="20"/>
          <w:lang w:val="en-GB"/>
        </w:rPr>
        <w:t>there</w:t>
      </w:r>
      <w:r w:rsidRPr="00E07BBD">
        <w:rPr>
          <w:i/>
        </w:rPr>
        <w:t xml:space="preserve"> was no requirement on them to demonstrate that there had been adequate consultation within the practice about the EOI process and what it would mean for the practice.</w:t>
      </w:r>
      <w:r w:rsidRPr="00E07BBD">
        <w:t xml:space="preserve">” [PHN 5, interview, R1] </w:t>
      </w:r>
    </w:p>
    <w:p w14:paraId="5839F8FF" w14:textId="190A928E" w:rsidR="000336D9" w:rsidRDefault="00127F5C" w:rsidP="00127F5C">
      <w:r>
        <w:t xml:space="preserve">In some instances, GPs were unaware that their practice had applied to </w:t>
      </w:r>
      <w:r w:rsidR="00677D55">
        <w:t>be part of the trial</w:t>
      </w:r>
      <w:r w:rsidR="00674283">
        <w:t xml:space="preserve">. </w:t>
      </w:r>
      <w:r>
        <w:t>This often meant that fewer GPs within practices were willing to participate than originally indicated in responses to the EOI, and practices achieved a much smaller scale of HCH patients than originally intended</w:t>
      </w:r>
      <w:r w:rsidR="001A512B">
        <w:t>:</w:t>
      </w:r>
    </w:p>
    <w:p w14:paraId="0AD6A762" w14:textId="77777777" w:rsidR="00674283" w:rsidRPr="00C92612" w:rsidRDefault="00674283" w:rsidP="00674283">
      <w:pPr>
        <w:ind w:left="567" w:right="521"/>
      </w:pPr>
      <w:r w:rsidRPr="00C92612">
        <w:t>“…</w:t>
      </w:r>
      <w:r w:rsidRPr="00C92612">
        <w:rPr>
          <w:i/>
        </w:rPr>
        <w:t>it does come back mostly to really needing to do that engagement quite strongly with the GPs first. Tell them what it’s all about and how it will impact them… makes them feel they get that story told first.</w:t>
      </w:r>
      <w:r w:rsidRPr="00C92612">
        <w:t>” [PHN 10, interview, R1]</w:t>
      </w:r>
    </w:p>
    <w:p w14:paraId="59DD0073" w14:textId="761C46FB" w:rsidR="00127F5C" w:rsidRDefault="00CF41A2" w:rsidP="00127F5C">
      <w:pPr>
        <w:ind w:right="1089"/>
      </w:pPr>
      <w:r>
        <w:t>PHN practice f</w:t>
      </w:r>
      <w:r w:rsidR="00127F5C">
        <w:t xml:space="preserve">acilitators stated that working with practices that had little buy-in from </w:t>
      </w:r>
      <w:r w:rsidR="007C106D">
        <w:t>GPs</w:t>
      </w:r>
      <w:r w:rsidR="00127F5C">
        <w:t xml:space="preserve"> made patient enrolment and </w:t>
      </w:r>
      <w:r w:rsidR="00F40F47">
        <w:t>implementation of the model very</w:t>
      </w:r>
      <w:r w:rsidR="00127F5C">
        <w:t xml:space="preserve"> difficult. </w:t>
      </w:r>
      <w:r w:rsidR="001E5FD7">
        <w:t>The</w:t>
      </w:r>
      <w:r w:rsidR="008F7BAC">
        <w:t xml:space="preserve"> </w:t>
      </w:r>
      <w:r w:rsidR="00127F5C">
        <w:t xml:space="preserve">facilitators suggested that the HCH application process should </w:t>
      </w:r>
      <w:r w:rsidR="00B86C89">
        <w:t xml:space="preserve">have </w:t>
      </w:r>
      <w:r w:rsidR="00127F5C">
        <w:t>require</w:t>
      </w:r>
      <w:r w:rsidR="00B86C89">
        <w:t>d</w:t>
      </w:r>
      <w:r w:rsidR="00127F5C">
        <w:t xml:space="preserve"> practices to confirm they ha</w:t>
      </w:r>
      <w:r w:rsidR="00B86C89">
        <w:t>d</w:t>
      </w:r>
      <w:r w:rsidR="00127F5C">
        <w:t xml:space="preserve"> agreement from a certain number or percentage of </w:t>
      </w:r>
      <w:r w:rsidR="00B73D4F">
        <w:t>GPs</w:t>
      </w:r>
      <w:r w:rsidR="00127F5C">
        <w:t>. Other facilitators suggested that the agreements to participate in HCH should be with individual GPs rather than with the practice:</w:t>
      </w:r>
    </w:p>
    <w:p w14:paraId="264D2233" w14:textId="77777777" w:rsidR="00127F5C" w:rsidRDefault="00127F5C" w:rsidP="00127F5C">
      <w:pPr>
        <w:ind w:left="567" w:right="521"/>
      </w:pPr>
      <w:r w:rsidRPr="00765D86">
        <w:lastRenderedPageBreak/>
        <w:t>“</w:t>
      </w:r>
      <w:r w:rsidRPr="00765D86">
        <w:rPr>
          <w:i/>
        </w:rPr>
        <w:t>I would consider having individual GP contracts because I do feel they feel slightly removed and slightly removed from responsibility.</w:t>
      </w:r>
      <w:r w:rsidRPr="00765D86">
        <w:t>” [PHN 7, interview, R1]</w:t>
      </w:r>
    </w:p>
    <w:p w14:paraId="5717CA0D" w14:textId="7632728A" w:rsidR="00B86C89" w:rsidRDefault="00B86C89" w:rsidP="00B86C89">
      <w:pPr>
        <w:ind w:right="1089"/>
      </w:pPr>
      <w:r>
        <w:t>Lack of buy-in from GPs became a major barrier for some practices in developing key aspects of the model, such as team-based care</w:t>
      </w:r>
      <w:r w:rsidR="00E61535">
        <w:t>:</w:t>
      </w:r>
    </w:p>
    <w:p w14:paraId="6146586A" w14:textId="77777777" w:rsidR="00E61535" w:rsidRDefault="00E61535" w:rsidP="00E61535">
      <w:pPr>
        <w:ind w:left="567" w:right="521"/>
      </w:pPr>
      <w:r w:rsidRPr="00525A2D">
        <w:rPr>
          <w:i/>
          <w:iCs/>
        </w:rPr>
        <w:t xml:space="preserve">“I think if more GPs were involved, more staff would have been involved and more </w:t>
      </w:r>
      <w:r w:rsidRPr="000336D9">
        <w:rPr>
          <w:i/>
        </w:rPr>
        <w:t>knowledge</w:t>
      </w:r>
      <w:r w:rsidRPr="00525A2D">
        <w:rPr>
          <w:i/>
          <w:iCs/>
        </w:rPr>
        <w:t xml:space="preserve"> would have </w:t>
      </w:r>
      <w:r w:rsidRPr="00FE76C2">
        <w:rPr>
          <w:i/>
        </w:rPr>
        <w:t>been</w:t>
      </w:r>
      <w:r w:rsidRPr="00525A2D">
        <w:rPr>
          <w:i/>
          <w:iCs/>
        </w:rPr>
        <w:t xml:space="preserve"> around the program.” </w:t>
      </w:r>
      <w:r>
        <w:t xml:space="preserve">[Nurse, Practice 1, R5]). </w:t>
      </w:r>
    </w:p>
    <w:p w14:paraId="7E72566D" w14:textId="684160F6" w:rsidR="003A759E" w:rsidRDefault="00792576" w:rsidP="00127F5C">
      <w:pPr>
        <w:ind w:right="1089"/>
      </w:pPr>
      <w:r>
        <w:t>O</w:t>
      </w:r>
      <w:r w:rsidR="003A759E">
        <w:t>ne GP expressed ongoing difficulties in getting non-participating GPs within the practice to see his HCH patients when he was away or unavailable</w:t>
      </w:r>
      <w:r w:rsidR="00A33B2E">
        <w:t xml:space="preserve">, and thought that </w:t>
      </w:r>
      <w:r w:rsidR="005B6048">
        <w:t xml:space="preserve">not implementing the model </w:t>
      </w:r>
      <w:r w:rsidR="001F64AA">
        <w:t>practice-wide</w:t>
      </w:r>
      <w:r w:rsidR="00FC4797">
        <w:t xml:space="preserve"> created a divide within the practice, at the disadvantage of patients:</w:t>
      </w:r>
    </w:p>
    <w:p w14:paraId="3C2F6B25" w14:textId="7E578240" w:rsidR="008E2FE5" w:rsidRDefault="00127F5C" w:rsidP="008E2FE5">
      <w:pPr>
        <w:ind w:left="567" w:right="521"/>
      </w:pPr>
      <w:r w:rsidRPr="00FF1BD8">
        <w:rPr>
          <w:i/>
          <w:iCs/>
        </w:rPr>
        <w:t xml:space="preserve">“…it then seems that some doctors within the practice, whether it’s because of a lack of information, they might feel that I’m being paid for them to see those patients. I don't know. I feel like there’s a misinformation. Or other doctors getting the impression that they’re doing work for me and I’m getting paid for it, which is wrong… But I think this is where Health Care Homes may actually fall over, </w:t>
      </w:r>
      <w:r w:rsidR="008674F3">
        <w:rPr>
          <w:i/>
          <w:iCs/>
        </w:rPr>
        <w:t>..</w:t>
      </w:r>
      <w:r w:rsidRPr="00FF1BD8">
        <w:rPr>
          <w:i/>
          <w:iCs/>
        </w:rPr>
        <w:t>. Doctors want to protect their own patients or keep their loyalties… But the Health Care Homes turns it into that individual business model as opposed to universal healthcare practice… I signed up to it for that potential to offer patients a lot more than what they currently received. But it seemed like it’s actually created the opposite in terms of their willingness of others to provide care</w:t>
      </w:r>
      <w:r>
        <w:t>.” [GP, Practice 15, R5]</w:t>
      </w:r>
    </w:p>
    <w:p w14:paraId="6FC014F6" w14:textId="450821A5" w:rsidR="008E2FE5" w:rsidRDefault="008E2FE5" w:rsidP="00ED5B0A">
      <w:pPr>
        <w:pStyle w:val="Heading2"/>
      </w:pPr>
      <w:bookmarkStart w:id="167" w:name="_Toc109996680"/>
      <w:r w:rsidRPr="00ED5B0A">
        <w:t>I</w:t>
      </w:r>
      <w:r w:rsidR="00766954">
        <w:t>nformation technology</w:t>
      </w:r>
      <w:bookmarkEnd w:id="167"/>
      <w:r>
        <w:t xml:space="preserve"> </w:t>
      </w:r>
    </w:p>
    <w:p w14:paraId="36F109E5" w14:textId="0F669CAF" w:rsidR="008E2FE5" w:rsidRDefault="008E2FE5" w:rsidP="008E2FE5">
      <w:r>
        <w:t>To participate in the trial, practices had to set up new software, which included the RST and shared care planning software. There were also new ways of using existing software, such as enrolling patients in Services’ Australia HPOS system, flagging enrolled patients in their clinical management systems, and entering their details in the evaluation app. While practices reported that IT</w:t>
      </w:r>
      <w:r w:rsidR="00620A4D">
        <w:t xml:space="preserve"> issues</w:t>
      </w:r>
      <w:r>
        <w:t xml:space="preserve"> were eventually resolved, some incurred </w:t>
      </w:r>
      <w:r w:rsidR="00E0355A">
        <w:t xml:space="preserve">high </w:t>
      </w:r>
      <w:r>
        <w:t>costs having to upgrade their IT systems to accommodate the various tools:</w:t>
      </w:r>
    </w:p>
    <w:p w14:paraId="581558A7" w14:textId="77777777" w:rsidR="008E2FE5" w:rsidRDefault="008E2FE5" w:rsidP="008E2FE5">
      <w:pPr>
        <w:ind w:left="567" w:right="521"/>
      </w:pPr>
      <w:r w:rsidRPr="00E960DB">
        <w:rPr>
          <w:i/>
          <w:iCs/>
        </w:rPr>
        <w:t>“So, we actually had to do a massive upgrade in our practice …equipment, servers and everything else to actually be able to implement all the programs that run… So it's actually been a very costly thing for us.”</w:t>
      </w:r>
      <w:r w:rsidRPr="00E960DB">
        <w:t xml:space="preserve"> [Practice manager, Practice 4, R2]</w:t>
      </w:r>
    </w:p>
    <w:p w14:paraId="45F6DCED" w14:textId="77777777" w:rsidR="008E2FE5" w:rsidRDefault="008E2FE5" w:rsidP="008E2FE5">
      <w:pPr>
        <w:ind w:right="521"/>
      </w:pPr>
      <w:r>
        <w:t>Rural and remote practices tended to report IT issues more often, and in some instances, the issues were ongoing:</w:t>
      </w:r>
    </w:p>
    <w:p w14:paraId="2A865D45" w14:textId="77777777" w:rsidR="008E2FE5" w:rsidRDefault="008E2FE5" w:rsidP="008E2FE5">
      <w:pPr>
        <w:ind w:left="567" w:right="521"/>
      </w:pPr>
      <w:r w:rsidRPr="00E960DB">
        <w:rPr>
          <w:i/>
          <w:iCs/>
        </w:rPr>
        <w:t>“I think the software problems has been one of our biggest problems and that took a lot of time to resolve. Not just the RST but everything. We’re in a small town, quite isolated. Our IT’s run remotely.”</w:t>
      </w:r>
      <w:r w:rsidRPr="00A310AC">
        <w:t xml:space="preserve"> [GP, Practice 2, R2]</w:t>
      </w:r>
      <w:r>
        <w:t>.</w:t>
      </w:r>
    </w:p>
    <w:p w14:paraId="506493F3" w14:textId="77777777" w:rsidR="00472940" w:rsidRDefault="00472940">
      <w:pPr>
        <w:spacing w:after="160" w:line="259" w:lineRule="auto"/>
      </w:pPr>
      <w:r>
        <w:br w:type="page"/>
      </w:r>
    </w:p>
    <w:p w14:paraId="7FB4EC7D" w14:textId="33BF63CE" w:rsidR="008E2FE5" w:rsidRDefault="008E2FE5" w:rsidP="008E2FE5">
      <w:r>
        <w:lastRenderedPageBreak/>
        <w:t>Practices suggested integration of the different software systems as the point of improvement</w:t>
      </w:r>
      <w:r w:rsidR="00014037">
        <w:t xml:space="preserve"> for future initiatives</w:t>
      </w:r>
      <w:r>
        <w:t>:</w:t>
      </w:r>
    </w:p>
    <w:p w14:paraId="08C72ACA" w14:textId="4B5CC55F" w:rsidR="00984AB1" w:rsidRDefault="008E2FE5" w:rsidP="00920631">
      <w:pPr>
        <w:ind w:left="567" w:right="521"/>
        <w:rPr>
          <w:szCs w:val="20"/>
        </w:rPr>
      </w:pPr>
      <w:r w:rsidRPr="00EB45B3">
        <w:rPr>
          <w:i/>
          <w:szCs w:val="20"/>
        </w:rPr>
        <w:t>We’ve got</w:t>
      </w:r>
      <w:r w:rsidRPr="00EB45B3">
        <w:t xml:space="preserve"> </w:t>
      </w:r>
      <w:r w:rsidRPr="00EB45B3">
        <w:rPr>
          <w:szCs w:val="20"/>
        </w:rPr>
        <w:t>[various</w:t>
      </w:r>
      <w:r w:rsidRPr="00EB45B3">
        <w:t xml:space="preserve"> software</w:t>
      </w:r>
      <w:r w:rsidRPr="00EB45B3">
        <w:rPr>
          <w:szCs w:val="20"/>
        </w:rPr>
        <w:t>]</w:t>
      </w:r>
      <w:r w:rsidRPr="00EB45B3">
        <w:rPr>
          <w:i/>
          <w:szCs w:val="20"/>
        </w:rPr>
        <w:t xml:space="preserve">. But if it was truly integrated, I wouldn’t have to open </w:t>
      </w:r>
      <w:r w:rsidRPr="00127F5C">
        <w:rPr>
          <w:i/>
          <w:iCs/>
        </w:rPr>
        <w:t>another</w:t>
      </w:r>
      <w:r w:rsidRPr="00EB45B3">
        <w:rPr>
          <w:i/>
          <w:szCs w:val="20"/>
        </w:rPr>
        <w:t xml:space="preserve"> software other than … my clinical software. I wouldn’t have to have four different logins, even if they’re saved, or </w:t>
      </w:r>
      <w:r w:rsidRPr="00943468">
        <w:rPr>
          <w:i/>
          <w:iCs/>
        </w:rPr>
        <w:t>different</w:t>
      </w:r>
      <w:r w:rsidRPr="00EB45B3">
        <w:rPr>
          <w:i/>
          <w:szCs w:val="20"/>
        </w:rPr>
        <w:t xml:space="preserve"> people. I’d be able to do it all from the one software that would talk to other people.” </w:t>
      </w:r>
      <w:r w:rsidRPr="00EB45B3">
        <w:rPr>
          <w:szCs w:val="20"/>
        </w:rPr>
        <w:t>[GP, Practice 7, R2]</w:t>
      </w:r>
    </w:p>
    <w:p w14:paraId="0768AD9D" w14:textId="27FCBCF1" w:rsidR="00D05F25" w:rsidRDefault="005278D5" w:rsidP="005278D5">
      <w:pPr>
        <w:pStyle w:val="Heading2"/>
      </w:pPr>
      <w:bookmarkStart w:id="168" w:name="_Toc109996681"/>
      <w:r>
        <w:t>Concurrent initiatives impacting the HCH trial</w:t>
      </w:r>
      <w:bookmarkEnd w:id="168"/>
    </w:p>
    <w:p w14:paraId="0BA3F2C9" w14:textId="508FA2ED" w:rsidR="00D05F25" w:rsidRDefault="00D05F25" w:rsidP="00D05F25">
      <w:r>
        <w:t xml:space="preserve">HCH </w:t>
      </w:r>
      <w:r w:rsidR="005278D5">
        <w:t>was</w:t>
      </w:r>
      <w:r>
        <w:t xml:space="preserve"> one of many initiatives operating in primary care in Australia, alongside other new and ongoing initiatives, </w:t>
      </w:r>
      <w:r w:rsidR="008E2081">
        <w:t>including:</w:t>
      </w:r>
    </w:p>
    <w:p w14:paraId="547A9224" w14:textId="4376BF7F" w:rsidR="008E2081" w:rsidRDefault="00325C82" w:rsidP="00BB7C8D">
      <w:pPr>
        <w:pStyle w:val="ListParagraph"/>
        <w:numPr>
          <w:ilvl w:val="0"/>
          <w:numId w:val="39"/>
        </w:numPr>
      </w:pPr>
      <w:r w:rsidRPr="00325C82">
        <w:t>The PIP Quality Improvement (QI) Incentive (introduced August 2019)</w:t>
      </w:r>
    </w:p>
    <w:p w14:paraId="31A20006" w14:textId="4F3D36BD" w:rsidR="00325C82" w:rsidRDefault="00325C82" w:rsidP="00BB7C8D">
      <w:pPr>
        <w:pStyle w:val="ListParagraph"/>
        <w:numPr>
          <w:ilvl w:val="0"/>
          <w:numId w:val="39"/>
        </w:numPr>
      </w:pPr>
      <w:r>
        <w:t>My Health Record</w:t>
      </w:r>
    </w:p>
    <w:p w14:paraId="49F1867F" w14:textId="535889FA" w:rsidR="00325C82" w:rsidRDefault="00325C82" w:rsidP="00BB7C8D">
      <w:pPr>
        <w:pStyle w:val="ListParagraph"/>
        <w:numPr>
          <w:ilvl w:val="0"/>
          <w:numId w:val="39"/>
        </w:numPr>
      </w:pPr>
      <w:r>
        <w:t>Accreditation</w:t>
      </w:r>
    </w:p>
    <w:p w14:paraId="7771B786" w14:textId="54E87D52" w:rsidR="00325C82" w:rsidRDefault="00325C82" w:rsidP="00BB7C8D">
      <w:pPr>
        <w:pStyle w:val="ListParagraph"/>
        <w:numPr>
          <w:ilvl w:val="0"/>
          <w:numId w:val="39"/>
        </w:numPr>
      </w:pPr>
      <w:r>
        <w:t>M</w:t>
      </w:r>
      <w:r w:rsidRPr="00325C82">
        <w:t>ental health initiatives</w:t>
      </w:r>
    </w:p>
    <w:p w14:paraId="4187FFEF" w14:textId="7A1277BD" w:rsidR="00325C82" w:rsidRDefault="00B75786" w:rsidP="00BB7C8D">
      <w:pPr>
        <w:pStyle w:val="ListParagraph"/>
        <w:numPr>
          <w:ilvl w:val="0"/>
          <w:numId w:val="39"/>
        </w:numPr>
      </w:pPr>
      <w:r w:rsidRPr="00B75786">
        <w:t>Screening and other national prevention campaigns</w:t>
      </w:r>
    </w:p>
    <w:p w14:paraId="28546EBE" w14:textId="0A54C9E7" w:rsidR="00D05F25" w:rsidRDefault="00C26C95" w:rsidP="00D05F25">
      <w:r>
        <w:t xml:space="preserve">Many </w:t>
      </w:r>
      <w:r w:rsidR="00D05F25">
        <w:t xml:space="preserve">PHNs </w:t>
      </w:r>
      <w:r w:rsidR="009B0F41">
        <w:t>were</w:t>
      </w:r>
      <w:r w:rsidR="00D05F25">
        <w:t xml:space="preserve"> </w:t>
      </w:r>
      <w:r>
        <w:t xml:space="preserve">also </w:t>
      </w:r>
      <w:r w:rsidR="00D05F25">
        <w:t>rolling</w:t>
      </w:r>
      <w:r>
        <w:t xml:space="preserve"> </w:t>
      </w:r>
      <w:r w:rsidR="00D05F25">
        <w:t xml:space="preserve">out </w:t>
      </w:r>
      <w:r>
        <w:t xml:space="preserve">PCMH models </w:t>
      </w:r>
      <w:r w:rsidR="00D05F25">
        <w:t xml:space="preserve">within their regions. Though these initiatives helped some of the HCH practices in these regions better prepare for implementing HCH, some PHNs </w:t>
      </w:r>
      <w:r w:rsidR="00FC3E4A">
        <w:t>did not</w:t>
      </w:r>
      <w:r w:rsidR="00D05F25">
        <w:t xml:space="preserve"> allow practices to participate in initiatives concurrently. Some key reasons for this include</w:t>
      </w:r>
      <w:r w:rsidR="00F80F3B">
        <w:t>d</w:t>
      </w:r>
      <w:r w:rsidR="00D05F25">
        <w:t xml:space="preserve"> being able to effectively evaluate what methods and approaches work and because some PHNs did not want practices to become overwhelmed juggling multiple initiatives</w:t>
      </w:r>
      <w:r w:rsidR="00F80F3B">
        <w:t>:</w:t>
      </w:r>
    </w:p>
    <w:p w14:paraId="4A293801" w14:textId="5C328D3A" w:rsidR="00D05F25" w:rsidRDefault="00D05F25" w:rsidP="00C26C95">
      <w:pPr>
        <w:ind w:left="567" w:right="521"/>
      </w:pPr>
      <w:r w:rsidRPr="00F567B2">
        <w:rPr>
          <w:i/>
          <w:iCs/>
        </w:rPr>
        <w:t>“So, we didn’t allow Health Care Homes to apply for those grants</w:t>
      </w:r>
      <w:r w:rsidR="00F80F3B">
        <w:rPr>
          <w:i/>
          <w:iCs/>
        </w:rPr>
        <w:t xml:space="preserve"> [</w:t>
      </w:r>
      <w:r w:rsidR="003205C4">
        <w:rPr>
          <w:i/>
          <w:iCs/>
        </w:rPr>
        <w:t>relating to other local PCMH initiative]</w:t>
      </w:r>
      <w:r w:rsidRPr="00F567B2">
        <w:rPr>
          <w:i/>
          <w:iCs/>
        </w:rPr>
        <w:t>, because it muddies the water too much, like how would you separate your success, then; how would you evaluate it? You just couldn’t. So, we made a decision not to…. They all have commonalities, but they’re all a different approach. So, yes, what we really want to know is…what works and what shows the best outcomes, and what is the best model, what are the elements that work…”</w:t>
      </w:r>
      <w:r w:rsidRPr="00F567B2">
        <w:t xml:space="preserve"> [PHN</w:t>
      </w:r>
      <w:r>
        <w:t xml:space="preserve"> </w:t>
      </w:r>
      <w:r w:rsidRPr="00F567B2">
        <w:t>9, Interview, R3]</w:t>
      </w:r>
    </w:p>
    <w:p w14:paraId="2A56550F" w14:textId="77777777" w:rsidR="00D05F25" w:rsidRDefault="00D05F25" w:rsidP="00C26C95">
      <w:pPr>
        <w:ind w:left="567" w:right="521"/>
      </w:pPr>
      <w:r w:rsidRPr="00F567B2">
        <w:rPr>
          <w:i/>
          <w:iCs/>
        </w:rPr>
        <w:t>“…the feedback we always get is there’s just so much. There’s so much stuff that general practice are working on just on a day-to-day basis. And then we put something else in there and we want something else to go in as well. There’s all the national campaigns. There’s bowel screening and breast screening and cervical screening and smoking cessation. There’s so much out there that the general practice can be overwhelmed.”</w:t>
      </w:r>
      <w:r w:rsidRPr="00860996">
        <w:t xml:space="preserve"> [PHN</w:t>
      </w:r>
      <w:r>
        <w:t xml:space="preserve"> </w:t>
      </w:r>
      <w:r w:rsidRPr="00860996">
        <w:t>8, Interview, R3]</w:t>
      </w:r>
    </w:p>
    <w:p w14:paraId="4D09D9FE" w14:textId="22D3E348" w:rsidR="00D05F25" w:rsidRDefault="00600389" w:rsidP="00D05F25">
      <w:r>
        <w:t>S</w:t>
      </w:r>
      <w:r w:rsidR="00D05F25">
        <w:t xml:space="preserve">ome </w:t>
      </w:r>
      <w:r>
        <w:t xml:space="preserve">PHN practice </w:t>
      </w:r>
      <w:r w:rsidR="00D05F25">
        <w:t xml:space="preserve">facilitators were concerned that HCH practices </w:t>
      </w:r>
      <w:r>
        <w:t>were</w:t>
      </w:r>
      <w:r w:rsidR="00D05F25">
        <w:t xml:space="preserve"> missing out on resources available to those participating in other local initiatives:</w:t>
      </w:r>
    </w:p>
    <w:p w14:paraId="0DFCD24C" w14:textId="77777777" w:rsidR="00D05F25" w:rsidRDefault="00D05F25" w:rsidP="00C26C95">
      <w:pPr>
        <w:ind w:left="567" w:right="521"/>
      </w:pPr>
      <w:r w:rsidRPr="007E1BEF">
        <w:rPr>
          <w:i/>
          <w:iCs/>
        </w:rPr>
        <w:t xml:space="preserve">”Because I see at a higher level, both of these programs, I would say that that’s one of the frustrations, because I can see in our [other PHN-initiated and supported] programs, we had some initiatives which are really encouraging team-based care or really encouraging some other building blocks, and I can’t put them into the Health Care Homes program. Those practices that might be down the </w:t>
      </w:r>
      <w:r w:rsidRPr="007E1BEF">
        <w:rPr>
          <w:i/>
          <w:iCs/>
        </w:rPr>
        <w:lastRenderedPageBreak/>
        <w:t>road, they aren’t getting that assistance. They do come to the training, but…[for example] the PHNs do supply non dispensing pharmacists. Or they do supply program money for exercise physiologists, we haven’t been able to do that in our Health Care Homes program. Sometimes, it looks like the other program gets all the goodies, as it were…we have continued to quarantine [the programs] and to keep it pure, but I’m not sure that our national colleagues have done that.”</w:t>
      </w:r>
      <w:r w:rsidRPr="007E1BEF">
        <w:t xml:space="preserve"> [PHN02, Interview, R3]</w:t>
      </w:r>
    </w:p>
    <w:p w14:paraId="371C6C1A" w14:textId="77777777" w:rsidR="00D05F25" w:rsidRDefault="00D05F25" w:rsidP="00D05F25">
      <w:r>
        <w:t>In contrast, one PHN explained that they have pursued the opposite approach and encouraged practices to participate in concurrent local initiatives. In response to whether they have excluded HCH practices from any other local initiatives, they stated:</w:t>
      </w:r>
    </w:p>
    <w:p w14:paraId="586BE7A7" w14:textId="77777777" w:rsidR="00D05F25" w:rsidRDefault="00D05F25" w:rsidP="00C26C95">
      <w:pPr>
        <w:ind w:left="567" w:right="521"/>
      </w:pPr>
      <w:r w:rsidRPr="00655674">
        <w:rPr>
          <w:i/>
          <w:iCs/>
        </w:rPr>
        <w:t>“No, not at all. If anything, we've probably been adding different services to support them for Health Care Homes.”</w:t>
      </w:r>
      <w:r>
        <w:t xml:space="preserve"> [PHN 4, Interview, R3]</w:t>
      </w:r>
    </w:p>
    <w:p w14:paraId="7A31AB3A" w14:textId="77777777" w:rsidR="00D05F25" w:rsidRDefault="00D05F25" w:rsidP="00595D5E">
      <w:pPr>
        <w:ind w:left="567" w:right="521"/>
        <w:rPr>
          <w:rFonts w:cs="Arial"/>
          <w:szCs w:val="20"/>
          <w:lang w:val="en-GB"/>
        </w:rPr>
      </w:pPr>
    </w:p>
    <w:p w14:paraId="10A67970" w14:textId="77777777" w:rsidR="00595D5E" w:rsidRPr="00127F5C" w:rsidRDefault="00595D5E" w:rsidP="00F74D33"/>
    <w:p w14:paraId="2CEB2A47" w14:textId="769C029E" w:rsidR="008D7B23" w:rsidRDefault="00E8389A" w:rsidP="00E8389A">
      <w:pPr>
        <w:sectPr w:rsidR="008D7B23">
          <w:headerReference w:type="default" r:id="rId36"/>
          <w:pgSz w:w="11906" w:h="16838"/>
          <w:pgMar w:top="1440" w:right="1440" w:bottom="1440" w:left="1440" w:header="708" w:footer="708" w:gutter="0"/>
          <w:cols w:space="708"/>
          <w:docGrid w:linePitch="360"/>
        </w:sectPr>
      </w:pPr>
      <w:r>
        <w:t xml:space="preserve"> </w:t>
      </w:r>
    </w:p>
    <w:p w14:paraId="54C1A1BC" w14:textId="697A3408" w:rsidR="00345721" w:rsidRPr="0094369A" w:rsidRDefault="00345721" w:rsidP="00345721">
      <w:pPr>
        <w:pStyle w:val="ChapterNumber"/>
      </w:pPr>
      <w:r>
        <w:lastRenderedPageBreak/>
        <w:fldChar w:fldCharType="begin"/>
      </w:r>
      <w:r>
        <w:instrText xml:space="preserve"> REF _Ref84158400 \r \h </w:instrText>
      </w:r>
      <w:r>
        <w:fldChar w:fldCharType="separate"/>
      </w:r>
      <w:r w:rsidR="003C4BC2">
        <w:t>10</w:t>
      </w:r>
      <w:r>
        <w:fldChar w:fldCharType="end"/>
      </w:r>
    </w:p>
    <w:p w14:paraId="23668F20" w14:textId="75455C8E" w:rsidR="00345721" w:rsidRPr="00CA68BF" w:rsidRDefault="00345721" w:rsidP="00110725">
      <w:pPr>
        <w:pStyle w:val="Heading1withnumber"/>
        <w:ind w:left="0" w:hanging="851"/>
      </w:pPr>
      <w:bookmarkStart w:id="169" w:name="_Ref84158400"/>
      <w:bookmarkStart w:id="170" w:name="_Ref103761979"/>
      <w:bookmarkStart w:id="171" w:name="_Ref103761982"/>
      <w:bookmarkStart w:id="172" w:name="_Ref103764773"/>
      <w:bookmarkStart w:id="173" w:name="_Ref103765744"/>
      <w:bookmarkStart w:id="174" w:name="_Ref103765750"/>
      <w:bookmarkStart w:id="175" w:name="_Toc109996682"/>
      <w:r w:rsidRPr="00CA68BF">
        <w:t xml:space="preserve">Practice </w:t>
      </w:r>
      <w:bookmarkEnd w:id="169"/>
      <w:r w:rsidR="00395BF1">
        <w:t>model of care changes</w:t>
      </w:r>
      <w:bookmarkEnd w:id="170"/>
      <w:bookmarkEnd w:id="171"/>
      <w:bookmarkEnd w:id="172"/>
      <w:bookmarkEnd w:id="173"/>
      <w:bookmarkEnd w:id="174"/>
      <w:bookmarkEnd w:id="175"/>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7639D5" w:rsidRPr="0048466A" w14:paraId="65774044" w14:textId="77777777" w:rsidTr="0032660B">
        <w:tc>
          <w:tcPr>
            <w:tcW w:w="8996" w:type="dxa"/>
            <w:shd w:val="clear" w:color="auto" w:fill="auto"/>
          </w:tcPr>
          <w:p w14:paraId="05A17780" w14:textId="366B47D9" w:rsidR="007639D5" w:rsidRPr="00E76EF4" w:rsidRDefault="007639D5" w:rsidP="00AF15A5">
            <w:pPr>
              <w:pStyle w:val="Boxheading"/>
              <w:spacing w:after="120"/>
              <w:rPr>
                <w:bCs/>
                <w:szCs w:val="20"/>
              </w:rPr>
            </w:pPr>
            <w:r w:rsidRPr="00E76EF4">
              <w:rPr>
                <w:bCs/>
                <w:szCs w:val="20"/>
              </w:rPr>
              <w:t xml:space="preserve">Box </w:t>
            </w:r>
            <w:r w:rsidRPr="00E76EF4">
              <w:rPr>
                <w:bCs/>
              </w:rPr>
              <w:fldChar w:fldCharType="begin"/>
            </w:r>
            <w:r w:rsidRPr="00E76EF4">
              <w:rPr>
                <w:bCs/>
              </w:rPr>
              <w:instrText xml:space="preserve"> SEQ Box \* ARABIC </w:instrText>
            </w:r>
            <w:r w:rsidRPr="00E76EF4">
              <w:rPr>
                <w:bCs/>
              </w:rPr>
              <w:fldChar w:fldCharType="separate"/>
            </w:r>
            <w:r w:rsidR="003C4BC2">
              <w:rPr>
                <w:bCs/>
                <w:noProof/>
              </w:rPr>
              <w:t>16</w:t>
            </w:r>
            <w:r w:rsidRPr="00E76EF4">
              <w:rPr>
                <w:bCs/>
                <w:noProof/>
              </w:rPr>
              <w:fldChar w:fldCharType="end"/>
            </w:r>
            <w:r w:rsidRPr="00E76EF4">
              <w:rPr>
                <w:bCs/>
                <w:szCs w:val="20"/>
              </w:rPr>
              <w:t xml:space="preserve">: </w:t>
            </w:r>
            <w:r w:rsidR="00E76EF4" w:rsidRPr="00E76EF4">
              <w:rPr>
                <w:bCs/>
                <w:szCs w:val="20"/>
              </w:rPr>
              <w:t>Chapter summary</w:t>
            </w:r>
          </w:p>
          <w:p w14:paraId="622511F5" w14:textId="12C56539" w:rsidR="003C3034" w:rsidRPr="005D450C" w:rsidRDefault="003C3034" w:rsidP="003C3034">
            <w:pPr>
              <w:spacing w:after="120"/>
              <w:rPr>
                <w:rFonts w:eastAsia="Muli" w:cs="Muli"/>
                <w:color w:val="000000" w:themeColor="text1"/>
                <w:sz w:val="18"/>
                <w:szCs w:val="18"/>
              </w:rPr>
            </w:pPr>
            <w:r w:rsidRPr="0060194E">
              <w:rPr>
                <w:rFonts w:eastAsia="Muli" w:cs="Muli"/>
                <w:color w:val="000000" w:themeColor="text1"/>
                <w:sz w:val="18"/>
                <w:szCs w:val="18"/>
              </w:rPr>
              <w:t xml:space="preserve">Practices were at varying stages of </w:t>
            </w:r>
            <w:r>
              <w:rPr>
                <w:rFonts w:eastAsia="Muli" w:cs="Muli"/>
                <w:color w:val="000000" w:themeColor="text1"/>
                <w:sz w:val="18"/>
                <w:szCs w:val="18"/>
              </w:rPr>
              <w:t>implementing the HCH model of care</w:t>
            </w:r>
            <w:r w:rsidRPr="0060194E">
              <w:rPr>
                <w:rFonts w:eastAsia="Muli" w:cs="Muli"/>
                <w:color w:val="000000" w:themeColor="text1"/>
                <w:sz w:val="18"/>
                <w:szCs w:val="18"/>
              </w:rPr>
              <w:t xml:space="preserve"> during the </w:t>
            </w:r>
            <w:r>
              <w:rPr>
                <w:rFonts w:eastAsia="Muli" w:cs="Muli"/>
                <w:color w:val="000000" w:themeColor="text1"/>
                <w:sz w:val="18"/>
                <w:szCs w:val="18"/>
              </w:rPr>
              <w:t xml:space="preserve">initial </w:t>
            </w:r>
            <w:r w:rsidRPr="0060194E">
              <w:rPr>
                <w:rFonts w:eastAsia="Muli" w:cs="Muli"/>
                <w:color w:val="000000" w:themeColor="text1"/>
                <w:sz w:val="18"/>
                <w:szCs w:val="18"/>
              </w:rPr>
              <w:t>enrolment period</w:t>
            </w:r>
            <w:r>
              <w:rPr>
                <w:rFonts w:eastAsia="Muli" w:cs="Muli"/>
                <w:color w:val="000000" w:themeColor="text1"/>
                <w:sz w:val="18"/>
                <w:szCs w:val="18"/>
              </w:rPr>
              <w:t xml:space="preserve"> (until </w:t>
            </w:r>
            <w:r w:rsidR="001E2EBC">
              <w:rPr>
                <w:rFonts w:eastAsia="Muli" w:cs="Muli"/>
                <w:color w:val="000000" w:themeColor="text1"/>
                <w:sz w:val="18"/>
                <w:szCs w:val="18"/>
              </w:rPr>
              <w:t xml:space="preserve">the </w:t>
            </w:r>
            <w:r>
              <w:rPr>
                <w:rFonts w:eastAsia="Muli" w:cs="Muli"/>
                <w:color w:val="000000" w:themeColor="text1"/>
                <w:sz w:val="18"/>
                <w:szCs w:val="18"/>
              </w:rPr>
              <w:t xml:space="preserve">end of </w:t>
            </w:r>
            <w:r w:rsidR="001E2EBC">
              <w:rPr>
                <w:rFonts w:eastAsia="Muli" w:cs="Muli"/>
                <w:color w:val="000000" w:themeColor="text1"/>
                <w:sz w:val="18"/>
                <w:szCs w:val="18"/>
              </w:rPr>
              <w:t>2018</w:t>
            </w:r>
            <w:r>
              <w:rPr>
                <w:rFonts w:eastAsia="Muli" w:cs="Muli"/>
                <w:color w:val="000000" w:themeColor="text1"/>
                <w:sz w:val="18"/>
                <w:szCs w:val="18"/>
              </w:rPr>
              <w:t>)</w:t>
            </w:r>
            <w:r w:rsidRPr="0060194E">
              <w:rPr>
                <w:rFonts w:eastAsia="Muli" w:cs="Muli"/>
                <w:color w:val="000000" w:themeColor="text1"/>
                <w:sz w:val="18"/>
                <w:szCs w:val="18"/>
              </w:rPr>
              <w:t xml:space="preserve">. Some set-up processes for how they would manage their chronic disease patients, but changes were not yet visible to patients. A few made significant changes that affected both patients and staff. While some practices were making changes, others thought that their existing model was aligned with HCH and did not intend </w:t>
            </w:r>
            <w:r w:rsidR="00687B00">
              <w:rPr>
                <w:rFonts w:eastAsia="Muli" w:cs="Muli"/>
                <w:color w:val="000000" w:themeColor="text1"/>
                <w:sz w:val="18"/>
                <w:szCs w:val="18"/>
              </w:rPr>
              <w:t>o</w:t>
            </w:r>
            <w:r w:rsidR="00202E7A">
              <w:rPr>
                <w:rFonts w:eastAsia="Muli" w:cs="Muli"/>
                <w:color w:val="000000" w:themeColor="text1"/>
                <w:sz w:val="18"/>
                <w:szCs w:val="18"/>
              </w:rPr>
              <w:t>n doing anything new</w:t>
            </w:r>
            <w:r w:rsidRPr="0060194E">
              <w:rPr>
                <w:rFonts w:eastAsia="Muli" w:cs="Muli"/>
                <w:color w:val="000000" w:themeColor="text1"/>
                <w:sz w:val="18"/>
                <w:szCs w:val="18"/>
              </w:rPr>
              <w:t xml:space="preserve">. PHN practice facilitators thought that some of the practices making this claim had a limited understanding of </w:t>
            </w:r>
            <w:r>
              <w:rPr>
                <w:rFonts w:eastAsia="Muli" w:cs="Muli"/>
                <w:color w:val="000000" w:themeColor="text1"/>
                <w:sz w:val="18"/>
                <w:szCs w:val="18"/>
              </w:rPr>
              <w:t xml:space="preserve">the </w:t>
            </w:r>
            <w:r w:rsidRPr="0060194E">
              <w:rPr>
                <w:rFonts w:eastAsia="Muli" w:cs="Muli"/>
                <w:color w:val="000000" w:themeColor="text1"/>
                <w:sz w:val="18"/>
                <w:szCs w:val="18"/>
              </w:rPr>
              <w:t>HCH</w:t>
            </w:r>
            <w:r>
              <w:rPr>
                <w:rFonts w:eastAsia="Muli" w:cs="Muli"/>
                <w:color w:val="000000" w:themeColor="text1"/>
                <w:sz w:val="18"/>
                <w:szCs w:val="18"/>
              </w:rPr>
              <w:t xml:space="preserve"> </w:t>
            </w:r>
            <w:r w:rsidRPr="005D450C">
              <w:rPr>
                <w:rFonts w:eastAsia="Muli" w:cs="Muli"/>
                <w:color w:val="000000" w:themeColor="text1"/>
                <w:sz w:val="18"/>
                <w:szCs w:val="18"/>
              </w:rPr>
              <w:t>model.</w:t>
            </w:r>
          </w:p>
          <w:p w14:paraId="39C8E884" w14:textId="017AAE89" w:rsidR="007474DD" w:rsidRPr="0060194E" w:rsidRDefault="00875FA1" w:rsidP="003C3034">
            <w:pPr>
              <w:spacing w:after="120"/>
              <w:rPr>
                <w:rFonts w:eastAsia="Muli" w:cs="Muli"/>
                <w:color w:val="000000" w:themeColor="text1"/>
                <w:sz w:val="18"/>
                <w:szCs w:val="18"/>
              </w:rPr>
            </w:pPr>
            <w:r>
              <w:rPr>
                <w:rFonts w:eastAsia="Muli" w:cs="Muli"/>
                <w:color w:val="000000" w:themeColor="text1"/>
                <w:sz w:val="18"/>
                <w:szCs w:val="18"/>
              </w:rPr>
              <w:t>In interviews, n</w:t>
            </w:r>
            <w:r w:rsidR="0039276B" w:rsidRPr="005D450C">
              <w:rPr>
                <w:rFonts w:eastAsia="Muli" w:cs="Muli"/>
                <w:color w:val="000000" w:themeColor="text1"/>
                <w:sz w:val="18"/>
                <w:szCs w:val="18"/>
              </w:rPr>
              <w:t>o</w:t>
            </w:r>
            <w:r w:rsidR="00CF724F" w:rsidRPr="005D450C">
              <w:rPr>
                <w:rFonts w:eastAsia="Muli" w:cs="Muli"/>
                <w:color w:val="000000" w:themeColor="text1"/>
                <w:sz w:val="18"/>
                <w:szCs w:val="18"/>
              </w:rPr>
              <w:t xml:space="preserve"> practice mentioned involving patients or their carers/families in identifying priorities for </w:t>
            </w:r>
            <w:r w:rsidR="00883A0F" w:rsidRPr="005D450C">
              <w:rPr>
                <w:rFonts w:eastAsia="Muli" w:cs="Muli"/>
                <w:color w:val="000000" w:themeColor="text1"/>
                <w:sz w:val="18"/>
                <w:szCs w:val="18"/>
              </w:rPr>
              <w:t xml:space="preserve">the </w:t>
            </w:r>
            <w:r w:rsidR="00CF724F" w:rsidRPr="005D450C">
              <w:rPr>
                <w:rFonts w:eastAsia="Muli" w:cs="Muli"/>
                <w:color w:val="000000" w:themeColor="text1"/>
                <w:sz w:val="18"/>
                <w:szCs w:val="18"/>
              </w:rPr>
              <w:t>change</w:t>
            </w:r>
            <w:r w:rsidR="00883A0F" w:rsidRPr="005D450C">
              <w:rPr>
                <w:rFonts w:eastAsia="Muli" w:cs="Muli"/>
                <w:color w:val="000000" w:themeColor="text1"/>
                <w:sz w:val="18"/>
                <w:szCs w:val="18"/>
              </w:rPr>
              <w:t xml:space="preserve">s </w:t>
            </w:r>
            <w:r w:rsidR="00013449">
              <w:rPr>
                <w:rFonts w:eastAsia="Muli" w:cs="Muli"/>
                <w:color w:val="000000" w:themeColor="text1"/>
                <w:sz w:val="18"/>
                <w:szCs w:val="18"/>
              </w:rPr>
              <w:t>that</w:t>
            </w:r>
            <w:r w:rsidR="00883A0F" w:rsidRPr="005D450C">
              <w:rPr>
                <w:rFonts w:eastAsia="Muli" w:cs="Muli"/>
                <w:color w:val="000000" w:themeColor="text1"/>
                <w:sz w:val="18"/>
                <w:szCs w:val="18"/>
              </w:rPr>
              <w:t xml:space="preserve"> the practice</w:t>
            </w:r>
            <w:r w:rsidR="00013449">
              <w:rPr>
                <w:rFonts w:eastAsia="Muli" w:cs="Muli"/>
                <w:color w:val="000000" w:themeColor="text1"/>
                <w:sz w:val="18"/>
                <w:szCs w:val="18"/>
              </w:rPr>
              <w:t xml:space="preserve"> would implement as a HCH</w:t>
            </w:r>
            <w:r w:rsidR="00E1350C">
              <w:rPr>
                <w:rFonts w:eastAsia="Muli" w:cs="Muli"/>
                <w:color w:val="000000" w:themeColor="text1"/>
                <w:sz w:val="18"/>
                <w:szCs w:val="18"/>
              </w:rPr>
              <w:t xml:space="preserve">. Also, </w:t>
            </w:r>
            <w:r w:rsidR="002346C1">
              <w:rPr>
                <w:rFonts w:eastAsia="Muli" w:cs="Muli"/>
                <w:color w:val="000000" w:themeColor="text1"/>
                <w:sz w:val="18"/>
                <w:szCs w:val="18"/>
              </w:rPr>
              <w:t>“</w:t>
            </w:r>
            <w:r w:rsidR="002346C1" w:rsidRPr="00981F6B">
              <w:rPr>
                <w:rFonts w:eastAsia="Muli" w:cs="Muli"/>
                <w:i/>
                <w:iCs/>
                <w:color w:val="000000" w:themeColor="text1"/>
                <w:sz w:val="18"/>
                <w:szCs w:val="18"/>
              </w:rPr>
              <w:t>getting regular and actionable input from patients and families on all care delivery issues, and incorporating their feedback in quality improvement activities</w:t>
            </w:r>
            <w:r w:rsidR="002346C1">
              <w:rPr>
                <w:rFonts w:eastAsia="Muli" w:cs="Muli"/>
                <w:color w:val="000000" w:themeColor="text1"/>
                <w:sz w:val="18"/>
                <w:szCs w:val="18"/>
              </w:rPr>
              <w:t xml:space="preserve">” was the </w:t>
            </w:r>
            <w:r w:rsidR="00276581">
              <w:rPr>
                <w:rFonts w:eastAsia="Muli" w:cs="Muli"/>
                <w:color w:val="000000" w:themeColor="text1"/>
                <w:sz w:val="18"/>
                <w:szCs w:val="18"/>
              </w:rPr>
              <w:t>most poorly scored item on the HCH-A tool</w:t>
            </w:r>
            <w:r w:rsidR="00981F6B">
              <w:rPr>
                <w:rFonts w:eastAsia="Muli" w:cs="Muli"/>
                <w:color w:val="000000" w:themeColor="text1"/>
                <w:sz w:val="18"/>
                <w:szCs w:val="18"/>
              </w:rPr>
              <w:t xml:space="preserve"> that only minimally improved</w:t>
            </w:r>
            <w:r w:rsidR="009179B6">
              <w:rPr>
                <w:rFonts w:eastAsia="Muli" w:cs="Muli"/>
                <w:color w:val="000000" w:themeColor="text1"/>
                <w:sz w:val="18"/>
                <w:szCs w:val="18"/>
              </w:rPr>
              <w:t xml:space="preserve"> for practices</w:t>
            </w:r>
            <w:r w:rsidR="00981F6B">
              <w:rPr>
                <w:rFonts w:eastAsia="Muli" w:cs="Muli"/>
                <w:color w:val="000000" w:themeColor="text1"/>
                <w:sz w:val="18"/>
                <w:szCs w:val="18"/>
              </w:rPr>
              <w:t xml:space="preserve"> by the end of the trial.</w:t>
            </w:r>
          </w:p>
          <w:p w14:paraId="432ED0E0" w14:textId="60B1636D" w:rsidR="003C3034" w:rsidRPr="0060194E" w:rsidRDefault="003C3034" w:rsidP="003C3034">
            <w:pPr>
              <w:spacing w:after="120"/>
              <w:rPr>
                <w:rFonts w:eastAsia="Muli" w:cs="Muli"/>
                <w:color w:val="000000" w:themeColor="text1"/>
                <w:sz w:val="18"/>
                <w:szCs w:val="18"/>
              </w:rPr>
            </w:pPr>
            <w:r w:rsidRPr="0060194E">
              <w:rPr>
                <w:rFonts w:eastAsia="Muli" w:cs="Muli"/>
                <w:color w:val="000000" w:themeColor="text1"/>
                <w:sz w:val="18"/>
                <w:szCs w:val="18"/>
              </w:rPr>
              <w:t>The extension of the enrolment period</w:t>
            </w:r>
            <w:r>
              <w:rPr>
                <w:rFonts w:eastAsia="Muli" w:cs="Muli"/>
                <w:color w:val="000000" w:themeColor="text1"/>
                <w:sz w:val="18"/>
                <w:szCs w:val="18"/>
              </w:rPr>
              <w:t xml:space="preserve"> (to June 2019)</w:t>
            </w:r>
            <w:r w:rsidRPr="0060194E">
              <w:rPr>
                <w:rFonts w:eastAsia="Muli" w:cs="Muli"/>
                <w:color w:val="000000" w:themeColor="text1"/>
                <w:sz w:val="18"/>
                <w:szCs w:val="18"/>
              </w:rPr>
              <w:t xml:space="preserve"> gave practices more time to engage staff </w:t>
            </w:r>
            <w:r>
              <w:rPr>
                <w:rFonts w:eastAsia="Muli" w:cs="Muli"/>
                <w:color w:val="000000" w:themeColor="text1"/>
                <w:sz w:val="18"/>
                <w:szCs w:val="18"/>
              </w:rPr>
              <w:t xml:space="preserve">and </w:t>
            </w:r>
            <w:r w:rsidRPr="0060194E">
              <w:rPr>
                <w:rFonts w:eastAsia="Muli" w:cs="Muli"/>
                <w:color w:val="000000" w:themeColor="text1"/>
                <w:sz w:val="18"/>
                <w:szCs w:val="18"/>
              </w:rPr>
              <w:t xml:space="preserve">enrol more patients. </w:t>
            </w:r>
            <w:r w:rsidR="00BC7935">
              <w:rPr>
                <w:rFonts w:eastAsia="Muli" w:cs="Muli"/>
                <w:color w:val="000000" w:themeColor="text1"/>
                <w:sz w:val="18"/>
                <w:szCs w:val="18"/>
              </w:rPr>
              <w:t>However, p</w:t>
            </w:r>
            <w:r w:rsidRPr="0060194E">
              <w:rPr>
                <w:rFonts w:eastAsia="Muli" w:cs="Muli"/>
                <w:color w:val="000000" w:themeColor="text1"/>
                <w:sz w:val="18"/>
                <w:szCs w:val="18"/>
              </w:rPr>
              <w:t>ractices</w:t>
            </w:r>
            <w:r w:rsidR="00BC7935">
              <w:rPr>
                <w:rFonts w:eastAsia="Muli" w:cs="Muli"/>
                <w:color w:val="000000" w:themeColor="text1"/>
                <w:sz w:val="18"/>
                <w:szCs w:val="18"/>
              </w:rPr>
              <w:t xml:space="preserve"> still</w:t>
            </w:r>
            <w:r w:rsidRPr="0060194E">
              <w:rPr>
                <w:rFonts w:eastAsia="Muli" w:cs="Muli"/>
                <w:color w:val="000000" w:themeColor="text1"/>
                <w:sz w:val="18"/>
                <w:szCs w:val="18"/>
              </w:rPr>
              <w:t xml:space="preserve"> found it challenging to increase their enrolments, even with the time extension. Some deliberately only enrolled a few patients to test the model, and therefore did not enrol more patients when the trial was extended. A few practices were also concerned about investing significant resources in the </w:t>
            </w:r>
            <w:r w:rsidR="000813BE">
              <w:rPr>
                <w:rFonts w:eastAsia="Muli" w:cs="Muli"/>
                <w:color w:val="000000" w:themeColor="text1"/>
                <w:sz w:val="18"/>
                <w:szCs w:val="18"/>
              </w:rPr>
              <w:t>model</w:t>
            </w:r>
            <w:r w:rsidRPr="0060194E">
              <w:rPr>
                <w:rFonts w:eastAsia="Muli" w:cs="Muli"/>
                <w:color w:val="000000" w:themeColor="text1"/>
                <w:sz w:val="18"/>
                <w:szCs w:val="18"/>
              </w:rPr>
              <w:t xml:space="preserve"> when it </w:t>
            </w:r>
            <w:r w:rsidR="000813BE">
              <w:rPr>
                <w:rFonts w:eastAsia="Muli" w:cs="Muli"/>
                <w:color w:val="000000" w:themeColor="text1"/>
                <w:sz w:val="18"/>
                <w:szCs w:val="18"/>
              </w:rPr>
              <w:t>wasn’t</w:t>
            </w:r>
            <w:r w:rsidRPr="0060194E">
              <w:rPr>
                <w:rFonts w:eastAsia="Muli" w:cs="Muli"/>
                <w:color w:val="000000" w:themeColor="text1"/>
                <w:sz w:val="18"/>
                <w:szCs w:val="18"/>
              </w:rPr>
              <w:t xml:space="preserve"> clear whether </w:t>
            </w:r>
            <w:r w:rsidR="000813BE">
              <w:rPr>
                <w:rFonts w:eastAsia="Muli" w:cs="Muli"/>
                <w:color w:val="000000" w:themeColor="text1"/>
                <w:sz w:val="18"/>
                <w:szCs w:val="18"/>
              </w:rPr>
              <w:t>the program</w:t>
            </w:r>
            <w:r w:rsidRPr="0060194E">
              <w:rPr>
                <w:rFonts w:eastAsia="Muli" w:cs="Muli"/>
                <w:color w:val="000000" w:themeColor="text1"/>
                <w:sz w:val="18"/>
                <w:szCs w:val="18"/>
              </w:rPr>
              <w:t xml:space="preserve"> would continue.</w:t>
            </w:r>
            <w:r w:rsidR="004A7354">
              <w:rPr>
                <w:rFonts w:eastAsia="Muli" w:cs="Muli"/>
                <w:color w:val="000000" w:themeColor="text1"/>
                <w:sz w:val="18"/>
                <w:szCs w:val="18"/>
              </w:rPr>
              <w:t xml:space="preserve"> </w:t>
            </w:r>
          </w:p>
          <w:p w14:paraId="760FF84A" w14:textId="193502A4" w:rsidR="003C3034" w:rsidRPr="0060194E" w:rsidRDefault="003C3034" w:rsidP="003C3034">
            <w:pPr>
              <w:spacing w:after="120"/>
              <w:rPr>
                <w:rFonts w:eastAsia="Muli" w:cs="Muli"/>
                <w:color w:val="000000" w:themeColor="text1"/>
                <w:sz w:val="18"/>
                <w:szCs w:val="18"/>
              </w:rPr>
            </w:pPr>
            <w:r w:rsidRPr="0060194E">
              <w:rPr>
                <w:rFonts w:eastAsia="Muli" w:cs="Muli"/>
                <w:color w:val="000000" w:themeColor="text1"/>
                <w:sz w:val="18"/>
                <w:szCs w:val="18"/>
              </w:rPr>
              <w:t>Following the end of the enrolment period, those practices that thought their model already aligned with HCH before joining the trial continued with their usual practice</w:t>
            </w:r>
            <w:r w:rsidR="00E228EA">
              <w:rPr>
                <w:rFonts w:eastAsia="Muli" w:cs="Muli"/>
                <w:color w:val="000000" w:themeColor="text1"/>
                <w:sz w:val="18"/>
                <w:szCs w:val="18"/>
              </w:rPr>
              <w:t>s</w:t>
            </w:r>
            <w:r w:rsidRPr="0060194E">
              <w:rPr>
                <w:rFonts w:eastAsia="Muli" w:cs="Muli"/>
                <w:color w:val="000000" w:themeColor="text1"/>
                <w:sz w:val="18"/>
                <w:szCs w:val="18"/>
              </w:rPr>
              <w:t xml:space="preserve">. The practices that aspired to make changes but </w:t>
            </w:r>
            <w:r w:rsidR="00774A47">
              <w:rPr>
                <w:rFonts w:eastAsia="Muli" w:cs="Muli"/>
                <w:color w:val="000000" w:themeColor="text1"/>
                <w:sz w:val="18"/>
                <w:szCs w:val="18"/>
              </w:rPr>
              <w:t>didn’t</w:t>
            </w:r>
            <w:r w:rsidRPr="0060194E">
              <w:rPr>
                <w:rFonts w:eastAsia="Muli" w:cs="Muli"/>
                <w:color w:val="000000" w:themeColor="text1"/>
                <w:sz w:val="18"/>
                <w:szCs w:val="18"/>
              </w:rPr>
              <w:t xml:space="preserve"> </w:t>
            </w:r>
            <w:r w:rsidR="001F0750">
              <w:rPr>
                <w:rFonts w:eastAsia="Muli" w:cs="Muli"/>
                <w:color w:val="000000" w:themeColor="text1"/>
                <w:sz w:val="18"/>
                <w:szCs w:val="18"/>
              </w:rPr>
              <w:t>identified</w:t>
            </w:r>
            <w:r w:rsidRPr="0060194E">
              <w:rPr>
                <w:rFonts w:eastAsia="Muli" w:cs="Muli"/>
                <w:color w:val="000000" w:themeColor="text1"/>
                <w:sz w:val="18"/>
                <w:szCs w:val="18"/>
              </w:rPr>
              <w:t xml:space="preserve"> staff turnover (especially losing champions who drove the program</w:t>
            </w:r>
            <w:r>
              <w:rPr>
                <w:rFonts w:eastAsia="Muli" w:cs="Muli"/>
                <w:color w:val="000000" w:themeColor="text1"/>
                <w:sz w:val="18"/>
                <w:szCs w:val="18"/>
              </w:rPr>
              <w:t xml:space="preserve"> within their practice</w:t>
            </w:r>
            <w:r w:rsidRPr="0060194E">
              <w:rPr>
                <w:rFonts w:eastAsia="Muli" w:cs="Muli"/>
                <w:color w:val="000000" w:themeColor="text1"/>
                <w:sz w:val="18"/>
                <w:szCs w:val="18"/>
              </w:rPr>
              <w:t xml:space="preserve">), the high administrative burden of the program and COVID-19 as factors that reduced staff enthusiasm and engagement with the program and hindered their progress. </w:t>
            </w:r>
          </w:p>
          <w:p w14:paraId="5DB523B2" w14:textId="77777777" w:rsidR="003C3034" w:rsidRPr="0060194E" w:rsidRDefault="003C3034" w:rsidP="003C3034">
            <w:pPr>
              <w:spacing w:after="120"/>
              <w:rPr>
                <w:rFonts w:eastAsia="Muli" w:cs="Muli"/>
                <w:color w:val="000000" w:themeColor="text1"/>
                <w:sz w:val="18"/>
                <w:szCs w:val="18"/>
              </w:rPr>
            </w:pPr>
            <w:r w:rsidRPr="0060194E">
              <w:rPr>
                <w:rFonts w:eastAsia="Muli" w:cs="Muli"/>
                <w:color w:val="000000" w:themeColor="text1"/>
                <w:sz w:val="18"/>
                <w:szCs w:val="18"/>
              </w:rPr>
              <w:t>While COVID-19 slowed some initiatives, it accelerated others such as HCH patients being able to call or email/text the practice about their health concerns or refill scripts without a GP consultation. Practices also reported that some of the initiatives that they had implemented as a HCH helped them better manage patients with chronic conditions during the pandemic. These included alternative communication mechanisms for patients (telephone, email, secure messaging), proactive contact to check on patients’ health and regular meetings of the HCH practice team to review patients</w:t>
            </w:r>
            <w:r>
              <w:rPr>
                <w:rFonts w:eastAsia="Muli" w:cs="Muli"/>
                <w:color w:val="000000" w:themeColor="text1"/>
                <w:sz w:val="18"/>
                <w:szCs w:val="18"/>
              </w:rPr>
              <w:t>’</w:t>
            </w:r>
            <w:r w:rsidRPr="0060194E">
              <w:rPr>
                <w:rFonts w:eastAsia="Muli" w:cs="Muli"/>
                <w:color w:val="000000" w:themeColor="text1"/>
                <w:sz w:val="18"/>
                <w:szCs w:val="18"/>
              </w:rPr>
              <w:t xml:space="preserve"> care needs. </w:t>
            </w:r>
          </w:p>
          <w:p w14:paraId="09274466" w14:textId="77777777" w:rsidR="003C3034" w:rsidRPr="003C3034" w:rsidRDefault="003C3034" w:rsidP="003C3034">
            <w:pPr>
              <w:spacing w:after="120"/>
              <w:rPr>
                <w:rFonts w:eastAsia="Muli" w:cs="Muli"/>
                <w:color w:val="000000" w:themeColor="text1"/>
                <w:sz w:val="18"/>
                <w:szCs w:val="18"/>
              </w:rPr>
            </w:pPr>
            <w:r w:rsidRPr="0060194E">
              <w:rPr>
                <w:rFonts w:eastAsia="Muli" w:cs="Muli"/>
                <w:color w:val="000000" w:themeColor="text1"/>
                <w:sz w:val="18"/>
                <w:szCs w:val="18"/>
              </w:rPr>
              <w:t xml:space="preserve">Some practices expressed that one of the effects of the pandemic was that it negated the need for a program like HCH with the increased use (and acceptance by patients) of telehealth, </w:t>
            </w:r>
            <w:proofErr w:type="spellStart"/>
            <w:r w:rsidRPr="0060194E">
              <w:rPr>
                <w:rFonts w:eastAsia="Muli" w:cs="Muli"/>
                <w:color w:val="000000" w:themeColor="text1"/>
                <w:sz w:val="18"/>
                <w:szCs w:val="18"/>
              </w:rPr>
              <w:t>eScripts</w:t>
            </w:r>
            <w:proofErr w:type="spellEnd"/>
            <w:r w:rsidRPr="0060194E">
              <w:rPr>
                <w:rFonts w:eastAsia="Muli" w:cs="Muli"/>
                <w:color w:val="000000" w:themeColor="text1"/>
                <w:sz w:val="18"/>
                <w:szCs w:val="18"/>
              </w:rPr>
              <w:t xml:space="preserve"> and </w:t>
            </w:r>
            <w:proofErr w:type="spellStart"/>
            <w:r w:rsidRPr="0060194E">
              <w:rPr>
                <w:rFonts w:eastAsia="Muli" w:cs="Muli"/>
                <w:color w:val="000000" w:themeColor="text1"/>
                <w:sz w:val="18"/>
                <w:szCs w:val="18"/>
              </w:rPr>
              <w:t>eReferrals</w:t>
            </w:r>
            <w:proofErr w:type="spellEnd"/>
            <w:r w:rsidRPr="0060194E">
              <w:rPr>
                <w:rFonts w:eastAsia="Muli" w:cs="Muli"/>
                <w:color w:val="000000" w:themeColor="text1"/>
                <w:sz w:val="18"/>
                <w:szCs w:val="18"/>
              </w:rPr>
              <w:t xml:space="preserve">. However, this illustrates a narrow </w:t>
            </w:r>
            <w:r>
              <w:rPr>
                <w:rFonts w:eastAsia="Muli" w:cs="Muli"/>
                <w:color w:val="000000" w:themeColor="text1"/>
                <w:sz w:val="18"/>
                <w:szCs w:val="18"/>
              </w:rPr>
              <w:t>interpretation of the HCH model; that it is pr</w:t>
            </w:r>
            <w:r w:rsidRPr="003C3034">
              <w:rPr>
                <w:rFonts w:eastAsia="Muli" w:cs="Muli"/>
                <w:color w:val="000000" w:themeColor="text1"/>
                <w:sz w:val="18"/>
                <w:szCs w:val="18"/>
              </w:rPr>
              <w:t>edominantly about offering patients alternatives to face-to-face contacts.</w:t>
            </w:r>
          </w:p>
          <w:p w14:paraId="4277C3A3" w14:textId="06BFD628" w:rsidR="003C3034" w:rsidRPr="003C3034" w:rsidRDefault="003C3034" w:rsidP="003C3034">
            <w:pPr>
              <w:spacing w:after="120"/>
              <w:rPr>
                <w:rFonts w:eastAsia="Muli" w:cs="Muli"/>
                <w:color w:val="000000" w:themeColor="text1"/>
                <w:sz w:val="18"/>
                <w:szCs w:val="18"/>
              </w:rPr>
            </w:pPr>
            <w:r w:rsidRPr="003C3034">
              <w:rPr>
                <w:rFonts w:eastAsia="Muli" w:cs="Muli"/>
                <w:color w:val="000000" w:themeColor="text1"/>
                <w:sz w:val="18"/>
                <w:szCs w:val="18"/>
              </w:rPr>
              <w:t>Practices reported issues with keeping up with chronic disease management during the pandemic, due to the inability to see patients face-to-face and pressures associated with the pandemic that made it difficult to provide proactive, planned care. Overall, the pandemic stifled HCH activities/progress</w:t>
            </w:r>
            <w:r w:rsidR="00BB0F18">
              <w:rPr>
                <w:rFonts w:eastAsia="Muli" w:cs="Muli"/>
                <w:color w:val="000000" w:themeColor="text1"/>
                <w:sz w:val="18"/>
                <w:szCs w:val="18"/>
              </w:rPr>
              <w:t xml:space="preserve"> for many practices</w:t>
            </w:r>
            <w:r w:rsidRPr="003C3034">
              <w:rPr>
                <w:rFonts w:eastAsia="Muli" w:cs="Muli"/>
                <w:color w:val="000000" w:themeColor="text1"/>
                <w:sz w:val="18"/>
                <w:szCs w:val="18"/>
              </w:rPr>
              <w:t>.</w:t>
            </w:r>
          </w:p>
          <w:p w14:paraId="1A4079C0" w14:textId="6C5406F5" w:rsidR="002F5ABF" w:rsidRPr="002F5ABF" w:rsidRDefault="002F5ABF" w:rsidP="002F5ABF">
            <w:pPr>
              <w:spacing w:after="120"/>
              <w:rPr>
                <w:rFonts w:eastAsia="Muli" w:cs="Muli"/>
                <w:color w:val="000000" w:themeColor="text1"/>
                <w:sz w:val="18"/>
                <w:szCs w:val="18"/>
              </w:rPr>
            </w:pPr>
            <w:r w:rsidRPr="002F5ABF">
              <w:rPr>
                <w:rFonts w:eastAsia="Muli" w:cs="Muli"/>
                <w:color w:val="000000" w:themeColor="text1"/>
                <w:sz w:val="18"/>
                <w:szCs w:val="18"/>
              </w:rPr>
              <w:lastRenderedPageBreak/>
              <w:t xml:space="preserve">Practices used the HCH-A tool to assess themselves against dimensions of the PCMH. The tool includes eight dimensions. Across 60 practices that reported their scores in </w:t>
            </w:r>
            <w:r w:rsidR="00C95B29">
              <w:rPr>
                <w:rFonts w:eastAsia="Muli" w:cs="Muli"/>
                <w:color w:val="000000" w:themeColor="text1"/>
                <w:sz w:val="18"/>
                <w:szCs w:val="18"/>
              </w:rPr>
              <w:t xml:space="preserve">both </w:t>
            </w:r>
            <w:r w:rsidRPr="002F5ABF">
              <w:rPr>
                <w:rFonts w:eastAsia="Muli" w:cs="Muli"/>
                <w:color w:val="000000" w:themeColor="text1"/>
                <w:sz w:val="18"/>
                <w:szCs w:val="18"/>
              </w:rPr>
              <w:t xml:space="preserve">round 1 and round 5, the mean scores increased on each item and for each dimension. However, the increase was mostly below a value 1, and the increase </w:t>
            </w:r>
            <w:r w:rsidR="00AB5B68">
              <w:rPr>
                <w:rFonts w:eastAsia="Muli" w:cs="Muli"/>
                <w:color w:val="000000" w:themeColor="text1"/>
                <w:sz w:val="18"/>
                <w:szCs w:val="18"/>
              </w:rPr>
              <w:t xml:space="preserve">was </w:t>
            </w:r>
            <w:r w:rsidRPr="002F5ABF">
              <w:rPr>
                <w:rFonts w:eastAsia="Muli" w:cs="Muli"/>
                <w:color w:val="000000" w:themeColor="text1"/>
                <w:sz w:val="18"/>
                <w:szCs w:val="18"/>
              </w:rPr>
              <w:t>statistically significant</w:t>
            </w:r>
            <w:r w:rsidR="00AB5B68">
              <w:rPr>
                <w:rFonts w:eastAsia="Muli" w:cs="Muli"/>
                <w:color w:val="000000" w:themeColor="text1"/>
                <w:sz w:val="18"/>
                <w:szCs w:val="18"/>
              </w:rPr>
              <w:t xml:space="preserve"> </w:t>
            </w:r>
            <w:r w:rsidR="00AB5B68" w:rsidRPr="002F5ABF">
              <w:rPr>
                <w:rFonts w:eastAsia="Muli" w:cs="Muli"/>
                <w:color w:val="000000" w:themeColor="text1"/>
                <w:sz w:val="18"/>
                <w:szCs w:val="18"/>
              </w:rPr>
              <w:t>on only selected items</w:t>
            </w:r>
            <w:r w:rsidRPr="002F5ABF">
              <w:rPr>
                <w:rFonts w:eastAsia="Muli" w:cs="Muli"/>
                <w:color w:val="000000" w:themeColor="text1"/>
                <w:sz w:val="18"/>
                <w:szCs w:val="18"/>
              </w:rPr>
              <w:t xml:space="preserve">. Across all dimensions and most items, the proportion of practices reporting an increase in the score </w:t>
            </w:r>
            <w:r w:rsidR="009B7B4B">
              <w:rPr>
                <w:rFonts w:eastAsia="Muli" w:cs="Muli"/>
                <w:color w:val="000000" w:themeColor="text1"/>
                <w:sz w:val="18"/>
                <w:szCs w:val="18"/>
              </w:rPr>
              <w:t>(that is, rather than the score remaining static or decreasing)</w:t>
            </w:r>
            <w:r w:rsidRPr="002F5ABF">
              <w:rPr>
                <w:rFonts w:eastAsia="Muli" w:cs="Muli"/>
                <w:color w:val="000000" w:themeColor="text1"/>
                <w:sz w:val="18"/>
                <w:szCs w:val="18"/>
              </w:rPr>
              <w:t xml:space="preserve"> was greater than 50%. </w:t>
            </w:r>
          </w:p>
          <w:p w14:paraId="713C0E79" w14:textId="65820EC9" w:rsidR="00C25B7C" w:rsidRDefault="002F5ABF" w:rsidP="002F5ABF">
            <w:pPr>
              <w:spacing w:after="120"/>
              <w:rPr>
                <w:rFonts w:eastAsia="Muli" w:cs="Muli"/>
                <w:color w:val="000000" w:themeColor="text1"/>
                <w:sz w:val="18"/>
                <w:szCs w:val="18"/>
              </w:rPr>
            </w:pPr>
            <w:r w:rsidRPr="002F5ABF">
              <w:rPr>
                <w:rFonts w:eastAsia="Muli" w:cs="Muli"/>
                <w:color w:val="000000" w:themeColor="text1"/>
                <w:sz w:val="18"/>
                <w:szCs w:val="18"/>
              </w:rPr>
              <w:t xml:space="preserve">The dimensions </w:t>
            </w:r>
            <w:r w:rsidR="00BA3EF7">
              <w:rPr>
                <w:rFonts w:eastAsia="Muli" w:cs="Muli"/>
                <w:color w:val="000000" w:themeColor="text1"/>
                <w:sz w:val="18"/>
                <w:szCs w:val="18"/>
              </w:rPr>
              <w:t>with</w:t>
            </w:r>
            <w:r w:rsidRPr="002F5ABF">
              <w:rPr>
                <w:rFonts w:eastAsia="Muli" w:cs="Muli"/>
                <w:color w:val="000000" w:themeColor="text1"/>
                <w:sz w:val="18"/>
                <w:szCs w:val="18"/>
              </w:rPr>
              <w:t xml:space="preserve"> the greatest level of improvement were “2 Patient enrolment”, “3 Quality improvement strategy”, and “6 Patient-centred interactions”. A relatively high proportion of practices (60%) reported improvements with the dimension of “5 Organised, evidence-based care”, although the difference in mean scores were generally not significant for this dimension. Other items in which there was a statistically significant improvement in mean scores included “31 Practice approach to linking patients to supportive community-based resources” and “34 Contacting the care team during regular business hours”.</w:t>
            </w:r>
            <w:r w:rsidR="006D75FB">
              <w:rPr>
                <w:rFonts w:eastAsia="Muli" w:cs="Muli"/>
                <w:color w:val="000000" w:themeColor="text1"/>
                <w:sz w:val="18"/>
                <w:szCs w:val="18"/>
              </w:rPr>
              <w:t xml:space="preserve"> </w:t>
            </w:r>
          </w:p>
          <w:p w14:paraId="0CB71677" w14:textId="3B7D292C" w:rsidR="002F5ABF" w:rsidRPr="003C3034" w:rsidRDefault="002F5ABF" w:rsidP="002F5ABF">
            <w:pPr>
              <w:spacing w:after="120"/>
              <w:rPr>
                <w:rFonts w:eastAsia="Muli" w:cs="Muli"/>
                <w:color w:val="000000" w:themeColor="text1"/>
                <w:sz w:val="18"/>
                <w:szCs w:val="18"/>
              </w:rPr>
            </w:pPr>
            <w:r w:rsidRPr="003C3034">
              <w:rPr>
                <w:rFonts w:eastAsia="Muli" w:cs="Muli"/>
                <w:color w:val="000000" w:themeColor="text1"/>
                <w:sz w:val="18"/>
                <w:szCs w:val="18"/>
              </w:rPr>
              <w:t xml:space="preserve">Initiatives that less than half of the HCH practices said they had in place before the trial included: regular meetings of the practice team to review HCH patients and their care needs; reassigning components of care from the GP or nurse to a medical assistant; introducing new roles within the practice; </w:t>
            </w:r>
            <w:r>
              <w:rPr>
                <w:rFonts w:eastAsia="Muli" w:cs="Muli"/>
                <w:color w:val="000000" w:themeColor="text1"/>
                <w:sz w:val="18"/>
                <w:szCs w:val="18"/>
              </w:rPr>
              <w:t>p</w:t>
            </w:r>
            <w:r w:rsidRPr="00913906">
              <w:rPr>
                <w:rFonts w:eastAsia="Muli" w:cs="Muli"/>
                <w:color w:val="000000" w:themeColor="text1"/>
                <w:sz w:val="18"/>
                <w:szCs w:val="18"/>
              </w:rPr>
              <w:t>roactive contact with patients to check how they are going</w:t>
            </w:r>
            <w:r>
              <w:rPr>
                <w:rFonts w:eastAsia="Muli" w:cs="Muli"/>
                <w:color w:val="000000" w:themeColor="text1"/>
                <w:sz w:val="18"/>
                <w:szCs w:val="18"/>
              </w:rPr>
              <w:t>; j</w:t>
            </w:r>
            <w:r w:rsidRPr="00913906">
              <w:rPr>
                <w:rFonts w:eastAsia="Muli" w:cs="Muli"/>
                <w:color w:val="000000" w:themeColor="text1"/>
                <w:sz w:val="18"/>
                <w:szCs w:val="18"/>
              </w:rPr>
              <w:t>oint consultations for a patient involving a GP, nurse and allied health</w:t>
            </w:r>
            <w:r>
              <w:rPr>
                <w:rFonts w:eastAsia="Muli" w:cs="Muli"/>
                <w:color w:val="000000" w:themeColor="text1"/>
                <w:sz w:val="18"/>
                <w:szCs w:val="18"/>
              </w:rPr>
              <w:t xml:space="preserve">; </w:t>
            </w:r>
            <w:r w:rsidRPr="003C3034">
              <w:rPr>
                <w:rFonts w:eastAsia="Muli" w:cs="Muli"/>
                <w:color w:val="000000" w:themeColor="text1"/>
                <w:sz w:val="18"/>
                <w:szCs w:val="18"/>
              </w:rPr>
              <w:t>dedicated clinics for patients with specific chronic conditions; group consultations; secure communications/ messaging between patients and GP or nurse; and a patient portal. Of these, during their time in the HCH trial, practices made the least progress with group consultations; reassigning components of care from the GP or nurse to a medical assistant; introducing new roles within the practice; dedicated clinics for patients with specific chronic conditions; introducing a patient portal; and joint consultations involving a GP, nurse and allied health.</w:t>
            </w:r>
          </w:p>
          <w:p w14:paraId="1CA691DC" w14:textId="542CB97D" w:rsidR="00B53809" w:rsidRDefault="00B53809" w:rsidP="00B53809">
            <w:pPr>
              <w:spacing w:after="120"/>
              <w:rPr>
                <w:rFonts w:eastAsia="Muli" w:cs="Muli"/>
                <w:color w:val="000000" w:themeColor="text1"/>
                <w:sz w:val="18"/>
                <w:szCs w:val="18"/>
              </w:rPr>
            </w:pPr>
            <w:bookmarkStart w:id="176" w:name="_Hlk99120913"/>
            <w:r>
              <w:rPr>
                <w:rFonts w:eastAsia="Muli" w:cs="Muli"/>
                <w:color w:val="000000" w:themeColor="text1"/>
                <w:sz w:val="18"/>
                <w:szCs w:val="18"/>
              </w:rPr>
              <w:t>P</w:t>
            </w:r>
            <w:r w:rsidRPr="00A14436">
              <w:rPr>
                <w:rFonts w:eastAsia="Muli" w:cs="Muli"/>
                <w:color w:val="000000" w:themeColor="text1"/>
                <w:sz w:val="18"/>
                <w:szCs w:val="18"/>
              </w:rPr>
              <w:t>ractice staff generally reported improvements in the care planning process</w:t>
            </w:r>
            <w:r w:rsidR="00712BF7">
              <w:rPr>
                <w:rFonts w:eastAsia="Muli" w:cs="Muli"/>
                <w:color w:val="000000" w:themeColor="text1"/>
                <w:sz w:val="18"/>
                <w:szCs w:val="18"/>
              </w:rPr>
              <w:t xml:space="preserve"> during the HCH trial</w:t>
            </w:r>
            <w:r>
              <w:rPr>
                <w:rFonts w:eastAsia="Muli" w:cs="Muli"/>
                <w:color w:val="000000" w:themeColor="text1"/>
                <w:sz w:val="18"/>
                <w:szCs w:val="18"/>
              </w:rPr>
              <w:t>.</w:t>
            </w:r>
          </w:p>
          <w:p w14:paraId="18BE09C7" w14:textId="027267FF" w:rsidR="003C3034" w:rsidRPr="003C3034" w:rsidRDefault="003C3034" w:rsidP="003C3034">
            <w:pPr>
              <w:spacing w:after="120"/>
              <w:rPr>
                <w:rFonts w:eastAsia="Muli" w:cs="Muli"/>
                <w:color w:val="000000" w:themeColor="text1"/>
                <w:sz w:val="18"/>
                <w:szCs w:val="18"/>
              </w:rPr>
            </w:pPr>
            <w:r w:rsidRPr="003C3034">
              <w:rPr>
                <w:rFonts w:eastAsia="Muli" w:cs="Muli"/>
                <w:color w:val="000000" w:themeColor="text1"/>
                <w:sz w:val="18"/>
                <w:szCs w:val="18"/>
              </w:rPr>
              <w:t>Using the Patient Activation Measure (PAM), HCH patients’ knowledge, skill, and confidence for self-management did not change between the three time points at which patients were surveyed. Longitudinal analysis o</w:t>
            </w:r>
            <w:r w:rsidR="00120521">
              <w:rPr>
                <w:rFonts w:eastAsia="Muli" w:cs="Muli"/>
                <w:color w:val="000000" w:themeColor="text1"/>
                <w:sz w:val="18"/>
                <w:szCs w:val="18"/>
              </w:rPr>
              <w:t>f</w:t>
            </w:r>
            <w:r w:rsidRPr="003C3034">
              <w:rPr>
                <w:rFonts w:eastAsia="Muli" w:cs="Muli"/>
                <w:color w:val="000000" w:themeColor="text1"/>
                <w:sz w:val="18"/>
                <w:szCs w:val="18"/>
              </w:rPr>
              <w:t xml:space="preserve"> patients </w:t>
            </w:r>
            <w:r w:rsidR="000C3616">
              <w:rPr>
                <w:rFonts w:eastAsia="Muli" w:cs="Muli"/>
                <w:color w:val="000000" w:themeColor="text1"/>
                <w:sz w:val="18"/>
                <w:szCs w:val="18"/>
              </w:rPr>
              <w:t>who</w:t>
            </w:r>
            <w:r w:rsidRPr="003C3034">
              <w:rPr>
                <w:rFonts w:eastAsia="Muli" w:cs="Muli"/>
                <w:color w:val="000000" w:themeColor="text1"/>
                <w:sz w:val="18"/>
                <w:szCs w:val="18"/>
              </w:rPr>
              <w:t xml:space="preserve"> participated in all three surveys found there was an increase in the PAM score, but this was not statistically significant. This is possibly due to patients enrolled in HCH already starting with a higher level of activation than patients with chronic disease in the general Australian population. In the practice survey, almost all practices perceived an improvement in the level of engagement or activation of patients during the trial. The disagreement is possibly due to the PAM measuring patient activation in a different way to which practice staff tend to make these judgements or that practices have more positive perception</w:t>
            </w:r>
            <w:r w:rsidR="00536630">
              <w:rPr>
                <w:rFonts w:eastAsia="Muli" w:cs="Muli"/>
                <w:color w:val="000000" w:themeColor="text1"/>
                <w:sz w:val="18"/>
                <w:szCs w:val="18"/>
              </w:rPr>
              <w:t>s</w:t>
            </w:r>
            <w:r w:rsidRPr="003C3034">
              <w:rPr>
                <w:rFonts w:eastAsia="Muli" w:cs="Muli"/>
                <w:color w:val="000000" w:themeColor="text1"/>
                <w:sz w:val="18"/>
                <w:szCs w:val="18"/>
              </w:rPr>
              <w:t xml:space="preserve"> of changes compared with patients, for example, being influenced by exceptions rather than the norm when responding to the question.</w:t>
            </w:r>
          </w:p>
          <w:bookmarkEnd w:id="176"/>
          <w:p w14:paraId="3B48ACD3" w14:textId="0058B726" w:rsidR="003C3034" w:rsidRPr="0060194E" w:rsidRDefault="003C3034" w:rsidP="003C3034">
            <w:pPr>
              <w:spacing w:after="120"/>
              <w:rPr>
                <w:rFonts w:eastAsia="Muli" w:cs="Muli"/>
                <w:color w:val="000000" w:themeColor="text1"/>
                <w:sz w:val="18"/>
                <w:szCs w:val="18"/>
              </w:rPr>
            </w:pPr>
            <w:r w:rsidRPr="0060194E">
              <w:rPr>
                <w:rFonts w:eastAsia="Muli" w:cs="Muli"/>
                <w:color w:val="000000" w:themeColor="text1"/>
                <w:sz w:val="18"/>
                <w:szCs w:val="18"/>
              </w:rPr>
              <w:t xml:space="preserve">Several practices reported focusing on team-based care and delegation from the GP to other team members as part of their HCH transformation. </w:t>
            </w:r>
            <w:r>
              <w:rPr>
                <w:rFonts w:eastAsia="Muli" w:cs="Muli"/>
                <w:color w:val="000000" w:themeColor="text1"/>
                <w:sz w:val="18"/>
                <w:szCs w:val="18"/>
              </w:rPr>
              <w:t>For these practices this</w:t>
            </w:r>
            <w:r w:rsidRPr="0060194E">
              <w:rPr>
                <w:rFonts w:eastAsia="Muli" w:cs="Muli"/>
                <w:color w:val="000000" w:themeColor="text1"/>
                <w:sz w:val="18"/>
                <w:szCs w:val="18"/>
              </w:rPr>
              <w:t xml:space="preserve"> focus brought about positive results for both staff and patients and was considered a key change resulting from HCH. Team care was reinforced by routine team meetings or </w:t>
            </w:r>
            <w:r w:rsidR="0087126D">
              <w:rPr>
                <w:rFonts w:eastAsia="Muli" w:cs="Muli"/>
                <w:color w:val="000000" w:themeColor="text1"/>
                <w:sz w:val="18"/>
                <w:szCs w:val="18"/>
              </w:rPr>
              <w:t>“</w:t>
            </w:r>
            <w:r w:rsidRPr="0060194E">
              <w:rPr>
                <w:rFonts w:eastAsia="Muli" w:cs="Muli"/>
                <w:color w:val="000000" w:themeColor="text1"/>
                <w:sz w:val="18"/>
                <w:szCs w:val="18"/>
              </w:rPr>
              <w:t>huddles</w:t>
            </w:r>
            <w:r w:rsidR="0087126D">
              <w:rPr>
                <w:rFonts w:eastAsia="Muli" w:cs="Muli"/>
                <w:color w:val="000000" w:themeColor="text1"/>
                <w:sz w:val="18"/>
                <w:szCs w:val="18"/>
              </w:rPr>
              <w:t>”</w:t>
            </w:r>
            <w:r w:rsidRPr="0060194E">
              <w:rPr>
                <w:rFonts w:eastAsia="Muli" w:cs="Muli"/>
                <w:color w:val="000000" w:themeColor="text1"/>
                <w:sz w:val="18"/>
                <w:szCs w:val="18"/>
              </w:rPr>
              <w:t xml:space="preserve"> and preparing patients for the team approach. GP </w:t>
            </w:r>
            <w:r w:rsidR="00320C89">
              <w:rPr>
                <w:rFonts w:eastAsia="Muli" w:cs="Muli"/>
                <w:color w:val="000000" w:themeColor="text1"/>
                <w:sz w:val="18"/>
                <w:szCs w:val="18"/>
              </w:rPr>
              <w:t xml:space="preserve">lack of </w:t>
            </w:r>
            <w:r w:rsidRPr="0060194E">
              <w:rPr>
                <w:rFonts w:eastAsia="Muli" w:cs="Muli"/>
                <w:color w:val="000000" w:themeColor="text1"/>
                <w:sz w:val="18"/>
                <w:szCs w:val="18"/>
              </w:rPr>
              <w:t xml:space="preserve">willingness to delegate care responsibilities (due to mindset or risk management) was a barrier for some practices in enhancing team-based care. Key enablers for team-based care, which were also barriers when not present, were staff engagement with the model, patients’ willingness to </w:t>
            </w:r>
            <w:r w:rsidR="00FD70BB">
              <w:rPr>
                <w:rFonts w:eastAsia="Muli" w:cs="Muli"/>
                <w:color w:val="000000" w:themeColor="text1"/>
                <w:sz w:val="18"/>
                <w:szCs w:val="18"/>
              </w:rPr>
              <w:t xml:space="preserve">receive care from </w:t>
            </w:r>
            <w:r w:rsidRPr="0060194E">
              <w:rPr>
                <w:rFonts w:eastAsia="Muli" w:cs="Muli"/>
                <w:color w:val="000000" w:themeColor="text1"/>
                <w:sz w:val="18"/>
                <w:szCs w:val="18"/>
              </w:rPr>
              <w:t>other members of the team and awareness of the goals and mechanisms of the HCH model, and use of practices’ shared care software by external providers.</w:t>
            </w:r>
            <w:r w:rsidR="007B09B9">
              <w:rPr>
                <w:rFonts w:eastAsia="Muli" w:cs="Muli"/>
                <w:color w:val="000000" w:themeColor="text1"/>
                <w:sz w:val="18"/>
                <w:szCs w:val="18"/>
              </w:rPr>
              <w:t xml:space="preserve"> The practice staff survey showed improvements </w:t>
            </w:r>
            <w:r w:rsidR="000C631F">
              <w:rPr>
                <w:rFonts w:eastAsia="Muli" w:cs="Muli"/>
                <w:color w:val="000000" w:themeColor="text1"/>
                <w:sz w:val="18"/>
                <w:szCs w:val="18"/>
              </w:rPr>
              <w:t xml:space="preserve">in </w:t>
            </w:r>
            <w:r w:rsidR="007B09B9" w:rsidRPr="007B09B9">
              <w:rPr>
                <w:rFonts w:eastAsia="Muli" w:cs="Muli"/>
                <w:color w:val="000000" w:themeColor="text1"/>
                <w:sz w:val="18"/>
                <w:szCs w:val="18"/>
              </w:rPr>
              <w:t>team functioning</w:t>
            </w:r>
            <w:r w:rsidR="000C631F">
              <w:rPr>
                <w:rFonts w:eastAsia="Muli" w:cs="Muli"/>
                <w:color w:val="000000" w:themeColor="text1"/>
                <w:sz w:val="18"/>
                <w:szCs w:val="18"/>
              </w:rPr>
              <w:t xml:space="preserve"> </w:t>
            </w:r>
            <w:r w:rsidR="006C0284">
              <w:rPr>
                <w:rFonts w:eastAsia="Muli" w:cs="Muli"/>
                <w:color w:val="000000" w:themeColor="text1"/>
                <w:sz w:val="18"/>
                <w:szCs w:val="18"/>
              </w:rPr>
              <w:t>between</w:t>
            </w:r>
            <w:r w:rsidR="000C631F">
              <w:rPr>
                <w:rFonts w:eastAsia="Muli" w:cs="Muli"/>
                <w:color w:val="000000" w:themeColor="text1"/>
                <w:sz w:val="18"/>
                <w:szCs w:val="18"/>
              </w:rPr>
              <w:t xml:space="preserve"> the beginning </w:t>
            </w:r>
            <w:r w:rsidR="00FD70BB">
              <w:rPr>
                <w:rFonts w:eastAsia="Muli" w:cs="Muli"/>
                <w:color w:val="000000" w:themeColor="text1"/>
                <w:sz w:val="18"/>
                <w:szCs w:val="18"/>
              </w:rPr>
              <w:t>and</w:t>
            </w:r>
            <w:r w:rsidR="000C631F">
              <w:rPr>
                <w:rFonts w:eastAsia="Muli" w:cs="Muli"/>
                <w:color w:val="000000" w:themeColor="text1"/>
                <w:sz w:val="18"/>
                <w:szCs w:val="18"/>
              </w:rPr>
              <w:t xml:space="preserve"> the end of the trial</w:t>
            </w:r>
            <w:r w:rsidR="007B09B9" w:rsidRPr="007B09B9">
              <w:rPr>
                <w:rFonts w:eastAsia="Muli" w:cs="Muli"/>
                <w:color w:val="000000" w:themeColor="text1"/>
                <w:sz w:val="18"/>
                <w:szCs w:val="18"/>
              </w:rPr>
              <w:t xml:space="preserve">. </w:t>
            </w:r>
            <w:r w:rsidR="000C631F">
              <w:rPr>
                <w:rFonts w:eastAsia="Muli" w:cs="Muli"/>
                <w:color w:val="000000" w:themeColor="text1"/>
                <w:sz w:val="18"/>
                <w:szCs w:val="18"/>
              </w:rPr>
              <w:t>Nurses’ ratings</w:t>
            </w:r>
            <w:r w:rsidR="007B09B9" w:rsidRPr="007B09B9">
              <w:rPr>
                <w:rFonts w:eastAsia="Muli" w:cs="Muli"/>
                <w:color w:val="000000" w:themeColor="text1"/>
                <w:sz w:val="18"/>
                <w:szCs w:val="18"/>
              </w:rPr>
              <w:t xml:space="preserve"> </w:t>
            </w:r>
            <w:r w:rsidR="006C0284">
              <w:rPr>
                <w:rFonts w:eastAsia="Muli" w:cs="Muli"/>
                <w:color w:val="000000" w:themeColor="text1"/>
                <w:sz w:val="18"/>
                <w:szCs w:val="18"/>
              </w:rPr>
              <w:t xml:space="preserve">of the extent of team-based care </w:t>
            </w:r>
            <w:r w:rsidR="007B09B9" w:rsidRPr="007B09B9">
              <w:rPr>
                <w:rFonts w:eastAsia="Muli" w:cs="Muli"/>
                <w:color w:val="000000" w:themeColor="text1"/>
                <w:sz w:val="18"/>
                <w:szCs w:val="18"/>
              </w:rPr>
              <w:t xml:space="preserve">tended to be slightly lower </w:t>
            </w:r>
            <w:r w:rsidR="000C631F">
              <w:rPr>
                <w:rFonts w:eastAsia="Muli" w:cs="Muli"/>
                <w:color w:val="000000" w:themeColor="text1"/>
                <w:sz w:val="18"/>
                <w:szCs w:val="18"/>
              </w:rPr>
              <w:t>than</w:t>
            </w:r>
            <w:r w:rsidR="00B53809">
              <w:rPr>
                <w:rFonts w:eastAsia="Muli" w:cs="Muli"/>
                <w:color w:val="000000" w:themeColor="text1"/>
                <w:sz w:val="18"/>
                <w:szCs w:val="18"/>
              </w:rPr>
              <w:t xml:space="preserve"> other staff’s </w:t>
            </w:r>
            <w:r w:rsidR="00881A4C">
              <w:rPr>
                <w:rFonts w:eastAsia="Muli" w:cs="Muli"/>
                <w:color w:val="000000" w:themeColor="text1"/>
                <w:sz w:val="18"/>
                <w:szCs w:val="18"/>
              </w:rPr>
              <w:t>ratings</w:t>
            </w:r>
            <w:r w:rsidR="00B53809">
              <w:rPr>
                <w:rFonts w:eastAsia="Muli" w:cs="Muli"/>
                <w:color w:val="000000" w:themeColor="text1"/>
                <w:sz w:val="18"/>
                <w:szCs w:val="18"/>
              </w:rPr>
              <w:t>.</w:t>
            </w:r>
          </w:p>
          <w:p w14:paraId="6E1AE80D" w14:textId="77777777" w:rsidR="003C3034" w:rsidRPr="0060194E" w:rsidRDefault="003C3034" w:rsidP="003C3034">
            <w:pPr>
              <w:spacing w:after="120"/>
              <w:rPr>
                <w:rFonts w:eastAsia="Muli" w:cs="Muli"/>
                <w:color w:val="000000" w:themeColor="text1"/>
                <w:sz w:val="18"/>
                <w:szCs w:val="18"/>
              </w:rPr>
            </w:pPr>
            <w:r w:rsidRPr="002A5CD2">
              <w:rPr>
                <w:rFonts w:eastAsia="Muli" w:cs="Muli"/>
                <w:color w:val="000000" w:themeColor="text1"/>
                <w:sz w:val="18"/>
                <w:szCs w:val="18"/>
              </w:rPr>
              <w:lastRenderedPageBreak/>
              <w:t>To keep up with enrolment and ongoing management of HCH patients, some practices hired new staff and/ or established new roles responsible for HCH patients/ activities. New staff included nurses, medical practice assistants, and administrative assistants. Though some practices with a larger proportion of HCH patients would have liked to hire additional staff for HCH they felt that it was still not financially viable to do so or had issues with staff recruitment or retention.</w:t>
            </w:r>
          </w:p>
          <w:p w14:paraId="19452CEB" w14:textId="782F306F" w:rsidR="003C3034" w:rsidRPr="0060194E" w:rsidRDefault="003C3034" w:rsidP="003C3034">
            <w:pPr>
              <w:spacing w:after="120"/>
              <w:rPr>
                <w:rFonts w:eastAsia="Muli" w:cs="Muli"/>
                <w:color w:val="000000" w:themeColor="text1"/>
                <w:sz w:val="18"/>
                <w:szCs w:val="18"/>
              </w:rPr>
            </w:pPr>
            <w:r w:rsidRPr="0060194E">
              <w:rPr>
                <w:rFonts w:eastAsia="Muli" w:cs="Muli"/>
                <w:color w:val="000000" w:themeColor="text1"/>
                <w:sz w:val="18"/>
                <w:szCs w:val="18"/>
              </w:rPr>
              <w:t xml:space="preserve">Practices highlighted the importance and value of data in general practice, and many reported prioritising enhanced data collection and data quality since becoming </w:t>
            </w:r>
            <w:r w:rsidR="00DB1BD7">
              <w:rPr>
                <w:rFonts w:eastAsia="Muli" w:cs="Muli"/>
                <w:color w:val="000000" w:themeColor="text1"/>
                <w:sz w:val="18"/>
                <w:szCs w:val="18"/>
              </w:rPr>
              <w:t>a HCH</w:t>
            </w:r>
            <w:r w:rsidRPr="0060194E">
              <w:rPr>
                <w:rFonts w:eastAsia="Muli" w:cs="Muli"/>
                <w:color w:val="000000" w:themeColor="text1"/>
                <w:sz w:val="18"/>
                <w:szCs w:val="18"/>
              </w:rPr>
              <w:t xml:space="preserve">. </w:t>
            </w:r>
            <w:r w:rsidR="00881A4C" w:rsidRPr="00881A4C">
              <w:rPr>
                <w:rFonts w:eastAsia="Muli" w:cs="Muli"/>
                <w:color w:val="000000" w:themeColor="text1"/>
                <w:sz w:val="18"/>
                <w:szCs w:val="18"/>
              </w:rPr>
              <w:t>The practice staff survey showed improvements in the use of clinical data from the beginning to the end of the trial.</w:t>
            </w:r>
            <w:r w:rsidR="003159C2">
              <w:rPr>
                <w:rFonts w:eastAsia="Muli" w:cs="Muli"/>
                <w:color w:val="000000" w:themeColor="text1"/>
                <w:sz w:val="18"/>
                <w:szCs w:val="18"/>
              </w:rPr>
              <w:t xml:space="preserve"> </w:t>
            </w:r>
            <w:r w:rsidRPr="0060194E">
              <w:rPr>
                <w:rFonts w:eastAsia="Muli" w:cs="Muli"/>
                <w:color w:val="000000" w:themeColor="text1"/>
                <w:sz w:val="18"/>
                <w:szCs w:val="18"/>
              </w:rPr>
              <w:t>Practices asked for additional external emphasis and work on data quality and benchmarking for enhancing quality of care, establishing targets and more effectively measuring outcomes.</w:t>
            </w:r>
          </w:p>
          <w:p w14:paraId="0DD8DFF5" w14:textId="32215A96" w:rsidR="003C3034" w:rsidRPr="0060194E" w:rsidRDefault="003C3034" w:rsidP="003C3034">
            <w:pPr>
              <w:spacing w:after="120"/>
              <w:rPr>
                <w:rFonts w:eastAsia="Muli" w:cs="Muli"/>
                <w:color w:val="000000" w:themeColor="text1"/>
                <w:sz w:val="18"/>
                <w:szCs w:val="18"/>
              </w:rPr>
            </w:pPr>
            <w:r>
              <w:rPr>
                <w:rFonts w:eastAsia="Muli" w:cs="Muli"/>
                <w:color w:val="000000" w:themeColor="text1"/>
                <w:sz w:val="18"/>
                <w:szCs w:val="18"/>
              </w:rPr>
              <w:t>M</w:t>
            </w:r>
            <w:r w:rsidRPr="0060194E">
              <w:rPr>
                <w:rFonts w:eastAsia="Muli" w:cs="Muli"/>
                <w:color w:val="000000" w:themeColor="text1"/>
                <w:sz w:val="18"/>
                <w:szCs w:val="18"/>
              </w:rPr>
              <w:t xml:space="preserve">ost practices </w:t>
            </w:r>
            <w:r>
              <w:rPr>
                <w:rFonts w:eastAsia="Muli" w:cs="Muli"/>
                <w:color w:val="000000" w:themeColor="text1"/>
                <w:sz w:val="18"/>
                <w:szCs w:val="18"/>
              </w:rPr>
              <w:t xml:space="preserve">participating in the trial anecdotally </w:t>
            </w:r>
            <w:r w:rsidRPr="0060194E">
              <w:rPr>
                <w:rFonts w:eastAsia="Muli" w:cs="Muli"/>
                <w:color w:val="000000" w:themeColor="text1"/>
                <w:sz w:val="18"/>
                <w:szCs w:val="18"/>
              </w:rPr>
              <w:t>reported improvements in coordination of care, quality of care and access</w:t>
            </w:r>
            <w:r>
              <w:rPr>
                <w:rFonts w:eastAsia="Muli" w:cs="Muli"/>
                <w:color w:val="000000" w:themeColor="text1"/>
                <w:sz w:val="18"/>
                <w:szCs w:val="18"/>
              </w:rPr>
              <w:t xml:space="preserve"> for their patients</w:t>
            </w:r>
            <w:r w:rsidR="001E6896">
              <w:rPr>
                <w:rFonts w:eastAsia="Muli" w:cs="Muli"/>
                <w:color w:val="000000" w:themeColor="text1"/>
                <w:sz w:val="18"/>
                <w:szCs w:val="18"/>
              </w:rPr>
              <w:t xml:space="preserve">, and improvements in staff </w:t>
            </w:r>
            <w:r w:rsidR="008E3371">
              <w:rPr>
                <w:rFonts w:eastAsia="Muli" w:cs="Muli"/>
                <w:color w:val="000000" w:themeColor="text1"/>
                <w:sz w:val="18"/>
                <w:szCs w:val="18"/>
              </w:rPr>
              <w:t>experience and satisfaction</w:t>
            </w:r>
            <w:r>
              <w:rPr>
                <w:rFonts w:eastAsia="Muli" w:cs="Muli"/>
                <w:color w:val="000000" w:themeColor="text1"/>
                <w:sz w:val="18"/>
                <w:szCs w:val="18"/>
              </w:rPr>
              <w:t>.</w:t>
            </w:r>
          </w:p>
          <w:p w14:paraId="54147067" w14:textId="77777777" w:rsidR="003C3034" w:rsidRPr="0060194E" w:rsidRDefault="003C3034" w:rsidP="003C3034">
            <w:pPr>
              <w:spacing w:after="120"/>
              <w:rPr>
                <w:rFonts w:eastAsia="Muli" w:cs="Muli"/>
                <w:color w:val="000000" w:themeColor="text1"/>
                <w:sz w:val="18"/>
                <w:szCs w:val="18"/>
              </w:rPr>
            </w:pPr>
            <w:r w:rsidRPr="0060194E">
              <w:rPr>
                <w:rFonts w:eastAsia="Muli" w:cs="Muli"/>
                <w:color w:val="000000" w:themeColor="text1"/>
                <w:sz w:val="18"/>
                <w:szCs w:val="18"/>
              </w:rPr>
              <w:t>Overall, key enablers for implementing HCH that practices mentioned were leadership and staff participation, adequate enrolments, adequate resources and a focus on team-based and patient-centred care. Staff turnover and workforce shortages, administrative burden, patients’ understanding and expectations of HCH and scale of enrolments were key challenges for practices throughout the trial.</w:t>
            </w:r>
          </w:p>
          <w:p w14:paraId="1E1C8752" w14:textId="62A8F3BB" w:rsidR="007639D5" w:rsidRDefault="003C3034" w:rsidP="003C3034">
            <w:pPr>
              <w:spacing w:after="120"/>
              <w:rPr>
                <w:rFonts w:eastAsia="Muli" w:cs="Muli"/>
                <w:color w:val="000000" w:themeColor="text1"/>
                <w:sz w:val="18"/>
                <w:szCs w:val="18"/>
              </w:rPr>
            </w:pPr>
            <w:r w:rsidRPr="0060194E">
              <w:rPr>
                <w:rFonts w:eastAsia="Muli" w:cs="Muli"/>
                <w:color w:val="000000" w:themeColor="text1"/>
                <w:sz w:val="18"/>
                <w:szCs w:val="18"/>
              </w:rPr>
              <w:t xml:space="preserve">Towards the end of the trial, most practices said that they would participate in a program like HCH in the future. Specific elements they identified that </w:t>
            </w:r>
            <w:r>
              <w:rPr>
                <w:rFonts w:eastAsia="Muli" w:cs="Muli"/>
                <w:color w:val="000000" w:themeColor="text1"/>
                <w:sz w:val="18"/>
                <w:szCs w:val="18"/>
              </w:rPr>
              <w:t xml:space="preserve">they </w:t>
            </w:r>
            <w:r w:rsidRPr="0060194E">
              <w:rPr>
                <w:rFonts w:eastAsia="Muli" w:cs="Muli"/>
                <w:color w:val="000000" w:themeColor="text1"/>
                <w:sz w:val="18"/>
                <w:szCs w:val="18"/>
              </w:rPr>
              <w:t>would continue included telehealth, dedicated chronic disease management roles, team-based care and patient recalls. Elements that they would discontinue included use of shared care planning software and wide use of practice nurses due to lack of reimbursement under fee-for-service</w:t>
            </w:r>
            <w:r w:rsidR="00C44717">
              <w:rPr>
                <w:rFonts w:eastAsia="Muli" w:cs="Muli"/>
                <w:color w:val="000000" w:themeColor="text1"/>
                <w:sz w:val="18"/>
                <w:szCs w:val="18"/>
              </w:rPr>
              <w:t xml:space="preserve"> payment</w:t>
            </w:r>
            <w:r w:rsidRPr="0060194E">
              <w:rPr>
                <w:rFonts w:eastAsia="Muli" w:cs="Muli"/>
                <w:color w:val="000000" w:themeColor="text1"/>
                <w:sz w:val="18"/>
                <w:szCs w:val="18"/>
              </w:rPr>
              <w:t>. While practices believed in the philosophy of HCH, many recommended further enhancements they thought would make it easier to operate the model within their practices or features they felt were necessary for successful implementation</w:t>
            </w:r>
            <w:r w:rsidR="0060194E" w:rsidRPr="0060194E">
              <w:rPr>
                <w:rFonts w:eastAsia="Muli" w:cs="Muli"/>
                <w:color w:val="000000" w:themeColor="text1"/>
                <w:sz w:val="18"/>
                <w:szCs w:val="18"/>
              </w:rPr>
              <w:t>.</w:t>
            </w:r>
            <w:r w:rsidR="007639D5" w:rsidRPr="00E80048">
              <w:rPr>
                <w:rFonts w:eastAsia="Muli" w:cs="Muli"/>
                <w:color w:val="000000" w:themeColor="text1"/>
                <w:sz w:val="18"/>
                <w:szCs w:val="18"/>
              </w:rPr>
              <w:t xml:space="preserve"> </w:t>
            </w:r>
          </w:p>
          <w:p w14:paraId="665EFF5B" w14:textId="75666578" w:rsidR="00BB3742" w:rsidRPr="00E80048" w:rsidRDefault="001A4104" w:rsidP="00DC1180">
            <w:pPr>
              <w:spacing w:after="120"/>
              <w:rPr>
                <w:rFonts w:eastAsia="Muli" w:cs="Muli"/>
                <w:color w:val="000000" w:themeColor="text1"/>
                <w:sz w:val="18"/>
                <w:szCs w:val="18"/>
              </w:rPr>
            </w:pPr>
            <w:r w:rsidRPr="001A4104">
              <w:rPr>
                <w:rFonts w:eastAsia="Muli" w:cs="Muli"/>
                <w:color w:val="000000" w:themeColor="text1"/>
                <w:sz w:val="18"/>
                <w:szCs w:val="18"/>
              </w:rPr>
              <w:t>The HCH trial highlighted there is appetite for changing the focus of primary care toward the principles articulated by the PHCAG</w:t>
            </w:r>
            <w:r w:rsidR="009D2ED9">
              <w:rPr>
                <w:rFonts w:eastAsia="Muli" w:cs="Muli"/>
                <w:color w:val="000000" w:themeColor="text1"/>
                <w:sz w:val="18"/>
                <w:szCs w:val="18"/>
              </w:rPr>
              <w:t xml:space="preserve"> for a medical home model</w:t>
            </w:r>
            <w:r w:rsidRPr="001A4104">
              <w:rPr>
                <w:rFonts w:eastAsia="Muli" w:cs="Muli"/>
                <w:color w:val="000000" w:themeColor="text1"/>
                <w:sz w:val="18"/>
                <w:szCs w:val="18"/>
              </w:rPr>
              <w:t>, but that there are variable capacities amongst practices to undertake and manage significant change</w:t>
            </w:r>
            <w:r w:rsidR="00C5257D">
              <w:rPr>
                <w:rFonts w:eastAsia="Muli" w:cs="Muli"/>
                <w:color w:val="000000" w:themeColor="text1"/>
                <w:sz w:val="18"/>
                <w:szCs w:val="18"/>
              </w:rPr>
              <w:t xml:space="preserve"> within their practice</w:t>
            </w:r>
            <w:r w:rsidRPr="001A4104">
              <w:rPr>
                <w:rFonts w:eastAsia="Muli" w:cs="Muli"/>
                <w:color w:val="000000" w:themeColor="text1"/>
                <w:sz w:val="18"/>
                <w:szCs w:val="18"/>
              </w:rPr>
              <w:t>.</w:t>
            </w:r>
            <w:r w:rsidR="00DC1180">
              <w:rPr>
                <w:rFonts w:eastAsia="Muli" w:cs="Muli"/>
                <w:color w:val="000000" w:themeColor="text1"/>
                <w:sz w:val="18"/>
                <w:szCs w:val="18"/>
              </w:rPr>
              <w:t xml:space="preserve"> </w:t>
            </w:r>
            <w:r w:rsidR="00111CCE">
              <w:rPr>
                <w:rFonts w:eastAsia="Muli" w:cs="Muli"/>
                <w:color w:val="000000" w:themeColor="text1"/>
                <w:sz w:val="18"/>
                <w:szCs w:val="18"/>
              </w:rPr>
              <w:t xml:space="preserve">Chapter </w:t>
            </w:r>
            <w:r w:rsidR="00111CCE">
              <w:rPr>
                <w:rFonts w:eastAsia="Muli" w:cs="Muli"/>
                <w:color w:val="000000" w:themeColor="text1"/>
                <w:sz w:val="18"/>
                <w:szCs w:val="18"/>
              </w:rPr>
              <w:fldChar w:fldCharType="begin"/>
            </w:r>
            <w:r w:rsidR="00111CCE">
              <w:rPr>
                <w:rFonts w:eastAsia="Muli" w:cs="Muli"/>
                <w:color w:val="000000" w:themeColor="text1"/>
                <w:sz w:val="18"/>
                <w:szCs w:val="18"/>
              </w:rPr>
              <w:instrText xml:space="preserve"> REF _Ref99902892 \r \h </w:instrText>
            </w:r>
            <w:r w:rsidR="00111CCE">
              <w:rPr>
                <w:rFonts w:eastAsia="Muli" w:cs="Muli"/>
                <w:color w:val="000000" w:themeColor="text1"/>
                <w:sz w:val="18"/>
                <w:szCs w:val="18"/>
              </w:rPr>
            </w:r>
            <w:r w:rsidR="00111CCE">
              <w:rPr>
                <w:rFonts w:eastAsia="Muli" w:cs="Muli"/>
                <w:color w:val="000000" w:themeColor="text1"/>
                <w:sz w:val="18"/>
                <w:szCs w:val="18"/>
              </w:rPr>
              <w:fldChar w:fldCharType="separate"/>
            </w:r>
            <w:r w:rsidR="003C4BC2">
              <w:rPr>
                <w:rFonts w:eastAsia="Muli" w:cs="Muli"/>
                <w:color w:val="000000" w:themeColor="text1"/>
                <w:sz w:val="18"/>
                <w:szCs w:val="18"/>
              </w:rPr>
              <w:t>26</w:t>
            </w:r>
            <w:r w:rsidR="00111CCE">
              <w:rPr>
                <w:rFonts w:eastAsia="Muli" w:cs="Muli"/>
                <w:color w:val="000000" w:themeColor="text1"/>
                <w:sz w:val="18"/>
                <w:szCs w:val="18"/>
              </w:rPr>
              <w:fldChar w:fldCharType="end"/>
            </w:r>
            <w:r w:rsidR="00111CCE">
              <w:rPr>
                <w:rFonts w:eastAsia="Muli" w:cs="Muli"/>
                <w:color w:val="000000" w:themeColor="text1"/>
                <w:sz w:val="18"/>
                <w:szCs w:val="18"/>
              </w:rPr>
              <w:t xml:space="preserve"> </w:t>
            </w:r>
            <w:r w:rsidR="008436A5">
              <w:rPr>
                <w:rFonts w:eastAsia="Muli" w:cs="Muli"/>
                <w:color w:val="000000" w:themeColor="text1"/>
                <w:sz w:val="18"/>
                <w:szCs w:val="18"/>
              </w:rPr>
              <w:t xml:space="preserve">(p. </w:t>
            </w:r>
            <w:r w:rsidR="008436A5">
              <w:rPr>
                <w:rFonts w:eastAsia="Muli" w:cs="Muli"/>
                <w:color w:val="000000" w:themeColor="text1"/>
                <w:sz w:val="18"/>
                <w:szCs w:val="18"/>
              </w:rPr>
              <w:fldChar w:fldCharType="begin"/>
            </w:r>
            <w:r w:rsidR="008436A5">
              <w:rPr>
                <w:rFonts w:eastAsia="Muli" w:cs="Muli"/>
                <w:color w:val="000000" w:themeColor="text1"/>
                <w:sz w:val="18"/>
                <w:szCs w:val="18"/>
              </w:rPr>
              <w:instrText xml:space="preserve"> PAGEREF _Ref99902892 \h </w:instrText>
            </w:r>
            <w:r w:rsidR="008436A5">
              <w:rPr>
                <w:rFonts w:eastAsia="Muli" w:cs="Muli"/>
                <w:color w:val="000000" w:themeColor="text1"/>
                <w:sz w:val="18"/>
                <w:szCs w:val="18"/>
              </w:rPr>
            </w:r>
            <w:r w:rsidR="008436A5">
              <w:rPr>
                <w:rFonts w:eastAsia="Muli" w:cs="Muli"/>
                <w:color w:val="000000" w:themeColor="text1"/>
                <w:sz w:val="18"/>
                <w:szCs w:val="18"/>
              </w:rPr>
              <w:fldChar w:fldCharType="separate"/>
            </w:r>
            <w:r w:rsidR="003C4BC2">
              <w:rPr>
                <w:rFonts w:eastAsia="Muli" w:cs="Muli"/>
                <w:noProof/>
                <w:color w:val="000000" w:themeColor="text1"/>
                <w:sz w:val="18"/>
                <w:szCs w:val="18"/>
              </w:rPr>
              <w:t>341</w:t>
            </w:r>
            <w:r w:rsidR="008436A5">
              <w:rPr>
                <w:rFonts w:eastAsia="Muli" w:cs="Muli"/>
                <w:color w:val="000000" w:themeColor="text1"/>
                <w:sz w:val="18"/>
                <w:szCs w:val="18"/>
              </w:rPr>
              <w:fldChar w:fldCharType="end"/>
            </w:r>
            <w:r w:rsidR="008436A5">
              <w:rPr>
                <w:rFonts w:eastAsia="Muli" w:cs="Muli"/>
                <w:color w:val="000000" w:themeColor="text1"/>
                <w:sz w:val="18"/>
                <w:szCs w:val="18"/>
              </w:rPr>
              <w:t xml:space="preserve">) </w:t>
            </w:r>
            <w:r w:rsidR="00BF7CB1">
              <w:rPr>
                <w:rFonts w:eastAsia="Muli" w:cs="Muli"/>
                <w:color w:val="000000" w:themeColor="text1"/>
                <w:sz w:val="18"/>
                <w:szCs w:val="18"/>
              </w:rPr>
              <w:t xml:space="preserve">describes </w:t>
            </w:r>
            <w:r w:rsidR="001E4422">
              <w:rPr>
                <w:rFonts w:eastAsia="Muli" w:cs="Muli"/>
                <w:color w:val="000000" w:themeColor="text1"/>
                <w:sz w:val="18"/>
                <w:szCs w:val="18"/>
              </w:rPr>
              <w:t xml:space="preserve">steps </w:t>
            </w:r>
            <w:r w:rsidR="003F3B43">
              <w:rPr>
                <w:rFonts w:eastAsia="Muli" w:cs="Muli"/>
                <w:color w:val="000000" w:themeColor="text1"/>
                <w:sz w:val="18"/>
                <w:szCs w:val="18"/>
              </w:rPr>
              <w:t xml:space="preserve">that could be taken </w:t>
            </w:r>
            <w:r w:rsidR="00AD39D0">
              <w:rPr>
                <w:rFonts w:eastAsia="Muli" w:cs="Muli"/>
                <w:color w:val="000000" w:themeColor="text1"/>
                <w:sz w:val="18"/>
                <w:szCs w:val="18"/>
              </w:rPr>
              <w:t xml:space="preserve">to guide and support </w:t>
            </w:r>
            <w:r w:rsidR="00C63FA6">
              <w:rPr>
                <w:rFonts w:eastAsia="Muli" w:cs="Muli"/>
                <w:color w:val="000000" w:themeColor="text1"/>
                <w:sz w:val="18"/>
                <w:szCs w:val="18"/>
              </w:rPr>
              <w:t>practice</w:t>
            </w:r>
            <w:r w:rsidR="00DC2023">
              <w:rPr>
                <w:rFonts w:eastAsia="Muli" w:cs="Muli"/>
                <w:color w:val="000000" w:themeColor="text1"/>
                <w:sz w:val="18"/>
                <w:szCs w:val="18"/>
              </w:rPr>
              <w:t>s</w:t>
            </w:r>
            <w:r w:rsidR="00181121">
              <w:rPr>
                <w:rFonts w:eastAsia="Muli" w:cs="Muli"/>
                <w:color w:val="000000" w:themeColor="text1"/>
                <w:sz w:val="18"/>
                <w:szCs w:val="18"/>
              </w:rPr>
              <w:t xml:space="preserve"> </w:t>
            </w:r>
            <w:r w:rsidR="00AD39D0">
              <w:rPr>
                <w:rFonts w:eastAsia="Muli" w:cs="Muli"/>
                <w:color w:val="000000" w:themeColor="text1"/>
                <w:sz w:val="18"/>
                <w:szCs w:val="18"/>
              </w:rPr>
              <w:t xml:space="preserve">in their </w:t>
            </w:r>
            <w:r w:rsidR="00181121">
              <w:rPr>
                <w:rFonts w:eastAsia="Muli" w:cs="Muli"/>
                <w:color w:val="000000" w:themeColor="text1"/>
                <w:sz w:val="18"/>
                <w:szCs w:val="18"/>
              </w:rPr>
              <w:t>transformation efforts</w:t>
            </w:r>
            <w:r w:rsidR="00111CCE">
              <w:rPr>
                <w:rFonts w:eastAsia="Muli" w:cs="Muli"/>
                <w:color w:val="000000" w:themeColor="text1"/>
                <w:sz w:val="18"/>
                <w:szCs w:val="18"/>
              </w:rPr>
              <w:t>.</w:t>
            </w:r>
          </w:p>
        </w:tc>
      </w:tr>
    </w:tbl>
    <w:p w14:paraId="2AE9545C" w14:textId="77777777" w:rsidR="007639D5" w:rsidRDefault="007639D5" w:rsidP="007639D5">
      <w:pPr>
        <w:spacing w:after="0"/>
      </w:pPr>
    </w:p>
    <w:p w14:paraId="5A471C7A" w14:textId="77777777" w:rsidR="00AE74AB" w:rsidRPr="004F63E7" w:rsidRDefault="00AE74AB" w:rsidP="00AE74AB">
      <w:pPr>
        <w:spacing w:after="120"/>
        <w:outlineLvl w:val="1"/>
        <w:rPr>
          <w:rFonts w:ascii="Roboto Slab" w:eastAsia="Times New Roman" w:hAnsi="Roboto Slab" w:cs="Times New Roman"/>
          <w:bCs/>
          <w:color w:val="408BCA"/>
          <w:sz w:val="32"/>
          <w:szCs w:val="36"/>
          <w:lang w:val="en-GB" w:eastAsia="en-AU"/>
        </w:rPr>
      </w:pPr>
      <w:r w:rsidRPr="004F63E7">
        <w:rPr>
          <w:rFonts w:ascii="Roboto Slab" w:eastAsia="Times New Roman" w:hAnsi="Roboto Slab" w:cs="Times New Roman"/>
          <w:bCs/>
          <w:color w:val="408BCA"/>
          <w:sz w:val="32"/>
          <w:szCs w:val="36"/>
          <w:lang w:val="en-GB" w:eastAsia="en-AU"/>
        </w:rPr>
        <w:t>Practices’ experiences with implementation</w:t>
      </w:r>
    </w:p>
    <w:p w14:paraId="751C6888" w14:textId="466F47C7" w:rsidR="00AE74AB" w:rsidRPr="004F63E7" w:rsidRDefault="00AE74AB" w:rsidP="00AE74AB">
      <w:bookmarkStart w:id="177" w:name="_Hlk21339602"/>
      <w:r w:rsidRPr="004F63E7">
        <w:t xml:space="preserve">Based on interviews with the case study practices and PHNs, </w:t>
      </w:r>
      <w:r w:rsidR="00BA7921">
        <w:t xml:space="preserve">in </w:t>
      </w:r>
      <w:r w:rsidRPr="004F63E7">
        <w:t xml:space="preserve">the period up until </w:t>
      </w:r>
      <w:r w:rsidR="0013343A">
        <w:t xml:space="preserve">patient </w:t>
      </w:r>
      <w:r w:rsidRPr="004F63E7">
        <w:t xml:space="preserve">enrolment closed practices were mainly occupied in enrolment activities, and less in defining their HCH model. Therefore, </w:t>
      </w:r>
      <w:r w:rsidR="00BA7921">
        <w:t xml:space="preserve">below we </w:t>
      </w:r>
      <w:r w:rsidR="0072675D">
        <w:t>represent</w:t>
      </w:r>
      <w:r w:rsidR="00BA7921">
        <w:t xml:space="preserve"> </w:t>
      </w:r>
      <w:r w:rsidRPr="004F63E7">
        <w:t xml:space="preserve">practices’ implementation of HCH </w:t>
      </w:r>
      <w:r w:rsidR="00EF728D">
        <w:t>in</w:t>
      </w:r>
      <w:r w:rsidRPr="004F63E7">
        <w:t xml:space="preserve"> two phases:</w:t>
      </w:r>
    </w:p>
    <w:p w14:paraId="5DE31F0B" w14:textId="36216513" w:rsidR="00AE74AB" w:rsidRPr="004F63E7" w:rsidRDefault="00BA7921" w:rsidP="00BB7C8D">
      <w:pPr>
        <w:numPr>
          <w:ilvl w:val="0"/>
          <w:numId w:val="35"/>
        </w:numPr>
        <w:contextualSpacing/>
      </w:pPr>
      <w:r>
        <w:t>D</w:t>
      </w:r>
      <w:r w:rsidR="00AE74AB" w:rsidRPr="004F63E7">
        <w:t>uring the enrolment phase (from October or December 2017 until June 2019)</w:t>
      </w:r>
      <w:r w:rsidR="00EF728D">
        <w:t>.</w:t>
      </w:r>
    </w:p>
    <w:p w14:paraId="6D2AC9BA" w14:textId="44FC9556" w:rsidR="00AE74AB" w:rsidRPr="004F63E7" w:rsidRDefault="00BA7921" w:rsidP="00BB7C8D">
      <w:pPr>
        <w:numPr>
          <w:ilvl w:val="0"/>
          <w:numId w:val="35"/>
        </w:numPr>
        <w:ind w:left="714" w:hanging="357"/>
      </w:pPr>
      <w:r>
        <w:t>F</w:t>
      </w:r>
      <w:r w:rsidR="00AE74AB" w:rsidRPr="004F63E7">
        <w:t>ollowing the end of the enrolment phase (from July 2019 until the trial end in June 2021).</w:t>
      </w:r>
    </w:p>
    <w:p w14:paraId="1D89D185" w14:textId="77777777" w:rsidR="00AE74AB" w:rsidRPr="004F63E7" w:rsidRDefault="00AE74AB" w:rsidP="00AE74AB">
      <w:pPr>
        <w:keepNext/>
        <w:keepLines/>
        <w:outlineLvl w:val="2"/>
        <w:rPr>
          <w:rFonts w:ascii="Roboto Slab" w:eastAsiaTheme="majorEastAsia" w:hAnsi="Roboto Slab" w:cstheme="majorBidi"/>
          <w:color w:val="408BCA"/>
          <w:sz w:val="24"/>
          <w:szCs w:val="24"/>
          <w:lang w:val="en-GB"/>
        </w:rPr>
      </w:pPr>
      <w:r w:rsidRPr="004F63E7">
        <w:rPr>
          <w:rFonts w:ascii="Roboto Slab" w:eastAsiaTheme="majorEastAsia" w:hAnsi="Roboto Slab" w:cstheme="majorBidi"/>
          <w:color w:val="408BCA"/>
          <w:sz w:val="24"/>
          <w:szCs w:val="24"/>
          <w:lang w:val="en-GB"/>
        </w:rPr>
        <w:t>During the enrolment phase</w:t>
      </w:r>
    </w:p>
    <w:p w14:paraId="4B3792FD" w14:textId="77777777" w:rsidR="00AE74AB" w:rsidRPr="004F63E7" w:rsidRDefault="00AE74AB" w:rsidP="00AE74AB">
      <w:pPr>
        <w:rPr>
          <w:rFonts w:eastAsia="Times New Roman"/>
          <w:iCs/>
          <w:szCs w:val="20"/>
        </w:rPr>
      </w:pPr>
      <w:r w:rsidRPr="004F63E7">
        <w:rPr>
          <w:rFonts w:eastAsia="Times New Roman"/>
          <w:iCs/>
          <w:szCs w:val="20"/>
        </w:rPr>
        <w:t>Survey responses and case study interviews with both PHNs and practices revealed that practices were at varying stages of implementing HCH during the enrolment period. Some set-up processes for how they would manage their chronic disease patients, but changes were not yet visible to patients. A few made significant changes that affected both patients and staff.</w:t>
      </w:r>
    </w:p>
    <w:p w14:paraId="2E0ECC2D" w14:textId="4BFA827F" w:rsidR="00AE74AB" w:rsidRPr="004F63E7" w:rsidRDefault="00AE74AB" w:rsidP="00AE74AB">
      <w:pPr>
        <w:rPr>
          <w:rFonts w:eastAsia="Times New Roman"/>
          <w:iCs/>
          <w:szCs w:val="20"/>
        </w:rPr>
      </w:pPr>
      <w:r w:rsidRPr="004F63E7">
        <w:rPr>
          <w:rFonts w:eastAsia="Times New Roman"/>
          <w:iCs/>
          <w:szCs w:val="20"/>
        </w:rPr>
        <w:lastRenderedPageBreak/>
        <w:t xml:space="preserve">While some practices were making changes, others stated that they already had </w:t>
      </w:r>
      <w:r w:rsidR="00EF728D">
        <w:rPr>
          <w:rFonts w:eastAsia="Times New Roman"/>
          <w:iCs/>
          <w:szCs w:val="20"/>
        </w:rPr>
        <w:t>processes</w:t>
      </w:r>
      <w:r w:rsidRPr="004F63E7">
        <w:rPr>
          <w:rFonts w:eastAsia="Times New Roman"/>
          <w:iCs/>
          <w:szCs w:val="20"/>
        </w:rPr>
        <w:t xml:space="preserve"> </w:t>
      </w:r>
      <w:bookmarkStart w:id="178" w:name="_Hlk21339764"/>
      <w:r w:rsidRPr="004F63E7">
        <w:rPr>
          <w:rFonts w:eastAsia="Times New Roman"/>
          <w:iCs/>
          <w:szCs w:val="20"/>
        </w:rPr>
        <w:t xml:space="preserve">in place for their chronic disease patients, such as care plans, access via phone, nurse-led management, team-based care and individualised treatment; therefore, they did not intend to change the way they </w:t>
      </w:r>
      <w:bookmarkEnd w:id="178"/>
      <w:r w:rsidR="002C36F7">
        <w:rPr>
          <w:rFonts w:eastAsia="Times New Roman"/>
          <w:iCs/>
          <w:szCs w:val="20"/>
        </w:rPr>
        <w:t>practised</w:t>
      </w:r>
      <w:r w:rsidRPr="004F63E7">
        <w:rPr>
          <w:rFonts w:eastAsia="Times New Roman"/>
          <w:iCs/>
          <w:szCs w:val="20"/>
        </w:rPr>
        <w:t>. They had commented during interviews that they joined the trial to financially support the quality of care they were already providing to their patients:</w:t>
      </w:r>
    </w:p>
    <w:p w14:paraId="08BBB324" w14:textId="77777777" w:rsidR="00AE74AB" w:rsidRPr="004F63E7" w:rsidRDefault="00AE74AB" w:rsidP="00AE74AB">
      <w:pPr>
        <w:ind w:left="567" w:right="521"/>
        <w:rPr>
          <w:rFonts w:eastAsia="Times New Roman"/>
          <w:iCs/>
          <w:szCs w:val="20"/>
        </w:rPr>
      </w:pPr>
      <w:r w:rsidRPr="004F63E7">
        <w:rPr>
          <w:rFonts w:eastAsia="Times New Roman"/>
          <w:i/>
          <w:iCs/>
          <w:szCs w:val="20"/>
        </w:rPr>
        <w:t xml:space="preserve">“We spent a lot of time supporting our patients in extra ways, on the phone and so forth anyway. It’s not that different that’s just because of the way we did it anyway….I </w:t>
      </w:r>
      <w:r w:rsidRPr="004F63E7">
        <w:rPr>
          <w:i/>
          <w:iCs/>
        </w:rPr>
        <w:t>think</w:t>
      </w:r>
      <w:r w:rsidRPr="004F63E7">
        <w:rPr>
          <w:rFonts w:eastAsia="Times New Roman"/>
          <w:i/>
          <w:iCs/>
          <w:szCs w:val="20"/>
        </w:rPr>
        <w:t xml:space="preserve"> they found some benefit, but a lot of patients probably haven’t noticed any difference because we’re doing the stuff already.”</w:t>
      </w:r>
      <w:r w:rsidRPr="004F63E7">
        <w:rPr>
          <w:rFonts w:eastAsia="Times New Roman"/>
          <w:iCs/>
          <w:szCs w:val="20"/>
        </w:rPr>
        <w:t xml:space="preserve"> [Practice manager, Practice 18, R2]</w:t>
      </w:r>
    </w:p>
    <w:p w14:paraId="23D428EC" w14:textId="77777777" w:rsidR="00AE74AB" w:rsidRPr="004F63E7" w:rsidRDefault="00AE74AB" w:rsidP="00AE74AB">
      <w:pPr>
        <w:ind w:left="567" w:right="521"/>
        <w:rPr>
          <w:rFonts w:eastAsia="Times New Roman"/>
          <w:szCs w:val="20"/>
        </w:rPr>
      </w:pPr>
      <w:r w:rsidRPr="004F63E7">
        <w:rPr>
          <w:rFonts w:eastAsia="Times New Roman"/>
          <w:i/>
          <w:iCs/>
          <w:szCs w:val="20"/>
        </w:rPr>
        <w:t xml:space="preserve">“The most important change? I think probably just thinking outside the square, thinking of a </w:t>
      </w:r>
      <w:r w:rsidRPr="004F63E7">
        <w:rPr>
          <w:i/>
          <w:iCs/>
        </w:rPr>
        <w:t>different</w:t>
      </w:r>
      <w:r w:rsidRPr="004F63E7">
        <w:rPr>
          <w:rFonts w:eastAsia="Times New Roman"/>
          <w:i/>
          <w:iCs/>
          <w:szCs w:val="20"/>
        </w:rPr>
        <w:t xml:space="preserve"> way of doing things, I would honestly say that’s probably the main difference. When I came here, I found the practice to be very patient-focussed, we were always trying to focus on what the patient wanted to do, and it wasn’t a task-orientated place anyway. But I think Health Care Homes then gave us a bit of a model to work with, that was probably the only difference I would say.” </w:t>
      </w:r>
      <w:r w:rsidRPr="004F63E7">
        <w:rPr>
          <w:rFonts w:eastAsia="Times New Roman"/>
          <w:szCs w:val="20"/>
        </w:rPr>
        <w:t>[Nurse, Practice 9, R5]</w:t>
      </w:r>
    </w:p>
    <w:p w14:paraId="1D32AC18" w14:textId="77777777" w:rsidR="00AE74AB" w:rsidRPr="004F63E7" w:rsidRDefault="00AE74AB" w:rsidP="00AE74AB">
      <w:pPr>
        <w:rPr>
          <w:rFonts w:eastAsia="Times New Roman"/>
          <w:iCs/>
          <w:szCs w:val="20"/>
        </w:rPr>
      </w:pPr>
      <w:r w:rsidRPr="004F63E7">
        <w:rPr>
          <w:rFonts w:eastAsia="Times New Roman"/>
          <w:iCs/>
          <w:szCs w:val="20"/>
        </w:rPr>
        <w:t>Some PHN practice facilitators agreed that some practices indeed had in place many of the key features of the model before participating in the trial. However, facilitators also felt that some practices had a limited understanding of HCH. For example, one practice facilitator stated that a few practices could not distinguish the HCH model from quality service delivery as articulated in standards against which they are accredited:</w:t>
      </w:r>
    </w:p>
    <w:p w14:paraId="3C00DDB3" w14:textId="77777777" w:rsidR="00AE74AB" w:rsidRPr="004F63E7" w:rsidRDefault="00AE74AB" w:rsidP="00AE74AB">
      <w:pPr>
        <w:ind w:left="567" w:right="521"/>
      </w:pPr>
      <w:r w:rsidRPr="004F63E7">
        <w:t>“…</w:t>
      </w:r>
      <w:r w:rsidRPr="004F63E7">
        <w:rPr>
          <w:i/>
        </w:rPr>
        <w:t xml:space="preserve">they </w:t>
      </w:r>
      <w:r w:rsidRPr="004F63E7">
        <w:rPr>
          <w:rFonts w:eastAsia="Times New Roman"/>
          <w:i/>
          <w:iCs/>
          <w:szCs w:val="20"/>
        </w:rPr>
        <w:t>were</w:t>
      </w:r>
      <w:r w:rsidRPr="004F63E7">
        <w:rPr>
          <w:i/>
        </w:rPr>
        <w:t xml:space="preserve"> just saying</w:t>
      </w:r>
      <w:r w:rsidRPr="004F63E7">
        <w:t xml:space="preserve"> ‘</w:t>
      </w:r>
      <w:r w:rsidRPr="004F63E7">
        <w:rPr>
          <w:i/>
          <w:iCs/>
        </w:rPr>
        <w:t>We’ve</w:t>
      </w:r>
      <w:r w:rsidRPr="004F63E7">
        <w:rPr>
          <w:i/>
        </w:rPr>
        <w:t xml:space="preserve"> got accreditation and they didn’t have anything to say to us about how much we could improve’</w:t>
      </w:r>
      <w:r w:rsidRPr="004F63E7">
        <w:t xml:space="preserve">...” [PHN 5, interview, R1] </w:t>
      </w:r>
    </w:p>
    <w:p w14:paraId="0845F2B9" w14:textId="77777777" w:rsidR="00AE74AB" w:rsidRPr="004F63E7" w:rsidRDefault="00AE74AB" w:rsidP="00AE74AB">
      <w:pPr>
        <w:ind w:left="567" w:right="521"/>
      </w:pPr>
      <w:r w:rsidRPr="004F63E7">
        <w:rPr>
          <w:i/>
        </w:rPr>
        <w:t xml:space="preserve">“They already think they are </w:t>
      </w:r>
      <w:r w:rsidRPr="004F63E7">
        <w:rPr>
          <w:rFonts w:eastAsia="Times New Roman"/>
          <w:i/>
          <w:iCs/>
          <w:szCs w:val="20"/>
        </w:rPr>
        <w:t>providing</w:t>
      </w:r>
      <w:r w:rsidRPr="004F63E7">
        <w:rPr>
          <w:i/>
        </w:rPr>
        <w:t xml:space="preserve"> the best care they can. They don’t realise there is any other way of providing care.”</w:t>
      </w:r>
      <w:r w:rsidRPr="004F63E7">
        <w:t xml:space="preserve"> [PHN 9, interview, R1]</w:t>
      </w:r>
    </w:p>
    <w:bookmarkEnd w:id="177"/>
    <w:p w14:paraId="660360B5" w14:textId="57C60A19" w:rsidR="002F76FD" w:rsidRDefault="008E17A8" w:rsidP="00AE74AB">
      <w:pPr>
        <w:rPr>
          <w:szCs w:val="20"/>
        </w:rPr>
      </w:pPr>
      <w:r w:rsidRPr="005D450C">
        <w:t>Patients’ preferences and values are central to patient-centred care.</w:t>
      </w:r>
      <w:r w:rsidRPr="005D450C">
        <w:rPr>
          <w:rStyle w:val="FootnoteReference"/>
          <w:color w:val="408BCA"/>
        </w:rPr>
        <w:footnoteReference w:id="59"/>
      </w:r>
      <w:r w:rsidRPr="005D450C">
        <w:t xml:space="preserve"> </w:t>
      </w:r>
      <w:r w:rsidR="00383944" w:rsidRPr="005D450C">
        <w:t xml:space="preserve">While </w:t>
      </w:r>
      <w:r w:rsidR="00EA4EBA" w:rsidRPr="005D450C">
        <w:t xml:space="preserve">involving patients in setting priorities at a practice level </w:t>
      </w:r>
      <w:r w:rsidR="00383944" w:rsidRPr="005D450C">
        <w:t>wasn’t an explicit requirement of practices</w:t>
      </w:r>
      <w:r w:rsidRPr="005D450C">
        <w:t xml:space="preserve">, </w:t>
      </w:r>
      <w:r w:rsidR="00EA4EBA" w:rsidRPr="005D450C">
        <w:t xml:space="preserve">it </w:t>
      </w:r>
      <w:r w:rsidR="008106F3" w:rsidRPr="005D450C">
        <w:t>can result in priorities that are more aligned with patient-centred care principles than when health professionals alone set priorities.</w:t>
      </w:r>
      <w:r w:rsidR="008106F3" w:rsidRPr="005D450C">
        <w:rPr>
          <w:rStyle w:val="FootnoteReference"/>
          <w:color w:val="408BCA"/>
        </w:rPr>
        <w:footnoteReference w:id="60"/>
      </w:r>
      <w:r w:rsidR="008106F3" w:rsidRPr="005D450C">
        <w:t xml:space="preserve"> </w:t>
      </w:r>
      <w:r w:rsidR="000B25EC">
        <w:t>“</w:t>
      </w:r>
      <w:r w:rsidR="000B25EC" w:rsidRPr="00F26D00">
        <w:rPr>
          <w:i/>
          <w:iCs/>
        </w:rPr>
        <w:t>Getting re</w:t>
      </w:r>
      <w:r w:rsidR="000B25EC" w:rsidRPr="00221288">
        <w:rPr>
          <w:i/>
        </w:rPr>
        <w:t>gular and actionable input from patients and families on all care delivery issues,</w:t>
      </w:r>
      <w:r w:rsidR="000B25EC">
        <w:rPr>
          <w:i/>
        </w:rPr>
        <w:t xml:space="preserve"> </w:t>
      </w:r>
      <w:r w:rsidR="000B25EC" w:rsidRPr="00221288">
        <w:rPr>
          <w:i/>
        </w:rPr>
        <w:t>and incorporating their feedback in quality improvement activities</w:t>
      </w:r>
      <w:r w:rsidR="000B25EC">
        <w:t xml:space="preserve">” was practices’ lowest scoring item on the HCH-A tool at the beginning of the trial (item 26, </w:t>
      </w:r>
      <w:r w:rsidR="000B25EC" w:rsidRPr="00924990">
        <w:rPr>
          <w:i/>
          <w:iCs/>
        </w:rPr>
        <w:t>Measurement of patient centred interactions</w:t>
      </w:r>
      <w:r w:rsidR="000B25EC">
        <w:t>).</w:t>
      </w:r>
      <w:r w:rsidR="00350622" w:rsidRPr="00515D7D">
        <w:rPr>
          <w:rStyle w:val="FootnoteReference"/>
          <w:color w:val="408BCA"/>
        </w:rPr>
        <w:footnoteReference w:id="61"/>
      </w:r>
      <w:r w:rsidR="000B25EC">
        <w:t xml:space="preserve"> It had also </w:t>
      </w:r>
      <w:r w:rsidR="00C22FBD">
        <w:t>only</w:t>
      </w:r>
      <w:r w:rsidR="000B25EC">
        <w:t xml:space="preserve"> improved </w:t>
      </w:r>
      <w:r w:rsidR="00C22FBD">
        <w:t>marginally</w:t>
      </w:r>
      <w:r w:rsidR="000B25EC">
        <w:t xml:space="preserve"> by the end of the trial (upward movement of 0.98 units [95% CI 0.03 to 1.94] for practices that completed the tool both at the beginning and at the end of the </w:t>
      </w:r>
      <w:r w:rsidR="000B25EC">
        <w:lastRenderedPageBreak/>
        <w:t>trial.</w:t>
      </w:r>
      <w:r w:rsidR="00533E97" w:rsidRPr="00533E97">
        <w:rPr>
          <w:rStyle w:val="FootnoteReference"/>
          <w:color w:val="408BCA"/>
        </w:rPr>
        <w:footnoteReference w:id="62"/>
      </w:r>
      <w:r w:rsidR="000B25EC" w:rsidRPr="00533E97">
        <w:rPr>
          <w:color w:val="408BCA"/>
        </w:rPr>
        <w:t xml:space="preserve"> </w:t>
      </w:r>
      <w:r w:rsidR="000B25EC">
        <w:t>Also, in interviews, n</w:t>
      </w:r>
      <w:r w:rsidR="000B25EC" w:rsidRPr="002D0C6B">
        <w:t xml:space="preserve">o practice mentioned involving patients or their carers/families in identifying priorities for </w:t>
      </w:r>
      <w:r w:rsidR="000B25EC">
        <w:t xml:space="preserve">practice </w:t>
      </w:r>
      <w:r w:rsidR="000B25EC" w:rsidRPr="002D0C6B">
        <w:t>change</w:t>
      </w:r>
      <w:r w:rsidR="00533E97">
        <w:t>.</w:t>
      </w:r>
    </w:p>
    <w:p w14:paraId="6BBDE54F" w14:textId="14F2B485" w:rsidR="00AE74AB" w:rsidRPr="004F63E7" w:rsidRDefault="00AE74AB" w:rsidP="00AE74AB">
      <w:pPr>
        <w:rPr>
          <w:szCs w:val="20"/>
        </w:rPr>
      </w:pPr>
      <w:r w:rsidRPr="004F63E7">
        <w:rPr>
          <w:szCs w:val="20"/>
        </w:rPr>
        <w:t xml:space="preserve">In </w:t>
      </w:r>
      <w:bookmarkStart w:id="179" w:name="_Hlk53238894"/>
      <w:r w:rsidRPr="004F63E7">
        <w:rPr>
          <w:szCs w:val="20"/>
        </w:rPr>
        <w:t xml:space="preserve">December 2018, the Department announced the extension of the HCH trial. The trial was extended to 30 June 2021 (from 30 November 2019) and the patient enrolment period to 30 June 2019 (from 31 December 2018). </w:t>
      </w:r>
      <w:bookmarkEnd w:id="179"/>
    </w:p>
    <w:p w14:paraId="6F130B58" w14:textId="77777777" w:rsidR="00AE74AB" w:rsidRPr="004F63E7" w:rsidRDefault="00AE74AB" w:rsidP="00AE74AB">
      <w:pPr>
        <w:rPr>
          <w:szCs w:val="20"/>
        </w:rPr>
      </w:pPr>
      <w:r w:rsidRPr="004F63E7">
        <w:rPr>
          <w:szCs w:val="20"/>
        </w:rPr>
        <w:t>In some instances, practices reported that the trial extension gave them more time to engage staff and firmly implement HCH, allowing them to enrol more patients. Other practices found it challenging to increase their enrolments, even with the time extension:</w:t>
      </w:r>
    </w:p>
    <w:p w14:paraId="48A734B7" w14:textId="77777777" w:rsidR="00AE74AB" w:rsidRPr="004F63E7" w:rsidRDefault="00AE74AB" w:rsidP="00AE74AB">
      <w:pPr>
        <w:ind w:left="567" w:right="521"/>
        <w:rPr>
          <w:szCs w:val="20"/>
        </w:rPr>
      </w:pPr>
      <w:r w:rsidRPr="004F63E7">
        <w:rPr>
          <w:i/>
          <w:iCs/>
          <w:szCs w:val="20"/>
        </w:rPr>
        <w:t xml:space="preserve">“It was a bit </w:t>
      </w:r>
      <w:r w:rsidRPr="004F63E7">
        <w:rPr>
          <w:rFonts w:eastAsia="Times New Roman"/>
          <w:i/>
          <w:iCs/>
          <w:szCs w:val="20"/>
        </w:rPr>
        <w:t>frustrating</w:t>
      </w:r>
      <w:r w:rsidRPr="004F63E7">
        <w:rPr>
          <w:i/>
          <w:iCs/>
          <w:szCs w:val="20"/>
        </w:rPr>
        <w:t xml:space="preserve"> that you only had a specific timeline to register the patients in, because we were experiencing a lot of [IT] issues...which then delayed it longer.”</w:t>
      </w:r>
      <w:r w:rsidRPr="004F63E7">
        <w:rPr>
          <w:szCs w:val="20"/>
        </w:rPr>
        <w:t xml:space="preserve"> [Practice Manager, Practice 23, R4]</w:t>
      </w:r>
    </w:p>
    <w:p w14:paraId="519E3329" w14:textId="2CB9D5C0" w:rsidR="00AE74AB" w:rsidRPr="004F63E7" w:rsidRDefault="00AE74AB" w:rsidP="00AE74AB">
      <w:pPr>
        <w:ind w:left="567" w:right="521"/>
        <w:rPr>
          <w:szCs w:val="20"/>
        </w:rPr>
      </w:pPr>
      <w:r w:rsidRPr="004F63E7">
        <w:rPr>
          <w:i/>
          <w:iCs/>
          <w:szCs w:val="20"/>
        </w:rPr>
        <w:t xml:space="preserve">“We would definitely </w:t>
      </w:r>
      <w:r w:rsidRPr="004F63E7">
        <w:rPr>
          <w:rFonts w:eastAsia="Times New Roman"/>
          <w:i/>
          <w:iCs/>
          <w:szCs w:val="20"/>
        </w:rPr>
        <w:t>have</w:t>
      </w:r>
      <w:r w:rsidRPr="004F63E7">
        <w:rPr>
          <w:i/>
          <w:iCs/>
          <w:szCs w:val="20"/>
        </w:rPr>
        <w:t xml:space="preserve"> liked more [</w:t>
      </w:r>
      <w:r w:rsidR="00E632C6">
        <w:rPr>
          <w:i/>
          <w:iCs/>
          <w:szCs w:val="20"/>
        </w:rPr>
        <w:t>enrolments</w:t>
      </w:r>
      <w:r w:rsidRPr="004F63E7">
        <w:rPr>
          <w:i/>
          <w:iCs/>
          <w:szCs w:val="20"/>
        </w:rPr>
        <w:t>], yes. We spent all our time convincing the doctors, and then we had to convince the patients.”</w:t>
      </w:r>
      <w:r w:rsidRPr="004F63E7">
        <w:rPr>
          <w:szCs w:val="20"/>
        </w:rPr>
        <w:t xml:space="preserve"> [Owner, Practice 6, R4]</w:t>
      </w:r>
    </w:p>
    <w:p w14:paraId="3D1D8E33" w14:textId="52D0F7A3" w:rsidR="00AE74AB" w:rsidRPr="004F63E7" w:rsidRDefault="00AE74AB" w:rsidP="00AE74AB">
      <w:pPr>
        <w:rPr>
          <w:lang w:val="en-GB"/>
        </w:rPr>
      </w:pPr>
      <w:r w:rsidRPr="004F63E7">
        <w:rPr>
          <w:lang w:val="en-GB"/>
        </w:rPr>
        <w:t>Another reason some practices chose not to increase their enrolment</w:t>
      </w:r>
      <w:r w:rsidR="00E632C6">
        <w:rPr>
          <w:lang w:val="en-GB"/>
        </w:rPr>
        <w:t>s</w:t>
      </w:r>
      <w:r w:rsidRPr="004F63E7">
        <w:rPr>
          <w:lang w:val="en-GB"/>
        </w:rPr>
        <w:t xml:space="preserve"> </w:t>
      </w:r>
      <w:r w:rsidR="00E632C6">
        <w:rPr>
          <w:lang w:val="en-GB"/>
        </w:rPr>
        <w:t>with</w:t>
      </w:r>
      <w:r w:rsidRPr="004F63E7">
        <w:rPr>
          <w:lang w:val="en-GB"/>
        </w:rPr>
        <w:t xml:space="preserve"> the extension was because they wanted to test the model before committing to a larger HCH patient cohort. Others had concerns about investing significant resources in the trial when it was not clear whether it would continue: </w:t>
      </w:r>
    </w:p>
    <w:p w14:paraId="31E5205B" w14:textId="77777777" w:rsidR="00AE74AB" w:rsidRPr="004F63E7" w:rsidRDefault="00AE74AB" w:rsidP="00AE74AB">
      <w:pPr>
        <w:ind w:left="567" w:right="521"/>
        <w:rPr>
          <w:szCs w:val="20"/>
        </w:rPr>
      </w:pPr>
      <w:r w:rsidRPr="004F63E7">
        <w:rPr>
          <w:i/>
          <w:iCs/>
          <w:szCs w:val="20"/>
        </w:rPr>
        <w:t xml:space="preserve">“This…is </w:t>
      </w:r>
      <w:r w:rsidRPr="004F63E7">
        <w:rPr>
          <w:rFonts w:eastAsia="Times New Roman"/>
          <w:i/>
          <w:iCs/>
          <w:szCs w:val="20"/>
        </w:rPr>
        <w:t>why</w:t>
      </w:r>
      <w:r w:rsidRPr="004F63E7">
        <w:rPr>
          <w:i/>
          <w:iCs/>
          <w:szCs w:val="20"/>
        </w:rPr>
        <w:t xml:space="preserve"> we choose 100. Because we want to try this out on all aspects from financial, from the doctor’s happiness, patient’s happiness. All these things we take into consideration. That’s why we do not want to increase [the] number.”</w:t>
      </w:r>
      <w:r w:rsidRPr="004F63E7">
        <w:rPr>
          <w:szCs w:val="20"/>
        </w:rPr>
        <w:t xml:space="preserve"> [GP, Practice 3, R4]</w:t>
      </w:r>
    </w:p>
    <w:p w14:paraId="3E171721" w14:textId="77777777" w:rsidR="00AE74AB" w:rsidRPr="004F63E7" w:rsidRDefault="00AE74AB" w:rsidP="00AE74AB">
      <w:pPr>
        <w:ind w:left="567" w:right="521"/>
        <w:rPr>
          <w:szCs w:val="20"/>
          <w:lang w:val="en-GB"/>
        </w:rPr>
      </w:pPr>
      <w:r w:rsidRPr="004F63E7">
        <w:rPr>
          <w:i/>
          <w:iCs/>
          <w:szCs w:val="20"/>
          <w:lang w:val="en-GB"/>
        </w:rPr>
        <w:t xml:space="preserve">“…the other reason why </w:t>
      </w:r>
      <w:r w:rsidRPr="004F63E7">
        <w:rPr>
          <w:rFonts w:eastAsia="Times New Roman"/>
          <w:i/>
          <w:iCs/>
          <w:szCs w:val="20"/>
        </w:rPr>
        <w:t>we</w:t>
      </w:r>
      <w:r w:rsidRPr="004F63E7">
        <w:rPr>
          <w:i/>
          <w:iCs/>
          <w:szCs w:val="20"/>
          <w:lang w:val="en-GB"/>
        </w:rPr>
        <w:t xml:space="preserve"> didn't end up [enrolling] too many patients in the program was uncertainty about where the program would be after two years. So, it’s difficult to get…a large cohort of patients used to it and then after two years say well, we’re doing to now can it and we’ll have to do things differently.”</w:t>
      </w:r>
      <w:r w:rsidRPr="004F63E7">
        <w:rPr>
          <w:szCs w:val="20"/>
          <w:lang w:val="en-GB"/>
        </w:rPr>
        <w:t xml:space="preserve"> [GP, Practice 11, R4]</w:t>
      </w:r>
    </w:p>
    <w:p w14:paraId="16DF1F30" w14:textId="77777777" w:rsidR="00AE74AB" w:rsidRPr="004F63E7" w:rsidRDefault="00AE74AB" w:rsidP="00AE74AB">
      <w:pPr>
        <w:ind w:left="567" w:right="521"/>
        <w:rPr>
          <w:szCs w:val="20"/>
          <w:lang w:val="en-GB"/>
        </w:rPr>
      </w:pPr>
      <w:r w:rsidRPr="004F63E7">
        <w:rPr>
          <w:i/>
          <w:iCs/>
          <w:szCs w:val="20"/>
          <w:lang w:val="en-GB"/>
        </w:rPr>
        <w:t xml:space="preserve">“You’ll get the cynic out of me, but </w:t>
      </w:r>
      <w:r w:rsidRPr="004F63E7">
        <w:rPr>
          <w:rFonts w:eastAsia="Times New Roman"/>
          <w:i/>
          <w:iCs/>
          <w:szCs w:val="20"/>
        </w:rPr>
        <w:t>generally</w:t>
      </w:r>
      <w:r w:rsidRPr="004F63E7">
        <w:rPr>
          <w:i/>
          <w:iCs/>
          <w:szCs w:val="20"/>
          <w:lang w:val="en-GB"/>
        </w:rPr>
        <w:t>, what happens in these situations is the program is started with fanfare and with plenty of funding and then once the hook is set and everybody is using it, it tends to get wound back… there’ll be this expectation about what the care looks like in general practice and the funding will disappear for it.”</w:t>
      </w:r>
      <w:r w:rsidRPr="004F63E7">
        <w:rPr>
          <w:szCs w:val="20"/>
          <w:lang w:val="en-GB"/>
        </w:rPr>
        <w:t xml:space="preserve"> [GP, Practice 2, R4]</w:t>
      </w:r>
    </w:p>
    <w:p w14:paraId="08BC31E2" w14:textId="77777777" w:rsidR="00AE74AB" w:rsidRPr="004F63E7" w:rsidRDefault="00AE74AB" w:rsidP="00AE74AB">
      <w:pPr>
        <w:keepNext/>
        <w:keepLines/>
        <w:outlineLvl w:val="2"/>
        <w:rPr>
          <w:rFonts w:ascii="Roboto Slab" w:eastAsiaTheme="majorEastAsia" w:hAnsi="Roboto Slab" w:cstheme="majorBidi"/>
          <w:color w:val="408BCA"/>
          <w:sz w:val="24"/>
          <w:szCs w:val="24"/>
          <w:lang w:val="en-GB"/>
        </w:rPr>
      </w:pPr>
      <w:r w:rsidRPr="004F63E7">
        <w:rPr>
          <w:rFonts w:ascii="Roboto Slab" w:eastAsiaTheme="majorEastAsia" w:hAnsi="Roboto Slab" w:cstheme="majorBidi"/>
          <w:color w:val="408BCA"/>
          <w:sz w:val="24"/>
          <w:szCs w:val="24"/>
          <w:lang w:val="en-GB"/>
        </w:rPr>
        <w:t>Post patient enrolment</w:t>
      </w:r>
    </w:p>
    <w:p w14:paraId="36D25C7B" w14:textId="77777777" w:rsidR="00AE74AB" w:rsidRPr="004F63E7" w:rsidRDefault="00AE74AB" w:rsidP="00AE74AB">
      <w:pPr>
        <w:rPr>
          <w:lang w:val="en-GB"/>
        </w:rPr>
      </w:pPr>
      <w:r w:rsidRPr="004F63E7">
        <w:rPr>
          <w:lang w:val="en-GB"/>
        </w:rPr>
        <w:t>Similar to the enrolment period, the level of change amongst HCHs varied in the post enrolment period. Those practices that thought their model already aligned with HCH before joining the trial continued with their usual practice:</w:t>
      </w:r>
    </w:p>
    <w:p w14:paraId="3F32A90F" w14:textId="77777777" w:rsidR="00AE74AB" w:rsidRPr="004F63E7" w:rsidRDefault="00AE74AB" w:rsidP="00AE74AB">
      <w:pPr>
        <w:ind w:left="567" w:right="521"/>
        <w:rPr>
          <w:lang w:val="en-GB"/>
        </w:rPr>
      </w:pPr>
      <w:r w:rsidRPr="004F63E7">
        <w:rPr>
          <w:i/>
          <w:iCs/>
          <w:lang w:val="en-GB"/>
        </w:rPr>
        <w:lastRenderedPageBreak/>
        <w:t>“I don’t think we’ve gained or seen as much change within the practice as we might have been hoping might have occurred. So, we had already invested quite a bit of our time in developing a model of care for enhanced primary care, in particular, chronic disease management.</w:t>
      </w:r>
      <w:r w:rsidRPr="004F63E7">
        <w:rPr>
          <w:lang w:val="en-GB"/>
        </w:rPr>
        <w:t xml:space="preserve"> [GP, Practice 2, R4]</w:t>
      </w:r>
    </w:p>
    <w:p w14:paraId="158C7E24" w14:textId="1303D455" w:rsidR="00AE74AB" w:rsidRPr="004F63E7" w:rsidRDefault="00AE74AB" w:rsidP="00AE74AB">
      <w:pPr>
        <w:rPr>
          <w:lang w:val="en-GB"/>
        </w:rPr>
      </w:pPr>
      <w:r w:rsidRPr="004F63E7">
        <w:rPr>
          <w:lang w:val="en-GB"/>
        </w:rPr>
        <w:t xml:space="preserve">The practices that aspired to make changes but </w:t>
      </w:r>
      <w:r w:rsidR="000908C4">
        <w:rPr>
          <w:lang w:val="en-GB"/>
        </w:rPr>
        <w:t>didn’t</w:t>
      </w:r>
      <w:r w:rsidRPr="004F63E7">
        <w:rPr>
          <w:lang w:val="en-GB"/>
        </w:rPr>
        <w:t xml:space="preserve"> identified staff turnover (especially losing practice champions who drove the program), the high administration burden of the program and COVID-19 as factors that reduced staff enthusiasm and engagement with the program and hindered their progress:</w:t>
      </w:r>
    </w:p>
    <w:p w14:paraId="49CFEED0" w14:textId="77777777" w:rsidR="00AE74AB" w:rsidRPr="004F63E7" w:rsidRDefault="00AE74AB" w:rsidP="00AE74AB">
      <w:pPr>
        <w:ind w:left="567" w:right="521"/>
        <w:rPr>
          <w:lang w:val="en-GB"/>
        </w:rPr>
      </w:pPr>
      <w:r w:rsidRPr="004F63E7">
        <w:rPr>
          <w:i/>
          <w:iCs/>
          <w:lang w:val="en-GB"/>
        </w:rPr>
        <w:t xml:space="preserve">“It’s hit a bit of a plateau probably due to a few things….[W]hat I’d say is that 90% of our focus ended up being on the administration implementation. That has made it very hard to change the clinical context too much because the administration load was high…And then our team administrator had a baby and has taken 12, 18 months off work. And our nurse who was running a program moved...And so with key staff and personnel and such a complex administrative system, it really has stifled our ability to innovate in the Health Care Homes space much in the last 12 or 18 months.” </w:t>
      </w:r>
      <w:r w:rsidRPr="004F63E7">
        <w:rPr>
          <w:lang w:val="en-GB"/>
        </w:rPr>
        <w:t>[GP, Practice 7, R4]</w:t>
      </w:r>
    </w:p>
    <w:p w14:paraId="49098332" w14:textId="77777777" w:rsidR="00AE74AB" w:rsidRPr="004F63E7" w:rsidRDefault="00AE74AB" w:rsidP="00AE74AB">
      <w:pPr>
        <w:ind w:left="567" w:right="521"/>
        <w:rPr>
          <w:lang w:val="en-GB"/>
        </w:rPr>
      </w:pPr>
      <w:r w:rsidRPr="004F63E7">
        <w:rPr>
          <w:i/>
          <w:iCs/>
          <w:lang w:val="en-GB"/>
        </w:rPr>
        <w:t>“…when it first started everyone had a lot of enthusiasm for the program, we had a dedicated Health Care Home nurse who was reviewing patients on a regular basis, leaving us messages. It seemed to be running quite well. And I see a lot of that enthusiasm has dropped off. I don’t think patients are being reviewed as often, I don’t think the Health Care Home nurse is telephoning people as often. I feel like it’s just been fizzling it out.”</w:t>
      </w:r>
      <w:r w:rsidRPr="004F63E7">
        <w:rPr>
          <w:lang w:val="en-GB"/>
        </w:rPr>
        <w:t xml:space="preserve"> [GP1, Practice 1, R5]</w:t>
      </w:r>
    </w:p>
    <w:p w14:paraId="0CFAE2A5" w14:textId="76ED4F17" w:rsidR="00AE74AB" w:rsidRPr="004F63E7" w:rsidRDefault="00AE74AB" w:rsidP="00AE74AB">
      <w:pPr>
        <w:rPr>
          <w:szCs w:val="20"/>
        </w:rPr>
      </w:pPr>
      <w:r w:rsidRPr="004F63E7">
        <w:rPr>
          <w:szCs w:val="20"/>
        </w:rPr>
        <w:t>Practices highlighted the following as initiatives they had hoped to progress during the trial</w:t>
      </w:r>
      <w:r w:rsidR="000758A3">
        <w:rPr>
          <w:szCs w:val="20"/>
        </w:rPr>
        <w:t xml:space="preserve"> </w:t>
      </w:r>
      <w:r w:rsidR="000758A3" w:rsidRPr="004F63E7">
        <w:rPr>
          <w:szCs w:val="20"/>
        </w:rPr>
        <w:t xml:space="preserve">but </w:t>
      </w:r>
      <w:r w:rsidR="000758A3">
        <w:rPr>
          <w:szCs w:val="20"/>
        </w:rPr>
        <w:t>didn’t</w:t>
      </w:r>
      <w:r w:rsidRPr="004F63E7">
        <w:rPr>
          <w:szCs w:val="20"/>
        </w:rPr>
        <w:t>:</w:t>
      </w:r>
    </w:p>
    <w:p w14:paraId="0FD58061" w14:textId="77777777" w:rsidR="00AE74AB" w:rsidRPr="004F63E7" w:rsidRDefault="00AE74AB" w:rsidP="00BB7C8D">
      <w:pPr>
        <w:numPr>
          <w:ilvl w:val="0"/>
          <w:numId w:val="36"/>
        </w:numPr>
        <w:ind w:left="714" w:hanging="357"/>
        <w:contextualSpacing/>
        <w:rPr>
          <w:szCs w:val="20"/>
        </w:rPr>
      </w:pPr>
      <w:r w:rsidRPr="004F63E7">
        <w:rPr>
          <w:szCs w:val="20"/>
        </w:rPr>
        <w:t>group sessions</w:t>
      </w:r>
    </w:p>
    <w:p w14:paraId="0CAAB1B4" w14:textId="77777777" w:rsidR="00AE74AB" w:rsidRPr="004F63E7" w:rsidRDefault="00AE74AB" w:rsidP="00BB7C8D">
      <w:pPr>
        <w:numPr>
          <w:ilvl w:val="0"/>
          <w:numId w:val="36"/>
        </w:numPr>
        <w:ind w:left="714" w:hanging="357"/>
        <w:contextualSpacing/>
        <w:rPr>
          <w:szCs w:val="20"/>
        </w:rPr>
      </w:pPr>
      <w:r w:rsidRPr="004F63E7">
        <w:rPr>
          <w:szCs w:val="20"/>
        </w:rPr>
        <w:t>nurse-led consults</w:t>
      </w:r>
    </w:p>
    <w:p w14:paraId="0B6FFD2B" w14:textId="77777777" w:rsidR="00AE74AB" w:rsidRPr="004F63E7" w:rsidRDefault="00AE74AB" w:rsidP="00BB7C8D">
      <w:pPr>
        <w:numPr>
          <w:ilvl w:val="0"/>
          <w:numId w:val="36"/>
        </w:numPr>
        <w:ind w:left="714" w:hanging="357"/>
        <w:contextualSpacing/>
        <w:rPr>
          <w:szCs w:val="20"/>
        </w:rPr>
      </w:pPr>
      <w:r w:rsidRPr="004F63E7">
        <w:rPr>
          <w:szCs w:val="20"/>
        </w:rPr>
        <w:t xml:space="preserve">increased collaboration with the HCH neighbourhood via the shared care planning tools </w:t>
      </w:r>
    </w:p>
    <w:p w14:paraId="625005A1" w14:textId="77777777" w:rsidR="00AE74AB" w:rsidRPr="004F63E7" w:rsidRDefault="00AE74AB" w:rsidP="00BB7C8D">
      <w:pPr>
        <w:numPr>
          <w:ilvl w:val="0"/>
          <w:numId w:val="36"/>
        </w:numPr>
        <w:ind w:left="714" w:hanging="357"/>
        <w:contextualSpacing/>
        <w:rPr>
          <w:szCs w:val="20"/>
        </w:rPr>
      </w:pPr>
      <w:r w:rsidRPr="004F63E7">
        <w:rPr>
          <w:szCs w:val="20"/>
        </w:rPr>
        <w:t xml:space="preserve">introduction of an Aboriginal liaison officer </w:t>
      </w:r>
    </w:p>
    <w:p w14:paraId="32F4D55E" w14:textId="77777777" w:rsidR="00AE74AB" w:rsidRPr="004F63E7" w:rsidRDefault="00AE74AB" w:rsidP="00BB7C8D">
      <w:pPr>
        <w:numPr>
          <w:ilvl w:val="0"/>
          <w:numId w:val="36"/>
        </w:numPr>
        <w:ind w:left="714" w:hanging="357"/>
        <w:rPr>
          <w:szCs w:val="20"/>
        </w:rPr>
      </w:pPr>
      <w:r w:rsidRPr="004F63E7">
        <w:rPr>
          <w:szCs w:val="20"/>
        </w:rPr>
        <w:t>implementation of the PAM tool to measure patient activation and outcomes.</w:t>
      </w:r>
    </w:p>
    <w:p w14:paraId="75AA55DB" w14:textId="77777777" w:rsidR="00AE74AB" w:rsidRPr="00BE772C" w:rsidRDefault="00AE74AB" w:rsidP="00AE74AB">
      <w:pPr>
        <w:keepNext/>
        <w:keepLines/>
        <w:spacing w:before="40" w:after="0"/>
        <w:outlineLvl w:val="3"/>
        <w:rPr>
          <w:rFonts w:ascii="Roboto Slab" w:eastAsiaTheme="majorEastAsia" w:hAnsi="Roboto Slab" w:cstheme="majorBidi"/>
          <w:iCs/>
          <w:color w:val="408BCA"/>
          <w:lang w:val="en-GB"/>
        </w:rPr>
      </w:pPr>
      <w:r w:rsidRPr="00BE772C">
        <w:rPr>
          <w:rFonts w:ascii="Roboto Slab" w:eastAsiaTheme="majorEastAsia" w:hAnsi="Roboto Slab" w:cstheme="majorBidi"/>
          <w:iCs/>
          <w:color w:val="408BCA"/>
          <w:lang w:val="en-GB"/>
        </w:rPr>
        <w:t>Impact of COVID-19</w:t>
      </w:r>
    </w:p>
    <w:p w14:paraId="22ACA32E" w14:textId="71EC4AC6" w:rsidR="00AE74AB" w:rsidRPr="00BE772C" w:rsidRDefault="00AE74AB" w:rsidP="00AE74AB">
      <w:r w:rsidRPr="00BE772C">
        <w:t xml:space="preserve">In the practice survey, practices reported the extent to which the COVID-19 pandemic affected their progress with </w:t>
      </w:r>
      <w:r w:rsidR="00227B51">
        <w:t>HCH implementation</w:t>
      </w:r>
      <w:r w:rsidRPr="00BE772C">
        <w:t xml:space="preserve"> (</w:t>
      </w:r>
      <w:r w:rsidRPr="00BE772C">
        <w:rPr>
          <w:color w:val="1D2455"/>
        </w:rPr>
        <w:fldChar w:fldCharType="begin"/>
      </w:r>
      <w:r w:rsidRPr="00BE772C">
        <w:rPr>
          <w:color w:val="1D2455"/>
        </w:rPr>
        <w:instrText xml:space="preserve"> REF _Ref51333264 \h  \* MERGEFORMAT </w:instrText>
      </w:r>
      <w:r w:rsidRPr="00BE772C">
        <w:rPr>
          <w:color w:val="1D2455"/>
        </w:rPr>
      </w:r>
      <w:r w:rsidRPr="00BE772C">
        <w:rPr>
          <w:color w:val="1D2455"/>
        </w:rPr>
        <w:fldChar w:fldCharType="separate"/>
      </w:r>
      <w:r w:rsidR="003C4BC2" w:rsidRPr="003C4BC2">
        <w:rPr>
          <w:color w:val="1D2455"/>
        </w:rPr>
        <w:t>Figure 13</w:t>
      </w:r>
      <w:r w:rsidRPr="00BE772C">
        <w:rPr>
          <w:color w:val="1D2455"/>
        </w:rPr>
        <w:fldChar w:fldCharType="end"/>
      </w:r>
      <w:r w:rsidRPr="00BE772C">
        <w:rPr>
          <w:color w:val="1D2455"/>
        </w:rPr>
        <w:t>)</w:t>
      </w:r>
      <w:r w:rsidRPr="00BE772C">
        <w:t>. Initiatives where COVID had slowed practices progress included:</w:t>
      </w:r>
    </w:p>
    <w:p w14:paraId="53FCCF7C" w14:textId="77777777" w:rsidR="00AE74AB" w:rsidRPr="00BE772C" w:rsidRDefault="00AE74AB" w:rsidP="00BB7C8D">
      <w:pPr>
        <w:numPr>
          <w:ilvl w:val="0"/>
          <w:numId w:val="49"/>
        </w:numPr>
        <w:contextualSpacing/>
      </w:pPr>
      <w:r w:rsidRPr="00BE772C">
        <w:t>B: Regular meetings of HCH practice team to review HCH patients and their care needs – 70%</w:t>
      </w:r>
    </w:p>
    <w:p w14:paraId="24B0B598" w14:textId="77777777" w:rsidR="00AE74AB" w:rsidRPr="00BE772C" w:rsidRDefault="00AE74AB" w:rsidP="00BB7C8D">
      <w:pPr>
        <w:numPr>
          <w:ilvl w:val="0"/>
          <w:numId w:val="49"/>
        </w:numPr>
        <w:contextualSpacing/>
      </w:pPr>
      <w:r w:rsidRPr="00BE772C">
        <w:t>H: Dedicated clinics for patients with specific chronic conditions – 68%.</w:t>
      </w:r>
    </w:p>
    <w:p w14:paraId="2A335120" w14:textId="77777777" w:rsidR="00AE74AB" w:rsidRPr="00BE772C" w:rsidRDefault="00AE74AB" w:rsidP="00BB7C8D">
      <w:pPr>
        <w:numPr>
          <w:ilvl w:val="0"/>
          <w:numId w:val="49"/>
        </w:numPr>
        <w:contextualSpacing/>
      </w:pPr>
      <w:r w:rsidRPr="00BE772C">
        <w:t xml:space="preserve">I: Group consultations – 62% </w:t>
      </w:r>
    </w:p>
    <w:p w14:paraId="0DBC085A" w14:textId="77777777" w:rsidR="00AE74AB" w:rsidRPr="00BE772C" w:rsidRDefault="00AE74AB" w:rsidP="00BB7C8D">
      <w:pPr>
        <w:numPr>
          <w:ilvl w:val="0"/>
          <w:numId w:val="49"/>
        </w:numPr>
        <w:contextualSpacing/>
      </w:pPr>
      <w:r w:rsidRPr="00BE772C">
        <w:t>C: Reassigning components of care usually undertaken by a GP to a nurse – 61%</w:t>
      </w:r>
    </w:p>
    <w:p w14:paraId="0199225E" w14:textId="77777777" w:rsidR="00AE74AB" w:rsidRPr="00BE772C" w:rsidRDefault="00AE74AB" w:rsidP="00BB7C8D">
      <w:pPr>
        <w:numPr>
          <w:ilvl w:val="0"/>
          <w:numId w:val="49"/>
        </w:numPr>
        <w:ind w:left="714" w:hanging="357"/>
      </w:pPr>
      <w:r w:rsidRPr="00BE772C">
        <w:t>J: Joint consultations for patients involving a GP, nurse and allied health – 58%.</w:t>
      </w:r>
    </w:p>
    <w:p w14:paraId="668A82B0" w14:textId="77777777" w:rsidR="00227B51" w:rsidRDefault="00227B51">
      <w:pPr>
        <w:spacing w:after="160" w:line="259" w:lineRule="auto"/>
      </w:pPr>
      <w:r>
        <w:br w:type="page"/>
      </w:r>
    </w:p>
    <w:p w14:paraId="6AC81011" w14:textId="217026BA" w:rsidR="00AE74AB" w:rsidRPr="00BE772C" w:rsidRDefault="00AE74AB" w:rsidP="00AE74AB">
      <w:r w:rsidRPr="00BE772C">
        <w:lastRenderedPageBreak/>
        <w:t>Initiatives that the pandemic had accelerated progress included:</w:t>
      </w:r>
    </w:p>
    <w:p w14:paraId="181D448E" w14:textId="77777777" w:rsidR="00AE74AB" w:rsidRPr="00BE772C" w:rsidRDefault="00AE74AB" w:rsidP="00BB7C8D">
      <w:pPr>
        <w:numPr>
          <w:ilvl w:val="0"/>
          <w:numId w:val="50"/>
        </w:numPr>
        <w:contextualSpacing/>
      </w:pPr>
      <w:r w:rsidRPr="00BE772C">
        <w:t>K: HCH patients able to telephone the practice and talk to a nurse or GP about their health concerns – 58%</w:t>
      </w:r>
    </w:p>
    <w:p w14:paraId="35DBBBA7" w14:textId="77777777" w:rsidR="00AE74AB" w:rsidRPr="00BE772C" w:rsidRDefault="00AE74AB" w:rsidP="00BB7C8D">
      <w:pPr>
        <w:numPr>
          <w:ilvl w:val="0"/>
          <w:numId w:val="50"/>
        </w:numPr>
        <w:contextualSpacing/>
      </w:pPr>
      <w:r w:rsidRPr="00BE772C">
        <w:t>N: HCH patients able to refill scripts without a GP consultation – 54%</w:t>
      </w:r>
    </w:p>
    <w:p w14:paraId="49BAB4C2" w14:textId="4A1D69AE" w:rsidR="00AE74AB" w:rsidRDefault="00AE74AB" w:rsidP="00BB7C8D">
      <w:pPr>
        <w:numPr>
          <w:ilvl w:val="0"/>
          <w:numId w:val="50"/>
        </w:numPr>
        <w:ind w:left="714" w:hanging="357"/>
      </w:pPr>
      <w:r w:rsidRPr="00BE772C">
        <w:t>L: HCH patients able to communicate by email or secure messaging with the GP or nurse – 52%</w:t>
      </w:r>
      <w:r w:rsidR="005B6DDB">
        <w:t>.</w:t>
      </w:r>
    </w:p>
    <w:p w14:paraId="5E17E688" w14:textId="6F9358BC" w:rsidR="009851FC" w:rsidRDefault="00AE74AB" w:rsidP="009851FC">
      <w:pPr>
        <w:spacing w:after="0"/>
        <w:jc w:val="center"/>
        <w:rPr>
          <w:rFonts w:eastAsiaTheme="minorEastAsia"/>
          <w:bCs/>
          <w:color w:val="1D2455"/>
          <w:szCs w:val="20"/>
          <w:lang w:eastAsia="en-AU"/>
        </w:rPr>
      </w:pPr>
      <w:bookmarkStart w:id="180" w:name="_Ref51333264"/>
      <w:r w:rsidRPr="004F63E7">
        <w:rPr>
          <w:rFonts w:eastAsiaTheme="minorEastAsia"/>
          <w:bCs/>
          <w:color w:val="1D2455"/>
          <w:szCs w:val="20"/>
          <w:lang w:eastAsia="en-AU"/>
        </w:rPr>
        <w:t xml:space="preserve">Figure </w:t>
      </w:r>
      <w:r w:rsidRPr="004F63E7">
        <w:rPr>
          <w:rFonts w:eastAsiaTheme="minorEastAsia"/>
          <w:bCs/>
          <w:color w:val="1D2455"/>
          <w:szCs w:val="20"/>
          <w:lang w:eastAsia="en-AU"/>
        </w:rPr>
        <w:fldChar w:fldCharType="begin"/>
      </w:r>
      <w:r w:rsidRPr="004F63E7">
        <w:rPr>
          <w:rFonts w:eastAsiaTheme="minorEastAsia"/>
          <w:bCs/>
          <w:color w:val="1D2455"/>
          <w:szCs w:val="20"/>
          <w:lang w:eastAsia="en-AU"/>
        </w:rPr>
        <w:instrText xml:space="preserve"> SEQ Figure \* ARABIC </w:instrText>
      </w:r>
      <w:r w:rsidRPr="004F63E7">
        <w:rPr>
          <w:rFonts w:eastAsiaTheme="minorEastAsia"/>
          <w:bCs/>
          <w:color w:val="1D2455"/>
          <w:szCs w:val="20"/>
          <w:lang w:eastAsia="en-AU"/>
        </w:rPr>
        <w:fldChar w:fldCharType="separate"/>
      </w:r>
      <w:r w:rsidR="003C4BC2">
        <w:rPr>
          <w:rFonts w:eastAsiaTheme="minorEastAsia"/>
          <w:bCs/>
          <w:noProof/>
          <w:color w:val="1D2455"/>
          <w:szCs w:val="20"/>
          <w:lang w:eastAsia="en-AU"/>
        </w:rPr>
        <w:t>13</w:t>
      </w:r>
      <w:r w:rsidRPr="004F63E7">
        <w:rPr>
          <w:rFonts w:eastAsiaTheme="minorEastAsia"/>
          <w:bCs/>
          <w:noProof/>
          <w:color w:val="1D2455"/>
          <w:szCs w:val="20"/>
          <w:lang w:eastAsia="en-AU"/>
        </w:rPr>
        <w:fldChar w:fldCharType="end"/>
      </w:r>
      <w:bookmarkEnd w:id="180"/>
      <w:r w:rsidRPr="004F63E7">
        <w:rPr>
          <w:rFonts w:eastAsiaTheme="minorEastAsia"/>
          <w:bCs/>
          <w:color w:val="1D2455"/>
          <w:szCs w:val="20"/>
          <w:lang w:eastAsia="en-AU"/>
        </w:rPr>
        <w:t xml:space="preserve">: To what extent did the COVID-19 pandemic affect </w:t>
      </w:r>
    </w:p>
    <w:p w14:paraId="3FAB00C0" w14:textId="7D310EF6" w:rsidR="00AE74AB" w:rsidRPr="004F63E7" w:rsidRDefault="00AE74AB" w:rsidP="00AE74AB">
      <w:pPr>
        <w:spacing w:after="60"/>
        <w:jc w:val="center"/>
        <w:rPr>
          <w:rFonts w:eastAsia="Century Gothic" w:cs="Century Gothic"/>
          <w:bCs/>
          <w:i/>
          <w:color w:val="000000"/>
          <w:sz w:val="18"/>
          <w:szCs w:val="18"/>
          <w:lang w:eastAsia="en-AU"/>
        </w:rPr>
      </w:pPr>
      <w:r w:rsidRPr="004F63E7">
        <w:rPr>
          <w:rFonts w:eastAsiaTheme="minorEastAsia"/>
          <w:bCs/>
          <w:color w:val="1D2455"/>
          <w:szCs w:val="20"/>
          <w:lang w:eastAsia="en-AU"/>
        </w:rPr>
        <w:t>your progress with implementing this initiative?</w:t>
      </w:r>
      <w:r w:rsidRPr="004F63E7">
        <w:rPr>
          <w:rFonts w:eastAsia="Century Gothic" w:cs="Century Gothic"/>
          <w:bCs/>
          <w:i/>
          <w:color w:val="000000"/>
          <w:sz w:val="18"/>
          <w:szCs w:val="18"/>
          <w:lang w:eastAsia="en-AU"/>
        </w:rPr>
        <w:t xml:space="preserve"> </w:t>
      </w:r>
    </w:p>
    <w:p w14:paraId="1E48AF1A" w14:textId="77777777" w:rsidR="00AE74AB" w:rsidRPr="004F63E7" w:rsidRDefault="00AE74AB" w:rsidP="00AE74AB">
      <w:pPr>
        <w:spacing w:after="0"/>
        <w:jc w:val="center"/>
        <w:rPr>
          <w:highlight w:val="yellow"/>
        </w:rPr>
      </w:pPr>
      <w:r w:rsidRPr="004F63E7">
        <w:rPr>
          <w:noProof/>
        </w:rPr>
        <w:drawing>
          <wp:inline distT="0" distB="0" distL="0" distR="0" wp14:anchorId="4FDC1169" wp14:editId="4894C1A2">
            <wp:extent cx="6242273" cy="4457700"/>
            <wp:effectExtent l="0" t="0" r="0" b="0"/>
            <wp:docPr id="16" name="Picture 1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calenda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50719" cy="4463732"/>
                    </a:xfrm>
                    <a:prstGeom prst="rect">
                      <a:avLst/>
                    </a:prstGeom>
                  </pic:spPr>
                </pic:pic>
              </a:graphicData>
            </a:graphic>
          </wp:inline>
        </w:drawing>
      </w:r>
    </w:p>
    <w:p w14:paraId="65723AC1" w14:textId="65592FAC" w:rsidR="00AE74AB" w:rsidRPr="004F63E7" w:rsidRDefault="00AE74AB" w:rsidP="00AE74AB">
      <w:pPr>
        <w:jc w:val="center"/>
        <w:rPr>
          <w:rFonts w:eastAsia="Calibri" w:cs="Times New Roman"/>
          <w:b/>
          <w:bCs/>
          <w:i/>
          <w:sz w:val="16"/>
          <w:szCs w:val="20"/>
        </w:rPr>
      </w:pPr>
      <w:r w:rsidRPr="004F63E7">
        <w:rPr>
          <w:rFonts w:eastAsia="Calibri" w:cs="Times New Roman"/>
          <w:i/>
          <w:sz w:val="16"/>
          <w:szCs w:val="18"/>
        </w:rPr>
        <w:t xml:space="preserve">Source: Practice survey R5, </w:t>
      </w:r>
      <w:r w:rsidR="00BC2D7A" w:rsidRPr="00BC2D7A">
        <w:rPr>
          <w:rFonts w:eastAsia="Calibri" w:cs="Times New Roman"/>
          <w:i/>
          <w:sz w:val="16"/>
          <w:szCs w:val="18"/>
        </w:rPr>
        <w:t>Mar–May</w:t>
      </w:r>
      <w:r w:rsidRPr="004F63E7">
        <w:rPr>
          <w:rFonts w:eastAsia="Calibri" w:cs="Times New Roman"/>
          <w:i/>
          <w:sz w:val="16"/>
          <w:szCs w:val="18"/>
        </w:rPr>
        <w:t xml:space="preserve"> 2021, question 9.</w:t>
      </w:r>
    </w:p>
    <w:p w14:paraId="6A44F4CC" w14:textId="3813E7F7" w:rsidR="00AE74AB" w:rsidRPr="004F63E7" w:rsidRDefault="00AE74AB" w:rsidP="00AE74AB">
      <w:r w:rsidRPr="004F63E7">
        <w:t>Initiatives practices implemented that helped them better manage patients with chronic conditions during the pandemic included (</w:t>
      </w:r>
      <w:r w:rsidRPr="004F63E7">
        <w:rPr>
          <w:color w:val="1D2455"/>
        </w:rPr>
        <w:fldChar w:fldCharType="begin"/>
      </w:r>
      <w:r w:rsidRPr="004F63E7">
        <w:rPr>
          <w:color w:val="1D2455"/>
        </w:rPr>
        <w:instrText xml:space="preserve"> REF _Ref90902080 \h  \* MERGEFORMAT </w:instrText>
      </w:r>
      <w:r w:rsidRPr="004F63E7">
        <w:rPr>
          <w:color w:val="1D2455"/>
        </w:rPr>
      </w:r>
      <w:r w:rsidRPr="004F63E7">
        <w:rPr>
          <w:color w:val="1D2455"/>
        </w:rPr>
        <w:fldChar w:fldCharType="separate"/>
      </w:r>
      <w:r w:rsidR="003C4BC2" w:rsidRPr="003C4BC2">
        <w:rPr>
          <w:color w:val="1D2455"/>
        </w:rPr>
        <w:t>Figure 14</w:t>
      </w:r>
      <w:r w:rsidRPr="004F63E7">
        <w:rPr>
          <w:color w:val="1D2455"/>
        </w:rPr>
        <w:fldChar w:fldCharType="end"/>
      </w:r>
      <w:r w:rsidRPr="004F63E7">
        <w:t>):</w:t>
      </w:r>
    </w:p>
    <w:p w14:paraId="72702B85" w14:textId="77777777" w:rsidR="00AE74AB" w:rsidRPr="004F63E7" w:rsidRDefault="00AE74AB" w:rsidP="00BB7C8D">
      <w:pPr>
        <w:numPr>
          <w:ilvl w:val="0"/>
          <w:numId w:val="50"/>
        </w:numPr>
        <w:ind w:left="714" w:hanging="357"/>
        <w:contextualSpacing/>
      </w:pPr>
      <w:r w:rsidRPr="004F63E7">
        <w:t>K: HCH patients able to telephone the practice and talk to a nurse or GP about their health concerns – 54%</w:t>
      </w:r>
    </w:p>
    <w:p w14:paraId="54427F5B" w14:textId="77777777" w:rsidR="00AE74AB" w:rsidRPr="004F63E7" w:rsidRDefault="00AE74AB" w:rsidP="00BB7C8D">
      <w:pPr>
        <w:numPr>
          <w:ilvl w:val="0"/>
          <w:numId w:val="50"/>
        </w:numPr>
        <w:ind w:left="714" w:hanging="357"/>
        <w:contextualSpacing/>
      </w:pPr>
      <w:r w:rsidRPr="004F63E7">
        <w:t>G: Proactive contact with patients to check how they are going – 49%</w:t>
      </w:r>
    </w:p>
    <w:p w14:paraId="161CB195" w14:textId="77777777" w:rsidR="00AE74AB" w:rsidRPr="004F63E7" w:rsidRDefault="00AE74AB" w:rsidP="00BB7C8D">
      <w:pPr>
        <w:numPr>
          <w:ilvl w:val="0"/>
          <w:numId w:val="50"/>
        </w:numPr>
        <w:contextualSpacing/>
      </w:pPr>
      <w:r w:rsidRPr="004F63E7">
        <w:t>C: Reassigning components of care usually undertaken by a GP to a nurse – 37%</w:t>
      </w:r>
    </w:p>
    <w:p w14:paraId="65D56DB4" w14:textId="77777777" w:rsidR="00AE74AB" w:rsidRPr="004F63E7" w:rsidRDefault="00AE74AB" w:rsidP="00BB7C8D">
      <w:pPr>
        <w:numPr>
          <w:ilvl w:val="0"/>
          <w:numId w:val="50"/>
        </w:numPr>
        <w:contextualSpacing/>
      </w:pPr>
      <w:r w:rsidRPr="004F63E7">
        <w:t>B: Regular meetings of HCH practice team to review HCH patients and their care needs – 32%</w:t>
      </w:r>
    </w:p>
    <w:p w14:paraId="797BAFA9" w14:textId="172D5695" w:rsidR="00BE772C" w:rsidRDefault="00AE74AB" w:rsidP="00BB7C8D">
      <w:pPr>
        <w:numPr>
          <w:ilvl w:val="0"/>
          <w:numId w:val="50"/>
        </w:numPr>
        <w:ind w:left="714" w:hanging="357"/>
      </w:pPr>
      <w:r w:rsidRPr="004F63E7">
        <w:t>L: HCH patients able to communicate by email or secure messaging with the GP or nurse – 31%</w:t>
      </w:r>
    </w:p>
    <w:p w14:paraId="24941E99" w14:textId="12CA9D85" w:rsidR="006B6C2D" w:rsidRDefault="006B6C2D">
      <w:pPr>
        <w:spacing w:after="160" w:line="259" w:lineRule="auto"/>
      </w:pPr>
      <w:r>
        <w:br w:type="page"/>
      </w:r>
    </w:p>
    <w:p w14:paraId="3E93FAF2" w14:textId="5B1DB001" w:rsidR="00AE74AB" w:rsidRPr="004F63E7" w:rsidRDefault="00AE74AB" w:rsidP="00AE74AB">
      <w:pPr>
        <w:spacing w:after="60"/>
        <w:jc w:val="center"/>
        <w:rPr>
          <w:rFonts w:eastAsiaTheme="minorEastAsia"/>
          <w:color w:val="1D2455"/>
          <w:szCs w:val="20"/>
          <w:lang w:eastAsia="en-AU"/>
        </w:rPr>
      </w:pPr>
      <w:bookmarkStart w:id="181" w:name="_Ref90902080"/>
      <w:r w:rsidRPr="004F63E7">
        <w:rPr>
          <w:rFonts w:eastAsiaTheme="minorEastAsia"/>
          <w:color w:val="1D2455"/>
          <w:szCs w:val="20"/>
          <w:lang w:eastAsia="en-AU"/>
        </w:rPr>
        <w:lastRenderedPageBreak/>
        <w:t xml:space="preserve">Figure </w:t>
      </w:r>
      <w:r w:rsidRPr="004F63E7">
        <w:rPr>
          <w:rFonts w:eastAsiaTheme="minorEastAsia"/>
          <w:color w:val="1D2455"/>
          <w:szCs w:val="20"/>
          <w:lang w:eastAsia="en-AU"/>
        </w:rPr>
        <w:fldChar w:fldCharType="begin"/>
      </w:r>
      <w:r w:rsidRPr="004F63E7">
        <w:rPr>
          <w:rFonts w:eastAsiaTheme="minorEastAsia"/>
          <w:color w:val="1D2455"/>
          <w:szCs w:val="20"/>
          <w:lang w:eastAsia="en-AU"/>
        </w:rPr>
        <w:instrText xml:space="preserve"> SEQ Figure \* ARABIC </w:instrText>
      </w:r>
      <w:r w:rsidRPr="004F63E7">
        <w:rPr>
          <w:rFonts w:eastAsiaTheme="minorEastAsia"/>
          <w:color w:val="1D2455"/>
          <w:szCs w:val="20"/>
          <w:lang w:eastAsia="en-AU"/>
        </w:rPr>
        <w:fldChar w:fldCharType="separate"/>
      </w:r>
      <w:r w:rsidR="003C4BC2">
        <w:rPr>
          <w:rFonts w:eastAsiaTheme="minorEastAsia"/>
          <w:noProof/>
          <w:color w:val="1D2455"/>
          <w:szCs w:val="20"/>
          <w:lang w:eastAsia="en-AU"/>
        </w:rPr>
        <w:t>14</w:t>
      </w:r>
      <w:r w:rsidRPr="004F63E7">
        <w:rPr>
          <w:rFonts w:eastAsiaTheme="minorEastAsia"/>
          <w:color w:val="1D2455"/>
          <w:szCs w:val="20"/>
          <w:lang w:eastAsia="en-AU"/>
        </w:rPr>
        <w:fldChar w:fldCharType="end"/>
      </w:r>
      <w:bookmarkEnd w:id="181"/>
      <w:r w:rsidRPr="004F63E7">
        <w:rPr>
          <w:rFonts w:eastAsiaTheme="minorEastAsia"/>
          <w:color w:val="1D2455"/>
          <w:szCs w:val="20"/>
          <w:lang w:eastAsia="en-AU"/>
        </w:rPr>
        <w:t>: Did implementing this initiative help your practice better manage patients’ care during the COVID-19 pandemic?</w:t>
      </w:r>
    </w:p>
    <w:p w14:paraId="4E0EEE8E" w14:textId="77777777" w:rsidR="00AE74AB" w:rsidRPr="004F63E7" w:rsidRDefault="00AE74AB" w:rsidP="00AE74AB">
      <w:pPr>
        <w:spacing w:after="0"/>
        <w:jc w:val="center"/>
      </w:pPr>
      <w:r w:rsidRPr="004F63E7">
        <w:rPr>
          <w:noProof/>
        </w:rPr>
        <w:drawing>
          <wp:inline distT="0" distB="0" distL="0" distR="0" wp14:anchorId="0DD5518D" wp14:editId="4BA63EB3">
            <wp:extent cx="6017746" cy="4298400"/>
            <wp:effectExtent l="0" t="0" r="0" b="0"/>
            <wp:docPr id="17" name="Picture 1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char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017746" cy="4298400"/>
                    </a:xfrm>
                    <a:prstGeom prst="rect">
                      <a:avLst/>
                    </a:prstGeom>
                  </pic:spPr>
                </pic:pic>
              </a:graphicData>
            </a:graphic>
          </wp:inline>
        </w:drawing>
      </w:r>
    </w:p>
    <w:p w14:paraId="2DE292DB" w14:textId="5BA0B999" w:rsidR="00AE74AB" w:rsidRPr="004F63E7" w:rsidRDefault="00AE74AB" w:rsidP="00AE74AB">
      <w:pPr>
        <w:jc w:val="center"/>
        <w:rPr>
          <w:rFonts w:eastAsia="Calibri" w:cs="Times New Roman"/>
          <w:b/>
          <w:bCs/>
          <w:i/>
          <w:sz w:val="16"/>
          <w:szCs w:val="20"/>
        </w:rPr>
      </w:pPr>
      <w:r w:rsidRPr="004F63E7">
        <w:rPr>
          <w:rFonts w:eastAsia="Calibri" w:cs="Times New Roman"/>
          <w:i/>
          <w:sz w:val="16"/>
          <w:szCs w:val="18"/>
        </w:rPr>
        <w:t xml:space="preserve">Source: Practice survey R5, </w:t>
      </w:r>
      <w:r w:rsidR="00BC2D7A" w:rsidRPr="00BC2D7A">
        <w:rPr>
          <w:rFonts w:eastAsia="Calibri" w:cs="Times New Roman"/>
          <w:i/>
          <w:sz w:val="16"/>
          <w:szCs w:val="18"/>
        </w:rPr>
        <w:t>Mar–May</w:t>
      </w:r>
      <w:r w:rsidRPr="004F63E7">
        <w:rPr>
          <w:rFonts w:eastAsia="Calibri" w:cs="Times New Roman"/>
          <w:i/>
          <w:sz w:val="16"/>
          <w:szCs w:val="18"/>
        </w:rPr>
        <w:t xml:space="preserve"> 2021, question 9.</w:t>
      </w:r>
    </w:p>
    <w:p w14:paraId="6828AA28" w14:textId="4662B05D" w:rsidR="00AE74AB" w:rsidRPr="004F63E7" w:rsidRDefault="00AE74AB" w:rsidP="00AE74AB">
      <w:pPr>
        <w:rPr>
          <w:lang w:val="en-GB"/>
        </w:rPr>
      </w:pPr>
      <w:r w:rsidRPr="004F63E7">
        <w:rPr>
          <w:lang w:val="en-GB"/>
        </w:rPr>
        <w:t xml:space="preserve">In the survey, practices were also asked </w:t>
      </w:r>
      <w:r w:rsidR="009A0FC5">
        <w:rPr>
          <w:lang w:val="en-GB"/>
        </w:rPr>
        <w:t>about the relative use of</w:t>
      </w:r>
      <w:r w:rsidRPr="004F63E7">
        <w:rPr>
          <w:lang w:val="en-GB"/>
        </w:rPr>
        <w:t xml:space="preserve"> specific contact modes in 2020 compared with the previous year. Most practices reported less face-to-face visits and more telephone and video calls and emails (</w:t>
      </w:r>
      <w:r w:rsidRPr="004F63E7">
        <w:rPr>
          <w:color w:val="1D2455"/>
          <w:lang w:val="en-GB"/>
        </w:rPr>
        <w:fldChar w:fldCharType="begin"/>
      </w:r>
      <w:r w:rsidRPr="004F63E7">
        <w:rPr>
          <w:color w:val="1D2455"/>
          <w:lang w:val="en-GB"/>
        </w:rPr>
        <w:instrText xml:space="preserve"> REF _Ref90022459 \h  \* MERGEFORMAT </w:instrText>
      </w:r>
      <w:r w:rsidRPr="004F63E7">
        <w:rPr>
          <w:color w:val="1D2455"/>
          <w:lang w:val="en-GB"/>
        </w:rPr>
      </w:r>
      <w:r w:rsidRPr="004F63E7">
        <w:rPr>
          <w:color w:val="1D2455"/>
          <w:lang w:val="en-GB"/>
        </w:rPr>
        <w:fldChar w:fldCharType="separate"/>
      </w:r>
      <w:r w:rsidR="003C4BC2" w:rsidRPr="003C4BC2">
        <w:rPr>
          <w:color w:val="1D2455"/>
        </w:rPr>
        <w:t xml:space="preserve">Table </w:t>
      </w:r>
      <w:r w:rsidR="003C4BC2" w:rsidRPr="003C4BC2">
        <w:rPr>
          <w:noProof/>
          <w:color w:val="1D2455"/>
        </w:rPr>
        <w:t>21</w:t>
      </w:r>
      <w:r w:rsidRPr="004F63E7">
        <w:rPr>
          <w:color w:val="1D2455"/>
          <w:lang w:val="en-GB"/>
        </w:rPr>
        <w:fldChar w:fldCharType="end"/>
      </w:r>
      <w:r w:rsidRPr="004F63E7">
        <w:rPr>
          <w:lang w:val="en-GB"/>
        </w:rPr>
        <w:t>). More than half of the practices said that they did not use video as a means of patient contact.</w:t>
      </w:r>
    </w:p>
    <w:p w14:paraId="7B14AF1F" w14:textId="2CA064F3" w:rsidR="00AE74AB" w:rsidRPr="004F63E7" w:rsidRDefault="00AE74AB" w:rsidP="00AE74AB">
      <w:pPr>
        <w:spacing w:after="60"/>
        <w:jc w:val="center"/>
        <w:rPr>
          <w:rFonts w:eastAsiaTheme="minorEastAsia"/>
          <w:color w:val="1D2455"/>
          <w:szCs w:val="20"/>
          <w:lang w:eastAsia="en-AU"/>
        </w:rPr>
      </w:pPr>
      <w:bookmarkStart w:id="182" w:name="_Ref90022459"/>
      <w:r w:rsidRPr="004F63E7">
        <w:rPr>
          <w:rFonts w:eastAsiaTheme="minorEastAsia"/>
          <w:color w:val="1D2455"/>
          <w:szCs w:val="20"/>
          <w:lang w:eastAsia="en-AU"/>
        </w:rPr>
        <w:t xml:space="preserve">Table </w:t>
      </w:r>
      <w:r w:rsidRPr="004F63E7">
        <w:rPr>
          <w:rFonts w:eastAsiaTheme="minorEastAsia"/>
          <w:color w:val="1D2455"/>
          <w:szCs w:val="20"/>
          <w:lang w:eastAsia="en-AU"/>
        </w:rPr>
        <w:fldChar w:fldCharType="begin"/>
      </w:r>
      <w:r w:rsidRPr="004F63E7">
        <w:rPr>
          <w:rFonts w:eastAsiaTheme="minorEastAsia"/>
          <w:color w:val="1D2455"/>
          <w:szCs w:val="20"/>
          <w:lang w:eastAsia="en-AU"/>
        </w:rPr>
        <w:instrText xml:space="preserve"> SEQ Table \* ARABIC </w:instrText>
      </w:r>
      <w:r w:rsidRPr="004F63E7">
        <w:rPr>
          <w:rFonts w:eastAsiaTheme="minorEastAsia"/>
          <w:color w:val="1D2455"/>
          <w:szCs w:val="20"/>
          <w:lang w:eastAsia="en-AU"/>
        </w:rPr>
        <w:fldChar w:fldCharType="separate"/>
      </w:r>
      <w:r w:rsidR="003C4BC2">
        <w:rPr>
          <w:rFonts w:eastAsiaTheme="minorEastAsia"/>
          <w:noProof/>
          <w:color w:val="1D2455"/>
          <w:szCs w:val="20"/>
          <w:lang w:eastAsia="en-AU"/>
        </w:rPr>
        <w:t>21</w:t>
      </w:r>
      <w:r w:rsidRPr="004F63E7">
        <w:rPr>
          <w:rFonts w:eastAsiaTheme="minorEastAsia"/>
          <w:color w:val="1D2455"/>
          <w:szCs w:val="20"/>
          <w:lang w:eastAsia="en-AU"/>
        </w:rPr>
        <w:fldChar w:fldCharType="end"/>
      </w:r>
      <w:bookmarkEnd w:id="182"/>
      <w:r w:rsidRPr="004F63E7">
        <w:rPr>
          <w:rFonts w:eastAsiaTheme="minorEastAsia"/>
          <w:color w:val="1D2455"/>
          <w:szCs w:val="20"/>
          <w:lang w:eastAsia="en-AU"/>
        </w:rPr>
        <w:t>: Practices’ contact modes with patients in 2020 compared with 2019</w:t>
      </w:r>
    </w:p>
    <w:tbl>
      <w:tblPr>
        <w:tblW w:w="4999"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tblBorders>
        <w:tblLook w:val="04A0" w:firstRow="1" w:lastRow="0" w:firstColumn="1" w:lastColumn="0" w:noHBand="0" w:noVBand="1"/>
      </w:tblPr>
      <w:tblGrid>
        <w:gridCol w:w="2181"/>
        <w:gridCol w:w="1370"/>
        <w:gridCol w:w="1368"/>
        <w:gridCol w:w="1365"/>
        <w:gridCol w:w="1365"/>
        <w:gridCol w:w="1365"/>
      </w:tblGrid>
      <w:tr w:rsidR="00AE74AB" w:rsidRPr="004F63E7" w14:paraId="18111F7F" w14:textId="77777777" w:rsidTr="00CA2A66">
        <w:tc>
          <w:tcPr>
            <w:tcW w:w="1210" w:type="pct"/>
            <w:vMerge w:val="restart"/>
            <w:tcBorders>
              <w:top w:val="single" w:sz="4" w:space="0" w:color="408BCA"/>
              <w:right w:val="single" w:sz="4" w:space="0" w:color="BFBFBF" w:themeColor="background1" w:themeShade="BF"/>
            </w:tcBorders>
            <w:shd w:val="clear" w:color="auto" w:fill="408BCA"/>
            <w:vAlign w:val="center"/>
          </w:tcPr>
          <w:p w14:paraId="638F3C5C" w14:textId="77777777" w:rsidR="00AE74AB" w:rsidRPr="004F63E7" w:rsidRDefault="00AE74AB" w:rsidP="00CA2A66">
            <w:pPr>
              <w:spacing w:after="0"/>
              <w:ind w:left="100" w:right="100"/>
              <w:jc w:val="center"/>
              <w:rPr>
                <w:rFonts w:eastAsia="Century Gothic" w:cs="Century Gothic"/>
                <w:b/>
                <w:color w:val="FFFFFF"/>
                <w:sz w:val="18"/>
                <w:szCs w:val="18"/>
              </w:rPr>
            </w:pPr>
            <w:r w:rsidRPr="004F63E7">
              <w:rPr>
                <w:rFonts w:eastAsia="Century Gothic" w:cs="Century Gothic"/>
                <w:b/>
                <w:color w:val="FFFFFF"/>
                <w:sz w:val="18"/>
                <w:szCs w:val="18"/>
              </w:rPr>
              <w:t>Mode</w:t>
            </w:r>
          </w:p>
        </w:tc>
        <w:tc>
          <w:tcPr>
            <w:tcW w:w="3790" w:type="pct"/>
            <w:gridSpan w:val="5"/>
            <w:tcBorders>
              <w:top w:val="single" w:sz="4" w:space="0" w:color="408BCA"/>
              <w:left w:val="single" w:sz="4" w:space="0" w:color="BFBFBF" w:themeColor="background1" w:themeShade="BF"/>
            </w:tcBorders>
            <w:shd w:val="clear" w:color="auto" w:fill="408BCA"/>
            <w:vAlign w:val="center"/>
          </w:tcPr>
          <w:p w14:paraId="090B7842" w14:textId="77777777" w:rsidR="00AE74AB" w:rsidRPr="004F63E7" w:rsidRDefault="00AE74AB" w:rsidP="00CA2A66">
            <w:pPr>
              <w:spacing w:after="0"/>
              <w:ind w:left="100" w:right="100"/>
              <w:jc w:val="center"/>
              <w:rPr>
                <w:rFonts w:eastAsia="Century Gothic" w:cs="Century Gothic"/>
                <w:b/>
                <w:color w:val="FFFFFF"/>
                <w:sz w:val="18"/>
                <w:szCs w:val="18"/>
              </w:rPr>
            </w:pPr>
            <w:r w:rsidRPr="004F63E7">
              <w:rPr>
                <w:rFonts w:eastAsia="Century Gothic" w:cs="Century Gothic"/>
                <w:b/>
                <w:color w:val="FFFFFF"/>
                <w:sz w:val="18"/>
                <w:szCs w:val="18"/>
              </w:rPr>
              <w:t>No. of practices providing this response</w:t>
            </w:r>
            <w:r w:rsidRPr="004F63E7">
              <w:rPr>
                <w:rFonts w:eastAsia="Century Gothic" w:cs="Century Gothic"/>
                <w:b/>
                <w:color w:val="FFFFFF"/>
                <w:sz w:val="18"/>
                <w:szCs w:val="18"/>
                <w:vertAlign w:val="superscript"/>
              </w:rPr>
              <w:t>1</w:t>
            </w:r>
            <w:r w:rsidRPr="004F63E7">
              <w:rPr>
                <w:rFonts w:eastAsia="Century Gothic" w:cs="Century Gothic"/>
                <w:b/>
                <w:color w:val="FFFFFF"/>
                <w:sz w:val="18"/>
                <w:szCs w:val="18"/>
              </w:rPr>
              <w:t xml:space="preserve"> (% of practices with a response other than “Don’t know/no response”)</w:t>
            </w:r>
          </w:p>
        </w:tc>
      </w:tr>
      <w:tr w:rsidR="00AE74AB" w:rsidRPr="004F63E7" w14:paraId="7AF2FD4C" w14:textId="77777777" w:rsidTr="00CA2A66">
        <w:tc>
          <w:tcPr>
            <w:tcW w:w="1210" w:type="pct"/>
            <w:vMerge/>
            <w:tcBorders>
              <w:bottom w:val="nil"/>
              <w:right w:val="single" w:sz="4" w:space="0" w:color="BFBFBF" w:themeColor="background1" w:themeShade="BF"/>
            </w:tcBorders>
            <w:shd w:val="clear" w:color="auto" w:fill="408BCA"/>
            <w:vAlign w:val="center"/>
          </w:tcPr>
          <w:p w14:paraId="63F2025B" w14:textId="77777777" w:rsidR="00AE74AB" w:rsidRPr="004F63E7" w:rsidRDefault="00AE74AB" w:rsidP="00CA2A66">
            <w:pPr>
              <w:spacing w:after="0"/>
              <w:ind w:left="100" w:right="100"/>
              <w:jc w:val="center"/>
              <w:rPr>
                <w:sz w:val="18"/>
                <w:szCs w:val="18"/>
              </w:rPr>
            </w:pPr>
          </w:p>
        </w:tc>
        <w:tc>
          <w:tcPr>
            <w:tcW w:w="760" w:type="pct"/>
            <w:tcBorders>
              <w:left w:val="single" w:sz="4" w:space="0" w:color="BFBFBF" w:themeColor="background1" w:themeShade="BF"/>
              <w:bottom w:val="nil"/>
              <w:right w:val="single" w:sz="4" w:space="0" w:color="BFBFBF" w:themeColor="background1" w:themeShade="BF"/>
            </w:tcBorders>
            <w:shd w:val="clear" w:color="auto" w:fill="408BCA"/>
            <w:vAlign w:val="center"/>
          </w:tcPr>
          <w:p w14:paraId="5651583D" w14:textId="77777777" w:rsidR="00AE74AB" w:rsidRPr="004F63E7" w:rsidRDefault="00AE74AB" w:rsidP="00CA2A66">
            <w:pPr>
              <w:spacing w:after="0"/>
              <w:ind w:left="100" w:right="100"/>
              <w:jc w:val="center"/>
              <w:rPr>
                <w:sz w:val="18"/>
                <w:szCs w:val="18"/>
              </w:rPr>
            </w:pPr>
            <w:r w:rsidRPr="004F63E7">
              <w:rPr>
                <w:rFonts w:eastAsia="Century Gothic" w:cs="Century Gothic"/>
                <w:b/>
                <w:color w:val="FFFFFF"/>
                <w:sz w:val="18"/>
                <w:szCs w:val="18"/>
              </w:rPr>
              <w:t>Did less of this in 2020 compared with 2019</w:t>
            </w:r>
          </w:p>
        </w:tc>
        <w:tc>
          <w:tcPr>
            <w:tcW w:w="759" w:type="pct"/>
            <w:tcBorders>
              <w:left w:val="single" w:sz="4" w:space="0" w:color="BFBFBF" w:themeColor="background1" w:themeShade="BF"/>
              <w:bottom w:val="nil"/>
              <w:right w:val="single" w:sz="4" w:space="0" w:color="BFBFBF" w:themeColor="background1" w:themeShade="BF"/>
            </w:tcBorders>
            <w:shd w:val="clear" w:color="auto" w:fill="408BCA"/>
            <w:vAlign w:val="center"/>
          </w:tcPr>
          <w:p w14:paraId="09B30DAE" w14:textId="77777777" w:rsidR="00AE74AB" w:rsidRPr="004F63E7" w:rsidRDefault="00AE74AB" w:rsidP="00CA2A66">
            <w:pPr>
              <w:spacing w:after="0"/>
              <w:ind w:left="100" w:right="100"/>
              <w:jc w:val="center"/>
              <w:rPr>
                <w:sz w:val="18"/>
                <w:szCs w:val="18"/>
              </w:rPr>
            </w:pPr>
            <w:r w:rsidRPr="004F63E7">
              <w:rPr>
                <w:rFonts w:eastAsia="Century Gothic" w:cs="Century Gothic"/>
                <w:b/>
                <w:color w:val="FFFFFF"/>
                <w:sz w:val="18"/>
                <w:szCs w:val="18"/>
              </w:rPr>
              <w:t>Did more of this in 2020 compared with 2019</w:t>
            </w:r>
          </w:p>
        </w:tc>
        <w:tc>
          <w:tcPr>
            <w:tcW w:w="757" w:type="pct"/>
            <w:tcBorders>
              <w:left w:val="single" w:sz="4" w:space="0" w:color="BFBFBF" w:themeColor="background1" w:themeShade="BF"/>
              <w:bottom w:val="nil"/>
              <w:right w:val="single" w:sz="4" w:space="0" w:color="BFBFBF" w:themeColor="background1" w:themeShade="BF"/>
            </w:tcBorders>
            <w:shd w:val="clear" w:color="auto" w:fill="408BCA"/>
            <w:vAlign w:val="center"/>
          </w:tcPr>
          <w:p w14:paraId="352086CE" w14:textId="77777777" w:rsidR="00AE74AB" w:rsidRPr="004F63E7" w:rsidRDefault="00AE74AB" w:rsidP="00CA2A66">
            <w:pPr>
              <w:spacing w:after="0"/>
              <w:ind w:left="100" w:right="100"/>
              <w:jc w:val="center"/>
              <w:rPr>
                <w:sz w:val="18"/>
                <w:szCs w:val="18"/>
              </w:rPr>
            </w:pPr>
            <w:r w:rsidRPr="004F63E7">
              <w:rPr>
                <w:rFonts w:eastAsia="Century Gothic" w:cs="Century Gothic"/>
                <w:b/>
                <w:color w:val="FFFFFF"/>
                <w:sz w:val="18"/>
                <w:szCs w:val="18"/>
              </w:rPr>
              <w:t>No change using this mode in 2020 compared with 2019</w:t>
            </w:r>
          </w:p>
        </w:tc>
        <w:tc>
          <w:tcPr>
            <w:tcW w:w="757" w:type="pct"/>
            <w:tcBorders>
              <w:left w:val="single" w:sz="4" w:space="0" w:color="BFBFBF" w:themeColor="background1" w:themeShade="BF"/>
              <w:bottom w:val="nil"/>
              <w:right w:val="single" w:sz="4" w:space="0" w:color="BFBFBF" w:themeColor="background1" w:themeShade="BF"/>
            </w:tcBorders>
            <w:shd w:val="clear" w:color="auto" w:fill="408BCA"/>
            <w:vAlign w:val="center"/>
          </w:tcPr>
          <w:p w14:paraId="3BE06853" w14:textId="77777777" w:rsidR="00AE74AB" w:rsidRPr="004F63E7" w:rsidRDefault="00AE74AB" w:rsidP="00CA2A66">
            <w:pPr>
              <w:spacing w:after="0"/>
              <w:ind w:left="100" w:right="100"/>
              <w:jc w:val="center"/>
              <w:rPr>
                <w:rFonts w:eastAsia="Century Gothic" w:cs="Century Gothic"/>
                <w:b/>
                <w:color w:val="FFFFFF"/>
                <w:sz w:val="18"/>
                <w:szCs w:val="18"/>
              </w:rPr>
            </w:pPr>
            <w:r w:rsidRPr="004F63E7">
              <w:rPr>
                <w:rFonts w:eastAsia="Century Gothic" w:cs="Century Gothic"/>
                <w:b/>
                <w:color w:val="FFFFFF"/>
                <w:sz w:val="18"/>
                <w:szCs w:val="18"/>
              </w:rPr>
              <w:t>N/A (i.e. we do not use/offer this mode)</w:t>
            </w:r>
          </w:p>
        </w:tc>
        <w:tc>
          <w:tcPr>
            <w:tcW w:w="757" w:type="pct"/>
            <w:tcBorders>
              <w:left w:val="single" w:sz="4" w:space="0" w:color="BFBFBF" w:themeColor="background1" w:themeShade="BF"/>
              <w:bottom w:val="nil"/>
            </w:tcBorders>
            <w:shd w:val="clear" w:color="auto" w:fill="408BCA"/>
            <w:vAlign w:val="center"/>
          </w:tcPr>
          <w:p w14:paraId="2B0F09AD" w14:textId="77777777" w:rsidR="00AE74AB" w:rsidRPr="004F63E7" w:rsidRDefault="00AE74AB" w:rsidP="00CA2A66">
            <w:pPr>
              <w:spacing w:after="0"/>
              <w:ind w:left="100" w:right="100"/>
              <w:jc w:val="center"/>
              <w:rPr>
                <w:rFonts w:eastAsia="Century Gothic" w:cs="Century Gothic"/>
                <w:b/>
                <w:color w:val="FFFFFF"/>
                <w:sz w:val="18"/>
                <w:szCs w:val="18"/>
              </w:rPr>
            </w:pPr>
            <w:r w:rsidRPr="004F63E7">
              <w:rPr>
                <w:rFonts w:eastAsia="Century Gothic" w:cs="Century Gothic"/>
                <w:b/>
                <w:color w:val="FFFFFF"/>
                <w:sz w:val="18"/>
                <w:szCs w:val="18"/>
              </w:rPr>
              <w:t>Don't know/ no response</w:t>
            </w:r>
          </w:p>
        </w:tc>
      </w:tr>
      <w:tr w:rsidR="00AE74AB" w:rsidRPr="004F63E7" w14:paraId="3D86476C" w14:textId="77777777" w:rsidTr="00CA2A66">
        <w:tc>
          <w:tcPr>
            <w:tcW w:w="1210" w:type="pct"/>
            <w:tcBorders>
              <w:top w:val="nil"/>
              <w:bottom w:val="single" w:sz="4" w:space="0" w:color="BFBFBF" w:themeColor="background1" w:themeShade="BF"/>
              <w:right w:val="single" w:sz="4" w:space="0" w:color="BFBFBF" w:themeColor="background1" w:themeShade="BF"/>
            </w:tcBorders>
          </w:tcPr>
          <w:p w14:paraId="56EC4970" w14:textId="77777777" w:rsidR="00AE74AB" w:rsidRPr="004F63E7" w:rsidRDefault="00AE74AB" w:rsidP="00CA2A66">
            <w:pPr>
              <w:spacing w:after="0"/>
              <w:ind w:left="100" w:right="100"/>
              <w:rPr>
                <w:sz w:val="18"/>
                <w:szCs w:val="18"/>
              </w:rPr>
            </w:pPr>
            <w:r w:rsidRPr="004F63E7">
              <w:rPr>
                <w:rFonts w:eastAsia="Century Gothic" w:cs="Century Gothic"/>
                <w:color w:val="000000"/>
                <w:sz w:val="18"/>
                <w:szCs w:val="18"/>
              </w:rPr>
              <w:t>Face-to-face</w:t>
            </w:r>
          </w:p>
        </w:tc>
        <w:tc>
          <w:tcPr>
            <w:tcW w:w="760"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41CA3F34"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58 (84.1%)</w:t>
            </w:r>
          </w:p>
        </w:tc>
        <w:tc>
          <w:tcPr>
            <w:tcW w:w="759"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06E78EDA"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2 (2.9%)</w:t>
            </w:r>
          </w:p>
        </w:tc>
        <w:tc>
          <w:tcPr>
            <w:tcW w:w="757"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7C5FF651"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9 (13.0%)</w:t>
            </w:r>
          </w:p>
        </w:tc>
        <w:tc>
          <w:tcPr>
            <w:tcW w:w="757" w:type="pct"/>
            <w:tcBorders>
              <w:top w:val="nil"/>
              <w:left w:val="single" w:sz="4" w:space="0" w:color="BFBFBF" w:themeColor="background1" w:themeShade="BF"/>
              <w:bottom w:val="single" w:sz="4" w:space="0" w:color="BFBFBF" w:themeColor="background1" w:themeShade="BF"/>
              <w:right w:val="single" w:sz="4" w:space="0" w:color="BFBFBF" w:themeColor="background1" w:themeShade="BF"/>
            </w:tcBorders>
          </w:tcPr>
          <w:p w14:paraId="08797951" w14:textId="77777777" w:rsidR="00AE74AB" w:rsidRPr="004F63E7" w:rsidRDefault="00AE74AB" w:rsidP="00CA2A66">
            <w:pPr>
              <w:spacing w:after="0"/>
              <w:ind w:left="100" w:right="100"/>
              <w:jc w:val="right"/>
              <w:rPr>
                <w:rFonts w:eastAsia="Century Gothic" w:cs="Century Gothic"/>
                <w:color w:val="000000"/>
                <w:sz w:val="18"/>
                <w:szCs w:val="18"/>
              </w:rPr>
            </w:pPr>
          </w:p>
        </w:tc>
        <w:tc>
          <w:tcPr>
            <w:tcW w:w="757" w:type="pct"/>
            <w:tcBorders>
              <w:top w:val="nil"/>
              <w:left w:val="single" w:sz="4" w:space="0" w:color="BFBFBF" w:themeColor="background1" w:themeShade="BF"/>
              <w:bottom w:val="single" w:sz="4" w:space="0" w:color="BFBFBF" w:themeColor="background1" w:themeShade="BF"/>
            </w:tcBorders>
          </w:tcPr>
          <w:p w14:paraId="372FBD84" w14:textId="77777777" w:rsidR="00AE74AB" w:rsidRPr="004F63E7" w:rsidRDefault="00AE74AB" w:rsidP="00CA2A66">
            <w:pPr>
              <w:spacing w:after="0"/>
              <w:ind w:left="100" w:right="100"/>
              <w:jc w:val="right"/>
              <w:rPr>
                <w:rFonts w:eastAsia="Century Gothic" w:cs="Century Gothic"/>
                <w:color w:val="000000"/>
                <w:sz w:val="18"/>
                <w:szCs w:val="18"/>
              </w:rPr>
            </w:pPr>
            <w:r w:rsidRPr="004F63E7">
              <w:rPr>
                <w:rFonts w:eastAsia="Century Gothic" w:cs="Century Gothic"/>
                <w:color w:val="000000"/>
                <w:sz w:val="18"/>
                <w:szCs w:val="18"/>
              </w:rPr>
              <w:t>4</w:t>
            </w:r>
          </w:p>
        </w:tc>
      </w:tr>
      <w:tr w:rsidR="00AE74AB" w:rsidRPr="004F63E7" w14:paraId="0DCA6F65" w14:textId="77777777" w:rsidTr="00CA2A66">
        <w:tc>
          <w:tcPr>
            <w:tcW w:w="1210" w:type="pct"/>
            <w:tcBorders>
              <w:top w:val="single" w:sz="4" w:space="0" w:color="BFBFBF" w:themeColor="background1" w:themeShade="BF"/>
              <w:right w:val="single" w:sz="4" w:space="0" w:color="BFBFBF" w:themeColor="background1" w:themeShade="BF"/>
            </w:tcBorders>
          </w:tcPr>
          <w:p w14:paraId="636EC53C" w14:textId="77777777" w:rsidR="00AE74AB" w:rsidRPr="004F63E7" w:rsidRDefault="00AE74AB" w:rsidP="00CA2A66">
            <w:pPr>
              <w:spacing w:after="0"/>
              <w:ind w:left="100" w:right="100"/>
              <w:rPr>
                <w:sz w:val="18"/>
                <w:szCs w:val="18"/>
              </w:rPr>
            </w:pPr>
            <w:r w:rsidRPr="004F63E7">
              <w:rPr>
                <w:rFonts w:eastAsia="Century Gothic" w:cs="Century Gothic"/>
                <w:color w:val="000000"/>
                <w:sz w:val="18"/>
                <w:szCs w:val="18"/>
              </w:rPr>
              <w:t>Telephone</w:t>
            </w:r>
          </w:p>
        </w:tc>
        <w:tc>
          <w:tcPr>
            <w:tcW w:w="760" w:type="pc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2B91882F" w14:textId="77777777" w:rsidR="00AE74AB" w:rsidRPr="004F63E7" w:rsidRDefault="00AE74AB" w:rsidP="00CA2A66">
            <w:pPr>
              <w:spacing w:after="0"/>
              <w:ind w:left="100" w:right="100"/>
              <w:jc w:val="right"/>
              <w:rPr>
                <w:sz w:val="18"/>
                <w:szCs w:val="18"/>
              </w:rPr>
            </w:pPr>
          </w:p>
        </w:tc>
        <w:tc>
          <w:tcPr>
            <w:tcW w:w="759" w:type="pc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09223072"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64 (92.8%)</w:t>
            </w:r>
          </w:p>
        </w:tc>
        <w:tc>
          <w:tcPr>
            <w:tcW w:w="757" w:type="pc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7FA92FD2"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6 (8.7%)</w:t>
            </w:r>
          </w:p>
        </w:tc>
        <w:tc>
          <w:tcPr>
            <w:tcW w:w="757" w:type="pct"/>
            <w:tcBorders>
              <w:top w:val="single" w:sz="4" w:space="0" w:color="BFBFBF" w:themeColor="background1" w:themeShade="BF"/>
              <w:left w:val="single" w:sz="4" w:space="0" w:color="BFBFBF" w:themeColor="background1" w:themeShade="BF"/>
              <w:right w:val="single" w:sz="4" w:space="0" w:color="BFBFBF" w:themeColor="background1" w:themeShade="BF"/>
            </w:tcBorders>
          </w:tcPr>
          <w:p w14:paraId="189C8427" w14:textId="77777777" w:rsidR="00AE74AB" w:rsidRPr="004F63E7" w:rsidRDefault="00AE74AB" w:rsidP="00CA2A66">
            <w:pPr>
              <w:spacing w:after="0"/>
              <w:ind w:left="100" w:right="100"/>
              <w:jc w:val="right"/>
              <w:rPr>
                <w:rFonts w:eastAsia="Century Gothic" w:cs="Century Gothic"/>
                <w:color w:val="000000"/>
                <w:sz w:val="18"/>
                <w:szCs w:val="18"/>
              </w:rPr>
            </w:pPr>
          </w:p>
        </w:tc>
        <w:tc>
          <w:tcPr>
            <w:tcW w:w="757" w:type="pct"/>
            <w:tcBorders>
              <w:top w:val="single" w:sz="4" w:space="0" w:color="BFBFBF" w:themeColor="background1" w:themeShade="BF"/>
              <w:left w:val="single" w:sz="4" w:space="0" w:color="BFBFBF" w:themeColor="background1" w:themeShade="BF"/>
            </w:tcBorders>
          </w:tcPr>
          <w:p w14:paraId="47867F32" w14:textId="77777777" w:rsidR="00AE74AB" w:rsidRPr="004F63E7" w:rsidRDefault="00AE74AB" w:rsidP="00CA2A66">
            <w:pPr>
              <w:spacing w:after="0"/>
              <w:ind w:left="100" w:right="100"/>
              <w:jc w:val="right"/>
              <w:rPr>
                <w:rFonts w:eastAsia="Century Gothic" w:cs="Century Gothic"/>
                <w:color w:val="000000"/>
                <w:sz w:val="18"/>
                <w:szCs w:val="18"/>
              </w:rPr>
            </w:pPr>
            <w:r w:rsidRPr="004F63E7">
              <w:rPr>
                <w:rFonts w:eastAsia="Century Gothic" w:cs="Century Gothic"/>
                <w:color w:val="000000"/>
                <w:sz w:val="18"/>
                <w:szCs w:val="18"/>
              </w:rPr>
              <w:t>3</w:t>
            </w:r>
          </w:p>
        </w:tc>
      </w:tr>
      <w:tr w:rsidR="00AE74AB" w:rsidRPr="004F63E7" w14:paraId="2E83E069" w14:textId="77777777" w:rsidTr="00CA2A66">
        <w:tc>
          <w:tcPr>
            <w:tcW w:w="1210" w:type="pct"/>
            <w:tcBorders>
              <w:right w:val="single" w:sz="4" w:space="0" w:color="BFBFBF" w:themeColor="background1" w:themeShade="BF"/>
            </w:tcBorders>
          </w:tcPr>
          <w:p w14:paraId="2A201B15" w14:textId="77777777" w:rsidR="00AE74AB" w:rsidRPr="004F63E7" w:rsidRDefault="00AE74AB" w:rsidP="00CA2A66">
            <w:pPr>
              <w:spacing w:after="0"/>
              <w:ind w:left="100" w:right="100"/>
              <w:rPr>
                <w:sz w:val="18"/>
                <w:szCs w:val="18"/>
              </w:rPr>
            </w:pPr>
            <w:r w:rsidRPr="004F63E7">
              <w:rPr>
                <w:rFonts w:eastAsia="Century Gothic" w:cs="Century Gothic"/>
                <w:color w:val="000000"/>
                <w:sz w:val="18"/>
                <w:szCs w:val="18"/>
              </w:rPr>
              <w:t>Video</w:t>
            </w:r>
          </w:p>
        </w:tc>
        <w:tc>
          <w:tcPr>
            <w:tcW w:w="760" w:type="pct"/>
            <w:tcBorders>
              <w:left w:val="single" w:sz="4" w:space="0" w:color="BFBFBF" w:themeColor="background1" w:themeShade="BF"/>
              <w:right w:val="single" w:sz="4" w:space="0" w:color="BFBFBF" w:themeColor="background1" w:themeShade="BF"/>
            </w:tcBorders>
          </w:tcPr>
          <w:p w14:paraId="2CBBC09C" w14:textId="77777777" w:rsidR="00AE74AB" w:rsidRPr="004F63E7" w:rsidRDefault="00AE74AB" w:rsidP="00CA2A66">
            <w:pPr>
              <w:spacing w:after="0"/>
              <w:ind w:left="100" w:right="100"/>
              <w:jc w:val="right"/>
              <w:rPr>
                <w:sz w:val="18"/>
                <w:szCs w:val="18"/>
              </w:rPr>
            </w:pPr>
          </w:p>
        </w:tc>
        <w:tc>
          <w:tcPr>
            <w:tcW w:w="759" w:type="pct"/>
            <w:tcBorders>
              <w:left w:val="single" w:sz="4" w:space="0" w:color="BFBFBF" w:themeColor="background1" w:themeShade="BF"/>
              <w:right w:val="single" w:sz="4" w:space="0" w:color="BFBFBF" w:themeColor="background1" w:themeShade="BF"/>
            </w:tcBorders>
          </w:tcPr>
          <w:p w14:paraId="39D8DB31"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20 (31.7%)</w:t>
            </w:r>
          </w:p>
        </w:tc>
        <w:tc>
          <w:tcPr>
            <w:tcW w:w="757" w:type="pct"/>
            <w:tcBorders>
              <w:left w:val="single" w:sz="4" w:space="0" w:color="BFBFBF" w:themeColor="background1" w:themeShade="BF"/>
              <w:right w:val="single" w:sz="4" w:space="0" w:color="BFBFBF" w:themeColor="background1" w:themeShade="BF"/>
            </w:tcBorders>
          </w:tcPr>
          <w:p w14:paraId="4F5DBB52"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6 (9.5%)</w:t>
            </w:r>
          </w:p>
        </w:tc>
        <w:tc>
          <w:tcPr>
            <w:tcW w:w="757" w:type="pct"/>
            <w:tcBorders>
              <w:left w:val="single" w:sz="4" w:space="0" w:color="BFBFBF" w:themeColor="background1" w:themeShade="BF"/>
              <w:right w:val="single" w:sz="4" w:space="0" w:color="BFBFBF" w:themeColor="background1" w:themeShade="BF"/>
            </w:tcBorders>
          </w:tcPr>
          <w:p w14:paraId="59E80E6E" w14:textId="77777777" w:rsidR="00AE74AB" w:rsidRPr="004F63E7" w:rsidRDefault="00AE74AB" w:rsidP="00CA2A66">
            <w:pPr>
              <w:spacing w:after="0"/>
              <w:ind w:left="100" w:right="100"/>
              <w:jc w:val="right"/>
              <w:rPr>
                <w:rFonts w:eastAsia="Century Gothic" w:cs="Century Gothic"/>
                <w:color w:val="000000"/>
                <w:sz w:val="18"/>
                <w:szCs w:val="18"/>
              </w:rPr>
            </w:pPr>
            <w:r w:rsidRPr="004F63E7">
              <w:rPr>
                <w:rFonts w:eastAsia="Century Gothic" w:cs="Century Gothic"/>
                <w:color w:val="000000"/>
                <w:sz w:val="18"/>
                <w:szCs w:val="18"/>
              </w:rPr>
              <w:t>37 (58.7%)</w:t>
            </w:r>
          </w:p>
        </w:tc>
        <w:tc>
          <w:tcPr>
            <w:tcW w:w="757" w:type="pct"/>
            <w:tcBorders>
              <w:left w:val="single" w:sz="4" w:space="0" w:color="BFBFBF" w:themeColor="background1" w:themeShade="BF"/>
            </w:tcBorders>
          </w:tcPr>
          <w:p w14:paraId="367E8367" w14:textId="77777777" w:rsidR="00AE74AB" w:rsidRPr="004F63E7" w:rsidRDefault="00AE74AB" w:rsidP="00CA2A66">
            <w:pPr>
              <w:spacing w:after="0"/>
              <w:ind w:left="100" w:right="100"/>
              <w:jc w:val="right"/>
              <w:rPr>
                <w:rFonts w:eastAsia="Century Gothic" w:cs="Century Gothic"/>
                <w:color w:val="000000"/>
                <w:sz w:val="18"/>
                <w:szCs w:val="18"/>
              </w:rPr>
            </w:pPr>
            <w:r w:rsidRPr="004F63E7">
              <w:rPr>
                <w:rFonts w:eastAsia="Century Gothic" w:cs="Century Gothic"/>
                <w:color w:val="000000"/>
                <w:sz w:val="18"/>
                <w:szCs w:val="18"/>
              </w:rPr>
              <w:t>10</w:t>
            </w:r>
          </w:p>
        </w:tc>
      </w:tr>
      <w:tr w:rsidR="00AE74AB" w:rsidRPr="004F63E7" w14:paraId="26154AAB" w14:textId="77777777" w:rsidTr="00CA2A66">
        <w:tc>
          <w:tcPr>
            <w:tcW w:w="1210" w:type="pct"/>
            <w:tcBorders>
              <w:right w:val="single" w:sz="4" w:space="0" w:color="BFBFBF" w:themeColor="background1" w:themeShade="BF"/>
            </w:tcBorders>
          </w:tcPr>
          <w:p w14:paraId="1444D565" w14:textId="77777777" w:rsidR="00AE74AB" w:rsidRPr="004F63E7" w:rsidRDefault="00AE74AB" w:rsidP="00CA2A66">
            <w:pPr>
              <w:spacing w:after="0"/>
              <w:ind w:left="100" w:right="100"/>
              <w:rPr>
                <w:sz w:val="18"/>
                <w:szCs w:val="18"/>
              </w:rPr>
            </w:pPr>
            <w:r w:rsidRPr="004F63E7">
              <w:rPr>
                <w:rFonts w:eastAsia="Century Gothic" w:cs="Century Gothic"/>
                <w:color w:val="000000"/>
                <w:sz w:val="18"/>
                <w:szCs w:val="18"/>
              </w:rPr>
              <w:t>Email</w:t>
            </w:r>
          </w:p>
        </w:tc>
        <w:tc>
          <w:tcPr>
            <w:tcW w:w="760" w:type="pct"/>
            <w:tcBorders>
              <w:left w:val="single" w:sz="4" w:space="0" w:color="BFBFBF" w:themeColor="background1" w:themeShade="BF"/>
              <w:right w:val="single" w:sz="4" w:space="0" w:color="BFBFBF" w:themeColor="background1" w:themeShade="BF"/>
            </w:tcBorders>
          </w:tcPr>
          <w:p w14:paraId="2FBB2E7A"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4 (6.2%)</w:t>
            </w:r>
          </w:p>
        </w:tc>
        <w:tc>
          <w:tcPr>
            <w:tcW w:w="759" w:type="pct"/>
            <w:tcBorders>
              <w:left w:val="single" w:sz="4" w:space="0" w:color="BFBFBF" w:themeColor="background1" w:themeShade="BF"/>
              <w:right w:val="single" w:sz="4" w:space="0" w:color="BFBFBF" w:themeColor="background1" w:themeShade="BF"/>
            </w:tcBorders>
          </w:tcPr>
          <w:p w14:paraId="3AF2CD4C"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25 (38.5%)</w:t>
            </w:r>
          </w:p>
        </w:tc>
        <w:tc>
          <w:tcPr>
            <w:tcW w:w="757" w:type="pct"/>
            <w:tcBorders>
              <w:left w:val="single" w:sz="4" w:space="0" w:color="BFBFBF" w:themeColor="background1" w:themeShade="BF"/>
              <w:right w:val="single" w:sz="4" w:space="0" w:color="BFBFBF" w:themeColor="background1" w:themeShade="BF"/>
            </w:tcBorders>
          </w:tcPr>
          <w:p w14:paraId="0FBAA152"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20 (30.8%)</w:t>
            </w:r>
          </w:p>
        </w:tc>
        <w:tc>
          <w:tcPr>
            <w:tcW w:w="757" w:type="pct"/>
            <w:tcBorders>
              <w:left w:val="single" w:sz="4" w:space="0" w:color="BFBFBF" w:themeColor="background1" w:themeShade="BF"/>
              <w:right w:val="single" w:sz="4" w:space="0" w:color="BFBFBF" w:themeColor="background1" w:themeShade="BF"/>
            </w:tcBorders>
          </w:tcPr>
          <w:p w14:paraId="05CB8FEC" w14:textId="77777777" w:rsidR="00AE74AB" w:rsidRPr="004F63E7" w:rsidRDefault="00AE74AB" w:rsidP="00CA2A66">
            <w:pPr>
              <w:spacing w:after="0"/>
              <w:ind w:left="100" w:right="100"/>
              <w:jc w:val="right"/>
              <w:rPr>
                <w:rFonts w:eastAsia="Century Gothic" w:cs="Century Gothic"/>
                <w:color w:val="000000"/>
                <w:sz w:val="18"/>
                <w:szCs w:val="18"/>
              </w:rPr>
            </w:pPr>
            <w:r w:rsidRPr="004F63E7">
              <w:rPr>
                <w:rFonts w:eastAsia="Century Gothic" w:cs="Century Gothic"/>
                <w:color w:val="000000"/>
                <w:sz w:val="18"/>
                <w:szCs w:val="18"/>
              </w:rPr>
              <w:t>16 (24.6%)</w:t>
            </w:r>
          </w:p>
        </w:tc>
        <w:tc>
          <w:tcPr>
            <w:tcW w:w="757" w:type="pct"/>
            <w:tcBorders>
              <w:left w:val="single" w:sz="4" w:space="0" w:color="BFBFBF" w:themeColor="background1" w:themeShade="BF"/>
            </w:tcBorders>
          </w:tcPr>
          <w:p w14:paraId="6D5D0EFF" w14:textId="77777777" w:rsidR="00AE74AB" w:rsidRPr="004F63E7" w:rsidRDefault="00AE74AB" w:rsidP="00CA2A66">
            <w:pPr>
              <w:spacing w:after="0"/>
              <w:ind w:left="100" w:right="100"/>
              <w:jc w:val="right"/>
              <w:rPr>
                <w:rFonts w:eastAsia="Century Gothic" w:cs="Century Gothic"/>
                <w:color w:val="000000"/>
                <w:sz w:val="18"/>
                <w:szCs w:val="18"/>
              </w:rPr>
            </w:pPr>
            <w:r w:rsidRPr="004F63E7">
              <w:rPr>
                <w:rFonts w:eastAsia="Century Gothic" w:cs="Century Gothic"/>
                <w:color w:val="000000"/>
                <w:sz w:val="18"/>
                <w:szCs w:val="18"/>
              </w:rPr>
              <w:t>8</w:t>
            </w:r>
          </w:p>
        </w:tc>
      </w:tr>
      <w:tr w:rsidR="00AE74AB" w:rsidRPr="004F63E7" w14:paraId="5F950DDC" w14:textId="77777777" w:rsidTr="00CA2A66">
        <w:tc>
          <w:tcPr>
            <w:tcW w:w="1210" w:type="pct"/>
            <w:tcBorders>
              <w:bottom w:val="single" w:sz="4" w:space="0" w:color="408BCA"/>
              <w:right w:val="single" w:sz="4" w:space="0" w:color="BFBFBF" w:themeColor="background1" w:themeShade="BF"/>
            </w:tcBorders>
          </w:tcPr>
          <w:p w14:paraId="19DE49AE" w14:textId="77777777" w:rsidR="00AE74AB" w:rsidRPr="004F63E7" w:rsidRDefault="00AE74AB" w:rsidP="00CA2A66">
            <w:pPr>
              <w:spacing w:after="0"/>
              <w:ind w:left="100" w:right="100"/>
              <w:rPr>
                <w:rFonts w:eastAsia="Century Gothic" w:cs="Century Gothic"/>
                <w:color w:val="000000"/>
                <w:sz w:val="18"/>
                <w:szCs w:val="18"/>
              </w:rPr>
            </w:pPr>
            <w:r w:rsidRPr="004F63E7">
              <w:rPr>
                <w:rFonts w:eastAsia="Century Gothic" w:cs="Century Gothic"/>
                <w:color w:val="000000"/>
                <w:sz w:val="18"/>
                <w:szCs w:val="18"/>
              </w:rPr>
              <w:t>Other (text/SMS, home visits, other)</w:t>
            </w:r>
          </w:p>
        </w:tc>
        <w:tc>
          <w:tcPr>
            <w:tcW w:w="760" w:type="pct"/>
            <w:tcBorders>
              <w:left w:val="single" w:sz="4" w:space="0" w:color="BFBFBF" w:themeColor="background1" w:themeShade="BF"/>
              <w:bottom w:val="single" w:sz="4" w:space="0" w:color="408BCA"/>
              <w:right w:val="single" w:sz="4" w:space="0" w:color="BFBFBF" w:themeColor="background1" w:themeShade="BF"/>
            </w:tcBorders>
          </w:tcPr>
          <w:p w14:paraId="7FBD5D97" w14:textId="77777777" w:rsidR="00AE74AB" w:rsidRPr="004F63E7" w:rsidRDefault="00AE74AB" w:rsidP="00CA2A66">
            <w:pPr>
              <w:spacing w:after="0"/>
              <w:ind w:left="100" w:right="100"/>
              <w:jc w:val="right"/>
              <w:rPr>
                <w:rFonts w:eastAsia="Century Gothic" w:cs="Century Gothic"/>
                <w:color w:val="000000"/>
                <w:sz w:val="18"/>
                <w:szCs w:val="18"/>
              </w:rPr>
            </w:pPr>
            <w:r w:rsidRPr="004F63E7">
              <w:rPr>
                <w:rFonts w:eastAsia="Century Gothic" w:cs="Century Gothic"/>
                <w:color w:val="000000"/>
                <w:sz w:val="18"/>
                <w:szCs w:val="18"/>
              </w:rPr>
              <w:t>1 (16.7%)</w:t>
            </w:r>
          </w:p>
        </w:tc>
        <w:tc>
          <w:tcPr>
            <w:tcW w:w="759" w:type="pct"/>
            <w:tcBorders>
              <w:left w:val="single" w:sz="4" w:space="0" w:color="BFBFBF" w:themeColor="background1" w:themeShade="BF"/>
              <w:bottom w:val="single" w:sz="4" w:space="0" w:color="408BCA"/>
              <w:right w:val="single" w:sz="4" w:space="0" w:color="BFBFBF" w:themeColor="background1" w:themeShade="BF"/>
            </w:tcBorders>
          </w:tcPr>
          <w:p w14:paraId="1EBC71B4" w14:textId="77777777" w:rsidR="00AE74AB" w:rsidRPr="004F63E7" w:rsidRDefault="00AE74AB" w:rsidP="00CA2A66">
            <w:pPr>
              <w:spacing w:after="0"/>
              <w:ind w:left="100" w:right="100"/>
              <w:jc w:val="right"/>
              <w:rPr>
                <w:rFonts w:eastAsia="Century Gothic" w:cs="Century Gothic"/>
                <w:color w:val="000000"/>
                <w:sz w:val="18"/>
                <w:szCs w:val="18"/>
              </w:rPr>
            </w:pPr>
            <w:r w:rsidRPr="004F63E7">
              <w:rPr>
                <w:rFonts w:eastAsia="Century Gothic" w:cs="Century Gothic"/>
                <w:color w:val="000000"/>
                <w:sz w:val="18"/>
                <w:szCs w:val="18"/>
              </w:rPr>
              <w:t>3 (50.0%)</w:t>
            </w:r>
          </w:p>
        </w:tc>
        <w:tc>
          <w:tcPr>
            <w:tcW w:w="757" w:type="pct"/>
            <w:tcBorders>
              <w:left w:val="single" w:sz="4" w:space="0" w:color="BFBFBF" w:themeColor="background1" w:themeShade="BF"/>
              <w:bottom w:val="single" w:sz="4" w:space="0" w:color="408BCA"/>
              <w:right w:val="single" w:sz="4" w:space="0" w:color="BFBFBF" w:themeColor="background1" w:themeShade="BF"/>
            </w:tcBorders>
          </w:tcPr>
          <w:p w14:paraId="3E62C601" w14:textId="77777777" w:rsidR="00AE74AB" w:rsidRPr="004F63E7" w:rsidRDefault="00AE74AB" w:rsidP="00CA2A66">
            <w:pPr>
              <w:spacing w:after="0"/>
              <w:ind w:left="100" w:right="100"/>
              <w:jc w:val="right"/>
              <w:rPr>
                <w:rFonts w:eastAsia="Century Gothic" w:cs="Century Gothic"/>
                <w:color w:val="000000"/>
                <w:sz w:val="18"/>
                <w:szCs w:val="18"/>
              </w:rPr>
            </w:pPr>
            <w:r w:rsidRPr="004F63E7">
              <w:rPr>
                <w:rFonts w:eastAsia="Century Gothic" w:cs="Century Gothic"/>
                <w:color w:val="000000"/>
                <w:sz w:val="18"/>
                <w:szCs w:val="18"/>
              </w:rPr>
              <w:t>2 (33.3%)</w:t>
            </w:r>
          </w:p>
        </w:tc>
        <w:tc>
          <w:tcPr>
            <w:tcW w:w="757" w:type="pct"/>
            <w:tcBorders>
              <w:left w:val="single" w:sz="4" w:space="0" w:color="BFBFBF" w:themeColor="background1" w:themeShade="BF"/>
              <w:bottom w:val="single" w:sz="4" w:space="0" w:color="408BCA"/>
              <w:right w:val="single" w:sz="4" w:space="0" w:color="BFBFBF" w:themeColor="background1" w:themeShade="BF"/>
            </w:tcBorders>
          </w:tcPr>
          <w:p w14:paraId="6E52F65E" w14:textId="77777777" w:rsidR="00AE74AB" w:rsidRPr="004F63E7" w:rsidRDefault="00AE74AB" w:rsidP="00CA2A66">
            <w:pPr>
              <w:spacing w:after="0"/>
              <w:ind w:left="100" w:right="100"/>
              <w:jc w:val="right"/>
              <w:rPr>
                <w:rFonts w:eastAsia="Century Gothic" w:cs="Century Gothic"/>
                <w:color w:val="000000"/>
                <w:sz w:val="18"/>
                <w:szCs w:val="18"/>
              </w:rPr>
            </w:pPr>
          </w:p>
        </w:tc>
        <w:tc>
          <w:tcPr>
            <w:tcW w:w="757" w:type="pct"/>
            <w:tcBorders>
              <w:left w:val="single" w:sz="4" w:space="0" w:color="BFBFBF" w:themeColor="background1" w:themeShade="BF"/>
              <w:bottom w:val="single" w:sz="4" w:space="0" w:color="408BCA"/>
            </w:tcBorders>
          </w:tcPr>
          <w:p w14:paraId="7FC26476" w14:textId="77777777" w:rsidR="00AE74AB" w:rsidRPr="004F63E7" w:rsidRDefault="00AE74AB" w:rsidP="00CA2A66">
            <w:pPr>
              <w:spacing w:after="0"/>
              <w:ind w:left="100" w:right="100"/>
              <w:jc w:val="right"/>
              <w:rPr>
                <w:rFonts w:eastAsia="Century Gothic" w:cs="Century Gothic"/>
                <w:color w:val="000000"/>
                <w:sz w:val="18"/>
                <w:szCs w:val="18"/>
              </w:rPr>
            </w:pPr>
            <w:r w:rsidRPr="004F63E7">
              <w:rPr>
                <w:rFonts w:eastAsia="Century Gothic" w:cs="Century Gothic"/>
                <w:color w:val="000000"/>
                <w:sz w:val="18"/>
                <w:szCs w:val="18"/>
              </w:rPr>
              <w:t>67</w:t>
            </w:r>
          </w:p>
        </w:tc>
      </w:tr>
    </w:tbl>
    <w:p w14:paraId="744188A9" w14:textId="77777777" w:rsidR="00AE74AB" w:rsidRPr="004F63E7" w:rsidRDefault="00AE74AB" w:rsidP="00AE74AB">
      <w:pPr>
        <w:spacing w:after="0"/>
        <w:jc w:val="center"/>
        <w:rPr>
          <w:rFonts w:eastAsia="Calibri" w:cs="Times New Roman"/>
          <w:i/>
          <w:sz w:val="16"/>
          <w:szCs w:val="18"/>
        </w:rPr>
      </w:pPr>
      <w:r w:rsidRPr="004F63E7">
        <w:rPr>
          <w:rFonts w:eastAsia="Calibri" w:cs="Times New Roman"/>
          <w:i/>
          <w:sz w:val="16"/>
          <w:szCs w:val="18"/>
          <w:vertAlign w:val="superscript"/>
        </w:rPr>
        <w:t>1</w:t>
      </w:r>
      <w:r w:rsidRPr="004F63E7">
        <w:rPr>
          <w:rFonts w:eastAsia="Calibri" w:cs="Times New Roman"/>
          <w:i/>
          <w:sz w:val="16"/>
          <w:szCs w:val="18"/>
        </w:rPr>
        <w:t xml:space="preserve"> Number of practices is 73.</w:t>
      </w:r>
    </w:p>
    <w:p w14:paraId="1124B023" w14:textId="631FF570" w:rsidR="00AE74AB" w:rsidRPr="004F63E7" w:rsidRDefault="00AE74AB" w:rsidP="00AE74AB">
      <w:pPr>
        <w:jc w:val="center"/>
        <w:rPr>
          <w:rFonts w:eastAsia="Calibri" w:cs="Times New Roman"/>
          <w:i/>
          <w:sz w:val="16"/>
          <w:szCs w:val="18"/>
        </w:rPr>
      </w:pPr>
      <w:r w:rsidRPr="004F63E7">
        <w:rPr>
          <w:rFonts w:eastAsia="Calibri" w:cs="Times New Roman"/>
          <w:i/>
          <w:sz w:val="16"/>
          <w:szCs w:val="18"/>
        </w:rPr>
        <w:t xml:space="preserve">Source: Practice survey R5, </w:t>
      </w:r>
      <w:r w:rsidR="00BC2D7A" w:rsidRPr="00BC2D7A">
        <w:rPr>
          <w:rFonts w:eastAsia="Calibri" w:cs="Times New Roman"/>
          <w:i/>
          <w:sz w:val="16"/>
          <w:szCs w:val="18"/>
        </w:rPr>
        <w:t>Mar–May</w:t>
      </w:r>
      <w:r w:rsidRPr="004F63E7">
        <w:rPr>
          <w:rFonts w:eastAsia="Calibri" w:cs="Times New Roman"/>
          <w:i/>
          <w:sz w:val="16"/>
          <w:szCs w:val="18"/>
        </w:rPr>
        <w:t>, question 22</w:t>
      </w:r>
      <w:r w:rsidR="00841B8D">
        <w:rPr>
          <w:rFonts w:eastAsia="Calibri" w:cs="Times New Roman"/>
          <w:i/>
          <w:sz w:val="16"/>
          <w:szCs w:val="18"/>
        </w:rPr>
        <w:t>.</w:t>
      </w:r>
    </w:p>
    <w:p w14:paraId="4785E231" w14:textId="3984477F" w:rsidR="00AE74AB" w:rsidRPr="004F63E7" w:rsidRDefault="00AE74AB" w:rsidP="00AE74AB">
      <w:pPr>
        <w:rPr>
          <w:lang w:val="en-GB"/>
        </w:rPr>
      </w:pPr>
      <w:r w:rsidRPr="004F63E7">
        <w:rPr>
          <w:lang w:val="en-GB"/>
        </w:rPr>
        <w:lastRenderedPageBreak/>
        <w:t xml:space="preserve">In interviews, practices </w:t>
      </w:r>
      <w:r w:rsidR="002B0996">
        <w:rPr>
          <w:lang w:val="en-GB"/>
        </w:rPr>
        <w:t>generally reported</w:t>
      </w:r>
      <w:r w:rsidRPr="004F63E7">
        <w:rPr>
          <w:lang w:val="en-GB"/>
        </w:rPr>
        <w:t xml:space="preserve"> care </w:t>
      </w:r>
      <w:r w:rsidR="002B0996">
        <w:rPr>
          <w:lang w:val="en-GB"/>
        </w:rPr>
        <w:t>for their HCH patients</w:t>
      </w:r>
      <w:r w:rsidRPr="004F63E7">
        <w:rPr>
          <w:lang w:val="en-GB"/>
        </w:rPr>
        <w:t xml:space="preserve"> largely stayed the same throughout the pandemic. Many practices already had systems in place that allowed their HCH patients increased flexibility and access to the practice via phone and email:</w:t>
      </w:r>
    </w:p>
    <w:p w14:paraId="76434378" w14:textId="6CB00E44" w:rsidR="00AE74AB" w:rsidRPr="004F63E7" w:rsidRDefault="00AE74AB" w:rsidP="00AE74AB">
      <w:pPr>
        <w:ind w:left="567" w:right="521"/>
        <w:rPr>
          <w:szCs w:val="20"/>
          <w:lang w:val="en-US"/>
        </w:rPr>
      </w:pPr>
      <w:r w:rsidRPr="004F63E7">
        <w:rPr>
          <w:i/>
          <w:iCs/>
          <w:szCs w:val="20"/>
          <w:lang w:val="en-US"/>
        </w:rPr>
        <w:t>“I don’t feel for the Health Care Homes patients it’s had a lot of impact on, because like I said, they’ve already been able to access that the same way.”</w:t>
      </w:r>
      <w:r w:rsidRPr="004F63E7">
        <w:rPr>
          <w:szCs w:val="20"/>
          <w:lang w:val="en-US"/>
        </w:rPr>
        <w:t xml:space="preserve"> [Practice Manager, Practice 16, R5]</w:t>
      </w:r>
    </w:p>
    <w:p w14:paraId="0D80525A" w14:textId="77777777" w:rsidR="00AE74AB" w:rsidRPr="004F63E7" w:rsidRDefault="00AE74AB" w:rsidP="00AE74AB">
      <w:pPr>
        <w:ind w:left="567" w:right="521"/>
        <w:rPr>
          <w:szCs w:val="20"/>
          <w:lang w:val="en-US"/>
        </w:rPr>
      </w:pPr>
      <w:r w:rsidRPr="004F63E7">
        <w:rPr>
          <w:i/>
          <w:iCs/>
          <w:szCs w:val="20"/>
          <w:lang w:val="en-US"/>
        </w:rPr>
        <w:t>“I don’t really think it had any impact at all, because the patients were still getting spoken to. I was still calling them and they were still calling me back if they had any requirements. We still had to have doctors and others they need to see ideally. So, I can’t say that there’s been real effect of anything, knock-on effect of anything, at this stage.”</w:t>
      </w:r>
      <w:r w:rsidRPr="004F63E7">
        <w:rPr>
          <w:szCs w:val="20"/>
          <w:lang w:val="en-US"/>
        </w:rPr>
        <w:t xml:space="preserve"> [Nurse, Practice 21, R5]</w:t>
      </w:r>
    </w:p>
    <w:p w14:paraId="0EE3EEA3" w14:textId="77777777" w:rsidR="00AE74AB" w:rsidRPr="004F63E7" w:rsidRDefault="00AE74AB" w:rsidP="00AE74AB">
      <w:pPr>
        <w:rPr>
          <w:szCs w:val="20"/>
          <w:lang w:val="en-GB"/>
        </w:rPr>
      </w:pPr>
      <w:r w:rsidRPr="004F63E7">
        <w:rPr>
          <w:szCs w:val="20"/>
          <w:lang w:val="en-GB"/>
        </w:rPr>
        <w:t>There were a few instances where the changed arrangements during COVID helped with HCH patients’ acceptance of telehealth by their doctor:</w:t>
      </w:r>
    </w:p>
    <w:p w14:paraId="59468F92" w14:textId="77777777" w:rsidR="00AE74AB" w:rsidRPr="004F63E7" w:rsidRDefault="00AE74AB" w:rsidP="00AE74AB">
      <w:pPr>
        <w:ind w:left="567" w:right="521"/>
        <w:rPr>
          <w:szCs w:val="20"/>
          <w:lang w:val="en-GB"/>
        </w:rPr>
      </w:pPr>
      <w:r w:rsidRPr="004F63E7">
        <w:rPr>
          <w:i/>
          <w:iCs/>
          <w:szCs w:val="20"/>
          <w:lang w:val="en-GB"/>
        </w:rPr>
        <w:t xml:space="preserve">“No, we found </w:t>
      </w:r>
      <w:r w:rsidRPr="004F63E7">
        <w:rPr>
          <w:i/>
          <w:iCs/>
          <w:szCs w:val="20"/>
          <w:lang w:val="en-US"/>
        </w:rPr>
        <w:t>right</w:t>
      </w:r>
      <w:r w:rsidRPr="004F63E7">
        <w:rPr>
          <w:i/>
          <w:iCs/>
          <w:szCs w:val="20"/>
          <w:lang w:val="en-GB"/>
        </w:rPr>
        <w:t xml:space="preserve"> at the start, or the initial start, our patients didn’t want to do the telehealth. They were happy to talk on the phone to the nurse, but not to the doctor, so we had a bit of push back, right at the start. I think COVID, then, made a huge impact, because we had to use a lot of telehealth and telephone. So, I think going forward, that will stay.”</w:t>
      </w:r>
      <w:r w:rsidRPr="004F63E7">
        <w:rPr>
          <w:szCs w:val="20"/>
          <w:lang w:val="en-GB"/>
        </w:rPr>
        <w:t xml:space="preserve"> [Practice Manager, Practice 24, R5]</w:t>
      </w:r>
    </w:p>
    <w:p w14:paraId="02FEC243" w14:textId="77777777" w:rsidR="00AE74AB" w:rsidRPr="004F63E7" w:rsidRDefault="00AE74AB" w:rsidP="00AE74AB">
      <w:pPr>
        <w:rPr>
          <w:lang w:val="en-GB"/>
        </w:rPr>
      </w:pPr>
      <w:r w:rsidRPr="004F63E7">
        <w:rPr>
          <w:lang w:val="en-GB"/>
        </w:rPr>
        <w:t xml:space="preserve">Several practices remarked that the increased use of telehealth, </w:t>
      </w:r>
      <w:proofErr w:type="spellStart"/>
      <w:r w:rsidRPr="004F63E7">
        <w:rPr>
          <w:lang w:val="en-GB"/>
        </w:rPr>
        <w:t>eScripts</w:t>
      </w:r>
      <w:proofErr w:type="spellEnd"/>
      <w:r w:rsidRPr="004F63E7">
        <w:rPr>
          <w:lang w:val="en-GB"/>
        </w:rPr>
        <w:t xml:space="preserve"> and </w:t>
      </w:r>
      <w:proofErr w:type="spellStart"/>
      <w:r w:rsidRPr="004F63E7">
        <w:rPr>
          <w:lang w:val="en-GB"/>
        </w:rPr>
        <w:t>eReferrals</w:t>
      </w:r>
      <w:proofErr w:type="spellEnd"/>
      <w:r w:rsidRPr="004F63E7">
        <w:rPr>
          <w:lang w:val="en-GB"/>
        </w:rPr>
        <w:t>, during the pandemic “levelled out the playing field” between HCH and non-HCH patients within a practice:</w:t>
      </w:r>
    </w:p>
    <w:p w14:paraId="026F3F3D" w14:textId="77777777" w:rsidR="00AE74AB" w:rsidRPr="004F63E7" w:rsidRDefault="00AE74AB" w:rsidP="00AE74AB">
      <w:pPr>
        <w:ind w:left="567" w:right="521"/>
        <w:rPr>
          <w:szCs w:val="20"/>
          <w:lang w:val="en-US"/>
        </w:rPr>
      </w:pPr>
      <w:r w:rsidRPr="004F63E7">
        <w:rPr>
          <w:i/>
          <w:iCs/>
          <w:szCs w:val="20"/>
          <w:lang w:val="en-US"/>
        </w:rPr>
        <w:t xml:space="preserve">“It hasn’t changed dramatically. The only thing that’s changed in the equation is with telehealth rebates, that previously it would be more worthwhile because we’d get paid with the Health Care Homes bundle for that work. And not through MBS unless we had a face-to-face appointment. Now, in theory a doctor could have a five to seven-minute phone appointment for an existing patient to do an updated script, and then get $37 for that rebate. So, it less </w:t>
      </w:r>
      <w:proofErr w:type="spellStart"/>
      <w:r w:rsidRPr="004F63E7">
        <w:rPr>
          <w:i/>
          <w:iCs/>
          <w:szCs w:val="20"/>
          <w:lang w:val="en-US"/>
        </w:rPr>
        <w:t>incentivises</w:t>
      </w:r>
      <w:proofErr w:type="spellEnd"/>
      <w:r w:rsidRPr="004F63E7">
        <w:rPr>
          <w:i/>
          <w:iCs/>
          <w:szCs w:val="20"/>
          <w:lang w:val="en-US"/>
        </w:rPr>
        <w:t xml:space="preserve"> the Health Care Homes approach.”</w:t>
      </w:r>
      <w:r w:rsidRPr="004F63E7">
        <w:rPr>
          <w:szCs w:val="20"/>
          <w:lang w:val="en-US"/>
        </w:rPr>
        <w:t xml:space="preserve"> [GP, Practice 22, R5]</w:t>
      </w:r>
    </w:p>
    <w:p w14:paraId="00D9B1CD" w14:textId="77777777" w:rsidR="00AE74AB" w:rsidRPr="004F63E7" w:rsidRDefault="00AE74AB" w:rsidP="00AE74AB">
      <w:pPr>
        <w:ind w:left="567" w:right="521"/>
        <w:rPr>
          <w:lang w:val="en-GB"/>
        </w:rPr>
      </w:pPr>
      <w:r w:rsidRPr="004F63E7">
        <w:rPr>
          <w:i/>
          <w:iCs/>
          <w:lang w:val="en-GB"/>
        </w:rPr>
        <w:t xml:space="preserve">“If Telehealth stays in </w:t>
      </w:r>
      <w:r w:rsidRPr="004F63E7">
        <w:rPr>
          <w:i/>
          <w:iCs/>
          <w:szCs w:val="20"/>
          <w:lang w:val="en-US"/>
        </w:rPr>
        <w:t>some</w:t>
      </w:r>
      <w:r w:rsidRPr="004F63E7">
        <w:rPr>
          <w:i/>
          <w:iCs/>
          <w:lang w:val="en-GB"/>
        </w:rPr>
        <w:t xml:space="preserve"> format long-term, then you’re already cutting away one thing that you’re saying the doctors… This payment can cover for you to talk to the patient on the phone is one of the things that was different about Health Care Homes. If you haven’t got that, it definitely takes away something.”</w:t>
      </w:r>
      <w:r w:rsidRPr="004F63E7">
        <w:rPr>
          <w:lang w:val="en-GB"/>
        </w:rPr>
        <w:t xml:space="preserve"> [Practice Manager, Practice 18, R5]</w:t>
      </w:r>
    </w:p>
    <w:p w14:paraId="3A86B725" w14:textId="2483D4DB" w:rsidR="00AE74AB" w:rsidRPr="004F63E7" w:rsidRDefault="00AE74AB" w:rsidP="00AE74AB">
      <w:pPr>
        <w:rPr>
          <w:lang w:val="en-GB"/>
        </w:rPr>
      </w:pPr>
      <w:r w:rsidRPr="004F63E7">
        <w:rPr>
          <w:lang w:val="en-GB"/>
        </w:rPr>
        <w:t>A few practice</w:t>
      </w:r>
      <w:r w:rsidR="007D033F">
        <w:rPr>
          <w:lang w:val="en-GB"/>
        </w:rPr>
        <w:t>s</w:t>
      </w:r>
      <w:r w:rsidRPr="004F63E7">
        <w:rPr>
          <w:lang w:val="en-GB"/>
        </w:rPr>
        <w:t xml:space="preserve"> remarked that the systems they had implemented for their HCH patients made it easier to transition to telehealth and </w:t>
      </w:r>
      <w:proofErr w:type="spellStart"/>
      <w:r w:rsidRPr="004F63E7">
        <w:rPr>
          <w:lang w:val="en-GB"/>
        </w:rPr>
        <w:t>eScripts</w:t>
      </w:r>
      <w:proofErr w:type="spellEnd"/>
      <w:r w:rsidRPr="004F63E7">
        <w:rPr>
          <w:lang w:val="en-GB"/>
        </w:rPr>
        <w:t xml:space="preserve"> for their broader patient population:</w:t>
      </w:r>
    </w:p>
    <w:p w14:paraId="5D2CE910" w14:textId="3CA687BF" w:rsidR="00AE74AB" w:rsidRPr="004F63E7" w:rsidRDefault="00AE74AB" w:rsidP="00AE74AB">
      <w:pPr>
        <w:ind w:left="567" w:right="521"/>
        <w:rPr>
          <w:lang w:val="en-GB"/>
        </w:rPr>
      </w:pPr>
      <w:r w:rsidRPr="004F63E7">
        <w:rPr>
          <w:i/>
          <w:iCs/>
          <w:lang w:val="en-GB"/>
        </w:rPr>
        <w:t xml:space="preserve">“…while we’re talking about phone consults, that the fact that we’d already done phone consults for our Health </w:t>
      </w:r>
      <w:r w:rsidRPr="004F63E7">
        <w:rPr>
          <w:i/>
          <w:iCs/>
          <w:szCs w:val="20"/>
          <w:lang w:val="en-US"/>
        </w:rPr>
        <w:t>Care</w:t>
      </w:r>
      <w:r w:rsidRPr="004F63E7">
        <w:rPr>
          <w:i/>
          <w:iCs/>
          <w:lang w:val="en-GB"/>
        </w:rPr>
        <w:t xml:space="preserve"> Homes patients I think put us miles ahead of lots of other practices who weren’t already doing those things. So, I found our team didn’t freak out about what the legalities around this are, what the standard call would be.</w:t>
      </w:r>
      <w:r w:rsidR="00A561EE">
        <w:rPr>
          <w:i/>
          <w:iCs/>
          <w:lang w:val="en-GB"/>
        </w:rPr>
        <w:t xml:space="preserve"> </w:t>
      </w:r>
      <w:r w:rsidRPr="004F63E7">
        <w:rPr>
          <w:i/>
          <w:iCs/>
          <w:lang w:val="en-GB"/>
        </w:rPr>
        <w:t xml:space="preserve">And, similarly, patients were much more accepting of it as </w:t>
      </w:r>
      <w:r w:rsidRPr="004F63E7">
        <w:rPr>
          <w:i/>
          <w:iCs/>
          <w:lang w:val="en-GB"/>
        </w:rPr>
        <w:lastRenderedPageBreak/>
        <w:t>well because their other family members had participated in phone consults.”</w:t>
      </w:r>
      <w:r w:rsidRPr="004F63E7">
        <w:rPr>
          <w:lang w:val="en-GB"/>
        </w:rPr>
        <w:t xml:space="preserve"> [GP, Practice 9, R5]</w:t>
      </w:r>
    </w:p>
    <w:p w14:paraId="1EF5E22E" w14:textId="77777777" w:rsidR="00AE74AB" w:rsidRPr="004F63E7" w:rsidRDefault="00AE74AB" w:rsidP="00AE74AB">
      <w:pPr>
        <w:ind w:left="567" w:right="521"/>
        <w:rPr>
          <w:lang w:val="en-GB"/>
        </w:rPr>
      </w:pPr>
      <w:r w:rsidRPr="004F63E7">
        <w:rPr>
          <w:i/>
          <w:iCs/>
          <w:lang w:val="en-GB"/>
        </w:rPr>
        <w:t>“…some things worked really well because we were doing them already with Health Care Homes like the emails of scripts and the finding of scripts and referrals and APC. So, we were already looking after our patients actually quite well before COVID. So, when COVID came, it actually was quite easy to keep looking after those patients because they were used to contact outside of the clinic, other communication means. So, it worked really well for those patients.”</w:t>
      </w:r>
      <w:r w:rsidRPr="004F63E7">
        <w:rPr>
          <w:lang w:val="en-GB"/>
        </w:rPr>
        <w:t xml:space="preserve"> [Nurse, Practice 4, R5]</w:t>
      </w:r>
    </w:p>
    <w:p w14:paraId="59F2D09B" w14:textId="57A93CA1" w:rsidR="00AE74AB" w:rsidRPr="004F63E7" w:rsidRDefault="00AE74AB" w:rsidP="00AE74AB">
      <w:pPr>
        <w:rPr>
          <w:lang w:val="en-GB"/>
        </w:rPr>
      </w:pPr>
      <w:r w:rsidRPr="004F63E7">
        <w:rPr>
          <w:lang w:val="en-GB"/>
        </w:rPr>
        <w:t xml:space="preserve">A few practices </w:t>
      </w:r>
      <w:r w:rsidR="00D60ECA" w:rsidRPr="00C55FD4">
        <w:rPr>
          <w:lang w:val="en-GB"/>
        </w:rPr>
        <w:t>reported</w:t>
      </w:r>
      <w:r w:rsidRPr="004F63E7">
        <w:rPr>
          <w:lang w:val="en-GB"/>
        </w:rPr>
        <w:t xml:space="preserve"> increased pressures with the pandemic that made it difficult to provide proactive, planned care</w:t>
      </w:r>
      <w:r w:rsidR="00D60ECA" w:rsidRPr="00C55FD4">
        <w:rPr>
          <w:lang w:val="en-GB"/>
        </w:rPr>
        <w:t xml:space="preserve"> for their patients</w:t>
      </w:r>
      <w:r w:rsidRPr="00C55FD4">
        <w:rPr>
          <w:lang w:val="en-GB"/>
        </w:rPr>
        <w:t>.</w:t>
      </w:r>
      <w:r w:rsidRPr="004F63E7">
        <w:rPr>
          <w:lang w:val="en-GB"/>
        </w:rPr>
        <w:t xml:space="preserve"> Pressures included </w:t>
      </w:r>
      <w:r w:rsidR="00D60ECA" w:rsidRPr="00C55FD4">
        <w:rPr>
          <w:lang w:val="en-GB"/>
        </w:rPr>
        <w:t>transitioning their</w:t>
      </w:r>
      <w:r w:rsidRPr="00C55FD4">
        <w:rPr>
          <w:lang w:val="en-GB"/>
        </w:rPr>
        <w:t xml:space="preserve"> </w:t>
      </w:r>
      <w:r w:rsidR="00D60ECA" w:rsidRPr="00C55FD4">
        <w:rPr>
          <w:lang w:val="en-GB"/>
        </w:rPr>
        <w:t>non-HCH</w:t>
      </w:r>
      <w:r w:rsidRPr="00C55FD4">
        <w:rPr>
          <w:lang w:val="en-GB"/>
        </w:rPr>
        <w:t xml:space="preserve"> patients</w:t>
      </w:r>
      <w:r w:rsidR="00D60ECA" w:rsidRPr="00C55FD4">
        <w:rPr>
          <w:lang w:val="en-GB"/>
        </w:rPr>
        <w:t xml:space="preserve"> to </w:t>
      </w:r>
      <w:r w:rsidRPr="004F63E7">
        <w:rPr>
          <w:lang w:val="en-GB"/>
        </w:rPr>
        <w:t>telehealth, changing workflows, establishing respiratory clinics and preparing for the vaccine rollout:</w:t>
      </w:r>
    </w:p>
    <w:p w14:paraId="686BD42B" w14:textId="77777777" w:rsidR="00AE74AB" w:rsidRPr="004F63E7" w:rsidRDefault="00AE74AB" w:rsidP="00AE74AB">
      <w:pPr>
        <w:ind w:left="567" w:right="521"/>
        <w:rPr>
          <w:lang w:val="en-GB"/>
        </w:rPr>
      </w:pPr>
      <w:r w:rsidRPr="004F63E7">
        <w:rPr>
          <w:i/>
          <w:iCs/>
          <w:lang w:val="en-GB"/>
        </w:rPr>
        <w:t xml:space="preserve">“…in more recent times, trying to establish the vaccination component of the GP respiratory clinic, as well as vaccination within the practice. Across all of those times, there’s been a distraction from COVID, and that’s really led us to fall back, I think, to just really providing, I’m going to say, reactive care. The most apparent demonstration of that is that the regular team meetings that we were having from early, through until perhaps, soon after March last year, stopped, because of simply being busy with the COVID issues.” </w:t>
      </w:r>
      <w:r w:rsidRPr="004F63E7">
        <w:rPr>
          <w:lang w:val="en-GB"/>
        </w:rPr>
        <w:t>[GP, Practice12, R5]</w:t>
      </w:r>
    </w:p>
    <w:p w14:paraId="0BB768DD" w14:textId="77777777" w:rsidR="00AE74AB" w:rsidRPr="004F63E7" w:rsidRDefault="00AE74AB" w:rsidP="00AE74AB">
      <w:pPr>
        <w:ind w:left="567" w:right="521"/>
        <w:rPr>
          <w:rFonts w:cs="Arial"/>
          <w:szCs w:val="20"/>
          <w:lang w:val="en-US"/>
        </w:rPr>
      </w:pPr>
      <w:r w:rsidRPr="004F63E7">
        <w:rPr>
          <w:rFonts w:cs="Arial"/>
          <w:i/>
          <w:iCs/>
          <w:szCs w:val="20"/>
          <w:lang w:val="en-US"/>
        </w:rPr>
        <w:t>“In the last 12 months, we were almost forced to move a bit more digitally and embrace the whole telehealth concept. Our access has been more online than the previous 12 months. That’s brought in some new advantages but then also some challenges as well. It made it difficult to get particularly these vulnerable patient groups compliant or willing to come into the clinic for a while there, when COVID was really quite bad. Which meant things like their blood pressure wasn't measured as regularly as what we previously would have been doing.</w:t>
      </w:r>
      <w:r w:rsidRPr="004F63E7">
        <w:rPr>
          <w:i/>
          <w:iCs/>
          <w:szCs w:val="20"/>
          <w:lang w:val="en-US"/>
        </w:rPr>
        <w:t xml:space="preserve"> </w:t>
      </w:r>
      <w:r w:rsidRPr="004F63E7">
        <w:rPr>
          <w:rFonts w:cs="Arial"/>
          <w:i/>
          <w:iCs/>
          <w:szCs w:val="20"/>
          <w:lang w:val="en-US"/>
        </w:rPr>
        <w:t>You would have heard on the news and the media all of the mammograms and all of those sorts of screening was forced to be stopped as well.”</w:t>
      </w:r>
      <w:r w:rsidRPr="004F63E7">
        <w:rPr>
          <w:rFonts w:cs="Arial"/>
          <w:szCs w:val="20"/>
          <w:lang w:val="en-US"/>
        </w:rPr>
        <w:t xml:space="preserve"> [Nurse, Practice 22, R5]</w:t>
      </w:r>
    </w:p>
    <w:p w14:paraId="7CB44774" w14:textId="77777777" w:rsidR="00AE74AB" w:rsidRPr="004F63E7" w:rsidRDefault="00AE74AB" w:rsidP="00AE74AB">
      <w:pPr>
        <w:rPr>
          <w:lang w:val="en-GB"/>
        </w:rPr>
      </w:pPr>
      <w:r w:rsidRPr="004F63E7">
        <w:rPr>
          <w:lang w:val="en-GB"/>
        </w:rPr>
        <w:t xml:space="preserve">In some instances, practices reported that the pandemic shifted the focus away from HCH and that the program received less attention, they had to stop certain activities or were unable to make certain changes, such as introducing group sessions and nurse-only consults: </w:t>
      </w:r>
    </w:p>
    <w:p w14:paraId="5CCDF790" w14:textId="77777777" w:rsidR="00410790" w:rsidRPr="004F63E7" w:rsidRDefault="00410790" w:rsidP="00410790">
      <w:pPr>
        <w:ind w:left="567" w:right="521"/>
        <w:rPr>
          <w:i/>
          <w:iCs/>
          <w:lang w:val="en-GB"/>
        </w:rPr>
      </w:pPr>
      <w:r w:rsidRPr="004F63E7">
        <w:rPr>
          <w:i/>
          <w:iCs/>
          <w:lang w:val="en-GB"/>
        </w:rPr>
        <w:t xml:space="preserve">“…it’s almost like that took over our lives. There wasn’t much space to think about Health Care Homes.” </w:t>
      </w:r>
      <w:r w:rsidRPr="004F63E7">
        <w:rPr>
          <w:lang w:val="en-GB"/>
        </w:rPr>
        <w:t>[GP, Practice 9, R5]</w:t>
      </w:r>
    </w:p>
    <w:p w14:paraId="2B262DA5" w14:textId="49E3FAD0" w:rsidR="00AE74AB" w:rsidRPr="004F63E7" w:rsidRDefault="00AE74AB" w:rsidP="00AE74AB">
      <w:pPr>
        <w:ind w:left="567" w:right="521"/>
        <w:rPr>
          <w:lang w:val="en-GB"/>
        </w:rPr>
      </w:pPr>
      <w:r w:rsidRPr="004F63E7">
        <w:rPr>
          <w:i/>
          <w:iCs/>
          <w:lang w:val="en-GB"/>
        </w:rPr>
        <w:t xml:space="preserve">“We haven’t really done anything different, I don’t think, than we were doing before, we’ve just continued on. I think COVID </w:t>
      </w:r>
      <w:r w:rsidRPr="004F63E7">
        <w:rPr>
          <w:i/>
          <w:iCs/>
          <w:szCs w:val="20"/>
          <w:lang w:val="en-US"/>
        </w:rPr>
        <w:t>didn’t</w:t>
      </w:r>
      <w:r w:rsidRPr="004F63E7">
        <w:rPr>
          <w:i/>
          <w:iCs/>
          <w:lang w:val="en-GB"/>
        </w:rPr>
        <w:t xml:space="preserve"> help…with some of the things we were planning to do, which we couldn’t. But on the whole, it’s just rolled on as we were doing it. We still wanted to do the patient’s heath assessments, diabetes and asthma and all of those things as well, incorporated in the Health Care Homes payment…unfortunately, because COVID did impact us a lot. We couldn’t do any group things.”</w:t>
      </w:r>
      <w:r w:rsidRPr="004F63E7">
        <w:rPr>
          <w:lang w:val="en-GB"/>
        </w:rPr>
        <w:t xml:space="preserve"> [Practice Manager, Practice 24, R4]</w:t>
      </w:r>
    </w:p>
    <w:p w14:paraId="2C0CA667" w14:textId="77777777" w:rsidR="00AE74AB" w:rsidRPr="004F63E7" w:rsidRDefault="00AE74AB" w:rsidP="00AE74AB">
      <w:pPr>
        <w:ind w:left="567" w:right="521"/>
        <w:rPr>
          <w:lang w:val="en-GB"/>
        </w:rPr>
      </w:pPr>
      <w:r w:rsidRPr="004F63E7">
        <w:rPr>
          <w:i/>
          <w:iCs/>
          <w:lang w:val="en-GB"/>
        </w:rPr>
        <w:lastRenderedPageBreak/>
        <w:t>“Oh yes, [COVID-19] stopped [the group classes]. It stopped everything for a few months. Back in March last year. But then we were able to restart them up. I don't remember exactly how soon after it was. But it was a few months. And we restarted them just at a smaller capacity. So, we wouldn't fit as many in the class with social distancing and all of that sort of stuff. But we're back up and running now with it, which is good</w:t>
      </w:r>
      <w:r w:rsidRPr="004F63E7">
        <w:rPr>
          <w:lang w:val="en-GB"/>
        </w:rPr>
        <w:t>. [Exercise Physiologist, Practice, R5]</w:t>
      </w:r>
    </w:p>
    <w:p w14:paraId="11FEC875" w14:textId="725B778F" w:rsidR="00574B2B" w:rsidRDefault="00AE74AB" w:rsidP="00CA3364">
      <w:pPr>
        <w:rPr>
          <w:lang w:val="en-GB"/>
        </w:rPr>
      </w:pPr>
      <w:r w:rsidRPr="004F63E7">
        <w:rPr>
          <w:lang w:val="en-GB"/>
        </w:rPr>
        <w:t xml:space="preserve">Practices’ qualitative feedback </w:t>
      </w:r>
      <w:r w:rsidR="00366AC1">
        <w:rPr>
          <w:lang w:val="en-GB"/>
        </w:rPr>
        <w:t>was consistent with</w:t>
      </w:r>
      <w:r w:rsidRPr="004F63E7">
        <w:rPr>
          <w:lang w:val="en-GB"/>
        </w:rPr>
        <w:t xml:space="preserve"> the feedback from a wider range of practices responding to the survey </w:t>
      </w:r>
      <w:r w:rsidRPr="004F63E7">
        <w:rPr>
          <w:color w:val="1D2455"/>
          <w:lang w:val="en-GB"/>
        </w:rPr>
        <w:t>(</w:t>
      </w:r>
      <w:r w:rsidRPr="004F63E7">
        <w:rPr>
          <w:color w:val="1D2455"/>
          <w:lang w:val="en-GB"/>
        </w:rPr>
        <w:fldChar w:fldCharType="begin"/>
      </w:r>
      <w:r w:rsidRPr="004F63E7">
        <w:rPr>
          <w:color w:val="1D2455"/>
          <w:lang w:val="en-GB"/>
        </w:rPr>
        <w:instrText xml:space="preserve"> REF _Ref89956502 \h  \* MERGEFORMAT </w:instrText>
      </w:r>
      <w:r w:rsidRPr="004F63E7">
        <w:rPr>
          <w:color w:val="1D2455"/>
          <w:lang w:val="en-GB"/>
        </w:rPr>
      </w:r>
      <w:r w:rsidRPr="004F63E7">
        <w:rPr>
          <w:color w:val="1D2455"/>
          <w:lang w:val="en-GB"/>
        </w:rPr>
        <w:fldChar w:fldCharType="separate"/>
      </w:r>
      <w:r w:rsidR="003C4BC2" w:rsidRPr="003C4BC2">
        <w:rPr>
          <w:color w:val="1D2455"/>
        </w:rPr>
        <w:t xml:space="preserve">Table </w:t>
      </w:r>
      <w:r w:rsidR="003C4BC2" w:rsidRPr="003C4BC2">
        <w:rPr>
          <w:noProof/>
          <w:color w:val="1D2455"/>
        </w:rPr>
        <w:t>22</w:t>
      </w:r>
      <w:r w:rsidRPr="004F63E7">
        <w:rPr>
          <w:color w:val="1D2455"/>
          <w:lang w:val="en-GB"/>
        </w:rPr>
        <w:fldChar w:fldCharType="end"/>
      </w:r>
      <w:r w:rsidRPr="004F63E7">
        <w:rPr>
          <w:lang w:val="en-GB"/>
        </w:rPr>
        <w:t xml:space="preserve">). Many reported positive impacts </w:t>
      </w:r>
      <w:r w:rsidR="00D63CA9">
        <w:rPr>
          <w:lang w:val="en-GB"/>
        </w:rPr>
        <w:t>of</w:t>
      </w:r>
      <w:r w:rsidRPr="004F63E7">
        <w:rPr>
          <w:lang w:val="en-GB"/>
        </w:rPr>
        <w:t xml:space="preserve"> the pandemic </w:t>
      </w:r>
      <w:r w:rsidR="00D63CA9">
        <w:rPr>
          <w:lang w:val="en-GB"/>
        </w:rPr>
        <w:t>in</w:t>
      </w:r>
      <w:r w:rsidRPr="004F63E7">
        <w:rPr>
          <w:lang w:val="en-GB"/>
        </w:rPr>
        <w:t xml:space="preserve"> boosting the use of telehealth and IT, and that processes that they established as part of HCH before the pandemic helped them during the pandemic. However, more reported negative impact, of which the most prevalent was that the pandemic stifled their HCH activities/progress.</w:t>
      </w:r>
      <w:r w:rsidR="00A34BD5">
        <w:rPr>
          <w:lang w:val="en-GB"/>
        </w:rPr>
        <w:t xml:space="preserve"> They gave similar responses to the effect of COVID-19 on their chronic disease management processes.</w:t>
      </w:r>
    </w:p>
    <w:p w14:paraId="6B9328F6" w14:textId="7BB2F11B" w:rsidR="00AE74AB" w:rsidRPr="004F63E7" w:rsidRDefault="00AE74AB" w:rsidP="00AE74AB">
      <w:pPr>
        <w:spacing w:after="60"/>
        <w:jc w:val="center"/>
        <w:rPr>
          <w:rFonts w:eastAsiaTheme="minorEastAsia"/>
          <w:color w:val="1D2455"/>
          <w:szCs w:val="20"/>
          <w:lang w:eastAsia="en-AU"/>
        </w:rPr>
      </w:pPr>
      <w:bookmarkStart w:id="183" w:name="_Ref89956502"/>
      <w:r w:rsidRPr="004F63E7">
        <w:rPr>
          <w:rFonts w:eastAsiaTheme="minorEastAsia"/>
          <w:color w:val="1D2455"/>
          <w:szCs w:val="20"/>
          <w:lang w:eastAsia="en-AU"/>
        </w:rPr>
        <w:t xml:space="preserve">Table </w:t>
      </w:r>
      <w:r w:rsidRPr="004F63E7">
        <w:rPr>
          <w:rFonts w:eastAsiaTheme="minorEastAsia"/>
          <w:color w:val="1D2455"/>
          <w:szCs w:val="20"/>
          <w:lang w:eastAsia="en-AU"/>
        </w:rPr>
        <w:fldChar w:fldCharType="begin"/>
      </w:r>
      <w:r w:rsidRPr="004F63E7">
        <w:rPr>
          <w:rFonts w:eastAsiaTheme="minorEastAsia"/>
          <w:color w:val="1D2455"/>
          <w:szCs w:val="20"/>
          <w:lang w:eastAsia="en-AU"/>
        </w:rPr>
        <w:instrText xml:space="preserve"> SEQ Table \* ARABIC </w:instrText>
      </w:r>
      <w:r w:rsidRPr="004F63E7">
        <w:rPr>
          <w:rFonts w:eastAsiaTheme="minorEastAsia"/>
          <w:color w:val="1D2455"/>
          <w:szCs w:val="20"/>
          <w:lang w:eastAsia="en-AU"/>
        </w:rPr>
        <w:fldChar w:fldCharType="separate"/>
      </w:r>
      <w:r w:rsidR="003C4BC2">
        <w:rPr>
          <w:rFonts w:eastAsiaTheme="minorEastAsia"/>
          <w:noProof/>
          <w:color w:val="1D2455"/>
          <w:szCs w:val="20"/>
          <w:lang w:eastAsia="en-AU"/>
        </w:rPr>
        <w:t>22</w:t>
      </w:r>
      <w:r w:rsidRPr="004F63E7">
        <w:rPr>
          <w:rFonts w:eastAsiaTheme="minorEastAsia"/>
          <w:color w:val="1D2455"/>
          <w:szCs w:val="20"/>
          <w:lang w:eastAsia="en-AU"/>
        </w:rPr>
        <w:fldChar w:fldCharType="end"/>
      </w:r>
      <w:bookmarkEnd w:id="183"/>
      <w:r w:rsidRPr="004F63E7">
        <w:rPr>
          <w:rFonts w:eastAsiaTheme="minorEastAsia"/>
          <w:color w:val="1D2455"/>
          <w:szCs w:val="20"/>
          <w:lang w:eastAsia="en-AU"/>
        </w:rPr>
        <w:t>: Impact of COVID-19 on practices’ HCH activities</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6881"/>
        <w:gridCol w:w="2135"/>
      </w:tblGrid>
      <w:tr w:rsidR="00AE74AB" w:rsidRPr="004C3CCB" w14:paraId="0134E3DE" w14:textId="77777777" w:rsidTr="004C3CCB">
        <w:tc>
          <w:tcPr>
            <w:tcW w:w="3816" w:type="pct"/>
            <w:shd w:val="clear" w:color="auto" w:fill="408BCA"/>
            <w:vAlign w:val="center"/>
          </w:tcPr>
          <w:p w14:paraId="07974667" w14:textId="77777777" w:rsidR="00AE74AB" w:rsidRPr="004C3CCB" w:rsidRDefault="00AE74AB" w:rsidP="004C3CCB">
            <w:pPr>
              <w:spacing w:after="0"/>
              <w:ind w:right="102"/>
              <w:rPr>
                <w:rFonts w:eastAsia="Century Gothic" w:cs="Century Gothic"/>
                <w:b/>
                <w:bCs/>
                <w:color w:val="000000"/>
                <w:sz w:val="18"/>
                <w:szCs w:val="18"/>
              </w:rPr>
            </w:pPr>
            <w:r w:rsidRPr="004C3CCB">
              <w:rPr>
                <w:rFonts w:eastAsia="Century Gothic" w:cs="Century Gothic"/>
                <w:b/>
                <w:bCs/>
                <w:color w:val="FFFFFF"/>
                <w:sz w:val="18"/>
                <w:szCs w:val="18"/>
              </w:rPr>
              <w:t>Reflection</w:t>
            </w:r>
          </w:p>
        </w:tc>
        <w:tc>
          <w:tcPr>
            <w:tcW w:w="1184" w:type="pct"/>
            <w:shd w:val="clear" w:color="auto" w:fill="408BCA"/>
            <w:vAlign w:val="center"/>
          </w:tcPr>
          <w:p w14:paraId="51749996" w14:textId="77777777" w:rsidR="00AE74AB" w:rsidRPr="004C3CCB" w:rsidRDefault="00AE74AB" w:rsidP="004C3CCB">
            <w:pPr>
              <w:spacing w:after="0"/>
              <w:ind w:left="102" w:right="102"/>
              <w:jc w:val="center"/>
              <w:rPr>
                <w:rFonts w:eastAsia="Century Gothic" w:cs="Century Gothic"/>
                <w:b/>
                <w:bCs/>
                <w:color w:val="000000"/>
                <w:sz w:val="18"/>
                <w:szCs w:val="18"/>
              </w:rPr>
            </w:pPr>
            <w:r w:rsidRPr="004C3CCB">
              <w:rPr>
                <w:rFonts w:eastAsia="Century Gothic" w:cs="Century Gothic"/>
                <w:b/>
                <w:bCs/>
                <w:color w:val="FFFFFF"/>
                <w:sz w:val="18"/>
                <w:szCs w:val="18"/>
              </w:rPr>
              <w:t>No. of times this reflection was mentioned (% of practices</w:t>
            </w:r>
            <w:r w:rsidRPr="004C3CCB">
              <w:rPr>
                <w:rFonts w:eastAsia="Century Gothic" w:cs="Century Gothic"/>
                <w:b/>
                <w:bCs/>
                <w:color w:val="000000"/>
                <w:sz w:val="18"/>
                <w:szCs w:val="18"/>
              </w:rPr>
              <w:t xml:space="preserve"> </w:t>
            </w:r>
            <w:r w:rsidRPr="004C3CCB">
              <w:rPr>
                <w:rFonts w:eastAsia="Century Gothic" w:cs="Century Gothic"/>
                <w:b/>
                <w:bCs/>
                <w:color w:val="FFFFFF"/>
                <w:sz w:val="18"/>
                <w:szCs w:val="18"/>
              </w:rPr>
              <w:t>providing this reflection)</w:t>
            </w:r>
            <w:r w:rsidRPr="004C3CCB">
              <w:rPr>
                <w:rFonts w:eastAsia="Century Gothic" w:cs="Century Gothic"/>
                <w:b/>
                <w:bCs/>
                <w:color w:val="FFFFFF"/>
                <w:sz w:val="18"/>
                <w:szCs w:val="18"/>
                <w:vertAlign w:val="superscript"/>
              </w:rPr>
              <w:t>1</w:t>
            </w:r>
          </w:p>
        </w:tc>
      </w:tr>
      <w:tr w:rsidR="00AE74AB" w:rsidRPr="004F63E7" w14:paraId="0ECC5EED" w14:textId="77777777" w:rsidTr="00D97022">
        <w:tc>
          <w:tcPr>
            <w:tcW w:w="3816" w:type="pct"/>
          </w:tcPr>
          <w:p w14:paraId="65165CFD" w14:textId="77777777" w:rsidR="00AE74AB" w:rsidRPr="004F63E7" w:rsidRDefault="00AE74AB" w:rsidP="00CA2A66">
            <w:pPr>
              <w:spacing w:after="0"/>
              <w:ind w:right="102"/>
              <w:rPr>
                <w:rFonts w:eastAsia="Century Gothic" w:cs="Century Gothic"/>
                <w:b/>
                <w:bCs/>
                <w:color w:val="1D2455"/>
                <w:sz w:val="18"/>
                <w:szCs w:val="18"/>
              </w:rPr>
            </w:pPr>
            <w:r w:rsidRPr="004F63E7">
              <w:rPr>
                <w:rFonts w:eastAsia="Century Gothic" w:cs="Century Gothic"/>
                <w:b/>
                <w:bCs/>
                <w:color w:val="1D2455"/>
                <w:sz w:val="18"/>
                <w:szCs w:val="18"/>
              </w:rPr>
              <w:t>Positive</w:t>
            </w:r>
          </w:p>
        </w:tc>
        <w:tc>
          <w:tcPr>
            <w:tcW w:w="1184" w:type="pct"/>
          </w:tcPr>
          <w:p w14:paraId="25FA4F99" w14:textId="77777777" w:rsidR="00AE74AB" w:rsidRPr="004F63E7" w:rsidRDefault="00AE74AB" w:rsidP="00CA2A66">
            <w:pPr>
              <w:spacing w:after="0"/>
              <w:ind w:left="102" w:right="102"/>
              <w:jc w:val="right"/>
              <w:rPr>
                <w:rFonts w:eastAsia="Century Gothic" w:cs="Century Gothic"/>
                <w:color w:val="000000"/>
                <w:sz w:val="18"/>
                <w:szCs w:val="18"/>
              </w:rPr>
            </w:pPr>
          </w:p>
        </w:tc>
      </w:tr>
      <w:tr w:rsidR="00AE74AB" w:rsidRPr="004F63E7" w14:paraId="1C6D054C" w14:textId="77777777" w:rsidTr="00D97022">
        <w:tc>
          <w:tcPr>
            <w:tcW w:w="3816" w:type="pct"/>
          </w:tcPr>
          <w:p w14:paraId="5162625E" w14:textId="77777777" w:rsidR="00AE74AB" w:rsidRPr="004F63E7" w:rsidRDefault="00AE74AB" w:rsidP="00CA2A66">
            <w:pPr>
              <w:spacing w:after="0"/>
              <w:ind w:left="284" w:right="102"/>
              <w:rPr>
                <w:sz w:val="18"/>
                <w:szCs w:val="18"/>
              </w:rPr>
            </w:pPr>
            <w:r w:rsidRPr="004F63E7">
              <w:rPr>
                <w:rFonts w:eastAsia="Century Gothic" w:cs="Century Gothic"/>
                <w:color w:val="000000"/>
                <w:sz w:val="18"/>
                <w:szCs w:val="18"/>
              </w:rPr>
              <w:t xml:space="preserve">Increased telehealth/introduced IT initiatives (including </w:t>
            </w:r>
            <w:proofErr w:type="spellStart"/>
            <w:r w:rsidRPr="004F63E7">
              <w:rPr>
                <w:rFonts w:eastAsia="Century Gothic" w:cs="Century Gothic"/>
                <w:color w:val="000000"/>
                <w:sz w:val="18"/>
                <w:szCs w:val="18"/>
              </w:rPr>
              <w:t>eScripts</w:t>
            </w:r>
            <w:proofErr w:type="spellEnd"/>
            <w:r w:rsidRPr="004F63E7">
              <w:rPr>
                <w:rFonts w:eastAsia="Century Gothic" w:cs="Century Gothic"/>
                <w:color w:val="000000"/>
                <w:sz w:val="18"/>
                <w:szCs w:val="18"/>
              </w:rPr>
              <w:t>)</w:t>
            </w:r>
          </w:p>
        </w:tc>
        <w:tc>
          <w:tcPr>
            <w:tcW w:w="1184" w:type="pct"/>
          </w:tcPr>
          <w:p w14:paraId="466499CC"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21 (28.8%)</w:t>
            </w:r>
          </w:p>
        </w:tc>
      </w:tr>
      <w:tr w:rsidR="00AE74AB" w:rsidRPr="004F63E7" w14:paraId="789F441B" w14:textId="77777777" w:rsidTr="00D97022">
        <w:tc>
          <w:tcPr>
            <w:tcW w:w="3816" w:type="pct"/>
          </w:tcPr>
          <w:p w14:paraId="1D70F473" w14:textId="5F38504A" w:rsidR="00AE74AB" w:rsidRPr="004F63E7" w:rsidRDefault="00AE74AB" w:rsidP="00CA2A66">
            <w:pPr>
              <w:spacing w:after="0"/>
              <w:ind w:left="284" w:right="102"/>
              <w:rPr>
                <w:sz w:val="18"/>
                <w:szCs w:val="18"/>
              </w:rPr>
            </w:pPr>
            <w:r w:rsidRPr="004F63E7">
              <w:rPr>
                <w:rFonts w:eastAsia="Century Gothic" w:cs="Century Gothic"/>
                <w:color w:val="000000"/>
                <w:sz w:val="18"/>
                <w:szCs w:val="18"/>
              </w:rPr>
              <w:t>HCH processes established before COVID-19 made changes during COVID easier (</w:t>
            </w:r>
            <w:r w:rsidR="0010747B">
              <w:rPr>
                <w:rFonts w:eastAsia="Century Gothic" w:cs="Century Gothic"/>
                <w:color w:val="000000"/>
                <w:sz w:val="18"/>
                <w:szCs w:val="18"/>
              </w:rPr>
              <w:t>that is,</w:t>
            </w:r>
            <w:r w:rsidRPr="004F63E7">
              <w:rPr>
                <w:rFonts w:eastAsia="Century Gothic" w:cs="Century Gothic"/>
                <w:color w:val="000000"/>
                <w:sz w:val="18"/>
                <w:szCs w:val="18"/>
              </w:rPr>
              <w:t xml:space="preserve"> patients used to telehealth/enhanced chronic disease management already in place)</w:t>
            </w:r>
          </w:p>
        </w:tc>
        <w:tc>
          <w:tcPr>
            <w:tcW w:w="1184" w:type="pct"/>
          </w:tcPr>
          <w:p w14:paraId="115EB054"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18 (24.7%)</w:t>
            </w:r>
          </w:p>
        </w:tc>
      </w:tr>
      <w:tr w:rsidR="00AE74AB" w:rsidRPr="004F63E7" w14:paraId="0832F8CF" w14:textId="77777777" w:rsidTr="00D97022">
        <w:tc>
          <w:tcPr>
            <w:tcW w:w="3816" w:type="pct"/>
          </w:tcPr>
          <w:p w14:paraId="1104A57D" w14:textId="77777777" w:rsidR="00AE74AB" w:rsidRPr="004F63E7" w:rsidRDefault="00AE74AB" w:rsidP="00CA2A66">
            <w:pPr>
              <w:spacing w:after="0"/>
              <w:ind w:right="102"/>
              <w:rPr>
                <w:rFonts w:eastAsia="Century Gothic" w:cs="Century Gothic"/>
                <w:color w:val="000000"/>
                <w:sz w:val="18"/>
                <w:szCs w:val="18"/>
              </w:rPr>
            </w:pPr>
            <w:r w:rsidRPr="004F63E7">
              <w:rPr>
                <w:rFonts w:eastAsia="Century Gothic" w:cs="Century Gothic"/>
                <w:b/>
                <w:bCs/>
                <w:color w:val="1D2455"/>
                <w:sz w:val="18"/>
                <w:szCs w:val="18"/>
              </w:rPr>
              <w:t>Negative</w:t>
            </w:r>
          </w:p>
        </w:tc>
        <w:tc>
          <w:tcPr>
            <w:tcW w:w="1184" w:type="pct"/>
          </w:tcPr>
          <w:p w14:paraId="7A4D729D" w14:textId="77777777" w:rsidR="00AE74AB" w:rsidRPr="004F63E7" w:rsidRDefault="00AE74AB" w:rsidP="00CA2A66">
            <w:pPr>
              <w:spacing w:after="0"/>
              <w:ind w:left="102" w:right="102"/>
              <w:jc w:val="right"/>
              <w:rPr>
                <w:rFonts w:eastAsia="Century Gothic" w:cs="Century Gothic"/>
                <w:color w:val="000000"/>
                <w:sz w:val="18"/>
                <w:szCs w:val="18"/>
              </w:rPr>
            </w:pPr>
          </w:p>
        </w:tc>
      </w:tr>
      <w:tr w:rsidR="00AE74AB" w:rsidRPr="004F63E7" w14:paraId="4A063E45" w14:textId="77777777" w:rsidTr="00D97022">
        <w:tc>
          <w:tcPr>
            <w:tcW w:w="3816" w:type="pct"/>
          </w:tcPr>
          <w:p w14:paraId="267FD5C6" w14:textId="77777777" w:rsidR="00AE74AB" w:rsidRPr="004F63E7" w:rsidRDefault="00AE74AB" w:rsidP="00CA2A66">
            <w:pPr>
              <w:spacing w:after="0"/>
              <w:ind w:left="284" w:right="102"/>
              <w:rPr>
                <w:rFonts w:eastAsia="Century Gothic" w:cs="Century Gothic"/>
                <w:color w:val="000000"/>
                <w:sz w:val="18"/>
                <w:szCs w:val="18"/>
              </w:rPr>
            </w:pPr>
            <w:r w:rsidRPr="004F63E7">
              <w:rPr>
                <w:rFonts w:eastAsia="Century Gothic" w:cs="Century Gothic"/>
                <w:color w:val="000000"/>
                <w:sz w:val="18"/>
                <w:szCs w:val="18"/>
              </w:rPr>
              <w:t>Stifled progress, COVID was priority</w:t>
            </w:r>
          </w:p>
        </w:tc>
        <w:tc>
          <w:tcPr>
            <w:tcW w:w="1184" w:type="pct"/>
          </w:tcPr>
          <w:p w14:paraId="1138C5BB"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17 (23.3%)</w:t>
            </w:r>
          </w:p>
        </w:tc>
      </w:tr>
      <w:tr w:rsidR="00AE74AB" w:rsidRPr="004F63E7" w14:paraId="5CAEF6E0" w14:textId="77777777" w:rsidTr="00D97022">
        <w:tc>
          <w:tcPr>
            <w:tcW w:w="3816" w:type="pct"/>
          </w:tcPr>
          <w:p w14:paraId="6C8FC4C4" w14:textId="77777777" w:rsidR="00AE74AB" w:rsidRPr="004F63E7" w:rsidRDefault="00AE74AB" w:rsidP="00CA2A66">
            <w:pPr>
              <w:spacing w:after="0"/>
              <w:ind w:left="284" w:right="102"/>
              <w:rPr>
                <w:rFonts w:eastAsia="Century Gothic" w:cs="Century Gothic"/>
                <w:color w:val="000000"/>
                <w:sz w:val="18"/>
                <w:szCs w:val="18"/>
              </w:rPr>
            </w:pPr>
            <w:r w:rsidRPr="004F63E7">
              <w:rPr>
                <w:rFonts w:eastAsia="Century Gothic" w:cs="Century Gothic"/>
                <w:color w:val="000000"/>
                <w:sz w:val="18"/>
                <w:szCs w:val="18"/>
              </w:rPr>
              <w:t>Impacted group sessions/classes</w:t>
            </w:r>
          </w:p>
        </w:tc>
        <w:tc>
          <w:tcPr>
            <w:tcW w:w="1184" w:type="pct"/>
          </w:tcPr>
          <w:p w14:paraId="627C7C07"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7 (9.6%)</w:t>
            </w:r>
          </w:p>
        </w:tc>
      </w:tr>
      <w:tr w:rsidR="00AE74AB" w:rsidRPr="004F63E7" w14:paraId="779D53AD" w14:textId="77777777" w:rsidTr="00D97022">
        <w:tc>
          <w:tcPr>
            <w:tcW w:w="3816" w:type="pct"/>
          </w:tcPr>
          <w:p w14:paraId="3F41E384" w14:textId="77777777" w:rsidR="00AE74AB" w:rsidRPr="004F63E7" w:rsidRDefault="00AE74AB" w:rsidP="00CA2A66">
            <w:pPr>
              <w:spacing w:after="0"/>
              <w:ind w:left="284" w:right="102"/>
              <w:rPr>
                <w:rFonts w:eastAsia="Century Gothic" w:cs="Century Gothic"/>
                <w:color w:val="000000"/>
                <w:sz w:val="18"/>
                <w:szCs w:val="18"/>
              </w:rPr>
            </w:pPr>
            <w:r w:rsidRPr="004F63E7">
              <w:rPr>
                <w:rFonts w:eastAsia="Century Gothic" w:cs="Century Gothic"/>
                <w:color w:val="000000"/>
                <w:sz w:val="18"/>
                <w:szCs w:val="18"/>
              </w:rPr>
              <w:t>Fewer face-to-face appointments/patients hesitant to come in</w:t>
            </w:r>
          </w:p>
        </w:tc>
        <w:tc>
          <w:tcPr>
            <w:tcW w:w="1184" w:type="pct"/>
          </w:tcPr>
          <w:p w14:paraId="5DC20742"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5 (6.8%)</w:t>
            </w:r>
          </w:p>
        </w:tc>
      </w:tr>
      <w:tr w:rsidR="00AE74AB" w:rsidRPr="004F63E7" w14:paraId="3BA23CF4" w14:textId="77777777" w:rsidTr="00D97022">
        <w:tc>
          <w:tcPr>
            <w:tcW w:w="3816" w:type="pct"/>
          </w:tcPr>
          <w:p w14:paraId="69A018D8" w14:textId="77777777" w:rsidR="00AE74AB" w:rsidRPr="004F63E7" w:rsidRDefault="00AE74AB" w:rsidP="00CA2A66">
            <w:pPr>
              <w:spacing w:after="0"/>
              <w:ind w:left="284" w:right="102"/>
              <w:rPr>
                <w:rFonts w:eastAsia="Century Gothic" w:cs="Century Gothic"/>
                <w:color w:val="000000"/>
                <w:sz w:val="18"/>
                <w:szCs w:val="18"/>
              </w:rPr>
            </w:pPr>
            <w:r w:rsidRPr="004F63E7">
              <w:rPr>
                <w:rFonts w:eastAsia="Century Gothic" w:cs="Century Gothic"/>
                <w:color w:val="000000"/>
                <w:sz w:val="18"/>
                <w:szCs w:val="18"/>
              </w:rPr>
              <w:t>Telehealth and the rollout of other initiatives due to COVID negated some benefits of HCH</w:t>
            </w:r>
          </w:p>
        </w:tc>
        <w:tc>
          <w:tcPr>
            <w:tcW w:w="1184" w:type="pct"/>
          </w:tcPr>
          <w:p w14:paraId="3DE60031"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5 (6.8%)</w:t>
            </w:r>
          </w:p>
        </w:tc>
      </w:tr>
      <w:tr w:rsidR="00AE74AB" w:rsidRPr="004F63E7" w14:paraId="434FA26C" w14:textId="77777777" w:rsidTr="00D97022">
        <w:tc>
          <w:tcPr>
            <w:tcW w:w="3816" w:type="pct"/>
          </w:tcPr>
          <w:p w14:paraId="5A093EB8" w14:textId="77777777" w:rsidR="00AE74AB" w:rsidRPr="004F63E7" w:rsidRDefault="00AE74AB" w:rsidP="00CA2A66">
            <w:pPr>
              <w:spacing w:after="0"/>
              <w:ind w:left="284" w:right="102"/>
              <w:rPr>
                <w:rFonts w:eastAsia="Century Gothic" w:cs="Century Gothic"/>
                <w:color w:val="000000"/>
                <w:sz w:val="18"/>
                <w:szCs w:val="18"/>
              </w:rPr>
            </w:pPr>
            <w:r w:rsidRPr="004F63E7">
              <w:rPr>
                <w:rFonts w:eastAsia="Century Gothic" w:cs="Century Gothic"/>
                <w:color w:val="000000"/>
                <w:sz w:val="18"/>
                <w:szCs w:val="18"/>
              </w:rPr>
              <w:t>Difficult to contact patients or resistance to telehealth</w:t>
            </w:r>
          </w:p>
        </w:tc>
        <w:tc>
          <w:tcPr>
            <w:tcW w:w="1184" w:type="pct"/>
          </w:tcPr>
          <w:p w14:paraId="2FB81022"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5 (6.8%)</w:t>
            </w:r>
          </w:p>
        </w:tc>
      </w:tr>
      <w:tr w:rsidR="00AE74AB" w:rsidRPr="004F63E7" w14:paraId="5A707895" w14:textId="77777777" w:rsidTr="00D97022">
        <w:tc>
          <w:tcPr>
            <w:tcW w:w="3816" w:type="pct"/>
          </w:tcPr>
          <w:p w14:paraId="6116DA4E" w14:textId="77777777" w:rsidR="00AE74AB" w:rsidRPr="004F63E7" w:rsidRDefault="00AE74AB" w:rsidP="00CA2A66">
            <w:pPr>
              <w:spacing w:after="0"/>
              <w:ind w:left="284" w:right="102"/>
              <w:rPr>
                <w:rFonts w:eastAsia="Century Gothic" w:cs="Century Gothic"/>
                <w:color w:val="000000"/>
                <w:sz w:val="18"/>
                <w:szCs w:val="18"/>
              </w:rPr>
            </w:pPr>
            <w:r w:rsidRPr="004F63E7">
              <w:rPr>
                <w:rFonts w:eastAsia="Century Gothic" w:cs="Century Gothic"/>
                <w:color w:val="000000"/>
                <w:sz w:val="18"/>
                <w:szCs w:val="18"/>
              </w:rPr>
              <w:t>Impacted staffing/staffing changes</w:t>
            </w:r>
          </w:p>
        </w:tc>
        <w:tc>
          <w:tcPr>
            <w:tcW w:w="1184" w:type="pct"/>
          </w:tcPr>
          <w:p w14:paraId="44C1D0B5"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5 (6.8%)</w:t>
            </w:r>
          </w:p>
        </w:tc>
      </w:tr>
      <w:tr w:rsidR="00AE74AB" w:rsidRPr="004F63E7" w14:paraId="217B8D8B" w14:textId="77777777" w:rsidTr="00D97022">
        <w:tc>
          <w:tcPr>
            <w:tcW w:w="3816" w:type="pct"/>
          </w:tcPr>
          <w:p w14:paraId="27CEDB40" w14:textId="77777777" w:rsidR="00AE74AB" w:rsidRPr="004F63E7" w:rsidRDefault="00AE74AB" w:rsidP="00CA2A66">
            <w:pPr>
              <w:spacing w:after="0"/>
              <w:ind w:left="284" w:right="102"/>
              <w:rPr>
                <w:rFonts w:eastAsia="Century Gothic" w:cs="Century Gothic"/>
                <w:color w:val="000000"/>
                <w:sz w:val="18"/>
                <w:szCs w:val="18"/>
              </w:rPr>
            </w:pPr>
            <w:r w:rsidRPr="004F63E7">
              <w:rPr>
                <w:rFonts w:eastAsia="Century Gothic" w:cs="Century Gothic"/>
                <w:color w:val="000000"/>
                <w:sz w:val="18"/>
                <w:szCs w:val="18"/>
              </w:rPr>
              <w:t>Fewer appointments allied health/specialists</w:t>
            </w:r>
          </w:p>
        </w:tc>
        <w:tc>
          <w:tcPr>
            <w:tcW w:w="1184" w:type="pct"/>
          </w:tcPr>
          <w:p w14:paraId="45BDE809"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1 (1.4%)</w:t>
            </w:r>
          </w:p>
        </w:tc>
      </w:tr>
      <w:tr w:rsidR="00AE74AB" w:rsidRPr="004F63E7" w14:paraId="692D9506" w14:textId="77777777" w:rsidTr="00D97022">
        <w:tc>
          <w:tcPr>
            <w:tcW w:w="3816" w:type="pct"/>
          </w:tcPr>
          <w:p w14:paraId="1BF1D308" w14:textId="77777777" w:rsidR="00AE74AB" w:rsidRPr="004F63E7" w:rsidRDefault="00AE74AB" w:rsidP="00CA2A66">
            <w:pPr>
              <w:spacing w:after="0"/>
              <w:ind w:left="284" w:right="102"/>
              <w:rPr>
                <w:rFonts w:eastAsia="Century Gothic" w:cs="Century Gothic"/>
                <w:color w:val="000000"/>
                <w:sz w:val="18"/>
                <w:szCs w:val="18"/>
              </w:rPr>
            </w:pPr>
            <w:r w:rsidRPr="004F63E7">
              <w:rPr>
                <w:rFonts w:eastAsia="Century Gothic" w:cs="Century Gothic"/>
                <w:color w:val="000000"/>
                <w:sz w:val="18"/>
                <w:szCs w:val="18"/>
              </w:rPr>
              <w:t>Reduced nurse role</w:t>
            </w:r>
          </w:p>
        </w:tc>
        <w:tc>
          <w:tcPr>
            <w:tcW w:w="1184" w:type="pct"/>
          </w:tcPr>
          <w:p w14:paraId="2739A2F7" w14:textId="77777777" w:rsidR="00AE74AB" w:rsidRPr="004F63E7" w:rsidRDefault="00AE74AB" w:rsidP="00CA2A66">
            <w:pPr>
              <w:spacing w:after="0"/>
              <w:ind w:left="102" w:right="102"/>
              <w:jc w:val="right"/>
              <w:rPr>
                <w:rFonts w:eastAsia="Century Gothic" w:cs="Century Gothic"/>
                <w:color w:val="000000"/>
                <w:sz w:val="18"/>
                <w:szCs w:val="18"/>
              </w:rPr>
            </w:pPr>
            <w:r w:rsidRPr="004F63E7">
              <w:rPr>
                <w:rFonts w:eastAsia="Century Gothic" w:cs="Century Gothic"/>
                <w:color w:val="000000"/>
                <w:sz w:val="18"/>
                <w:szCs w:val="18"/>
              </w:rPr>
              <w:t>1 (1.4%)</w:t>
            </w:r>
          </w:p>
        </w:tc>
      </w:tr>
      <w:tr w:rsidR="00AE74AB" w:rsidRPr="004F63E7" w14:paraId="506573FA" w14:textId="77777777" w:rsidTr="00D97022">
        <w:tc>
          <w:tcPr>
            <w:tcW w:w="3816" w:type="pct"/>
          </w:tcPr>
          <w:p w14:paraId="14BB0955" w14:textId="77777777" w:rsidR="00AE74AB" w:rsidRPr="004F63E7" w:rsidRDefault="00AE74AB" w:rsidP="00CA2A66">
            <w:pPr>
              <w:spacing w:after="0"/>
              <w:ind w:left="284" w:right="102"/>
              <w:rPr>
                <w:rFonts w:eastAsia="Century Gothic" w:cs="Century Gothic"/>
                <w:color w:val="000000"/>
                <w:sz w:val="18"/>
                <w:szCs w:val="18"/>
              </w:rPr>
            </w:pPr>
            <w:r w:rsidRPr="004F63E7">
              <w:rPr>
                <w:rFonts w:eastAsia="Century Gothic" w:cs="Century Gothic"/>
                <w:color w:val="000000"/>
                <w:sz w:val="18"/>
                <w:szCs w:val="18"/>
              </w:rPr>
              <w:t>Other (negative impact on patient information, lack of direction)</w:t>
            </w:r>
          </w:p>
        </w:tc>
        <w:tc>
          <w:tcPr>
            <w:tcW w:w="1184" w:type="pct"/>
          </w:tcPr>
          <w:p w14:paraId="6661C8E9" w14:textId="77777777" w:rsidR="00AE74AB" w:rsidRPr="004F63E7" w:rsidRDefault="00AE74AB" w:rsidP="00CA2A66">
            <w:pPr>
              <w:spacing w:after="0"/>
              <w:ind w:left="102" w:right="102"/>
              <w:jc w:val="right"/>
              <w:rPr>
                <w:sz w:val="18"/>
                <w:szCs w:val="18"/>
              </w:rPr>
            </w:pPr>
            <w:r w:rsidRPr="004F63E7">
              <w:rPr>
                <w:sz w:val="18"/>
                <w:szCs w:val="18"/>
              </w:rPr>
              <w:t>2 (2.8%)</w:t>
            </w:r>
          </w:p>
        </w:tc>
      </w:tr>
      <w:tr w:rsidR="00AE74AB" w:rsidRPr="004F63E7" w14:paraId="28EC8E4D" w14:textId="77777777" w:rsidTr="00D97022">
        <w:tc>
          <w:tcPr>
            <w:tcW w:w="3816" w:type="pct"/>
          </w:tcPr>
          <w:p w14:paraId="5F1F15C9" w14:textId="77777777" w:rsidR="00AE74AB" w:rsidRPr="004F63E7" w:rsidRDefault="00AE74AB" w:rsidP="00CA2A66">
            <w:pPr>
              <w:spacing w:after="0"/>
              <w:ind w:right="102"/>
              <w:rPr>
                <w:rFonts w:eastAsia="Century Gothic" w:cs="Century Gothic"/>
                <w:color w:val="000000"/>
                <w:sz w:val="18"/>
                <w:szCs w:val="18"/>
              </w:rPr>
            </w:pPr>
            <w:r w:rsidRPr="004F63E7">
              <w:rPr>
                <w:rFonts w:eastAsia="Century Gothic" w:cs="Century Gothic"/>
                <w:b/>
                <w:bCs/>
                <w:color w:val="1D2455"/>
                <w:sz w:val="18"/>
                <w:szCs w:val="18"/>
              </w:rPr>
              <w:t>Other</w:t>
            </w:r>
          </w:p>
        </w:tc>
        <w:tc>
          <w:tcPr>
            <w:tcW w:w="1184" w:type="pct"/>
          </w:tcPr>
          <w:p w14:paraId="4693A34D" w14:textId="77777777" w:rsidR="00AE74AB" w:rsidRPr="004F63E7" w:rsidRDefault="00AE74AB" w:rsidP="00CA2A66">
            <w:pPr>
              <w:spacing w:after="0"/>
              <w:ind w:left="102" w:right="102"/>
              <w:jc w:val="right"/>
              <w:rPr>
                <w:rFonts w:eastAsia="Century Gothic" w:cs="Century Gothic"/>
                <w:color w:val="000000"/>
                <w:sz w:val="18"/>
                <w:szCs w:val="18"/>
              </w:rPr>
            </w:pPr>
          </w:p>
        </w:tc>
      </w:tr>
      <w:tr w:rsidR="00AE74AB" w:rsidRPr="004F63E7" w14:paraId="2E666FCD" w14:textId="77777777" w:rsidTr="00D97022">
        <w:tc>
          <w:tcPr>
            <w:tcW w:w="3816" w:type="pct"/>
          </w:tcPr>
          <w:p w14:paraId="161BE4D6" w14:textId="77777777" w:rsidR="00AE74AB" w:rsidRPr="004F63E7" w:rsidRDefault="00AE74AB" w:rsidP="00CA2A66">
            <w:pPr>
              <w:spacing w:after="0"/>
              <w:ind w:left="284" w:right="102"/>
              <w:rPr>
                <w:rFonts w:eastAsia="Century Gothic" w:cs="Century Gothic"/>
                <w:color w:val="000000"/>
                <w:sz w:val="18"/>
                <w:szCs w:val="18"/>
              </w:rPr>
            </w:pPr>
            <w:r w:rsidRPr="004F63E7">
              <w:rPr>
                <w:rFonts w:eastAsia="Century Gothic" w:cs="Century Gothic"/>
                <w:color w:val="000000"/>
                <w:sz w:val="18"/>
                <w:szCs w:val="18"/>
              </w:rPr>
              <w:t>Limited/no change</w:t>
            </w:r>
          </w:p>
        </w:tc>
        <w:tc>
          <w:tcPr>
            <w:tcW w:w="1184" w:type="pct"/>
          </w:tcPr>
          <w:p w14:paraId="47269672" w14:textId="77777777" w:rsidR="00AE74AB" w:rsidRPr="004F63E7" w:rsidRDefault="00AE74AB" w:rsidP="00CA2A66">
            <w:pPr>
              <w:spacing w:after="0"/>
              <w:ind w:left="102" w:right="102"/>
              <w:jc w:val="right"/>
              <w:rPr>
                <w:rFonts w:eastAsia="Century Gothic" w:cs="Century Gothic"/>
                <w:color w:val="000000"/>
                <w:sz w:val="18"/>
                <w:szCs w:val="18"/>
              </w:rPr>
            </w:pPr>
            <w:r w:rsidRPr="004F63E7">
              <w:rPr>
                <w:rFonts w:eastAsia="Century Gothic" w:cs="Century Gothic"/>
                <w:color w:val="000000"/>
                <w:sz w:val="18"/>
                <w:szCs w:val="18"/>
              </w:rPr>
              <w:t>7 (9.6%)</w:t>
            </w:r>
          </w:p>
        </w:tc>
      </w:tr>
      <w:tr w:rsidR="00AE74AB" w:rsidRPr="004F63E7" w14:paraId="4C3DCCC3" w14:textId="77777777" w:rsidTr="00D97022">
        <w:tc>
          <w:tcPr>
            <w:tcW w:w="3816" w:type="pct"/>
          </w:tcPr>
          <w:p w14:paraId="2ADBE3E4" w14:textId="77777777" w:rsidR="00AE74AB" w:rsidRPr="004F63E7" w:rsidRDefault="00AE74AB" w:rsidP="00CA2A66">
            <w:pPr>
              <w:spacing w:after="0"/>
              <w:ind w:left="284" w:right="102"/>
              <w:rPr>
                <w:rFonts w:eastAsia="Century Gothic" w:cs="Century Gothic"/>
                <w:color w:val="000000"/>
                <w:sz w:val="18"/>
                <w:szCs w:val="18"/>
              </w:rPr>
            </w:pPr>
            <w:r w:rsidRPr="004F63E7">
              <w:rPr>
                <w:rFonts w:eastAsia="Century Gothic" w:cs="Century Gothic"/>
                <w:color w:val="000000"/>
                <w:sz w:val="18"/>
                <w:szCs w:val="18"/>
              </w:rPr>
              <w:t>Don't know/ no response</w:t>
            </w:r>
          </w:p>
        </w:tc>
        <w:tc>
          <w:tcPr>
            <w:tcW w:w="1184" w:type="pct"/>
          </w:tcPr>
          <w:p w14:paraId="50C26231"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13 (17.8%)</w:t>
            </w:r>
          </w:p>
        </w:tc>
      </w:tr>
    </w:tbl>
    <w:p w14:paraId="79E5424F" w14:textId="77777777" w:rsidR="00AE74AB" w:rsidRPr="004F63E7" w:rsidRDefault="00AE74AB" w:rsidP="00AE74AB">
      <w:pPr>
        <w:contextualSpacing/>
        <w:jc w:val="center"/>
        <w:rPr>
          <w:rFonts w:eastAsia="Calibri" w:cs="Times New Roman"/>
          <w:i/>
          <w:sz w:val="16"/>
          <w:szCs w:val="18"/>
        </w:rPr>
      </w:pPr>
      <w:r w:rsidRPr="004F63E7">
        <w:rPr>
          <w:rFonts w:eastAsia="Calibri" w:cs="Times New Roman"/>
          <w:i/>
          <w:sz w:val="16"/>
          <w:szCs w:val="18"/>
          <w:vertAlign w:val="superscript"/>
        </w:rPr>
        <w:t>1</w:t>
      </w:r>
      <w:r w:rsidRPr="004F63E7">
        <w:rPr>
          <w:rFonts w:eastAsia="Calibri" w:cs="Times New Roman"/>
          <w:i/>
          <w:sz w:val="16"/>
          <w:szCs w:val="18"/>
        </w:rPr>
        <w:t xml:space="preserve"> Practices could provide more than one reflection. Number of practices is 73. </w:t>
      </w:r>
    </w:p>
    <w:p w14:paraId="6B2DB8FF" w14:textId="63D82391" w:rsidR="00AE74AB" w:rsidRPr="004F63E7" w:rsidRDefault="00AE74AB" w:rsidP="00AE74AB">
      <w:pPr>
        <w:jc w:val="center"/>
        <w:rPr>
          <w:rFonts w:eastAsia="Calibri" w:cs="Times New Roman"/>
          <w:i/>
          <w:sz w:val="16"/>
          <w:szCs w:val="18"/>
        </w:rPr>
      </w:pPr>
      <w:r w:rsidRPr="004F63E7">
        <w:rPr>
          <w:rFonts w:eastAsia="Calibri" w:cs="Times New Roman"/>
          <w:i/>
          <w:sz w:val="16"/>
          <w:szCs w:val="18"/>
        </w:rPr>
        <w:t xml:space="preserve">Source: Practice survey R5, </w:t>
      </w:r>
      <w:r w:rsidR="00BC2D7A">
        <w:rPr>
          <w:rFonts w:eastAsia="Calibri" w:cs="Times New Roman"/>
          <w:i/>
          <w:sz w:val="16"/>
          <w:szCs w:val="18"/>
        </w:rPr>
        <w:t>Mar–May</w:t>
      </w:r>
      <w:r w:rsidRPr="004F63E7">
        <w:rPr>
          <w:rFonts w:eastAsia="Calibri" w:cs="Times New Roman"/>
          <w:i/>
          <w:sz w:val="16"/>
          <w:szCs w:val="18"/>
        </w:rPr>
        <w:t xml:space="preserve"> 2021, question 10.</w:t>
      </w:r>
    </w:p>
    <w:p w14:paraId="65314E11" w14:textId="77777777" w:rsidR="00BB00C1" w:rsidRDefault="00BB00C1">
      <w:pPr>
        <w:spacing w:after="160" w:line="259" w:lineRule="auto"/>
        <w:rPr>
          <w:rFonts w:eastAsia="Calibri" w:cs="Times New Roman"/>
          <w:i/>
          <w:sz w:val="16"/>
          <w:szCs w:val="18"/>
        </w:rPr>
      </w:pPr>
      <w:r>
        <w:rPr>
          <w:rFonts w:eastAsia="Calibri" w:cs="Times New Roman"/>
          <w:i/>
          <w:sz w:val="16"/>
          <w:szCs w:val="18"/>
        </w:rPr>
        <w:br w:type="page"/>
      </w:r>
    </w:p>
    <w:p w14:paraId="7FA57D21" w14:textId="006CBC47" w:rsidR="00AE74AB" w:rsidRPr="004F63E7" w:rsidRDefault="006B6C2D" w:rsidP="00AE74AB">
      <w:pPr>
        <w:spacing w:after="120"/>
        <w:outlineLvl w:val="1"/>
        <w:rPr>
          <w:rFonts w:ascii="Roboto Slab" w:eastAsia="Times New Roman" w:hAnsi="Roboto Slab" w:cs="Times New Roman"/>
          <w:bCs/>
          <w:color w:val="408BCA"/>
          <w:sz w:val="32"/>
          <w:szCs w:val="36"/>
          <w:lang w:val="en-GB" w:eastAsia="en-AU"/>
        </w:rPr>
      </w:pPr>
      <w:bookmarkStart w:id="184" w:name="_Toc20925699"/>
      <w:bookmarkStart w:id="185" w:name="_Hlk56436766"/>
      <w:r>
        <w:rPr>
          <w:rFonts w:ascii="Roboto Slab" w:eastAsia="Times New Roman" w:hAnsi="Roboto Slab" w:cs="Times New Roman"/>
          <w:bCs/>
          <w:color w:val="408BCA"/>
          <w:sz w:val="32"/>
          <w:szCs w:val="36"/>
          <w:lang w:val="en-GB" w:eastAsia="en-AU"/>
        </w:rPr>
        <w:lastRenderedPageBreak/>
        <w:t>Practice change initiatives</w:t>
      </w:r>
    </w:p>
    <w:p w14:paraId="0ABE5F64" w14:textId="77777777" w:rsidR="00AE74AB" w:rsidRPr="004F63E7" w:rsidRDefault="00AE74AB" w:rsidP="00AE74AB">
      <w:r w:rsidRPr="004F63E7">
        <w:t>In practice surveys, practices were asked whether specific initiatives were features of their practices before the HCH trial. Initiatives that less than 50% of practices said they had in place before HCH included:</w:t>
      </w:r>
    </w:p>
    <w:p w14:paraId="445E314E" w14:textId="77777777" w:rsidR="00AE74AB" w:rsidRPr="004F63E7" w:rsidRDefault="00AE74AB" w:rsidP="00BB7C8D">
      <w:pPr>
        <w:numPr>
          <w:ilvl w:val="0"/>
          <w:numId w:val="48"/>
        </w:numPr>
        <w:contextualSpacing/>
      </w:pPr>
      <w:r w:rsidRPr="004F63E7">
        <w:t>B Regular meetings of HCH practice team to review HCH patients and their care needs</w:t>
      </w:r>
    </w:p>
    <w:p w14:paraId="6C965D18" w14:textId="77777777" w:rsidR="00AE74AB" w:rsidRPr="004F63E7" w:rsidRDefault="00AE74AB" w:rsidP="00BB7C8D">
      <w:pPr>
        <w:numPr>
          <w:ilvl w:val="0"/>
          <w:numId w:val="48"/>
        </w:numPr>
        <w:contextualSpacing/>
      </w:pPr>
      <w:r w:rsidRPr="004F63E7">
        <w:t>D Reassigning components of care from the GP or nurse to a medical assistant</w:t>
      </w:r>
    </w:p>
    <w:p w14:paraId="5F7E40CD" w14:textId="77777777" w:rsidR="00AE74AB" w:rsidRPr="00913906" w:rsidRDefault="00AE74AB" w:rsidP="00BB7C8D">
      <w:pPr>
        <w:numPr>
          <w:ilvl w:val="0"/>
          <w:numId w:val="48"/>
        </w:numPr>
        <w:contextualSpacing/>
      </w:pPr>
      <w:r w:rsidRPr="004F63E7">
        <w:t xml:space="preserve">E </w:t>
      </w:r>
      <w:r w:rsidRPr="00913906">
        <w:t>New roles within the practice</w:t>
      </w:r>
    </w:p>
    <w:p w14:paraId="51FE589F" w14:textId="6D210B10" w:rsidR="00DC5124" w:rsidRPr="00913906" w:rsidRDefault="00DC5124" w:rsidP="00BB7C8D">
      <w:pPr>
        <w:numPr>
          <w:ilvl w:val="0"/>
          <w:numId w:val="48"/>
        </w:numPr>
        <w:contextualSpacing/>
      </w:pPr>
      <w:r w:rsidRPr="00913906">
        <w:t>G Proactive contact with patients to check how they are going (</w:t>
      </w:r>
      <w:r w:rsidR="0010747B">
        <w:t>for example,</w:t>
      </w:r>
      <w:r w:rsidRPr="00913906">
        <w:t xml:space="preserve"> by telephone)</w:t>
      </w:r>
      <w:r w:rsidR="00913906" w:rsidRPr="00913906">
        <w:t xml:space="preserve"> </w:t>
      </w:r>
    </w:p>
    <w:p w14:paraId="0988E5A6" w14:textId="77777777" w:rsidR="00AE74AB" w:rsidRPr="00913906" w:rsidRDefault="00AE74AB" w:rsidP="00BB7C8D">
      <w:pPr>
        <w:numPr>
          <w:ilvl w:val="0"/>
          <w:numId w:val="48"/>
        </w:numPr>
        <w:contextualSpacing/>
      </w:pPr>
      <w:r w:rsidRPr="00913906">
        <w:t>H Dedicated clinics for patients with specific chronic conditions</w:t>
      </w:r>
    </w:p>
    <w:p w14:paraId="63DEB75E" w14:textId="77777777" w:rsidR="00AE74AB" w:rsidRPr="00913906" w:rsidRDefault="00AE74AB" w:rsidP="00BB7C8D">
      <w:pPr>
        <w:numPr>
          <w:ilvl w:val="0"/>
          <w:numId w:val="48"/>
        </w:numPr>
        <w:contextualSpacing/>
      </w:pPr>
      <w:r w:rsidRPr="00913906">
        <w:t>I Group consultations</w:t>
      </w:r>
    </w:p>
    <w:p w14:paraId="197C22F0" w14:textId="7D1FF2B8" w:rsidR="00913906" w:rsidRPr="004F63E7" w:rsidRDefault="00913906" w:rsidP="00BB7C8D">
      <w:pPr>
        <w:numPr>
          <w:ilvl w:val="0"/>
          <w:numId w:val="48"/>
        </w:numPr>
        <w:contextualSpacing/>
      </w:pPr>
      <w:r w:rsidRPr="00913906">
        <w:t>J Joint consultations for a patient involving a GP, nurse and allied health (</w:t>
      </w:r>
      <w:r w:rsidR="0010747B">
        <w:t>for example,</w:t>
      </w:r>
      <w:r w:rsidRPr="00913906">
        <w:t xml:space="preserve"> pharmacist)</w:t>
      </w:r>
      <w:r>
        <w:t>.</w:t>
      </w:r>
    </w:p>
    <w:p w14:paraId="722D757A" w14:textId="77777777" w:rsidR="00AE74AB" w:rsidRPr="004F63E7" w:rsidRDefault="00AE74AB" w:rsidP="00BB7C8D">
      <w:pPr>
        <w:numPr>
          <w:ilvl w:val="0"/>
          <w:numId w:val="48"/>
        </w:numPr>
        <w:contextualSpacing/>
      </w:pPr>
      <w:r w:rsidRPr="004F63E7">
        <w:t>L HCH patients able to communicate by email or secure messaging with the GP or nurse</w:t>
      </w:r>
    </w:p>
    <w:p w14:paraId="5500AB7A" w14:textId="77777777" w:rsidR="00AE74AB" w:rsidRPr="004F63E7" w:rsidRDefault="00AE74AB" w:rsidP="00BB7C8D">
      <w:pPr>
        <w:numPr>
          <w:ilvl w:val="0"/>
          <w:numId w:val="48"/>
        </w:numPr>
        <w:ind w:left="714" w:hanging="357"/>
      </w:pPr>
      <w:r w:rsidRPr="004F63E7">
        <w:t xml:space="preserve">M Having a patient portal through which clinical information could be shared with patients. </w:t>
      </w:r>
    </w:p>
    <w:p w14:paraId="15BF3F5D" w14:textId="1EA02E0F" w:rsidR="00AE74AB" w:rsidRPr="004F63E7" w:rsidRDefault="00AE74AB" w:rsidP="00AE74AB">
      <w:pPr>
        <w:spacing w:after="0"/>
        <w:jc w:val="center"/>
        <w:rPr>
          <w:color w:val="1D2455"/>
          <w:szCs w:val="20"/>
          <w:lang w:eastAsia="en-AU"/>
        </w:rPr>
      </w:pPr>
      <w:r w:rsidRPr="004F63E7">
        <w:rPr>
          <w:color w:val="1D2455"/>
          <w:szCs w:val="20"/>
          <w:lang w:eastAsia="en-AU"/>
        </w:rPr>
        <w:t xml:space="preserve">Table </w:t>
      </w:r>
      <w:r w:rsidRPr="004E6093">
        <w:rPr>
          <w:color w:val="1D2455"/>
          <w:szCs w:val="20"/>
          <w:lang w:eastAsia="en-AU"/>
        </w:rPr>
        <w:fldChar w:fldCharType="begin"/>
      </w:r>
      <w:r w:rsidRPr="004E6093">
        <w:rPr>
          <w:color w:val="1D2455"/>
          <w:szCs w:val="20"/>
          <w:lang w:eastAsia="en-AU"/>
        </w:rPr>
        <w:instrText>SEQ Table \* ARABIC</w:instrText>
      </w:r>
      <w:r w:rsidRPr="004E6093">
        <w:rPr>
          <w:color w:val="1D2455"/>
          <w:szCs w:val="20"/>
          <w:lang w:eastAsia="en-AU"/>
        </w:rPr>
        <w:fldChar w:fldCharType="separate"/>
      </w:r>
      <w:r w:rsidR="003C4BC2">
        <w:rPr>
          <w:noProof/>
          <w:color w:val="1D2455"/>
          <w:szCs w:val="20"/>
          <w:lang w:eastAsia="en-AU"/>
        </w:rPr>
        <w:t>23</w:t>
      </w:r>
      <w:r w:rsidRPr="004E6093">
        <w:rPr>
          <w:color w:val="1D2455"/>
          <w:szCs w:val="20"/>
          <w:lang w:eastAsia="en-AU"/>
        </w:rPr>
        <w:fldChar w:fldCharType="end"/>
      </w:r>
      <w:r w:rsidRPr="004E6093">
        <w:rPr>
          <w:color w:val="1D2455"/>
          <w:szCs w:val="20"/>
          <w:lang w:eastAsia="en-AU"/>
        </w:rPr>
        <w:t>:</w:t>
      </w:r>
      <w:r w:rsidRPr="004F63E7">
        <w:rPr>
          <w:color w:val="1D2455"/>
          <w:szCs w:val="20"/>
          <w:lang w:eastAsia="en-AU"/>
        </w:rPr>
        <w:t xml:space="preserve"> Initiatives that practices implemented as part of HCH</w:t>
      </w:r>
      <w:r w:rsidR="009E6587">
        <w:rPr>
          <w:color w:val="1D2455"/>
          <w:szCs w:val="20"/>
          <w:lang w:eastAsia="en-AU"/>
        </w:rPr>
        <w:t xml:space="preserve"> –</w:t>
      </w:r>
      <w:r w:rsidRPr="004F63E7">
        <w:rPr>
          <w:color w:val="1D2455"/>
          <w:szCs w:val="20"/>
          <w:lang w:eastAsia="en-AU"/>
        </w:rPr>
        <w:t xml:space="preserve"> Whether the initiative was a feature of the practice </w:t>
      </w:r>
      <w:r w:rsidR="009E6587">
        <w:rPr>
          <w:color w:val="1D2455"/>
          <w:szCs w:val="20"/>
          <w:lang w:eastAsia="en-AU"/>
        </w:rPr>
        <w:t>before</w:t>
      </w:r>
      <w:r w:rsidRPr="004F63E7">
        <w:rPr>
          <w:color w:val="1D2455"/>
          <w:szCs w:val="20"/>
          <w:lang w:eastAsia="en-AU"/>
        </w:rPr>
        <w:t xml:space="preserve"> HCH and whether it was a focus during HCH trial</w:t>
      </w:r>
    </w:p>
    <w:tbl>
      <w:tblPr>
        <w:tblW w:w="0" w:type="auto"/>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20" w:firstRow="1" w:lastRow="0" w:firstColumn="0" w:lastColumn="0" w:noHBand="0" w:noVBand="1"/>
      </w:tblPr>
      <w:tblGrid>
        <w:gridCol w:w="5848"/>
        <w:gridCol w:w="1696"/>
        <w:gridCol w:w="1472"/>
      </w:tblGrid>
      <w:tr w:rsidR="00AE74AB" w:rsidRPr="004F63E7" w14:paraId="473BCF51" w14:textId="77777777" w:rsidTr="00CA2A66">
        <w:trPr>
          <w:cantSplit/>
          <w:trHeight w:val="284"/>
          <w:tblHeader/>
          <w:jc w:val="center"/>
        </w:trPr>
        <w:tc>
          <w:tcPr>
            <w:tcW w:w="0" w:type="auto"/>
            <w:vMerge w:val="restart"/>
            <w:shd w:val="clear" w:color="auto" w:fill="408BCA"/>
            <w:tcMar>
              <w:top w:w="0" w:type="dxa"/>
              <w:left w:w="0" w:type="dxa"/>
              <w:bottom w:w="0" w:type="dxa"/>
              <w:right w:w="0" w:type="dxa"/>
            </w:tcMar>
            <w:vAlign w:val="center"/>
          </w:tcPr>
          <w:p w14:paraId="64EE96AB" w14:textId="77777777" w:rsidR="00AE74AB" w:rsidRPr="004F63E7" w:rsidRDefault="00AE74AB" w:rsidP="00CA2A66">
            <w:pPr>
              <w:spacing w:before="20" w:afterLines="20" w:after="48"/>
              <w:ind w:left="100" w:right="100"/>
              <w:jc w:val="center"/>
              <w:rPr>
                <w:sz w:val="16"/>
                <w:szCs w:val="16"/>
              </w:rPr>
            </w:pPr>
            <w:r w:rsidRPr="004F63E7">
              <w:rPr>
                <w:rFonts w:eastAsia="Century Gothic" w:cs="Century Gothic"/>
                <w:b/>
                <w:color w:val="FFFFFF"/>
                <w:sz w:val="16"/>
                <w:szCs w:val="16"/>
              </w:rPr>
              <w:t>Initiatives practices implemented as part of HCH</w:t>
            </w:r>
          </w:p>
        </w:tc>
        <w:tc>
          <w:tcPr>
            <w:tcW w:w="0" w:type="auto"/>
            <w:vMerge w:val="restart"/>
            <w:shd w:val="clear" w:color="auto" w:fill="408BCA"/>
            <w:tcMar>
              <w:top w:w="0" w:type="dxa"/>
              <w:left w:w="0" w:type="dxa"/>
              <w:bottom w:w="0" w:type="dxa"/>
              <w:right w:w="0" w:type="dxa"/>
            </w:tcMar>
            <w:vAlign w:val="center"/>
          </w:tcPr>
          <w:p w14:paraId="30170DB1" w14:textId="097C2532" w:rsidR="00AE74AB" w:rsidRPr="004F63E7" w:rsidRDefault="00AE74AB" w:rsidP="00CA2A66">
            <w:pPr>
              <w:spacing w:before="20" w:afterLines="20" w:after="48"/>
              <w:ind w:left="100" w:right="100"/>
              <w:jc w:val="center"/>
              <w:rPr>
                <w:sz w:val="16"/>
                <w:szCs w:val="16"/>
              </w:rPr>
            </w:pPr>
            <w:r w:rsidRPr="004F63E7">
              <w:rPr>
                <w:rFonts w:eastAsia="Century Gothic" w:cs="Century Gothic"/>
                <w:b/>
                <w:color w:val="FFFFFF"/>
                <w:sz w:val="16"/>
                <w:szCs w:val="16"/>
              </w:rPr>
              <w:t xml:space="preserve">Was this a feature of practice </w:t>
            </w:r>
            <w:r w:rsidR="00AB1577">
              <w:rPr>
                <w:rFonts w:eastAsia="Century Gothic" w:cs="Century Gothic"/>
                <w:b/>
                <w:color w:val="FFFFFF"/>
                <w:sz w:val="16"/>
                <w:szCs w:val="16"/>
              </w:rPr>
              <w:t>before</w:t>
            </w:r>
            <w:r w:rsidRPr="004F63E7">
              <w:rPr>
                <w:rFonts w:eastAsia="Century Gothic" w:cs="Century Gothic"/>
                <w:b/>
                <w:color w:val="FFFFFF"/>
                <w:sz w:val="16"/>
                <w:szCs w:val="16"/>
              </w:rPr>
              <w:t xml:space="preserve"> HCH</w:t>
            </w:r>
          </w:p>
        </w:tc>
        <w:tc>
          <w:tcPr>
            <w:tcW w:w="0" w:type="auto"/>
            <w:vMerge w:val="restart"/>
            <w:shd w:val="clear" w:color="auto" w:fill="408BCA"/>
            <w:tcMar>
              <w:top w:w="0" w:type="dxa"/>
              <w:left w:w="0" w:type="dxa"/>
              <w:bottom w:w="0" w:type="dxa"/>
              <w:right w:w="0" w:type="dxa"/>
            </w:tcMar>
            <w:vAlign w:val="center"/>
          </w:tcPr>
          <w:p w14:paraId="7F750488" w14:textId="77777777" w:rsidR="00AE74AB" w:rsidRPr="004F63E7" w:rsidRDefault="00AE74AB" w:rsidP="00CA2A66">
            <w:pPr>
              <w:spacing w:before="20" w:afterLines="20" w:after="48"/>
              <w:ind w:left="100" w:right="100"/>
              <w:jc w:val="center"/>
              <w:rPr>
                <w:sz w:val="16"/>
                <w:szCs w:val="16"/>
              </w:rPr>
            </w:pPr>
            <w:r w:rsidRPr="004F63E7">
              <w:rPr>
                <w:rFonts w:eastAsia="Century Gothic" w:cs="Century Gothic"/>
                <w:b/>
                <w:color w:val="FFFFFF"/>
                <w:sz w:val="16"/>
                <w:szCs w:val="16"/>
              </w:rPr>
              <w:t>Was a focus of change during HCH</w:t>
            </w:r>
          </w:p>
        </w:tc>
      </w:tr>
      <w:tr w:rsidR="00AE74AB" w:rsidRPr="004F63E7" w14:paraId="53251C43" w14:textId="77777777" w:rsidTr="00CA2A66">
        <w:trPr>
          <w:cantSplit/>
          <w:trHeight w:val="304"/>
          <w:tblHeader/>
          <w:jc w:val="center"/>
        </w:trPr>
        <w:tc>
          <w:tcPr>
            <w:tcW w:w="0" w:type="auto"/>
            <w:vMerge/>
            <w:shd w:val="clear" w:color="auto" w:fill="408BCA"/>
            <w:tcMar>
              <w:top w:w="0" w:type="dxa"/>
              <w:left w:w="0" w:type="dxa"/>
              <w:bottom w:w="0" w:type="dxa"/>
              <w:right w:w="0" w:type="dxa"/>
            </w:tcMar>
            <w:vAlign w:val="center"/>
          </w:tcPr>
          <w:p w14:paraId="5C8D1E48" w14:textId="77777777" w:rsidR="00AE74AB" w:rsidRPr="004F63E7" w:rsidRDefault="00AE74AB" w:rsidP="00CA2A66">
            <w:pPr>
              <w:spacing w:before="20" w:afterLines="20" w:after="48"/>
              <w:ind w:left="100" w:right="100"/>
              <w:jc w:val="center"/>
              <w:rPr>
                <w:sz w:val="16"/>
                <w:szCs w:val="16"/>
              </w:rPr>
            </w:pPr>
          </w:p>
        </w:tc>
        <w:tc>
          <w:tcPr>
            <w:tcW w:w="0" w:type="auto"/>
            <w:vMerge/>
            <w:shd w:val="clear" w:color="auto" w:fill="408BCA"/>
            <w:tcMar>
              <w:top w:w="0" w:type="dxa"/>
              <w:left w:w="0" w:type="dxa"/>
              <w:bottom w:w="0" w:type="dxa"/>
              <w:right w:w="0" w:type="dxa"/>
            </w:tcMar>
            <w:vAlign w:val="center"/>
          </w:tcPr>
          <w:p w14:paraId="2CCF916A" w14:textId="77777777" w:rsidR="00AE74AB" w:rsidRPr="004F63E7" w:rsidRDefault="00AE74AB" w:rsidP="00CA2A66">
            <w:pPr>
              <w:spacing w:before="20" w:afterLines="20" w:after="48"/>
              <w:ind w:left="100" w:right="100"/>
              <w:jc w:val="center"/>
              <w:rPr>
                <w:sz w:val="16"/>
                <w:szCs w:val="16"/>
              </w:rPr>
            </w:pPr>
          </w:p>
        </w:tc>
        <w:tc>
          <w:tcPr>
            <w:tcW w:w="0" w:type="auto"/>
            <w:vMerge/>
            <w:shd w:val="clear" w:color="auto" w:fill="408BCA"/>
            <w:tcMar>
              <w:top w:w="0" w:type="dxa"/>
              <w:left w:w="0" w:type="dxa"/>
              <w:bottom w:w="0" w:type="dxa"/>
              <w:right w:w="0" w:type="dxa"/>
            </w:tcMar>
            <w:vAlign w:val="center"/>
          </w:tcPr>
          <w:p w14:paraId="320A6082" w14:textId="77777777" w:rsidR="00AE74AB" w:rsidRPr="004F63E7" w:rsidRDefault="00AE74AB" w:rsidP="00CA2A66">
            <w:pPr>
              <w:spacing w:before="20" w:afterLines="20" w:after="48"/>
              <w:ind w:left="100" w:right="100"/>
              <w:jc w:val="center"/>
              <w:rPr>
                <w:sz w:val="16"/>
                <w:szCs w:val="16"/>
              </w:rPr>
            </w:pPr>
          </w:p>
        </w:tc>
      </w:tr>
      <w:tr w:rsidR="00AE74AB" w:rsidRPr="004F63E7" w14:paraId="2AB80184" w14:textId="77777777" w:rsidTr="00CA2A66">
        <w:trPr>
          <w:cantSplit/>
          <w:jc w:val="center"/>
        </w:trPr>
        <w:tc>
          <w:tcPr>
            <w:tcW w:w="0" w:type="auto"/>
            <w:shd w:val="clear" w:color="auto" w:fill="FFFFFF"/>
            <w:tcMar>
              <w:top w:w="0" w:type="dxa"/>
              <w:left w:w="0" w:type="dxa"/>
              <w:bottom w:w="0" w:type="dxa"/>
              <w:right w:w="0" w:type="dxa"/>
            </w:tcMar>
            <w:vAlign w:val="center"/>
          </w:tcPr>
          <w:p w14:paraId="51BA29A7"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A. Improving the completeness and quality of the data in the practice clinical management system</w:t>
            </w:r>
          </w:p>
        </w:tc>
        <w:tc>
          <w:tcPr>
            <w:tcW w:w="0" w:type="auto"/>
            <w:shd w:val="clear" w:color="auto" w:fill="FFFFFF"/>
            <w:tcMar>
              <w:top w:w="0" w:type="dxa"/>
              <w:left w:w="0" w:type="dxa"/>
              <w:bottom w:w="0" w:type="dxa"/>
              <w:right w:w="0" w:type="dxa"/>
            </w:tcMar>
            <w:vAlign w:val="center"/>
          </w:tcPr>
          <w:p w14:paraId="6DDCDA69"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61 (82%)</w:t>
            </w:r>
          </w:p>
        </w:tc>
        <w:tc>
          <w:tcPr>
            <w:tcW w:w="0" w:type="auto"/>
            <w:shd w:val="clear" w:color="auto" w:fill="FFFFFF"/>
            <w:tcMar>
              <w:top w:w="0" w:type="dxa"/>
              <w:left w:w="0" w:type="dxa"/>
              <w:bottom w:w="0" w:type="dxa"/>
              <w:right w:w="0" w:type="dxa"/>
            </w:tcMar>
            <w:vAlign w:val="center"/>
          </w:tcPr>
          <w:p w14:paraId="4CB3D9D1"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42 (57%)</w:t>
            </w:r>
          </w:p>
        </w:tc>
      </w:tr>
      <w:tr w:rsidR="00AE74AB" w:rsidRPr="004F63E7" w14:paraId="25A7145A" w14:textId="77777777" w:rsidTr="00CA2A66">
        <w:trPr>
          <w:cantSplit/>
          <w:jc w:val="center"/>
        </w:trPr>
        <w:tc>
          <w:tcPr>
            <w:tcW w:w="0" w:type="auto"/>
            <w:shd w:val="clear" w:color="auto" w:fill="FFFFFF"/>
            <w:tcMar>
              <w:top w:w="0" w:type="dxa"/>
              <w:left w:w="0" w:type="dxa"/>
              <w:bottom w:w="0" w:type="dxa"/>
              <w:right w:w="0" w:type="dxa"/>
            </w:tcMar>
            <w:vAlign w:val="center"/>
          </w:tcPr>
          <w:p w14:paraId="701EEF94" w14:textId="5DED433E"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B. Regular meetings of HCH practice team (</w:t>
            </w:r>
            <w:r w:rsidR="0010747B">
              <w:rPr>
                <w:rFonts w:eastAsia="Century Gothic" w:cs="Century Gothic"/>
                <w:color w:val="000000"/>
                <w:sz w:val="18"/>
                <w:szCs w:val="18"/>
              </w:rPr>
              <w:t>for example,</w:t>
            </w:r>
            <w:r w:rsidRPr="004F63E7">
              <w:rPr>
                <w:rFonts w:eastAsia="Century Gothic" w:cs="Century Gothic"/>
                <w:color w:val="000000"/>
                <w:sz w:val="18"/>
                <w:szCs w:val="18"/>
              </w:rPr>
              <w:t xml:space="preserve"> GPs, nurse, admin staff) to review HCH patients and their care needs</w:t>
            </w:r>
          </w:p>
        </w:tc>
        <w:tc>
          <w:tcPr>
            <w:tcW w:w="0" w:type="auto"/>
            <w:shd w:val="clear" w:color="auto" w:fill="FFFFFF"/>
            <w:tcMar>
              <w:top w:w="0" w:type="dxa"/>
              <w:left w:w="0" w:type="dxa"/>
              <w:bottom w:w="0" w:type="dxa"/>
              <w:right w:w="0" w:type="dxa"/>
            </w:tcMar>
            <w:vAlign w:val="center"/>
          </w:tcPr>
          <w:p w14:paraId="6DD9FDAB"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33 (45%)</w:t>
            </w:r>
          </w:p>
        </w:tc>
        <w:tc>
          <w:tcPr>
            <w:tcW w:w="0" w:type="auto"/>
            <w:shd w:val="clear" w:color="auto" w:fill="FFFFFF"/>
            <w:tcMar>
              <w:top w:w="0" w:type="dxa"/>
              <w:left w:w="0" w:type="dxa"/>
              <w:bottom w:w="0" w:type="dxa"/>
              <w:right w:w="0" w:type="dxa"/>
            </w:tcMar>
            <w:vAlign w:val="center"/>
          </w:tcPr>
          <w:p w14:paraId="5EE58188"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45 (61%)</w:t>
            </w:r>
          </w:p>
        </w:tc>
      </w:tr>
      <w:tr w:rsidR="00AE74AB" w:rsidRPr="004F63E7" w14:paraId="4F34B3F1" w14:textId="77777777" w:rsidTr="00CA2A66">
        <w:trPr>
          <w:cantSplit/>
          <w:jc w:val="center"/>
        </w:trPr>
        <w:tc>
          <w:tcPr>
            <w:tcW w:w="0" w:type="auto"/>
            <w:shd w:val="clear" w:color="auto" w:fill="FFFFFF"/>
            <w:tcMar>
              <w:top w:w="0" w:type="dxa"/>
              <w:left w:w="0" w:type="dxa"/>
              <w:bottom w:w="0" w:type="dxa"/>
              <w:right w:w="0" w:type="dxa"/>
            </w:tcMar>
            <w:vAlign w:val="center"/>
          </w:tcPr>
          <w:p w14:paraId="15C48149" w14:textId="260CE49E"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C. Reassigning components of care usually undertaken by a GP to a nurse (</w:t>
            </w:r>
            <w:r w:rsidR="0010747B">
              <w:rPr>
                <w:rFonts w:eastAsia="Century Gothic" w:cs="Century Gothic"/>
                <w:color w:val="000000"/>
                <w:sz w:val="18"/>
                <w:szCs w:val="18"/>
              </w:rPr>
              <w:t>for example,</w:t>
            </w:r>
            <w:r w:rsidRPr="004F63E7">
              <w:rPr>
                <w:rFonts w:eastAsia="Century Gothic" w:cs="Century Gothic"/>
                <w:color w:val="000000"/>
                <w:sz w:val="18"/>
                <w:szCs w:val="18"/>
              </w:rPr>
              <w:t xml:space="preserve"> patients routinely see a nurse </w:t>
            </w:r>
            <w:r w:rsidR="00AB1577">
              <w:rPr>
                <w:rFonts w:eastAsia="Century Gothic" w:cs="Century Gothic"/>
                <w:color w:val="000000"/>
                <w:sz w:val="18"/>
                <w:szCs w:val="18"/>
              </w:rPr>
              <w:t>before</w:t>
            </w:r>
            <w:r w:rsidRPr="004F63E7">
              <w:rPr>
                <w:rFonts w:eastAsia="Century Gothic" w:cs="Century Gothic"/>
                <w:color w:val="000000"/>
                <w:sz w:val="18"/>
                <w:szCs w:val="18"/>
              </w:rPr>
              <w:t xml:space="preserve"> seeing the GP when they attend the practice)</w:t>
            </w:r>
          </w:p>
        </w:tc>
        <w:tc>
          <w:tcPr>
            <w:tcW w:w="0" w:type="auto"/>
            <w:shd w:val="clear" w:color="auto" w:fill="FFFFFF"/>
            <w:tcMar>
              <w:top w:w="0" w:type="dxa"/>
              <w:left w:w="0" w:type="dxa"/>
              <w:bottom w:w="0" w:type="dxa"/>
              <w:right w:w="0" w:type="dxa"/>
            </w:tcMar>
            <w:vAlign w:val="center"/>
          </w:tcPr>
          <w:p w14:paraId="2EA09707"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53 (72%)</w:t>
            </w:r>
          </w:p>
        </w:tc>
        <w:tc>
          <w:tcPr>
            <w:tcW w:w="0" w:type="auto"/>
            <w:shd w:val="clear" w:color="auto" w:fill="FFFFFF"/>
            <w:tcMar>
              <w:top w:w="0" w:type="dxa"/>
              <w:left w:w="0" w:type="dxa"/>
              <w:bottom w:w="0" w:type="dxa"/>
              <w:right w:w="0" w:type="dxa"/>
            </w:tcMar>
            <w:vAlign w:val="center"/>
          </w:tcPr>
          <w:p w14:paraId="61CEA249"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38 (51%)</w:t>
            </w:r>
          </w:p>
        </w:tc>
      </w:tr>
      <w:tr w:rsidR="00AE74AB" w:rsidRPr="004F63E7" w14:paraId="349E7E8F" w14:textId="77777777" w:rsidTr="00CA2A66">
        <w:trPr>
          <w:cantSplit/>
          <w:jc w:val="center"/>
        </w:trPr>
        <w:tc>
          <w:tcPr>
            <w:tcW w:w="0" w:type="auto"/>
            <w:shd w:val="clear" w:color="auto" w:fill="FFFFFF"/>
            <w:tcMar>
              <w:top w:w="0" w:type="dxa"/>
              <w:left w:w="0" w:type="dxa"/>
              <w:bottom w:w="0" w:type="dxa"/>
              <w:right w:w="0" w:type="dxa"/>
            </w:tcMar>
            <w:vAlign w:val="center"/>
          </w:tcPr>
          <w:p w14:paraId="33E81432" w14:textId="61656106"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D. Reassigning components of care usually undertaken by a GP or nurse to a medical assistant (</w:t>
            </w:r>
            <w:r w:rsidR="0010747B">
              <w:rPr>
                <w:rFonts w:eastAsia="Century Gothic" w:cs="Century Gothic"/>
                <w:color w:val="000000"/>
                <w:sz w:val="18"/>
                <w:szCs w:val="18"/>
              </w:rPr>
              <w:t>for example,</w:t>
            </w:r>
            <w:r w:rsidRPr="004F63E7">
              <w:rPr>
                <w:rFonts w:eastAsia="Century Gothic" w:cs="Century Gothic"/>
                <w:color w:val="000000"/>
                <w:sz w:val="18"/>
                <w:szCs w:val="18"/>
              </w:rPr>
              <w:t xml:space="preserve"> clinical measurements and assessments)</w:t>
            </w:r>
          </w:p>
        </w:tc>
        <w:tc>
          <w:tcPr>
            <w:tcW w:w="0" w:type="auto"/>
            <w:shd w:val="clear" w:color="auto" w:fill="FFFFFF"/>
            <w:tcMar>
              <w:top w:w="0" w:type="dxa"/>
              <w:left w:w="0" w:type="dxa"/>
              <w:bottom w:w="0" w:type="dxa"/>
              <w:right w:w="0" w:type="dxa"/>
            </w:tcMar>
            <w:vAlign w:val="center"/>
          </w:tcPr>
          <w:p w14:paraId="695B8E5D"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23 (31%)</w:t>
            </w:r>
          </w:p>
        </w:tc>
        <w:tc>
          <w:tcPr>
            <w:tcW w:w="0" w:type="auto"/>
            <w:shd w:val="clear" w:color="auto" w:fill="FFFFFF"/>
            <w:tcMar>
              <w:top w:w="0" w:type="dxa"/>
              <w:left w:w="0" w:type="dxa"/>
              <w:bottom w:w="0" w:type="dxa"/>
              <w:right w:w="0" w:type="dxa"/>
            </w:tcMar>
            <w:vAlign w:val="center"/>
          </w:tcPr>
          <w:p w14:paraId="78717B92"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21 (28%)</w:t>
            </w:r>
          </w:p>
        </w:tc>
      </w:tr>
      <w:tr w:rsidR="00AE74AB" w:rsidRPr="004F63E7" w14:paraId="3F96C86F" w14:textId="77777777" w:rsidTr="00CA2A66">
        <w:trPr>
          <w:cantSplit/>
          <w:jc w:val="center"/>
        </w:trPr>
        <w:tc>
          <w:tcPr>
            <w:tcW w:w="0" w:type="auto"/>
            <w:shd w:val="clear" w:color="auto" w:fill="FFFFFF"/>
            <w:tcMar>
              <w:top w:w="0" w:type="dxa"/>
              <w:left w:w="0" w:type="dxa"/>
              <w:bottom w:w="0" w:type="dxa"/>
              <w:right w:w="0" w:type="dxa"/>
            </w:tcMar>
            <w:vAlign w:val="center"/>
          </w:tcPr>
          <w:p w14:paraId="3F6A0ACB" w14:textId="2C185F9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E. Introducing new roles within the practice (</w:t>
            </w:r>
            <w:r w:rsidR="0010747B">
              <w:rPr>
                <w:rFonts w:eastAsia="Century Gothic" w:cs="Century Gothic"/>
                <w:color w:val="000000"/>
                <w:sz w:val="18"/>
                <w:szCs w:val="18"/>
              </w:rPr>
              <w:t>for example,</w:t>
            </w:r>
            <w:r w:rsidRPr="004F63E7">
              <w:rPr>
                <w:rFonts w:eastAsia="Century Gothic" w:cs="Century Gothic"/>
                <w:color w:val="000000"/>
                <w:sz w:val="18"/>
                <w:szCs w:val="18"/>
              </w:rPr>
              <w:t xml:space="preserve"> medical practice assistance, care coordinator, community care worker)</w:t>
            </w:r>
          </w:p>
        </w:tc>
        <w:tc>
          <w:tcPr>
            <w:tcW w:w="0" w:type="auto"/>
            <w:shd w:val="clear" w:color="auto" w:fill="FFFFFF"/>
            <w:tcMar>
              <w:top w:w="0" w:type="dxa"/>
              <w:left w:w="0" w:type="dxa"/>
              <w:bottom w:w="0" w:type="dxa"/>
              <w:right w:w="0" w:type="dxa"/>
            </w:tcMar>
            <w:vAlign w:val="center"/>
          </w:tcPr>
          <w:p w14:paraId="622CD53A"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17 (23%)</w:t>
            </w:r>
          </w:p>
        </w:tc>
        <w:tc>
          <w:tcPr>
            <w:tcW w:w="0" w:type="auto"/>
            <w:shd w:val="clear" w:color="auto" w:fill="FFFFFF"/>
            <w:tcMar>
              <w:top w:w="0" w:type="dxa"/>
              <w:left w:w="0" w:type="dxa"/>
              <w:bottom w:w="0" w:type="dxa"/>
              <w:right w:w="0" w:type="dxa"/>
            </w:tcMar>
            <w:vAlign w:val="center"/>
          </w:tcPr>
          <w:p w14:paraId="6CFCF6D9"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24 (32%)</w:t>
            </w:r>
          </w:p>
        </w:tc>
      </w:tr>
      <w:tr w:rsidR="00AE74AB" w:rsidRPr="004F63E7" w14:paraId="4C71A00D" w14:textId="77777777" w:rsidTr="00CA2A66">
        <w:trPr>
          <w:cantSplit/>
          <w:jc w:val="center"/>
        </w:trPr>
        <w:tc>
          <w:tcPr>
            <w:tcW w:w="0" w:type="auto"/>
            <w:shd w:val="clear" w:color="auto" w:fill="FFFFFF"/>
            <w:tcMar>
              <w:top w:w="0" w:type="dxa"/>
              <w:left w:w="0" w:type="dxa"/>
              <w:bottom w:w="0" w:type="dxa"/>
              <w:right w:w="0" w:type="dxa"/>
            </w:tcMar>
            <w:vAlign w:val="center"/>
          </w:tcPr>
          <w:p w14:paraId="16942FDB" w14:textId="37613EE0"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F. Improved systems for follow-up and re-call of HCH patients (</w:t>
            </w:r>
            <w:r w:rsidR="0010747B">
              <w:rPr>
                <w:rFonts w:eastAsia="Century Gothic" w:cs="Century Gothic"/>
                <w:color w:val="000000"/>
                <w:sz w:val="18"/>
                <w:szCs w:val="18"/>
              </w:rPr>
              <w:t>for example,</w:t>
            </w:r>
            <w:r w:rsidRPr="004F63E7">
              <w:rPr>
                <w:rFonts w:eastAsia="Century Gothic" w:cs="Century Gothic"/>
                <w:color w:val="000000"/>
                <w:sz w:val="18"/>
                <w:szCs w:val="18"/>
              </w:rPr>
              <w:t xml:space="preserve"> for review or preventive services)</w:t>
            </w:r>
          </w:p>
        </w:tc>
        <w:tc>
          <w:tcPr>
            <w:tcW w:w="0" w:type="auto"/>
            <w:shd w:val="clear" w:color="auto" w:fill="FFFFFF"/>
            <w:tcMar>
              <w:top w:w="0" w:type="dxa"/>
              <w:left w:w="0" w:type="dxa"/>
              <w:bottom w:w="0" w:type="dxa"/>
              <w:right w:w="0" w:type="dxa"/>
            </w:tcMar>
            <w:vAlign w:val="center"/>
          </w:tcPr>
          <w:p w14:paraId="4DFC9CC1"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53 (72%)</w:t>
            </w:r>
          </w:p>
        </w:tc>
        <w:tc>
          <w:tcPr>
            <w:tcW w:w="0" w:type="auto"/>
            <w:shd w:val="clear" w:color="auto" w:fill="FFFFFF"/>
            <w:tcMar>
              <w:top w:w="0" w:type="dxa"/>
              <w:left w:w="0" w:type="dxa"/>
              <w:bottom w:w="0" w:type="dxa"/>
              <w:right w:w="0" w:type="dxa"/>
            </w:tcMar>
            <w:vAlign w:val="center"/>
          </w:tcPr>
          <w:p w14:paraId="6F167ACB"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47 (64%)</w:t>
            </w:r>
          </w:p>
        </w:tc>
      </w:tr>
      <w:tr w:rsidR="00AE74AB" w:rsidRPr="004F63E7" w14:paraId="77CD7AED" w14:textId="77777777" w:rsidTr="00CA2A66">
        <w:trPr>
          <w:cantSplit/>
          <w:jc w:val="center"/>
        </w:trPr>
        <w:tc>
          <w:tcPr>
            <w:tcW w:w="0" w:type="auto"/>
            <w:shd w:val="clear" w:color="auto" w:fill="FFFFFF"/>
            <w:tcMar>
              <w:top w:w="0" w:type="dxa"/>
              <w:left w:w="0" w:type="dxa"/>
              <w:bottom w:w="0" w:type="dxa"/>
              <w:right w:w="0" w:type="dxa"/>
            </w:tcMar>
            <w:vAlign w:val="center"/>
          </w:tcPr>
          <w:p w14:paraId="3E15F88D" w14:textId="644D3B2C"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G. Proactive contact with patients to check how they are going (</w:t>
            </w:r>
            <w:r w:rsidR="0010747B">
              <w:rPr>
                <w:rFonts w:eastAsia="Century Gothic" w:cs="Century Gothic"/>
                <w:color w:val="000000"/>
                <w:sz w:val="18"/>
                <w:szCs w:val="18"/>
              </w:rPr>
              <w:t>for example,</w:t>
            </w:r>
            <w:r w:rsidRPr="004F63E7">
              <w:rPr>
                <w:rFonts w:eastAsia="Century Gothic" w:cs="Century Gothic"/>
                <w:color w:val="000000"/>
                <w:sz w:val="18"/>
                <w:szCs w:val="18"/>
              </w:rPr>
              <w:t xml:space="preserve"> by telephone)</w:t>
            </w:r>
          </w:p>
        </w:tc>
        <w:tc>
          <w:tcPr>
            <w:tcW w:w="0" w:type="auto"/>
            <w:shd w:val="clear" w:color="auto" w:fill="FFFFFF"/>
            <w:tcMar>
              <w:top w:w="0" w:type="dxa"/>
              <w:left w:w="0" w:type="dxa"/>
              <w:bottom w:w="0" w:type="dxa"/>
              <w:right w:w="0" w:type="dxa"/>
            </w:tcMar>
            <w:vAlign w:val="center"/>
          </w:tcPr>
          <w:p w14:paraId="6BED0D4A"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40 (54%)</w:t>
            </w:r>
          </w:p>
        </w:tc>
        <w:tc>
          <w:tcPr>
            <w:tcW w:w="0" w:type="auto"/>
            <w:shd w:val="clear" w:color="auto" w:fill="FFFFFF"/>
            <w:tcMar>
              <w:top w:w="0" w:type="dxa"/>
              <w:left w:w="0" w:type="dxa"/>
              <w:bottom w:w="0" w:type="dxa"/>
              <w:right w:w="0" w:type="dxa"/>
            </w:tcMar>
            <w:vAlign w:val="center"/>
          </w:tcPr>
          <w:p w14:paraId="0023C872"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45 (61%)</w:t>
            </w:r>
          </w:p>
        </w:tc>
      </w:tr>
      <w:tr w:rsidR="00AE74AB" w:rsidRPr="004F63E7" w14:paraId="32F95B71" w14:textId="77777777" w:rsidTr="00CA2A66">
        <w:trPr>
          <w:cantSplit/>
          <w:jc w:val="center"/>
        </w:trPr>
        <w:tc>
          <w:tcPr>
            <w:tcW w:w="0" w:type="auto"/>
            <w:shd w:val="clear" w:color="auto" w:fill="FFFFFF"/>
            <w:tcMar>
              <w:top w:w="0" w:type="dxa"/>
              <w:left w:w="0" w:type="dxa"/>
              <w:bottom w:w="0" w:type="dxa"/>
              <w:right w:w="0" w:type="dxa"/>
            </w:tcMar>
            <w:vAlign w:val="center"/>
          </w:tcPr>
          <w:p w14:paraId="20F1DB2D" w14:textId="2028F9D3"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H. Dedicated clinics for HCH patients with specific chronic illnesses (</w:t>
            </w:r>
            <w:r w:rsidR="0010747B">
              <w:rPr>
                <w:rFonts w:eastAsia="Century Gothic" w:cs="Century Gothic"/>
                <w:color w:val="000000"/>
                <w:sz w:val="18"/>
                <w:szCs w:val="18"/>
              </w:rPr>
              <w:t>for example,</w:t>
            </w:r>
            <w:r w:rsidRPr="004F63E7">
              <w:rPr>
                <w:rFonts w:eastAsia="Century Gothic" w:cs="Century Gothic"/>
                <w:color w:val="000000"/>
                <w:sz w:val="18"/>
                <w:szCs w:val="18"/>
              </w:rPr>
              <w:t xml:space="preserve"> diabetes, osteoarthritis)</w:t>
            </w:r>
          </w:p>
        </w:tc>
        <w:tc>
          <w:tcPr>
            <w:tcW w:w="0" w:type="auto"/>
            <w:shd w:val="clear" w:color="auto" w:fill="FFFFFF"/>
            <w:tcMar>
              <w:top w:w="0" w:type="dxa"/>
              <w:left w:w="0" w:type="dxa"/>
              <w:bottom w:w="0" w:type="dxa"/>
              <w:right w:w="0" w:type="dxa"/>
            </w:tcMar>
            <w:vAlign w:val="center"/>
          </w:tcPr>
          <w:p w14:paraId="7971FF9F"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13 (18%)</w:t>
            </w:r>
          </w:p>
        </w:tc>
        <w:tc>
          <w:tcPr>
            <w:tcW w:w="0" w:type="auto"/>
            <w:shd w:val="clear" w:color="auto" w:fill="FFFFFF"/>
            <w:tcMar>
              <w:top w:w="0" w:type="dxa"/>
              <w:left w:w="0" w:type="dxa"/>
              <w:bottom w:w="0" w:type="dxa"/>
              <w:right w:w="0" w:type="dxa"/>
            </w:tcMar>
            <w:vAlign w:val="center"/>
          </w:tcPr>
          <w:p w14:paraId="25687265"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20 (27%)</w:t>
            </w:r>
          </w:p>
        </w:tc>
      </w:tr>
      <w:tr w:rsidR="00AE74AB" w:rsidRPr="004F63E7" w14:paraId="1635391F" w14:textId="77777777" w:rsidTr="00CA2A66">
        <w:trPr>
          <w:cantSplit/>
          <w:jc w:val="center"/>
        </w:trPr>
        <w:tc>
          <w:tcPr>
            <w:tcW w:w="0" w:type="auto"/>
            <w:shd w:val="clear" w:color="auto" w:fill="FFFFFF"/>
            <w:tcMar>
              <w:top w:w="0" w:type="dxa"/>
              <w:left w:w="0" w:type="dxa"/>
              <w:bottom w:w="0" w:type="dxa"/>
              <w:right w:w="0" w:type="dxa"/>
            </w:tcMar>
            <w:vAlign w:val="center"/>
          </w:tcPr>
          <w:p w14:paraId="2335D438"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I. Group consultations involving two or more patients</w:t>
            </w:r>
          </w:p>
        </w:tc>
        <w:tc>
          <w:tcPr>
            <w:tcW w:w="0" w:type="auto"/>
            <w:shd w:val="clear" w:color="auto" w:fill="FFFFFF"/>
            <w:tcMar>
              <w:top w:w="0" w:type="dxa"/>
              <w:left w:w="0" w:type="dxa"/>
              <w:bottom w:w="0" w:type="dxa"/>
              <w:right w:w="0" w:type="dxa"/>
            </w:tcMar>
            <w:vAlign w:val="center"/>
          </w:tcPr>
          <w:p w14:paraId="631B3DD6"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7 (9%)</w:t>
            </w:r>
          </w:p>
        </w:tc>
        <w:tc>
          <w:tcPr>
            <w:tcW w:w="0" w:type="auto"/>
            <w:shd w:val="clear" w:color="auto" w:fill="FFFFFF"/>
            <w:tcMar>
              <w:top w:w="0" w:type="dxa"/>
              <w:left w:w="0" w:type="dxa"/>
              <w:bottom w:w="0" w:type="dxa"/>
              <w:right w:w="0" w:type="dxa"/>
            </w:tcMar>
            <w:vAlign w:val="center"/>
          </w:tcPr>
          <w:p w14:paraId="27201E40"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15 (20%)</w:t>
            </w:r>
          </w:p>
        </w:tc>
      </w:tr>
      <w:tr w:rsidR="00AE74AB" w:rsidRPr="004F63E7" w14:paraId="72FA25E0" w14:textId="77777777" w:rsidTr="00CA2A66">
        <w:trPr>
          <w:cantSplit/>
          <w:jc w:val="center"/>
        </w:trPr>
        <w:tc>
          <w:tcPr>
            <w:tcW w:w="0" w:type="auto"/>
            <w:shd w:val="clear" w:color="auto" w:fill="FFFFFF"/>
            <w:tcMar>
              <w:top w:w="0" w:type="dxa"/>
              <w:left w:w="0" w:type="dxa"/>
              <w:bottom w:w="0" w:type="dxa"/>
              <w:right w:w="0" w:type="dxa"/>
            </w:tcMar>
            <w:vAlign w:val="center"/>
          </w:tcPr>
          <w:p w14:paraId="12DD12C3" w14:textId="570D1201"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J. Joint consultations for a patient involving a GP, nurse and allied health (</w:t>
            </w:r>
            <w:r w:rsidR="0010747B">
              <w:rPr>
                <w:rFonts w:eastAsia="Century Gothic" w:cs="Century Gothic"/>
                <w:color w:val="000000"/>
                <w:sz w:val="18"/>
                <w:szCs w:val="18"/>
              </w:rPr>
              <w:t>for example,</w:t>
            </w:r>
            <w:r w:rsidRPr="004F63E7">
              <w:rPr>
                <w:rFonts w:eastAsia="Century Gothic" w:cs="Century Gothic"/>
                <w:color w:val="000000"/>
                <w:sz w:val="18"/>
                <w:szCs w:val="18"/>
              </w:rPr>
              <w:t xml:space="preserve"> pharmacist)</w:t>
            </w:r>
          </w:p>
        </w:tc>
        <w:tc>
          <w:tcPr>
            <w:tcW w:w="0" w:type="auto"/>
            <w:shd w:val="clear" w:color="auto" w:fill="FFFFFF"/>
            <w:tcMar>
              <w:top w:w="0" w:type="dxa"/>
              <w:left w:w="0" w:type="dxa"/>
              <w:bottom w:w="0" w:type="dxa"/>
              <w:right w:w="0" w:type="dxa"/>
            </w:tcMar>
            <w:vAlign w:val="center"/>
          </w:tcPr>
          <w:p w14:paraId="462574AB"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25 (34%)</w:t>
            </w:r>
          </w:p>
        </w:tc>
        <w:tc>
          <w:tcPr>
            <w:tcW w:w="0" w:type="auto"/>
            <w:shd w:val="clear" w:color="auto" w:fill="FFFFFF"/>
            <w:tcMar>
              <w:top w:w="0" w:type="dxa"/>
              <w:left w:w="0" w:type="dxa"/>
              <w:bottom w:w="0" w:type="dxa"/>
              <w:right w:w="0" w:type="dxa"/>
            </w:tcMar>
            <w:vAlign w:val="center"/>
          </w:tcPr>
          <w:p w14:paraId="25F995F2"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25 (34%)</w:t>
            </w:r>
          </w:p>
        </w:tc>
      </w:tr>
      <w:tr w:rsidR="00AE74AB" w:rsidRPr="004F63E7" w14:paraId="4276C214" w14:textId="77777777" w:rsidTr="00CA2A66">
        <w:trPr>
          <w:cantSplit/>
          <w:jc w:val="center"/>
        </w:trPr>
        <w:tc>
          <w:tcPr>
            <w:tcW w:w="0" w:type="auto"/>
            <w:shd w:val="clear" w:color="auto" w:fill="FFFFFF"/>
            <w:tcMar>
              <w:top w:w="0" w:type="dxa"/>
              <w:left w:w="0" w:type="dxa"/>
              <w:bottom w:w="0" w:type="dxa"/>
              <w:right w:w="0" w:type="dxa"/>
            </w:tcMar>
            <w:vAlign w:val="center"/>
          </w:tcPr>
          <w:p w14:paraId="018BEEBA"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lastRenderedPageBreak/>
              <w:t>K. HCH patients able to telephone the practice and talk to a nurse or GP about their health concerns</w:t>
            </w:r>
          </w:p>
        </w:tc>
        <w:tc>
          <w:tcPr>
            <w:tcW w:w="0" w:type="auto"/>
            <w:shd w:val="clear" w:color="auto" w:fill="FFFFFF"/>
            <w:tcMar>
              <w:top w:w="0" w:type="dxa"/>
              <w:left w:w="0" w:type="dxa"/>
              <w:bottom w:w="0" w:type="dxa"/>
              <w:right w:w="0" w:type="dxa"/>
            </w:tcMar>
            <w:vAlign w:val="center"/>
          </w:tcPr>
          <w:p w14:paraId="7051FBDB"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50 (68%)</w:t>
            </w:r>
          </w:p>
        </w:tc>
        <w:tc>
          <w:tcPr>
            <w:tcW w:w="0" w:type="auto"/>
            <w:shd w:val="clear" w:color="auto" w:fill="FFFFFF"/>
            <w:tcMar>
              <w:top w:w="0" w:type="dxa"/>
              <w:left w:w="0" w:type="dxa"/>
              <w:bottom w:w="0" w:type="dxa"/>
              <w:right w:w="0" w:type="dxa"/>
            </w:tcMar>
            <w:vAlign w:val="center"/>
          </w:tcPr>
          <w:p w14:paraId="1437F9CC"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53 (72%)</w:t>
            </w:r>
          </w:p>
        </w:tc>
      </w:tr>
      <w:tr w:rsidR="00AE74AB" w:rsidRPr="004F63E7" w14:paraId="6CE91E0E" w14:textId="77777777" w:rsidTr="00CA2A66">
        <w:trPr>
          <w:cantSplit/>
          <w:jc w:val="center"/>
        </w:trPr>
        <w:tc>
          <w:tcPr>
            <w:tcW w:w="0" w:type="auto"/>
            <w:shd w:val="clear" w:color="auto" w:fill="FFFFFF"/>
            <w:tcMar>
              <w:top w:w="0" w:type="dxa"/>
              <w:left w:w="0" w:type="dxa"/>
              <w:bottom w:w="0" w:type="dxa"/>
              <w:right w:w="0" w:type="dxa"/>
            </w:tcMar>
            <w:vAlign w:val="center"/>
          </w:tcPr>
          <w:p w14:paraId="6100513B"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L. HCH patients able to communicate by email or secure messaging with the GP or nurse about their health concerns</w:t>
            </w:r>
          </w:p>
        </w:tc>
        <w:tc>
          <w:tcPr>
            <w:tcW w:w="0" w:type="auto"/>
            <w:shd w:val="clear" w:color="auto" w:fill="FFFFFF"/>
            <w:tcMar>
              <w:top w:w="0" w:type="dxa"/>
              <w:left w:w="0" w:type="dxa"/>
              <w:bottom w:w="0" w:type="dxa"/>
              <w:right w:w="0" w:type="dxa"/>
            </w:tcMar>
            <w:vAlign w:val="center"/>
          </w:tcPr>
          <w:p w14:paraId="643927B6"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28 (38%)</w:t>
            </w:r>
          </w:p>
        </w:tc>
        <w:tc>
          <w:tcPr>
            <w:tcW w:w="0" w:type="auto"/>
            <w:shd w:val="clear" w:color="auto" w:fill="FFFFFF"/>
            <w:tcMar>
              <w:top w:w="0" w:type="dxa"/>
              <w:left w:w="0" w:type="dxa"/>
              <w:bottom w:w="0" w:type="dxa"/>
              <w:right w:w="0" w:type="dxa"/>
            </w:tcMar>
            <w:vAlign w:val="center"/>
          </w:tcPr>
          <w:p w14:paraId="7FB564CE"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30 (41%)</w:t>
            </w:r>
          </w:p>
        </w:tc>
      </w:tr>
      <w:tr w:rsidR="00AE74AB" w:rsidRPr="004F63E7" w14:paraId="66272AA2" w14:textId="77777777" w:rsidTr="00CA2A66">
        <w:trPr>
          <w:cantSplit/>
          <w:jc w:val="center"/>
        </w:trPr>
        <w:tc>
          <w:tcPr>
            <w:tcW w:w="0" w:type="auto"/>
            <w:shd w:val="clear" w:color="auto" w:fill="FFFFFF"/>
            <w:tcMar>
              <w:top w:w="0" w:type="dxa"/>
              <w:left w:w="0" w:type="dxa"/>
              <w:bottom w:w="0" w:type="dxa"/>
              <w:right w:w="0" w:type="dxa"/>
            </w:tcMar>
            <w:vAlign w:val="center"/>
          </w:tcPr>
          <w:p w14:paraId="4632FC97"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M. Introducing a patient portal through which clinical information is shared with HCH patients</w:t>
            </w:r>
          </w:p>
        </w:tc>
        <w:tc>
          <w:tcPr>
            <w:tcW w:w="0" w:type="auto"/>
            <w:shd w:val="clear" w:color="auto" w:fill="FFFFFF"/>
            <w:tcMar>
              <w:top w:w="0" w:type="dxa"/>
              <w:left w:w="0" w:type="dxa"/>
              <w:bottom w:w="0" w:type="dxa"/>
              <w:right w:w="0" w:type="dxa"/>
            </w:tcMar>
            <w:vAlign w:val="center"/>
          </w:tcPr>
          <w:p w14:paraId="2D111049"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9 (12%)</w:t>
            </w:r>
          </w:p>
        </w:tc>
        <w:tc>
          <w:tcPr>
            <w:tcW w:w="0" w:type="auto"/>
            <w:shd w:val="clear" w:color="auto" w:fill="FFFFFF"/>
            <w:tcMar>
              <w:top w:w="0" w:type="dxa"/>
              <w:left w:w="0" w:type="dxa"/>
              <w:bottom w:w="0" w:type="dxa"/>
              <w:right w:w="0" w:type="dxa"/>
            </w:tcMar>
            <w:vAlign w:val="center"/>
          </w:tcPr>
          <w:p w14:paraId="02AA9BC9"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22 (30%)</w:t>
            </w:r>
          </w:p>
        </w:tc>
      </w:tr>
      <w:tr w:rsidR="00AE74AB" w:rsidRPr="004F63E7" w14:paraId="03385FE9" w14:textId="77777777" w:rsidTr="00CA2A66">
        <w:trPr>
          <w:cantSplit/>
          <w:jc w:val="center"/>
        </w:trPr>
        <w:tc>
          <w:tcPr>
            <w:tcW w:w="0" w:type="auto"/>
            <w:shd w:val="clear" w:color="auto" w:fill="FFFFFF"/>
            <w:tcMar>
              <w:top w:w="0" w:type="dxa"/>
              <w:left w:w="0" w:type="dxa"/>
              <w:bottom w:w="0" w:type="dxa"/>
              <w:right w:w="0" w:type="dxa"/>
            </w:tcMar>
            <w:vAlign w:val="center"/>
          </w:tcPr>
          <w:p w14:paraId="079B8709"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N. HCH patients able to refill scripts without a GP consultation</w:t>
            </w:r>
          </w:p>
        </w:tc>
        <w:tc>
          <w:tcPr>
            <w:tcW w:w="0" w:type="auto"/>
            <w:shd w:val="clear" w:color="auto" w:fill="FFFFFF"/>
            <w:tcMar>
              <w:top w:w="0" w:type="dxa"/>
              <w:left w:w="0" w:type="dxa"/>
              <w:bottom w:w="0" w:type="dxa"/>
              <w:right w:w="0" w:type="dxa"/>
            </w:tcMar>
            <w:vAlign w:val="center"/>
          </w:tcPr>
          <w:p w14:paraId="74982A40"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44 (59%)</w:t>
            </w:r>
          </w:p>
        </w:tc>
        <w:tc>
          <w:tcPr>
            <w:tcW w:w="0" w:type="auto"/>
            <w:shd w:val="clear" w:color="auto" w:fill="FFFFFF"/>
            <w:tcMar>
              <w:top w:w="0" w:type="dxa"/>
              <w:left w:w="0" w:type="dxa"/>
              <w:bottom w:w="0" w:type="dxa"/>
              <w:right w:w="0" w:type="dxa"/>
            </w:tcMar>
            <w:vAlign w:val="center"/>
          </w:tcPr>
          <w:p w14:paraId="0C99CC1E" w14:textId="77777777" w:rsidR="00AE74AB" w:rsidRPr="004F63E7" w:rsidRDefault="00AE74AB" w:rsidP="00CA2A66">
            <w:pPr>
              <w:spacing w:before="20" w:afterLines="20" w:after="48"/>
              <w:ind w:left="100" w:right="100"/>
              <w:jc w:val="right"/>
              <w:rPr>
                <w:sz w:val="18"/>
                <w:szCs w:val="18"/>
              </w:rPr>
            </w:pPr>
            <w:r w:rsidRPr="004F63E7">
              <w:rPr>
                <w:rFonts w:eastAsia="Century Gothic" w:cs="Century Gothic"/>
                <w:color w:val="000000"/>
                <w:sz w:val="18"/>
                <w:szCs w:val="18"/>
              </w:rPr>
              <w:t>47 (64%)</w:t>
            </w:r>
          </w:p>
        </w:tc>
      </w:tr>
    </w:tbl>
    <w:p w14:paraId="24C42C49" w14:textId="2F74731F" w:rsidR="00AE74AB" w:rsidRPr="00911FF4" w:rsidRDefault="00AB14A3" w:rsidP="00911FF4">
      <w:pPr>
        <w:jc w:val="center"/>
        <w:rPr>
          <w:rFonts w:eastAsia="Calibri" w:cs="Times New Roman"/>
          <w:i/>
          <w:sz w:val="16"/>
          <w:szCs w:val="18"/>
        </w:rPr>
      </w:pPr>
      <w:r w:rsidRPr="004F63E7">
        <w:rPr>
          <w:rFonts w:eastAsia="Calibri" w:cs="Times New Roman"/>
          <w:i/>
          <w:sz w:val="16"/>
          <w:szCs w:val="18"/>
        </w:rPr>
        <w:t xml:space="preserve">Source: Practice survey R5, </w:t>
      </w:r>
      <w:r w:rsidR="00BC2D7A">
        <w:rPr>
          <w:rFonts w:eastAsia="Calibri" w:cs="Times New Roman"/>
          <w:i/>
          <w:sz w:val="16"/>
          <w:szCs w:val="18"/>
        </w:rPr>
        <w:t>Mar–May</w:t>
      </w:r>
      <w:r w:rsidRPr="004F63E7">
        <w:rPr>
          <w:rFonts w:eastAsia="Calibri" w:cs="Times New Roman"/>
          <w:i/>
          <w:sz w:val="16"/>
          <w:szCs w:val="18"/>
        </w:rPr>
        <w:t xml:space="preserve"> 2021, question 9.</w:t>
      </w:r>
    </w:p>
    <w:p w14:paraId="14E3C0AB" w14:textId="301C24A9" w:rsidR="00AE74AB" w:rsidRPr="004F63E7" w:rsidRDefault="00AE74AB" w:rsidP="00AE74AB">
      <w:r w:rsidRPr="004F63E7">
        <w:t>In the final practice survey (</w:t>
      </w:r>
      <w:r w:rsidR="000715F3">
        <w:t>round</w:t>
      </w:r>
      <w:r w:rsidRPr="004F63E7">
        <w:t xml:space="preserve"> 5), practices that remained in the trial were asked about which initiatives they were focussing on and about their progress on each initiative. The initiatives that practices were most commonly working on included (</w:t>
      </w:r>
      <w:r w:rsidR="009E6587">
        <w:fldChar w:fldCharType="begin"/>
      </w:r>
      <w:r w:rsidR="009E6587">
        <w:instrText xml:space="preserve"> REF _Ref99123810 \h </w:instrText>
      </w:r>
      <w:r w:rsidR="009E6587">
        <w:fldChar w:fldCharType="separate"/>
      </w:r>
      <w:r w:rsidR="003C4BC2" w:rsidRPr="004F63E7">
        <w:rPr>
          <w:rFonts w:eastAsiaTheme="minorEastAsia"/>
          <w:bCs/>
          <w:color w:val="1D2455"/>
          <w:szCs w:val="20"/>
          <w:lang w:eastAsia="en-AU"/>
        </w:rPr>
        <w:t xml:space="preserve">Figure </w:t>
      </w:r>
      <w:r w:rsidR="003C4BC2">
        <w:rPr>
          <w:rFonts w:eastAsiaTheme="minorEastAsia"/>
          <w:bCs/>
          <w:noProof/>
          <w:color w:val="1D2455"/>
          <w:szCs w:val="20"/>
          <w:lang w:eastAsia="en-AU"/>
        </w:rPr>
        <w:t>15</w:t>
      </w:r>
      <w:r w:rsidR="009E6587">
        <w:fldChar w:fldCharType="end"/>
      </w:r>
      <w:r w:rsidRPr="004F63E7">
        <w:t>):</w:t>
      </w:r>
    </w:p>
    <w:p w14:paraId="006329EE" w14:textId="09C0C771" w:rsidR="00AE74AB" w:rsidRPr="004F63E7" w:rsidRDefault="00AE74AB" w:rsidP="00BB7C8D">
      <w:pPr>
        <w:numPr>
          <w:ilvl w:val="0"/>
          <w:numId w:val="48"/>
        </w:numPr>
        <w:contextualSpacing/>
      </w:pPr>
      <w:r w:rsidRPr="004F63E7">
        <w:t>K HCH patients able to telephone the practice and talk to a nurse or GP about their health concerns</w:t>
      </w:r>
      <w:r w:rsidR="001E76BF">
        <w:t>:</w:t>
      </w:r>
      <w:r w:rsidRPr="004F63E7">
        <w:t xml:space="preserve"> 53 (72%) of practices responding to the </w:t>
      </w:r>
      <w:r w:rsidR="000715F3">
        <w:t>round</w:t>
      </w:r>
      <w:r w:rsidRPr="004F63E7">
        <w:t xml:space="preserve"> 5 survey identified this as a change they focussed on during the HCH trial, and 49 had completed this change at the time of the survey, with the remain 4 intending to complete the change by the end June 2021.</w:t>
      </w:r>
    </w:p>
    <w:p w14:paraId="774C3FB6" w14:textId="799BA950" w:rsidR="00AE74AB" w:rsidRPr="004F63E7" w:rsidRDefault="00AE74AB" w:rsidP="00BB7C8D">
      <w:pPr>
        <w:numPr>
          <w:ilvl w:val="0"/>
          <w:numId w:val="48"/>
        </w:numPr>
        <w:contextualSpacing/>
      </w:pPr>
      <w:r w:rsidRPr="004F63E7">
        <w:t>N HCH patients able to refill scripts without a GP consultation: A focus of 47 (64%) of practices and achieved at the time of the survey by 42 practices</w:t>
      </w:r>
      <w:r w:rsidR="00147075">
        <w:t>.</w:t>
      </w:r>
    </w:p>
    <w:p w14:paraId="4335286C" w14:textId="77777777" w:rsidR="00AE74AB" w:rsidRPr="004F63E7" w:rsidRDefault="00AE74AB" w:rsidP="00BB7C8D">
      <w:pPr>
        <w:numPr>
          <w:ilvl w:val="0"/>
          <w:numId w:val="48"/>
        </w:numPr>
        <w:contextualSpacing/>
      </w:pPr>
      <w:r w:rsidRPr="004F63E7">
        <w:t>F Improved systems for follow-up and re-call of HCH patients: A focus of 47 (64%) of practices and achieved at the time of the survey by 34 practices.</w:t>
      </w:r>
    </w:p>
    <w:p w14:paraId="695C9079" w14:textId="77777777" w:rsidR="00AE74AB" w:rsidRPr="004F63E7" w:rsidRDefault="00AE74AB" w:rsidP="00BB7C8D">
      <w:pPr>
        <w:numPr>
          <w:ilvl w:val="0"/>
          <w:numId w:val="48"/>
        </w:numPr>
        <w:contextualSpacing/>
      </w:pPr>
      <w:r w:rsidRPr="004F63E7">
        <w:t>G Proactive contact with patients to check how they are going: A focus for 45 (61%) of practices and achieved at the time of the survey by 35 practices.</w:t>
      </w:r>
    </w:p>
    <w:p w14:paraId="1F1F589C" w14:textId="77777777" w:rsidR="00AE74AB" w:rsidRPr="004F63E7" w:rsidRDefault="00AE74AB" w:rsidP="00BB7C8D">
      <w:pPr>
        <w:numPr>
          <w:ilvl w:val="0"/>
          <w:numId w:val="48"/>
        </w:numPr>
        <w:contextualSpacing/>
      </w:pPr>
      <w:r w:rsidRPr="004F63E7">
        <w:t>B Regular meetings of HCH practice team to review HCH patients and their care needs: A focus for 45 (61%) of practices and achieved at the time of the survey by 25 practices, with a further 9 planning to achieve this by June 2021 and 10 at a later date.</w:t>
      </w:r>
    </w:p>
    <w:p w14:paraId="10972CAB" w14:textId="77777777" w:rsidR="00AE74AB" w:rsidRPr="004F63E7" w:rsidRDefault="00AE74AB" w:rsidP="00BB7C8D">
      <w:pPr>
        <w:numPr>
          <w:ilvl w:val="0"/>
          <w:numId w:val="48"/>
        </w:numPr>
        <w:contextualSpacing/>
      </w:pPr>
      <w:r w:rsidRPr="004F63E7">
        <w:t>C Reassigning components of care from the GP to a nurse: A focus for 38 (51%) of practices and achieved at the time of the survey by 30 practices, with a further 1 planning to achieve this by June 2021 and 7 at a later date.</w:t>
      </w:r>
    </w:p>
    <w:p w14:paraId="18B9ECA3" w14:textId="43A95DA9" w:rsidR="00FC2F0E" w:rsidRDefault="00AE74AB" w:rsidP="00BB7C8D">
      <w:pPr>
        <w:numPr>
          <w:ilvl w:val="0"/>
          <w:numId w:val="48"/>
        </w:numPr>
        <w:ind w:left="714" w:hanging="357"/>
      </w:pPr>
      <w:r w:rsidRPr="004F63E7">
        <w:t>A Improving the completeness and quality of the data in the practice clinical management system: A focus for 42 (57%) of practices and achieved at the time of the survey by 25 practices, with a further 6 planning to achieve this by June 2021 and 11 at a later date.</w:t>
      </w:r>
    </w:p>
    <w:p w14:paraId="2FB7E78E" w14:textId="77777777" w:rsidR="00FC2F0E" w:rsidRPr="004F63E7" w:rsidRDefault="00FC2F0E" w:rsidP="00FC2F0E">
      <w:pPr>
        <w:contextualSpacing/>
      </w:pPr>
      <w:r w:rsidRPr="004F63E7">
        <w:t>Changes that were a focus for fewer practices and for which there was generally less progress included:</w:t>
      </w:r>
    </w:p>
    <w:p w14:paraId="3D3B1139" w14:textId="77777777" w:rsidR="00FC2F0E" w:rsidRPr="004F63E7" w:rsidRDefault="00FC2F0E" w:rsidP="00FC2F0E">
      <w:pPr>
        <w:contextualSpacing/>
      </w:pPr>
    </w:p>
    <w:p w14:paraId="1E107AFF" w14:textId="77777777" w:rsidR="00FC2F0E" w:rsidRPr="004F63E7" w:rsidRDefault="00FC2F0E" w:rsidP="00BB7C8D">
      <w:pPr>
        <w:numPr>
          <w:ilvl w:val="0"/>
          <w:numId w:val="48"/>
        </w:numPr>
        <w:ind w:left="714" w:hanging="357"/>
        <w:contextualSpacing/>
      </w:pPr>
      <w:r w:rsidRPr="004F63E7">
        <w:t>I Group consultations involving two or more patients: a focus for 15 practices (20%), of which only 3 had completed the change at the time of the survey.</w:t>
      </w:r>
    </w:p>
    <w:p w14:paraId="794B4075" w14:textId="77777777" w:rsidR="00FC2F0E" w:rsidRPr="004F63E7" w:rsidRDefault="00FC2F0E" w:rsidP="00BB7C8D">
      <w:pPr>
        <w:numPr>
          <w:ilvl w:val="0"/>
          <w:numId w:val="48"/>
        </w:numPr>
        <w:ind w:left="714" w:hanging="357"/>
        <w:contextualSpacing/>
      </w:pPr>
      <w:r w:rsidRPr="004F63E7">
        <w:t>D Reassigning components of care usually undertaken by a GP or nurse to a medical practice assistant: A focus for 21 practices (28%), of which 12 had completed.</w:t>
      </w:r>
    </w:p>
    <w:p w14:paraId="56F4AEB4" w14:textId="77777777" w:rsidR="00FC2F0E" w:rsidRPr="004F63E7" w:rsidRDefault="00FC2F0E" w:rsidP="00BB7C8D">
      <w:pPr>
        <w:numPr>
          <w:ilvl w:val="0"/>
          <w:numId w:val="48"/>
        </w:numPr>
        <w:contextualSpacing/>
      </w:pPr>
      <w:r w:rsidRPr="004F63E7">
        <w:t>E Introducing new roles within the practice (</w:t>
      </w:r>
      <w:r>
        <w:t>for example,</w:t>
      </w:r>
      <w:r w:rsidRPr="004F63E7">
        <w:t xml:space="preserve"> a Medical Practice Assistant, care coordinator): a focus for 24 practices (32%), of which 13 had completed.</w:t>
      </w:r>
    </w:p>
    <w:p w14:paraId="03DF264E" w14:textId="77777777" w:rsidR="00FC2F0E" w:rsidRPr="004F63E7" w:rsidRDefault="00FC2F0E" w:rsidP="00BB7C8D">
      <w:pPr>
        <w:numPr>
          <w:ilvl w:val="0"/>
          <w:numId w:val="48"/>
        </w:numPr>
        <w:ind w:left="714" w:hanging="357"/>
        <w:contextualSpacing/>
      </w:pPr>
      <w:r w:rsidRPr="004F63E7">
        <w:lastRenderedPageBreak/>
        <w:t>H Dedicated clinics for patients with specific chronic conditions (</w:t>
      </w:r>
      <w:r>
        <w:t>for example,</w:t>
      </w:r>
      <w:r w:rsidRPr="004F63E7">
        <w:t xml:space="preserve"> diabetes, osteoarthritis): a focus for 20 practices (27%), of which 13 had completed</w:t>
      </w:r>
    </w:p>
    <w:p w14:paraId="22CD3BEE" w14:textId="77777777" w:rsidR="00FC2F0E" w:rsidRPr="004F63E7" w:rsidRDefault="00FC2F0E" w:rsidP="00BB7C8D">
      <w:pPr>
        <w:numPr>
          <w:ilvl w:val="0"/>
          <w:numId w:val="48"/>
        </w:numPr>
        <w:contextualSpacing/>
      </w:pPr>
      <w:r w:rsidRPr="004F63E7">
        <w:t>M Introducing a patient portal through which clinical information is shared with HCH patients: a focus for 22 practices (30%), of which 10 had completed.</w:t>
      </w:r>
    </w:p>
    <w:p w14:paraId="3680D8C7" w14:textId="77777777" w:rsidR="00FC2F0E" w:rsidRPr="004F63E7" w:rsidRDefault="00FC2F0E" w:rsidP="00BB7C8D">
      <w:pPr>
        <w:numPr>
          <w:ilvl w:val="0"/>
          <w:numId w:val="48"/>
        </w:numPr>
        <w:ind w:left="714" w:hanging="357"/>
      </w:pPr>
      <w:r w:rsidRPr="004F63E7">
        <w:t>J Joint consultations for a patient involving a GP, nurse and allied health (</w:t>
      </w:r>
      <w:r>
        <w:t>for example,</w:t>
      </w:r>
      <w:r w:rsidRPr="004F63E7">
        <w:t xml:space="preserve"> pharmacist): a focus for 25 practices (34%), of which 13 had completed.</w:t>
      </w:r>
    </w:p>
    <w:p w14:paraId="55F5A1DD" w14:textId="5F648A91" w:rsidR="00AE74AB" w:rsidRPr="004F63E7" w:rsidRDefault="00AE74AB" w:rsidP="00AE74AB">
      <w:pPr>
        <w:spacing w:after="60"/>
        <w:jc w:val="center"/>
        <w:rPr>
          <w:rFonts w:eastAsiaTheme="minorEastAsia"/>
          <w:bCs/>
          <w:color w:val="1D2455"/>
          <w:szCs w:val="20"/>
          <w:lang w:eastAsia="en-AU"/>
        </w:rPr>
      </w:pPr>
      <w:bookmarkStart w:id="186" w:name="_Ref99123810"/>
      <w:bookmarkStart w:id="187" w:name="_Ref99123799"/>
      <w:r w:rsidRPr="004F63E7">
        <w:rPr>
          <w:rFonts w:eastAsiaTheme="minorEastAsia"/>
          <w:bCs/>
          <w:color w:val="1D2455"/>
          <w:szCs w:val="20"/>
          <w:lang w:eastAsia="en-AU"/>
        </w:rPr>
        <w:t xml:space="preserve">Figure </w:t>
      </w:r>
      <w:r w:rsidRPr="004F63E7">
        <w:rPr>
          <w:rFonts w:eastAsiaTheme="minorEastAsia"/>
          <w:bCs/>
          <w:color w:val="1D2455"/>
          <w:szCs w:val="20"/>
          <w:lang w:eastAsia="en-AU"/>
        </w:rPr>
        <w:fldChar w:fldCharType="begin"/>
      </w:r>
      <w:r w:rsidRPr="004F63E7">
        <w:rPr>
          <w:rFonts w:eastAsiaTheme="minorEastAsia"/>
          <w:bCs/>
          <w:color w:val="1D2455"/>
          <w:szCs w:val="20"/>
          <w:lang w:eastAsia="en-AU"/>
        </w:rPr>
        <w:instrText xml:space="preserve"> SEQ Figure \* ARABIC </w:instrText>
      </w:r>
      <w:r w:rsidRPr="004F63E7">
        <w:rPr>
          <w:rFonts w:eastAsiaTheme="minorEastAsia"/>
          <w:bCs/>
          <w:color w:val="1D2455"/>
          <w:szCs w:val="20"/>
          <w:lang w:eastAsia="en-AU"/>
        </w:rPr>
        <w:fldChar w:fldCharType="separate"/>
      </w:r>
      <w:r w:rsidR="003C4BC2">
        <w:rPr>
          <w:rFonts w:eastAsiaTheme="minorEastAsia"/>
          <w:bCs/>
          <w:noProof/>
          <w:color w:val="1D2455"/>
          <w:szCs w:val="20"/>
          <w:lang w:eastAsia="en-AU"/>
        </w:rPr>
        <w:t>15</w:t>
      </w:r>
      <w:r w:rsidRPr="004F63E7">
        <w:rPr>
          <w:rFonts w:eastAsiaTheme="minorEastAsia"/>
          <w:bCs/>
          <w:noProof/>
          <w:color w:val="1D2455"/>
          <w:szCs w:val="20"/>
          <w:lang w:eastAsia="en-AU"/>
        </w:rPr>
        <w:fldChar w:fldCharType="end"/>
      </w:r>
      <w:bookmarkEnd w:id="186"/>
      <w:r w:rsidRPr="004F63E7">
        <w:rPr>
          <w:rFonts w:eastAsiaTheme="minorEastAsia"/>
          <w:bCs/>
          <w:color w:val="1D2455"/>
          <w:szCs w:val="20"/>
          <w:lang w:eastAsia="en-AU"/>
        </w:rPr>
        <w:t>: Progress on changes that practices planned to make on during the HCH trial</w:t>
      </w:r>
      <w:bookmarkEnd w:id="187"/>
    </w:p>
    <w:p w14:paraId="4B4F8994" w14:textId="77777777" w:rsidR="00AE74AB" w:rsidRPr="004F63E7" w:rsidRDefault="00AE74AB" w:rsidP="00AE74AB">
      <w:pPr>
        <w:spacing w:after="0"/>
        <w:jc w:val="center"/>
      </w:pPr>
      <w:r w:rsidRPr="004F63E7">
        <w:rPr>
          <w:noProof/>
        </w:rPr>
        <w:drawing>
          <wp:inline distT="0" distB="0" distL="0" distR="0" wp14:anchorId="43C046DF" wp14:editId="426BBDCA">
            <wp:extent cx="5731510" cy="5556885"/>
            <wp:effectExtent l="0" t="0" r="0" b="0"/>
            <wp:docPr id="6291" name="Picture 629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1" name="Picture 6291" descr="Chart, bar chart&#10;&#10;Description automatically generated"/>
                    <pic:cNvPicPr/>
                  </pic:nvPicPr>
                  <pic:blipFill>
                    <a:blip r:embed="rId39"/>
                    <a:stretch>
                      <a:fillRect/>
                    </a:stretch>
                  </pic:blipFill>
                  <pic:spPr>
                    <a:xfrm>
                      <a:off x="0" y="0"/>
                      <a:ext cx="5731510" cy="5556885"/>
                    </a:xfrm>
                    <a:prstGeom prst="rect">
                      <a:avLst/>
                    </a:prstGeom>
                  </pic:spPr>
                </pic:pic>
              </a:graphicData>
            </a:graphic>
          </wp:inline>
        </w:drawing>
      </w:r>
    </w:p>
    <w:p w14:paraId="455DDAFE" w14:textId="10A9AFFC" w:rsidR="00AE74AB" w:rsidRPr="004F63E7" w:rsidRDefault="00AE74AB" w:rsidP="00AE74AB">
      <w:pPr>
        <w:jc w:val="center"/>
        <w:rPr>
          <w:rFonts w:eastAsia="Calibri" w:cs="Times New Roman"/>
          <w:i/>
          <w:sz w:val="16"/>
          <w:szCs w:val="18"/>
        </w:rPr>
      </w:pPr>
      <w:r w:rsidRPr="004F63E7">
        <w:rPr>
          <w:rFonts w:eastAsia="Calibri" w:cs="Times New Roman"/>
          <w:i/>
          <w:sz w:val="16"/>
          <w:szCs w:val="18"/>
        </w:rPr>
        <w:t xml:space="preserve">Source: Practice survey R5, </w:t>
      </w:r>
      <w:r w:rsidR="00BC2D7A">
        <w:rPr>
          <w:rFonts w:eastAsia="Calibri" w:cs="Times New Roman"/>
          <w:i/>
          <w:sz w:val="16"/>
          <w:szCs w:val="18"/>
        </w:rPr>
        <w:t>Mar–May</w:t>
      </w:r>
      <w:r w:rsidRPr="004F63E7">
        <w:rPr>
          <w:rFonts w:eastAsia="Calibri" w:cs="Times New Roman"/>
          <w:i/>
          <w:sz w:val="16"/>
          <w:szCs w:val="18"/>
        </w:rPr>
        <w:t xml:space="preserve"> 2021, question 9.</w:t>
      </w:r>
    </w:p>
    <w:p w14:paraId="1C8B9281" w14:textId="77777777" w:rsidR="00D643CB" w:rsidRDefault="00D643CB">
      <w:pPr>
        <w:spacing w:after="160" w:line="259" w:lineRule="auto"/>
        <w:rPr>
          <w:rFonts w:eastAsia="Calibri" w:cs="Times New Roman"/>
          <w:i/>
          <w:sz w:val="16"/>
          <w:szCs w:val="18"/>
        </w:rPr>
      </w:pPr>
      <w:r>
        <w:rPr>
          <w:rFonts w:eastAsia="Calibri" w:cs="Times New Roman"/>
          <w:i/>
          <w:sz w:val="16"/>
          <w:szCs w:val="18"/>
        </w:rPr>
        <w:br w:type="page"/>
      </w:r>
    </w:p>
    <w:p w14:paraId="65299FA3" w14:textId="77777777" w:rsidR="00AE74AB" w:rsidRPr="004F63E7" w:rsidRDefault="00AE74AB" w:rsidP="00AE74AB">
      <w:pPr>
        <w:outlineLvl w:val="1"/>
        <w:rPr>
          <w:rFonts w:ascii="Roboto Slab" w:eastAsiaTheme="majorEastAsia" w:hAnsi="Roboto Slab" w:cs="Times New Roman"/>
          <w:bCs/>
          <w:color w:val="408BCA"/>
          <w:sz w:val="32"/>
          <w:szCs w:val="36"/>
          <w:lang w:eastAsia="en-AU"/>
        </w:rPr>
      </w:pPr>
      <w:r w:rsidRPr="004F63E7">
        <w:rPr>
          <w:rFonts w:ascii="Roboto Slab" w:eastAsiaTheme="majorEastAsia" w:hAnsi="Roboto Slab" w:cs="Times New Roman"/>
          <w:bCs/>
          <w:color w:val="408BCA"/>
          <w:sz w:val="32"/>
          <w:szCs w:val="36"/>
          <w:lang w:eastAsia="en-AU"/>
        </w:rPr>
        <w:lastRenderedPageBreak/>
        <w:t>Selected components of the HCH model</w:t>
      </w:r>
      <w:bookmarkEnd w:id="184"/>
      <w:bookmarkEnd w:id="185"/>
    </w:p>
    <w:p w14:paraId="08DE1898" w14:textId="77777777" w:rsidR="00AE74AB" w:rsidRPr="004F63E7" w:rsidRDefault="00AE74AB" w:rsidP="00EC7CC0">
      <w:pPr>
        <w:pStyle w:val="Heading3"/>
        <w:rPr>
          <w:lang w:val="en-GB"/>
        </w:rPr>
      </w:pPr>
      <w:bookmarkStart w:id="188" w:name="_Ref103765660"/>
      <w:r w:rsidRPr="004F63E7">
        <w:rPr>
          <w:lang w:val="en-GB"/>
        </w:rPr>
        <w:t>Patient engagement/activation</w:t>
      </w:r>
      <w:bookmarkEnd w:id="188"/>
    </w:p>
    <w:p w14:paraId="4B6233AB" w14:textId="6BE114C4" w:rsidR="00AE74AB" w:rsidRPr="004F63E7" w:rsidRDefault="00AE74AB" w:rsidP="00AE74AB">
      <w:pPr>
        <w:rPr>
          <w:shd w:val="clear" w:color="auto" w:fill="FFFFFF"/>
        </w:rPr>
      </w:pPr>
      <w:r w:rsidRPr="004F63E7">
        <w:rPr>
          <w:lang w:eastAsia="en-AU"/>
        </w:rPr>
        <w:t>The 13-item version of the Patient Activation Measure (PAM)</w:t>
      </w:r>
      <w:r w:rsidRPr="00A1698B">
        <w:rPr>
          <w:color w:val="408BCA"/>
          <w:vertAlign w:val="superscript"/>
          <w:lang w:eastAsia="en-AU"/>
        </w:rPr>
        <w:footnoteReference w:id="63"/>
      </w:r>
      <w:r w:rsidRPr="004F63E7">
        <w:rPr>
          <w:lang w:eastAsia="en-AU"/>
        </w:rPr>
        <w:t xml:space="preserve"> was included </w:t>
      </w:r>
      <w:r w:rsidR="00A13A55">
        <w:rPr>
          <w:lang w:eastAsia="en-AU"/>
        </w:rPr>
        <w:t xml:space="preserve">in </w:t>
      </w:r>
      <w:r w:rsidRPr="004F63E7">
        <w:rPr>
          <w:lang w:eastAsia="en-AU"/>
        </w:rPr>
        <w:t>each of the patient survey waves.</w:t>
      </w:r>
      <w:r w:rsidR="00A561EE">
        <w:rPr>
          <w:lang w:eastAsia="en-AU"/>
        </w:rPr>
        <w:t xml:space="preserve"> </w:t>
      </w:r>
      <w:r w:rsidRPr="004F63E7">
        <w:rPr>
          <w:lang w:eastAsia="en-AU"/>
        </w:rPr>
        <w:t>Using</w:t>
      </w:r>
      <w:r w:rsidR="0097139F">
        <w:rPr>
          <w:lang w:eastAsia="en-AU"/>
        </w:rPr>
        <w:t xml:space="preserve"> each respondents’</w:t>
      </w:r>
      <w:r w:rsidRPr="004F63E7">
        <w:rPr>
          <w:lang w:eastAsia="en-AU"/>
        </w:rPr>
        <w:t xml:space="preserve"> level of agreement with the 13 statements, a score </w:t>
      </w:r>
      <w:r>
        <w:rPr>
          <w:lang w:eastAsia="en-AU"/>
        </w:rPr>
        <w:t xml:space="preserve">was </w:t>
      </w:r>
      <w:r w:rsidRPr="004F63E7">
        <w:rPr>
          <w:lang w:eastAsia="en-AU"/>
        </w:rPr>
        <w:t>calculated rang</w:t>
      </w:r>
      <w:r w:rsidR="006900B1">
        <w:rPr>
          <w:lang w:eastAsia="en-AU"/>
        </w:rPr>
        <w:t>ing</w:t>
      </w:r>
      <w:r w:rsidRPr="004F63E7">
        <w:rPr>
          <w:lang w:eastAsia="en-AU"/>
        </w:rPr>
        <w:t xml:space="preserve"> between 0 and 100</w:t>
      </w:r>
      <w:r w:rsidR="006900B1">
        <w:rPr>
          <w:lang w:eastAsia="en-AU"/>
        </w:rPr>
        <w:t>,</w:t>
      </w:r>
      <w:r w:rsidRPr="004F63E7">
        <w:rPr>
          <w:lang w:eastAsia="en-AU"/>
        </w:rPr>
        <w:t xml:space="preserve"> where 100 is the highest level of activation.</w:t>
      </w:r>
      <w:r w:rsidR="00A561EE">
        <w:rPr>
          <w:lang w:eastAsia="en-AU"/>
        </w:rPr>
        <w:t xml:space="preserve"> </w:t>
      </w:r>
      <w:r w:rsidR="006900B1">
        <w:rPr>
          <w:lang w:eastAsia="en-AU"/>
        </w:rPr>
        <w:t>P</w:t>
      </w:r>
      <w:r w:rsidRPr="004F63E7">
        <w:rPr>
          <w:lang w:eastAsia="en-AU"/>
        </w:rPr>
        <w:t xml:space="preserve">atients </w:t>
      </w:r>
      <w:r w:rsidR="00046CF8">
        <w:rPr>
          <w:lang w:eastAsia="en-AU"/>
        </w:rPr>
        <w:t>were</w:t>
      </w:r>
      <w:r w:rsidR="006900B1">
        <w:rPr>
          <w:lang w:eastAsia="en-AU"/>
        </w:rPr>
        <w:t xml:space="preserve"> then</w:t>
      </w:r>
      <w:r w:rsidRPr="004F63E7">
        <w:rPr>
          <w:lang w:eastAsia="en-AU"/>
        </w:rPr>
        <w:t xml:space="preserve"> assigned to one of four categories</w:t>
      </w:r>
      <w:r w:rsidR="006900B1">
        <w:rPr>
          <w:lang w:eastAsia="en-AU"/>
        </w:rPr>
        <w:t xml:space="preserve"> based on their overall score</w:t>
      </w:r>
      <w:r w:rsidRPr="004F63E7">
        <w:rPr>
          <w:lang w:eastAsia="en-AU"/>
        </w:rPr>
        <w:t xml:space="preserve">. </w:t>
      </w:r>
      <w:r w:rsidR="00FD20C6" w:rsidRPr="006900B1">
        <w:rPr>
          <w:rFonts w:eastAsiaTheme="minorEastAsia"/>
          <w:color w:val="1D2455"/>
          <w:szCs w:val="20"/>
          <w:lang w:val="en-GB" w:eastAsia="en-AU"/>
        </w:rPr>
        <w:fldChar w:fldCharType="begin"/>
      </w:r>
      <w:r w:rsidR="00FD20C6" w:rsidRPr="006900B1">
        <w:rPr>
          <w:rFonts w:eastAsiaTheme="minorEastAsia"/>
          <w:color w:val="1D2455"/>
          <w:szCs w:val="20"/>
          <w:lang w:val="en-GB" w:eastAsia="en-AU"/>
        </w:rPr>
        <w:instrText xml:space="preserve"> REF _Ref98319252 \h </w:instrText>
      </w:r>
      <w:r w:rsidR="00EF4747" w:rsidRPr="006900B1">
        <w:rPr>
          <w:rFonts w:eastAsiaTheme="minorEastAsia"/>
          <w:color w:val="1D2455"/>
          <w:szCs w:val="20"/>
          <w:lang w:val="en-GB" w:eastAsia="en-AU"/>
        </w:rPr>
        <w:instrText xml:space="preserve"> \* MERGEFORMAT </w:instrText>
      </w:r>
      <w:r w:rsidR="00FD20C6" w:rsidRPr="006900B1">
        <w:rPr>
          <w:rFonts w:eastAsiaTheme="minorEastAsia"/>
          <w:color w:val="1D2455"/>
          <w:szCs w:val="20"/>
          <w:lang w:val="en-GB" w:eastAsia="en-AU"/>
        </w:rPr>
      </w:r>
      <w:r w:rsidR="00FD20C6" w:rsidRPr="006900B1">
        <w:rPr>
          <w:rFonts w:eastAsiaTheme="minorEastAsia"/>
          <w:color w:val="1D2455"/>
          <w:szCs w:val="20"/>
          <w:lang w:val="en-GB" w:eastAsia="en-AU"/>
        </w:rPr>
        <w:fldChar w:fldCharType="separate"/>
      </w:r>
      <w:r w:rsidR="003C4BC2" w:rsidRPr="003C4BC2">
        <w:rPr>
          <w:rFonts w:eastAsiaTheme="minorEastAsia"/>
          <w:color w:val="1D2455"/>
          <w:szCs w:val="20"/>
          <w:lang w:val="en-GB" w:eastAsia="en-AU"/>
        </w:rPr>
        <w:t>Figure 16</w:t>
      </w:r>
      <w:r w:rsidR="00FD20C6" w:rsidRPr="006900B1">
        <w:rPr>
          <w:rFonts w:eastAsiaTheme="minorEastAsia"/>
          <w:color w:val="1D2455"/>
          <w:szCs w:val="20"/>
          <w:lang w:val="en-GB" w:eastAsia="en-AU"/>
        </w:rPr>
        <w:fldChar w:fldCharType="end"/>
      </w:r>
      <w:r w:rsidRPr="004F63E7">
        <w:rPr>
          <w:lang w:eastAsia="en-AU"/>
        </w:rPr>
        <w:t xml:space="preserve"> shows the distribution of HCH patients across the four categories at each of the three survey waves. Overall, there was little difference in scores between the three waves</w:t>
      </w:r>
      <w:r w:rsidRPr="00337467">
        <w:rPr>
          <w:lang w:eastAsia="en-AU"/>
        </w:rPr>
        <w:t>, with the mean increasing from 6</w:t>
      </w:r>
      <w:r w:rsidR="00337467" w:rsidRPr="00337467">
        <w:rPr>
          <w:lang w:eastAsia="en-AU"/>
        </w:rPr>
        <w:t>6</w:t>
      </w:r>
      <w:r w:rsidRPr="00337467">
        <w:rPr>
          <w:lang w:eastAsia="en-AU"/>
        </w:rPr>
        <w:t xml:space="preserve"> in wave 1 to 67 in waves 2 and 3</w:t>
      </w:r>
      <w:r w:rsidRPr="004F63E7">
        <w:rPr>
          <w:lang w:eastAsia="en-AU"/>
        </w:rPr>
        <w:t>.</w:t>
      </w:r>
      <w:r w:rsidRPr="004F63E7">
        <w:rPr>
          <w:lang w:val="en-US"/>
        </w:rPr>
        <w:t xml:space="preserve"> </w:t>
      </w:r>
      <w:r w:rsidR="006900B1">
        <w:rPr>
          <w:lang w:val="en-US"/>
        </w:rPr>
        <w:t>L</w:t>
      </w:r>
      <w:r w:rsidRPr="004F63E7">
        <w:rPr>
          <w:lang w:val="en-US"/>
        </w:rPr>
        <w:t xml:space="preserve">ongitudinal analysis </w:t>
      </w:r>
      <w:r w:rsidR="006900B1">
        <w:rPr>
          <w:lang w:val="en-US"/>
        </w:rPr>
        <w:t xml:space="preserve">of </w:t>
      </w:r>
      <w:r w:rsidRPr="004F63E7">
        <w:rPr>
          <w:lang w:val="en-US"/>
        </w:rPr>
        <w:t xml:space="preserve">patients </w:t>
      </w:r>
      <w:r w:rsidR="000C3616">
        <w:rPr>
          <w:lang w:val="en-US"/>
        </w:rPr>
        <w:t>who</w:t>
      </w:r>
      <w:r w:rsidRPr="004F63E7">
        <w:rPr>
          <w:lang w:val="en-US"/>
        </w:rPr>
        <w:t xml:space="preserve"> participated in the three waves found there was an increase in the PAM score, but this was not statistically significant</w:t>
      </w:r>
      <w:r w:rsidR="00DD3C85">
        <w:rPr>
          <w:lang w:val="en-US"/>
        </w:rPr>
        <w:t xml:space="preserve"> –</w:t>
      </w:r>
      <w:r w:rsidRPr="004F63E7">
        <w:rPr>
          <w:lang w:val="en-US"/>
        </w:rPr>
        <w:t xml:space="preserve"> </w:t>
      </w:r>
      <w:r w:rsidR="000B3965">
        <w:rPr>
          <w:lang w:val="en-US"/>
        </w:rPr>
        <w:t xml:space="preserve">an </w:t>
      </w:r>
      <w:r w:rsidRPr="004F63E7">
        <w:rPr>
          <w:lang w:val="en-US"/>
        </w:rPr>
        <w:t>increase in the sc</w:t>
      </w:r>
      <w:r w:rsidR="000459FE">
        <w:rPr>
          <w:lang w:val="en-US"/>
        </w:rPr>
        <w:t>o</w:t>
      </w:r>
      <w:r w:rsidRPr="004F63E7">
        <w:rPr>
          <w:lang w:val="en-US"/>
        </w:rPr>
        <w:t>re of 0.67</w:t>
      </w:r>
      <w:r w:rsidR="00DD3C85">
        <w:rPr>
          <w:lang w:val="en-US"/>
        </w:rPr>
        <w:t xml:space="preserve"> (</w:t>
      </w:r>
      <w:r w:rsidRPr="004F63E7">
        <w:rPr>
          <w:lang w:val="en-US"/>
        </w:rPr>
        <w:t>95% CI -0.07 to 1.38</w:t>
      </w:r>
      <w:r w:rsidR="00DD3C85">
        <w:rPr>
          <w:lang w:val="en-US"/>
        </w:rPr>
        <w:t>)</w:t>
      </w:r>
      <w:r w:rsidR="006900B1">
        <w:rPr>
          <w:lang w:val="en-US"/>
        </w:rPr>
        <w:t xml:space="preserve"> </w:t>
      </w:r>
      <w:r w:rsidRPr="004F63E7">
        <w:rPr>
          <w:lang w:val="en-US"/>
        </w:rPr>
        <w:t>at wave 2 and 0.30</w:t>
      </w:r>
      <w:r w:rsidR="006900B1">
        <w:rPr>
          <w:lang w:val="en-US"/>
        </w:rPr>
        <w:t xml:space="preserve"> </w:t>
      </w:r>
      <w:r w:rsidR="00DD3C85">
        <w:rPr>
          <w:lang w:val="en-US"/>
        </w:rPr>
        <w:t>(</w:t>
      </w:r>
      <w:r w:rsidRPr="004F63E7">
        <w:rPr>
          <w:lang w:val="en-US"/>
        </w:rPr>
        <w:t>95% CI -0.44 to 0.99</w:t>
      </w:r>
      <w:r w:rsidR="00DD3C85">
        <w:rPr>
          <w:lang w:val="en-US"/>
        </w:rPr>
        <w:t>)</w:t>
      </w:r>
      <w:r w:rsidR="006900B1">
        <w:rPr>
          <w:lang w:val="en-US"/>
        </w:rPr>
        <w:t xml:space="preserve"> </w:t>
      </w:r>
      <w:r w:rsidRPr="004F63E7">
        <w:rPr>
          <w:lang w:val="en-US"/>
        </w:rPr>
        <w:t>at wave 3.</w:t>
      </w:r>
    </w:p>
    <w:p w14:paraId="116506A8" w14:textId="032980F4" w:rsidR="00AE74AB" w:rsidRPr="004F63E7" w:rsidRDefault="00AE74AB" w:rsidP="00AE74AB">
      <w:pPr>
        <w:rPr>
          <w:lang w:eastAsia="en-AU"/>
        </w:rPr>
      </w:pPr>
      <w:r w:rsidRPr="004F63E7">
        <w:rPr>
          <w:lang w:eastAsia="en-AU"/>
        </w:rPr>
        <w:t xml:space="preserve">More detailed analysis of the PAM items and scores </w:t>
      </w:r>
      <w:r w:rsidR="006900B1">
        <w:rPr>
          <w:lang w:eastAsia="en-AU"/>
        </w:rPr>
        <w:t>is</w:t>
      </w:r>
      <w:r w:rsidRPr="004F63E7">
        <w:rPr>
          <w:lang w:eastAsia="en-AU"/>
        </w:rPr>
        <w:t xml:space="preserve"> in Volume </w:t>
      </w:r>
      <w:r w:rsidR="00C10404">
        <w:rPr>
          <w:lang w:eastAsia="en-AU"/>
        </w:rPr>
        <w:t>3</w:t>
      </w:r>
      <w:r w:rsidRPr="004F63E7">
        <w:rPr>
          <w:lang w:eastAsia="en-AU"/>
        </w:rPr>
        <w:t xml:space="preserve"> </w:t>
      </w:r>
      <w:r w:rsidR="00574B2B">
        <w:rPr>
          <w:lang w:eastAsia="en-AU"/>
        </w:rPr>
        <w:t>(</w:t>
      </w:r>
      <w:r w:rsidRPr="004F63E7">
        <w:rPr>
          <w:lang w:eastAsia="en-AU"/>
        </w:rPr>
        <w:t>Appendix 7</w:t>
      </w:r>
      <w:r w:rsidR="00574B2B">
        <w:rPr>
          <w:rFonts w:eastAsiaTheme="minorEastAsia"/>
          <w:color w:val="1D2455"/>
          <w:szCs w:val="20"/>
          <w:lang w:val="en-GB" w:eastAsia="en-AU"/>
        </w:rPr>
        <w:t>)</w:t>
      </w:r>
      <w:r w:rsidRPr="004F63E7">
        <w:rPr>
          <w:lang w:eastAsia="en-AU"/>
        </w:rPr>
        <w:t>.</w:t>
      </w:r>
      <w:r>
        <w:rPr>
          <w:lang w:eastAsia="en-AU"/>
        </w:rPr>
        <w:t xml:space="preserve"> This shows that the level of patient activation decline</w:t>
      </w:r>
      <w:r w:rsidR="00A47F89">
        <w:rPr>
          <w:lang w:eastAsia="en-AU"/>
        </w:rPr>
        <w:t>d</w:t>
      </w:r>
      <w:r>
        <w:rPr>
          <w:lang w:eastAsia="en-AU"/>
        </w:rPr>
        <w:t xml:space="preserve"> between </w:t>
      </w:r>
      <w:r w:rsidR="00770301">
        <w:rPr>
          <w:lang w:eastAsia="en-AU"/>
        </w:rPr>
        <w:t>tier</w:t>
      </w:r>
      <w:r>
        <w:rPr>
          <w:lang w:eastAsia="en-AU"/>
        </w:rPr>
        <w:t xml:space="preserve"> 1 (mean of 68), </w:t>
      </w:r>
      <w:r w:rsidR="00770301">
        <w:rPr>
          <w:lang w:eastAsia="en-AU"/>
        </w:rPr>
        <w:t>tier</w:t>
      </w:r>
      <w:r>
        <w:rPr>
          <w:lang w:eastAsia="en-AU"/>
        </w:rPr>
        <w:t xml:space="preserve"> 2 (mean of 67) and </w:t>
      </w:r>
      <w:r w:rsidR="00770301">
        <w:rPr>
          <w:lang w:eastAsia="en-AU"/>
        </w:rPr>
        <w:t>tier</w:t>
      </w:r>
      <w:r>
        <w:rPr>
          <w:lang w:eastAsia="en-AU"/>
        </w:rPr>
        <w:t xml:space="preserve"> 3 (mean of 64). </w:t>
      </w:r>
    </w:p>
    <w:p w14:paraId="6BBD2535" w14:textId="40E50B86" w:rsidR="00AE74AB" w:rsidRPr="006900B1" w:rsidRDefault="00AE74AB" w:rsidP="0097139F">
      <w:pPr>
        <w:pStyle w:val="TableorFigurecaptionHPA"/>
      </w:pPr>
      <w:bookmarkStart w:id="189" w:name="_Ref98319252"/>
      <w:bookmarkStart w:id="190" w:name="_Ref98942804"/>
      <w:r w:rsidRPr="006900B1">
        <w:t xml:space="preserve">Figure </w:t>
      </w:r>
      <w:r w:rsidRPr="006900B1">
        <w:fldChar w:fldCharType="begin"/>
      </w:r>
      <w:r w:rsidRPr="006900B1">
        <w:rPr>
          <w:rStyle w:val="Strong1"/>
          <w:b w:val="0"/>
          <w:sz w:val="20"/>
        </w:rPr>
        <w:instrText xml:space="preserve"> SEQ Figure \* ARABIC </w:instrText>
      </w:r>
      <w:r w:rsidRPr="006900B1">
        <w:fldChar w:fldCharType="separate"/>
      </w:r>
      <w:r w:rsidR="003C4BC2">
        <w:rPr>
          <w:rStyle w:val="Strong1"/>
          <w:b w:val="0"/>
          <w:noProof/>
          <w:sz w:val="20"/>
        </w:rPr>
        <w:t>16</w:t>
      </w:r>
      <w:r w:rsidRPr="006900B1">
        <w:fldChar w:fldCharType="end"/>
      </w:r>
      <w:bookmarkEnd w:id="189"/>
      <w:r w:rsidRPr="006900B1">
        <w:t xml:space="preserve">: </w:t>
      </w:r>
      <w:r w:rsidR="00DF6ED0">
        <w:t>P</w:t>
      </w:r>
      <w:proofErr w:type="spellStart"/>
      <w:r w:rsidRPr="006900B1">
        <w:rPr>
          <w:lang w:val="en-GB"/>
        </w:rPr>
        <w:t>atients</w:t>
      </w:r>
      <w:proofErr w:type="spellEnd"/>
      <w:r w:rsidRPr="006900B1">
        <w:rPr>
          <w:lang w:val="en-GB"/>
        </w:rPr>
        <w:t xml:space="preserve"> by category derived from their PAM scores</w:t>
      </w:r>
      <w:bookmarkEnd w:id="190"/>
    </w:p>
    <w:p w14:paraId="52495BB6" w14:textId="77777777" w:rsidR="00AE74AB" w:rsidRPr="004F63E7" w:rsidRDefault="00AE74AB" w:rsidP="00BC2D7A">
      <w:pPr>
        <w:spacing w:after="0"/>
        <w:rPr>
          <w:shd w:val="clear" w:color="auto" w:fill="FFFFFF"/>
        </w:rPr>
      </w:pPr>
      <w:r w:rsidRPr="004F63E7">
        <w:rPr>
          <w:noProof/>
          <w:shd w:val="clear" w:color="auto" w:fill="FFFFFF"/>
        </w:rPr>
        <w:drawing>
          <wp:inline distT="0" distB="0" distL="0" distR="0" wp14:anchorId="3A5CD3FC" wp14:editId="163D5014">
            <wp:extent cx="5130000" cy="2736000"/>
            <wp:effectExtent l="0" t="0" r="0" b="0"/>
            <wp:docPr id="31" name="Picture 3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130000" cy="2736000"/>
                    </a:xfrm>
                    <a:prstGeom prst="rect">
                      <a:avLst/>
                    </a:prstGeom>
                  </pic:spPr>
                </pic:pic>
              </a:graphicData>
            </a:graphic>
          </wp:inline>
        </w:drawing>
      </w:r>
    </w:p>
    <w:p w14:paraId="09C6CE34" w14:textId="52F8EA55" w:rsidR="00BC2D7A" w:rsidRPr="004F63E7" w:rsidRDefault="00BC2D7A" w:rsidP="00B97BF9">
      <w:pPr>
        <w:ind w:left="1985" w:right="2081"/>
        <w:jc w:val="center"/>
        <w:rPr>
          <w:rFonts w:eastAsia="Calibri" w:cs="Times New Roman"/>
          <w:i/>
          <w:sz w:val="16"/>
          <w:szCs w:val="18"/>
        </w:rPr>
      </w:pPr>
      <w:r w:rsidRPr="004F63E7">
        <w:rPr>
          <w:rFonts w:eastAsia="Calibri" w:cs="Times New Roman"/>
          <w:i/>
          <w:sz w:val="16"/>
          <w:szCs w:val="18"/>
        </w:rPr>
        <w:t xml:space="preserve">Source: </w:t>
      </w:r>
      <w:r>
        <w:rPr>
          <w:rFonts w:eastAsia="Calibri" w:cs="Times New Roman"/>
          <w:i/>
          <w:sz w:val="16"/>
          <w:szCs w:val="18"/>
        </w:rPr>
        <w:t>Patient</w:t>
      </w:r>
      <w:r w:rsidRPr="004F63E7">
        <w:rPr>
          <w:rFonts w:eastAsia="Calibri" w:cs="Times New Roman"/>
          <w:i/>
          <w:sz w:val="16"/>
          <w:szCs w:val="18"/>
        </w:rPr>
        <w:t xml:space="preserve"> survey </w:t>
      </w:r>
      <w:r>
        <w:rPr>
          <w:rFonts w:eastAsia="Calibri" w:cs="Times New Roman"/>
          <w:i/>
          <w:sz w:val="16"/>
          <w:szCs w:val="18"/>
        </w:rPr>
        <w:t>Wave 1</w:t>
      </w:r>
      <w:r w:rsidRPr="004F63E7">
        <w:rPr>
          <w:rFonts w:eastAsia="Calibri" w:cs="Times New Roman"/>
          <w:i/>
          <w:sz w:val="16"/>
          <w:szCs w:val="18"/>
        </w:rPr>
        <w:t xml:space="preserve">, </w:t>
      </w:r>
      <w:r w:rsidR="00DB6C01" w:rsidRPr="00DB6C01">
        <w:rPr>
          <w:rFonts w:eastAsia="Calibri" w:cs="Times New Roman"/>
          <w:i/>
          <w:sz w:val="16"/>
          <w:szCs w:val="18"/>
        </w:rPr>
        <w:t>Dec 2017–Mar 2019</w:t>
      </w:r>
      <w:r w:rsidR="00DB6C01">
        <w:rPr>
          <w:rFonts w:eastAsia="Calibri" w:cs="Times New Roman"/>
          <w:i/>
          <w:sz w:val="16"/>
          <w:szCs w:val="18"/>
        </w:rPr>
        <w:t xml:space="preserve">; </w:t>
      </w:r>
      <w:r w:rsidR="00B97BF9" w:rsidRPr="00B97BF9">
        <w:rPr>
          <w:rFonts w:eastAsia="Calibri" w:cs="Times New Roman"/>
          <w:i/>
          <w:sz w:val="16"/>
          <w:szCs w:val="18"/>
        </w:rPr>
        <w:t>Wave 2</w:t>
      </w:r>
      <w:r w:rsidR="00B97BF9">
        <w:rPr>
          <w:rFonts w:eastAsia="Calibri" w:cs="Times New Roman"/>
          <w:i/>
          <w:sz w:val="16"/>
          <w:szCs w:val="18"/>
        </w:rPr>
        <w:t xml:space="preserve">, </w:t>
      </w:r>
      <w:r w:rsidR="00B97BF9" w:rsidRPr="00B97BF9">
        <w:rPr>
          <w:rFonts w:eastAsia="Calibri" w:cs="Times New Roman"/>
          <w:i/>
          <w:sz w:val="16"/>
          <w:szCs w:val="18"/>
        </w:rPr>
        <w:t>Dec 2019–Mar 2020</w:t>
      </w:r>
      <w:r w:rsidR="00B97BF9">
        <w:rPr>
          <w:rFonts w:eastAsia="Calibri" w:cs="Times New Roman"/>
          <w:i/>
          <w:sz w:val="16"/>
          <w:szCs w:val="18"/>
        </w:rPr>
        <w:t xml:space="preserve">; and </w:t>
      </w:r>
      <w:r w:rsidR="00B97BF9" w:rsidRPr="00B97BF9">
        <w:rPr>
          <w:rFonts w:eastAsia="Calibri" w:cs="Times New Roman"/>
          <w:i/>
          <w:sz w:val="16"/>
          <w:szCs w:val="18"/>
        </w:rPr>
        <w:t>Wave 3 Mar–Apr 2021</w:t>
      </w:r>
      <w:r w:rsidR="00114C8E">
        <w:rPr>
          <w:rFonts w:eastAsia="Calibri" w:cs="Times New Roman"/>
          <w:i/>
          <w:sz w:val="16"/>
          <w:szCs w:val="18"/>
        </w:rPr>
        <w:t>.</w:t>
      </w:r>
    </w:p>
    <w:p w14:paraId="63503FE3" w14:textId="1ED11942" w:rsidR="00AE74AB" w:rsidRPr="004F63E7" w:rsidRDefault="00AE74AB" w:rsidP="00AE74AB">
      <w:r>
        <w:rPr>
          <w:lang w:eastAsia="en-AU"/>
        </w:rPr>
        <w:t xml:space="preserve">It is possible that levels of patient activation in the </w:t>
      </w:r>
      <w:r w:rsidRPr="004F63E7">
        <w:rPr>
          <w:lang w:eastAsia="en-AU"/>
        </w:rPr>
        <w:t xml:space="preserve">HCH </w:t>
      </w:r>
      <w:r>
        <w:rPr>
          <w:lang w:eastAsia="en-AU"/>
        </w:rPr>
        <w:t xml:space="preserve">patient cohort may have </w:t>
      </w:r>
      <w:r w:rsidR="00E305A4">
        <w:rPr>
          <w:lang w:eastAsia="en-AU"/>
        </w:rPr>
        <w:t>been</w:t>
      </w:r>
      <w:r>
        <w:rPr>
          <w:lang w:eastAsia="en-AU"/>
        </w:rPr>
        <w:t xml:space="preserve"> higher tha</w:t>
      </w:r>
      <w:r w:rsidR="006900B1">
        <w:rPr>
          <w:lang w:eastAsia="en-AU"/>
        </w:rPr>
        <w:t>n</w:t>
      </w:r>
      <w:r>
        <w:rPr>
          <w:lang w:eastAsia="en-AU"/>
        </w:rPr>
        <w:t xml:space="preserve"> similar patients in the general population. The proportion of patients in the most </w:t>
      </w:r>
      <w:r w:rsidR="009E3052">
        <w:rPr>
          <w:lang w:eastAsia="en-AU"/>
        </w:rPr>
        <w:t>“</w:t>
      </w:r>
      <w:r>
        <w:rPr>
          <w:lang w:eastAsia="en-AU"/>
        </w:rPr>
        <w:t xml:space="preserve">activated” categories were higher for the HCH cohort compared with a recent survey </w:t>
      </w:r>
      <w:r w:rsidRPr="004F63E7">
        <w:t>of patients with chronic disease drawn from the general Australian population.</w:t>
      </w:r>
      <w:r w:rsidRPr="004F63E7">
        <w:rPr>
          <w:color w:val="408BCA"/>
          <w:vertAlign w:val="superscript"/>
        </w:rPr>
        <w:footnoteReference w:id="64"/>
      </w:r>
      <w:r w:rsidRPr="004F63E7">
        <w:t xml:space="preserve"> </w:t>
      </w:r>
      <w:r>
        <w:rPr>
          <w:lang w:eastAsia="en-AU"/>
        </w:rPr>
        <w:t>Also, p</w:t>
      </w:r>
      <w:r w:rsidRPr="004F63E7">
        <w:rPr>
          <w:lang w:eastAsia="en-AU"/>
        </w:rPr>
        <w:t xml:space="preserve">ractices </w:t>
      </w:r>
      <w:r w:rsidRPr="004F63E7">
        <w:rPr>
          <w:lang w:eastAsia="en-AU"/>
        </w:rPr>
        <w:lastRenderedPageBreak/>
        <w:t xml:space="preserve">reported that they tended to target patients to enrol in HCH that they thought were more activated and willing to try new things: </w:t>
      </w:r>
    </w:p>
    <w:p w14:paraId="18AFE173" w14:textId="77777777" w:rsidR="00AE74AB" w:rsidRPr="004F63E7" w:rsidRDefault="00AE74AB" w:rsidP="00AE74AB">
      <w:pPr>
        <w:ind w:left="567" w:right="521"/>
        <w:rPr>
          <w:lang w:eastAsia="en-AU"/>
        </w:rPr>
      </w:pPr>
      <w:r w:rsidRPr="004F63E7">
        <w:rPr>
          <w:i/>
          <w:iCs/>
          <w:lang w:eastAsia="en-AU"/>
        </w:rPr>
        <w:t>“The experience that I’ve had so far, I would say, doesn’t encourage me to recruit those that I feel are less likely to proceed, because I sort of have to predict in my head: are they likely to be agreeable to anything I suggest? If they’re a patient that’s not likely to be agreeable, I might not even offer them the option, just because I know the effort that was required and the fruitless effort that I’ve experienced in the past.”</w:t>
      </w:r>
      <w:r w:rsidRPr="004F63E7">
        <w:rPr>
          <w:lang w:eastAsia="en-AU"/>
        </w:rPr>
        <w:t xml:space="preserve"> [GP, Practice 15, R4]</w:t>
      </w:r>
    </w:p>
    <w:p w14:paraId="2E68C787" w14:textId="593969DA" w:rsidR="00AE74AB" w:rsidRPr="004F63E7" w:rsidRDefault="0087126D" w:rsidP="00AE74AB">
      <w:pPr>
        <w:ind w:left="567" w:right="521"/>
        <w:rPr>
          <w:lang w:eastAsia="en-AU"/>
        </w:rPr>
      </w:pPr>
      <w:r>
        <w:rPr>
          <w:i/>
          <w:iCs/>
          <w:lang w:eastAsia="en-AU"/>
        </w:rPr>
        <w:t>“</w:t>
      </w:r>
      <w:r w:rsidR="00AE74AB" w:rsidRPr="004F63E7">
        <w:rPr>
          <w:i/>
          <w:iCs/>
          <w:lang w:eastAsia="en-AU"/>
        </w:rPr>
        <w:t xml:space="preserve">…I suppose my issue with the trial is that it’s a difficult trial because it’s individual practices who cherry picked their patients, so I don’t know if it’s a particularly robust trial because the data that you get, we picked patients who want to do well, so their numbers or the fact that they come back, you know, you’re going to get those numbers.” </w:t>
      </w:r>
      <w:r w:rsidR="00AE74AB" w:rsidRPr="004F63E7">
        <w:rPr>
          <w:lang w:eastAsia="en-AU"/>
        </w:rPr>
        <w:t>[GP2, Practice 18, R4]</w:t>
      </w:r>
    </w:p>
    <w:p w14:paraId="04BB5C37" w14:textId="01813976" w:rsidR="00AE74AB" w:rsidRPr="004F63E7" w:rsidRDefault="00AE74AB" w:rsidP="00AE74AB">
      <w:r>
        <w:t>I</w:t>
      </w:r>
      <w:r w:rsidRPr="004F63E7">
        <w:t xml:space="preserve">n </w:t>
      </w:r>
      <w:r w:rsidRPr="004F63E7">
        <w:rPr>
          <w:lang w:eastAsia="en-AU"/>
        </w:rPr>
        <w:t xml:space="preserve">the practice survey, almost all practices perceived an improvement in the level of </w:t>
      </w:r>
      <w:r w:rsidR="00596393" w:rsidRPr="004F63E7">
        <w:t xml:space="preserve">engagement/activation </w:t>
      </w:r>
      <w:r w:rsidRPr="004F63E7">
        <w:rPr>
          <w:lang w:eastAsia="en-AU"/>
        </w:rPr>
        <w:t>of patients during the trial (</w:t>
      </w:r>
      <w:r w:rsidR="002E77B4" w:rsidRPr="002E77B4">
        <w:rPr>
          <w:rFonts w:eastAsiaTheme="minorEastAsia"/>
          <w:color w:val="1D2455"/>
          <w:szCs w:val="20"/>
          <w:lang w:eastAsia="en-AU"/>
        </w:rPr>
        <w:fldChar w:fldCharType="begin"/>
      </w:r>
      <w:r w:rsidR="002E77B4" w:rsidRPr="002E77B4">
        <w:rPr>
          <w:rFonts w:eastAsiaTheme="minorEastAsia"/>
          <w:color w:val="1D2455"/>
          <w:szCs w:val="20"/>
          <w:lang w:eastAsia="en-AU"/>
        </w:rPr>
        <w:instrText xml:space="preserve"> REF _Ref99124672 \h </w:instrText>
      </w:r>
      <w:r w:rsidR="002E77B4">
        <w:rPr>
          <w:rFonts w:eastAsiaTheme="minorEastAsia"/>
          <w:color w:val="1D2455"/>
          <w:szCs w:val="20"/>
          <w:lang w:eastAsia="en-AU"/>
        </w:rPr>
        <w:instrText xml:space="preserve"> \* MERGEFORMAT </w:instrText>
      </w:r>
      <w:r w:rsidR="002E77B4" w:rsidRPr="002E77B4">
        <w:rPr>
          <w:rFonts w:eastAsiaTheme="minorEastAsia"/>
          <w:color w:val="1D2455"/>
          <w:szCs w:val="20"/>
          <w:lang w:eastAsia="en-AU"/>
        </w:rPr>
      </w:r>
      <w:r w:rsidR="002E77B4" w:rsidRPr="002E77B4">
        <w:rPr>
          <w:rFonts w:eastAsiaTheme="minorEastAsia"/>
          <w:color w:val="1D2455"/>
          <w:szCs w:val="20"/>
          <w:lang w:eastAsia="en-AU"/>
        </w:rPr>
        <w:fldChar w:fldCharType="separate"/>
      </w:r>
      <w:r w:rsidR="003C4BC2" w:rsidRPr="004F63E7">
        <w:rPr>
          <w:rFonts w:eastAsiaTheme="minorEastAsia"/>
          <w:color w:val="1D2455"/>
          <w:szCs w:val="20"/>
          <w:lang w:eastAsia="en-AU"/>
        </w:rPr>
        <w:t xml:space="preserve">Table </w:t>
      </w:r>
      <w:r w:rsidR="003C4BC2">
        <w:rPr>
          <w:rFonts w:eastAsiaTheme="minorEastAsia"/>
          <w:color w:val="1D2455"/>
          <w:szCs w:val="20"/>
          <w:lang w:eastAsia="en-AU"/>
        </w:rPr>
        <w:t>24</w:t>
      </w:r>
      <w:r w:rsidR="002E77B4" w:rsidRPr="002E77B4">
        <w:rPr>
          <w:rFonts w:eastAsiaTheme="minorEastAsia"/>
          <w:color w:val="1D2455"/>
          <w:szCs w:val="20"/>
          <w:lang w:eastAsia="en-AU"/>
        </w:rPr>
        <w:fldChar w:fldCharType="end"/>
      </w:r>
      <w:r w:rsidR="002E77B4">
        <w:rPr>
          <w:lang w:eastAsia="en-AU"/>
        </w:rPr>
        <w:t>)</w:t>
      </w:r>
      <w:r w:rsidRPr="004F63E7">
        <w:rPr>
          <w:lang w:eastAsia="en-AU"/>
        </w:rPr>
        <w:t xml:space="preserve">. </w:t>
      </w:r>
      <w:r w:rsidRPr="004F63E7">
        <w:t xml:space="preserve">The disagreement between the patient survey and practices’ reports of changes in patient engagement/activation </w:t>
      </w:r>
      <w:r w:rsidR="009E3052">
        <w:t>is</w:t>
      </w:r>
      <w:r w:rsidRPr="004F63E7">
        <w:t xml:space="preserve"> possibly due to the </w:t>
      </w:r>
      <w:r w:rsidRPr="007856EE">
        <w:t>PAM measuring patient activation in a different way to which practice staff judge</w:t>
      </w:r>
      <w:r w:rsidR="00596393">
        <w:t xml:space="preserve">d patient </w:t>
      </w:r>
      <w:r w:rsidR="00596393" w:rsidRPr="004F63E7">
        <w:t>engagement/activation</w:t>
      </w:r>
      <w:r w:rsidRPr="007856EE">
        <w:t xml:space="preserve">. Another possible explanation is that practices have a more positive perception of changes that have occurred compared with patients, for example, being influenced by </w:t>
      </w:r>
      <w:r w:rsidRPr="004F63E7">
        <w:t>exceptions rather than the norm when responding to the question.</w:t>
      </w:r>
    </w:p>
    <w:p w14:paraId="31A1289F" w14:textId="6FCA2F38" w:rsidR="00E305A4" w:rsidRDefault="00AE74AB" w:rsidP="00E305A4">
      <w:pPr>
        <w:spacing w:after="0"/>
        <w:jc w:val="center"/>
        <w:rPr>
          <w:rFonts w:eastAsiaTheme="minorEastAsia"/>
          <w:color w:val="1D2455"/>
          <w:szCs w:val="20"/>
          <w:lang w:eastAsia="en-AU"/>
        </w:rPr>
      </w:pPr>
      <w:bookmarkStart w:id="191" w:name="_Ref99124672"/>
      <w:r w:rsidRPr="004F63E7">
        <w:rPr>
          <w:rFonts w:eastAsiaTheme="minorEastAsia"/>
          <w:color w:val="1D2455"/>
          <w:szCs w:val="20"/>
          <w:lang w:eastAsia="en-AU"/>
        </w:rPr>
        <w:t xml:space="preserve">Table </w:t>
      </w:r>
      <w:r w:rsidRPr="004F63E7">
        <w:rPr>
          <w:rFonts w:eastAsiaTheme="minorEastAsia"/>
          <w:color w:val="1D2455"/>
          <w:szCs w:val="20"/>
          <w:lang w:eastAsia="en-AU"/>
        </w:rPr>
        <w:fldChar w:fldCharType="begin"/>
      </w:r>
      <w:r w:rsidRPr="004F63E7">
        <w:rPr>
          <w:rFonts w:eastAsiaTheme="minorEastAsia"/>
          <w:color w:val="1D2455"/>
          <w:szCs w:val="20"/>
          <w:lang w:eastAsia="en-AU"/>
        </w:rPr>
        <w:instrText xml:space="preserve"> SEQ Table \* ARABIC </w:instrText>
      </w:r>
      <w:r w:rsidRPr="004F63E7">
        <w:rPr>
          <w:rFonts w:eastAsiaTheme="minorEastAsia"/>
          <w:color w:val="1D2455"/>
          <w:szCs w:val="20"/>
          <w:lang w:eastAsia="en-AU"/>
        </w:rPr>
        <w:fldChar w:fldCharType="separate"/>
      </w:r>
      <w:r w:rsidR="003C4BC2">
        <w:rPr>
          <w:rFonts w:eastAsiaTheme="minorEastAsia"/>
          <w:noProof/>
          <w:color w:val="1D2455"/>
          <w:szCs w:val="20"/>
          <w:lang w:eastAsia="en-AU"/>
        </w:rPr>
        <w:t>24</w:t>
      </w:r>
      <w:r w:rsidRPr="004F63E7">
        <w:rPr>
          <w:rFonts w:eastAsiaTheme="minorEastAsia"/>
          <w:color w:val="1D2455"/>
          <w:szCs w:val="20"/>
          <w:lang w:eastAsia="en-AU"/>
        </w:rPr>
        <w:fldChar w:fldCharType="end"/>
      </w:r>
      <w:bookmarkEnd w:id="191"/>
      <w:r w:rsidRPr="004F63E7">
        <w:rPr>
          <w:rFonts w:eastAsiaTheme="minorEastAsia"/>
          <w:color w:val="1D2455"/>
          <w:szCs w:val="20"/>
          <w:lang w:eastAsia="en-AU"/>
        </w:rPr>
        <w:t xml:space="preserve">: Practices’ perceptions about improvements in </w:t>
      </w:r>
    </w:p>
    <w:p w14:paraId="22CD591D" w14:textId="2D1249AC" w:rsidR="00AE74AB" w:rsidRPr="004F63E7" w:rsidRDefault="00AE74AB" w:rsidP="00AE74AB">
      <w:pPr>
        <w:spacing w:after="60"/>
        <w:jc w:val="center"/>
        <w:rPr>
          <w:rFonts w:eastAsiaTheme="minorEastAsia"/>
          <w:color w:val="1D2455"/>
          <w:szCs w:val="20"/>
          <w:lang w:eastAsia="en-AU"/>
        </w:rPr>
      </w:pPr>
      <w:r w:rsidRPr="004F63E7">
        <w:rPr>
          <w:rFonts w:eastAsiaTheme="minorEastAsia"/>
          <w:color w:val="1D2455"/>
          <w:szCs w:val="20"/>
          <w:lang w:eastAsia="en-AU"/>
        </w:rPr>
        <w:t>the level of engagement/activation of HCH patients</w:t>
      </w:r>
    </w:p>
    <w:tbl>
      <w:tblPr>
        <w:tblW w:w="3263"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750"/>
        <w:gridCol w:w="2134"/>
      </w:tblGrid>
      <w:tr w:rsidR="00AE74AB" w:rsidRPr="004C3CCB" w14:paraId="39584B20" w14:textId="77777777" w:rsidTr="004C3CCB">
        <w:trPr>
          <w:jc w:val="center"/>
        </w:trPr>
        <w:tc>
          <w:tcPr>
            <w:tcW w:w="3187" w:type="pct"/>
            <w:shd w:val="clear" w:color="auto" w:fill="408BCA"/>
            <w:vAlign w:val="center"/>
          </w:tcPr>
          <w:p w14:paraId="3AE06AAD" w14:textId="77777777" w:rsidR="00AE74AB" w:rsidRPr="004C3CCB" w:rsidRDefault="00AE74AB" w:rsidP="004C3CCB">
            <w:pPr>
              <w:spacing w:after="0"/>
              <w:ind w:right="102"/>
              <w:jc w:val="center"/>
              <w:rPr>
                <w:rFonts w:eastAsia="Century Gothic" w:cs="Century Gothic"/>
                <w:b/>
                <w:bCs/>
                <w:color w:val="000000"/>
                <w:sz w:val="18"/>
                <w:szCs w:val="18"/>
              </w:rPr>
            </w:pPr>
            <w:r w:rsidRPr="004C3CCB">
              <w:rPr>
                <w:rFonts w:eastAsia="Century Gothic" w:cs="Century Gothic"/>
                <w:b/>
                <w:bCs/>
                <w:color w:val="FFFFFF"/>
                <w:sz w:val="18"/>
                <w:szCs w:val="18"/>
              </w:rPr>
              <w:t>Improvement in the level of engagement/activation of patients</w:t>
            </w:r>
          </w:p>
        </w:tc>
        <w:tc>
          <w:tcPr>
            <w:tcW w:w="1813" w:type="pct"/>
            <w:shd w:val="clear" w:color="auto" w:fill="408BCA"/>
            <w:vAlign w:val="center"/>
          </w:tcPr>
          <w:p w14:paraId="4E695114" w14:textId="77777777" w:rsidR="00AE74AB" w:rsidRPr="004C3CCB" w:rsidRDefault="00AE74AB" w:rsidP="004C3CCB">
            <w:pPr>
              <w:spacing w:after="0"/>
              <w:ind w:left="102" w:right="102"/>
              <w:jc w:val="center"/>
              <w:rPr>
                <w:rFonts w:eastAsia="Century Gothic" w:cs="Century Gothic"/>
                <w:b/>
                <w:bCs/>
                <w:color w:val="000000"/>
                <w:sz w:val="18"/>
                <w:szCs w:val="18"/>
              </w:rPr>
            </w:pPr>
            <w:r w:rsidRPr="004C3CCB">
              <w:rPr>
                <w:rFonts w:eastAsia="Century Gothic" w:cs="Century Gothic"/>
                <w:b/>
                <w:bCs/>
                <w:color w:val="FFFFFF"/>
                <w:sz w:val="18"/>
                <w:szCs w:val="18"/>
              </w:rPr>
              <w:t>No. of practices (%)</w:t>
            </w:r>
          </w:p>
        </w:tc>
      </w:tr>
      <w:tr w:rsidR="00AE74AB" w:rsidRPr="004F63E7" w14:paraId="54E5AFB6" w14:textId="77777777" w:rsidTr="004C3CCB">
        <w:trPr>
          <w:jc w:val="center"/>
        </w:trPr>
        <w:tc>
          <w:tcPr>
            <w:tcW w:w="3187" w:type="pct"/>
          </w:tcPr>
          <w:p w14:paraId="0B46E2D2" w14:textId="77777777" w:rsidR="00AE74AB" w:rsidRPr="004F63E7" w:rsidRDefault="00AE74AB" w:rsidP="00CA2A66">
            <w:pPr>
              <w:spacing w:after="0"/>
              <w:ind w:right="102"/>
              <w:rPr>
                <w:sz w:val="18"/>
                <w:szCs w:val="18"/>
              </w:rPr>
            </w:pPr>
            <w:r w:rsidRPr="004F63E7">
              <w:rPr>
                <w:rFonts w:eastAsia="Century Gothic" w:cs="Century Gothic"/>
                <w:color w:val="000000"/>
                <w:sz w:val="18"/>
                <w:szCs w:val="18"/>
              </w:rPr>
              <w:t xml:space="preserve">Significant improvement </w:t>
            </w:r>
          </w:p>
        </w:tc>
        <w:tc>
          <w:tcPr>
            <w:tcW w:w="1813" w:type="pct"/>
          </w:tcPr>
          <w:p w14:paraId="39783DC0"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9 (12.3%)</w:t>
            </w:r>
          </w:p>
        </w:tc>
      </w:tr>
      <w:tr w:rsidR="00AE74AB" w:rsidRPr="004F63E7" w14:paraId="24DD1B3C" w14:textId="77777777" w:rsidTr="004C3CCB">
        <w:trPr>
          <w:jc w:val="center"/>
        </w:trPr>
        <w:tc>
          <w:tcPr>
            <w:tcW w:w="3187" w:type="pct"/>
          </w:tcPr>
          <w:p w14:paraId="0A92C578" w14:textId="77777777" w:rsidR="00AE74AB" w:rsidRPr="004F63E7" w:rsidRDefault="00AE74AB" w:rsidP="00CA2A66">
            <w:pPr>
              <w:spacing w:after="0"/>
              <w:ind w:right="102"/>
              <w:rPr>
                <w:sz w:val="18"/>
                <w:szCs w:val="18"/>
              </w:rPr>
            </w:pPr>
            <w:r w:rsidRPr="004F63E7">
              <w:rPr>
                <w:rFonts w:eastAsia="Century Gothic" w:cs="Century Gothic"/>
                <w:color w:val="000000"/>
                <w:sz w:val="18"/>
                <w:szCs w:val="18"/>
              </w:rPr>
              <w:t xml:space="preserve">Moderate improvement </w:t>
            </w:r>
          </w:p>
        </w:tc>
        <w:tc>
          <w:tcPr>
            <w:tcW w:w="1813" w:type="pct"/>
          </w:tcPr>
          <w:p w14:paraId="3BAE32BC"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33 (45.2%)</w:t>
            </w:r>
          </w:p>
        </w:tc>
      </w:tr>
      <w:tr w:rsidR="00AE74AB" w:rsidRPr="004F63E7" w14:paraId="14C81BB7" w14:textId="77777777" w:rsidTr="004C3CCB">
        <w:trPr>
          <w:jc w:val="center"/>
        </w:trPr>
        <w:tc>
          <w:tcPr>
            <w:tcW w:w="3187" w:type="pct"/>
          </w:tcPr>
          <w:p w14:paraId="516A8478" w14:textId="77777777" w:rsidR="00AE74AB" w:rsidRPr="004F63E7" w:rsidRDefault="00AE74AB" w:rsidP="00CA2A66">
            <w:pPr>
              <w:spacing w:after="0"/>
              <w:ind w:right="102"/>
              <w:rPr>
                <w:rFonts w:eastAsia="Century Gothic" w:cs="Century Gothic"/>
                <w:color w:val="000000"/>
                <w:sz w:val="18"/>
                <w:szCs w:val="18"/>
              </w:rPr>
            </w:pPr>
            <w:r w:rsidRPr="004F63E7">
              <w:rPr>
                <w:rFonts w:eastAsia="Century Gothic" w:cs="Century Gothic"/>
                <w:color w:val="000000"/>
                <w:sz w:val="18"/>
                <w:szCs w:val="18"/>
              </w:rPr>
              <w:t xml:space="preserve">Small improvement </w:t>
            </w:r>
          </w:p>
        </w:tc>
        <w:tc>
          <w:tcPr>
            <w:tcW w:w="1813" w:type="pct"/>
          </w:tcPr>
          <w:p w14:paraId="7E68C7DB" w14:textId="77777777" w:rsidR="00AE74AB" w:rsidRPr="004F63E7" w:rsidRDefault="00AE74AB" w:rsidP="00CA2A66">
            <w:pPr>
              <w:spacing w:after="0"/>
              <w:ind w:left="102" w:right="102"/>
              <w:jc w:val="right"/>
              <w:rPr>
                <w:rFonts w:eastAsia="Century Gothic" w:cs="Century Gothic"/>
                <w:color w:val="000000"/>
                <w:sz w:val="18"/>
                <w:szCs w:val="18"/>
              </w:rPr>
            </w:pPr>
            <w:r w:rsidRPr="004F63E7">
              <w:rPr>
                <w:rFonts w:eastAsia="Century Gothic" w:cs="Century Gothic"/>
                <w:color w:val="000000"/>
                <w:sz w:val="18"/>
                <w:szCs w:val="18"/>
              </w:rPr>
              <w:t>19 (26.0%)</w:t>
            </w:r>
          </w:p>
        </w:tc>
      </w:tr>
      <w:tr w:rsidR="00AE74AB" w:rsidRPr="004F63E7" w14:paraId="2D612A76" w14:textId="77777777" w:rsidTr="004C3CCB">
        <w:trPr>
          <w:jc w:val="center"/>
        </w:trPr>
        <w:tc>
          <w:tcPr>
            <w:tcW w:w="3187" w:type="pct"/>
          </w:tcPr>
          <w:p w14:paraId="5BDBF865" w14:textId="77777777" w:rsidR="00AE74AB" w:rsidRPr="004F63E7" w:rsidRDefault="00AE74AB" w:rsidP="00CA2A66">
            <w:pPr>
              <w:spacing w:after="0"/>
              <w:ind w:right="102"/>
              <w:rPr>
                <w:sz w:val="18"/>
                <w:szCs w:val="18"/>
              </w:rPr>
            </w:pPr>
            <w:r w:rsidRPr="004F63E7">
              <w:rPr>
                <w:rFonts w:eastAsia="Century Gothic" w:cs="Century Gothic"/>
                <w:color w:val="000000"/>
                <w:sz w:val="18"/>
                <w:szCs w:val="18"/>
              </w:rPr>
              <w:t>No improvement/reduction</w:t>
            </w:r>
          </w:p>
        </w:tc>
        <w:tc>
          <w:tcPr>
            <w:tcW w:w="1813" w:type="pct"/>
          </w:tcPr>
          <w:p w14:paraId="20D52E62"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8 (11.0%)</w:t>
            </w:r>
          </w:p>
        </w:tc>
      </w:tr>
      <w:tr w:rsidR="00AE74AB" w:rsidRPr="004F63E7" w14:paraId="2D4F0809" w14:textId="77777777" w:rsidTr="004C3CCB">
        <w:trPr>
          <w:jc w:val="center"/>
        </w:trPr>
        <w:tc>
          <w:tcPr>
            <w:tcW w:w="3187" w:type="pct"/>
          </w:tcPr>
          <w:p w14:paraId="03A6C7F0" w14:textId="77777777" w:rsidR="00AE74AB" w:rsidRPr="004F63E7" w:rsidRDefault="00AE74AB" w:rsidP="00CA2A66">
            <w:pPr>
              <w:spacing w:after="0"/>
              <w:ind w:right="102"/>
              <w:rPr>
                <w:sz w:val="18"/>
                <w:szCs w:val="18"/>
              </w:rPr>
            </w:pPr>
            <w:r w:rsidRPr="004F63E7">
              <w:rPr>
                <w:rFonts w:eastAsia="Century Gothic" w:cs="Century Gothic"/>
                <w:color w:val="000000"/>
                <w:sz w:val="18"/>
                <w:szCs w:val="18"/>
              </w:rPr>
              <w:t>Can't say/don't know</w:t>
            </w:r>
          </w:p>
        </w:tc>
        <w:tc>
          <w:tcPr>
            <w:tcW w:w="1813" w:type="pct"/>
          </w:tcPr>
          <w:p w14:paraId="3050F836"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4 (5.5%)</w:t>
            </w:r>
          </w:p>
        </w:tc>
      </w:tr>
      <w:tr w:rsidR="00AE74AB" w:rsidRPr="004F63E7" w14:paraId="00E0DF09" w14:textId="77777777" w:rsidTr="004C3CCB">
        <w:trPr>
          <w:jc w:val="center"/>
        </w:trPr>
        <w:tc>
          <w:tcPr>
            <w:tcW w:w="3187" w:type="pct"/>
          </w:tcPr>
          <w:p w14:paraId="4BF401A2" w14:textId="77777777" w:rsidR="00AE74AB" w:rsidRPr="004F63E7" w:rsidRDefault="00AE74AB" w:rsidP="00CA2A66">
            <w:pPr>
              <w:spacing w:after="0"/>
              <w:ind w:right="102"/>
              <w:rPr>
                <w:rFonts w:eastAsia="Century Gothic" w:cs="Century Gothic"/>
                <w:b/>
                <w:bCs/>
                <w:color w:val="000000"/>
                <w:sz w:val="18"/>
                <w:szCs w:val="18"/>
              </w:rPr>
            </w:pPr>
            <w:r w:rsidRPr="004F63E7">
              <w:rPr>
                <w:rFonts w:eastAsia="Century Gothic" w:cs="Century Gothic"/>
                <w:b/>
                <w:bCs/>
                <w:color w:val="000000"/>
                <w:sz w:val="18"/>
                <w:szCs w:val="18"/>
              </w:rPr>
              <w:t>Total</w:t>
            </w:r>
          </w:p>
        </w:tc>
        <w:tc>
          <w:tcPr>
            <w:tcW w:w="1813" w:type="pct"/>
          </w:tcPr>
          <w:p w14:paraId="6AEF7ED0" w14:textId="77777777" w:rsidR="00AE74AB" w:rsidRPr="004F63E7" w:rsidRDefault="00AE74AB" w:rsidP="00CA2A66">
            <w:pPr>
              <w:spacing w:after="0"/>
              <w:ind w:left="102" w:right="102"/>
              <w:jc w:val="right"/>
              <w:rPr>
                <w:rFonts w:eastAsia="Century Gothic" w:cs="Century Gothic"/>
                <w:b/>
                <w:bCs/>
                <w:color w:val="000000"/>
                <w:sz w:val="18"/>
                <w:szCs w:val="18"/>
              </w:rPr>
            </w:pPr>
            <w:r w:rsidRPr="004F63E7">
              <w:rPr>
                <w:rFonts w:eastAsia="Century Gothic" w:cs="Century Gothic"/>
                <w:b/>
                <w:bCs/>
                <w:color w:val="000000"/>
                <w:sz w:val="18"/>
                <w:szCs w:val="18"/>
              </w:rPr>
              <w:t>73 (100%)</w:t>
            </w:r>
          </w:p>
        </w:tc>
      </w:tr>
    </w:tbl>
    <w:p w14:paraId="4DD91E48" w14:textId="668B9913" w:rsidR="00AE74AB" w:rsidRPr="004F63E7" w:rsidRDefault="00AE74AB" w:rsidP="00AE74AB">
      <w:pPr>
        <w:ind w:left="1985" w:right="2081"/>
        <w:jc w:val="center"/>
        <w:rPr>
          <w:rFonts w:eastAsia="Calibri" w:cs="Times New Roman"/>
          <w:i/>
          <w:sz w:val="16"/>
          <w:szCs w:val="18"/>
        </w:rPr>
      </w:pPr>
      <w:r w:rsidRPr="004F63E7">
        <w:rPr>
          <w:rFonts w:eastAsia="Calibri" w:cs="Times New Roman"/>
          <w:i/>
          <w:sz w:val="16"/>
          <w:szCs w:val="18"/>
        </w:rPr>
        <w:t xml:space="preserve">Source: Practice survey R5, </w:t>
      </w:r>
      <w:r w:rsidR="00BC2D7A">
        <w:rPr>
          <w:rFonts w:eastAsia="Calibri" w:cs="Times New Roman"/>
          <w:i/>
          <w:sz w:val="16"/>
          <w:szCs w:val="18"/>
        </w:rPr>
        <w:t>Mar–May</w:t>
      </w:r>
      <w:r w:rsidRPr="004F63E7">
        <w:rPr>
          <w:rFonts w:eastAsia="Calibri" w:cs="Times New Roman"/>
          <w:i/>
          <w:sz w:val="16"/>
          <w:szCs w:val="18"/>
        </w:rPr>
        <w:t xml:space="preserve"> 2021, question 6.</w:t>
      </w:r>
    </w:p>
    <w:p w14:paraId="1D6B8AF9" w14:textId="2824BE0D" w:rsidR="00AE74AB" w:rsidRPr="004F63E7" w:rsidRDefault="00AE74AB" w:rsidP="00AE74AB">
      <w:pPr>
        <w:rPr>
          <w:lang w:val="en-GB"/>
        </w:rPr>
      </w:pPr>
      <w:r w:rsidRPr="004F63E7">
        <w:t xml:space="preserve">Practices attributed improvements they observed in their HCH patients in engagement, health literacy and self-management to </w:t>
      </w:r>
      <w:r w:rsidR="00DB7E03">
        <w:t>the</w:t>
      </w:r>
      <w:r w:rsidRPr="004F63E7">
        <w:t xml:space="preserve"> education </w:t>
      </w:r>
      <w:r w:rsidR="00DB7E03">
        <w:t>they provided to patients</w:t>
      </w:r>
      <w:r w:rsidRPr="004F63E7">
        <w:t xml:space="preserve"> and team care</w:t>
      </w:r>
      <w:r w:rsidR="0058266C">
        <w:t>. They commented that with team care</w:t>
      </w:r>
      <w:r w:rsidRPr="004F63E7">
        <w:t xml:space="preserve"> patients had </w:t>
      </w:r>
      <w:r w:rsidR="0058266C">
        <w:t xml:space="preserve">more time with </w:t>
      </w:r>
      <w:r w:rsidRPr="004F63E7">
        <w:t xml:space="preserve">nurses to talk to them about their conditions through </w:t>
      </w:r>
      <w:r w:rsidR="00D23A86">
        <w:t>various modes</w:t>
      </w:r>
      <w:r w:rsidRPr="004F63E7">
        <w:t xml:space="preserve"> of communication.</w:t>
      </w:r>
      <w:r w:rsidR="00A561EE">
        <w:t xml:space="preserve"> </w:t>
      </w:r>
    </w:p>
    <w:p w14:paraId="41BF3717" w14:textId="77777777" w:rsidR="00AE74AB" w:rsidRPr="004F63E7" w:rsidRDefault="00AE74AB" w:rsidP="00AE74AB">
      <w:pPr>
        <w:rPr>
          <w:lang w:val="en-GB"/>
        </w:rPr>
      </w:pPr>
      <w:r w:rsidRPr="004F63E7">
        <w:rPr>
          <w:lang w:val="en-GB"/>
        </w:rPr>
        <w:t>Some also felt that the practice being more proactive in looking after their patients encouraged patients to take more responsibility for their health and be more involved in their care:</w:t>
      </w:r>
    </w:p>
    <w:p w14:paraId="323A58B5" w14:textId="41DCDCE0" w:rsidR="00D130C5" w:rsidRDefault="00AE74AB" w:rsidP="003745B5">
      <w:pPr>
        <w:ind w:left="567" w:right="521"/>
        <w:rPr>
          <w:lang w:val="en-GB"/>
        </w:rPr>
      </w:pPr>
      <w:r w:rsidRPr="004F63E7">
        <w:rPr>
          <w:i/>
          <w:iCs/>
          <w:lang w:val="en-GB"/>
        </w:rPr>
        <w:t>“If they don’t come to see a doctor, then they have to bear the consequence. We don’t force them to come and see us.</w:t>
      </w:r>
      <w:r w:rsidRPr="004F63E7">
        <w:rPr>
          <w:rFonts w:ascii="Tahoma" w:hAnsi="Tahoma" w:cs="Tahoma"/>
          <w:i/>
          <w:iCs/>
          <w:lang w:val="en-GB"/>
        </w:rPr>
        <w:t xml:space="preserve"> </w:t>
      </w:r>
      <w:r w:rsidRPr="004F63E7">
        <w:rPr>
          <w:i/>
          <w:iCs/>
          <w:lang w:val="en-GB"/>
        </w:rPr>
        <w:t xml:space="preserve">But now with this particular program, the responsibility is shifted over to our clinic, our doctor, and to our nursing staff. So…[we]…recall them and we have to spend a lot of time checking their results, </w:t>
      </w:r>
      <w:r w:rsidRPr="004F63E7">
        <w:rPr>
          <w:i/>
          <w:iCs/>
          <w:lang w:val="en-GB"/>
        </w:rPr>
        <w:lastRenderedPageBreak/>
        <w:t>whether they comply with all sort of thing that we expect them to do, so of course, this has become interactive.”</w:t>
      </w:r>
      <w:r w:rsidRPr="004F63E7">
        <w:rPr>
          <w:lang w:val="en-GB"/>
        </w:rPr>
        <w:t xml:space="preserve"> [GP, Practice 3, R5]</w:t>
      </w:r>
    </w:p>
    <w:p w14:paraId="14F1FB4F" w14:textId="3477929D" w:rsidR="00FC2F0E" w:rsidRDefault="00D130C5" w:rsidP="00D23A86">
      <w:pPr>
        <w:rPr>
          <w:lang w:val="en-GB"/>
        </w:rPr>
      </w:pPr>
      <w:r>
        <w:rPr>
          <w:lang w:val="en-GB"/>
        </w:rPr>
        <w:t>Staff responding to the staff survey</w:t>
      </w:r>
      <w:r w:rsidR="007D04A3">
        <w:rPr>
          <w:lang w:val="en-GB"/>
        </w:rPr>
        <w:t xml:space="preserve"> reported that there were improvements in </w:t>
      </w:r>
      <w:r w:rsidR="00714999">
        <w:rPr>
          <w:lang w:val="en-GB"/>
        </w:rPr>
        <w:t xml:space="preserve">ways in which practice staff communicated with </w:t>
      </w:r>
      <w:r w:rsidR="00A31BFC">
        <w:rPr>
          <w:lang w:val="en-GB"/>
        </w:rPr>
        <w:t>patients</w:t>
      </w:r>
      <w:r w:rsidR="00714999">
        <w:rPr>
          <w:lang w:val="en-GB"/>
        </w:rPr>
        <w:t xml:space="preserve"> (</w:t>
      </w:r>
      <w:r w:rsidR="00714999" w:rsidRPr="003745B5">
        <w:rPr>
          <w:szCs w:val="20"/>
          <w:lang w:val="en-GB"/>
        </w:rPr>
        <w:fldChar w:fldCharType="begin"/>
      </w:r>
      <w:r w:rsidR="00714999" w:rsidRPr="003745B5">
        <w:rPr>
          <w:szCs w:val="20"/>
          <w:lang w:val="en-GB"/>
        </w:rPr>
        <w:instrText xml:space="preserve"> REF _Ref99117353 \h </w:instrText>
      </w:r>
      <w:r w:rsidR="003745B5">
        <w:rPr>
          <w:szCs w:val="20"/>
          <w:lang w:val="en-GB"/>
        </w:rPr>
        <w:instrText xml:space="preserve"> \* MERGEFORMAT </w:instrText>
      </w:r>
      <w:r w:rsidR="00714999" w:rsidRPr="003745B5">
        <w:rPr>
          <w:szCs w:val="20"/>
          <w:lang w:val="en-GB"/>
        </w:rPr>
      </w:r>
      <w:r w:rsidR="00714999" w:rsidRPr="003745B5">
        <w:rPr>
          <w:szCs w:val="20"/>
          <w:lang w:val="en-GB"/>
        </w:rPr>
        <w:fldChar w:fldCharType="separate"/>
      </w:r>
      <w:r w:rsidR="003C4BC2" w:rsidRPr="003C4BC2">
        <w:rPr>
          <w:rFonts w:eastAsiaTheme="minorEastAsia"/>
          <w:bCs/>
          <w:szCs w:val="20"/>
          <w:lang w:eastAsia="en-AU"/>
        </w:rPr>
        <w:t xml:space="preserve">Figure </w:t>
      </w:r>
      <w:r w:rsidR="003C4BC2" w:rsidRPr="003C4BC2">
        <w:rPr>
          <w:rStyle w:val="Strong1"/>
          <w:b w:val="0"/>
          <w:noProof/>
          <w:sz w:val="20"/>
          <w:szCs w:val="20"/>
        </w:rPr>
        <w:t>17</w:t>
      </w:r>
      <w:r w:rsidR="00714999" w:rsidRPr="003745B5">
        <w:rPr>
          <w:szCs w:val="20"/>
          <w:lang w:val="en-GB"/>
        </w:rPr>
        <w:fldChar w:fldCharType="end"/>
      </w:r>
      <w:r w:rsidR="00714999">
        <w:rPr>
          <w:lang w:val="en-GB"/>
        </w:rPr>
        <w:t>)</w:t>
      </w:r>
      <w:r w:rsidR="00FC2F0E">
        <w:rPr>
          <w:lang w:val="en-GB"/>
        </w:rPr>
        <w:t>.</w:t>
      </w:r>
    </w:p>
    <w:p w14:paraId="1D1E2EB4" w14:textId="3370152F" w:rsidR="00D130C5" w:rsidRPr="00FC2F0E" w:rsidRDefault="00D130C5" w:rsidP="00FC2F0E">
      <w:pPr>
        <w:pStyle w:val="TableorFigurecaptionHPA"/>
      </w:pPr>
      <w:bookmarkStart w:id="192" w:name="_Ref99117353"/>
      <w:bookmarkStart w:id="193" w:name="_Ref99117349"/>
      <w:r w:rsidRPr="00FC2F0E">
        <w:t xml:space="preserve">Figure </w:t>
      </w:r>
      <w:r w:rsidRPr="00FC2F0E">
        <w:fldChar w:fldCharType="begin"/>
      </w:r>
      <w:r w:rsidRPr="00FC2F0E">
        <w:rPr>
          <w:rStyle w:val="Strong1"/>
          <w:b w:val="0"/>
          <w:color w:val="1D2455"/>
          <w:sz w:val="20"/>
        </w:rPr>
        <w:instrText xml:space="preserve"> SEQ Figure \* ARABIC </w:instrText>
      </w:r>
      <w:r w:rsidRPr="00FC2F0E">
        <w:fldChar w:fldCharType="separate"/>
      </w:r>
      <w:r w:rsidR="003C4BC2">
        <w:rPr>
          <w:rStyle w:val="Strong1"/>
          <w:b w:val="0"/>
          <w:noProof/>
          <w:color w:val="1D2455"/>
          <w:sz w:val="20"/>
        </w:rPr>
        <w:t>17</w:t>
      </w:r>
      <w:r w:rsidRPr="00FC2F0E">
        <w:fldChar w:fldCharType="end"/>
      </w:r>
      <w:bookmarkEnd w:id="192"/>
      <w:r w:rsidRPr="00FC2F0E">
        <w:t xml:space="preserve">: Staff </w:t>
      </w:r>
      <w:r w:rsidR="008D5F75">
        <w:t>assessment</w:t>
      </w:r>
      <w:r w:rsidR="00336C51">
        <w:t xml:space="preserve"> of primary care team</w:t>
      </w:r>
      <w:r w:rsidR="008D5F75">
        <w:t>’s communication</w:t>
      </w:r>
      <w:r w:rsidR="001335F0">
        <w:t>s</w:t>
      </w:r>
      <w:r w:rsidRPr="00FC2F0E">
        <w:t xml:space="preserve"> with patients</w:t>
      </w:r>
      <w:bookmarkEnd w:id="193"/>
    </w:p>
    <w:p w14:paraId="29F282F0" w14:textId="77777777" w:rsidR="00D130C5" w:rsidRDefault="00D130C5" w:rsidP="00D130C5">
      <w:pPr>
        <w:rPr>
          <w:lang w:val="en-GB"/>
        </w:rPr>
      </w:pPr>
      <w:r>
        <w:rPr>
          <w:noProof/>
        </w:rPr>
        <w:drawing>
          <wp:inline distT="0" distB="0" distL="0" distR="0" wp14:anchorId="6DB6B0B8" wp14:editId="14A669E0">
            <wp:extent cx="5731510" cy="3379470"/>
            <wp:effectExtent l="0" t="0" r="0" b="0"/>
            <wp:docPr id="45" name="Picture 45"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alendar&#10;&#10;Description automatically generated"/>
                    <pic:cNvPicPr/>
                  </pic:nvPicPr>
                  <pic:blipFill>
                    <a:blip r:embed="rId41"/>
                    <a:stretch>
                      <a:fillRect/>
                    </a:stretch>
                  </pic:blipFill>
                  <pic:spPr>
                    <a:xfrm>
                      <a:off x="0" y="0"/>
                      <a:ext cx="5731510" cy="3379470"/>
                    </a:xfrm>
                    <a:prstGeom prst="rect">
                      <a:avLst/>
                    </a:prstGeom>
                  </pic:spPr>
                </pic:pic>
              </a:graphicData>
            </a:graphic>
          </wp:inline>
        </w:drawing>
      </w:r>
    </w:p>
    <w:p w14:paraId="5795F8F8" w14:textId="5B415BAC" w:rsidR="00D130C5" w:rsidRPr="004F63E7" w:rsidRDefault="00D130C5" w:rsidP="00E612AE">
      <w:pPr>
        <w:ind w:right="-46"/>
        <w:jc w:val="center"/>
        <w:rPr>
          <w:rFonts w:eastAsia="Calibri" w:cs="Times New Roman"/>
          <w:i/>
          <w:sz w:val="16"/>
          <w:szCs w:val="18"/>
        </w:rPr>
      </w:pPr>
      <w:r w:rsidRPr="004F63E7">
        <w:rPr>
          <w:rFonts w:eastAsia="Calibri" w:cs="Times New Roman"/>
          <w:i/>
          <w:sz w:val="16"/>
          <w:szCs w:val="18"/>
        </w:rPr>
        <w:t xml:space="preserve">Source: </w:t>
      </w:r>
      <w:r w:rsidR="000715F3">
        <w:rPr>
          <w:rFonts w:eastAsia="Calibri" w:cs="Times New Roman"/>
          <w:i/>
          <w:sz w:val="16"/>
          <w:szCs w:val="18"/>
        </w:rPr>
        <w:t>Staff survey R</w:t>
      </w:r>
      <w:r>
        <w:rPr>
          <w:rFonts w:eastAsia="Calibri" w:cs="Times New Roman"/>
          <w:i/>
          <w:sz w:val="16"/>
          <w:szCs w:val="18"/>
        </w:rPr>
        <w:t xml:space="preserve">1 </w:t>
      </w:r>
      <w:r w:rsidR="00F8542B" w:rsidRPr="00F8542B">
        <w:rPr>
          <w:rFonts w:eastAsia="Calibri" w:cs="Times New Roman"/>
          <w:i/>
          <w:sz w:val="16"/>
          <w:szCs w:val="18"/>
        </w:rPr>
        <w:t xml:space="preserve">Dec 2017–Jul 2018 </w:t>
      </w:r>
      <w:r>
        <w:rPr>
          <w:rFonts w:eastAsia="Calibri" w:cs="Times New Roman"/>
          <w:i/>
          <w:sz w:val="16"/>
          <w:szCs w:val="18"/>
        </w:rPr>
        <w:t>and R5</w:t>
      </w:r>
      <w:r w:rsidR="00F8542B">
        <w:rPr>
          <w:rFonts w:eastAsia="Calibri" w:cs="Times New Roman"/>
          <w:i/>
          <w:sz w:val="16"/>
          <w:szCs w:val="18"/>
        </w:rPr>
        <w:t xml:space="preserve"> </w:t>
      </w:r>
      <w:r w:rsidR="00E612AE" w:rsidRPr="00E612AE">
        <w:rPr>
          <w:rFonts w:eastAsia="Calibri" w:cs="Times New Roman"/>
          <w:i/>
          <w:sz w:val="16"/>
          <w:szCs w:val="18"/>
        </w:rPr>
        <w:t>Mar–May 2021</w:t>
      </w:r>
      <w:r w:rsidRPr="004F63E7">
        <w:rPr>
          <w:rFonts w:eastAsia="Calibri" w:cs="Times New Roman"/>
          <w:i/>
          <w:sz w:val="16"/>
          <w:szCs w:val="18"/>
        </w:rPr>
        <w:t>.</w:t>
      </w:r>
    </w:p>
    <w:p w14:paraId="3841F82C" w14:textId="6DEA2FA3" w:rsidR="007867BB" w:rsidRPr="00A61441" w:rsidRDefault="00D01BA1" w:rsidP="007867BB">
      <w:pPr>
        <w:rPr>
          <w:lang w:eastAsia="en-AU"/>
        </w:rPr>
      </w:pPr>
      <w:r>
        <w:rPr>
          <w:lang w:eastAsia="en-AU"/>
        </w:rPr>
        <w:t xml:space="preserve">In interviews conducted for the case studies, some </w:t>
      </w:r>
      <w:r w:rsidR="007867BB" w:rsidRPr="00A61441">
        <w:rPr>
          <w:lang w:eastAsia="en-AU"/>
        </w:rPr>
        <w:t>patients mentioned that they were motivated to join HCH because they wanted further information and education on what they could do to manage their conditions and improve their overall health</w:t>
      </w:r>
      <w:r>
        <w:rPr>
          <w:lang w:eastAsia="en-AU"/>
        </w:rPr>
        <w:t xml:space="preserve">, and </w:t>
      </w:r>
      <w:r w:rsidR="000D201E">
        <w:rPr>
          <w:lang w:eastAsia="en-AU"/>
        </w:rPr>
        <w:t>spoke of a desire to have more control or engagement in the management</w:t>
      </w:r>
      <w:r w:rsidR="007867BB">
        <w:rPr>
          <w:lang w:eastAsia="en-AU"/>
        </w:rPr>
        <w:t>:</w:t>
      </w:r>
    </w:p>
    <w:p w14:paraId="55DA9270" w14:textId="77777777" w:rsidR="007867BB" w:rsidRDefault="007867BB" w:rsidP="007867BB">
      <w:pPr>
        <w:ind w:left="567" w:right="521"/>
        <w:rPr>
          <w:lang w:eastAsia="en-AU"/>
        </w:rPr>
      </w:pPr>
      <w:r w:rsidRPr="00A61441">
        <w:rPr>
          <w:i/>
          <w:iCs/>
          <w:lang w:eastAsia="en-AU"/>
        </w:rPr>
        <w:t>“Simple awareness of what I can to do to help myself. I had a number of questions about my fluctuations in my diabetic levels…”</w:t>
      </w:r>
      <w:r w:rsidRPr="00A61441">
        <w:rPr>
          <w:lang w:eastAsia="en-AU"/>
        </w:rPr>
        <w:t xml:space="preserve"> [Patient 1, Practice 18, R2</w:t>
      </w:r>
      <w:r>
        <w:rPr>
          <w:lang w:eastAsia="en-AU"/>
        </w:rPr>
        <w:t>]</w:t>
      </w:r>
    </w:p>
    <w:p w14:paraId="133A1BF9" w14:textId="77777777" w:rsidR="007867BB" w:rsidRPr="003F07E1" w:rsidRDefault="007867BB" w:rsidP="007867BB">
      <w:pPr>
        <w:ind w:left="567" w:right="521"/>
        <w:rPr>
          <w:lang w:eastAsia="en-AU"/>
        </w:rPr>
      </w:pPr>
      <w:r w:rsidRPr="003F07E1">
        <w:rPr>
          <w:i/>
          <w:iCs/>
          <w:lang w:eastAsia="en-AU"/>
        </w:rPr>
        <w:t xml:space="preserve">“… it means that I’ve got a little bit of control of what’s going on with me, rather than me saying, someone else has got control and I don’t know what’s going on.” </w:t>
      </w:r>
      <w:r w:rsidRPr="003F07E1">
        <w:rPr>
          <w:lang w:eastAsia="en-AU"/>
        </w:rPr>
        <w:t>[Patient 1, Practice 9, R4]</w:t>
      </w:r>
      <w:r w:rsidRPr="003F07E1">
        <w:rPr>
          <w:lang w:eastAsia="en-AU"/>
        </w:rPr>
        <w:tab/>
      </w:r>
    </w:p>
    <w:p w14:paraId="374FCC0A" w14:textId="77777777" w:rsidR="007867BB" w:rsidRDefault="007867BB" w:rsidP="007867BB">
      <w:pPr>
        <w:ind w:left="567" w:right="521"/>
        <w:rPr>
          <w:lang w:eastAsia="en-AU"/>
        </w:rPr>
      </w:pPr>
      <w:r w:rsidRPr="003F07E1">
        <w:rPr>
          <w:i/>
          <w:iCs/>
          <w:lang w:eastAsia="en-AU"/>
        </w:rPr>
        <w:t>“I think there’s a part of the equation as well, and the notion of patient activation. There’s only so much a practice can do. They’re only seeing you for a very limited time over the course of a month or a year. So, ultimately I think the benefit of the Health Care Home is really about support of the patient to support themselves better.”</w:t>
      </w:r>
      <w:r w:rsidRPr="003F07E1">
        <w:rPr>
          <w:lang w:eastAsia="en-AU"/>
        </w:rPr>
        <w:t xml:space="preserve"> [Patient 7, Practice 7, R4]</w:t>
      </w:r>
    </w:p>
    <w:p w14:paraId="69504DDF" w14:textId="3A9FE044" w:rsidR="00FC2F0E" w:rsidRDefault="007867BB" w:rsidP="00A31BFC">
      <w:pPr>
        <w:ind w:left="567" w:right="521"/>
        <w:rPr>
          <w:rFonts w:ascii="Roboto Slab" w:eastAsiaTheme="majorEastAsia" w:hAnsi="Roboto Slab" w:cstheme="majorBidi"/>
          <w:color w:val="408BCA"/>
          <w:sz w:val="24"/>
          <w:szCs w:val="24"/>
          <w:lang w:val="en-GB"/>
        </w:rPr>
      </w:pPr>
      <w:r w:rsidRPr="003F07E1">
        <w:rPr>
          <w:i/>
          <w:iCs/>
          <w:lang w:eastAsia="en-AU"/>
        </w:rPr>
        <w:lastRenderedPageBreak/>
        <w:t>“… I feel more confident. I feel less pressure. As if someone over there is looking after me and helping me. I can find a solution to my problem.”</w:t>
      </w:r>
      <w:r w:rsidRPr="003F07E1">
        <w:rPr>
          <w:lang w:eastAsia="en-AU"/>
        </w:rPr>
        <w:t xml:space="preserve"> [Patient 1, Practice 3, R4]</w:t>
      </w:r>
    </w:p>
    <w:p w14:paraId="5734D816" w14:textId="3CB43B36" w:rsidR="003C6051" w:rsidRDefault="003C6051" w:rsidP="00AE74AB">
      <w:pPr>
        <w:keepNext/>
        <w:keepLines/>
        <w:outlineLvl w:val="2"/>
        <w:rPr>
          <w:rFonts w:ascii="Roboto Slab" w:eastAsiaTheme="majorEastAsia" w:hAnsi="Roboto Slab" w:cstheme="majorBidi"/>
          <w:color w:val="408BCA"/>
          <w:sz w:val="24"/>
          <w:szCs w:val="24"/>
          <w:lang w:val="en-GB"/>
        </w:rPr>
      </w:pPr>
      <w:r>
        <w:rPr>
          <w:rFonts w:ascii="Roboto Slab" w:eastAsiaTheme="majorEastAsia" w:hAnsi="Roboto Slab" w:cstheme="majorBidi"/>
          <w:color w:val="408BCA"/>
          <w:sz w:val="24"/>
          <w:szCs w:val="24"/>
          <w:lang w:val="en-GB"/>
        </w:rPr>
        <w:t>Care planning</w:t>
      </w:r>
    </w:p>
    <w:p w14:paraId="6AE6AD6A" w14:textId="556DAD08" w:rsidR="003C6051" w:rsidRDefault="00E27BAE" w:rsidP="00584F4F">
      <w:pPr>
        <w:rPr>
          <w:lang w:val="en-GB"/>
        </w:rPr>
      </w:pPr>
      <w:r>
        <w:rPr>
          <w:lang w:eastAsia="en-AU"/>
        </w:rPr>
        <w:t>D</w:t>
      </w:r>
      <w:r w:rsidR="005469F3">
        <w:rPr>
          <w:lang w:eastAsia="en-AU"/>
        </w:rPr>
        <w:t>evelopment of comprehensive care plan</w:t>
      </w:r>
      <w:r>
        <w:rPr>
          <w:lang w:eastAsia="en-AU"/>
        </w:rPr>
        <w:t>s for patients was a key feature of HCH</w:t>
      </w:r>
      <w:r w:rsidR="005469F3">
        <w:rPr>
          <w:lang w:eastAsia="en-AU"/>
        </w:rPr>
        <w:t>.</w:t>
      </w:r>
      <w:r w:rsidR="00A561EE">
        <w:rPr>
          <w:lang w:eastAsia="en-AU"/>
        </w:rPr>
        <w:t xml:space="preserve"> </w:t>
      </w:r>
      <w:r w:rsidR="002C7F18">
        <w:rPr>
          <w:lang w:eastAsia="en-AU"/>
        </w:rPr>
        <w:t xml:space="preserve">In </w:t>
      </w:r>
      <w:r w:rsidR="00405D3F">
        <w:rPr>
          <w:lang w:eastAsia="en-AU"/>
        </w:rPr>
        <w:t>surveys</w:t>
      </w:r>
      <w:r w:rsidR="002C7F18">
        <w:rPr>
          <w:lang w:eastAsia="en-AU"/>
        </w:rPr>
        <w:t xml:space="preserve"> conducted shortly after the </w:t>
      </w:r>
      <w:r>
        <w:rPr>
          <w:lang w:eastAsia="en-AU"/>
        </w:rPr>
        <w:t>start</w:t>
      </w:r>
      <w:r w:rsidR="002C7F18">
        <w:rPr>
          <w:lang w:eastAsia="en-AU"/>
        </w:rPr>
        <w:t xml:space="preserve"> of </w:t>
      </w:r>
      <w:r>
        <w:rPr>
          <w:lang w:eastAsia="en-AU"/>
        </w:rPr>
        <w:t>the trial</w:t>
      </w:r>
      <w:r w:rsidR="002C7F18">
        <w:rPr>
          <w:lang w:eastAsia="en-AU"/>
        </w:rPr>
        <w:t xml:space="preserve"> </w:t>
      </w:r>
      <w:r w:rsidR="003F3FB9">
        <w:rPr>
          <w:lang w:eastAsia="en-AU"/>
        </w:rPr>
        <w:t>(</w:t>
      </w:r>
      <w:r w:rsidR="000715F3">
        <w:rPr>
          <w:lang w:eastAsia="en-AU"/>
        </w:rPr>
        <w:t>round</w:t>
      </w:r>
      <w:r w:rsidR="003F3FB9">
        <w:rPr>
          <w:lang w:eastAsia="en-AU"/>
        </w:rPr>
        <w:t xml:space="preserve"> 1) </w:t>
      </w:r>
      <w:r w:rsidR="002C7F18">
        <w:rPr>
          <w:lang w:eastAsia="en-AU"/>
        </w:rPr>
        <w:t xml:space="preserve">and </w:t>
      </w:r>
      <w:r w:rsidR="00405D3F">
        <w:rPr>
          <w:lang w:eastAsia="en-AU"/>
        </w:rPr>
        <w:t>at the end of the trial (</w:t>
      </w:r>
      <w:r w:rsidR="000715F3">
        <w:rPr>
          <w:lang w:eastAsia="en-AU"/>
        </w:rPr>
        <w:t>round</w:t>
      </w:r>
      <w:r w:rsidR="00405D3F">
        <w:rPr>
          <w:lang w:eastAsia="en-AU"/>
        </w:rPr>
        <w:t xml:space="preserve"> 5)</w:t>
      </w:r>
      <w:r w:rsidR="00A14436">
        <w:rPr>
          <w:lang w:eastAsia="en-AU"/>
        </w:rPr>
        <w:t>,</w:t>
      </w:r>
      <w:r w:rsidR="00405D3F">
        <w:rPr>
          <w:lang w:eastAsia="en-AU"/>
        </w:rPr>
        <w:t xml:space="preserve"> </w:t>
      </w:r>
      <w:r w:rsidR="003F3FB9">
        <w:rPr>
          <w:lang w:eastAsia="en-AU"/>
        </w:rPr>
        <w:t xml:space="preserve">practice </w:t>
      </w:r>
      <w:r w:rsidR="00405D3F">
        <w:rPr>
          <w:lang w:eastAsia="en-AU"/>
        </w:rPr>
        <w:t xml:space="preserve">staff were asked a series of questions </w:t>
      </w:r>
      <w:r w:rsidR="00990B87">
        <w:rPr>
          <w:lang w:eastAsia="en-AU"/>
        </w:rPr>
        <w:t>about</w:t>
      </w:r>
      <w:r w:rsidR="00405D3F">
        <w:rPr>
          <w:lang w:eastAsia="en-AU"/>
        </w:rPr>
        <w:t xml:space="preserve"> care planning. </w:t>
      </w:r>
      <w:r w:rsidRPr="004C315B">
        <w:rPr>
          <w:rFonts w:eastAsiaTheme="minorEastAsia"/>
          <w:color w:val="1D2455"/>
          <w:szCs w:val="20"/>
          <w:lang w:eastAsia="en-AU"/>
        </w:rPr>
        <w:fldChar w:fldCharType="begin"/>
      </w:r>
      <w:r w:rsidRPr="004C315B">
        <w:rPr>
          <w:rFonts w:eastAsiaTheme="minorEastAsia"/>
          <w:color w:val="1D2455"/>
          <w:szCs w:val="20"/>
          <w:lang w:eastAsia="en-AU"/>
        </w:rPr>
        <w:instrText xml:space="preserve"> REF _Ref99117650 \h  \* MERGEFORMAT </w:instrText>
      </w:r>
      <w:r w:rsidRPr="004C315B">
        <w:rPr>
          <w:rFonts w:eastAsiaTheme="minorEastAsia"/>
          <w:color w:val="1D2455"/>
          <w:szCs w:val="20"/>
          <w:lang w:eastAsia="en-AU"/>
        </w:rPr>
      </w:r>
      <w:r w:rsidRPr="004C315B">
        <w:rPr>
          <w:rFonts w:eastAsiaTheme="minorEastAsia"/>
          <w:color w:val="1D2455"/>
          <w:szCs w:val="20"/>
          <w:lang w:eastAsia="en-AU"/>
        </w:rPr>
        <w:fldChar w:fldCharType="separate"/>
      </w:r>
      <w:r w:rsidR="003C4BC2" w:rsidRPr="003C4BC2">
        <w:rPr>
          <w:rFonts w:eastAsiaTheme="minorEastAsia"/>
          <w:color w:val="1D2455"/>
          <w:szCs w:val="20"/>
          <w:lang w:eastAsia="en-AU"/>
        </w:rPr>
        <w:t xml:space="preserve">Figure </w:t>
      </w:r>
      <w:r w:rsidR="003C4BC2" w:rsidRPr="003C4BC2">
        <w:rPr>
          <w:rFonts w:eastAsiaTheme="minorEastAsia"/>
          <w:color w:val="1D2455"/>
          <w:lang w:eastAsia="en-AU"/>
        </w:rPr>
        <w:t>18</w:t>
      </w:r>
      <w:r w:rsidRPr="004C315B">
        <w:rPr>
          <w:rFonts w:eastAsiaTheme="minorEastAsia"/>
          <w:color w:val="1D2455"/>
          <w:szCs w:val="20"/>
          <w:lang w:eastAsia="en-AU"/>
        </w:rPr>
        <w:fldChar w:fldCharType="end"/>
      </w:r>
      <w:r>
        <w:rPr>
          <w:rFonts w:eastAsiaTheme="minorEastAsia"/>
          <w:color w:val="1D2455"/>
          <w:szCs w:val="20"/>
          <w:lang w:eastAsia="en-AU"/>
        </w:rPr>
        <w:t xml:space="preserve"> presents t</w:t>
      </w:r>
      <w:r w:rsidR="00405D3F">
        <w:rPr>
          <w:lang w:eastAsia="en-AU"/>
        </w:rPr>
        <w:t>he results</w:t>
      </w:r>
      <w:r w:rsidR="0076688E">
        <w:rPr>
          <w:lang w:eastAsia="en-AU"/>
        </w:rPr>
        <w:t xml:space="preserve">. </w:t>
      </w:r>
      <w:r w:rsidR="004D03A0">
        <w:rPr>
          <w:lang w:eastAsia="en-AU"/>
        </w:rPr>
        <w:t>Across these questions practice staff generally report</w:t>
      </w:r>
      <w:r w:rsidR="005139A4">
        <w:rPr>
          <w:lang w:eastAsia="en-AU"/>
        </w:rPr>
        <w:t xml:space="preserve">ed improvements in the care planning process. </w:t>
      </w:r>
      <w:r w:rsidR="00A14436">
        <w:rPr>
          <w:lang w:eastAsia="en-AU"/>
        </w:rPr>
        <w:t>Other a</w:t>
      </w:r>
      <w:r w:rsidR="00A14436" w:rsidRPr="002B1108">
        <w:rPr>
          <w:lang w:eastAsia="en-AU"/>
        </w:rPr>
        <w:t xml:space="preserve">spects of care planning are discussed in Chapter </w:t>
      </w:r>
      <w:r w:rsidR="004C315B">
        <w:rPr>
          <w:lang w:eastAsia="en-AU"/>
        </w:rPr>
        <w:fldChar w:fldCharType="begin"/>
      </w:r>
      <w:r w:rsidR="004C315B">
        <w:rPr>
          <w:lang w:eastAsia="en-AU"/>
        </w:rPr>
        <w:instrText xml:space="preserve"> REF _Ref103762868 \r \h </w:instrText>
      </w:r>
      <w:r w:rsidR="004C315B">
        <w:rPr>
          <w:lang w:eastAsia="en-AU"/>
        </w:rPr>
      </w:r>
      <w:r w:rsidR="004C315B">
        <w:rPr>
          <w:lang w:eastAsia="en-AU"/>
        </w:rPr>
        <w:fldChar w:fldCharType="separate"/>
      </w:r>
      <w:r w:rsidR="003C4BC2">
        <w:rPr>
          <w:lang w:eastAsia="en-AU"/>
        </w:rPr>
        <w:t>11</w:t>
      </w:r>
      <w:r w:rsidR="004C315B">
        <w:rPr>
          <w:lang w:eastAsia="en-AU"/>
        </w:rPr>
        <w:fldChar w:fldCharType="end"/>
      </w:r>
      <w:r w:rsidR="00A14436" w:rsidRPr="002B1108">
        <w:rPr>
          <w:lang w:eastAsia="en-AU"/>
        </w:rPr>
        <w:t xml:space="preserve"> </w:t>
      </w:r>
      <w:r w:rsidR="004C315B">
        <w:rPr>
          <w:lang w:eastAsia="en-AU"/>
        </w:rPr>
        <w:fldChar w:fldCharType="begin"/>
      </w:r>
      <w:r w:rsidR="004C315B">
        <w:rPr>
          <w:lang w:eastAsia="en-AU"/>
        </w:rPr>
        <w:instrText xml:space="preserve"> REF _Ref103762868 \h </w:instrText>
      </w:r>
      <w:r w:rsidR="004C315B">
        <w:rPr>
          <w:lang w:eastAsia="en-AU"/>
        </w:rPr>
      </w:r>
      <w:r w:rsidR="004C315B">
        <w:rPr>
          <w:lang w:eastAsia="en-AU"/>
        </w:rPr>
        <w:fldChar w:fldCharType="separate"/>
      </w:r>
      <w:r w:rsidR="003C4BC2">
        <w:t>Shared care planning tools</w:t>
      </w:r>
      <w:r w:rsidR="004C315B">
        <w:rPr>
          <w:lang w:eastAsia="en-AU"/>
        </w:rPr>
        <w:fldChar w:fldCharType="end"/>
      </w:r>
      <w:r w:rsidR="004C315B">
        <w:rPr>
          <w:lang w:eastAsia="en-AU"/>
        </w:rPr>
        <w:t xml:space="preserve"> (p. </w:t>
      </w:r>
      <w:r w:rsidR="004C315B">
        <w:rPr>
          <w:lang w:eastAsia="en-AU"/>
        </w:rPr>
        <w:fldChar w:fldCharType="begin"/>
      </w:r>
      <w:r w:rsidR="004C315B">
        <w:rPr>
          <w:lang w:eastAsia="en-AU"/>
        </w:rPr>
        <w:instrText xml:space="preserve"> PAGEREF _Ref103762868 \h </w:instrText>
      </w:r>
      <w:r w:rsidR="004C315B">
        <w:rPr>
          <w:lang w:eastAsia="en-AU"/>
        </w:rPr>
      </w:r>
      <w:r w:rsidR="004C315B">
        <w:rPr>
          <w:lang w:eastAsia="en-AU"/>
        </w:rPr>
        <w:fldChar w:fldCharType="separate"/>
      </w:r>
      <w:r w:rsidR="003C4BC2">
        <w:rPr>
          <w:noProof/>
          <w:lang w:eastAsia="en-AU"/>
        </w:rPr>
        <w:t>128</w:t>
      </w:r>
      <w:r w:rsidR="004C315B">
        <w:rPr>
          <w:lang w:eastAsia="en-AU"/>
        </w:rPr>
        <w:fldChar w:fldCharType="end"/>
      </w:r>
      <w:r w:rsidR="00A14436" w:rsidRPr="002B1108">
        <w:rPr>
          <w:lang w:eastAsia="en-AU"/>
        </w:rPr>
        <w:t>).</w:t>
      </w:r>
    </w:p>
    <w:p w14:paraId="633E57AC" w14:textId="3D6B607F" w:rsidR="00E42EBE" w:rsidRPr="00A14436" w:rsidRDefault="00E42EBE" w:rsidP="003745B5">
      <w:pPr>
        <w:pStyle w:val="TableorFigurecaptionHPA"/>
      </w:pPr>
      <w:bookmarkStart w:id="194" w:name="_Ref99117650"/>
      <w:bookmarkStart w:id="195" w:name="_Ref99117615"/>
      <w:r w:rsidRPr="00A14436">
        <w:t xml:space="preserve">Figure </w:t>
      </w:r>
      <w:r w:rsidRPr="00A14436">
        <w:fldChar w:fldCharType="begin"/>
      </w:r>
      <w:r w:rsidRPr="00A14436">
        <w:rPr>
          <w:rStyle w:val="Strong1"/>
          <w:b w:val="0"/>
          <w:sz w:val="20"/>
        </w:rPr>
        <w:instrText xml:space="preserve"> SEQ Figure \* ARABIC </w:instrText>
      </w:r>
      <w:r w:rsidRPr="00A14436">
        <w:fldChar w:fldCharType="separate"/>
      </w:r>
      <w:r w:rsidR="003C4BC2">
        <w:rPr>
          <w:rStyle w:val="Strong1"/>
          <w:b w:val="0"/>
          <w:noProof/>
          <w:sz w:val="20"/>
        </w:rPr>
        <w:t>18</w:t>
      </w:r>
      <w:r w:rsidRPr="00A14436">
        <w:fldChar w:fldCharType="end"/>
      </w:r>
      <w:bookmarkEnd w:id="194"/>
      <w:r w:rsidRPr="00A14436">
        <w:t xml:space="preserve">: </w:t>
      </w:r>
      <w:r w:rsidR="001C22F4" w:rsidRPr="00A14436">
        <w:t xml:space="preserve">Staff </w:t>
      </w:r>
      <w:r w:rsidR="001335F0">
        <w:t>assessment of primary care team’s</w:t>
      </w:r>
      <w:r w:rsidR="007B3C88" w:rsidRPr="00A14436">
        <w:t xml:space="preserve"> care planning</w:t>
      </w:r>
      <w:bookmarkEnd w:id="195"/>
    </w:p>
    <w:p w14:paraId="6B26D51A" w14:textId="70B7103C" w:rsidR="003C6051" w:rsidRDefault="00EB369D" w:rsidP="00E612AE">
      <w:pPr>
        <w:spacing w:after="0"/>
        <w:rPr>
          <w:rFonts w:ascii="Roboto Slab" w:eastAsiaTheme="majorEastAsia" w:hAnsi="Roboto Slab" w:cstheme="majorBidi"/>
          <w:color w:val="408BCA"/>
          <w:sz w:val="24"/>
          <w:szCs w:val="24"/>
          <w:lang w:val="en-GB"/>
        </w:rPr>
      </w:pPr>
      <w:r>
        <w:rPr>
          <w:noProof/>
        </w:rPr>
        <w:drawing>
          <wp:inline distT="0" distB="0" distL="0" distR="0" wp14:anchorId="39F6C742" wp14:editId="5F9F58AF">
            <wp:extent cx="5731510" cy="6059170"/>
            <wp:effectExtent l="0" t="0" r="0" b="0"/>
            <wp:docPr id="43" name="Picture 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10;&#10;Description automatically generated"/>
                    <pic:cNvPicPr/>
                  </pic:nvPicPr>
                  <pic:blipFill>
                    <a:blip r:embed="rId42"/>
                    <a:stretch>
                      <a:fillRect/>
                    </a:stretch>
                  </pic:blipFill>
                  <pic:spPr>
                    <a:xfrm>
                      <a:off x="0" y="0"/>
                      <a:ext cx="5731510" cy="6059170"/>
                    </a:xfrm>
                    <a:prstGeom prst="rect">
                      <a:avLst/>
                    </a:prstGeom>
                  </pic:spPr>
                </pic:pic>
              </a:graphicData>
            </a:graphic>
          </wp:inline>
        </w:drawing>
      </w:r>
    </w:p>
    <w:p w14:paraId="69BC91F7" w14:textId="2A7514F4" w:rsidR="007B3C88" w:rsidRPr="004F63E7" w:rsidRDefault="007B3C88" w:rsidP="00E612AE">
      <w:pPr>
        <w:ind w:right="-45"/>
        <w:jc w:val="center"/>
        <w:rPr>
          <w:rFonts w:eastAsia="Calibri" w:cs="Times New Roman"/>
          <w:i/>
          <w:sz w:val="16"/>
          <w:szCs w:val="18"/>
        </w:rPr>
      </w:pPr>
      <w:r w:rsidRPr="004F63E7">
        <w:rPr>
          <w:rFonts w:eastAsia="Calibri" w:cs="Times New Roman"/>
          <w:i/>
          <w:sz w:val="16"/>
          <w:szCs w:val="18"/>
        </w:rPr>
        <w:t xml:space="preserve">Source: </w:t>
      </w:r>
      <w:r>
        <w:rPr>
          <w:rFonts w:eastAsia="Calibri" w:cs="Times New Roman"/>
          <w:i/>
          <w:sz w:val="16"/>
          <w:szCs w:val="18"/>
        </w:rPr>
        <w:t xml:space="preserve">Staff survey R1 </w:t>
      </w:r>
      <w:r w:rsidR="00E612AE" w:rsidRPr="00F8542B">
        <w:rPr>
          <w:rFonts w:eastAsia="Calibri" w:cs="Times New Roman"/>
          <w:i/>
          <w:sz w:val="16"/>
          <w:szCs w:val="18"/>
        </w:rPr>
        <w:t xml:space="preserve">Dec 2017–Jul 2018 </w:t>
      </w:r>
      <w:r>
        <w:rPr>
          <w:rFonts w:eastAsia="Calibri" w:cs="Times New Roman"/>
          <w:i/>
          <w:sz w:val="16"/>
          <w:szCs w:val="18"/>
        </w:rPr>
        <w:t>and R5</w:t>
      </w:r>
      <w:r w:rsidR="00E612AE">
        <w:rPr>
          <w:rFonts w:eastAsia="Calibri" w:cs="Times New Roman"/>
          <w:i/>
          <w:sz w:val="16"/>
          <w:szCs w:val="18"/>
        </w:rPr>
        <w:t xml:space="preserve"> </w:t>
      </w:r>
      <w:r w:rsidR="00E612AE" w:rsidRPr="00E612AE">
        <w:rPr>
          <w:rFonts w:eastAsia="Calibri" w:cs="Times New Roman"/>
          <w:i/>
          <w:sz w:val="16"/>
          <w:szCs w:val="18"/>
        </w:rPr>
        <w:t>Mar–May 2021</w:t>
      </w:r>
      <w:r w:rsidR="00E612AE">
        <w:rPr>
          <w:rFonts w:eastAsia="Calibri" w:cs="Times New Roman"/>
          <w:i/>
          <w:sz w:val="16"/>
          <w:szCs w:val="18"/>
        </w:rPr>
        <w:t>.</w:t>
      </w:r>
    </w:p>
    <w:p w14:paraId="3138817D" w14:textId="77777777" w:rsidR="00AE74AB" w:rsidRPr="004F63E7" w:rsidRDefault="00AE74AB" w:rsidP="00AE74AB">
      <w:pPr>
        <w:keepNext/>
        <w:keepLines/>
        <w:outlineLvl w:val="2"/>
        <w:rPr>
          <w:rFonts w:ascii="Roboto Slab" w:eastAsiaTheme="majorEastAsia" w:hAnsi="Roboto Slab" w:cstheme="majorBidi"/>
          <w:color w:val="408BCA"/>
          <w:sz w:val="24"/>
          <w:szCs w:val="24"/>
          <w:lang w:val="en-GB"/>
        </w:rPr>
      </w:pPr>
      <w:r w:rsidRPr="004F63E7">
        <w:rPr>
          <w:rFonts w:ascii="Roboto Slab" w:eastAsiaTheme="majorEastAsia" w:hAnsi="Roboto Slab" w:cstheme="majorBidi"/>
          <w:color w:val="408BCA"/>
          <w:sz w:val="24"/>
          <w:szCs w:val="24"/>
          <w:lang w:val="en-GB"/>
        </w:rPr>
        <w:lastRenderedPageBreak/>
        <w:t>Team-based care</w:t>
      </w:r>
    </w:p>
    <w:p w14:paraId="41427F0E" w14:textId="137C8005" w:rsidR="00FA5301" w:rsidRDefault="00AE74AB" w:rsidP="00AE74AB">
      <w:pPr>
        <w:rPr>
          <w:lang w:val="en-GB"/>
        </w:rPr>
      </w:pPr>
      <w:r w:rsidRPr="004F63E7">
        <w:rPr>
          <w:lang w:val="en-GB"/>
        </w:rPr>
        <w:t xml:space="preserve">Team-based care is a fundamental building block of PCMH and was a core focus for many HCH practices throughout the trial. </w:t>
      </w:r>
    </w:p>
    <w:p w14:paraId="31741D74" w14:textId="77777777" w:rsidR="003C4BC2" w:rsidRPr="004F63E7" w:rsidRDefault="00E27BAE" w:rsidP="00E612AE">
      <w:pPr>
        <w:ind w:right="-45"/>
        <w:jc w:val="center"/>
        <w:rPr>
          <w:rFonts w:eastAsia="Calibri" w:cs="Times New Roman"/>
          <w:i/>
          <w:sz w:val="16"/>
          <w:szCs w:val="18"/>
        </w:rPr>
      </w:pPr>
      <w:r>
        <w:rPr>
          <w:lang w:eastAsia="en-AU"/>
        </w:rPr>
        <w:t>In s</w:t>
      </w:r>
      <w:r w:rsidR="003F3FB9">
        <w:rPr>
          <w:lang w:eastAsia="en-AU"/>
        </w:rPr>
        <w:t xml:space="preserve">taff surveys conducted shortly after the </w:t>
      </w:r>
      <w:r>
        <w:rPr>
          <w:lang w:eastAsia="en-AU"/>
        </w:rPr>
        <w:t>start</w:t>
      </w:r>
      <w:r w:rsidR="003F3FB9">
        <w:rPr>
          <w:lang w:eastAsia="en-AU"/>
        </w:rPr>
        <w:t xml:space="preserve"> of </w:t>
      </w:r>
      <w:r>
        <w:rPr>
          <w:lang w:eastAsia="en-AU"/>
        </w:rPr>
        <w:t>the trial</w:t>
      </w:r>
      <w:r w:rsidR="003F3FB9">
        <w:rPr>
          <w:lang w:eastAsia="en-AU"/>
        </w:rPr>
        <w:t xml:space="preserve"> (</w:t>
      </w:r>
      <w:r w:rsidR="000715F3">
        <w:rPr>
          <w:lang w:eastAsia="en-AU"/>
        </w:rPr>
        <w:t>round</w:t>
      </w:r>
      <w:r w:rsidR="003F3FB9">
        <w:rPr>
          <w:lang w:eastAsia="en-AU"/>
        </w:rPr>
        <w:t xml:space="preserve"> 1) and at the end of the trial (</w:t>
      </w:r>
      <w:r w:rsidR="000715F3">
        <w:rPr>
          <w:lang w:eastAsia="en-AU"/>
        </w:rPr>
        <w:t>round</w:t>
      </w:r>
      <w:r w:rsidR="003F3FB9">
        <w:rPr>
          <w:lang w:eastAsia="en-AU"/>
        </w:rPr>
        <w:t xml:space="preserve"> 5)</w:t>
      </w:r>
      <w:r>
        <w:rPr>
          <w:lang w:eastAsia="en-AU"/>
        </w:rPr>
        <w:t>,</w:t>
      </w:r>
      <w:r w:rsidR="003F3FB9">
        <w:rPr>
          <w:lang w:eastAsia="en-AU"/>
        </w:rPr>
        <w:t xml:space="preserve"> practice staff </w:t>
      </w:r>
      <w:r>
        <w:rPr>
          <w:lang w:eastAsia="en-AU"/>
        </w:rPr>
        <w:t>were asked</w:t>
      </w:r>
      <w:r w:rsidR="003F3FB9">
        <w:rPr>
          <w:lang w:eastAsia="en-AU"/>
        </w:rPr>
        <w:t xml:space="preserve"> questions </w:t>
      </w:r>
      <w:r>
        <w:rPr>
          <w:lang w:eastAsia="en-AU"/>
        </w:rPr>
        <w:t>about</w:t>
      </w:r>
      <w:r w:rsidR="003F3FB9">
        <w:rPr>
          <w:lang w:eastAsia="en-AU"/>
        </w:rPr>
        <w:t xml:space="preserve"> </w:t>
      </w:r>
      <w:r w:rsidR="00E0024A">
        <w:rPr>
          <w:lang w:eastAsia="en-AU"/>
        </w:rPr>
        <w:t>the primary care team (</w:t>
      </w:r>
      <w:r w:rsidR="00E0024A" w:rsidRPr="003825ED">
        <w:rPr>
          <w:rFonts w:eastAsiaTheme="minorEastAsia"/>
          <w:color w:val="1D2455"/>
          <w:szCs w:val="20"/>
          <w:lang w:eastAsia="en-AU"/>
        </w:rPr>
        <w:fldChar w:fldCharType="begin"/>
      </w:r>
      <w:r w:rsidR="00E0024A" w:rsidRPr="003825ED">
        <w:rPr>
          <w:rFonts w:eastAsiaTheme="minorEastAsia"/>
          <w:color w:val="1D2455"/>
          <w:szCs w:val="20"/>
          <w:lang w:eastAsia="en-AU"/>
        </w:rPr>
        <w:instrText xml:space="preserve"> REF _Ref99118479 \h </w:instrText>
      </w:r>
      <w:r w:rsidR="003825ED">
        <w:rPr>
          <w:rFonts w:eastAsiaTheme="minorEastAsia"/>
          <w:color w:val="1D2455"/>
          <w:szCs w:val="20"/>
          <w:lang w:eastAsia="en-AU"/>
        </w:rPr>
        <w:instrText xml:space="preserve"> \* MERGEFORMAT </w:instrText>
      </w:r>
      <w:r w:rsidR="00E0024A" w:rsidRPr="003825ED">
        <w:rPr>
          <w:rFonts w:eastAsiaTheme="minorEastAsia"/>
          <w:color w:val="1D2455"/>
          <w:szCs w:val="20"/>
          <w:lang w:eastAsia="en-AU"/>
        </w:rPr>
      </w:r>
      <w:r w:rsidR="00E0024A" w:rsidRPr="003825ED">
        <w:rPr>
          <w:rFonts w:eastAsiaTheme="minorEastAsia"/>
          <w:color w:val="1D2455"/>
          <w:szCs w:val="20"/>
          <w:lang w:eastAsia="en-AU"/>
        </w:rPr>
        <w:fldChar w:fldCharType="separate"/>
      </w:r>
      <w:r w:rsidR="003C4BC2" w:rsidRPr="003C4BC2">
        <w:rPr>
          <w:rFonts w:eastAsiaTheme="minorEastAsia"/>
          <w:color w:val="1D2455"/>
          <w:szCs w:val="20"/>
          <w:lang w:eastAsia="en-AU"/>
        </w:rPr>
        <w:t>Figure 19</w:t>
      </w:r>
      <w:r w:rsidR="00E0024A" w:rsidRPr="003825ED">
        <w:rPr>
          <w:rFonts w:eastAsiaTheme="minorEastAsia"/>
          <w:color w:val="1D2455"/>
          <w:szCs w:val="20"/>
          <w:lang w:eastAsia="en-AU"/>
        </w:rPr>
        <w:fldChar w:fldCharType="end"/>
      </w:r>
      <w:r w:rsidR="00E0024A">
        <w:rPr>
          <w:lang w:eastAsia="en-AU"/>
        </w:rPr>
        <w:t>)</w:t>
      </w:r>
      <w:r w:rsidR="003F3FB9">
        <w:rPr>
          <w:lang w:eastAsia="en-AU"/>
        </w:rPr>
        <w:t xml:space="preserve">. </w:t>
      </w:r>
      <w:r w:rsidR="00B82F5A">
        <w:rPr>
          <w:lang w:eastAsia="en-AU"/>
        </w:rPr>
        <w:t>I</w:t>
      </w:r>
      <w:r w:rsidR="00980ADC">
        <w:rPr>
          <w:lang w:eastAsia="en-AU"/>
        </w:rPr>
        <w:t xml:space="preserve">n </w:t>
      </w:r>
      <w:r w:rsidR="00B82F5A">
        <w:rPr>
          <w:lang w:eastAsia="en-AU"/>
        </w:rPr>
        <w:t>the</w:t>
      </w:r>
      <w:r w:rsidR="00980ADC">
        <w:rPr>
          <w:lang w:eastAsia="en-AU"/>
        </w:rPr>
        <w:t xml:space="preserve"> </w:t>
      </w:r>
      <w:r w:rsidR="000715F3">
        <w:rPr>
          <w:lang w:eastAsia="en-AU"/>
        </w:rPr>
        <w:t>round</w:t>
      </w:r>
      <w:r w:rsidR="00980ADC">
        <w:rPr>
          <w:lang w:eastAsia="en-AU"/>
        </w:rPr>
        <w:t xml:space="preserve"> 5 </w:t>
      </w:r>
      <w:r w:rsidR="00B82F5A">
        <w:rPr>
          <w:lang w:eastAsia="en-AU"/>
        </w:rPr>
        <w:t>survey</w:t>
      </w:r>
      <w:r w:rsidR="00980ADC">
        <w:rPr>
          <w:lang w:eastAsia="en-AU"/>
        </w:rPr>
        <w:t xml:space="preserve"> there was a </w:t>
      </w:r>
      <w:r w:rsidR="009D50AD">
        <w:rPr>
          <w:lang w:eastAsia="en-AU"/>
        </w:rPr>
        <w:t xml:space="preserve">higher level of agreement with </w:t>
      </w:r>
      <w:r w:rsidR="00980ADC">
        <w:rPr>
          <w:lang w:eastAsia="en-AU"/>
        </w:rPr>
        <w:t xml:space="preserve">statements reflecting good team </w:t>
      </w:r>
      <w:r w:rsidR="0071407A">
        <w:rPr>
          <w:lang w:eastAsia="en-AU"/>
        </w:rPr>
        <w:t>functioning</w:t>
      </w:r>
      <w:r w:rsidR="003F3FB9">
        <w:rPr>
          <w:lang w:eastAsia="en-AU"/>
        </w:rPr>
        <w:t>.</w:t>
      </w:r>
      <w:r w:rsidR="00B00283">
        <w:rPr>
          <w:lang w:eastAsia="en-AU"/>
        </w:rPr>
        <w:t xml:space="preserve"> Levels of agreement were high for all staff </w:t>
      </w:r>
      <w:r w:rsidR="004F181E">
        <w:rPr>
          <w:lang w:eastAsia="en-AU"/>
        </w:rPr>
        <w:t>types, b</w:t>
      </w:r>
      <w:r w:rsidR="00B82F5A">
        <w:rPr>
          <w:lang w:eastAsia="en-AU"/>
        </w:rPr>
        <w:t>ut</w:t>
      </w:r>
      <w:r w:rsidR="004F181E">
        <w:rPr>
          <w:lang w:eastAsia="en-AU"/>
        </w:rPr>
        <w:t xml:space="preserve"> tended to be slightly lower for nurses (</w:t>
      </w:r>
      <w:r w:rsidR="00DF6526">
        <w:rPr>
          <w:lang w:eastAsia="en-AU"/>
        </w:rPr>
        <w:fldChar w:fldCharType="begin"/>
      </w:r>
      <w:r w:rsidR="00DF6526">
        <w:rPr>
          <w:lang w:eastAsia="en-AU"/>
        </w:rPr>
        <w:instrText xml:space="preserve"> REF _Ref99118932 \h </w:instrText>
      </w:r>
      <w:r w:rsidR="00DF6526">
        <w:rPr>
          <w:lang w:eastAsia="en-AU"/>
        </w:rPr>
      </w:r>
      <w:r w:rsidR="00DF6526">
        <w:rPr>
          <w:lang w:eastAsia="en-AU"/>
        </w:rPr>
        <w:fldChar w:fldCharType="separate"/>
      </w:r>
      <w:r w:rsidR="003C4BC2" w:rsidRPr="004F63E7">
        <w:rPr>
          <w:rFonts w:eastAsia="Calibri" w:cs="Times New Roman"/>
          <w:i/>
          <w:sz w:val="16"/>
          <w:szCs w:val="18"/>
        </w:rPr>
        <w:t xml:space="preserve">Source: </w:t>
      </w:r>
      <w:r w:rsidR="003C4BC2">
        <w:rPr>
          <w:rFonts w:eastAsia="Calibri" w:cs="Times New Roman"/>
          <w:i/>
          <w:sz w:val="16"/>
          <w:szCs w:val="18"/>
        </w:rPr>
        <w:t xml:space="preserve">Staff survey R1 </w:t>
      </w:r>
      <w:r w:rsidR="003C4BC2" w:rsidRPr="00F8542B">
        <w:rPr>
          <w:rFonts w:eastAsia="Calibri" w:cs="Times New Roman"/>
          <w:i/>
          <w:sz w:val="16"/>
          <w:szCs w:val="18"/>
        </w:rPr>
        <w:t xml:space="preserve">Dec 2017–Jul 2018 </w:t>
      </w:r>
      <w:r w:rsidR="003C4BC2">
        <w:rPr>
          <w:rFonts w:eastAsia="Calibri" w:cs="Times New Roman"/>
          <w:i/>
          <w:sz w:val="16"/>
          <w:szCs w:val="18"/>
        </w:rPr>
        <w:t xml:space="preserve">and R5 </w:t>
      </w:r>
      <w:r w:rsidR="003C4BC2" w:rsidRPr="00E612AE">
        <w:rPr>
          <w:rFonts w:eastAsia="Calibri" w:cs="Times New Roman"/>
          <w:i/>
          <w:sz w:val="16"/>
          <w:szCs w:val="18"/>
        </w:rPr>
        <w:t>Mar–May 2021</w:t>
      </w:r>
      <w:r w:rsidR="003C4BC2">
        <w:rPr>
          <w:rFonts w:eastAsia="Calibri" w:cs="Times New Roman"/>
          <w:i/>
          <w:sz w:val="16"/>
          <w:szCs w:val="18"/>
        </w:rPr>
        <w:t>.</w:t>
      </w:r>
    </w:p>
    <w:p w14:paraId="6C988B79" w14:textId="1F70064B" w:rsidR="00E0024A" w:rsidRDefault="003C4BC2" w:rsidP="00AE74AB">
      <w:pPr>
        <w:rPr>
          <w:lang w:eastAsia="en-AU"/>
        </w:rPr>
      </w:pPr>
      <w:r w:rsidRPr="001C3504">
        <w:t xml:space="preserve">Table </w:t>
      </w:r>
      <w:r>
        <w:rPr>
          <w:noProof/>
        </w:rPr>
        <w:t>25</w:t>
      </w:r>
      <w:r w:rsidR="00DF6526">
        <w:rPr>
          <w:lang w:eastAsia="en-AU"/>
        </w:rPr>
        <w:fldChar w:fldCharType="end"/>
      </w:r>
      <w:r w:rsidR="004F181E">
        <w:rPr>
          <w:lang w:eastAsia="en-AU"/>
        </w:rPr>
        <w:t>)</w:t>
      </w:r>
      <w:r w:rsidR="00DF6526">
        <w:rPr>
          <w:lang w:eastAsia="en-AU"/>
        </w:rPr>
        <w:t>.</w:t>
      </w:r>
    </w:p>
    <w:p w14:paraId="49DC5B8E" w14:textId="32C97B37" w:rsidR="00E0024A" w:rsidRPr="004F63E7" w:rsidRDefault="00E0024A" w:rsidP="003825ED">
      <w:pPr>
        <w:pStyle w:val="TableorFigurecaptionHPA"/>
      </w:pPr>
      <w:bookmarkStart w:id="196" w:name="_Ref99118479"/>
      <w:r w:rsidRPr="004F63E7">
        <w:t xml:space="preserve">Figure </w:t>
      </w:r>
      <w:r w:rsidRPr="004F63E7">
        <w:fldChar w:fldCharType="begin"/>
      </w:r>
      <w:r w:rsidRPr="00DF5A6A">
        <w:instrText xml:space="preserve"> SEQ Figure \* ARABIC </w:instrText>
      </w:r>
      <w:r w:rsidRPr="004F63E7">
        <w:fldChar w:fldCharType="separate"/>
      </w:r>
      <w:r w:rsidR="003C4BC2">
        <w:rPr>
          <w:noProof/>
        </w:rPr>
        <w:t>19</w:t>
      </w:r>
      <w:r w:rsidRPr="004F63E7">
        <w:fldChar w:fldCharType="end"/>
      </w:r>
      <w:bookmarkEnd w:id="196"/>
      <w:r w:rsidRPr="004F63E7">
        <w:t xml:space="preserve">: </w:t>
      </w:r>
      <w:r w:rsidR="00DE08F6">
        <w:t xml:space="preserve">Staff </w:t>
      </w:r>
      <w:r w:rsidR="001D79CF">
        <w:t>assessment of</w:t>
      </w:r>
      <w:r>
        <w:t xml:space="preserve"> </w:t>
      </w:r>
      <w:r w:rsidR="000908C4">
        <w:t>team-based</w:t>
      </w:r>
      <w:r>
        <w:t xml:space="preserve"> care</w:t>
      </w:r>
    </w:p>
    <w:p w14:paraId="538BAE68" w14:textId="64BEA2EA" w:rsidR="00594932" w:rsidRDefault="003F3FB9" w:rsidP="00DE08F6">
      <w:pPr>
        <w:spacing w:after="0"/>
        <w:rPr>
          <w:lang w:val="en-GB"/>
        </w:rPr>
      </w:pPr>
      <w:r>
        <w:rPr>
          <w:noProof/>
        </w:rPr>
        <w:drawing>
          <wp:inline distT="0" distB="0" distL="0" distR="0" wp14:anchorId="007CC66D" wp14:editId="3AE049C0">
            <wp:extent cx="5731510" cy="3737610"/>
            <wp:effectExtent l="0" t="0" r="0" b="0"/>
            <wp:docPr id="46" name="Picture 46"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calendar&#10;&#10;Description automatically generated"/>
                    <pic:cNvPicPr/>
                  </pic:nvPicPr>
                  <pic:blipFill>
                    <a:blip r:embed="rId43"/>
                    <a:stretch>
                      <a:fillRect/>
                    </a:stretch>
                  </pic:blipFill>
                  <pic:spPr>
                    <a:xfrm>
                      <a:off x="0" y="0"/>
                      <a:ext cx="5731510" cy="3737610"/>
                    </a:xfrm>
                    <a:prstGeom prst="rect">
                      <a:avLst/>
                    </a:prstGeom>
                  </pic:spPr>
                </pic:pic>
              </a:graphicData>
            </a:graphic>
          </wp:inline>
        </w:drawing>
      </w:r>
    </w:p>
    <w:p w14:paraId="4A597685" w14:textId="77777777" w:rsidR="00E612AE" w:rsidRPr="004F63E7" w:rsidRDefault="00E612AE" w:rsidP="00E612AE">
      <w:pPr>
        <w:ind w:right="-45"/>
        <w:jc w:val="center"/>
        <w:rPr>
          <w:rFonts w:eastAsia="Calibri" w:cs="Times New Roman"/>
          <w:i/>
          <w:sz w:val="16"/>
          <w:szCs w:val="18"/>
        </w:rPr>
      </w:pPr>
      <w:bookmarkStart w:id="197" w:name="_Ref99118932"/>
      <w:r w:rsidRPr="004F63E7">
        <w:rPr>
          <w:rFonts w:eastAsia="Calibri" w:cs="Times New Roman"/>
          <w:i/>
          <w:sz w:val="16"/>
          <w:szCs w:val="18"/>
        </w:rPr>
        <w:t xml:space="preserve">Source: </w:t>
      </w:r>
      <w:r>
        <w:rPr>
          <w:rFonts w:eastAsia="Calibri" w:cs="Times New Roman"/>
          <w:i/>
          <w:sz w:val="16"/>
          <w:szCs w:val="18"/>
        </w:rPr>
        <w:t xml:space="preserve">Staff survey R1 </w:t>
      </w:r>
      <w:r w:rsidRPr="00F8542B">
        <w:rPr>
          <w:rFonts w:eastAsia="Calibri" w:cs="Times New Roman"/>
          <w:i/>
          <w:sz w:val="16"/>
          <w:szCs w:val="18"/>
        </w:rPr>
        <w:t xml:space="preserve">Dec 2017–Jul 2018 </w:t>
      </w:r>
      <w:r>
        <w:rPr>
          <w:rFonts w:eastAsia="Calibri" w:cs="Times New Roman"/>
          <w:i/>
          <w:sz w:val="16"/>
          <w:szCs w:val="18"/>
        </w:rPr>
        <w:t xml:space="preserve">and R5 </w:t>
      </w:r>
      <w:r w:rsidRPr="00E612AE">
        <w:rPr>
          <w:rFonts w:eastAsia="Calibri" w:cs="Times New Roman"/>
          <w:i/>
          <w:sz w:val="16"/>
          <w:szCs w:val="18"/>
        </w:rPr>
        <w:t>Mar–May 2021</w:t>
      </w:r>
      <w:r>
        <w:rPr>
          <w:rFonts w:eastAsia="Calibri" w:cs="Times New Roman"/>
          <w:i/>
          <w:sz w:val="16"/>
          <w:szCs w:val="18"/>
        </w:rPr>
        <w:t>.</w:t>
      </w:r>
    </w:p>
    <w:p w14:paraId="26980DB6" w14:textId="5D2E163A" w:rsidR="00E36933" w:rsidRPr="001C3504" w:rsidRDefault="00E36933" w:rsidP="00E36933">
      <w:pPr>
        <w:pStyle w:val="TableorFigurecaptionHPA"/>
      </w:pPr>
      <w:r w:rsidRPr="001C3504">
        <w:t xml:space="preserve">Table </w:t>
      </w:r>
      <w:r w:rsidRPr="001C3504">
        <w:fldChar w:fldCharType="begin"/>
      </w:r>
      <w:r w:rsidRPr="001C3504">
        <w:instrText>SEQ Table \* ARABIC</w:instrText>
      </w:r>
      <w:r w:rsidRPr="001C3504">
        <w:fldChar w:fldCharType="separate"/>
      </w:r>
      <w:r w:rsidR="003C4BC2">
        <w:rPr>
          <w:noProof/>
        </w:rPr>
        <w:t>25</w:t>
      </w:r>
      <w:r w:rsidRPr="001C3504">
        <w:fldChar w:fldCharType="end"/>
      </w:r>
      <w:bookmarkEnd w:id="197"/>
      <w:r>
        <w:t xml:space="preserve">: </w:t>
      </w:r>
      <w:r w:rsidRPr="00E36933">
        <w:t xml:space="preserve">Staff </w:t>
      </w:r>
      <w:r w:rsidR="001D79CF">
        <w:t>assessment of</w:t>
      </w:r>
      <w:r w:rsidR="00DE08F6">
        <w:t xml:space="preserve"> </w:t>
      </w:r>
      <w:r w:rsidR="000908C4">
        <w:t>team-based</w:t>
      </w:r>
      <w:r w:rsidR="00DE08F6">
        <w:t xml:space="preserve"> care</w:t>
      </w:r>
      <w:r w:rsidR="00781C58">
        <w:t xml:space="preserve">, by </w:t>
      </w:r>
      <w:r w:rsidRPr="001C3504">
        <w:t>staff type</w:t>
      </w:r>
    </w:p>
    <w:tbl>
      <w:tblPr>
        <w:tblW w:w="0" w:type="auto"/>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20" w:firstRow="1" w:lastRow="0" w:firstColumn="0" w:lastColumn="0" w:noHBand="0" w:noVBand="1"/>
      </w:tblPr>
      <w:tblGrid>
        <w:gridCol w:w="4756"/>
        <w:gridCol w:w="799"/>
        <w:gridCol w:w="879"/>
        <w:gridCol w:w="783"/>
        <w:gridCol w:w="1023"/>
        <w:gridCol w:w="776"/>
      </w:tblGrid>
      <w:tr w:rsidR="00E36933" w:rsidRPr="001C3504" w14:paraId="0D779D89" w14:textId="77777777" w:rsidTr="00E36933">
        <w:trPr>
          <w:cantSplit/>
          <w:tblHeader/>
          <w:jc w:val="center"/>
        </w:trPr>
        <w:tc>
          <w:tcPr>
            <w:tcW w:w="0" w:type="auto"/>
            <w:vMerge w:val="restart"/>
            <w:shd w:val="clear" w:color="auto" w:fill="408BCA"/>
            <w:tcMar>
              <w:top w:w="0" w:type="dxa"/>
              <w:left w:w="0" w:type="dxa"/>
              <w:bottom w:w="0" w:type="dxa"/>
              <w:right w:w="0" w:type="dxa"/>
            </w:tcMar>
            <w:vAlign w:val="center"/>
          </w:tcPr>
          <w:p w14:paraId="3252D297" w14:textId="77777777" w:rsidR="00E36933" w:rsidRPr="001C3504" w:rsidRDefault="00E36933" w:rsidP="00EA37B5">
            <w:pPr>
              <w:spacing w:before="20" w:after="20"/>
              <w:ind w:left="100" w:right="100"/>
              <w:jc w:val="center"/>
              <w:rPr>
                <w:sz w:val="18"/>
                <w:szCs w:val="18"/>
              </w:rPr>
            </w:pPr>
          </w:p>
        </w:tc>
        <w:tc>
          <w:tcPr>
            <w:tcW w:w="0" w:type="auto"/>
            <w:gridSpan w:val="5"/>
            <w:shd w:val="clear" w:color="auto" w:fill="408BCA"/>
            <w:tcMar>
              <w:top w:w="0" w:type="dxa"/>
              <w:left w:w="0" w:type="dxa"/>
              <w:bottom w:w="0" w:type="dxa"/>
              <w:right w:w="0" w:type="dxa"/>
            </w:tcMar>
            <w:vAlign w:val="center"/>
          </w:tcPr>
          <w:p w14:paraId="476C6E3F" w14:textId="77777777" w:rsidR="00781C58" w:rsidRDefault="00E36933" w:rsidP="00EA37B5">
            <w:pPr>
              <w:spacing w:before="20" w:after="20"/>
              <w:ind w:left="100" w:right="100"/>
              <w:jc w:val="center"/>
              <w:rPr>
                <w:rFonts w:eastAsia="Century Gothic" w:cs="Century Gothic"/>
                <w:b/>
                <w:color w:val="FFFFFF"/>
                <w:sz w:val="18"/>
                <w:szCs w:val="18"/>
              </w:rPr>
            </w:pPr>
            <w:r w:rsidRPr="001C3504">
              <w:rPr>
                <w:rFonts w:eastAsia="Century Gothic" w:cs="Century Gothic"/>
                <w:b/>
                <w:color w:val="FFFFFF"/>
                <w:sz w:val="18"/>
                <w:szCs w:val="18"/>
              </w:rPr>
              <w:t xml:space="preserve">Percentage responding Agree or </w:t>
            </w:r>
          </w:p>
          <w:p w14:paraId="2E65ABAB" w14:textId="3B4E5700" w:rsidR="00E36933" w:rsidRPr="001C3504" w:rsidRDefault="00E36933" w:rsidP="00EA37B5">
            <w:pPr>
              <w:spacing w:before="20" w:after="20"/>
              <w:ind w:left="100" w:right="100"/>
              <w:jc w:val="center"/>
              <w:rPr>
                <w:sz w:val="18"/>
                <w:szCs w:val="18"/>
              </w:rPr>
            </w:pPr>
            <w:r w:rsidRPr="001C3504">
              <w:rPr>
                <w:rFonts w:eastAsia="Century Gothic" w:cs="Century Gothic"/>
                <w:b/>
                <w:color w:val="FFFFFF"/>
                <w:sz w:val="18"/>
                <w:szCs w:val="18"/>
              </w:rPr>
              <w:t>Somewhat agree</w:t>
            </w:r>
          </w:p>
        </w:tc>
      </w:tr>
      <w:tr w:rsidR="00E36933" w:rsidRPr="001C3504" w14:paraId="20B2B7C5" w14:textId="77777777" w:rsidTr="00E36933">
        <w:trPr>
          <w:cantSplit/>
          <w:tblHeader/>
          <w:jc w:val="center"/>
        </w:trPr>
        <w:tc>
          <w:tcPr>
            <w:tcW w:w="0" w:type="auto"/>
            <w:vMerge/>
            <w:shd w:val="clear" w:color="auto" w:fill="003D79"/>
            <w:tcMar>
              <w:top w:w="0" w:type="dxa"/>
              <w:left w:w="0" w:type="dxa"/>
              <w:bottom w:w="0" w:type="dxa"/>
              <w:right w:w="0" w:type="dxa"/>
            </w:tcMar>
            <w:vAlign w:val="center"/>
          </w:tcPr>
          <w:p w14:paraId="40E33F27" w14:textId="77777777" w:rsidR="00E36933" w:rsidRPr="001C3504" w:rsidRDefault="00E36933" w:rsidP="00EA37B5">
            <w:pPr>
              <w:spacing w:before="20" w:after="20"/>
              <w:ind w:left="100" w:right="100"/>
              <w:jc w:val="center"/>
              <w:rPr>
                <w:sz w:val="18"/>
                <w:szCs w:val="18"/>
              </w:rPr>
            </w:pPr>
          </w:p>
        </w:tc>
        <w:tc>
          <w:tcPr>
            <w:tcW w:w="0" w:type="auto"/>
            <w:shd w:val="clear" w:color="auto" w:fill="408BCA"/>
            <w:tcMar>
              <w:top w:w="0" w:type="dxa"/>
              <w:left w:w="0" w:type="dxa"/>
              <w:bottom w:w="0" w:type="dxa"/>
              <w:right w:w="0" w:type="dxa"/>
            </w:tcMar>
            <w:vAlign w:val="center"/>
          </w:tcPr>
          <w:p w14:paraId="68FA7F5A" w14:textId="77777777" w:rsidR="00E36933" w:rsidRPr="001C3504" w:rsidRDefault="00E36933" w:rsidP="00EA37B5">
            <w:pPr>
              <w:spacing w:before="20" w:after="20"/>
              <w:ind w:left="100" w:right="100"/>
              <w:jc w:val="center"/>
              <w:rPr>
                <w:sz w:val="18"/>
                <w:szCs w:val="18"/>
              </w:rPr>
            </w:pPr>
            <w:r w:rsidRPr="001C3504">
              <w:rPr>
                <w:rFonts w:eastAsia="Century Gothic" w:cs="Century Gothic"/>
                <w:b/>
                <w:color w:val="FFFFFF"/>
                <w:sz w:val="18"/>
                <w:szCs w:val="18"/>
              </w:rPr>
              <w:t>Total</w:t>
            </w:r>
          </w:p>
        </w:tc>
        <w:tc>
          <w:tcPr>
            <w:tcW w:w="0" w:type="auto"/>
            <w:shd w:val="clear" w:color="auto" w:fill="408BCA"/>
            <w:tcMar>
              <w:top w:w="0" w:type="dxa"/>
              <w:left w:w="0" w:type="dxa"/>
              <w:bottom w:w="0" w:type="dxa"/>
              <w:right w:w="0" w:type="dxa"/>
            </w:tcMar>
            <w:vAlign w:val="center"/>
          </w:tcPr>
          <w:p w14:paraId="6CF484C5" w14:textId="77777777" w:rsidR="00E36933" w:rsidRPr="001C3504" w:rsidRDefault="00E36933" w:rsidP="00EA37B5">
            <w:pPr>
              <w:spacing w:before="20" w:after="20"/>
              <w:ind w:left="100" w:right="100"/>
              <w:jc w:val="center"/>
              <w:rPr>
                <w:sz w:val="18"/>
                <w:szCs w:val="18"/>
              </w:rPr>
            </w:pPr>
            <w:r w:rsidRPr="001C3504">
              <w:rPr>
                <w:rFonts w:eastAsia="Century Gothic" w:cs="Century Gothic"/>
                <w:b/>
                <w:color w:val="FFFFFF"/>
                <w:sz w:val="18"/>
                <w:szCs w:val="18"/>
              </w:rPr>
              <w:t>GP</w:t>
            </w:r>
          </w:p>
        </w:tc>
        <w:tc>
          <w:tcPr>
            <w:tcW w:w="0" w:type="auto"/>
            <w:shd w:val="clear" w:color="auto" w:fill="408BCA"/>
            <w:tcMar>
              <w:top w:w="0" w:type="dxa"/>
              <w:left w:w="0" w:type="dxa"/>
              <w:bottom w:w="0" w:type="dxa"/>
              <w:right w:w="0" w:type="dxa"/>
            </w:tcMar>
            <w:vAlign w:val="center"/>
          </w:tcPr>
          <w:p w14:paraId="7B967B0A" w14:textId="77777777" w:rsidR="00E36933" w:rsidRPr="001C3504" w:rsidRDefault="00E36933" w:rsidP="00EA37B5">
            <w:pPr>
              <w:spacing w:before="20" w:after="20"/>
              <w:ind w:left="100" w:right="100"/>
              <w:jc w:val="center"/>
              <w:rPr>
                <w:sz w:val="18"/>
                <w:szCs w:val="18"/>
              </w:rPr>
            </w:pPr>
            <w:r w:rsidRPr="001C3504">
              <w:rPr>
                <w:rFonts w:eastAsia="Century Gothic" w:cs="Century Gothic"/>
                <w:b/>
                <w:color w:val="FFFFFF"/>
                <w:sz w:val="18"/>
                <w:szCs w:val="18"/>
              </w:rPr>
              <w:t>Nurse</w:t>
            </w:r>
          </w:p>
        </w:tc>
        <w:tc>
          <w:tcPr>
            <w:tcW w:w="0" w:type="auto"/>
            <w:shd w:val="clear" w:color="auto" w:fill="408BCA"/>
            <w:tcMar>
              <w:top w:w="0" w:type="dxa"/>
              <w:left w:w="0" w:type="dxa"/>
              <w:bottom w:w="0" w:type="dxa"/>
              <w:right w:w="0" w:type="dxa"/>
            </w:tcMar>
            <w:vAlign w:val="center"/>
          </w:tcPr>
          <w:p w14:paraId="56FB2A0A" w14:textId="77777777" w:rsidR="00E36933" w:rsidRPr="001C3504" w:rsidRDefault="00E36933" w:rsidP="00EA37B5">
            <w:pPr>
              <w:spacing w:before="20" w:after="20"/>
              <w:ind w:left="100" w:right="100"/>
              <w:jc w:val="center"/>
              <w:rPr>
                <w:sz w:val="18"/>
                <w:szCs w:val="18"/>
              </w:rPr>
            </w:pPr>
            <w:r w:rsidRPr="001C3504">
              <w:rPr>
                <w:rFonts w:eastAsia="Century Gothic" w:cs="Century Gothic"/>
                <w:b/>
                <w:color w:val="FFFFFF"/>
                <w:sz w:val="18"/>
                <w:szCs w:val="18"/>
              </w:rPr>
              <w:t>Manager</w:t>
            </w:r>
          </w:p>
        </w:tc>
        <w:tc>
          <w:tcPr>
            <w:tcW w:w="0" w:type="auto"/>
            <w:shd w:val="clear" w:color="auto" w:fill="408BCA"/>
            <w:tcMar>
              <w:top w:w="0" w:type="dxa"/>
              <w:left w:w="0" w:type="dxa"/>
              <w:bottom w:w="0" w:type="dxa"/>
              <w:right w:w="0" w:type="dxa"/>
            </w:tcMar>
            <w:vAlign w:val="center"/>
          </w:tcPr>
          <w:p w14:paraId="7C88A1C3" w14:textId="77777777" w:rsidR="00E36933" w:rsidRPr="001C3504" w:rsidRDefault="00E36933" w:rsidP="00EA37B5">
            <w:pPr>
              <w:spacing w:before="20" w:after="20"/>
              <w:ind w:left="100" w:right="100"/>
              <w:jc w:val="center"/>
              <w:rPr>
                <w:sz w:val="18"/>
                <w:szCs w:val="18"/>
              </w:rPr>
            </w:pPr>
            <w:r w:rsidRPr="001C3504">
              <w:rPr>
                <w:rFonts w:eastAsia="Century Gothic" w:cs="Century Gothic"/>
                <w:b/>
                <w:color w:val="FFFFFF"/>
                <w:sz w:val="18"/>
                <w:szCs w:val="18"/>
              </w:rPr>
              <w:t>Other</w:t>
            </w:r>
          </w:p>
        </w:tc>
      </w:tr>
      <w:tr w:rsidR="00E36933" w:rsidRPr="001C3504" w14:paraId="6419DDBC" w14:textId="77777777" w:rsidTr="00E36933">
        <w:trPr>
          <w:cantSplit/>
          <w:jc w:val="center"/>
        </w:trPr>
        <w:tc>
          <w:tcPr>
            <w:tcW w:w="0" w:type="auto"/>
            <w:gridSpan w:val="6"/>
            <w:shd w:val="clear" w:color="auto" w:fill="FFFFFF"/>
            <w:tcMar>
              <w:top w:w="0" w:type="dxa"/>
              <w:left w:w="0" w:type="dxa"/>
              <w:bottom w:w="0" w:type="dxa"/>
              <w:right w:w="0" w:type="dxa"/>
            </w:tcMar>
            <w:vAlign w:val="center"/>
          </w:tcPr>
          <w:p w14:paraId="0340B2D9" w14:textId="77777777" w:rsidR="00E36933" w:rsidRPr="001C3504" w:rsidRDefault="00E36933" w:rsidP="00EA37B5">
            <w:pPr>
              <w:spacing w:before="20" w:after="20"/>
              <w:ind w:left="100" w:right="100"/>
              <w:rPr>
                <w:sz w:val="18"/>
                <w:szCs w:val="18"/>
              </w:rPr>
            </w:pPr>
            <w:r w:rsidRPr="001C3504">
              <w:rPr>
                <w:rFonts w:eastAsia="Century Gothic" w:cs="Century Gothic"/>
                <w:b/>
                <w:color w:val="000000"/>
                <w:sz w:val="18"/>
                <w:szCs w:val="18"/>
              </w:rPr>
              <w:t>The primary care team...</w:t>
            </w:r>
          </w:p>
        </w:tc>
      </w:tr>
      <w:tr w:rsidR="00E36933" w:rsidRPr="001C3504" w14:paraId="399290BF" w14:textId="77777777" w:rsidTr="00E36933">
        <w:trPr>
          <w:cantSplit/>
          <w:jc w:val="center"/>
        </w:trPr>
        <w:tc>
          <w:tcPr>
            <w:tcW w:w="0" w:type="auto"/>
            <w:shd w:val="clear" w:color="auto" w:fill="FFFFFF"/>
            <w:tcMar>
              <w:top w:w="0" w:type="dxa"/>
              <w:left w:w="0" w:type="dxa"/>
              <w:bottom w:w="0" w:type="dxa"/>
              <w:right w:w="0" w:type="dxa"/>
            </w:tcMar>
            <w:vAlign w:val="center"/>
          </w:tcPr>
          <w:p w14:paraId="4F5C6A43" w14:textId="77777777" w:rsidR="00E36933" w:rsidRPr="001C3504" w:rsidRDefault="00E36933" w:rsidP="00EA37B5">
            <w:pPr>
              <w:spacing w:before="20" w:after="20"/>
              <w:ind w:left="160" w:right="100"/>
              <w:rPr>
                <w:sz w:val="18"/>
                <w:szCs w:val="18"/>
              </w:rPr>
            </w:pPr>
            <w:r w:rsidRPr="001C3504">
              <w:rPr>
                <w:rFonts w:eastAsia="Century Gothic" w:cs="Century Gothic"/>
                <w:color w:val="000000"/>
                <w:sz w:val="18"/>
                <w:szCs w:val="18"/>
              </w:rPr>
              <w:t>... is made up of members with clearly defined roles, such as responsibility for patient self-management education, proactive follow up, and resource coordination</w:t>
            </w:r>
          </w:p>
        </w:tc>
        <w:tc>
          <w:tcPr>
            <w:tcW w:w="0" w:type="auto"/>
            <w:shd w:val="clear" w:color="auto" w:fill="FFFFFF"/>
            <w:tcMar>
              <w:top w:w="0" w:type="dxa"/>
              <w:left w:w="0" w:type="dxa"/>
              <w:bottom w:w="0" w:type="dxa"/>
              <w:right w:w="0" w:type="dxa"/>
            </w:tcMar>
            <w:vAlign w:val="center"/>
          </w:tcPr>
          <w:p w14:paraId="27656B93"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172 (95%)</w:t>
            </w:r>
          </w:p>
        </w:tc>
        <w:tc>
          <w:tcPr>
            <w:tcW w:w="0" w:type="auto"/>
            <w:shd w:val="clear" w:color="auto" w:fill="FFFFFF"/>
            <w:tcMar>
              <w:top w:w="0" w:type="dxa"/>
              <w:left w:w="0" w:type="dxa"/>
              <w:bottom w:w="0" w:type="dxa"/>
              <w:right w:w="0" w:type="dxa"/>
            </w:tcMar>
            <w:vAlign w:val="center"/>
          </w:tcPr>
          <w:p w14:paraId="78DCBB11"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35 (97%)</w:t>
            </w:r>
          </w:p>
        </w:tc>
        <w:tc>
          <w:tcPr>
            <w:tcW w:w="0" w:type="auto"/>
            <w:shd w:val="clear" w:color="auto" w:fill="FFFFFF"/>
            <w:tcMar>
              <w:top w:w="0" w:type="dxa"/>
              <w:left w:w="0" w:type="dxa"/>
              <w:bottom w:w="0" w:type="dxa"/>
              <w:right w:w="0" w:type="dxa"/>
            </w:tcMar>
            <w:vAlign w:val="center"/>
          </w:tcPr>
          <w:p w14:paraId="4701851E"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38 (84%)</w:t>
            </w:r>
          </w:p>
        </w:tc>
        <w:tc>
          <w:tcPr>
            <w:tcW w:w="0" w:type="auto"/>
            <w:shd w:val="clear" w:color="auto" w:fill="FFFFFF"/>
            <w:tcMar>
              <w:top w:w="0" w:type="dxa"/>
              <w:left w:w="0" w:type="dxa"/>
              <w:bottom w:w="0" w:type="dxa"/>
              <w:right w:w="0" w:type="dxa"/>
            </w:tcMar>
            <w:vAlign w:val="center"/>
          </w:tcPr>
          <w:p w14:paraId="205CB92D"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50 (100%)</w:t>
            </w:r>
          </w:p>
        </w:tc>
        <w:tc>
          <w:tcPr>
            <w:tcW w:w="0" w:type="auto"/>
            <w:shd w:val="clear" w:color="auto" w:fill="FFFFFF"/>
            <w:tcMar>
              <w:top w:w="0" w:type="dxa"/>
              <w:left w:w="0" w:type="dxa"/>
              <w:bottom w:w="0" w:type="dxa"/>
              <w:right w:w="0" w:type="dxa"/>
            </w:tcMar>
            <w:vAlign w:val="center"/>
          </w:tcPr>
          <w:p w14:paraId="2038AEB1"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49 (96%)</w:t>
            </w:r>
          </w:p>
        </w:tc>
      </w:tr>
      <w:tr w:rsidR="00E36933" w:rsidRPr="001C3504" w14:paraId="772C41A7" w14:textId="77777777" w:rsidTr="00E36933">
        <w:trPr>
          <w:cantSplit/>
          <w:jc w:val="center"/>
        </w:trPr>
        <w:tc>
          <w:tcPr>
            <w:tcW w:w="0" w:type="auto"/>
            <w:shd w:val="clear" w:color="auto" w:fill="FFFFFF"/>
            <w:tcMar>
              <w:top w:w="0" w:type="dxa"/>
              <w:left w:w="0" w:type="dxa"/>
              <w:bottom w:w="0" w:type="dxa"/>
              <w:right w:w="0" w:type="dxa"/>
            </w:tcMar>
            <w:vAlign w:val="center"/>
          </w:tcPr>
          <w:p w14:paraId="46C7BE10" w14:textId="77777777" w:rsidR="00E36933" w:rsidRPr="001C3504" w:rsidRDefault="00E36933" w:rsidP="00EA37B5">
            <w:pPr>
              <w:spacing w:before="20" w:after="20"/>
              <w:ind w:left="160" w:right="100"/>
              <w:rPr>
                <w:sz w:val="18"/>
                <w:szCs w:val="18"/>
              </w:rPr>
            </w:pPr>
            <w:r w:rsidRPr="001C3504">
              <w:rPr>
                <w:rFonts w:eastAsia="Century Gothic" w:cs="Century Gothic"/>
                <w:color w:val="000000"/>
                <w:sz w:val="18"/>
                <w:szCs w:val="18"/>
              </w:rPr>
              <w:t>... is characterised by collaboration and trust</w:t>
            </w:r>
          </w:p>
        </w:tc>
        <w:tc>
          <w:tcPr>
            <w:tcW w:w="0" w:type="auto"/>
            <w:shd w:val="clear" w:color="auto" w:fill="FFFFFF"/>
            <w:tcMar>
              <w:top w:w="0" w:type="dxa"/>
              <w:left w:w="0" w:type="dxa"/>
              <w:bottom w:w="0" w:type="dxa"/>
              <w:right w:w="0" w:type="dxa"/>
            </w:tcMar>
            <w:vAlign w:val="center"/>
          </w:tcPr>
          <w:p w14:paraId="77D33B02"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176 (97%)</w:t>
            </w:r>
          </w:p>
        </w:tc>
        <w:tc>
          <w:tcPr>
            <w:tcW w:w="0" w:type="auto"/>
            <w:shd w:val="clear" w:color="auto" w:fill="FFFFFF"/>
            <w:tcMar>
              <w:top w:w="0" w:type="dxa"/>
              <w:left w:w="0" w:type="dxa"/>
              <w:bottom w:w="0" w:type="dxa"/>
              <w:right w:w="0" w:type="dxa"/>
            </w:tcMar>
            <w:vAlign w:val="center"/>
          </w:tcPr>
          <w:p w14:paraId="7D8BBBB3"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36 (100%)</w:t>
            </w:r>
          </w:p>
        </w:tc>
        <w:tc>
          <w:tcPr>
            <w:tcW w:w="0" w:type="auto"/>
            <w:shd w:val="clear" w:color="auto" w:fill="FFFFFF"/>
            <w:tcMar>
              <w:top w:w="0" w:type="dxa"/>
              <w:left w:w="0" w:type="dxa"/>
              <w:bottom w:w="0" w:type="dxa"/>
              <w:right w:w="0" w:type="dxa"/>
            </w:tcMar>
            <w:vAlign w:val="center"/>
          </w:tcPr>
          <w:p w14:paraId="74ACCB85"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42 (93%)</w:t>
            </w:r>
          </w:p>
        </w:tc>
        <w:tc>
          <w:tcPr>
            <w:tcW w:w="0" w:type="auto"/>
            <w:shd w:val="clear" w:color="auto" w:fill="FFFFFF"/>
            <w:tcMar>
              <w:top w:w="0" w:type="dxa"/>
              <w:left w:w="0" w:type="dxa"/>
              <w:bottom w:w="0" w:type="dxa"/>
              <w:right w:w="0" w:type="dxa"/>
            </w:tcMar>
            <w:vAlign w:val="center"/>
          </w:tcPr>
          <w:p w14:paraId="24089325"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50 (100%)</w:t>
            </w:r>
          </w:p>
        </w:tc>
        <w:tc>
          <w:tcPr>
            <w:tcW w:w="0" w:type="auto"/>
            <w:shd w:val="clear" w:color="auto" w:fill="FFFFFF"/>
            <w:tcMar>
              <w:top w:w="0" w:type="dxa"/>
              <w:left w:w="0" w:type="dxa"/>
              <w:bottom w:w="0" w:type="dxa"/>
              <w:right w:w="0" w:type="dxa"/>
            </w:tcMar>
            <w:vAlign w:val="center"/>
          </w:tcPr>
          <w:p w14:paraId="7801C695"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48 (96%)</w:t>
            </w:r>
          </w:p>
        </w:tc>
      </w:tr>
      <w:tr w:rsidR="00E36933" w:rsidRPr="001C3504" w14:paraId="322D5FA8" w14:textId="77777777" w:rsidTr="00E36933">
        <w:trPr>
          <w:cantSplit/>
          <w:jc w:val="center"/>
        </w:trPr>
        <w:tc>
          <w:tcPr>
            <w:tcW w:w="0" w:type="auto"/>
            <w:shd w:val="clear" w:color="auto" w:fill="FFFFFF"/>
            <w:tcMar>
              <w:top w:w="0" w:type="dxa"/>
              <w:left w:w="0" w:type="dxa"/>
              <w:bottom w:w="0" w:type="dxa"/>
              <w:right w:w="0" w:type="dxa"/>
            </w:tcMar>
            <w:vAlign w:val="center"/>
          </w:tcPr>
          <w:p w14:paraId="77DFA9DD" w14:textId="77777777" w:rsidR="00E36933" w:rsidRPr="001C3504" w:rsidRDefault="00E36933" w:rsidP="00EA37B5">
            <w:pPr>
              <w:spacing w:before="20" w:after="20"/>
              <w:ind w:left="160" w:right="100"/>
              <w:rPr>
                <w:sz w:val="18"/>
                <w:szCs w:val="18"/>
              </w:rPr>
            </w:pPr>
            <w:r w:rsidRPr="001C3504">
              <w:rPr>
                <w:rFonts w:eastAsia="Century Gothic" w:cs="Century Gothic"/>
                <w:color w:val="000000"/>
                <w:sz w:val="18"/>
                <w:szCs w:val="18"/>
              </w:rPr>
              <w:lastRenderedPageBreak/>
              <w:t>... works with patients to help them understand their roles and responsibilities in care</w:t>
            </w:r>
          </w:p>
        </w:tc>
        <w:tc>
          <w:tcPr>
            <w:tcW w:w="0" w:type="auto"/>
            <w:shd w:val="clear" w:color="auto" w:fill="FFFFFF"/>
            <w:tcMar>
              <w:top w:w="0" w:type="dxa"/>
              <w:left w:w="0" w:type="dxa"/>
              <w:bottom w:w="0" w:type="dxa"/>
              <w:right w:w="0" w:type="dxa"/>
            </w:tcMar>
            <w:vAlign w:val="center"/>
          </w:tcPr>
          <w:p w14:paraId="5A846969"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173 (96%)</w:t>
            </w:r>
          </w:p>
        </w:tc>
        <w:tc>
          <w:tcPr>
            <w:tcW w:w="0" w:type="auto"/>
            <w:shd w:val="clear" w:color="auto" w:fill="FFFFFF"/>
            <w:tcMar>
              <w:top w:w="0" w:type="dxa"/>
              <w:left w:w="0" w:type="dxa"/>
              <w:bottom w:w="0" w:type="dxa"/>
              <w:right w:w="0" w:type="dxa"/>
            </w:tcMar>
            <w:vAlign w:val="center"/>
          </w:tcPr>
          <w:p w14:paraId="24CCD12A"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35 (97%)</w:t>
            </w:r>
          </w:p>
        </w:tc>
        <w:tc>
          <w:tcPr>
            <w:tcW w:w="0" w:type="auto"/>
            <w:shd w:val="clear" w:color="auto" w:fill="FFFFFF"/>
            <w:tcMar>
              <w:top w:w="0" w:type="dxa"/>
              <w:left w:w="0" w:type="dxa"/>
              <w:bottom w:w="0" w:type="dxa"/>
              <w:right w:w="0" w:type="dxa"/>
            </w:tcMar>
            <w:vAlign w:val="center"/>
          </w:tcPr>
          <w:p w14:paraId="608100F0"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40 (91%)</w:t>
            </w:r>
          </w:p>
        </w:tc>
        <w:tc>
          <w:tcPr>
            <w:tcW w:w="0" w:type="auto"/>
            <w:shd w:val="clear" w:color="auto" w:fill="FFFFFF"/>
            <w:tcMar>
              <w:top w:w="0" w:type="dxa"/>
              <w:left w:w="0" w:type="dxa"/>
              <w:bottom w:w="0" w:type="dxa"/>
              <w:right w:w="0" w:type="dxa"/>
            </w:tcMar>
            <w:vAlign w:val="center"/>
          </w:tcPr>
          <w:p w14:paraId="500DD85E"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50 (100%)</w:t>
            </w:r>
          </w:p>
        </w:tc>
        <w:tc>
          <w:tcPr>
            <w:tcW w:w="0" w:type="auto"/>
            <w:shd w:val="clear" w:color="auto" w:fill="FFFFFF"/>
            <w:tcMar>
              <w:top w:w="0" w:type="dxa"/>
              <w:left w:w="0" w:type="dxa"/>
              <w:bottom w:w="0" w:type="dxa"/>
              <w:right w:w="0" w:type="dxa"/>
            </w:tcMar>
            <w:vAlign w:val="center"/>
          </w:tcPr>
          <w:p w14:paraId="3E327E8B" w14:textId="77777777" w:rsidR="00E36933" w:rsidRPr="001C3504" w:rsidRDefault="00E36933" w:rsidP="00EA37B5">
            <w:pPr>
              <w:spacing w:before="20" w:after="20"/>
              <w:ind w:left="100" w:right="100"/>
              <w:jc w:val="right"/>
              <w:rPr>
                <w:sz w:val="18"/>
                <w:szCs w:val="18"/>
              </w:rPr>
            </w:pPr>
            <w:r w:rsidRPr="001C3504">
              <w:rPr>
                <w:rFonts w:eastAsia="Century Gothic" w:cs="Century Gothic"/>
                <w:color w:val="000000"/>
                <w:sz w:val="18"/>
                <w:szCs w:val="18"/>
              </w:rPr>
              <w:t>48 (96%)</w:t>
            </w:r>
          </w:p>
        </w:tc>
      </w:tr>
    </w:tbl>
    <w:p w14:paraId="11BB7C9C" w14:textId="7EAC3E1C" w:rsidR="00E36933" w:rsidRPr="001C3504" w:rsidRDefault="00E36933" w:rsidP="00E36933">
      <w:pPr>
        <w:pStyle w:val="Source"/>
      </w:pPr>
      <w:r w:rsidRPr="001C3504">
        <w:t xml:space="preserve">Source: </w:t>
      </w:r>
      <w:r>
        <w:t>Staff survey</w:t>
      </w:r>
      <w:r w:rsidRPr="001C3504">
        <w:t xml:space="preserve"> </w:t>
      </w:r>
      <w:r>
        <w:t>R</w:t>
      </w:r>
      <w:r w:rsidRPr="001C3504">
        <w:t xml:space="preserve">5 </w:t>
      </w:r>
      <w:r w:rsidR="00E612AE" w:rsidRPr="00E612AE">
        <w:t>Mar–May 2021</w:t>
      </w:r>
      <w:r w:rsidRPr="001C3504">
        <w:t xml:space="preserve">, </w:t>
      </w:r>
      <w:r>
        <w:t>question</w:t>
      </w:r>
      <w:r w:rsidRPr="001C3504">
        <w:t xml:space="preserve"> 5</w:t>
      </w:r>
      <w:r w:rsidR="00DF5A6A">
        <w:t>.</w:t>
      </w:r>
      <w:r w:rsidR="00E612AE">
        <w:t xml:space="preserve"> </w:t>
      </w:r>
    </w:p>
    <w:p w14:paraId="5FCC6FB3" w14:textId="25D17157" w:rsidR="00AE74AB" w:rsidRPr="004F63E7" w:rsidRDefault="000B55D7" w:rsidP="00AE74AB">
      <w:pPr>
        <w:rPr>
          <w:lang w:val="en-GB"/>
        </w:rPr>
      </w:pPr>
      <w:r>
        <w:rPr>
          <w:lang w:val="en-GB"/>
        </w:rPr>
        <w:t xml:space="preserve">Qualitative data from the case studies provided further insights into how practices approached </w:t>
      </w:r>
      <w:r w:rsidR="009D2521">
        <w:rPr>
          <w:lang w:val="en-GB"/>
        </w:rPr>
        <w:t xml:space="preserve">enhancing </w:t>
      </w:r>
      <w:r>
        <w:rPr>
          <w:lang w:val="en-GB"/>
        </w:rPr>
        <w:t xml:space="preserve">team care </w:t>
      </w:r>
      <w:r w:rsidR="009D2521">
        <w:rPr>
          <w:lang w:val="en-GB"/>
        </w:rPr>
        <w:t xml:space="preserve">and </w:t>
      </w:r>
      <w:r w:rsidR="003A50C4">
        <w:rPr>
          <w:lang w:val="en-GB"/>
        </w:rPr>
        <w:t xml:space="preserve">how </w:t>
      </w:r>
      <w:r w:rsidR="009D2521">
        <w:rPr>
          <w:lang w:val="en-GB"/>
        </w:rPr>
        <w:t>patient</w:t>
      </w:r>
      <w:r w:rsidR="003A50C4">
        <w:rPr>
          <w:lang w:val="en-GB"/>
        </w:rPr>
        <w:t>s</w:t>
      </w:r>
      <w:r w:rsidR="009D2521">
        <w:rPr>
          <w:lang w:val="en-GB"/>
        </w:rPr>
        <w:t xml:space="preserve"> experience</w:t>
      </w:r>
      <w:r w:rsidR="003A50C4">
        <w:rPr>
          <w:lang w:val="en-GB"/>
        </w:rPr>
        <w:t>d</w:t>
      </w:r>
      <w:r w:rsidR="009D2521">
        <w:rPr>
          <w:lang w:val="en-GB"/>
        </w:rPr>
        <w:t xml:space="preserve"> these changes. </w:t>
      </w:r>
      <w:r w:rsidR="00AE74AB" w:rsidRPr="004F63E7">
        <w:rPr>
          <w:lang w:val="en-GB"/>
        </w:rPr>
        <w:t xml:space="preserve">Several practices reported focusing on team-based care and delegation from the GP to other team members early in the program. For many practices, it brought about positive results for both staff and patients and was considered a key change resulting from HCH. Team care was reinforced by routine team meetings or </w:t>
      </w:r>
      <w:r w:rsidR="0087126D">
        <w:rPr>
          <w:lang w:val="en-GB"/>
        </w:rPr>
        <w:t>“</w:t>
      </w:r>
      <w:r w:rsidR="00AE74AB" w:rsidRPr="004F63E7">
        <w:rPr>
          <w:lang w:val="en-GB"/>
        </w:rPr>
        <w:t>huddles</w:t>
      </w:r>
      <w:r w:rsidR="0087126D">
        <w:rPr>
          <w:lang w:val="en-GB"/>
        </w:rPr>
        <w:t>”</w:t>
      </w:r>
      <w:r w:rsidR="00AE74AB" w:rsidRPr="004F63E7">
        <w:rPr>
          <w:lang w:val="en-GB"/>
        </w:rPr>
        <w:t xml:space="preserve"> and preparing patients for the team approach:</w:t>
      </w:r>
    </w:p>
    <w:p w14:paraId="40E61752" w14:textId="77777777" w:rsidR="00AE74AB" w:rsidRPr="004F63E7" w:rsidRDefault="00AE74AB" w:rsidP="00AE74AB">
      <w:pPr>
        <w:ind w:left="567" w:right="521"/>
        <w:rPr>
          <w:lang w:val="en-GB"/>
        </w:rPr>
      </w:pPr>
      <w:r w:rsidRPr="004F63E7">
        <w:rPr>
          <w:i/>
          <w:iCs/>
          <w:lang w:val="en-GB"/>
        </w:rPr>
        <w:t>“…there's a weekly meeting where we talk about certain patients who are part of the Health Care Homes scheme…usually one doctor will present a patient to the other doctors and other members of the team and we can talk about the patient, and I might make contributions there to the diagnosis or management…I think the coordination of care with the nurses and the practice staff and all that, I think that’s something that is better on the Health Care Homes.”</w:t>
      </w:r>
      <w:r w:rsidRPr="004F63E7">
        <w:rPr>
          <w:lang w:val="en-GB"/>
        </w:rPr>
        <w:t xml:space="preserve"> [Registrar, Practice 12, R2]</w:t>
      </w:r>
    </w:p>
    <w:p w14:paraId="561970D7" w14:textId="77777777" w:rsidR="00AE74AB" w:rsidRPr="004F63E7" w:rsidRDefault="00AE74AB" w:rsidP="00AE74AB">
      <w:pPr>
        <w:ind w:left="567" w:right="521"/>
        <w:rPr>
          <w:lang w:val="en-GB"/>
        </w:rPr>
      </w:pPr>
      <w:r w:rsidRPr="004F63E7">
        <w:rPr>
          <w:i/>
          <w:iCs/>
          <w:lang w:val="en-GB"/>
        </w:rPr>
        <w:t>“…if [patients] ring now, if they want to talk to someone in the treatment room, it’s whoever’s on duty out in the treatment room. If they want to talk to admin, it’s whoever is on admin. So, it’s more of a team thing and they think that’s really special.”</w:t>
      </w:r>
      <w:r w:rsidRPr="004F63E7">
        <w:rPr>
          <w:lang w:val="en-GB"/>
        </w:rPr>
        <w:t xml:space="preserve"> [Practice manager, Practice 4, R2]</w:t>
      </w:r>
    </w:p>
    <w:p w14:paraId="290ACFF5" w14:textId="77777777" w:rsidR="00AE74AB" w:rsidRPr="004F63E7" w:rsidRDefault="00AE74AB" w:rsidP="00AE74AB">
      <w:pPr>
        <w:rPr>
          <w:lang w:val="en-GB"/>
        </w:rPr>
      </w:pPr>
      <w:r w:rsidRPr="004F63E7">
        <w:rPr>
          <w:lang w:val="en-GB"/>
        </w:rPr>
        <w:t>The team approach helped some practices upskill their nurses to take on greater responsibilities with patients and others to engage allied health professionals as part of the team:</w:t>
      </w:r>
    </w:p>
    <w:p w14:paraId="1ED8BA68" w14:textId="77777777" w:rsidR="00AE74AB" w:rsidRPr="004F63E7" w:rsidRDefault="00AE74AB" w:rsidP="00AE74AB">
      <w:pPr>
        <w:ind w:left="567" w:right="521"/>
        <w:rPr>
          <w:i/>
          <w:iCs/>
          <w:szCs w:val="20"/>
          <w:lang w:val="en-US"/>
        </w:rPr>
      </w:pPr>
      <w:r w:rsidRPr="004F63E7">
        <w:rPr>
          <w:i/>
          <w:iCs/>
          <w:szCs w:val="20"/>
          <w:lang w:val="en-US"/>
        </w:rPr>
        <w:t xml:space="preserve">“I think a lot more trying to get the nurses involved. So much more of a team approach to it…I think the care plan side of it has </w:t>
      </w:r>
      <w:r w:rsidRPr="004F63E7">
        <w:rPr>
          <w:i/>
          <w:iCs/>
          <w:lang w:val="en-GB"/>
        </w:rPr>
        <w:t>helped</w:t>
      </w:r>
      <w:r w:rsidRPr="004F63E7">
        <w:rPr>
          <w:i/>
          <w:iCs/>
          <w:szCs w:val="20"/>
          <w:lang w:val="en-US"/>
        </w:rPr>
        <w:t xml:space="preserve"> get the nurses upskilled more…to have the nurses involved, and them doing it, it was a learning curve. And I think that’s probably where the main changes happened. And I’m all for it, sharing the workload.” </w:t>
      </w:r>
      <w:r w:rsidRPr="004F63E7">
        <w:rPr>
          <w:szCs w:val="20"/>
          <w:lang w:val="en-US"/>
        </w:rPr>
        <w:t>[GP, Practice 10, R5]</w:t>
      </w:r>
    </w:p>
    <w:p w14:paraId="7B73D76F" w14:textId="77777777" w:rsidR="00AE74AB" w:rsidRPr="004F63E7" w:rsidRDefault="00AE74AB" w:rsidP="00AE74AB">
      <w:pPr>
        <w:ind w:left="567" w:right="521"/>
        <w:rPr>
          <w:szCs w:val="20"/>
          <w:lang w:val="en-US"/>
        </w:rPr>
      </w:pPr>
      <w:r w:rsidRPr="004F63E7">
        <w:rPr>
          <w:i/>
          <w:iCs/>
          <w:szCs w:val="20"/>
          <w:lang w:val="en-US"/>
        </w:rPr>
        <w:t xml:space="preserve">“The nurses can check your work, can sort of tap your back and say, hey, doctor, you need to do this as well or you need to check the patient too, just probably a reminder to us as well and somebody’s </w:t>
      </w:r>
      <w:r w:rsidRPr="004F63E7">
        <w:rPr>
          <w:i/>
          <w:iCs/>
          <w:lang w:val="en-GB"/>
        </w:rPr>
        <w:t>checking</w:t>
      </w:r>
      <w:r w:rsidRPr="004F63E7">
        <w:rPr>
          <w:i/>
          <w:iCs/>
          <w:szCs w:val="20"/>
          <w:lang w:val="en-US"/>
        </w:rPr>
        <w:t xml:space="preserve"> on us…it’s a team effort. I really appreciate that one. That’s the difference between the old paradigm and the new paradigm. Well, it’s actually a very good program. I’m open to this kind of approach because it’s very helpful for us GPs. It’s just too much for us to do all these numbers every day, in and out every day without any help from the other members in the healthcare team.”</w:t>
      </w:r>
      <w:r w:rsidRPr="004F63E7">
        <w:rPr>
          <w:szCs w:val="20"/>
          <w:lang w:val="en-US"/>
        </w:rPr>
        <w:t xml:space="preserve"> [GP, Practice 6, R5]</w:t>
      </w:r>
    </w:p>
    <w:p w14:paraId="261CAB3F" w14:textId="77777777" w:rsidR="00AE74AB" w:rsidRPr="004F63E7" w:rsidRDefault="00AE74AB" w:rsidP="00AE74AB">
      <w:pPr>
        <w:ind w:left="567" w:right="521"/>
        <w:rPr>
          <w:szCs w:val="20"/>
          <w:lang w:val="en-US"/>
        </w:rPr>
      </w:pPr>
      <w:r w:rsidRPr="004F63E7">
        <w:rPr>
          <w:i/>
          <w:iCs/>
          <w:szCs w:val="20"/>
          <w:lang w:val="en-US"/>
        </w:rPr>
        <w:t xml:space="preserve">“…the dietician who comes to visit us was quite involved initially, so that was good. The way our practice is run, our practice nurses are involved in the care of </w:t>
      </w:r>
      <w:r w:rsidRPr="004F63E7">
        <w:rPr>
          <w:i/>
          <w:iCs/>
          <w:szCs w:val="20"/>
          <w:lang w:val="en-US"/>
        </w:rPr>
        <w:lastRenderedPageBreak/>
        <w:t xml:space="preserve">our patients anyway. But that was </w:t>
      </w:r>
      <w:r w:rsidRPr="004F63E7">
        <w:rPr>
          <w:i/>
          <w:iCs/>
          <w:lang w:val="en-GB"/>
        </w:rPr>
        <w:t>good</w:t>
      </w:r>
      <w:r w:rsidRPr="004F63E7">
        <w:rPr>
          <w:i/>
          <w:iCs/>
          <w:szCs w:val="20"/>
          <w:lang w:val="en-US"/>
        </w:rPr>
        <w:t xml:space="preserve"> that they could check and probably get a couple more phone calls with the patient where they wouldn’t have normally done it.”</w:t>
      </w:r>
      <w:r w:rsidRPr="004F63E7">
        <w:rPr>
          <w:szCs w:val="20"/>
          <w:lang w:val="en-US"/>
        </w:rPr>
        <w:t xml:space="preserve"> [GP, Practice 18, R5]</w:t>
      </w:r>
    </w:p>
    <w:p w14:paraId="34E25559" w14:textId="1DCAAD4D" w:rsidR="00AE74AB" w:rsidRPr="004F63E7" w:rsidRDefault="00AE74AB" w:rsidP="00AE74AB">
      <w:pPr>
        <w:rPr>
          <w:lang w:val="en-GB"/>
        </w:rPr>
      </w:pPr>
      <w:r w:rsidRPr="004F63E7">
        <w:rPr>
          <w:lang w:val="en-GB"/>
        </w:rPr>
        <w:t xml:space="preserve">GP </w:t>
      </w:r>
      <w:r w:rsidR="00ED3B88">
        <w:rPr>
          <w:lang w:val="en-GB"/>
        </w:rPr>
        <w:t xml:space="preserve">lack of </w:t>
      </w:r>
      <w:r w:rsidRPr="004F63E7">
        <w:rPr>
          <w:lang w:val="en-GB"/>
        </w:rPr>
        <w:t xml:space="preserve">willingness to delegate care responsibilities was a barrier for some practices in enhancing team-based care and allowing </w:t>
      </w:r>
      <w:r w:rsidR="00432797">
        <w:rPr>
          <w:lang w:val="en-GB"/>
        </w:rPr>
        <w:t xml:space="preserve">other </w:t>
      </w:r>
      <w:r w:rsidRPr="004F63E7">
        <w:rPr>
          <w:lang w:val="en-GB"/>
        </w:rPr>
        <w:t xml:space="preserve">staff, </w:t>
      </w:r>
      <w:r w:rsidR="00432797">
        <w:rPr>
          <w:lang w:val="en-GB"/>
        </w:rPr>
        <w:t>especially</w:t>
      </w:r>
      <w:r w:rsidRPr="004F63E7">
        <w:rPr>
          <w:lang w:val="en-GB"/>
        </w:rPr>
        <w:t xml:space="preserve"> nurses, to work at the top of their scope. While some attributed this to mindset, one GP highlighted the complexity and risk that GPs take on in a patient consult. They argued that implementing a model that supports task substitution and delegation from GPs to nurses and other members of the care team would, in many instances, not address patients’ issues, which are often multifaceted and complex:</w:t>
      </w:r>
    </w:p>
    <w:p w14:paraId="69F0F96B" w14:textId="77777777" w:rsidR="00AE74AB" w:rsidRPr="004F63E7" w:rsidRDefault="00AE74AB" w:rsidP="00AE74AB">
      <w:pPr>
        <w:ind w:left="567" w:right="521"/>
        <w:rPr>
          <w:lang w:val="en-GB"/>
        </w:rPr>
      </w:pPr>
      <w:r w:rsidRPr="004F63E7">
        <w:rPr>
          <w:i/>
          <w:iCs/>
          <w:lang w:val="en-GB"/>
        </w:rPr>
        <w:t>“So, in task substitution, it’s very hard to replace a full consultation. And if you replace part of a consultation, it’s still as costly to the level of care, because the nurse will often take 20 or 30 minutes. But the amount of time that 20 or 30-minute investment from an economic point, replaces a GP consult, might not be down to a whole consult and only part of a consult. So, it’s very tricky to see the economics of it…</w:t>
      </w:r>
      <w:r w:rsidRPr="004F63E7">
        <w:rPr>
          <w:i/>
          <w:iCs/>
          <w:lang w:val="en-US"/>
        </w:rPr>
        <w:t>the level of risk that the nurses were prepared to take on, when you actually came to it, we tried for a while, but invariably, when a patient comes [in]…they want scripts, they want pathology, they often talked about other issues other than just their chronic disease. So, whenever we tried it with the nurses, they still had to come to us outside of that chronic disease.”</w:t>
      </w:r>
      <w:r w:rsidRPr="004F63E7">
        <w:rPr>
          <w:lang w:val="en-US"/>
        </w:rPr>
        <w:t xml:space="preserve"> [GP, Practice 7, R5]</w:t>
      </w:r>
    </w:p>
    <w:p w14:paraId="5C9D5FA7" w14:textId="77777777" w:rsidR="00AE74AB" w:rsidRPr="004F63E7" w:rsidRDefault="00AE74AB" w:rsidP="00AE74AB">
      <w:pPr>
        <w:rPr>
          <w:lang w:val="en-GB"/>
        </w:rPr>
      </w:pPr>
      <w:r w:rsidRPr="004F63E7">
        <w:rPr>
          <w:lang w:val="en-GB"/>
        </w:rPr>
        <w:t>Other barriers to team-based care practices identified included:</w:t>
      </w:r>
    </w:p>
    <w:p w14:paraId="1C6B6515" w14:textId="77777777" w:rsidR="00AE74AB" w:rsidRPr="004F63E7" w:rsidRDefault="00AE74AB" w:rsidP="00BB7C8D">
      <w:pPr>
        <w:numPr>
          <w:ilvl w:val="0"/>
          <w:numId w:val="37"/>
        </w:numPr>
        <w:ind w:left="714" w:hanging="357"/>
        <w:contextualSpacing/>
        <w:rPr>
          <w:lang w:val="en-GB"/>
        </w:rPr>
      </w:pPr>
      <w:r w:rsidRPr="004F63E7">
        <w:rPr>
          <w:lang w:val="en-GB"/>
        </w:rPr>
        <w:t>limited staff engagement in HCH</w:t>
      </w:r>
    </w:p>
    <w:p w14:paraId="5F11A12E" w14:textId="1E8785D5" w:rsidR="00AE74AB" w:rsidRPr="004F63E7" w:rsidRDefault="00AE74AB" w:rsidP="00BB7C8D">
      <w:pPr>
        <w:numPr>
          <w:ilvl w:val="0"/>
          <w:numId w:val="37"/>
        </w:numPr>
        <w:ind w:left="714" w:hanging="357"/>
        <w:contextualSpacing/>
        <w:rPr>
          <w:lang w:val="en-GB"/>
        </w:rPr>
      </w:pPr>
      <w:r w:rsidRPr="004F63E7">
        <w:rPr>
          <w:lang w:val="en-GB"/>
        </w:rPr>
        <w:t xml:space="preserve">patients’ expectations and willingness to </w:t>
      </w:r>
      <w:r w:rsidR="00432797">
        <w:rPr>
          <w:lang w:val="en-GB"/>
        </w:rPr>
        <w:t>participate in</w:t>
      </w:r>
      <w:r w:rsidRPr="004F63E7">
        <w:rPr>
          <w:lang w:val="en-GB"/>
        </w:rPr>
        <w:t xml:space="preserve"> a team-based approach to care </w:t>
      </w:r>
    </w:p>
    <w:p w14:paraId="426157A6" w14:textId="77777777" w:rsidR="00AE74AB" w:rsidRPr="004F63E7" w:rsidRDefault="00AE74AB" w:rsidP="00BB7C8D">
      <w:pPr>
        <w:numPr>
          <w:ilvl w:val="0"/>
          <w:numId w:val="37"/>
        </w:numPr>
        <w:ind w:left="714" w:hanging="357"/>
        <w:contextualSpacing/>
        <w:rPr>
          <w:lang w:val="en-GB"/>
        </w:rPr>
      </w:pPr>
      <w:r w:rsidRPr="004F63E7">
        <w:rPr>
          <w:lang w:val="en-GB"/>
        </w:rPr>
        <w:t>low program awareness</w:t>
      </w:r>
    </w:p>
    <w:p w14:paraId="2B6C5166" w14:textId="77777777" w:rsidR="00AE74AB" w:rsidRPr="004F63E7" w:rsidRDefault="00AE74AB" w:rsidP="00BB7C8D">
      <w:pPr>
        <w:numPr>
          <w:ilvl w:val="0"/>
          <w:numId w:val="37"/>
        </w:numPr>
        <w:ind w:left="714" w:hanging="357"/>
        <w:rPr>
          <w:lang w:val="en-GB"/>
        </w:rPr>
      </w:pPr>
      <w:r w:rsidRPr="004F63E7">
        <w:rPr>
          <w:lang w:val="en-GB"/>
        </w:rPr>
        <w:t>use of practices’ shared care software by external providers.</w:t>
      </w:r>
    </w:p>
    <w:p w14:paraId="757B8494" w14:textId="48EFA836" w:rsidR="00AE74AB" w:rsidRPr="004F63E7" w:rsidRDefault="00AE74AB" w:rsidP="00AE74AB">
      <w:pPr>
        <w:rPr>
          <w:lang w:val="en-GB"/>
        </w:rPr>
      </w:pPr>
      <w:r w:rsidRPr="004F63E7">
        <w:rPr>
          <w:lang w:val="en-GB"/>
        </w:rPr>
        <w:t xml:space="preserve">Despite challenges in establishing team-based care, some practices reported that, after a transition period for both staff and patients, they were able to develop a stronger team-based culture. Key enablers </w:t>
      </w:r>
      <w:r w:rsidR="00FC2012">
        <w:rPr>
          <w:lang w:val="en-GB"/>
        </w:rPr>
        <w:t>for</w:t>
      </w:r>
      <w:r w:rsidRPr="004F63E7">
        <w:rPr>
          <w:lang w:val="en-GB"/>
        </w:rPr>
        <w:t xml:space="preserve"> team-based care included high level of participation and engagement amongst practice GPs and other staff members and involvement from both internal and external providers (including allied health professionals):</w:t>
      </w:r>
    </w:p>
    <w:p w14:paraId="1E9A0965" w14:textId="77777777" w:rsidR="00AE74AB" w:rsidRPr="004F63E7" w:rsidRDefault="00AE74AB" w:rsidP="00AE74AB">
      <w:pPr>
        <w:ind w:left="567" w:right="521"/>
        <w:rPr>
          <w:lang w:val="en-GB"/>
        </w:rPr>
      </w:pPr>
      <w:r w:rsidRPr="004F63E7">
        <w:rPr>
          <w:i/>
          <w:iCs/>
          <w:lang w:val="en-GB"/>
        </w:rPr>
        <w:t>“[HCH] had a big impact on the team, obviously because when it first started, we didn’t have all our doctors on board, assisting. And the reception staff were not familiar with what Health Care Homes was, and how the program worked, and what the program meant, and what patients could do, who were enrolled in that program. So, since we’ve had a re-evaluation of it since I started here last year…And with all the doctors on board now, too, it means that they’ve got a better understanding of why these patients are on this program, and what benefits it is to the doctor and the patient as well.”</w:t>
      </w:r>
      <w:r w:rsidRPr="004F63E7">
        <w:rPr>
          <w:lang w:val="en-GB"/>
        </w:rPr>
        <w:t xml:space="preserve"> [Practice Manager, Practice 23, R4]</w:t>
      </w:r>
    </w:p>
    <w:p w14:paraId="16672343" w14:textId="77777777" w:rsidR="00AE74AB" w:rsidRPr="004F63E7" w:rsidRDefault="00AE74AB" w:rsidP="00AE74AB">
      <w:pPr>
        <w:ind w:left="567" w:right="521"/>
        <w:rPr>
          <w:lang w:val="en-GB"/>
        </w:rPr>
      </w:pPr>
      <w:r w:rsidRPr="004F63E7">
        <w:rPr>
          <w:i/>
          <w:iCs/>
          <w:lang w:val="en-GB"/>
        </w:rPr>
        <w:lastRenderedPageBreak/>
        <w:t xml:space="preserve">“…the doctors are more trusting with us now under the Health Care Homes because they know that either way they’re going to see them but it just depends on when.” </w:t>
      </w:r>
      <w:r w:rsidRPr="004F63E7">
        <w:rPr>
          <w:lang w:val="en-GB"/>
        </w:rPr>
        <w:t>[Nurse, Practice 6, R4]</w:t>
      </w:r>
    </w:p>
    <w:p w14:paraId="0DC08454" w14:textId="77777777" w:rsidR="00AE74AB" w:rsidRPr="004F63E7" w:rsidRDefault="00AE74AB" w:rsidP="00AE74AB">
      <w:pPr>
        <w:rPr>
          <w:lang w:val="en-GB"/>
        </w:rPr>
      </w:pPr>
      <w:r w:rsidRPr="004F63E7">
        <w:rPr>
          <w:lang w:val="en-GB"/>
        </w:rPr>
        <w:t>Some practices that were able to enhance their team-based care commented on the impact of teamwork on their patients:</w:t>
      </w:r>
    </w:p>
    <w:p w14:paraId="2DA14CD4" w14:textId="741F576C" w:rsidR="00AE74AB" w:rsidRPr="004F63E7" w:rsidRDefault="00AE74AB" w:rsidP="00AE74AB">
      <w:pPr>
        <w:ind w:left="567" w:right="521"/>
        <w:rPr>
          <w:szCs w:val="20"/>
        </w:rPr>
      </w:pPr>
      <w:r w:rsidRPr="004F63E7">
        <w:rPr>
          <w:i/>
          <w:iCs/>
          <w:szCs w:val="20"/>
        </w:rPr>
        <w:t xml:space="preserve">“I think that they feel that the team of people that’s involved in their </w:t>
      </w:r>
      <w:r w:rsidR="00DA34EA">
        <w:rPr>
          <w:i/>
          <w:iCs/>
          <w:szCs w:val="20"/>
        </w:rPr>
        <w:t>health care</w:t>
      </w:r>
      <w:r w:rsidRPr="004F63E7">
        <w:rPr>
          <w:i/>
          <w:iCs/>
          <w:szCs w:val="20"/>
        </w:rPr>
        <w:t xml:space="preserve"> is better equipped. They’re in more communication, they’re talking more, and they feel that they are, again, better cared for by that team.”</w:t>
      </w:r>
      <w:r w:rsidRPr="004F63E7">
        <w:rPr>
          <w:szCs w:val="20"/>
        </w:rPr>
        <w:t xml:space="preserve"> [Practice Manager, Practice 22, R4]</w:t>
      </w:r>
    </w:p>
    <w:p w14:paraId="77D3754A" w14:textId="4B3AF46B" w:rsidR="008D2826" w:rsidRDefault="008527C4" w:rsidP="008D2826">
      <w:pPr>
        <w:rPr>
          <w:lang w:eastAsia="en-AU"/>
        </w:rPr>
      </w:pPr>
      <w:r>
        <w:rPr>
          <w:lang w:eastAsia="en-AU"/>
        </w:rPr>
        <w:t xml:space="preserve">Interviews with patients also provided insights </w:t>
      </w:r>
      <w:r w:rsidR="004F2A42">
        <w:rPr>
          <w:lang w:eastAsia="en-AU"/>
        </w:rPr>
        <w:t>into their experience of team care.</w:t>
      </w:r>
      <w:r w:rsidR="00A561EE">
        <w:rPr>
          <w:lang w:eastAsia="en-AU"/>
        </w:rPr>
        <w:t xml:space="preserve"> </w:t>
      </w:r>
      <w:r w:rsidR="008D2826">
        <w:rPr>
          <w:lang w:eastAsia="en-AU"/>
        </w:rPr>
        <w:t>While patients often reported strong, long-standing relationships with their GPs and some had minimal interaction with nursing staff</w:t>
      </w:r>
      <w:r w:rsidR="00780432">
        <w:rPr>
          <w:lang w:eastAsia="en-AU"/>
        </w:rPr>
        <w:t xml:space="preserve"> at the practice</w:t>
      </w:r>
      <w:r w:rsidR="008D2826">
        <w:rPr>
          <w:lang w:eastAsia="en-AU"/>
        </w:rPr>
        <w:t xml:space="preserve">, many reported that practice nurses had a more active role in their care throughout the </w:t>
      </w:r>
      <w:r w:rsidR="00780432">
        <w:rPr>
          <w:lang w:eastAsia="en-AU"/>
        </w:rPr>
        <w:t>trial</w:t>
      </w:r>
      <w:r w:rsidR="008D2826">
        <w:rPr>
          <w:lang w:eastAsia="en-AU"/>
        </w:rPr>
        <w:t xml:space="preserve">. Depending on the practice, this increased involvement often included additional time and access to practice nurses via in person </w:t>
      </w:r>
      <w:r w:rsidR="002B0C3D">
        <w:rPr>
          <w:lang w:eastAsia="en-AU"/>
        </w:rPr>
        <w:t>visits</w:t>
      </w:r>
      <w:r w:rsidR="008D2826">
        <w:rPr>
          <w:lang w:eastAsia="en-AU"/>
        </w:rPr>
        <w:t xml:space="preserve">, education sessions, </w:t>
      </w:r>
      <w:r w:rsidR="0087126D">
        <w:rPr>
          <w:lang w:eastAsia="en-AU"/>
        </w:rPr>
        <w:t>“</w:t>
      </w:r>
      <w:r w:rsidR="008D2826">
        <w:rPr>
          <w:lang w:eastAsia="en-AU"/>
        </w:rPr>
        <w:t>check-in</w:t>
      </w:r>
      <w:r w:rsidR="0087126D">
        <w:rPr>
          <w:lang w:eastAsia="en-AU"/>
        </w:rPr>
        <w:t>”</w:t>
      </w:r>
      <w:r w:rsidR="008D2826">
        <w:rPr>
          <w:lang w:eastAsia="en-AU"/>
        </w:rPr>
        <w:t xml:space="preserve"> calls and through a designated HCH phone line. Many interviewees welcomed this increased nurse involvement and felt they were not wasting their doctors’ time and were able to ask additional questions </w:t>
      </w:r>
      <w:r w:rsidR="00006847">
        <w:rPr>
          <w:lang w:eastAsia="en-AU"/>
        </w:rPr>
        <w:t>about</w:t>
      </w:r>
      <w:r w:rsidR="008D2826">
        <w:rPr>
          <w:lang w:eastAsia="en-AU"/>
        </w:rPr>
        <w:t xml:space="preserve"> their health and managing their condition(s)</w:t>
      </w:r>
      <w:r w:rsidR="00006847">
        <w:rPr>
          <w:lang w:eastAsia="en-AU"/>
        </w:rPr>
        <w:t>.</w:t>
      </w:r>
      <w:r w:rsidR="008D2826">
        <w:rPr>
          <w:lang w:eastAsia="en-AU"/>
        </w:rPr>
        <w:t xml:space="preserve"> Some patients also developed strong relationships with their practice nurses:</w:t>
      </w:r>
    </w:p>
    <w:p w14:paraId="2FBF8E94" w14:textId="3BEC6EBA" w:rsidR="00006847" w:rsidRDefault="00006847" w:rsidP="00006847">
      <w:pPr>
        <w:ind w:left="567" w:right="521"/>
        <w:rPr>
          <w:lang w:eastAsia="en-AU"/>
        </w:rPr>
      </w:pPr>
      <w:r w:rsidRPr="00123081">
        <w:rPr>
          <w:i/>
          <w:iCs/>
          <w:lang w:eastAsia="en-AU"/>
        </w:rPr>
        <w:t>“</w:t>
      </w:r>
      <w:r w:rsidRPr="00123081">
        <w:rPr>
          <w:i/>
          <w:iCs/>
          <w:lang w:val="en-US" w:eastAsia="en-AU"/>
        </w:rPr>
        <w:t>[</w:t>
      </w:r>
      <w:r w:rsidR="00C00977">
        <w:rPr>
          <w:i/>
          <w:iCs/>
          <w:lang w:val="en-US" w:eastAsia="en-AU"/>
        </w:rPr>
        <w:t>I</w:t>
      </w:r>
      <w:r w:rsidRPr="00123081">
        <w:rPr>
          <w:i/>
          <w:iCs/>
          <w:lang w:val="en-US" w:eastAsia="en-AU"/>
        </w:rPr>
        <w:t>t’s] a great backup to the doctors…</w:t>
      </w:r>
      <w:r w:rsidRPr="00123081">
        <w:rPr>
          <w:i/>
          <w:iCs/>
          <w:lang w:eastAsia="en-AU"/>
        </w:rPr>
        <w:t>”</w:t>
      </w:r>
      <w:r>
        <w:rPr>
          <w:i/>
          <w:iCs/>
          <w:lang w:eastAsia="en-AU"/>
        </w:rPr>
        <w:t xml:space="preserve"> </w:t>
      </w:r>
      <w:r>
        <w:rPr>
          <w:lang w:eastAsia="en-AU"/>
        </w:rPr>
        <w:t>[Patient 4, Practice 4, R5]).</w:t>
      </w:r>
    </w:p>
    <w:p w14:paraId="0647964A" w14:textId="77777777" w:rsidR="008D2826" w:rsidRPr="00052716" w:rsidRDefault="008D2826" w:rsidP="008D2826">
      <w:pPr>
        <w:ind w:left="567" w:right="521"/>
        <w:rPr>
          <w:i/>
          <w:iCs/>
          <w:lang w:eastAsia="en-AU"/>
        </w:rPr>
      </w:pPr>
      <w:r w:rsidRPr="0080171D">
        <w:rPr>
          <w:i/>
          <w:iCs/>
          <w:lang w:eastAsia="en-AU"/>
        </w:rPr>
        <w:t>“But now we've met [nurse’s name], the health care nurse, and gone through all that. Which will relieve [GP] of so much pressure, which I thought was brilliant.”</w:t>
      </w:r>
      <w:r w:rsidRPr="0080171D">
        <w:rPr>
          <w:lang w:eastAsia="en-AU"/>
        </w:rPr>
        <w:t xml:space="preserve"> [</w:t>
      </w:r>
      <w:r w:rsidRPr="00433276">
        <w:rPr>
          <w:lang w:eastAsia="en-AU"/>
        </w:rPr>
        <w:t>Patient 6, Practice 4, R2]</w:t>
      </w:r>
    </w:p>
    <w:p w14:paraId="035D58D9" w14:textId="684B0348" w:rsidR="008D2826" w:rsidRPr="00052716" w:rsidRDefault="008D2826" w:rsidP="008D2826">
      <w:pPr>
        <w:ind w:left="567" w:right="521"/>
        <w:rPr>
          <w:rFonts w:eastAsia="Times New Roman" w:cs="Calibri"/>
          <w:szCs w:val="20"/>
          <w:lang w:val="en-US"/>
        </w:rPr>
      </w:pPr>
      <w:r w:rsidRPr="00052716">
        <w:rPr>
          <w:rFonts w:eastAsia="Times New Roman" w:cs="Tahoma"/>
          <w:i/>
          <w:iCs/>
          <w:szCs w:val="20"/>
          <w:lang w:val="en-US"/>
        </w:rPr>
        <w:t>“</w:t>
      </w:r>
      <w:r w:rsidRPr="00052716">
        <w:rPr>
          <w:rFonts w:eastAsia="Times New Roman" w:cs="Calibri"/>
          <w:i/>
          <w:iCs/>
          <w:szCs w:val="20"/>
          <w:lang w:val="en-US"/>
        </w:rPr>
        <w:t>I think that fact that I can contact my health care nurse now</w:t>
      </w:r>
      <w:r w:rsidR="00C00977">
        <w:rPr>
          <w:rFonts w:eastAsia="Times New Roman" w:cs="Calibri"/>
          <w:i/>
          <w:iCs/>
          <w:szCs w:val="20"/>
          <w:lang w:val="en-US"/>
        </w:rPr>
        <w:t>..</w:t>
      </w:r>
      <w:r w:rsidRPr="00052716">
        <w:rPr>
          <w:rFonts w:eastAsia="Times New Roman" w:cs="Calibri"/>
          <w:i/>
          <w:iCs/>
          <w:szCs w:val="20"/>
          <w:lang w:val="en-US"/>
        </w:rPr>
        <w:t>. And I spoke more openly with her than I ever have with my GP. Also, you know that you’ve got to talk there. And you know that if you can’t get to your GP, she will do something about that. There’s that reassurance, as a person living in their own home, that might have worries that they just need that reassurance.”</w:t>
      </w:r>
      <w:r w:rsidRPr="00052716">
        <w:rPr>
          <w:rFonts w:eastAsia="Times New Roman" w:cs="Calibri"/>
          <w:szCs w:val="20"/>
          <w:lang w:val="en-US"/>
        </w:rPr>
        <w:t xml:space="preserve"> [Patient 1, Practice 26, R5]</w:t>
      </w:r>
    </w:p>
    <w:p w14:paraId="2F2626A5" w14:textId="77777777" w:rsidR="008D2826" w:rsidRDefault="008D2826" w:rsidP="008D2826">
      <w:pPr>
        <w:ind w:left="567" w:right="521"/>
        <w:rPr>
          <w:lang w:eastAsia="en-AU"/>
        </w:rPr>
      </w:pPr>
      <w:r w:rsidRPr="009F191E">
        <w:rPr>
          <w:i/>
          <w:iCs/>
          <w:lang w:eastAsia="en-AU"/>
        </w:rPr>
        <w:t>“Yes, [nurse] calls and said, we haven’t caught up for three or four weeks, are you okay? …thinking I should need something checking or this or that, so she’ll come down tomorrow and have a look, and if the doctor needs to look, we’ll do whatever, and been very reassuring. She’s a lovely person, and very good.”</w:t>
      </w:r>
      <w:r>
        <w:rPr>
          <w:lang w:eastAsia="en-AU"/>
        </w:rPr>
        <w:t xml:space="preserve"> [Patient 7, Practice 24, R4]</w:t>
      </w:r>
    </w:p>
    <w:p w14:paraId="65A5490D" w14:textId="77777777" w:rsidR="008D2826" w:rsidRPr="00FC666D" w:rsidRDefault="008D2826" w:rsidP="00C27FBF">
      <w:pPr>
        <w:ind w:left="567" w:right="521"/>
        <w:rPr>
          <w:szCs w:val="20"/>
          <w:lang w:val="en-US"/>
        </w:rPr>
      </w:pPr>
      <w:r>
        <w:rPr>
          <w:i/>
          <w:iCs/>
          <w:szCs w:val="20"/>
          <w:lang w:val="en-US"/>
        </w:rPr>
        <w:t>“</w:t>
      </w:r>
      <w:r w:rsidRPr="00FC666D">
        <w:rPr>
          <w:i/>
          <w:iCs/>
          <w:szCs w:val="20"/>
          <w:lang w:val="en-US"/>
        </w:rPr>
        <w:t xml:space="preserve">What I’ve noticed is, being on the program, with that nurse involvement, she will ring me up and she will say, we haven’t </w:t>
      </w:r>
      <w:r w:rsidRPr="00C27FBF">
        <w:rPr>
          <w:i/>
          <w:iCs/>
          <w:lang w:eastAsia="en-AU"/>
        </w:rPr>
        <w:t>seen</w:t>
      </w:r>
      <w:r w:rsidRPr="00FC666D">
        <w:rPr>
          <w:i/>
          <w:iCs/>
          <w:szCs w:val="20"/>
          <w:lang w:val="en-US"/>
        </w:rPr>
        <w:t xml:space="preserve"> you for a couple of months, how are you going? Come in, you need to come in and we can have a chat, or we’ll do a phone interview. Especially the last 12 months, we’ve had the remote measures. But it makes me feel that I’m cared for as a person, it’s not just I’m going in because I’ve got something wrong. It actually makes me think, well, they’re actually aware of things.</w:t>
      </w:r>
      <w:r>
        <w:rPr>
          <w:i/>
          <w:iCs/>
          <w:szCs w:val="20"/>
          <w:lang w:val="en-US"/>
        </w:rPr>
        <w:t xml:space="preserve">” </w:t>
      </w:r>
      <w:r>
        <w:rPr>
          <w:szCs w:val="20"/>
          <w:lang w:val="en-US"/>
        </w:rPr>
        <w:t>[Patient 2, Practice 5, R5]</w:t>
      </w:r>
    </w:p>
    <w:p w14:paraId="10F07202" w14:textId="77777777" w:rsidR="008D2826" w:rsidRDefault="008D2826" w:rsidP="008D2826">
      <w:pPr>
        <w:rPr>
          <w:lang w:eastAsia="en-AU"/>
        </w:rPr>
      </w:pPr>
      <w:r>
        <w:rPr>
          <w:lang w:eastAsia="en-AU"/>
        </w:rPr>
        <w:lastRenderedPageBreak/>
        <w:t>A few patients went further to say that having the nurse more involved in their care helped them manage their conditions more effectively, provided additional support and motivation and even improved their mental health:</w:t>
      </w:r>
    </w:p>
    <w:p w14:paraId="73527AFC" w14:textId="77777777" w:rsidR="008D2826" w:rsidRDefault="008D2826" w:rsidP="008D2826">
      <w:pPr>
        <w:ind w:left="567" w:right="521"/>
        <w:rPr>
          <w:lang w:eastAsia="en-AU"/>
        </w:rPr>
      </w:pPr>
      <w:r w:rsidRPr="00F67B60">
        <w:rPr>
          <w:i/>
          <w:iCs/>
          <w:lang w:eastAsia="en-AU"/>
        </w:rPr>
        <w:t>“…the other young [nurse] is the good one. She’s a good nurse. A very good one. I think I should see her more often. That ought to get me moving.”</w:t>
      </w:r>
      <w:r>
        <w:rPr>
          <w:lang w:eastAsia="en-AU"/>
        </w:rPr>
        <w:t xml:space="preserve"> [Patient 1, Practice 23, R2]</w:t>
      </w:r>
    </w:p>
    <w:p w14:paraId="3E450198" w14:textId="77777777" w:rsidR="008D2826" w:rsidRDefault="008D2826" w:rsidP="008D2826">
      <w:pPr>
        <w:ind w:left="567" w:right="521"/>
        <w:rPr>
          <w:lang w:eastAsia="en-AU"/>
        </w:rPr>
      </w:pPr>
      <w:r w:rsidRPr="00F67B60">
        <w:rPr>
          <w:i/>
          <w:iCs/>
          <w:lang w:eastAsia="en-AU"/>
        </w:rPr>
        <w:t>“But [practice nurse] is very good. One of the last times I came out crying she got me, she calmed me down and she’s very good. She’s made a huge improvement in that sense, for me anyway, yes.”</w:t>
      </w:r>
      <w:r>
        <w:rPr>
          <w:lang w:eastAsia="en-AU"/>
        </w:rPr>
        <w:t xml:space="preserve"> [Patient 1, Practice 3, R2]</w:t>
      </w:r>
    </w:p>
    <w:p w14:paraId="44AA8939" w14:textId="7DFC8CDC" w:rsidR="00C27D2F" w:rsidRPr="00C27D2F" w:rsidRDefault="008D2826" w:rsidP="00C27D2F">
      <w:pPr>
        <w:ind w:left="567" w:right="521"/>
        <w:rPr>
          <w:szCs w:val="20"/>
          <w:lang w:eastAsia="en-AU"/>
        </w:rPr>
      </w:pPr>
      <w:r w:rsidRPr="0097777E">
        <w:rPr>
          <w:rFonts w:cs="Calibri"/>
          <w:i/>
          <w:iCs/>
          <w:szCs w:val="20"/>
          <w:lang w:val="en-US"/>
        </w:rPr>
        <w:t>“It’s just improved things, especially with my depression issues and stuff. And I’ve had people to go and see, to talk to and face any more issues that I’ve had, without having to wait for a while. It’s been there to support me, yes…”</w:t>
      </w:r>
      <w:r w:rsidRPr="0097777E">
        <w:rPr>
          <w:rFonts w:cs="Calibri"/>
          <w:szCs w:val="20"/>
          <w:lang w:val="en-US"/>
        </w:rPr>
        <w:t xml:space="preserve"> [Patient 6, Practice 4, R5]</w:t>
      </w:r>
    </w:p>
    <w:tbl>
      <w:tblPr>
        <w:tblW w:w="9136" w:type="dxa"/>
        <w:tblBorders>
          <w:top w:val="single" w:sz="8" w:space="0" w:color="408BCA"/>
          <w:left w:val="single" w:sz="8" w:space="0" w:color="408BCA"/>
          <w:bottom w:val="single" w:sz="8" w:space="0" w:color="408BCA"/>
          <w:right w:val="single" w:sz="8" w:space="0" w:color="408BCA"/>
        </w:tblBorders>
        <w:tblLook w:val="04A0" w:firstRow="1" w:lastRow="0" w:firstColumn="1" w:lastColumn="0" w:noHBand="0" w:noVBand="1"/>
      </w:tblPr>
      <w:tblGrid>
        <w:gridCol w:w="9136"/>
      </w:tblGrid>
      <w:tr w:rsidR="00C27D2F" w:rsidRPr="00C27D2F" w14:paraId="26BE320D" w14:textId="77777777" w:rsidTr="004C3CCB">
        <w:trPr>
          <w:trHeight w:val="20"/>
        </w:trPr>
        <w:tc>
          <w:tcPr>
            <w:tcW w:w="9136" w:type="dxa"/>
            <w:shd w:val="clear" w:color="auto" w:fill="408BCA"/>
          </w:tcPr>
          <w:p w14:paraId="5D5F293F" w14:textId="77777777" w:rsidR="00C27D2F" w:rsidRPr="00C27D2F" w:rsidRDefault="00C27D2F" w:rsidP="00EA37B5">
            <w:pPr>
              <w:spacing w:after="0"/>
              <w:jc w:val="center"/>
              <w:rPr>
                <w:b/>
                <w:color w:val="FFFFFF" w:themeColor="background1"/>
                <w:szCs w:val="20"/>
              </w:rPr>
            </w:pPr>
            <w:r w:rsidRPr="00C27D2F">
              <w:rPr>
                <w:b/>
                <w:color w:val="FFFFFF" w:themeColor="background1"/>
                <w:szCs w:val="20"/>
              </w:rPr>
              <w:t>Case study</w:t>
            </w:r>
          </w:p>
        </w:tc>
      </w:tr>
      <w:tr w:rsidR="00C27D2F" w:rsidRPr="00C27D2F" w14:paraId="21B93085" w14:textId="77777777" w:rsidTr="004C3CCB">
        <w:trPr>
          <w:trHeight w:val="2552"/>
        </w:trPr>
        <w:tc>
          <w:tcPr>
            <w:tcW w:w="9136" w:type="dxa"/>
          </w:tcPr>
          <w:p w14:paraId="6992E03B" w14:textId="5CEABBCE" w:rsidR="00C27D2F" w:rsidRPr="00C27D2F" w:rsidRDefault="00C27D2F" w:rsidP="00EA37B5">
            <w:pPr>
              <w:spacing w:before="200"/>
              <w:rPr>
                <w:sz w:val="18"/>
                <w:szCs w:val="18"/>
              </w:rPr>
            </w:pPr>
            <w:r w:rsidRPr="00C27D2F">
              <w:rPr>
                <w:sz w:val="18"/>
                <w:szCs w:val="18"/>
              </w:rPr>
              <w:t xml:space="preserve">Anika* has severe asthma which has resulted in </w:t>
            </w:r>
            <w:r w:rsidR="0073033D">
              <w:rPr>
                <w:sz w:val="18"/>
                <w:szCs w:val="18"/>
              </w:rPr>
              <w:t>frequent</w:t>
            </w:r>
            <w:r w:rsidRPr="00C27D2F">
              <w:rPr>
                <w:sz w:val="18"/>
                <w:szCs w:val="18"/>
              </w:rPr>
              <w:t xml:space="preserve"> hospitalisations. Her condition requires her to liaise with several specialists and has impacted her mental health. While </w:t>
            </w:r>
            <w:r w:rsidR="0073033D">
              <w:rPr>
                <w:sz w:val="18"/>
                <w:szCs w:val="18"/>
              </w:rPr>
              <w:t xml:space="preserve">she reported that </w:t>
            </w:r>
            <w:r w:rsidRPr="00C27D2F">
              <w:rPr>
                <w:sz w:val="18"/>
                <w:szCs w:val="18"/>
              </w:rPr>
              <w:t xml:space="preserve">her practice provided </w:t>
            </w:r>
            <w:r w:rsidR="001C2B15">
              <w:rPr>
                <w:sz w:val="18"/>
                <w:szCs w:val="18"/>
              </w:rPr>
              <w:t xml:space="preserve">her </w:t>
            </w:r>
            <w:r w:rsidRPr="00C27D2F">
              <w:rPr>
                <w:sz w:val="18"/>
                <w:szCs w:val="18"/>
              </w:rPr>
              <w:t xml:space="preserve">outstanding care before </w:t>
            </w:r>
            <w:r w:rsidR="001C2B15">
              <w:rPr>
                <w:sz w:val="18"/>
                <w:szCs w:val="18"/>
              </w:rPr>
              <w:t>she enrolled</w:t>
            </w:r>
            <w:r w:rsidRPr="00C27D2F">
              <w:rPr>
                <w:sz w:val="18"/>
                <w:szCs w:val="18"/>
              </w:rPr>
              <w:t xml:space="preserve"> in HCH, she feels that her care management under HCH is more holistic and comprehensive. She has developed close relationships with the practice staff and feels more involved in her care. She described the practice as advocates in her care and takes comfort in knowing that she has support from the entire staff. She acknowledged herself as a </w:t>
            </w:r>
            <w:r w:rsidR="0087126D">
              <w:rPr>
                <w:sz w:val="18"/>
                <w:szCs w:val="18"/>
              </w:rPr>
              <w:t>“</w:t>
            </w:r>
            <w:r w:rsidRPr="00C27D2F">
              <w:rPr>
                <w:sz w:val="18"/>
                <w:szCs w:val="18"/>
              </w:rPr>
              <w:t>high-needs</w:t>
            </w:r>
            <w:r w:rsidR="0087126D">
              <w:rPr>
                <w:sz w:val="18"/>
                <w:szCs w:val="18"/>
              </w:rPr>
              <w:t>”</w:t>
            </w:r>
            <w:r w:rsidRPr="00C27D2F">
              <w:rPr>
                <w:sz w:val="18"/>
                <w:szCs w:val="18"/>
              </w:rPr>
              <w:t xml:space="preserve"> patient and felt that extra support from the practice via HCH has kept her out of the hospital.</w:t>
            </w:r>
          </w:p>
          <w:p w14:paraId="42B12A86" w14:textId="77777777" w:rsidR="00C27D2F" w:rsidRPr="00C27D2F" w:rsidRDefault="00C27D2F" w:rsidP="00EA37B5">
            <w:pPr>
              <w:spacing w:before="200"/>
              <w:rPr>
                <w:sz w:val="18"/>
                <w:szCs w:val="18"/>
              </w:rPr>
            </w:pPr>
            <w:r w:rsidRPr="00C27D2F">
              <w:rPr>
                <w:i/>
                <w:sz w:val="18"/>
                <w:szCs w:val="18"/>
              </w:rPr>
              <w:t>* Name changed to protect privacy.</w:t>
            </w:r>
          </w:p>
        </w:tc>
      </w:tr>
    </w:tbl>
    <w:p w14:paraId="1DFE9B09" w14:textId="77777777" w:rsidR="00C27D2F" w:rsidRDefault="00C27D2F" w:rsidP="00C27D2F">
      <w:pPr>
        <w:spacing w:after="0"/>
        <w:rPr>
          <w:lang w:eastAsia="en-AU"/>
        </w:rPr>
      </w:pPr>
    </w:p>
    <w:p w14:paraId="5569DBC7" w14:textId="6BDC9077" w:rsidR="008D2826" w:rsidRDefault="008D2826" w:rsidP="008D2826">
      <w:pPr>
        <w:rPr>
          <w:lang w:eastAsia="en-AU"/>
        </w:rPr>
      </w:pPr>
      <w:r w:rsidRPr="00C27D2F">
        <w:rPr>
          <w:lang w:eastAsia="en-AU"/>
        </w:rPr>
        <w:t xml:space="preserve">Some patients stated that they had access to </w:t>
      </w:r>
      <w:r w:rsidR="00DB1BD7">
        <w:rPr>
          <w:lang w:eastAsia="en-AU"/>
        </w:rPr>
        <w:t>a HCH</w:t>
      </w:r>
      <w:r w:rsidRPr="00C27D2F">
        <w:rPr>
          <w:lang w:eastAsia="en-AU"/>
        </w:rPr>
        <w:t xml:space="preserve"> coordinator. A few practices hired a coordinator or designate</w:t>
      </w:r>
      <w:r>
        <w:rPr>
          <w:lang w:eastAsia="en-AU"/>
        </w:rPr>
        <w:t xml:space="preserve">d a practice nurse as the HCH coordinator to help actively manage their HCH patients and act as their main point of contact. In some instances, patients were not getting the benefit of the HCH nurse or coordinator because of turnover of staff. For example, one patient commented that their practice used to have </w:t>
      </w:r>
      <w:r w:rsidR="00DB1BD7">
        <w:rPr>
          <w:lang w:eastAsia="en-AU"/>
        </w:rPr>
        <w:t>a HCH</w:t>
      </w:r>
      <w:r>
        <w:rPr>
          <w:lang w:eastAsia="en-AU"/>
        </w:rPr>
        <w:t xml:space="preserve"> coordinator who contacted them regularly, but the coordinator left the practice, and they no longer received </w:t>
      </w:r>
      <w:r w:rsidR="0087126D">
        <w:rPr>
          <w:lang w:eastAsia="en-AU"/>
        </w:rPr>
        <w:t>“</w:t>
      </w:r>
      <w:r>
        <w:rPr>
          <w:lang w:eastAsia="en-AU"/>
        </w:rPr>
        <w:t>check-in</w:t>
      </w:r>
      <w:r w:rsidR="0087126D">
        <w:rPr>
          <w:lang w:eastAsia="en-AU"/>
        </w:rPr>
        <w:t>”</w:t>
      </w:r>
      <w:r>
        <w:rPr>
          <w:lang w:eastAsia="en-AU"/>
        </w:rPr>
        <w:t xml:space="preserve"> calls for the remainder of the trial. Another patient said the practice had quite a lot of nurse turnover, which made it difficult to establish or maintain a strong relationship with a practice nurse:</w:t>
      </w:r>
    </w:p>
    <w:p w14:paraId="592135BC" w14:textId="77777777" w:rsidR="008D2826" w:rsidRDefault="008D2826" w:rsidP="008D2826">
      <w:pPr>
        <w:ind w:left="567" w:right="521"/>
        <w:rPr>
          <w:lang w:eastAsia="en-AU"/>
        </w:rPr>
      </w:pPr>
      <w:r w:rsidRPr="007B245D">
        <w:rPr>
          <w:i/>
          <w:iCs/>
          <w:lang w:eastAsia="en-AU"/>
        </w:rPr>
        <w:t>“Well, in the beginning we had a coordinator … And she was quite good. She’d ring every couple of months … she would always get me in … [HCH Coordinator1] and [Coordinator</w:t>
      </w:r>
      <w:r>
        <w:rPr>
          <w:i/>
          <w:iCs/>
          <w:lang w:eastAsia="en-AU"/>
        </w:rPr>
        <w:t xml:space="preserve"> </w:t>
      </w:r>
      <w:r w:rsidRPr="007B245D">
        <w:rPr>
          <w:i/>
          <w:iCs/>
          <w:lang w:eastAsia="en-AU"/>
        </w:rPr>
        <w:t>2] mysteriously disappeared … in the beginning it was regular. But then the calls just … dried up.”</w:t>
      </w:r>
      <w:r>
        <w:rPr>
          <w:lang w:eastAsia="en-AU"/>
        </w:rPr>
        <w:t xml:space="preserve"> [Patient 1, Practice 16, R4] </w:t>
      </w:r>
    </w:p>
    <w:p w14:paraId="6A176255" w14:textId="77777777" w:rsidR="008D2826" w:rsidRDefault="008D2826" w:rsidP="008D2826">
      <w:pPr>
        <w:ind w:left="567" w:right="521"/>
        <w:rPr>
          <w:lang w:eastAsia="en-AU"/>
        </w:rPr>
      </w:pPr>
      <w:r w:rsidRPr="007B245D">
        <w:rPr>
          <w:i/>
          <w:iCs/>
          <w:lang w:eastAsia="en-AU"/>
        </w:rPr>
        <w:t>“The nurses change quite frequently, I don’t know whether there would be some way of encouraging them to stay …</w:t>
      </w:r>
      <w:r>
        <w:rPr>
          <w:i/>
          <w:iCs/>
          <w:lang w:eastAsia="en-AU"/>
        </w:rPr>
        <w:t xml:space="preserve"> </w:t>
      </w:r>
      <w:r w:rsidRPr="007B245D">
        <w:rPr>
          <w:i/>
          <w:iCs/>
          <w:lang w:eastAsia="en-AU"/>
        </w:rPr>
        <w:t>it’s a bit hard to build on a relationship with a nurse because each time you have to basically start afresh.”</w:t>
      </w:r>
      <w:r>
        <w:rPr>
          <w:lang w:eastAsia="en-AU"/>
        </w:rPr>
        <w:t xml:space="preserve"> [Patient 3, Practice 6. R4]</w:t>
      </w:r>
      <w:r>
        <w:rPr>
          <w:lang w:eastAsia="en-AU"/>
        </w:rPr>
        <w:tab/>
      </w:r>
    </w:p>
    <w:p w14:paraId="1E244C72" w14:textId="5ACA8E1C" w:rsidR="008D2826" w:rsidRDefault="00314860" w:rsidP="008D2826">
      <w:pPr>
        <w:rPr>
          <w:lang w:eastAsia="en-AU"/>
        </w:rPr>
      </w:pPr>
      <w:r>
        <w:rPr>
          <w:lang w:eastAsia="en-AU"/>
        </w:rPr>
        <w:lastRenderedPageBreak/>
        <w:t>Nevertheless</w:t>
      </w:r>
      <w:r w:rsidR="008D2826">
        <w:rPr>
          <w:lang w:eastAsia="en-AU"/>
        </w:rPr>
        <w:t>, some patients were not comfortable with a transfer of aspects of their care to a nurse and, ultimately, preferred to see their GP:</w:t>
      </w:r>
    </w:p>
    <w:p w14:paraId="719564AA" w14:textId="77777777" w:rsidR="008D2826" w:rsidRDefault="008D2826" w:rsidP="008D2826">
      <w:pPr>
        <w:ind w:left="567" w:right="521"/>
        <w:rPr>
          <w:lang w:eastAsia="en-AU"/>
        </w:rPr>
      </w:pPr>
      <w:r w:rsidRPr="004E4220">
        <w:rPr>
          <w:i/>
          <w:iCs/>
          <w:lang w:eastAsia="en-AU"/>
        </w:rPr>
        <w:t>“I don’t think I’ve got problems that [the nurse] can fix…I think I’d always tend to go to [the GP] because she’ll have the knowledge. I’m thinking possibly still with the GP because the nurse has limited knowledge. She’s not a doctor.”</w:t>
      </w:r>
      <w:r w:rsidRPr="004E4220">
        <w:rPr>
          <w:lang w:eastAsia="en-AU"/>
        </w:rPr>
        <w:t xml:space="preserve"> [Patient 3, Practice 3, R2]</w:t>
      </w:r>
    </w:p>
    <w:p w14:paraId="0B43B0E4" w14:textId="26042EC0" w:rsidR="008D2826" w:rsidRPr="007B6DF7" w:rsidRDefault="00314860" w:rsidP="008D2826">
      <w:pPr>
        <w:textAlignment w:val="baseline"/>
        <w:rPr>
          <w:rFonts w:eastAsia="Times New Roman" w:cs="Segoe UI"/>
          <w:szCs w:val="20"/>
          <w:lang w:eastAsia="en-AU"/>
        </w:rPr>
      </w:pPr>
      <w:r>
        <w:rPr>
          <w:rFonts w:eastAsia="Times New Roman" w:cs="Segoe UI"/>
          <w:szCs w:val="20"/>
          <w:lang w:eastAsia="en-AU"/>
        </w:rPr>
        <w:t>Some</w:t>
      </w:r>
      <w:r w:rsidR="008D2826" w:rsidRPr="007B6DF7">
        <w:rPr>
          <w:rFonts w:eastAsia="Times New Roman" w:cs="Segoe UI"/>
          <w:szCs w:val="20"/>
          <w:lang w:eastAsia="en-AU"/>
        </w:rPr>
        <w:t xml:space="preserve"> practices also had allied health professionals seeing patients within the clinic on a full or part-time basis. Patient</w:t>
      </w:r>
      <w:r w:rsidR="008D2826">
        <w:rPr>
          <w:rFonts w:eastAsia="Times New Roman" w:cs="Segoe UI"/>
          <w:szCs w:val="20"/>
          <w:lang w:eastAsia="en-AU"/>
        </w:rPr>
        <w:t>s</w:t>
      </w:r>
      <w:r w:rsidR="008D2826" w:rsidRPr="007B6DF7">
        <w:rPr>
          <w:rFonts w:eastAsia="Times New Roman" w:cs="Segoe UI"/>
          <w:szCs w:val="20"/>
          <w:lang w:eastAsia="en-AU"/>
        </w:rPr>
        <w:t xml:space="preserve"> report</w:t>
      </w:r>
      <w:r w:rsidR="008D2826">
        <w:rPr>
          <w:rFonts w:eastAsia="Times New Roman" w:cs="Segoe UI"/>
          <w:szCs w:val="20"/>
          <w:lang w:eastAsia="en-AU"/>
        </w:rPr>
        <w:t xml:space="preserve">ed positive experiences with these </w:t>
      </w:r>
      <w:r>
        <w:rPr>
          <w:rFonts w:eastAsia="Times New Roman" w:cs="Segoe UI"/>
          <w:szCs w:val="20"/>
          <w:lang w:eastAsia="en-AU"/>
        </w:rPr>
        <w:t>staff</w:t>
      </w:r>
      <w:r w:rsidR="008D2826" w:rsidRPr="007B6DF7">
        <w:rPr>
          <w:rFonts w:eastAsia="Times New Roman" w:cs="Segoe UI"/>
          <w:szCs w:val="20"/>
          <w:lang w:eastAsia="en-AU"/>
        </w:rPr>
        <w:t>:</w:t>
      </w:r>
    </w:p>
    <w:p w14:paraId="3EE5DA4B" w14:textId="77777777" w:rsidR="008D2826" w:rsidRDefault="008D2826" w:rsidP="008D2826">
      <w:pPr>
        <w:ind w:left="567" w:right="521"/>
        <w:rPr>
          <w:rFonts w:eastAsia="Times New Roman" w:cs="Segoe UI"/>
          <w:szCs w:val="20"/>
          <w:lang w:eastAsia="en-AU"/>
        </w:rPr>
      </w:pPr>
      <w:r w:rsidRPr="007B6DF7">
        <w:rPr>
          <w:rFonts w:eastAsia="Times New Roman" w:cs="Segoe UI"/>
          <w:i/>
          <w:szCs w:val="20"/>
          <w:lang w:eastAsia="en-AU"/>
        </w:rPr>
        <w:t xml:space="preserve">“…I'm trying to lose a bit of weight, which is going well…when I first went to </w:t>
      </w:r>
      <w:r w:rsidRPr="00255208">
        <w:rPr>
          <w:rFonts w:eastAsia="Times New Roman" w:cs="Segoe UI"/>
          <w:iCs/>
          <w:szCs w:val="20"/>
          <w:lang w:eastAsia="en-AU"/>
        </w:rPr>
        <w:t>[the dietician]</w:t>
      </w:r>
      <w:r w:rsidRPr="007B6DF7">
        <w:rPr>
          <w:rFonts w:eastAsia="Times New Roman" w:cs="Segoe UI"/>
          <w:i/>
          <w:szCs w:val="20"/>
          <w:lang w:eastAsia="en-AU"/>
        </w:rPr>
        <w:t>, I was 111 kilos, now I'm back to 103…so I went to see her last month. I went back to 105, and then she said, to prove yourself a bit better, one biscuit a day, and more veggies, which I'm doing. And lost another three kilos, so no, it's going well. So no, she's good…she's at the practice, yes. Only two, three days a week.”</w:t>
      </w:r>
      <w:r w:rsidRPr="007B6DF7">
        <w:rPr>
          <w:rFonts w:eastAsia="Times New Roman" w:cs="Segoe UI"/>
          <w:szCs w:val="20"/>
          <w:lang w:eastAsia="en-AU"/>
        </w:rPr>
        <w:t xml:space="preserve"> [Patient 2, Practice 1</w:t>
      </w:r>
      <w:r>
        <w:rPr>
          <w:rFonts w:eastAsia="Times New Roman" w:cs="Segoe UI"/>
          <w:szCs w:val="20"/>
          <w:lang w:eastAsia="en-AU"/>
        </w:rPr>
        <w:t>, R2]</w:t>
      </w:r>
    </w:p>
    <w:p w14:paraId="12F44352" w14:textId="77777777" w:rsidR="008D2826" w:rsidRPr="007B6DF7" w:rsidRDefault="008D2826" w:rsidP="008D2826">
      <w:pPr>
        <w:ind w:left="567" w:right="521"/>
        <w:rPr>
          <w:rFonts w:eastAsia="Times New Roman" w:cs="Segoe UI"/>
          <w:szCs w:val="20"/>
          <w:lang w:eastAsia="en-AU"/>
        </w:rPr>
      </w:pPr>
      <w:r w:rsidRPr="007B6DF7">
        <w:rPr>
          <w:rFonts w:eastAsia="Times New Roman" w:cs="Segoe UI"/>
          <w:i/>
          <w:szCs w:val="20"/>
          <w:lang w:eastAsia="en-AU"/>
        </w:rPr>
        <w:t xml:space="preserve">“There was the podiatry stuff that I used with </w:t>
      </w:r>
      <w:r w:rsidRPr="00627910">
        <w:rPr>
          <w:rFonts w:eastAsia="Times New Roman" w:cs="Segoe UI"/>
          <w:iCs/>
          <w:szCs w:val="20"/>
          <w:lang w:eastAsia="en-AU"/>
        </w:rPr>
        <w:t>[podiatrist]</w:t>
      </w:r>
      <w:r w:rsidRPr="007B6DF7">
        <w:rPr>
          <w:rFonts w:eastAsia="Times New Roman" w:cs="Segoe UI"/>
          <w:i/>
          <w:szCs w:val="20"/>
          <w:lang w:eastAsia="en-AU"/>
        </w:rPr>
        <w:t xml:space="preserve"> from downstairs here. So, everyone’s linked through here, directly.” </w:t>
      </w:r>
      <w:r w:rsidRPr="007B6DF7">
        <w:rPr>
          <w:rFonts w:eastAsia="Times New Roman" w:cs="Segoe UI"/>
          <w:szCs w:val="20"/>
          <w:lang w:eastAsia="en-AU"/>
        </w:rPr>
        <w:t>[Patient 3, Practice 10</w:t>
      </w:r>
      <w:r>
        <w:rPr>
          <w:rFonts w:eastAsia="Times New Roman" w:cs="Segoe UI"/>
          <w:szCs w:val="20"/>
          <w:lang w:eastAsia="en-AU"/>
        </w:rPr>
        <w:t>, R2]</w:t>
      </w:r>
      <w:r w:rsidRPr="007B6DF7">
        <w:rPr>
          <w:rFonts w:eastAsia="Times New Roman" w:cs="Segoe UI"/>
          <w:szCs w:val="20"/>
          <w:lang w:eastAsia="en-AU"/>
        </w:rPr>
        <w:t xml:space="preserve"> </w:t>
      </w:r>
    </w:p>
    <w:p w14:paraId="3FC74C9F" w14:textId="77777777" w:rsidR="008D2826" w:rsidRDefault="008D2826" w:rsidP="008D2826">
      <w:pPr>
        <w:ind w:left="567" w:right="521"/>
        <w:rPr>
          <w:rFonts w:eastAsia="Times New Roman" w:cs="Segoe UI"/>
          <w:szCs w:val="20"/>
          <w:lang w:eastAsia="en-AU"/>
        </w:rPr>
      </w:pPr>
      <w:r w:rsidRPr="007B6DF7">
        <w:rPr>
          <w:rFonts w:eastAsia="Times New Roman" w:cs="Segoe UI"/>
          <w:i/>
          <w:szCs w:val="20"/>
          <w:lang w:eastAsia="en-AU"/>
        </w:rPr>
        <w:t xml:space="preserve">“We have podiatrists at the practice. Every </w:t>
      </w:r>
      <w:r>
        <w:rPr>
          <w:rFonts w:eastAsia="Times New Roman" w:cs="Segoe UI"/>
          <w:i/>
          <w:szCs w:val="20"/>
          <w:lang w:eastAsia="en-AU"/>
        </w:rPr>
        <w:t>10</w:t>
      </w:r>
      <w:r w:rsidRPr="007B6DF7">
        <w:rPr>
          <w:rFonts w:eastAsia="Times New Roman" w:cs="Segoe UI"/>
          <w:i/>
          <w:szCs w:val="20"/>
          <w:lang w:eastAsia="en-AU"/>
        </w:rPr>
        <w:t xml:space="preserve"> weeks we get a podiatrist down there, five a year. That’s in our healthcare plan…They’re already booked ahead for us. We have all our blood tests down there.”</w:t>
      </w:r>
      <w:r w:rsidRPr="007B6DF7">
        <w:rPr>
          <w:rFonts w:eastAsia="Times New Roman" w:cs="Segoe UI"/>
          <w:szCs w:val="20"/>
          <w:lang w:eastAsia="en-AU"/>
        </w:rPr>
        <w:t xml:space="preserve"> [Patient 1, Practice 16</w:t>
      </w:r>
      <w:r>
        <w:rPr>
          <w:rFonts w:eastAsia="Times New Roman" w:cs="Segoe UI"/>
          <w:szCs w:val="20"/>
          <w:lang w:eastAsia="en-AU"/>
        </w:rPr>
        <w:t>, R2]</w:t>
      </w:r>
      <w:r w:rsidRPr="007B6DF7">
        <w:rPr>
          <w:rFonts w:eastAsia="Times New Roman" w:cs="Segoe UI"/>
          <w:szCs w:val="20"/>
          <w:lang w:eastAsia="en-AU"/>
        </w:rPr>
        <w:t xml:space="preserve"> </w:t>
      </w:r>
    </w:p>
    <w:p w14:paraId="5BD35391" w14:textId="77777777" w:rsidR="008D2826" w:rsidRDefault="008D2826" w:rsidP="008D2826">
      <w:pPr>
        <w:ind w:right="1088"/>
        <w:rPr>
          <w:lang w:eastAsia="en-AU"/>
        </w:rPr>
      </w:pPr>
      <w:r>
        <w:rPr>
          <w:lang w:eastAsia="en-AU"/>
        </w:rPr>
        <w:t>Patients also acknowledged practice administrative staff as part of their care team, commenting on their proactivity and helpfulness:</w:t>
      </w:r>
    </w:p>
    <w:p w14:paraId="5539B96A" w14:textId="77777777" w:rsidR="008D2826" w:rsidRDefault="008D2826" w:rsidP="008D2826">
      <w:pPr>
        <w:ind w:left="567" w:right="521"/>
        <w:rPr>
          <w:lang w:eastAsia="en-AU"/>
        </w:rPr>
      </w:pPr>
      <w:r>
        <w:rPr>
          <w:lang w:eastAsia="en-AU"/>
        </w:rPr>
        <w:t>“</w:t>
      </w:r>
      <w:r w:rsidRPr="00EA19CF">
        <w:rPr>
          <w:i/>
          <w:lang w:eastAsia="en-AU"/>
        </w:rPr>
        <w:t xml:space="preserve">But the receptionists are very forward, you know, very proactive…if I contact them anytime to tell them I’m part of this </w:t>
      </w:r>
      <w:r>
        <w:rPr>
          <w:i/>
          <w:lang w:eastAsia="en-AU"/>
        </w:rPr>
        <w:t>program</w:t>
      </w:r>
      <w:r w:rsidRPr="00EA19CF">
        <w:rPr>
          <w:i/>
          <w:lang w:eastAsia="en-AU"/>
        </w:rPr>
        <w:t xml:space="preserve"> and I’ll be given priority.</w:t>
      </w:r>
      <w:r>
        <w:rPr>
          <w:i/>
          <w:lang w:eastAsia="en-AU"/>
        </w:rPr>
        <w:t xml:space="preserve"> </w:t>
      </w:r>
      <w:r w:rsidRPr="00EA19CF">
        <w:rPr>
          <w:i/>
          <w:lang w:eastAsia="en-AU"/>
        </w:rPr>
        <w:t>I’ve not had the need to do so but I’m sure I could if I wanted to, I mean, it’s a very friendly place, you know.</w:t>
      </w:r>
      <w:r>
        <w:rPr>
          <w:lang w:eastAsia="en-AU"/>
        </w:rPr>
        <w:t>” [Patient 2, Practice 5, R2]</w:t>
      </w:r>
    </w:p>
    <w:p w14:paraId="228B0C40" w14:textId="77777777" w:rsidR="008D2826" w:rsidRDefault="008D2826" w:rsidP="008D2826">
      <w:pPr>
        <w:ind w:left="567" w:right="521"/>
        <w:rPr>
          <w:rFonts w:cs="Arial"/>
          <w:iCs/>
          <w:szCs w:val="20"/>
          <w:lang w:val="en-GB"/>
        </w:rPr>
      </w:pPr>
      <w:r w:rsidRPr="007B6DF7">
        <w:rPr>
          <w:rFonts w:cs="Arial"/>
          <w:i/>
          <w:szCs w:val="20"/>
          <w:lang w:val="en-GB"/>
        </w:rPr>
        <w:t xml:space="preserve">“Where you walk into the </w:t>
      </w:r>
      <w:r w:rsidRPr="00627910">
        <w:rPr>
          <w:rFonts w:cs="Arial"/>
          <w:iCs/>
          <w:szCs w:val="20"/>
          <w:lang w:val="en-GB"/>
        </w:rPr>
        <w:t>[</w:t>
      </w:r>
      <w:r>
        <w:rPr>
          <w:rFonts w:cs="Arial"/>
          <w:iCs/>
          <w:szCs w:val="20"/>
          <w:lang w:val="en-GB"/>
        </w:rPr>
        <w:t>p</w:t>
      </w:r>
      <w:r w:rsidRPr="00627910">
        <w:rPr>
          <w:rFonts w:cs="Arial"/>
          <w:iCs/>
          <w:szCs w:val="20"/>
          <w:lang w:val="en-GB"/>
        </w:rPr>
        <w:t>ractice]</w:t>
      </w:r>
      <w:r w:rsidRPr="007B6DF7">
        <w:rPr>
          <w:rFonts w:cs="Arial"/>
          <w:i/>
          <w:szCs w:val="20"/>
          <w:lang w:val="en-GB"/>
        </w:rPr>
        <w:t xml:space="preserve"> and </w:t>
      </w:r>
      <w:r w:rsidRPr="00627910">
        <w:rPr>
          <w:rFonts w:cs="Arial"/>
          <w:iCs/>
          <w:szCs w:val="20"/>
          <w:lang w:val="en-GB"/>
        </w:rPr>
        <w:t>[the receptionists are]</w:t>
      </w:r>
      <w:r w:rsidRPr="007B6DF7">
        <w:rPr>
          <w:rFonts w:cs="Arial"/>
          <w:i/>
          <w:szCs w:val="20"/>
          <w:lang w:val="en-GB"/>
        </w:rPr>
        <w:t xml:space="preserve"> always, you know, oh, how can we help you? Or, well most of them now, they know who we are and you know, yes, so to make this really the ideal. It kind of makes you want to go to the doctor, you know, even though you don't really need to, yes. I mean you don't want to go, if possible, but if you have to go, then they make you feel welcome.” </w:t>
      </w:r>
      <w:r w:rsidRPr="00627910">
        <w:rPr>
          <w:rFonts w:cs="Arial"/>
          <w:iCs/>
          <w:szCs w:val="20"/>
          <w:lang w:val="en-GB"/>
        </w:rPr>
        <w:t>[Carer, Practice 4</w:t>
      </w:r>
      <w:r>
        <w:rPr>
          <w:rFonts w:cs="Arial"/>
          <w:iCs/>
          <w:szCs w:val="20"/>
          <w:lang w:val="en-GB"/>
        </w:rPr>
        <w:t>, R2]</w:t>
      </w:r>
    </w:p>
    <w:p w14:paraId="4398404E" w14:textId="3B718479" w:rsidR="008D2826" w:rsidRDefault="008D2826" w:rsidP="0035699A">
      <w:pPr>
        <w:ind w:left="567" w:right="521"/>
        <w:rPr>
          <w:lang w:eastAsia="en-AU"/>
        </w:rPr>
      </w:pPr>
      <w:r w:rsidRPr="00A0708B">
        <w:rPr>
          <w:i/>
          <w:iCs/>
          <w:lang w:eastAsia="en-AU"/>
        </w:rPr>
        <w:t xml:space="preserve">“I’m getting what I class as excellent </w:t>
      </w:r>
      <w:r w:rsidR="00DA34EA">
        <w:rPr>
          <w:i/>
          <w:iCs/>
          <w:lang w:eastAsia="en-AU"/>
        </w:rPr>
        <w:t>health care</w:t>
      </w:r>
      <w:r w:rsidRPr="00A0708B">
        <w:rPr>
          <w:i/>
          <w:iCs/>
          <w:lang w:eastAsia="en-AU"/>
        </w:rPr>
        <w:t>, given the complexity of the problems I’ve got. They all look after, no matter who it is, even the reception girls</w:t>
      </w:r>
      <w:r w:rsidR="00B9494F">
        <w:rPr>
          <w:i/>
          <w:iCs/>
          <w:lang w:eastAsia="en-AU"/>
        </w:rPr>
        <w:t xml:space="preserve"> [sic]</w:t>
      </w:r>
      <w:r w:rsidRPr="00A0708B">
        <w:rPr>
          <w:i/>
          <w:iCs/>
          <w:lang w:eastAsia="en-AU"/>
        </w:rPr>
        <w:t>, if I look a bit off, they’ll ask me what’s going on…”</w:t>
      </w:r>
      <w:r>
        <w:rPr>
          <w:lang w:eastAsia="en-AU"/>
        </w:rPr>
        <w:t xml:space="preserve"> [Patient 2, Practice 9, R5]</w:t>
      </w:r>
      <w:r w:rsidR="0035699A">
        <w:rPr>
          <w:lang w:eastAsia="en-AU"/>
        </w:rPr>
        <w:t xml:space="preserve"> </w:t>
      </w:r>
    </w:p>
    <w:p w14:paraId="352AA5A8" w14:textId="77777777" w:rsidR="00AE74AB" w:rsidRPr="004F63E7" w:rsidRDefault="00AE74AB" w:rsidP="00AE74AB">
      <w:pPr>
        <w:keepNext/>
        <w:keepLines/>
        <w:outlineLvl w:val="2"/>
        <w:rPr>
          <w:rFonts w:ascii="Roboto Slab" w:eastAsiaTheme="majorEastAsia" w:hAnsi="Roboto Slab" w:cstheme="majorBidi"/>
          <w:color w:val="408BCA"/>
          <w:sz w:val="24"/>
          <w:szCs w:val="24"/>
          <w:lang w:val="en-GB"/>
        </w:rPr>
      </w:pPr>
      <w:r>
        <w:rPr>
          <w:rFonts w:ascii="Roboto Slab" w:eastAsiaTheme="majorEastAsia" w:hAnsi="Roboto Slab" w:cstheme="majorBidi"/>
          <w:color w:val="408BCA"/>
          <w:sz w:val="24"/>
          <w:szCs w:val="24"/>
          <w:lang w:val="en-GB"/>
        </w:rPr>
        <w:t>Enhanced a</w:t>
      </w:r>
      <w:r w:rsidRPr="004F63E7">
        <w:rPr>
          <w:rFonts w:ascii="Roboto Slab" w:eastAsiaTheme="majorEastAsia" w:hAnsi="Roboto Slab" w:cstheme="majorBidi"/>
          <w:color w:val="408BCA"/>
          <w:sz w:val="24"/>
          <w:szCs w:val="24"/>
          <w:lang w:val="en-GB"/>
        </w:rPr>
        <w:t>ccess to care</w:t>
      </w:r>
    </w:p>
    <w:p w14:paraId="4021E9B6" w14:textId="6C4B47A7" w:rsidR="00AE74AB" w:rsidRPr="004F63E7" w:rsidRDefault="00635707" w:rsidP="00AE74AB">
      <w:pPr>
        <w:rPr>
          <w:lang w:val="en-GB"/>
        </w:rPr>
      </w:pPr>
      <w:r>
        <w:rPr>
          <w:lang w:val="en-GB"/>
        </w:rPr>
        <w:t>In the</w:t>
      </w:r>
      <w:r w:rsidR="00AE74AB" w:rsidRPr="004F63E7">
        <w:rPr>
          <w:lang w:val="en-GB"/>
        </w:rPr>
        <w:t xml:space="preserve"> interviews undertaken as part of the case studies</w:t>
      </w:r>
      <w:r>
        <w:rPr>
          <w:lang w:val="en-GB"/>
        </w:rPr>
        <w:t xml:space="preserve">, </w:t>
      </w:r>
      <w:r w:rsidR="00AE74AB" w:rsidRPr="004F63E7">
        <w:rPr>
          <w:lang w:val="en-GB"/>
        </w:rPr>
        <w:t xml:space="preserve">practices </w:t>
      </w:r>
      <w:r>
        <w:rPr>
          <w:lang w:val="en-GB"/>
        </w:rPr>
        <w:t xml:space="preserve">were </w:t>
      </w:r>
      <w:r w:rsidRPr="004F63E7">
        <w:rPr>
          <w:lang w:val="en-GB"/>
        </w:rPr>
        <w:t xml:space="preserve">asked </w:t>
      </w:r>
      <w:r w:rsidR="00AE74AB" w:rsidRPr="004F63E7">
        <w:rPr>
          <w:lang w:val="en-GB"/>
        </w:rPr>
        <w:t xml:space="preserve">about access to care. Practices reported that they improved access for HCH patients through offering telephone and (to a much lesser extent) video consultations with the nurse or GP, email correspondence, a direct telephone line for HCH patients to call, streamlined referral </w:t>
      </w:r>
      <w:r w:rsidR="00AE74AB" w:rsidRPr="004F63E7">
        <w:rPr>
          <w:lang w:val="en-GB"/>
        </w:rPr>
        <w:lastRenderedPageBreak/>
        <w:t>processes, and increased nurse involvement in patient care. This was enabled by the bundled payment:</w:t>
      </w:r>
    </w:p>
    <w:p w14:paraId="268920DA" w14:textId="25D01CE8" w:rsidR="00492C36" w:rsidRPr="004F63E7" w:rsidRDefault="00AE74AB" w:rsidP="00492C36">
      <w:pPr>
        <w:ind w:left="567" w:right="521"/>
        <w:rPr>
          <w:lang w:val="en-GB"/>
        </w:rPr>
      </w:pPr>
      <w:r w:rsidRPr="004F63E7">
        <w:rPr>
          <w:i/>
          <w:iCs/>
          <w:lang w:val="en-GB"/>
        </w:rPr>
        <w:t xml:space="preserve">“One of our clinical changes is we now have a [video conferencing application] account. And in [region], it’s really challenging for patients to see a doctor. There’s a lot of high turnover...And so [it has] attracted a couple of patients from [suburb]…And so the ability…[of] being able to communicate over email, text message </w:t>
      </w:r>
      <w:r w:rsidRPr="004F63E7">
        <w:rPr>
          <w:i/>
          <w:iCs/>
          <w:szCs w:val="20"/>
          <w:lang w:val="en-US"/>
        </w:rPr>
        <w:t>and</w:t>
      </w:r>
      <w:r w:rsidRPr="004F63E7">
        <w:rPr>
          <w:i/>
          <w:iCs/>
          <w:lang w:val="en-GB"/>
        </w:rPr>
        <w:t xml:space="preserve"> [videoconferencing application] has been really helpful for them and for me to be able to do that side because I’ve got some level of funding attached to it. So that’s probably our biggest change.” </w:t>
      </w:r>
      <w:r w:rsidRPr="004F63E7">
        <w:rPr>
          <w:lang w:val="en-GB"/>
        </w:rPr>
        <w:t>[GP, Practice 7, R4]</w:t>
      </w:r>
    </w:p>
    <w:tbl>
      <w:tblPr>
        <w:tblW w:w="0" w:type="auto"/>
        <w:tblBorders>
          <w:top w:val="single" w:sz="8" w:space="0" w:color="408BCA"/>
          <w:left w:val="single" w:sz="8" w:space="0" w:color="408BCA"/>
          <w:bottom w:val="single" w:sz="8" w:space="0" w:color="408BCA"/>
          <w:right w:val="single" w:sz="8" w:space="0" w:color="408BCA"/>
        </w:tblBorders>
        <w:tblLook w:val="04A0" w:firstRow="1" w:lastRow="0" w:firstColumn="1" w:lastColumn="0" w:noHBand="0" w:noVBand="1"/>
      </w:tblPr>
      <w:tblGrid>
        <w:gridCol w:w="9006"/>
      </w:tblGrid>
      <w:tr w:rsidR="005B7E85" w:rsidRPr="002528F7" w14:paraId="5FE3CED3" w14:textId="77777777" w:rsidTr="004C3CCB">
        <w:tc>
          <w:tcPr>
            <w:tcW w:w="9242" w:type="dxa"/>
            <w:shd w:val="clear" w:color="auto" w:fill="408BCA"/>
            <w:vAlign w:val="center"/>
          </w:tcPr>
          <w:p w14:paraId="41471B01" w14:textId="77777777" w:rsidR="005B7E85" w:rsidRPr="002528F7" w:rsidRDefault="005B7E85" w:rsidP="00EA37B5">
            <w:pPr>
              <w:spacing w:after="0"/>
              <w:jc w:val="center"/>
              <w:rPr>
                <w:b/>
                <w:bCs/>
                <w:color w:val="FFFFFF" w:themeColor="background1"/>
                <w:sz w:val="22"/>
              </w:rPr>
            </w:pPr>
            <w:r w:rsidRPr="002528F7">
              <w:rPr>
                <w:b/>
                <w:bCs/>
                <w:color w:val="FFFFFF" w:themeColor="background1"/>
                <w:sz w:val="22"/>
              </w:rPr>
              <w:t>Case study</w:t>
            </w:r>
          </w:p>
        </w:tc>
      </w:tr>
      <w:tr w:rsidR="005B7E85" w14:paraId="56DF569A" w14:textId="77777777" w:rsidTr="004C3CCB">
        <w:tc>
          <w:tcPr>
            <w:tcW w:w="9242" w:type="dxa"/>
          </w:tcPr>
          <w:p w14:paraId="41827036" w14:textId="139DA68C" w:rsidR="005B7E85" w:rsidRDefault="005B7E85" w:rsidP="00EA37B5">
            <w:pPr>
              <w:spacing w:before="200"/>
              <w:rPr>
                <w:sz w:val="18"/>
                <w:szCs w:val="18"/>
              </w:rPr>
            </w:pPr>
            <w:r>
              <w:rPr>
                <w:sz w:val="18"/>
                <w:szCs w:val="18"/>
              </w:rPr>
              <w:t xml:space="preserve">Sarah* has chronic lower back pain and asthma. While she only goes to the practice once or twice a year, she has had contact with the practice nurse who checks in on her and asks how she is managing her conditions. </w:t>
            </w:r>
            <w:r w:rsidR="00946EB9">
              <w:rPr>
                <w:sz w:val="18"/>
                <w:szCs w:val="18"/>
              </w:rPr>
              <w:t>Her</w:t>
            </w:r>
            <w:r>
              <w:rPr>
                <w:sz w:val="18"/>
                <w:szCs w:val="18"/>
              </w:rPr>
              <w:t xml:space="preserve"> interactions with the practice nurse increased over the last 12 months through COVID-19, and she has built a relationship with the practice nurse. Sarah has appreciated having a single point of contact and feels she can speak more openly with the nurse than her GP. She feels reassured that if she has any worries or concerns, the practice nurse is only a phone call away.</w:t>
            </w:r>
          </w:p>
          <w:p w14:paraId="44178F40" w14:textId="77777777" w:rsidR="005B7E85" w:rsidRDefault="005B7E85" w:rsidP="00EA37B5">
            <w:pPr>
              <w:spacing w:before="200"/>
            </w:pPr>
            <w:r w:rsidRPr="003D2911">
              <w:rPr>
                <w:i/>
                <w:iCs/>
                <w:sz w:val="18"/>
                <w:szCs w:val="18"/>
              </w:rPr>
              <w:t xml:space="preserve">* </w:t>
            </w:r>
            <w:r>
              <w:rPr>
                <w:i/>
                <w:iCs/>
                <w:sz w:val="18"/>
                <w:szCs w:val="18"/>
              </w:rPr>
              <w:t>N</w:t>
            </w:r>
            <w:r w:rsidRPr="003D2911">
              <w:rPr>
                <w:i/>
                <w:iCs/>
                <w:sz w:val="18"/>
                <w:szCs w:val="18"/>
              </w:rPr>
              <w:t>ame</w:t>
            </w:r>
            <w:r>
              <w:rPr>
                <w:i/>
                <w:iCs/>
                <w:sz w:val="18"/>
                <w:szCs w:val="18"/>
              </w:rPr>
              <w:t xml:space="preserve"> changed to protect privacy.</w:t>
            </w:r>
          </w:p>
        </w:tc>
      </w:tr>
    </w:tbl>
    <w:p w14:paraId="7B42D80D" w14:textId="77777777" w:rsidR="005B7E85" w:rsidRDefault="005B7E85" w:rsidP="005B7E85">
      <w:pPr>
        <w:spacing w:after="0"/>
        <w:rPr>
          <w:lang w:val="en-GB"/>
        </w:rPr>
      </w:pPr>
    </w:p>
    <w:p w14:paraId="24E4A0A1" w14:textId="401A7F58" w:rsidR="00AE74AB" w:rsidRPr="004F63E7" w:rsidRDefault="00AE74AB" w:rsidP="00AE74AB">
      <w:pPr>
        <w:rPr>
          <w:lang w:val="en-GB"/>
        </w:rPr>
      </w:pPr>
      <w:r w:rsidRPr="004F63E7">
        <w:rPr>
          <w:lang w:val="en-GB"/>
        </w:rPr>
        <w:t xml:space="preserve">The practices reported that these alternative access points and delivery modes reassured patients that </w:t>
      </w:r>
      <w:r w:rsidR="001425FC">
        <w:rPr>
          <w:lang w:val="en-GB"/>
        </w:rPr>
        <w:t>they</w:t>
      </w:r>
      <w:r w:rsidRPr="004F63E7">
        <w:rPr>
          <w:lang w:val="en-GB"/>
        </w:rPr>
        <w:t xml:space="preserve"> are there for them beyond their scheduled appointments, facilitated </w:t>
      </w:r>
      <w:r w:rsidR="001425FC">
        <w:rPr>
          <w:lang w:val="en-GB"/>
        </w:rPr>
        <w:t xml:space="preserve">the </w:t>
      </w:r>
      <w:r w:rsidRPr="004F63E7">
        <w:rPr>
          <w:lang w:val="en-GB"/>
        </w:rPr>
        <w:t xml:space="preserve">practice to provide more personalised care and helped both practices and patients more effectively manage </w:t>
      </w:r>
      <w:r w:rsidR="00E01CD7">
        <w:rPr>
          <w:lang w:val="en-GB"/>
        </w:rPr>
        <w:t>patients’</w:t>
      </w:r>
      <w:r w:rsidRPr="004F63E7">
        <w:rPr>
          <w:lang w:val="en-GB"/>
        </w:rPr>
        <w:t xml:space="preserve"> care. </w:t>
      </w:r>
      <w:r w:rsidRPr="004F63E7">
        <w:rPr>
          <w:szCs w:val="20"/>
          <w:lang w:val="en-GB"/>
        </w:rPr>
        <w:t xml:space="preserve">Many practices also judged that they had enhanced patient monitoring, care management, and follow-up under the HCH model. Improvements often came in the form of improved monitoring, more frequent care plan reviews, pastoral care, and an overall increase in communication between the practice and their patients. This made practices feel their HCH patients were more closely monitored and would not, </w:t>
      </w:r>
      <w:r w:rsidR="0087126D">
        <w:rPr>
          <w:i/>
          <w:iCs/>
          <w:szCs w:val="20"/>
          <w:lang w:val="en-GB"/>
        </w:rPr>
        <w:t>“</w:t>
      </w:r>
      <w:r w:rsidRPr="004F63E7">
        <w:rPr>
          <w:i/>
          <w:iCs/>
          <w:szCs w:val="20"/>
          <w:lang w:val="en-GB"/>
        </w:rPr>
        <w:t>slip through the cracks</w:t>
      </w:r>
      <w:r w:rsidR="0087126D">
        <w:rPr>
          <w:szCs w:val="20"/>
          <w:lang w:val="en-GB"/>
        </w:rPr>
        <w:t>”</w:t>
      </w:r>
      <w:r w:rsidR="005B7E85">
        <w:rPr>
          <w:szCs w:val="20"/>
          <w:lang w:val="en-GB"/>
        </w:rPr>
        <w:t>:</w:t>
      </w:r>
    </w:p>
    <w:p w14:paraId="71F314A1" w14:textId="77777777" w:rsidR="00AE74AB" w:rsidRPr="004F63E7" w:rsidRDefault="00AE74AB" w:rsidP="00AE74AB">
      <w:pPr>
        <w:ind w:left="567" w:right="521"/>
        <w:rPr>
          <w:szCs w:val="20"/>
          <w:lang w:val="en-GB"/>
        </w:rPr>
      </w:pPr>
      <w:r w:rsidRPr="004F63E7">
        <w:rPr>
          <w:i/>
          <w:iCs/>
          <w:szCs w:val="20"/>
          <w:lang w:val="en-GB"/>
        </w:rPr>
        <w:t xml:space="preserve">“We’ve got </w:t>
      </w:r>
      <w:r w:rsidRPr="004F63E7">
        <w:rPr>
          <w:i/>
          <w:iCs/>
          <w:lang w:val="en-GB"/>
        </w:rPr>
        <w:t>our</w:t>
      </w:r>
      <w:r w:rsidRPr="004F63E7">
        <w:rPr>
          <w:i/>
          <w:iCs/>
          <w:szCs w:val="20"/>
          <w:lang w:val="en-GB"/>
        </w:rPr>
        <w:t xml:space="preserve"> spreadsheet we regularly contact them for phones calls in between </w:t>
      </w:r>
      <w:r w:rsidRPr="004F63E7">
        <w:rPr>
          <w:i/>
          <w:iCs/>
          <w:szCs w:val="20"/>
          <w:lang w:val="en-US"/>
        </w:rPr>
        <w:t>their</w:t>
      </w:r>
      <w:r w:rsidRPr="004F63E7">
        <w:rPr>
          <w:i/>
          <w:iCs/>
          <w:szCs w:val="20"/>
          <w:lang w:val="en-GB"/>
        </w:rPr>
        <w:t xml:space="preserve"> visits here with the care plans, care plan reviews.”</w:t>
      </w:r>
      <w:r w:rsidRPr="004F63E7">
        <w:rPr>
          <w:szCs w:val="20"/>
          <w:lang w:val="en-GB"/>
        </w:rPr>
        <w:t xml:space="preserve"> [Coordinator, Practice 4, R4]</w:t>
      </w:r>
    </w:p>
    <w:p w14:paraId="156B6405" w14:textId="77777777" w:rsidR="00AE74AB" w:rsidRPr="004F63E7" w:rsidRDefault="00AE74AB" w:rsidP="00AE74AB">
      <w:pPr>
        <w:ind w:left="567" w:right="521"/>
        <w:rPr>
          <w:szCs w:val="20"/>
          <w:lang w:val="en-GB"/>
        </w:rPr>
      </w:pPr>
      <w:r w:rsidRPr="004F63E7">
        <w:rPr>
          <w:i/>
          <w:iCs/>
          <w:szCs w:val="20"/>
          <w:lang w:val="en-GB"/>
        </w:rPr>
        <w:t xml:space="preserve">“Because I know the patients very well, I will be giving them frequent calls, especially when I know certain things </w:t>
      </w:r>
      <w:r w:rsidRPr="004F63E7">
        <w:rPr>
          <w:i/>
          <w:iCs/>
          <w:lang w:val="en-GB"/>
        </w:rPr>
        <w:t>are</w:t>
      </w:r>
      <w:r w:rsidRPr="004F63E7">
        <w:rPr>
          <w:i/>
          <w:iCs/>
          <w:szCs w:val="20"/>
          <w:lang w:val="en-GB"/>
        </w:rPr>
        <w:t xml:space="preserve"> coming up. I keep my own little diary for my Health Care Homes patients knowing where you'd love to be able to do it for all patients. But with the Health Care Homes patients, I've got that ability to go, I know such and such is having surgery, which means that they make it onto my list to make sure I give them that welfare call.”</w:t>
      </w:r>
      <w:r w:rsidRPr="004F63E7">
        <w:rPr>
          <w:szCs w:val="20"/>
          <w:lang w:val="en-GB"/>
        </w:rPr>
        <w:t xml:space="preserve"> [Nurse, Practice 12, R4]</w:t>
      </w:r>
    </w:p>
    <w:p w14:paraId="53E8CD49" w14:textId="77777777" w:rsidR="00AE74AB" w:rsidRPr="004F63E7" w:rsidRDefault="00AE74AB" w:rsidP="00AE74AB">
      <w:pPr>
        <w:ind w:left="567" w:right="521"/>
        <w:rPr>
          <w:szCs w:val="20"/>
          <w:lang w:val="en-GB"/>
        </w:rPr>
      </w:pPr>
      <w:r w:rsidRPr="004F63E7">
        <w:rPr>
          <w:i/>
          <w:iCs/>
          <w:szCs w:val="20"/>
          <w:lang w:val="en-GB"/>
        </w:rPr>
        <w:t xml:space="preserve">“…there’s a process that we’ve been working through called Ward Round, which sounds a bit ironic given we’re not in a hospital. It’s just been our way of trying to make sure that we’re keeping tabs on the </w:t>
      </w:r>
      <w:r w:rsidRPr="004F63E7">
        <w:rPr>
          <w:i/>
          <w:iCs/>
          <w:lang w:val="en-GB"/>
        </w:rPr>
        <w:t>care</w:t>
      </w:r>
      <w:r w:rsidRPr="004F63E7">
        <w:rPr>
          <w:i/>
          <w:iCs/>
          <w:szCs w:val="20"/>
          <w:lang w:val="en-GB"/>
        </w:rPr>
        <w:t xml:space="preserve"> of the people who are in the Health Care Homes program, those that aren’t perhaps coming in as frequently as some of the others are. So it’s just our way of making sure that no one’s falling through the cracks in a sense. And we are checking in with them and seeing how </w:t>
      </w:r>
      <w:r w:rsidRPr="004F63E7">
        <w:rPr>
          <w:i/>
          <w:iCs/>
          <w:szCs w:val="20"/>
          <w:lang w:val="en-GB"/>
        </w:rPr>
        <w:lastRenderedPageBreak/>
        <w:t>they’re going, and what goals they’re working on at that time, and is there anything we can do to help them.”</w:t>
      </w:r>
      <w:r w:rsidRPr="004F63E7">
        <w:rPr>
          <w:szCs w:val="20"/>
          <w:lang w:val="en-GB"/>
        </w:rPr>
        <w:t xml:space="preserve"> [Nurse, Practice 9, R5]</w:t>
      </w:r>
    </w:p>
    <w:p w14:paraId="25184F93" w14:textId="77777777" w:rsidR="00AE74AB" w:rsidRPr="004F63E7" w:rsidRDefault="00AE74AB" w:rsidP="00AE74AB">
      <w:pPr>
        <w:rPr>
          <w:szCs w:val="20"/>
          <w:lang w:val="en-GB"/>
        </w:rPr>
      </w:pPr>
      <w:r w:rsidRPr="004F63E7">
        <w:rPr>
          <w:szCs w:val="20"/>
          <w:lang w:val="en-GB"/>
        </w:rPr>
        <w:t xml:space="preserve">Many practices felt the broader rollout of telehealth and </w:t>
      </w:r>
      <w:proofErr w:type="spellStart"/>
      <w:r w:rsidRPr="004F63E7">
        <w:rPr>
          <w:szCs w:val="20"/>
          <w:lang w:val="en-GB"/>
        </w:rPr>
        <w:t>eScripts</w:t>
      </w:r>
      <w:proofErr w:type="spellEnd"/>
      <w:r w:rsidRPr="004F63E7">
        <w:rPr>
          <w:szCs w:val="20"/>
          <w:lang w:val="en-GB"/>
        </w:rPr>
        <w:t xml:space="preserve"> during the pandemic negated many of the access benefits that HCH patients were getting over other patients:</w:t>
      </w:r>
    </w:p>
    <w:p w14:paraId="30B17D04" w14:textId="77777777" w:rsidR="00AE74AB" w:rsidRPr="004F63E7" w:rsidRDefault="00AE74AB" w:rsidP="00AE74AB">
      <w:pPr>
        <w:ind w:left="567" w:right="521"/>
        <w:rPr>
          <w:lang w:val="en-GB"/>
        </w:rPr>
      </w:pPr>
      <w:r w:rsidRPr="004F63E7">
        <w:rPr>
          <w:i/>
          <w:iCs/>
          <w:lang w:val="en-GB"/>
        </w:rPr>
        <w:t xml:space="preserve">“…with the event of coronavirus and telehealth becoming available, these services could now be provided over the phone. I could call the patient or the carer and have a discussion with them over the phone. I could actually get that done and be paid better under Medicare than I would be under the Health Care Homes arrangement. And so in the end there seemed to be no advantage…what additional support could I give them that I wasn't already giving them under the normal funding arrangement?” </w:t>
      </w:r>
      <w:r w:rsidRPr="004F63E7">
        <w:rPr>
          <w:lang w:val="en-GB"/>
        </w:rPr>
        <w:t>[GP, Practice 15, R5]</w:t>
      </w:r>
    </w:p>
    <w:p w14:paraId="2415C84A" w14:textId="77777777" w:rsidR="00AE74AB" w:rsidRPr="004F63E7" w:rsidRDefault="00AE74AB" w:rsidP="00AE74AB">
      <w:pPr>
        <w:rPr>
          <w:lang w:val="en-GB"/>
        </w:rPr>
      </w:pPr>
      <w:r w:rsidRPr="004F63E7">
        <w:rPr>
          <w:lang w:val="en-GB"/>
        </w:rPr>
        <w:t>However, some interviewees felt their HCH patients still had better management and support from their practices throughout COVID-19. Benefits of HCH extended to patient recalls, having a dedicated nurse, nurse check-ins, contact via email and phone, and priority with face-to-face or telephone appointments. These practices reported that this extra level of support often translated to stronger relationships and better communication with their HCH patients:</w:t>
      </w:r>
    </w:p>
    <w:p w14:paraId="72B17D72" w14:textId="77777777" w:rsidR="00AE74AB" w:rsidRPr="004F63E7" w:rsidRDefault="00AE74AB" w:rsidP="00AE74AB">
      <w:pPr>
        <w:ind w:left="567" w:right="521"/>
        <w:rPr>
          <w:lang w:val="en-GB"/>
        </w:rPr>
      </w:pPr>
      <w:r w:rsidRPr="004F63E7">
        <w:rPr>
          <w:i/>
          <w:iCs/>
          <w:lang w:val="en-GB"/>
        </w:rPr>
        <w:t xml:space="preserve">“…in my opinion, I have [a] </w:t>
      </w:r>
      <w:r w:rsidRPr="004F63E7">
        <w:rPr>
          <w:i/>
          <w:iCs/>
          <w:szCs w:val="20"/>
          <w:lang w:val="en-US"/>
        </w:rPr>
        <w:t>better</w:t>
      </w:r>
      <w:r w:rsidRPr="004F63E7">
        <w:rPr>
          <w:i/>
          <w:iCs/>
          <w:lang w:val="en-GB"/>
        </w:rPr>
        <w:t xml:space="preserve"> relationship with HCH patients.” </w:t>
      </w:r>
      <w:r w:rsidRPr="004F63E7">
        <w:rPr>
          <w:lang w:val="en-GB"/>
        </w:rPr>
        <w:t>[GP1, Practice 24, R5]</w:t>
      </w:r>
    </w:p>
    <w:p w14:paraId="1E2671F5" w14:textId="77777777" w:rsidR="00AE74AB" w:rsidRPr="004F63E7" w:rsidRDefault="00AE74AB" w:rsidP="00AE74AB">
      <w:pPr>
        <w:ind w:left="567" w:right="521"/>
        <w:rPr>
          <w:szCs w:val="20"/>
          <w:lang w:val="en-US"/>
        </w:rPr>
      </w:pPr>
      <w:r w:rsidRPr="004F63E7">
        <w:rPr>
          <w:i/>
          <w:iCs/>
          <w:szCs w:val="20"/>
          <w:lang w:val="en-US"/>
        </w:rPr>
        <w:t xml:space="preserve">“We definitely have a very strong relationship with our Health Care Homes patients, and a lot of them know me very well. Often they’ll ask specifically for me…with Health Care Homes, </w:t>
      </w:r>
      <w:r w:rsidRPr="004F63E7">
        <w:rPr>
          <w:i/>
          <w:iCs/>
          <w:lang w:val="en-GB"/>
        </w:rPr>
        <w:t>because</w:t>
      </w:r>
      <w:r w:rsidRPr="004F63E7">
        <w:rPr>
          <w:i/>
          <w:iCs/>
          <w:szCs w:val="20"/>
          <w:lang w:val="en-US"/>
        </w:rPr>
        <w:t xml:space="preserve"> obviously patients are managing chronic issues, we either hear via the telephone or see them a lot more often. So, they are regularly in, so I have a lot of friendly banter with a lot of the Health Care Homes patients. Yes, definitely on a more regular basis…when they are booking, first of all if they pop up and I </w:t>
      </w:r>
      <w:proofErr w:type="spellStart"/>
      <w:r w:rsidRPr="004F63E7">
        <w:rPr>
          <w:i/>
          <w:iCs/>
          <w:szCs w:val="20"/>
          <w:lang w:val="en-US"/>
        </w:rPr>
        <w:t>realise</w:t>
      </w:r>
      <w:proofErr w:type="spellEnd"/>
      <w:r w:rsidRPr="004F63E7">
        <w:rPr>
          <w:i/>
          <w:iCs/>
          <w:szCs w:val="20"/>
          <w:lang w:val="en-US"/>
        </w:rPr>
        <w:t xml:space="preserve"> that they’re a Health Care Homes program patient, then I would ask what the appointment might be for. Whether they needed a referral or whether they specifically wanted to see [GP] or whether they were happy to be contacted by the nurse instead? That would be the main difference.”</w:t>
      </w:r>
      <w:r w:rsidRPr="004F63E7">
        <w:rPr>
          <w:szCs w:val="20"/>
          <w:lang w:val="en-US"/>
        </w:rPr>
        <w:t xml:space="preserve"> [Senior Receptionist, Practice 22, R5]</w:t>
      </w:r>
    </w:p>
    <w:p w14:paraId="43EE7B14" w14:textId="77777777" w:rsidR="00AE74AB" w:rsidRDefault="00AE74AB" w:rsidP="00AE74AB">
      <w:pPr>
        <w:ind w:left="567" w:right="521"/>
        <w:rPr>
          <w:szCs w:val="20"/>
          <w:lang w:val="en-US"/>
        </w:rPr>
      </w:pPr>
      <w:r w:rsidRPr="004F63E7">
        <w:rPr>
          <w:i/>
          <w:iCs/>
          <w:szCs w:val="20"/>
          <w:lang w:val="en-US"/>
        </w:rPr>
        <w:t xml:space="preserve">“And they’ve got a dedicated person to phone up if something goes wrong instead of just ringing the medical </w:t>
      </w:r>
      <w:proofErr w:type="spellStart"/>
      <w:r w:rsidRPr="004F63E7">
        <w:rPr>
          <w:i/>
          <w:iCs/>
          <w:szCs w:val="20"/>
          <w:lang w:val="en-US"/>
        </w:rPr>
        <w:t>centre</w:t>
      </w:r>
      <w:proofErr w:type="spellEnd"/>
      <w:r w:rsidRPr="004F63E7">
        <w:rPr>
          <w:i/>
          <w:iCs/>
          <w:szCs w:val="20"/>
          <w:lang w:val="en-US"/>
        </w:rPr>
        <w:t xml:space="preserve"> number, the same as 500 other patients each day...They could still ring and speak to the doctors </w:t>
      </w:r>
      <w:r w:rsidRPr="004F63E7">
        <w:rPr>
          <w:i/>
          <w:iCs/>
          <w:lang w:val="en-GB"/>
        </w:rPr>
        <w:t>and</w:t>
      </w:r>
      <w:r w:rsidRPr="004F63E7">
        <w:rPr>
          <w:i/>
          <w:iCs/>
          <w:szCs w:val="20"/>
          <w:lang w:val="en-US"/>
        </w:rPr>
        <w:t xml:space="preserve"> everything else like that, but they had a dedicated nurse assigned to every single Health Care Home patient. And that worked out very well during the lockdowns and at least they always had somebody contact.”</w:t>
      </w:r>
      <w:r w:rsidRPr="004F63E7">
        <w:rPr>
          <w:szCs w:val="20"/>
          <w:lang w:val="en-US"/>
        </w:rPr>
        <w:t xml:space="preserve"> [Practice Owner, Practice 6, R5]</w:t>
      </w:r>
    </w:p>
    <w:p w14:paraId="751D8002" w14:textId="3CAE583C" w:rsidR="00DE08F6" w:rsidRDefault="00492C36" w:rsidP="00492C36">
      <w:pPr>
        <w:ind w:right="521"/>
        <w:rPr>
          <w:lang w:eastAsia="en-AU"/>
        </w:rPr>
      </w:pPr>
      <w:r>
        <w:rPr>
          <w:lang w:eastAsia="en-AU"/>
        </w:rPr>
        <w:t xml:space="preserve">While many practices thought about delivering group sessions for patients, they didn’t think this was </w:t>
      </w:r>
      <w:r w:rsidRPr="00FA5DDC">
        <w:rPr>
          <w:lang w:eastAsia="en-AU"/>
        </w:rPr>
        <w:t>feasible due to</w:t>
      </w:r>
      <w:r>
        <w:rPr>
          <w:lang w:eastAsia="en-AU"/>
        </w:rPr>
        <w:t xml:space="preserve"> </w:t>
      </w:r>
      <w:r w:rsidRPr="00FA5DDC">
        <w:rPr>
          <w:lang w:eastAsia="en-AU"/>
        </w:rPr>
        <w:t>allied health professionals</w:t>
      </w:r>
      <w:r>
        <w:rPr>
          <w:lang w:eastAsia="en-AU"/>
        </w:rPr>
        <w:t xml:space="preserve"> not available to run them</w:t>
      </w:r>
      <w:r w:rsidRPr="00FA5DDC">
        <w:rPr>
          <w:lang w:eastAsia="en-AU"/>
        </w:rPr>
        <w:t xml:space="preserve">, lack of space, </w:t>
      </w:r>
      <w:r>
        <w:rPr>
          <w:lang w:eastAsia="en-AU"/>
        </w:rPr>
        <w:t xml:space="preserve">financial constraints </w:t>
      </w:r>
      <w:r w:rsidRPr="00FA5DDC">
        <w:rPr>
          <w:lang w:eastAsia="en-AU"/>
        </w:rPr>
        <w:t>and limited patient interest</w:t>
      </w:r>
      <w:r>
        <w:rPr>
          <w:lang w:eastAsia="en-AU"/>
        </w:rPr>
        <w:t>.</w:t>
      </w:r>
    </w:p>
    <w:p w14:paraId="077BBE55" w14:textId="77777777" w:rsidR="00DE08F6" w:rsidRDefault="00DE08F6">
      <w:pPr>
        <w:spacing w:after="160" w:line="259" w:lineRule="auto"/>
        <w:rPr>
          <w:lang w:eastAsia="en-AU"/>
        </w:rPr>
      </w:pPr>
      <w:r>
        <w:rPr>
          <w:lang w:eastAsia="en-AU"/>
        </w:rPr>
        <w:br w:type="page"/>
      </w: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AE74AB" w:rsidRPr="004F63E7" w14:paraId="59C66C51" w14:textId="77777777" w:rsidTr="00CA2A66">
        <w:tc>
          <w:tcPr>
            <w:tcW w:w="8996" w:type="dxa"/>
            <w:shd w:val="clear" w:color="auto" w:fill="auto"/>
          </w:tcPr>
          <w:p w14:paraId="2EF47526" w14:textId="625B9B39" w:rsidR="00AE74AB" w:rsidRPr="004F63E7" w:rsidRDefault="00AE74AB" w:rsidP="00CA2A66">
            <w:pPr>
              <w:spacing w:after="120"/>
              <w:jc w:val="center"/>
              <w:rPr>
                <w:rFonts w:eastAsiaTheme="minorEastAsia"/>
                <w:b/>
                <w:bCs/>
                <w:color w:val="408BCA"/>
                <w:szCs w:val="20"/>
                <w:lang w:eastAsia="en-AU"/>
              </w:rPr>
            </w:pPr>
            <w:r w:rsidRPr="004F63E7">
              <w:rPr>
                <w:rFonts w:eastAsiaTheme="minorEastAsia"/>
                <w:bCs/>
                <w:color w:val="408BCA"/>
                <w:szCs w:val="20"/>
                <w:lang w:eastAsia="en-AU"/>
              </w:rPr>
              <w:lastRenderedPageBreak/>
              <w:t xml:space="preserve">Box </w:t>
            </w:r>
            <w:r w:rsidRPr="004F63E7">
              <w:rPr>
                <w:rFonts w:eastAsiaTheme="minorEastAsia"/>
                <w:color w:val="408BCA"/>
                <w:lang w:eastAsia="en-AU"/>
              </w:rPr>
              <w:fldChar w:fldCharType="begin"/>
            </w:r>
            <w:r w:rsidRPr="004F63E7">
              <w:rPr>
                <w:rFonts w:eastAsiaTheme="minorEastAsia"/>
                <w:color w:val="408BCA"/>
                <w:lang w:eastAsia="en-AU"/>
              </w:rPr>
              <w:instrText xml:space="preserve"> SEQ Box \* ARABIC </w:instrText>
            </w:r>
            <w:r w:rsidRPr="004F63E7">
              <w:rPr>
                <w:rFonts w:eastAsiaTheme="minorEastAsia"/>
                <w:color w:val="408BCA"/>
                <w:lang w:eastAsia="en-AU"/>
              </w:rPr>
              <w:fldChar w:fldCharType="separate"/>
            </w:r>
            <w:r w:rsidR="003C4BC2">
              <w:rPr>
                <w:rFonts w:eastAsiaTheme="minorEastAsia"/>
                <w:noProof/>
                <w:color w:val="408BCA"/>
                <w:lang w:eastAsia="en-AU"/>
              </w:rPr>
              <w:t>17</w:t>
            </w:r>
            <w:r w:rsidRPr="004F63E7">
              <w:rPr>
                <w:rFonts w:eastAsiaTheme="minorEastAsia"/>
                <w:noProof/>
                <w:color w:val="408BCA"/>
                <w:lang w:eastAsia="en-AU"/>
              </w:rPr>
              <w:fldChar w:fldCharType="end"/>
            </w:r>
            <w:r w:rsidRPr="004F63E7">
              <w:rPr>
                <w:rFonts w:eastAsiaTheme="minorEastAsia"/>
                <w:bCs/>
                <w:color w:val="408BCA"/>
                <w:szCs w:val="20"/>
                <w:lang w:eastAsia="en-AU"/>
              </w:rPr>
              <w:t>: Brief review of literature on the effects of PCMH on patient access</w:t>
            </w:r>
            <w:r w:rsidRPr="004F63E7">
              <w:rPr>
                <w:rFonts w:eastAsiaTheme="minorEastAsia"/>
                <w:b/>
                <w:bCs/>
                <w:color w:val="408BCA"/>
                <w:szCs w:val="20"/>
                <w:lang w:eastAsia="en-AU"/>
              </w:rPr>
              <w:t xml:space="preserve"> </w:t>
            </w:r>
          </w:p>
          <w:p w14:paraId="733F0632" w14:textId="254FA076" w:rsidR="00AE74AB" w:rsidRPr="004F63E7" w:rsidRDefault="00AE74AB" w:rsidP="00CA2A66">
            <w:pPr>
              <w:spacing w:after="120"/>
              <w:rPr>
                <w:rFonts w:eastAsia="Muli" w:cs="Muli"/>
                <w:color w:val="000000" w:themeColor="text1"/>
                <w:sz w:val="18"/>
                <w:szCs w:val="18"/>
              </w:rPr>
            </w:pPr>
            <w:r w:rsidRPr="004F63E7">
              <w:rPr>
                <w:rFonts w:eastAsia="Muli" w:cs="Muli"/>
                <w:color w:val="000000" w:themeColor="text1"/>
                <w:sz w:val="18"/>
                <w:szCs w:val="18"/>
              </w:rPr>
              <w:t xml:space="preserve">One of the key objectives of HCH was to improve patient access to primary care services. Several studies have evaluated the effectiveness of the </w:t>
            </w:r>
            <w:r w:rsidR="00916A63">
              <w:rPr>
                <w:rFonts w:eastAsia="Muli" w:cs="Muli"/>
                <w:color w:val="000000" w:themeColor="text1"/>
                <w:sz w:val="18"/>
                <w:szCs w:val="18"/>
              </w:rPr>
              <w:t xml:space="preserve">PCMH </w:t>
            </w:r>
            <w:r w:rsidRPr="004F63E7">
              <w:rPr>
                <w:rFonts w:eastAsia="Muli" w:cs="Muli"/>
                <w:color w:val="000000" w:themeColor="text1"/>
                <w:sz w:val="18"/>
                <w:szCs w:val="18"/>
              </w:rPr>
              <w:t>model on access.</w:t>
            </w:r>
          </w:p>
          <w:p w14:paraId="53DDB2BC" w14:textId="77777777" w:rsidR="00AE74AB" w:rsidRPr="004F63E7" w:rsidRDefault="00AE74AB" w:rsidP="00CA2A66">
            <w:pPr>
              <w:spacing w:after="120"/>
              <w:rPr>
                <w:rFonts w:eastAsia="Muli" w:cs="Muli"/>
                <w:color w:val="000000" w:themeColor="text1"/>
                <w:sz w:val="18"/>
                <w:szCs w:val="18"/>
              </w:rPr>
            </w:pPr>
            <w:proofErr w:type="spellStart"/>
            <w:r w:rsidRPr="004F63E7">
              <w:rPr>
                <w:rFonts w:eastAsia="Muli" w:cs="Muli"/>
                <w:color w:val="000000" w:themeColor="text1"/>
                <w:sz w:val="18"/>
                <w:szCs w:val="18"/>
              </w:rPr>
              <w:t>Aysola</w:t>
            </w:r>
            <w:proofErr w:type="spellEnd"/>
            <w:r w:rsidRPr="004F63E7">
              <w:rPr>
                <w:rFonts w:eastAsia="Muli" w:cs="Muli"/>
                <w:color w:val="000000" w:themeColor="text1"/>
                <w:sz w:val="18"/>
                <w:szCs w:val="18"/>
              </w:rPr>
              <w:t xml:space="preserve"> et al.</w:t>
            </w:r>
            <w:r w:rsidRPr="004F63E7">
              <w:rPr>
                <w:rFonts w:eastAsia="Muli" w:cs="Muli"/>
                <w:color w:val="408BCA"/>
                <w:sz w:val="18"/>
                <w:szCs w:val="18"/>
                <w:vertAlign w:val="superscript"/>
              </w:rPr>
              <w:footnoteReference w:id="65"/>
            </w:r>
            <w:r w:rsidRPr="004F63E7">
              <w:rPr>
                <w:rFonts w:eastAsia="Muli" w:cs="Muli"/>
                <w:color w:val="000000" w:themeColor="text1"/>
                <w:sz w:val="18"/>
                <w:szCs w:val="18"/>
              </w:rPr>
              <w:t xml:space="preserve"> conducted a study in which research team members contacted primary care practices to arrange a new appointment, seeking to determine whether PCMH practices were more or less accessible to new patients than traditional practices, finding that the PCMH practices were more likely to offer an appointment as well as more likely to offer an appointment out of business hours.</w:t>
            </w:r>
          </w:p>
          <w:p w14:paraId="7B1EB8D3" w14:textId="77777777" w:rsidR="00AE74AB" w:rsidRPr="004F63E7" w:rsidRDefault="00AE74AB" w:rsidP="00CA2A66">
            <w:pPr>
              <w:spacing w:after="120"/>
              <w:rPr>
                <w:rFonts w:eastAsia="Muli" w:cs="Muli"/>
                <w:color w:val="000000" w:themeColor="text1"/>
                <w:sz w:val="18"/>
                <w:szCs w:val="18"/>
              </w:rPr>
            </w:pPr>
            <w:r w:rsidRPr="004F63E7">
              <w:rPr>
                <w:rFonts w:eastAsia="Muli" w:cs="Muli"/>
                <w:color w:val="000000" w:themeColor="text1"/>
                <w:sz w:val="18"/>
                <w:szCs w:val="18"/>
              </w:rPr>
              <w:t>Beal et al</w:t>
            </w:r>
            <w:r w:rsidRPr="004F63E7">
              <w:rPr>
                <w:rFonts w:eastAsia="Muli" w:cs="Muli"/>
                <w:color w:val="408BCA"/>
                <w:sz w:val="18"/>
                <w:szCs w:val="18"/>
                <w:vertAlign w:val="superscript"/>
              </w:rPr>
              <w:footnoteReference w:id="66"/>
            </w:r>
            <w:r w:rsidRPr="004F63E7">
              <w:rPr>
                <w:rFonts w:eastAsia="Muli" w:cs="Muli"/>
                <w:color w:val="000000" w:themeColor="text1"/>
                <w:sz w:val="18"/>
                <w:szCs w:val="18"/>
              </w:rPr>
              <w:t xml:space="preserve"> examined whether patients from minority backgrounds were more able to access services under a PCMH model. They found that patients with a Latino background with access to a PCMH practice were more likely to experience high rates of preventive care and positive patient experience than a traditional practice, noting however that PCMH practices were less likely to be available in areas with majority Latino populations.</w:t>
            </w:r>
          </w:p>
          <w:p w14:paraId="64A57162" w14:textId="541EAD22" w:rsidR="00AE74AB" w:rsidRPr="004F63E7" w:rsidRDefault="00AE74AB" w:rsidP="00CA2A66">
            <w:pPr>
              <w:spacing w:after="120"/>
              <w:rPr>
                <w:rFonts w:eastAsia="Muli" w:cs="Muli"/>
                <w:color w:val="000000" w:themeColor="text1"/>
                <w:sz w:val="18"/>
                <w:szCs w:val="18"/>
              </w:rPr>
            </w:pPr>
            <w:r w:rsidRPr="004F63E7">
              <w:rPr>
                <w:rFonts w:eastAsia="Muli" w:cs="Muli"/>
                <w:color w:val="000000" w:themeColor="text1"/>
                <w:sz w:val="18"/>
                <w:szCs w:val="18"/>
              </w:rPr>
              <w:t>McGough et al</w:t>
            </w:r>
            <w:r w:rsidRPr="004F63E7">
              <w:rPr>
                <w:rFonts w:eastAsia="Muli" w:cs="Muli"/>
                <w:color w:val="408BCA"/>
                <w:sz w:val="18"/>
                <w:szCs w:val="18"/>
                <w:vertAlign w:val="superscript"/>
              </w:rPr>
              <w:footnoteReference w:id="67"/>
            </w:r>
            <w:r w:rsidRPr="004F63E7">
              <w:rPr>
                <w:rFonts w:eastAsia="Muli" w:cs="Muli"/>
                <w:color w:val="000000" w:themeColor="text1"/>
                <w:sz w:val="18"/>
                <w:szCs w:val="18"/>
              </w:rPr>
              <w:t xml:space="preserve"> examined the factors that allow a primary care practice to offer enhanced patient access, reporting that simply expanding the number of doctors is not sufficient on its own.</w:t>
            </w:r>
            <w:r w:rsidR="00A561EE">
              <w:rPr>
                <w:rFonts w:eastAsia="Muli" w:cs="Muli"/>
                <w:color w:val="000000" w:themeColor="text1"/>
                <w:sz w:val="18"/>
                <w:szCs w:val="18"/>
              </w:rPr>
              <w:t xml:space="preserve"> </w:t>
            </w:r>
            <w:r w:rsidRPr="004F63E7">
              <w:rPr>
                <w:rFonts w:eastAsia="Muli" w:cs="Muli"/>
                <w:color w:val="000000" w:themeColor="text1"/>
                <w:sz w:val="18"/>
                <w:szCs w:val="18"/>
              </w:rPr>
              <w:t>The most effective methods involved improved phone access for quick advice</w:t>
            </w:r>
            <w:r w:rsidR="00B031B9">
              <w:rPr>
                <w:rFonts w:eastAsia="Muli" w:cs="Muli"/>
                <w:color w:val="000000" w:themeColor="text1"/>
                <w:sz w:val="18"/>
                <w:szCs w:val="18"/>
              </w:rPr>
              <w:t xml:space="preserve"> (</w:t>
            </w:r>
            <w:r w:rsidRPr="004F63E7">
              <w:rPr>
                <w:rFonts w:eastAsia="Muli" w:cs="Muli"/>
                <w:color w:val="000000" w:themeColor="text1"/>
                <w:sz w:val="18"/>
                <w:szCs w:val="18"/>
              </w:rPr>
              <w:t>thereby avoiding in-person appointments</w:t>
            </w:r>
            <w:r w:rsidR="00B031B9">
              <w:rPr>
                <w:rFonts w:eastAsia="Muli" w:cs="Muli"/>
                <w:color w:val="000000" w:themeColor="text1"/>
                <w:sz w:val="18"/>
                <w:szCs w:val="18"/>
              </w:rPr>
              <w:t>)</w:t>
            </w:r>
            <w:r w:rsidRPr="004F63E7">
              <w:rPr>
                <w:rFonts w:eastAsia="Muli" w:cs="Muli"/>
                <w:color w:val="000000" w:themeColor="text1"/>
                <w:sz w:val="18"/>
                <w:szCs w:val="18"/>
              </w:rPr>
              <w:t>, patient access to the full electronic health record as a device for enhanced communication between the patient and practitioner, virtual care providing 24/7 access to the physician via phone or internet for a limited scope of situations, patient access to the full care team and team-based care allowing the physician to provide more efficient care.</w:t>
            </w:r>
          </w:p>
          <w:p w14:paraId="39FBAAD2" w14:textId="66AECDA3" w:rsidR="00AE74AB" w:rsidRPr="004F63E7" w:rsidRDefault="00AE74AB" w:rsidP="00CA2A66">
            <w:pPr>
              <w:spacing w:after="120"/>
              <w:rPr>
                <w:rFonts w:eastAsia="Muli" w:cs="Muli"/>
                <w:color w:val="000000" w:themeColor="text1"/>
                <w:sz w:val="18"/>
                <w:szCs w:val="18"/>
              </w:rPr>
            </w:pPr>
            <w:r w:rsidRPr="004F63E7">
              <w:rPr>
                <w:rFonts w:eastAsia="Muli" w:cs="Muli"/>
                <w:color w:val="000000" w:themeColor="text1"/>
                <w:sz w:val="18"/>
                <w:szCs w:val="18"/>
              </w:rPr>
              <w:t>Augustine et al.,</w:t>
            </w:r>
            <w:r w:rsidRPr="004F63E7">
              <w:rPr>
                <w:rFonts w:eastAsia="Muli" w:cs="Muli"/>
                <w:color w:val="408BCA"/>
                <w:sz w:val="18"/>
                <w:szCs w:val="18"/>
                <w:vertAlign w:val="superscript"/>
              </w:rPr>
              <w:footnoteReference w:id="68"/>
            </w:r>
            <w:r w:rsidRPr="004F63E7">
              <w:rPr>
                <w:rFonts w:eastAsia="Muli" w:cs="Muli"/>
                <w:color w:val="000000" w:themeColor="text1"/>
                <w:sz w:val="18"/>
                <w:szCs w:val="18"/>
              </w:rPr>
              <w:t xml:space="preserve"> in a study of 75</w:t>
            </w:r>
            <w:r w:rsidR="00B031B9">
              <w:rPr>
                <w:rFonts w:eastAsia="Muli" w:cs="Muli"/>
                <w:color w:val="000000" w:themeColor="text1"/>
                <w:sz w:val="18"/>
                <w:szCs w:val="18"/>
              </w:rPr>
              <w:t>,</w:t>
            </w:r>
            <w:r w:rsidRPr="004F63E7">
              <w:rPr>
                <w:rFonts w:eastAsia="Muli" w:cs="Muli"/>
                <w:color w:val="000000" w:themeColor="text1"/>
                <w:sz w:val="18"/>
                <w:szCs w:val="18"/>
              </w:rPr>
              <w:t xml:space="preserve"> 000 Veterans Health Administration chronic care patients examined the relationship between 13 potentially preventable hospitalisation types and </w:t>
            </w:r>
            <w:r w:rsidR="00B031B9">
              <w:rPr>
                <w:rFonts w:eastAsia="Muli" w:cs="Muli"/>
                <w:color w:val="000000" w:themeColor="text1"/>
                <w:sz w:val="18"/>
                <w:szCs w:val="18"/>
              </w:rPr>
              <w:t>five</w:t>
            </w:r>
            <w:r w:rsidRPr="004F63E7">
              <w:rPr>
                <w:rFonts w:eastAsia="Muli" w:cs="Muli"/>
                <w:color w:val="000000" w:themeColor="text1"/>
                <w:sz w:val="18"/>
                <w:szCs w:val="18"/>
              </w:rPr>
              <w:t xml:space="preserve"> different forms of service type: routine care, care by phone during office hours, urgent care, after-hours care and care by phone after-hours, all care types associated with the PCMH model.</w:t>
            </w:r>
            <w:r w:rsidR="00A561EE">
              <w:rPr>
                <w:rFonts w:eastAsia="Muli" w:cs="Muli"/>
                <w:color w:val="000000" w:themeColor="text1"/>
                <w:sz w:val="18"/>
                <w:szCs w:val="18"/>
              </w:rPr>
              <w:t xml:space="preserve"> </w:t>
            </w:r>
            <w:r w:rsidR="00B031B9">
              <w:rPr>
                <w:rFonts w:eastAsia="Muli" w:cs="Muli"/>
                <w:color w:val="000000" w:themeColor="text1"/>
                <w:sz w:val="18"/>
                <w:szCs w:val="18"/>
              </w:rPr>
              <w:t>The researchers</w:t>
            </w:r>
            <w:r w:rsidRPr="004F63E7">
              <w:rPr>
                <w:rFonts w:eastAsia="Muli" w:cs="Muli"/>
                <w:color w:val="000000" w:themeColor="text1"/>
                <w:sz w:val="18"/>
                <w:szCs w:val="18"/>
              </w:rPr>
              <w:t xml:space="preserve"> found that those patients reporting greater access to after-hours care were less likely to be hospitalised, while those reporting poor access to routine care were more likely to be hospitalised.</w:t>
            </w:r>
            <w:r w:rsidR="00A561EE">
              <w:rPr>
                <w:rFonts w:eastAsia="Muli" w:cs="Muli"/>
                <w:color w:val="000000" w:themeColor="text1"/>
                <w:sz w:val="18"/>
                <w:szCs w:val="18"/>
              </w:rPr>
              <w:t xml:space="preserve"> </w:t>
            </w:r>
            <w:r w:rsidRPr="004F63E7">
              <w:rPr>
                <w:rFonts w:eastAsia="Muli" w:cs="Muli"/>
                <w:color w:val="000000" w:themeColor="text1"/>
                <w:sz w:val="18"/>
                <w:szCs w:val="18"/>
              </w:rPr>
              <w:t>Interestingly the researchers reported that hospitalisation was more likely with increased access to phone-based care in business hours, noting that in the Veterans Health Administration population, this type of care is delivered via a nurse triage service.</w:t>
            </w:r>
            <w:r w:rsidR="00A561EE">
              <w:rPr>
                <w:rFonts w:eastAsia="Muli" w:cs="Muli"/>
                <w:color w:val="000000" w:themeColor="text1"/>
                <w:sz w:val="18"/>
                <w:szCs w:val="18"/>
              </w:rPr>
              <w:t xml:space="preserve"> </w:t>
            </w:r>
          </w:p>
          <w:p w14:paraId="06D51B8D" w14:textId="662DCC03" w:rsidR="00AE74AB" w:rsidRPr="004F63E7" w:rsidRDefault="00AE74AB" w:rsidP="00CA2A66">
            <w:pPr>
              <w:spacing w:after="120"/>
              <w:rPr>
                <w:rFonts w:eastAsia="Muli" w:cs="Muli"/>
                <w:color w:val="000000" w:themeColor="text1"/>
                <w:sz w:val="18"/>
                <w:szCs w:val="18"/>
              </w:rPr>
            </w:pPr>
            <w:r w:rsidRPr="004F63E7">
              <w:rPr>
                <w:rFonts w:eastAsia="Muli" w:cs="Muli"/>
                <w:color w:val="000000" w:themeColor="text1"/>
                <w:sz w:val="18"/>
                <w:szCs w:val="18"/>
              </w:rPr>
              <w:t>Singh et al.</w:t>
            </w:r>
            <w:r w:rsidRPr="004F63E7">
              <w:rPr>
                <w:rFonts w:eastAsia="Muli" w:cs="Muli"/>
                <w:color w:val="408BCA"/>
                <w:sz w:val="18"/>
                <w:szCs w:val="18"/>
                <w:vertAlign w:val="superscript"/>
              </w:rPr>
              <w:footnoteReference w:id="69"/>
            </w:r>
            <w:r w:rsidRPr="004F63E7">
              <w:rPr>
                <w:rFonts w:eastAsia="Muli" w:cs="Muli"/>
                <w:color w:val="000000" w:themeColor="text1"/>
                <w:sz w:val="18"/>
                <w:szCs w:val="18"/>
              </w:rPr>
              <w:t xml:space="preserve"> examined a move from a full fee</w:t>
            </w:r>
            <w:r w:rsidR="00D348A5">
              <w:rPr>
                <w:rFonts w:eastAsia="Muli" w:cs="Muli"/>
                <w:color w:val="000000" w:themeColor="text1"/>
                <w:sz w:val="18"/>
                <w:szCs w:val="18"/>
              </w:rPr>
              <w:t>-</w:t>
            </w:r>
            <w:r w:rsidRPr="004F63E7">
              <w:rPr>
                <w:rFonts w:eastAsia="Muli" w:cs="Muli"/>
                <w:color w:val="000000" w:themeColor="text1"/>
                <w:sz w:val="18"/>
                <w:szCs w:val="18"/>
              </w:rPr>
              <w:t>for</w:t>
            </w:r>
            <w:r w:rsidR="00D348A5">
              <w:rPr>
                <w:rFonts w:eastAsia="Muli" w:cs="Muli"/>
                <w:color w:val="000000" w:themeColor="text1"/>
                <w:sz w:val="18"/>
                <w:szCs w:val="18"/>
              </w:rPr>
              <w:t>-</w:t>
            </w:r>
            <w:r w:rsidRPr="004F63E7">
              <w:rPr>
                <w:rFonts w:eastAsia="Muli" w:cs="Muli"/>
                <w:color w:val="000000" w:themeColor="text1"/>
                <w:sz w:val="18"/>
                <w:szCs w:val="18"/>
              </w:rPr>
              <w:t>service payments system to an enhanced fee</w:t>
            </w:r>
            <w:r w:rsidR="00D348A5">
              <w:rPr>
                <w:rFonts w:eastAsia="Muli" w:cs="Muli"/>
                <w:color w:val="000000" w:themeColor="text1"/>
                <w:sz w:val="18"/>
                <w:szCs w:val="18"/>
              </w:rPr>
              <w:t>-</w:t>
            </w:r>
            <w:r w:rsidRPr="004F63E7">
              <w:rPr>
                <w:rFonts w:eastAsia="Muli" w:cs="Muli"/>
                <w:color w:val="000000" w:themeColor="text1"/>
                <w:sz w:val="18"/>
                <w:szCs w:val="18"/>
              </w:rPr>
              <w:t>for</w:t>
            </w:r>
            <w:r w:rsidR="00D348A5">
              <w:rPr>
                <w:rFonts w:eastAsia="Muli" w:cs="Muli"/>
                <w:color w:val="000000" w:themeColor="text1"/>
                <w:sz w:val="18"/>
                <w:szCs w:val="18"/>
              </w:rPr>
              <w:t>-</w:t>
            </w:r>
            <w:r w:rsidRPr="004F63E7">
              <w:rPr>
                <w:rFonts w:eastAsia="Muli" w:cs="Muli"/>
                <w:color w:val="000000" w:themeColor="text1"/>
                <w:sz w:val="18"/>
                <w:szCs w:val="18"/>
              </w:rPr>
              <w:t>service system in which the practice received higher payments for enrolled patients in an effort to increase patient enrolments with a PCMH.</w:t>
            </w:r>
            <w:r w:rsidR="00A561EE">
              <w:rPr>
                <w:rFonts w:eastAsia="Muli" w:cs="Muli"/>
                <w:color w:val="000000" w:themeColor="text1"/>
                <w:sz w:val="18"/>
                <w:szCs w:val="18"/>
              </w:rPr>
              <w:t xml:space="preserve"> </w:t>
            </w:r>
            <w:r w:rsidRPr="004F63E7">
              <w:rPr>
                <w:rFonts w:eastAsia="Muli" w:cs="Muli"/>
                <w:color w:val="000000" w:themeColor="text1"/>
                <w:sz w:val="18"/>
                <w:szCs w:val="18"/>
              </w:rPr>
              <w:t xml:space="preserve">The authors report that the enhanced payment system resulted in an increased number of patients with a regular family </w:t>
            </w:r>
            <w:r w:rsidR="0021686E" w:rsidRPr="004F63E7">
              <w:rPr>
                <w:rFonts w:eastAsia="Muli" w:cs="Muli"/>
                <w:color w:val="000000" w:themeColor="text1"/>
                <w:sz w:val="18"/>
                <w:szCs w:val="18"/>
              </w:rPr>
              <w:t>doctor,</w:t>
            </w:r>
            <w:r w:rsidRPr="004F63E7">
              <w:rPr>
                <w:rFonts w:eastAsia="Muli" w:cs="Muli"/>
                <w:color w:val="000000" w:themeColor="text1"/>
                <w:sz w:val="18"/>
                <w:szCs w:val="18"/>
              </w:rPr>
              <w:t xml:space="preserve"> but this led to a minimal decrease in emergency department attendances even though the literature suggests lower emergency department attendance </w:t>
            </w:r>
            <w:r w:rsidR="00D21B44">
              <w:rPr>
                <w:rFonts w:eastAsia="Muli" w:cs="Muli"/>
                <w:color w:val="000000" w:themeColor="text1"/>
                <w:sz w:val="18"/>
                <w:szCs w:val="18"/>
              </w:rPr>
              <w:t>with increased</w:t>
            </w:r>
            <w:r w:rsidRPr="004F63E7">
              <w:rPr>
                <w:rFonts w:eastAsia="Muli" w:cs="Muli"/>
                <w:color w:val="000000" w:themeColor="text1"/>
                <w:sz w:val="18"/>
                <w:szCs w:val="18"/>
              </w:rPr>
              <w:t xml:space="preserve"> care continuity.</w:t>
            </w:r>
            <w:r w:rsidR="00A561EE">
              <w:rPr>
                <w:rFonts w:eastAsia="Muli" w:cs="Muli"/>
                <w:color w:val="000000" w:themeColor="text1"/>
                <w:sz w:val="18"/>
                <w:szCs w:val="18"/>
              </w:rPr>
              <w:t xml:space="preserve"> </w:t>
            </w:r>
            <w:r w:rsidRPr="004F63E7">
              <w:rPr>
                <w:rFonts w:eastAsia="Muli" w:cs="Muli"/>
                <w:color w:val="000000" w:themeColor="text1"/>
                <w:sz w:val="18"/>
                <w:szCs w:val="18"/>
              </w:rPr>
              <w:t>In further examining this association the researchers reported that under the new system there was a decline in patient</w:t>
            </w:r>
            <w:r w:rsidR="00000B7C">
              <w:rPr>
                <w:rFonts w:eastAsia="Muli" w:cs="Muli"/>
                <w:color w:val="000000" w:themeColor="text1"/>
                <w:sz w:val="18"/>
                <w:szCs w:val="18"/>
              </w:rPr>
              <w:t>-</w:t>
            </w:r>
            <w:r w:rsidRPr="004F63E7">
              <w:rPr>
                <w:rFonts w:eastAsia="Muli" w:cs="Muli"/>
                <w:color w:val="000000" w:themeColor="text1"/>
                <w:sz w:val="18"/>
                <w:szCs w:val="18"/>
              </w:rPr>
              <w:lastRenderedPageBreak/>
              <w:t>reported continuity and care coordination, concluding there is an important distinction between practice-level and provider-level continuity.</w:t>
            </w:r>
            <w:r w:rsidR="00A561EE">
              <w:rPr>
                <w:rFonts w:eastAsia="Muli" w:cs="Muli"/>
                <w:color w:val="000000" w:themeColor="text1"/>
                <w:sz w:val="18"/>
                <w:szCs w:val="18"/>
              </w:rPr>
              <w:t xml:space="preserve"> </w:t>
            </w:r>
            <w:r w:rsidRPr="004F63E7">
              <w:rPr>
                <w:rFonts w:eastAsia="Muli" w:cs="Muli"/>
                <w:color w:val="000000" w:themeColor="text1"/>
                <w:sz w:val="18"/>
                <w:szCs w:val="18"/>
              </w:rPr>
              <w:t xml:space="preserve">The new payment system encouraged practice-level continuity, which in turn encouraged sharing of patients between the practitioners in the practice. This effectively reduced provider-level continuity when </w:t>
            </w:r>
            <w:r w:rsidR="00E602FD">
              <w:rPr>
                <w:rFonts w:eastAsia="Muli" w:cs="Muli"/>
                <w:color w:val="000000" w:themeColor="text1"/>
                <w:sz w:val="18"/>
                <w:szCs w:val="18"/>
              </w:rPr>
              <w:t>compared with</w:t>
            </w:r>
            <w:r w:rsidRPr="004F63E7">
              <w:rPr>
                <w:rFonts w:eastAsia="Muli" w:cs="Muli"/>
                <w:color w:val="000000" w:themeColor="text1"/>
                <w:sz w:val="18"/>
                <w:szCs w:val="18"/>
              </w:rPr>
              <w:t xml:space="preserve"> the previous arrangements where it was more likely that the patient would wait until their regular doctor was available rather than see a different doctor in the practice.</w:t>
            </w:r>
          </w:p>
          <w:p w14:paraId="388E9ADC" w14:textId="77777777" w:rsidR="00AE74AB" w:rsidRPr="004F63E7" w:rsidRDefault="00AE74AB" w:rsidP="00CA2A66">
            <w:pPr>
              <w:spacing w:after="120"/>
              <w:rPr>
                <w:rFonts w:eastAsia="Muli" w:cs="Muli"/>
                <w:color w:val="000000" w:themeColor="text1"/>
                <w:sz w:val="18"/>
                <w:szCs w:val="18"/>
              </w:rPr>
            </w:pPr>
            <w:r w:rsidRPr="004F63E7">
              <w:rPr>
                <w:rFonts w:eastAsia="Muli" w:cs="Muli"/>
                <w:color w:val="000000" w:themeColor="text1"/>
                <w:sz w:val="18"/>
                <w:szCs w:val="18"/>
              </w:rPr>
              <w:t xml:space="preserve">Finally, </w:t>
            </w:r>
            <w:proofErr w:type="spellStart"/>
            <w:r w:rsidRPr="004F63E7">
              <w:rPr>
                <w:rFonts w:eastAsia="Muli" w:cs="Muli"/>
                <w:color w:val="000000" w:themeColor="text1"/>
                <w:sz w:val="18"/>
                <w:szCs w:val="18"/>
              </w:rPr>
              <w:t>Schuttner</w:t>
            </w:r>
            <w:proofErr w:type="spellEnd"/>
            <w:r w:rsidRPr="004F63E7">
              <w:rPr>
                <w:rFonts w:eastAsia="Muli" w:cs="Muli"/>
                <w:color w:val="000000" w:themeColor="text1"/>
                <w:sz w:val="18"/>
                <w:szCs w:val="18"/>
              </w:rPr>
              <w:t xml:space="preserve"> et al.</w:t>
            </w:r>
            <w:r w:rsidRPr="004F63E7">
              <w:rPr>
                <w:rFonts w:eastAsia="Muli" w:cs="Muli"/>
                <w:color w:val="408BCA"/>
                <w:sz w:val="18"/>
                <w:szCs w:val="18"/>
                <w:vertAlign w:val="superscript"/>
              </w:rPr>
              <w:footnoteReference w:id="70"/>
            </w:r>
            <w:r w:rsidRPr="004F63E7">
              <w:rPr>
                <w:rFonts w:eastAsia="Muli" w:cs="Muli"/>
                <w:color w:val="000000" w:themeColor="text1"/>
                <w:sz w:val="18"/>
                <w:szCs w:val="18"/>
              </w:rPr>
              <w:t xml:space="preserve"> examined the association between perceived patient access and organisational factors in primary care clinics, finding that perceived greater access is associated with lower staff turnover and burnout, leadership supportive of the PCMH model and greater use of open access (a focus on enhanced continuity) and virtual care (telephone, SMS or video).</w:t>
            </w:r>
          </w:p>
          <w:p w14:paraId="51D7AAF5" w14:textId="0D889637" w:rsidR="00AE74AB" w:rsidRPr="004F63E7" w:rsidRDefault="00AE74AB" w:rsidP="00CA2A66">
            <w:pPr>
              <w:spacing w:after="120"/>
              <w:rPr>
                <w:rFonts w:eastAsia="Muli" w:cs="Muli"/>
                <w:color w:val="000000" w:themeColor="text1"/>
                <w:sz w:val="18"/>
                <w:szCs w:val="18"/>
              </w:rPr>
            </w:pPr>
            <w:r w:rsidRPr="004F63E7">
              <w:rPr>
                <w:rFonts w:eastAsia="Muli" w:cs="Muli"/>
                <w:color w:val="000000" w:themeColor="text1"/>
                <w:sz w:val="18"/>
                <w:szCs w:val="18"/>
              </w:rPr>
              <w:t xml:space="preserve">The studies of patient access suggest that under the PCMH model there is perceived improved access </w:t>
            </w:r>
            <w:r w:rsidR="00E602FD">
              <w:rPr>
                <w:rFonts w:eastAsia="Muli" w:cs="Muli"/>
                <w:color w:val="000000" w:themeColor="text1"/>
                <w:sz w:val="18"/>
                <w:szCs w:val="18"/>
              </w:rPr>
              <w:t>compared with</w:t>
            </w:r>
            <w:r w:rsidRPr="004F63E7">
              <w:rPr>
                <w:rFonts w:eastAsia="Muli" w:cs="Muli"/>
                <w:color w:val="000000" w:themeColor="text1"/>
                <w:sz w:val="18"/>
                <w:szCs w:val="18"/>
              </w:rPr>
              <w:t xml:space="preserve"> traditional arrangements, but that the method of implementation plays an important role.</w:t>
            </w:r>
            <w:r w:rsidR="00A561EE">
              <w:rPr>
                <w:rFonts w:eastAsia="Muli" w:cs="Muli"/>
                <w:color w:val="000000" w:themeColor="text1"/>
                <w:sz w:val="18"/>
                <w:szCs w:val="18"/>
              </w:rPr>
              <w:t xml:space="preserve"> </w:t>
            </w:r>
            <w:r w:rsidRPr="004F63E7">
              <w:rPr>
                <w:rFonts w:eastAsia="Muli" w:cs="Muli"/>
                <w:color w:val="000000" w:themeColor="text1"/>
                <w:sz w:val="18"/>
                <w:szCs w:val="18"/>
              </w:rPr>
              <w:t>After-hours arrangements, virtual care (video, SMS etc.) and access to the care team rather than necessarily the physician appear to be associated with improved access.</w:t>
            </w:r>
            <w:r w:rsidR="00A561EE">
              <w:rPr>
                <w:rFonts w:eastAsia="Muli" w:cs="Muli"/>
                <w:color w:val="000000" w:themeColor="text1"/>
                <w:sz w:val="18"/>
                <w:szCs w:val="18"/>
              </w:rPr>
              <w:t xml:space="preserve"> </w:t>
            </w:r>
            <w:r w:rsidR="00702766">
              <w:rPr>
                <w:rFonts w:eastAsia="Muli" w:cs="Muli"/>
                <w:color w:val="000000" w:themeColor="text1"/>
                <w:sz w:val="18"/>
                <w:szCs w:val="18"/>
              </w:rPr>
              <w:t>I</w:t>
            </w:r>
            <w:r w:rsidRPr="004F63E7">
              <w:rPr>
                <w:rFonts w:eastAsia="Muli" w:cs="Muli"/>
                <w:color w:val="000000" w:themeColor="text1"/>
                <w:sz w:val="18"/>
                <w:szCs w:val="18"/>
              </w:rPr>
              <w:t>ncentives at the practice-level rather than the individual practitioner may improve access but diminish care continuity.</w:t>
            </w:r>
          </w:p>
        </w:tc>
      </w:tr>
    </w:tbl>
    <w:p w14:paraId="2C364E2C" w14:textId="77777777" w:rsidR="00AE74AB" w:rsidRPr="004F63E7" w:rsidRDefault="00AE74AB" w:rsidP="00AE74AB">
      <w:pPr>
        <w:spacing w:after="0"/>
        <w:rPr>
          <w:rFonts w:eastAsia="Muli" w:cs="Muli"/>
          <w:color w:val="000000" w:themeColor="text1"/>
          <w:szCs w:val="20"/>
        </w:rPr>
      </w:pPr>
    </w:p>
    <w:p w14:paraId="3A61B34B" w14:textId="77777777" w:rsidR="00AE74AB" w:rsidRPr="004F63E7" w:rsidRDefault="00AE74AB" w:rsidP="00AE74AB">
      <w:pPr>
        <w:keepNext/>
        <w:keepLines/>
        <w:outlineLvl w:val="2"/>
        <w:rPr>
          <w:rFonts w:ascii="Roboto Slab" w:eastAsiaTheme="majorEastAsia" w:hAnsi="Roboto Slab" w:cstheme="majorBidi"/>
          <w:color w:val="408BCA"/>
          <w:sz w:val="24"/>
          <w:szCs w:val="24"/>
          <w:lang w:val="en-GB"/>
        </w:rPr>
      </w:pPr>
      <w:r w:rsidRPr="004F63E7">
        <w:rPr>
          <w:rFonts w:ascii="Roboto Slab" w:eastAsiaTheme="majorEastAsia" w:hAnsi="Roboto Slab" w:cstheme="majorBidi"/>
          <w:color w:val="408BCA"/>
          <w:sz w:val="24"/>
          <w:szCs w:val="24"/>
          <w:lang w:val="en-GB"/>
        </w:rPr>
        <w:t>New roles</w:t>
      </w:r>
    </w:p>
    <w:p w14:paraId="51281EC2" w14:textId="77777777" w:rsidR="00AE74AB" w:rsidRPr="004F63E7" w:rsidRDefault="00AE74AB" w:rsidP="00AE74AB">
      <w:pPr>
        <w:rPr>
          <w:rFonts w:eastAsia="Times New Roman"/>
          <w:iCs/>
          <w:szCs w:val="20"/>
        </w:rPr>
      </w:pPr>
      <w:bookmarkStart w:id="198" w:name="_Hlk21359972"/>
      <w:r w:rsidRPr="004F63E7">
        <w:rPr>
          <w:rFonts w:eastAsia="Times New Roman"/>
          <w:iCs/>
          <w:szCs w:val="20"/>
        </w:rPr>
        <w:t>To keep up with enrolment and ongoing management of HCH patients, some practices hired new staff and/ or established new roles responsible for HCH patients/ activities. New staff included nurses, medical practice assistants (MPAs), and administrative assistants. New roles were HCH coordinator/ nurse. These positions had responsibilities for:</w:t>
      </w:r>
    </w:p>
    <w:p w14:paraId="0B30E281" w14:textId="77777777" w:rsidR="00AE74AB" w:rsidRPr="004F63E7" w:rsidRDefault="00AE74AB" w:rsidP="00BB7C8D">
      <w:pPr>
        <w:numPr>
          <w:ilvl w:val="0"/>
          <w:numId w:val="41"/>
        </w:numPr>
        <w:contextualSpacing/>
        <w:rPr>
          <w:rFonts w:eastAsia="Times New Roman"/>
          <w:iCs/>
          <w:szCs w:val="20"/>
        </w:rPr>
      </w:pPr>
      <w:r w:rsidRPr="004F63E7">
        <w:rPr>
          <w:rFonts w:eastAsia="Times New Roman"/>
          <w:iCs/>
          <w:szCs w:val="20"/>
        </w:rPr>
        <w:t>enrolling patients</w:t>
      </w:r>
    </w:p>
    <w:p w14:paraId="6D6E2329" w14:textId="77777777" w:rsidR="00AE74AB" w:rsidRPr="004F63E7" w:rsidRDefault="00AE74AB" w:rsidP="00BB7C8D">
      <w:pPr>
        <w:numPr>
          <w:ilvl w:val="0"/>
          <w:numId w:val="41"/>
        </w:numPr>
        <w:contextualSpacing/>
        <w:rPr>
          <w:rFonts w:eastAsia="Times New Roman"/>
          <w:iCs/>
          <w:szCs w:val="20"/>
        </w:rPr>
      </w:pPr>
      <w:r w:rsidRPr="004F63E7">
        <w:rPr>
          <w:rFonts w:eastAsia="Times New Roman"/>
          <w:iCs/>
          <w:szCs w:val="20"/>
        </w:rPr>
        <w:t>patient recall</w:t>
      </w:r>
    </w:p>
    <w:p w14:paraId="3547D3DB" w14:textId="77777777" w:rsidR="00AE74AB" w:rsidRPr="004F63E7" w:rsidRDefault="00AE74AB" w:rsidP="00BB7C8D">
      <w:pPr>
        <w:numPr>
          <w:ilvl w:val="0"/>
          <w:numId w:val="41"/>
        </w:numPr>
        <w:contextualSpacing/>
        <w:rPr>
          <w:rFonts w:eastAsia="Times New Roman"/>
          <w:iCs/>
          <w:szCs w:val="20"/>
        </w:rPr>
      </w:pPr>
      <w:r w:rsidRPr="004F63E7">
        <w:rPr>
          <w:rFonts w:eastAsia="Times New Roman"/>
          <w:iCs/>
          <w:szCs w:val="20"/>
        </w:rPr>
        <w:t>preparing care plans</w:t>
      </w:r>
    </w:p>
    <w:p w14:paraId="1F974B0F" w14:textId="77777777" w:rsidR="00AE74AB" w:rsidRPr="004F63E7" w:rsidRDefault="00AE74AB" w:rsidP="00BB7C8D">
      <w:pPr>
        <w:numPr>
          <w:ilvl w:val="0"/>
          <w:numId w:val="41"/>
        </w:numPr>
        <w:contextualSpacing/>
        <w:rPr>
          <w:rFonts w:eastAsia="Times New Roman"/>
          <w:iCs/>
          <w:szCs w:val="20"/>
        </w:rPr>
      </w:pPr>
      <w:r w:rsidRPr="004F63E7">
        <w:rPr>
          <w:rFonts w:eastAsia="Times New Roman"/>
          <w:iCs/>
          <w:szCs w:val="20"/>
        </w:rPr>
        <w:t>patient monitoring</w:t>
      </w:r>
    </w:p>
    <w:p w14:paraId="0A273167" w14:textId="77777777" w:rsidR="00AE74AB" w:rsidRPr="004F63E7" w:rsidRDefault="00AE74AB" w:rsidP="00BB7C8D">
      <w:pPr>
        <w:numPr>
          <w:ilvl w:val="0"/>
          <w:numId w:val="41"/>
        </w:numPr>
        <w:contextualSpacing/>
        <w:rPr>
          <w:rFonts w:eastAsia="Times New Roman"/>
          <w:iCs/>
          <w:szCs w:val="20"/>
        </w:rPr>
      </w:pPr>
      <w:r w:rsidRPr="004F63E7">
        <w:rPr>
          <w:rFonts w:eastAsia="Times New Roman"/>
          <w:iCs/>
          <w:szCs w:val="20"/>
        </w:rPr>
        <w:t>chronic disease management</w:t>
      </w:r>
    </w:p>
    <w:p w14:paraId="1C9F03AD" w14:textId="77777777" w:rsidR="00AE74AB" w:rsidRPr="004F63E7" w:rsidRDefault="00AE74AB" w:rsidP="00BB7C8D">
      <w:pPr>
        <w:numPr>
          <w:ilvl w:val="0"/>
          <w:numId w:val="41"/>
        </w:numPr>
        <w:contextualSpacing/>
        <w:rPr>
          <w:rFonts w:eastAsia="Times New Roman"/>
          <w:iCs/>
          <w:szCs w:val="20"/>
        </w:rPr>
      </w:pPr>
      <w:r w:rsidRPr="004F63E7">
        <w:rPr>
          <w:rFonts w:eastAsia="Times New Roman"/>
          <w:iCs/>
          <w:szCs w:val="20"/>
        </w:rPr>
        <w:t>running patient groups</w:t>
      </w:r>
    </w:p>
    <w:p w14:paraId="1B5CD3B9" w14:textId="77777777" w:rsidR="00AE74AB" w:rsidRPr="004F63E7" w:rsidRDefault="00AE74AB" w:rsidP="00BB7C8D">
      <w:pPr>
        <w:numPr>
          <w:ilvl w:val="0"/>
          <w:numId w:val="41"/>
        </w:numPr>
        <w:contextualSpacing/>
        <w:rPr>
          <w:rFonts w:eastAsia="Times New Roman"/>
          <w:iCs/>
          <w:szCs w:val="20"/>
        </w:rPr>
      </w:pPr>
      <w:r w:rsidRPr="004F63E7">
        <w:rPr>
          <w:rFonts w:eastAsia="Times New Roman"/>
          <w:iCs/>
          <w:szCs w:val="20"/>
        </w:rPr>
        <w:t>liaising with specialists</w:t>
      </w:r>
    </w:p>
    <w:p w14:paraId="53332BCF" w14:textId="77777777" w:rsidR="00AE74AB" w:rsidRPr="004F63E7" w:rsidRDefault="00AE74AB" w:rsidP="00BB7C8D">
      <w:pPr>
        <w:numPr>
          <w:ilvl w:val="0"/>
          <w:numId w:val="41"/>
        </w:numPr>
        <w:contextualSpacing/>
        <w:rPr>
          <w:rFonts w:eastAsia="Times New Roman"/>
          <w:iCs/>
          <w:szCs w:val="20"/>
        </w:rPr>
      </w:pPr>
      <w:r w:rsidRPr="004F63E7">
        <w:rPr>
          <w:rFonts w:eastAsia="Times New Roman"/>
          <w:iCs/>
          <w:szCs w:val="20"/>
        </w:rPr>
        <w:t>entering data</w:t>
      </w:r>
    </w:p>
    <w:p w14:paraId="6D24889A" w14:textId="77777777" w:rsidR="00AE74AB" w:rsidRPr="004F63E7" w:rsidRDefault="00AE74AB" w:rsidP="00BB7C8D">
      <w:pPr>
        <w:numPr>
          <w:ilvl w:val="0"/>
          <w:numId w:val="41"/>
        </w:numPr>
        <w:ind w:left="714" w:hanging="357"/>
        <w:rPr>
          <w:rFonts w:eastAsia="Times New Roman"/>
          <w:iCs/>
          <w:szCs w:val="20"/>
        </w:rPr>
      </w:pPr>
      <w:r w:rsidRPr="004F63E7">
        <w:rPr>
          <w:rFonts w:eastAsia="Times New Roman"/>
          <w:iCs/>
          <w:szCs w:val="20"/>
        </w:rPr>
        <w:t>tracking and handling finances.</w:t>
      </w:r>
    </w:p>
    <w:p w14:paraId="2D996512" w14:textId="77777777" w:rsidR="00AE74AB" w:rsidRPr="004F63E7" w:rsidRDefault="00AE74AB" w:rsidP="00AE74AB">
      <w:pPr>
        <w:rPr>
          <w:rFonts w:eastAsia="Times New Roman"/>
          <w:iCs/>
          <w:szCs w:val="20"/>
        </w:rPr>
      </w:pPr>
      <w:r w:rsidRPr="004F63E7">
        <w:rPr>
          <w:rFonts w:eastAsia="Times New Roman"/>
          <w:iCs/>
          <w:szCs w:val="20"/>
        </w:rPr>
        <w:t>Staff members elaborated on the contribution of new roles in HCH patient care delivery:</w:t>
      </w:r>
    </w:p>
    <w:p w14:paraId="70C73762" w14:textId="77777777" w:rsidR="00AE74AB" w:rsidRPr="004F63E7" w:rsidRDefault="00AE74AB" w:rsidP="00AE74AB">
      <w:pPr>
        <w:ind w:left="567" w:right="521"/>
        <w:rPr>
          <w:rFonts w:eastAsia="Times New Roman"/>
          <w:iCs/>
          <w:szCs w:val="20"/>
        </w:rPr>
      </w:pPr>
      <w:r w:rsidRPr="004F63E7">
        <w:rPr>
          <w:rFonts w:eastAsia="Times New Roman"/>
          <w:i/>
          <w:szCs w:val="20"/>
        </w:rPr>
        <w:t xml:space="preserve">“…[The MPA] helps us out with other things. Like a lot of excisions and things that we don’t need to actually to be there to </w:t>
      </w:r>
      <w:r w:rsidRPr="004F63E7">
        <w:rPr>
          <w:i/>
          <w:iCs/>
          <w:szCs w:val="20"/>
        </w:rPr>
        <w:t>assist</w:t>
      </w:r>
      <w:r w:rsidRPr="004F63E7">
        <w:rPr>
          <w:rFonts w:eastAsia="Times New Roman"/>
          <w:i/>
          <w:szCs w:val="20"/>
        </w:rPr>
        <w:t xml:space="preserve"> the doctor. So, she does those kinds of jobs. And then it makes more room for us to, so we are doing well but I think…[MPA]’s only on that role, two days, three days a week, two days a week. So even if she was to come on more time as MPA, that would help us out more. But, she’s still got to do reception. She’s all over the place. She’s at reception and here and she helps us. She’s everywhere. She’s a big, very important role.”</w:t>
      </w:r>
      <w:r w:rsidRPr="004F63E7">
        <w:rPr>
          <w:rFonts w:eastAsia="Times New Roman"/>
          <w:iCs/>
          <w:szCs w:val="20"/>
        </w:rPr>
        <w:t xml:space="preserve"> [Nurse, Practice 5, R4]</w:t>
      </w:r>
    </w:p>
    <w:p w14:paraId="25A48E42" w14:textId="3DD85A03" w:rsidR="00AE74AB" w:rsidRPr="004F63E7" w:rsidRDefault="00AE74AB" w:rsidP="00AE74AB">
      <w:pPr>
        <w:rPr>
          <w:rFonts w:eastAsia="Times New Roman"/>
          <w:iCs/>
          <w:szCs w:val="20"/>
        </w:rPr>
      </w:pPr>
      <w:r w:rsidRPr="004F63E7">
        <w:rPr>
          <w:rFonts w:eastAsia="Times New Roman"/>
          <w:iCs/>
          <w:szCs w:val="20"/>
        </w:rPr>
        <w:lastRenderedPageBreak/>
        <w:t>Though some practices with a larger proportion of HCH patients would have liked to hire additional staff for HCH they felt that it was still not financially viable to do so or they had issues with recruiting staff or turnover</w:t>
      </w:r>
      <w:bookmarkEnd w:id="198"/>
      <w:r w:rsidR="007655B9">
        <w:rPr>
          <w:rFonts w:eastAsia="Times New Roman"/>
          <w:iCs/>
          <w:szCs w:val="20"/>
        </w:rPr>
        <w:t>.</w:t>
      </w:r>
    </w:p>
    <w:p w14:paraId="4D24E604" w14:textId="77777777" w:rsidR="00AE74AB" w:rsidRPr="004F63E7" w:rsidRDefault="00AE74AB" w:rsidP="00FF7D25">
      <w:pPr>
        <w:pStyle w:val="Heading3"/>
        <w:rPr>
          <w:lang w:val="en-GB"/>
        </w:rPr>
      </w:pPr>
      <w:r>
        <w:rPr>
          <w:lang w:val="en-GB"/>
        </w:rPr>
        <w:t>Enhanced use of d</w:t>
      </w:r>
      <w:r w:rsidRPr="004F63E7">
        <w:rPr>
          <w:lang w:val="en-GB"/>
        </w:rPr>
        <w:t>ata</w:t>
      </w:r>
    </w:p>
    <w:p w14:paraId="1B98F827" w14:textId="18BE4E94" w:rsidR="00AE74AB" w:rsidRPr="004F63E7" w:rsidRDefault="00AE74AB" w:rsidP="00AE74AB">
      <w:pPr>
        <w:rPr>
          <w:lang w:val="en-GB"/>
        </w:rPr>
      </w:pPr>
      <w:r w:rsidRPr="004F63E7">
        <w:rPr>
          <w:lang w:val="en-GB"/>
        </w:rPr>
        <w:t xml:space="preserve">Practices highlighted the importance and value of data in general practice, and </w:t>
      </w:r>
      <w:r w:rsidRPr="004F63E7">
        <w:t xml:space="preserve">many reported prioritising enhanced data collection and data quality since becoming </w:t>
      </w:r>
      <w:r w:rsidR="00DB1BD7">
        <w:t>a HCH</w:t>
      </w:r>
      <w:r w:rsidRPr="004F63E7">
        <w:t xml:space="preserve">. </w:t>
      </w:r>
      <w:r w:rsidRPr="004F63E7">
        <w:rPr>
          <w:lang w:val="en-GB"/>
        </w:rPr>
        <w:t>Some PHNs were working hard in this area and practices in their regions found this beneficial.</w:t>
      </w:r>
      <w:r w:rsidRPr="004F63E7">
        <w:t xml:space="preserve"> </w:t>
      </w:r>
      <w:r w:rsidRPr="004F63E7">
        <w:rPr>
          <w:lang w:val="en-GB"/>
        </w:rPr>
        <w:t>Practices expressed the need for additional external emphasis and work on data quality and benchmarking for enhancing quality of care, establishing targets and more effectively measuring outcomes:</w:t>
      </w:r>
    </w:p>
    <w:p w14:paraId="5674BBB2" w14:textId="299B7912" w:rsidR="00AE74AB" w:rsidRPr="004F63E7" w:rsidRDefault="00AE74AB" w:rsidP="00AE74AB">
      <w:pPr>
        <w:ind w:left="567" w:right="521"/>
        <w:rPr>
          <w:lang w:val="en-GB"/>
        </w:rPr>
      </w:pPr>
      <w:r w:rsidRPr="004F63E7">
        <w:rPr>
          <w:i/>
          <w:iCs/>
          <w:lang w:val="en-GB"/>
        </w:rPr>
        <w:t>“…we’ve implemented a couple of new things. We've started [measuring patient activation] and the patient</w:t>
      </w:r>
      <w:r w:rsidR="00000B7C">
        <w:rPr>
          <w:i/>
          <w:iCs/>
          <w:lang w:val="en-GB"/>
        </w:rPr>
        <w:t>-</w:t>
      </w:r>
      <w:r>
        <w:rPr>
          <w:i/>
          <w:lang w:val="en-GB"/>
        </w:rPr>
        <w:t>reported</w:t>
      </w:r>
      <w:r w:rsidRPr="004F63E7">
        <w:rPr>
          <w:i/>
          <w:iCs/>
          <w:lang w:val="en-GB"/>
        </w:rPr>
        <w:t xml:space="preserve"> outcomes measure which we didn't do before. So, we think that's been a bonus. We actually went to the [November 2019 HCH] forum and got a better tool... So, we're going to use that now instead.”</w:t>
      </w:r>
      <w:r w:rsidRPr="004F63E7">
        <w:rPr>
          <w:lang w:val="en-GB"/>
        </w:rPr>
        <w:t xml:space="preserve"> [Practice Manager, Practice 24, R4]</w:t>
      </w:r>
    </w:p>
    <w:p w14:paraId="57517919" w14:textId="77777777" w:rsidR="00AE74AB" w:rsidRPr="004F63E7" w:rsidRDefault="00AE74AB" w:rsidP="00AE74AB">
      <w:pPr>
        <w:ind w:left="567" w:right="521"/>
        <w:rPr>
          <w:lang w:val="en-GB"/>
        </w:rPr>
      </w:pPr>
      <w:r w:rsidRPr="004F63E7">
        <w:rPr>
          <w:i/>
          <w:iCs/>
          <w:lang w:val="en-GB"/>
        </w:rPr>
        <w:t>“The PHN is doing a bit of that work with data and that’s been really helpful for our quality improvement. That’s not just helped us with Health Care Homes, it’s helped us as a practice for our patient outcomes and those sort of things. So that’s certainly, I think, beneficial to have that.”</w:t>
      </w:r>
      <w:r w:rsidRPr="004F63E7">
        <w:rPr>
          <w:lang w:val="en-GB"/>
        </w:rPr>
        <w:t xml:space="preserve"> [Practice Manager, Practice 10, R4]</w:t>
      </w:r>
    </w:p>
    <w:p w14:paraId="5D5DBFB9" w14:textId="5482BEFC" w:rsidR="00AE74AB" w:rsidRPr="004F63E7" w:rsidRDefault="00AE74AB" w:rsidP="00AE74AB">
      <w:pPr>
        <w:ind w:left="567" w:right="521"/>
        <w:rPr>
          <w:lang w:val="en-GB"/>
        </w:rPr>
      </w:pPr>
      <w:r w:rsidRPr="004F63E7">
        <w:rPr>
          <w:i/>
          <w:iCs/>
          <w:lang w:val="en-GB"/>
        </w:rPr>
        <w:t>“…I think a key weakness of our system and I think it also relates to Health Care Home program is benchmarking…it’s very difficult as the practice principal here to have much data about how do we compare to other practices with almost any metric, you might want to pick…if in theory being part of the Health Care Home program means that we’re more proactive with helping people manage their chronic health issues and that maybe they end up with better targets for blood pressure or fewer relapses or whatever… And I think without that level of data tracking, it’s hard for us to understand at an individual level, is this even beneficial in making a difference to anyone.”</w:t>
      </w:r>
      <w:r w:rsidRPr="004F63E7">
        <w:rPr>
          <w:lang w:val="en-GB"/>
        </w:rPr>
        <w:t xml:space="preserve"> [GP, Practice 22, R4]</w:t>
      </w:r>
    </w:p>
    <w:p w14:paraId="5E636AD3" w14:textId="51AD2B3E" w:rsidR="00174368" w:rsidRDefault="00542916" w:rsidP="00DE08F6">
      <w:pPr>
        <w:rPr>
          <w:lang w:eastAsia="en-AU"/>
        </w:rPr>
      </w:pPr>
      <w:r>
        <w:rPr>
          <w:lang w:eastAsia="en-AU"/>
        </w:rPr>
        <w:t xml:space="preserve">Staff surveys conducted shortly after the </w:t>
      </w:r>
      <w:r w:rsidR="004461E1">
        <w:rPr>
          <w:lang w:eastAsia="en-AU"/>
        </w:rPr>
        <w:t>start</w:t>
      </w:r>
      <w:r>
        <w:rPr>
          <w:lang w:eastAsia="en-AU"/>
        </w:rPr>
        <w:t xml:space="preserve"> of HCH (</w:t>
      </w:r>
      <w:r w:rsidR="000715F3">
        <w:rPr>
          <w:lang w:eastAsia="en-AU"/>
        </w:rPr>
        <w:t>round</w:t>
      </w:r>
      <w:r>
        <w:rPr>
          <w:lang w:eastAsia="en-AU"/>
        </w:rPr>
        <w:t xml:space="preserve"> 1) and at the end of the trial (</w:t>
      </w:r>
      <w:r w:rsidR="000715F3">
        <w:rPr>
          <w:lang w:eastAsia="en-AU"/>
        </w:rPr>
        <w:t>round</w:t>
      </w:r>
      <w:r>
        <w:rPr>
          <w:lang w:eastAsia="en-AU"/>
        </w:rPr>
        <w:t xml:space="preserve"> 5) included questions </w:t>
      </w:r>
      <w:r w:rsidR="00990B87">
        <w:rPr>
          <w:lang w:eastAsia="en-AU"/>
        </w:rPr>
        <w:t>about the</w:t>
      </w:r>
      <w:r>
        <w:rPr>
          <w:lang w:eastAsia="en-AU"/>
        </w:rPr>
        <w:t xml:space="preserve"> availability and use of clinical data within the practice (</w:t>
      </w:r>
      <w:r w:rsidR="003E2B4F">
        <w:rPr>
          <w:lang w:eastAsia="en-AU"/>
        </w:rPr>
        <w:fldChar w:fldCharType="begin"/>
      </w:r>
      <w:r w:rsidR="003E2B4F">
        <w:rPr>
          <w:lang w:eastAsia="en-AU"/>
        </w:rPr>
        <w:instrText xml:space="preserve"> REF _Ref99120071 \h </w:instrText>
      </w:r>
      <w:r w:rsidR="00881A4C">
        <w:rPr>
          <w:lang w:eastAsia="en-AU"/>
        </w:rPr>
        <w:instrText xml:space="preserve"> \* MERGEFORMAT </w:instrText>
      </w:r>
      <w:r w:rsidR="003E2B4F">
        <w:rPr>
          <w:lang w:eastAsia="en-AU"/>
        </w:rPr>
      </w:r>
      <w:r w:rsidR="003E2B4F">
        <w:rPr>
          <w:lang w:eastAsia="en-AU"/>
        </w:rPr>
        <w:fldChar w:fldCharType="separate"/>
      </w:r>
      <w:r w:rsidR="003C4BC2" w:rsidRPr="003C4BC2">
        <w:rPr>
          <w:rFonts w:eastAsiaTheme="minorEastAsia"/>
          <w:color w:val="1D2455"/>
          <w:szCs w:val="20"/>
          <w:lang w:eastAsia="en-AU"/>
        </w:rPr>
        <w:t xml:space="preserve">Figure </w:t>
      </w:r>
      <w:r w:rsidR="003C4BC2" w:rsidRPr="003C4BC2">
        <w:rPr>
          <w:rFonts w:eastAsiaTheme="minorEastAsia"/>
          <w:szCs w:val="20"/>
          <w:lang w:eastAsia="en-AU"/>
        </w:rPr>
        <w:t>20</w:t>
      </w:r>
      <w:r w:rsidR="003E2B4F">
        <w:rPr>
          <w:lang w:eastAsia="en-AU"/>
        </w:rPr>
        <w:fldChar w:fldCharType="end"/>
      </w:r>
      <w:r>
        <w:rPr>
          <w:lang w:eastAsia="en-AU"/>
        </w:rPr>
        <w:t xml:space="preserve">). </w:t>
      </w:r>
      <w:r w:rsidR="00990B87">
        <w:rPr>
          <w:lang w:eastAsia="en-AU"/>
        </w:rPr>
        <w:t>I</w:t>
      </w:r>
      <w:r>
        <w:rPr>
          <w:lang w:eastAsia="en-AU"/>
        </w:rPr>
        <w:t xml:space="preserve">n </w:t>
      </w:r>
      <w:r w:rsidR="000715F3">
        <w:rPr>
          <w:lang w:eastAsia="en-AU"/>
        </w:rPr>
        <w:t>round</w:t>
      </w:r>
      <w:r>
        <w:rPr>
          <w:lang w:eastAsia="en-AU"/>
        </w:rPr>
        <w:t xml:space="preserve"> 5</w:t>
      </w:r>
      <w:r w:rsidR="00990B87">
        <w:rPr>
          <w:lang w:eastAsia="en-AU"/>
        </w:rPr>
        <w:t>,</w:t>
      </w:r>
      <w:r>
        <w:rPr>
          <w:lang w:eastAsia="en-AU"/>
        </w:rPr>
        <w:t xml:space="preserve"> there was a higher level of agreement with </w:t>
      </w:r>
      <w:r w:rsidR="00990B87">
        <w:rPr>
          <w:lang w:eastAsia="en-AU"/>
        </w:rPr>
        <w:t>positive</w:t>
      </w:r>
      <w:r w:rsidR="002175F1">
        <w:rPr>
          <w:lang w:eastAsia="en-AU"/>
        </w:rPr>
        <w:t xml:space="preserve"> statements about the use of clinical data</w:t>
      </w:r>
      <w:r w:rsidR="003E2B4F">
        <w:rPr>
          <w:lang w:eastAsia="en-AU"/>
        </w:rPr>
        <w:t>.</w:t>
      </w:r>
    </w:p>
    <w:p w14:paraId="3AFB3AB8" w14:textId="77777777" w:rsidR="00174368" w:rsidRDefault="00174368">
      <w:pPr>
        <w:spacing w:after="160" w:line="259" w:lineRule="auto"/>
        <w:rPr>
          <w:lang w:eastAsia="en-AU"/>
        </w:rPr>
      </w:pPr>
      <w:r>
        <w:rPr>
          <w:lang w:eastAsia="en-AU"/>
        </w:rPr>
        <w:br w:type="page"/>
      </w:r>
    </w:p>
    <w:p w14:paraId="4449BD37" w14:textId="286845ED" w:rsidR="007C77A1" w:rsidRPr="00B65796" w:rsidRDefault="007C77A1" w:rsidP="00B65796">
      <w:pPr>
        <w:pStyle w:val="TableorFigurecaptionHPA"/>
      </w:pPr>
      <w:bookmarkStart w:id="199" w:name="_Ref99120071"/>
      <w:r w:rsidRPr="00B65796">
        <w:lastRenderedPageBreak/>
        <w:t xml:space="preserve">Figure </w:t>
      </w:r>
      <w:r w:rsidRPr="00B65796">
        <w:fldChar w:fldCharType="begin"/>
      </w:r>
      <w:r w:rsidRPr="00B65796">
        <w:rPr>
          <w:rStyle w:val="Strong1"/>
          <w:b w:val="0"/>
          <w:color w:val="1D2455"/>
          <w:sz w:val="20"/>
        </w:rPr>
        <w:instrText xml:space="preserve"> SEQ Figure \* ARABIC </w:instrText>
      </w:r>
      <w:r w:rsidRPr="00B65796">
        <w:fldChar w:fldCharType="separate"/>
      </w:r>
      <w:r w:rsidR="003C4BC2">
        <w:rPr>
          <w:rStyle w:val="Strong1"/>
          <w:b w:val="0"/>
          <w:noProof/>
          <w:color w:val="1D2455"/>
          <w:sz w:val="20"/>
        </w:rPr>
        <w:t>20</w:t>
      </w:r>
      <w:r w:rsidRPr="00B65796">
        <w:fldChar w:fldCharType="end"/>
      </w:r>
      <w:bookmarkEnd w:id="199"/>
      <w:r w:rsidRPr="00B65796">
        <w:t xml:space="preserve">: </w:t>
      </w:r>
      <w:r w:rsidR="00C46DDC" w:rsidRPr="00FC2F0E">
        <w:t xml:space="preserve">Staff </w:t>
      </w:r>
      <w:r w:rsidR="00C46DDC">
        <w:t xml:space="preserve">assessment of primary care team’s </w:t>
      </w:r>
      <w:r w:rsidR="001E6205" w:rsidRPr="00B65796">
        <w:t>use of electronic health records and other electronic systems</w:t>
      </w:r>
    </w:p>
    <w:p w14:paraId="5BECCAB5" w14:textId="7CB1EDB0" w:rsidR="007C77A1" w:rsidRDefault="001F6DFA" w:rsidP="007C77A1">
      <w:pPr>
        <w:rPr>
          <w:lang w:val="en-GB"/>
        </w:rPr>
      </w:pPr>
      <w:r>
        <w:rPr>
          <w:noProof/>
        </w:rPr>
        <w:drawing>
          <wp:inline distT="0" distB="0" distL="0" distR="0" wp14:anchorId="50F86475" wp14:editId="0FE28ABD">
            <wp:extent cx="5731510" cy="4612640"/>
            <wp:effectExtent l="0" t="0" r="0" b="0"/>
            <wp:docPr id="48" name="Picture 48" descr="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Calendar&#10;&#10;Description automatically generated"/>
                    <pic:cNvPicPr/>
                  </pic:nvPicPr>
                  <pic:blipFill>
                    <a:blip r:embed="rId44"/>
                    <a:stretch>
                      <a:fillRect/>
                    </a:stretch>
                  </pic:blipFill>
                  <pic:spPr>
                    <a:xfrm>
                      <a:off x="0" y="0"/>
                      <a:ext cx="5731510" cy="4612640"/>
                    </a:xfrm>
                    <a:prstGeom prst="rect">
                      <a:avLst/>
                    </a:prstGeom>
                  </pic:spPr>
                </pic:pic>
              </a:graphicData>
            </a:graphic>
          </wp:inline>
        </w:drawing>
      </w:r>
    </w:p>
    <w:p w14:paraId="38EFBC7C" w14:textId="77777777" w:rsidR="00E612AE" w:rsidRPr="004F63E7" w:rsidRDefault="00E612AE" w:rsidP="00E612AE">
      <w:pPr>
        <w:ind w:right="-45"/>
        <w:jc w:val="center"/>
        <w:rPr>
          <w:rFonts w:eastAsia="Calibri" w:cs="Times New Roman"/>
          <w:i/>
          <w:sz w:val="16"/>
          <w:szCs w:val="18"/>
        </w:rPr>
      </w:pPr>
      <w:r w:rsidRPr="004F63E7">
        <w:rPr>
          <w:rFonts w:eastAsia="Calibri" w:cs="Times New Roman"/>
          <w:i/>
          <w:sz w:val="16"/>
          <w:szCs w:val="18"/>
        </w:rPr>
        <w:t xml:space="preserve">Source: </w:t>
      </w:r>
      <w:r>
        <w:rPr>
          <w:rFonts w:eastAsia="Calibri" w:cs="Times New Roman"/>
          <w:i/>
          <w:sz w:val="16"/>
          <w:szCs w:val="18"/>
        </w:rPr>
        <w:t xml:space="preserve">Staff survey R1 </w:t>
      </w:r>
      <w:r w:rsidRPr="00F8542B">
        <w:rPr>
          <w:rFonts w:eastAsia="Calibri" w:cs="Times New Roman"/>
          <w:i/>
          <w:sz w:val="16"/>
          <w:szCs w:val="18"/>
        </w:rPr>
        <w:t xml:space="preserve">Dec 2017–Jul 2018 </w:t>
      </w:r>
      <w:r>
        <w:rPr>
          <w:rFonts w:eastAsia="Calibri" w:cs="Times New Roman"/>
          <w:i/>
          <w:sz w:val="16"/>
          <w:szCs w:val="18"/>
        </w:rPr>
        <w:t xml:space="preserve">and R5 </w:t>
      </w:r>
      <w:r w:rsidRPr="00E612AE">
        <w:rPr>
          <w:rFonts w:eastAsia="Calibri" w:cs="Times New Roman"/>
          <w:i/>
          <w:sz w:val="16"/>
          <w:szCs w:val="18"/>
        </w:rPr>
        <w:t>Mar–May 2021</w:t>
      </w:r>
      <w:r>
        <w:rPr>
          <w:rFonts w:eastAsia="Calibri" w:cs="Times New Roman"/>
          <w:i/>
          <w:sz w:val="16"/>
          <w:szCs w:val="18"/>
        </w:rPr>
        <w:t>.</w:t>
      </w:r>
    </w:p>
    <w:p w14:paraId="65FCE6E9" w14:textId="77777777" w:rsidR="00AE74AB" w:rsidRPr="004F63E7" w:rsidRDefault="00AE74AB" w:rsidP="00FF7D25">
      <w:pPr>
        <w:pStyle w:val="Heading4"/>
        <w:rPr>
          <w:lang w:val="en-GB"/>
        </w:rPr>
      </w:pPr>
      <w:r w:rsidRPr="004F63E7">
        <w:rPr>
          <w:lang w:val="en-GB"/>
        </w:rPr>
        <w:t>Evaluation benchmarking reports</w:t>
      </w:r>
    </w:p>
    <w:p w14:paraId="323358EE" w14:textId="49A3AAC4" w:rsidR="00AE74AB" w:rsidRPr="004F63E7" w:rsidRDefault="00AA196B" w:rsidP="00AE74AB">
      <w:pPr>
        <w:ind w:right="521"/>
        <w:rPr>
          <w:szCs w:val="20"/>
        </w:rPr>
      </w:pPr>
      <w:r>
        <w:rPr>
          <w:szCs w:val="20"/>
        </w:rPr>
        <w:t>T</w:t>
      </w:r>
      <w:r w:rsidRPr="00AA196B">
        <w:rPr>
          <w:szCs w:val="20"/>
        </w:rPr>
        <w:t>o help practices identify areas for improvement in their data, such as the completeness and quality of data collected</w:t>
      </w:r>
      <w:r>
        <w:rPr>
          <w:szCs w:val="20"/>
        </w:rPr>
        <w:t>, and a</w:t>
      </w:r>
      <w:r w:rsidR="00AE74AB" w:rsidRPr="004F63E7">
        <w:rPr>
          <w:szCs w:val="20"/>
        </w:rPr>
        <w:t xml:space="preserve">s a means of feeding back data received for the evaluation, the evaluators disseminated benchmark reports for active practices and for PHNs at six-monthly intervals. The reports were largely based on practice data extracts, with selected demographic and enrolment data from the HPOS extracts. </w:t>
      </w:r>
    </w:p>
    <w:p w14:paraId="76E76598" w14:textId="77777777" w:rsidR="00AE74AB" w:rsidRPr="004F63E7" w:rsidRDefault="00AE74AB" w:rsidP="00AE74AB">
      <w:pPr>
        <w:ind w:right="521"/>
        <w:rPr>
          <w:szCs w:val="20"/>
        </w:rPr>
      </w:pPr>
      <w:r w:rsidRPr="004F63E7">
        <w:rPr>
          <w:szCs w:val="20"/>
        </w:rPr>
        <w:t>The practice reports compared data for HCH patients in the practice with HCH patients in practices of similar size and geographic remoteness, and HCH patients in all other HCH practices. Information presented included:</w:t>
      </w:r>
    </w:p>
    <w:p w14:paraId="26316ED5" w14:textId="2DD12C52" w:rsidR="00AE74AB" w:rsidRPr="004F63E7" w:rsidRDefault="00AE74AB" w:rsidP="00BB7C8D">
      <w:pPr>
        <w:numPr>
          <w:ilvl w:val="0"/>
          <w:numId w:val="38"/>
        </w:numPr>
        <w:ind w:left="714" w:right="522" w:hanging="357"/>
        <w:contextualSpacing/>
        <w:rPr>
          <w:szCs w:val="20"/>
        </w:rPr>
      </w:pPr>
      <w:r w:rsidRPr="004F63E7">
        <w:rPr>
          <w:szCs w:val="20"/>
        </w:rPr>
        <w:t>recording of patient clinical assessments (</w:t>
      </w:r>
      <w:r w:rsidR="0010747B">
        <w:rPr>
          <w:szCs w:val="20"/>
        </w:rPr>
        <w:t>for example,</w:t>
      </w:r>
      <w:r w:rsidRPr="004F63E7">
        <w:rPr>
          <w:szCs w:val="20"/>
        </w:rPr>
        <w:t xml:space="preserve"> smoking status, height, weight) </w:t>
      </w:r>
    </w:p>
    <w:p w14:paraId="5175A989" w14:textId="66225856" w:rsidR="00AE74AB" w:rsidRPr="004F63E7" w:rsidRDefault="00AE74AB" w:rsidP="00BB7C8D">
      <w:pPr>
        <w:numPr>
          <w:ilvl w:val="0"/>
          <w:numId w:val="38"/>
        </w:numPr>
        <w:ind w:left="714" w:right="522" w:hanging="357"/>
        <w:contextualSpacing/>
        <w:rPr>
          <w:szCs w:val="20"/>
        </w:rPr>
      </w:pPr>
      <w:r w:rsidRPr="004F63E7">
        <w:rPr>
          <w:szCs w:val="20"/>
        </w:rPr>
        <w:t>patient measurements (</w:t>
      </w:r>
      <w:r w:rsidR="0010747B">
        <w:rPr>
          <w:szCs w:val="20"/>
        </w:rPr>
        <w:t>for example,</w:t>
      </w:r>
      <w:r w:rsidRPr="004F63E7">
        <w:rPr>
          <w:szCs w:val="20"/>
        </w:rPr>
        <w:t xml:space="preserve"> blood pressure, cholesterol, HbA1c) </w:t>
      </w:r>
    </w:p>
    <w:p w14:paraId="29F5C38A" w14:textId="77777777" w:rsidR="00AE74AB" w:rsidRPr="004F63E7" w:rsidRDefault="00AE74AB" w:rsidP="00BB7C8D">
      <w:pPr>
        <w:numPr>
          <w:ilvl w:val="0"/>
          <w:numId w:val="38"/>
        </w:numPr>
        <w:ind w:left="714" w:right="522" w:hanging="357"/>
        <w:contextualSpacing/>
        <w:rPr>
          <w:szCs w:val="20"/>
        </w:rPr>
      </w:pPr>
      <w:r w:rsidRPr="004F63E7">
        <w:rPr>
          <w:szCs w:val="20"/>
        </w:rPr>
        <w:t>recording on various patient health conditions.</w:t>
      </w:r>
    </w:p>
    <w:p w14:paraId="545B45A5" w14:textId="77777777" w:rsidR="00AE74AB" w:rsidRPr="004F63E7" w:rsidRDefault="00AE74AB" w:rsidP="00AE74AB">
      <w:pPr>
        <w:ind w:left="720" w:right="521"/>
        <w:contextualSpacing/>
        <w:rPr>
          <w:szCs w:val="20"/>
        </w:rPr>
      </w:pPr>
    </w:p>
    <w:p w14:paraId="3A9BC1D3" w14:textId="77777777" w:rsidR="00C70E4F" w:rsidRDefault="00C70E4F">
      <w:pPr>
        <w:spacing w:after="160" w:line="259" w:lineRule="auto"/>
        <w:rPr>
          <w:szCs w:val="20"/>
        </w:rPr>
      </w:pPr>
      <w:r>
        <w:rPr>
          <w:szCs w:val="20"/>
        </w:rPr>
        <w:br w:type="page"/>
      </w:r>
    </w:p>
    <w:p w14:paraId="4C8BB3D7" w14:textId="220B91BC" w:rsidR="00AE74AB" w:rsidRPr="004F63E7" w:rsidRDefault="00AE74AB" w:rsidP="00AE74AB">
      <w:pPr>
        <w:rPr>
          <w:szCs w:val="20"/>
        </w:rPr>
      </w:pPr>
      <w:r w:rsidRPr="004F63E7">
        <w:rPr>
          <w:szCs w:val="20"/>
        </w:rPr>
        <w:lastRenderedPageBreak/>
        <w:t>Practices were asked about the benchmark reports in the surveys. One</w:t>
      </w:r>
      <w:r w:rsidR="00D63CA9">
        <w:rPr>
          <w:szCs w:val="20"/>
        </w:rPr>
        <w:t xml:space="preserve"> </w:t>
      </w:r>
      <w:r w:rsidRPr="004F63E7">
        <w:rPr>
          <w:szCs w:val="20"/>
        </w:rPr>
        <w:t>third rated the reports as moderately useful (</w:t>
      </w:r>
      <w:r w:rsidRPr="004F63E7">
        <w:rPr>
          <w:color w:val="002060"/>
          <w:szCs w:val="20"/>
        </w:rPr>
        <w:fldChar w:fldCharType="begin"/>
      </w:r>
      <w:r w:rsidRPr="004F63E7">
        <w:rPr>
          <w:color w:val="002060"/>
          <w:szCs w:val="20"/>
        </w:rPr>
        <w:instrText xml:space="preserve"> REF _Ref52379238 \h  \* MERGEFORMAT </w:instrText>
      </w:r>
      <w:r w:rsidRPr="004F63E7">
        <w:rPr>
          <w:color w:val="002060"/>
          <w:szCs w:val="20"/>
        </w:rPr>
      </w:r>
      <w:r w:rsidRPr="004F63E7">
        <w:rPr>
          <w:color w:val="002060"/>
          <w:szCs w:val="20"/>
        </w:rPr>
        <w:fldChar w:fldCharType="separate"/>
      </w:r>
      <w:r w:rsidR="003C4BC2" w:rsidRPr="003C4BC2">
        <w:rPr>
          <w:color w:val="002060"/>
        </w:rPr>
        <w:t xml:space="preserve">Table </w:t>
      </w:r>
      <w:r w:rsidR="003C4BC2" w:rsidRPr="003C4BC2">
        <w:rPr>
          <w:noProof/>
          <w:color w:val="002060"/>
        </w:rPr>
        <w:t>26</w:t>
      </w:r>
      <w:r w:rsidRPr="004F63E7">
        <w:rPr>
          <w:color w:val="002060"/>
          <w:szCs w:val="20"/>
        </w:rPr>
        <w:fldChar w:fldCharType="end"/>
      </w:r>
      <w:r w:rsidRPr="004F63E7">
        <w:rPr>
          <w:szCs w:val="20"/>
        </w:rPr>
        <w:t>). They commented qualitatively that they generally found the reports valuable, asking for them to be more frequent and automatically emailed to the practice for easier access (they were distributed to practices through the HCH evaluation online portal, which required a secure login for each practice). They expressed an interest in seeing more comparisons of patient outcomes, or proxies for patient outcomes like average HbA1c, and were also interested in seeing deeper comparisons with like practices through more detailed patient demographics. One practice suggested self-comparison or tracking of the practice’s progress over time as a useful addition.</w:t>
      </w:r>
    </w:p>
    <w:p w14:paraId="267F2456" w14:textId="3353A604" w:rsidR="00AE74AB" w:rsidRPr="004F63E7" w:rsidRDefault="00AE74AB" w:rsidP="00AE74AB">
      <w:pPr>
        <w:spacing w:after="60"/>
        <w:jc w:val="center"/>
        <w:rPr>
          <w:rFonts w:eastAsiaTheme="minorEastAsia"/>
          <w:bCs/>
          <w:color w:val="1D2455"/>
          <w:szCs w:val="20"/>
          <w:lang w:eastAsia="en-AU"/>
        </w:rPr>
      </w:pPr>
      <w:bookmarkStart w:id="200" w:name="_Ref52379238"/>
      <w:r w:rsidRPr="004F63E7">
        <w:rPr>
          <w:rFonts w:eastAsiaTheme="minorEastAsia"/>
          <w:bCs/>
          <w:color w:val="1D2455"/>
          <w:szCs w:val="20"/>
          <w:lang w:eastAsia="en-AU"/>
        </w:rPr>
        <w:t xml:space="preserve">Table </w:t>
      </w:r>
      <w:r w:rsidRPr="004F63E7">
        <w:rPr>
          <w:rFonts w:eastAsiaTheme="minorEastAsia"/>
          <w:bCs/>
          <w:color w:val="1D2455"/>
          <w:szCs w:val="20"/>
          <w:lang w:eastAsia="en-AU"/>
        </w:rPr>
        <w:fldChar w:fldCharType="begin"/>
      </w:r>
      <w:r w:rsidRPr="004F63E7">
        <w:rPr>
          <w:rFonts w:eastAsiaTheme="minorEastAsia"/>
          <w:bCs/>
          <w:color w:val="1D2455"/>
          <w:szCs w:val="20"/>
          <w:lang w:eastAsia="en-AU"/>
        </w:rPr>
        <w:instrText>SEQ Table \* ARABIC</w:instrText>
      </w:r>
      <w:r w:rsidRPr="004F63E7">
        <w:rPr>
          <w:rFonts w:eastAsiaTheme="minorEastAsia"/>
          <w:bCs/>
          <w:color w:val="1D2455"/>
          <w:szCs w:val="20"/>
          <w:lang w:eastAsia="en-AU"/>
        </w:rPr>
        <w:fldChar w:fldCharType="separate"/>
      </w:r>
      <w:r w:rsidR="003C4BC2">
        <w:rPr>
          <w:rFonts w:eastAsiaTheme="minorEastAsia"/>
          <w:bCs/>
          <w:noProof/>
          <w:color w:val="1D2455"/>
          <w:szCs w:val="20"/>
          <w:lang w:eastAsia="en-AU"/>
        </w:rPr>
        <w:t>26</w:t>
      </w:r>
      <w:r w:rsidRPr="004F63E7">
        <w:rPr>
          <w:rFonts w:eastAsiaTheme="minorEastAsia"/>
          <w:bCs/>
          <w:color w:val="1D2455"/>
          <w:szCs w:val="20"/>
          <w:lang w:eastAsia="en-AU"/>
        </w:rPr>
        <w:fldChar w:fldCharType="end"/>
      </w:r>
      <w:bookmarkEnd w:id="200"/>
      <w:r w:rsidRPr="004F63E7">
        <w:rPr>
          <w:rFonts w:eastAsiaTheme="minorEastAsia"/>
          <w:bCs/>
          <w:color w:val="1D2455"/>
          <w:szCs w:val="20"/>
          <w:lang w:eastAsia="en-AU"/>
        </w:rPr>
        <w:t>: Practice and PHN rating of benchmark reports</w:t>
      </w:r>
      <w:r w:rsidR="00E007BE">
        <w:rPr>
          <w:rFonts w:eastAsiaTheme="minorEastAsia"/>
          <w:bCs/>
          <w:color w:val="1D2455"/>
          <w:szCs w:val="20"/>
          <w:lang w:eastAsia="en-AU"/>
        </w:rPr>
        <w:t xml:space="preserve"> provided during the trial</w:t>
      </w:r>
    </w:p>
    <w:tbl>
      <w:tblPr>
        <w:tblW w:w="4171"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708"/>
        <w:gridCol w:w="2795"/>
        <w:gridCol w:w="2018"/>
      </w:tblGrid>
      <w:tr w:rsidR="004C3CCB" w:rsidRPr="004C3CCB" w14:paraId="67E3CA39" w14:textId="77777777" w:rsidTr="004C3CCB">
        <w:trPr>
          <w:jc w:val="center"/>
        </w:trPr>
        <w:tc>
          <w:tcPr>
            <w:tcW w:w="0" w:type="auto"/>
            <w:shd w:val="clear" w:color="auto" w:fill="408BCA"/>
          </w:tcPr>
          <w:p w14:paraId="76A1B9ED" w14:textId="77777777" w:rsidR="00AE74AB" w:rsidRPr="004C3CCB" w:rsidRDefault="00AE74AB" w:rsidP="00CA2A66">
            <w:pPr>
              <w:spacing w:after="0"/>
              <w:jc w:val="center"/>
              <w:rPr>
                <w:b/>
                <w:color w:val="FFFFFF" w:themeColor="background1"/>
                <w:sz w:val="18"/>
                <w:szCs w:val="18"/>
              </w:rPr>
            </w:pPr>
            <w:r w:rsidRPr="004C3CCB">
              <w:rPr>
                <w:b/>
                <w:color w:val="FFFFFF" w:themeColor="background1"/>
                <w:sz w:val="18"/>
                <w:szCs w:val="18"/>
              </w:rPr>
              <w:t>Rating</w:t>
            </w:r>
          </w:p>
        </w:tc>
        <w:tc>
          <w:tcPr>
            <w:tcW w:w="0" w:type="auto"/>
            <w:shd w:val="clear" w:color="auto" w:fill="408BCA"/>
          </w:tcPr>
          <w:p w14:paraId="3566AC43" w14:textId="77777777" w:rsidR="00AE74AB" w:rsidRPr="004C3CCB" w:rsidRDefault="00AE74AB" w:rsidP="00CA2A66">
            <w:pPr>
              <w:spacing w:after="0"/>
              <w:jc w:val="center"/>
              <w:rPr>
                <w:b/>
                <w:color w:val="FFFFFF" w:themeColor="background1"/>
                <w:sz w:val="18"/>
                <w:szCs w:val="18"/>
              </w:rPr>
            </w:pPr>
            <w:r w:rsidRPr="004C3CCB">
              <w:rPr>
                <w:b/>
                <w:color w:val="FFFFFF" w:themeColor="background1"/>
                <w:sz w:val="18"/>
                <w:szCs w:val="18"/>
              </w:rPr>
              <w:t>Number of practices (%)</w:t>
            </w:r>
          </w:p>
        </w:tc>
        <w:tc>
          <w:tcPr>
            <w:tcW w:w="0" w:type="auto"/>
            <w:shd w:val="clear" w:color="auto" w:fill="408BCA"/>
          </w:tcPr>
          <w:p w14:paraId="3EEB6739" w14:textId="77777777" w:rsidR="00AE74AB" w:rsidRPr="004C3CCB" w:rsidRDefault="00AE74AB" w:rsidP="00CA2A66">
            <w:pPr>
              <w:spacing w:after="0"/>
              <w:jc w:val="center"/>
              <w:rPr>
                <w:b/>
                <w:color w:val="FFFFFF" w:themeColor="background1"/>
                <w:sz w:val="18"/>
                <w:szCs w:val="18"/>
              </w:rPr>
            </w:pPr>
            <w:r w:rsidRPr="004C3CCB">
              <w:rPr>
                <w:b/>
                <w:color w:val="FFFFFF" w:themeColor="background1"/>
                <w:sz w:val="18"/>
                <w:szCs w:val="18"/>
              </w:rPr>
              <w:t>Number of PHNs</w:t>
            </w:r>
          </w:p>
        </w:tc>
      </w:tr>
      <w:tr w:rsidR="00AE74AB" w:rsidRPr="004F63E7" w14:paraId="1AB658CC" w14:textId="77777777" w:rsidTr="004C3CCB">
        <w:trPr>
          <w:jc w:val="center"/>
        </w:trPr>
        <w:tc>
          <w:tcPr>
            <w:tcW w:w="0" w:type="auto"/>
          </w:tcPr>
          <w:p w14:paraId="28D1E8B7" w14:textId="77777777" w:rsidR="00AE74AB" w:rsidRPr="004F63E7" w:rsidRDefault="00AE74AB" w:rsidP="00CA2A66">
            <w:pPr>
              <w:spacing w:after="0"/>
              <w:ind w:left="102" w:right="102"/>
              <w:rPr>
                <w:rFonts w:eastAsia="Century Gothic" w:cs="Century Gothic"/>
                <w:color w:val="000000"/>
                <w:sz w:val="18"/>
                <w:szCs w:val="18"/>
              </w:rPr>
            </w:pPr>
            <w:r w:rsidRPr="004F63E7">
              <w:rPr>
                <w:rFonts w:eastAsia="Century Gothic" w:cs="Century Gothic"/>
                <w:color w:val="000000"/>
                <w:sz w:val="18"/>
                <w:szCs w:val="18"/>
              </w:rPr>
              <w:t>Very useful</w:t>
            </w:r>
          </w:p>
        </w:tc>
        <w:tc>
          <w:tcPr>
            <w:tcW w:w="0" w:type="auto"/>
          </w:tcPr>
          <w:p w14:paraId="17D97F90" w14:textId="77777777" w:rsidR="00AE74AB" w:rsidRPr="004F63E7" w:rsidRDefault="00AE74AB" w:rsidP="00CA2A66">
            <w:pPr>
              <w:spacing w:after="0"/>
              <w:ind w:left="102" w:right="102"/>
              <w:jc w:val="right"/>
              <w:rPr>
                <w:rFonts w:eastAsia="Century Gothic" w:cs="Century Gothic"/>
                <w:color w:val="000000"/>
                <w:sz w:val="18"/>
                <w:szCs w:val="18"/>
              </w:rPr>
            </w:pPr>
            <w:r w:rsidRPr="004F63E7">
              <w:rPr>
                <w:rFonts w:eastAsia="Century Gothic" w:cs="Century Gothic"/>
                <w:color w:val="000000"/>
                <w:sz w:val="18"/>
                <w:szCs w:val="18"/>
              </w:rPr>
              <w:t>0 (0%)</w:t>
            </w:r>
          </w:p>
        </w:tc>
        <w:tc>
          <w:tcPr>
            <w:tcW w:w="0" w:type="auto"/>
          </w:tcPr>
          <w:p w14:paraId="0DFF6AF1" w14:textId="77777777" w:rsidR="00AE74AB" w:rsidRPr="004F63E7" w:rsidRDefault="00AE74AB" w:rsidP="00CA2A66">
            <w:pPr>
              <w:spacing w:after="0"/>
              <w:ind w:left="102" w:right="102"/>
              <w:jc w:val="right"/>
              <w:rPr>
                <w:sz w:val="18"/>
                <w:szCs w:val="18"/>
              </w:rPr>
            </w:pPr>
            <w:r w:rsidRPr="004F63E7">
              <w:rPr>
                <w:sz w:val="18"/>
                <w:szCs w:val="18"/>
              </w:rPr>
              <w:t>2</w:t>
            </w:r>
          </w:p>
        </w:tc>
      </w:tr>
      <w:tr w:rsidR="00AE74AB" w:rsidRPr="004F63E7" w14:paraId="5556AFD3" w14:textId="77777777" w:rsidTr="004C3CCB">
        <w:trPr>
          <w:jc w:val="center"/>
        </w:trPr>
        <w:tc>
          <w:tcPr>
            <w:tcW w:w="0" w:type="auto"/>
          </w:tcPr>
          <w:p w14:paraId="60795B41" w14:textId="77777777" w:rsidR="00AE74AB" w:rsidRPr="004F63E7" w:rsidRDefault="00AE74AB" w:rsidP="00CA2A66">
            <w:pPr>
              <w:spacing w:after="0"/>
              <w:ind w:left="102" w:right="102"/>
              <w:rPr>
                <w:sz w:val="18"/>
                <w:szCs w:val="18"/>
              </w:rPr>
            </w:pPr>
            <w:r w:rsidRPr="004F63E7">
              <w:rPr>
                <w:rFonts w:eastAsia="Century Gothic" w:cs="Century Gothic"/>
                <w:color w:val="000000"/>
                <w:sz w:val="18"/>
                <w:szCs w:val="18"/>
              </w:rPr>
              <w:t>Moderately useful</w:t>
            </w:r>
          </w:p>
        </w:tc>
        <w:tc>
          <w:tcPr>
            <w:tcW w:w="0" w:type="auto"/>
          </w:tcPr>
          <w:p w14:paraId="2AAEC1F4"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19 (34.5%)</w:t>
            </w:r>
          </w:p>
        </w:tc>
        <w:tc>
          <w:tcPr>
            <w:tcW w:w="0" w:type="auto"/>
          </w:tcPr>
          <w:p w14:paraId="0D53725A" w14:textId="77777777" w:rsidR="00AE74AB" w:rsidRPr="004F63E7" w:rsidRDefault="00AE74AB" w:rsidP="00CA2A66">
            <w:pPr>
              <w:spacing w:after="0"/>
              <w:ind w:left="102" w:right="102"/>
              <w:jc w:val="right"/>
              <w:rPr>
                <w:sz w:val="18"/>
                <w:szCs w:val="18"/>
              </w:rPr>
            </w:pPr>
            <w:r w:rsidRPr="004F63E7">
              <w:rPr>
                <w:sz w:val="18"/>
                <w:szCs w:val="18"/>
              </w:rPr>
              <w:t>4</w:t>
            </w:r>
          </w:p>
        </w:tc>
      </w:tr>
      <w:tr w:rsidR="00AE74AB" w:rsidRPr="004F63E7" w14:paraId="1B28C201" w14:textId="77777777" w:rsidTr="004C3CCB">
        <w:trPr>
          <w:jc w:val="center"/>
        </w:trPr>
        <w:tc>
          <w:tcPr>
            <w:tcW w:w="0" w:type="auto"/>
          </w:tcPr>
          <w:p w14:paraId="79A41647" w14:textId="77777777" w:rsidR="00AE74AB" w:rsidRPr="004F63E7" w:rsidRDefault="00AE74AB" w:rsidP="00CA2A66">
            <w:pPr>
              <w:spacing w:after="0"/>
              <w:ind w:left="102" w:right="102"/>
              <w:rPr>
                <w:sz w:val="18"/>
                <w:szCs w:val="18"/>
              </w:rPr>
            </w:pPr>
            <w:r w:rsidRPr="004F63E7">
              <w:rPr>
                <w:rFonts w:eastAsia="Century Gothic" w:cs="Century Gothic"/>
                <w:color w:val="000000"/>
                <w:sz w:val="18"/>
                <w:szCs w:val="18"/>
              </w:rPr>
              <w:t>Limited usefulness</w:t>
            </w:r>
          </w:p>
        </w:tc>
        <w:tc>
          <w:tcPr>
            <w:tcW w:w="0" w:type="auto"/>
          </w:tcPr>
          <w:p w14:paraId="26F79FD3"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9 (16.4%)</w:t>
            </w:r>
          </w:p>
        </w:tc>
        <w:tc>
          <w:tcPr>
            <w:tcW w:w="0" w:type="auto"/>
          </w:tcPr>
          <w:p w14:paraId="04BB2936" w14:textId="77777777" w:rsidR="00AE74AB" w:rsidRPr="004F63E7" w:rsidRDefault="00AE74AB" w:rsidP="00CA2A66">
            <w:pPr>
              <w:spacing w:after="0"/>
              <w:ind w:left="102" w:right="102"/>
              <w:jc w:val="right"/>
              <w:rPr>
                <w:sz w:val="18"/>
                <w:szCs w:val="18"/>
              </w:rPr>
            </w:pPr>
            <w:r w:rsidRPr="004F63E7">
              <w:rPr>
                <w:sz w:val="18"/>
                <w:szCs w:val="18"/>
              </w:rPr>
              <w:t>2</w:t>
            </w:r>
          </w:p>
        </w:tc>
      </w:tr>
      <w:tr w:rsidR="00AE74AB" w:rsidRPr="004F63E7" w14:paraId="2A8ECB7C" w14:textId="77777777" w:rsidTr="004C3CCB">
        <w:trPr>
          <w:jc w:val="center"/>
        </w:trPr>
        <w:tc>
          <w:tcPr>
            <w:tcW w:w="0" w:type="auto"/>
          </w:tcPr>
          <w:p w14:paraId="05A75B7C" w14:textId="77777777" w:rsidR="00AE74AB" w:rsidRPr="004F63E7" w:rsidRDefault="00AE74AB" w:rsidP="00CA2A66">
            <w:pPr>
              <w:spacing w:after="0"/>
              <w:ind w:left="102" w:right="102"/>
              <w:rPr>
                <w:sz w:val="18"/>
                <w:szCs w:val="18"/>
              </w:rPr>
            </w:pPr>
            <w:r w:rsidRPr="004F63E7">
              <w:rPr>
                <w:rFonts w:eastAsia="Century Gothic" w:cs="Century Gothic"/>
                <w:color w:val="000000"/>
                <w:sz w:val="18"/>
                <w:szCs w:val="18"/>
              </w:rPr>
              <w:t>Not useful</w:t>
            </w:r>
          </w:p>
        </w:tc>
        <w:tc>
          <w:tcPr>
            <w:tcW w:w="0" w:type="auto"/>
          </w:tcPr>
          <w:p w14:paraId="006D6397"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3 (5.5%)</w:t>
            </w:r>
          </w:p>
        </w:tc>
        <w:tc>
          <w:tcPr>
            <w:tcW w:w="0" w:type="auto"/>
          </w:tcPr>
          <w:p w14:paraId="7F924C87" w14:textId="77777777" w:rsidR="00AE74AB" w:rsidRPr="004F63E7" w:rsidRDefault="00AE74AB" w:rsidP="00CA2A66">
            <w:pPr>
              <w:spacing w:after="0"/>
              <w:ind w:left="102" w:right="102"/>
              <w:jc w:val="right"/>
              <w:rPr>
                <w:sz w:val="18"/>
                <w:szCs w:val="18"/>
              </w:rPr>
            </w:pPr>
            <w:r w:rsidRPr="004F63E7">
              <w:rPr>
                <w:sz w:val="18"/>
                <w:szCs w:val="18"/>
              </w:rPr>
              <w:t>0</w:t>
            </w:r>
          </w:p>
        </w:tc>
      </w:tr>
      <w:tr w:rsidR="00AE74AB" w:rsidRPr="004F63E7" w14:paraId="32308C6D" w14:textId="77777777" w:rsidTr="004C3CCB">
        <w:trPr>
          <w:jc w:val="center"/>
        </w:trPr>
        <w:tc>
          <w:tcPr>
            <w:tcW w:w="0" w:type="auto"/>
          </w:tcPr>
          <w:p w14:paraId="43211D67" w14:textId="77777777" w:rsidR="00AE74AB" w:rsidRPr="004F63E7" w:rsidRDefault="00AE74AB" w:rsidP="00CA2A66">
            <w:pPr>
              <w:spacing w:after="0"/>
              <w:ind w:left="102" w:right="102"/>
              <w:rPr>
                <w:sz w:val="18"/>
                <w:szCs w:val="18"/>
              </w:rPr>
            </w:pPr>
            <w:r w:rsidRPr="004F63E7">
              <w:rPr>
                <w:rFonts w:eastAsia="Century Gothic" w:cs="Century Gothic"/>
                <w:color w:val="000000"/>
                <w:sz w:val="18"/>
                <w:szCs w:val="18"/>
              </w:rPr>
              <w:t>Did not receive</w:t>
            </w:r>
            <w:r w:rsidRPr="004F63E7">
              <w:rPr>
                <w:rFonts w:eastAsia="Century Gothic" w:cs="Century Gothic"/>
                <w:color w:val="000000"/>
                <w:sz w:val="18"/>
                <w:szCs w:val="18"/>
                <w:vertAlign w:val="superscript"/>
              </w:rPr>
              <w:t>1</w:t>
            </w:r>
          </w:p>
        </w:tc>
        <w:tc>
          <w:tcPr>
            <w:tcW w:w="0" w:type="auto"/>
          </w:tcPr>
          <w:p w14:paraId="6871CB96"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9 (16.4%)</w:t>
            </w:r>
          </w:p>
        </w:tc>
        <w:tc>
          <w:tcPr>
            <w:tcW w:w="0" w:type="auto"/>
          </w:tcPr>
          <w:p w14:paraId="709C2B28" w14:textId="77777777" w:rsidR="00AE74AB" w:rsidRPr="004F63E7" w:rsidRDefault="00AE74AB" w:rsidP="00CA2A66">
            <w:pPr>
              <w:spacing w:after="0"/>
              <w:ind w:left="102" w:right="102"/>
              <w:jc w:val="right"/>
              <w:rPr>
                <w:sz w:val="18"/>
                <w:szCs w:val="18"/>
              </w:rPr>
            </w:pPr>
            <w:r w:rsidRPr="004F63E7">
              <w:rPr>
                <w:sz w:val="18"/>
                <w:szCs w:val="18"/>
              </w:rPr>
              <w:t>0</w:t>
            </w:r>
          </w:p>
        </w:tc>
      </w:tr>
      <w:tr w:rsidR="00AE74AB" w:rsidRPr="004F63E7" w14:paraId="63D96304" w14:textId="77777777" w:rsidTr="004C3CCB">
        <w:trPr>
          <w:jc w:val="center"/>
        </w:trPr>
        <w:tc>
          <w:tcPr>
            <w:tcW w:w="0" w:type="auto"/>
          </w:tcPr>
          <w:p w14:paraId="0B8804D9" w14:textId="77777777" w:rsidR="00AE74AB" w:rsidRPr="004F63E7" w:rsidRDefault="00AE74AB" w:rsidP="00CA2A66">
            <w:pPr>
              <w:spacing w:after="0"/>
              <w:ind w:left="102" w:right="102"/>
              <w:rPr>
                <w:sz w:val="18"/>
                <w:szCs w:val="18"/>
              </w:rPr>
            </w:pPr>
            <w:r w:rsidRPr="004F63E7">
              <w:rPr>
                <w:rFonts w:eastAsia="Century Gothic" w:cs="Century Gothic"/>
                <w:color w:val="000000"/>
                <w:sz w:val="18"/>
                <w:szCs w:val="18"/>
              </w:rPr>
              <w:t>Can't say/don't know</w:t>
            </w:r>
          </w:p>
        </w:tc>
        <w:tc>
          <w:tcPr>
            <w:tcW w:w="0" w:type="auto"/>
          </w:tcPr>
          <w:p w14:paraId="7C2EA4BD" w14:textId="77777777" w:rsidR="00AE74AB" w:rsidRPr="004F63E7" w:rsidRDefault="00AE74AB" w:rsidP="00CA2A66">
            <w:pPr>
              <w:spacing w:after="0"/>
              <w:ind w:left="102" w:right="102"/>
              <w:jc w:val="right"/>
              <w:rPr>
                <w:sz w:val="18"/>
                <w:szCs w:val="18"/>
              </w:rPr>
            </w:pPr>
            <w:r w:rsidRPr="004F63E7">
              <w:rPr>
                <w:rFonts w:eastAsia="Century Gothic" w:cs="Century Gothic"/>
                <w:color w:val="000000"/>
                <w:sz w:val="18"/>
                <w:szCs w:val="18"/>
              </w:rPr>
              <w:t>15 (27.3%)</w:t>
            </w:r>
          </w:p>
        </w:tc>
        <w:tc>
          <w:tcPr>
            <w:tcW w:w="0" w:type="auto"/>
          </w:tcPr>
          <w:p w14:paraId="2472D16F" w14:textId="77777777" w:rsidR="00AE74AB" w:rsidRPr="004F63E7" w:rsidRDefault="00AE74AB" w:rsidP="00CA2A66">
            <w:pPr>
              <w:spacing w:after="0"/>
              <w:ind w:left="102" w:right="102"/>
              <w:jc w:val="right"/>
              <w:rPr>
                <w:rFonts w:eastAsia="Century Gothic" w:cs="Century Gothic"/>
                <w:b/>
                <w:color w:val="000000"/>
                <w:sz w:val="18"/>
                <w:szCs w:val="18"/>
              </w:rPr>
            </w:pPr>
            <w:r w:rsidRPr="004F63E7">
              <w:rPr>
                <w:sz w:val="18"/>
                <w:szCs w:val="18"/>
              </w:rPr>
              <w:t>1</w:t>
            </w:r>
          </w:p>
        </w:tc>
      </w:tr>
      <w:tr w:rsidR="00AE74AB" w:rsidRPr="004F63E7" w14:paraId="28DE13BB" w14:textId="77777777" w:rsidTr="004C3CCB">
        <w:trPr>
          <w:jc w:val="center"/>
        </w:trPr>
        <w:tc>
          <w:tcPr>
            <w:tcW w:w="0" w:type="auto"/>
          </w:tcPr>
          <w:p w14:paraId="25B88C89" w14:textId="77777777" w:rsidR="00AE74AB" w:rsidRPr="004F63E7" w:rsidRDefault="00AE74AB" w:rsidP="00CA2A66">
            <w:pPr>
              <w:spacing w:after="0"/>
              <w:ind w:left="102" w:right="102"/>
              <w:rPr>
                <w:b/>
                <w:bCs/>
                <w:sz w:val="18"/>
                <w:szCs w:val="18"/>
              </w:rPr>
            </w:pPr>
            <w:r w:rsidRPr="004F63E7">
              <w:rPr>
                <w:rFonts w:eastAsia="Century Gothic" w:cs="Century Gothic"/>
                <w:b/>
                <w:bCs/>
                <w:color w:val="000000"/>
                <w:sz w:val="18"/>
                <w:szCs w:val="18"/>
              </w:rPr>
              <w:t>Total</w:t>
            </w:r>
          </w:p>
        </w:tc>
        <w:tc>
          <w:tcPr>
            <w:tcW w:w="0" w:type="auto"/>
          </w:tcPr>
          <w:p w14:paraId="33F435D1" w14:textId="77777777" w:rsidR="00AE74AB" w:rsidRPr="004F63E7" w:rsidRDefault="00AE74AB" w:rsidP="00CA2A66">
            <w:pPr>
              <w:spacing w:after="0"/>
              <w:ind w:left="102" w:right="102"/>
              <w:jc w:val="right"/>
              <w:rPr>
                <w:b/>
                <w:bCs/>
                <w:sz w:val="18"/>
                <w:szCs w:val="18"/>
              </w:rPr>
            </w:pPr>
            <w:r w:rsidRPr="004F63E7">
              <w:rPr>
                <w:rFonts w:eastAsia="Century Gothic" w:cs="Century Gothic"/>
                <w:b/>
                <w:bCs/>
                <w:color w:val="000000"/>
                <w:sz w:val="18"/>
                <w:szCs w:val="18"/>
              </w:rPr>
              <w:t>55 (100%)</w:t>
            </w:r>
            <w:r w:rsidRPr="004F63E7">
              <w:rPr>
                <w:rFonts w:eastAsia="Century Gothic" w:cs="Century Gothic"/>
                <w:b/>
                <w:bCs/>
                <w:color w:val="000000"/>
                <w:sz w:val="18"/>
                <w:szCs w:val="18"/>
                <w:vertAlign w:val="superscript"/>
              </w:rPr>
              <w:t>2</w:t>
            </w:r>
          </w:p>
        </w:tc>
        <w:tc>
          <w:tcPr>
            <w:tcW w:w="0" w:type="auto"/>
          </w:tcPr>
          <w:p w14:paraId="3AC168CB" w14:textId="77777777" w:rsidR="00AE74AB" w:rsidRPr="004F63E7" w:rsidRDefault="00AE74AB" w:rsidP="00CA2A66">
            <w:pPr>
              <w:spacing w:after="0"/>
              <w:ind w:left="102" w:right="102"/>
              <w:jc w:val="right"/>
              <w:rPr>
                <w:rFonts w:eastAsia="Century Gothic" w:cs="Century Gothic"/>
                <w:b/>
                <w:bCs/>
                <w:color w:val="000000"/>
                <w:sz w:val="18"/>
                <w:szCs w:val="18"/>
              </w:rPr>
            </w:pPr>
            <w:r w:rsidRPr="004F63E7">
              <w:rPr>
                <w:rFonts w:eastAsia="Century Gothic" w:cs="Century Gothic"/>
                <w:b/>
                <w:bCs/>
                <w:color w:val="000000"/>
                <w:sz w:val="18"/>
                <w:szCs w:val="18"/>
              </w:rPr>
              <w:t>9</w:t>
            </w:r>
            <w:r w:rsidRPr="004F63E7">
              <w:rPr>
                <w:rFonts w:eastAsia="Century Gothic" w:cs="Century Gothic"/>
                <w:b/>
                <w:bCs/>
                <w:color w:val="000000"/>
                <w:sz w:val="18"/>
                <w:szCs w:val="18"/>
                <w:vertAlign w:val="superscript"/>
              </w:rPr>
              <w:t>3</w:t>
            </w:r>
          </w:p>
        </w:tc>
      </w:tr>
    </w:tbl>
    <w:p w14:paraId="6AA7BA8F" w14:textId="4C861117" w:rsidR="00AE74AB" w:rsidRPr="004F63E7" w:rsidRDefault="008D7387" w:rsidP="00AE74AB">
      <w:pPr>
        <w:tabs>
          <w:tab w:val="left" w:pos="8222"/>
        </w:tabs>
        <w:ind w:left="567" w:right="522"/>
        <w:contextualSpacing/>
        <w:jc w:val="center"/>
        <w:rPr>
          <w:rFonts w:eastAsia="Calibri" w:cs="Times New Roman"/>
          <w:i/>
          <w:sz w:val="16"/>
          <w:szCs w:val="18"/>
        </w:rPr>
      </w:pPr>
      <w:r>
        <w:rPr>
          <w:rFonts w:eastAsia="Calibri" w:cs="Times New Roman"/>
          <w:i/>
          <w:sz w:val="16"/>
          <w:szCs w:val="18"/>
        </w:rPr>
        <w:t xml:space="preserve">Notes: </w:t>
      </w:r>
      <w:r w:rsidR="00AE74AB" w:rsidRPr="004F63E7">
        <w:rPr>
          <w:rFonts w:eastAsia="Calibri" w:cs="Times New Roman"/>
          <w:i/>
          <w:sz w:val="16"/>
          <w:szCs w:val="18"/>
          <w:vertAlign w:val="superscript"/>
        </w:rPr>
        <w:t xml:space="preserve">1 </w:t>
      </w:r>
      <w:r w:rsidR="00AE74AB" w:rsidRPr="004F63E7">
        <w:rPr>
          <w:rFonts w:eastAsia="Calibri" w:cs="Times New Roman"/>
          <w:i/>
          <w:sz w:val="16"/>
          <w:szCs w:val="18"/>
        </w:rPr>
        <w:t>Some practices did not receive a report as there were issues with their practice extracts (</w:t>
      </w:r>
      <w:r w:rsidR="0010747B">
        <w:rPr>
          <w:rFonts w:eastAsia="Calibri" w:cs="Times New Roman"/>
          <w:i/>
          <w:sz w:val="16"/>
          <w:szCs w:val="18"/>
        </w:rPr>
        <w:t>for example,</w:t>
      </w:r>
      <w:r w:rsidR="00AE74AB" w:rsidRPr="004F63E7">
        <w:rPr>
          <w:rFonts w:eastAsia="Calibri" w:cs="Times New Roman"/>
          <w:i/>
          <w:sz w:val="16"/>
          <w:szCs w:val="18"/>
        </w:rPr>
        <w:t xml:space="preserve"> not available or HCH patients not flagged). </w:t>
      </w:r>
      <w:r w:rsidR="00AE74AB" w:rsidRPr="004F63E7">
        <w:rPr>
          <w:rFonts w:eastAsia="Calibri" w:cs="Times New Roman"/>
          <w:i/>
          <w:sz w:val="16"/>
          <w:szCs w:val="18"/>
          <w:vertAlign w:val="superscript"/>
        </w:rPr>
        <w:t xml:space="preserve">2 </w:t>
      </w:r>
      <w:r w:rsidR="00AE74AB" w:rsidRPr="004F63E7">
        <w:rPr>
          <w:rFonts w:eastAsia="Calibri" w:cs="Times New Roman"/>
          <w:i/>
          <w:sz w:val="16"/>
          <w:szCs w:val="18"/>
        </w:rPr>
        <w:t xml:space="preserve">55 of the 120 practices participating responded to the survey. </w:t>
      </w:r>
      <w:r w:rsidR="00AE74AB" w:rsidRPr="004F63E7">
        <w:rPr>
          <w:rFonts w:eastAsia="Calibri" w:cs="Times New Roman"/>
          <w:i/>
          <w:sz w:val="16"/>
          <w:szCs w:val="18"/>
          <w:vertAlign w:val="superscript"/>
        </w:rPr>
        <w:t xml:space="preserve">3 </w:t>
      </w:r>
      <w:r w:rsidR="00AE74AB" w:rsidRPr="004F63E7">
        <w:rPr>
          <w:rFonts w:eastAsia="Calibri" w:cs="Times New Roman"/>
          <w:i/>
          <w:sz w:val="16"/>
          <w:szCs w:val="18"/>
        </w:rPr>
        <w:t xml:space="preserve">9 of the 10 PHNs participating in HCH responded to the survey. </w:t>
      </w:r>
    </w:p>
    <w:p w14:paraId="3FACE0AF" w14:textId="53D86490" w:rsidR="00AE74AB" w:rsidRPr="004F63E7" w:rsidRDefault="00AE74AB" w:rsidP="00AE74AB">
      <w:pPr>
        <w:tabs>
          <w:tab w:val="left" w:pos="8222"/>
        </w:tabs>
        <w:ind w:left="567" w:right="521"/>
        <w:jc w:val="center"/>
        <w:rPr>
          <w:rFonts w:eastAsia="Calibri" w:cs="Times New Roman"/>
          <w:i/>
          <w:sz w:val="16"/>
          <w:szCs w:val="18"/>
        </w:rPr>
      </w:pPr>
      <w:r w:rsidRPr="004F63E7">
        <w:rPr>
          <w:rFonts w:eastAsia="Calibri" w:cs="Times New Roman"/>
          <w:i/>
          <w:sz w:val="16"/>
          <w:szCs w:val="18"/>
        </w:rPr>
        <w:t>Source: Practice and PHN survey R4 Nov 2019–Mar 2020.</w:t>
      </w:r>
    </w:p>
    <w:p w14:paraId="66346028" w14:textId="721E7652" w:rsidR="00AE74AB" w:rsidRPr="004F63E7" w:rsidRDefault="00AE74AB" w:rsidP="00AE74AB">
      <w:pPr>
        <w:rPr>
          <w:szCs w:val="20"/>
        </w:rPr>
      </w:pPr>
      <w:r w:rsidRPr="004F63E7">
        <w:rPr>
          <w:szCs w:val="20"/>
        </w:rPr>
        <w:t>PHNs also rated the benchmark reports in their survey. Six of the nine PHNs responding rated the reports as moderately useful to very useful (</w:t>
      </w:r>
      <w:r w:rsidRPr="004F63E7">
        <w:rPr>
          <w:szCs w:val="20"/>
        </w:rPr>
        <w:fldChar w:fldCharType="begin"/>
      </w:r>
      <w:r w:rsidRPr="004F63E7">
        <w:rPr>
          <w:szCs w:val="20"/>
        </w:rPr>
        <w:instrText xml:space="preserve"> REF _Ref52379238 \h  \* MERGEFORMAT </w:instrText>
      </w:r>
      <w:r w:rsidRPr="004F63E7">
        <w:rPr>
          <w:szCs w:val="20"/>
        </w:rPr>
      </w:r>
      <w:r w:rsidRPr="004F63E7">
        <w:rPr>
          <w:szCs w:val="20"/>
        </w:rPr>
        <w:fldChar w:fldCharType="separate"/>
      </w:r>
      <w:r w:rsidR="003C4BC2" w:rsidRPr="003C4BC2">
        <w:t xml:space="preserve">Table </w:t>
      </w:r>
      <w:r w:rsidR="003C4BC2" w:rsidRPr="003C4BC2">
        <w:rPr>
          <w:noProof/>
        </w:rPr>
        <w:t>26</w:t>
      </w:r>
      <w:r w:rsidRPr="004F63E7">
        <w:rPr>
          <w:szCs w:val="20"/>
        </w:rPr>
        <w:fldChar w:fldCharType="end"/>
      </w:r>
      <w:r w:rsidRPr="004F63E7">
        <w:rPr>
          <w:szCs w:val="20"/>
        </w:rPr>
        <w:t>). Qualitatively they commented that they would like practice-level reports (PHNs were receiving aggregated reports across all their HCH practices), as:</w:t>
      </w:r>
    </w:p>
    <w:p w14:paraId="0259BC6C" w14:textId="77777777" w:rsidR="00AE74AB" w:rsidRPr="004F63E7" w:rsidRDefault="00AE74AB" w:rsidP="00AE74AB">
      <w:pPr>
        <w:ind w:left="567" w:right="521"/>
        <w:rPr>
          <w:szCs w:val="20"/>
        </w:rPr>
      </w:pPr>
      <w:r w:rsidRPr="004F63E7">
        <w:rPr>
          <w:szCs w:val="20"/>
        </w:rPr>
        <w:t>“</w:t>
      </w:r>
      <w:r w:rsidRPr="004F63E7">
        <w:rPr>
          <w:i/>
          <w:iCs/>
          <w:szCs w:val="20"/>
        </w:rPr>
        <w:t>The reports provide interesting information, good talking points with practices. If possible would be nice to have access to practice reports so we can support practices to analyse the data.</w:t>
      </w:r>
      <w:r w:rsidRPr="004F63E7">
        <w:rPr>
          <w:szCs w:val="20"/>
        </w:rPr>
        <w:t xml:space="preserve">” [PHN survey, PHN 10, R4]. </w:t>
      </w:r>
    </w:p>
    <w:p w14:paraId="479E1F33" w14:textId="77777777" w:rsidR="00AE74AB" w:rsidRPr="004F63E7" w:rsidRDefault="00AE74AB" w:rsidP="00AE74AB">
      <w:pPr>
        <w:rPr>
          <w:szCs w:val="20"/>
        </w:rPr>
      </w:pPr>
      <w:r w:rsidRPr="004F63E7">
        <w:rPr>
          <w:szCs w:val="20"/>
        </w:rPr>
        <w:t xml:space="preserve">They also thought that the reports could be more frequent, for example: </w:t>
      </w:r>
    </w:p>
    <w:p w14:paraId="181FC891" w14:textId="77777777" w:rsidR="00AE74AB" w:rsidRPr="004F63E7" w:rsidRDefault="00AE74AB" w:rsidP="00AE74AB">
      <w:pPr>
        <w:ind w:left="567" w:right="521"/>
        <w:rPr>
          <w:szCs w:val="20"/>
        </w:rPr>
      </w:pPr>
      <w:r w:rsidRPr="004F63E7">
        <w:rPr>
          <w:szCs w:val="20"/>
        </w:rPr>
        <w:t>“</w:t>
      </w:r>
      <w:r w:rsidRPr="004F63E7">
        <w:rPr>
          <w:i/>
          <w:szCs w:val="20"/>
        </w:rPr>
        <w:t xml:space="preserve">Practices are accustomed to quarterly reporting, </w:t>
      </w:r>
      <w:r w:rsidRPr="004F63E7">
        <w:rPr>
          <w:i/>
          <w:iCs/>
          <w:szCs w:val="20"/>
        </w:rPr>
        <w:t>benchmarking</w:t>
      </w:r>
      <w:r w:rsidRPr="004F63E7">
        <w:rPr>
          <w:i/>
          <w:szCs w:val="20"/>
        </w:rPr>
        <w:t xml:space="preserve"> reports would assist practices on a quarterly basis in line with practice PIP payments and quality improvement activities</w:t>
      </w:r>
      <w:r w:rsidRPr="004F63E7">
        <w:rPr>
          <w:szCs w:val="20"/>
        </w:rPr>
        <w:t>.” [PHN survey, PHN 1, R3].</w:t>
      </w:r>
    </w:p>
    <w:p w14:paraId="165E0F69" w14:textId="6B1A735D" w:rsidR="00AE74AB" w:rsidRPr="004F63E7" w:rsidRDefault="00AE74AB" w:rsidP="00AE74AB">
      <w:r w:rsidRPr="004F63E7">
        <w:rPr>
          <w:szCs w:val="20"/>
        </w:rPr>
        <w:t>One PHN suggested that standardised codes</w:t>
      </w:r>
      <w:r w:rsidR="00467381">
        <w:rPr>
          <w:szCs w:val="20"/>
        </w:rPr>
        <w:t xml:space="preserve"> for activities undertaken by practices</w:t>
      </w:r>
      <w:r w:rsidRPr="004F63E7">
        <w:rPr>
          <w:szCs w:val="20"/>
        </w:rPr>
        <w:t xml:space="preserve"> may have provided greater insight into changes in chronic disease management across practices. Another requested the template for the reports to continue to provide them to their practices beyond the trial.</w:t>
      </w:r>
      <w:r w:rsidRPr="004F63E7">
        <w:t xml:space="preserve"> </w:t>
      </w:r>
    </w:p>
    <w:p w14:paraId="7BB3B081" w14:textId="77777777" w:rsidR="00B65796" w:rsidRDefault="00B65796">
      <w:pPr>
        <w:spacing w:after="160" w:line="259" w:lineRule="auto"/>
        <w:rPr>
          <w:rFonts w:ascii="Roboto Slab" w:eastAsia="Times New Roman" w:hAnsi="Roboto Slab" w:cs="Times New Roman"/>
          <w:bCs/>
          <w:color w:val="408BCA"/>
          <w:sz w:val="32"/>
          <w:szCs w:val="36"/>
          <w:lang w:val="en-GB" w:eastAsia="en-AU"/>
        </w:rPr>
      </w:pPr>
      <w:r>
        <w:rPr>
          <w:rFonts w:ascii="Roboto Slab" w:eastAsia="Times New Roman" w:hAnsi="Roboto Slab" w:cs="Times New Roman"/>
          <w:bCs/>
          <w:color w:val="408BCA"/>
          <w:sz w:val="32"/>
          <w:szCs w:val="36"/>
          <w:lang w:val="en-GB" w:eastAsia="en-AU"/>
        </w:rPr>
        <w:br w:type="page"/>
      </w:r>
    </w:p>
    <w:p w14:paraId="3181F37B" w14:textId="19D1C1B0" w:rsidR="00AE74AB" w:rsidRPr="004F63E7" w:rsidRDefault="00AE74AB" w:rsidP="00AC55D3">
      <w:pPr>
        <w:pStyle w:val="Heading2"/>
        <w:rPr>
          <w:lang w:val="en-GB"/>
        </w:rPr>
      </w:pPr>
      <w:bookmarkStart w:id="201" w:name="_Ref103764569"/>
      <w:bookmarkStart w:id="202" w:name="_Toc109996683"/>
      <w:r w:rsidRPr="004F63E7">
        <w:rPr>
          <w:lang w:val="en-GB"/>
        </w:rPr>
        <w:lastRenderedPageBreak/>
        <w:t xml:space="preserve">Practice self-assessment of </w:t>
      </w:r>
      <w:bookmarkEnd w:id="201"/>
      <w:r w:rsidR="002C1B04">
        <w:rPr>
          <w:lang w:val="en-GB"/>
        </w:rPr>
        <w:t xml:space="preserve">HCH </w:t>
      </w:r>
      <w:r w:rsidR="002715EF">
        <w:rPr>
          <w:lang w:val="en-GB"/>
        </w:rPr>
        <w:t>capabilities</w:t>
      </w:r>
      <w:bookmarkEnd w:id="202"/>
    </w:p>
    <w:p w14:paraId="61668255" w14:textId="03029ADD" w:rsidR="00AE74AB" w:rsidRDefault="008368D9" w:rsidP="00AE74AB">
      <w:r w:rsidRPr="005A22C5">
        <w:t xml:space="preserve">Practices were provided with a tool </w:t>
      </w:r>
      <w:r w:rsidR="001D453C" w:rsidRPr="005A22C5">
        <w:t xml:space="preserve">– </w:t>
      </w:r>
      <w:r w:rsidR="00AE74AB" w:rsidRPr="005A22C5">
        <w:t xml:space="preserve">the Health </w:t>
      </w:r>
      <w:r w:rsidR="00AE74AB" w:rsidRPr="004F2E86">
        <w:t>Care Home Assessment (HCH-A) tool</w:t>
      </w:r>
      <w:r w:rsidR="00C72D89" w:rsidRPr="004F2E86">
        <w:rPr>
          <w:rStyle w:val="FootnoteReference"/>
          <w:color w:val="408BCA"/>
        </w:rPr>
        <w:footnoteReference w:id="71"/>
      </w:r>
      <w:r w:rsidR="00AE74AB" w:rsidRPr="004F2E86">
        <w:t xml:space="preserve"> </w:t>
      </w:r>
      <w:r w:rsidR="001D453C" w:rsidRPr="004F2E86">
        <w:t xml:space="preserve">– for assessing </w:t>
      </w:r>
      <w:r w:rsidR="002C1B04">
        <w:t>their capabilities as a</w:t>
      </w:r>
      <w:r w:rsidR="0050335B">
        <w:t xml:space="preserve"> HCH</w:t>
      </w:r>
      <w:r w:rsidR="001D453C" w:rsidRPr="004F2E86">
        <w:t xml:space="preserve">. </w:t>
      </w:r>
      <w:r w:rsidR="00C93FFD">
        <w:t>H</w:t>
      </w:r>
      <w:r w:rsidR="001F07FC" w:rsidRPr="004F2E86">
        <w:t xml:space="preserve">CH-A </w:t>
      </w:r>
      <w:r w:rsidR="00C93FFD">
        <w:t>i</w:t>
      </w:r>
      <w:r w:rsidR="001F07FC" w:rsidRPr="004F2E86">
        <w:t xml:space="preserve">s based on </w:t>
      </w:r>
      <w:r w:rsidR="00AE74AB" w:rsidRPr="004F2E86">
        <w:t>the Patient Centred Medical Home Assessment</w:t>
      </w:r>
      <w:r w:rsidR="00E16EE2">
        <w:t xml:space="preserve"> (</w:t>
      </w:r>
      <w:r w:rsidR="00AE74AB" w:rsidRPr="004F2E86">
        <w:t>PCMH-A</w:t>
      </w:r>
      <w:r w:rsidR="00E16EE2">
        <w:t>)</w:t>
      </w:r>
      <w:r w:rsidR="00AE74AB" w:rsidRPr="004F2E86">
        <w:rPr>
          <w:color w:val="408BCA"/>
        </w:rPr>
        <w:t xml:space="preserve"> </w:t>
      </w:r>
      <w:r w:rsidR="00C93FFD" w:rsidRPr="00B629C3">
        <w:t>tool</w:t>
      </w:r>
      <w:r w:rsidR="0050335B" w:rsidRPr="004F2E86">
        <w:rPr>
          <w:rStyle w:val="FootnoteReference"/>
          <w:color w:val="408BCA"/>
        </w:rPr>
        <w:footnoteReference w:id="72"/>
      </w:r>
      <w:r w:rsidR="00C93FFD" w:rsidRPr="00B629C3">
        <w:t xml:space="preserve"> </w:t>
      </w:r>
      <w:r w:rsidR="008B6F77" w:rsidRPr="00B629C3">
        <w:t>d</w:t>
      </w:r>
      <w:r w:rsidR="008B6F77" w:rsidRPr="004F2E86">
        <w:t>eveloped in the United States.</w:t>
      </w:r>
      <w:r w:rsidR="00AE74AB" w:rsidRPr="004F2E86">
        <w:t xml:space="preserve"> </w:t>
      </w:r>
      <w:r w:rsidR="006C6A3E" w:rsidRPr="004F2E86">
        <w:t>It</w:t>
      </w:r>
      <w:r w:rsidR="00AE74AB" w:rsidRPr="004F2E86">
        <w:t xml:space="preserve"> </w:t>
      </w:r>
      <w:r w:rsidR="006C6A3E" w:rsidRPr="004F2E86">
        <w:t>was initially adapted by</w:t>
      </w:r>
      <w:r w:rsidR="00AE74AB" w:rsidRPr="004F2E86">
        <w:t xml:space="preserve"> the </w:t>
      </w:r>
      <w:proofErr w:type="spellStart"/>
      <w:r w:rsidR="00AE74AB" w:rsidRPr="004F2E86">
        <w:t>WentWest</w:t>
      </w:r>
      <w:proofErr w:type="spellEnd"/>
      <w:r w:rsidR="00AE74AB" w:rsidRPr="004F2E86">
        <w:t xml:space="preserve"> PHN in 2015 and was further refined for </w:t>
      </w:r>
      <w:r w:rsidR="00E16EE2">
        <w:t>the HCH trial</w:t>
      </w:r>
      <w:r w:rsidR="00AE74AB" w:rsidRPr="004F2E86">
        <w:t xml:space="preserve"> by AGPAL in 2017.</w:t>
      </w:r>
      <w:r w:rsidR="006C6A3E">
        <w:t xml:space="preserve"> </w:t>
      </w:r>
    </w:p>
    <w:p w14:paraId="234B4E2C" w14:textId="76D416AF" w:rsidR="006C6A3E" w:rsidRPr="004F63E7" w:rsidRDefault="006C6A3E" w:rsidP="00AE74AB">
      <w:r>
        <w:t xml:space="preserve">For the evaluation, </w:t>
      </w:r>
      <w:r w:rsidR="005A22C5">
        <w:t>HPA</w:t>
      </w:r>
      <w:r>
        <w:t xml:space="preserve"> provided practices with an Excel version of the HCH-A tool to collect and collate responses from individual staff members.</w:t>
      </w:r>
    </w:p>
    <w:p w14:paraId="34A2F01D" w14:textId="6B41427B" w:rsidR="00AE74AB" w:rsidRPr="004F63E7" w:rsidRDefault="006B7F31" w:rsidP="00AE74AB">
      <w:r>
        <w:t xml:space="preserve">HCH-A </w:t>
      </w:r>
      <w:r w:rsidR="00480292">
        <w:t>is made up of</w:t>
      </w:r>
      <w:r w:rsidR="00AE74AB" w:rsidRPr="004F63E7">
        <w:t xml:space="preserve"> </w:t>
      </w:r>
      <w:r w:rsidR="00BB1DF9">
        <w:t>eight</w:t>
      </w:r>
      <w:r w:rsidR="00AE74AB" w:rsidRPr="004F63E7">
        <w:t xml:space="preserve"> dimensions. Within each dimension, practices determined how they were performing </w:t>
      </w:r>
      <w:r w:rsidR="00E178DE">
        <w:t>on</w:t>
      </w:r>
      <w:r w:rsidR="00AE74AB" w:rsidRPr="004F63E7">
        <w:t xml:space="preserve"> specific items. Overall, there are 36 items (questions) </w:t>
      </w:r>
      <w:r w:rsidR="00E178DE">
        <w:t>that are</w:t>
      </w:r>
      <w:r w:rsidR="00AE74AB" w:rsidRPr="004F63E7">
        <w:t xml:space="preserve"> assess</w:t>
      </w:r>
      <w:r w:rsidR="00E178DE">
        <w:t>ed</w:t>
      </w:r>
      <w:r w:rsidR="00B92C56">
        <w:t xml:space="preserve"> on</w:t>
      </w:r>
      <w:r w:rsidR="00AE74AB" w:rsidRPr="004F63E7">
        <w:t xml:space="preserve"> an ordinal scale of ranging from 1 to 12, where 1 represents the lowest </w:t>
      </w:r>
      <w:r w:rsidR="0087126D">
        <w:t>“</w:t>
      </w:r>
      <w:r w:rsidR="00AE74AB" w:rsidRPr="004F63E7">
        <w:t>performance</w:t>
      </w:r>
      <w:r w:rsidR="0087126D">
        <w:t>”</w:t>
      </w:r>
      <w:r w:rsidR="00AE74AB" w:rsidRPr="004F63E7">
        <w:t xml:space="preserve"> and 12 the highest. The scale is broken into 4 sub-ranges (1</w:t>
      </w:r>
      <w:r w:rsidR="0090788D">
        <w:t>–</w:t>
      </w:r>
      <w:r w:rsidR="00AE74AB" w:rsidRPr="004F63E7">
        <w:t>3,</w:t>
      </w:r>
      <w:r w:rsidR="00B92C56">
        <w:t xml:space="preserve"> </w:t>
      </w:r>
      <w:r w:rsidR="00AE74AB" w:rsidRPr="004F63E7">
        <w:t>4</w:t>
      </w:r>
      <w:r w:rsidR="0090788D">
        <w:t>–</w:t>
      </w:r>
      <w:r w:rsidR="00AE74AB" w:rsidRPr="004F63E7">
        <w:t>6,</w:t>
      </w:r>
      <w:r w:rsidR="00B92C56">
        <w:t xml:space="preserve"> </w:t>
      </w:r>
      <w:r w:rsidR="00AE74AB" w:rsidRPr="004F63E7">
        <w:t>7</w:t>
      </w:r>
      <w:r w:rsidR="0090788D">
        <w:t>–</w:t>
      </w:r>
      <w:r w:rsidR="00AE74AB" w:rsidRPr="004F63E7">
        <w:t>9,</w:t>
      </w:r>
      <w:r w:rsidR="00B92C56">
        <w:t xml:space="preserve"> </w:t>
      </w:r>
      <w:r w:rsidR="00AE74AB" w:rsidRPr="004F63E7">
        <w:t>10</w:t>
      </w:r>
      <w:r w:rsidR="0090788D">
        <w:t>–</w:t>
      </w:r>
      <w:r w:rsidR="00AE74AB" w:rsidRPr="004F63E7">
        <w:t xml:space="preserve">12) and descriptors provided for each sub-range. The recommended approach for applying the tool is for practice staff to </w:t>
      </w:r>
      <w:r w:rsidR="007A395E">
        <w:t>each do their assessments</w:t>
      </w:r>
      <w:r w:rsidR="00AE74AB" w:rsidRPr="004F63E7">
        <w:t xml:space="preserve"> separately</w:t>
      </w:r>
      <w:r w:rsidR="007A395E">
        <w:t xml:space="preserve"> </w:t>
      </w:r>
      <w:r w:rsidR="00E45F1A">
        <w:t>and their</w:t>
      </w:r>
      <w:r w:rsidR="007A395E">
        <w:t xml:space="preserve"> anonymous </w:t>
      </w:r>
      <w:r w:rsidR="00E45F1A">
        <w:t>assessments are collated</w:t>
      </w:r>
      <w:r w:rsidR="00AE74AB" w:rsidRPr="004F63E7">
        <w:t xml:space="preserve">, and then </w:t>
      </w:r>
      <w:r w:rsidR="00E45F1A">
        <w:t xml:space="preserve">they </w:t>
      </w:r>
      <w:r w:rsidR="00AE74AB" w:rsidRPr="004F63E7">
        <w:t xml:space="preserve">discuss </w:t>
      </w:r>
      <w:r w:rsidR="00E22DC2">
        <w:t xml:space="preserve">the collated </w:t>
      </w:r>
      <w:r w:rsidR="00AE74AB" w:rsidRPr="004F63E7">
        <w:t xml:space="preserve">results as a group to reach a consensus. This was not always the approach taken by practices, and this should be considered when interpreting the results presented here. For the evaluation, practices were asked to undertake the self-assessment process </w:t>
      </w:r>
      <w:r w:rsidR="0048289C">
        <w:t>in</w:t>
      </w:r>
      <w:r w:rsidR="00AE74AB" w:rsidRPr="004F63E7">
        <w:t xml:space="preserve"> </w:t>
      </w:r>
      <w:r w:rsidR="000715F3">
        <w:t>round</w:t>
      </w:r>
      <w:r w:rsidR="0048289C">
        <w:t>s</w:t>
      </w:r>
      <w:r w:rsidR="00AE74AB" w:rsidRPr="004F63E7">
        <w:t xml:space="preserve"> 1 and </w:t>
      </w:r>
      <w:r w:rsidR="0048289C">
        <w:t>5</w:t>
      </w:r>
      <w:r w:rsidR="00AE74AB" w:rsidRPr="004F63E7">
        <w:t>, with the consensus values for the practice reported.</w:t>
      </w:r>
    </w:p>
    <w:p w14:paraId="69E25E53" w14:textId="49104740" w:rsidR="00AE74AB" w:rsidRPr="004F63E7" w:rsidRDefault="00AE74AB" w:rsidP="00AE74AB">
      <w:r w:rsidRPr="004F63E7">
        <w:t xml:space="preserve">The overall results comparing the </w:t>
      </w:r>
      <w:r w:rsidRPr="00480292">
        <w:t xml:space="preserve">60 practices that reported the HCH-A consensus score in </w:t>
      </w:r>
      <w:r w:rsidR="000715F3">
        <w:t>round</w:t>
      </w:r>
      <w:r w:rsidR="00C93FFD">
        <w:t>s</w:t>
      </w:r>
      <w:r w:rsidRPr="00480292">
        <w:t xml:space="preserve"> 1 and 5 are shown in Volume 3 Appendix </w:t>
      </w:r>
      <w:r w:rsidR="00912994">
        <w:t>9</w:t>
      </w:r>
      <w:r w:rsidRPr="00480292">
        <w:t xml:space="preserve">. We assessed changes in the mean score for each item and dimension. The comparison of mean scores should be treated with caution </w:t>
      </w:r>
      <w:r w:rsidR="0001275B">
        <w:t>due to</w:t>
      </w:r>
      <w:r w:rsidRPr="00480292">
        <w:t xml:space="preserve"> the </w:t>
      </w:r>
      <w:r w:rsidR="0001275B">
        <w:t xml:space="preserve">ordinal </w:t>
      </w:r>
      <w:r w:rsidRPr="00480292">
        <w:t xml:space="preserve">scale </w:t>
      </w:r>
      <w:r w:rsidR="0001275B">
        <w:t>used</w:t>
      </w:r>
      <w:r w:rsidRPr="00480292">
        <w:t>.</w:t>
      </w:r>
      <w:r w:rsidR="00A561EE">
        <w:t xml:space="preserve"> </w:t>
      </w:r>
      <w:r w:rsidRPr="00480292">
        <w:t>Across these practices the mean scores increased on each item and for each dimension.</w:t>
      </w:r>
      <w:r w:rsidR="00A561EE">
        <w:t xml:space="preserve"> </w:t>
      </w:r>
      <w:r w:rsidRPr="00480292">
        <w:t>However, the increase was mostly below a value 1, and the increase statistically significant</w:t>
      </w:r>
      <w:r w:rsidR="00432D0F">
        <w:t xml:space="preserve"> </w:t>
      </w:r>
      <w:r w:rsidR="00432D0F" w:rsidRPr="00480292">
        <w:t>on only selected items</w:t>
      </w:r>
      <w:r w:rsidRPr="00480292">
        <w:t>. We also estimated the number of practices reporting an increase in the assessed scores. Across all dimension</w:t>
      </w:r>
      <w:r w:rsidR="00275CD8">
        <w:t>s</w:t>
      </w:r>
      <w:r w:rsidRPr="00480292">
        <w:t xml:space="preserve"> and most items</w:t>
      </w:r>
      <w:r w:rsidR="00673841">
        <w:t>,</w:t>
      </w:r>
      <w:r w:rsidRPr="00480292">
        <w:t xml:space="preserve"> the proportion of practice reporting an increase in the score was greater than 50%.</w:t>
      </w:r>
      <w:r w:rsidR="00A561EE">
        <w:t xml:space="preserve"> </w:t>
      </w:r>
    </w:p>
    <w:p w14:paraId="277B3C87" w14:textId="53FDAB77" w:rsidR="00AE74AB" w:rsidRPr="004F63E7" w:rsidRDefault="006B6410" w:rsidP="00AE74AB">
      <w:pPr>
        <w:sectPr w:rsidR="00AE74AB" w:rsidRPr="004F63E7">
          <w:pgSz w:w="11906" w:h="16838"/>
          <w:pgMar w:top="1440" w:right="1440" w:bottom="1440" w:left="1440" w:header="708" w:footer="708" w:gutter="0"/>
          <w:cols w:space="708"/>
          <w:docGrid w:linePitch="360"/>
        </w:sectPr>
      </w:pPr>
      <w:r w:rsidRPr="006B6410">
        <w:t xml:space="preserve">The dimensions on which the data suggests there </w:t>
      </w:r>
      <w:r w:rsidR="003E3566">
        <w:t>was</w:t>
      </w:r>
      <w:r w:rsidRPr="006B6410">
        <w:t xml:space="preserve"> greatest improvement were “2 Patient enrolment”, “3 Quality improvement strategy”, and “6 Patient-centred interactions” </w:t>
      </w:r>
      <w:r w:rsidR="00AE74AB" w:rsidRPr="004F63E7">
        <w:t>(</w:t>
      </w:r>
      <w:r w:rsidR="005859FD" w:rsidRPr="00A810D9">
        <w:fldChar w:fldCharType="begin"/>
      </w:r>
      <w:r w:rsidR="005859FD" w:rsidRPr="00A810D9">
        <w:instrText xml:space="preserve"> REF _Ref98928045 \h </w:instrText>
      </w:r>
      <w:r w:rsidR="00A810D9" w:rsidRPr="00A810D9">
        <w:instrText xml:space="preserve"> \* MERGEFORMAT </w:instrText>
      </w:r>
      <w:r w:rsidR="005859FD" w:rsidRPr="00A810D9">
        <w:fldChar w:fldCharType="separate"/>
      </w:r>
      <w:r w:rsidR="003C4BC2" w:rsidRPr="003C4BC2">
        <w:rPr>
          <w:color w:val="1D2455"/>
          <w:szCs w:val="20"/>
          <w:lang w:eastAsia="en-AU"/>
        </w:rPr>
        <w:t xml:space="preserve">Table </w:t>
      </w:r>
      <w:r w:rsidR="003C4BC2">
        <w:rPr>
          <w:color w:val="1D2455"/>
          <w:szCs w:val="20"/>
          <w:lang w:eastAsia="en-AU"/>
        </w:rPr>
        <w:t>27</w:t>
      </w:r>
      <w:r w:rsidR="005859FD" w:rsidRPr="00A810D9">
        <w:fldChar w:fldCharType="end"/>
      </w:r>
      <w:r w:rsidR="005859FD" w:rsidRPr="00A810D9">
        <w:t>).</w:t>
      </w:r>
      <w:r w:rsidR="00AE74AB" w:rsidRPr="004F63E7">
        <w:t xml:space="preserve"> </w:t>
      </w:r>
      <w:r w:rsidR="006D34EE" w:rsidRPr="00DA0645">
        <w:t xml:space="preserve">A relatively high proportion of practices (60%) reported improvements </w:t>
      </w:r>
      <w:r w:rsidR="00B523F6">
        <w:t>on</w:t>
      </w:r>
      <w:r w:rsidR="006D34EE" w:rsidRPr="00DA0645">
        <w:t xml:space="preserve"> “5 Organised, evidence-based care”, although the difference</w:t>
      </w:r>
      <w:r w:rsidR="00652483">
        <w:t>s</w:t>
      </w:r>
      <w:r w:rsidR="006D34EE" w:rsidRPr="00DA0645">
        <w:t xml:space="preserve"> in mean scores were generally not significant for this dimension.</w:t>
      </w:r>
      <w:r w:rsidR="00A561EE">
        <w:t xml:space="preserve"> </w:t>
      </w:r>
      <w:r w:rsidR="006D34EE" w:rsidRPr="00DA0645">
        <w:t xml:space="preserve">Other </w:t>
      </w:r>
      <w:r w:rsidR="00B523F6">
        <w:t>areas</w:t>
      </w:r>
      <w:r w:rsidR="006D34EE" w:rsidRPr="00DA0645">
        <w:t xml:space="preserve"> in which there was a statistically significant improvement in mean scores included “31 Practice approach to linking patients to supportive community-based resources” and “34 Contacting the care team during regular business hours”</w:t>
      </w:r>
      <w:r w:rsidR="005859FD" w:rsidRPr="00DA0645">
        <w:t>.</w:t>
      </w:r>
      <w:r w:rsidR="00AE74AB" w:rsidRPr="004F63E7">
        <w:t xml:space="preserve"> </w:t>
      </w:r>
    </w:p>
    <w:p w14:paraId="3DCDD126" w14:textId="1699CD3C" w:rsidR="00AE74AB" w:rsidRPr="00D761BE" w:rsidRDefault="00AE74AB" w:rsidP="00AE74AB">
      <w:pPr>
        <w:spacing w:after="0"/>
        <w:jc w:val="center"/>
        <w:rPr>
          <w:color w:val="1D2455"/>
          <w:szCs w:val="20"/>
          <w:lang w:eastAsia="en-AU"/>
        </w:rPr>
      </w:pPr>
      <w:bookmarkStart w:id="203" w:name="_Ref98928045"/>
      <w:bookmarkStart w:id="204" w:name="_Ref98928038"/>
      <w:r w:rsidRPr="004F63E7">
        <w:rPr>
          <w:rFonts w:eastAsiaTheme="minorEastAsia"/>
          <w:color w:val="1D2455"/>
          <w:szCs w:val="20"/>
          <w:lang w:eastAsia="en-AU"/>
        </w:rPr>
        <w:lastRenderedPageBreak/>
        <w:t xml:space="preserve">Table </w:t>
      </w:r>
      <w:r w:rsidRPr="00D761BE">
        <w:rPr>
          <w:color w:val="1D2455"/>
          <w:szCs w:val="20"/>
          <w:lang w:eastAsia="en-AU"/>
        </w:rPr>
        <w:fldChar w:fldCharType="begin"/>
      </w:r>
      <w:r w:rsidRPr="00D761BE">
        <w:rPr>
          <w:color w:val="1D2455"/>
          <w:szCs w:val="20"/>
          <w:lang w:eastAsia="en-AU"/>
        </w:rPr>
        <w:instrText>SEQ Table \* ARABIC</w:instrText>
      </w:r>
      <w:r w:rsidRPr="00D761BE">
        <w:rPr>
          <w:color w:val="1D2455"/>
          <w:szCs w:val="20"/>
          <w:lang w:eastAsia="en-AU"/>
        </w:rPr>
        <w:fldChar w:fldCharType="separate"/>
      </w:r>
      <w:r w:rsidR="003C4BC2">
        <w:rPr>
          <w:noProof/>
          <w:color w:val="1D2455"/>
          <w:szCs w:val="20"/>
          <w:lang w:eastAsia="en-AU"/>
        </w:rPr>
        <w:t>27</w:t>
      </w:r>
      <w:r w:rsidRPr="00D761BE">
        <w:rPr>
          <w:color w:val="1D2455"/>
          <w:szCs w:val="20"/>
          <w:lang w:eastAsia="en-AU"/>
        </w:rPr>
        <w:fldChar w:fldCharType="end"/>
      </w:r>
      <w:bookmarkEnd w:id="203"/>
      <w:r w:rsidRPr="00D761BE">
        <w:rPr>
          <w:color w:val="1D2455"/>
          <w:szCs w:val="20"/>
          <w:lang w:eastAsia="en-AU"/>
        </w:rPr>
        <w:t xml:space="preserve">: Change in HCH-A assessment from </w:t>
      </w:r>
      <w:r w:rsidR="000715F3">
        <w:rPr>
          <w:color w:val="1D2455"/>
          <w:szCs w:val="20"/>
          <w:lang w:eastAsia="en-AU"/>
        </w:rPr>
        <w:t>round</w:t>
      </w:r>
      <w:r w:rsidRPr="00D761BE">
        <w:rPr>
          <w:color w:val="1D2455"/>
          <w:szCs w:val="20"/>
          <w:lang w:eastAsia="en-AU"/>
        </w:rPr>
        <w:t xml:space="preserve"> 1 to </w:t>
      </w:r>
      <w:r w:rsidR="000715F3">
        <w:rPr>
          <w:color w:val="1D2455"/>
          <w:szCs w:val="20"/>
          <w:lang w:eastAsia="en-AU"/>
        </w:rPr>
        <w:t>round</w:t>
      </w:r>
      <w:r w:rsidRPr="00D761BE">
        <w:rPr>
          <w:color w:val="1D2455"/>
          <w:szCs w:val="20"/>
          <w:lang w:eastAsia="en-AU"/>
        </w:rPr>
        <w:t xml:space="preserve"> 5</w:t>
      </w:r>
      <w:bookmarkEnd w:id="204"/>
    </w:p>
    <w:tbl>
      <w:tblPr>
        <w:tblW w:w="14067" w:type="dxa"/>
        <w:jc w:val="center"/>
        <w:tblLayout w:type="fixed"/>
        <w:tblLook w:val="0420" w:firstRow="1" w:lastRow="0" w:firstColumn="0" w:lastColumn="0" w:noHBand="0" w:noVBand="1"/>
      </w:tblPr>
      <w:tblGrid>
        <w:gridCol w:w="6151"/>
        <w:gridCol w:w="1417"/>
        <w:gridCol w:w="1559"/>
        <w:gridCol w:w="1134"/>
        <w:gridCol w:w="993"/>
        <w:gridCol w:w="850"/>
        <w:gridCol w:w="1963"/>
      </w:tblGrid>
      <w:tr w:rsidR="00AE74AB" w:rsidRPr="004F63E7" w14:paraId="1DD43BE2" w14:textId="77777777" w:rsidTr="00D761BE">
        <w:trPr>
          <w:cantSplit/>
          <w:tblHeader/>
          <w:jc w:val="center"/>
        </w:trPr>
        <w:tc>
          <w:tcPr>
            <w:tcW w:w="6151" w:type="dxa"/>
            <w:vMerge w:val="restart"/>
            <w:tcBorders>
              <w:top w:val="single" w:sz="8" w:space="0" w:color="BFBFBF"/>
              <w:left w:val="single" w:sz="8" w:space="0" w:color="BFBFBF"/>
              <w:bottom w:val="single" w:sz="8" w:space="0" w:color="BFBFBF"/>
              <w:right w:val="single" w:sz="8" w:space="0" w:color="BFBFBF"/>
            </w:tcBorders>
            <w:shd w:val="clear" w:color="auto" w:fill="408BCA"/>
            <w:tcMar>
              <w:top w:w="0" w:type="dxa"/>
              <w:left w:w="0" w:type="dxa"/>
              <w:bottom w:w="0" w:type="dxa"/>
              <w:right w:w="0" w:type="dxa"/>
            </w:tcMar>
            <w:vAlign w:val="center"/>
          </w:tcPr>
          <w:p w14:paraId="1BDD6AEF" w14:textId="1D493059" w:rsidR="00AE74AB" w:rsidRPr="00B67758" w:rsidRDefault="00B67758" w:rsidP="00B67758">
            <w:pPr>
              <w:spacing w:before="20" w:after="20"/>
              <w:ind w:left="100" w:right="100"/>
              <w:rPr>
                <w:b/>
                <w:color w:val="FFFFFF" w:themeColor="background1"/>
                <w:sz w:val="18"/>
                <w:szCs w:val="18"/>
              </w:rPr>
            </w:pPr>
            <w:r w:rsidRPr="00B67758">
              <w:rPr>
                <w:b/>
                <w:bCs/>
                <w:color w:val="FFFFFF" w:themeColor="background1"/>
                <w:sz w:val="18"/>
                <w:szCs w:val="18"/>
              </w:rPr>
              <w:t>HCH-A dimension and item</w:t>
            </w:r>
          </w:p>
        </w:tc>
        <w:tc>
          <w:tcPr>
            <w:tcW w:w="4110" w:type="dxa"/>
            <w:gridSpan w:val="3"/>
            <w:tcBorders>
              <w:top w:val="single" w:sz="8" w:space="0" w:color="BFBFBF"/>
              <w:left w:val="single" w:sz="8" w:space="0" w:color="BFBFBF"/>
              <w:bottom w:val="single" w:sz="8" w:space="0" w:color="BFBFBF"/>
              <w:right w:val="single" w:sz="8" w:space="0" w:color="BFBFBF"/>
            </w:tcBorders>
            <w:shd w:val="clear" w:color="auto" w:fill="408BCA"/>
            <w:tcMar>
              <w:top w:w="0" w:type="dxa"/>
              <w:left w:w="0" w:type="dxa"/>
              <w:bottom w:w="0" w:type="dxa"/>
              <w:right w:w="0" w:type="dxa"/>
            </w:tcMar>
            <w:vAlign w:val="center"/>
          </w:tcPr>
          <w:p w14:paraId="185C1B48" w14:textId="4464E39B" w:rsidR="00AE74AB" w:rsidRPr="00B67758" w:rsidRDefault="00AE74AB" w:rsidP="00CA2A66">
            <w:pPr>
              <w:spacing w:before="20" w:after="20"/>
              <w:ind w:left="100" w:right="100"/>
              <w:jc w:val="center"/>
              <w:rPr>
                <w:b/>
                <w:color w:val="FFFFFF" w:themeColor="background1"/>
                <w:sz w:val="18"/>
                <w:szCs w:val="18"/>
              </w:rPr>
            </w:pPr>
            <w:r w:rsidRPr="00B67758">
              <w:rPr>
                <w:rFonts w:eastAsia="Century Gothic" w:cs="Century Gothic"/>
                <w:b/>
                <w:color w:val="FFFFFF" w:themeColor="background1"/>
                <w:sz w:val="18"/>
                <w:szCs w:val="18"/>
              </w:rPr>
              <w:t xml:space="preserve">Number of practices </w:t>
            </w:r>
            <w:r w:rsidR="00D761BE" w:rsidRPr="00B67758">
              <w:rPr>
                <w:rFonts w:eastAsia="Century Gothic" w:cs="Century Gothic"/>
                <w:b/>
                <w:color w:val="FFFFFF" w:themeColor="background1"/>
                <w:sz w:val="18"/>
                <w:szCs w:val="18"/>
              </w:rPr>
              <w:t>where</w:t>
            </w:r>
            <w:r w:rsidRPr="00B67758">
              <w:rPr>
                <w:rFonts w:eastAsia="Century Gothic" w:cs="Century Gothic"/>
                <w:b/>
                <w:color w:val="FFFFFF" w:themeColor="background1"/>
                <w:sz w:val="18"/>
                <w:szCs w:val="18"/>
              </w:rPr>
              <w:t xml:space="preserve"> assessed score:</w:t>
            </w:r>
          </w:p>
        </w:tc>
        <w:tc>
          <w:tcPr>
            <w:tcW w:w="1843" w:type="dxa"/>
            <w:gridSpan w:val="2"/>
            <w:tcBorders>
              <w:top w:val="single" w:sz="8" w:space="0" w:color="BFBFBF"/>
              <w:left w:val="single" w:sz="8" w:space="0" w:color="BFBFBF"/>
              <w:bottom w:val="single" w:sz="8" w:space="0" w:color="BFBFBF"/>
              <w:right w:val="single" w:sz="8" w:space="0" w:color="BFBFBF"/>
            </w:tcBorders>
            <w:shd w:val="clear" w:color="auto" w:fill="408BCA"/>
            <w:tcMar>
              <w:top w:w="0" w:type="dxa"/>
              <w:left w:w="0" w:type="dxa"/>
              <w:bottom w:w="0" w:type="dxa"/>
              <w:right w:w="0" w:type="dxa"/>
            </w:tcMar>
            <w:vAlign w:val="center"/>
            <w:hideMark/>
          </w:tcPr>
          <w:p w14:paraId="208F656F" w14:textId="77777777" w:rsidR="00AE74AB" w:rsidRPr="00B67758" w:rsidRDefault="00AE74AB" w:rsidP="00CA2A66">
            <w:pPr>
              <w:spacing w:before="20" w:after="20"/>
              <w:ind w:left="100" w:right="100"/>
              <w:jc w:val="center"/>
              <w:rPr>
                <w:b/>
                <w:color w:val="FFFFFF" w:themeColor="background1"/>
                <w:sz w:val="18"/>
                <w:szCs w:val="18"/>
              </w:rPr>
            </w:pPr>
            <w:r w:rsidRPr="00B67758">
              <w:rPr>
                <w:rFonts w:eastAsia="Century Gothic" w:cs="Century Gothic"/>
                <w:b/>
                <w:color w:val="FFFFFF" w:themeColor="background1"/>
                <w:sz w:val="18"/>
                <w:szCs w:val="18"/>
              </w:rPr>
              <w:t>Mean score</w:t>
            </w:r>
          </w:p>
        </w:tc>
        <w:tc>
          <w:tcPr>
            <w:tcW w:w="1963" w:type="dxa"/>
            <w:vMerge w:val="restart"/>
            <w:tcBorders>
              <w:top w:val="single" w:sz="8" w:space="0" w:color="BFBFBF"/>
              <w:left w:val="single" w:sz="8" w:space="0" w:color="BFBFBF"/>
              <w:bottom w:val="single" w:sz="8" w:space="0" w:color="BFBFBF"/>
              <w:right w:val="single" w:sz="8" w:space="0" w:color="BFBFBF"/>
            </w:tcBorders>
            <w:shd w:val="clear" w:color="auto" w:fill="408BCA"/>
            <w:tcMar>
              <w:top w:w="0" w:type="dxa"/>
              <w:left w:w="0" w:type="dxa"/>
              <w:bottom w:w="0" w:type="dxa"/>
              <w:right w:w="0" w:type="dxa"/>
            </w:tcMar>
            <w:vAlign w:val="center"/>
            <w:hideMark/>
          </w:tcPr>
          <w:p w14:paraId="383329B8" w14:textId="77777777" w:rsidR="00AE74AB" w:rsidRPr="00B67758" w:rsidRDefault="00AE74AB" w:rsidP="00CA2A66">
            <w:pPr>
              <w:spacing w:before="20" w:after="20"/>
              <w:ind w:left="100" w:right="100"/>
              <w:jc w:val="center"/>
              <w:rPr>
                <w:b/>
                <w:color w:val="FFFFFF" w:themeColor="background1"/>
                <w:sz w:val="18"/>
                <w:szCs w:val="18"/>
              </w:rPr>
            </w:pPr>
            <w:r w:rsidRPr="00B67758">
              <w:rPr>
                <w:rFonts w:eastAsia="Century Gothic" w:cs="Century Gothic"/>
                <w:b/>
                <w:color w:val="FFFFFF" w:themeColor="background1"/>
                <w:sz w:val="18"/>
                <w:szCs w:val="18"/>
              </w:rPr>
              <w:t xml:space="preserve">Estimate of change </w:t>
            </w:r>
            <w:r w:rsidRPr="00B67758">
              <w:rPr>
                <w:rFonts w:eastAsia="Century Gothic" w:cs="Century Gothic"/>
                <w:b/>
                <w:color w:val="FFFFFF" w:themeColor="background1"/>
                <w:sz w:val="18"/>
                <w:szCs w:val="18"/>
              </w:rPr>
              <w:br/>
              <w:t>(95% CI)</w:t>
            </w:r>
          </w:p>
        </w:tc>
      </w:tr>
      <w:tr w:rsidR="000D201E" w:rsidRPr="004F63E7" w14:paraId="4B881A21" w14:textId="77777777" w:rsidTr="00D761BE">
        <w:trPr>
          <w:cantSplit/>
          <w:tblHeader/>
          <w:jc w:val="center"/>
        </w:trPr>
        <w:tc>
          <w:tcPr>
            <w:tcW w:w="6151" w:type="dxa"/>
            <w:vMerge/>
            <w:tcBorders>
              <w:top w:val="single" w:sz="8" w:space="0" w:color="BFBFBF"/>
              <w:left w:val="single" w:sz="8" w:space="0" w:color="BFBFBF"/>
              <w:bottom w:val="single" w:sz="8" w:space="0" w:color="BFBFBF"/>
              <w:right w:val="single" w:sz="8" w:space="0" w:color="BFBFBF"/>
            </w:tcBorders>
            <w:shd w:val="clear" w:color="auto" w:fill="408BCA"/>
            <w:vAlign w:val="center"/>
            <w:hideMark/>
          </w:tcPr>
          <w:p w14:paraId="7209FDE1" w14:textId="77777777" w:rsidR="00AE74AB" w:rsidRPr="004F63E7" w:rsidRDefault="00AE74AB" w:rsidP="00CA2A66">
            <w:pPr>
              <w:spacing w:before="20" w:after="20"/>
              <w:rPr>
                <w:sz w:val="18"/>
                <w:szCs w:val="18"/>
              </w:rPr>
            </w:pPr>
          </w:p>
        </w:tc>
        <w:tc>
          <w:tcPr>
            <w:tcW w:w="1417" w:type="dxa"/>
            <w:tcBorders>
              <w:top w:val="single" w:sz="8" w:space="0" w:color="BFBFBF"/>
              <w:left w:val="single" w:sz="8" w:space="0" w:color="BFBFBF"/>
              <w:bottom w:val="single" w:sz="8" w:space="0" w:color="BFBFBF"/>
              <w:right w:val="single" w:sz="8" w:space="0" w:color="BFBFBF"/>
            </w:tcBorders>
            <w:shd w:val="clear" w:color="auto" w:fill="408BCA"/>
            <w:vAlign w:val="center"/>
            <w:hideMark/>
          </w:tcPr>
          <w:p w14:paraId="045D8419" w14:textId="77777777" w:rsidR="00AE74AB" w:rsidRPr="004F63E7" w:rsidRDefault="00AE74AB" w:rsidP="00CA2A66">
            <w:pPr>
              <w:spacing w:before="20" w:after="20"/>
              <w:jc w:val="center"/>
              <w:rPr>
                <w:sz w:val="18"/>
                <w:szCs w:val="18"/>
              </w:rPr>
            </w:pPr>
            <w:r w:rsidRPr="004F63E7">
              <w:rPr>
                <w:rFonts w:eastAsia="Century Gothic" w:cs="Century Gothic"/>
                <w:b/>
                <w:color w:val="FFFFFF"/>
                <w:sz w:val="18"/>
                <w:szCs w:val="18"/>
              </w:rPr>
              <w:t>Decreased</w:t>
            </w:r>
          </w:p>
        </w:tc>
        <w:tc>
          <w:tcPr>
            <w:tcW w:w="1559" w:type="dxa"/>
            <w:tcBorders>
              <w:top w:val="single" w:sz="8" w:space="0" w:color="BFBFBF"/>
              <w:left w:val="single" w:sz="8" w:space="0" w:color="BFBFBF"/>
              <w:bottom w:val="single" w:sz="8" w:space="0" w:color="BFBFBF"/>
              <w:right w:val="single" w:sz="8" w:space="0" w:color="BFBFBF"/>
            </w:tcBorders>
            <w:shd w:val="clear" w:color="auto" w:fill="408BCA"/>
            <w:vAlign w:val="center"/>
            <w:hideMark/>
          </w:tcPr>
          <w:p w14:paraId="12A1612B" w14:textId="77777777" w:rsidR="00AE74AB" w:rsidRPr="004F63E7" w:rsidRDefault="00AE74AB" w:rsidP="00CA2A66">
            <w:pPr>
              <w:spacing w:before="20" w:after="20"/>
              <w:jc w:val="center"/>
              <w:rPr>
                <w:sz w:val="18"/>
                <w:szCs w:val="18"/>
              </w:rPr>
            </w:pPr>
            <w:r w:rsidRPr="004F63E7">
              <w:rPr>
                <w:rFonts w:eastAsia="Century Gothic" w:cs="Century Gothic"/>
                <w:b/>
                <w:color w:val="FFFFFF"/>
                <w:sz w:val="18"/>
                <w:szCs w:val="18"/>
              </w:rPr>
              <w:t>Did not change</w:t>
            </w:r>
          </w:p>
        </w:tc>
        <w:tc>
          <w:tcPr>
            <w:tcW w:w="1134" w:type="dxa"/>
            <w:tcBorders>
              <w:top w:val="single" w:sz="8" w:space="0" w:color="BFBFBF"/>
              <w:left w:val="single" w:sz="8" w:space="0" w:color="BFBFBF"/>
              <w:bottom w:val="single" w:sz="8" w:space="0" w:color="BFBFBF"/>
              <w:right w:val="single" w:sz="8" w:space="0" w:color="BFBFBF"/>
            </w:tcBorders>
            <w:shd w:val="clear" w:color="auto" w:fill="408BCA"/>
            <w:vAlign w:val="center"/>
            <w:hideMark/>
          </w:tcPr>
          <w:p w14:paraId="541956EE" w14:textId="77777777" w:rsidR="00AE74AB" w:rsidRPr="004F63E7" w:rsidRDefault="00AE74AB" w:rsidP="00CA2A66">
            <w:pPr>
              <w:spacing w:before="20" w:after="20"/>
              <w:jc w:val="center"/>
              <w:rPr>
                <w:sz w:val="18"/>
                <w:szCs w:val="18"/>
              </w:rPr>
            </w:pPr>
            <w:r w:rsidRPr="004F63E7">
              <w:rPr>
                <w:rFonts w:eastAsia="Century Gothic" w:cs="Century Gothic"/>
                <w:b/>
                <w:color w:val="FFFFFF"/>
                <w:sz w:val="18"/>
                <w:szCs w:val="18"/>
              </w:rPr>
              <w:t>Increased</w:t>
            </w:r>
          </w:p>
        </w:tc>
        <w:tc>
          <w:tcPr>
            <w:tcW w:w="993" w:type="dxa"/>
            <w:tcBorders>
              <w:top w:val="single" w:sz="8" w:space="0" w:color="BFBFBF"/>
              <w:left w:val="single" w:sz="8" w:space="0" w:color="BFBFBF"/>
              <w:bottom w:val="single" w:sz="8" w:space="0" w:color="BFBFBF"/>
              <w:right w:val="single" w:sz="8" w:space="0" w:color="BFBFBF"/>
            </w:tcBorders>
            <w:shd w:val="clear" w:color="auto" w:fill="408BCA"/>
            <w:tcMar>
              <w:top w:w="0" w:type="dxa"/>
              <w:left w:w="0" w:type="dxa"/>
              <w:bottom w:w="0" w:type="dxa"/>
              <w:right w:w="0" w:type="dxa"/>
            </w:tcMar>
            <w:vAlign w:val="center"/>
            <w:hideMark/>
          </w:tcPr>
          <w:p w14:paraId="6B28DE05" w14:textId="77777777" w:rsidR="00AE74AB" w:rsidRPr="004F63E7" w:rsidRDefault="00AE74AB" w:rsidP="00CA2A66">
            <w:pPr>
              <w:spacing w:before="20" w:after="20"/>
              <w:ind w:left="100" w:right="100"/>
              <w:jc w:val="center"/>
              <w:rPr>
                <w:sz w:val="18"/>
                <w:szCs w:val="18"/>
              </w:rPr>
            </w:pPr>
            <w:r w:rsidRPr="004F63E7">
              <w:rPr>
                <w:rFonts w:eastAsia="Century Gothic" w:cs="Century Gothic"/>
                <w:b/>
                <w:color w:val="FFFFFF"/>
                <w:sz w:val="18"/>
                <w:szCs w:val="18"/>
              </w:rPr>
              <w:t>R1</w:t>
            </w:r>
          </w:p>
        </w:tc>
        <w:tc>
          <w:tcPr>
            <w:tcW w:w="850" w:type="dxa"/>
            <w:tcBorders>
              <w:top w:val="single" w:sz="8" w:space="0" w:color="BFBFBF"/>
              <w:left w:val="single" w:sz="8" w:space="0" w:color="BFBFBF"/>
              <w:bottom w:val="single" w:sz="8" w:space="0" w:color="BFBFBF"/>
              <w:right w:val="single" w:sz="8" w:space="0" w:color="BFBFBF"/>
            </w:tcBorders>
            <w:shd w:val="clear" w:color="auto" w:fill="408BCA"/>
            <w:tcMar>
              <w:top w:w="0" w:type="dxa"/>
              <w:left w:w="0" w:type="dxa"/>
              <w:bottom w:w="0" w:type="dxa"/>
              <w:right w:w="0" w:type="dxa"/>
            </w:tcMar>
            <w:vAlign w:val="center"/>
            <w:hideMark/>
          </w:tcPr>
          <w:p w14:paraId="19DA65CC" w14:textId="77777777" w:rsidR="00AE74AB" w:rsidRPr="004F63E7" w:rsidRDefault="00AE74AB" w:rsidP="00CA2A66">
            <w:pPr>
              <w:spacing w:before="20" w:after="20"/>
              <w:ind w:left="100" w:right="100"/>
              <w:jc w:val="center"/>
              <w:rPr>
                <w:sz w:val="18"/>
                <w:szCs w:val="18"/>
              </w:rPr>
            </w:pPr>
            <w:r w:rsidRPr="004F63E7">
              <w:rPr>
                <w:rFonts w:eastAsia="Century Gothic" w:cs="Century Gothic"/>
                <w:b/>
                <w:color w:val="FFFFFF"/>
                <w:sz w:val="18"/>
                <w:szCs w:val="18"/>
              </w:rPr>
              <w:t>R5</w:t>
            </w:r>
          </w:p>
        </w:tc>
        <w:tc>
          <w:tcPr>
            <w:tcW w:w="1963" w:type="dxa"/>
            <w:vMerge/>
            <w:tcBorders>
              <w:top w:val="single" w:sz="8" w:space="0" w:color="BFBFBF"/>
              <w:left w:val="single" w:sz="8" w:space="0" w:color="BFBFBF"/>
              <w:bottom w:val="single" w:sz="8" w:space="0" w:color="BFBFBF"/>
              <w:right w:val="single" w:sz="8" w:space="0" w:color="BFBFBF"/>
            </w:tcBorders>
            <w:shd w:val="clear" w:color="auto" w:fill="408BCA"/>
            <w:vAlign w:val="center"/>
            <w:hideMark/>
          </w:tcPr>
          <w:p w14:paraId="6A7FFFE0" w14:textId="77777777" w:rsidR="00AE74AB" w:rsidRPr="004F63E7" w:rsidRDefault="00AE74AB" w:rsidP="00CA2A66">
            <w:pPr>
              <w:spacing w:before="20" w:after="20"/>
              <w:rPr>
                <w:sz w:val="18"/>
                <w:szCs w:val="18"/>
              </w:rPr>
            </w:pPr>
          </w:p>
        </w:tc>
      </w:tr>
      <w:tr w:rsidR="00AE74AB" w:rsidRPr="004F63E7" w14:paraId="41EB15AC" w14:textId="77777777" w:rsidTr="00224CC8">
        <w:trPr>
          <w:cantSplit/>
          <w:jc w:val="center"/>
        </w:trPr>
        <w:tc>
          <w:tcPr>
            <w:tcW w:w="14067" w:type="dxa"/>
            <w:gridSpan w:val="7"/>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F5F3117" w14:textId="77777777" w:rsidR="00AE74AB" w:rsidRPr="004F63E7" w:rsidRDefault="00AE74AB" w:rsidP="00CA2A66">
            <w:pPr>
              <w:spacing w:before="20" w:after="20"/>
              <w:ind w:left="100" w:right="100"/>
              <w:rPr>
                <w:sz w:val="18"/>
                <w:szCs w:val="18"/>
              </w:rPr>
            </w:pPr>
            <w:r w:rsidRPr="004F63E7">
              <w:rPr>
                <w:rFonts w:eastAsia="Century Gothic" w:cs="Century Gothic"/>
                <w:b/>
                <w:color w:val="000000"/>
                <w:sz w:val="18"/>
                <w:szCs w:val="18"/>
              </w:rPr>
              <w:t>2 Patient enrolment</w:t>
            </w:r>
          </w:p>
        </w:tc>
      </w:tr>
      <w:tr w:rsidR="006C19FB" w:rsidRPr="004F63E7" w14:paraId="28482243"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2AB4AE9" w14:textId="5CD85C7E"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 xml:space="preserve">05 Patient linkage to nominated GP </w:t>
            </w:r>
            <w:r w:rsidR="00D761BE">
              <w:rPr>
                <w:rFonts w:eastAsia="Century Gothic" w:cs="Century Gothic"/>
                <w:color w:val="000000"/>
                <w:sz w:val="18"/>
                <w:szCs w:val="18"/>
              </w:rPr>
              <w:t>&amp;</w:t>
            </w:r>
            <w:r w:rsidRPr="004F63E7">
              <w:rPr>
                <w:rFonts w:eastAsia="Century Gothic" w:cs="Century Gothic"/>
                <w:color w:val="000000"/>
                <w:sz w:val="18"/>
                <w:szCs w:val="18"/>
              </w:rPr>
              <w:t xml:space="preserve"> care team</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065CE46"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15 (25%)</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4CA71032"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14 (23%)</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402533EB"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31 (52%)</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E458B78"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7.76</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D047745"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8.57</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F609BDC"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0.81 (0.06 to 1.56)</w:t>
            </w:r>
          </w:p>
        </w:tc>
      </w:tr>
      <w:tr w:rsidR="006C19FB" w:rsidRPr="004F63E7" w14:paraId="4F84DDAA"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25727EC" w14:textId="77777777"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06 Practice data availability</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4A382CC"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19 (32%)</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FDD7B8A"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9 (15%)</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4ED93626"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32 (53%)</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DFF218C"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7.76</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FB6FE95"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8.58</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A516461"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0.83 (0.09 to 1.57)</w:t>
            </w:r>
          </w:p>
        </w:tc>
      </w:tr>
      <w:tr w:rsidR="006C19FB" w:rsidRPr="004F63E7" w14:paraId="7FD111F5"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738A956" w14:textId="77777777"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07 Patient records availability for pre-visit planning &amp; outreach</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3C51546"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16 (27%)</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ACDC76B"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10 (17%)</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3681510"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34 (57%)</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AFCBB57"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8.17</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CABB8BE"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8.79</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2DB3D73"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0.62 (-0.1 to 1.35)</w:t>
            </w:r>
          </w:p>
        </w:tc>
      </w:tr>
      <w:tr w:rsidR="006C19FB" w:rsidRPr="004F63E7" w14:paraId="02490D9A"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2AAD227" w14:textId="77777777"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08 Availability of reports on care processes &amp; outcomes of care</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E4CD63E"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20 (33%)</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4C3EB95"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11 (18%)</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B316B8E"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29 (48%)</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1F7D173"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7.14</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B2AD85C"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7.63</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5BB0203"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0.49 (-0.3 to 1.27)</w:t>
            </w:r>
          </w:p>
        </w:tc>
      </w:tr>
      <w:tr w:rsidR="006C19FB" w:rsidRPr="004F63E7" w14:paraId="04C96098"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479B7E9F" w14:textId="77777777" w:rsidR="00AE74AB" w:rsidRPr="00D761BE" w:rsidRDefault="00AE74AB" w:rsidP="00CA2A66">
            <w:pPr>
              <w:spacing w:before="20" w:after="20"/>
              <w:ind w:left="160" w:right="100"/>
              <w:rPr>
                <w:i/>
                <w:sz w:val="18"/>
                <w:szCs w:val="18"/>
              </w:rPr>
            </w:pPr>
            <w:r w:rsidRPr="00D761BE">
              <w:rPr>
                <w:rFonts w:eastAsia="Century Gothic" w:cs="Century Gothic"/>
                <w:i/>
                <w:color w:val="000000"/>
                <w:sz w:val="18"/>
                <w:szCs w:val="18"/>
              </w:rPr>
              <w:t>Average score</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3558403"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21 (35%)</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2B6474C"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4 (7%)</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5DA1124"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35 (58%)</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9D06686"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7.71</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AF9F15B"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8.39</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1ACFF43"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0.69 (0.00 to 1.37)</w:t>
            </w:r>
          </w:p>
        </w:tc>
      </w:tr>
      <w:tr w:rsidR="00AE74AB" w:rsidRPr="004F63E7" w14:paraId="4A87A04D" w14:textId="77777777" w:rsidTr="00224CC8">
        <w:trPr>
          <w:cantSplit/>
          <w:jc w:val="center"/>
        </w:trPr>
        <w:tc>
          <w:tcPr>
            <w:tcW w:w="14067" w:type="dxa"/>
            <w:gridSpan w:val="7"/>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C8B63FC" w14:textId="77777777" w:rsidR="00AE74AB" w:rsidRPr="004F63E7" w:rsidRDefault="00AE74AB" w:rsidP="00CA2A66">
            <w:pPr>
              <w:spacing w:before="20" w:after="20"/>
              <w:ind w:left="100" w:right="100"/>
              <w:rPr>
                <w:sz w:val="18"/>
                <w:szCs w:val="18"/>
              </w:rPr>
            </w:pPr>
            <w:r w:rsidRPr="004F63E7">
              <w:rPr>
                <w:rFonts w:eastAsia="Century Gothic" w:cs="Century Gothic"/>
                <w:b/>
                <w:color w:val="000000"/>
                <w:sz w:val="18"/>
                <w:szCs w:val="18"/>
              </w:rPr>
              <w:t>3 Quality improvement strategy</w:t>
            </w:r>
          </w:p>
        </w:tc>
      </w:tr>
      <w:tr w:rsidR="006C19FB" w:rsidRPr="004F63E7" w14:paraId="67A0588A"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01D7713" w14:textId="77777777"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09 Conduct of quality improvement activities</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56DEA39"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21 (35%)</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4BF49C6"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 (12%)</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97E0C32"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32 (53%)</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3A696C7"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7.1</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8F34E7A"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7.88</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9164D4C"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0.78 (0.01 to 1.55)</w:t>
            </w:r>
          </w:p>
        </w:tc>
      </w:tr>
      <w:tr w:rsidR="006C19FB" w:rsidRPr="004F63E7" w14:paraId="05F4D29C"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D7190C2" w14:textId="77777777"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10 Availability of performance measures</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8CB2829"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19 (32%)</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4D083E4"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 (13%)</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4E6070E2"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33 (55%)</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4D76AA3"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6.69</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722D591"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7.47</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4E67FA29"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0.78 (0.00 to 1.56)</w:t>
            </w:r>
          </w:p>
        </w:tc>
      </w:tr>
      <w:tr w:rsidR="006C19FB" w:rsidRPr="004F63E7" w14:paraId="7A2FF2F8"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C406ABD" w14:textId="69540DB1"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 xml:space="preserve">11 </w:t>
            </w:r>
            <w:r w:rsidR="001E1172">
              <w:rPr>
                <w:rFonts w:eastAsia="Century Gothic" w:cs="Century Gothic"/>
                <w:color w:val="000000"/>
                <w:sz w:val="18"/>
                <w:szCs w:val="18"/>
              </w:rPr>
              <w:t>Care team and patient involvement in QI</w:t>
            </w:r>
            <w:r w:rsidRPr="004F63E7">
              <w:rPr>
                <w:rFonts w:eastAsia="Century Gothic" w:cs="Century Gothic"/>
                <w:color w:val="000000"/>
                <w:sz w:val="18"/>
                <w:szCs w:val="18"/>
              </w:rPr>
              <w:t xml:space="preserve"> activities</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E4B93BF"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16 (27%)</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4700457"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10 (17%)</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863647C"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34 (57%)</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812AB95"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6.1</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F4D585B"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7.2</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543841C"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1.09 (0.25 to 1.93)</w:t>
            </w:r>
          </w:p>
        </w:tc>
      </w:tr>
      <w:tr w:rsidR="006C19FB" w:rsidRPr="004F63E7" w14:paraId="15241D7E"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C891B44" w14:textId="77777777"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12 Clinical information systems that optimise use of information</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2E7CD41"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16 (27%)</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1BA1061"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9 (15%)</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A1323F0"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35 (58%)</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4B56B210"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7.28</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7F9DDA9"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8.03</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7B99209"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0.75 (-0.03 to 1.54)</w:t>
            </w:r>
          </w:p>
        </w:tc>
      </w:tr>
      <w:tr w:rsidR="006C19FB" w:rsidRPr="004F63E7" w14:paraId="46FE045A"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58C236C" w14:textId="77777777"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Average score</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C37A600"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19 (32%)</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4DE81794"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 (5%)</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BDD70D7"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38 (63%)</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93ECD68"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6.79</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95AFECC"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7.64</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2EDC728"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0.85 (0.11 to 1.59)</w:t>
            </w:r>
          </w:p>
        </w:tc>
      </w:tr>
      <w:tr w:rsidR="00AE74AB" w:rsidRPr="004F63E7" w14:paraId="1C7D36BB" w14:textId="77777777" w:rsidTr="00224CC8">
        <w:trPr>
          <w:cantSplit/>
          <w:jc w:val="center"/>
        </w:trPr>
        <w:tc>
          <w:tcPr>
            <w:tcW w:w="14067" w:type="dxa"/>
            <w:gridSpan w:val="7"/>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9F9BABA" w14:textId="77777777" w:rsidR="00AE74AB" w:rsidRPr="004F63E7" w:rsidRDefault="00AE74AB" w:rsidP="00CA2A66">
            <w:pPr>
              <w:spacing w:before="20" w:after="20"/>
              <w:ind w:left="100" w:right="100"/>
              <w:rPr>
                <w:sz w:val="18"/>
                <w:szCs w:val="18"/>
              </w:rPr>
            </w:pPr>
            <w:r w:rsidRPr="004F63E7">
              <w:rPr>
                <w:rFonts w:eastAsia="Century Gothic" w:cs="Century Gothic"/>
                <w:b/>
                <w:color w:val="000000"/>
                <w:sz w:val="18"/>
                <w:szCs w:val="18"/>
              </w:rPr>
              <w:t>6 Patient-centred interactions</w:t>
            </w:r>
          </w:p>
        </w:tc>
      </w:tr>
      <w:tr w:rsidR="006C19FB" w:rsidRPr="004F63E7" w14:paraId="3AD10942"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AA97084" w14:textId="215C5E25"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 xml:space="preserve">21 Assessing </w:t>
            </w:r>
            <w:r w:rsidR="00D761BE">
              <w:rPr>
                <w:rFonts w:eastAsia="Century Gothic" w:cs="Century Gothic"/>
                <w:color w:val="000000"/>
                <w:sz w:val="18"/>
                <w:szCs w:val="18"/>
              </w:rPr>
              <w:t>&amp;</w:t>
            </w:r>
            <w:r w:rsidRPr="004F63E7">
              <w:rPr>
                <w:rFonts w:eastAsia="Century Gothic" w:cs="Century Gothic"/>
                <w:color w:val="000000"/>
                <w:sz w:val="18"/>
                <w:szCs w:val="18"/>
              </w:rPr>
              <w:t xml:space="preserve"> respecting patient </w:t>
            </w:r>
            <w:r w:rsidR="00D761BE">
              <w:rPr>
                <w:rFonts w:eastAsia="Century Gothic" w:cs="Century Gothic"/>
                <w:color w:val="000000"/>
                <w:sz w:val="18"/>
                <w:szCs w:val="18"/>
              </w:rPr>
              <w:t>&amp;</w:t>
            </w:r>
            <w:r w:rsidRPr="004F63E7">
              <w:rPr>
                <w:rFonts w:eastAsia="Century Gothic" w:cs="Century Gothic"/>
                <w:color w:val="000000"/>
                <w:sz w:val="18"/>
                <w:szCs w:val="18"/>
              </w:rPr>
              <w:t xml:space="preserve"> family values </w:t>
            </w:r>
            <w:r w:rsidR="00D761BE">
              <w:rPr>
                <w:rFonts w:eastAsia="Century Gothic" w:cs="Century Gothic"/>
                <w:color w:val="000000"/>
                <w:sz w:val="18"/>
                <w:szCs w:val="18"/>
              </w:rPr>
              <w:t>&amp;</w:t>
            </w:r>
            <w:r w:rsidRPr="004F63E7">
              <w:rPr>
                <w:rFonts w:eastAsia="Century Gothic" w:cs="Century Gothic"/>
                <w:color w:val="000000"/>
                <w:sz w:val="18"/>
                <w:szCs w:val="18"/>
              </w:rPr>
              <w:t xml:space="preserve"> preferences</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14E1D7F"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13 (22%)</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4CCE44B0"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5 (8%)</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02DEC94"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42 (70%)</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CD9BF09"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8.35</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8828ADE"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9.25</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316553D"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0.9 (0.09 to 1.72)</w:t>
            </w:r>
          </w:p>
        </w:tc>
      </w:tr>
      <w:tr w:rsidR="006C19FB" w:rsidRPr="004F63E7" w14:paraId="0E815C36"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05D0BD0" w14:textId="2EF56EBF"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 xml:space="preserve">22 Involving patients in decision-making </w:t>
            </w:r>
            <w:r w:rsidR="00D761BE">
              <w:rPr>
                <w:rFonts w:eastAsia="Century Gothic" w:cs="Century Gothic"/>
                <w:color w:val="000000"/>
                <w:sz w:val="18"/>
                <w:szCs w:val="18"/>
              </w:rPr>
              <w:t>&amp;</w:t>
            </w:r>
            <w:r w:rsidRPr="004F63E7">
              <w:rPr>
                <w:rFonts w:eastAsia="Century Gothic" w:cs="Century Gothic"/>
                <w:color w:val="000000"/>
                <w:sz w:val="18"/>
                <w:szCs w:val="18"/>
              </w:rPr>
              <w:t xml:space="preserve"> care</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C9ACE15"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13 (22%)</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9E0B2DB"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4 (7%)</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C3A3864"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43 (72%)</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09231CD"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8.1</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38D6306"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8.91</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21C9B5F"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0.81 (0 to 1.63)</w:t>
            </w:r>
          </w:p>
        </w:tc>
      </w:tr>
      <w:tr w:rsidR="006C19FB" w:rsidRPr="004F63E7" w14:paraId="40F3EED7"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3BB4F26" w14:textId="1BAC4C5B"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 xml:space="preserve">23 Assessment of patient </w:t>
            </w:r>
            <w:proofErr w:type="spellStart"/>
            <w:r w:rsidR="005859FD" w:rsidRPr="00407B9E">
              <w:rPr>
                <w:rFonts w:eastAsia="Century Gothic" w:cs="Century Gothic"/>
                <w:color w:val="000000"/>
                <w:sz w:val="18"/>
                <w:szCs w:val="18"/>
              </w:rPr>
              <w:t>comprehens</w:t>
            </w:r>
            <w:proofErr w:type="spellEnd"/>
            <w:r w:rsidR="006B7C11">
              <w:rPr>
                <w:rFonts w:eastAsia="Century Gothic" w:cs="Century Gothic"/>
                <w:color w:val="000000"/>
                <w:sz w:val="18"/>
                <w:szCs w:val="18"/>
              </w:rPr>
              <w:t>.</w:t>
            </w:r>
            <w:r w:rsidRPr="004F63E7">
              <w:rPr>
                <w:rFonts w:eastAsia="Century Gothic" w:cs="Century Gothic"/>
                <w:color w:val="000000"/>
                <w:sz w:val="18"/>
                <w:szCs w:val="18"/>
              </w:rPr>
              <w:t xml:space="preserve"> of verbal &amp; written </w:t>
            </w:r>
            <w:r w:rsidR="005859FD" w:rsidRPr="00407B9E">
              <w:rPr>
                <w:rFonts w:eastAsia="Century Gothic" w:cs="Century Gothic"/>
                <w:color w:val="000000"/>
                <w:sz w:val="18"/>
                <w:szCs w:val="18"/>
              </w:rPr>
              <w:t>mat</w:t>
            </w:r>
            <w:r w:rsidR="006B7C11">
              <w:rPr>
                <w:rFonts w:eastAsia="Century Gothic" w:cs="Century Gothic"/>
                <w:color w:val="000000"/>
                <w:sz w:val="18"/>
                <w:szCs w:val="18"/>
              </w:rPr>
              <w:t>er.</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3D81BE1"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17 (28%)</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4B24D9E"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 (12%)</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758A029"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36 (60%)</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E04FEBE"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7.32</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0AD7B30"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8.03</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4A5BDB2B"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0.71 (-0.11 to 1.53)</w:t>
            </w:r>
          </w:p>
        </w:tc>
      </w:tr>
      <w:tr w:rsidR="006C19FB" w:rsidRPr="004F63E7" w14:paraId="2777C198"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91E8F5C" w14:textId="77777777"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24 Self-management support</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46EB3C8"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13 (22%)</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5F3E70F"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 (12%)</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8F3F766"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40 (67%)</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266F2CC"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7.28</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27D67C7"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8.27</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0033E3E"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0.99 (0.27 to 1.72)</w:t>
            </w:r>
          </w:p>
        </w:tc>
      </w:tr>
      <w:tr w:rsidR="006C19FB" w:rsidRPr="004F63E7" w14:paraId="35DEA63E"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84A9B5E" w14:textId="77777777"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25 Incorporation of the principles of patient-centred care</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1373300"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16 (27%)</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DAC5646"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5 (8%)</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7769C03"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39 (65%)</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C4BFE19"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7.24</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A5FEB35"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8.32</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CCF4032"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1.08 (0.23 to 1.93)</w:t>
            </w:r>
          </w:p>
        </w:tc>
      </w:tr>
      <w:tr w:rsidR="006C19FB" w:rsidRPr="004F63E7" w14:paraId="7063C063"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99C578A" w14:textId="77777777"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26 Measurement of patient-centred interactions</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DD719C2"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20 (33%)</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003EC0A"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 (13%)</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182F6D4"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32 (53%)</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843E987"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5.72</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0629E6C"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6.7</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264642C"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0.98 (0.03 to 1.94)</w:t>
            </w:r>
          </w:p>
        </w:tc>
      </w:tr>
      <w:tr w:rsidR="006C19FB" w:rsidRPr="004F63E7" w14:paraId="21944873"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DD89ABD" w14:textId="77777777" w:rsidR="00AE74AB" w:rsidRPr="00D761BE" w:rsidRDefault="00AE74AB" w:rsidP="00CA2A66">
            <w:pPr>
              <w:spacing w:before="20" w:after="20"/>
              <w:ind w:left="160" w:right="100"/>
              <w:rPr>
                <w:i/>
                <w:sz w:val="18"/>
                <w:szCs w:val="18"/>
              </w:rPr>
            </w:pPr>
            <w:r w:rsidRPr="00D761BE">
              <w:rPr>
                <w:rFonts w:eastAsia="Century Gothic" w:cs="Century Gothic"/>
                <w:i/>
                <w:color w:val="000000"/>
                <w:sz w:val="18"/>
                <w:szCs w:val="18"/>
              </w:rPr>
              <w:t>Average score</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9B51968"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14 (23%)</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39C6EF7"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 (2%)</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359DECF"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45 (75%)</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9C58663"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7.33</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9C15FF9"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8.25</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A8BD5C2"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0.91 (0.19 to 1.64)</w:t>
            </w:r>
          </w:p>
        </w:tc>
      </w:tr>
      <w:tr w:rsidR="00AE74AB" w:rsidRPr="004F63E7" w14:paraId="74E82B93" w14:textId="77777777" w:rsidTr="00224CC8">
        <w:trPr>
          <w:cantSplit/>
          <w:jc w:val="center"/>
        </w:trPr>
        <w:tc>
          <w:tcPr>
            <w:tcW w:w="14067" w:type="dxa"/>
            <w:gridSpan w:val="7"/>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0AC1681" w14:textId="77777777" w:rsidR="00AE74AB" w:rsidRPr="004F63E7" w:rsidRDefault="00AE74AB" w:rsidP="00CA2A66">
            <w:pPr>
              <w:spacing w:before="20" w:after="20"/>
              <w:ind w:left="100" w:right="100"/>
              <w:rPr>
                <w:sz w:val="18"/>
                <w:szCs w:val="18"/>
              </w:rPr>
            </w:pPr>
            <w:r w:rsidRPr="004F63E7">
              <w:rPr>
                <w:rFonts w:eastAsia="Century Gothic" w:cs="Century Gothic"/>
                <w:b/>
                <w:color w:val="000000"/>
                <w:sz w:val="18"/>
                <w:szCs w:val="18"/>
              </w:rPr>
              <w:t>7 Care coordination (selected item)</w:t>
            </w:r>
          </w:p>
        </w:tc>
      </w:tr>
      <w:tr w:rsidR="006C19FB" w:rsidRPr="004F63E7" w14:paraId="4B42996C"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09DCA902" w14:textId="4A9CFE27"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 xml:space="preserve">31 </w:t>
            </w:r>
            <w:r w:rsidR="006B7C11">
              <w:rPr>
                <w:rFonts w:eastAsia="Century Gothic" w:cs="Century Gothic"/>
                <w:color w:val="000000"/>
                <w:sz w:val="18"/>
                <w:szCs w:val="18"/>
              </w:rPr>
              <w:t>A</w:t>
            </w:r>
            <w:r w:rsidR="005859FD" w:rsidRPr="00407B9E">
              <w:rPr>
                <w:rFonts w:eastAsia="Century Gothic" w:cs="Century Gothic"/>
                <w:color w:val="000000"/>
                <w:sz w:val="18"/>
                <w:szCs w:val="18"/>
              </w:rPr>
              <w:t>pproach</w:t>
            </w:r>
            <w:r w:rsidRPr="004F63E7">
              <w:rPr>
                <w:rFonts w:eastAsia="Century Gothic" w:cs="Century Gothic"/>
                <w:color w:val="000000"/>
                <w:sz w:val="18"/>
                <w:szCs w:val="18"/>
              </w:rPr>
              <w:t xml:space="preserve"> to linking patients to supportive community resources</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14C55EA"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13 (22%)</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888E7F3"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11 (18%)</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7370528"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36 (60%)</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4CDABFD"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6.89</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14C0EA9"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7.95</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2DDB25B7"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1.07 (0.38 to 1.75)</w:t>
            </w:r>
          </w:p>
        </w:tc>
      </w:tr>
      <w:tr w:rsidR="00AE74AB" w:rsidRPr="004F63E7" w14:paraId="2EFCFBE2" w14:textId="77777777" w:rsidTr="00224CC8">
        <w:trPr>
          <w:cantSplit/>
          <w:jc w:val="center"/>
        </w:trPr>
        <w:tc>
          <w:tcPr>
            <w:tcW w:w="14067" w:type="dxa"/>
            <w:gridSpan w:val="7"/>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504AA10" w14:textId="77777777" w:rsidR="00AE74AB" w:rsidRPr="004F63E7" w:rsidRDefault="00AE74AB" w:rsidP="00CA2A66">
            <w:pPr>
              <w:spacing w:before="20" w:after="20"/>
              <w:ind w:left="100" w:right="100"/>
              <w:rPr>
                <w:sz w:val="18"/>
                <w:szCs w:val="18"/>
              </w:rPr>
            </w:pPr>
            <w:r w:rsidRPr="004F63E7">
              <w:rPr>
                <w:rFonts w:eastAsia="Century Gothic" w:cs="Century Gothic"/>
                <w:b/>
                <w:color w:val="000000"/>
                <w:sz w:val="18"/>
                <w:szCs w:val="18"/>
              </w:rPr>
              <w:t>8 Enhanced access (selected item)</w:t>
            </w:r>
          </w:p>
        </w:tc>
      </w:tr>
      <w:tr w:rsidR="006C19FB" w:rsidRPr="004F63E7" w14:paraId="5AF201E8" w14:textId="77777777" w:rsidTr="00D761BE">
        <w:trPr>
          <w:cantSplit/>
          <w:jc w:val="center"/>
        </w:trPr>
        <w:tc>
          <w:tcPr>
            <w:tcW w:w="615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A57DF4C" w14:textId="77777777" w:rsidR="00AE74AB" w:rsidRPr="004F63E7" w:rsidRDefault="00AE74AB" w:rsidP="00CA2A66">
            <w:pPr>
              <w:spacing w:before="20" w:after="20"/>
              <w:ind w:left="160" w:right="100"/>
              <w:rPr>
                <w:sz w:val="18"/>
                <w:szCs w:val="18"/>
              </w:rPr>
            </w:pPr>
            <w:r w:rsidRPr="004F63E7">
              <w:rPr>
                <w:rFonts w:eastAsia="Century Gothic" w:cs="Century Gothic"/>
                <w:color w:val="000000"/>
                <w:sz w:val="18"/>
                <w:szCs w:val="18"/>
              </w:rPr>
              <w:t>34 Contacting the care team during regular business hours</w:t>
            </w:r>
          </w:p>
        </w:tc>
        <w:tc>
          <w:tcPr>
            <w:tcW w:w="1417"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581E4A6A"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12 (20%)</w:t>
            </w:r>
          </w:p>
        </w:tc>
        <w:tc>
          <w:tcPr>
            <w:tcW w:w="1559"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1D199C40"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11 (18%)</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7A8C119F"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37 (62%)</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6A8D00D0"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8.48</w:t>
            </w:r>
          </w:p>
        </w:tc>
        <w:tc>
          <w:tcPr>
            <w:tcW w:w="850"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3E6515BC"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9.26</w:t>
            </w:r>
          </w:p>
        </w:tc>
        <w:tc>
          <w:tcPr>
            <w:tcW w:w="196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hideMark/>
          </w:tcPr>
          <w:p w14:paraId="46FFB5E6" w14:textId="77777777" w:rsidR="00AE74AB" w:rsidRPr="004F63E7" w:rsidRDefault="00AE74AB" w:rsidP="00CA2A66">
            <w:pPr>
              <w:spacing w:before="20" w:after="20"/>
              <w:ind w:left="100" w:right="100"/>
              <w:jc w:val="right"/>
              <w:rPr>
                <w:sz w:val="18"/>
                <w:szCs w:val="18"/>
              </w:rPr>
            </w:pPr>
            <w:r w:rsidRPr="004F63E7">
              <w:rPr>
                <w:rFonts w:eastAsia="Century Gothic" w:cs="Century Gothic"/>
                <w:color w:val="000000"/>
                <w:sz w:val="18"/>
                <w:szCs w:val="18"/>
              </w:rPr>
              <w:t>0.78 (0.08 to 1.48)</w:t>
            </w:r>
          </w:p>
        </w:tc>
      </w:tr>
    </w:tbl>
    <w:p w14:paraId="27591212" w14:textId="5A803E16" w:rsidR="0035061F" w:rsidRDefault="0035061F" w:rsidP="007E3CFA">
      <w:pPr>
        <w:pStyle w:val="Chartortablefootnote"/>
      </w:pPr>
      <w:r>
        <w:t xml:space="preserve">Source: </w:t>
      </w:r>
      <w:r w:rsidR="004773BD">
        <w:t xml:space="preserve">Practice survey R1 </w:t>
      </w:r>
      <w:r w:rsidR="00A14258" w:rsidRPr="00A14258">
        <w:t>Dec 2017–Jul 2018</w:t>
      </w:r>
      <w:r w:rsidR="00A14258">
        <w:t xml:space="preserve"> and R5 </w:t>
      </w:r>
      <w:r w:rsidR="007E3CFA" w:rsidRPr="007E3CFA">
        <w:t>Mar–May 2021</w:t>
      </w:r>
      <w:r w:rsidR="007E3CFA">
        <w:t>.</w:t>
      </w:r>
    </w:p>
    <w:p w14:paraId="63518F3A" w14:textId="77777777" w:rsidR="00AE74AB" w:rsidRPr="004F63E7" w:rsidRDefault="00AE74AB" w:rsidP="00AE74AB">
      <w:pPr>
        <w:spacing w:after="120"/>
        <w:outlineLvl w:val="1"/>
        <w:rPr>
          <w:rFonts w:ascii="Roboto Slab" w:eastAsia="Times New Roman" w:hAnsi="Roboto Slab" w:cs="Times New Roman"/>
          <w:bCs/>
          <w:color w:val="408BCA"/>
          <w:sz w:val="32"/>
          <w:szCs w:val="36"/>
          <w:lang w:val="en-GB" w:eastAsia="en-AU"/>
        </w:rPr>
        <w:sectPr w:rsidR="00AE74AB" w:rsidRPr="004F63E7" w:rsidSect="00C00F6D">
          <w:footerReference w:type="default" r:id="rId45"/>
          <w:pgSz w:w="16838" w:h="11906" w:orient="landscape"/>
          <w:pgMar w:top="1440" w:right="1440" w:bottom="1440" w:left="1440" w:header="708" w:footer="708" w:gutter="0"/>
          <w:cols w:space="708"/>
          <w:docGrid w:linePitch="360"/>
        </w:sectPr>
      </w:pPr>
    </w:p>
    <w:p w14:paraId="4AF092F7" w14:textId="77777777" w:rsidR="00AE74AB" w:rsidRPr="004F63E7" w:rsidRDefault="00AE74AB" w:rsidP="00AE74AB">
      <w:pPr>
        <w:outlineLvl w:val="1"/>
        <w:rPr>
          <w:rFonts w:ascii="Roboto Slab" w:eastAsia="Times New Roman" w:hAnsi="Roboto Slab" w:cs="Times New Roman"/>
          <w:bCs/>
          <w:color w:val="408BCA"/>
          <w:sz w:val="32"/>
          <w:szCs w:val="36"/>
          <w:lang w:eastAsia="en-AU"/>
        </w:rPr>
      </w:pPr>
      <w:r w:rsidRPr="004F63E7">
        <w:rPr>
          <w:rFonts w:ascii="Roboto Slab" w:eastAsia="Times New Roman" w:hAnsi="Roboto Slab" w:cs="Times New Roman"/>
          <w:bCs/>
          <w:color w:val="408BCA"/>
          <w:sz w:val="32"/>
          <w:szCs w:val="36"/>
          <w:lang w:eastAsia="en-AU"/>
        </w:rPr>
        <w:lastRenderedPageBreak/>
        <w:t xml:space="preserve">Practice assessment of improvements in processes and outcomes </w:t>
      </w:r>
    </w:p>
    <w:p w14:paraId="0A42E0FB" w14:textId="6EF19FDD" w:rsidR="00AE74AB" w:rsidRPr="004F63E7" w:rsidRDefault="00AE74AB" w:rsidP="00AE74AB">
      <w:r w:rsidRPr="004F63E7">
        <w:t>In the practice surveys, practices were asked what the impact of HCH was on coordination of care</w:t>
      </w:r>
      <w:r w:rsidR="0031197D">
        <w:t>, quality of care</w:t>
      </w:r>
      <w:r w:rsidR="0050305F">
        <w:t xml:space="preserve"> and</w:t>
      </w:r>
      <w:r w:rsidR="0031197D">
        <w:t xml:space="preserve"> patient outcomes</w:t>
      </w:r>
      <w:r w:rsidRPr="004F63E7">
        <w:t xml:space="preserve"> compared with what would occur under usual care for similar patients (</w:t>
      </w:r>
      <w:r w:rsidR="004905CD">
        <w:fldChar w:fldCharType="begin"/>
      </w:r>
      <w:r w:rsidR="004905CD">
        <w:instrText xml:space="preserve"> REF _Ref99116025 \h </w:instrText>
      </w:r>
      <w:r w:rsidR="004905CD">
        <w:fldChar w:fldCharType="separate"/>
      </w:r>
      <w:r w:rsidR="003C4BC2" w:rsidRPr="004F63E7">
        <w:rPr>
          <w:rFonts w:eastAsiaTheme="minorEastAsia"/>
          <w:color w:val="1D2455"/>
          <w:szCs w:val="20"/>
          <w:lang w:eastAsia="en-AU"/>
        </w:rPr>
        <w:t xml:space="preserve">Table </w:t>
      </w:r>
      <w:r w:rsidR="003C4BC2">
        <w:rPr>
          <w:rFonts w:eastAsiaTheme="minorEastAsia"/>
          <w:noProof/>
          <w:color w:val="1D2455"/>
          <w:szCs w:val="20"/>
          <w:lang w:eastAsia="en-AU"/>
        </w:rPr>
        <w:t>28</w:t>
      </w:r>
      <w:r w:rsidR="004905CD">
        <w:fldChar w:fldCharType="end"/>
      </w:r>
      <w:r w:rsidRPr="004F63E7">
        <w:t>).</w:t>
      </w:r>
      <w:r w:rsidR="004905CD">
        <w:t xml:space="preserve"> </w:t>
      </w:r>
      <w:r w:rsidRPr="004F63E7">
        <w:t xml:space="preserve">In addition to the overall responses in </w:t>
      </w:r>
      <w:r w:rsidR="000715F3">
        <w:t>round</w:t>
      </w:r>
      <w:r w:rsidRPr="004F63E7">
        <w:t xml:space="preserve"> 5, </w:t>
      </w:r>
      <w:r w:rsidR="00B74D0B">
        <w:fldChar w:fldCharType="begin"/>
      </w:r>
      <w:r w:rsidR="00B74D0B">
        <w:instrText xml:space="preserve"> REF _Ref99116025 \h </w:instrText>
      </w:r>
      <w:r w:rsidR="00B74D0B">
        <w:fldChar w:fldCharType="separate"/>
      </w:r>
      <w:r w:rsidR="003C4BC2" w:rsidRPr="004F63E7">
        <w:rPr>
          <w:rFonts w:eastAsiaTheme="minorEastAsia"/>
          <w:color w:val="1D2455"/>
          <w:szCs w:val="20"/>
          <w:lang w:eastAsia="en-AU"/>
        </w:rPr>
        <w:t xml:space="preserve">Table </w:t>
      </w:r>
      <w:r w:rsidR="003C4BC2">
        <w:rPr>
          <w:rFonts w:eastAsiaTheme="minorEastAsia"/>
          <w:noProof/>
          <w:color w:val="1D2455"/>
          <w:szCs w:val="20"/>
          <w:lang w:eastAsia="en-AU"/>
        </w:rPr>
        <w:t>28</w:t>
      </w:r>
      <w:r w:rsidR="00B74D0B">
        <w:fldChar w:fldCharType="end"/>
      </w:r>
      <w:r w:rsidRPr="004F63E7">
        <w:t xml:space="preserve"> also shows the responses of practices </w:t>
      </w:r>
      <w:r w:rsidR="00B74D0B">
        <w:t xml:space="preserve">that </w:t>
      </w:r>
      <w:r w:rsidRPr="004F63E7">
        <w:t xml:space="preserve">enrolled less than 50 patients compared with </w:t>
      </w:r>
      <w:r w:rsidR="00B74D0B">
        <w:t>those that</w:t>
      </w:r>
      <w:r w:rsidRPr="004F63E7">
        <w:t xml:space="preserve"> enrolled 50 or more patients, together with the results of a statistical test to assess whether the differences between the two groups of practices were significant.</w:t>
      </w:r>
      <w:r w:rsidR="00E15A29">
        <w:t xml:space="preserve"> </w:t>
      </w:r>
    </w:p>
    <w:p w14:paraId="42BDA917" w14:textId="468863A6" w:rsidR="00AE74AB" w:rsidRPr="004F63E7" w:rsidRDefault="00AE74AB" w:rsidP="00AE74AB">
      <w:pPr>
        <w:spacing w:after="60"/>
        <w:jc w:val="center"/>
        <w:rPr>
          <w:rFonts w:eastAsiaTheme="minorEastAsia"/>
          <w:color w:val="1D2455"/>
          <w:szCs w:val="20"/>
          <w:lang w:eastAsia="en-AU"/>
        </w:rPr>
      </w:pPr>
      <w:bookmarkStart w:id="205" w:name="_Ref99116025"/>
      <w:r w:rsidRPr="004F63E7">
        <w:rPr>
          <w:rFonts w:eastAsiaTheme="minorEastAsia"/>
          <w:color w:val="1D2455"/>
          <w:szCs w:val="20"/>
          <w:lang w:eastAsia="en-AU"/>
        </w:rPr>
        <w:t xml:space="preserve">Table </w:t>
      </w:r>
      <w:r w:rsidRPr="004F63E7">
        <w:rPr>
          <w:rFonts w:eastAsiaTheme="minorEastAsia"/>
          <w:color w:val="1D2455"/>
          <w:szCs w:val="20"/>
          <w:lang w:eastAsia="en-AU"/>
        </w:rPr>
        <w:fldChar w:fldCharType="begin"/>
      </w:r>
      <w:r w:rsidRPr="004F63E7">
        <w:rPr>
          <w:rFonts w:eastAsiaTheme="minorEastAsia"/>
          <w:color w:val="1D2455"/>
          <w:szCs w:val="20"/>
          <w:lang w:eastAsia="en-AU"/>
        </w:rPr>
        <w:instrText>SEQ Table \* ARABIC</w:instrText>
      </w:r>
      <w:r w:rsidRPr="004F63E7">
        <w:rPr>
          <w:rFonts w:eastAsiaTheme="minorEastAsia"/>
          <w:color w:val="1D2455"/>
          <w:szCs w:val="20"/>
          <w:lang w:eastAsia="en-AU"/>
        </w:rPr>
        <w:fldChar w:fldCharType="separate"/>
      </w:r>
      <w:r w:rsidR="003C4BC2">
        <w:rPr>
          <w:rFonts w:eastAsiaTheme="minorEastAsia"/>
          <w:noProof/>
          <w:color w:val="1D2455"/>
          <w:szCs w:val="20"/>
          <w:lang w:eastAsia="en-AU"/>
        </w:rPr>
        <w:t>28</w:t>
      </w:r>
      <w:r w:rsidRPr="004F63E7">
        <w:rPr>
          <w:rFonts w:eastAsiaTheme="minorEastAsia"/>
          <w:color w:val="1D2455"/>
          <w:szCs w:val="20"/>
          <w:lang w:eastAsia="en-AU"/>
        </w:rPr>
        <w:fldChar w:fldCharType="end"/>
      </w:r>
      <w:bookmarkEnd w:id="205"/>
      <w:r w:rsidRPr="004F63E7">
        <w:rPr>
          <w:rFonts w:eastAsiaTheme="minorEastAsia"/>
          <w:color w:val="1D2455"/>
          <w:szCs w:val="20"/>
          <w:lang w:eastAsia="en-AU"/>
        </w:rPr>
        <w:t xml:space="preserve">: Practice assessment of the overall impact of HCH </w:t>
      </w:r>
      <w:r w:rsidR="00C348B7">
        <w:rPr>
          <w:rFonts w:eastAsiaTheme="minorEastAsia"/>
          <w:color w:val="1D2455"/>
          <w:szCs w:val="20"/>
          <w:lang w:eastAsia="en-AU"/>
        </w:rPr>
        <w:t>(</w:t>
      </w:r>
      <w:r w:rsidR="00C348B7" w:rsidRPr="004F63E7">
        <w:rPr>
          <w:rFonts w:eastAsiaTheme="minorEastAsia"/>
          <w:color w:val="1D2455"/>
          <w:szCs w:val="20"/>
          <w:lang w:eastAsia="en-AU"/>
        </w:rPr>
        <w:t>compared with usual care</w:t>
      </w:r>
      <w:r w:rsidR="00C348B7">
        <w:rPr>
          <w:rFonts w:eastAsiaTheme="minorEastAsia"/>
          <w:color w:val="1D2455"/>
          <w:szCs w:val="20"/>
          <w:lang w:eastAsia="en-AU"/>
        </w:rPr>
        <w:t>)</w:t>
      </w:r>
      <w:r w:rsidR="00C348B7" w:rsidRPr="004F63E7">
        <w:rPr>
          <w:rFonts w:eastAsiaTheme="minorEastAsia"/>
          <w:color w:val="1D2455"/>
          <w:szCs w:val="20"/>
          <w:lang w:eastAsia="en-AU"/>
        </w:rPr>
        <w:t xml:space="preserve"> </w:t>
      </w:r>
      <w:r w:rsidRPr="004F63E7">
        <w:rPr>
          <w:rFonts w:eastAsiaTheme="minorEastAsia"/>
          <w:color w:val="1D2455"/>
          <w:szCs w:val="20"/>
          <w:lang w:eastAsia="en-AU"/>
        </w:rPr>
        <w:t>on coordination of care, patient outcomes</w:t>
      </w:r>
      <w:r w:rsidR="00C348B7">
        <w:rPr>
          <w:rFonts w:eastAsiaTheme="minorEastAsia"/>
          <w:color w:val="1D2455"/>
          <w:szCs w:val="20"/>
          <w:lang w:eastAsia="en-AU"/>
        </w:rPr>
        <w:t xml:space="preserve"> and</w:t>
      </w:r>
      <w:r w:rsidRPr="004F63E7">
        <w:rPr>
          <w:rFonts w:eastAsiaTheme="minorEastAsia"/>
          <w:color w:val="1D2455"/>
          <w:szCs w:val="20"/>
          <w:lang w:eastAsia="en-AU"/>
        </w:rPr>
        <w:t xml:space="preserve"> quality of care </w:t>
      </w:r>
    </w:p>
    <w:tbl>
      <w:tblPr>
        <w:tblW w:w="9496"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2503"/>
        <w:gridCol w:w="1171"/>
        <w:gridCol w:w="1171"/>
        <w:gridCol w:w="1171"/>
        <w:gridCol w:w="1171"/>
        <w:gridCol w:w="1172"/>
        <w:gridCol w:w="1137"/>
      </w:tblGrid>
      <w:tr w:rsidR="00AE74AB" w:rsidRPr="004F63E7" w14:paraId="61F2041F" w14:textId="77777777" w:rsidTr="00EB7C02">
        <w:trPr>
          <w:cantSplit/>
          <w:tblHeader/>
          <w:jc w:val="center"/>
        </w:trPr>
        <w:tc>
          <w:tcPr>
            <w:tcW w:w="2503" w:type="dxa"/>
            <w:vMerge w:val="restart"/>
            <w:shd w:val="clear" w:color="auto" w:fill="408BCA"/>
            <w:tcMar>
              <w:top w:w="0" w:type="dxa"/>
              <w:left w:w="0" w:type="dxa"/>
              <w:bottom w:w="0" w:type="dxa"/>
              <w:right w:w="0" w:type="dxa"/>
            </w:tcMar>
            <w:vAlign w:val="center"/>
          </w:tcPr>
          <w:p w14:paraId="010CC222" w14:textId="77777777" w:rsidR="00AE74AB" w:rsidRPr="004F63E7" w:rsidRDefault="00AE74AB" w:rsidP="00CA2A66">
            <w:pPr>
              <w:spacing w:before="20" w:afterLines="20" w:after="48"/>
              <w:ind w:left="100" w:right="100"/>
              <w:jc w:val="center"/>
              <w:rPr>
                <w:rFonts w:eastAsia="Century Gothic" w:cs="Century Gothic"/>
                <w:b/>
                <w:color w:val="FFFFFF"/>
                <w:sz w:val="18"/>
                <w:szCs w:val="18"/>
              </w:rPr>
            </w:pPr>
            <w:r w:rsidRPr="004F63E7">
              <w:rPr>
                <w:rFonts w:eastAsia="Century Gothic" w:cs="Century Gothic"/>
                <w:b/>
                <w:color w:val="FFFFFF"/>
                <w:sz w:val="18"/>
                <w:szCs w:val="18"/>
              </w:rPr>
              <w:t>Outcome dimension /</w:t>
            </w:r>
          </w:p>
          <w:p w14:paraId="61803F9B"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b/>
                <w:color w:val="FFFFFF"/>
                <w:sz w:val="18"/>
                <w:szCs w:val="18"/>
              </w:rPr>
              <w:t>Practice subgroup</w:t>
            </w:r>
          </w:p>
        </w:tc>
        <w:tc>
          <w:tcPr>
            <w:tcW w:w="5856" w:type="dxa"/>
            <w:gridSpan w:val="5"/>
            <w:shd w:val="clear" w:color="auto" w:fill="408BCA"/>
            <w:tcMar>
              <w:top w:w="0" w:type="dxa"/>
              <w:left w:w="0" w:type="dxa"/>
              <w:bottom w:w="0" w:type="dxa"/>
              <w:right w:w="0" w:type="dxa"/>
            </w:tcMar>
            <w:vAlign w:val="center"/>
          </w:tcPr>
          <w:p w14:paraId="1015126D"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b/>
                <w:color w:val="FFFFFF"/>
                <w:sz w:val="18"/>
                <w:szCs w:val="18"/>
              </w:rPr>
              <w:t>Practice assessment of improvement compared with usual care</w:t>
            </w:r>
          </w:p>
        </w:tc>
        <w:tc>
          <w:tcPr>
            <w:tcW w:w="1137" w:type="dxa"/>
            <w:vMerge w:val="restart"/>
            <w:shd w:val="clear" w:color="auto" w:fill="408BCA"/>
            <w:tcMar>
              <w:top w:w="0" w:type="dxa"/>
              <w:left w:w="0" w:type="dxa"/>
              <w:bottom w:w="0" w:type="dxa"/>
              <w:right w:w="0" w:type="dxa"/>
            </w:tcMar>
            <w:vAlign w:val="center"/>
          </w:tcPr>
          <w:p w14:paraId="13709ADE"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b/>
                <w:color w:val="FFFFFF"/>
                <w:sz w:val="18"/>
                <w:szCs w:val="18"/>
              </w:rPr>
              <w:t>chi-square</w:t>
            </w:r>
          </w:p>
        </w:tc>
      </w:tr>
      <w:tr w:rsidR="00830A82" w:rsidRPr="004F63E7" w14:paraId="6FC57E65" w14:textId="77777777" w:rsidTr="00EB7C02">
        <w:trPr>
          <w:cantSplit/>
          <w:tblHeader/>
          <w:jc w:val="center"/>
        </w:trPr>
        <w:tc>
          <w:tcPr>
            <w:tcW w:w="2503" w:type="dxa"/>
            <w:vMerge/>
            <w:shd w:val="clear" w:color="auto" w:fill="003D79"/>
            <w:tcMar>
              <w:top w:w="0" w:type="dxa"/>
              <w:left w:w="0" w:type="dxa"/>
              <w:bottom w:w="0" w:type="dxa"/>
              <w:right w:w="0" w:type="dxa"/>
            </w:tcMar>
            <w:vAlign w:val="center"/>
          </w:tcPr>
          <w:p w14:paraId="1C95126C" w14:textId="77777777" w:rsidR="00AE74AB" w:rsidRPr="004F63E7" w:rsidRDefault="00AE74AB" w:rsidP="00CA2A66">
            <w:pPr>
              <w:spacing w:before="20" w:afterLines="20" w:after="48"/>
              <w:ind w:left="100" w:right="100"/>
              <w:jc w:val="center"/>
              <w:rPr>
                <w:sz w:val="18"/>
                <w:szCs w:val="18"/>
              </w:rPr>
            </w:pPr>
          </w:p>
        </w:tc>
        <w:tc>
          <w:tcPr>
            <w:tcW w:w="1171" w:type="dxa"/>
            <w:shd w:val="clear" w:color="auto" w:fill="408BCA"/>
            <w:tcMar>
              <w:top w:w="0" w:type="dxa"/>
              <w:left w:w="0" w:type="dxa"/>
              <w:bottom w:w="0" w:type="dxa"/>
              <w:right w:w="0" w:type="dxa"/>
            </w:tcMar>
            <w:vAlign w:val="center"/>
          </w:tcPr>
          <w:p w14:paraId="1DF08810"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b/>
                <w:color w:val="FFFFFF"/>
                <w:sz w:val="18"/>
                <w:szCs w:val="18"/>
              </w:rPr>
              <w:t>Significant</w:t>
            </w:r>
          </w:p>
        </w:tc>
        <w:tc>
          <w:tcPr>
            <w:tcW w:w="1171" w:type="dxa"/>
            <w:shd w:val="clear" w:color="auto" w:fill="408BCA"/>
            <w:tcMar>
              <w:top w:w="0" w:type="dxa"/>
              <w:left w:w="0" w:type="dxa"/>
              <w:bottom w:w="0" w:type="dxa"/>
              <w:right w:w="0" w:type="dxa"/>
            </w:tcMar>
            <w:vAlign w:val="center"/>
          </w:tcPr>
          <w:p w14:paraId="2FA08496"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b/>
                <w:color w:val="FFFFFF"/>
                <w:sz w:val="18"/>
                <w:szCs w:val="18"/>
              </w:rPr>
              <w:t>Moderate</w:t>
            </w:r>
          </w:p>
        </w:tc>
        <w:tc>
          <w:tcPr>
            <w:tcW w:w="1171" w:type="dxa"/>
            <w:shd w:val="clear" w:color="auto" w:fill="408BCA"/>
            <w:tcMar>
              <w:top w:w="0" w:type="dxa"/>
              <w:left w:w="0" w:type="dxa"/>
              <w:bottom w:w="0" w:type="dxa"/>
              <w:right w:w="0" w:type="dxa"/>
            </w:tcMar>
            <w:vAlign w:val="center"/>
          </w:tcPr>
          <w:p w14:paraId="3C0B3FDD"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b/>
                <w:color w:val="FFFFFF"/>
                <w:sz w:val="18"/>
                <w:szCs w:val="18"/>
              </w:rPr>
              <w:t>Small</w:t>
            </w:r>
          </w:p>
        </w:tc>
        <w:tc>
          <w:tcPr>
            <w:tcW w:w="1171" w:type="dxa"/>
            <w:shd w:val="clear" w:color="auto" w:fill="408BCA"/>
            <w:tcMar>
              <w:top w:w="0" w:type="dxa"/>
              <w:left w:w="0" w:type="dxa"/>
              <w:bottom w:w="0" w:type="dxa"/>
              <w:right w:w="0" w:type="dxa"/>
            </w:tcMar>
            <w:vAlign w:val="center"/>
          </w:tcPr>
          <w:p w14:paraId="169DE52B"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b/>
                <w:color w:val="FFFFFF"/>
                <w:sz w:val="18"/>
                <w:szCs w:val="18"/>
              </w:rPr>
              <w:t>None</w:t>
            </w:r>
          </w:p>
        </w:tc>
        <w:tc>
          <w:tcPr>
            <w:tcW w:w="1172" w:type="dxa"/>
            <w:shd w:val="clear" w:color="auto" w:fill="408BCA"/>
            <w:tcMar>
              <w:top w:w="0" w:type="dxa"/>
              <w:left w:w="0" w:type="dxa"/>
              <w:bottom w:w="0" w:type="dxa"/>
              <w:right w:w="0" w:type="dxa"/>
            </w:tcMar>
            <w:vAlign w:val="center"/>
          </w:tcPr>
          <w:p w14:paraId="426D5AF8"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b/>
                <w:color w:val="FFFFFF"/>
                <w:sz w:val="18"/>
                <w:szCs w:val="18"/>
              </w:rPr>
              <w:t>Worse</w:t>
            </w:r>
          </w:p>
        </w:tc>
        <w:tc>
          <w:tcPr>
            <w:tcW w:w="1137" w:type="dxa"/>
            <w:vMerge/>
            <w:shd w:val="clear" w:color="auto" w:fill="003D79"/>
            <w:tcMar>
              <w:top w:w="0" w:type="dxa"/>
              <w:left w:w="0" w:type="dxa"/>
              <w:bottom w:w="0" w:type="dxa"/>
              <w:right w:w="0" w:type="dxa"/>
            </w:tcMar>
            <w:vAlign w:val="center"/>
          </w:tcPr>
          <w:p w14:paraId="7847A658" w14:textId="77777777" w:rsidR="00AE74AB" w:rsidRPr="004F63E7" w:rsidRDefault="00AE74AB" w:rsidP="00CA2A66">
            <w:pPr>
              <w:spacing w:before="20" w:afterLines="20" w:after="48"/>
              <w:ind w:left="100" w:right="100"/>
              <w:jc w:val="center"/>
              <w:rPr>
                <w:sz w:val="18"/>
                <w:szCs w:val="18"/>
              </w:rPr>
            </w:pPr>
          </w:p>
        </w:tc>
      </w:tr>
      <w:tr w:rsidR="008165C2" w:rsidRPr="004F63E7" w14:paraId="674B097D" w14:textId="77777777" w:rsidTr="008165C2">
        <w:trPr>
          <w:cantSplit/>
          <w:jc w:val="center"/>
        </w:trPr>
        <w:tc>
          <w:tcPr>
            <w:tcW w:w="9496" w:type="dxa"/>
            <w:gridSpan w:val="7"/>
            <w:shd w:val="clear" w:color="auto" w:fill="FFFFFF"/>
            <w:tcMar>
              <w:top w:w="0" w:type="dxa"/>
              <w:left w:w="0" w:type="dxa"/>
              <w:bottom w:w="0" w:type="dxa"/>
              <w:right w:w="0" w:type="dxa"/>
            </w:tcMar>
            <w:vAlign w:val="center"/>
          </w:tcPr>
          <w:p w14:paraId="38D1E500" w14:textId="0A4AB7BE" w:rsidR="008165C2" w:rsidRPr="004F63E7" w:rsidRDefault="008165C2" w:rsidP="00CA2A66">
            <w:pPr>
              <w:spacing w:before="20" w:afterLines="20" w:after="48"/>
              <w:ind w:left="100" w:right="100"/>
              <w:jc w:val="center"/>
              <w:rPr>
                <w:rFonts w:eastAsia="Century Gothic" w:cs="Century Gothic"/>
                <w:color w:val="000000"/>
                <w:sz w:val="18"/>
                <w:szCs w:val="18"/>
              </w:rPr>
            </w:pPr>
            <w:r w:rsidRPr="004F63E7">
              <w:rPr>
                <w:rFonts w:eastAsia="Century Gothic" w:cs="Century Gothic"/>
                <w:b/>
                <w:bCs/>
                <w:color w:val="000000"/>
                <w:sz w:val="18"/>
                <w:szCs w:val="18"/>
              </w:rPr>
              <w:t>Impact on coordination of care</w:t>
            </w:r>
          </w:p>
        </w:tc>
      </w:tr>
      <w:tr w:rsidR="00830A82" w:rsidRPr="004F63E7" w14:paraId="4C9BB526" w14:textId="77777777" w:rsidTr="00EB7C02">
        <w:trPr>
          <w:cantSplit/>
          <w:jc w:val="center"/>
        </w:trPr>
        <w:tc>
          <w:tcPr>
            <w:tcW w:w="2503" w:type="dxa"/>
            <w:shd w:val="clear" w:color="auto" w:fill="FFFFFF"/>
            <w:tcMar>
              <w:top w:w="0" w:type="dxa"/>
              <w:left w:w="0" w:type="dxa"/>
              <w:bottom w:w="0" w:type="dxa"/>
              <w:right w:w="0" w:type="dxa"/>
            </w:tcMar>
            <w:vAlign w:val="center"/>
          </w:tcPr>
          <w:p w14:paraId="44B7EE1B"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All R5 practices</w:t>
            </w:r>
          </w:p>
        </w:tc>
        <w:tc>
          <w:tcPr>
            <w:tcW w:w="1171" w:type="dxa"/>
            <w:shd w:val="clear" w:color="auto" w:fill="FFFFFF"/>
            <w:tcMar>
              <w:top w:w="0" w:type="dxa"/>
              <w:left w:w="0" w:type="dxa"/>
              <w:bottom w:w="0" w:type="dxa"/>
              <w:right w:w="0" w:type="dxa"/>
            </w:tcMar>
            <w:vAlign w:val="center"/>
          </w:tcPr>
          <w:p w14:paraId="5F3658A6"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16 (23%)</w:t>
            </w:r>
          </w:p>
        </w:tc>
        <w:tc>
          <w:tcPr>
            <w:tcW w:w="1171" w:type="dxa"/>
            <w:shd w:val="clear" w:color="auto" w:fill="FFFFFF"/>
            <w:tcMar>
              <w:top w:w="0" w:type="dxa"/>
              <w:left w:w="0" w:type="dxa"/>
              <w:bottom w:w="0" w:type="dxa"/>
              <w:right w:w="0" w:type="dxa"/>
            </w:tcMar>
            <w:vAlign w:val="center"/>
          </w:tcPr>
          <w:p w14:paraId="42F3C626"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21 (30%)</w:t>
            </w:r>
          </w:p>
        </w:tc>
        <w:tc>
          <w:tcPr>
            <w:tcW w:w="1171" w:type="dxa"/>
            <w:shd w:val="clear" w:color="auto" w:fill="FFFFFF"/>
            <w:tcMar>
              <w:top w:w="0" w:type="dxa"/>
              <w:left w:w="0" w:type="dxa"/>
              <w:bottom w:w="0" w:type="dxa"/>
              <w:right w:w="0" w:type="dxa"/>
            </w:tcMar>
            <w:vAlign w:val="center"/>
          </w:tcPr>
          <w:p w14:paraId="1D058496"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21 (30%)</w:t>
            </w:r>
          </w:p>
        </w:tc>
        <w:tc>
          <w:tcPr>
            <w:tcW w:w="1171" w:type="dxa"/>
            <w:shd w:val="clear" w:color="auto" w:fill="FFFFFF"/>
            <w:tcMar>
              <w:top w:w="0" w:type="dxa"/>
              <w:left w:w="0" w:type="dxa"/>
              <w:bottom w:w="0" w:type="dxa"/>
              <w:right w:w="0" w:type="dxa"/>
            </w:tcMar>
            <w:vAlign w:val="center"/>
          </w:tcPr>
          <w:p w14:paraId="77BC2DBB"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12 (17%)</w:t>
            </w:r>
          </w:p>
        </w:tc>
        <w:tc>
          <w:tcPr>
            <w:tcW w:w="1172" w:type="dxa"/>
            <w:shd w:val="clear" w:color="auto" w:fill="FFFFFF"/>
            <w:tcMar>
              <w:top w:w="0" w:type="dxa"/>
              <w:left w:w="0" w:type="dxa"/>
              <w:bottom w:w="0" w:type="dxa"/>
              <w:right w:w="0" w:type="dxa"/>
            </w:tcMar>
            <w:vAlign w:val="center"/>
          </w:tcPr>
          <w:p w14:paraId="09334477"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 (1%)</w:t>
            </w:r>
          </w:p>
        </w:tc>
        <w:tc>
          <w:tcPr>
            <w:tcW w:w="1137" w:type="dxa"/>
            <w:vMerge w:val="restart"/>
            <w:shd w:val="clear" w:color="auto" w:fill="FFFFFF"/>
            <w:tcMar>
              <w:top w:w="0" w:type="dxa"/>
              <w:left w:w="0" w:type="dxa"/>
              <w:bottom w:w="0" w:type="dxa"/>
              <w:right w:w="0" w:type="dxa"/>
            </w:tcMar>
            <w:vAlign w:val="center"/>
          </w:tcPr>
          <w:p w14:paraId="0ED64181" w14:textId="4F708D79"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6.375 (p=0.095)</w:t>
            </w:r>
          </w:p>
        </w:tc>
      </w:tr>
      <w:tr w:rsidR="00830A82" w:rsidRPr="004F63E7" w14:paraId="7054D8C0" w14:textId="77777777" w:rsidTr="00EB7C02">
        <w:trPr>
          <w:cantSplit/>
          <w:jc w:val="center"/>
        </w:trPr>
        <w:tc>
          <w:tcPr>
            <w:tcW w:w="2503" w:type="dxa"/>
            <w:shd w:val="clear" w:color="auto" w:fill="FFFFFF"/>
            <w:tcMar>
              <w:top w:w="0" w:type="dxa"/>
              <w:left w:w="0" w:type="dxa"/>
              <w:bottom w:w="0" w:type="dxa"/>
              <w:right w:w="0" w:type="dxa"/>
            </w:tcMar>
            <w:vAlign w:val="center"/>
          </w:tcPr>
          <w:p w14:paraId="0C8150FE"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Practice enrolled &lt;50 patients</w:t>
            </w:r>
          </w:p>
        </w:tc>
        <w:tc>
          <w:tcPr>
            <w:tcW w:w="1171" w:type="dxa"/>
            <w:shd w:val="clear" w:color="auto" w:fill="FFFFFF"/>
            <w:tcMar>
              <w:top w:w="0" w:type="dxa"/>
              <w:left w:w="0" w:type="dxa"/>
              <w:bottom w:w="0" w:type="dxa"/>
              <w:right w:w="0" w:type="dxa"/>
            </w:tcMar>
            <w:vAlign w:val="center"/>
          </w:tcPr>
          <w:p w14:paraId="580CE01C"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6 (17%)</w:t>
            </w:r>
          </w:p>
        </w:tc>
        <w:tc>
          <w:tcPr>
            <w:tcW w:w="1171" w:type="dxa"/>
            <w:shd w:val="clear" w:color="auto" w:fill="FFFFFF"/>
            <w:tcMar>
              <w:top w:w="0" w:type="dxa"/>
              <w:left w:w="0" w:type="dxa"/>
              <w:bottom w:w="0" w:type="dxa"/>
              <w:right w:w="0" w:type="dxa"/>
            </w:tcMar>
            <w:vAlign w:val="center"/>
          </w:tcPr>
          <w:p w14:paraId="00FE8916"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8 (22%)</w:t>
            </w:r>
          </w:p>
        </w:tc>
        <w:tc>
          <w:tcPr>
            <w:tcW w:w="1171" w:type="dxa"/>
            <w:shd w:val="clear" w:color="auto" w:fill="FFFFFF"/>
            <w:tcMar>
              <w:top w:w="0" w:type="dxa"/>
              <w:left w:w="0" w:type="dxa"/>
              <w:bottom w:w="0" w:type="dxa"/>
              <w:right w:w="0" w:type="dxa"/>
            </w:tcMar>
            <w:vAlign w:val="center"/>
          </w:tcPr>
          <w:p w14:paraId="3FDDCE95"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12 (33%)</w:t>
            </w:r>
          </w:p>
        </w:tc>
        <w:tc>
          <w:tcPr>
            <w:tcW w:w="1171" w:type="dxa"/>
            <w:shd w:val="clear" w:color="auto" w:fill="FFFFFF"/>
            <w:tcMar>
              <w:top w:w="0" w:type="dxa"/>
              <w:left w:w="0" w:type="dxa"/>
              <w:bottom w:w="0" w:type="dxa"/>
              <w:right w:w="0" w:type="dxa"/>
            </w:tcMar>
            <w:vAlign w:val="center"/>
          </w:tcPr>
          <w:p w14:paraId="3B4B0FCF"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10 (28%)</w:t>
            </w:r>
          </w:p>
        </w:tc>
        <w:tc>
          <w:tcPr>
            <w:tcW w:w="1172" w:type="dxa"/>
            <w:shd w:val="clear" w:color="auto" w:fill="FFFFFF"/>
            <w:tcMar>
              <w:top w:w="0" w:type="dxa"/>
              <w:left w:w="0" w:type="dxa"/>
              <w:bottom w:w="0" w:type="dxa"/>
              <w:right w:w="0" w:type="dxa"/>
            </w:tcMar>
            <w:vAlign w:val="center"/>
          </w:tcPr>
          <w:p w14:paraId="49AA49CC" w14:textId="77777777" w:rsidR="00AE74AB" w:rsidRPr="004F63E7" w:rsidRDefault="00AE74AB" w:rsidP="00CA2A66">
            <w:pPr>
              <w:spacing w:before="20" w:afterLines="20" w:after="48"/>
              <w:ind w:left="100" w:right="100"/>
              <w:jc w:val="center"/>
              <w:rPr>
                <w:sz w:val="18"/>
                <w:szCs w:val="18"/>
              </w:rPr>
            </w:pPr>
          </w:p>
        </w:tc>
        <w:tc>
          <w:tcPr>
            <w:tcW w:w="1137" w:type="dxa"/>
            <w:vMerge/>
            <w:shd w:val="clear" w:color="auto" w:fill="FFFFFF"/>
            <w:tcMar>
              <w:top w:w="0" w:type="dxa"/>
              <w:left w:w="0" w:type="dxa"/>
              <w:bottom w:w="0" w:type="dxa"/>
              <w:right w:w="0" w:type="dxa"/>
            </w:tcMar>
            <w:vAlign w:val="center"/>
          </w:tcPr>
          <w:p w14:paraId="24DDE988" w14:textId="77777777" w:rsidR="00AE74AB" w:rsidRPr="004F63E7" w:rsidRDefault="00AE74AB" w:rsidP="00CA2A66">
            <w:pPr>
              <w:spacing w:before="20" w:afterLines="20" w:after="48"/>
              <w:ind w:left="100" w:right="100"/>
              <w:jc w:val="center"/>
              <w:rPr>
                <w:sz w:val="18"/>
                <w:szCs w:val="18"/>
              </w:rPr>
            </w:pPr>
          </w:p>
        </w:tc>
      </w:tr>
      <w:tr w:rsidR="00830A82" w:rsidRPr="004F63E7" w14:paraId="2C49F6DB" w14:textId="77777777" w:rsidTr="00EB7C02">
        <w:trPr>
          <w:cantSplit/>
          <w:jc w:val="center"/>
        </w:trPr>
        <w:tc>
          <w:tcPr>
            <w:tcW w:w="2503" w:type="dxa"/>
            <w:shd w:val="clear" w:color="auto" w:fill="FFFFFF"/>
            <w:tcMar>
              <w:top w:w="0" w:type="dxa"/>
              <w:left w:w="0" w:type="dxa"/>
              <w:bottom w:w="0" w:type="dxa"/>
              <w:right w:w="0" w:type="dxa"/>
            </w:tcMar>
            <w:vAlign w:val="center"/>
          </w:tcPr>
          <w:p w14:paraId="020C2F7F"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Practice enrolled 50+ patients</w:t>
            </w:r>
          </w:p>
        </w:tc>
        <w:tc>
          <w:tcPr>
            <w:tcW w:w="1171" w:type="dxa"/>
            <w:shd w:val="clear" w:color="auto" w:fill="FFFFFF"/>
            <w:tcMar>
              <w:top w:w="0" w:type="dxa"/>
              <w:left w:w="0" w:type="dxa"/>
              <w:bottom w:w="0" w:type="dxa"/>
              <w:right w:w="0" w:type="dxa"/>
            </w:tcMar>
            <w:vAlign w:val="center"/>
          </w:tcPr>
          <w:p w14:paraId="2886C46D"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10 (29%)</w:t>
            </w:r>
          </w:p>
        </w:tc>
        <w:tc>
          <w:tcPr>
            <w:tcW w:w="1171" w:type="dxa"/>
            <w:shd w:val="clear" w:color="auto" w:fill="FFFFFF"/>
            <w:tcMar>
              <w:top w:w="0" w:type="dxa"/>
              <w:left w:w="0" w:type="dxa"/>
              <w:bottom w:w="0" w:type="dxa"/>
              <w:right w:w="0" w:type="dxa"/>
            </w:tcMar>
            <w:vAlign w:val="center"/>
          </w:tcPr>
          <w:p w14:paraId="552A404C"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13 (37%)</w:t>
            </w:r>
          </w:p>
        </w:tc>
        <w:tc>
          <w:tcPr>
            <w:tcW w:w="1171" w:type="dxa"/>
            <w:shd w:val="clear" w:color="auto" w:fill="FFFFFF"/>
            <w:tcMar>
              <w:top w:w="0" w:type="dxa"/>
              <w:left w:w="0" w:type="dxa"/>
              <w:bottom w:w="0" w:type="dxa"/>
              <w:right w:w="0" w:type="dxa"/>
            </w:tcMar>
            <w:vAlign w:val="center"/>
          </w:tcPr>
          <w:p w14:paraId="50F18504"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9 (26%)</w:t>
            </w:r>
          </w:p>
        </w:tc>
        <w:tc>
          <w:tcPr>
            <w:tcW w:w="1171" w:type="dxa"/>
            <w:shd w:val="clear" w:color="auto" w:fill="FFFFFF"/>
            <w:tcMar>
              <w:top w:w="0" w:type="dxa"/>
              <w:left w:w="0" w:type="dxa"/>
              <w:bottom w:w="0" w:type="dxa"/>
              <w:right w:w="0" w:type="dxa"/>
            </w:tcMar>
            <w:vAlign w:val="center"/>
          </w:tcPr>
          <w:p w14:paraId="5C88C963"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2 (6%)</w:t>
            </w:r>
          </w:p>
        </w:tc>
        <w:tc>
          <w:tcPr>
            <w:tcW w:w="1172" w:type="dxa"/>
            <w:shd w:val="clear" w:color="auto" w:fill="FFFFFF"/>
            <w:tcMar>
              <w:top w:w="0" w:type="dxa"/>
              <w:left w:w="0" w:type="dxa"/>
              <w:bottom w:w="0" w:type="dxa"/>
              <w:right w:w="0" w:type="dxa"/>
            </w:tcMar>
            <w:vAlign w:val="center"/>
          </w:tcPr>
          <w:p w14:paraId="06A2BA21"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 (3%)</w:t>
            </w:r>
          </w:p>
        </w:tc>
        <w:tc>
          <w:tcPr>
            <w:tcW w:w="1137" w:type="dxa"/>
            <w:vMerge/>
            <w:shd w:val="clear" w:color="auto" w:fill="FFFFFF"/>
            <w:tcMar>
              <w:top w:w="0" w:type="dxa"/>
              <w:left w:w="0" w:type="dxa"/>
              <w:bottom w:w="0" w:type="dxa"/>
              <w:right w:w="0" w:type="dxa"/>
            </w:tcMar>
            <w:vAlign w:val="center"/>
          </w:tcPr>
          <w:p w14:paraId="2BCB2B54" w14:textId="77777777" w:rsidR="00AE74AB" w:rsidRPr="004F63E7" w:rsidRDefault="00AE74AB" w:rsidP="00CA2A66">
            <w:pPr>
              <w:spacing w:before="20" w:afterLines="20" w:after="48"/>
              <w:ind w:left="100" w:right="100"/>
              <w:jc w:val="center"/>
              <w:rPr>
                <w:sz w:val="18"/>
                <w:szCs w:val="18"/>
              </w:rPr>
            </w:pPr>
          </w:p>
        </w:tc>
      </w:tr>
      <w:tr w:rsidR="008165C2" w:rsidRPr="004F63E7" w14:paraId="028CACD8" w14:textId="77777777" w:rsidTr="008165C2">
        <w:trPr>
          <w:cantSplit/>
          <w:jc w:val="center"/>
        </w:trPr>
        <w:tc>
          <w:tcPr>
            <w:tcW w:w="9496" w:type="dxa"/>
            <w:gridSpan w:val="7"/>
            <w:shd w:val="clear" w:color="auto" w:fill="FFFFFF"/>
            <w:tcMar>
              <w:top w:w="0" w:type="dxa"/>
              <w:left w:w="0" w:type="dxa"/>
              <w:bottom w:w="0" w:type="dxa"/>
              <w:right w:w="0" w:type="dxa"/>
            </w:tcMar>
            <w:vAlign w:val="center"/>
          </w:tcPr>
          <w:p w14:paraId="363AA304" w14:textId="72049CC8" w:rsidR="008165C2" w:rsidRPr="004F63E7" w:rsidRDefault="008165C2" w:rsidP="00CA2A66">
            <w:pPr>
              <w:spacing w:before="20" w:afterLines="20" w:after="48"/>
              <w:ind w:left="100" w:right="100"/>
              <w:jc w:val="center"/>
              <w:rPr>
                <w:rFonts w:eastAsia="Century Gothic" w:cs="Century Gothic"/>
                <w:color w:val="000000"/>
                <w:sz w:val="18"/>
                <w:szCs w:val="18"/>
              </w:rPr>
            </w:pPr>
            <w:r w:rsidRPr="004F63E7">
              <w:rPr>
                <w:rFonts w:eastAsia="Century Gothic" w:cs="Century Gothic"/>
                <w:b/>
                <w:bCs/>
                <w:color w:val="000000"/>
                <w:sz w:val="18"/>
                <w:szCs w:val="18"/>
              </w:rPr>
              <w:t>Impact on quality of care</w:t>
            </w:r>
          </w:p>
        </w:tc>
      </w:tr>
      <w:tr w:rsidR="00830A82" w:rsidRPr="004F63E7" w14:paraId="103CE700" w14:textId="77777777" w:rsidTr="00EB7C02">
        <w:trPr>
          <w:cantSplit/>
          <w:jc w:val="center"/>
        </w:trPr>
        <w:tc>
          <w:tcPr>
            <w:tcW w:w="2503" w:type="dxa"/>
            <w:shd w:val="clear" w:color="auto" w:fill="FFFFFF"/>
            <w:tcMar>
              <w:top w:w="0" w:type="dxa"/>
              <w:left w:w="0" w:type="dxa"/>
              <w:bottom w:w="0" w:type="dxa"/>
              <w:right w:w="0" w:type="dxa"/>
            </w:tcMar>
            <w:vAlign w:val="center"/>
          </w:tcPr>
          <w:p w14:paraId="69CF8C85"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All R5 practices</w:t>
            </w:r>
          </w:p>
        </w:tc>
        <w:tc>
          <w:tcPr>
            <w:tcW w:w="1171" w:type="dxa"/>
            <w:shd w:val="clear" w:color="auto" w:fill="FFFFFF"/>
            <w:tcMar>
              <w:top w:w="0" w:type="dxa"/>
              <w:left w:w="0" w:type="dxa"/>
              <w:bottom w:w="0" w:type="dxa"/>
              <w:right w:w="0" w:type="dxa"/>
            </w:tcMar>
            <w:vAlign w:val="center"/>
          </w:tcPr>
          <w:p w14:paraId="5A4EB10B"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15 (23%)</w:t>
            </w:r>
          </w:p>
        </w:tc>
        <w:tc>
          <w:tcPr>
            <w:tcW w:w="1171" w:type="dxa"/>
            <w:shd w:val="clear" w:color="auto" w:fill="FFFFFF"/>
            <w:tcMar>
              <w:top w:w="0" w:type="dxa"/>
              <w:left w:w="0" w:type="dxa"/>
              <w:bottom w:w="0" w:type="dxa"/>
              <w:right w:w="0" w:type="dxa"/>
            </w:tcMar>
            <w:vAlign w:val="center"/>
          </w:tcPr>
          <w:p w14:paraId="17EAE4F7"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17 (26%)</w:t>
            </w:r>
          </w:p>
        </w:tc>
        <w:tc>
          <w:tcPr>
            <w:tcW w:w="1171" w:type="dxa"/>
            <w:shd w:val="clear" w:color="auto" w:fill="FFFFFF"/>
            <w:tcMar>
              <w:top w:w="0" w:type="dxa"/>
              <w:left w:w="0" w:type="dxa"/>
              <w:bottom w:w="0" w:type="dxa"/>
              <w:right w:w="0" w:type="dxa"/>
            </w:tcMar>
            <w:vAlign w:val="center"/>
          </w:tcPr>
          <w:p w14:paraId="295E95C6"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18 (27%)</w:t>
            </w:r>
          </w:p>
        </w:tc>
        <w:tc>
          <w:tcPr>
            <w:tcW w:w="1171" w:type="dxa"/>
            <w:shd w:val="clear" w:color="auto" w:fill="FFFFFF"/>
            <w:tcMar>
              <w:top w:w="0" w:type="dxa"/>
              <w:left w:w="0" w:type="dxa"/>
              <w:bottom w:w="0" w:type="dxa"/>
              <w:right w:w="0" w:type="dxa"/>
            </w:tcMar>
            <w:vAlign w:val="center"/>
          </w:tcPr>
          <w:p w14:paraId="2CA48FB1"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16 (24%)</w:t>
            </w:r>
          </w:p>
        </w:tc>
        <w:tc>
          <w:tcPr>
            <w:tcW w:w="1172" w:type="dxa"/>
            <w:shd w:val="clear" w:color="auto" w:fill="FFFFFF"/>
            <w:tcMar>
              <w:top w:w="0" w:type="dxa"/>
              <w:left w:w="0" w:type="dxa"/>
              <w:bottom w:w="0" w:type="dxa"/>
              <w:right w:w="0" w:type="dxa"/>
            </w:tcMar>
            <w:vAlign w:val="center"/>
          </w:tcPr>
          <w:p w14:paraId="40294D12" w14:textId="77777777" w:rsidR="00AE74AB" w:rsidRPr="004F63E7" w:rsidRDefault="00AE74AB" w:rsidP="00CA2A66">
            <w:pPr>
              <w:spacing w:before="20" w:afterLines="20" w:after="48"/>
              <w:ind w:left="100" w:right="100"/>
              <w:jc w:val="center"/>
              <w:rPr>
                <w:sz w:val="18"/>
                <w:szCs w:val="18"/>
              </w:rPr>
            </w:pPr>
          </w:p>
        </w:tc>
        <w:tc>
          <w:tcPr>
            <w:tcW w:w="1137" w:type="dxa"/>
            <w:vMerge w:val="restart"/>
            <w:shd w:val="clear" w:color="auto" w:fill="FFFFFF"/>
            <w:tcMar>
              <w:top w:w="0" w:type="dxa"/>
              <w:left w:w="0" w:type="dxa"/>
              <w:bottom w:w="0" w:type="dxa"/>
              <w:right w:w="0" w:type="dxa"/>
            </w:tcMar>
            <w:vAlign w:val="center"/>
          </w:tcPr>
          <w:p w14:paraId="0B7E883B" w14:textId="2BF02E94"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4.668 (p=0.198)</w:t>
            </w:r>
          </w:p>
        </w:tc>
      </w:tr>
      <w:tr w:rsidR="00830A82" w:rsidRPr="004F63E7" w14:paraId="07EBB0DF" w14:textId="77777777" w:rsidTr="00EB7C02">
        <w:trPr>
          <w:cantSplit/>
          <w:jc w:val="center"/>
        </w:trPr>
        <w:tc>
          <w:tcPr>
            <w:tcW w:w="2503" w:type="dxa"/>
            <w:shd w:val="clear" w:color="auto" w:fill="FFFFFF"/>
            <w:tcMar>
              <w:top w:w="0" w:type="dxa"/>
              <w:left w:w="0" w:type="dxa"/>
              <w:bottom w:w="0" w:type="dxa"/>
              <w:right w:w="0" w:type="dxa"/>
            </w:tcMar>
            <w:vAlign w:val="center"/>
          </w:tcPr>
          <w:p w14:paraId="0B769AE2"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Practice enrolled &lt;50 patients</w:t>
            </w:r>
          </w:p>
        </w:tc>
        <w:tc>
          <w:tcPr>
            <w:tcW w:w="1171" w:type="dxa"/>
            <w:shd w:val="clear" w:color="auto" w:fill="FFFFFF"/>
            <w:tcMar>
              <w:top w:w="0" w:type="dxa"/>
              <w:left w:w="0" w:type="dxa"/>
              <w:bottom w:w="0" w:type="dxa"/>
              <w:right w:w="0" w:type="dxa"/>
            </w:tcMar>
            <w:vAlign w:val="center"/>
          </w:tcPr>
          <w:p w14:paraId="60208633"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5 (15%)</w:t>
            </w:r>
          </w:p>
        </w:tc>
        <w:tc>
          <w:tcPr>
            <w:tcW w:w="1171" w:type="dxa"/>
            <w:shd w:val="clear" w:color="auto" w:fill="FFFFFF"/>
            <w:tcMar>
              <w:top w:w="0" w:type="dxa"/>
              <w:left w:w="0" w:type="dxa"/>
              <w:bottom w:w="0" w:type="dxa"/>
              <w:right w:w="0" w:type="dxa"/>
            </w:tcMar>
            <w:vAlign w:val="center"/>
          </w:tcPr>
          <w:p w14:paraId="5AC931E9"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7 (21%)</w:t>
            </w:r>
          </w:p>
        </w:tc>
        <w:tc>
          <w:tcPr>
            <w:tcW w:w="1171" w:type="dxa"/>
            <w:shd w:val="clear" w:color="auto" w:fill="FFFFFF"/>
            <w:tcMar>
              <w:top w:w="0" w:type="dxa"/>
              <w:left w:w="0" w:type="dxa"/>
              <w:bottom w:w="0" w:type="dxa"/>
              <w:right w:w="0" w:type="dxa"/>
            </w:tcMar>
            <w:vAlign w:val="center"/>
          </w:tcPr>
          <w:p w14:paraId="738C9A3F"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10 (30%)</w:t>
            </w:r>
          </w:p>
        </w:tc>
        <w:tc>
          <w:tcPr>
            <w:tcW w:w="1171" w:type="dxa"/>
            <w:shd w:val="clear" w:color="auto" w:fill="FFFFFF"/>
            <w:tcMar>
              <w:top w:w="0" w:type="dxa"/>
              <w:left w:w="0" w:type="dxa"/>
              <w:bottom w:w="0" w:type="dxa"/>
              <w:right w:w="0" w:type="dxa"/>
            </w:tcMar>
            <w:vAlign w:val="center"/>
          </w:tcPr>
          <w:p w14:paraId="74066496"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11 (33%)</w:t>
            </w:r>
          </w:p>
        </w:tc>
        <w:tc>
          <w:tcPr>
            <w:tcW w:w="1172" w:type="dxa"/>
            <w:shd w:val="clear" w:color="auto" w:fill="FFFFFF"/>
            <w:tcMar>
              <w:top w:w="0" w:type="dxa"/>
              <w:left w:w="0" w:type="dxa"/>
              <w:bottom w:w="0" w:type="dxa"/>
              <w:right w:w="0" w:type="dxa"/>
            </w:tcMar>
            <w:vAlign w:val="center"/>
          </w:tcPr>
          <w:p w14:paraId="344DB884" w14:textId="77777777" w:rsidR="00AE74AB" w:rsidRPr="004F63E7" w:rsidRDefault="00AE74AB" w:rsidP="00CA2A66">
            <w:pPr>
              <w:spacing w:before="20" w:afterLines="20" w:after="48"/>
              <w:ind w:left="100" w:right="100"/>
              <w:jc w:val="center"/>
              <w:rPr>
                <w:sz w:val="18"/>
                <w:szCs w:val="18"/>
              </w:rPr>
            </w:pPr>
          </w:p>
        </w:tc>
        <w:tc>
          <w:tcPr>
            <w:tcW w:w="1137" w:type="dxa"/>
            <w:vMerge/>
            <w:shd w:val="clear" w:color="auto" w:fill="FFFFFF"/>
            <w:tcMar>
              <w:top w:w="0" w:type="dxa"/>
              <w:left w:w="0" w:type="dxa"/>
              <w:bottom w:w="0" w:type="dxa"/>
              <w:right w:w="0" w:type="dxa"/>
            </w:tcMar>
            <w:vAlign w:val="center"/>
          </w:tcPr>
          <w:p w14:paraId="24AC7AB1" w14:textId="77777777" w:rsidR="00AE74AB" w:rsidRPr="004F63E7" w:rsidRDefault="00AE74AB" w:rsidP="00CA2A66">
            <w:pPr>
              <w:spacing w:before="20" w:afterLines="20" w:after="48"/>
              <w:ind w:left="100" w:right="100"/>
              <w:jc w:val="center"/>
              <w:rPr>
                <w:sz w:val="18"/>
                <w:szCs w:val="18"/>
              </w:rPr>
            </w:pPr>
          </w:p>
        </w:tc>
      </w:tr>
      <w:tr w:rsidR="00830A82" w:rsidRPr="004F63E7" w14:paraId="7A858AE8" w14:textId="77777777" w:rsidTr="00EB7C02">
        <w:trPr>
          <w:cantSplit/>
          <w:jc w:val="center"/>
        </w:trPr>
        <w:tc>
          <w:tcPr>
            <w:tcW w:w="2503" w:type="dxa"/>
            <w:shd w:val="clear" w:color="auto" w:fill="FFFFFF"/>
            <w:tcMar>
              <w:top w:w="0" w:type="dxa"/>
              <w:left w:w="0" w:type="dxa"/>
              <w:bottom w:w="0" w:type="dxa"/>
              <w:right w:w="0" w:type="dxa"/>
            </w:tcMar>
            <w:vAlign w:val="center"/>
          </w:tcPr>
          <w:p w14:paraId="77ED02F2"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Practice enrolled 50+ patients</w:t>
            </w:r>
          </w:p>
        </w:tc>
        <w:tc>
          <w:tcPr>
            <w:tcW w:w="1171" w:type="dxa"/>
            <w:shd w:val="clear" w:color="auto" w:fill="FFFFFF"/>
            <w:tcMar>
              <w:top w:w="0" w:type="dxa"/>
              <w:left w:w="0" w:type="dxa"/>
              <w:bottom w:w="0" w:type="dxa"/>
              <w:right w:w="0" w:type="dxa"/>
            </w:tcMar>
            <w:vAlign w:val="center"/>
          </w:tcPr>
          <w:p w14:paraId="5A96F6FF"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10 (30%)</w:t>
            </w:r>
          </w:p>
        </w:tc>
        <w:tc>
          <w:tcPr>
            <w:tcW w:w="1171" w:type="dxa"/>
            <w:shd w:val="clear" w:color="auto" w:fill="FFFFFF"/>
            <w:tcMar>
              <w:top w:w="0" w:type="dxa"/>
              <w:left w:w="0" w:type="dxa"/>
              <w:bottom w:w="0" w:type="dxa"/>
              <w:right w:w="0" w:type="dxa"/>
            </w:tcMar>
            <w:vAlign w:val="center"/>
          </w:tcPr>
          <w:p w14:paraId="6C8E82DB"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10 (30%)</w:t>
            </w:r>
          </w:p>
        </w:tc>
        <w:tc>
          <w:tcPr>
            <w:tcW w:w="1171" w:type="dxa"/>
            <w:shd w:val="clear" w:color="auto" w:fill="FFFFFF"/>
            <w:tcMar>
              <w:top w:w="0" w:type="dxa"/>
              <w:left w:w="0" w:type="dxa"/>
              <w:bottom w:w="0" w:type="dxa"/>
              <w:right w:w="0" w:type="dxa"/>
            </w:tcMar>
            <w:vAlign w:val="center"/>
          </w:tcPr>
          <w:p w14:paraId="323EECD1"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8 (24%)</w:t>
            </w:r>
          </w:p>
        </w:tc>
        <w:tc>
          <w:tcPr>
            <w:tcW w:w="1171" w:type="dxa"/>
            <w:shd w:val="clear" w:color="auto" w:fill="FFFFFF"/>
            <w:tcMar>
              <w:top w:w="0" w:type="dxa"/>
              <w:left w:w="0" w:type="dxa"/>
              <w:bottom w:w="0" w:type="dxa"/>
              <w:right w:w="0" w:type="dxa"/>
            </w:tcMar>
            <w:vAlign w:val="center"/>
          </w:tcPr>
          <w:p w14:paraId="330FDF13"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5 (15%)</w:t>
            </w:r>
          </w:p>
        </w:tc>
        <w:tc>
          <w:tcPr>
            <w:tcW w:w="1172" w:type="dxa"/>
            <w:shd w:val="clear" w:color="auto" w:fill="FFFFFF"/>
            <w:tcMar>
              <w:top w:w="0" w:type="dxa"/>
              <w:left w:w="0" w:type="dxa"/>
              <w:bottom w:w="0" w:type="dxa"/>
              <w:right w:w="0" w:type="dxa"/>
            </w:tcMar>
            <w:vAlign w:val="center"/>
          </w:tcPr>
          <w:p w14:paraId="02EDAAE1" w14:textId="77777777" w:rsidR="00AE74AB" w:rsidRPr="004F63E7" w:rsidRDefault="00AE74AB" w:rsidP="00CA2A66">
            <w:pPr>
              <w:spacing w:before="20" w:afterLines="20" w:after="48"/>
              <w:ind w:left="100" w:right="100"/>
              <w:jc w:val="center"/>
              <w:rPr>
                <w:sz w:val="18"/>
                <w:szCs w:val="18"/>
              </w:rPr>
            </w:pPr>
          </w:p>
        </w:tc>
        <w:tc>
          <w:tcPr>
            <w:tcW w:w="1137" w:type="dxa"/>
            <w:vMerge/>
            <w:shd w:val="clear" w:color="auto" w:fill="FFFFFF"/>
            <w:tcMar>
              <w:top w:w="0" w:type="dxa"/>
              <w:left w:w="0" w:type="dxa"/>
              <w:bottom w:w="0" w:type="dxa"/>
              <w:right w:w="0" w:type="dxa"/>
            </w:tcMar>
            <w:vAlign w:val="center"/>
          </w:tcPr>
          <w:p w14:paraId="72C13E72" w14:textId="77777777" w:rsidR="00AE74AB" w:rsidRPr="004F63E7" w:rsidRDefault="00AE74AB" w:rsidP="00CA2A66">
            <w:pPr>
              <w:spacing w:before="20" w:afterLines="20" w:after="48"/>
              <w:ind w:left="100" w:right="100"/>
              <w:jc w:val="center"/>
              <w:rPr>
                <w:sz w:val="18"/>
                <w:szCs w:val="18"/>
              </w:rPr>
            </w:pPr>
          </w:p>
        </w:tc>
      </w:tr>
      <w:tr w:rsidR="008165C2" w:rsidRPr="004F63E7" w14:paraId="4CB7D541" w14:textId="77777777" w:rsidTr="008165C2">
        <w:trPr>
          <w:cantSplit/>
          <w:jc w:val="center"/>
        </w:trPr>
        <w:tc>
          <w:tcPr>
            <w:tcW w:w="9496" w:type="dxa"/>
            <w:gridSpan w:val="7"/>
            <w:shd w:val="clear" w:color="auto" w:fill="FFFFFF"/>
            <w:tcMar>
              <w:top w:w="0" w:type="dxa"/>
              <w:left w:w="0" w:type="dxa"/>
              <w:bottom w:w="0" w:type="dxa"/>
              <w:right w:w="0" w:type="dxa"/>
            </w:tcMar>
            <w:vAlign w:val="center"/>
          </w:tcPr>
          <w:p w14:paraId="40425B5D" w14:textId="7B0D7693" w:rsidR="008165C2" w:rsidRPr="004F63E7" w:rsidRDefault="008165C2" w:rsidP="00CA2A66">
            <w:pPr>
              <w:spacing w:before="20" w:afterLines="20" w:after="48"/>
              <w:ind w:left="100" w:right="100"/>
              <w:jc w:val="center"/>
              <w:rPr>
                <w:rFonts w:eastAsia="Century Gothic" w:cs="Century Gothic"/>
                <w:color w:val="000000"/>
                <w:sz w:val="18"/>
                <w:szCs w:val="18"/>
              </w:rPr>
            </w:pPr>
            <w:r w:rsidRPr="004F63E7">
              <w:rPr>
                <w:rFonts w:eastAsia="Century Gothic" w:cs="Century Gothic"/>
                <w:b/>
                <w:bCs/>
                <w:color w:val="000000"/>
                <w:sz w:val="18"/>
                <w:szCs w:val="18"/>
              </w:rPr>
              <w:t>Impact on patient outcomes</w:t>
            </w:r>
          </w:p>
        </w:tc>
      </w:tr>
      <w:tr w:rsidR="00830A82" w:rsidRPr="004F63E7" w14:paraId="289BA698" w14:textId="77777777" w:rsidTr="00EB7C02">
        <w:trPr>
          <w:cantSplit/>
          <w:jc w:val="center"/>
        </w:trPr>
        <w:tc>
          <w:tcPr>
            <w:tcW w:w="2503" w:type="dxa"/>
            <w:shd w:val="clear" w:color="auto" w:fill="FFFFFF"/>
            <w:tcMar>
              <w:top w:w="0" w:type="dxa"/>
              <w:left w:w="0" w:type="dxa"/>
              <w:bottom w:w="0" w:type="dxa"/>
              <w:right w:w="0" w:type="dxa"/>
            </w:tcMar>
            <w:vAlign w:val="center"/>
          </w:tcPr>
          <w:p w14:paraId="437CE99E"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All R5 practices</w:t>
            </w:r>
          </w:p>
        </w:tc>
        <w:tc>
          <w:tcPr>
            <w:tcW w:w="1171" w:type="dxa"/>
            <w:shd w:val="clear" w:color="auto" w:fill="FFFFFF"/>
            <w:tcMar>
              <w:top w:w="0" w:type="dxa"/>
              <w:left w:w="0" w:type="dxa"/>
              <w:bottom w:w="0" w:type="dxa"/>
              <w:right w:w="0" w:type="dxa"/>
            </w:tcMar>
            <w:vAlign w:val="center"/>
          </w:tcPr>
          <w:p w14:paraId="2A1B256C"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9 (14%)</w:t>
            </w:r>
          </w:p>
        </w:tc>
        <w:tc>
          <w:tcPr>
            <w:tcW w:w="1171" w:type="dxa"/>
            <w:shd w:val="clear" w:color="auto" w:fill="FFFFFF"/>
            <w:tcMar>
              <w:top w:w="0" w:type="dxa"/>
              <w:left w:w="0" w:type="dxa"/>
              <w:bottom w:w="0" w:type="dxa"/>
              <w:right w:w="0" w:type="dxa"/>
            </w:tcMar>
            <w:vAlign w:val="center"/>
          </w:tcPr>
          <w:p w14:paraId="6E775D99"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19 (30%)</w:t>
            </w:r>
          </w:p>
        </w:tc>
        <w:tc>
          <w:tcPr>
            <w:tcW w:w="1171" w:type="dxa"/>
            <w:shd w:val="clear" w:color="auto" w:fill="FFFFFF"/>
            <w:tcMar>
              <w:top w:w="0" w:type="dxa"/>
              <w:left w:w="0" w:type="dxa"/>
              <w:bottom w:w="0" w:type="dxa"/>
              <w:right w:w="0" w:type="dxa"/>
            </w:tcMar>
            <w:vAlign w:val="center"/>
          </w:tcPr>
          <w:p w14:paraId="744EADB7"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23 (37%)</w:t>
            </w:r>
          </w:p>
        </w:tc>
        <w:tc>
          <w:tcPr>
            <w:tcW w:w="1171" w:type="dxa"/>
            <w:shd w:val="clear" w:color="auto" w:fill="FFFFFF"/>
            <w:tcMar>
              <w:top w:w="0" w:type="dxa"/>
              <w:left w:w="0" w:type="dxa"/>
              <w:bottom w:w="0" w:type="dxa"/>
              <w:right w:w="0" w:type="dxa"/>
            </w:tcMar>
            <w:vAlign w:val="center"/>
          </w:tcPr>
          <w:p w14:paraId="096B3E7E"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12 (19%)</w:t>
            </w:r>
          </w:p>
        </w:tc>
        <w:tc>
          <w:tcPr>
            <w:tcW w:w="1172" w:type="dxa"/>
            <w:shd w:val="clear" w:color="auto" w:fill="FFFFFF"/>
            <w:tcMar>
              <w:top w:w="0" w:type="dxa"/>
              <w:left w:w="0" w:type="dxa"/>
              <w:bottom w:w="0" w:type="dxa"/>
              <w:right w:w="0" w:type="dxa"/>
            </w:tcMar>
            <w:vAlign w:val="center"/>
          </w:tcPr>
          <w:p w14:paraId="724928BC" w14:textId="77777777" w:rsidR="00AE74AB" w:rsidRPr="004F63E7" w:rsidRDefault="00AE74AB" w:rsidP="00CA2A66">
            <w:pPr>
              <w:spacing w:before="20" w:afterLines="20" w:after="48"/>
              <w:ind w:left="100" w:right="100"/>
              <w:jc w:val="center"/>
              <w:rPr>
                <w:sz w:val="18"/>
                <w:szCs w:val="18"/>
              </w:rPr>
            </w:pPr>
          </w:p>
        </w:tc>
        <w:tc>
          <w:tcPr>
            <w:tcW w:w="1137" w:type="dxa"/>
            <w:vMerge w:val="restart"/>
            <w:shd w:val="clear" w:color="auto" w:fill="FFFFFF"/>
            <w:tcMar>
              <w:top w:w="0" w:type="dxa"/>
              <w:left w:w="0" w:type="dxa"/>
              <w:bottom w:w="0" w:type="dxa"/>
              <w:right w:w="0" w:type="dxa"/>
            </w:tcMar>
            <w:vAlign w:val="center"/>
          </w:tcPr>
          <w:p w14:paraId="7BACA0A4" w14:textId="3837B284"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4.081 (p=0.253)</w:t>
            </w:r>
          </w:p>
        </w:tc>
      </w:tr>
      <w:tr w:rsidR="00830A82" w:rsidRPr="004F63E7" w14:paraId="210CD5D2" w14:textId="77777777" w:rsidTr="00EB7C02">
        <w:trPr>
          <w:cantSplit/>
          <w:jc w:val="center"/>
        </w:trPr>
        <w:tc>
          <w:tcPr>
            <w:tcW w:w="2503" w:type="dxa"/>
            <w:shd w:val="clear" w:color="auto" w:fill="FFFFFF"/>
            <w:tcMar>
              <w:top w:w="0" w:type="dxa"/>
              <w:left w:w="0" w:type="dxa"/>
              <w:bottom w:w="0" w:type="dxa"/>
              <w:right w:w="0" w:type="dxa"/>
            </w:tcMar>
            <w:vAlign w:val="center"/>
          </w:tcPr>
          <w:p w14:paraId="7652E829"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Practice enrolled &lt;50 patients</w:t>
            </w:r>
          </w:p>
        </w:tc>
        <w:tc>
          <w:tcPr>
            <w:tcW w:w="1171" w:type="dxa"/>
            <w:shd w:val="clear" w:color="auto" w:fill="FFFFFF"/>
            <w:tcMar>
              <w:top w:w="0" w:type="dxa"/>
              <w:left w:w="0" w:type="dxa"/>
              <w:bottom w:w="0" w:type="dxa"/>
              <w:right w:w="0" w:type="dxa"/>
            </w:tcMar>
            <w:vAlign w:val="center"/>
          </w:tcPr>
          <w:p w14:paraId="65A17004"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3 (9%)</w:t>
            </w:r>
          </w:p>
        </w:tc>
        <w:tc>
          <w:tcPr>
            <w:tcW w:w="1171" w:type="dxa"/>
            <w:shd w:val="clear" w:color="auto" w:fill="FFFFFF"/>
            <w:tcMar>
              <w:top w:w="0" w:type="dxa"/>
              <w:left w:w="0" w:type="dxa"/>
              <w:bottom w:w="0" w:type="dxa"/>
              <w:right w:w="0" w:type="dxa"/>
            </w:tcMar>
            <w:vAlign w:val="center"/>
          </w:tcPr>
          <w:p w14:paraId="7D5344DB"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9 (28%)</w:t>
            </w:r>
          </w:p>
        </w:tc>
        <w:tc>
          <w:tcPr>
            <w:tcW w:w="1171" w:type="dxa"/>
            <w:shd w:val="clear" w:color="auto" w:fill="FFFFFF"/>
            <w:tcMar>
              <w:top w:w="0" w:type="dxa"/>
              <w:left w:w="0" w:type="dxa"/>
              <w:bottom w:w="0" w:type="dxa"/>
              <w:right w:w="0" w:type="dxa"/>
            </w:tcMar>
            <w:vAlign w:val="center"/>
          </w:tcPr>
          <w:p w14:paraId="7E858BFA"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11 (34%)</w:t>
            </w:r>
          </w:p>
        </w:tc>
        <w:tc>
          <w:tcPr>
            <w:tcW w:w="1171" w:type="dxa"/>
            <w:shd w:val="clear" w:color="auto" w:fill="FFFFFF"/>
            <w:tcMar>
              <w:top w:w="0" w:type="dxa"/>
              <w:left w:w="0" w:type="dxa"/>
              <w:bottom w:w="0" w:type="dxa"/>
              <w:right w:w="0" w:type="dxa"/>
            </w:tcMar>
            <w:vAlign w:val="center"/>
          </w:tcPr>
          <w:p w14:paraId="6457F0ED"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9 (28%)</w:t>
            </w:r>
          </w:p>
        </w:tc>
        <w:tc>
          <w:tcPr>
            <w:tcW w:w="1172" w:type="dxa"/>
            <w:shd w:val="clear" w:color="auto" w:fill="FFFFFF"/>
            <w:tcMar>
              <w:top w:w="0" w:type="dxa"/>
              <w:left w:w="0" w:type="dxa"/>
              <w:bottom w:w="0" w:type="dxa"/>
              <w:right w:w="0" w:type="dxa"/>
            </w:tcMar>
            <w:vAlign w:val="center"/>
          </w:tcPr>
          <w:p w14:paraId="1CC29EB9" w14:textId="77777777" w:rsidR="00AE74AB" w:rsidRPr="004F63E7" w:rsidRDefault="00AE74AB" w:rsidP="00CA2A66">
            <w:pPr>
              <w:spacing w:before="20" w:afterLines="20" w:after="48"/>
              <w:ind w:left="100" w:right="100"/>
              <w:jc w:val="center"/>
              <w:rPr>
                <w:sz w:val="18"/>
                <w:szCs w:val="18"/>
              </w:rPr>
            </w:pPr>
          </w:p>
        </w:tc>
        <w:tc>
          <w:tcPr>
            <w:tcW w:w="1137" w:type="dxa"/>
            <w:vMerge/>
            <w:shd w:val="clear" w:color="auto" w:fill="FFFFFF"/>
            <w:tcMar>
              <w:top w:w="0" w:type="dxa"/>
              <w:left w:w="0" w:type="dxa"/>
              <w:bottom w:w="0" w:type="dxa"/>
              <w:right w:w="0" w:type="dxa"/>
            </w:tcMar>
            <w:vAlign w:val="center"/>
          </w:tcPr>
          <w:p w14:paraId="714FE4E3" w14:textId="77777777" w:rsidR="00AE74AB" w:rsidRPr="004F63E7" w:rsidRDefault="00AE74AB" w:rsidP="00CA2A66">
            <w:pPr>
              <w:spacing w:before="20" w:afterLines="20" w:after="48"/>
              <w:ind w:left="100" w:right="100"/>
              <w:jc w:val="center"/>
              <w:rPr>
                <w:sz w:val="18"/>
                <w:szCs w:val="18"/>
              </w:rPr>
            </w:pPr>
          </w:p>
        </w:tc>
      </w:tr>
      <w:tr w:rsidR="00830A82" w:rsidRPr="004F63E7" w14:paraId="43A7E093" w14:textId="77777777" w:rsidTr="00EB7C02">
        <w:trPr>
          <w:cantSplit/>
          <w:jc w:val="center"/>
        </w:trPr>
        <w:tc>
          <w:tcPr>
            <w:tcW w:w="2503" w:type="dxa"/>
            <w:shd w:val="clear" w:color="auto" w:fill="FFFFFF"/>
            <w:tcMar>
              <w:top w:w="0" w:type="dxa"/>
              <w:left w:w="0" w:type="dxa"/>
              <w:bottom w:w="0" w:type="dxa"/>
              <w:right w:w="0" w:type="dxa"/>
            </w:tcMar>
            <w:vAlign w:val="center"/>
          </w:tcPr>
          <w:p w14:paraId="0473AEC9"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Practice enrolled 50+ patients</w:t>
            </w:r>
          </w:p>
        </w:tc>
        <w:tc>
          <w:tcPr>
            <w:tcW w:w="1171" w:type="dxa"/>
            <w:shd w:val="clear" w:color="auto" w:fill="FFFFFF"/>
            <w:tcMar>
              <w:top w:w="0" w:type="dxa"/>
              <w:left w:w="0" w:type="dxa"/>
              <w:bottom w:w="0" w:type="dxa"/>
              <w:right w:w="0" w:type="dxa"/>
            </w:tcMar>
            <w:vAlign w:val="center"/>
          </w:tcPr>
          <w:p w14:paraId="65051229"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6 (19%)</w:t>
            </w:r>
          </w:p>
        </w:tc>
        <w:tc>
          <w:tcPr>
            <w:tcW w:w="1171" w:type="dxa"/>
            <w:shd w:val="clear" w:color="auto" w:fill="FFFFFF"/>
            <w:tcMar>
              <w:top w:w="0" w:type="dxa"/>
              <w:left w:w="0" w:type="dxa"/>
              <w:bottom w:w="0" w:type="dxa"/>
              <w:right w:w="0" w:type="dxa"/>
            </w:tcMar>
            <w:vAlign w:val="center"/>
          </w:tcPr>
          <w:p w14:paraId="0E969121"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10 (32%)</w:t>
            </w:r>
          </w:p>
        </w:tc>
        <w:tc>
          <w:tcPr>
            <w:tcW w:w="1171" w:type="dxa"/>
            <w:shd w:val="clear" w:color="auto" w:fill="FFFFFF"/>
            <w:tcMar>
              <w:top w:w="0" w:type="dxa"/>
              <w:left w:w="0" w:type="dxa"/>
              <w:bottom w:w="0" w:type="dxa"/>
              <w:right w:w="0" w:type="dxa"/>
            </w:tcMar>
            <w:vAlign w:val="center"/>
          </w:tcPr>
          <w:p w14:paraId="414A577C"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12 (39%)</w:t>
            </w:r>
          </w:p>
        </w:tc>
        <w:tc>
          <w:tcPr>
            <w:tcW w:w="1171" w:type="dxa"/>
            <w:shd w:val="clear" w:color="auto" w:fill="FFFFFF"/>
            <w:tcMar>
              <w:top w:w="0" w:type="dxa"/>
              <w:left w:w="0" w:type="dxa"/>
              <w:bottom w:w="0" w:type="dxa"/>
              <w:right w:w="0" w:type="dxa"/>
            </w:tcMar>
            <w:vAlign w:val="center"/>
          </w:tcPr>
          <w:p w14:paraId="5C0B083C"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3 (10%)</w:t>
            </w:r>
          </w:p>
        </w:tc>
        <w:tc>
          <w:tcPr>
            <w:tcW w:w="1172" w:type="dxa"/>
            <w:shd w:val="clear" w:color="auto" w:fill="FFFFFF"/>
            <w:tcMar>
              <w:top w:w="0" w:type="dxa"/>
              <w:left w:w="0" w:type="dxa"/>
              <w:bottom w:w="0" w:type="dxa"/>
              <w:right w:w="0" w:type="dxa"/>
            </w:tcMar>
            <w:vAlign w:val="center"/>
          </w:tcPr>
          <w:p w14:paraId="2E47DDFC" w14:textId="77777777" w:rsidR="00AE74AB" w:rsidRPr="004F63E7" w:rsidRDefault="00AE74AB" w:rsidP="00CA2A66">
            <w:pPr>
              <w:spacing w:before="20" w:afterLines="20" w:after="48"/>
              <w:ind w:left="100" w:right="100"/>
              <w:jc w:val="center"/>
              <w:rPr>
                <w:sz w:val="18"/>
                <w:szCs w:val="18"/>
              </w:rPr>
            </w:pPr>
          </w:p>
        </w:tc>
        <w:tc>
          <w:tcPr>
            <w:tcW w:w="1137" w:type="dxa"/>
            <w:vMerge/>
            <w:shd w:val="clear" w:color="auto" w:fill="FFFFFF"/>
            <w:tcMar>
              <w:top w:w="0" w:type="dxa"/>
              <w:left w:w="0" w:type="dxa"/>
              <w:bottom w:w="0" w:type="dxa"/>
              <w:right w:w="0" w:type="dxa"/>
            </w:tcMar>
            <w:vAlign w:val="center"/>
          </w:tcPr>
          <w:p w14:paraId="161BCD83" w14:textId="77777777" w:rsidR="00AE74AB" w:rsidRPr="004F63E7" w:rsidRDefault="00AE74AB" w:rsidP="00CA2A66">
            <w:pPr>
              <w:spacing w:before="20" w:afterLines="20" w:after="48"/>
              <w:ind w:left="100" w:right="100"/>
              <w:jc w:val="center"/>
              <w:rPr>
                <w:sz w:val="18"/>
                <w:szCs w:val="18"/>
              </w:rPr>
            </w:pPr>
          </w:p>
        </w:tc>
      </w:tr>
      <w:tr w:rsidR="008165C2" w:rsidRPr="004F63E7" w14:paraId="44FC6D41" w14:textId="77777777" w:rsidTr="008165C2">
        <w:trPr>
          <w:cantSplit/>
          <w:jc w:val="center"/>
        </w:trPr>
        <w:tc>
          <w:tcPr>
            <w:tcW w:w="9496" w:type="dxa"/>
            <w:gridSpan w:val="7"/>
            <w:shd w:val="clear" w:color="auto" w:fill="FFFFFF"/>
            <w:tcMar>
              <w:top w:w="0" w:type="dxa"/>
              <w:left w:w="0" w:type="dxa"/>
              <w:bottom w:w="0" w:type="dxa"/>
              <w:right w:w="0" w:type="dxa"/>
            </w:tcMar>
            <w:vAlign w:val="center"/>
          </w:tcPr>
          <w:p w14:paraId="5CEB2BCE" w14:textId="7CDC22B8" w:rsidR="008165C2" w:rsidRPr="004F63E7" w:rsidRDefault="008165C2" w:rsidP="00CA2A66">
            <w:pPr>
              <w:spacing w:before="20" w:afterLines="20" w:after="48"/>
              <w:ind w:left="100" w:right="100"/>
              <w:jc w:val="center"/>
              <w:rPr>
                <w:rFonts w:eastAsia="Century Gothic" w:cs="Century Gothic"/>
                <w:color w:val="000000"/>
                <w:sz w:val="18"/>
                <w:szCs w:val="18"/>
              </w:rPr>
            </w:pPr>
            <w:r w:rsidRPr="004F63E7">
              <w:rPr>
                <w:rFonts w:eastAsia="Century Gothic" w:cs="Century Gothic"/>
                <w:b/>
                <w:bCs/>
                <w:color w:val="000000"/>
                <w:sz w:val="18"/>
                <w:szCs w:val="18"/>
              </w:rPr>
              <w:t>Staff experience &amp; satisfaction</w:t>
            </w:r>
          </w:p>
        </w:tc>
      </w:tr>
      <w:tr w:rsidR="00830A82" w:rsidRPr="004F63E7" w14:paraId="6DEC50C8" w14:textId="77777777" w:rsidTr="00EB7C02">
        <w:trPr>
          <w:cantSplit/>
          <w:jc w:val="center"/>
        </w:trPr>
        <w:tc>
          <w:tcPr>
            <w:tcW w:w="2503" w:type="dxa"/>
            <w:shd w:val="clear" w:color="auto" w:fill="FFFFFF"/>
            <w:tcMar>
              <w:top w:w="0" w:type="dxa"/>
              <w:left w:w="0" w:type="dxa"/>
              <w:bottom w:w="0" w:type="dxa"/>
              <w:right w:w="0" w:type="dxa"/>
            </w:tcMar>
            <w:vAlign w:val="center"/>
          </w:tcPr>
          <w:p w14:paraId="22F83447"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All R5 practices</w:t>
            </w:r>
          </w:p>
        </w:tc>
        <w:tc>
          <w:tcPr>
            <w:tcW w:w="1171" w:type="dxa"/>
            <w:shd w:val="clear" w:color="auto" w:fill="FFFFFF"/>
            <w:tcMar>
              <w:top w:w="0" w:type="dxa"/>
              <w:left w:w="0" w:type="dxa"/>
              <w:bottom w:w="0" w:type="dxa"/>
              <w:right w:w="0" w:type="dxa"/>
            </w:tcMar>
            <w:vAlign w:val="center"/>
          </w:tcPr>
          <w:p w14:paraId="26FA3D38"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9 (14%)</w:t>
            </w:r>
          </w:p>
        </w:tc>
        <w:tc>
          <w:tcPr>
            <w:tcW w:w="1171" w:type="dxa"/>
            <w:shd w:val="clear" w:color="auto" w:fill="FFFFFF"/>
            <w:tcMar>
              <w:top w:w="0" w:type="dxa"/>
              <w:left w:w="0" w:type="dxa"/>
              <w:bottom w:w="0" w:type="dxa"/>
              <w:right w:w="0" w:type="dxa"/>
            </w:tcMar>
            <w:vAlign w:val="center"/>
          </w:tcPr>
          <w:p w14:paraId="690B5460"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18 (27%)</w:t>
            </w:r>
          </w:p>
        </w:tc>
        <w:tc>
          <w:tcPr>
            <w:tcW w:w="1171" w:type="dxa"/>
            <w:shd w:val="clear" w:color="auto" w:fill="FFFFFF"/>
            <w:tcMar>
              <w:top w:w="0" w:type="dxa"/>
              <w:left w:w="0" w:type="dxa"/>
              <w:bottom w:w="0" w:type="dxa"/>
              <w:right w:w="0" w:type="dxa"/>
            </w:tcMar>
            <w:vAlign w:val="center"/>
          </w:tcPr>
          <w:p w14:paraId="72B0C834"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19 (29%)</w:t>
            </w:r>
          </w:p>
        </w:tc>
        <w:tc>
          <w:tcPr>
            <w:tcW w:w="1171" w:type="dxa"/>
            <w:shd w:val="clear" w:color="auto" w:fill="FFFFFF"/>
            <w:tcMar>
              <w:top w:w="0" w:type="dxa"/>
              <w:left w:w="0" w:type="dxa"/>
              <w:bottom w:w="0" w:type="dxa"/>
              <w:right w:w="0" w:type="dxa"/>
            </w:tcMar>
            <w:vAlign w:val="center"/>
          </w:tcPr>
          <w:p w14:paraId="02FD7139"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18 (27%)</w:t>
            </w:r>
          </w:p>
        </w:tc>
        <w:tc>
          <w:tcPr>
            <w:tcW w:w="1172" w:type="dxa"/>
            <w:shd w:val="clear" w:color="auto" w:fill="FFFFFF"/>
            <w:tcMar>
              <w:top w:w="0" w:type="dxa"/>
              <w:left w:w="0" w:type="dxa"/>
              <w:bottom w:w="0" w:type="dxa"/>
              <w:right w:w="0" w:type="dxa"/>
            </w:tcMar>
            <w:vAlign w:val="center"/>
          </w:tcPr>
          <w:p w14:paraId="4FED54C6"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2 (3%)</w:t>
            </w:r>
          </w:p>
        </w:tc>
        <w:tc>
          <w:tcPr>
            <w:tcW w:w="1137" w:type="dxa"/>
            <w:vMerge w:val="restart"/>
            <w:shd w:val="clear" w:color="auto" w:fill="FFFFFF"/>
            <w:tcMar>
              <w:top w:w="0" w:type="dxa"/>
              <w:left w:w="0" w:type="dxa"/>
              <w:bottom w:w="0" w:type="dxa"/>
              <w:right w:w="0" w:type="dxa"/>
            </w:tcMar>
            <w:vAlign w:val="center"/>
          </w:tcPr>
          <w:p w14:paraId="5EDA0B31" w14:textId="4BC8481F"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17.297 (p=0.001)</w:t>
            </w:r>
          </w:p>
        </w:tc>
      </w:tr>
      <w:tr w:rsidR="00830A82" w:rsidRPr="004F63E7" w14:paraId="6C6592FC" w14:textId="77777777" w:rsidTr="00EB7C02">
        <w:trPr>
          <w:cantSplit/>
          <w:jc w:val="center"/>
        </w:trPr>
        <w:tc>
          <w:tcPr>
            <w:tcW w:w="2503" w:type="dxa"/>
            <w:shd w:val="clear" w:color="auto" w:fill="FFFFFF"/>
            <w:tcMar>
              <w:top w:w="0" w:type="dxa"/>
              <w:left w:w="0" w:type="dxa"/>
              <w:bottom w:w="0" w:type="dxa"/>
              <w:right w:w="0" w:type="dxa"/>
            </w:tcMar>
            <w:vAlign w:val="center"/>
          </w:tcPr>
          <w:p w14:paraId="1DE3FDC6"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Practice enrolled &lt;50 patients</w:t>
            </w:r>
          </w:p>
        </w:tc>
        <w:tc>
          <w:tcPr>
            <w:tcW w:w="1171" w:type="dxa"/>
            <w:shd w:val="clear" w:color="auto" w:fill="FFFFFF"/>
            <w:tcMar>
              <w:top w:w="0" w:type="dxa"/>
              <w:left w:w="0" w:type="dxa"/>
              <w:bottom w:w="0" w:type="dxa"/>
              <w:right w:w="0" w:type="dxa"/>
            </w:tcMar>
            <w:vAlign w:val="center"/>
          </w:tcPr>
          <w:p w14:paraId="4E8B44CF"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 (3%)</w:t>
            </w:r>
          </w:p>
        </w:tc>
        <w:tc>
          <w:tcPr>
            <w:tcW w:w="1171" w:type="dxa"/>
            <w:shd w:val="clear" w:color="auto" w:fill="FFFFFF"/>
            <w:tcMar>
              <w:top w:w="0" w:type="dxa"/>
              <w:left w:w="0" w:type="dxa"/>
              <w:bottom w:w="0" w:type="dxa"/>
              <w:right w:w="0" w:type="dxa"/>
            </w:tcMar>
            <w:vAlign w:val="center"/>
          </w:tcPr>
          <w:p w14:paraId="4FDB95A9"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6 (18%)</w:t>
            </w:r>
          </w:p>
        </w:tc>
        <w:tc>
          <w:tcPr>
            <w:tcW w:w="1171" w:type="dxa"/>
            <w:shd w:val="clear" w:color="auto" w:fill="FFFFFF"/>
            <w:tcMar>
              <w:top w:w="0" w:type="dxa"/>
              <w:left w:w="0" w:type="dxa"/>
              <w:bottom w:w="0" w:type="dxa"/>
              <w:right w:w="0" w:type="dxa"/>
            </w:tcMar>
            <w:vAlign w:val="center"/>
          </w:tcPr>
          <w:p w14:paraId="360953C7"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9 (27%)</w:t>
            </w:r>
          </w:p>
        </w:tc>
        <w:tc>
          <w:tcPr>
            <w:tcW w:w="1171" w:type="dxa"/>
            <w:shd w:val="clear" w:color="auto" w:fill="FFFFFF"/>
            <w:tcMar>
              <w:top w:w="0" w:type="dxa"/>
              <w:left w:w="0" w:type="dxa"/>
              <w:bottom w:w="0" w:type="dxa"/>
              <w:right w:w="0" w:type="dxa"/>
            </w:tcMar>
            <w:vAlign w:val="center"/>
          </w:tcPr>
          <w:p w14:paraId="1EDFDBE7"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16 (48%)</w:t>
            </w:r>
          </w:p>
        </w:tc>
        <w:tc>
          <w:tcPr>
            <w:tcW w:w="1172" w:type="dxa"/>
            <w:shd w:val="clear" w:color="auto" w:fill="FFFFFF"/>
            <w:tcMar>
              <w:top w:w="0" w:type="dxa"/>
              <w:left w:w="0" w:type="dxa"/>
              <w:bottom w:w="0" w:type="dxa"/>
              <w:right w:w="0" w:type="dxa"/>
            </w:tcMar>
            <w:vAlign w:val="center"/>
          </w:tcPr>
          <w:p w14:paraId="0D03E1E5"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 (3%)</w:t>
            </w:r>
          </w:p>
        </w:tc>
        <w:tc>
          <w:tcPr>
            <w:tcW w:w="1137" w:type="dxa"/>
            <w:vMerge/>
            <w:shd w:val="clear" w:color="auto" w:fill="FFFFFF"/>
            <w:tcMar>
              <w:top w:w="0" w:type="dxa"/>
              <w:left w:w="0" w:type="dxa"/>
              <w:bottom w:w="0" w:type="dxa"/>
              <w:right w:w="0" w:type="dxa"/>
            </w:tcMar>
            <w:vAlign w:val="center"/>
          </w:tcPr>
          <w:p w14:paraId="68FDD1C6" w14:textId="77777777" w:rsidR="00AE74AB" w:rsidRPr="004F63E7" w:rsidRDefault="00AE74AB" w:rsidP="00CA2A66">
            <w:pPr>
              <w:spacing w:before="20" w:afterLines="20" w:after="48"/>
              <w:ind w:left="100" w:right="100"/>
              <w:jc w:val="center"/>
              <w:rPr>
                <w:sz w:val="18"/>
                <w:szCs w:val="18"/>
              </w:rPr>
            </w:pPr>
          </w:p>
        </w:tc>
      </w:tr>
      <w:tr w:rsidR="00830A82" w:rsidRPr="004F63E7" w14:paraId="60352762" w14:textId="77777777" w:rsidTr="00EB7C02">
        <w:trPr>
          <w:cantSplit/>
          <w:jc w:val="center"/>
        </w:trPr>
        <w:tc>
          <w:tcPr>
            <w:tcW w:w="2503" w:type="dxa"/>
            <w:shd w:val="clear" w:color="auto" w:fill="FFFFFF"/>
            <w:tcMar>
              <w:top w:w="0" w:type="dxa"/>
              <w:left w:w="0" w:type="dxa"/>
              <w:bottom w:w="0" w:type="dxa"/>
              <w:right w:w="0" w:type="dxa"/>
            </w:tcMar>
            <w:vAlign w:val="center"/>
          </w:tcPr>
          <w:p w14:paraId="0FC4C9A2"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Practice enrolled 50+ patients</w:t>
            </w:r>
          </w:p>
        </w:tc>
        <w:tc>
          <w:tcPr>
            <w:tcW w:w="1171" w:type="dxa"/>
            <w:shd w:val="clear" w:color="auto" w:fill="FFFFFF"/>
            <w:tcMar>
              <w:top w:w="0" w:type="dxa"/>
              <w:left w:w="0" w:type="dxa"/>
              <w:bottom w:w="0" w:type="dxa"/>
              <w:right w:w="0" w:type="dxa"/>
            </w:tcMar>
            <w:vAlign w:val="center"/>
          </w:tcPr>
          <w:p w14:paraId="0B77F78A"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8 (24%)</w:t>
            </w:r>
          </w:p>
        </w:tc>
        <w:tc>
          <w:tcPr>
            <w:tcW w:w="1171" w:type="dxa"/>
            <w:shd w:val="clear" w:color="auto" w:fill="FFFFFF"/>
            <w:tcMar>
              <w:top w:w="0" w:type="dxa"/>
              <w:left w:w="0" w:type="dxa"/>
              <w:bottom w:w="0" w:type="dxa"/>
              <w:right w:w="0" w:type="dxa"/>
            </w:tcMar>
            <w:vAlign w:val="center"/>
          </w:tcPr>
          <w:p w14:paraId="146018A4"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12 (36%)</w:t>
            </w:r>
          </w:p>
        </w:tc>
        <w:tc>
          <w:tcPr>
            <w:tcW w:w="1171" w:type="dxa"/>
            <w:shd w:val="clear" w:color="auto" w:fill="FFFFFF"/>
            <w:tcMar>
              <w:top w:w="0" w:type="dxa"/>
              <w:left w:w="0" w:type="dxa"/>
              <w:bottom w:w="0" w:type="dxa"/>
              <w:right w:w="0" w:type="dxa"/>
            </w:tcMar>
            <w:vAlign w:val="center"/>
          </w:tcPr>
          <w:p w14:paraId="459E0533"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10 (30%)</w:t>
            </w:r>
          </w:p>
        </w:tc>
        <w:tc>
          <w:tcPr>
            <w:tcW w:w="1171" w:type="dxa"/>
            <w:shd w:val="clear" w:color="auto" w:fill="FFFFFF"/>
            <w:tcMar>
              <w:top w:w="0" w:type="dxa"/>
              <w:left w:w="0" w:type="dxa"/>
              <w:bottom w:w="0" w:type="dxa"/>
              <w:right w:w="0" w:type="dxa"/>
            </w:tcMar>
            <w:vAlign w:val="center"/>
          </w:tcPr>
          <w:p w14:paraId="5A3A4327"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2 (6%)</w:t>
            </w:r>
          </w:p>
        </w:tc>
        <w:tc>
          <w:tcPr>
            <w:tcW w:w="1172" w:type="dxa"/>
            <w:shd w:val="clear" w:color="auto" w:fill="FFFFFF"/>
            <w:tcMar>
              <w:top w:w="0" w:type="dxa"/>
              <w:left w:w="0" w:type="dxa"/>
              <w:bottom w:w="0" w:type="dxa"/>
              <w:right w:w="0" w:type="dxa"/>
            </w:tcMar>
            <w:vAlign w:val="center"/>
          </w:tcPr>
          <w:p w14:paraId="082F0FE7"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 (3%)</w:t>
            </w:r>
          </w:p>
        </w:tc>
        <w:tc>
          <w:tcPr>
            <w:tcW w:w="1137" w:type="dxa"/>
            <w:vMerge/>
            <w:shd w:val="clear" w:color="auto" w:fill="FFFFFF"/>
            <w:tcMar>
              <w:top w:w="0" w:type="dxa"/>
              <w:left w:w="0" w:type="dxa"/>
              <w:bottom w:w="0" w:type="dxa"/>
              <w:right w:w="0" w:type="dxa"/>
            </w:tcMar>
            <w:vAlign w:val="center"/>
          </w:tcPr>
          <w:p w14:paraId="1081D781" w14:textId="77777777" w:rsidR="00AE74AB" w:rsidRPr="004F63E7" w:rsidRDefault="00AE74AB" w:rsidP="00CA2A66">
            <w:pPr>
              <w:spacing w:before="20" w:afterLines="20" w:after="48"/>
              <w:ind w:left="100" w:right="100"/>
              <w:jc w:val="center"/>
              <w:rPr>
                <w:sz w:val="18"/>
                <w:szCs w:val="18"/>
              </w:rPr>
            </w:pPr>
          </w:p>
        </w:tc>
      </w:tr>
    </w:tbl>
    <w:p w14:paraId="7234CB4A" w14:textId="00D2FEF0" w:rsidR="00AE74AB" w:rsidRPr="004F63E7" w:rsidRDefault="00AE74AB" w:rsidP="00AE74AB">
      <w:pPr>
        <w:jc w:val="center"/>
        <w:rPr>
          <w:rFonts w:eastAsiaTheme="minorEastAsia"/>
          <w:bCs/>
          <w:i/>
          <w:sz w:val="16"/>
          <w:szCs w:val="16"/>
          <w:lang w:eastAsia="en-AU"/>
        </w:rPr>
      </w:pPr>
      <w:r w:rsidRPr="004F63E7">
        <w:rPr>
          <w:rFonts w:eastAsiaTheme="minorEastAsia"/>
          <w:bCs/>
          <w:i/>
          <w:sz w:val="16"/>
          <w:szCs w:val="16"/>
          <w:lang w:eastAsia="en-AU"/>
        </w:rPr>
        <w:t xml:space="preserve">Source: Practice survey R5, </w:t>
      </w:r>
      <w:r w:rsidR="00BC2D7A">
        <w:rPr>
          <w:rFonts w:eastAsiaTheme="minorEastAsia"/>
          <w:bCs/>
          <w:i/>
          <w:sz w:val="16"/>
          <w:szCs w:val="16"/>
          <w:lang w:eastAsia="en-AU"/>
        </w:rPr>
        <w:t xml:space="preserve">Mar–May </w:t>
      </w:r>
      <w:r w:rsidR="00000B7C" w:rsidRPr="00000B7C">
        <w:rPr>
          <w:rFonts w:eastAsiaTheme="minorEastAsia"/>
          <w:bCs/>
          <w:i/>
          <w:sz w:val="16"/>
          <w:szCs w:val="16"/>
          <w:lang w:eastAsia="en-AU"/>
        </w:rPr>
        <w:t>2021</w:t>
      </w:r>
      <w:r w:rsidRPr="004F63E7">
        <w:rPr>
          <w:rFonts w:eastAsiaTheme="minorEastAsia"/>
          <w:bCs/>
          <w:i/>
          <w:sz w:val="16"/>
          <w:szCs w:val="16"/>
          <w:lang w:eastAsia="en-AU"/>
        </w:rPr>
        <w:t>, question</w:t>
      </w:r>
      <w:r w:rsidR="001B15B4">
        <w:rPr>
          <w:rFonts w:eastAsiaTheme="minorEastAsia"/>
          <w:bCs/>
          <w:i/>
          <w:sz w:val="16"/>
          <w:szCs w:val="16"/>
          <w:lang w:eastAsia="en-AU"/>
        </w:rPr>
        <w:t>s</w:t>
      </w:r>
      <w:r w:rsidRPr="004F63E7">
        <w:rPr>
          <w:rFonts w:eastAsiaTheme="minorEastAsia"/>
          <w:bCs/>
          <w:i/>
          <w:sz w:val="16"/>
          <w:szCs w:val="16"/>
          <w:lang w:eastAsia="en-AU"/>
        </w:rPr>
        <w:t xml:space="preserve"> 16</w:t>
      </w:r>
      <w:r w:rsidR="004D454B">
        <w:rPr>
          <w:rFonts w:eastAsiaTheme="minorEastAsia"/>
          <w:bCs/>
          <w:i/>
          <w:sz w:val="16"/>
          <w:szCs w:val="16"/>
          <w:lang w:eastAsia="en-AU"/>
        </w:rPr>
        <w:t>–18</w:t>
      </w:r>
      <w:r w:rsidR="009E4E3D">
        <w:rPr>
          <w:rFonts w:eastAsiaTheme="minorEastAsia"/>
          <w:bCs/>
          <w:i/>
          <w:sz w:val="16"/>
          <w:szCs w:val="16"/>
          <w:lang w:eastAsia="en-AU"/>
        </w:rPr>
        <w:t>.</w:t>
      </w:r>
    </w:p>
    <w:p w14:paraId="0FAF46BB" w14:textId="77777777" w:rsidR="00564F9F" w:rsidRDefault="00564F9F">
      <w:pPr>
        <w:spacing w:after="160" w:line="259" w:lineRule="auto"/>
        <w:rPr>
          <w:rFonts w:ascii="Roboto Slab" w:eastAsiaTheme="majorEastAsia" w:hAnsi="Roboto Slab" w:cstheme="majorBidi"/>
          <w:color w:val="408BCA"/>
          <w:sz w:val="24"/>
          <w:szCs w:val="24"/>
          <w:lang w:val="en-GB"/>
        </w:rPr>
      </w:pPr>
      <w:r>
        <w:rPr>
          <w:rFonts w:ascii="Roboto Slab" w:eastAsiaTheme="majorEastAsia" w:hAnsi="Roboto Slab" w:cstheme="majorBidi"/>
          <w:color w:val="408BCA"/>
          <w:sz w:val="24"/>
          <w:szCs w:val="24"/>
          <w:lang w:val="en-GB"/>
        </w:rPr>
        <w:br w:type="page"/>
      </w:r>
    </w:p>
    <w:p w14:paraId="6E67DD47" w14:textId="5A5F28DB" w:rsidR="00AE74AB" w:rsidRPr="004F63E7" w:rsidRDefault="00AE74AB" w:rsidP="00AE74AB">
      <w:pPr>
        <w:keepNext/>
        <w:keepLines/>
        <w:outlineLvl w:val="2"/>
        <w:rPr>
          <w:rFonts w:ascii="Roboto Slab" w:eastAsiaTheme="majorEastAsia" w:hAnsi="Roboto Slab" w:cstheme="majorBidi"/>
          <w:color w:val="408BCA"/>
          <w:sz w:val="24"/>
          <w:szCs w:val="24"/>
          <w:lang w:val="en-GB"/>
        </w:rPr>
      </w:pPr>
      <w:r w:rsidRPr="004F63E7">
        <w:rPr>
          <w:rFonts w:ascii="Roboto Slab" w:eastAsiaTheme="majorEastAsia" w:hAnsi="Roboto Slab" w:cstheme="majorBidi"/>
          <w:color w:val="408BCA"/>
          <w:sz w:val="24"/>
          <w:szCs w:val="24"/>
          <w:lang w:val="en-GB"/>
        </w:rPr>
        <w:lastRenderedPageBreak/>
        <w:t>Coordination of care</w:t>
      </w:r>
    </w:p>
    <w:p w14:paraId="21A0CF53" w14:textId="4A673CFA" w:rsidR="00AE74AB" w:rsidRPr="004F63E7" w:rsidRDefault="00AE74AB" w:rsidP="00AE74AB">
      <w:r w:rsidRPr="004F63E7">
        <w:t>Most practices (</w:t>
      </w:r>
      <w:r w:rsidR="001F3BC6">
        <w:t>83</w:t>
      </w:r>
      <w:r w:rsidRPr="004F63E7">
        <w:t xml:space="preserve">%) reported an improvement in coordination of care, with </w:t>
      </w:r>
      <w:r w:rsidR="001F3BC6">
        <w:t>more than</w:t>
      </w:r>
      <w:r w:rsidRPr="004F63E7">
        <w:t xml:space="preserve"> half (</w:t>
      </w:r>
      <w:r w:rsidR="001F3BC6">
        <w:t>53</w:t>
      </w:r>
      <w:r w:rsidRPr="004F63E7">
        <w:t>%) reporting a moderate or significant improvement (</w:t>
      </w:r>
      <w:r w:rsidR="008165C2">
        <w:fldChar w:fldCharType="begin"/>
      </w:r>
      <w:r w:rsidR="008165C2">
        <w:instrText xml:space="preserve"> REF _Ref99116025 \h </w:instrText>
      </w:r>
      <w:r w:rsidR="008165C2">
        <w:fldChar w:fldCharType="separate"/>
      </w:r>
      <w:r w:rsidR="003C4BC2" w:rsidRPr="004F63E7">
        <w:rPr>
          <w:rFonts w:eastAsiaTheme="minorEastAsia"/>
          <w:color w:val="1D2455"/>
          <w:szCs w:val="20"/>
          <w:lang w:eastAsia="en-AU"/>
        </w:rPr>
        <w:t xml:space="preserve">Table </w:t>
      </w:r>
      <w:r w:rsidR="003C4BC2">
        <w:rPr>
          <w:rFonts w:eastAsiaTheme="minorEastAsia"/>
          <w:noProof/>
          <w:color w:val="1D2455"/>
          <w:szCs w:val="20"/>
          <w:lang w:eastAsia="en-AU"/>
        </w:rPr>
        <w:t>28</w:t>
      </w:r>
      <w:r w:rsidR="008165C2">
        <w:fldChar w:fldCharType="end"/>
      </w:r>
      <w:r w:rsidRPr="004F63E7">
        <w:t xml:space="preserve">). There is </w:t>
      </w:r>
      <w:r w:rsidR="00327387" w:rsidRPr="004F63E7">
        <w:t>no</w:t>
      </w:r>
      <w:r w:rsidRPr="004F63E7">
        <w:t xml:space="preserve"> statistical evidence that practices with higher enrolments reported greater levels of improvements in coordination of care.</w:t>
      </w:r>
    </w:p>
    <w:p w14:paraId="313E7799" w14:textId="77777777" w:rsidR="00AE74AB" w:rsidRPr="004F63E7" w:rsidRDefault="00AE74AB" w:rsidP="00AE74AB">
      <w:r w:rsidRPr="004F63E7">
        <w:t>Practices were also asked about the main ways in which coordination of care was improved for HCH patients compared with similar patients receiving usual care and features of the model that facilitated the improvement.</w:t>
      </w:r>
    </w:p>
    <w:p w14:paraId="447EF742" w14:textId="0ED9CECE" w:rsidR="00AE74AB" w:rsidRPr="004F63E7" w:rsidRDefault="00AE74AB" w:rsidP="00AE74AB">
      <w:r w:rsidRPr="004F63E7">
        <w:t xml:space="preserve">Practices reported that team care as part of HCH enabled care coordination within their practices, specifically, regular team meetings or huddles and case conferencing. They also reported that collaboration with external care providers was improved as part of HCH, although respondents had mixed experiences with the shared care platforms. </w:t>
      </w:r>
    </w:p>
    <w:p w14:paraId="55E06E2D" w14:textId="079BD4A6" w:rsidR="00AE74AB" w:rsidRPr="004F63E7" w:rsidRDefault="00AE74AB" w:rsidP="00AE74AB">
      <w:r w:rsidRPr="004F63E7">
        <w:t xml:space="preserve">A few </w:t>
      </w:r>
      <w:r w:rsidR="0094648D">
        <w:t>practices</w:t>
      </w:r>
      <w:r w:rsidRPr="004F63E7">
        <w:t xml:space="preserve"> noted care coordination was improved because the HCH nurse had access to comprehensive, up-to-date information from a patient’s care plan. However, some reported that software integration was problematic, coupled with the experience of external specialists’ and allied health providers’ resistance to or inability to use shared care platforms. </w:t>
      </w:r>
    </w:p>
    <w:p w14:paraId="1DEF8DF7" w14:textId="77777777" w:rsidR="00AE74AB" w:rsidRPr="004F63E7" w:rsidRDefault="00AE74AB" w:rsidP="00AE74AB">
      <w:r w:rsidRPr="004F63E7">
        <w:t>Practices also noted that the focus of HCH on care planning improved their care planning processes. Teamwork meant that nurses could take more time with care plans and ask for input from patients, resulting in the care plans better reflecting patients’ goals.</w:t>
      </w:r>
    </w:p>
    <w:p w14:paraId="0A25F980" w14:textId="77777777" w:rsidR="00AE74AB" w:rsidRPr="004F63E7" w:rsidRDefault="00AE74AB" w:rsidP="00AE74AB">
      <w:pPr>
        <w:keepNext/>
        <w:keepLines/>
        <w:outlineLvl w:val="2"/>
        <w:rPr>
          <w:rFonts w:ascii="Roboto Slab" w:eastAsiaTheme="majorEastAsia" w:hAnsi="Roboto Slab" w:cstheme="majorBidi"/>
          <w:color w:val="408BCA"/>
          <w:sz w:val="24"/>
          <w:szCs w:val="24"/>
          <w:lang w:val="en-GB"/>
        </w:rPr>
      </w:pPr>
      <w:r w:rsidRPr="004F63E7">
        <w:rPr>
          <w:rFonts w:ascii="Roboto Slab" w:eastAsiaTheme="majorEastAsia" w:hAnsi="Roboto Slab" w:cstheme="majorBidi"/>
          <w:color w:val="408BCA"/>
          <w:sz w:val="24"/>
          <w:szCs w:val="24"/>
          <w:lang w:val="en-GB"/>
        </w:rPr>
        <w:t>Quality of care</w:t>
      </w:r>
    </w:p>
    <w:p w14:paraId="6DE162E3" w14:textId="66BA2A33" w:rsidR="00AE74AB" w:rsidRPr="004F63E7" w:rsidRDefault="00AE74AB" w:rsidP="00AE74AB">
      <w:r w:rsidRPr="004F63E7">
        <w:t xml:space="preserve">More than </w:t>
      </w:r>
      <w:r w:rsidR="001F3BC6">
        <w:t>three quarters</w:t>
      </w:r>
      <w:r w:rsidRPr="004F63E7">
        <w:t xml:space="preserve"> of practices (</w:t>
      </w:r>
      <w:r w:rsidR="00AE35F0">
        <w:t>76</w:t>
      </w:r>
      <w:r w:rsidRPr="004F63E7">
        <w:t xml:space="preserve">%) reported an improvement in quality of care, with </w:t>
      </w:r>
      <w:r w:rsidR="0013746F">
        <w:t>almost</w:t>
      </w:r>
      <w:r w:rsidRPr="004F63E7">
        <w:t xml:space="preserve"> </w:t>
      </w:r>
      <w:r w:rsidR="0013746F">
        <w:t>half</w:t>
      </w:r>
      <w:r w:rsidRPr="004F63E7">
        <w:t xml:space="preserve"> (</w:t>
      </w:r>
      <w:r w:rsidR="0013746F">
        <w:t>49</w:t>
      </w:r>
      <w:r w:rsidRPr="004F63E7">
        <w:t>%) reporting a moderate or significant improvement (</w:t>
      </w:r>
      <w:r w:rsidR="008165C2">
        <w:fldChar w:fldCharType="begin"/>
      </w:r>
      <w:r w:rsidR="008165C2">
        <w:instrText xml:space="preserve"> REF _Ref99116025 \h </w:instrText>
      </w:r>
      <w:r w:rsidR="008165C2">
        <w:fldChar w:fldCharType="separate"/>
      </w:r>
      <w:r w:rsidR="003C4BC2" w:rsidRPr="004F63E7">
        <w:rPr>
          <w:rFonts w:eastAsiaTheme="minorEastAsia"/>
          <w:color w:val="1D2455"/>
          <w:szCs w:val="20"/>
          <w:lang w:eastAsia="en-AU"/>
        </w:rPr>
        <w:t xml:space="preserve">Table </w:t>
      </w:r>
      <w:r w:rsidR="003C4BC2">
        <w:rPr>
          <w:rFonts w:eastAsiaTheme="minorEastAsia"/>
          <w:noProof/>
          <w:color w:val="1D2455"/>
          <w:szCs w:val="20"/>
          <w:lang w:eastAsia="en-AU"/>
        </w:rPr>
        <w:t>28</w:t>
      </w:r>
      <w:r w:rsidR="008165C2">
        <w:fldChar w:fldCharType="end"/>
      </w:r>
      <w:r w:rsidRPr="004F63E7">
        <w:t>). There is no statistical evidence that practices with higher enrolments reported greater levels of improvements in quality of care.</w:t>
      </w:r>
    </w:p>
    <w:p w14:paraId="7A9B91ED" w14:textId="77777777" w:rsidR="00AE74AB" w:rsidRPr="004F63E7" w:rsidRDefault="00AE74AB" w:rsidP="00AE74AB">
      <w:r w:rsidRPr="004F63E7">
        <w:t>Practices were also asked about the main ways in which quality of care was improved for HCH patients and features of the model that facilitated improved quality of care. Practices identified access as a key way in which quality of care was improved for HCH patients. Practices mentioned that patients were able to have more timely access to clinicians at the practice overall, and specifically to GPs, nurses and allied health, and better access to scripts and referrals. They attributed this to teamwork (especially GPs being able to delegate to other team members, thus being free to see patients when needed), dedicated roles (for example, HCH nurse) and the ability to offer alternative modes of delivery under the bundled payment.</w:t>
      </w:r>
    </w:p>
    <w:p w14:paraId="3D3A2DDB" w14:textId="4635AAE9" w:rsidR="00AE74AB" w:rsidRPr="004F63E7" w:rsidRDefault="00AE74AB" w:rsidP="00AE74AB">
      <w:r w:rsidRPr="004F63E7">
        <w:t xml:space="preserve">Another key way in which quality of care was improved for patients that practices identified was through improved practice processes. A commonly mentioned example was scheduling regular reviews/recalls where patients would get the necessary tests and preventative care </w:t>
      </w:r>
      <w:r w:rsidR="00654B0E">
        <w:t>(</w:t>
      </w:r>
      <w:r w:rsidRPr="004F63E7">
        <w:t>such as immunisations</w:t>
      </w:r>
      <w:r w:rsidR="00654B0E">
        <w:t>)</w:t>
      </w:r>
      <w:r w:rsidRPr="004F63E7">
        <w:t>. Another example was communication between practice clinicians, and between practice clinicians and patients, both in-person and through care plans. Some practices attributed the ability to improve these processes to the flexibility provided by the bundled payment.</w:t>
      </w:r>
      <w:r w:rsidR="00A561EE">
        <w:t xml:space="preserve"> </w:t>
      </w:r>
    </w:p>
    <w:p w14:paraId="7BFDEEAA" w14:textId="77777777" w:rsidR="00AE74AB" w:rsidRPr="004F63E7" w:rsidRDefault="00AE74AB" w:rsidP="00AE74AB">
      <w:pPr>
        <w:rPr>
          <w:szCs w:val="20"/>
          <w:lang w:val="en-GB"/>
        </w:rPr>
      </w:pPr>
      <w:r w:rsidRPr="004F63E7">
        <w:rPr>
          <w:szCs w:val="20"/>
          <w:lang w:val="en-GB"/>
        </w:rPr>
        <w:lastRenderedPageBreak/>
        <w:t>In addition, some practices implemented new services to help enhance their chronic disease management, including home visits, group sessions, remote monitoring and point-of-care testing:</w:t>
      </w:r>
    </w:p>
    <w:p w14:paraId="57B9F43B" w14:textId="77777777" w:rsidR="00AE74AB" w:rsidRPr="004F63E7" w:rsidRDefault="00AE74AB" w:rsidP="00AE74AB">
      <w:pPr>
        <w:ind w:left="567" w:right="521"/>
        <w:rPr>
          <w:szCs w:val="20"/>
          <w:lang w:val="en-GB"/>
        </w:rPr>
      </w:pPr>
      <w:r w:rsidRPr="004F63E7">
        <w:rPr>
          <w:i/>
          <w:iCs/>
          <w:szCs w:val="20"/>
          <w:lang w:val="en-GB"/>
        </w:rPr>
        <w:t>“So, we’ve had a lot of our Health Care Home patients that have also got obesity and diabetes issues. So, from that we’ve actually brought in a diabetes educator, who sees them free of charge. There’s no cost to the patient, and we also order them in the free glucometers, so that they can have better understanding of how to manage their diabetes and the devices that they need to be using.”</w:t>
      </w:r>
      <w:r w:rsidRPr="004F63E7">
        <w:rPr>
          <w:szCs w:val="20"/>
          <w:lang w:val="en-GB"/>
        </w:rPr>
        <w:t xml:space="preserve"> [Practice Manager, Practice 23, R4]</w:t>
      </w:r>
    </w:p>
    <w:p w14:paraId="13DB5AAC" w14:textId="77777777" w:rsidR="00AE74AB" w:rsidRPr="004F63E7" w:rsidRDefault="00AE74AB" w:rsidP="00AE74AB">
      <w:pPr>
        <w:ind w:left="567" w:right="521"/>
        <w:rPr>
          <w:szCs w:val="20"/>
          <w:lang w:val="en-GB"/>
        </w:rPr>
      </w:pPr>
      <w:r w:rsidRPr="004F63E7">
        <w:rPr>
          <w:i/>
          <w:iCs/>
          <w:szCs w:val="20"/>
          <w:lang w:val="en-GB"/>
        </w:rPr>
        <w:t>“…I suppose…[HCH] has the potential for people to, you know, so we can do things a little bit different. You can do some stuff on the phone if you need, you know, scripts and repeat referrals and things like that. Like that was another thing that’s one of the benefits is to try and do some group stuff.”</w:t>
      </w:r>
      <w:r w:rsidRPr="004F63E7">
        <w:rPr>
          <w:szCs w:val="20"/>
          <w:lang w:val="en-GB"/>
        </w:rPr>
        <w:t xml:space="preserve"> [GP, Practice 18, R4]</w:t>
      </w:r>
    </w:p>
    <w:p w14:paraId="613226CA" w14:textId="09466358" w:rsidR="00AE74AB" w:rsidRPr="004F63E7" w:rsidRDefault="000816DF" w:rsidP="00AE74AB">
      <w:pPr>
        <w:keepNext/>
        <w:keepLines/>
        <w:outlineLvl w:val="2"/>
        <w:rPr>
          <w:rFonts w:ascii="Roboto Slab" w:eastAsiaTheme="majorEastAsia" w:hAnsi="Roboto Slab" w:cstheme="majorBidi"/>
          <w:color w:val="408BCA"/>
          <w:sz w:val="24"/>
          <w:szCs w:val="24"/>
          <w:lang w:val="en-GB"/>
        </w:rPr>
      </w:pPr>
      <w:r>
        <w:rPr>
          <w:rFonts w:ascii="Roboto Slab" w:eastAsiaTheme="majorEastAsia" w:hAnsi="Roboto Slab" w:cstheme="majorBidi"/>
          <w:color w:val="408BCA"/>
          <w:sz w:val="24"/>
          <w:szCs w:val="24"/>
          <w:lang w:val="en-GB"/>
        </w:rPr>
        <w:t>Patient o</w:t>
      </w:r>
      <w:r w:rsidR="00AE74AB" w:rsidRPr="004F63E7">
        <w:rPr>
          <w:rFonts w:ascii="Roboto Slab" w:eastAsiaTheme="majorEastAsia" w:hAnsi="Roboto Slab" w:cstheme="majorBidi"/>
          <w:color w:val="408BCA"/>
          <w:sz w:val="24"/>
          <w:szCs w:val="24"/>
          <w:lang w:val="en-GB"/>
        </w:rPr>
        <w:t xml:space="preserve">utcomes </w:t>
      </w:r>
    </w:p>
    <w:p w14:paraId="5C06F6F6" w14:textId="73B3A054" w:rsidR="00AE74AB" w:rsidRPr="004F63E7" w:rsidRDefault="00AE74AB" w:rsidP="00AE74AB">
      <w:r w:rsidRPr="004F63E7">
        <w:t>In the practice surveys, practices were asked what the impact of HCH was on outcomes for patients compared with what would occur under usual care for similar patients (</w:t>
      </w:r>
      <w:r w:rsidR="008165C2">
        <w:fldChar w:fldCharType="begin"/>
      </w:r>
      <w:r w:rsidR="008165C2">
        <w:instrText xml:space="preserve"> REF _Ref99116025 \h </w:instrText>
      </w:r>
      <w:r w:rsidR="008165C2">
        <w:fldChar w:fldCharType="separate"/>
      </w:r>
      <w:r w:rsidR="003C4BC2" w:rsidRPr="004F63E7">
        <w:rPr>
          <w:rFonts w:eastAsiaTheme="minorEastAsia"/>
          <w:color w:val="1D2455"/>
          <w:szCs w:val="20"/>
          <w:lang w:eastAsia="en-AU"/>
        </w:rPr>
        <w:t xml:space="preserve">Table </w:t>
      </w:r>
      <w:r w:rsidR="003C4BC2">
        <w:rPr>
          <w:rFonts w:eastAsiaTheme="minorEastAsia"/>
          <w:noProof/>
          <w:color w:val="1D2455"/>
          <w:szCs w:val="20"/>
          <w:lang w:eastAsia="en-AU"/>
        </w:rPr>
        <w:t>28</w:t>
      </w:r>
      <w:r w:rsidR="008165C2">
        <w:fldChar w:fldCharType="end"/>
      </w:r>
      <w:r w:rsidRPr="004F63E7">
        <w:t xml:space="preserve">). </w:t>
      </w:r>
      <w:r w:rsidR="00601FFF">
        <w:t>Most</w:t>
      </w:r>
      <w:r w:rsidRPr="004F63E7">
        <w:t xml:space="preserve"> (</w:t>
      </w:r>
      <w:r w:rsidR="00C7584C">
        <w:t>81</w:t>
      </w:r>
      <w:r w:rsidRPr="004F63E7">
        <w:t xml:space="preserve">%) reported an improvement, with </w:t>
      </w:r>
      <w:r w:rsidR="00601FFF">
        <w:t xml:space="preserve">two thirds </w:t>
      </w:r>
      <w:r w:rsidRPr="004F63E7">
        <w:t>(</w:t>
      </w:r>
      <w:r w:rsidR="00601FFF">
        <w:t>67</w:t>
      </w:r>
      <w:r w:rsidRPr="004F63E7">
        <w:t xml:space="preserve">%) reporting a moderate or significant improvement. </w:t>
      </w:r>
      <w:r w:rsidR="00327387">
        <w:t xml:space="preserve"> </w:t>
      </w:r>
      <w:r w:rsidR="00327387" w:rsidRPr="004F63E7">
        <w:t xml:space="preserve">There is no statistical evidence that practices with higher enrolments reported greater levels of improvements in </w:t>
      </w:r>
      <w:r w:rsidR="001203A3">
        <w:t>patient outcomes</w:t>
      </w:r>
      <w:r w:rsidR="00327387" w:rsidRPr="004F63E7">
        <w:t>.</w:t>
      </w:r>
    </w:p>
    <w:p w14:paraId="123D2492" w14:textId="77777777" w:rsidR="00AE74AB" w:rsidRPr="004F63E7" w:rsidRDefault="00AE74AB" w:rsidP="00AE74AB">
      <w:r w:rsidRPr="004F63E7">
        <w:t>Practices were also asked about the main ways in which outcomes were improved for HCH patients compared with similar patients receiving usual care, and features of the model that facilitated the improvement.</w:t>
      </w:r>
    </w:p>
    <w:p w14:paraId="4EB0A96A" w14:textId="694197DE" w:rsidR="00AE74AB" w:rsidRPr="004F63E7" w:rsidRDefault="00AE74AB" w:rsidP="00AE74AB">
      <w:r w:rsidRPr="004F63E7">
        <w:t>Practices reported that chronic disease management, which included patient outreach and recall systems, played a significant part in improving patient compliance with medications and disease</w:t>
      </w:r>
      <w:r w:rsidR="00601FFF">
        <w:t>-</w:t>
      </w:r>
      <w:r w:rsidRPr="004F63E7">
        <w:t xml:space="preserve">specific cycles of care documented in their care plans. Practices </w:t>
      </w:r>
      <w:r w:rsidR="00601FFF">
        <w:t xml:space="preserve">perceived </w:t>
      </w:r>
      <w:r w:rsidR="00601FFF" w:rsidRPr="004F63E7">
        <w:t>that patient</w:t>
      </w:r>
      <w:r w:rsidRPr="004F63E7">
        <w:t xml:space="preserve"> had improved blood pressure and HbA1c</w:t>
      </w:r>
      <w:r w:rsidR="00601FFF">
        <w:t xml:space="preserve">, although this was not </w:t>
      </w:r>
      <w:r w:rsidR="00F403A3">
        <w:t>substantiated by the analysis of the practice data</w:t>
      </w:r>
      <w:r w:rsidR="006B54CB">
        <w:t xml:space="preserve"> (see Chapter 15</w:t>
      </w:r>
      <w:r w:rsidR="00D64BE5">
        <w:t xml:space="preserve"> Changes to chronic disease management</w:t>
      </w:r>
      <w:r w:rsidR="006B54CB">
        <w:t>)</w:t>
      </w:r>
      <w:r w:rsidRPr="004F63E7">
        <w:t xml:space="preserve">. </w:t>
      </w:r>
      <w:r w:rsidR="00F403A3">
        <w:t>They</w:t>
      </w:r>
      <w:r w:rsidRPr="004F63E7">
        <w:t xml:space="preserve"> also </w:t>
      </w:r>
      <w:r w:rsidR="00F403A3">
        <w:t>perceived</w:t>
      </w:r>
      <w:r w:rsidRPr="004F63E7">
        <w:t xml:space="preserve"> that HCH patients had avoided hospitalisation by having a model of care that allowed them to call and discuss issues with the HCH nurse.</w:t>
      </w:r>
      <w:r w:rsidR="00F403A3">
        <w:t xml:space="preserve"> This was also not substantiated by analysis of the linked data</w:t>
      </w:r>
      <w:r w:rsidR="003B4688">
        <w:t xml:space="preserve"> (see Chapter 18 Patient outcomes: Linked data)</w:t>
      </w:r>
      <w:r w:rsidR="00F403A3">
        <w:t>. It is likely that</w:t>
      </w:r>
      <w:r w:rsidR="008E757B">
        <w:t xml:space="preserve"> practice staff recalled exceptional cases when answering this question rather than the norm across patients.</w:t>
      </w:r>
    </w:p>
    <w:p w14:paraId="25427B6D" w14:textId="3DCDC16F" w:rsidR="00174368" w:rsidRDefault="00AE74AB" w:rsidP="00D64BE5">
      <w:pPr>
        <w:rPr>
          <w:lang w:val="en-GB"/>
        </w:rPr>
      </w:pPr>
      <w:r w:rsidRPr="004F63E7">
        <w:t>While practices reported a perceived improvement in patient outcomes overall, there were concerns that aspects of the model may have led to poorer outcomes for patients. Practices identified enrolling patients with a specific GP limited options for patients in certain circumstances. For example, limited availability of a GP due to planned leave or other reasons meant that patients had to wait longer to see the GP rather than booking in with another GP at the practice.</w:t>
      </w:r>
      <w:r w:rsidR="00A561EE">
        <w:t xml:space="preserve"> </w:t>
      </w:r>
      <w:r w:rsidRPr="004F63E7">
        <w:t xml:space="preserve">Practices also raised negative impacts of telehealth as a form of care delivery. While respondents commented on the patient and practice convenience of telehealth, some had concerns about the potential for missed diagnoses resulting from increased use of telehealth. Lastly, practices also suggested that the increase in paper and </w:t>
      </w:r>
      <w:r w:rsidRPr="004F63E7">
        <w:lastRenderedPageBreak/>
        <w:t>administrative work associated with HCH, including the shared care platforms</w:t>
      </w:r>
      <w:r w:rsidR="00D64BE5">
        <w:t>,</w:t>
      </w:r>
      <w:r w:rsidRPr="004F63E7">
        <w:t xml:space="preserve"> may have drawn time away from patient care and </w:t>
      </w:r>
      <w:r w:rsidR="00D64BE5">
        <w:t>affected</w:t>
      </w:r>
      <w:r w:rsidRPr="004F63E7">
        <w:t xml:space="preserve"> patient outcomes. </w:t>
      </w:r>
    </w:p>
    <w:p w14:paraId="04BB4735" w14:textId="252205BA" w:rsidR="00AE74AB" w:rsidRPr="004F63E7" w:rsidRDefault="00AE74AB" w:rsidP="00AE74AB">
      <w:pPr>
        <w:rPr>
          <w:lang w:val="en-GB"/>
        </w:rPr>
      </w:pPr>
      <w:r w:rsidRPr="004F63E7">
        <w:rPr>
          <w:lang w:val="en-GB"/>
        </w:rPr>
        <w:t>The interviews undertaken as part of the case studies also asked practices about outcomes for patients. A few practices stated they were able to see measurable improvements in some of their HCH patients’ health. They identified these improvements through their data and re-stratification of their patients:</w:t>
      </w:r>
    </w:p>
    <w:p w14:paraId="1FA7689D" w14:textId="77777777" w:rsidR="00AE74AB" w:rsidRPr="004F63E7" w:rsidRDefault="00AE74AB" w:rsidP="00AE74AB">
      <w:pPr>
        <w:ind w:left="567" w:right="521"/>
        <w:rPr>
          <w:lang w:val="en-GB"/>
        </w:rPr>
      </w:pPr>
      <w:r w:rsidRPr="004F63E7">
        <w:rPr>
          <w:i/>
          <w:iCs/>
          <w:lang w:val="en-GB"/>
        </w:rPr>
        <w:t>“We have one of our doctors do some data extraction and get some graphs up for us…We picked just five random patients…and we just did some charting for their HbA1c and their cholesterol from 2017 to current…but from that, it shows us that all five patients in both categories all improved.</w:t>
      </w:r>
      <w:r w:rsidRPr="004F63E7">
        <w:rPr>
          <w:rFonts w:ascii="Tahoma" w:hAnsi="Tahoma" w:cs="Tahoma"/>
          <w:i/>
          <w:iCs/>
          <w:lang w:val="en-GB"/>
        </w:rPr>
        <w:t xml:space="preserve"> </w:t>
      </w:r>
      <w:r w:rsidRPr="004F63E7">
        <w:rPr>
          <w:i/>
          <w:iCs/>
          <w:lang w:val="en-GB"/>
        </w:rPr>
        <w:t>So from that perspective, yes, it</w:t>
      </w:r>
      <w:r w:rsidRPr="004F63E7">
        <w:rPr>
          <w:rFonts w:cs="Century Gothic"/>
          <w:i/>
          <w:iCs/>
          <w:lang w:val="en-GB"/>
        </w:rPr>
        <w:t>’</w:t>
      </w:r>
      <w:r w:rsidRPr="004F63E7">
        <w:rPr>
          <w:i/>
          <w:iCs/>
          <w:lang w:val="en-GB"/>
        </w:rPr>
        <w:t>s of benefit to the patients because it</w:t>
      </w:r>
      <w:r w:rsidRPr="004F63E7">
        <w:rPr>
          <w:rFonts w:cs="Century Gothic"/>
          <w:i/>
          <w:iCs/>
          <w:lang w:val="en-GB"/>
        </w:rPr>
        <w:t>’</w:t>
      </w:r>
      <w:r w:rsidRPr="004F63E7">
        <w:rPr>
          <w:i/>
          <w:iCs/>
          <w:lang w:val="en-GB"/>
        </w:rPr>
        <w:t>s all about their health, so yes, their health is a lot better. It</w:t>
      </w:r>
      <w:r w:rsidRPr="004F63E7">
        <w:rPr>
          <w:rFonts w:cs="Century Gothic"/>
          <w:i/>
          <w:iCs/>
          <w:lang w:val="en-GB"/>
        </w:rPr>
        <w:t>’</w:t>
      </w:r>
      <w:r w:rsidRPr="004F63E7">
        <w:rPr>
          <w:i/>
          <w:iCs/>
          <w:lang w:val="en-GB"/>
        </w:rPr>
        <w:t>s showing that it</w:t>
      </w:r>
      <w:r w:rsidRPr="004F63E7">
        <w:rPr>
          <w:rFonts w:cs="Century Gothic"/>
          <w:i/>
          <w:iCs/>
          <w:lang w:val="en-GB"/>
        </w:rPr>
        <w:t>’</w:t>
      </w:r>
      <w:r w:rsidRPr="004F63E7">
        <w:rPr>
          <w:i/>
          <w:iCs/>
          <w:lang w:val="en-GB"/>
        </w:rPr>
        <w:t>s working. There</w:t>
      </w:r>
      <w:r w:rsidRPr="004F63E7">
        <w:rPr>
          <w:rFonts w:cs="Century Gothic"/>
          <w:i/>
          <w:iCs/>
          <w:lang w:val="en-GB"/>
        </w:rPr>
        <w:t>’</w:t>
      </w:r>
      <w:r w:rsidRPr="004F63E7">
        <w:rPr>
          <w:i/>
          <w:iCs/>
          <w:lang w:val="en-GB"/>
        </w:rPr>
        <w:t xml:space="preserve">s constant contact and follow-up...It’s just encouragement to take care of themselves. Now, we were just talking about it on a percentage basis as well. I wanted to know percentages of how things were running. Out of the 97 [HCH] patients, 94 had pathology, their vaccinations were at 73%, care plans were at 85%, HMRs were as high as I thought they should’ve been. We’re at about nearly 30%. I think, compared to patients that are not in the program, there’s definitely more going on with these patients in regards to the care that they’re provided with because there’s this constant encouragement to stay in touch and stay on top of things.” </w:t>
      </w:r>
      <w:r w:rsidRPr="004F63E7">
        <w:rPr>
          <w:lang w:val="en-GB"/>
        </w:rPr>
        <w:t>[GP, Practice 3, R5]</w:t>
      </w:r>
    </w:p>
    <w:p w14:paraId="746516E3" w14:textId="77777777" w:rsidR="00AE74AB" w:rsidRPr="004F63E7" w:rsidRDefault="00AE74AB" w:rsidP="00AE74AB">
      <w:pPr>
        <w:ind w:left="567" w:right="521"/>
        <w:rPr>
          <w:lang w:val="en-GB"/>
        </w:rPr>
      </w:pPr>
      <w:r w:rsidRPr="004F63E7">
        <w:rPr>
          <w:i/>
          <w:iCs/>
          <w:lang w:val="en-GB"/>
        </w:rPr>
        <w:t>“I think we’ve had some patients that have gone down tiers, so I think that’s a bonus, because that’s obviously an improvement in their general care.”</w:t>
      </w:r>
      <w:r w:rsidRPr="004F63E7">
        <w:rPr>
          <w:lang w:val="en-GB"/>
        </w:rPr>
        <w:t xml:space="preserve"> [Practice Manager, Practice 24, R5]</w:t>
      </w:r>
    </w:p>
    <w:p w14:paraId="652C0A15" w14:textId="67367E3D" w:rsidR="00AE74AB" w:rsidRPr="004F63E7" w:rsidRDefault="00AE74AB" w:rsidP="00AE74AB">
      <w:pPr>
        <w:rPr>
          <w:lang w:val="en-GB"/>
        </w:rPr>
      </w:pPr>
      <w:r w:rsidRPr="004F63E7">
        <w:rPr>
          <w:lang w:val="en-GB"/>
        </w:rPr>
        <w:t xml:space="preserve">However, many practices felt it was still too early to tell whether patients’ health had improved </w:t>
      </w:r>
      <w:r w:rsidR="00C323F2" w:rsidRPr="004F63E7">
        <w:rPr>
          <w:lang w:val="en-GB"/>
        </w:rPr>
        <w:t>because</w:t>
      </w:r>
      <w:r w:rsidRPr="004F63E7">
        <w:rPr>
          <w:lang w:val="en-GB"/>
        </w:rPr>
        <w:t xml:space="preserve"> of the changes they made as </w:t>
      </w:r>
      <w:r w:rsidR="00DB1BD7">
        <w:rPr>
          <w:lang w:val="en-GB"/>
        </w:rPr>
        <w:t>a HCH</w:t>
      </w:r>
      <w:r w:rsidRPr="004F63E7">
        <w:rPr>
          <w:lang w:val="en-GB"/>
        </w:rPr>
        <w:t xml:space="preserve">, and a few felt </w:t>
      </w:r>
      <w:r w:rsidR="00593484">
        <w:rPr>
          <w:lang w:val="en-GB"/>
        </w:rPr>
        <w:t>the changes</w:t>
      </w:r>
      <w:r w:rsidRPr="004F63E7">
        <w:rPr>
          <w:lang w:val="en-GB"/>
        </w:rPr>
        <w:t xml:space="preserve"> made little to no difference. Some were hoping to begin tracking and monitoring patient outcomes to see if </w:t>
      </w:r>
      <w:r w:rsidR="000908C4">
        <w:rPr>
          <w:lang w:val="en-GB"/>
        </w:rPr>
        <w:t>there</w:t>
      </w:r>
      <w:r w:rsidRPr="004F63E7">
        <w:rPr>
          <w:lang w:val="en-GB"/>
        </w:rPr>
        <w:t xml:space="preserve"> were changes for their HCH patients and if they could improve any components of the model or their care delivery:</w:t>
      </w:r>
    </w:p>
    <w:p w14:paraId="658BBF23" w14:textId="77777777" w:rsidR="00AE74AB" w:rsidRPr="004F63E7" w:rsidRDefault="00AE74AB" w:rsidP="00AE74AB">
      <w:pPr>
        <w:ind w:left="567" w:right="521"/>
        <w:rPr>
          <w:i/>
          <w:iCs/>
          <w:lang w:val="en-GB"/>
        </w:rPr>
      </w:pPr>
      <w:r w:rsidRPr="004F63E7">
        <w:rPr>
          <w:i/>
          <w:iCs/>
          <w:lang w:val="en-GB"/>
        </w:rPr>
        <w:t xml:space="preserve">“In terms of the outcomes…I think we’re still in early territory here, I can’t see that it’s changed a great deal in just the last 18 months, especially the 18 months we’ve had.” </w:t>
      </w:r>
      <w:r w:rsidRPr="004F63E7">
        <w:rPr>
          <w:lang w:val="en-GB"/>
        </w:rPr>
        <w:t>[GP, Practice 9, R5]</w:t>
      </w:r>
    </w:p>
    <w:p w14:paraId="3D30970E" w14:textId="77777777" w:rsidR="00AE74AB" w:rsidRPr="004F63E7" w:rsidRDefault="00AE74AB" w:rsidP="00AE74AB">
      <w:pPr>
        <w:ind w:left="567" w:right="521"/>
        <w:rPr>
          <w:lang w:val="en-GB"/>
        </w:rPr>
      </w:pPr>
      <w:r w:rsidRPr="004F63E7">
        <w:rPr>
          <w:i/>
          <w:iCs/>
          <w:lang w:val="en-GB"/>
        </w:rPr>
        <w:t>“We’re at this point, what’s the next thing that we can focus on to try and improve. Get better outcomes. So, it’s that in general. But, certainly, the Health Care Homes clients are the ones that we tend to focus on a little bit more because we can identify those and we can track them a little better through the system.”</w:t>
      </w:r>
      <w:r w:rsidRPr="004F63E7">
        <w:rPr>
          <w:lang w:val="en-GB"/>
        </w:rPr>
        <w:t xml:space="preserve"> [Practice Manager, Practice 10, R4]</w:t>
      </w:r>
    </w:p>
    <w:p w14:paraId="0C1FB8CC" w14:textId="77777777" w:rsidR="00AE74AB" w:rsidRPr="004F63E7" w:rsidRDefault="00AE74AB" w:rsidP="00AE74AB">
      <w:pPr>
        <w:ind w:left="567" w:right="521"/>
        <w:rPr>
          <w:lang w:val="en-GB"/>
        </w:rPr>
      </w:pPr>
      <w:r w:rsidRPr="004F63E7">
        <w:rPr>
          <w:i/>
          <w:iCs/>
          <w:lang w:val="en-GB"/>
        </w:rPr>
        <w:t>“…my reflection is that we need more time and I think we need more input and orientation to the patient and probably more enrolments as well.”</w:t>
      </w:r>
      <w:r w:rsidRPr="004F63E7">
        <w:rPr>
          <w:lang w:val="en-GB"/>
        </w:rPr>
        <w:t xml:space="preserve"> [GP, Practice 6, R5]</w:t>
      </w:r>
    </w:p>
    <w:p w14:paraId="3801333D" w14:textId="77777777" w:rsidR="00AE74AB" w:rsidRPr="004F63E7" w:rsidRDefault="00AE74AB" w:rsidP="00AE74AB">
      <w:pPr>
        <w:ind w:left="567" w:right="521"/>
        <w:rPr>
          <w:lang w:val="en-GB"/>
        </w:rPr>
      </w:pPr>
      <w:r w:rsidRPr="004F63E7">
        <w:rPr>
          <w:i/>
          <w:iCs/>
          <w:lang w:val="en-GB"/>
        </w:rPr>
        <w:lastRenderedPageBreak/>
        <w:t>“…it’s made not a scrap of difference to patients, and nothing different to doctors. Only that they don’t bill on the spot and then make mistakes with the billing sometimes, and I have to fix them up.”</w:t>
      </w:r>
      <w:r w:rsidRPr="004F63E7">
        <w:rPr>
          <w:lang w:val="en-GB"/>
        </w:rPr>
        <w:t xml:space="preserve"> [Practice Manager, Practice 11, R5]</w:t>
      </w:r>
    </w:p>
    <w:p w14:paraId="21178FCB" w14:textId="55ECA82D" w:rsidR="00AE74AB" w:rsidRPr="004F63E7" w:rsidRDefault="00AE74AB" w:rsidP="00AE74AB">
      <w:pPr>
        <w:rPr>
          <w:lang w:val="en-GB"/>
        </w:rPr>
      </w:pPr>
      <w:r w:rsidRPr="004F63E7">
        <w:rPr>
          <w:lang w:val="en-GB"/>
        </w:rPr>
        <w:t xml:space="preserve">Others cited more intangible patient benefits that </w:t>
      </w:r>
      <w:r w:rsidR="00CC5AAB">
        <w:rPr>
          <w:lang w:val="en-GB"/>
        </w:rPr>
        <w:t>arose due to</w:t>
      </w:r>
      <w:r w:rsidRPr="004F63E7">
        <w:rPr>
          <w:lang w:val="en-GB"/>
        </w:rPr>
        <w:t xml:space="preserve"> regular contact with patients and greater involvement of patients in their care:</w:t>
      </w:r>
    </w:p>
    <w:p w14:paraId="1FF4100D" w14:textId="77777777" w:rsidR="00AE74AB" w:rsidRPr="004F63E7" w:rsidRDefault="00AE74AB" w:rsidP="00AE74AB">
      <w:pPr>
        <w:ind w:left="567" w:right="521"/>
        <w:rPr>
          <w:szCs w:val="20"/>
          <w:lang w:val="en-US"/>
        </w:rPr>
      </w:pPr>
      <w:r w:rsidRPr="004F63E7">
        <w:rPr>
          <w:i/>
          <w:iCs/>
          <w:szCs w:val="20"/>
          <w:lang w:val="en-US"/>
        </w:rPr>
        <w:t xml:space="preserve">“I think having your regular </w:t>
      </w:r>
      <w:r w:rsidRPr="004F63E7">
        <w:rPr>
          <w:i/>
          <w:iCs/>
          <w:lang w:val="en-GB"/>
        </w:rPr>
        <w:t>evaluations</w:t>
      </w:r>
      <w:r w:rsidRPr="004F63E7">
        <w:rPr>
          <w:i/>
          <w:iCs/>
          <w:szCs w:val="20"/>
          <w:lang w:val="en-US"/>
        </w:rPr>
        <w:t xml:space="preserve"> with a patient, I think has made a difference…I think that when the nurse is doing those, there’s more time for them to actually talk to the patient, so I think they get more detail from the patient, especially if there’s problems or issues. I think having that regular review has been really, really beneficial, and that’s something, I think, in some way, shape or form, that if it doesn’t keep going, that we would keep doing. I think we’ve honed our care planning more to tie in with that.”</w:t>
      </w:r>
      <w:r w:rsidRPr="004F63E7">
        <w:rPr>
          <w:szCs w:val="20"/>
          <w:lang w:val="en-US"/>
        </w:rPr>
        <w:t xml:space="preserve"> [Practice Manager, Practice 22, R5]</w:t>
      </w:r>
    </w:p>
    <w:p w14:paraId="71188A20" w14:textId="77777777" w:rsidR="00AE74AB" w:rsidRPr="004F63E7" w:rsidRDefault="00AE74AB" w:rsidP="00AE74AB">
      <w:pPr>
        <w:ind w:left="567" w:right="521"/>
        <w:rPr>
          <w:szCs w:val="20"/>
          <w:lang w:val="en-US"/>
        </w:rPr>
      </w:pPr>
      <w:r w:rsidRPr="004F63E7">
        <w:rPr>
          <w:i/>
          <w:iCs/>
          <w:szCs w:val="20"/>
          <w:lang w:val="en-US"/>
        </w:rPr>
        <w:t>“Heaps of patients have gone through [the group exercise physiology class] and found it really beneficial. And I guess the thing I usually like to promote with the groups is teach them stuff that they can do in the group, but also self-management strategies too. So, there's been lots of patients that have come for a short period of time…then that's been enough for them to continue their exercise on their own. Other patients have been coming a lot longer than that, because they enjoy it. And they still do it at home, but they enjoy it.”</w:t>
      </w:r>
      <w:r w:rsidRPr="004F63E7">
        <w:rPr>
          <w:szCs w:val="20"/>
          <w:lang w:val="en-US"/>
        </w:rPr>
        <w:t xml:space="preserve"> [Exercise Physiologist, Practice 25, R5]</w:t>
      </w:r>
    </w:p>
    <w:p w14:paraId="20A0FFAD" w14:textId="77777777" w:rsidR="00AE74AB" w:rsidRDefault="00AE74AB" w:rsidP="00AE74AB">
      <w:pPr>
        <w:ind w:left="567" w:right="521"/>
        <w:rPr>
          <w:szCs w:val="20"/>
          <w:lang w:val="en-US"/>
        </w:rPr>
      </w:pPr>
      <w:r w:rsidRPr="004F63E7">
        <w:rPr>
          <w:i/>
          <w:iCs/>
          <w:szCs w:val="20"/>
          <w:lang w:val="en-US"/>
        </w:rPr>
        <w:t xml:space="preserve">“…if you polled our patients, I’m sure they would say so, that they liked it. They liked particularly the relationship they developed with one or two people. Some of them particularly liked the feeling that they were more involved in what was going on. And they liked the regularity, even if it was to say, look, there’s nothing particularly new or whatever. And the ones that came out of hospital poorly </w:t>
      </w:r>
      <w:proofErr w:type="spellStart"/>
      <w:r w:rsidRPr="004F63E7">
        <w:rPr>
          <w:i/>
          <w:iCs/>
          <w:szCs w:val="20"/>
          <w:lang w:val="en-US"/>
        </w:rPr>
        <w:t>organised</w:t>
      </w:r>
      <w:proofErr w:type="spellEnd"/>
      <w:r w:rsidRPr="004F63E7">
        <w:rPr>
          <w:i/>
          <w:iCs/>
          <w:szCs w:val="20"/>
          <w:lang w:val="en-US"/>
        </w:rPr>
        <w:t xml:space="preserve">, which is par for the course, they really liked the fact that the nursing staff could ring and get a discharge letter and lists of drugs and </w:t>
      </w:r>
      <w:proofErr w:type="spellStart"/>
      <w:r w:rsidRPr="004F63E7">
        <w:rPr>
          <w:i/>
          <w:iCs/>
          <w:szCs w:val="20"/>
          <w:lang w:val="en-US"/>
        </w:rPr>
        <w:t>organise</w:t>
      </w:r>
      <w:proofErr w:type="spellEnd"/>
      <w:r w:rsidRPr="004F63E7">
        <w:rPr>
          <w:i/>
          <w:iCs/>
          <w:szCs w:val="20"/>
          <w:lang w:val="en-US"/>
        </w:rPr>
        <w:t xml:space="preserve"> things and visit them at home and so on. So that was really helpful to them.”</w:t>
      </w:r>
      <w:r w:rsidRPr="004F63E7">
        <w:rPr>
          <w:szCs w:val="20"/>
          <w:lang w:val="en-US"/>
        </w:rPr>
        <w:t xml:space="preserve"> [GP, Practice 4, R5]</w:t>
      </w:r>
    </w:p>
    <w:p w14:paraId="32D1F664" w14:textId="38A803A7" w:rsidR="001203A3" w:rsidRPr="00C348B7" w:rsidRDefault="001203A3" w:rsidP="00C348B7">
      <w:pPr>
        <w:ind w:left="567" w:right="521"/>
        <w:rPr>
          <w:szCs w:val="20"/>
          <w:lang w:val="en-US"/>
        </w:rPr>
      </w:pPr>
      <w:r>
        <w:br w:type="page"/>
      </w:r>
    </w:p>
    <w:p w14:paraId="758408D5" w14:textId="5BA5BEAE" w:rsidR="00AE74AB" w:rsidRPr="004F63E7" w:rsidRDefault="00AE74AB" w:rsidP="00AE74AB">
      <w:pPr>
        <w:outlineLvl w:val="1"/>
        <w:rPr>
          <w:rFonts w:ascii="Roboto Slab" w:eastAsia="Times New Roman" w:hAnsi="Roboto Slab" w:cs="Times New Roman"/>
          <w:bCs/>
          <w:color w:val="408BCA"/>
          <w:sz w:val="32"/>
          <w:szCs w:val="36"/>
          <w:lang w:eastAsia="en-AU"/>
        </w:rPr>
      </w:pPr>
      <w:r w:rsidRPr="004F63E7">
        <w:rPr>
          <w:rFonts w:ascii="Roboto Slab" w:eastAsia="Times New Roman" w:hAnsi="Roboto Slab" w:cs="Times New Roman"/>
          <w:bCs/>
          <w:color w:val="408BCA"/>
          <w:sz w:val="32"/>
          <w:szCs w:val="36"/>
          <w:lang w:eastAsia="en-AU"/>
        </w:rPr>
        <w:lastRenderedPageBreak/>
        <w:t>Key enablers</w:t>
      </w:r>
    </w:p>
    <w:p w14:paraId="630D0C54" w14:textId="2F685EE0" w:rsidR="00EB7C02" w:rsidRDefault="00AE74AB" w:rsidP="001203A3">
      <w:pPr>
        <w:rPr>
          <w:lang w:val="en-GB"/>
        </w:rPr>
      </w:pPr>
      <w:r w:rsidRPr="004F63E7">
        <w:rPr>
          <w:lang w:val="en-GB"/>
        </w:rPr>
        <w:t>When asked about what factors that made it easier to implement the HCH model, practices mentioned leadership and staff participation, adequate enrolments, adequate resources and a focus on team-based and patient-centred care (</w:t>
      </w:r>
      <w:r w:rsidRPr="00EB7C02">
        <w:rPr>
          <w:rFonts w:eastAsiaTheme="minorEastAsia"/>
          <w:color w:val="1D2455"/>
          <w:szCs w:val="20"/>
          <w:lang w:val="en-US" w:eastAsia="en-AU"/>
        </w:rPr>
        <w:fldChar w:fldCharType="begin"/>
      </w:r>
      <w:r w:rsidRPr="00EB7C02">
        <w:rPr>
          <w:rFonts w:eastAsiaTheme="minorEastAsia"/>
          <w:color w:val="1D2455"/>
          <w:szCs w:val="20"/>
          <w:lang w:val="en-US" w:eastAsia="en-AU"/>
        </w:rPr>
        <w:instrText xml:space="preserve"> REF _Ref87460863 \h  \* MERGEFORMAT </w:instrText>
      </w:r>
      <w:r w:rsidRPr="00EB7C02">
        <w:rPr>
          <w:rFonts w:eastAsiaTheme="minorEastAsia"/>
          <w:color w:val="1D2455"/>
          <w:szCs w:val="20"/>
          <w:lang w:val="en-US" w:eastAsia="en-AU"/>
        </w:rPr>
      </w:r>
      <w:r w:rsidRPr="00EB7C02">
        <w:rPr>
          <w:rFonts w:eastAsiaTheme="minorEastAsia"/>
          <w:color w:val="1D2455"/>
          <w:szCs w:val="20"/>
          <w:lang w:val="en-US" w:eastAsia="en-AU"/>
        </w:rPr>
        <w:fldChar w:fldCharType="separate"/>
      </w:r>
      <w:r w:rsidR="003C4BC2" w:rsidRPr="003C4BC2">
        <w:rPr>
          <w:rFonts w:eastAsiaTheme="minorEastAsia"/>
          <w:color w:val="1D2455"/>
          <w:szCs w:val="20"/>
          <w:lang w:val="en-US" w:eastAsia="en-AU"/>
        </w:rPr>
        <w:t>Figure 21</w:t>
      </w:r>
      <w:r w:rsidRPr="00EB7C02">
        <w:rPr>
          <w:rFonts w:eastAsiaTheme="minorEastAsia"/>
          <w:color w:val="1D2455"/>
          <w:szCs w:val="20"/>
          <w:lang w:val="en-US" w:eastAsia="en-AU"/>
        </w:rPr>
        <w:fldChar w:fldCharType="end"/>
      </w:r>
      <w:r w:rsidRPr="00EB7C02">
        <w:rPr>
          <w:rFonts w:eastAsiaTheme="minorEastAsia"/>
          <w:szCs w:val="20"/>
          <w:lang w:val="en-US" w:eastAsia="en-AU"/>
        </w:rPr>
        <w:t>)</w:t>
      </w:r>
      <w:r w:rsidRPr="004F63E7">
        <w:rPr>
          <w:lang w:val="en-GB"/>
        </w:rPr>
        <w:t>.</w:t>
      </w:r>
      <w:r w:rsidR="002C335A">
        <w:rPr>
          <w:lang w:val="en-GB"/>
        </w:rPr>
        <w:t xml:space="preserve"> </w:t>
      </w:r>
    </w:p>
    <w:p w14:paraId="57DB1BA3" w14:textId="23C5AF45" w:rsidR="00AE74AB" w:rsidRPr="004F63E7" w:rsidRDefault="00AE74AB" w:rsidP="00AE74AB">
      <w:pPr>
        <w:spacing w:after="60"/>
        <w:jc w:val="center"/>
        <w:rPr>
          <w:rFonts w:eastAsiaTheme="minorEastAsia"/>
          <w:bCs/>
          <w:color w:val="1D2455"/>
          <w:szCs w:val="20"/>
          <w:lang w:eastAsia="en-AU"/>
        </w:rPr>
      </w:pPr>
      <w:bookmarkStart w:id="206" w:name="_Ref87460863"/>
      <w:bookmarkStart w:id="207" w:name="_Ref87460849"/>
      <w:r w:rsidRPr="004F63E7">
        <w:rPr>
          <w:rFonts w:eastAsiaTheme="minorEastAsia"/>
          <w:bCs/>
          <w:color w:val="1D2455"/>
          <w:szCs w:val="20"/>
          <w:lang w:eastAsia="en-AU"/>
        </w:rPr>
        <w:t xml:space="preserve">Figure </w:t>
      </w:r>
      <w:r w:rsidRPr="004F63E7">
        <w:rPr>
          <w:rFonts w:eastAsiaTheme="minorEastAsia"/>
          <w:bCs/>
          <w:color w:val="1D2455"/>
          <w:szCs w:val="20"/>
          <w:lang w:eastAsia="en-AU"/>
        </w:rPr>
        <w:fldChar w:fldCharType="begin"/>
      </w:r>
      <w:r w:rsidRPr="004F63E7">
        <w:rPr>
          <w:rFonts w:eastAsiaTheme="minorEastAsia"/>
          <w:bCs/>
          <w:color w:val="1D2455"/>
          <w:szCs w:val="20"/>
          <w:lang w:eastAsia="en-AU"/>
        </w:rPr>
        <w:instrText xml:space="preserve"> SEQ Figure \* ARABIC </w:instrText>
      </w:r>
      <w:r w:rsidRPr="004F63E7">
        <w:rPr>
          <w:rFonts w:eastAsiaTheme="minorEastAsia"/>
          <w:bCs/>
          <w:color w:val="1D2455"/>
          <w:szCs w:val="20"/>
          <w:lang w:eastAsia="en-AU"/>
        </w:rPr>
        <w:fldChar w:fldCharType="separate"/>
      </w:r>
      <w:r w:rsidR="003C4BC2">
        <w:rPr>
          <w:rFonts w:eastAsiaTheme="minorEastAsia"/>
          <w:bCs/>
          <w:noProof/>
          <w:color w:val="1D2455"/>
          <w:szCs w:val="20"/>
          <w:lang w:eastAsia="en-AU"/>
        </w:rPr>
        <w:t>21</w:t>
      </w:r>
      <w:r w:rsidRPr="004F63E7">
        <w:rPr>
          <w:rFonts w:eastAsiaTheme="minorEastAsia"/>
          <w:bCs/>
          <w:noProof/>
          <w:color w:val="1D2455"/>
          <w:szCs w:val="20"/>
          <w:lang w:eastAsia="en-AU"/>
        </w:rPr>
        <w:fldChar w:fldCharType="end"/>
      </w:r>
      <w:bookmarkEnd w:id="206"/>
      <w:r w:rsidRPr="004F63E7">
        <w:rPr>
          <w:rFonts w:eastAsiaTheme="minorEastAsia"/>
          <w:bCs/>
          <w:color w:val="1D2455"/>
          <w:szCs w:val="20"/>
          <w:lang w:eastAsia="en-AU"/>
        </w:rPr>
        <w:t>:</w:t>
      </w:r>
      <w:r w:rsidRPr="004F63E7">
        <w:rPr>
          <w:rFonts w:eastAsiaTheme="minorEastAsia"/>
          <w:bCs/>
          <w:color w:val="1D2455"/>
          <w:szCs w:val="20"/>
          <w:lang w:val="en-US" w:eastAsia="en-AU"/>
        </w:rPr>
        <w:t xml:space="preserve"> Enablers of HCH program implementation</w:t>
      </w:r>
      <w:bookmarkEnd w:id="207"/>
      <w:r w:rsidR="00EA2F3A">
        <w:rPr>
          <w:rFonts w:eastAsiaTheme="minorEastAsia"/>
          <w:bCs/>
          <w:color w:val="1D2455"/>
          <w:szCs w:val="20"/>
          <w:lang w:val="en-US" w:eastAsia="en-AU"/>
        </w:rPr>
        <w:t xml:space="preserve"> reported by practices</w:t>
      </w:r>
    </w:p>
    <w:p w14:paraId="0BC01B14" w14:textId="77777777" w:rsidR="00AE74AB" w:rsidRPr="004F63E7" w:rsidRDefault="00AE74AB" w:rsidP="00AE74AB">
      <w:pPr>
        <w:rPr>
          <w:lang w:val="en-GB"/>
        </w:rPr>
      </w:pPr>
    </w:p>
    <w:p w14:paraId="63DB8017" w14:textId="77777777" w:rsidR="00AE74AB" w:rsidRPr="004F63E7" w:rsidRDefault="00AE74AB" w:rsidP="00AE74AB">
      <w:pPr>
        <w:jc w:val="center"/>
      </w:pPr>
      <w:r w:rsidRPr="004F63E7">
        <w:rPr>
          <w:noProof/>
        </w:rPr>
        <w:drawing>
          <wp:inline distT="0" distB="0" distL="0" distR="0" wp14:anchorId="4935C776" wp14:editId="2F31DC8D">
            <wp:extent cx="5590540" cy="4048125"/>
            <wp:effectExtent l="0" t="0" r="0" b="0"/>
            <wp:docPr id="5" name="Picture 5"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imeline&#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90540" cy="4048125"/>
                    </a:xfrm>
                    <a:prstGeom prst="rect">
                      <a:avLst/>
                    </a:prstGeom>
                    <a:noFill/>
                  </pic:spPr>
                </pic:pic>
              </a:graphicData>
            </a:graphic>
          </wp:inline>
        </w:drawing>
      </w:r>
    </w:p>
    <w:p w14:paraId="52AC8409" w14:textId="3D651868" w:rsidR="000C74FA" w:rsidRPr="000C74FA" w:rsidRDefault="000C74FA" w:rsidP="00C351C4">
      <w:pPr>
        <w:jc w:val="center"/>
        <w:rPr>
          <w:rFonts w:eastAsiaTheme="minorEastAsia"/>
          <w:bCs/>
          <w:i/>
          <w:sz w:val="16"/>
          <w:szCs w:val="16"/>
          <w:lang w:eastAsia="en-AU"/>
        </w:rPr>
      </w:pPr>
      <w:bookmarkStart w:id="208" w:name="_Impact_of_Covid-19"/>
      <w:bookmarkEnd w:id="208"/>
      <w:r w:rsidRPr="004F63E7">
        <w:rPr>
          <w:rFonts w:eastAsiaTheme="minorEastAsia"/>
          <w:bCs/>
          <w:i/>
          <w:sz w:val="16"/>
          <w:szCs w:val="16"/>
          <w:lang w:eastAsia="en-AU"/>
        </w:rPr>
        <w:t xml:space="preserve">Source: </w:t>
      </w:r>
      <w:r>
        <w:rPr>
          <w:rFonts w:eastAsiaTheme="minorEastAsia"/>
          <w:bCs/>
          <w:i/>
          <w:sz w:val="16"/>
          <w:szCs w:val="16"/>
          <w:lang w:eastAsia="en-AU"/>
        </w:rPr>
        <w:t>Case stud</w:t>
      </w:r>
      <w:r w:rsidR="002C3866">
        <w:rPr>
          <w:rFonts w:eastAsiaTheme="minorEastAsia"/>
          <w:bCs/>
          <w:i/>
          <w:sz w:val="16"/>
          <w:szCs w:val="16"/>
          <w:lang w:eastAsia="en-AU"/>
        </w:rPr>
        <w:t>y interviews</w:t>
      </w:r>
      <w:r w:rsidR="008716E0">
        <w:rPr>
          <w:rFonts w:eastAsiaTheme="minorEastAsia"/>
          <w:bCs/>
          <w:i/>
          <w:sz w:val="16"/>
          <w:szCs w:val="16"/>
          <w:lang w:eastAsia="en-AU"/>
        </w:rPr>
        <w:t>,</w:t>
      </w:r>
      <w:r w:rsidRPr="00000B7C">
        <w:rPr>
          <w:rFonts w:eastAsiaTheme="minorEastAsia"/>
          <w:bCs/>
          <w:i/>
          <w:sz w:val="16"/>
          <w:szCs w:val="16"/>
          <w:lang w:eastAsia="en-AU"/>
        </w:rPr>
        <w:t xml:space="preserve"> R</w:t>
      </w:r>
      <w:r w:rsidR="00D93F22">
        <w:rPr>
          <w:rFonts w:eastAsiaTheme="minorEastAsia"/>
          <w:bCs/>
          <w:i/>
          <w:sz w:val="16"/>
          <w:szCs w:val="16"/>
          <w:lang w:eastAsia="en-AU"/>
        </w:rPr>
        <w:t>2</w:t>
      </w:r>
      <w:r w:rsidR="00C351C4">
        <w:rPr>
          <w:rFonts w:eastAsiaTheme="minorEastAsia"/>
          <w:bCs/>
          <w:i/>
          <w:sz w:val="16"/>
          <w:szCs w:val="16"/>
          <w:lang w:eastAsia="en-AU"/>
        </w:rPr>
        <w:t xml:space="preserve"> </w:t>
      </w:r>
      <w:r w:rsidR="00C351C4" w:rsidRPr="00C351C4">
        <w:rPr>
          <w:rFonts w:eastAsiaTheme="minorEastAsia"/>
          <w:bCs/>
          <w:i/>
          <w:sz w:val="16"/>
          <w:szCs w:val="16"/>
          <w:lang w:eastAsia="en-AU"/>
        </w:rPr>
        <w:t>Sept–Oct 2018</w:t>
      </w:r>
      <w:r w:rsidR="00C351C4">
        <w:rPr>
          <w:rFonts w:eastAsiaTheme="minorEastAsia"/>
          <w:bCs/>
          <w:i/>
          <w:sz w:val="16"/>
          <w:szCs w:val="16"/>
          <w:lang w:eastAsia="en-AU"/>
        </w:rPr>
        <w:t xml:space="preserve">, </w:t>
      </w:r>
      <w:r w:rsidR="00D97971">
        <w:rPr>
          <w:rFonts w:eastAsiaTheme="minorEastAsia"/>
          <w:bCs/>
          <w:i/>
          <w:sz w:val="16"/>
          <w:szCs w:val="16"/>
          <w:lang w:eastAsia="en-AU"/>
        </w:rPr>
        <w:t>R4</w:t>
      </w:r>
      <w:r w:rsidRPr="00000B7C">
        <w:rPr>
          <w:rFonts w:eastAsiaTheme="minorEastAsia"/>
          <w:bCs/>
          <w:i/>
          <w:sz w:val="16"/>
          <w:szCs w:val="16"/>
          <w:lang w:eastAsia="en-AU"/>
        </w:rPr>
        <w:t xml:space="preserve"> </w:t>
      </w:r>
      <w:r w:rsidR="00C351C4" w:rsidRPr="00D97971">
        <w:rPr>
          <w:rFonts w:eastAsiaTheme="minorEastAsia"/>
          <w:bCs/>
          <w:i/>
          <w:sz w:val="16"/>
          <w:szCs w:val="16"/>
          <w:lang w:eastAsia="en-AU"/>
        </w:rPr>
        <w:t>Nov 2019–Mar 2020</w:t>
      </w:r>
      <w:r w:rsidR="008716E0">
        <w:rPr>
          <w:rFonts w:eastAsiaTheme="minorEastAsia"/>
          <w:bCs/>
          <w:i/>
          <w:sz w:val="16"/>
          <w:szCs w:val="16"/>
          <w:lang w:eastAsia="en-AU"/>
        </w:rPr>
        <w:t xml:space="preserve">, </w:t>
      </w:r>
      <w:r w:rsidR="00D93F22">
        <w:rPr>
          <w:rFonts w:eastAsiaTheme="minorEastAsia"/>
          <w:bCs/>
          <w:i/>
          <w:sz w:val="16"/>
          <w:szCs w:val="16"/>
          <w:lang w:eastAsia="en-AU"/>
        </w:rPr>
        <w:t xml:space="preserve">R5 </w:t>
      </w:r>
      <w:r w:rsidR="0059464A">
        <w:rPr>
          <w:rFonts w:eastAsiaTheme="minorEastAsia"/>
          <w:bCs/>
          <w:i/>
          <w:sz w:val="16"/>
          <w:szCs w:val="16"/>
          <w:lang w:eastAsia="en-AU"/>
        </w:rPr>
        <w:t>Mar–May 2021</w:t>
      </w:r>
      <w:r>
        <w:rPr>
          <w:rFonts w:eastAsiaTheme="minorEastAsia"/>
          <w:bCs/>
          <w:i/>
          <w:sz w:val="16"/>
          <w:szCs w:val="16"/>
          <w:lang w:eastAsia="en-AU"/>
        </w:rPr>
        <w:t>.</w:t>
      </w:r>
    </w:p>
    <w:p w14:paraId="76CDEA8A" w14:textId="5DAD0BDA" w:rsidR="00AE74AB" w:rsidRPr="004F63E7" w:rsidRDefault="00AE74AB" w:rsidP="00AE74AB">
      <w:r w:rsidRPr="004F63E7">
        <w:t>Leadership was particularly important according to practices and PHNs. In most practices there were individuals who were strong believers in the model and drove change within their practice. They were often the individuals that applied for the practice to join the trial. Though some leaders were practice owners or senior GPs, practice managers and nurses often took on this role.</w:t>
      </w:r>
    </w:p>
    <w:p w14:paraId="54AB9775" w14:textId="77777777" w:rsidR="00AE74AB" w:rsidRPr="004F63E7" w:rsidRDefault="00AE74AB" w:rsidP="00AE74AB">
      <w:r w:rsidRPr="004F63E7">
        <w:t>One thing that became evident throughout the trial was that more than one leader was needed:</w:t>
      </w:r>
    </w:p>
    <w:p w14:paraId="55DE4FED" w14:textId="77777777" w:rsidR="00AE74AB" w:rsidRPr="004F63E7" w:rsidRDefault="00AE74AB" w:rsidP="00AE74AB">
      <w:pPr>
        <w:ind w:left="567" w:right="521"/>
      </w:pPr>
      <w:r w:rsidRPr="004F63E7">
        <w:t>“</w:t>
      </w:r>
      <w:r w:rsidRPr="004F63E7">
        <w:rPr>
          <w:i/>
          <w:iCs/>
        </w:rPr>
        <w:t xml:space="preserve">You… </w:t>
      </w:r>
      <w:r w:rsidRPr="004F63E7">
        <w:rPr>
          <w:i/>
          <w:iCs/>
          <w:szCs w:val="20"/>
        </w:rPr>
        <w:t>have</w:t>
      </w:r>
      <w:r w:rsidRPr="004F63E7">
        <w:rPr>
          <w:i/>
          <w:iCs/>
        </w:rPr>
        <w:t xml:space="preserve"> to have a group of people that want to make it happen. It’s not a half-hearted exercise</w:t>
      </w:r>
      <w:r w:rsidRPr="004F63E7">
        <w:t>.” [Practice Manager, R4, Practice 4]</w:t>
      </w:r>
    </w:p>
    <w:p w14:paraId="0CCFDA9F" w14:textId="321CECCF" w:rsidR="001203A3" w:rsidRDefault="00AE74AB" w:rsidP="0059464A">
      <w:r w:rsidRPr="004F63E7">
        <w:t>Having a team to drive change became more important as the trial progressed as progress stopped altogether in some practices when the person that left was the one key person driving the initiative.</w:t>
      </w:r>
      <w:r w:rsidR="001203A3">
        <w:br w:type="page"/>
      </w:r>
    </w:p>
    <w:p w14:paraId="257B43DB" w14:textId="77777777" w:rsidR="00AE74AB" w:rsidRPr="004F63E7" w:rsidRDefault="00AE74AB" w:rsidP="00AE74AB">
      <w:pPr>
        <w:outlineLvl w:val="1"/>
        <w:rPr>
          <w:rFonts w:ascii="Roboto Slab" w:eastAsia="Times New Roman" w:hAnsi="Roboto Slab" w:cs="Times New Roman"/>
          <w:bCs/>
          <w:color w:val="408BCA"/>
          <w:sz w:val="32"/>
          <w:szCs w:val="36"/>
          <w:lang w:eastAsia="en-AU"/>
        </w:rPr>
      </w:pPr>
      <w:r w:rsidRPr="004F63E7">
        <w:rPr>
          <w:rFonts w:ascii="Roboto Slab" w:eastAsia="Times New Roman" w:hAnsi="Roboto Slab" w:cs="Times New Roman"/>
          <w:bCs/>
          <w:color w:val="408BCA"/>
          <w:sz w:val="32"/>
          <w:szCs w:val="36"/>
          <w:lang w:val="en-GB" w:eastAsia="en-AU"/>
        </w:rPr>
        <w:lastRenderedPageBreak/>
        <w:t>Key challenges</w:t>
      </w:r>
    </w:p>
    <w:p w14:paraId="04E6E09C" w14:textId="77777777" w:rsidR="00AE74AB" w:rsidRPr="004F63E7" w:rsidRDefault="00AE74AB" w:rsidP="00AE74AB">
      <w:pPr>
        <w:rPr>
          <w:lang w:val="en-GB"/>
        </w:rPr>
      </w:pPr>
      <w:r w:rsidRPr="004F63E7">
        <w:rPr>
          <w:lang w:val="en-GB"/>
        </w:rPr>
        <w:t>Practices frequently mentioned staff turnover and workforce shortages, administrative burden, patients’ understanding and expectations of HCH and scale of enrolments as key challenges throughout the trial. These are described below.</w:t>
      </w:r>
    </w:p>
    <w:p w14:paraId="28436F0E" w14:textId="77777777" w:rsidR="00AE74AB" w:rsidRPr="004F63E7" w:rsidRDefault="00AE74AB" w:rsidP="00AE74AB">
      <w:pPr>
        <w:keepNext/>
        <w:keepLines/>
        <w:outlineLvl w:val="2"/>
        <w:rPr>
          <w:rFonts w:ascii="Roboto Slab" w:eastAsiaTheme="majorEastAsia" w:hAnsi="Roboto Slab" w:cstheme="majorBidi"/>
          <w:color w:val="408BCA"/>
          <w:sz w:val="24"/>
          <w:szCs w:val="24"/>
          <w:lang w:val="en-GB"/>
        </w:rPr>
      </w:pPr>
      <w:r w:rsidRPr="004F63E7">
        <w:rPr>
          <w:rFonts w:ascii="Roboto Slab" w:eastAsiaTheme="majorEastAsia" w:hAnsi="Roboto Slab" w:cstheme="majorBidi"/>
          <w:color w:val="408BCA"/>
          <w:sz w:val="24"/>
          <w:szCs w:val="24"/>
          <w:lang w:val="en-GB"/>
        </w:rPr>
        <w:t>Staff turnover and workforce shortages</w:t>
      </w:r>
    </w:p>
    <w:p w14:paraId="3E083045" w14:textId="3E1A515E" w:rsidR="00AE74AB" w:rsidRPr="004F63E7" w:rsidRDefault="00AE74AB" w:rsidP="00AE74AB">
      <w:pPr>
        <w:rPr>
          <w:lang w:val="en-GB"/>
        </w:rPr>
      </w:pPr>
      <w:r w:rsidRPr="004F63E7">
        <w:rPr>
          <w:lang w:val="en-GB"/>
        </w:rPr>
        <w:t xml:space="preserve">Practices discussed difficulties with key staff leaving the practice or retiring. These included HCH coordinators, nurses or GPs who were often drivers of the program. These staff leaving often delayed implementation, decreased motivation and enthusiasm for the initiative amongst other staff, limited the time and resources that staff members could devote to their HCH patients or reduced some of the additional benefits and services that HCH patients were receiving: </w:t>
      </w:r>
    </w:p>
    <w:p w14:paraId="5B30AC25" w14:textId="77777777" w:rsidR="00AE74AB" w:rsidRPr="004F63E7" w:rsidRDefault="00AE74AB" w:rsidP="00AE74AB">
      <w:pPr>
        <w:ind w:left="567" w:right="521"/>
        <w:rPr>
          <w:szCs w:val="20"/>
          <w:lang w:val="en-GB"/>
        </w:rPr>
      </w:pPr>
      <w:r w:rsidRPr="004F63E7">
        <w:rPr>
          <w:i/>
          <w:iCs/>
          <w:szCs w:val="20"/>
          <w:lang w:val="en-US"/>
        </w:rPr>
        <w:t xml:space="preserve">“Timewise, for a while I was the only nurse here and I’m only part time as well, so there wasn't that time for check-in calls, out of </w:t>
      </w:r>
      <w:r w:rsidRPr="004F63E7">
        <w:rPr>
          <w:i/>
          <w:szCs w:val="20"/>
        </w:rPr>
        <w:t>the</w:t>
      </w:r>
      <w:r w:rsidRPr="004F63E7">
        <w:rPr>
          <w:i/>
          <w:iCs/>
          <w:szCs w:val="20"/>
          <w:lang w:val="en-US"/>
        </w:rPr>
        <w:t xml:space="preserve"> blue to touch base with the patients as well.”</w:t>
      </w:r>
      <w:r w:rsidRPr="004F63E7">
        <w:rPr>
          <w:szCs w:val="20"/>
          <w:lang w:val="en-US"/>
        </w:rPr>
        <w:t xml:space="preserve"> [Nurse, Practice 22, R5]</w:t>
      </w:r>
    </w:p>
    <w:p w14:paraId="082836A2" w14:textId="77777777" w:rsidR="00AE74AB" w:rsidRPr="004F63E7" w:rsidRDefault="00AE74AB" w:rsidP="00AE74AB">
      <w:pPr>
        <w:ind w:left="567" w:right="521"/>
        <w:rPr>
          <w:lang w:val="en-GB"/>
        </w:rPr>
      </w:pPr>
      <w:r w:rsidRPr="004F63E7">
        <w:rPr>
          <w:i/>
          <w:iCs/>
          <w:lang w:val="en-GB"/>
        </w:rPr>
        <w:t>“One of the issues of course is that the practice manager who was…in on the ground with setting this up…moved on…And we</w:t>
      </w:r>
      <w:r w:rsidRPr="004F63E7">
        <w:rPr>
          <w:rFonts w:cs="Century Gothic"/>
          <w:i/>
          <w:iCs/>
          <w:lang w:val="en-GB"/>
        </w:rPr>
        <w:t>’</w:t>
      </w:r>
      <w:r w:rsidRPr="004F63E7">
        <w:rPr>
          <w:i/>
          <w:iCs/>
          <w:lang w:val="en-GB"/>
        </w:rPr>
        <w:t>ve got a new practice manager. So she wasn</w:t>
      </w:r>
      <w:r w:rsidRPr="004F63E7">
        <w:rPr>
          <w:rFonts w:cs="Century Gothic"/>
          <w:i/>
          <w:iCs/>
          <w:lang w:val="en-GB"/>
        </w:rPr>
        <w:t>’</w:t>
      </w:r>
      <w:r w:rsidRPr="004F63E7">
        <w:rPr>
          <w:i/>
          <w:iCs/>
          <w:lang w:val="en-GB"/>
        </w:rPr>
        <w:t xml:space="preserve">t as up to speed with the way Health Care Homes works.” </w:t>
      </w:r>
      <w:r w:rsidRPr="004F63E7">
        <w:rPr>
          <w:lang w:val="en-GB"/>
        </w:rPr>
        <w:t>[GP, Practice 4, R5]</w:t>
      </w:r>
    </w:p>
    <w:p w14:paraId="09C49EA0" w14:textId="77777777" w:rsidR="00AE74AB" w:rsidRPr="004F63E7" w:rsidRDefault="00AE74AB" w:rsidP="00AE74AB">
      <w:pPr>
        <w:ind w:left="567" w:right="521"/>
        <w:rPr>
          <w:lang w:val="en-GB"/>
        </w:rPr>
      </w:pPr>
      <w:r w:rsidRPr="004F63E7">
        <w:rPr>
          <w:i/>
          <w:iCs/>
          <w:lang w:val="en-GB"/>
        </w:rPr>
        <w:t>“So, when we first embarked on the journey, I had a nurse manager...and that’s where I thought, this would be great because she’s across the doctors. She knows the conditions, she’s a little bit more experienced. She’d help with sitting in on their care plans, so that was great…but then [Nurse Manager]…resigned and moved onto a new role. With her moving, the two nurses that I have here are fairly new to general practice, so putting them into a program such as this, which is a lot more involvement with the amount of patients that we have was just not worth it for me…So, that I think was a barrier for us.”</w:t>
      </w:r>
      <w:r w:rsidRPr="004F63E7">
        <w:rPr>
          <w:lang w:val="en-GB"/>
        </w:rPr>
        <w:t xml:space="preserve"> [Practice Manager, Practice 15, R4]</w:t>
      </w:r>
    </w:p>
    <w:p w14:paraId="57061553" w14:textId="77777777" w:rsidR="00AE74AB" w:rsidRPr="004F63E7" w:rsidRDefault="00AE74AB" w:rsidP="00AE74AB">
      <w:pPr>
        <w:rPr>
          <w:lang w:val="en-GB"/>
        </w:rPr>
      </w:pPr>
      <w:r w:rsidRPr="004F63E7">
        <w:rPr>
          <w:lang w:val="en-GB"/>
        </w:rPr>
        <w:t xml:space="preserve">These reflections were especially prevalent during the last round of interviews. Staff members described how they grappled with staff turnover throughout the pandemic which often made it difficult for them to continue providing the same level of care to their HCH patients, re-train and engage new or existing staff members who were not involved in the program and complete the administrative processes required to operate the initiative within their practices: </w:t>
      </w:r>
    </w:p>
    <w:p w14:paraId="1F6CE9A5" w14:textId="77777777" w:rsidR="00AE74AB" w:rsidRPr="004F63E7" w:rsidRDefault="00AE74AB" w:rsidP="00AE74AB">
      <w:pPr>
        <w:ind w:left="567" w:right="521"/>
        <w:rPr>
          <w:lang w:val="en-GB"/>
        </w:rPr>
      </w:pPr>
      <w:r w:rsidRPr="004F63E7">
        <w:rPr>
          <w:i/>
          <w:iCs/>
          <w:lang w:val="en-GB"/>
        </w:rPr>
        <w:t>“…because we have a lot more of our new staff, a lot of them probably aren’t that familiar with Health Care Homes. To the extent that they’ve been told what they need to do if somebody calls, but maybe not exactly what the program's about, why we have it... That’s definitely been one of the challenges, a lot of new staff means a lot of information doesn't change hands. And those things can again fall by the wayside.”</w:t>
      </w:r>
      <w:r w:rsidRPr="004F63E7">
        <w:rPr>
          <w:lang w:val="en-GB"/>
        </w:rPr>
        <w:t xml:space="preserve"> [Practice Manager, Practice 22, R5]</w:t>
      </w:r>
    </w:p>
    <w:p w14:paraId="304C2646" w14:textId="77777777" w:rsidR="00AE74AB" w:rsidRPr="004F63E7" w:rsidRDefault="00AE74AB" w:rsidP="00AE74AB">
      <w:pPr>
        <w:ind w:left="567" w:right="521"/>
        <w:rPr>
          <w:szCs w:val="20"/>
          <w:lang w:val="en-US"/>
        </w:rPr>
      </w:pPr>
      <w:r w:rsidRPr="004F63E7">
        <w:rPr>
          <w:i/>
          <w:iCs/>
          <w:szCs w:val="20"/>
          <w:lang w:val="en-US"/>
        </w:rPr>
        <w:lastRenderedPageBreak/>
        <w:t>“When the Health Care Home started, we educated all the receptionists and things like that but with all the new staff, I don’t even know whether they even know what it is to be honest.”</w:t>
      </w:r>
      <w:r w:rsidRPr="004F63E7">
        <w:rPr>
          <w:szCs w:val="20"/>
          <w:lang w:val="en-US"/>
        </w:rPr>
        <w:t xml:space="preserve"> [Nurse, Practice 1, R5]</w:t>
      </w:r>
    </w:p>
    <w:p w14:paraId="74652245" w14:textId="77777777" w:rsidR="00AE74AB" w:rsidRPr="004F63E7" w:rsidRDefault="00AE74AB" w:rsidP="00AE74AB">
      <w:pPr>
        <w:ind w:left="567" w:right="521"/>
        <w:rPr>
          <w:lang w:val="en-GB"/>
        </w:rPr>
      </w:pPr>
      <w:r w:rsidRPr="004F63E7">
        <w:rPr>
          <w:i/>
          <w:iCs/>
          <w:lang w:val="en-GB"/>
        </w:rPr>
        <w:t>“…I joined [Practice 16] in end of August last year and I must be honest I haven’t had much to do with the HCH at all. I’ve not had any training as such…</w:t>
      </w:r>
      <w:r w:rsidRPr="004F63E7">
        <w:rPr>
          <w:i/>
          <w:iCs/>
        </w:rPr>
        <w:t xml:space="preserve"> </w:t>
      </w:r>
      <w:r w:rsidRPr="004F63E7">
        <w:rPr>
          <w:i/>
          <w:iCs/>
          <w:lang w:val="en-GB"/>
        </w:rPr>
        <w:t>So, a handover would have been a nice… But like I said the nurse wasn’t here so that wasn’t going to happen and the GPs are fully booked.”</w:t>
      </w:r>
      <w:r w:rsidRPr="004F63E7">
        <w:rPr>
          <w:lang w:val="en-GB"/>
        </w:rPr>
        <w:t xml:space="preserve"> [Nurse, Practice 16, R5]</w:t>
      </w:r>
    </w:p>
    <w:p w14:paraId="66E09EE9" w14:textId="77777777" w:rsidR="00AE74AB" w:rsidRPr="004F63E7" w:rsidRDefault="00AE74AB" w:rsidP="00AE74AB">
      <w:pPr>
        <w:keepNext/>
        <w:keepLines/>
        <w:outlineLvl w:val="2"/>
        <w:rPr>
          <w:rFonts w:ascii="Roboto Slab" w:eastAsiaTheme="majorEastAsia" w:hAnsi="Roboto Slab" w:cstheme="majorBidi"/>
          <w:color w:val="408BCA"/>
          <w:sz w:val="24"/>
          <w:szCs w:val="24"/>
        </w:rPr>
      </w:pPr>
      <w:bookmarkStart w:id="209" w:name="_Administrative_burden"/>
      <w:bookmarkEnd w:id="209"/>
      <w:r w:rsidRPr="004F63E7">
        <w:rPr>
          <w:rFonts w:ascii="Roboto Slab" w:eastAsiaTheme="majorEastAsia" w:hAnsi="Roboto Slab" w:cstheme="majorBidi"/>
          <w:color w:val="408BCA"/>
          <w:sz w:val="24"/>
          <w:szCs w:val="24"/>
        </w:rPr>
        <w:t>Administrative burden</w:t>
      </w:r>
    </w:p>
    <w:p w14:paraId="523D3592" w14:textId="79B6A9DE" w:rsidR="00AE74AB" w:rsidRPr="004F63E7" w:rsidRDefault="00AE74AB" w:rsidP="00AE74AB">
      <w:r w:rsidRPr="004F63E7">
        <w:t>Practices often mentioned the high administrative load associated with the HCH trial. This included enrolment of patients (the two-staged RST process</w:t>
      </w:r>
      <w:r w:rsidR="00F71E65">
        <w:t>,</w:t>
      </w:r>
      <w:r w:rsidRPr="004F63E7">
        <w:t xml:space="preserve"> registering patients in HPOS, </w:t>
      </w:r>
      <w:r w:rsidR="00F71E65">
        <w:t xml:space="preserve">and </w:t>
      </w:r>
      <w:r w:rsidRPr="004F63E7">
        <w:t>flagging them as enrolled in clinical management systems), entering data into a separate system to create care plans, regular review of patients’ tier status, managing the bundled payment and other processes associated with the trial:</w:t>
      </w:r>
    </w:p>
    <w:p w14:paraId="113D1595" w14:textId="77777777" w:rsidR="00AE74AB" w:rsidRPr="004F63E7" w:rsidRDefault="00AE74AB" w:rsidP="00AE74AB">
      <w:pPr>
        <w:ind w:left="567" w:right="521"/>
        <w:rPr>
          <w:szCs w:val="20"/>
          <w:lang w:val="en-US"/>
        </w:rPr>
      </w:pPr>
      <w:r w:rsidRPr="004F63E7">
        <w:rPr>
          <w:i/>
          <w:iCs/>
          <w:szCs w:val="20"/>
          <w:lang w:val="en-US"/>
        </w:rPr>
        <w:t>“Health Care Homes, the administrative burden just got too hard. There was multiple log ins, multiple passwords. We had to do lots of back-end accounting processes. I couldn’t get a receptionist $23 an hour doing it. It was quite high-level work. I had to pay my managers $40 an hour plus, to go on do these constant analysis, constant manual processes. Whereas with Medicare, our system would do a 23, automatically gets batched, patient automatically pays, automatic reports and payments. So, our systems for the individual doctor or receptionist doing that one consult, plus then overall payment, were a nightmare.”</w:t>
      </w:r>
      <w:r w:rsidRPr="004F63E7">
        <w:rPr>
          <w:rFonts w:cs="Tahoma"/>
          <w:i/>
          <w:iCs/>
          <w:szCs w:val="20"/>
          <w:lang w:val="en-US"/>
        </w:rPr>
        <w:t xml:space="preserve"> </w:t>
      </w:r>
      <w:r w:rsidRPr="004F63E7">
        <w:rPr>
          <w:szCs w:val="20"/>
          <w:lang w:val="en-US"/>
        </w:rPr>
        <w:t>[GP, Practice 7, R5]</w:t>
      </w:r>
    </w:p>
    <w:p w14:paraId="6F71AC0C" w14:textId="77777777" w:rsidR="00AE74AB" w:rsidRPr="004F63E7" w:rsidRDefault="00AE74AB" w:rsidP="00AE74AB">
      <w:pPr>
        <w:ind w:left="567" w:right="521"/>
      </w:pPr>
      <w:r w:rsidRPr="004F63E7">
        <w:rPr>
          <w:i/>
          <w:iCs/>
        </w:rPr>
        <w:t>“It's also about time and teaching some of the older doctors and older nurses to incorporate two programs together and it's time consuming and trying to import data from… I know Medical Director exports data into [shared care planning software], but then you've got to import it back into [practice clinical management system] so it is senseless in one respect.”</w:t>
      </w:r>
      <w:r w:rsidRPr="004F63E7">
        <w:t xml:space="preserve"> [Nurse, Practice 4, R5]</w:t>
      </w:r>
    </w:p>
    <w:p w14:paraId="76E24E07" w14:textId="77777777" w:rsidR="00AE74AB" w:rsidRPr="004F63E7" w:rsidRDefault="00AE74AB" w:rsidP="00AE74AB">
      <w:pPr>
        <w:ind w:left="567" w:right="521"/>
        <w:rPr>
          <w:szCs w:val="20"/>
          <w:lang w:val="en-US"/>
        </w:rPr>
      </w:pPr>
      <w:r w:rsidRPr="004F63E7">
        <w:rPr>
          <w:i/>
          <w:iCs/>
          <w:szCs w:val="20"/>
          <w:lang w:val="en-US"/>
        </w:rPr>
        <w:t xml:space="preserve">“I don’t like it. I find it a real pain. I just want to have one software system that I can use. I’m so busy, you know what I mean, with patients coming to me left, right and </w:t>
      </w:r>
      <w:proofErr w:type="spellStart"/>
      <w:r w:rsidRPr="004F63E7">
        <w:rPr>
          <w:i/>
          <w:iCs/>
          <w:szCs w:val="20"/>
          <w:lang w:val="en-US"/>
        </w:rPr>
        <w:t>centre</w:t>
      </w:r>
      <w:proofErr w:type="spellEnd"/>
      <w:r w:rsidRPr="004F63E7">
        <w:rPr>
          <w:i/>
          <w:iCs/>
          <w:szCs w:val="20"/>
          <w:lang w:val="en-US"/>
        </w:rPr>
        <w:t>, fully booked days, that any extra tiers and any extra things to do was a bit of a headache for me.”</w:t>
      </w:r>
      <w:r w:rsidRPr="004F63E7">
        <w:rPr>
          <w:szCs w:val="20"/>
          <w:lang w:val="en-US"/>
        </w:rPr>
        <w:t xml:space="preserve"> [GP, Practice 1, R5]</w:t>
      </w:r>
    </w:p>
    <w:p w14:paraId="62D8648B" w14:textId="77777777" w:rsidR="00AE74AB" w:rsidRPr="004F63E7" w:rsidRDefault="00AE74AB" w:rsidP="00AE74AB">
      <w:pPr>
        <w:rPr>
          <w:lang w:val="en-US"/>
        </w:rPr>
      </w:pPr>
      <w:r w:rsidRPr="004F63E7">
        <w:rPr>
          <w:lang w:val="en-US"/>
        </w:rPr>
        <w:t>More streamlined processes, particularly streamlining software applications, was a common recommendation.</w:t>
      </w:r>
    </w:p>
    <w:p w14:paraId="22960808" w14:textId="77777777" w:rsidR="00AE74AB" w:rsidRPr="004F63E7" w:rsidRDefault="00AE74AB" w:rsidP="00AE74AB">
      <w:pPr>
        <w:keepNext/>
        <w:keepLines/>
        <w:outlineLvl w:val="2"/>
        <w:rPr>
          <w:rFonts w:ascii="Roboto Slab" w:eastAsiaTheme="majorEastAsia" w:hAnsi="Roboto Slab" w:cstheme="majorBidi"/>
          <w:color w:val="408BCA"/>
          <w:sz w:val="24"/>
          <w:szCs w:val="24"/>
          <w:lang w:val="en-GB"/>
        </w:rPr>
      </w:pPr>
      <w:r w:rsidRPr="004F63E7">
        <w:rPr>
          <w:rFonts w:ascii="Roboto Slab" w:eastAsiaTheme="majorEastAsia" w:hAnsi="Roboto Slab" w:cstheme="majorBidi"/>
          <w:color w:val="408BCA"/>
          <w:sz w:val="24"/>
          <w:szCs w:val="24"/>
          <w:lang w:val="en-GB"/>
        </w:rPr>
        <w:t>Patients’ understanding and expectations of the HCH model</w:t>
      </w:r>
    </w:p>
    <w:p w14:paraId="70BEE515" w14:textId="77777777" w:rsidR="00AE74AB" w:rsidRPr="004F63E7" w:rsidRDefault="00AE74AB" w:rsidP="00AE74AB">
      <w:pPr>
        <w:rPr>
          <w:lang w:val="en-GB"/>
        </w:rPr>
      </w:pPr>
      <w:r w:rsidRPr="004F63E7">
        <w:rPr>
          <w:lang w:val="en-GB"/>
        </w:rPr>
        <w:t xml:space="preserve">Practices reported challenges with patients’ understanding and expectations of the model starting with enrolment and continuing throughout the trial. </w:t>
      </w:r>
    </w:p>
    <w:p w14:paraId="66675016" w14:textId="0A5303BD" w:rsidR="00AE74AB" w:rsidRPr="004F63E7" w:rsidRDefault="00AE74AB" w:rsidP="00AE74AB">
      <w:pPr>
        <w:rPr>
          <w:lang w:val="en-GB"/>
        </w:rPr>
      </w:pPr>
      <w:r w:rsidRPr="004F63E7">
        <w:rPr>
          <w:lang w:val="en-GB"/>
        </w:rPr>
        <w:t>During enrolment, practices reported challenges explaining the HCH model and benefits to patients. The name of the program commonly led patients to interpret it as meaning home visits from the practice</w:t>
      </w:r>
      <w:r w:rsidR="00D03572">
        <w:rPr>
          <w:lang w:val="en-GB"/>
        </w:rPr>
        <w:t xml:space="preserve"> or </w:t>
      </w:r>
      <w:r w:rsidR="00D03572" w:rsidRPr="004F63E7">
        <w:rPr>
          <w:lang w:val="en-GB"/>
        </w:rPr>
        <w:t>nursing home care</w:t>
      </w:r>
      <w:r w:rsidRPr="004F63E7">
        <w:rPr>
          <w:lang w:val="en-GB"/>
        </w:rPr>
        <w:t xml:space="preserve">: </w:t>
      </w:r>
    </w:p>
    <w:p w14:paraId="247846C4" w14:textId="77777777" w:rsidR="00AE74AB" w:rsidRPr="004F63E7" w:rsidRDefault="00AE74AB" w:rsidP="00AE74AB">
      <w:pPr>
        <w:ind w:left="567" w:right="521"/>
        <w:rPr>
          <w:lang w:val="en-GB"/>
        </w:rPr>
      </w:pPr>
      <w:r w:rsidRPr="004F63E7">
        <w:rPr>
          <w:i/>
          <w:iCs/>
          <w:lang w:val="en-GB"/>
        </w:rPr>
        <w:lastRenderedPageBreak/>
        <w:t xml:space="preserve">“Do you mean I go to a </w:t>
      </w:r>
      <w:r w:rsidRPr="004F63E7">
        <w:rPr>
          <w:i/>
          <w:iCs/>
          <w:szCs w:val="20"/>
          <w:lang w:val="en-US"/>
        </w:rPr>
        <w:t>home</w:t>
      </w:r>
      <w:r w:rsidRPr="004F63E7">
        <w:rPr>
          <w:i/>
          <w:iCs/>
          <w:lang w:val="en-GB"/>
        </w:rPr>
        <w:t>? I think it was because of the name. That’s still an issue for us.”</w:t>
      </w:r>
      <w:r w:rsidRPr="004F63E7">
        <w:rPr>
          <w:lang w:val="en-GB"/>
        </w:rPr>
        <w:t xml:space="preserve"> [Nurse, Practice 24, R4]</w:t>
      </w:r>
    </w:p>
    <w:p w14:paraId="353FA0D3" w14:textId="77777777" w:rsidR="00AE74AB" w:rsidRPr="004F63E7" w:rsidRDefault="00AE74AB" w:rsidP="00AE74AB">
      <w:pPr>
        <w:ind w:left="567" w:right="521"/>
        <w:rPr>
          <w:lang w:val="en-GB"/>
        </w:rPr>
      </w:pPr>
      <w:r w:rsidRPr="004F63E7">
        <w:rPr>
          <w:i/>
          <w:iCs/>
          <w:lang w:val="en-GB"/>
        </w:rPr>
        <w:t xml:space="preserve"> “So, when I first started enrolling them in the program, things were a little bit more unknown at that time. And as a result of that, we were seeing that some patients, they just weren’t coming </w:t>
      </w:r>
      <w:r w:rsidRPr="004F63E7">
        <w:rPr>
          <w:i/>
          <w:iCs/>
          <w:szCs w:val="20"/>
          <w:lang w:val="en-US"/>
        </w:rPr>
        <w:t>in</w:t>
      </w:r>
      <w:r w:rsidRPr="004F63E7">
        <w:rPr>
          <w:i/>
          <w:iCs/>
          <w:lang w:val="en-GB"/>
        </w:rPr>
        <w:t>. And it was like, why aren’t they coming in?...as it turned out, they just thought that because they’re on that program, that someone would come to their home every day, and that’s what that meant. So, they got a bit confused. So, then we had to re-explain it...”</w:t>
      </w:r>
      <w:r w:rsidRPr="004F63E7">
        <w:rPr>
          <w:lang w:val="en-GB"/>
        </w:rPr>
        <w:t xml:space="preserve"> [Practice Manager, Practice 23, R4]</w:t>
      </w:r>
    </w:p>
    <w:p w14:paraId="65098D66" w14:textId="77777777" w:rsidR="00AE74AB" w:rsidRPr="004F63E7" w:rsidRDefault="00AE74AB" w:rsidP="00AE74AB">
      <w:pPr>
        <w:rPr>
          <w:lang w:val="en-GB"/>
        </w:rPr>
      </w:pPr>
      <w:r w:rsidRPr="004F63E7">
        <w:rPr>
          <w:lang w:val="en-GB"/>
        </w:rPr>
        <w:t xml:space="preserve">Patients particularly struggled to understand the extent to which they would have access to their GP once they enrolled in HCH, and some thought that enrolling in HCH meant that they had access to the GP all the time: </w:t>
      </w:r>
    </w:p>
    <w:p w14:paraId="3A827E96" w14:textId="77777777" w:rsidR="00AE74AB" w:rsidRPr="004F63E7" w:rsidRDefault="00AE74AB" w:rsidP="00AE74AB">
      <w:pPr>
        <w:ind w:left="567" w:right="521"/>
        <w:rPr>
          <w:lang w:val="en-GB"/>
        </w:rPr>
      </w:pPr>
      <w:r w:rsidRPr="004F63E7">
        <w:rPr>
          <w:i/>
          <w:iCs/>
          <w:lang w:val="en-GB"/>
        </w:rPr>
        <w:t xml:space="preserve">“The downside </w:t>
      </w:r>
      <w:r w:rsidRPr="004F63E7">
        <w:rPr>
          <w:i/>
          <w:iCs/>
          <w:szCs w:val="20"/>
          <w:lang w:val="en-US"/>
        </w:rPr>
        <w:t>is</w:t>
      </w:r>
      <w:r w:rsidRPr="004F63E7">
        <w:rPr>
          <w:i/>
          <w:iCs/>
          <w:lang w:val="en-GB"/>
        </w:rPr>
        <w:t xml:space="preserve"> the misconception of having…access to the GP all the time. I'm not sure if it’s just in our practice or it may be different with practices if they're not too busy, but some of the patients complain that because they're in Health Care Homes they thought that whenever they needed to see their regular GP they’ll be able to see their GP, but it’s not the case…</w:t>
      </w:r>
      <w:r w:rsidRPr="004F63E7">
        <w:t xml:space="preserve"> </w:t>
      </w:r>
      <w:r w:rsidRPr="004F63E7">
        <w:rPr>
          <w:i/>
          <w:iCs/>
          <w:lang w:val="en-GB"/>
        </w:rPr>
        <w:t xml:space="preserve">I'm happy for it to continue but I think what I mentioned a while ago in terms of, I think, better understanding of the patient to what expect, for their expectations to be a little bit more realistic.” </w:t>
      </w:r>
      <w:r w:rsidRPr="004F63E7">
        <w:rPr>
          <w:lang w:val="en-GB"/>
        </w:rPr>
        <w:t>[GP 1, Practice 24, R5]</w:t>
      </w:r>
    </w:p>
    <w:p w14:paraId="3B3F15FC" w14:textId="5A4C0384" w:rsidR="00AE74AB" w:rsidRPr="004F63E7" w:rsidRDefault="00AE74AB" w:rsidP="00AE74AB">
      <w:pPr>
        <w:rPr>
          <w:lang w:val="en-GB"/>
        </w:rPr>
      </w:pPr>
      <w:r w:rsidRPr="004F63E7">
        <w:rPr>
          <w:lang w:val="en-GB"/>
        </w:rPr>
        <w:t>Some patients withdrew from the trial when they discovered that they would not be seeing their GP each time they came to the practice. Some who had concerns but persevered found benefits in the team-based approach</w:t>
      </w:r>
      <w:r w:rsidRPr="004F63E7">
        <w:t xml:space="preserve"> (see Chapter 16 Patient and carer experiences</w:t>
      </w:r>
      <w:r w:rsidR="00CB079A">
        <w:t xml:space="preserve">, </w:t>
      </w:r>
      <w:r w:rsidR="004C315B">
        <w:t xml:space="preserve">p. </w:t>
      </w:r>
      <w:r w:rsidR="004C315B">
        <w:fldChar w:fldCharType="begin"/>
      </w:r>
      <w:r w:rsidR="004C315B">
        <w:instrText xml:space="preserve"> PAGEREF _Ref82530191 \h </w:instrText>
      </w:r>
      <w:r w:rsidR="004C315B">
        <w:fldChar w:fldCharType="separate"/>
      </w:r>
      <w:r w:rsidR="003C4BC2">
        <w:rPr>
          <w:noProof/>
        </w:rPr>
        <w:t>193</w:t>
      </w:r>
      <w:r w:rsidR="004C315B">
        <w:fldChar w:fldCharType="end"/>
      </w:r>
      <w:r w:rsidRPr="004F63E7">
        <w:t>).</w:t>
      </w:r>
    </w:p>
    <w:p w14:paraId="7E3B480C" w14:textId="77777777" w:rsidR="00AE74AB" w:rsidRPr="004F63E7" w:rsidRDefault="00AE74AB" w:rsidP="00AE74AB">
      <w:pPr>
        <w:rPr>
          <w:lang w:val="en-GB"/>
        </w:rPr>
      </w:pPr>
      <w:r w:rsidRPr="004F63E7">
        <w:rPr>
          <w:lang w:val="en-GB"/>
        </w:rPr>
        <w:t xml:space="preserve">Similarly, some patients thought that as a HCH patient they would have access to the practice more readily and called or booked appointments frequently: </w:t>
      </w:r>
    </w:p>
    <w:p w14:paraId="4347FCF4" w14:textId="77777777" w:rsidR="00AE74AB" w:rsidRPr="004F63E7" w:rsidRDefault="00AE74AB" w:rsidP="00AE74AB">
      <w:pPr>
        <w:ind w:left="567" w:right="521"/>
        <w:rPr>
          <w:lang w:val="en-GB"/>
        </w:rPr>
      </w:pPr>
      <w:r w:rsidRPr="004F63E7">
        <w:rPr>
          <w:i/>
          <w:iCs/>
          <w:lang w:val="en-GB"/>
        </w:rPr>
        <w:t xml:space="preserve">“You have to be a little bit careful. We do have a handful of people that they step into the realm of dependent personality and you don’t want them to use the Health Care Homes thing as </w:t>
      </w:r>
      <w:r w:rsidRPr="004F63E7">
        <w:rPr>
          <w:i/>
          <w:iCs/>
          <w:szCs w:val="20"/>
          <w:lang w:val="en-US"/>
        </w:rPr>
        <w:t>an</w:t>
      </w:r>
      <w:r w:rsidRPr="004F63E7">
        <w:rPr>
          <w:i/>
          <w:iCs/>
          <w:lang w:val="en-GB"/>
        </w:rPr>
        <w:t xml:space="preserve"> excuse to call every ten minutes. We have had experience of that, and we’ve managed to sort that out.”</w:t>
      </w:r>
      <w:r w:rsidRPr="004F63E7">
        <w:rPr>
          <w:lang w:val="en-GB"/>
        </w:rPr>
        <w:t xml:space="preserve"> [GP, Practice 10, R4]</w:t>
      </w:r>
    </w:p>
    <w:p w14:paraId="3BBFFB93" w14:textId="77777777" w:rsidR="00AE74AB" w:rsidRPr="004F63E7" w:rsidRDefault="00AE74AB" w:rsidP="00AE74AB">
      <w:pPr>
        <w:ind w:left="567" w:right="521"/>
        <w:rPr>
          <w:lang w:val="en-GB"/>
        </w:rPr>
      </w:pPr>
      <w:r w:rsidRPr="004F63E7">
        <w:rPr>
          <w:i/>
          <w:iCs/>
          <w:lang w:val="en-GB"/>
        </w:rPr>
        <w:t>“…we have had one in particular patient, that just comes to my mind, she’s on the Health Care Homes but she’s in here every second day…And the fact that they have someone to go to, yes, it can be taken a little bit too far. We’ve got the point with this particular person that I've... If it gets much worse, I’ll have to have a chat with her and say look, this isn't quite how the program works. We’re almost becoming her social director. So, you've got people that just self-manage, they're great. But then, other people are very needy. And I'm not saying that in a bad way, they're isolated, they've got no support. So, they really take advantage of the fact that they have specialised contacts in the practice. So, that is just something we have to manage ourselves.”</w:t>
      </w:r>
      <w:r w:rsidRPr="004F63E7">
        <w:rPr>
          <w:lang w:val="en-GB"/>
        </w:rPr>
        <w:t xml:space="preserve"> [Practice Manager, Practice 4, R4]</w:t>
      </w:r>
    </w:p>
    <w:p w14:paraId="4F231590" w14:textId="77777777" w:rsidR="00AE74AB" w:rsidRPr="004F63E7" w:rsidRDefault="00AE74AB" w:rsidP="00AE74AB">
      <w:pPr>
        <w:rPr>
          <w:lang w:val="en-GB"/>
        </w:rPr>
      </w:pPr>
      <w:r w:rsidRPr="004F63E7">
        <w:rPr>
          <w:lang w:val="en-GB"/>
        </w:rPr>
        <w:t>While practices could have done more to better communicate the program to patients, there was also potentially room for community awareness of the program and the model:</w:t>
      </w:r>
    </w:p>
    <w:p w14:paraId="0FFF0304" w14:textId="77777777" w:rsidR="00AE74AB" w:rsidRPr="004F63E7" w:rsidRDefault="00AE74AB" w:rsidP="00AE74AB">
      <w:pPr>
        <w:ind w:left="567" w:right="521"/>
        <w:rPr>
          <w:szCs w:val="20"/>
          <w:lang w:val="en-US"/>
        </w:rPr>
      </w:pPr>
      <w:r w:rsidRPr="004F63E7">
        <w:rPr>
          <w:i/>
          <w:iCs/>
          <w:szCs w:val="20"/>
          <w:lang w:val="en-US"/>
        </w:rPr>
        <w:lastRenderedPageBreak/>
        <w:t>“…I think there would be lack of knowledge and understanding for patients and the community about the Health Care Homes. Due to only a small number of clinics being a part of it, most people haven’t even heard of it or understand what it means and I think that then dilutes the effectiveness of it.”</w:t>
      </w:r>
      <w:r w:rsidRPr="004F63E7">
        <w:rPr>
          <w:szCs w:val="20"/>
          <w:lang w:val="en-US"/>
        </w:rPr>
        <w:t xml:space="preserve"> [GP, Practice 22, R5]</w:t>
      </w:r>
    </w:p>
    <w:p w14:paraId="452371CA" w14:textId="17CB788F" w:rsidR="00AE74AB" w:rsidRPr="004F63E7" w:rsidRDefault="00AE74AB" w:rsidP="00AE74AB">
      <w:pPr>
        <w:rPr>
          <w:lang w:val="en-GB"/>
        </w:rPr>
      </w:pPr>
      <w:r w:rsidRPr="004F63E7">
        <w:rPr>
          <w:lang w:val="en-GB"/>
        </w:rPr>
        <w:t>The anecdotes provided by the practices also reinforce a balance between providing extra support to patient</w:t>
      </w:r>
      <w:r w:rsidR="00C9138F">
        <w:rPr>
          <w:lang w:val="en-GB"/>
        </w:rPr>
        <w:t>s</w:t>
      </w:r>
      <w:r w:rsidRPr="004F63E7">
        <w:rPr>
          <w:lang w:val="en-GB"/>
        </w:rPr>
        <w:t xml:space="preserve"> and working on enhancing their self-management.</w:t>
      </w:r>
    </w:p>
    <w:p w14:paraId="7BD13B34" w14:textId="77777777" w:rsidR="00AE74AB" w:rsidRPr="004F63E7" w:rsidRDefault="00AE74AB" w:rsidP="00AE74AB">
      <w:pPr>
        <w:keepNext/>
        <w:keepLines/>
        <w:outlineLvl w:val="2"/>
        <w:rPr>
          <w:rFonts w:ascii="Roboto Slab" w:eastAsiaTheme="majorEastAsia" w:hAnsi="Roboto Slab" w:cstheme="majorBidi"/>
          <w:color w:val="408BCA"/>
          <w:sz w:val="24"/>
          <w:szCs w:val="24"/>
        </w:rPr>
      </w:pPr>
      <w:r w:rsidRPr="004F63E7">
        <w:rPr>
          <w:rFonts w:ascii="Roboto Slab" w:eastAsiaTheme="majorEastAsia" w:hAnsi="Roboto Slab" w:cstheme="majorBidi"/>
          <w:color w:val="408BCA"/>
          <w:sz w:val="24"/>
          <w:szCs w:val="24"/>
        </w:rPr>
        <w:t>Scale of enrolment</w:t>
      </w:r>
    </w:p>
    <w:p w14:paraId="3D4014E9" w14:textId="00EE2E3E" w:rsidR="00AE74AB" w:rsidRPr="004F63E7" w:rsidRDefault="00AE74AB" w:rsidP="00AE74AB">
      <w:r w:rsidRPr="004F63E7">
        <w:t>The number of patients that practices enrolled influenced how much change they could make and the level of benefit that they and their patients could derive from the trial, such as the ability to create additional roles and/or recruit new staff or implement initiatives like group sessions.</w:t>
      </w:r>
      <w:r w:rsidR="00D978D7">
        <w:t xml:space="preserve"> </w:t>
      </w:r>
      <w:r w:rsidRPr="004F63E7">
        <w:t>In turn, the number of enrolments was influenced by GP participation in the trial.</w:t>
      </w:r>
    </w:p>
    <w:p w14:paraId="5E6F0902" w14:textId="77777777" w:rsidR="00AE74AB" w:rsidRPr="004F63E7" w:rsidRDefault="00AE74AB" w:rsidP="00AE74AB">
      <w:r w:rsidRPr="004F63E7">
        <w:t>Where practices had a small number of enrolments, they ran two different systems for their chronic disease patients, which created stress within the practice:</w:t>
      </w:r>
    </w:p>
    <w:p w14:paraId="64B96DD0" w14:textId="77777777" w:rsidR="00AE74AB" w:rsidRPr="004F63E7" w:rsidRDefault="00AE74AB" w:rsidP="00AE74AB">
      <w:pPr>
        <w:ind w:left="567" w:right="521"/>
      </w:pPr>
      <w:r w:rsidRPr="004F63E7">
        <w:rPr>
          <w:i/>
        </w:rPr>
        <w:t xml:space="preserve">“…the practice managers have got to negotiate two different types of business models, two different </w:t>
      </w:r>
      <w:r w:rsidRPr="004F63E7">
        <w:rPr>
          <w:i/>
          <w:iCs/>
          <w:szCs w:val="20"/>
          <w:lang w:val="en-US"/>
        </w:rPr>
        <w:t>types</w:t>
      </w:r>
      <w:r w:rsidRPr="004F63E7">
        <w:rPr>
          <w:i/>
        </w:rPr>
        <w:t xml:space="preserve"> of service models, keep everybody happy, try and sort out how they’re going to use their nurses in an effective way...for some of my practice managers, it’s been extremely stressful.” </w:t>
      </w:r>
      <w:r w:rsidRPr="004F63E7">
        <w:t>[PHN 7, interview, R1]</w:t>
      </w:r>
    </w:p>
    <w:p w14:paraId="38B6A778" w14:textId="77777777" w:rsidR="00AE74AB" w:rsidRPr="004F63E7" w:rsidRDefault="00AE74AB" w:rsidP="00AE74AB">
      <w:pPr>
        <w:rPr>
          <w:iCs/>
        </w:rPr>
      </w:pPr>
      <w:r w:rsidRPr="004F63E7">
        <w:rPr>
          <w:iCs/>
        </w:rPr>
        <w:t xml:space="preserve">Where practices had few enrolments, it was hard to justify the investment of time and other resources to make any significant changes: </w:t>
      </w:r>
    </w:p>
    <w:p w14:paraId="52437771" w14:textId="77777777" w:rsidR="00AE74AB" w:rsidRPr="004F63E7" w:rsidRDefault="00AE74AB" w:rsidP="00AE74AB">
      <w:pPr>
        <w:ind w:left="567" w:right="521"/>
        <w:rPr>
          <w:lang w:val="en-GB"/>
        </w:rPr>
      </w:pPr>
      <w:r w:rsidRPr="004F63E7">
        <w:rPr>
          <w:lang w:val="en-GB"/>
        </w:rPr>
        <w:t>“</w:t>
      </w:r>
      <w:r w:rsidRPr="004F63E7">
        <w:rPr>
          <w:i/>
          <w:iCs/>
          <w:lang w:val="en-GB"/>
        </w:rPr>
        <w:t>It’s that critical mass to making a practice, it becomes their way of working rather than a model that’s running on the side of the desk ultimately</w:t>
      </w:r>
      <w:r w:rsidRPr="004F63E7">
        <w:rPr>
          <w:lang w:val="en-GB"/>
        </w:rPr>
        <w:t>.” [PHN 7, Interview, R5]</w:t>
      </w:r>
    </w:p>
    <w:p w14:paraId="014A0385" w14:textId="0E9D3968" w:rsidR="00AE74AB" w:rsidRPr="004F63E7" w:rsidRDefault="00AE74AB" w:rsidP="00AE74AB">
      <w:pPr>
        <w:rPr>
          <w:lang w:val="en-GB"/>
        </w:rPr>
      </w:pPr>
      <w:r w:rsidRPr="004F63E7">
        <w:rPr>
          <w:lang w:val="en-GB"/>
        </w:rPr>
        <w:t xml:space="preserve">A few practices suggested 100 patients as the minimum number at which they could start to make changes, mainly because they could fund additional staff and services with this </w:t>
      </w:r>
      <w:r w:rsidR="00C84634">
        <w:rPr>
          <w:lang w:val="en-GB"/>
        </w:rPr>
        <w:t>volume</w:t>
      </w:r>
      <w:r w:rsidRPr="004F63E7">
        <w:rPr>
          <w:lang w:val="en-GB"/>
        </w:rPr>
        <w:t xml:space="preserve"> of patients. Others suggested that practices should have been required to enrol a minimum number of patients and have all their GPs (or a large proportion) participat</w:t>
      </w:r>
      <w:r w:rsidR="00C84634">
        <w:rPr>
          <w:lang w:val="en-GB"/>
        </w:rPr>
        <w:t>e</w:t>
      </w:r>
      <w:r w:rsidRPr="004F63E7">
        <w:rPr>
          <w:lang w:val="en-GB"/>
        </w:rPr>
        <w:t xml:space="preserve"> in HCH:</w:t>
      </w:r>
    </w:p>
    <w:p w14:paraId="0F75B426" w14:textId="77777777" w:rsidR="00AE74AB" w:rsidRPr="004F63E7" w:rsidRDefault="00AE74AB" w:rsidP="00AE74AB">
      <w:pPr>
        <w:ind w:left="567" w:right="521"/>
        <w:rPr>
          <w:lang w:val="en-GB"/>
        </w:rPr>
      </w:pPr>
      <w:r w:rsidRPr="004F63E7">
        <w:rPr>
          <w:i/>
          <w:iCs/>
          <w:lang w:val="en-GB"/>
        </w:rPr>
        <w:t>“Those practices that have bit piece number of patients, they can’t change that model of care. They just don’t have the volume to justify changing it…I knew, once you get to the tipping point, or mass of patients, you don’t have to worry about the funding.”</w:t>
      </w:r>
      <w:r w:rsidRPr="004F63E7">
        <w:rPr>
          <w:lang w:val="en-GB"/>
        </w:rPr>
        <w:t xml:space="preserve"> [Practice Owner, Practice 9, R4]</w:t>
      </w:r>
    </w:p>
    <w:p w14:paraId="318CDD70" w14:textId="77777777" w:rsidR="00AE74AB" w:rsidRPr="004F63E7" w:rsidRDefault="00AE74AB" w:rsidP="00AE74AB">
      <w:pPr>
        <w:ind w:left="567" w:right="521"/>
        <w:rPr>
          <w:lang w:val="en-GB"/>
        </w:rPr>
      </w:pPr>
      <w:r w:rsidRPr="004F63E7">
        <w:rPr>
          <w:i/>
          <w:iCs/>
          <w:lang w:val="en-GB"/>
        </w:rPr>
        <w:t>“We were a slice of doctors and a slice of nursing staff and a very small slice of patients, just as part of the test. And part of the feedback that I’ve given the whole time, is that it doesn’t work that way. It needs to be a whole practice change, rather than a slice of a practice.”</w:t>
      </w:r>
      <w:r w:rsidRPr="004F63E7">
        <w:rPr>
          <w:lang w:val="en-GB"/>
        </w:rPr>
        <w:t xml:space="preserve"> [GP Practice 12, R5]</w:t>
      </w:r>
    </w:p>
    <w:p w14:paraId="2DA45ECD" w14:textId="69A62DCD" w:rsidR="00EB7C02" w:rsidRDefault="00AE74AB" w:rsidP="00C84634">
      <w:pPr>
        <w:rPr>
          <w:lang w:val="en-GB"/>
        </w:rPr>
      </w:pPr>
      <w:r w:rsidRPr="004F63E7">
        <w:rPr>
          <w:lang w:val="en-GB"/>
        </w:rPr>
        <w:t xml:space="preserve">Practices with a high number of enrolments felt that the program was financially advantageous to their practice. Having more patients enrolled allowed implementation costs to be spread, and the swings and roundabouts of a bundled payment to be better managed. It also meant specific processes for HCH patients were better absorbed into the everyday operations of the practice. </w:t>
      </w:r>
    </w:p>
    <w:p w14:paraId="24673F25" w14:textId="77777777" w:rsidR="00AE74AB" w:rsidRPr="004F63E7" w:rsidRDefault="00AE74AB" w:rsidP="00AE74AB">
      <w:pPr>
        <w:outlineLvl w:val="1"/>
        <w:rPr>
          <w:rFonts w:ascii="Roboto Slab" w:eastAsia="Times New Roman" w:hAnsi="Roboto Slab" w:cs="Times New Roman"/>
          <w:bCs/>
          <w:color w:val="408BCA"/>
          <w:sz w:val="32"/>
          <w:szCs w:val="36"/>
          <w:lang w:eastAsia="en-AU"/>
        </w:rPr>
      </w:pPr>
      <w:r w:rsidRPr="004F63E7">
        <w:rPr>
          <w:rFonts w:ascii="Roboto Slab" w:eastAsia="Times New Roman" w:hAnsi="Roboto Slab" w:cs="Times New Roman"/>
          <w:bCs/>
          <w:color w:val="408BCA"/>
          <w:sz w:val="32"/>
          <w:szCs w:val="36"/>
          <w:lang w:eastAsia="en-AU"/>
        </w:rPr>
        <w:lastRenderedPageBreak/>
        <w:t>Program sustainability</w:t>
      </w:r>
    </w:p>
    <w:p w14:paraId="27EE2EC5" w14:textId="1DB1F2A6" w:rsidR="00AE74AB" w:rsidRPr="004F63E7" w:rsidRDefault="00AE74AB" w:rsidP="00AE74AB">
      <w:pPr>
        <w:ind w:right="521"/>
        <w:rPr>
          <w:lang w:val="en-GB"/>
        </w:rPr>
      </w:pPr>
      <w:r w:rsidRPr="004F63E7">
        <w:rPr>
          <w:lang w:val="en-GB"/>
        </w:rPr>
        <w:t>In the final practice survey, practices were asked whether they would participate in a program like HCH in the future (</w:t>
      </w:r>
      <w:r w:rsidRPr="003D713C">
        <w:rPr>
          <w:rFonts w:eastAsiaTheme="minorEastAsia"/>
          <w:color w:val="1D2455"/>
          <w:szCs w:val="20"/>
          <w:lang w:eastAsia="en-AU"/>
        </w:rPr>
        <w:fldChar w:fldCharType="begin"/>
      </w:r>
      <w:r w:rsidRPr="003D713C">
        <w:rPr>
          <w:rFonts w:eastAsiaTheme="minorEastAsia"/>
          <w:color w:val="1D2455"/>
          <w:szCs w:val="20"/>
          <w:lang w:eastAsia="en-AU"/>
        </w:rPr>
        <w:instrText xml:space="preserve"> REF _Ref90388250 \h  \* MERGEFORMAT </w:instrText>
      </w:r>
      <w:r w:rsidRPr="003D713C">
        <w:rPr>
          <w:rFonts w:eastAsiaTheme="minorEastAsia"/>
          <w:color w:val="1D2455"/>
          <w:szCs w:val="20"/>
          <w:lang w:eastAsia="en-AU"/>
        </w:rPr>
      </w:r>
      <w:r w:rsidRPr="003D713C">
        <w:rPr>
          <w:rFonts w:eastAsiaTheme="minorEastAsia"/>
          <w:color w:val="1D2455"/>
          <w:szCs w:val="20"/>
          <w:lang w:eastAsia="en-AU"/>
        </w:rPr>
        <w:fldChar w:fldCharType="separate"/>
      </w:r>
      <w:r w:rsidR="003C4BC2" w:rsidRPr="004F63E7">
        <w:rPr>
          <w:rFonts w:eastAsiaTheme="minorEastAsia"/>
          <w:color w:val="1D2455"/>
          <w:szCs w:val="20"/>
          <w:lang w:eastAsia="en-AU"/>
        </w:rPr>
        <w:t xml:space="preserve">Table </w:t>
      </w:r>
      <w:r w:rsidR="003C4BC2">
        <w:rPr>
          <w:rFonts w:eastAsiaTheme="minorEastAsia"/>
          <w:color w:val="1D2455"/>
          <w:szCs w:val="20"/>
          <w:lang w:eastAsia="en-AU"/>
        </w:rPr>
        <w:t>29</w:t>
      </w:r>
      <w:r w:rsidRPr="003D713C">
        <w:rPr>
          <w:rFonts w:eastAsiaTheme="minorEastAsia"/>
          <w:color w:val="1D2455"/>
          <w:szCs w:val="20"/>
          <w:lang w:eastAsia="en-AU"/>
        </w:rPr>
        <w:fldChar w:fldCharType="end"/>
      </w:r>
      <w:r w:rsidRPr="004F63E7">
        <w:rPr>
          <w:lang w:val="en-GB"/>
        </w:rPr>
        <w:t xml:space="preserve">). Most practices said that they would continue (42%), and almost as many said that they might continue (39%). The proportion wishing to continue was greater in practices </w:t>
      </w:r>
      <w:r w:rsidR="005071B3">
        <w:rPr>
          <w:lang w:val="en-GB"/>
        </w:rPr>
        <w:t>enrolling</w:t>
      </w:r>
      <w:r w:rsidRPr="004F63E7">
        <w:rPr>
          <w:lang w:val="en-GB"/>
        </w:rPr>
        <w:t xml:space="preserve"> 50 or more patients.</w:t>
      </w:r>
    </w:p>
    <w:p w14:paraId="7784FFDC" w14:textId="5797A522" w:rsidR="00AE74AB" w:rsidRPr="004F63E7" w:rsidRDefault="00AE74AB" w:rsidP="00AE74AB">
      <w:pPr>
        <w:spacing w:after="60"/>
        <w:jc w:val="center"/>
        <w:rPr>
          <w:rFonts w:eastAsiaTheme="minorEastAsia"/>
          <w:color w:val="1D2455"/>
          <w:szCs w:val="20"/>
          <w:lang w:eastAsia="en-AU"/>
        </w:rPr>
      </w:pPr>
      <w:bookmarkStart w:id="210" w:name="_Ref90388250"/>
      <w:r w:rsidRPr="004F63E7">
        <w:rPr>
          <w:rFonts w:eastAsiaTheme="minorEastAsia"/>
          <w:color w:val="1D2455"/>
          <w:szCs w:val="20"/>
          <w:lang w:eastAsia="en-AU"/>
        </w:rPr>
        <w:t xml:space="preserve">Table </w:t>
      </w:r>
      <w:r w:rsidRPr="004F63E7">
        <w:rPr>
          <w:rFonts w:eastAsiaTheme="minorEastAsia"/>
          <w:color w:val="1D2455"/>
          <w:szCs w:val="20"/>
          <w:lang w:eastAsia="en-AU"/>
        </w:rPr>
        <w:fldChar w:fldCharType="begin"/>
      </w:r>
      <w:r w:rsidRPr="004F63E7">
        <w:rPr>
          <w:rFonts w:eastAsiaTheme="minorEastAsia"/>
          <w:color w:val="1D2455"/>
          <w:szCs w:val="20"/>
          <w:lang w:eastAsia="en-AU"/>
        </w:rPr>
        <w:instrText xml:space="preserve"> SEQ Table \* ARABIC </w:instrText>
      </w:r>
      <w:r w:rsidRPr="004F63E7">
        <w:rPr>
          <w:rFonts w:eastAsiaTheme="minorEastAsia"/>
          <w:color w:val="1D2455"/>
          <w:szCs w:val="20"/>
          <w:lang w:eastAsia="en-AU"/>
        </w:rPr>
        <w:fldChar w:fldCharType="separate"/>
      </w:r>
      <w:r w:rsidR="003C4BC2">
        <w:rPr>
          <w:rFonts w:eastAsiaTheme="minorEastAsia"/>
          <w:noProof/>
          <w:color w:val="1D2455"/>
          <w:szCs w:val="20"/>
          <w:lang w:eastAsia="en-AU"/>
        </w:rPr>
        <w:t>29</w:t>
      </w:r>
      <w:r w:rsidRPr="004F63E7">
        <w:rPr>
          <w:rFonts w:eastAsiaTheme="minorEastAsia"/>
          <w:noProof/>
          <w:color w:val="1D2455"/>
          <w:szCs w:val="20"/>
          <w:lang w:eastAsia="en-AU"/>
        </w:rPr>
        <w:fldChar w:fldCharType="end"/>
      </w:r>
      <w:bookmarkEnd w:id="210"/>
      <w:r w:rsidRPr="004F63E7">
        <w:rPr>
          <w:rFonts w:eastAsiaTheme="minorEastAsia"/>
          <w:color w:val="1D2455"/>
          <w:szCs w:val="20"/>
          <w:lang w:val="en-US" w:eastAsia="en-AU"/>
        </w:rPr>
        <w:t xml:space="preserve">: </w:t>
      </w:r>
      <w:r w:rsidRPr="004F63E7">
        <w:rPr>
          <w:rFonts w:eastAsiaTheme="minorEastAsia"/>
          <w:color w:val="1D2455"/>
          <w:szCs w:val="20"/>
          <w:lang w:eastAsia="en-AU"/>
        </w:rPr>
        <w:t xml:space="preserve">Whether </w:t>
      </w:r>
      <w:r w:rsidR="00EA2F3A">
        <w:rPr>
          <w:rFonts w:eastAsiaTheme="minorEastAsia"/>
          <w:color w:val="1D2455"/>
          <w:szCs w:val="20"/>
          <w:lang w:eastAsia="en-AU"/>
        </w:rPr>
        <w:t xml:space="preserve">the </w:t>
      </w:r>
      <w:r w:rsidRPr="004F63E7">
        <w:rPr>
          <w:rFonts w:eastAsiaTheme="minorEastAsia"/>
          <w:color w:val="1D2455"/>
          <w:szCs w:val="20"/>
          <w:lang w:eastAsia="en-AU"/>
        </w:rPr>
        <w:t>practice wishes to continue to participate in a program like HCH</w:t>
      </w:r>
    </w:p>
    <w:tbl>
      <w:tblPr>
        <w:tblW w:w="0" w:type="auto"/>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2880"/>
        <w:gridCol w:w="1440"/>
        <w:gridCol w:w="1440"/>
        <w:gridCol w:w="1440"/>
      </w:tblGrid>
      <w:tr w:rsidR="00AE74AB" w:rsidRPr="004F63E7" w14:paraId="2A137AFD" w14:textId="77777777" w:rsidTr="00CA2A66">
        <w:trPr>
          <w:cantSplit/>
          <w:tblHeader/>
          <w:jc w:val="center"/>
        </w:trPr>
        <w:tc>
          <w:tcPr>
            <w:tcW w:w="2880" w:type="dxa"/>
            <w:shd w:val="clear" w:color="auto" w:fill="408BCA"/>
            <w:tcMar>
              <w:top w:w="0" w:type="dxa"/>
              <w:left w:w="0" w:type="dxa"/>
              <w:bottom w:w="0" w:type="dxa"/>
              <w:right w:w="0" w:type="dxa"/>
            </w:tcMar>
            <w:vAlign w:val="center"/>
          </w:tcPr>
          <w:p w14:paraId="44589DA2"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b/>
                <w:color w:val="FFFFFF"/>
                <w:sz w:val="18"/>
                <w:szCs w:val="18"/>
              </w:rPr>
              <w:t>Practice subgroup</w:t>
            </w:r>
          </w:p>
        </w:tc>
        <w:tc>
          <w:tcPr>
            <w:tcW w:w="1440" w:type="dxa"/>
            <w:shd w:val="clear" w:color="auto" w:fill="408BCA"/>
            <w:tcMar>
              <w:top w:w="0" w:type="dxa"/>
              <w:left w:w="0" w:type="dxa"/>
              <w:bottom w:w="0" w:type="dxa"/>
              <w:right w:w="0" w:type="dxa"/>
            </w:tcMar>
            <w:vAlign w:val="center"/>
          </w:tcPr>
          <w:p w14:paraId="16A43814"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b/>
                <w:color w:val="FFFFFF"/>
                <w:sz w:val="18"/>
                <w:szCs w:val="18"/>
              </w:rPr>
              <w:t>Yes</w:t>
            </w:r>
          </w:p>
        </w:tc>
        <w:tc>
          <w:tcPr>
            <w:tcW w:w="1440" w:type="dxa"/>
            <w:shd w:val="clear" w:color="auto" w:fill="408BCA"/>
            <w:tcMar>
              <w:top w:w="0" w:type="dxa"/>
              <w:left w:w="0" w:type="dxa"/>
              <w:bottom w:w="0" w:type="dxa"/>
              <w:right w:w="0" w:type="dxa"/>
            </w:tcMar>
            <w:vAlign w:val="center"/>
          </w:tcPr>
          <w:p w14:paraId="35082425"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b/>
                <w:color w:val="FFFFFF"/>
                <w:sz w:val="18"/>
                <w:szCs w:val="18"/>
              </w:rPr>
              <w:t>Maybe</w:t>
            </w:r>
          </w:p>
        </w:tc>
        <w:tc>
          <w:tcPr>
            <w:tcW w:w="1440" w:type="dxa"/>
            <w:shd w:val="clear" w:color="auto" w:fill="408BCA"/>
            <w:tcMar>
              <w:top w:w="0" w:type="dxa"/>
              <w:left w:w="0" w:type="dxa"/>
              <w:bottom w:w="0" w:type="dxa"/>
              <w:right w:w="0" w:type="dxa"/>
            </w:tcMar>
            <w:vAlign w:val="center"/>
          </w:tcPr>
          <w:p w14:paraId="145F60DB"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b/>
                <w:color w:val="FFFFFF"/>
                <w:sz w:val="18"/>
                <w:szCs w:val="18"/>
              </w:rPr>
              <w:t>No</w:t>
            </w:r>
          </w:p>
        </w:tc>
      </w:tr>
      <w:tr w:rsidR="00AE74AB" w:rsidRPr="004F63E7" w14:paraId="75F4B7E7" w14:textId="77777777" w:rsidTr="00CA2A66">
        <w:trPr>
          <w:cantSplit/>
          <w:jc w:val="center"/>
        </w:trPr>
        <w:tc>
          <w:tcPr>
            <w:tcW w:w="7200" w:type="dxa"/>
            <w:gridSpan w:val="4"/>
            <w:shd w:val="clear" w:color="auto" w:fill="FFFFFF"/>
            <w:tcMar>
              <w:top w:w="0" w:type="dxa"/>
              <w:left w:w="0" w:type="dxa"/>
              <w:bottom w:w="0" w:type="dxa"/>
              <w:right w:w="0" w:type="dxa"/>
            </w:tcMar>
            <w:vAlign w:val="center"/>
          </w:tcPr>
          <w:p w14:paraId="4862160C" w14:textId="77777777" w:rsidR="00AE74AB" w:rsidRPr="004F63E7" w:rsidRDefault="00AE74AB" w:rsidP="00CA2A66">
            <w:pPr>
              <w:spacing w:before="20" w:afterLines="20" w:after="48"/>
              <w:ind w:left="100" w:right="100"/>
              <w:rPr>
                <w:sz w:val="18"/>
                <w:szCs w:val="18"/>
              </w:rPr>
            </w:pPr>
            <w:r w:rsidRPr="004F63E7">
              <w:rPr>
                <w:rFonts w:eastAsia="Century Gothic" w:cs="Century Gothic"/>
                <w:b/>
                <w:color w:val="000000"/>
                <w:sz w:val="18"/>
                <w:szCs w:val="18"/>
              </w:rPr>
              <w:t>Does the practice wish to continue to participate in a program like HCH:</w:t>
            </w:r>
          </w:p>
        </w:tc>
      </w:tr>
      <w:tr w:rsidR="00AE74AB" w:rsidRPr="004F63E7" w14:paraId="2B7278D1" w14:textId="77777777" w:rsidTr="00CA2A66">
        <w:trPr>
          <w:cantSplit/>
          <w:jc w:val="center"/>
        </w:trPr>
        <w:tc>
          <w:tcPr>
            <w:tcW w:w="2880" w:type="dxa"/>
            <w:shd w:val="clear" w:color="auto" w:fill="FFFFFF"/>
            <w:tcMar>
              <w:top w:w="0" w:type="dxa"/>
              <w:left w:w="0" w:type="dxa"/>
              <w:bottom w:w="0" w:type="dxa"/>
              <w:right w:w="0" w:type="dxa"/>
            </w:tcMar>
            <w:vAlign w:val="center"/>
          </w:tcPr>
          <w:p w14:paraId="48400830"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All R5 practices</w:t>
            </w:r>
          </w:p>
        </w:tc>
        <w:tc>
          <w:tcPr>
            <w:tcW w:w="1440" w:type="dxa"/>
            <w:shd w:val="clear" w:color="auto" w:fill="FFFFFF"/>
            <w:tcMar>
              <w:top w:w="0" w:type="dxa"/>
              <w:left w:w="0" w:type="dxa"/>
              <w:bottom w:w="0" w:type="dxa"/>
              <w:right w:w="0" w:type="dxa"/>
            </w:tcMar>
            <w:vAlign w:val="center"/>
          </w:tcPr>
          <w:p w14:paraId="5B86E93C"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30 (42%)</w:t>
            </w:r>
          </w:p>
        </w:tc>
        <w:tc>
          <w:tcPr>
            <w:tcW w:w="1440" w:type="dxa"/>
            <w:shd w:val="clear" w:color="auto" w:fill="FFFFFF"/>
            <w:tcMar>
              <w:top w:w="0" w:type="dxa"/>
              <w:left w:w="0" w:type="dxa"/>
              <w:bottom w:w="0" w:type="dxa"/>
              <w:right w:w="0" w:type="dxa"/>
            </w:tcMar>
            <w:vAlign w:val="center"/>
          </w:tcPr>
          <w:p w14:paraId="61AE8DCB"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28 (39%)</w:t>
            </w:r>
          </w:p>
        </w:tc>
        <w:tc>
          <w:tcPr>
            <w:tcW w:w="1440" w:type="dxa"/>
            <w:shd w:val="clear" w:color="auto" w:fill="FFFFFF"/>
            <w:tcMar>
              <w:top w:w="0" w:type="dxa"/>
              <w:left w:w="0" w:type="dxa"/>
              <w:bottom w:w="0" w:type="dxa"/>
              <w:right w:w="0" w:type="dxa"/>
            </w:tcMar>
            <w:vAlign w:val="center"/>
          </w:tcPr>
          <w:p w14:paraId="00828D46"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14 (19%)</w:t>
            </w:r>
          </w:p>
        </w:tc>
      </w:tr>
      <w:tr w:rsidR="00AE74AB" w:rsidRPr="004F63E7" w14:paraId="4A5B4559" w14:textId="77777777" w:rsidTr="00CA2A66">
        <w:trPr>
          <w:cantSplit/>
          <w:jc w:val="center"/>
        </w:trPr>
        <w:tc>
          <w:tcPr>
            <w:tcW w:w="2880" w:type="dxa"/>
            <w:shd w:val="clear" w:color="auto" w:fill="FFFFFF"/>
            <w:tcMar>
              <w:top w:w="0" w:type="dxa"/>
              <w:left w:w="0" w:type="dxa"/>
              <w:bottom w:w="0" w:type="dxa"/>
              <w:right w:w="0" w:type="dxa"/>
            </w:tcMar>
            <w:vAlign w:val="center"/>
          </w:tcPr>
          <w:p w14:paraId="6191C137"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Practice enrolled &lt;50 patients</w:t>
            </w:r>
          </w:p>
        </w:tc>
        <w:tc>
          <w:tcPr>
            <w:tcW w:w="1440" w:type="dxa"/>
            <w:shd w:val="clear" w:color="auto" w:fill="FFFFFF"/>
            <w:tcMar>
              <w:top w:w="0" w:type="dxa"/>
              <w:left w:w="0" w:type="dxa"/>
              <w:bottom w:w="0" w:type="dxa"/>
              <w:right w:w="0" w:type="dxa"/>
            </w:tcMar>
            <w:vAlign w:val="center"/>
          </w:tcPr>
          <w:p w14:paraId="2FAE57C6"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9 (25%)</w:t>
            </w:r>
          </w:p>
        </w:tc>
        <w:tc>
          <w:tcPr>
            <w:tcW w:w="1440" w:type="dxa"/>
            <w:shd w:val="clear" w:color="auto" w:fill="FFFFFF"/>
            <w:tcMar>
              <w:top w:w="0" w:type="dxa"/>
              <w:left w:w="0" w:type="dxa"/>
              <w:bottom w:w="0" w:type="dxa"/>
              <w:right w:w="0" w:type="dxa"/>
            </w:tcMar>
            <w:vAlign w:val="center"/>
          </w:tcPr>
          <w:p w14:paraId="4E6A2198"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16 (44%)</w:t>
            </w:r>
          </w:p>
        </w:tc>
        <w:tc>
          <w:tcPr>
            <w:tcW w:w="1440" w:type="dxa"/>
            <w:shd w:val="clear" w:color="auto" w:fill="FFFFFF"/>
            <w:tcMar>
              <w:top w:w="0" w:type="dxa"/>
              <w:left w:w="0" w:type="dxa"/>
              <w:bottom w:w="0" w:type="dxa"/>
              <w:right w:w="0" w:type="dxa"/>
            </w:tcMar>
            <w:vAlign w:val="center"/>
          </w:tcPr>
          <w:p w14:paraId="589795D1"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11 (31%)</w:t>
            </w:r>
          </w:p>
        </w:tc>
      </w:tr>
      <w:tr w:rsidR="00AE74AB" w:rsidRPr="004F63E7" w14:paraId="31EE16B9" w14:textId="77777777" w:rsidTr="00CA2A66">
        <w:trPr>
          <w:cantSplit/>
          <w:trHeight w:val="70"/>
          <w:jc w:val="center"/>
        </w:trPr>
        <w:tc>
          <w:tcPr>
            <w:tcW w:w="2880" w:type="dxa"/>
            <w:shd w:val="clear" w:color="auto" w:fill="FFFFFF"/>
            <w:tcMar>
              <w:top w:w="0" w:type="dxa"/>
              <w:left w:w="0" w:type="dxa"/>
              <w:bottom w:w="0" w:type="dxa"/>
              <w:right w:w="0" w:type="dxa"/>
            </w:tcMar>
            <w:vAlign w:val="center"/>
          </w:tcPr>
          <w:p w14:paraId="2A8039AE" w14:textId="77777777" w:rsidR="00AE74AB" w:rsidRPr="004F63E7" w:rsidRDefault="00AE74AB" w:rsidP="00CA2A66">
            <w:pPr>
              <w:spacing w:before="20" w:afterLines="20" w:after="48"/>
              <w:ind w:left="100" w:right="100"/>
              <w:rPr>
                <w:sz w:val="18"/>
                <w:szCs w:val="18"/>
              </w:rPr>
            </w:pPr>
            <w:r w:rsidRPr="004F63E7">
              <w:rPr>
                <w:rFonts w:eastAsia="Century Gothic" w:cs="Century Gothic"/>
                <w:color w:val="000000"/>
                <w:sz w:val="18"/>
                <w:szCs w:val="18"/>
              </w:rPr>
              <w:t>Practice enrolled 50+ patients</w:t>
            </w:r>
          </w:p>
        </w:tc>
        <w:tc>
          <w:tcPr>
            <w:tcW w:w="1440" w:type="dxa"/>
            <w:shd w:val="clear" w:color="auto" w:fill="FFFFFF"/>
            <w:tcMar>
              <w:top w:w="0" w:type="dxa"/>
              <w:left w:w="0" w:type="dxa"/>
              <w:bottom w:w="0" w:type="dxa"/>
              <w:right w:w="0" w:type="dxa"/>
            </w:tcMar>
            <w:vAlign w:val="center"/>
          </w:tcPr>
          <w:p w14:paraId="14319398"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21 (58%)</w:t>
            </w:r>
          </w:p>
        </w:tc>
        <w:tc>
          <w:tcPr>
            <w:tcW w:w="1440" w:type="dxa"/>
            <w:shd w:val="clear" w:color="auto" w:fill="FFFFFF"/>
            <w:tcMar>
              <w:top w:w="0" w:type="dxa"/>
              <w:left w:w="0" w:type="dxa"/>
              <w:bottom w:w="0" w:type="dxa"/>
              <w:right w:w="0" w:type="dxa"/>
            </w:tcMar>
            <w:vAlign w:val="center"/>
          </w:tcPr>
          <w:p w14:paraId="4CF7D75B"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12 (33%)</w:t>
            </w:r>
          </w:p>
        </w:tc>
        <w:tc>
          <w:tcPr>
            <w:tcW w:w="1440" w:type="dxa"/>
            <w:shd w:val="clear" w:color="auto" w:fill="FFFFFF"/>
            <w:tcMar>
              <w:top w:w="0" w:type="dxa"/>
              <w:left w:w="0" w:type="dxa"/>
              <w:bottom w:w="0" w:type="dxa"/>
              <w:right w:w="0" w:type="dxa"/>
            </w:tcMar>
            <w:vAlign w:val="center"/>
          </w:tcPr>
          <w:p w14:paraId="5B0D8D2E" w14:textId="77777777" w:rsidR="00AE74AB" w:rsidRPr="004F63E7" w:rsidRDefault="00AE74AB" w:rsidP="00CA2A66">
            <w:pPr>
              <w:spacing w:before="20" w:afterLines="20" w:after="48"/>
              <w:ind w:left="100" w:right="100"/>
              <w:jc w:val="center"/>
              <w:rPr>
                <w:sz w:val="18"/>
                <w:szCs w:val="18"/>
              </w:rPr>
            </w:pPr>
            <w:r w:rsidRPr="004F63E7">
              <w:rPr>
                <w:rFonts w:eastAsia="Century Gothic" w:cs="Century Gothic"/>
                <w:color w:val="000000"/>
                <w:sz w:val="18"/>
                <w:szCs w:val="18"/>
              </w:rPr>
              <w:t>3 (8%)</w:t>
            </w:r>
          </w:p>
        </w:tc>
      </w:tr>
    </w:tbl>
    <w:p w14:paraId="15EA7819" w14:textId="2CF652DB" w:rsidR="00AE74AB" w:rsidRPr="004F63E7" w:rsidRDefault="00AE74AB" w:rsidP="00AE74AB">
      <w:pPr>
        <w:jc w:val="center"/>
        <w:rPr>
          <w:rFonts w:eastAsiaTheme="minorEastAsia"/>
          <w:bCs/>
          <w:i/>
          <w:sz w:val="16"/>
          <w:szCs w:val="16"/>
          <w:lang w:eastAsia="en-AU"/>
        </w:rPr>
      </w:pPr>
      <w:r w:rsidRPr="004F63E7">
        <w:rPr>
          <w:rFonts w:eastAsiaTheme="minorEastAsia"/>
          <w:bCs/>
          <w:i/>
          <w:sz w:val="16"/>
          <w:szCs w:val="16"/>
          <w:lang w:eastAsia="en-AU"/>
        </w:rPr>
        <w:t xml:space="preserve">Source: Practice survey R5, </w:t>
      </w:r>
      <w:r w:rsidR="00BC2D7A">
        <w:rPr>
          <w:rFonts w:eastAsiaTheme="minorEastAsia"/>
          <w:bCs/>
          <w:i/>
          <w:sz w:val="16"/>
          <w:szCs w:val="16"/>
          <w:lang w:eastAsia="en-AU"/>
        </w:rPr>
        <w:t xml:space="preserve">Mar–May </w:t>
      </w:r>
      <w:r w:rsidR="00000B7C" w:rsidRPr="00000B7C">
        <w:rPr>
          <w:rFonts w:eastAsiaTheme="minorEastAsia"/>
          <w:bCs/>
          <w:i/>
          <w:sz w:val="16"/>
          <w:szCs w:val="16"/>
          <w:lang w:eastAsia="en-AU"/>
        </w:rPr>
        <w:t>2021</w:t>
      </w:r>
      <w:r w:rsidRPr="004F63E7">
        <w:rPr>
          <w:rFonts w:eastAsiaTheme="minorEastAsia"/>
          <w:bCs/>
          <w:i/>
          <w:sz w:val="16"/>
          <w:szCs w:val="16"/>
          <w:lang w:eastAsia="en-AU"/>
        </w:rPr>
        <w:t>, question 33</w:t>
      </w:r>
      <w:r w:rsidR="008716E0">
        <w:rPr>
          <w:rFonts w:eastAsiaTheme="minorEastAsia"/>
          <w:bCs/>
          <w:i/>
          <w:sz w:val="16"/>
          <w:szCs w:val="16"/>
          <w:lang w:eastAsia="en-AU"/>
        </w:rPr>
        <w:t>.</w:t>
      </w:r>
    </w:p>
    <w:p w14:paraId="5F0E1618" w14:textId="5A286B7A" w:rsidR="00AE74AB" w:rsidRPr="004F63E7" w:rsidRDefault="00AE74AB" w:rsidP="00AE74AB">
      <w:pPr>
        <w:ind w:right="521"/>
        <w:rPr>
          <w:lang w:val="en-GB"/>
        </w:rPr>
      </w:pPr>
      <w:r w:rsidRPr="004F63E7">
        <w:rPr>
          <w:lang w:val="en-GB"/>
        </w:rPr>
        <w:t>Practices were also asked which elements they would continue beyond the trial and which ones they would stop. Telehealth, dedicated chronic disease management roles, team-based care and patient recalls were the top four elements identified (</w:t>
      </w:r>
      <w:r w:rsidRPr="004F63E7">
        <w:rPr>
          <w:lang w:val="en-GB"/>
        </w:rPr>
        <w:fldChar w:fldCharType="begin"/>
      </w:r>
      <w:r w:rsidRPr="004F63E7">
        <w:rPr>
          <w:lang w:val="en-GB"/>
        </w:rPr>
        <w:instrText xml:space="preserve"> REF _Ref89959520 \h  \* MERGEFORMAT </w:instrText>
      </w:r>
      <w:r w:rsidRPr="004F63E7">
        <w:rPr>
          <w:lang w:val="en-GB"/>
        </w:rPr>
      </w:r>
      <w:r w:rsidRPr="004F63E7">
        <w:rPr>
          <w:lang w:val="en-GB"/>
        </w:rPr>
        <w:fldChar w:fldCharType="separate"/>
      </w:r>
      <w:r w:rsidR="003C4BC2" w:rsidRPr="003C4BC2">
        <w:t xml:space="preserve">Table </w:t>
      </w:r>
      <w:r w:rsidR="003C4BC2" w:rsidRPr="003C4BC2">
        <w:rPr>
          <w:noProof/>
        </w:rPr>
        <w:t>30</w:t>
      </w:r>
      <w:r w:rsidRPr="004F63E7">
        <w:rPr>
          <w:lang w:val="en-GB"/>
        </w:rPr>
        <w:fldChar w:fldCharType="end"/>
      </w:r>
      <w:r w:rsidRPr="004F63E7">
        <w:rPr>
          <w:lang w:val="en-GB"/>
        </w:rPr>
        <w:t>). Use of shared care planning software was identified as one of the elements they would stop, and they also mentioned reducing the role of practice nurses due to lack of reimbursement under fee-for-service.</w:t>
      </w:r>
    </w:p>
    <w:p w14:paraId="3A728DB5" w14:textId="79C99B8F" w:rsidR="00AE74AB" w:rsidRPr="004F63E7" w:rsidRDefault="00AE74AB" w:rsidP="00AE74AB">
      <w:pPr>
        <w:spacing w:after="0"/>
        <w:jc w:val="center"/>
        <w:rPr>
          <w:rFonts w:eastAsiaTheme="minorEastAsia"/>
          <w:bCs/>
          <w:color w:val="1D2455"/>
          <w:szCs w:val="20"/>
          <w:lang w:val="en-US" w:eastAsia="en-AU"/>
        </w:rPr>
      </w:pPr>
      <w:bookmarkStart w:id="211" w:name="_Ref89959520"/>
      <w:r w:rsidRPr="004F63E7">
        <w:rPr>
          <w:rFonts w:eastAsiaTheme="minorEastAsia"/>
          <w:bCs/>
          <w:color w:val="1D2455"/>
          <w:szCs w:val="20"/>
          <w:lang w:eastAsia="en-AU"/>
        </w:rPr>
        <w:t xml:space="preserve">Table </w:t>
      </w:r>
      <w:r w:rsidRPr="004F63E7">
        <w:rPr>
          <w:rFonts w:eastAsiaTheme="minorEastAsia"/>
          <w:bCs/>
          <w:color w:val="1D2455"/>
          <w:szCs w:val="20"/>
          <w:lang w:eastAsia="en-AU"/>
        </w:rPr>
        <w:fldChar w:fldCharType="begin"/>
      </w:r>
      <w:r w:rsidRPr="004F63E7">
        <w:rPr>
          <w:rFonts w:eastAsiaTheme="minorEastAsia"/>
          <w:bCs/>
          <w:color w:val="1D2455"/>
          <w:szCs w:val="20"/>
          <w:lang w:eastAsia="en-AU"/>
        </w:rPr>
        <w:instrText xml:space="preserve"> SEQ Table \* ARABIC </w:instrText>
      </w:r>
      <w:r w:rsidRPr="004F63E7">
        <w:rPr>
          <w:rFonts w:eastAsiaTheme="minorEastAsia"/>
          <w:bCs/>
          <w:color w:val="1D2455"/>
          <w:szCs w:val="20"/>
          <w:lang w:eastAsia="en-AU"/>
        </w:rPr>
        <w:fldChar w:fldCharType="separate"/>
      </w:r>
      <w:r w:rsidR="003C4BC2">
        <w:rPr>
          <w:rFonts w:eastAsiaTheme="minorEastAsia"/>
          <w:bCs/>
          <w:noProof/>
          <w:color w:val="1D2455"/>
          <w:szCs w:val="20"/>
          <w:lang w:eastAsia="en-AU"/>
        </w:rPr>
        <w:t>30</w:t>
      </w:r>
      <w:r w:rsidRPr="004F63E7">
        <w:rPr>
          <w:rFonts w:eastAsiaTheme="minorEastAsia"/>
          <w:bCs/>
          <w:noProof/>
          <w:color w:val="1D2455"/>
          <w:szCs w:val="20"/>
          <w:lang w:eastAsia="en-AU"/>
        </w:rPr>
        <w:fldChar w:fldCharType="end"/>
      </w:r>
      <w:bookmarkEnd w:id="211"/>
      <w:r w:rsidRPr="004F63E7">
        <w:rPr>
          <w:rFonts w:eastAsiaTheme="minorEastAsia"/>
          <w:bCs/>
          <w:color w:val="1D2455"/>
          <w:szCs w:val="20"/>
          <w:lang w:val="en-US" w:eastAsia="en-AU"/>
        </w:rPr>
        <w:t xml:space="preserve">: HCH elements that practices would continue beyond the trial </w:t>
      </w:r>
    </w:p>
    <w:p w14:paraId="57B31D50" w14:textId="77777777" w:rsidR="00AE74AB" w:rsidRPr="004F63E7" w:rsidRDefault="00AE74AB" w:rsidP="00AE74AB">
      <w:pPr>
        <w:spacing w:after="60"/>
        <w:jc w:val="center"/>
        <w:rPr>
          <w:rFonts w:eastAsiaTheme="minorEastAsia"/>
          <w:bCs/>
          <w:color w:val="1D2455"/>
          <w:szCs w:val="20"/>
          <w:lang w:val="en-US" w:eastAsia="en-AU"/>
        </w:rPr>
      </w:pPr>
      <w:r w:rsidRPr="004F63E7">
        <w:rPr>
          <w:rFonts w:eastAsiaTheme="minorEastAsia"/>
          <w:bCs/>
          <w:color w:val="1D2455"/>
          <w:szCs w:val="20"/>
          <w:lang w:val="en-US" w:eastAsia="en-AU"/>
        </w:rPr>
        <w:t>and elements that they will stop</w:t>
      </w:r>
    </w:p>
    <w:tbl>
      <w:tblPr>
        <w:tblW w:w="5000" w:type="pct"/>
        <w:jc w:val="center"/>
        <w:tblBorders>
          <w:top w:val="single" w:sz="4" w:space="0" w:color="408BCA"/>
          <w:left w:val="single" w:sz="4" w:space="0" w:color="408BCA"/>
          <w:bottom w:val="single" w:sz="4" w:space="0" w:color="408BCA"/>
          <w:right w:val="single" w:sz="4" w:space="0" w:color="408BCA"/>
          <w:insideH w:val="single" w:sz="4" w:space="0" w:color="408BCA"/>
        </w:tblBorders>
        <w:tblLook w:val="04A0" w:firstRow="1" w:lastRow="0" w:firstColumn="1" w:lastColumn="0" w:noHBand="0" w:noVBand="1"/>
      </w:tblPr>
      <w:tblGrid>
        <w:gridCol w:w="6724"/>
        <w:gridCol w:w="2292"/>
      </w:tblGrid>
      <w:tr w:rsidR="00AE74AB" w:rsidRPr="004F63E7" w14:paraId="36D2FEFC" w14:textId="77777777" w:rsidTr="001C305E">
        <w:trPr>
          <w:tblHeader/>
          <w:jc w:val="center"/>
        </w:trPr>
        <w:tc>
          <w:tcPr>
            <w:tcW w:w="3729" w:type="pct"/>
            <w:tcBorders>
              <w:bottom w:val="single" w:sz="6" w:space="0" w:color="408BCA"/>
            </w:tcBorders>
            <w:shd w:val="clear" w:color="auto" w:fill="408BCA"/>
            <w:vAlign w:val="center"/>
          </w:tcPr>
          <w:p w14:paraId="0D78679F" w14:textId="77777777" w:rsidR="00AE74AB" w:rsidRPr="004F63E7" w:rsidRDefault="00AE74AB" w:rsidP="00CA2A66">
            <w:pPr>
              <w:spacing w:after="0"/>
              <w:ind w:left="102" w:right="102"/>
              <w:rPr>
                <w:rFonts w:eastAsia="Century Gothic" w:cs="Century Gothic"/>
                <w:color w:val="000000"/>
                <w:sz w:val="18"/>
                <w:szCs w:val="18"/>
              </w:rPr>
            </w:pPr>
            <w:r w:rsidRPr="004F63E7">
              <w:rPr>
                <w:rFonts w:eastAsia="Century Gothic" w:cs="Century Gothic"/>
                <w:b/>
                <w:color w:val="FFFFFF"/>
                <w:sz w:val="18"/>
                <w:szCs w:val="18"/>
              </w:rPr>
              <w:t>Element</w:t>
            </w:r>
          </w:p>
        </w:tc>
        <w:tc>
          <w:tcPr>
            <w:tcW w:w="1271" w:type="pct"/>
            <w:tcBorders>
              <w:bottom w:val="single" w:sz="6" w:space="0" w:color="408BCA"/>
            </w:tcBorders>
            <w:shd w:val="clear" w:color="auto" w:fill="408BCA"/>
          </w:tcPr>
          <w:p w14:paraId="5F2C0545" w14:textId="77777777" w:rsidR="00AE74AB" w:rsidRPr="004F63E7" w:rsidRDefault="00AE74AB" w:rsidP="00CA2A66">
            <w:pPr>
              <w:spacing w:after="0"/>
              <w:ind w:left="102" w:right="102"/>
              <w:jc w:val="right"/>
              <w:rPr>
                <w:rFonts w:eastAsia="Century Gothic" w:cs="Century Gothic"/>
                <w:color w:val="000000"/>
                <w:sz w:val="18"/>
                <w:szCs w:val="18"/>
              </w:rPr>
            </w:pPr>
            <w:r w:rsidRPr="004F63E7">
              <w:rPr>
                <w:rFonts w:eastAsia="Century Gothic" w:cs="Century Gothic"/>
                <w:b/>
                <w:color w:val="FFFFFF"/>
                <w:sz w:val="18"/>
                <w:szCs w:val="18"/>
              </w:rPr>
              <w:t>Practices</w:t>
            </w:r>
            <w:r w:rsidRPr="004F63E7">
              <w:rPr>
                <w:rFonts w:eastAsia="Century Gothic" w:cs="Century Gothic"/>
                <w:color w:val="000000"/>
                <w:sz w:val="18"/>
                <w:szCs w:val="18"/>
              </w:rPr>
              <w:t xml:space="preserve"> </w:t>
            </w:r>
            <w:r w:rsidRPr="004F63E7">
              <w:rPr>
                <w:rFonts w:eastAsia="Century Gothic" w:cs="Century Gothic"/>
                <w:b/>
                <w:color w:val="FFFFFF"/>
                <w:sz w:val="18"/>
                <w:szCs w:val="18"/>
              </w:rPr>
              <w:t>identifying this element: n (%)</w:t>
            </w:r>
            <w:r w:rsidRPr="004F63E7">
              <w:rPr>
                <w:rFonts w:eastAsia="Century Gothic" w:cs="Century Gothic"/>
                <w:b/>
                <w:color w:val="FFFFFF"/>
                <w:sz w:val="18"/>
                <w:szCs w:val="18"/>
                <w:vertAlign w:val="superscript"/>
              </w:rPr>
              <w:t>1</w:t>
            </w:r>
          </w:p>
        </w:tc>
      </w:tr>
      <w:tr w:rsidR="00AE74AB" w:rsidRPr="004F63E7" w14:paraId="33614D39"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578CD7FF" w14:textId="77777777" w:rsidR="00AE74AB" w:rsidRPr="004F63E7" w:rsidRDefault="00AE74AB" w:rsidP="00CA2A66">
            <w:pPr>
              <w:spacing w:after="0"/>
              <w:ind w:right="100"/>
              <w:rPr>
                <w:rFonts w:eastAsia="Century Gothic" w:cs="Century Gothic"/>
                <w:b/>
                <w:bCs/>
                <w:color w:val="1D2455"/>
                <w:sz w:val="18"/>
                <w:szCs w:val="18"/>
              </w:rPr>
            </w:pPr>
            <w:r w:rsidRPr="004F63E7">
              <w:rPr>
                <w:rFonts w:eastAsia="Century Gothic" w:cs="Century Gothic"/>
                <w:b/>
                <w:bCs/>
                <w:color w:val="1D2455"/>
                <w:sz w:val="18"/>
                <w:szCs w:val="18"/>
              </w:rPr>
              <w:t>Continue</w:t>
            </w:r>
          </w:p>
        </w:tc>
        <w:tc>
          <w:tcPr>
            <w:tcW w:w="1271" w:type="pct"/>
            <w:tcBorders>
              <w:top w:val="single" w:sz="4" w:space="0" w:color="BFBFBF" w:themeColor="background1" w:themeShade="BF"/>
              <w:bottom w:val="single" w:sz="4" w:space="0" w:color="BFBFBF" w:themeColor="background1" w:themeShade="BF"/>
            </w:tcBorders>
          </w:tcPr>
          <w:p w14:paraId="5147324B" w14:textId="77777777" w:rsidR="00AE74AB" w:rsidRPr="004F63E7" w:rsidRDefault="00AE74AB" w:rsidP="00CA2A66">
            <w:pPr>
              <w:spacing w:after="0"/>
              <w:ind w:left="100" w:right="100"/>
              <w:jc w:val="right"/>
              <w:rPr>
                <w:rFonts w:eastAsia="Century Gothic" w:cs="Century Gothic"/>
                <w:color w:val="000000"/>
                <w:sz w:val="18"/>
                <w:szCs w:val="18"/>
              </w:rPr>
            </w:pPr>
          </w:p>
        </w:tc>
      </w:tr>
      <w:tr w:rsidR="00AE74AB" w:rsidRPr="004F63E7" w14:paraId="155971E2"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36DC65B7" w14:textId="77777777" w:rsidR="00AE74AB" w:rsidRPr="004F63E7" w:rsidRDefault="00AE74AB" w:rsidP="00CA2A66">
            <w:pPr>
              <w:spacing w:after="0"/>
              <w:ind w:left="195" w:right="100"/>
              <w:rPr>
                <w:sz w:val="18"/>
                <w:szCs w:val="18"/>
              </w:rPr>
            </w:pPr>
            <w:r w:rsidRPr="004F63E7">
              <w:rPr>
                <w:rFonts w:eastAsia="Century Gothic" w:cs="Century Gothic"/>
                <w:color w:val="000000"/>
                <w:sz w:val="18"/>
                <w:szCs w:val="18"/>
              </w:rPr>
              <w:t>Telehealth</w:t>
            </w:r>
          </w:p>
        </w:tc>
        <w:tc>
          <w:tcPr>
            <w:tcW w:w="1271" w:type="pct"/>
            <w:tcBorders>
              <w:top w:val="single" w:sz="4" w:space="0" w:color="BFBFBF" w:themeColor="background1" w:themeShade="BF"/>
              <w:bottom w:val="single" w:sz="4" w:space="0" w:color="BFBFBF" w:themeColor="background1" w:themeShade="BF"/>
            </w:tcBorders>
          </w:tcPr>
          <w:p w14:paraId="4036E76F"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19 (26.0%)</w:t>
            </w:r>
          </w:p>
        </w:tc>
      </w:tr>
      <w:tr w:rsidR="00AE74AB" w:rsidRPr="004F63E7" w14:paraId="70C3DC6A"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23729570" w14:textId="77777777" w:rsidR="00AE74AB" w:rsidRPr="004F63E7" w:rsidRDefault="00AE74AB" w:rsidP="00CA2A66">
            <w:pPr>
              <w:spacing w:after="0"/>
              <w:ind w:left="195" w:right="100"/>
              <w:rPr>
                <w:sz w:val="18"/>
                <w:szCs w:val="18"/>
              </w:rPr>
            </w:pPr>
            <w:r w:rsidRPr="004F63E7">
              <w:rPr>
                <w:rFonts w:eastAsia="Century Gothic" w:cs="Century Gothic"/>
                <w:color w:val="000000"/>
                <w:sz w:val="18"/>
                <w:szCs w:val="18"/>
              </w:rPr>
              <w:t>Dedicated care coordination/ chronic disease staff</w:t>
            </w:r>
          </w:p>
        </w:tc>
        <w:tc>
          <w:tcPr>
            <w:tcW w:w="1271" w:type="pct"/>
            <w:tcBorders>
              <w:top w:val="single" w:sz="4" w:space="0" w:color="BFBFBF" w:themeColor="background1" w:themeShade="BF"/>
              <w:bottom w:val="single" w:sz="4" w:space="0" w:color="BFBFBF" w:themeColor="background1" w:themeShade="BF"/>
            </w:tcBorders>
          </w:tcPr>
          <w:p w14:paraId="7DDBB536"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14 (19.2%)</w:t>
            </w:r>
          </w:p>
        </w:tc>
      </w:tr>
      <w:tr w:rsidR="00AE74AB" w:rsidRPr="004F63E7" w14:paraId="2512DB33"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24EBBBD5" w14:textId="77777777" w:rsidR="00AE74AB" w:rsidRPr="004F63E7" w:rsidRDefault="00AE74AB" w:rsidP="00CA2A66">
            <w:pPr>
              <w:spacing w:after="0"/>
              <w:ind w:left="195" w:right="100"/>
              <w:rPr>
                <w:rFonts w:eastAsia="Century Gothic" w:cs="Century Gothic"/>
                <w:color w:val="000000"/>
                <w:sz w:val="18"/>
                <w:szCs w:val="18"/>
              </w:rPr>
            </w:pPr>
            <w:r w:rsidRPr="004F63E7">
              <w:rPr>
                <w:rFonts w:eastAsia="Century Gothic" w:cs="Century Gothic"/>
                <w:color w:val="000000"/>
                <w:sz w:val="18"/>
                <w:szCs w:val="18"/>
              </w:rPr>
              <w:t>Team-based care, including team meetings/ huddles</w:t>
            </w:r>
          </w:p>
        </w:tc>
        <w:tc>
          <w:tcPr>
            <w:tcW w:w="1271" w:type="pct"/>
            <w:tcBorders>
              <w:top w:val="single" w:sz="4" w:space="0" w:color="BFBFBF" w:themeColor="background1" w:themeShade="BF"/>
              <w:bottom w:val="single" w:sz="4" w:space="0" w:color="BFBFBF" w:themeColor="background1" w:themeShade="BF"/>
            </w:tcBorders>
          </w:tcPr>
          <w:p w14:paraId="02918E75" w14:textId="77777777" w:rsidR="00AE74AB" w:rsidRPr="004F63E7" w:rsidRDefault="00AE74AB" w:rsidP="00CA2A66">
            <w:pPr>
              <w:spacing w:after="0"/>
              <w:ind w:left="100" w:right="100"/>
              <w:jc w:val="right"/>
              <w:rPr>
                <w:rFonts w:eastAsia="Century Gothic" w:cs="Century Gothic"/>
                <w:color w:val="000000"/>
                <w:sz w:val="18"/>
                <w:szCs w:val="18"/>
              </w:rPr>
            </w:pPr>
            <w:r w:rsidRPr="004F63E7">
              <w:rPr>
                <w:rFonts w:eastAsia="Century Gothic" w:cs="Century Gothic"/>
                <w:color w:val="000000"/>
                <w:sz w:val="18"/>
                <w:szCs w:val="18"/>
              </w:rPr>
              <w:t>11 (15.0%)</w:t>
            </w:r>
          </w:p>
        </w:tc>
      </w:tr>
      <w:tr w:rsidR="00AE74AB" w:rsidRPr="004F63E7" w14:paraId="32956EBE"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5F6FEBF3" w14:textId="77777777" w:rsidR="00AE74AB" w:rsidRPr="004F63E7" w:rsidRDefault="00AE74AB" w:rsidP="00CA2A66">
            <w:pPr>
              <w:spacing w:after="0"/>
              <w:ind w:left="195" w:right="100"/>
              <w:rPr>
                <w:sz w:val="18"/>
                <w:szCs w:val="18"/>
              </w:rPr>
            </w:pPr>
            <w:r w:rsidRPr="004F63E7">
              <w:rPr>
                <w:rFonts w:eastAsia="Century Gothic" w:cs="Century Gothic"/>
                <w:color w:val="000000"/>
                <w:sz w:val="18"/>
                <w:szCs w:val="18"/>
              </w:rPr>
              <w:t>Recalls</w:t>
            </w:r>
          </w:p>
        </w:tc>
        <w:tc>
          <w:tcPr>
            <w:tcW w:w="1271" w:type="pct"/>
            <w:tcBorders>
              <w:top w:val="single" w:sz="4" w:space="0" w:color="BFBFBF" w:themeColor="background1" w:themeShade="BF"/>
              <w:bottom w:val="single" w:sz="4" w:space="0" w:color="BFBFBF" w:themeColor="background1" w:themeShade="BF"/>
            </w:tcBorders>
          </w:tcPr>
          <w:p w14:paraId="63BBB180"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10 (13.7%)</w:t>
            </w:r>
          </w:p>
        </w:tc>
      </w:tr>
      <w:tr w:rsidR="00AE74AB" w:rsidRPr="004F63E7" w14:paraId="46871309"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29C63070" w14:textId="77777777" w:rsidR="00AE74AB" w:rsidRPr="004F63E7" w:rsidRDefault="00AE74AB" w:rsidP="00CA2A66">
            <w:pPr>
              <w:spacing w:after="0"/>
              <w:ind w:left="195" w:right="100"/>
              <w:rPr>
                <w:sz w:val="18"/>
                <w:szCs w:val="18"/>
              </w:rPr>
            </w:pPr>
            <w:r w:rsidRPr="004F63E7">
              <w:rPr>
                <w:rFonts w:eastAsia="Century Gothic" w:cs="Century Gothic"/>
                <w:color w:val="000000"/>
                <w:sz w:val="18"/>
                <w:szCs w:val="18"/>
              </w:rPr>
              <w:t>No appointment prescriptions</w:t>
            </w:r>
          </w:p>
        </w:tc>
        <w:tc>
          <w:tcPr>
            <w:tcW w:w="1271" w:type="pct"/>
            <w:tcBorders>
              <w:top w:val="single" w:sz="4" w:space="0" w:color="BFBFBF" w:themeColor="background1" w:themeShade="BF"/>
              <w:bottom w:val="single" w:sz="4" w:space="0" w:color="BFBFBF" w:themeColor="background1" w:themeShade="BF"/>
            </w:tcBorders>
          </w:tcPr>
          <w:p w14:paraId="333D021E"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6 (8.2%)</w:t>
            </w:r>
          </w:p>
        </w:tc>
      </w:tr>
      <w:tr w:rsidR="00AE74AB" w:rsidRPr="004F63E7" w14:paraId="186C821B"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46F22DD1" w14:textId="77777777" w:rsidR="00AE74AB" w:rsidRPr="004F63E7" w:rsidRDefault="00AE74AB" w:rsidP="00CA2A66">
            <w:pPr>
              <w:spacing w:after="0"/>
              <w:ind w:left="195" w:right="100"/>
              <w:rPr>
                <w:sz w:val="18"/>
                <w:szCs w:val="18"/>
              </w:rPr>
            </w:pPr>
            <w:r w:rsidRPr="004F63E7">
              <w:rPr>
                <w:rFonts w:eastAsia="Century Gothic" w:cs="Century Gothic"/>
                <w:color w:val="000000"/>
                <w:sz w:val="18"/>
                <w:szCs w:val="18"/>
              </w:rPr>
              <w:t>Quality improvement, including data cleansing</w:t>
            </w:r>
          </w:p>
        </w:tc>
        <w:tc>
          <w:tcPr>
            <w:tcW w:w="1271" w:type="pct"/>
            <w:tcBorders>
              <w:top w:val="single" w:sz="4" w:space="0" w:color="BFBFBF" w:themeColor="background1" w:themeShade="BF"/>
              <w:bottom w:val="single" w:sz="4" w:space="0" w:color="BFBFBF" w:themeColor="background1" w:themeShade="BF"/>
            </w:tcBorders>
          </w:tcPr>
          <w:p w14:paraId="53D473D5"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6 (8.2%)</w:t>
            </w:r>
          </w:p>
        </w:tc>
      </w:tr>
      <w:tr w:rsidR="00AE74AB" w:rsidRPr="004F63E7" w14:paraId="12C16D53"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15C8037A" w14:textId="77777777" w:rsidR="00AE74AB" w:rsidRPr="004F63E7" w:rsidRDefault="00AE74AB" w:rsidP="00CA2A66">
            <w:pPr>
              <w:spacing w:after="0"/>
              <w:ind w:left="195" w:right="100"/>
              <w:rPr>
                <w:sz w:val="18"/>
                <w:szCs w:val="18"/>
              </w:rPr>
            </w:pPr>
            <w:r w:rsidRPr="004F63E7">
              <w:rPr>
                <w:rFonts w:eastAsia="Century Gothic" w:cs="Century Gothic"/>
                <w:color w:val="000000"/>
                <w:sz w:val="18"/>
                <w:szCs w:val="18"/>
              </w:rPr>
              <w:t>Nurse led care</w:t>
            </w:r>
          </w:p>
        </w:tc>
        <w:tc>
          <w:tcPr>
            <w:tcW w:w="1271" w:type="pct"/>
            <w:tcBorders>
              <w:top w:val="single" w:sz="4" w:space="0" w:color="BFBFBF" w:themeColor="background1" w:themeShade="BF"/>
              <w:bottom w:val="single" w:sz="4" w:space="0" w:color="BFBFBF" w:themeColor="background1" w:themeShade="BF"/>
            </w:tcBorders>
          </w:tcPr>
          <w:p w14:paraId="353A259B"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5 (6.8%)</w:t>
            </w:r>
          </w:p>
        </w:tc>
      </w:tr>
      <w:tr w:rsidR="00AE74AB" w:rsidRPr="004F63E7" w14:paraId="5180E4DD"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218BBD9B" w14:textId="77777777" w:rsidR="00AE74AB" w:rsidRPr="004F63E7" w:rsidRDefault="00AE74AB" w:rsidP="00CA2A66">
            <w:pPr>
              <w:spacing w:after="0"/>
              <w:ind w:left="195" w:right="100"/>
              <w:rPr>
                <w:sz w:val="18"/>
                <w:szCs w:val="18"/>
              </w:rPr>
            </w:pPr>
            <w:r w:rsidRPr="004F63E7">
              <w:rPr>
                <w:rFonts w:eastAsia="Century Gothic" w:cs="Century Gothic"/>
                <w:color w:val="000000"/>
                <w:sz w:val="18"/>
                <w:szCs w:val="18"/>
              </w:rPr>
              <w:t>Expanded scope of practice for staff</w:t>
            </w:r>
          </w:p>
        </w:tc>
        <w:tc>
          <w:tcPr>
            <w:tcW w:w="1271" w:type="pct"/>
            <w:tcBorders>
              <w:top w:val="single" w:sz="4" w:space="0" w:color="BFBFBF" w:themeColor="background1" w:themeShade="BF"/>
              <w:bottom w:val="single" w:sz="4" w:space="0" w:color="BFBFBF" w:themeColor="background1" w:themeShade="BF"/>
            </w:tcBorders>
          </w:tcPr>
          <w:p w14:paraId="08F59C7C"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5 (6.8%)</w:t>
            </w:r>
          </w:p>
        </w:tc>
      </w:tr>
      <w:tr w:rsidR="00AE74AB" w:rsidRPr="004F63E7" w14:paraId="4DDF37D7"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58D8C561" w14:textId="77777777" w:rsidR="00AE74AB" w:rsidRPr="004F63E7" w:rsidRDefault="00AE74AB" w:rsidP="00CA2A66">
            <w:pPr>
              <w:spacing w:after="0"/>
              <w:ind w:left="195" w:right="100"/>
              <w:rPr>
                <w:sz w:val="18"/>
                <w:szCs w:val="18"/>
              </w:rPr>
            </w:pPr>
            <w:r w:rsidRPr="004F63E7">
              <w:rPr>
                <w:rFonts w:eastAsia="Century Gothic" w:cs="Century Gothic"/>
                <w:color w:val="000000"/>
                <w:sz w:val="18"/>
                <w:szCs w:val="18"/>
              </w:rPr>
              <w:t>Care plans and care plan review</w:t>
            </w:r>
          </w:p>
        </w:tc>
        <w:tc>
          <w:tcPr>
            <w:tcW w:w="1271" w:type="pct"/>
            <w:tcBorders>
              <w:top w:val="single" w:sz="4" w:space="0" w:color="BFBFBF" w:themeColor="background1" w:themeShade="BF"/>
              <w:bottom w:val="single" w:sz="4" w:space="0" w:color="BFBFBF" w:themeColor="background1" w:themeShade="BF"/>
            </w:tcBorders>
          </w:tcPr>
          <w:p w14:paraId="0F1904F1"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5 (6.8%)</w:t>
            </w:r>
          </w:p>
        </w:tc>
      </w:tr>
      <w:tr w:rsidR="00AE74AB" w:rsidRPr="004F63E7" w14:paraId="3DC4E90D"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076E05FB" w14:textId="5102D06A" w:rsidR="00AE74AB" w:rsidRPr="004F63E7" w:rsidRDefault="00AE74AB" w:rsidP="00CA2A66">
            <w:pPr>
              <w:spacing w:after="0"/>
              <w:ind w:left="195" w:right="100"/>
              <w:rPr>
                <w:sz w:val="18"/>
                <w:szCs w:val="18"/>
              </w:rPr>
            </w:pPr>
            <w:r w:rsidRPr="004F63E7">
              <w:rPr>
                <w:rFonts w:eastAsia="Century Gothic" w:cs="Century Gothic"/>
                <w:color w:val="000000"/>
                <w:sz w:val="18"/>
                <w:szCs w:val="18"/>
              </w:rPr>
              <w:t xml:space="preserve">Collaboration with other providers </w:t>
            </w:r>
          </w:p>
        </w:tc>
        <w:tc>
          <w:tcPr>
            <w:tcW w:w="1271" w:type="pct"/>
            <w:tcBorders>
              <w:top w:val="single" w:sz="4" w:space="0" w:color="BFBFBF" w:themeColor="background1" w:themeShade="BF"/>
              <w:bottom w:val="single" w:sz="4" w:space="0" w:color="BFBFBF" w:themeColor="background1" w:themeShade="BF"/>
            </w:tcBorders>
          </w:tcPr>
          <w:p w14:paraId="22E81D9E"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3 (4.1%)</w:t>
            </w:r>
          </w:p>
        </w:tc>
      </w:tr>
      <w:tr w:rsidR="00AE74AB" w:rsidRPr="004F63E7" w14:paraId="01155AC0"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462D6978" w14:textId="77777777" w:rsidR="00AE74AB" w:rsidRPr="004F63E7" w:rsidRDefault="00AE74AB" w:rsidP="00CA2A66">
            <w:pPr>
              <w:spacing w:after="0"/>
              <w:ind w:left="195" w:right="100"/>
              <w:rPr>
                <w:sz w:val="18"/>
                <w:szCs w:val="18"/>
              </w:rPr>
            </w:pPr>
            <w:r w:rsidRPr="004F63E7">
              <w:rPr>
                <w:rFonts w:eastAsia="Century Gothic" w:cs="Century Gothic"/>
                <w:color w:val="000000"/>
                <w:sz w:val="18"/>
                <w:szCs w:val="18"/>
              </w:rPr>
              <w:t>SMS and email contact</w:t>
            </w:r>
          </w:p>
        </w:tc>
        <w:tc>
          <w:tcPr>
            <w:tcW w:w="1271" w:type="pct"/>
            <w:tcBorders>
              <w:top w:val="single" w:sz="4" w:space="0" w:color="BFBFBF" w:themeColor="background1" w:themeShade="BF"/>
              <w:bottom w:val="single" w:sz="4" w:space="0" w:color="BFBFBF" w:themeColor="background1" w:themeShade="BF"/>
            </w:tcBorders>
          </w:tcPr>
          <w:p w14:paraId="573400F3"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3 (4.1%)</w:t>
            </w:r>
          </w:p>
        </w:tc>
      </w:tr>
      <w:tr w:rsidR="00AE74AB" w:rsidRPr="004F63E7" w14:paraId="698FA8EC"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2B471D84" w14:textId="77777777" w:rsidR="00AE74AB" w:rsidRPr="004F63E7" w:rsidRDefault="00AE74AB" w:rsidP="00CA2A66">
            <w:pPr>
              <w:spacing w:after="0"/>
              <w:ind w:left="195" w:right="100"/>
              <w:rPr>
                <w:sz w:val="18"/>
                <w:szCs w:val="18"/>
              </w:rPr>
            </w:pPr>
            <w:r w:rsidRPr="004F63E7">
              <w:rPr>
                <w:rFonts w:eastAsia="Century Gothic" w:cs="Century Gothic"/>
                <w:color w:val="000000"/>
                <w:sz w:val="18"/>
                <w:szCs w:val="18"/>
              </w:rPr>
              <w:t>Maintain HCH software, including shared care</w:t>
            </w:r>
          </w:p>
        </w:tc>
        <w:tc>
          <w:tcPr>
            <w:tcW w:w="1271" w:type="pct"/>
            <w:tcBorders>
              <w:top w:val="single" w:sz="4" w:space="0" w:color="BFBFBF" w:themeColor="background1" w:themeShade="BF"/>
              <w:bottom w:val="single" w:sz="4" w:space="0" w:color="BFBFBF" w:themeColor="background1" w:themeShade="BF"/>
            </w:tcBorders>
          </w:tcPr>
          <w:p w14:paraId="62441968"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3 (4.1%)</w:t>
            </w:r>
          </w:p>
        </w:tc>
      </w:tr>
      <w:tr w:rsidR="00AE74AB" w:rsidRPr="004F63E7" w14:paraId="0F6EA001"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47504ABD" w14:textId="77777777" w:rsidR="00AE74AB" w:rsidRPr="004F63E7" w:rsidRDefault="00AE74AB" w:rsidP="00CA2A66">
            <w:pPr>
              <w:spacing w:after="0"/>
              <w:ind w:left="195" w:right="100"/>
              <w:rPr>
                <w:sz w:val="18"/>
                <w:szCs w:val="18"/>
              </w:rPr>
            </w:pPr>
            <w:r w:rsidRPr="004F63E7">
              <w:rPr>
                <w:rFonts w:eastAsia="Century Gothic" w:cs="Century Gothic"/>
                <w:color w:val="000000"/>
                <w:sz w:val="18"/>
                <w:szCs w:val="18"/>
              </w:rPr>
              <w:t>Training medical assistants</w:t>
            </w:r>
          </w:p>
        </w:tc>
        <w:tc>
          <w:tcPr>
            <w:tcW w:w="1271" w:type="pct"/>
            <w:tcBorders>
              <w:top w:val="single" w:sz="4" w:space="0" w:color="BFBFBF" w:themeColor="background1" w:themeShade="BF"/>
              <w:bottom w:val="single" w:sz="4" w:space="0" w:color="BFBFBF" w:themeColor="background1" w:themeShade="BF"/>
            </w:tcBorders>
          </w:tcPr>
          <w:p w14:paraId="6E5008CD"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2 (2.7%)</w:t>
            </w:r>
          </w:p>
        </w:tc>
      </w:tr>
      <w:tr w:rsidR="00AE74AB" w:rsidRPr="004F63E7" w14:paraId="5A5288EF"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21FCFFD6" w14:textId="77777777" w:rsidR="00AE74AB" w:rsidRPr="004F63E7" w:rsidRDefault="00AE74AB" w:rsidP="00CA2A66">
            <w:pPr>
              <w:spacing w:after="0"/>
              <w:ind w:left="195" w:right="100"/>
              <w:rPr>
                <w:sz w:val="18"/>
                <w:szCs w:val="18"/>
              </w:rPr>
            </w:pPr>
            <w:r w:rsidRPr="004F63E7">
              <w:rPr>
                <w:rFonts w:eastAsia="Century Gothic" w:cs="Century Gothic"/>
                <w:color w:val="000000"/>
                <w:sz w:val="18"/>
                <w:szCs w:val="18"/>
              </w:rPr>
              <w:t>Patient lifestyle groups / education</w:t>
            </w:r>
          </w:p>
        </w:tc>
        <w:tc>
          <w:tcPr>
            <w:tcW w:w="1271" w:type="pct"/>
            <w:tcBorders>
              <w:top w:val="single" w:sz="4" w:space="0" w:color="BFBFBF" w:themeColor="background1" w:themeShade="BF"/>
              <w:bottom w:val="single" w:sz="4" w:space="0" w:color="BFBFBF" w:themeColor="background1" w:themeShade="BF"/>
            </w:tcBorders>
          </w:tcPr>
          <w:p w14:paraId="01EF746F"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1 (1.4%)</w:t>
            </w:r>
          </w:p>
        </w:tc>
      </w:tr>
      <w:tr w:rsidR="00AE74AB" w:rsidRPr="004F63E7" w14:paraId="269285DD"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2B5C2506" w14:textId="2F7D7FED" w:rsidR="00AE74AB" w:rsidRPr="004F63E7" w:rsidRDefault="00AE74AB" w:rsidP="00CA2A66">
            <w:pPr>
              <w:spacing w:after="0"/>
              <w:ind w:left="195" w:right="100"/>
              <w:rPr>
                <w:sz w:val="18"/>
                <w:szCs w:val="18"/>
              </w:rPr>
            </w:pPr>
            <w:r w:rsidRPr="004F63E7">
              <w:rPr>
                <w:rFonts w:eastAsia="Century Gothic" w:cs="Century Gothic"/>
                <w:color w:val="000000"/>
                <w:sz w:val="18"/>
                <w:szCs w:val="18"/>
              </w:rPr>
              <w:t>Increased recording of health data (</w:t>
            </w:r>
            <w:r w:rsidR="00947448">
              <w:rPr>
                <w:rFonts w:eastAsia="Century Gothic" w:cs="Century Gothic"/>
                <w:color w:val="000000"/>
                <w:sz w:val="18"/>
                <w:szCs w:val="18"/>
              </w:rPr>
              <w:t>incl</w:t>
            </w:r>
            <w:r w:rsidR="00F1749C">
              <w:rPr>
                <w:rFonts w:eastAsia="Century Gothic" w:cs="Century Gothic"/>
                <w:color w:val="000000"/>
                <w:sz w:val="18"/>
                <w:szCs w:val="18"/>
              </w:rPr>
              <w:t>.</w:t>
            </w:r>
            <w:r w:rsidRPr="004F63E7">
              <w:rPr>
                <w:rFonts w:eastAsia="Century Gothic" w:cs="Century Gothic"/>
                <w:color w:val="000000"/>
                <w:sz w:val="18"/>
                <w:szCs w:val="18"/>
              </w:rPr>
              <w:t xml:space="preserve"> alcohol/tobacco use)</w:t>
            </w:r>
            <w:r w:rsidR="001C305E">
              <w:rPr>
                <w:rFonts w:eastAsia="Century Gothic" w:cs="Century Gothic"/>
                <w:color w:val="000000"/>
                <w:sz w:val="18"/>
                <w:szCs w:val="18"/>
              </w:rPr>
              <w:t xml:space="preserve"> screening</w:t>
            </w:r>
          </w:p>
        </w:tc>
        <w:tc>
          <w:tcPr>
            <w:tcW w:w="1271" w:type="pct"/>
            <w:tcBorders>
              <w:top w:val="single" w:sz="4" w:space="0" w:color="BFBFBF" w:themeColor="background1" w:themeShade="BF"/>
              <w:bottom w:val="single" w:sz="4" w:space="0" w:color="BFBFBF" w:themeColor="background1" w:themeShade="BF"/>
            </w:tcBorders>
          </w:tcPr>
          <w:p w14:paraId="09052CC0"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1 (1.4%)</w:t>
            </w:r>
          </w:p>
        </w:tc>
      </w:tr>
      <w:tr w:rsidR="00AE74AB" w:rsidRPr="004F63E7" w14:paraId="359A62C0"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5E262708" w14:textId="77777777" w:rsidR="00AE74AB" w:rsidRPr="004F63E7" w:rsidRDefault="00AE74AB" w:rsidP="00CA2A66">
            <w:pPr>
              <w:spacing w:after="0"/>
              <w:ind w:right="100"/>
              <w:rPr>
                <w:rFonts w:eastAsia="Century Gothic" w:cs="Century Gothic"/>
                <w:color w:val="1D2455"/>
                <w:sz w:val="18"/>
                <w:szCs w:val="18"/>
              </w:rPr>
            </w:pPr>
            <w:r w:rsidRPr="004F63E7">
              <w:rPr>
                <w:rFonts w:eastAsia="Century Gothic" w:cs="Century Gothic"/>
                <w:b/>
                <w:bCs/>
                <w:color w:val="1D2455"/>
                <w:sz w:val="18"/>
                <w:szCs w:val="18"/>
              </w:rPr>
              <w:t>Stop</w:t>
            </w:r>
          </w:p>
        </w:tc>
        <w:tc>
          <w:tcPr>
            <w:tcW w:w="1271" w:type="pct"/>
            <w:tcBorders>
              <w:top w:val="single" w:sz="4" w:space="0" w:color="BFBFBF" w:themeColor="background1" w:themeShade="BF"/>
              <w:bottom w:val="single" w:sz="4" w:space="0" w:color="BFBFBF" w:themeColor="background1" w:themeShade="BF"/>
            </w:tcBorders>
          </w:tcPr>
          <w:p w14:paraId="78B43D23" w14:textId="77777777" w:rsidR="00AE74AB" w:rsidRPr="004F63E7" w:rsidRDefault="00AE74AB" w:rsidP="00CA2A66">
            <w:pPr>
              <w:spacing w:after="0"/>
              <w:ind w:left="100" w:right="100"/>
              <w:jc w:val="right"/>
              <w:rPr>
                <w:rFonts w:eastAsia="Century Gothic" w:cs="Century Gothic"/>
                <w:color w:val="000000"/>
                <w:sz w:val="18"/>
                <w:szCs w:val="18"/>
              </w:rPr>
            </w:pPr>
          </w:p>
        </w:tc>
      </w:tr>
      <w:tr w:rsidR="00AE74AB" w:rsidRPr="004F63E7" w14:paraId="270D1122"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7ECB1D1D" w14:textId="77777777" w:rsidR="00AE74AB" w:rsidRPr="004F63E7" w:rsidRDefault="00AE74AB" w:rsidP="00CA2A66">
            <w:pPr>
              <w:spacing w:after="0"/>
              <w:ind w:left="195" w:right="100"/>
              <w:rPr>
                <w:sz w:val="18"/>
                <w:szCs w:val="18"/>
              </w:rPr>
            </w:pPr>
            <w:r w:rsidRPr="004F63E7">
              <w:rPr>
                <w:rFonts w:eastAsia="Century Gothic" w:cs="Century Gothic"/>
                <w:color w:val="000000"/>
                <w:sz w:val="18"/>
                <w:szCs w:val="18"/>
              </w:rPr>
              <w:t>Use of shared care platform</w:t>
            </w:r>
          </w:p>
        </w:tc>
        <w:tc>
          <w:tcPr>
            <w:tcW w:w="1271" w:type="pct"/>
            <w:tcBorders>
              <w:top w:val="single" w:sz="4" w:space="0" w:color="BFBFBF" w:themeColor="background1" w:themeShade="BF"/>
              <w:bottom w:val="single" w:sz="4" w:space="0" w:color="BFBFBF" w:themeColor="background1" w:themeShade="BF"/>
            </w:tcBorders>
          </w:tcPr>
          <w:p w14:paraId="5128D8AC" w14:textId="77777777" w:rsidR="00AE74AB" w:rsidRPr="004F63E7" w:rsidRDefault="00AE74AB" w:rsidP="00CA2A66">
            <w:pPr>
              <w:spacing w:after="0"/>
              <w:ind w:left="100" w:right="100"/>
              <w:jc w:val="right"/>
              <w:rPr>
                <w:sz w:val="18"/>
                <w:szCs w:val="18"/>
              </w:rPr>
            </w:pPr>
            <w:r w:rsidRPr="004F63E7">
              <w:rPr>
                <w:rFonts w:eastAsia="Century Gothic" w:cs="Century Gothic"/>
                <w:color w:val="000000"/>
                <w:sz w:val="18"/>
                <w:szCs w:val="18"/>
              </w:rPr>
              <w:t>4 (5.5%)</w:t>
            </w:r>
          </w:p>
        </w:tc>
      </w:tr>
      <w:tr w:rsidR="00AE74AB" w:rsidRPr="004F63E7" w14:paraId="083A79C2"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3B57063D" w14:textId="77777777" w:rsidR="00AE74AB" w:rsidRPr="004F63E7" w:rsidRDefault="00AE74AB" w:rsidP="00CA2A66">
            <w:pPr>
              <w:spacing w:after="0"/>
              <w:ind w:left="195" w:right="100"/>
              <w:rPr>
                <w:rFonts w:eastAsia="Century Gothic" w:cs="Century Gothic"/>
                <w:color w:val="000000"/>
                <w:sz w:val="18"/>
                <w:szCs w:val="18"/>
              </w:rPr>
            </w:pPr>
            <w:r w:rsidRPr="004F63E7">
              <w:rPr>
                <w:rFonts w:eastAsia="Century Gothic" w:cs="Century Gothic"/>
                <w:color w:val="000000"/>
                <w:sz w:val="18"/>
                <w:szCs w:val="18"/>
              </w:rPr>
              <w:t>Reduce the role of practice nurse (due to lack of reimbursement for many HCH activities)</w:t>
            </w:r>
          </w:p>
        </w:tc>
        <w:tc>
          <w:tcPr>
            <w:tcW w:w="1271" w:type="pct"/>
            <w:tcBorders>
              <w:top w:val="single" w:sz="4" w:space="0" w:color="BFBFBF" w:themeColor="background1" w:themeShade="BF"/>
              <w:bottom w:val="single" w:sz="4" w:space="0" w:color="BFBFBF" w:themeColor="background1" w:themeShade="BF"/>
            </w:tcBorders>
          </w:tcPr>
          <w:p w14:paraId="1497378B" w14:textId="77777777" w:rsidR="00AE74AB" w:rsidRPr="004F63E7" w:rsidRDefault="00AE74AB" w:rsidP="00CA2A66">
            <w:pPr>
              <w:spacing w:after="0"/>
              <w:ind w:left="100" w:right="100"/>
              <w:jc w:val="right"/>
              <w:rPr>
                <w:rFonts w:eastAsia="Century Gothic" w:cs="Century Gothic"/>
                <w:color w:val="000000"/>
                <w:sz w:val="18"/>
                <w:szCs w:val="18"/>
              </w:rPr>
            </w:pPr>
            <w:r w:rsidRPr="004F63E7">
              <w:rPr>
                <w:rFonts w:eastAsia="Century Gothic" w:cs="Century Gothic"/>
                <w:color w:val="000000"/>
                <w:sz w:val="18"/>
                <w:szCs w:val="18"/>
              </w:rPr>
              <w:t>4 (5.5%)</w:t>
            </w:r>
          </w:p>
        </w:tc>
      </w:tr>
      <w:tr w:rsidR="00AE74AB" w:rsidRPr="004F63E7" w14:paraId="3F34C986" w14:textId="77777777" w:rsidTr="001C305E">
        <w:trPr>
          <w:jc w:val="center"/>
        </w:trPr>
        <w:tc>
          <w:tcPr>
            <w:tcW w:w="3729" w:type="pct"/>
            <w:tcBorders>
              <w:top w:val="single" w:sz="4" w:space="0" w:color="BFBFBF" w:themeColor="background1" w:themeShade="BF"/>
              <w:bottom w:val="single" w:sz="4" w:space="0" w:color="BFBFBF" w:themeColor="background1" w:themeShade="BF"/>
            </w:tcBorders>
          </w:tcPr>
          <w:p w14:paraId="465DCC09" w14:textId="77777777" w:rsidR="00AE74AB" w:rsidRPr="004F63E7" w:rsidRDefault="00AE74AB" w:rsidP="00CA2A66">
            <w:pPr>
              <w:spacing w:after="0"/>
              <w:ind w:left="195" w:right="100"/>
              <w:rPr>
                <w:rFonts w:eastAsia="Century Gothic" w:cs="Century Gothic"/>
                <w:color w:val="000000"/>
                <w:sz w:val="18"/>
                <w:szCs w:val="18"/>
              </w:rPr>
            </w:pPr>
            <w:r w:rsidRPr="004F63E7">
              <w:rPr>
                <w:rFonts w:eastAsia="Century Gothic" w:cs="Century Gothic"/>
                <w:color w:val="000000"/>
                <w:sz w:val="18"/>
                <w:szCs w:val="18"/>
              </w:rPr>
              <w:t>No appointment prescriptions</w:t>
            </w:r>
          </w:p>
        </w:tc>
        <w:tc>
          <w:tcPr>
            <w:tcW w:w="1271" w:type="pct"/>
            <w:tcBorders>
              <w:top w:val="single" w:sz="4" w:space="0" w:color="BFBFBF" w:themeColor="background1" w:themeShade="BF"/>
              <w:bottom w:val="single" w:sz="4" w:space="0" w:color="BFBFBF" w:themeColor="background1" w:themeShade="BF"/>
            </w:tcBorders>
          </w:tcPr>
          <w:p w14:paraId="176956D4" w14:textId="77777777" w:rsidR="00AE74AB" w:rsidRPr="004F63E7" w:rsidRDefault="00AE74AB" w:rsidP="00CA2A66">
            <w:pPr>
              <w:spacing w:after="0"/>
              <w:ind w:left="100" w:right="100"/>
              <w:jc w:val="right"/>
              <w:rPr>
                <w:rFonts w:eastAsia="Century Gothic" w:cs="Century Gothic"/>
                <w:color w:val="000000"/>
                <w:sz w:val="18"/>
                <w:szCs w:val="18"/>
              </w:rPr>
            </w:pPr>
            <w:r w:rsidRPr="004F63E7">
              <w:rPr>
                <w:rFonts w:eastAsia="Century Gothic" w:cs="Century Gothic"/>
                <w:color w:val="000000"/>
                <w:sz w:val="18"/>
                <w:szCs w:val="18"/>
              </w:rPr>
              <w:t>1 (1.4%)</w:t>
            </w:r>
          </w:p>
        </w:tc>
      </w:tr>
    </w:tbl>
    <w:p w14:paraId="6723F098" w14:textId="3353951E" w:rsidR="00AE74AB" w:rsidRPr="004F63E7" w:rsidRDefault="008716E0" w:rsidP="00AE74AB">
      <w:pPr>
        <w:contextualSpacing/>
        <w:jc w:val="center"/>
        <w:rPr>
          <w:rFonts w:eastAsia="Calibri" w:cs="Times New Roman"/>
          <w:i/>
          <w:sz w:val="16"/>
          <w:szCs w:val="18"/>
        </w:rPr>
      </w:pPr>
      <w:r>
        <w:rPr>
          <w:rFonts w:eastAsia="Calibri" w:cs="Times New Roman"/>
          <w:i/>
          <w:sz w:val="16"/>
          <w:szCs w:val="18"/>
        </w:rPr>
        <w:t xml:space="preserve">Notes: </w:t>
      </w:r>
      <w:r w:rsidR="00AE74AB" w:rsidRPr="004F63E7">
        <w:rPr>
          <w:rFonts w:eastAsia="Calibri" w:cs="Times New Roman"/>
          <w:i/>
          <w:sz w:val="16"/>
          <w:szCs w:val="18"/>
          <w:vertAlign w:val="superscript"/>
        </w:rPr>
        <w:t>1</w:t>
      </w:r>
      <w:r w:rsidR="00AE74AB" w:rsidRPr="004F63E7">
        <w:rPr>
          <w:rFonts w:eastAsia="Calibri" w:cs="Times New Roman"/>
          <w:i/>
          <w:sz w:val="16"/>
          <w:szCs w:val="18"/>
        </w:rPr>
        <w:t xml:space="preserve"> Practices could identify more than one element. Number of practices is 73. </w:t>
      </w:r>
    </w:p>
    <w:p w14:paraId="68D1EC08" w14:textId="00D564B1" w:rsidR="00AE74AB" w:rsidRPr="004F63E7" w:rsidRDefault="00AE74AB" w:rsidP="00AE74AB">
      <w:pPr>
        <w:ind w:left="1985" w:right="2081"/>
        <w:jc w:val="center"/>
        <w:rPr>
          <w:rFonts w:eastAsia="Calibri" w:cs="Times New Roman"/>
          <w:i/>
          <w:sz w:val="16"/>
          <w:szCs w:val="18"/>
        </w:rPr>
      </w:pPr>
      <w:r w:rsidRPr="004F63E7">
        <w:rPr>
          <w:rFonts w:eastAsia="Calibri" w:cs="Times New Roman"/>
          <w:i/>
          <w:sz w:val="16"/>
          <w:szCs w:val="18"/>
        </w:rPr>
        <w:t xml:space="preserve">Source: Practice survey R5, </w:t>
      </w:r>
      <w:r w:rsidR="00BC2D7A">
        <w:rPr>
          <w:rFonts w:eastAsia="Calibri" w:cs="Times New Roman"/>
          <w:i/>
          <w:sz w:val="16"/>
          <w:szCs w:val="18"/>
        </w:rPr>
        <w:t>Mar–May</w:t>
      </w:r>
      <w:r w:rsidRPr="004F63E7">
        <w:rPr>
          <w:rFonts w:eastAsia="Calibri" w:cs="Times New Roman"/>
          <w:i/>
          <w:sz w:val="16"/>
          <w:szCs w:val="18"/>
        </w:rPr>
        <w:t xml:space="preserve"> 2021, question 14</w:t>
      </w:r>
      <w:r w:rsidR="008716E0">
        <w:rPr>
          <w:rFonts w:eastAsia="Calibri" w:cs="Times New Roman"/>
          <w:i/>
          <w:sz w:val="16"/>
          <w:szCs w:val="18"/>
        </w:rPr>
        <w:t>.</w:t>
      </w:r>
    </w:p>
    <w:p w14:paraId="5858CF90" w14:textId="171CF961" w:rsidR="00AE74AB" w:rsidRPr="004F63E7" w:rsidRDefault="00AE74AB" w:rsidP="00AE74AB">
      <w:pPr>
        <w:rPr>
          <w:lang w:val="en-GB"/>
        </w:rPr>
      </w:pPr>
      <w:r w:rsidRPr="004F63E7">
        <w:rPr>
          <w:lang w:val="en-GB"/>
        </w:rPr>
        <w:lastRenderedPageBreak/>
        <w:t xml:space="preserve">Practices interviewed were also asked whether they would continue any elements of the HCH model beyond the trial. In addition to the elements identified in </w:t>
      </w:r>
      <w:r w:rsidRPr="00D978D7">
        <w:rPr>
          <w:rFonts w:eastAsiaTheme="minorEastAsia"/>
          <w:color w:val="1D2455"/>
          <w:szCs w:val="20"/>
          <w:lang w:val="en-US" w:eastAsia="en-AU"/>
        </w:rPr>
        <w:fldChar w:fldCharType="begin"/>
      </w:r>
      <w:r w:rsidRPr="00D978D7">
        <w:rPr>
          <w:rFonts w:eastAsiaTheme="minorEastAsia"/>
          <w:color w:val="1D2455"/>
          <w:szCs w:val="20"/>
          <w:lang w:val="en-US" w:eastAsia="en-AU"/>
        </w:rPr>
        <w:instrText xml:space="preserve"> REF _Ref89959520 \h  \* MERGEFORMAT </w:instrText>
      </w:r>
      <w:r w:rsidRPr="00D978D7">
        <w:rPr>
          <w:rFonts w:eastAsiaTheme="minorEastAsia"/>
          <w:color w:val="1D2455"/>
          <w:szCs w:val="20"/>
          <w:lang w:val="en-US" w:eastAsia="en-AU"/>
        </w:rPr>
      </w:r>
      <w:r w:rsidRPr="00D978D7">
        <w:rPr>
          <w:rFonts w:eastAsiaTheme="minorEastAsia"/>
          <w:color w:val="1D2455"/>
          <w:szCs w:val="20"/>
          <w:lang w:val="en-US" w:eastAsia="en-AU"/>
        </w:rPr>
        <w:fldChar w:fldCharType="separate"/>
      </w:r>
      <w:r w:rsidR="003C4BC2" w:rsidRPr="003C4BC2">
        <w:rPr>
          <w:rFonts w:eastAsiaTheme="minorEastAsia"/>
          <w:color w:val="1D2455"/>
          <w:szCs w:val="20"/>
          <w:lang w:val="en-US" w:eastAsia="en-AU"/>
        </w:rPr>
        <w:t>Table 30</w:t>
      </w:r>
      <w:r w:rsidRPr="00D978D7">
        <w:rPr>
          <w:rFonts w:eastAsiaTheme="minorEastAsia"/>
          <w:color w:val="1D2455"/>
          <w:szCs w:val="20"/>
          <w:lang w:val="en-US" w:eastAsia="en-AU"/>
        </w:rPr>
        <w:fldChar w:fldCharType="end"/>
      </w:r>
      <w:r w:rsidRPr="004F63E7">
        <w:rPr>
          <w:lang w:val="en-GB"/>
        </w:rPr>
        <w:t>, interviewed practices also mentioned measuring patient activation. A few practices also expanded on increased nurse involvement, which they were particularly interested in continu</w:t>
      </w:r>
      <w:r w:rsidR="00EA5E24">
        <w:rPr>
          <w:lang w:val="en-GB"/>
        </w:rPr>
        <w:t>ing</w:t>
      </w:r>
      <w:r w:rsidRPr="004F63E7">
        <w:rPr>
          <w:lang w:val="en-GB"/>
        </w:rPr>
        <w:t>, as it had upskilled their nursing staff:</w:t>
      </w:r>
    </w:p>
    <w:p w14:paraId="621FAD4A" w14:textId="77777777" w:rsidR="00AE74AB" w:rsidRPr="004F63E7" w:rsidRDefault="00AE74AB" w:rsidP="00AE74AB">
      <w:pPr>
        <w:ind w:left="567" w:right="521"/>
        <w:rPr>
          <w:lang w:val="en-GB"/>
        </w:rPr>
      </w:pPr>
      <w:r w:rsidRPr="004F63E7">
        <w:rPr>
          <w:i/>
          <w:iCs/>
          <w:lang w:val="en-GB"/>
        </w:rPr>
        <w:t>“It’s subtle. I think one of the virtues of the Health Care Home model is that it indirectly empowers our nurses more regarding assessment, advice and arranging. I think that that’s a skill that they can continue whether or not it’s a Health Care Homes patient.”</w:t>
      </w:r>
      <w:r w:rsidRPr="004F63E7">
        <w:rPr>
          <w:lang w:val="en-GB"/>
        </w:rPr>
        <w:t xml:space="preserve"> [GP, Practice 22, R5]</w:t>
      </w:r>
    </w:p>
    <w:p w14:paraId="7447D1E3" w14:textId="77777777" w:rsidR="00AE74AB" w:rsidRPr="004F63E7" w:rsidRDefault="00AE74AB" w:rsidP="00AE74AB">
      <w:pPr>
        <w:ind w:left="567" w:right="521"/>
        <w:rPr>
          <w:lang w:val="en-GB"/>
        </w:rPr>
      </w:pPr>
      <w:r w:rsidRPr="004F63E7">
        <w:rPr>
          <w:i/>
          <w:iCs/>
          <w:lang w:val="en-GB"/>
        </w:rPr>
        <w:t>“One of the things I think has been really helpful for us is the multi-skilling that our nursing staff have managed to get…with Health Care Homes it’s almost like you’re upskilling them and you’re giving them back that autonomy that they’re really trained for in terms of managing, helping patients to manage clinic problems on a day to day basis, and they’re looking for extra input from the doctors if they need to. But that brings with it a sense of satisfaction with their job, and I think I’ve certainly noticed that with our staff. I think that’s been a big additional benefit.”</w:t>
      </w:r>
      <w:r w:rsidRPr="004F63E7">
        <w:rPr>
          <w:lang w:val="en-GB"/>
        </w:rPr>
        <w:t xml:space="preserve"> [GP, Practice 4, R5]</w:t>
      </w:r>
    </w:p>
    <w:p w14:paraId="024BE1C9" w14:textId="77777777" w:rsidR="00AE74AB" w:rsidRPr="004F63E7" w:rsidRDefault="00AE74AB" w:rsidP="00AE74AB">
      <w:pPr>
        <w:outlineLvl w:val="1"/>
        <w:rPr>
          <w:rFonts w:ascii="Roboto Slab" w:eastAsia="Times New Roman" w:hAnsi="Roboto Slab" w:cs="Times New Roman"/>
          <w:bCs/>
          <w:color w:val="408BCA"/>
          <w:sz w:val="32"/>
          <w:szCs w:val="36"/>
          <w:lang w:eastAsia="en-AU"/>
        </w:rPr>
      </w:pPr>
      <w:r w:rsidRPr="004F63E7">
        <w:rPr>
          <w:rFonts w:ascii="Roboto Slab" w:eastAsia="Times New Roman" w:hAnsi="Roboto Slab" w:cs="Times New Roman"/>
          <w:bCs/>
          <w:color w:val="408BCA"/>
          <w:sz w:val="32"/>
          <w:szCs w:val="36"/>
          <w:lang w:eastAsia="en-AU"/>
        </w:rPr>
        <w:t xml:space="preserve">Practice suggestions for HCH </w:t>
      </w:r>
    </w:p>
    <w:p w14:paraId="34219A49" w14:textId="77777777" w:rsidR="00AE74AB" w:rsidRPr="004F63E7" w:rsidRDefault="00AE74AB" w:rsidP="00AE74AB">
      <w:r w:rsidRPr="004F63E7">
        <w:t xml:space="preserve">When asked whether HCH should continue, practices’ responses ranged from discontinuing the program </w:t>
      </w:r>
      <w:r w:rsidRPr="004F63E7">
        <w:rPr>
          <w:i/>
          <w:iCs/>
        </w:rPr>
        <w:t>(“I’d scrap it.”</w:t>
      </w:r>
      <w:r w:rsidRPr="004F63E7">
        <w:t xml:space="preserve"> [GP, Practice 15, R5]) to advocating for an extension or wider rollout (</w:t>
      </w:r>
      <w:r w:rsidRPr="004F63E7">
        <w:rPr>
          <w:i/>
          <w:iCs/>
        </w:rPr>
        <w:t xml:space="preserve">“I’d make it broader, so there [are] more practices.” </w:t>
      </w:r>
      <w:r w:rsidRPr="004F63E7">
        <w:t>[GP, Practice 10, R5]). While practices believed in the philosophy of HCH, many recommended further enhancements they thought would make it easier to operate the model within their practices or features they felt were necessary for successful implementation of the program:</w:t>
      </w:r>
    </w:p>
    <w:p w14:paraId="0828BA31" w14:textId="77777777" w:rsidR="00AE74AB" w:rsidRPr="004F63E7" w:rsidRDefault="00AE74AB" w:rsidP="00BB7C8D">
      <w:pPr>
        <w:numPr>
          <w:ilvl w:val="0"/>
          <w:numId w:val="40"/>
        </w:numPr>
        <w:ind w:left="714" w:hanging="357"/>
        <w:contextualSpacing/>
      </w:pPr>
      <w:r w:rsidRPr="004F63E7">
        <w:t>engagement of most or all GPs</w:t>
      </w:r>
    </w:p>
    <w:p w14:paraId="1D7BA1D9" w14:textId="77777777" w:rsidR="00AE74AB" w:rsidRPr="004F63E7" w:rsidRDefault="00AE74AB" w:rsidP="00BB7C8D">
      <w:pPr>
        <w:numPr>
          <w:ilvl w:val="0"/>
          <w:numId w:val="40"/>
        </w:numPr>
        <w:ind w:left="714" w:hanging="357"/>
        <w:contextualSpacing/>
      </w:pPr>
      <w:r w:rsidRPr="004F63E7">
        <w:t>a high level of staff buy-in and nurse involvement</w:t>
      </w:r>
    </w:p>
    <w:p w14:paraId="2AFCD694" w14:textId="77777777" w:rsidR="00AE74AB" w:rsidRPr="004F63E7" w:rsidRDefault="00AE74AB" w:rsidP="00BB7C8D">
      <w:pPr>
        <w:numPr>
          <w:ilvl w:val="0"/>
          <w:numId w:val="40"/>
        </w:numPr>
        <w:ind w:left="714" w:hanging="357"/>
        <w:contextualSpacing/>
      </w:pPr>
      <w:r w:rsidRPr="004F63E7">
        <w:t>higher number of enrolments</w:t>
      </w:r>
    </w:p>
    <w:p w14:paraId="40C0AFF3" w14:textId="77777777" w:rsidR="00AE74AB" w:rsidRPr="004F63E7" w:rsidRDefault="00AE74AB" w:rsidP="00BB7C8D">
      <w:pPr>
        <w:numPr>
          <w:ilvl w:val="0"/>
          <w:numId w:val="40"/>
        </w:numPr>
        <w:ind w:left="714" w:hanging="357"/>
        <w:contextualSpacing/>
      </w:pPr>
      <w:r w:rsidRPr="004F63E7">
        <w:t>strong leadership</w:t>
      </w:r>
    </w:p>
    <w:p w14:paraId="3B2AE25B" w14:textId="06824DBA" w:rsidR="00AE74AB" w:rsidRPr="004F63E7" w:rsidRDefault="00AE74AB" w:rsidP="00BB7C8D">
      <w:pPr>
        <w:numPr>
          <w:ilvl w:val="0"/>
          <w:numId w:val="40"/>
        </w:numPr>
        <w:ind w:left="714" w:hanging="357"/>
        <w:contextualSpacing/>
      </w:pPr>
      <w:r w:rsidRPr="004F63E7">
        <w:t>additional program guidance around integral features of the program (</w:t>
      </w:r>
      <w:r w:rsidR="0010747B">
        <w:t>that is,</w:t>
      </w:r>
      <w:r w:rsidRPr="004F63E7">
        <w:t xml:space="preserve"> bundled payment)</w:t>
      </w:r>
    </w:p>
    <w:p w14:paraId="773A982B" w14:textId="77777777" w:rsidR="00AE74AB" w:rsidRPr="004F63E7" w:rsidRDefault="00AE74AB" w:rsidP="00BB7C8D">
      <w:pPr>
        <w:numPr>
          <w:ilvl w:val="0"/>
          <w:numId w:val="40"/>
        </w:numPr>
        <w:ind w:left="714" w:hanging="357"/>
        <w:contextualSpacing/>
      </w:pPr>
      <w:r w:rsidRPr="004F63E7">
        <w:t>reduction of the administrative burden</w:t>
      </w:r>
    </w:p>
    <w:p w14:paraId="1DECA508" w14:textId="77777777" w:rsidR="00AE74AB" w:rsidRPr="004F63E7" w:rsidRDefault="00AE74AB" w:rsidP="00BB7C8D">
      <w:pPr>
        <w:numPr>
          <w:ilvl w:val="0"/>
          <w:numId w:val="40"/>
        </w:numPr>
        <w:ind w:left="714" w:hanging="357"/>
        <w:contextualSpacing/>
      </w:pPr>
      <w:r w:rsidRPr="004F63E7">
        <w:t>more education for external health providers, patients and the wider community.</w:t>
      </w:r>
    </w:p>
    <w:p w14:paraId="1A83DDAE" w14:textId="77777777" w:rsidR="00AE74AB" w:rsidRPr="004F63E7" w:rsidRDefault="00AE74AB" w:rsidP="00AE74AB"/>
    <w:p w14:paraId="6C904E75" w14:textId="77777777" w:rsidR="001B7F69" w:rsidRDefault="001B7F69" w:rsidP="001B7F69"/>
    <w:p w14:paraId="203BBDA1" w14:textId="771ECE12" w:rsidR="001B7F69" w:rsidRDefault="001B7F69" w:rsidP="001B7F69">
      <w:pPr>
        <w:sectPr w:rsidR="001B7F69">
          <w:footerReference w:type="default" r:id="rId47"/>
          <w:pgSz w:w="11906" w:h="16838"/>
          <w:pgMar w:top="1440" w:right="1440" w:bottom="1440" w:left="1440" w:header="708" w:footer="708" w:gutter="0"/>
          <w:cols w:space="708"/>
          <w:docGrid w:linePitch="360"/>
        </w:sectPr>
      </w:pPr>
    </w:p>
    <w:p w14:paraId="2D471790" w14:textId="7348F44D" w:rsidR="00086D06" w:rsidRPr="0094369A" w:rsidRDefault="00086D06" w:rsidP="00086D06">
      <w:pPr>
        <w:pStyle w:val="ChapterNumber"/>
      </w:pPr>
      <w:r>
        <w:lastRenderedPageBreak/>
        <w:fldChar w:fldCharType="begin"/>
      </w:r>
      <w:r>
        <w:instrText xml:space="preserve"> REF _Ref82597673 \r \h </w:instrText>
      </w:r>
      <w:r>
        <w:fldChar w:fldCharType="separate"/>
      </w:r>
      <w:r w:rsidR="003C4BC2">
        <w:t>11</w:t>
      </w:r>
      <w:r>
        <w:fldChar w:fldCharType="end"/>
      </w:r>
    </w:p>
    <w:p w14:paraId="1B5FAB68" w14:textId="77777777" w:rsidR="00086D06" w:rsidRDefault="00086D06" w:rsidP="00086D06">
      <w:pPr>
        <w:pStyle w:val="Heading1withnumber"/>
        <w:ind w:left="0" w:hanging="993"/>
      </w:pPr>
      <w:bookmarkStart w:id="212" w:name="_Ref82597673"/>
      <w:bookmarkStart w:id="213" w:name="_Ref103762868"/>
      <w:bookmarkStart w:id="214" w:name="_Toc109996684"/>
      <w:r>
        <w:t>Shared care planning</w:t>
      </w:r>
      <w:bookmarkEnd w:id="212"/>
      <w:r>
        <w:t xml:space="preserve"> tools</w:t>
      </w:r>
      <w:bookmarkEnd w:id="213"/>
      <w:bookmarkEnd w:id="214"/>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086D06" w:rsidRPr="0048466A" w14:paraId="567FD036" w14:textId="77777777" w:rsidTr="00EA37B5">
        <w:tc>
          <w:tcPr>
            <w:tcW w:w="8996" w:type="dxa"/>
            <w:shd w:val="clear" w:color="auto" w:fill="auto"/>
          </w:tcPr>
          <w:p w14:paraId="403F822F" w14:textId="728F700C" w:rsidR="00086D06" w:rsidRPr="006201AB" w:rsidRDefault="00086D06" w:rsidP="00EA37B5">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18</w:t>
            </w:r>
            <w:r w:rsidRPr="006201AB">
              <w:rPr>
                <w:bCs/>
                <w:noProof/>
              </w:rPr>
              <w:fldChar w:fldCharType="end"/>
            </w:r>
            <w:r w:rsidRPr="006201AB">
              <w:rPr>
                <w:bCs/>
                <w:szCs w:val="20"/>
              </w:rPr>
              <w:t>: Chapter summary</w:t>
            </w:r>
          </w:p>
          <w:p w14:paraId="5F7210E6" w14:textId="4F625E05" w:rsidR="00086D06" w:rsidRPr="007C14E5" w:rsidRDefault="00086D06" w:rsidP="00EA37B5">
            <w:pPr>
              <w:spacing w:after="120"/>
              <w:rPr>
                <w:rFonts w:eastAsia="Muli" w:cs="Muli"/>
                <w:color w:val="000000" w:themeColor="text1"/>
                <w:sz w:val="18"/>
                <w:szCs w:val="18"/>
              </w:rPr>
            </w:pPr>
            <w:r w:rsidRPr="007C14E5">
              <w:rPr>
                <w:rFonts w:eastAsia="Muli" w:cs="Muli"/>
                <w:color w:val="000000" w:themeColor="text1"/>
                <w:sz w:val="18"/>
                <w:szCs w:val="18"/>
              </w:rPr>
              <w:t>Using shared care planning software was a requirement for practices to participate in the HCH trial. More practices had negative than positive reflections o</w:t>
            </w:r>
            <w:r>
              <w:rPr>
                <w:rFonts w:eastAsia="Muli" w:cs="Muli"/>
                <w:color w:val="000000" w:themeColor="text1"/>
                <w:sz w:val="18"/>
                <w:szCs w:val="18"/>
              </w:rPr>
              <w:t>f their experiences with the</w:t>
            </w:r>
            <w:r w:rsidRPr="007C14E5">
              <w:rPr>
                <w:rFonts w:eastAsia="Muli" w:cs="Muli"/>
                <w:color w:val="000000" w:themeColor="text1"/>
                <w:sz w:val="18"/>
                <w:szCs w:val="18"/>
              </w:rPr>
              <w:t xml:space="preserve"> shared care planning software. </w:t>
            </w:r>
            <w:r>
              <w:rPr>
                <w:rFonts w:eastAsia="Muli" w:cs="Muli"/>
                <w:color w:val="000000" w:themeColor="text1"/>
                <w:sz w:val="18"/>
                <w:szCs w:val="18"/>
              </w:rPr>
              <w:t>Implementation</w:t>
            </w:r>
            <w:r w:rsidRPr="007C14E5">
              <w:rPr>
                <w:rFonts w:eastAsia="Muli" w:cs="Muli"/>
                <w:color w:val="000000" w:themeColor="text1"/>
                <w:sz w:val="18"/>
                <w:szCs w:val="18"/>
              </w:rPr>
              <w:t xml:space="preserve"> issues, </w:t>
            </w:r>
            <w:r>
              <w:rPr>
                <w:rFonts w:eastAsia="Muli" w:cs="Muli"/>
                <w:color w:val="000000" w:themeColor="text1"/>
                <w:sz w:val="18"/>
                <w:szCs w:val="18"/>
              </w:rPr>
              <w:t>poor fitness-for-purpose</w:t>
            </w:r>
            <w:r w:rsidRPr="007C14E5">
              <w:rPr>
                <w:rFonts w:eastAsia="Muli" w:cs="Muli"/>
                <w:color w:val="000000" w:themeColor="text1"/>
                <w:sz w:val="18"/>
                <w:szCs w:val="18"/>
              </w:rPr>
              <w:t xml:space="preserve"> and </w:t>
            </w:r>
            <w:r w:rsidR="00185423">
              <w:rPr>
                <w:rFonts w:eastAsia="Muli" w:cs="Muli"/>
                <w:color w:val="000000" w:themeColor="text1"/>
                <w:sz w:val="18"/>
                <w:szCs w:val="18"/>
              </w:rPr>
              <w:t>the</w:t>
            </w:r>
            <w:r w:rsidRPr="007C14E5">
              <w:rPr>
                <w:rFonts w:eastAsia="Muli" w:cs="Muli"/>
                <w:color w:val="000000" w:themeColor="text1"/>
                <w:sz w:val="18"/>
                <w:szCs w:val="18"/>
              </w:rPr>
              <w:t xml:space="preserve"> complicated nature of the tools accounted for most of the negative </w:t>
            </w:r>
            <w:r>
              <w:rPr>
                <w:rFonts w:eastAsia="Muli" w:cs="Muli"/>
                <w:color w:val="000000" w:themeColor="text1"/>
                <w:sz w:val="18"/>
                <w:szCs w:val="18"/>
              </w:rPr>
              <w:t>experiences</w:t>
            </w:r>
            <w:r w:rsidRPr="007C14E5">
              <w:rPr>
                <w:rFonts w:eastAsia="Muli" w:cs="Muli"/>
                <w:color w:val="000000" w:themeColor="text1"/>
                <w:sz w:val="18"/>
                <w:szCs w:val="18"/>
              </w:rPr>
              <w:t xml:space="preserve">. Improved team </w:t>
            </w:r>
            <w:r w:rsidR="00185423" w:rsidRPr="007C14E5">
              <w:rPr>
                <w:rFonts w:eastAsia="Muli" w:cs="Muli"/>
                <w:color w:val="000000" w:themeColor="text1"/>
                <w:sz w:val="18"/>
                <w:szCs w:val="18"/>
              </w:rPr>
              <w:t>communication</w:t>
            </w:r>
            <w:r w:rsidR="00185423">
              <w:rPr>
                <w:rFonts w:eastAsia="Muli" w:cs="Muli"/>
                <w:color w:val="000000" w:themeColor="text1"/>
                <w:sz w:val="18"/>
                <w:szCs w:val="18"/>
              </w:rPr>
              <w:t xml:space="preserve"> </w:t>
            </w:r>
            <w:r>
              <w:rPr>
                <w:rFonts w:eastAsia="Muli" w:cs="Muli"/>
                <w:color w:val="000000" w:themeColor="text1"/>
                <w:sz w:val="18"/>
                <w:szCs w:val="18"/>
              </w:rPr>
              <w:t>(</w:t>
            </w:r>
            <w:r w:rsidRPr="007C14E5">
              <w:rPr>
                <w:rFonts w:eastAsia="Muli" w:cs="Muli"/>
                <w:color w:val="000000" w:themeColor="text1"/>
                <w:sz w:val="18"/>
                <w:szCs w:val="18"/>
              </w:rPr>
              <w:t>internal and external</w:t>
            </w:r>
            <w:r>
              <w:rPr>
                <w:rFonts w:eastAsia="Muli" w:cs="Muli"/>
                <w:color w:val="000000" w:themeColor="text1"/>
                <w:sz w:val="18"/>
                <w:szCs w:val="18"/>
              </w:rPr>
              <w:t xml:space="preserve">) </w:t>
            </w:r>
            <w:r w:rsidRPr="007C14E5">
              <w:rPr>
                <w:rFonts w:eastAsia="Muli" w:cs="Muli"/>
                <w:color w:val="000000" w:themeColor="text1"/>
                <w:sz w:val="18"/>
                <w:szCs w:val="18"/>
              </w:rPr>
              <w:t xml:space="preserve">was the most commonly reported positive </w:t>
            </w:r>
            <w:r>
              <w:rPr>
                <w:rFonts w:eastAsia="Muli" w:cs="Muli"/>
                <w:color w:val="000000" w:themeColor="text1"/>
                <w:sz w:val="18"/>
                <w:szCs w:val="18"/>
              </w:rPr>
              <w:t>experience</w:t>
            </w:r>
            <w:r w:rsidRPr="007C14E5">
              <w:rPr>
                <w:rFonts w:eastAsia="Muli" w:cs="Muli"/>
                <w:color w:val="000000" w:themeColor="text1"/>
                <w:sz w:val="18"/>
                <w:szCs w:val="18"/>
              </w:rPr>
              <w:t>.</w:t>
            </w:r>
          </w:p>
          <w:p w14:paraId="35FF40DD" w14:textId="74C769B2" w:rsidR="00086D06" w:rsidRPr="007C14E5" w:rsidRDefault="00086D06" w:rsidP="00EA37B5">
            <w:pPr>
              <w:spacing w:after="120"/>
              <w:rPr>
                <w:rFonts w:eastAsia="Muli" w:cs="Muli"/>
                <w:color w:val="000000" w:themeColor="text1"/>
                <w:sz w:val="18"/>
                <w:szCs w:val="18"/>
              </w:rPr>
            </w:pPr>
            <w:r w:rsidRPr="007C14E5">
              <w:rPr>
                <w:rFonts w:eastAsia="Muli" w:cs="Muli"/>
                <w:color w:val="000000" w:themeColor="text1"/>
                <w:sz w:val="18"/>
                <w:szCs w:val="18"/>
              </w:rPr>
              <w:t xml:space="preserve">Many practices experienced problems with installing </w:t>
            </w:r>
            <w:r>
              <w:rPr>
                <w:rFonts w:eastAsia="Muli" w:cs="Muli"/>
                <w:color w:val="000000" w:themeColor="text1"/>
                <w:sz w:val="18"/>
                <w:szCs w:val="18"/>
              </w:rPr>
              <w:t>shared care</w:t>
            </w:r>
            <w:r w:rsidRPr="007C14E5">
              <w:rPr>
                <w:rFonts w:eastAsia="Muli" w:cs="Muli"/>
                <w:color w:val="000000" w:themeColor="text1"/>
                <w:sz w:val="18"/>
                <w:szCs w:val="18"/>
              </w:rPr>
              <w:t xml:space="preserve"> software. Beyond installation they described ongoing challenges with usability that persisted throughout the trial. They described the tools as “clunky” and “cumbersome” and </w:t>
            </w:r>
            <w:r>
              <w:rPr>
                <w:rFonts w:eastAsia="Muli" w:cs="Muli"/>
                <w:color w:val="000000" w:themeColor="text1"/>
                <w:sz w:val="18"/>
                <w:szCs w:val="18"/>
              </w:rPr>
              <w:t>often commented</w:t>
            </w:r>
            <w:r w:rsidRPr="007C14E5">
              <w:rPr>
                <w:rFonts w:eastAsia="Muli" w:cs="Muli"/>
                <w:color w:val="000000" w:themeColor="text1"/>
                <w:sz w:val="18"/>
                <w:szCs w:val="18"/>
              </w:rPr>
              <w:t xml:space="preserve"> that the functionality was far below </w:t>
            </w:r>
            <w:r w:rsidR="00DE7584">
              <w:rPr>
                <w:rFonts w:eastAsia="Muli" w:cs="Muli"/>
                <w:color w:val="000000" w:themeColor="text1"/>
                <w:sz w:val="18"/>
                <w:szCs w:val="18"/>
              </w:rPr>
              <w:t xml:space="preserve">that of </w:t>
            </w:r>
            <w:r w:rsidRPr="007C14E5">
              <w:rPr>
                <w:rFonts w:eastAsia="Muli" w:cs="Muli"/>
                <w:color w:val="000000" w:themeColor="text1"/>
                <w:sz w:val="18"/>
                <w:szCs w:val="18"/>
              </w:rPr>
              <w:t xml:space="preserve">their existing clinical management systems. Problems reported were: lack of integration with their clinical management systems and therefore manual re-entry of </w:t>
            </w:r>
            <w:r>
              <w:rPr>
                <w:rFonts w:eastAsia="Muli" w:cs="Muli"/>
                <w:color w:val="000000" w:themeColor="text1"/>
                <w:sz w:val="18"/>
                <w:szCs w:val="18"/>
              </w:rPr>
              <w:t xml:space="preserve">patient </w:t>
            </w:r>
            <w:r w:rsidRPr="007C14E5">
              <w:rPr>
                <w:rFonts w:eastAsia="Muli" w:cs="Muli"/>
                <w:color w:val="000000" w:themeColor="text1"/>
                <w:sz w:val="18"/>
                <w:szCs w:val="18"/>
              </w:rPr>
              <w:t>information; hard to navigate templates for less common chronic conditions; inability to customise; and inability to support key patient activities, such as monitoring physiological measures or track</w:t>
            </w:r>
            <w:r>
              <w:rPr>
                <w:rFonts w:eastAsia="Muli" w:cs="Muli"/>
                <w:color w:val="000000" w:themeColor="text1"/>
                <w:sz w:val="18"/>
                <w:szCs w:val="18"/>
              </w:rPr>
              <w:t>ing</w:t>
            </w:r>
            <w:r w:rsidRPr="007C14E5">
              <w:rPr>
                <w:rFonts w:eastAsia="Muli" w:cs="Muli"/>
                <w:color w:val="000000" w:themeColor="text1"/>
                <w:sz w:val="18"/>
                <w:szCs w:val="18"/>
              </w:rPr>
              <w:t xml:space="preserve"> patient goals. Overall, </w:t>
            </w:r>
            <w:r>
              <w:rPr>
                <w:rFonts w:eastAsia="Muli" w:cs="Muli"/>
                <w:color w:val="000000" w:themeColor="text1"/>
                <w:sz w:val="18"/>
                <w:szCs w:val="18"/>
              </w:rPr>
              <w:t xml:space="preserve">stakeholders felt that </w:t>
            </w:r>
            <w:r w:rsidRPr="007C14E5">
              <w:rPr>
                <w:rFonts w:eastAsia="Muli" w:cs="Muli"/>
                <w:color w:val="000000" w:themeColor="text1"/>
                <w:sz w:val="18"/>
                <w:szCs w:val="18"/>
              </w:rPr>
              <w:t xml:space="preserve">the software available on the market was not mature enough for implementation. </w:t>
            </w:r>
          </w:p>
          <w:p w14:paraId="1C683B0D" w14:textId="77777777" w:rsidR="00086D06" w:rsidRPr="007C14E5" w:rsidRDefault="00086D06" w:rsidP="00EA37B5">
            <w:pPr>
              <w:spacing w:after="120"/>
              <w:rPr>
                <w:rFonts w:eastAsia="Muli" w:cs="Muli"/>
                <w:color w:val="000000" w:themeColor="text1"/>
                <w:sz w:val="18"/>
                <w:szCs w:val="18"/>
              </w:rPr>
            </w:pPr>
            <w:r w:rsidRPr="007C14E5">
              <w:rPr>
                <w:rFonts w:eastAsia="Muli" w:cs="Muli"/>
                <w:color w:val="000000" w:themeColor="text1"/>
                <w:sz w:val="18"/>
                <w:szCs w:val="18"/>
              </w:rPr>
              <w:t xml:space="preserve">While practices supported the idea of tools for communicating patient information between providers, a barrier to achieving this included the wide range of software tools used within a region and therefore lack of familiarity </w:t>
            </w:r>
            <w:r>
              <w:rPr>
                <w:rFonts w:eastAsia="Muli" w:cs="Muli"/>
                <w:color w:val="000000" w:themeColor="text1"/>
                <w:sz w:val="18"/>
                <w:szCs w:val="18"/>
              </w:rPr>
              <w:t>amongst</w:t>
            </w:r>
            <w:r w:rsidRPr="007C14E5">
              <w:rPr>
                <w:rFonts w:eastAsia="Muli" w:cs="Muli"/>
                <w:color w:val="000000" w:themeColor="text1"/>
                <w:sz w:val="18"/>
                <w:szCs w:val="18"/>
              </w:rPr>
              <w:t xml:space="preserve"> providers of the various systems used. Lack of awareness of HCH and the small scale of patients and GPs participating </w:t>
            </w:r>
            <w:r>
              <w:rPr>
                <w:rFonts w:eastAsia="Muli" w:cs="Muli"/>
                <w:color w:val="000000" w:themeColor="text1"/>
                <w:sz w:val="18"/>
                <w:szCs w:val="18"/>
              </w:rPr>
              <w:t>were also identified as barriers to using shared care software by external providers</w:t>
            </w:r>
            <w:r w:rsidRPr="007C14E5">
              <w:rPr>
                <w:rFonts w:eastAsia="Muli" w:cs="Muli"/>
                <w:color w:val="000000" w:themeColor="text1"/>
                <w:sz w:val="18"/>
                <w:szCs w:val="18"/>
              </w:rPr>
              <w:t>.</w:t>
            </w:r>
          </w:p>
          <w:p w14:paraId="65AE1040" w14:textId="0CD9A7D8" w:rsidR="00086D06" w:rsidRPr="007C14E5" w:rsidRDefault="00086D06" w:rsidP="00EA37B5">
            <w:pPr>
              <w:spacing w:after="120"/>
              <w:rPr>
                <w:rFonts w:eastAsia="Muli" w:cs="Muli"/>
                <w:color w:val="000000" w:themeColor="text1"/>
                <w:sz w:val="18"/>
                <w:szCs w:val="18"/>
              </w:rPr>
            </w:pPr>
            <w:r w:rsidRPr="007C14E5">
              <w:rPr>
                <w:rFonts w:eastAsia="Muli" w:cs="Muli"/>
                <w:color w:val="000000" w:themeColor="text1"/>
                <w:sz w:val="18"/>
                <w:szCs w:val="18"/>
              </w:rPr>
              <w:t xml:space="preserve">Practices reported that their processes for creating care plans were largely the same as before they implemented shared care planning software. They also reported still supplying patients with a paper-based copy of their care plan </w:t>
            </w:r>
            <w:r w:rsidR="00DE7584">
              <w:rPr>
                <w:rFonts w:eastAsia="Muli" w:cs="Muli"/>
                <w:color w:val="000000" w:themeColor="text1"/>
                <w:sz w:val="18"/>
                <w:szCs w:val="18"/>
              </w:rPr>
              <w:t>even whe</w:t>
            </w:r>
            <w:r w:rsidR="00FD37E9">
              <w:rPr>
                <w:rFonts w:eastAsia="Muli" w:cs="Muli"/>
                <w:color w:val="000000" w:themeColor="text1"/>
                <w:sz w:val="18"/>
                <w:szCs w:val="18"/>
              </w:rPr>
              <w:t>n</w:t>
            </w:r>
            <w:r w:rsidRPr="007C14E5">
              <w:rPr>
                <w:rFonts w:eastAsia="Muli" w:cs="Muli"/>
                <w:color w:val="000000" w:themeColor="text1"/>
                <w:sz w:val="18"/>
                <w:szCs w:val="18"/>
              </w:rPr>
              <w:t xml:space="preserve"> a patient portal </w:t>
            </w:r>
            <w:r w:rsidR="00FD37E9">
              <w:rPr>
                <w:rFonts w:eastAsia="Muli" w:cs="Muli"/>
                <w:color w:val="000000" w:themeColor="text1"/>
                <w:sz w:val="18"/>
                <w:szCs w:val="18"/>
              </w:rPr>
              <w:t xml:space="preserve">was available </w:t>
            </w:r>
            <w:r w:rsidRPr="007C14E5">
              <w:rPr>
                <w:rFonts w:eastAsia="Muli" w:cs="Muli"/>
                <w:color w:val="000000" w:themeColor="text1"/>
                <w:sz w:val="18"/>
                <w:szCs w:val="18"/>
              </w:rPr>
              <w:t>to access the plan. The</w:t>
            </w:r>
            <w:r>
              <w:rPr>
                <w:rFonts w:eastAsia="Muli" w:cs="Muli"/>
                <w:color w:val="000000" w:themeColor="text1"/>
                <w:sz w:val="18"/>
                <w:szCs w:val="18"/>
              </w:rPr>
              <w:t>y reported that the</w:t>
            </w:r>
            <w:r w:rsidRPr="007C14E5">
              <w:rPr>
                <w:rFonts w:eastAsia="Muli" w:cs="Muli"/>
                <w:color w:val="000000" w:themeColor="text1"/>
                <w:sz w:val="18"/>
                <w:szCs w:val="18"/>
              </w:rPr>
              <w:t>re were very few patients who were keen on accessing their care plan through a portal or otherwise.</w:t>
            </w:r>
          </w:p>
          <w:p w14:paraId="61B25FBC" w14:textId="77777777" w:rsidR="00086D06" w:rsidRPr="007C14E5" w:rsidRDefault="00086D06" w:rsidP="00EA37B5">
            <w:pPr>
              <w:spacing w:after="120"/>
              <w:rPr>
                <w:rFonts w:eastAsia="Muli" w:cs="Muli"/>
                <w:color w:val="000000" w:themeColor="text1"/>
                <w:sz w:val="18"/>
                <w:szCs w:val="18"/>
              </w:rPr>
            </w:pPr>
            <w:r w:rsidRPr="007C14E5">
              <w:rPr>
                <w:rFonts w:eastAsia="Muli" w:cs="Muli"/>
                <w:color w:val="000000" w:themeColor="text1"/>
                <w:sz w:val="18"/>
                <w:szCs w:val="18"/>
              </w:rPr>
              <w:t xml:space="preserve">Suggestions for improving shared care planning tools included training </w:t>
            </w:r>
            <w:r>
              <w:rPr>
                <w:rFonts w:eastAsia="Muli" w:cs="Muli"/>
                <w:color w:val="000000" w:themeColor="text1"/>
                <w:sz w:val="18"/>
                <w:szCs w:val="18"/>
              </w:rPr>
              <w:t xml:space="preserve">external </w:t>
            </w:r>
            <w:r w:rsidRPr="007C14E5">
              <w:rPr>
                <w:rFonts w:eastAsia="Muli" w:cs="Muli"/>
                <w:color w:val="000000" w:themeColor="text1"/>
                <w:sz w:val="18"/>
                <w:szCs w:val="18"/>
              </w:rPr>
              <w:t xml:space="preserve">health care providers </w:t>
            </w:r>
            <w:r>
              <w:rPr>
                <w:rFonts w:eastAsia="Muli" w:cs="Muli"/>
                <w:color w:val="000000" w:themeColor="text1"/>
                <w:sz w:val="18"/>
                <w:szCs w:val="18"/>
              </w:rPr>
              <w:t xml:space="preserve">on how </w:t>
            </w:r>
            <w:r w:rsidRPr="007C14E5">
              <w:rPr>
                <w:rFonts w:eastAsia="Muli" w:cs="Muli"/>
                <w:color w:val="000000" w:themeColor="text1"/>
                <w:sz w:val="18"/>
                <w:szCs w:val="18"/>
              </w:rPr>
              <w:t>to access the plans and better integrating the software with practice clinical management systems.</w:t>
            </w:r>
          </w:p>
          <w:p w14:paraId="4787D8D4" w14:textId="609D511F" w:rsidR="00086D06" w:rsidRDefault="00086D06" w:rsidP="00EA37B5">
            <w:pPr>
              <w:spacing w:after="120"/>
              <w:rPr>
                <w:rFonts w:eastAsia="Muli" w:cs="Muli"/>
                <w:color w:val="000000" w:themeColor="text1"/>
                <w:sz w:val="18"/>
                <w:szCs w:val="18"/>
              </w:rPr>
            </w:pPr>
            <w:r w:rsidRPr="007C14E5">
              <w:rPr>
                <w:rFonts w:eastAsia="Muli" w:cs="Muli"/>
                <w:color w:val="000000" w:themeColor="text1"/>
                <w:sz w:val="18"/>
                <w:szCs w:val="18"/>
              </w:rPr>
              <w:t xml:space="preserve">Over the course of the trial, practices increasingly rated My Health Record as useful for sharing information about HCH patients with </w:t>
            </w:r>
            <w:r>
              <w:rPr>
                <w:rFonts w:eastAsia="Muli" w:cs="Muli"/>
                <w:color w:val="000000" w:themeColor="text1"/>
                <w:sz w:val="18"/>
                <w:szCs w:val="18"/>
              </w:rPr>
              <w:t>external</w:t>
            </w:r>
            <w:r w:rsidRPr="007C14E5">
              <w:rPr>
                <w:rFonts w:eastAsia="Muli" w:cs="Muli"/>
                <w:color w:val="000000" w:themeColor="text1"/>
                <w:sz w:val="18"/>
                <w:szCs w:val="18"/>
              </w:rPr>
              <w:t xml:space="preserve"> providers, and close to half reported moderate or significant increased use of the tool since the </w:t>
            </w:r>
            <w:r w:rsidR="009D1D92">
              <w:rPr>
                <w:rFonts w:eastAsia="Muli" w:cs="Muli"/>
                <w:color w:val="000000" w:themeColor="text1"/>
                <w:sz w:val="18"/>
                <w:szCs w:val="18"/>
              </w:rPr>
              <w:t>beginning of the trial</w:t>
            </w:r>
            <w:r w:rsidRPr="007C14E5">
              <w:rPr>
                <w:rFonts w:eastAsia="Muli" w:cs="Muli"/>
                <w:color w:val="000000" w:themeColor="text1"/>
                <w:sz w:val="18"/>
                <w:szCs w:val="18"/>
              </w:rPr>
              <w:t>.</w:t>
            </w:r>
          </w:p>
          <w:p w14:paraId="130F8C23" w14:textId="7CAD4D00" w:rsidR="00697DB6" w:rsidRPr="00395BF1" w:rsidRDefault="0089432C" w:rsidP="00EA37B5">
            <w:pPr>
              <w:spacing w:after="120"/>
              <w:rPr>
                <w:rFonts w:eastAsia="Muli" w:cs="Muli"/>
                <w:color w:val="000000" w:themeColor="text1"/>
                <w:sz w:val="18"/>
                <w:szCs w:val="18"/>
              </w:rPr>
            </w:pPr>
            <w:r w:rsidRPr="0089432C">
              <w:rPr>
                <w:rFonts w:eastAsia="Muli" w:cs="Muli"/>
                <w:color w:val="000000" w:themeColor="text1"/>
                <w:sz w:val="18"/>
                <w:szCs w:val="18"/>
              </w:rPr>
              <w:t>The HCH trial highlighted many of the challenges in providing effective platforms for undertaking shared care planning</w:t>
            </w:r>
            <w:r>
              <w:rPr>
                <w:rFonts w:eastAsia="Muli" w:cs="Muli"/>
                <w:color w:val="000000" w:themeColor="text1"/>
                <w:sz w:val="18"/>
                <w:szCs w:val="18"/>
              </w:rPr>
              <w:t xml:space="preserve">, and in </w:t>
            </w:r>
            <w:r w:rsidR="004C315B" w:rsidRPr="00EE56A9">
              <w:rPr>
                <w:rFonts w:eastAsia="Muli" w:cs="Muli"/>
                <w:color w:val="000000" w:themeColor="text1"/>
                <w:sz w:val="18"/>
                <w:szCs w:val="18"/>
              </w:rPr>
              <w:t xml:space="preserve">Chapter </w:t>
            </w:r>
            <w:r w:rsidR="004C315B">
              <w:rPr>
                <w:rFonts w:eastAsia="Muli" w:cs="Muli"/>
                <w:color w:val="000000" w:themeColor="text1"/>
                <w:sz w:val="18"/>
                <w:szCs w:val="18"/>
              </w:rPr>
              <w:fldChar w:fldCharType="begin"/>
            </w:r>
            <w:r w:rsidR="004C315B">
              <w:rPr>
                <w:rFonts w:eastAsia="Muli" w:cs="Muli"/>
                <w:color w:val="000000" w:themeColor="text1"/>
                <w:sz w:val="18"/>
                <w:szCs w:val="18"/>
              </w:rPr>
              <w:instrText xml:space="preserve"> REF _Ref99902892 \r \h </w:instrText>
            </w:r>
            <w:r w:rsidR="004C315B">
              <w:rPr>
                <w:rFonts w:eastAsia="Muli" w:cs="Muli"/>
                <w:color w:val="000000" w:themeColor="text1"/>
                <w:sz w:val="18"/>
                <w:szCs w:val="18"/>
              </w:rPr>
            </w:r>
            <w:r w:rsidR="004C315B">
              <w:rPr>
                <w:rFonts w:eastAsia="Muli" w:cs="Muli"/>
                <w:color w:val="000000" w:themeColor="text1"/>
                <w:sz w:val="18"/>
                <w:szCs w:val="18"/>
              </w:rPr>
              <w:fldChar w:fldCharType="separate"/>
            </w:r>
            <w:r w:rsidR="003C4BC2">
              <w:rPr>
                <w:rFonts w:eastAsia="Muli" w:cs="Muli"/>
                <w:color w:val="000000" w:themeColor="text1"/>
                <w:sz w:val="18"/>
                <w:szCs w:val="18"/>
              </w:rPr>
              <w:t>26</w:t>
            </w:r>
            <w:r w:rsidR="004C315B">
              <w:rPr>
                <w:rFonts w:eastAsia="Muli" w:cs="Muli"/>
                <w:color w:val="000000" w:themeColor="text1"/>
                <w:sz w:val="18"/>
                <w:szCs w:val="18"/>
              </w:rPr>
              <w:fldChar w:fldCharType="end"/>
            </w:r>
            <w:r w:rsidR="004C315B" w:rsidRPr="00EE56A9">
              <w:rPr>
                <w:rFonts w:eastAsia="Muli" w:cs="Muli"/>
                <w:color w:val="000000" w:themeColor="text1"/>
                <w:sz w:val="18"/>
                <w:szCs w:val="18"/>
              </w:rPr>
              <w:t xml:space="preserve"> (p. </w:t>
            </w:r>
            <w:r w:rsidR="004C315B" w:rsidRPr="00EE56A9">
              <w:rPr>
                <w:rFonts w:eastAsia="Muli" w:cs="Muli"/>
                <w:color w:val="000000" w:themeColor="text1"/>
                <w:sz w:val="18"/>
                <w:szCs w:val="18"/>
              </w:rPr>
              <w:fldChar w:fldCharType="begin"/>
            </w:r>
            <w:r w:rsidR="004C315B" w:rsidRPr="00EE56A9">
              <w:rPr>
                <w:rFonts w:eastAsia="Muli" w:cs="Muli"/>
                <w:color w:val="000000" w:themeColor="text1"/>
                <w:sz w:val="18"/>
                <w:szCs w:val="18"/>
              </w:rPr>
              <w:instrText xml:space="preserve"> PAGEREF _Ref103681470 \h </w:instrText>
            </w:r>
            <w:r w:rsidR="004C315B" w:rsidRPr="00EE56A9">
              <w:rPr>
                <w:rFonts w:eastAsia="Muli" w:cs="Muli"/>
                <w:color w:val="000000" w:themeColor="text1"/>
                <w:sz w:val="18"/>
                <w:szCs w:val="18"/>
              </w:rPr>
            </w:r>
            <w:r w:rsidR="004C315B" w:rsidRPr="00EE56A9">
              <w:rPr>
                <w:rFonts w:eastAsia="Muli" w:cs="Muli"/>
                <w:color w:val="000000" w:themeColor="text1"/>
                <w:sz w:val="18"/>
                <w:szCs w:val="18"/>
              </w:rPr>
              <w:fldChar w:fldCharType="separate"/>
            </w:r>
            <w:r w:rsidR="003C4BC2">
              <w:rPr>
                <w:rFonts w:eastAsia="Muli" w:cs="Muli"/>
                <w:noProof/>
                <w:color w:val="000000" w:themeColor="text1"/>
                <w:sz w:val="18"/>
                <w:szCs w:val="18"/>
              </w:rPr>
              <w:t>341</w:t>
            </w:r>
            <w:r w:rsidR="004C315B" w:rsidRPr="00EE56A9">
              <w:rPr>
                <w:rFonts w:eastAsia="Muli" w:cs="Muli"/>
                <w:color w:val="000000" w:themeColor="text1"/>
                <w:sz w:val="18"/>
                <w:szCs w:val="18"/>
              </w:rPr>
              <w:fldChar w:fldCharType="end"/>
            </w:r>
            <w:r w:rsidR="004C315B" w:rsidRPr="00EE56A9">
              <w:rPr>
                <w:rFonts w:eastAsia="Muli" w:cs="Muli"/>
                <w:color w:val="000000" w:themeColor="text1"/>
                <w:sz w:val="18"/>
                <w:szCs w:val="18"/>
              </w:rPr>
              <w:t>)</w:t>
            </w:r>
            <w:r w:rsidR="004C315B">
              <w:rPr>
                <w:rFonts w:eastAsia="Muli" w:cs="Muli"/>
                <w:color w:val="000000" w:themeColor="text1"/>
                <w:sz w:val="18"/>
                <w:szCs w:val="18"/>
              </w:rPr>
              <w:t xml:space="preserve">, </w:t>
            </w:r>
            <w:r w:rsidR="00166925">
              <w:rPr>
                <w:rFonts w:eastAsia="Muli" w:cs="Muli"/>
                <w:color w:val="000000" w:themeColor="text1"/>
                <w:sz w:val="18"/>
                <w:szCs w:val="18"/>
              </w:rPr>
              <w:t xml:space="preserve">future </w:t>
            </w:r>
            <w:r w:rsidR="00997838">
              <w:rPr>
                <w:rFonts w:eastAsia="Muli" w:cs="Muli"/>
                <w:color w:val="000000" w:themeColor="text1"/>
                <w:sz w:val="18"/>
                <w:szCs w:val="18"/>
              </w:rPr>
              <w:t xml:space="preserve">steps to </w:t>
            </w:r>
            <w:r w:rsidR="00EA21CD">
              <w:rPr>
                <w:rFonts w:eastAsia="Muli" w:cs="Muli"/>
                <w:color w:val="000000" w:themeColor="text1"/>
                <w:sz w:val="18"/>
                <w:szCs w:val="18"/>
              </w:rPr>
              <w:t xml:space="preserve">address these </w:t>
            </w:r>
            <w:r w:rsidR="00166925">
              <w:rPr>
                <w:rFonts w:eastAsia="Muli" w:cs="Muli"/>
                <w:color w:val="000000" w:themeColor="text1"/>
                <w:sz w:val="18"/>
                <w:szCs w:val="18"/>
              </w:rPr>
              <w:t>challenges</w:t>
            </w:r>
            <w:r w:rsidR="00B33769">
              <w:rPr>
                <w:rFonts w:eastAsia="Muli" w:cs="Muli"/>
                <w:color w:val="000000" w:themeColor="text1"/>
                <w:sz w:val="18"/>
                <w:szCs w:val="18"/>
              </w:rPr>
              <w:t xml:space="preserve"> are outlined.</w:t>
            </w:r>
          </w:p>
        </w:tc>
      </w:tr>
    </w:tbl>
    <w:p w14:paraId="00639BFC" w14:textId="77777777" w:rsidR="00086D06" w:rsidRDefault="00086D06" w:rsidP="00086D06">
      <w:pPr>
        <w:spacing w:after="0"/>
        <w:rPr>
          <w:rFonts w:eastAsia="Muli" w:cs="Muli"/>
          <w:color w:val="000000" w:themeColor="text1"/>
          <w:szCs w:val="20"/>
        </w:rPr>
      </w:pPr>
    </w:p>
    <w:p w14:paraId="7CD0427D" w14:textId="77777777" w:rsidR="009D1D92" w:rsidRDefault="009D1D92">
      <w:pPr>
        <w:spacing w:after="160" w:line="259" w:lineRule="auto"/>
        <w:rPr>
          <w:szCs w:val="20"/>
        </w:rPr>
      </w:pPr>
      <w:r>
        <w:rPr>
          <w:szCs w:val="20"/>
        </w:rPr>
        <w:br w:type="page"/>
      </w:r>
    </w:p>
    <w:p w14:paraId="0863C966" w14:textId="78DC5902" w:rsidR="00086D06" w:rsidRDefault="00086D06" w:rsidP="00086D06">
      <w:pPr>
        <w:rPr>
          <w:szCs w:val="20"/>
        </w:rPr>
      </w:pPr>
      <w:r>
        <w:rPr>
          <w:szCs w:val="20"/>
        </w:rPr>
        <w:lastRenderedPageBreak/>
        <w:t xml:space="preserve">Shared care planning was a key design feature of HCH, to </w:t>
      </w:r>
      <w:r w:rsidRPr="000410F8">
        <w:rPr>
          <w:szCs w:val="20"/>
        </w:rPr>
        <w:t>increase the involvement of patients in their own care</w:t>
      </w:r>
      <w:r>
        <w:rPr>
          <w:szCs w:val="20"/>
        </w:rPr>
        <w:t xml:space="preserve"> and </w:t>
      </w:r>
      <w:r w:rsidRPr="001250AA">
        <w:rPr>
          <w:szCs w:val="20"/>
        </w:rPr>
        <w:t xml:space="preserve">improve the coordination of services </w:t>
      </w:r>
      <w:r>
        <w:rPr>
          <w:szCs w:val="20"/>
        </w:rPr>
        <w:t>within the practice and between the practice and patients’ other health care providers.</w:t>
      </w:r>
      <w:r w:rsidRPr="001250AA">
        <w:rPr>
          <w:szCs w:val="20"/>
        </w:rPr>
        <w:t xml:space="preserve"> </w:t>
      </w:r>
    </w:p>
    <w:p w14:paraId="77320008" w14:textId="79D5753A" w:rsidR="00086D06" w:rsidRDefault="00086D06" w:rsidP="00086D06">
      <w:pPr>
        <w:rPr>
          <w:szCs w:val="20"/>
        </w:rPr>
      </w:pPr>
      <w:r w:rsidRPr="001250AA">
        <w:rPr>
          <w:szCs w:val="20"/>
        </w:rPr>
        <w:t xml:space="preserve">The agreements </w:t>
      </w:r>
      <w:r>
        <w:rPr>
          <w:szCs w:val="20"/>
        </w:rPr>
        <w:t>with</w:t>
      </w:r>
      <w:r w:rsidRPr="001250AA">
        <w:rPr>
          <w:szCs w:val="20"/>
        </w:rPr>
        <w:t xml:space="preserve"> practices to participate in HCH required </w:t>
      </w:r>
      <w:r>
        <w:rPr>
          <w:szCs w:val="20"/>
        </w:rPr>
        <w:t>they</w:t>
      </w:r>
      <w:r w:rsidRPr="001250AA">
        <w:rPr>
          <w:szCs w:val="20"/>
        </w:rPr>
        <w:t xml:space="preserve"> implement shared care planning software</w:t>
      </w:r>
      <w:r>
        <w:rPr>
          <w:szCs w:val="20"/>
        </w:rPr>
        <w:t xml:space="preserve">. Practices were given until </w:t>
      </w:r>
      <w:r w:rsidRPr="000410F8">
        <w:rPr>
          <w:szCs w:val="20"/>
        </w:rPr>
        <w:t xml:space="preserve">30 November 2018 to implement </w:t>
      </w:r>
      <w:r>
        <w:rPr>
          <w:szCs w:val="20"/>
        </w:rPr>
        <w:t>suitable software</w:t>
      </w:r>
      <w:r w:rsidR="00EA4663">
        <w:rPr>
          <w:szCs w:val="20"/>
        </w:rPr>
        <w:t xml:space="preserve"> (about a year after the trial started)</w:t>
      </w:r>
      <w:r w:rsidRPr="000410F8">
        <w:rPr>
          <w:szCs w:val="20"/>
        </w:rPr>
        <w:t xml:space="preserve">. </w:t>
      </w:r>
      <w:r>
        <w:rPr>
          <w:szCs w:val="20"/>
        </w:rPr>
        <w:t>The extra time was</w:t>
      </w:r>
      <w:r w:rsidRPr="000410F8">
        <w:rPr>
          <w:szCs w:val="20"/>
        </w:rPr>
        <w:t xml:space="preserve"> due to feedback that the Department received that practices </w:t>
      </w:r>
      <w:r w:rsidR="000908C4">
        <w:rPr>
          <w:szCs w:val="20"/>
        </w:rPr>
        <w:t>didn’t</w:t>
      </w:r>
      <w:r w:rsidRPr="000410F8">
        <w:rPr>
          <w:szCs w:val="20"/>
        </w:rPr>
        <w:t xml:space="preserve"> have enough information to select a tool </w:t>
      </w:r>
      <w:r>
        <w:rPr>
          <w:szCs w:val="20"/>
        </w:rPr>
        <w:t>meeting</w:t>
      </w:r>
      <w:r w:rsidRPr="000410F8">
        <w:rPr>
          <w:szCs w:val="20"/>
        </w:rPr>
        <w:t xml:space="preserve"> the minimum requirements. Also, some coordination would be required across each region to ensure that providers outside of HCH would be able to access </w:t>
      </w:r>
      <w:r>
        <w:rPr>
          <w:szCs w:val="20"/>
        </w:rPr>
        <w:t xml:space="preserve">patients’ </w:t>
      </w:r>
      <w:r w:rsidRPr="000410F8">
        <w:rPr>
          <w:szCs w:val="20"/>
        </w:rPr>
        <w:t>plan</w:t>
      </w:r>
      <w:r>
        <w:rPr>
          <w:szCs w:val="20"/>
        </w:rPr>
        <w:t>s</w:t>
      </w:r>
      <w:r w:rsidRPr="000410F8">
        <w:rPr>
          <w:szCs w:val="20"/>
        </w:rPr>
        <w:t xml:space="preserve"> and potentially contribute to </w:t>
      </w:r>
      <w:r>
        <w:rPr>
          <w:szCs w:val="20"/>
        </w:rPr>
        <w:t>them</w:t>
      </w:r>
      <w:r w:rsidRPr="000410F8">
        <w:rPr>
          <w:szCs w:val="20"/>
        </w:rPr>
        <w:t>.</w:t>
      </w:r>
      <w:r>
        <w:rPr>
          <w:szCs w:val="20"/>
        </w:rPr>
        <w:t xml:space="preserve"> </w:t>
      </w:r>
      <w:r w:rsidRPr="000410F8">
        <w:rPr>
          <w:szCs w:val="20"/>
        </w:rPr>
        <w:t>The Department was careful to st</w:t>
      </w:r>
      <w:r>
        <w:rPr>
          <w:szCs w:val="20"/>
        </w:rPr>
        <w:t>ate</w:t>
      </w:r>
      <w:r w:rsidRPr="000410F8">
        <w:rPr>
          <w:szCs w:val="20"/>
        </w:rPr>
        <w:t xml:space="preserve"> that “</w:t>
      </w:r>
      <w:r w:rsidRPr="00FD4227">
        <w:rPr>
          <w:i/>
          <w:iCs/>
          <w:szCs w:val="20"/>
        </w:rPr>
        <w:t>the time frame only applies to the use of compliant software – all enrolled patients must still have a shared care plan developed following their enrolment, which is shared with all members of the patient’s care team</w:t>
      </w:r>
      <w:r w:rsidRPr="000410F8">
        <w:rPr>
          <w:szCs w:val="20"/>
        </w:rPr>
        <w:t>”</w:t>
      </w:r>
      <w:r>
        <w:rPr>
          <w:szCs w:val="20"/>
        </w:rPr>
        <w:t>.</w:t>
      </w:r>
      <w:r w:rsidRPr="00F57155">
        <w:rPr>
          <w:rStyle w:val="FootnoteReference"/>
          <w:color w:val="408BCA"/>
          <w:szCs w:val="20"/>
        </w:rPr>
        <w:footnoteReference w:id="73"/>
      </w:r>
      <w:r>
        <w:rPr>
          <w:szCs w:val="20"/>
        </w:rPr>
        <w:t xml:space="preserve"> </w:t>
      </w:r>
    </w:p>
    <w:p w14:paraId="5438210A" w14:textId="77777777" w:rsidR="00086D06" w:rsidRDefault="00086D06" w:rsidP="00086D06">
      <w:pPr>
        <w:spacing w:after="0"/>
        <w:rPr>
          <w:szCs w:val="20"/>
        </w:rPr>
      </w:pPr>
      <w:r w:rsidRPr="000410F8">
        <w:rPr>
          <w:szCs w:val="20"/>
        </w:rPr>
        <w:t>The Department outlin</w:t>
      </w:r>
      <w:r>
        <w:rPr>
          <w:szCs w:val="20"/>
        </w:rPr>
        <w:t>ed</w:t>
      </w:r>
      <w:r w:rsidRPr="000410F8">
        <w:rPr>
          <w:szCs w:val="20"/>
        </w:rPr>
        <w:t xml:space="preserve"> the minimum requirements for shared care </w:t>
      </w:r>
      <w:r w:rsidRPr="008176D9">
        <w:rPr>
          <w:szCs w:val="20"/>
        </w:rPr>
        <w:t xml:space="preserve">planning </w:t>
      </w:r>
      <w:r>
        <w:rPr>
          <w:szCs w:val="20"/>
        </w:rPr>
        <w:t>software</w:t>
      </w:r>
      <w:r w:rsidRPr="008176D9">
        <w:rPr>
          <w:szCs w:val="20"/>
        </w:rPr>
        <w:t>.</w:t>
      </w:r>
      <w:r w:rsidRPr="00F57155">
        <w:rPr>
          <w:rStyle w:val="FootnoteReference"/>
          <w:color w:val="408BCA"/>
          <w:szCs w:val="20"/>
        </w:rPr>
        <w:footnoteReference w:id="74"/>
      </w:r>
      <w:r w:rsidRPr="008176D9">
        <w:rPr>
          <w:szCs w:val="20"/>
        </w:rPr>
        <w:t xml:space="preserve"> PHNs</w:t>
      </w:r>
      <w:r w:rsidRPr="000410F8">
        <w:rPr>
          <w:szCs w:val="20"/>
        </w:rPr>
        <w:t xml:space="preserve"> also assessed tools. Some selected a single tool to promote to their practices while others presented options.</w:t>
      </w:r>
    </w:p>
    <w:p w14:paraId="08586E27" w14:textId="77777777" w:rsidR="00086D06" w:rsidRDefault="00086D06" w:rsidP="00086D06">
      <w:pPr>
        <w:spacing w:after="0"/>
        <w:rPr>
          <w:szCs w:val="20"/>
        </w:rPr>
      </w:pPr>
    </w:p>
    <w:p w14:paraId="438688C3" w14:textId="77777777" w:rsidR="00086D06" w:rsidRPr="000410F8" w:rsidRDefault="00086D06" w:rsidP="00086D06">
      <w:pPr>
        <w:pStyle w:val="Heading2"/>
      </w:pPr>
      <w:bookmarkStart w:id="215" w:name="_Toc109996685"/>
      <w:r w:rsidRPr="000410F8">
        <w:t>How practices selected a shared care planning tool</w:t>
      </w:r>
      <w:bookmarkEnd w:id="215"/>
    </w:p>
    <w:p w14:paraId="1B397C54" w14:textId="77777777" w:rsidR="00086D06" w:rsidRPr="000410F8" w:rsidRDefault="00086D06" w:rsidP="00086D06">
      <w:pPr>
        <w:rPr>
          <w:szCs w:val="20"/>
        </w:rPr>
      </w:pPr>
      <w:r>
        <w:rPr>
          <w:szCs w:val="20"/>
        </w:rPr>
        <w:t>M</w:t>
      </w:r>
      <w:r w:rsidRPr="000410F8">
        <w:rPr>
          <w:szCs w:val="20"/>
        </w:rPr>
        <w:t xml:space="preserve">any practices reported using their clinical management systems as their main </w:t>
      </w:r>
      <w:r>
        <w:rPr>
          <w:szCs w:val="20"/>
        </w:rPr>
        <w:t xml:space="preserve">care </w:t>
      </w:r>
      <w:r w:rsidRPr="000410F8">
        <w:rPr>
          <w:szCs w:val="20"/>
        </w:rPr>
        <w:t>planning</w:t>
      </w:r>
      <w:r>
        <w:rPr>
          <w:szCs w:val="20"/>
        </w:rPr>
        <w:t xml:space="preserve"> tools before joining HCH</w:t>
      </w:r>
      <w:r w:rsidRPr="000410F8">
        <w:rPr>
          <w:szCs w:val="20"/>
        </w:rPr>
        <w:t xml:space="preserve">. They would communicate with external providers via fax, phone, paper, </w:t>
      </w:r>
      <w:r>
        <w:rPr>
          <w:szCs w:val="20"/>
        </w:rPr>
        <w:t>and/</w:t>
      </w:r>
      <w:r w:rsidRPr="000410F8">
        <w:rPr>
          <w:szCs w:val="20"/>
        </w:rPr>
        <w:t xml:space="preserve">or secure messaging. </w:t>
      </w:r>
    </w:p>
    <w:p w14:paraId="0763740B" w14:textId="766B4BF7" w:rsidR="00086D06" w:rsidRDefault="00086D06" w:rsidP="00086D06">
      <w:pPr>
        <w:rPr>
          <w:szCs w:val="20"/>
        </w:rPr>
      </w:pPr>
      <w:r w:rsidRPr="000410F8">
        <w:rPr>
          <w:szCs w:val="20"/>
        </w:rPr>
        <w:t>For the HCH trial, practices opted for specific tools due to cost, experience with a platform in a past initiative</w:t>
      </w:r>
      <w:r>
        <w:rPr>
          <w:szCs w:val="20"/>
        </w:rPr>
        <w:t xml:space="preserve"> they were involved with</w:t>
      </w:r>
      <w:r w:rsidR="002200C0">
        <w:rPr>
          <w:szCs w:val="20"/>
        </w:rPr>
        <w:t xml:space="preserve"> and</w:t>
      </w:r>
      <w:r w:rsidRPr="000410F8">
        <w:rPr>
          <w:szCs w:val="20"/>
        </w:rPr>
        <w:t xml:space="preserve"> what others in the region were using. In some instances, the PHN purchased licences for </w:t>
      </w:r>
      <w:r>
        <w:rPr>
          <w:szCs w:val="20"/>
        </w:rPr>
        <w:t>practices</w:t>
      </w:r>
      <w:r w:rsidRPr="000410F8">
        <w:rPr>
          <w:szCs w:val="20"/>
        </w:rPr>
        <w:t xml:space="preserve">. One vendor offered the use of its shared care planning tool </w:t>
      </w:r>
      <w:r w:rsidR="00721160">
        <w:rPr>
          <w:szCs w:val="20"/>
        </w:rPr>
        <w:t>at no cost</w:t>
      </w:r>
      <w:r w:rsidRPr="000410F8">
        <w:rPr>
          <w:szCs w:val="20"/>
        </w:rPr>
        <w:t xml:space="preserve"> </w:t>
      </w:r>
      <w:r>
        <w:rPr>
          <w:szCs w:val="20"/>
        </w:rPr>
        <w:t>for the trial</w:t>
      </w:r>
      <w:r w:rsidRPr="000410F8">
        <w:rPr>
          <w:szCs w:val="20"/>
        </w:rPr>
        <w:t xml:space="preserve">. This influenced many practices and regions to take up this software. </w:t>
      </w:r>
      <w:r>
        <w:rPr>
          <w:szCs w:val="20"/>
        </w:rPr>
        <w:t xml:space="preserve">Some selected a platform outside of the list developed by the Department of Health. </w:t>
      </w:r>
      <w:r w:rsidRPr="000410F8">
        <w:rPr>
          <w:szCs w:val="20"/>
        </w:rPr>
        <w:t xml:space="preserve">A few practices </w:t>
      </w:r>
      <w:r>
        <w:rPr>
          <w:szCs w:val="20"/>
        </w:rPr>
        <w:t>tried one or multiple tools throughout the trial before settling on one. Some practices didn’t implement a tool at all during the trial. This was due to poor functionality of available tools, concerns about the cost of the shared care planning tools after the trial, increased administrative burden and duplication of work from using multiple platforms and time and effort to engage with external health professionals using a tool compared with traditional means.</w:t>
      </w:r>
    </w:p>
    <w:p w14:paraId="0D676F17" w14:textId="2F6A1E20" w:rsidR="00086D06" w:rsidRPr="003A1DE9" w:rsidRDefault="00086D06" w:rsidP="00086D06">
      <w:pPr>
        <w:rPr>
          <w:szCs w:val="20"/>
        </w:rPr>
      </w:pPr>
      <w:r w:rsidRPr="00174368">
        <w:rPr>
          <w:rFonts w:eastAsiaTheme="minorEastAsia"/>
          <w:color w:val="1D2455"/>
          <w:szCs w:val="20"/>
          <w:lang w:eastAsia="en-AU"/>
        </w:rPr>
        <w:fldChar w:fldCharType="begin"/>
      </w:r>
      <w:r w:rsidRPr="00174368">
        <w:rPr>
          <w:rFonts w:eastAsiaTheme="minorEastAsia"/>
          <w:color w:val="1D2455"/>
          <w:szCs w:val="20"/>
          <w:lang w:eastAsia="en-AU"/>
        </w:rPr>
        <w:instrText xml:space="preserve"> REF _Ref89877985 \h  \* MERGEFORMAT </w:instrText>
      </w:r>
      <w:r w:rsidRPr="00174368">
        <w:rPr>
          <w:rFonts w:eastAsiaTheme="minorEastAsia"/>
          <w:color w:val="1D2455"/>
          <w:szCs w:val="20"/>
          <w:lang w:eastAsia="en-AU"/>
        </w:rPr>
      </w:r>
      <w:r w:rsidRPr="00174368">
        <w:rPr>
          <w:rFonts w:eastAsiaTheme="minorEastAsia"/>
          <w:color w:val="1D2455"/>
          <w:szCs w:val="20"/>
          <w:lang w:eastAsia="en-AU"/>
        </w:rPr>
        <w:fldChar w:fldCharType="separate"/>
      </w:r>
      <w:r w:rsidR="003C4BC2" w:rsidRPr="003C4BC2">
        <w:rPr>
          <w:rFonts w:eastAsiaTheme="minorEastAsia"/>
          <w:color w:val="1D2455"/>
          <w:szCs w:val="20"/>
          <w:lang w:eastAsia="en-AU"/>
        </w:rPr>
        <w:t>Table 31</w:t>
      </w:r>
      <w:r w:rsidRPr="00174368">
        <w:rPr>
          <w:rFonts w:eastAsiaTheme="minorEastAsia"/>
          <w:color w:val="1D2455"/>
          <w:szCs w:val="20"/>
          <w:lang w:eastAsia="en-AU"/>
        </w:rPr>
        <w:fldChar w:fldCharType="end"/>
      </w:r>
      <w:r w:rsidRPr="003A1DE9">
        <w:rPr>
          <w:szCs w:val="20"/>
        </w:rPr>
        <w:t xml:space="preserve"> shows the tools </w:t>
      </w:r>
      <w:r w:rsidR="00E63545">
        <w:rPr>
          <w:szCs w:val="20"/>
        </w:rPr>
        <w:t xml:space="preserve">that </w:t>
      </w:r>
      <w:r w:rsidRPr="003A1DE9">
        <w:rPr>
          <w:szCs w:val="20"/>
        </w:rPr>
        <w:t xml:space="preserve">practices reported </w:t>
      </w:r>
      <w:r w:rsidR="00E63545">
        <w:rPr>
          <w:szCs w:val="20"/>
        </w:rPr>
        <w:t xml:space="preserve">they were </w:t>
      </w:r>
      <w:r w:rsidRPr="003A1DE9">
        <w:rPr>
          <w:szCs w:val="20"/>
        </w:rPr>
        <w:t>using in the final survey.</w:t>
      </w:r>
    </w:p>
    <w:p w14:paraId="408E9E3D" w14:textId="77777777" w:rsidR="00232CF7" w:rsidRDefault="00232CF7">
      <w:pPr>
        <w:spacing w:after="160" w:line="259" w:lineRule="auto"/>
        <w:rPr>
          <w:szCs w:val="20"/>
        </w:rPr>
      </w:pPr>
      <w:r>
        <w:rPr>
          <w:szCs w:val="20"/>
        </w:rPr>
        <w:br w:type="page"/>
      </w:r>
    </w:p>
    <w:p w14:paraId="541D7575" w14:textId="6ADD4424" w:rsidR="00086D06" w:rsidRDefault="00086D06" w:rsidP="00086D06">
      <w:pPr>
        <w:pStyle w:val="TableFigureheading"/>
      </w:pPr>
      <w:bookmarkStart w:id="216" w:name="_Ref89877985"/>
      <w:r w:rsidRPr="003A1DE9">
        <w:rPr>
          <w:bCs w:val="0"/>
        </w:rPr>
        <w:lastRenderedPageBreak/>
        <w:t xml:space="preserve">Table </w:t>
      </w:r>
      <w:r w:rsidRPr="003A1DE9">
        <w:rPr>
          <w:bCs w:val="0"/>
        </w:rPr>
        <w:fldChar w:fldCharType="begin"/>
      </w:r>
      <w:r w:rsidRPr="003A1DE9">
        <w:rPr>
          <w:bCs w:val="0"/>
        </w:rPr>
        <w:instrText xml:space="preserve"> SEQ Table \* ARABIC </w:instrText>
      </w:r>
      <w:r w:rsidRPr="003A1DE9">
        <w:rPr>
          <w:bCs w:val="0"/>
        </w:rPr>
        <w:fldChar w:fldCharType="separate"/>
      </w:r>
      <w:r w:rsidR="003C4BC2">
        <w:rPr>
          <w:bCs w:val="0"/>
          <w:noProof/>
        </w:rPr>
        <w:t>31</w:t>
      </w:r>
      <w:r w:rsidRPr="003A1DE9">
        <w:rPr>
          <w:bCs w:val="0"/>
        </w:rPr>
        <w:fldChar w:fldCharType="end"/>
      </w:r>
      <w:bookmarkEnd w:id="216"/>
      <w:r w:rsidRPr="003A1DE9">
        <w:rPr>
          <w:bCs w:val="0"/>
        </w:rPr>
        <w:t>: Shared care planning software used by practices</w:t>
      </w:r>
    </w:p>
    <w:tbl>
      <w:tblPr>
        <w:tblW w:w="3939"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5621"/>
        <w:gridCol w:w="1482"/>
      </w:tblGrid>
      <w:tr w:rsidR="00086D06" w:rsidRPr="008A582F" w14:paraId="004BE6A4" w14:textId="77777777" w:rsidTr="0021559C">
        <w:trPr>
          <w:jc w:val="center"/>
        </w:trPr>
        <w:tc>
          <w:tcPr>
            <w:tcW w:w="3957" w:type="pct"/>
            <w:shd w:val="clear" w:color="auto" w:fill="408BCA"/>
          </w:tcPr>
          <w:p w14:paraId="092FFAE0" w14:textId="77777777" w:rsidR="00086D06" w:rsidRPr="008A582F" w:rsidRDefault="00086D06" w:rsidP="00EA37B5">
            <w:pPr>
              <w:spacing w:before="20" w:after="20"/>
              <w:ind w:left="102" w:right="102"/>
              <w:rPr>
                <w:rFonts w:eastAsia="Century Gothic" w:cs="Century Gothic"/>
                <w:b/>
                <w:bCs/>
                <w:color w:val="000000"/>
                <w:sz w:val="18"/>
                <w:szCs w:val="18"/>
              </w:rPr>
            </w:pPr>
            <w:r w:rsidRPr="008A582F">
              <w:rPr>
                <w:rFonts w:eastAsia="Century Gothic" w:cs="Century Gothic"/>
                <w:b/>
                <w:bCs/>
                <w:color w:val="FFFFFF"/>
                <w:sz w:val="18"/>
                <w:szCs w:val="18"/>
              </w:rPr>
              <w:t>Tool</w:t>
            </w:r>
          </w:p>
        </w:tc>
        <w:tc>
          <w:tcPr>
            <w:tcW w:w="1043" w:type="pct"/>
            <w:shd w:val="clear" w:color="auto" w:fill="408BCA"/>
          </w:tcPr>
          <w:p w14:paraId="10B81009" w14:textId="77777777" w:rsidR="00086D06" w:rsidRPr="008A582F" w:rsidRDefault="00086D06" w:rsidP="00EA37B5">
            <w:pPr>
              <w:spacing w:before="20" w:after="20"/>
              <w:ind w:left="102" w:right="102"/>
              <w:jc w:val="right"/>
              <w:rPr>
                <w:rFonts w:eastAsia="Century Gothic" w:cs="Century Gothic"/>
                <w:b/>
                <w:bCs/>
                <w:color w:val="000000"/>
                <w:sz w:val="18"/>
                <w:szCs w:val="18"/>
              </w:rPr>
            </w:pPr>
            <w:r w:rsidRPr="008A582F">
              <w:rPr>
                <w:rFonts w:eastAsia="Century Gothic" w:cs="Century Gothic"/>
                <w:b/>
                <w:bCs/>
                <w:color w:val="FFFFFF"/>
                <w:sz w:val="18"/>
                <w:szCs w:val="18"/>
              </w:rPr>
              <w:t>Total</w:t>
            </w:r>
          </w:p>
        </w:tc>
      </w:tr>
      <w:tr w:rsidR="00086D06" w:rsidRPr="00A144BD" w14:paraId="34E42C8F" w14:textId="77777777" w:rsidTr="0021559C">
        <w:trPr>
          <w:jc w:val="center"/>
        </w:trPr>
        <w:tc>
          <w:tcPr>
            <w:tcW w:w="3957" w:type="pct"/>
          </w:tcPr>
          <w:p w14:paraId="7ADBCBFC" w14:textId="77777777" w:rsidR="00086D06" w:rsidRPr="00523523" w:rsidRDefault="00086D06" w:rsidP="00EA37B5">
            <w:pPr>
              <w:spacing w:before="20" w:after="20"/>
              <w:ind w:left="100" w:right="100"/>
              <w:rPr>
                <w:rFonts w:eastAsia="Century Gothic" w:cs="Century Gothic"/>
                <w:color w:val="000000"/>
                <w:sz w:val="18"/>
                <w:szCs w:val="18"/>
              </w:rPr>
            </w:pPr>
            <w:proofErr w:type="spellStart"/>
            <w:r w:rsidRPr="00523523">
              <w:rPr>
                <w:rFonts w:eastAsia="Century Gothic" w:cs="Century Gothic"/>
                <w:color w:val="000000"/>
                <w:sz w:val="18"/>
                <w:szCs w:val="18"/>
              </w:rPr>
              <w:t>cdmNet</w:t>
            </w:r>
            <w:proofErr w:type="spellEnd"/>
            <w:r w:rsidRPr="00523523">
              <w:rPr>
                <w:rFonts w:eastAsia="Century Gothic" w:cs="Century Gothic"/>
                <w:color w:val="000000"/>
                <w:sz w:val="18"/>
                <w:szCs w:val="18"/>
              </w:rPr>
              <w:t xml:space="preserve"> Coordinated Care Platform (Precedence Health Care)</w:t>
            </w:r>
          </w:p>
        </w:tc>
        <w:tc>
          <w:tcPr>
            <w:tcW w:w="1043" w:type="pct"/>
          </w:tcPr>
          <w:p w14:paraId="5D2D7B68" w14:textId="77777777" w:rsidR="00086D06" w:rsidRPr="00A144BD" w:rsidRDefault="00086D06" w:rsidP="00EA37B5">
            <w:pPr>
              <w:spacing w:before="20" w:after="20"/>
              <w:ind w:left="102" w:right="102"/>
              <w:jc w:val="right"/>
              <w:rPr>
                <w:sz w:val="18"/>
                <w:szCs w:val="18"/>
              </w:rPr>
            </w:pPr>
            <w:r w:rsidRPr="00701B03">
              <w:rPr>
                <w:rFonts w:eastAsia="Century Gothic" w:cs="Century Gothic"/>
                <w:color w:val="000000"/>
                <w:sz w:val="18"/>
                <w:szCs w:val="18"/>
              </w:rPr>
              <w:t>56</w:t>
            </w:r>
          </w:p>
        </w:tc>
      </w:tr>
      <w:tr w:rsidR="00086D06" w:rsidRPr="00A144BD" w14:paraId="2D0D526C" w14:textId="77777777" w:rsidTr="0021559C">
        <w:trPr>
          <w:jc w:val="center"/>
        </w:trPr>
        <w:tc>
          <w:tcPr>
            <w:tcW w:w="3957" w:type="pct"/>
          </w:tcPr>
          <w:p w14:paraId="308E3361" w14:textId="77777777" w:rsidR="00086D06" w:rsidRPr="00523523" w:rsidRDefault="00086D06" w:rsidP="00EA37B5">
            <w:pPr>
              <w:spacing w:before="20" w:after="20"/>
              <w:ind w:left="100" w:right="100"/>
              <w:rPr>
                <w:rFonts w:eastAsia="Century Gothic" w:cs="Century Gothic"/>
                <w:color w:val="000000"/>
                <w:sz w:val="18"/>
                <w:szCs w:val="18"/>
              </w:rPr>
            </w:pPr>
            <w:proofErr w:type="spellStart"/>
            <w:r w:rsidRPr="00523523">
              <w:rPr>
                <w:rFonts w:eastAsia="Century Gothic" w:cs="Century Gothic"/>
                <w:color w:val="000000"/>
                <w:sz w:val="18"/>
                <w:szCs w:val="18"/>
              </w:rPr>
              <w:t>LinkedEHR</w:t>
            </w:r>
            <w:proofErr w:type="spellEnd"/>
          </w:p>
        </w:tc>
        <w:tc>
          <w:tcPr>
            <w:tcW w:w="1043" w:type="pct"/>
          </w:tcPr>
          <w:p w14:paraId="5A55EA60" w14:textId="77777777" w:rsidR="00086D06" w:rsidRPr="00A144BD" w:rsidRDefault="00086D06" w:rsidP="00EA37B5">
            <w:pPr>
              <w:spacing w:before="20" w:after="20"/>
              <w:ind w:left="102" w:right="102"/>
              <w:jc w:val="right"/>
              <w:rPr>
                <w:sz w:val="18"/>
                <w:szCs w:val="18"/>
              </w:rPr>
            </w:pPr>
            <w:r w:rsidRPr="00701B03">
              <w:rPr>
                <w:rFonts w:eastAsia="Century Gothic" w:cs="Century Gothic"/>
                <w:color w:val="000000"/>
                <w:sz w:val="18"/>
                <w:szCs w:val="18"/>
              </w:rPr>
              <w:t>9</w:t>
            </w:r>
          </w:p>
        </w:tc>
      </w:tr>
      <w:tr w:rsidR="00086D06" w:rsidRPr="00A144BD" w14:paraId="38A9D281" w14:textId="77777777" w:rsidTr="0021559C">
        <w:trPr>
          <w:jc w:val="center"/>
        </w:trPr>
        <w:tc>
          <w:tcPr>
            <w:tcW w:w="3957" w:type="pct"/>
          </w:tcPr>
          <w:p w14:paraId="731FC223" w14:textId="77777777" w:rsidR="00086D06" w:rsidRPr="00A144BD" w:rsidRDefault="00086D06" w:rsidP="00EA37B5">
            <w:pPr>
              <w:spacing w:before="20" w:after="20"/>
              <w:ind w:left="100" w:right="100"/>
              <w:rPr>
                <w:rFonts w:eastAsia="Century Gothic" w:cs="Century Gothic"/>
                <w:color w:val="000000"/>
                <w:sz w:val="18"/>
                <w:szCs w:val="18"/>
              </w:rPr>
            </w:pPr>
            <w:r w:rsidRPr="00523523">
              <w:rPr>
                <w:rFonts w:eastAsia="Century Gothic" w:cs="Century Gothic"/>
                <w:color w:val="000000"/>
                <w:sz w:val="18"/>
                <w:szCs w:val="18"/>
              </w:rPr>
              <w:t>Care Monitor</w:t>
            </w:r>
          </w:p>
        </w:tc>
        <w:tc>
          <w:tcPr>
            <w:tcW w:w="1043" w:type="pct"/>
          </w:tcPr>
          <w:p w14:paraId="2467AECE" w14:textId="77777777" w:rsidR="00086D06" w:rsidRPr="00A144BD" w:rsidRDefault="00086D06" w:rsidP="00EA37B5">
            <w:pPr>
              <w:spacing w:before="20" w:after="20"/>
              <w:ind w:left="102" w:right="102"/>
              <w:jc w:val="right"/>
              <w:rPr>
                <w:rFonts w:eastAsia="Century Gothic" w:cs="Century Gothic"/>
                <w:color w:val="000000"/>
                <w:sz w:val="18"/>
                <w:szCs w:val="18"/>
              </w:rPr>
            </w:pPr>
            <w:r w:rsidRPr="00701B03">
              <w:rPr>
                <w:rFonts w:eastAsia="Century Gothic" w:cs="Century Gothic"/>
                <w:color w:val="000000"/>
                <w:sz w:val="18"/>
                <w:szCs w:val="18"/>
              </w:rPr>
              <w:t>7</w:t>
            </w:r>
          </w:p>
        </w:tc>
      </w:tr>
      <w:tr w:rsidR="00086D06" w:rsidRPr="00A144BD" w14:paraId="307740BD" w14:textId="77777777" w:rsidTr="0021559C">
        <w:trPr>
          <w:jc w:val="center"/>
        </w:trPr>
        <w:tc>
          <w:tcPr>
            <w:tcW w:w="3957" w:type="pct"/>
          </w:tcPr>
          <w:p w14:paraId="65FD6525" w14:textId="77777777" w:rsidR="00086D06" w:rsidRPr="00523523" w:rsidRDefault="00086D06" w:rsidP="00EA37B5">
            <w:pPr>
              <w:spacing w:before="20" w:after="20"/>
              <w:ind w:left="100" w:right="100"/>
              <w:rPr>
                <w:rFonts w:eastAsia="Century Gothic" w:cs="Century Gothic"/>
                <w:color w:val="000000"/>
                <w:sz w:val="18"/>
                <w:szCs w:val="18"/>
              </w:rPr>
            </w:pPr>
            <w:r w:rsidRPr="00523523">
              <w:rPr>
                <w:rFonts w:eastAsia="Century Gothic" w:cs="Century Gothic"/>
                <w:color w:val="000000"/>
                <w:sz w:val="18"/>
                <w:szCs w:val="18"/>
              </w:rPr>
              <w:t>Othe</w:t>
            </w:r>
            <w:r>
              <w:rPr>
                <w:rFonts w:eastAsia="Century Gothic" w:cs="Century Gothic"/>
                <w:color w:val="000000"/>
                <w:sz w:val="18"/>
                <w:szCs w:val="18"/>
              </w:rPr>
              <w:t>r</w:t>
            </w:r>
          </w:p>
        </w:tc>
        <w:tc>
          <w:tcPr>
            <w:tcW w:w="1043" w:type="pct"/>
          </w:tcPr>
          <w:p w14:paraId="451E24D1" w14:textId="77777777" w:rsidR="00086D06" w:rsidRPr="00A144BD" w:rsidRDefault="00086D06" w:rsidP="00EA37B5">
            <w:pPr>
              <w:spacing w:before="20" w:after="20"/>
              <w:ind w:left="102" w:right="102"/>
              <w:jc w:val="right"/>
              <w:rPr>
                <w:sz w:val="18"/>
                <w:szCs w:val="18"/>
              </w:rPr>
            </w:pPr>
            <w:r>
              <w:rPr>
                <w:sz w:val="18"/>
                <w:szCs w:val="18"/>
              </w:rPr>
              <w:t>12</w:t>
            </w:r>
          </w:p>
        </w:tc>
      </w:tr>
      <w:tr w:rsidR="00086D06" w:rsidRPr="00A144BD" w14:paraId="5BBEAD10" w14:textId="77777777" w:rsidTr="0021559C">
        <w:trPr>
          <w:jc w:val="center"/>
        </w:trPr>
        <w:tc>
          <w:tcPr>
            <w:tcW w:w="3957" w:type="pct"/>
          </w:tcPr>
          <w:p w14:paraId="69FB7231" w14:textId="77777777" w:rsidR="00086D06" w:rsidRPr="00523523" w:rsidRDefault="00086D06" w:rsidP="00EA37B5">
            <w:pPr>
              <w:spacing w:before="20" w:after="20"/>
              <w:ind w:left="100" w:right="100"/>
              <w:rPr>
                <w:rFonts w:eastAsia="Century Gothic" w:cs="Century Gothic"/>
                <w:color w:val="000000"/>
                <w:sz w:val="18"/>
                <w:szCs w:val="18"/>
              </w:rPr>
            </w:pPr>
            <w:r>
              <w:rPr>
                <w:rFonts w:eastAsia="Century Gothic" w:cs="Century Gothic"/>
                <w:color w:val="000000"/>
                <w:sz w:val="18"/>
                <w:szCs w:val="18"/>
              </w:rPr>
              <w:t>N</w:t>
            </w:r>
            <w:r w:rsidRPr="00523523">
              <w:rPr>
                <w:rFonts w:eastAsia="Century Gothic" w:cs="Century Gothic"/>
                <w:color w:val="000000"/>
                <w:sz w:val="18"/>
                <w:szCs w:val="18"/>
              </w:rPr>
              <w:t>o response</w:t>
            </w:r>
          </w:p>
        </w:tc>
        <w:tc>
          <w:tcPr>
            <w:tcW w:w="1043" w:type="pct"/>
          </w:tcPr>
          <w:p w14:paraId="6E58B257" w14:textId="77777777" w:rsidR="00086D06" w:rsidRPr="00A144BD" w:rsidRDefault="00086D06" w:rsidP="00EA37B5">
            <w:pPr>
              <w:spacing w:before="20" w:after="20"/>
              <w:ind w:left="102" w:right="102"/>
              <w:jc w:val="right"/>
              <w:rPr>
                <w:sz w:val="18"/>
                <w:szCs w:val="18"/>
              </w:rPr>
            </w:pPr>
            <w:r w:rsidRPr="00701B03">
              <w:rPr>
                <w:rFonts w:eastAsia="Century Gothic" w:cs="Century Gothic"/>
                <w:color w:val="000000"/>
                <w:sz w:val="18"/>
                <w:szCs w:val="18"/>
              </w:rPr>
              <w:t>5</w:t>
            </w:r>
          </w:p>
        </w:tc>
      </w:tr>
    </w:tbl>
    <w:p w14:paraId="3D022996" w14:textId="42A8837B" w:rsidR="00086D06" w:rsidRDefault="00086D06" w:rsidP="00086D06">
      <w:pPr>
        <w:pStyle w:val="Chartortablefootnote"/>
        <w:ind w:left="1985" w:right="2081"/>
      </w:pPr>
      <w:r>
        <w:t xml:space="preserve">Source: Practice survey R5, </w:t>
      </w:r>
      <w:r w:rsidR="00BC2D7A">
        <w:t>Mar–May</w:t>
      </w:r>
      <w:r>
        <w:t xml:space="preserve"> 2021, question 1.</w:t>
      </w:r>
    </w:p>
    <w:p w14:paraId="1702331D" w14:textId="37419174" w:rsidR="00086D06" w:rsidRDefault="00086D06" w:rsidP="00086D06">
      <w:pPr>
        <w:rPr>
          <w:szCs w:val="20"/>
        </w:rPr>
      </w:pPr>
      <w:r w:rsidRPr="00A970A9">
        <w:rPr>
          <w:szCs w:val="20"/>
        </w:rPr>
        <w:t>Practices</w:t>
      </w:r>
      <w:r w:rsidR="00E63545">
        <w:rPr>
          <w:szCs w:val="20"/>
        </w:rPr>
        <w:t>’</w:t>
      </w:r>
      <w:r w:rsidRPr="00A970A9">
        <w:rPr>
          <w:szCs w:val="20"/>
        </w:rPr>
        <w:t xml:space="preserve"> reflections on how shared care planning worked for them were both positive and negative (</w:t>
      </w:r>
      <w:r w:rsidRPr="002A7D7E">
        <w:rPr>
          <w:rFonts w:eastAsiaTheme="minorEastAsia"/>
          <w:color w:val="1D2455"/>
          <w:szCs w:val="20"/>
          <w:lang w:eastAsia="en-AU"/>
        </w:rPr>
        <w:fldChar w:fldCharType="begin"/>
      </w:r>
      <w:r w:rsidRPr="002A7D7E">
        <w:rPr>
          <w:rFonts w:eastAsiaTheme="minorEastAsia"/>
          <w:color w:val="1D2455"/>
          <w:szCs w:val="20"/>
          <w:lang w:eastAsia="en-AU"/>
        </w:rPr>
        <w:instrText xml:space="preserve"> REF _Ref89878141 \h  \* MERGEFORMAT </w:instrText>
      </w:r>
      <w:r w:rsidRPr="002A7D7E">
        <w:rPr>
          <w:rFonts w:eastAsiaTheme="minorEastAsia"/>
          <w:color w:val="1D2455"/>
          <w:szCs w:val="20"/>
          <w:lang w:eastAsia="en-AU"/>
        </w:rPr>
      </w:r>
      <w:r w:rsidRPr="002A7D7E">
        <w:rPr>
          <w:rFonts w:eastAsiaTheme="minorEastAsia"/>
          <w:color w:val="1D2455"/>
          <w:szCs w:val="20"/>
          <w:lang w:eastAsia="en-AU"/>
        </w:rPr>
        <w:fldChar w:fldCharType="separate"/>
      </w:r>
      <w:r w:rsidR="003C4BC2" w:rsidRPr="003C4BC2">
        <w:rPr>
          <w:rFonts w:eastAsiaTheme="minorEastAsia"/>
          <w:color w:val="1D2455"/>
          <w:szCs w:val="20"/>
          <w:lang w:eastAsia="en-AU"/>
        </w:rPr>
        <w:t>Table 32</w:t>
      </w:r>
      <w:r w:rsidRPr="002A7D7E">
        <w:rPr>
          <w:rFonts w:eastAsiaTheme="minorEastAsia"/>
          <w:color w:val="1D2455"/>
          <w:szCs w:val="20"/>
          <w:lang w:eastAsia="en-AU"/>
        </w:rPr>
        <w:fldChar w:fldCharType="end"/>
      </w:r>
      <w:r w:rsidRPr="00A970A9">
        <w:rPr>
          <w:szCs w:val="20"/>
        </w:rPr>
        <w:t>). More practices had negative than positive reflections. Software issues, the need for better mechanisms to monitor patients and complicated nature of the tools accounted for most of the negative reflections. Improved team care communication, internal and external, was the most commonly reported positive reflection.</w:t>
      </w:r>
      <w:r>
        <w:rPr>
          <w:szCs w:val="20"/>
        </w:rPr>
        <w:t xml:space="preserve"> The responses in the previous survey round (4) were almost identical.</w:t>
      </w:r>
    </w:p>
    <w:p w14:paraId="4A6FAE49" w14:textId="7A4FC7DF" w:rsidR="00086D06" w:rsidRDefault="00086D06" w:rsidP="00086D06">
      <w:pPr>
        <w:pStyle w:val="TableFigureheading"/>
        <w:rPr>
          <w:bCs w:val="0"/>
        </w:rPr>
      </w:pPr>
      <w:bookmarkStart w:id="217" w:name="_Ref89878141"/>
      <w:r w:rsidRPr="00A970A9">
        <w:rPr>
          <w:bCs w:val="0"/>
        </w:rPr>
        <w:t xml:space="preserve">Table </w:t>
      </w:r>
      <w:r w:rsidRPr="00A970A9">
        <w:rPr>
          <w:bCs w:val="0"/>
        </w:rPr>
        <w:fldChar w:fldCharType="begin"/>
      </w:r>
      <w:r w:rsidRPr="00A970A9">
        <w:rPr>
          <w:bCs w:val="0"/>
        </w:rPr>
        <w:instrText xml:space="preserve"> SEQ Table \* ARABIC </w:instrText>
      </w:r>
      <w:r w:rsidRPr="00A970A9">
        <w:rPr>
          <w:bCs w:val="0"/>
        </w:rPr>
        <w:fldChar w:fldCharType="separate"/>
      </w:r>
      <w:r w:rsidR="003C4BC2">
        <w:rPr>
          <w:bCs w:val="0"/>
          <w:noProof/>
        </w:rPr>
        <w:t>32</w:t>
      </w:r>
      <w:r w:rsidRPr="00A970A9">
        <w:rPr>
          <w:bCs w:val="0"/>
        </w:rPr>
        <w:fldChar w:fldCharType="end"/>
      </w:r>
      <w:bookmarkEnd w:id="217"/>
      <w:r w:rsidRPr="00A970A9">
        <w:rPr>
          <w:bCs w:val="0"/>
        </w:rPr>
        <w:t>: Practices’ reflections on how shared care planning worked for them</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6190"/>
        <w:gridCol w:w="2826"/>
      </w:tblGrid>
      <w:tr w:rsidR="00086D06" w:rsidRPr="00A063AC" w14:paraId="75307C76" w14:textId="77777777" w:rsidTr="00A063AC">
        <w:tc>
          <w:tcPr>
            <w:tcW w:w="3433" w:type="pct"/>
            <w:shd w:val="clear" w:color="auto" w:fill="408BCA"/>
            <w:vAlign w:val="center"/>
          </w:tcPr>
          <w:p w14:paraId="397DFCB0" w14:textId="77777777" w:rsidR="00086D06" w:rsidRPr="00A063AC" w:rsidRDefault="00086D06" w:rsidP="00A063AC">
            <w:pPr>
              <w:spacing w:after="0"/>
              <w:ind w:left="102" w:right="102"/>
              <w:rPr>
                <w:rFonts w:eastAsia="Century Gothic" w:cs="Century Gothic"/>
                <w:b/>
                <w:bCs/>
                <w:color w:val="000000"/>
                <w:sz w:val="18"/>
                <w:szCs w:val="18"/>
              </w:rPr>
            </w:pPr>
            <w:r w:rsidRPr="00A063AC">
              <w:rPr>
                <w:rFonts w:eastAsia="Century Gothic" w:cs="Century Gothic"/>
                <w:b/>
                <w:bCs/>
                <w:color w:val="FFFFFF"/>
                <w:sz w:val="18"/>
                <w:szCs w:val="18"/>
              </w:rPr>
              <w:t>Reflection</w:t>
            </w:r>
          </w:p>
        </w:tc>
        <w:tc>
          <w:tcPr>
            <w:tcW w:w="1567" w:type="pct"/>
            <w:shd w:val="clear" w:color="auto" w:fill="408BCA"/>
            <w:vAlign w:val="center"/>
          </w:tcPr>
          <w:p w14:paraId="3153C16F" w14:textId="77777777" w:rsidR="00086D06" w:rsidRPr="00A063AC" w:rsidRDefault="00086D06" w:rsidP="00A063AC">
            <w:pPr>
              <w:spacing w:after="0"/>
              <w:ind w:left="102" w:right="102"/>
              <w:jc w:val="center"/>
              <w:rPr>
                <w:rFonts w:eastAsia="Century Gothic" w:cs="Century Gothic"/>
                <w:b/>
                <w:bCs/>
                <w:color w:val="000000"/>
                <w:sz w:val="18"/>
                <w:szCs w:val="18"/>
              </w:rPr>
            </w:pPr>
            <w:r w:rsidRPr="00A063AC">
              <w:rPr>
                <w:rFonts w:eastAsia="Century Gothic" w:cs="Century Gothic"/>
                <w:b/>
                <w:bCs/>
                <w:color w:val="FFFFFF"/>
                <w:sz w:val="18"/>
                <w:szCs w:val="18"/>
              </w:rPr>
              <w:t>No. of times this reflection was mentioned (% of practices</w:t>
            </w:r>
            <w:r w:rsidRPr="00A063AC">
              <w:rPr>
                <w:rFonts w:eastAsia="Century Gothic" w:cs="Century Gothic"/>
                <w:b/>
                <w:bCs/>
                <w:color w:val="000000"/>
                <w:sz w:val="18"/>
                <w:szCs w:val="18"/>
              </w:rPr>
              <w:t xml:space="preserve"> </w:t>
            </w:r>
            <w:r w:rsidRPr="00A063AC">
              <w:rPr>
                <w:rFonts w:eastAsia="Century Gothic" w:cs="Century Gothic"/>
                <w:b/>
                <w:bCs/>
                <w:color w:val="FFFFFF"/>
                <w:sz w:val="18"/>
                <w:szCs w:val="18"/>
              </w:rPr>
              <w:t>providing this reflection)</w:t>
            </w:r>
            <w:r w:rsidRPr="00A063AC">
              <w:rPr>
                <w:rFonts w:eastAsia="Century Gothic" w:cs="Century Gothic"/>
                <w:b/>
                <w:bCs/>
                <w:color w:val="FFFFFF"/>
                <w:sz w:val="18"/>
                <w:szCs w:val="18"/>
                <w:vertAlign w:val="superscript"/>
              </w:rPr>
              <w:t>1</w:t>
            </w:r>
          </w:p>
        </w:tc>
      </w:tr>
      <w:tr w:rsidR="00086D06" w:rsidRPr="00A144BD" w14:paraId="5E3DEBA1" w14:textId="77777777" w:rsidTr="008A582F">
        <w:tc>
          <w:tcPr>
            <w:tcW w:w="3433" w:type="pct"/>
          </w:tcPr>
          <w:p w14:paraId="6023C376" w14:textId="77777777" w:rsidR="00086D06" w:rsidRPr="003423CD" w:rsidRDefault="00086D06" w:rsidP="00EA37B5">
            <w:pPr>
              <w:spacing w:after="0"/>
              <w:ind w:right="102"/>
              <w:rPr>
                <w:rFonts w:eastAsia="Century Gothic" w:cs="Century Gothic"/>
                <w:b/>
                <w:bCs/>
                <w:color w:val="1D2455"/>
                <w:sz w:val="18"/>
                <w:szCs w:val="18"/>
              </w:rPr>
            </w:pPr>
            <w:r w:rsidRPr="003423CD">
              <w:rPr>
                <w:rFonts w:eastAsia="Century Gothic" w:cs="Century Gothic"/>
                <w:b/>
                <w:bCs/>
                <w:color w:val="1D2455"/>
                <w:sz w:val="18"/>
                <w:szCs w:val="18"/>
              </w:rPr>
              <w:t>Positive</w:t>
            </w:r>
          </w:p>
        </w:tc>
        <w:tc>
          <w:tcPr>
            <w:tcW w:w="1567" w:type="pct"/>
          </w:tcPr>
          <w:p w14:paraId="570E64CD" w14:textId="77777777" w:rsidR="00086D06" w:rsidRPr="00CB04C3" w:rsidRDefault="00086D06" w:rsidP="00EA37B5">
            <w:pPr>
              <w:spacing w:after="0"/>
              <w:ind w:left="102" w:right="102"/>
              <w:jc w:val="right"/>
              <w:rPr>
                <w:rFonts w:eastAsia="Century Gothic" w:cs="Century Gothic"/>
                <w:color w:val="000000"/>
                <w:sz w:val="18"/>
                <w:szCs w:val="18"/>
              </w:rPr>
            </w:pPr>
          </w:p>
        </w:tc>
      </w:tr>
      <w:tr w:rsidR="00086D06" w:rsidRPr="00A144BD" w14:paraId="076B7990" w14:textId="77777777" w:rsidTr="008A582F">
        <w:tc>
          <w:tcPr>
            <w:tcW w:w="3433" w:type="pct"/>
          </w:tcPr>
          <w:p w14:paraId="0885738E" w14:textId="77777777" w:rsidR="00086D06" w:rsidRPr="00CB04C3" w:rsidRDefault="00086D06" w:rsidP="00EA37B5">
            <w:pPr>
              <w:spacing w:after="0"/>
              <w:ind w:left="339" w:right="102"/>
              <w:rPr>
                <w:sz w:val="18"/>
                <w:szCs w:val="18"/>
              </w:rPr>
            </w:pPr>
            <w:r w:rsidRPr="00CB04C3">
              <w:rPr>
                <w:rFonts w:eastAsia="Century Gothic" w:cs="Century Gothic"/>
                <w:color w:val="000000"/>
                <w:sz w:val="18"/>
                <w:szCs w:val="18"/>
              </w:rPr>
              <w:t>Improved team care communication internal and external</w:t>
            </w:r>
          </w:p>
        </w:tc>
        <w:tc>
          <w:tcPr>
            <w:tcW w:w="1567" w:type="pct"/>
          </w:tcPr>
          <w:p w14:paraId="02AECFED" w14:textId="77777777" w:rsidR="00086D06" w:rsidRPr="00CB04C3" w:rsidRDefault="00086D06" w:rsidP="00EA37B5">
            <w:pPr>
              <w:spacing w:after="0"/>
              <w:ind w:left="102" w:right="102"/>
              <w:jc w:val="right"/>
              <w:rPr>
                <w:sz w:val="18"/>
                <w:szCs w:val="18"/>
              </w:rPr>
            </w:pPr>
            <w:r w:rsidRPr="00CB04C3">
              <w:rPr>
                <w:rFonts w:eastAsia="Century Gothic" w:cs="Century Gothic"/>
                <w:color w:val="000000"/>
                <w:sz w:val="18"/>
                <w:szCs w:val="18"/>
              </w:rPr>
              <w:t>15 (20.5%)</w:t>
            </w:r>
          </w:p>
        </w:tc>
      </w:tr>
      <w:tr w:rsidR="00086D06" w:rsidRPr="00A144BD" w14:paraId="38C2ED4F" w14:textId="77777777" w:rsidTr="008A582F">
        <w:tc>
          <w:tcPr>
            <w:tcW w:w="3433" w:type="pct"/>
          </w:tcPr>
          <w:p w14:paraId="41234136" w14:textId="77777777" w:rsidR="00086D06" w:rsidRPr="00CB04C3" w:rsidRDefault="00086D06" w:rsidP="00EA37B5">
            <w:pPr>
              <w:spacing w:after="0"/>
              <w:ind w:left="339" w:right="102"/>
              <w:rPr>
                <w:sz w:val="18"/>
                <w:szCs w:val="18"/>
              </w:rPr>
            </w:pPr>
            <w:r w:rsidRPr="00CB04C3">
              <w:rPr>
                <w:rFonts w:eastAsia="Century Gothic" w:cs="Century Gothic"/>
                <w:color w:val="000000"/>
                <w:sz w:val="18"/>
                <w:szCs w:val="18"/>
              </w:rPr>
              <w:t>Improved patient engagement</w:t>
            </w:r>
          </w:p>
        </w:tc>
        <w:tc>
          <w:tcPr>
            <w:tcW w:w="1567" w:type="pct"/>
          </w:tcPr>
          <w:p w14:paraId="0089926C" w14:textId="77777777" w:rsidR="00086D06" w:rsidRPr="00CB04C3" w:rsidRDefault="00086D06" w:rsidP="00EA37B5">
            <w:pPr>
              <w:spacing w:after="0"/>
              <w:ind w:left="102" w:right="102"/>
              <w:jc w:val="right"/>
              <w:rPr>
                <w:sz w:val="18"/>
                <w:szCs w:val="18"/>
              </w:rPr>
            </w:pPr>
            <w:r w:rsidRPr="00CB04C3">
              <w:rPr>
                <w:rFonts w:eastAsia="Century Gothic" w:cs="Century Gothic"/>
                <w:color w:val="000000"/>
                <w:sz w:val="18"/>
                <w:szCs w:val="18"/>
              </w:rPr>
              <w:t>5 (6.8%)</w:t>
            </w:r>
          </w:p>
        </w:tc>
      </w:tr>
      <w:tr w:rsidR="00086D06" w:rsidRPr="00A144BD" w14:paraId="790658FD" w14:textId="77777777" w:rsidTr="008A582F">
        <w:tc>
          <w:tcPr>
            <w:tcW w:w="3433" w:type="pct"/>
          </w:tcPr>
          <w:p w14:paraId="2916D2C2" w14:textId="77777777" w:rsidR="00086D06" w:rsidRPr="00CB04C3" w:rsidRDefault="00086D06" w:rsidP="00EA37B5">
            <w:pPr>
              <w:spacing w:after="0"/>
              <w:ind w:left="339" w:right="102"/>
              <w:rPr>
                <w:sz w:val="18"/>
                <w:szCs w:val="18"/>
              </w:rPr>
            </w:pPr>
            <w:r w:rsidRPr="00CB04C3">
              <w:rPr>
                <w:rFonts w:eastAsia="Century Gothic" w:cs="Century Gothic"/>
                <w:color w:val="000000"/>
                <w:sz w:val="18"/>
                <w:szCs w:val="18"/>
              </w:rPr>
              <w:t>Improved patient access</w:t>
            </w:r>
          </w:p>
        </w:tc>
        <w:tc>
          <w:tcPr>
            <w:tcW w:w="1567" w:type="pct"/>
          </w:tcPr>
          <w:p w14:paraId="6BA0205C" w14:textId="77777777" w:rsidR="00086D06" w:rsidRPr="00CB04C3" w:rsidRDefault="00086D06" w:rsidP="00EA37B5">
            <w:pPr>
              <w:spacing w:after="0"/>
              <w:ind w:left="102" w:right="102"/>
              <w:jc w:val="right"/>
              <w:rPr>
                <w:sz w:val="18"/>
                <w:szCs w:val="18"/>
              </w:rPr>
            </w:pPr>
            <w:r w:rsidRPr="00CB04C3">
              <w:rPr>
                <w:rFonts w:eastAsia="Century Gothic" w:cs="Century Gothic"/>
                <w:color w:val="000000"/>
                <w:sz w:val="18"/>
                <w:szCs w:val="18"/>
              </w:rPr>
              <w:t>5 (6.8%)</w:t>
            </w:r>
          </w:p>
        </w:tc>
      </w:tr>
      <w:tr w:rsidR="00086D06" w:rsidRPr="00A144BD" w14:paraId="56CE0879" w14:textId="77777777" w:rsidTr="008A582F">
        <w:tc>
          <w:tcPr>
            <w:tcW w:w="3433" w:type="pct"/>
          </w:tcPr>
          <w:p w14:paraId="0390CD96" w14:textId="77777777" w:rsidR="00086D06" w:rsidRPr="00CB04C3" w:rsidRDefault="00086D06" w:rsidP="00EA37B5">
            <w:pPr>
              <w:spacing w:after="0"/>
              <w:ind w:left="339" w:right="102"/>
              <w:rPr>
                <w:rFonts w:eastAsia="Century Gothic" w:cs="Century Gothic"/>
                <w:color w:val="000000"/>
                <w:sz w:val="18"/>
                <w:szCs w:val="18"/>
              </w:rPr>
            </w:pPr>
            <w:r w:rsidRPr="00CB04C3">
              <w:rPr>
                <w:rFonts w:eastAsia="Century Gothic" w:cs="Century Gothic"/>
                <w:color w:val="000000"/>
                <w:sz w:val="18"/>
                <w:szCs w:val="18"/>
              </w:rPr>
              <w:t>Improved patient to practice communication</w:t>
            </w:r>
          </w:p>
        </w:tc>
        <w:tc>
          <w:tcPr>
            <w:tcW w:w="1567" w:type="pct"/>
          </w:tcPr>
          <w:p w14:paraId="652BA7B7" w14:textId="77777777" w:rsidR="00086D06" w:rsidRPr="00CB04C3" w:rsidRDefault="00086D06" w:rsidP="00EA37B5">
            <w:pPr>
              <w:spacing w:after="0"/>
              <w:ind w:left="102" w:right="102"/>
              <w:jc w:val="right"/>
              <w:rPr>
                <w:rFonts w:eastAsia="Century Gothic" w:cs="Century Gothic"/>
                <w:color w:val="000000"/>
                <w:sz w:val="18"/>
                <w:szCs w:val="18"/>
              </w:rPr>
            </w:pPr>
            <w:r w:rsidRPr="00CB04C3">
              <w:rPr>
                <w:rFonts w:eastAsia="Century Gothic" w:cs="Century Gothic"/>
                <w:color w:val="000000"/>
                <w:sz w:val="18"/>
                <w:szCs w:val="18"/>
              </w:rPr>
              <w:t>3 (4.1%)</w:t>
            </w:r>
          </w:p>
        </w:tc>
      </w:tr>
      <w:tr w:rsidR="00086D06" w:rsidRPr="00A144BD" w14:paraId="266DD0DC" w14:textId="77777777" w:rsidTr="008A582F">
        <w:tc>
          <w:tcPr>
            <w:tcW w:w="3433" w:type="pct"/>
          </w:tcPr>
          <w:p w14:paraId="3927E080" w14:textId="77777777" w:rsidR="00086D06" w:rsidRPr="00CB04C3" w:rsidRDefault="00086D06" w:rsidP="00EA37B5">
            <w:pPr>
              <w:spacing w:after="0"/>
              <w:ind w:left="339" w:right="102"/>
              <w:rPr>
                <w:sz w:val="18"/>
                <w:szCs w:val="18"/>
              </w:rPr>
            </w:pPr>
            <w:r w:rsidRPr="00CB04C3">
              <w:rPr>
                <w:rFonts w:eastAsia="Century Gothic" w:cs="Century Gothic"/>
                <w:color w:val="000000"/>
                <w:sz w:val="18"/>
                <w:szCs w:val="18"/>
              </w:rPr>
              <w:t>Enhanced chronic disease management</w:t>
            </w:r>
          </w:p>
        </w:tc>
        <w:tc>
          <w:tcPr>
            <w:tcW w:w="1567" w:type="pct"/>
          </w:tcPr>
          <w:p w14:paraId="49DC6079" w14:textId="77777777" w:rsidR="00086D06" w:rsidRPr="00CB04C3" w:rsidRDefault="00086D06" w:rsidP="00EA37B5">
            <w:pPr>
              <w:spacing w:after="0"/>
              <w:ind w:left="102" w:right="102"/>
              <w:jc w:val="right"/>
              <w:rPr>
                <w:sz w:val="18"/>
                <w:szCs w:val="18"/>
              </w:rPr>
            </w:pPr>
            <w:r w:rsidRPr="00CB04C3">
              <w:rPr>
                <w:rFonts w:eastAsia="Century Gothic" w:cs="Century Gothic"/>
                <w:color w:val="000000"/>
                <w:sz w:val="18"/>
                <w:szCs w:val="18"/>
              </w:rPr>
              <w:t>3 (4.1%)</w:t>
            </w:r>
          </w:p>
        </w:tc>
      </w:tr>
      <w:tr w:rsidR="00086D06" w:rsidRPr="00A144BD" w14:paraId="41A828FB" w14:textId="77777777" w:rsidTr="008A582F">
        <w:tc>
          <w:tcPr>
            <w:tcW w:w="3433" w:type="pct"/>
          </w:tcPr>
          <w:p w14:paraId="5DF245A9" w14:textId="77777777" w:rsidR="00086D06" w:rsidRPr="00CB04C3" w:rsidRDefault="00086D06" w:rsidP="00EA37B5">
            <w:pPr>
              <w:spacing w:after="0"/>
              <w:ind w:right="102"/>
              <w:rPr>
                <w:rFonts w:eastAsia="Century Gothic" w:cs="Century Gothic"/>
                <w:color w:val="000000"/>
                <w:sz w:val="18"/>
                <w:szCs w:val="18"/>
              </w:rPr>
            </w:pPr>
            <w:r w:rsidRPr="003423CD">
              <w:rPr>
                <w:rFonts w:eastAsia="Century Gothic" w:cs="Century Gothic"/>
                <w:b/>
                <w:bCs/>
                <w:color w:val="1D2455"/>
                <w:sz w:val="18"/>
                <w:szCs w:val="18"/>
              </w:rPr>
              <w:t>Negative</w:t>
            </w:r>
          </w:p>
        </w:tc>
        <w:tc>
          <w:tcPr>
            <w:tcW w:w="1567" w:type="pct"/>
          </w:tcPr>
          <w:p w14:paraId="32675803" w14:textId="77777777" w:rsidR="00086D06" w:rsidRPr="00CB04C3" w:rsidRDefault="00086D06" w:rsidP="00EA37B5">
            <w:pPr>
              <w:spacing w:after="0"/>
              <w:ind w:left="102" w:right="102"/>
              <w:jc w:val="right"/>
              <w:rPr>
                <w:rFonts w:eastAsia="Century Gothic" w:cs="Century Gothic"/>
                <w:color w:val="000000"/>
                <w:sz w:val="18"/>
                <w:szCs w:val="18"/>
              </w:rPr>
            </w:pPr>
          </w:p>
        </w:tc>
      </w:tr>
      <w:tr w:rsidR="00086D06" w:rsidRPr="00A144BD" w14:paraId="3E49A89E" w14:textId="77777777" w:rsidTr="008A582F">
        <w:tc>
          <w:tcPr>
            <w:tcW w:w="3433" w:type="pct"/>
          </w:tcPr>
          <w:p w14:paraId="6B39005E" w14:textId="77777777" w:rsidR="00086D06" w:rsidRPr="00A83E16" w:rsidRDefault="00086D06" w:rsidP="00EA37B5">
            <w:pPr>
              <w:spacing w:after="0"/>
              <w:ind w:left="339" w:right="102"/>
              <w:rPr>
                <w:rFonts w:eastAsia="Century Gothic" w:cs="Century Gothic"/>
                <w:color w:val="000000"/>
                <w:sz w:val="18"/>
                <w:szCs w:val="18"/>
              </w:rPr>
            </w:pPr>
            <w:r w:rsidRPr="00CB04C3">
              <w:rPr>
                <w:rFonts w:eastAsia="Century Gothic" w:cs="Century Gothic"/>
                <w:color w:val="000000"/>
                <w:sz w:val="18"/>
                <w:szCs w:val="18"/>
              </w:rPr>
              <w:t>Not worked/ software issues</w:t>
            </w:r>
          </w:p>
        </w:tc>
        <w:tc>
          <w:tcPr>
            <w:tcW w:w="1567" w:type="pct"/>
          </w:tcPr>
          <w:p w14:paraId="04D01887" w14:textId="77777777" w:rsidR="00086D06" w:rsidRPr="00CB04C3" w:rsidRDefault="00086D06" w:rsidP="00EA37B5">
            <w:pPr>
              <w:spacing w:after="0"/>
              <w:ind w:left="102" w:right="102"/>
              <w:jc w:val="right"/>
              <w:rPr>
                <w:sz w:val="18"/>
                <w:szCs w:val="18"/>
              </w:rPr>
            </w:pPr>
            <w:r w:rsidRPr="00CB04C3">
              <w:rPr>
                <w:rFonts w:eastAsia="Century Gothic" w:cs="Century Gothic"/>
                <w:color w:val="000000"/>
                <w:sz w:val="18"/>
                <w:szCs w:val="18"/>
              </w:rPr>
              <w:t>11 (15.1%)</w:t>
            </w:r>
          </w:p>
        </w:tc>
      </w:tr>
      <w:tr w:rsidR="00086D06" w:rsidRPr="00A144BD" w14:paraId="6FAD29DF" w14:textId="77777777" w:rsidTr="008A582F">
        <w:tc>
          <w:tcPr>
            <w:tcW w:w="3433" w:type="pct"/>
          </w:tcPr>
          <w:p w14:paraId="2AD68A5E" w14:textId="77777777" w:rsidR="00086D06" w:rsidRPr="00CB04C3" w:rsidRDefault="00086D06" w:rsidP="00EA37B5">
            <w:pPr>
              <w:spacing w:after="0"/>
              <w:ind w:left="339" w:right="102"/>
              <w:rPr>
                <w:rFonts w:eastAsia="Century Gothic" w:cs="Century Gothic"/>
                <w:color w:val="000000"/>
                <w:sz w:val="18"/>
                <w:szCs w:val="18"/>
              </w:rPr>
            </w:pPr>
            <w:r w:rsidRPr="00CB04C3">
              <w:rPr>
                <w:rFonts w:eastAsia="Century Gothic" w:cs="Century Gothic"/>
                <w:color w:val="000000"/>
                <w:sz w:val="18"/>
                <w:szCs w:val="18"/>
              </w:rPr>
              <w:t>Need more effective ways to monitor patients</w:t>
            </w:r>
          </w:p>
        </w:tc>
        <w:tc>
          <w:tcPr>
            <w:tcW w:w="1567" w:type="pct"/>
          </w:tcPr>
          <w:p w14:paraId="0387113E" w14:textId="77777777" w:rsidR="00086D06" w:rsidRPr="00CB04C3" w:rsidRDefault="00086D06" w:rsidP="00EA37B5">
            <w:pPr>
              <w:spacing w:after="0"/>
              <w:ind w:left="102" w:right="102"/>
              <w:jc w:val="right"/>
              <w:rPr>
                <w:rFonts w:eastAsia="Century Gothic" w:cs="Century Gothic"/>
                <w:color w:val="000000"/>
                <w:sz w:val="18"/>
                <w:szCs w:val="18"/>
              </w:rPr>
            </w:pPr>
            <w:r w:rsidRPr="00CB04C3">
              <w:rPr>
                <w:rFonts w:eastAsia="Century Gothic" w:cs="Century Gothic"/>
                <w:color w:val="000000"/>
                <w:sz w:val="18"/>
                <w:szCs w:val="18"/>
              </w:rPr>
              <w:t>11 (15.1%)</w:t>
            </w:r>
          </w:p>
        </w:tc>
      </w:tr>
      <w:tr w:rsidR="00086D06" w:rsidRPr="00A144BD" w14:paraId="0DB13F6F" w14:textId="77777777" w:rsidTr="008A582F">
        <w:tc>
          <w:tcPr>
            <w:tcW w:w="3433" w:type="pct"/>
          </w:tcPr>
          <w:p w14:paraId="612C529C" w14:textId="77777777" w:rsidR="00086D06" w:rsidRPr="00CB04C3" w:rsidRDefault="00086D06" w:rsidP="00EA37B5">
            <w:pPr>
              <w:spacing w:after="0"/>
              <w:ind w:left="339" w:right="102"/>
              <w:rPr>
                <w:rFonts w:eastAsia="Century Gothic" w:cs="Century Gothic"/>
                <w:color w:val="000000"/>
                <w:sz w:val="18"/>
                <w:szCs w:val="18"/>
              </w:rPr>
            </w:pPr>
            <w:r w:rsidRPr="00CB04C3">
              <w:rPr>
                <w:rFonts w:eastAsia="Century Gothic" w:cs="Century Gothic"/>
                <w:color w:val="000000"/>
                <w:sz w:val="18"/>
                <w:szCs w:val="18"/>
              </w:rPr>
              <w:t>Complicated/ time consuming/ duplication of work</w:t>
            </w:r>
          </w:p>
        </w:tc>
        <w:tc>
          <w:tcPr>
            <w:tcW w:w="1567" w:type="pct"/>
          </w:tcPr>
          <w:p w14:paraId="7C6A1B96" w14:textId="77777777" w:rsidR="00086D06" w:rsidRPr="00CB04C3" w:rsidRDefault="00086D06" w:rsidP="00EA37B5">
            <w:pPr>
              <w:spacing w:after="0"/>
              <w:ind w:left="102" w:right="102"/>
              <w:jc w:val="right"/>
              <w:rPr>
                <w:rFonts w:eastAsia="Century Gothic" w:cs="Century Gothic"/>
                <w:color w:val="000000"/>
                <w:sz w:val="18"/>
                <w:szCs w:val="18"/>
              </w:rPr>
            </w:pPr>
            <w:r w:rsidRPr="00CB04C3">
              <w:rPr>
                <w:rFonts w:eastAsia="Century Gothic" w:cs="Century Gothic"/>
                <w:color w:val="000000"/>
                <w:sz w:val="18"/>
                <w:szCs w:val="18"/>
              </w:rPr>
              <w:t>1</w:t>
            </w:r>
            <w:r>
              <w:rPr>
                <w:rFonts w:eastAsia="Century Gothic" w:cs="Century Gothic"/>
                <w:color w:val="000000"/>
                <w:sz w:val="18"/>
                <w:szCs w:val="18"/>
              </w:rPr>
              <w:t>1</w:t>
            </w:r>
            <w:r w:rsidRPr="00CB04C3">
              <w:rPr>
                <w:rFonts w:eastAsia="Century Gothic" w:cs="Century Gothic"/>
                <w:color w:val="000000"/>
                <w:sz w:val="18"/>
                <w:szCs w:val="18"/>
              </w:rPr>
              <w:t xml:space="preserve"> (1</w:t>
            </w:r>
            <w:r>
              <w:rPr>
                <w:rFonts w:eastAsia="Century Gothic" w:cs="Century Gothic"/>
                <w:color w:val="000000"/>
                <w:sz w:val="18"/>
                <w:szCs w:val="18"/>
              </w:rPr>
              <w:t>5</w:t>
            </w:r>
            <w:r w:rsidRPr="00CB04C3">
              <w:rPr>
                <w:rFonts w:eastAsia="Century Gothic" w:cs="Century Gothic"/>
                <w:color w:val="000000"/>
                <w:sz w:val="18"/>
                <w:szCs w:val="18"/>
              </w:rPr>
              <w:t>.</w:t>
            </w:r>
            <w:r>
              <w:rPr>
                <w:rFonts w:eastAsia="Century Gothic" w:cs="Century Gothic"/>
                <w:color w:val="000000"/>
                <w:sz w:val="18"/>
                <w:szCs w:val="18"/>
              </w:rPr>
              <w:t>1</w:t>
            </w:r>
            <w:r w:rsidRPr="00CB04C3">
              <w:rPr>
                <w:rFonts w:eastAsia="Century Gothic" w:cs="Century Gothic"/>
                <w:color w:val="000000"/>
                <w:sz w:val="18"/>
                <w:szCs w:val="18"/>
              </w:rPr>
              <w:t>%)</w:t>
            </w:r>
          </w:p>
        </w:tc>
      </w:tr>
      <w:tr w:rsidR="00086D06" w:rsidRPr="00A144BD" w14:paraId="4AA2A414" w14:textId="77777777" w:rsidTr="008A582F">
        <w:tc>
          <w:tcPr>
            <w:tcW w:w="3433" w:type="pct"/>
          </w:tcPr>
          <w:p w14:paraId="63DB3534" w14:textId="77777777" w:rsidR="00086D06" w:rsidRPr="00CB04C3" w:rsidRDefault="00086D06" w:rsidP="00EA37B5">
            <w:pPr>
              <w:spacing w:after="0"/>
              <w:ind w:left="339" w:right="102"/>
              <w:rPr>
                <w:rFonts w:eastAsia="Century Gothic" w:cs="Century Gothic"/>
                <w:color w:val="000000"/>
                <w:sz w:val="18"/>
                <w:szCs w:val="18"/>
              </w:rPr>
            </w:pPr>
            <w:r w:rsidRPr="00CB04C3">
              <w:rPr>
                <w:rFonts w:eastAsia="Century Gothic" w:cs="Century Gothic"/>
                <w:color w:val="000000"/>
                <w:sz w:val="18"/>
                <w:szCs w:val="18"/>
              </w:rPr>
              <w:t>Other health providers/allied health don't have access/ don't use</w:t>
            </w:r>
          </w:p>
        </w:tc>
        <w:tc>
          <w:tcPr>
            <w:tcW w:w="1567" w:type="pct"/>
          </w:tcPr>
          <w:p w14:paraId="6B94E85A" w14:textId="77777777" w:rsidR="00086D06" w:rsidRPr="00CB04C3" w:rsidRDefault="00086D06" w:rsidP="00EA37B5">
            <w:pPr>
              <w:spacing w:after="0"/>
              <w:ind w:left="102" w:right="102"/>
              <w:jc w:val="right"/>
              <w:rPr>
                <w:rFonts w:eastAsia="Century Gothic" w:cs="Century Gothic"/>
                <w:color w:val="000000"/>
                <w:sz w:val="18"/>
                <w:szCs w:val="18"/>
              </w:rPr>
            </w:pPr>
            <w:r w:rsidRPr="00CB04C3">
              <w:rPr>
                <w:rFonts w:eastAsia="Century Gothic" w:cs="Century Gothic"/>
                <w:color w:val="000000"/>
                <w:sz w:val="18"/>
                <w:szCs w:val="18"/>
              </w:rPr>
              <w:t>8 (11.0%)</w:t>
            </w:r>
          </w:p>
        </w:tc>
      </w:tr>
      <w:tr w:rsidR="00086D06" w:rsidRPr="00A144BD" w14:paraId="5075F52C" w14:textId="77777777" w:rsidTr="008A582F">
        <w:tc>
          <w:tcPr>
            <w:tcW w:w="3433" w:type="pct"/>
          </w:tcPr>
          <w:p w14:paraId="5C7D75F2" w14:textId="77777777" w:rsidR="00086D06" w:rsidRPr="00A83E16" w:rsidRDefault="00086D06" w:rsidP="00EA37B5">
            <w:pPr>
              <w:spacing w:after="0"/>
              <w:ind w:left="339" w:right="102"/>
              <w:rPr>
                <w:rFonts w:eastAsia="Century Gothic" w:cs="Century Gothic"/>
                <w:color w:val="000000"/>
                <w:sz w:val="18"/>
                <w:szCs w:val="18"/>
              </w:rPr>
            </w:pPr>
            <w:r w:rsidRPr="00CB04C3">
              <w:rPr>
                <w:rFonts w:eastAsia="Century Gothic" w:cs="Century Gothic"/>
                <w:color w:val="000000"/>
                <w:sz w:val="18"/>
                <w:szCs w:val="18"/>
              </w:rPr>
              <w:t>Most patients are not accessing their care plans</w:t>
            </w:r>
          </w:p>
        </w:tc>
        <w:tc>
          <w:tcPr>
            <w:tcW w:w="1567" w:type="pct"/>
          </w:tcPr>
          <w:p w14:paraId="5422A738" w14:textId="77777777" w:rsidR="00086D06" w:rsidRPr="00CB04C3" w:rsidRDefault="00086D06" w:rsidP="00EA37B5">
            <w:pPr>
              <w:spacing w:after="0"/>
              <w:ind w:left="102" w:right="102"/>
              <w:jc w:val="right"/>
              <w:rPr>
                <w:sz w:val="18"/>
                <w:szCs w:val="18"/>
              </w:rPr>
            </w:pPr>
            <w:r w:rsidRPr="00CB04C3">
              <w:rPr>
                <w:rFonts w:eastAsia="Century Gothic" w:cs="Century Gothic"/>
                <w:color w:val="000000"/>
                <w:sz w:val="18"/>
                <w:szCs w:val="18"/>
              </w:rPr>
              <w:t>4 (5.5%)</w:t>
            </w:r>
          </w:p>
        </w:tc>
      </w:tr>
      <w:tr w:rsidR="00086D06" w:rsidRPr="00A144BD" w14:paraId="7C16A1F5" w14:textId="77777777" w:rsidTr="008A582F">
        <w:tc>
          <w:tcPr>
            <w:tcW w:w="3433" w:type="pct"/>
          </w:tcPr>
          <w:p w14:paraId="584B6D0E" w14:textId="77777777" w:rsidR="00086D06" w:rsidRPr="00A83E16" w:rsidRDefault="00086D06" w:rsidP="00EA37B5">
            <w:pPr>
              <w:spacing w:after="0"/>
              <w:ind w:left="339" w:right="102"/>
              <w:rPr>
                <w:rFonts w:eastAsia="Century Gothic" w:cs="Century Gothic"/>
                <w:color w:val="000000"/>
                <w:sz w:val="18"/>
                <w:szCs w:val="18"/>
              </w:rPr>
            </w:pPr>
            <w:r w:rsidRPr="00CB04C3">
              <w:rPr>
                <w:rFonts w:eastAsia="Century Gothic" w:cs="Century Gothic"/>
                <w:color w:val="000000"/>
                <w:sz w:val="18"/>
                <w:szCs w:val="18"/>
              </w:rPr>
              <w:t>Issues with training/limited education</w:t>
            </w:r>
          </w:p>
        </w:tc>
        <w:tc>
          <w:tcPr>
            <w:tcW w:w="1567" w:type="pct"/>
          </w:tcPr>
          <w:p w14:paraId="60A38448" w14:textId="77777777" w:rsidR="00086D06" w:rsidRPr="00CB04C3" w:rsidRDefault="00086D06" w:rsidP="00EA37B5">
            <w:pPr>
              <w:spacing w:after="0"/>
              <w:ind w:left="102" w:right="102"/>
              <w:jc w:val="right"/>
              <w:rPr>
                <w:sz w:val="18"/>
                <w:szCs w:val="18"/>
              </w:rPr>
            </w:pPr>
            <w:r w:rsidRPr="00CB04C3">
              <w:rPr>
                <w:rFonts w:eastAsia="Century Gothic" w:cs="Century Gothic"/>
                <w:color w:val="000000"/>
                <w:sz w:val="18"/>
                <w:szCs w:val="18"/>
              </w:rPr>
              <w:t>2 (2.7%)</w:t>
            </w:r>
          </w:p>
        </w:tc>
      </w:tr>
      <w:tr w:rsidR="00086D06" w:rsidRPr="00A144BD" w14:paraId="5B32F66B" w14:textId="77777777" w:rsidTr="008A582F">
        <w:tc>
          <w:tcPr>
            <w:tcW w:w="3433" w:type="pct"/>
          </w:tcPr>
          <w:p w14:paraId="0B50321D" w14:textId="77777777" w:rsidR="00086D06" w:rsidRPr="00A83E16" w:rsidRDefault="00086D06" w:rsidP="00EA37B5">
            <w:pPr>
              <w:spacing w:after="0"/>
              <w:ind w:left="339" w:right="102"/>
              <w:rPr>
                <w:rFonts w:eastAsia="Century Gothic" w:cs="Century Gothic"/>
                <w:color w:val="000000"/>
                <w:sz w:val="18"/>
                <w:szCs w:val="18"/>
              </w:rPr>
            </w:pPr>
            <w:r w:rsidRPr="00CB04C3">
              <w:rPr>
                <w:rFonts w:eastAsia="Century Gothic" w:cs="Century Gothic"/>
                <w:color w:val="000000"/>
                <w:sz w:val="18"/>
                <w:szCs w:val="18"/>
              </w:rPr>
              <w:t>Too expensive</w:t>
            </w:r>
          </w:p>
        </w:tc>
        <w:tc>
          <w:tcPr>
            <w:tcW w:w="1567" w:type="pct"/>
          </w:tcPr>
          <w:p w14:paraId="1E9F2AA0" w14:textId="77777777" w:rsidR="00086D06" w:rsidRPr="00CB04C3" w:rsidRDefault="00086D06" w:rsidP="00EA37B5">
            <w:pPr>
              <w:spacing w:after="0"/>
              <w:ind w:left="102" w:right="102"/>
              <w:jc w:val="right"/>
              <w:rPr>
                <w:sz w:val="18"/>
                <w:szCs w:val="18"/>
              </w:rPr>
            </w:pPr>
            <w:r w:rsidRPr="00CB04C3">
              <w:rPr>
                <w:rFonts w:eastAsia="Century Gothic" w:cs="Century Gothic"/>
                <w:color w:val="000000"/>
                <w:sz w:val="18"/>
                <w:szCs w:val="18"/>
              </w:rPr>
              <w:t>1 (1.4%)</w:t>
            </w:r>
          </w:p>
        </w:tc>
      </w:tr>
      <w:tr w:rsidR="00086D06" w:rsidRPr="00A144BD" w14:paraId="496ABC0F" w14:textId="77777777" w:rsidTr="008A582F">
        <w:tc>
          <w:tcPr>
            <w:tcW w:w="3433" w:type="pct"/>
          </w:tcPr>
          <w:p w14:paraId="4D244CD9" w14:textId="77777777" w:rsidR="00086D06" w:rsidRPr="00A83E16" w:rsidRDefault="00086D06" w:rsidP="00EA37B5">
            <w:pPr>
              <w:spacing w:after="0"/>
              <w:ind w:left="339" w:right="102"/>
              <w:rPr>
                <w:rFonts w:eastAsia="Century Gothic" w:cs="Century Gothic"/>
                <w:color w:val="000000"/>
                <w:sz w:val="18"/>
                <w:szCs w:val="18"/>
              </w:rPr>
            </w:pPr>
            <w:r>
              <w:rPr>
                <w:rFonts w:eastAsia="Century Gothic" w:cs="Century Gothic"/>
                <w:color w:val="000000"/>
                <w:sz w:val="18"/>
                <w:szCs w:val="18"/>
              </w:rPr>
              <w:t>P</w:t>
            </w:r>
            <w:r w:rsidRPr="00CB04C3">
              <w:rPr>
                <w:rFonts w:eastAsia="Century Gothic" w:cs="Century Gothic"/>
                <w:color w:val="000000"/>
                <w:sz w:val="18"/>
                <w:szCs w:val="18"/>
              </w:rPr>
              <w:t>atients over</w:t>
            </w:r>
            <w:r>
              <w:rPr>
                <w:rFonts w:eastAsia="Century Gothic" w:cs="Century Gothic"/>
                <w:color w:val="000000"/>
                <w:sz w:val="18"/>
                <w:szCs w:val="18"/>
              </w:rPr>
              <w:t>-</w:t>
            </w:r>
            <w:r w:rsidRPr="00CB04C3">
              <w:rPr>
                <w:rFonts w:eastAsia="Century Gothic" w:cs="Century Gothic"/>
                <w:color w:val="000000"/>
                <w:sz w:val="18"/>
                <w:szCs w:val="18"/>
              </w:rPr>
              <w:t>reliant and overuse tools as form of communication</w:t>
            </w:r>
          </w:p>
        </w:tc>
        <w:tc>
          <w:tcPr>
            <w:tcW w:w="1567" w:type="pct"/>
          </w:tcPr>
          <w:p w14:paraId="04A502D8" w14:textId="77777777" w:rsidR="00086D06" w:rsidRPr="00CB04C3" w:rsidRDefault="00086D06" w:rsidP="00EA37B5">
            <w:pPr>
              <w:spacing w:after="0"/>
              <w:ind w:left="102" w:right="102"/>
              <w:jc w:val="right"/>
              <w:rPr>
                <w:sz w:val="18"/>
                <w:szCs w:val="18"/>
              </w:rPr>
            </w:pPr>
            <w:r w:rsidRPr="00CB04C3">
              <w:rPr>
                <w:rFonts w:eastAsia="Century Gothic" w:cs="Century Gothic"/>
                <w:color w:val="000000"/>
                <w:sz w:val="18"/>
                <w:szCs w:val="18"/>
              </w:rPr>
              <w:t>1 (1.4%)</w:t>
            </w:r>
          </w:p>
        </w:tc>
      </w:tr>
      <w:tr w:rsidR="00086D06" w:rsidRPr="00A144BD" w14:paraId="69DBDC57" w14:textId="77777777" w:rsidTr="008A582F">
        <w:tc>
          <w:tcPr>
            <w:tcW w:w="3433" w:type="pct"/>
          </w:tcPr>
          <w:p w14:paraId="1EBD7001" w14:textId="77777777" w:rsidR="00086D06" w:rsidRPr="00CB04C3" w:rsidRDefault="00086D06" w:rsidP="00EA37B5">
            <w:pPr>
              <w:spacing w:after="0"/>
              <w:ind w:right="102"/>
              <w:rPr>
                <w:rFonts w:eastAsia="Century Gothic" w:cs="Century Gothic"/>
                <w:color w:val="000000"/>
                <w:sz w:val="18"/>
                <w:szCs w:val="18"/>
              </w:rPr>
            </w:pPr>
            <w:r w:rsidRPr="003423CD">
              <w:rPr>
                <w:rFonts w:eastAsia="Century Gothic" w:cs="Century Gothic"/>
                <w:b/>
                <w:bCs/>
                <w:color w:val="1D2455"/>
                <w:sz w:val="18"/>
                <w:szCs w:val="18"/>
              </w:rPr>
              <w:t>Other</w:t>
            </w:r>
          </w:p>
        </w:tc>
        <w:tc>
          <w:tcPr>
            <w:tcW w:w="1567" w:type="pct"/>
          </w:tcPr>
          <w:p w14:paraId="647EA70F" w14:textId="77777777" w:rsidR="00086D06" w:rsidRPr="00CB04C3" w:rsidRDefault="00086D06" w:rsidP="00EA37B5">
            <w:pPr>
              <w:spacing w:after="0"/>
              <w:ind w:left="102" w:right="102"/>
              <w:jc w:val="right"/>
              <w:rPr>
                <w:rFonts w:eastAsia="Century Gothic" w:cs="Century Gothic"/>
                <w:color w:val="000000"/>
                <w:sz w:val="18"/>
                <w:szCs w:val="18"/>
              </w:rPr>
            </w:pPr>
          </w:p>
        </w:tc>
      </w:tr>
      <w:tr w:rsidR="00086D06" w:rsidRPr="00A144BD" w14:paraId="7C807221" w14:textId="77777777" w:rsidTr="008A582F">
        <w:tc>
          <w:tcPr>
            <w:tcW w:w="3433" w:type="pct"/>
          </w:tcPr>
          <w:p w14:paraId="32A0D30B" w14:textId="77777777" w:rsidR="00086D06" w:rsidRDefault="00086D06" w:rsidP="00EA37B5">
            <w:pPr>
              <w:spacing w:after="0"/>
              <w:ind w:left="339" w:right="102"/>
              <w:rPr>
                <w:rFonts w:eastAsia="Century Gothic" w:cs="Century Gothic"/>
                <w:color w:val="000000"/>
                <w:sz w:val="18"/>
                <w:szCs w:val="18"/>
              </w:rPr>
            </w:pPr>
            <w:r w:rsidRPr="00CB04C3">
              <w:rPr>
                <w:rFonts w:eastAsia="Century Gothic" w:cs="Century Gothic"/>
                <w:color w:val="000000"/>
                <w:sz w:val="18"/>
                <w:szCs w:val="18"/>
              </w:rPr>
              <w:t>No change</w:t>
            </w:r>
          </w:p>
        </w:tc>
        <w:tc>
          <w:tcPr>
            <w:tcW w:w="1567" w:type="pct"/>
          </w:tcPr>
          <w:p w14:paraId="5ECD13E0" w14:textId="77777777" w:rsidR="00086D06" w:rsidRPr="00CB04C3" w:rsidRDefault="00086D06" w:rsidP="00EA37B5">
            <w:pPr>
              <w:spacing w:after="0"/>
              <w:ind w:left="102" w:right="102"/>
              <w:jc w:val="right"/>
              <w:rPr>
                <w:rFonts w:eastAsia="Century Gothic" w:cs="Century Gothic"/>
                <w:color w:val="000000"/>
                <w:sz w:val="18"/>
                <w:szCs w:val="18"/>
              </w:rPr>
            </w:pPr>
            <w:r w:rsidRPr="00CB04C3">
              <w:rPr>
                <w:rFonts w:eastAsia="Century Gothic" w:cs="Century Gothic"/>
                <w:color w:val="000000"/>
                <w:sz w:val="18"/>
                <w:szCs w:val="18"/>
              </w:rPr>
              <w:t>8 (11.0%)</w:t>
            </w:r>
          </w:p>
        </w:tc>
      </w:tr>
      <w:tr w:rsidR="00086D06" w:rsidRPr="00A144BD" w14:paraId="593C450D" w14:textId="77777777" w:rsidTr="008A582F">
        <w:tc>
          <w:tcPr>
            <w:tcW w:w="3433" w:type="pct"/>
          </w:tcPr>
          <w:p w14:paraId="66A7628F" w14:textId="77777777" w:rsidR="00086D06" w:rsidRPr="00A83E16" w:rsidRDefault="00086D06" w:rsidP="00EA37B5">
            <w:pPr>
              <w:spacing w:after="0"/>
              <w:ind w:left="339" w:right="102"/>
              <w:rPr>
                <w:rFonts w:eastAsia="Century Gothic" w:cs="Century Gothic"/>
                <w:color w:val="000000"/>
                <w:sz w:val="18"/>
                <w:szCs w:val="18"/>
              </w:rPr>
            </w:pPr>
            <w:r w:rsidRPr="00CB04C3">
              <w:rPr>
                <w:rFonts w:eastAsia="Century Gothic" w:cs="Century Gothic"/>
                <w:color w:val="000000"/>
                <w:sz w:val="18"/>
                <w:szCs w:val="18"/>
              </w:rPr>
              <w:t>Don't use it</w:t>
            </w:r>
          </w:p>
        </w:tc>
        <w:tc>
          <w:tcPr>
            <w:tcW w:w="1567" w:type="pct"/>
          </w:tcPr>
          <w:p w14:paraId="3E7CEA7B" w14:textId="77777777" w:rsidR="00086D06" w:rsidRPr="00CB04C3" w:rsidRDefault="00086D06" w:rsidP="00EA37B5">
            <w:pPr>
              <w:spacing w:after="0"/>
              <w:ind w:left="102" w:right="102"/>
              <w:jc w:val="right"/>
              <w:rPr>
                <w:sz w:val="18"/>
                <w:szCs w:val="18"/>
              </w:rPr>
            </w:pPr>
            <w:r w:rsidRPr="00CB04C3">
              <w:rPr>
                <w:rFonts w:eastAsia="Century Gothic" w:cs="Century Gothic"/>
                <w:color w:val="000000"/>
                <w:sz w:val="18"/>
                <w:szCs w:val="18"/>
              </w:rPr>
              <w:t>6 (8.2%)</w:t>
            </w:r>
          </w:p>
        </w:tc>
      </w:tr>
    </w:tbl>
    <w:p w14:paraId="7831F1CA" w14:textId="1BA2C688" w:rsidR="00086D06" w:rsidRDefault="009B164C" w:rsidP="00086D06">
      <w:pPr>
        <w:pStyle w:val="Chartortablefootnote"/>
        <w:contextualSpacing/>
      </w:pPr>
      <w:r>
        <w:t xml:space="preserve">Notes: </w:t>
      </w:r>
      <w:r w:rsidR="00086D06" w:rsidRPr="00034515">
        <w:rPr>
          <w:vertAlign w:val="superscript"/>
        </w:rPr>
        <w:t>1</w:t>
      </w:r>
      <w:r w:rsidR="00086D06">
        <w:t xml:space="preserve"> Practices could provide more than one reflection. Number of practices is 73. </w:t>
      </w:r>
    </w:p>
    <w:p w14:paraId="2F15CC11" w14:textId="174ABCCF" w:rsidR="00086D06" w:rsidRDefault="00086D06" w:rsidP="00086D06">
      <w:pPr>
        <w:pStyle w:val="Chartortablefootnote"/>
        <w:ind w:left="1985" w:right="2081"/>
      </w:pPr>
      <w:r>
        <w:t xml:space="preserve">Source: Practice survey R5, </w:t>
      </w:r>
      <w:r w:rsidR="00BC2D7A">
        <w:t>Mar–May</w:t>
      </w:r>
      <w:r>
        <w:t xml:space="preserve"> 2021, question 2. </w:t>
      </w:r>
    </w:p>
    <w:p w14:paraId="7242816A" w14:textId="77777777" w:rsidR="00086D06" w:rsidRPr="000410F8" w:rsidRDefault="00086D06" w:rsidP="00086D06">
      <w:pPr>
        <w:pStyle w:val="Heading2"/>
      </w:pPr>
      <w:bookmarkStart w:id="218" w:name="_Toc109996686"/>
      <w:r>
        <w:t>Implementing</w:t>
      </w:r>
      <w:r w:rsidRPr="000410F8">
        <w:t xml:space="preserve"> </w:t>
      </w:r>
      <w:r>
        <w:t>tools within practices</w:t>
      </w:r>
      <w:bookmarkEnd w:id="218"/>
    </w:p>
    <w:p w14:paraId="7C6BA628" w14:textId="77777777" w:rsidR="00086D06" w:rsidRDefault="00086D06" w:rsidP="00086D06">
      <w:pPr>
        <w:rPr>
          <w:szCs w:val="20"/>
        </w:rPr>
      </w:pPr>
      <w:r>
        <w:rPr>
          <w:szCs w:val="20"/>
        </w:rPr>
        <w:t xml:space="preserve">Practices </w:t>
      </w:r>
      <w:r w:rsidRPr="000410F8">
        <w:rPr>
          <w:szCs w:val="20"/>
        </w:rPr>
        <w:t xml:space="preserve">reported </w:t>
      </w:r>
      <w:r>
        <w:rPr>
          <w:szCs w:val="20"/>
        </w:rPr>
        <w:t>“</w:t>
      </w:r>
      <w:r w:rsidRPr="000410F8">
        <w:rPr>
          <w:szCs w:val="20"/>
        </w:rPr>
        <w:t>teething issues</w:t>
      </w:r>
      <w:r>
        <w:rPr>
          <w:szCs w:val="20"/>
        </w:rPr>
        <w:t>”</w:t>
      </w:r>
      <w:r w:rsidRPr="000410F8">
        <w:rPr>
          <w:szCs w:val="20"/>
        </w:rPr>
        <w:t xml:space="preserve"> with implementing shared care planning </w:t>
      </w:r>
      <w:r>
        <w:rPr>
          <w:szCs w:val="20"/>
        </w:rPr>
        <w:t>software</w:t>
      </w:r>
      <w:r w:rsidRPr="000410F8">
        <w:rPr>
          <w:szCs w:val="20"/>
        </w:rPr>
        <w:t xml:space="preserve">. </w:t>
      </w:r>
      <w:r>
        <w:rPr>
          <w:szCs w:val="20"/>
        </w:rPr>
        <w:t xml:space="preserve">At the start, </w:t>
      </w:r>
      <w:r w:rsidRPr="000410F8">
        <w:rPr>
          <w:szCs w:val="20"/>
        </w:rPr>
        <w:t xml:space="preserve">these </w:t>
      </w:r>
      <w:r>
        <w:rPr>
          <w:szCs w:val="20"/>
        </w:rPr>
        <w:t>were predominantly about</w:t>
      </w:r>
      <w:r w:rsidRPr="000410F8">
        <w:rPr>
          <w:szCs w:val="20"/>
        </w:rPr>
        <w:t xml:space="preserve"> software installation. Though </w:t>
      </w:r>
      <w:r>
        <w:rPr>
          <w:szCs w:val="20"/>
        </w:rPr>
        <w:t>installation</w:t>
      </w:r>
      <w:r w:rsidRPr="000410F8">
        <w:rPr>
          <w:szCs w:val="20"/>
        </w:rPr>
        <w:t xml:space="preserve"> issues were </w:t>
      </w:r>
      <w:r w:rsidRPr="000410F8">
        <w:rPr>
          <w:szCs w:val="20"/>
        </w:rPr>
        <w:lastRenderedPageBreak/>
        <w:t xml:space="preserve">ultimately resolved, </w:t>
      </w:r>
      <w:r>
        <w:rPr>
          <w:szCs w:val="20"/>
        </w:rPr>
        <w:t xml:space="preserve">some </w:t>
      </w:r>
      <w:r w:rsidRPr="000410F8">
        <w:rPr>
          <w:szCs w:val="20"/>
        </w:rPr>
        <w:t xml:space="preserve">practices </w:t>
      </w:r>
      <w:r>
        <w:rPr>
          <w:szCs w:val="20"/>
        </w:rPr>
        <w:t>had strong opinions about the software [</w:t>
      </w:r>
      <w:r w:rsidRPr="002E7058">
        <w:rPr>
          <w:i/>
          <w:iCs/>
          <w:szCs w:val="20"/>
        </w:rPr>
        <w:t xml:space="preserve">“Yes, I hated it. It’s horrible.” </w:t>
      </w:r>
      <w:r>
        <w:rPr>
          <w:szCs w:val="20"/>
        </w:rPr>
        <w:t xml:space="preserve">[GP, Practice 1, R5]). </w:t>
      </w:r>
    </w:p>
    <w:p w14:paraId="48D2470A" w14:textId="5C9C806B" w:rsidR="00086D06" w:rsidRDefault="00086D06" w:rsidP="00086D06">
      <w:pPr>
        <w:rPr>
          <w:szCs w:val="20"/>
        </w:rPr>
      </w:pPr>
      <w:r>
        <w:rPr>
          <w:szCs w:val="20"/>
        </w:rPr>
        <w:t xml:space="preserve">Beyond installation they </w:t>
      </w:r>
      <w:r w:rsidRPr="000410F8">
        <w:rPr>
          <w:szCs w:val="20"/>
        </w:rPr>
        <w:t>described ongoing challenges</w:t>
      </w:r>
      <w:r>
        <w:rPr>
          <w:szCs w:val="20"/>
        </w:rPr>
        <w:t xml:space="preserve"> with usability </w:t>
      </w:r>
      <w:r w:rsidRPr="000410F8">
        <w:rPr>
          <w:szCs w:val="20"/>
        </w:rPr>
        <w:t xml:space="preserve">that </w:t>
      </w:r>
      <w:r>
        <w:rPr>
          <w:szCs w:val="20"/>
        </w:rPr>
        <w:t>persisted throughout the trial</w:t>
      </w:r>
      <w:r w:rsidRPr="000410F8">
        <w:rPr>
          <w:szCs w:val="20"/>
        </w:rPr>
        <w:t xml:space="preserve">. </w:t>
      </w:r>
      <w:r>
        <w:rPr>
          <w:szCs w:val="20"/>
        </w:rPr>
        <w:t>They</w:t>
      </w:r>
      <w:r w:rsidRPr="000410F8">
        <w:rPr>
          <w:szCs w:val="20"/>
        </w:rPr>
        <w:t xml:space="preserve"> described </w:t>
      </w:r>
      <w:r>
        <w:rPr>
          <w:szCs w:val="20"/>
        </w:rPr>
        <w:t>the tools</w:t>
      </w:r>
      <w:r w:rsidRPr="000410F8">
        <w:rPr>
          <w:szCs w:val="20"/>
        </w:rPr>
        <w:t xml:space="preserve"> as “clunky”</w:t>
      </w:r>
      <w:r>
        <w:rPr>
          <w:szCs w:val="20"/>
        </w:rPr>
        <w:t xml:space="preserve"> and </w:t>
      </w:r>
      <w:r w:rsidRPr="000410F8">
        <w:rPr>
          <w:szCs w:val="20"/>
        </w:rPr>
        <w:t xml:space="preserve">“cumbersome” </w:t>
      </w:r>
      <w:r>
        <w:rPr>
          <w:szCs w:val="20"/>
        </w:rPr>
        <w:t xml:space="preserve">and thought that the functionality was often far below </w:t>
      </w:r>
      <w:r w:rsidR="00B63B56">
        <w:rPr>
          <w:szCs w:val="20"/>
        </w:rPr>
        <w:t>that of</w:t>
      </w:r>
      <w:r>
        <w:rPr>
          <w:szCs w:val="20"/>
        </w:rPr>
        <w:t xml:space="preserve"> their existing clinical management systems:</w:t>
      </w:r>
    </w:p>
    <w:p w14:paraId="45FC23DF" w14:textId="77777777" w:rsidR="00086D06" w:rsidRDefault="00086D06" w:rsidP="00086D06">
      <w:pPr>
        <w:ind w:left="567" w:right="521"/>
        <w:rPr>
          <w:szCs w:val="20"/>
        </w:rPr>
      </w:pPr>
      <w:r w:rsidRPr="006C3955">
        <w:rPr>
          <w:i/>
          <w:iCs/>
          <w:szCs w:val="20"/>
        </w:rPr>
        <w:t>“On average, 20 to 30 minutes for [the existing clinical management system] and at least an hour to an hour and 20 minutes it takes me to do a [new shared care planning tool] care plan.”</w:t>
      </w:r>
      <w:r w:rsidRPr="006C3955">
        <w:rPr>
          <w:szCs w:val="20"/>
        </w:rPr>
        <w:t xml:space="preserve"> [Practice nurse, Practice 7, R2]</w:t>
      </w:r>
    </w:p>
    <w:p w14:paraId="74F908A9" w14:textId="77777777" w:rsidR="00086D06" w:rsidRDefault="00086D06" w:rsidP="00086D06">
      <w:pPr>
        <w:ind w:left="567" w:right="521"/>
        <w:rPr>
          <w:szCs w:val="20"/>
        </w:rPr>
      </w:pPr>
      <w:r w:rsidRPr="00D97262">
        <w:rPr>
          <w:i/>
          <w:iCs/>
          <w:szCs w:val="20"/>
        </w:rPr>
        <w:t>“The care planning part is just a bit too tedious at the moment…”</w:t>
      </w:r>
      <w:r>
        <w:rPr>
          <w:szCs w:val="20"/>
        </w:rPr>
        <w:t xml:space="preserve"> [GP, Practice 21, R5]</w:t>
      </w:r>
      <w:r w:rsidRPr="000410F8">
        <w:rPr>
          <w:szCs w:val="20"/>
        </w:rPr>
        <w:t>.</w:t>
      </w:r>
    </w:p>
    <w:p w14:paraId="10CE35C1" w14:textId="77777777" w:rsidR="00086D06" w:rsidRPr="000410F8" w:rsidRDefault="00086D06" w:rsidP="00086D06">
      <w:pPr>
        <w:ind w:left="567" w:right="521"/>
        <w:rPr>
          <w:szCs w:val="20"/>
        </w:rPr>
      </w:pPr>
      <w:r>
        <w:rPr>
          <w:i/>
          <w:iCs/>
          <w:szCs w:val="20"/>
        </w:rPr>
        <w:t>“</w:t>
      </w:r>
      <w:r w:rsidRPr="00A66AC8">
        <w:rPr>
          <w:i/>
          <w:iCs/>
          <w:szCs w:val="20"/>
        </w:rPr>
        <w:t xml:space="preserve">One of the things we wouldn’t want to take forward from Health Care Homes is </w:t>
      </w:r>
      <w:r w:rsidRPr="006C3955">
        <w:rPr>
          <w:i/>
          <w:iCs/>
          <w:szCs w:val="20"/>
        </w:rPr>
        <w:t>[</w:t>
      </w:r>
      <w:r>
        <w:rPr>
          <w:i/>
          <w:iCs/>
          <w:szCs w:val="20"/>
        </w:rPr>
        <w:t xml:space="preserve">the </w:t>
      </w:r>
      <w:r w:rsidRPr="006C3955">
        <w:rPr>
          <w:i/>
          <w:iCs/>
          <w:szCs w:val="20"/>
        </w:rPr>
        <w:t>new shared care planning tool]</w:t>
      </w:r>
      <w:r w:rsidRPr="00A66AC8">
        <w:rPr>
          <w:i/>
          <w:iCs/>
          <w:szCs w:val="20"/>
        </w:rPr>
        <w:t xml:space="preserve">, it’s been considerably clunky. I feel like the technology fails us in general practice in so many areas, and it really shouldn’t be that hard. I’m not sure any other industry would really tolerate it. But we’ve really appreciated a shared platform, however using that platform is really difficult unnecessarily. It’s been difficult to put things into </w:t>
      </w:r>
      <w:r w:rsidRPr="006C3955">
        <w:rPr>
          <w:i/>
          <w:iCs/>
          <w:szCs w:val="20"/>
        </w:rPr>
        <w:t>[</w:t>
      </w:r>
      <w:r>
        <w:rPr>
          <w:i/>
          <w:iCs/>
          <w:szCs w:val="20"/>
        </w:rPr>
        <w:t xml:space="preserve">the </w:t>
      </w:r>
      <w:r w:rsidRPr="006C3955">
        <w:rPr>
          <w:i/>
          <w:iCs/>
          <w:szCs w:val="20"/>
        </w:rPr>
        <w:t xml:space="preserve">new shared care planning tool] </w:t>
      </w:r>
      <w:r w:rsidRPr="00A66AC8">
        <w:rPr>
          <w:i/>
          <w:iCs/>
          <w:szCs w:val="20"/>
        </w:rPr>
        <w:t>one at a time when you could quite easily change swathes of information quite quickly.”</w:t>
      </w:r>
      <w:r w:rsidRPr="00A66AC8">
        <w:rPr>
          <w:szCs w:val="20"/>
        </w:rPr>
        <w:t xml:space="preserve"> [</w:t>
      </w:r>
      <w:r>
        <w:rPr>
          <w:szCs w:val="20"/>
        </w:rPr>
        <w:t>GP, Practice 9, R5]</w:t>
      </w:r>
    </w:p>
    <w:p w14:paraId="51F0F86A" w14:textId="77777777" w:rsidR="00086D06" w:rsidRDefault="00086D06" w:rsidP="00086D06">
      <w:pPr>
        <w:rPr>
          <w:szCs w:val="20"/>
        </w:rPr>
      </w:pPr>
      <w:r>
        <w:rPr>
          <w:szCs w:val="20"/>
        </w:rPr>
        <w:t>A k</w:t>
      </w:r>
      <w:r w:rsidRPr="000410F8">
        <w:rPr>
          <w:szCs w:val="20"/>
        </w:rPr>
        <w:t xml:space="preserve">ey issue </w:t>
      </w:r>
      <w:r>
        <w:rPr>
          <w:szCs w:val="20"/>
        </w:rPr>
        <w:t>was</w:t>
      </w:r>
      <w:r w:rsidRPr="000410F8">
        <w:rPr>
          <w:szCs w:val="20"/>
        </w:rPr>
        <w:t xml:space="preserve"> the inability </w:t>
      </w:r>
      <w:r>
        <w:rPr>
          <w:szCs w:val="20"/>
        </w:rPr>
        <w:t xml:space="preserve">to </w:t>
      </w:r>
      <w:r w:rsidRPr="000410F8">
        <w:rPr>
          <w:szCs w:val="20"/>
        </w:rPr>
        <w:t>auto</w:t>
      </w:r>
      <w:r>
        <w:rPr>
          <w:szCs w:val="20"/>
        </w:rPr>
        <w:t>-</w:t>
      </w:r>
      <w:r w:rsidRPr="000410F8">
        <w:rPr>
          <w:szCs w:val="20"/>
        </w:rPr>
        <w:t xml:space="preserve">populate patient information from </w:t>
      </w:r>
      <w:r>
        <w:rPr>
          <w:szCs w:val="20"/>
        </w:rPr>
        <w:t>practices’ existing</w:t>
      </w:r>
      <w:r w:rsidRPr="000410F8">
        <w:rPr>
          <w:szCs w:val="20"/>
        </w:rPr>
        <w:t xml:space="preserve"> clinical management systems</w:t>
      </w:r>
      <w:r>
        <w:rPr>
          <w:szCs w:val="20"/>
        </w:rPr>
        <w:t>, creating additional workload and resulting in less staff engagement with the shared care planning tools, especially from GPs:</w:t>
      </w:r>
    </w:p>
    <w:p w14:paraId="2476E967" w14:textId="77777777" w:rsidR="00086D06" w:rsidRDefault="00086D06" w:rsidP="00086D06">
      <w:pPr>
        <w:ind w:left="567" w:right="521"/>
        <w:rPr>
          <w:szCs w:val="20"/>
        </w:rPr>
      </w:pPr>
      <w:r w:rsidRPr="007F3AB7">
        <w:rPr>
          <w:i/>
          <w:iCs/>
          <w:szCs w:val="20"/>
        </w:rPr>
        <w:t>“…having two different systems hasn’t been great either. I think as a GP, I’m working pretty flat out from 7:45 in the morning till six o’clock at night, and people are coming at me quickly. And I’m sorting out the problems as they’re coming. And for me to go into a different software at the end of the day when I’ve already been at it for 10 hours is probably not the easiest thing to manage…So I think having one system would be very much easier.”</w:t>
      </w:r>
      <w:r w:rsidRPr="007F3AB7">
        <w:rPr>
          <w:szCs w:val="20"/>
        </w:rPr>
        <w:t xml:space="preserve"> [GP, Practice 1</w:t>
      </w:r>
      <w:r>
        <w:rPr>
          <w:szCs w:val="20"/>
        </w:rPr>
        <w:t>, R4</w:t>
      </w:r>
      <w:r w:rsidRPr="007F3AB7">
        <w:rPr>
          <w:szCs w:val="20"/>
        </w:rPr>
        <w:t>]</w:t>
      </w:r>
    </w:p>
    <w:p w14:paraId="00E4E7AB" w14:textId="77777777" w:rsidR="00086D06" w:rsidRDefault="00086D06" w:rsidP="00086D06">
      <w:pPr>
        <w:ind w:left="567" w:right="521"/>
        <w:rPr>
          <w:szCs w:val="20"/>
        </w:rPr>
      </w:pPr>
      <w:r w:rsidRPr="005953D8">
        <w:rPr>
          <w:i/>
          <w:iCs/>
          <w:szCs w:val="20"/>
        </w:rPr>
        <w:t>“…you look at things like…</w:t>
      </w:r>
      <w:r>
        <w:rPr>
          <w:i/>
          <w:iCs/>
          <w:szCs w:val="20"/>
        </w:rPr>
        <w:t>[different shared care planning software]</w:t>
      </w:r>
      <w:r w:rsidRPr="005953D8">
        <w:rPr>
          <w:i/>
          <w:iCs/>
          <w:szCs w:val="20"/>
        </w:rPr>
        <w:t>, they don’t extract that kind of stuff. They’ve got their own sections, where you have to re-enter what you’re actually doing. So, in both the desktop software and those handheld software for care planning, you’ve actually got to redo stuff, re-enter stuff. And it’s only in the output documents that you’re putting that. It’s not actually being embedded within the patient’s file. So</w:t>
      </w:r>
      <w:r>
        <w:rPr>
          <w:i/>
          <w:iCs/>
          <w:szCs w:val="20"/>
        </w:rPr>
        <w:t>,</w:t>
      </w:r>
      <w:r w:rsidRPr="005953D8">
        <w:rPr>
          <w:i/>
          <w:iCs/>
          <w:szCs w:val="20"/>
        </w:rPr>
        <w:t xml:space="preserve"> it just takes more work to do it.“</w:t>
      </w:r>
      <w:r>
        <w:rPr>
          <w:szCs w:val="20"/>
        </w:rPr>
        <w:t xml:space="preserve"> [</w:t>
      </w:r>
      <w:r w:rsidRPr="005953D8">
        <w:rPr>
          <w:szCs w:val="20"/>
        </w:rPr>
        <w:t>GP</w:t>
      </w:r>
      <w:r>
        <w:rPr>
          <w:szCs w:val="20"/>
        </w:rPr>
        <w:t xml:space="preserve">, </w:t>
      </w:r>
      <w:r w:rsidRPr="005953D8">
        <w:rPr>
          <w:szCs w:val="20"/>
        </w:rPr>
        <w:t>Practice12</w:t>
      </w:r>
      <w:r>
        <w:rPr>
          <w:szCs w:val="20"/>
        </w:rPr>
        <w:t>, R5]</w:t>
      </w:r>
    </w:p>
    <w:p w14:paraId="68983707" w14:textId="77777777" w:rsidR="00086D06" w:rsidRDefault="00086D06" w:rsidP="00086D06">
      <w:pPr>
        <w:ind w:left="567" w:right="521"/>
        <w:rPr>
          <w:szCs w:val="20"/>
        </w:rPr>
      </w:pPr>
      <w:r w:rsidRPr="0018096B">
        <w:rPr>
          <w:i/>
          <w:iCs/>
          <w:szCs w:val="20"/>
        </w:rPr>
        <w:t xml:space="preserve">“…they’re seeing their own patients and having to revert back to their own clinical software. So, they find that just quite painful. And again, that’s due to the numbers, because you might see one Health Care Homes patient, you might </w:t>
      </w:r>
      <w:r>
        <w:rPr>
          <w:i/>
          <w:iCs/>
          <w:szCs w:val="20"/>
        </w:rPr>
        <w:t xml:space="preserve">see </w:t>
      </w:r>
      <w:r w:rsidRPr="0018096B">
        <w:rPr>
          <w:i/>
          <w:iCs/>
          <w:szCs w:val="20"/>
        </w:rPr>
        <w:t xml:space="preserve">two or three of your non-Health Care Homes, so you’re jumping in and out of different software. They say the software can be quite clunky. Initially too, setting it up, it’s quite time-consuming. And then you’ve got the other problem, the GPs don’t want to use it.” </w:t>
      </w:r>
      <w:r>
        <w:rPr>
          <w:szCs w:val="20"/>
        </w:rPr>
        <w:t>[PHN 9, Interview, R5]</w:t>
      </w:r>
    </w:p>
    <w:p w14:paraId="2A3D4D55" w14:textId="77777777" w:rsidR="00040D89" w:rsidRDefault="00040D89">
      <w:pPr>
        <w:spacing w:after="160" w:line="259" w:lineRule="auto"/>
        <w:rPr>
          <w:szCs w:val="20"/>
        </w:rPr>
      </w:pPr>
      <w:r>
        <w:rPr>
          <w:szCs w:val="20"/>
        </w:rPr>
        <w:lastRenderedPageBreak/>
        <w:br w:type="page"/>
      </w:r>
    </w:p>
    <w:p w14:paraId="3283F251" w14:textId="00ADE52B" w:rsidR="00086D06" w:rsidRDefault="00086D06" w:rsidP="00086D06">
      <w:pPr>
        <w:rPr>
          <w:szCs w:val="20"/>
        </w:rPr>
      </w:pPr>
      <w:r>
        <w:rPr>
          <w:szCs w:val="20"/>
        </w:rPr>
        <w:lastRenderedPageBreak/>
        <w:t xml:space="preserve">Although the tools tended to have templates for common chronic conditions such as diabetes and COPD, they were difficult to use with less common conditions due to the lack of prompts to </w:t>
      </w:r>
      <w:r w:rsidRPr="000410F8">
        <w:rPr>
          <w:szCs w:val="20"/>
        </w:rPr>
        <w:t>include all necessary patient history and information</w:t>
      </w:r>
      <w:r>
        <w:rPr>
          <w:szCs w:val="20"/>
        </w:rPr>
        <w:t xml:space="preserve">. Practices were also frustrated that they couldn’t customise </w:t>
      </w:r>
      <w:r w:rsidRPr="000410F8">
        <w:rPr>
          <w:szCs w:val="20"/>
        </w:rPr>
        <w:t>templates to make them more user friendly</w:t>
      </w:r>
      <w:r>
        <w:rPr>
          <w:szCs w:val="20"/>
        </w:rPr>
        <w:t xml:space="preserve">. </w:t>
      </w:r>
    </w:p>
    <w:p w14:paraId="0AF3EC83" w14:textId="043EFB1A" w:rsidR="00086D06" w:rsidRDefault="00086D06" w:rsidP="00086D06">
      <w:pPr>
        <w:rPr>
          <w:szCs w:val="20"/>
        </w:rPr>
      </w:pPr>
      <w:r w:rsidRPr="000410F8">
        <w:rPr>
          <w:szCs w:val="20"/>
        </w:rPr>
        <w:t xml:space="preserve">In </w:t>
      </w:r>
      <w:r w:rsidR="00040D89">
        <w:rPr>
          <w:szCs w:val="20"/>
        </w:rPr>
        <w:t>the</w:t>
      </w:r>
      <w:r w:rsidRPr="000410F8">
        <w:rPr>
          <w:szCs w:val="20"/>
        </w:rPr>
        <w:t xml:space="preserve"> </w:t>
      </w:r>
      <w:r w:rsidR="000715F3">
        <w:rPr>
          <w:szCs w:val="20"/>
        </w:rPr>
        <w:t>round</w:t>
      </w:r>
      <w:r w:rsidRPr="000410F8">
        <w:rPr>
          <w:szCs w:val="20"/>
        </w:rPr>
        <w:t xml:space="preserve"> 4</w:t>
      </w:r>
      <w:r>
        <w:rPr>
          <w:szCs w:val="20"/>
        </w:rPr>
        <w:t xml:space="preserve"> and 5 </w:t>
      </w:r>
      <w:r w:rsidRPr="000410F8">
        <w:rPr>
          <w:szCs w:val="20"/>
        </w:rPr>
        <w:t>practice interviews</w:t>
      </w:r>
      <w:r w:rsidR="006A61EB">
        <w:rPr>
          <w:szCs w:val="20"/>
        </w:rPr>
        <w:t xml:space="preserve"> for the evaluation</w:t>
      </w:r>
      <w:r w:rsidRPr="000410F8">
        <w:rPr>
          <w:szCs w:val="20"/>
        </w:rPr>
        <w:t>, staff</w:t>
      </w:r>
      <w:r>
        <w:rPr>
          <w:szCs w:val="20"/>
        </w:rPr>
        <w:t xml:space="preserve"> reported</w:t>
      </w:r>
      <w:r w:rsidRPr="000410F8">
        <w:rPr>
          <w:szCs w:val="20"/>
        </w:rPr>
        <w:t xml:space="preserve"> ongoing issues with the limited functionality of the systems that extended beyond the creation of care plan</w:t>
      </w:r>
      <w:r w:rsidR="00C96947">
        <w:rPr>
          <w:szCs w:val="20"/>
        </w:rPr>
        <w:t>s</w:t>
      </w:r>
      <w:r w:rsidRPr="000410F8">
        <w:rPr>
          <w:szCs w:val="20"/>
        </w:rPr>
        <w:t xml:space="preserve"> and included the tools’ inability to support key patient activities</w:t>
      </w:r>
      <w:r>
        <w:rPr>
          <w:szCs w:val="20"/>
        </w:rPr>
        <w:t xml:space="preserve">, </w:t>
      </w:r>
      <w:r w:rsidRPr="000410F8">
        <w:rPr>
          <w:szCs w:val="20"/>
        </w:rPr>
        <w:t xml:space="preserve">such as monitoring physiological measures or setting and tracking patient goals. </w:t>
      </w:r>
      <w:r w:rsidRPr="002B12AE">
        <w:rPr>
          <w:szCs w:val="20"/>
        </w:rPr>
        <w:t>Because of these challenges, some practices stated they were not using the shared care planning tools at all or opted to use other tools outside of the shared care planning software options:</w:t>
      </w:r>
    </w:p>
    <w:p w14:paraId="4AC52452" w14:textId="77777777" w:rsidR="00086D06" w:rsidRDefault="00086D06" w:rsidP="00086D06">
      <w:pPr>
        <w:ind w:left="567" w:right="521"/>
        <w:rPr>
          <w:szCs w:val="20"/>
        </w:rPr>
      </w:pPr>
      <w:r w:rsidRPr="00627924">
        <w:rPr>
          <w:i/>
          <w:iCs/>
          <w:szCs w:val="20"/>
        </w:rPr>
        <w:t>“I think if there were better systems in place to help patients track things, and I don’t think what we use with [shared care planning software] is effective in that way... I think other businesses have great tools for you can see when things are due or get automated reminders in ways that are maybe more effective than what our current tools, be it [system 1] or [system 2], offer. And I think it’s the tools that constrain us.”</w:t>
      </w:r>
      <w:r w:rsidRPr="00627924">
        <w:rPr>
          <w:szCs w:val="20"/>
        </w:rPr>
        <w:t xml:space="preserve"> [GP, Practice </w:t>
      </w:r>
      <w:r>
        <w:rPr>
          <w:szCs w:val="20"/>
        </w:rPr>
        <w:t>22, R4</w:t>
      </w:r>
      <w:r w:rsidRPr="00627924">
        <w:rPr>
          <w:szCs w:val="20"/>
        </w:rPr>
        <w:t>]</w:t>
      </w:r>
    </w:p>
    <w:p w14:paraId="080F499D" w14:textId="77777777" w:rsidR="00086D06" w:rsidRDefault="00086D06" w:rsidP="00086D06">
      <w:pPr>
        <w:ind w:left="567" w:right="521"/>
        <w:rPr>
          <w:szCs w:val="20"/>
        </w:rPr>
      </w:pPr>
      <w:r w:rsidRPr="00CA0F86">
        <w:rPr>
          <w:i/>
          <w:iCs/>
          <w:szCs w:val="20"/>
        </w:rPr>
        <w:t xml:space="preserve">“I know we've had lots of support from </w:t>
      </w:r>
      <w:r w:rsidRPr="00627924">
        <w:rPr>
          <w:i/>
          <w:iCs/>
          <w:szCs w:val="20"/>
        </w:rPr>
        <w:t>[shared care planning software</w:t>
      </w:r>
      <w:r>
        <w:rPr>
          <w:i/>
          <w:iCs/>
          <w:szCs w:val="20"/>
        </w:rPr>
        <w:t xml:space="preserve"> vendor</w:t>
      </w:r>
      <w:r w:rsidRPr="00627924">
        <w:rPr>
          <w:i/>
          <w:iCs/>
          <w:szCs w:val="20"/>
        </w:rPr>
        <w:t xml:space="preserve">] </w:t>
      </w:r>
      <w:r w:rsidRPr="00CA0F86">
        <w:rPr>
          <w:i/>
          <w:iCs/>
          <w:szCs w:val="20"/>
        </w:rPr>
        <w:t xml:space="preserve">but it's quite time-consuming and I found that's probably the biggest part of the Health Care Homes trial that didn't work with us.” </w:t>
      </w:r>
      <w:r>
        <w:rPr>
          <w:szCs w:val="20"/>
        </w:rPr>
        <w:t>[Nurse, Practice 4, R5]</w:t>
      </w:r>
    </w:p>
    <w:p w14:paraId="4D87CE1F" w14:textId="77777777" w:rsidR="00086D06" w:rsidRDefault="00086D06" w:rsidP="00086D06">
      <w:pPr>
        <w:ind w:left="567" w:right="521"/>
        <w:rPr>
          <w:szCs w:val="20"/>
        </w:rPr>
      </w:pPr>
      <w:r w:rsidRPr="00646510">
        <w:rPr>
          <w:i/>
          <w:iCs/>
          <w:szCs w:val="20"/>
        </w:rPr>
        <w:t>“…the way I’m doing the care plans, because I tried to use the [shared care planning software] to do a care plan before, it’s just so inconvenient. So, I’m still doing the same way of care plan as usual on our software, on the [practice clinical management system].”</w:t>
      </w:r>
      <w:r w:rsidRPr="00646510">
        <w:rPr>
          <w:szCs w:val="20"/>
        </w:rPr>
        <w:t xml:space="preserve"> [Nurse, Practice 10</w:t>
      </w:r>
      <w:r>
        <w:rPr>
          <w:szCs w:val="20"/>
        </w:rPr>
        <w:t>, R4</w:t>
      </w:r>
      <w:r w:rsidRPr="00646510">
        <w:rPr>
          <w:szCs w:val="20"/>
        </w:rPr>
        <w:t>]</w:t>
      </w:r>
    </w:p>
    <w:p w14:paraId="6DFB5D0A" w14:textId="77777777" w:rsidR="00086D06" w:rsidRPr="000410F8" w:rsidRDefault="00086D06" w:rsidP="00086D06">
      <w:pPr>
        <w:ind w:left="567" w:right="521"/>
        <w:rPr>
          <w:szCs w:val="20"/>
        </w:rPr>
      </w:pPr>
      <w:r w:rsidRPr="004B5AA2">
        <w:rPr>
          <w:i/>
          <w:iCs/>
          <w:szCs w:val="20"/>
        </w:rPr>
        <w:t xml:space="preserve">“…even some of the allied health providers that used to be quite comfortable and familiar with </w:t>
      </w:r>
      <w:r w:rsidRPr="00627924">
        <w:rPr>
          <w:i/>
          <w:iCs/>
          <w:szCs w:val="20"/>
        </w:rPr>
        <w:t xml:space="preserve">[shared care planning software] </w:t>
      </w:r>
      <w:r w:rsidRPr="004B5AA2">
        <w:rPr>
          <w:i/>
          <w:iCs/>
          <w:szCs w:val="20"/>
        </w:rPr>
        <w:t>are using it less and less, and probably because of the functionality.”</w:t>
      </w:r>
      <w:r>
        <w:rPr>
          <w:szCs w:val="20"/>
        </w:rPr>
        <w:t xml:space="preserve"> [Senior Receptionist, Practice 9, R5]</w:t>
      </w:r>
    </w:p>
    <w:p w14:paraId="5F2D4A68" w14:textId="77777777" w:rsidR="00086D06" w:rsidRPr="000410F8" w:rsidRDefault="00086D06" w:rsidP="00086D06">
      <w:pPr>
        <w:rPr>
          <w:szCs w:val="20"/>
        </w:rPr>
      </w:pPr>
      <w:r>
        <w:rPr>
          <w:szCs w:val="20"/>
        </w:rPr>
        <w:t xml:space="preserve">One PHN commented that the software was not </w:t>
      </w:r>
      <w:r>
        <w:rPr>
          <w:i/>
          <w:iCs/>
          <w:szCs w:val="20"/>
        </w:rPr>
        <w:t xml:space="preserve">“advanced enough for the implementation” </w:t>
      </w:r>
      <w:r>
        <w:rPr>
          <w:szCs w:val="20"/>
        </w:rPr>
        <w:t>[PHN survey, PHN 5, R4]. Practices also echoed this, in some instances reporting that the use of the software reduced the quality of their care plans:</w:t>
      </w:r>
    </w:p>
    <w:p w14:paraId="678C68B2" w14:textId="77777777" w:rsidR="00086D06" w:rsidRDefault="00086D06" w:rsidP="00086D06">
      <w:pPr>
        <w:ind w:left="567" w:right="521"/>
        <w:rPr>
          <w:szCs w:val="20"/>
        </w:rPr>
      </w:pPr>
      <w:r w:rsidRPr="008560AA">
        <w:rPr>
          <w:i/>
          <w:iCs/>
          <w:szCs w:val="20"/>
        </w:rPr>
        <w:t>“The issue with, I think the software, has been a bit clunky at times. We found that having to use the [shared care planning] software, it didn’t mesh very well with the software we were using, and the nursing staff when they were using it, were finding, they felt like they were double handling data...Whereas I think the care plans we’d previously been producing were of pretty high standard and we couldn’t see that there was a lot of benefit in us using [it].”</w:t>
      </w:r>
      <w:r w:rsidRPr="008560AA">
        <w:rPr>
          <w:szCs w:val="20"/>
        </w:rPr>
        <w:t xml:space="preserve"> [GP, Practice 2</w:t>
      </w:r>
      <w:r>
        <w:rPr>
          <w:szCs w:val="20"/>
        </w:rPr>
        <w:t>, R4</w:t>
      </w:r>
      <w:r w:rsidRPr="008560AA">
        <w:rPr>
          <w:szCs w:val="20"/>
        </w:rPr>
        <w:t>]</w:t>
      </w:r>
    </w:p>
    <w:p w14:paraId="10996A9B" w14:textId="05A9F099" w:rsidR="00086D06" w:rsidRDefault="00086D06" w:rsidP="00086D06">
      <w:pPr>
        <w:ind w:left="567" w:right="521"/>
        <w:rPr>
          <w:szCs w:val="20"/>
        </w:rPr>
      </w:pPr>
      <w:r w:rsidRPr="004D1998">
        <w:rPr>
          <w:i/>
          <w:iCs/>
          <w:szCs w:val="20"/>
        </w:rPr>
        <w:t>“I think one of the other big limitations has been one of the tools we were required to use, the shared care plan…And the reason why I say that’s limiting is because I found when we were using it early on, I didn’t feel it was enhancing patient care. It was more of a check box exercise. It led to duplication in some situations because we’d record certain information in the clinical record</w:t>
      </w:r>
      <w:r>
        <w:rPr>
          <w:i/>
          <w:iCs/>
          <w:szCs w:val="20"/>
        </w:rPr>
        <w:t>…</w:t>
      </w:r>
      <w:r w:rsidRPr="004D1998">
        <w:rPr>
          <w:i/>
          <w:iCs/>
          <w:szCs w:val="20"/>
        </w:rPr>
        <w:t xml:space="preserve"> but it wouldn't necessarily sync well with the </w:t>
      </w:r>
      <w:r w:rsidR="000908C4" w:rsidRPr="004D1998">
        <w:rPr>
          <w:i/>
          <w:iCs/>
          <w:szCs w:val="20"/>
        </w:rPr>
        <w:t>third-party</w:t>
      </w:r>
      <w:r w:rsidRPr="004D1998">
        <w:rPr>
          <w:i/>
          <w:iCs/>
          <w:szCs w:val="20"/>
        </w:rPr>
        <w:t xml:space="preserve"> software….</w:t>
      </w:r>
      <w:r w:rsidRPr="004D1998">
        <w:rPr>
          <w:i/>
          <w:iCs/>
        </w:rPr>
        <w:t xml:space="preserve"> </w:t>
      </w:r>
      <w:r w:rsidRPr="004D1998">
        <w:rPr>
          <w:i/>
          <w:iCs/>
          <w:szCs w:val="20"/>
        </w:rPr>
        <w:t xml:space="preserve">I’d simplify it. For </w:t>
      </w:r>
      <w:r w:rsidRPr="004D1998">
        <w:rPr>
          <w:i/>
          <w:iCs/>
          <w:szCs w:val="20"/>
        </w:rPr>
        <w:lastRenderedPageBreak/>
        <w:t>example, not forcing people to use tools like the shared care planning tool.”</w:t>
      </w:r>
      <w:r>
        <w:rPr>
          <w:szCs w:val="20"/>
        </w:rPr>
        <w:t xml:space="preserve"> [GP, Practice 22, R5]</w:t>
      </w:r>
    </w:p>
    <w:p w14:paraId="689B6C09" w14:textId="77777777" w:rsidR="00086D06" w:rsidRDefault="00086D06" w:rsidP="00086D06">
      <w:pPr>
        <w:rPr>
          <w:szCs w:val="20"/>
        </w:rPr>
      </w:pPr>
      <w:r>
        <w:rPr>
          <w:szCs w:val="20"/>
        </w:rPr>
        <w:t>Practices were also concerned about whether they would continue to have access to the information that they input into the software that was provided at no cost by one vendor for the trial:</w:t>
      </w:r>
    </w:p>
    <w:p w14:paraId="2D8C8A29" w14:textId="77777777" w:rsidR="00086D06" w:rsidRDefault="00086D06" w:rsidP="00086D06">
      <w:pPr>
        <w:ind w:left="567" w:right="521"/>
        <w:rPr>
          <w:szCs w:val="20"/>
        </w:rPr>
      </w:pPr>
      <w:r w:rsidRPr="006C623A">
        <w:rPr>
          <w:i/>
          <w:iCs/>
          <w:szCs w:val="20"/>
        </w:rPr>
        <w:t xml:space="preserve">“I think one other issue, probably, with using the </w:t>
      </w:r>
      <w:r w:rsidRPr="00627924">
        <w:rPr>
          <w:i/>
          <w:iCs/>
          <w:szCs w:val="20"/>
        </w:rPr>
        <w:t>[shared care planning software]</w:t>
      </w:r>
      <w:r w:rsidRPr="006C623A">
        <w:rPr>
          <w:i/>
          <w:iCs/>
          <w:szCs w:val="20"/>
        </w:rPr>
        <w:t xml:space="preserve">, is that it doesn’t store </w:t>
      </w:r>
      <w:r>
        <w:rPr>
          <w:i/>
          <w:iCs/>
          <w:szCs w:val="20"/>
        </w:rPr>
        <w:t>into your</w:t>
      </w:r>
      <w:r w:rsidRPr="006C623A">
        <w:rPr>
          <w:i/>
          <w:iCs/>
          <w:szCs w:val="20"/>
        </w:rPr>
        <w:t xml:space="preserve"> clinical software. So, that’s a bit of an issue, because if it all ends, we’re not going to have access to any of those documents.”</w:t>
      </w:r>
      <w:r>
        <w:rPr>
          <w:szCs w:val="20"/>
        </w:rPr>
        <w:t xml:space="preserve"> [Practice Manager, Practice 24, R5]</w:t>
      </w:r>
    </w:p>
    <w:p w14:paraId="039D0829" w14:textId="77777777" w:rsidR="00086D06" w:rsidRPr="002C3550" w:rsidRDefault="00086D06" w:rsidP="00086D06">
      <w:pPr>
        <w:pStyle w:val="Heading3"/>
        <w:rPr>
          <w:rFonts w:eastAsia="Times New Roman" w:cs="Times New Roman"/>
          <w:bCs/>
          <w:sz w:val="32"/>
          <w:szCs w:val="36"/>
          <w:lang w:eastAsia="en-AU"/>
        </w:rPr>
      </w:pPr>
      <w:r w:rsidRPr="002C3550">
        <w:rPr>
          <w:rFonts w:eastAsia="Times New Roman" w:cs="Times New Roman"/>
          <w:bCs/>
          <w:sz w:val="32"/>
          <w:szCs w:val="36"/>
          <w:lang w:eastAsia="en-AU"/>
        </w:rPr>
        <w:t>Communication across the neighbourhood</w:t>
      </w:r>
    </w:p>
    <w:p w14:paraId="3A4EC863" w14:textId="6DEE8F6C" w:rsidR="00086D06" w:rsidRDefault="00086D06" w:rsidP="00086D06">
      <w:pPr>
        <w:rPr>
          <w:szCs w:val="20"/>
        </w:rPr>
      </w:pPr>
      <w:r>
        <w:rPr>
          <w:szCs w:val="20"/>
        </w:rPr>
        <w:t xml:space="preserve">Practices supported the idea of tools </w:t>
      </w:r>
      <w:r w:rsidR="000047EB">
        <w:rPr>
          <w:szCs w:val="20"/>
        </w:rPr>
        <w:t xml:space="preserve">through </w:t>
      </w:r>
      <w:r>
        <w:rPr>
          <w:szCs w:val="20"/>
        </w:rPr>
        <w:t xml:space="preserve">which they could </w:t>
      </w:r>
      <w:r w:rsidR="009738BB">
        <w:rPr>
          <w:szCs w:val="20"/>
        </w:rPr>
        <w:t>share</w:t>
      </w:r>
      <w:r w:rsidR="00BE4F5C">
        <w:rPr>
          <w:szCs w:val="20"/>
        </w:rPr>
        <w:t xml:space="preserve"> </w:t>
      </w:r>
      <w:r>
        <w:rPr>
          <w:szCs w:val="20"/>
        </w:rPr>
        <w:t xml:space="preserve">information about a patient </w:t>
      </w:r>
      <w:r w:rsidR="00BE4F5C">
        <w:rPr>
          <w:szCs w:val="20"/>
        </w:rPr>
        <w:t xml:space="preserve">with other </w:t>
      </w:r>
      <w:r>
        <w:rPr>
          <w:szCs w:val="20"/>
        </w:rPr>
        <w:t>providers:</w:t>
      </w:r>
    </w:p>
    <w:p w14:paraId="7B6A6058" w14:textId="77777777" w:rsidR="00086D06" w:rsidRPr="00E37424" w:rsidRDefault="00086D06" w:rsidP="00086D06">
      <w:pPr>
        <w:ind w:left="567" w:right="521"/>
        <w:rPr>
          <w:iCs/>
          <w:szCs w:val="20"/>
        </w:rPr>
      </w:pPr>
      <w:r w:rsidRPr="000C5B57">
        <w:rPr>
          <w:i/>
          <w:iCs/>
          <w:szCs w:val="20"/>
        </w:rPr>
        <w:t xml:space="preserve">“For this program to run effectively, we need a very effective shared health summary that everybody who’s dealing with that particular patient can talk to. And that will be the medium that we will talk to each other.” </w:t>
      </w:r>
      <w:r w:rsidRPr="000C5B57">
        <w:rPr>
          <w:iCs/>
          <w:szCs w:val="20"/>
        </w:rPr>
        <w:t xml:space="preserve">[GP, Practice </w:t>
      </w:r>
      <w:r>
        <w:rPr>
          <w:iCs/>
          <w:szCs w:val="20"/>
        </w:rPr>
        <w:t>17</w:t>
      </w:r>
      <w:r w:rsidRPr="000C5B57">
        <w:rPr>
          <w:iCs/>
          <w:szCs w:val="20"/>
        </w:rPr>
        <w:t>, R2]</w:t>
      </w:r>
    </w:p>
    <w:p w14:paraId="3AFEFCC4" w14:textId="77777777" w:rsidR="00086D06" w:rsidRDefault="00086D06" w:rsidP="00086D06">
      <w:pPr>
        <w:rPr>
          <w:szCs w:val="20"/>
        </w:rPr>
      </w:pPr>
      <w:r>
        <w:rPr>
          <w:szCs w:val="20"/>
        </w:rPr>
        <w:t>However, they were concerned</w:t>
      </w:r>
      <w:r w:rsidRPr="000410F8">
        <w:rPr>
          <w:szCs w:val="20"/>
        </w:rPr>
        <w:t xml:space="preserve"> about how</w:t>
      </w:r>
      <w:r>
        <w:rPr>
          <w:szCs w:val="20"/>
        </w:rPr>
        <w:t xml:space="preserve"> they could achieve a common tool within a region:</w:t>
      </w:r>
    </w:p>
    <w:p w14:paraId="6333BB26" w14:textId="77777777" w:rsidR="00086D06" w:rsidRPr="00553F3F" w:rsidRDefault="00086D06" w:rsidP="00086D06">
      <w:pPr>
        <w:ind w:left="567" w:right="521"/>
        <w:rPr>
          <w:szCs w:val="20"/>
        </w:rPr>
      </w:pPr>
      <w:r w:rsidRPr="00553F3F">
        <w:rPr>
          <w:i/>
          <w:iCs/>
          <w:szCs w:val="20"/>
        </w:rPr>
        <w:t xml:space="preserve">“I really think that it’s going to be difficult to actually tie the specialists into the shared care planning products because they're going to say: No, look, I'm using this one. I'm not going to go and open up another one.” </w:t>
      </w:r>
      <w:r w:rsidRPr="00553F3F">
        <w:rPr>
          <w:szCs w:val="20"/>
        </w:rPr>
        <w:t>[GP, Practice 12, R2]</w:t>
      </w:r>
    </w:p>
    <w:p w14:paraId="529F99BD" w14:textId="1DEEC9C5" w:rsidR="00086D06" w:rsidRDefault="00086D06" w:rsidP="00086D06">
      <w:pPr>
        <w:rPr>
          <w:szCs w:val="20"/>
        </w:rPr>
      </w:pPr>
      <w:r>
        <w:rPr>
          <w:color w:val="000000"/>
          <w:szCs w:val="20"/>
          <w:shd w:val="clear" w:color="auto" w:fill="FFFFFF"/>
        </w:rPr>
        <w:t xml:space="preserve">One of the barriers to communicating with external providers that practices reported was the range of shared care planning software used by the practices within the region, requiring external providers to be across </w:t>
      </w:r>
      <w:r w:rsidRPr="000410F8">
        <w:rPr>
          <w:color w:val="000000"/>
          <w:szCs w:val="20"/>
          <w:shd w:val="clear" w:color="auto" w:fill="FFFFFF"/>
        </w:rPr>
        <w:t>multiple software tools</w:t>
      </w:r>
      <w:r>
        <w:rPr>
          <w:color w:val="000000"/>
          <w:szCs w:val="20"/>
          <w:shd w:val="clear" w:color="auto" w:fill="FFFFFF"/>
        </w:rPr>
        <w:t xml:space="preserve">. Most practices reported limited engagement from external providers via the shared care platforms and </w:t>
      </w:r>
      <w:r w:rsidRPr="000410F8">
        <w:rPr>
          <w:szCs w:val="20"/>
        </w:rPr>
        <w:t>were unsure whether external providers were using their software</w:t>
      </w:r>
      <w:r>
        <w:rPr>
          <w:szCs w:val="20"/>
        </w:rPr>
        <w:t xml:space="preserve"> or receiving communications from them:</w:t>
      </w:r>
      <w:r w:rsidRPr="000410F8">
        <w:rPr>
          <w:szCs w:val="20"/>
        </w:rPr>
        <w:t xml:space="preserve"> </w:t>
      </w:r>
    </w:p>
    <w:p w14:paraId="4FD9C7F1" w14:textId="77777777" w:rsidR="00086D06" w:rsidRDefault="00086D06" w:rsidP="00086D06">
      <w:pPr>
        <w:ind w:left="567" w:right="521"/>
        <w:rPr>
          <w:rFonts w:cs="Arial"/>
          <w:color w:val="000000"/>
          <w:szCs w:val="20"/>
          <w:lang w:val="en-GB"/>
        </w:rPr>
      </w:pPr>
      <w:r w:rsidRPr="000A31BF">
        <w:rPr>
          <w:rFonts w:cs="Arial"/>
          <w:i/>
          <w:iCs/>
          <w:color w:val="000000"/>
          <w:szCs w:val="20"/>
          <w:lang w:val="en-GB"/>
        </w:rPr>
        <w:t>“Say</w:t>
      </w:r>
      <w:r>
        <w:rPr>
          <w:rFonts w:cs="Arial"/>
          <w:i/>
          <w:iCs/>
          <w:color w:val="000000"/>
          <w:szCs w:val="20"/>
          <w:lang w:val="en-GB"/>
        </w:rPr>
        <w:t>,</w:t>
      </w:r>
      <w:r w:rsidRPr="000A31BF">
        <w:rPr>
          <w:rFonts w:cs="Arial"/>
          <w:i/>
          <w:iCs/>
          <w:color w:val="000000"/>
          <w:szCs w:val="20"/>
          <w:lang w:val="en-GB"/>
        </w:rPr>
        <w:t xml:space="preserve"> I had a consult with a patient, I would upload it onto </w:t>
      </w:r>
      <w:r>
        <w:rPr>
          <w:rFonts w:cs="Arial"/>
          <w:i/>
          <w:iCs/>
          <w:color w:val="000000"/>
          <w:szCs w:val="20"/>
          <w:lang w:val="en-GB"/>
        </w:rPr>
        <w:t>[shared care planning software]</w:t>
      </w:r>
      <w:r w:rsidRPr="000A31BF">
        <w:rPr>
          <w:rFonts w:cs="Arial"/>
          <w:i/>
          <w:iCs/>
          <w:color w:val="000000"/>
          <w:szCs w:val="20"/>
          <w:lang w:val="en-GB"/>
        </w:rPr>
        <w:t xml:space="preserve">, that we’d had a consultation. But I </w:t>
      </w:r>
      <w:r w:rsidRPr="00E41FBB">
        <w:rPr>
          <w:i/>
          <w:iCs/>
          <w:szCs w:val="20"/>
        </w:rPr>
        <w:t>never</w:t>
      </w:r>
      <w:r w:rsidRPr="000A31BF">
        <w:rPr>
          <w:rFonts w:cs="Arial"/>
          <w:i/>
          <w:iCs/>
          <w:color w:val="000000"/>
          <w:szCs w:val="20"/>
          <w:lang w:val="en-GB"/>
        </w:rPr>
        <w:t xml:space="preserve"> saw anybody enter anything back…</w:t>
      </w:r>
      <w:r w:rsidRPr="000A31BF">
        <w:rPr>
          <w:i/>
          <w:iCs/>
        </w:rPr>
        <w:t xml:space="preserve"> </w:t>
      </w:r>
      <w:r w:rsidRPr="000A31BF">
        <w:rPr>
          <w:rFonts w:cs="Arial"/>
          <w:i/>
          <w:iCs/>
          <w:color w:val="000000"/>
          <w:szCs w:val="20"/>
          <w:lang w:val="en-GB"/>
        </w:rPr>
        <w:t>I have no idea, and I don’t even know if anyone was reading the messages I was putting on there.”</w:t>
      </w:r>
      <w:r>
        <w:rPr>
          <w:rFonts w:cs="Arial"/>
          <w:color w:val="000000"/>
          <w:szCs w:val="20"/>
          <w:lang w:val="en-GB"/>
        </w:rPr>
        <w:t xml:space="preserve"> [GP, Practice 1, R5]</w:t>
      </w:r>
    </w:p>
    <w:p w14:paraId="70D8520C" w14:textId="77777777" w:rsidR="00086D06" w:rsidRDefault="00086D06" w:rsidP="00086D06">
      <w:pPr>
        <w:ind w:left="567" w:right="521"/>
        <w:rPr>
          <w:szCs w:val="20"/>
        </w:rPr>
      </w:pPr>
      <w:r w:rsidRPr="006F153F">
        <w:rPr>
          <w:i/>
          <w:iCs/>
          <w:szCs w:val="20"/>
        </w:rPr>
        <w:t>“As far as I know, with [the new shared care planning tool]…the people who [we] put in as part of their shared care [plan] will receive an email that that patient has a care plan and then they can access their care plan. But I’ve never really had anyone come up to me and be like, great care plan [nurse], and I read that stuff about [that patient] or whatever. So, yes, I don't know.”</w:t>
      </w:r>
      <w:r w:rsidRPr="006F153F">
        <w:rPr>
          <w:szCs w:val="20"/>
        </w:rPr>
        <w:t xml:space="preserve"> Practice nurse, Practice 10, R2]</w:t>
      </w:r>
    </w:p>
    <w:p w14:paraId="35D08CF9" w14:textId="77777777" w:rsidR="00086D06" w:rsidRDefault="00086D06" w:rsidP="00086D06">
      <w:pPr>
        <w:ind w:right="522"/>
        <w:rPr>
          <w:szCs w:val="20"/>
        </w:rPr>
      </w:pPr>
      <w:r>
        <w:rPr>
          <w:szCs w:val="20"/>
        </w:rPr>
        <w:t>Some practices attributed the lack of external provider interest and engagement in shared care planning to the small scale of patients and GPs participating in HCH:</w:t>
      </w:r>
    </w:p>
    <w:p w14:paraId="1CBCF49E" w14:textId="77777777" w:rsidR="00086D06" w:rsidRDefault="00086D06" w:rsidP="00086D06">
      <w:pPr>
        <w:ind w:left="567" w:right="521"/>
        <w:rPr>
          <w:szCs w:val="20"/>
        </w:rPr>
      </w:pPr>
      <w:r w:rsidRPr="00C935B5">
        <w:rPr>
          <w:i/>
          <w:iCs/>
          <w:szCs w:val="20"/>
        </w:rPr>
        <w:t xml:space="preserve"> “The idea was that all the providers in the community would be on this amazing platform, we’d all talk together. In reality, none of them, in the end, wanted to </w:t>
      </w:r>
      <w:r w:rsidRPr="00C935B5">
        <w:rPr>
          <w:i/>
          <w:iCs/>
          <w:szCs w:val="20"/>
        </w:rPr>
        <w:lastRenderedPageBreak/>
        <w:t>sign up for 20 patients in our local area. So, if you don’t get economies of scale, you won’t get it to work.”</w:t>
      </w:r>
      <w:r>
        <w:rPr>
          <w:szCs w:val="20"/>
        </w:rPr>
        <w:t xml:space="preserve"> [GP, Practice 7, R5]</w:t>
      </w:r>
    </w:p>
    <w:p w14:paraId="180101CE" w14:textId="77777777" w:rsidR="00086D06" w:rsidRPr="00D40A44" w:rsidRDefault="00086D06" w:rsidP="00086D06">
      <w:pPr>
        <w:ind w:left="567" w:right="521"/>
        <w:rPr>
          <w:szCs w:val="20"/>
        </w:rPr>
      </w:pPr>
      <w:r w:rsidRPr="003E42F4">
        <w:rPr>
          <w:i/>
          <w:iCs/>
          <w:szCs w:val="20"/>
          <w:lang w:val="en-US"/>
        </w:rPr>
        <w:t xml:space="preserve">“…the </w:t>
      </w:r>
      <w:r w:rsidRPr="00E043FF">
        <w:rPr>
          <w:i/>
          <w:iCs/>
          <w:szCs w:val="20"/>
        </w:rPr>
        <w:t>specialists</w:t>
      </w:r>
      <w:r w:rsidRPr="003E42F4">
        <w:rPr>
          <w:i/>
          <w:iCs/>
          <w:szCs w:val="20"/>
          <w:lang w:val="en-US"/>
        </w:rPr>
        <w:t xml:space="preserve"> were reluctant to get on-board because it’s such a small number. Why bother for </w:t>
      </w:r>
      <w:r>
        <w:rPr>
          <w:i/>
          <w:iCs/>
          <w:szCs w:val="20"/>
          <w:lang w:val="en-US"/>
        </w:rPr>
        <w:t>10</w:t>
      </w:r>
      <w:r w:rsidRPr="003E42F4">
        <w:rPr>
          <w:i/>
          <w:iCs/>
          <w:szCs w:val="20"/>
          <w:lang w:val="en-US"/>
        </w:rPr>
        <w:t>, why bother for 50?”</w:t>
      </w:r>
      <w:r>
        <w:rPr>
          <w:szCs w:val="20"/>
          <w:lang w:val="en-US"/>
        </w:rPr>
        <w:t xml:space="preserve"> [PHN 9, Interview, R5]</w:t>
      </w:r>
    </w:p>
    <w:p w14:paraId="79AEFC59" w14:textId="77777777" w:rsidR="00086D06" w:rsidRPr="00E6681F" w:rsidRDefault="00086D06" w:rsidP="00086D06">
      <w:pPr>
        <w:spacing w:after="160"/>
        <w:rPr>
          <w:rFonts w:eastAsia="Times New Roman"/>
          <w:iCs/>
          <w:szCs w:val="20"/>
        </w:rPr>
      </w:pPr>
      <w:r>
        <w:rPr>
          <w:rFonts w:eastAsia="Times New Roman"/>
          <w:iCs/>
          <w:szCs w:val="20"/>
        </w:rPr>
        <w:t>L</w:t>
      </w:r>
      <w:r w:rsidRPr="000410F8">
        <w:rPr>
          <w:rFonts w:eastAsia="Times New Roman"/>
          <w:iCs/>
          <w:szCs w:val="20"/>
        </w:rPr>
        <w:t xml:space="preserve">ack of </w:t>
      </w:r>
      <w:r>
        <w:rPr>
          <w:rFonts w:eastAsia="Times New Roman"/>
          <w:iCs/>
          <w:szCs w:val="20"/>
        </w:rPr>
        <w:t>p</w:t>
      </w:r>
      <w:r w:rsidRPr="000410F8">
        <w:rPr>
          <w:rFonts w:eastAsia="Times New Roman"/>
          <w:iCs/>
          <w:szCs w:val="20"/>
        </w:rPr>
        <w:t>rogram awareness was also a barrier to effectively sharing patient care</w:t>
      </w:r>
      <w:r w:rsidRPr="00E6681F">
        <w:rPr>
          <w:rFonts w:eastAsia="Times New Roman"/>
          <w:iCs/>
          <w:szCs w:val="20"/>
        </w:rPr>
        <w:t>:</w:t>
      </w:r>
    </w:p>
    <w:p w14:paraId="4913CB3B" w14:textId="77777777" w:rsidR="00086D06" w:rsidRDefault="00086D06" w:rsidP="00086D06">
      <w:pPr>
        <w:ind w:left="567" w:right="521"/>
        <w:rPr>
          <w:rFonts w:eastAsia="Times New Roman"/>
          <w:iCs/>
          <w:szCs w:val="20"/>
        </w:rPr>
      </w:pPr>
      <w:r w:rsidRPr="003E42F4">
        <w:rPr>
          <w:rFonts w:eastAsia="Times New Roman"/>
          <w:i/>
          <w:szCs w:val="20"/>
        </w:rPr>
        <w:t>“So, honestly, I was quite confused with Health Care Homes… I'm not sure if I didn't get the right picture of what Health Care Homes was… I still don't really fully understand the program.”</w:t>
      </w:r>
      <w:r w:rsidRPr="00E6681F">
        <w:rPr>
          <w:rFonts w:eastAsia="Times New Roman"/>
          <w:iCs/>
          <w:szCs w:val="20"/>
        </w:rPr>
        <w:t xml:space="preserve"> [Exercise Physiologist, R5</w:t>
      </w:r>
      <w:r>
        <w:rPr>
          <w:rFonts w:eastAsia="Times New Roman"/>
          <w:iCs/>
          <w:szCs w:val="20"/>
        </w:rPr>
        <w:t>]</w:t>
      </w:r>
    </w:p>
    <w:p w14:paraId="17687BAA" w14:textId="77777777" w:rsidR="00086D06" w:rsidRDefault="00086D06" w:rsidP="00086D06">
      <w:pPr>
        <w:rPr>
          <w:szCs w:val="20"/>
        </w:rPr>
      </w:pPr>
      <w:r>
        <w:rPr>
          <w:szCs w:val="20"/>
        </w:rPr>
        <w:t>T</w:t>
      </w:r>
      <w:r w:rsidRPr="000410F8">
        <w:rPr>
          <w:szCs w:val="20"/>
        </w:rPr>
        <w:t>o increase</w:t>
      </w:r>
      <w:r>
        <w:rPr>
          <w:szCs w:val="20"/>
        </w:rPr>
        <w:t xml:space="preserve"> the</w:t>
      </w:r>
      <w:r w:rsidRPr="000410F8">
        <w:rPr>
          <w:szCs w:val="20"/>
        </w:rPr>
        <w:t xml:space="preserve"> uptake of shared care planning software amongst external providers, </w:t>
      </w:r>
      <w:r>
        <w:rPr>
          <w:szCs w:val="20"/>
        </w:rPr>
        <w:t xml:space="preserve">some </w:t>
      </w:r>
      <w:r w:rsidRPr="000410F8">
        <w:rPr>
          <w:szCs w:val="20"/>
        </w:rPr>
        <w:t xml:space="preserve">practices </w:t>
      </w:r>
      <w:r>
        <w:rPr>
          <w:szCs w:val="20"/>
        </w:rPr>
        <w:t>were</w:t>
      </w:r>
      <w:r w:rsidRPr="000410F8">
        <w:rPr>
          <w:szCs w:val="20"/>
        </w:rPr>
        <w:t xml:space="preserve"> proactive</w:t>
      </w:r>
      <w:r>
        <w:rPr>
          <w:szCs w:val="20"/>
        </w:rPr>
        <w:t>,</w:t>
      </w:r>
      <w:r w:rsidRPr="000410F8">
        <w:rPr>
          <w:szCs w:val="20"/>
        </w:rPr>
        <w:t xml:space="preserve"> explain</w:t>
      </w:r>
      <w:r>
        <w:rPr>
          <w:szCs w:val="20"/>
        </w:rPr>
        <w:t>ing</w:t>
      </w:r>
      <w:r w:rsidRPr="000410F8">
        <w:rPr>
          <w:szCs w:val="20"/>
        </w:rPr>
        <w:t xml:space="preserve"> the HCH model </w:t>
      </w:r>
      <w:r>
        <w:rPr>
          <w:szCs w:val="20"/>
        </w:rPr>
        <w:t>to</w:t>
      </w:r>
      <w:r w:rsidRPr="000410F8">
        <w:rPr>
          <w:szCs w:val="20"/>
        </w:rPr>
        <w:t xml:space="preserve"> providers they share care with and provid</w:t>
      </w:r>
      <w:r>
        <w:rPr>
          <w:szCs w:val="20"/>
        </w:rPr>
        <w:t>ing</w:t>
      </w:r>
      <w:r w:rsidRPr="000410F8">
        <w:rPr>
          <w:szCs w:val="20"/>
        </w:rPr>
        <w:t xml:space="preserve"> education about how to use their nominated shared care planning software</w:t>
      </w:r>
      <w:r>
        <w:rPr>
          <w:szCs w:val="20"/>
        </w:rPr>
        <w:t>:</w:t>
      </w:r>
    </w:p>
    <w:p w14:paraId="1E5CEB72" w14:textId="77777777" w:rsidR="00086D06" w:rsidRDefault="00086D06" w:rsidP="00086D06">
      <w:pPr>
        <w:ind w:left="567" w:right="521"/>
        <w:rPr>
          <w:szCs w:val="20"/>
        </w:rPr>
      </w:pPr>
      <w:r w:rsidRPr="00D53CA2">
        <w:rPr>
          <w:i/>
          <w:iCs/>
          <w:szCs w:val="20"/>
        </w:rPr>
        <w:t>“We have all the allied health providers and the mental health clinicians and how to access these because you’re not going to do any faxes or anything now, it’s just all electronically. It involves a lot of myself and [admin]’s time and the nurses time. So, you have to spend that time with the allied health people just to set it up and then this is how you are going to receive the electronic referrals on your PCs… That initial communication is the key I think.”</w:t>
      </w:r>
      <w:r w:rsidRPr="00D53CA2">
        <w:rPr>
          <w:szCs w:val="20"/>
        </w:rPr>
        <w:t xml:space="preserve"> [Practice Manager,</w:t>
      </w:r>
      <w:r>
        <w:rPr>
          <w:szCs w:val="20"/>
        </w:rPr>
        <w:t xml:space="preserve"> </w:t>
      </w:r>
      <w:r w:rsidRPr="00D53CA2">
        <w:rPr>
          <w:szCs w:val="20"/>
        </w:rPr>
        <w:t>Practice 9</w:t>
      </w:r>
      <w:r>
        <w:rPr>
          <w:szCs w:val="20"/>
        </w:rPr>
        <w:t>, R4</w:t>
      </w:r>
      <w:r w:rsidRPr="00D53CA2">
        <w:rPr>
          <w:szCs w:val="20"/>
        </w:rPr>
        <w:t>]</w:t>
      </w:r>
    </w:p>
    <w:p w14:paraId="6DC14137" w14:textId="77777777" w:rsidR="00086D06" w:rsidRDefault="00086D06" w:rsidP="00086D06">
      <w:r>
        <w:t>However, this was not always successful:</w:t>
      </w:r>
    </w:p>
    <w:p w14:paraId="29EFBBCA" w14:textId="77777777" w:rsidR="00086D06" w:rsidRDefault="00086D06" w:rsidP="00086D06">
      <w:pPr>
        <w:ind w:left="567" w:right="521"/>
        <w:rPr>
          <w:szCs w:val="20"/>
        </w:rPr>
      </w:pPr>
      <w:r w:rsidRPr="002D349A">
        <w:rPr>
          <w:i/>
          <w:iCs/>
          <w:szCs w:val="20"/>
        </w:rPr>
        <w:t>“</w:t>
      </w:r>
      <w:r>
        <w:rPr>
          <w:i/>
          <w:iCs/>
          <w:szCs w:val="20"/>
        </w:rPr>
        <w:t>…</w:t>
      </w:r>
      <w:r w:rsidRPr="002D349A">
        <w:rPr>
          <w:i/>
          <w:iCs/>
          <w:szCs w:val="20"/>
        </w:rPr>
        <w:t xml:space="preserve"> we've got allied health who come to the building here. So, they’re the ones we refer to mostly. So, we actually met with them as well and got the guy from </w:t>
      </w:r>
      <w:r>
        <w:rPr>
          <w:i/>
          <w:iCs/>
          <w:szCs w:val="20"/>
        </w:rPr>
        <w:t>[shared care planning software vendor]</w:t>
      </w:r>
      <w:r w:rsidRPr="002D349A">
        <w:rPr>
          <w:i/>
          <w:iCs/>
          <w:szCs w:val="20"/>
        </w:rPr>
        <w:t xml:space="preserve"> on the computer and we did a demonstration. But I honestly don't think they're really using it.”</w:t>
      </w:r>
      <w:r>
        <w:rPr>
          <w:szCs w:val="20"/>
        </w:rPr>
        <w:t xml:space="preserve"> [Practice Manager, Practice 24, R4]</w:t>
      </w:r>
      <w:r w:rsidRPr="002D349A">
        <w:rPr>
          <w:szCs w:val="20"/>
        </w:rPr>
        <w:tab/>
      </w:r>
    </w:p>
    <w:p w14:paraId="6D0401EE" w14:textId="77777777" w:rsidR="00086D06" w:rsidRDefault="00086D06" w:rsidP="00086D06">
      <w:pPr>
        <w:ind w:left="567" w:right="521"/>
        <w:rPr>
          <w:szCs w:val="20"/>
        </w:rPr>
      </w:pPr>
      <w:r w:rsidRPr="004C6A8D">
        <w:rPr>
          <w:i/>
          <w:iCs/>
          <w:szCs w:val="20"/>
        </w:rPr>
        <w:t>“Getting allied health on board is another challenge. So, it’s hard enough getting your own team, that you employ, on board, and then trying to get other people who are not even that related to the organisation, or anything, trying to them to participate in that, the shared care planning, is quite tricky…Most of it’s been individual discussions. And I often get met with a glazed-over look.”</w:t>
      </w:r>
      <w:r>
        <w:rPr>
          <w:szCs w:val="20"/>
        </w:rPr>
        <w:t xml:space="preserve"> [GP, Practice 10, R5]</w:t>
      </w:r>
    </w:p>
    <w:p w14:paraId="4DCB0796" w14:textId="77777777" w:rsidR="00086D06" w:rsidRPr="00C11CA6" w:rsidRDefault="00086D06" w:rsidP="00086D06">
      <w:pPr>
        <w:pStyle w:val="Heading3"/>
        <w:rPr>
          <w:rFonts w:eastAsia="Times New Roman" w:cs="Times New Roman"/>
          <w:bCs/>
          <w:sz w:val="32"/>
          <w:szCs w:val="36"/>
          <w:lang w:eastAsia="en-AU"/>
        </w:rPr>
      </w:pPr>
      <w:r w:rsidRPr="00C11CA6">
        <w:rPr>
          <w:rFonts w:eastAsia="Times New Roman" w:cs="Times New Roman"/>
          <w:bCs/>
          <w:sz w:val="32"/>
          <w:szCs w:val="36"/>
          <w:lang w:eastAsia="en-AU"/>
        </w:rPr>
        <w:t xml:space="preserve">Impact of shared care planning software on care planning and patient access to </w:t>
      </w:r>
      <w:r>
        <w:rPr>
          <w:rFonts w:eastAsia="Times New Roman" w:cs="Times New Roman"/>
          <w:bCs/>
          <w:sz w:val="32"/>
          <w:szCs w:val="36"/>
          <w:lang w:eastAsia="en-AU"/>
        </w:rPr>
        <w:t xml:space="preserve">the </w:t>
      </w:r>
      <w:r w:rsidRPr="00C11CA6">
        <w:rPr>
          <w:rFonts w:eastAsia="Times New Roman" w:cs="Times New Roman"/>
          <w:bCs/>
          <w:sz w:val="32"/>
          <w:szCs w:val="36"/>
          <w:lang w:eastAsia="en-AU"/>
        </w:rPr>
        <w:t>plan</w:t>
      </w:r>
    </w:p>
    <w:p w14:paraId="00EEF6B7" w14:textId="02E7BC82" w:rsidR="00086D06" w:rsidRPr="00F32178" w:rsidRDefault="00086D06" w:rsidP="00086D06">
      <w:pPr>
        <w:rPr>
          <w:rFonts w:eastAsia="Times New Roman"/>
          <w:iCs/>
          <w:szCs w:val="20"/>
        </w:rPr>
      </w:pPr>
      <w:bookmarkStart w:id="219" w:name="_Hlk56069097"/>
      <w:r>
        <w:rPr>
          <w:rFonts w:eastAsia="Times New Roman"/>
          <w:iCs/>
          <w:szCs w:val="20"/>
        </w:rPr>
        <w:t xml:space="preserve">Practice processes for </w:t>
      </w:r>
      <w:r w:rsidRPr="00F32178">
        <w:rPr>
          <w:rFonts w:eastAsia="Times New Roman"/>
          <w:iCs/>
          <w:szCs w:val="20"/>
        </w:rPr>
        <w:t xml:space="preserve">creating care plans for their HCH patients </w:t>
      </w:r>
      <w:r>
        <w:rPr>
          <w:rFonts w:eastAsia="Times New Roman"/>
          <w:iCs/>
          <w:szCs w:val="20"/>
        </w:rPr>
        <w:t>were</w:t>
      </w:r>
      <w:r w:rsidRPr="00F32178">
        <w:rPr>
          <w:rFonts w:eastAsia="Times New Roman"/>
          <w:iCs/>
          <w:szCs w:val="20"/>
        </w:rPr>
        <w:t xml:space="preserve"> largely the same as before</w:t>
      </w:r>
      <w:r>
        <w:rPr>
          <w:rFonts w:eastAsia="Times New Roman"/>
          <w:iCs/>
          <w:szCs w:val="20"/>
        </w:rPr>
        <w:t xml:space="preserve"> they implemented shared care planning software</w:t>
      </w:r>
      <w:r w:rsidRPr="00F32178">
        <w:rPr>
          <w:rFonts w:eastAsia="Times New Roman"/>
          <w:iCs/>
          <w:szCs w:val="20"/>
        </w:rPr>
        <w:t>:</w:t>
      </w:r>
    </w:p>
    <w:p w14:paraId="6A7B6933" w14:textId="77777777" w:rsidR="00086D06" w:rsidRPr="00F32178" w:rsidRDefault="00086D06" w:rsidP="00086D06">
      <w:pPr>
        <w:ind w:left="567" w:right="521"/>
        <w:rPr>
          <w:rFonts w:eastAsia="Times New Roman"/>
          <w:iCs/>
          <w:szCs w:val="20"/>
        </w:rPr>
      </w:pPr>
      <w:r w:rsidRPr="00F32178">
        <w:rPr>
          <w:rFonts w:eastAsia="Times New Roman"/>
          <w:i/>
          <w:iCs/>
          <w:szCs w:val="20"/>
        </w:rPr>
        <w:t>“…it’s really not that much different than what we were already doing with the care planning part.”</w:t>
      </w:r>
      <w:r w:rsidRPr="00F32178">
        <w:rPr>
          <w:rFonts w:eastAsia="Times New Roman"/>
          <w:iCs/>
          <w:szCs w:val="20"/>
        </w:rPr>
        <w:t xml:space="preserve"> [Practice nurse, Practice 6, R2]</w:t>
      </w:r>
    </w:p>
    <w:p w14:paraId="1B7FB581" w14:textId="77777777" w:rsidR="00086D06" w:rsidRDefault="00086D06" w:rsidP="00086D06">
      <w:pPr>
        <w:ind w:left="567" w:right="521"/>
        <w:rPr>
          <w:rFonts w:eastAsia="Times New Roman"/>
          <w:iCs/>
          <w:szCs w:val="20"/>
        </w:rPr>
      </w:pPr>
      <w:r w:rsidRPr="00F32178">
        <w:rPr>
          <w:rFonts w:eastAsia="Times New Roman"/>
          <w:i/>
          <w:iCs/>
          <w:szCs w:val="20"/>
        </w:rPr>
        <w:t>“we’ve sort of been often doing care plans how we used to do them.”</w:t>
      </w:r>
      <w:r w:rsidRPr="00F32178">
        <w:rPr>
          <w:rFonts w:eastAsia="Times New Roman"/>
          <w:iCs/>
          <w:szCs w:val="20"/>
        </w:rPr>
        <w:t xml:space="preserve"> [Practice nurse, Practice 10,</w:t>
      </w:r>
      <w:r>
        <w:rPr>
          <w:rFonts w:eastAsia="Times New Roman"/>
          <w:iCs/>
          <w:szCs w:val="20"/>
        </w:rPr>
        <w:t xml:space="preserve"> </w:t>
      </w:r>
      <w:r w:rsidRPr="00F32178">
        <w:rPr>
          <w:rFonts w:eastAsia="Times New Roman"/>
          <w:iCs/>
          <w:szCs w:val="20"/>
        </w:rPr>
        <w:t>R2]</w:t>
      </w:r>
    </w:p>
    <w:p w14:paraId="0D62CAFE" w14:textId="1E33B26C" w:rsidR="00086D06" w:rsidRPr="00F32178" w:rsidRDefault="00086D06" w:rsidP="00086D06">
      <w:pPr>
        <w:ind w:right="1089"/>
        <w:rPr>
          <w:rFonts w:eastAsia="Times New Roman"/>
          <w:szCs w:val="20"/>
        </w:rPr>
      </w:pPr>
      <w:r>
        <w:rPr>
          <w:rFonts w:eastAsia="Times New Roman"/>
          <w:szCs w:val="20"/>
        </w:rPr>
        <w:lastRenderedPageBreak/>
        <w:t xml:space="preserve">They also reported still supplying patients with a paper-based copy of their care plan despite the availability of a patient portal to access the plan. </w:t>
      </w:r>
      <w:r>
        <w:t>There were very few patients who were keen on accessing their care plan, through a portal or otherwise:</w:t>
      </w:r>
    </w:p>
    <w:bookmarkEnd w:id="219"/>
    <w:p w14:paraId="22121D6F" w14:textId="77777777" w:rsidR="00086D06" w:rsidRPr="006F1CF7" w:rsidRDefault="00086D06" w:rsidP="00086D06">
      <w:pPr>
        <w:ind w:left="567" w:right="521"/>
        <w:rPr>
          <w:rFonts w:eastAsia="Times New Roman"/>
          <w:iCs/>
          <w:szCs w:val="20"/>
        </w:rPr>
      </w:pPr>
      <w:r w:rsidRPr="006F1CF7">
        <w:rPr>
          <w:rFonts w:eastAsia="Times New Roman"/>
          <w:i/>
          <w:iCs/>
          <w:szCs w:val="20"/>
        </w:rPr>
        <w:t>“</w:t>
      </w:r>
      <w:r w:rsidRPr="009A3501">
        <w:rPr>
          <w:rFonts w:cs="Arial"/>
          <w:i/>
          <w:szCs w:val="20"/>
          <w:lang w:val="en-GB"/>
        </w:rPr>
        <w:t xml:space="preserve">None of them are interested in looking at the care plan. I think in our area, we have one of the oldest </w:t>
      </w:r>
      <w:r w:rsidRPr="00E41FBB">
        <w:rPr>
          <w:rFonts w:eastAsia="Times New Roman"/>
          <w:i/>
          <w:iCs/>
          <w:szCs w:val="20"/>
        </w:rPr>
        <w:t>populations</w:t>
      </w:r>
      <w:r w:rsidRPr="009A3501">
        <w:rPr>
          <w:rFonts w:cs="Arial"/>
          <w:i/>
          <w:szCs w:val="20"/>
          <w:lang w:val="en-GB"/>
        </w:rPr>
        <w:t xml:space="preserve"> in Australia</w:t>
      </w:r>
      <w:r w:rsidRPr="006F1CF7">
        <w:rPr>
          <w:rFonts w:eastAsia="Times New Roman"/>
          <w:i/>
          <w:iCs/>
          <w:szCs w:val="20"/>
        </w:rPr>
        <w:t>.”</w:t>
      </w:r>
      <w:r w:rsidRPr="006F1CF7">
        <w:rPr>
          <w:rFonts w:eastAsia="Times New Roman"/>
          <w:iCs/>
          <w:szCs w:val="20"/>
        </w:rPr>
        <w:t xml:space="preserve"> [</w:t>
      </w:r>
      <w:r>
        <w:rPr>
          <w:rFonts w:eastAsia="Times New Roman"/>
          <w:iCs/>
          <w:szCs w:val="20"/>
        </w:rPr>
        <w:t>Nurse</w:t>
      </w:r>
      <w:r w:rsidRPr="006F1CF7">
        <w:rPr>
          <w:rFonts w:eastAsia="Times New Roman"/>
          <w:iCs/>
          <w:szCs w:val="20"/>
        </w:rPr>
        <w:t xml:space="preserve">, Practice </w:t>
      </w:r>
      <w:r>
        <w:rPr>
          <w:rFonts w:eastAsia="Times New Roman"/>
          <w:iCs/>
          <w:szCs w:val="20"/>
        </w:rPr>
        <w:t>4</w:t>
      </w:r>
      <w:r w:rsidRPr="006F1CF7">
        <w:rPr>
          <w:rFonts w:eastAsia="Times New Roman"/>
          <w:iCs/>
          <w:szCs w:val="20"/>
        </w:rPr>
        <w:t>, R</w:t>
      </w:r>
      <w:r>
        <w:rPr>
          <w:rFonts w:eastAsia="Times New Roman"/>
          <w:iCs/>
          <w:szCs w:val="20"/>
        </w:rPr>
        <w:t>5</w:t>
      </w:r>
      <w:r w:rsidRPr="006F1CF7">
        <w:rPr>
          <w:rFonts w:eastAsia="Times New Roman"/>
          <w:iCs/>
          <w:szCs w:val="20"/>
        </w:rPr>
        <w:t>]</w:t>
      </w:r>
    </w:p>
    <w:p w14:paraId="2BFFF6C7" w14:textId="3ED64A95" w:rsidR="00086D06" w:rsidRDefault="00086D06" w:rsidP="00086D06">
      <w:pPr>
        <w:ind w:left="567" w:right="521"/>
        <w:rPr>
          <w:rFonts w:eastAsia="Times New Roman"/>
          <w:iCs/>
          <w:szCs w:val="20"/>
        </w:rPr>
      </w:pPr>
      <w:r>
        <w:rPr>
          <w:rFonts w:eastAsia="Times New Roman"/>
          <w:i/>
          <w:iCs/>
          <w:szCs w:val="20"/>
        </w:rPr>
        <w:t>“…</w:t>
      </w:r>
      <w:r w:rsidRPr="00D413F2">
        <w:rPr>
          <w:rFonts w:eastAsia="Times New Roman"/>
          <w:i/>
          <w:iCs/>
          <w:szCs w:val="20"/>
        </w:rPr>
        <w:t xml:space="preserve">I think for a practice like [General Practice 1] where it is a low socioeconomic area, those patients are harder to work with to start off. So, they’re not tech savvy, they’re not health literate 100%. They’ll do what the doctor says. With our patients, in particular, probably 2% are interested in looking at it and that's literally true. It is probably two or three of our total </w:t>
      </w:r>
      <w:r w:rsidR="00DA34EA">
        <w:rPr>
          <w:rFonts w:eastAsia="Times New Roman"/>
          <w:i/>
          <w:iCs/>
          <w:szCs w:val="20"/>
        </w:rPr>
        <w:t>health care</w:t>
      </w:r>
      <w:r w:rsidRPr="00D413F2">
        <w:rPr>
          <w:rFonts w:eastAsia="Times New Roman"/>
          <w:i/>
          <w:iCs/>
          <w:szCs w:val="20"/>
        </w:rPr>
        <w:t xml:space="preserve"> population who would want to look at it.</w:t>
      </w:r>
      <w:r>
        <w:rPr>
          <w:rFonts w:eastAsia="Times New Roman"/>
          <w:i/>
          <w:iCs/>
          <w:szCs w:val="20"/>
        </w:rPr>
        <w:t>”</w:t>
      </w:r>
      <w:r w:rsidRPr="00D413F2">
        <w:rPr>
          <w:rFonts w:eastAsia="Times New Roman"/>
          <w:i/>
          <w:iCs/>
          <w:szCs w:val="20"/>
        </w:rPr>
        <w:t xml:space="preserve"> </w:t>
      </w:r>
      <w:r w:rsidRPr="006F1CF7">
        <w:rPr>
          <w:rFonts w:eastAsia="Times New Roman"/>
          <w:iCs/>
          <w:szCs w:val="20"/>
        </w:rPr>
        <w:t>[</w:t>
      </w:r>
      <w:r>
        <w:rPr>
          <w:rFonts w:eastAsia="Times New Roman"/>
          <w:iCs/>
          <w:szCs w:val="20"/>
        </w:rPr>
        <w:t>Practice Manager</w:t>
      </w:r>
      <w:r w:rsidRPr="006F1CF7">
        <w:rPr>
          <w:rFonts w:eastAsia="Times New Roman"/>
          <w:iCs/>
          <w:szCs w:val="20"/>
        </w:rPr>
        <w:t>, Practice 1</w:t>
      </w:r>
      <w:r>
        <w:rPr>
          <w:rFonts w:eastAsia="Times New Roman"/>
          <w:iCs/>
          <w:szCs w:val="20"/>
        </w:rPr>
        <w:t>5</w:t>
      </w:r>
      <w:r w:rsidRPr="006F1CF7">
        <w:rPr>
          <w:rFonts w:eastAsia="Times New Roman"/>
          <w:iCs/>
          <w:szCs w:val="20"/>
        </w:rPr>
        <w:t>, R</w:t>
      </w:r>
      <w:r>
        <w:rPr>
          <w:rFonts w:eastAsia="Times New Roman"/>
          <w:iCs/>
          <w:szCs w:val="20"/>
        </w:rPr>
        <w:t>5</w:t>
      </w:r>
      <w:r w:rsidRPr="006F1CF7">
        <w:rPr>
          <w:rFonts w:eastAsia="Times New Roman"/>
          <w:iCs/>
          <w:szCs w:val="20"/>
        </w:rPr>
        <w:t>]</w:t>
      </w:r>
    </w:p>
    <w:p w14:paraId="15AB06C3" w14:textId="77777777" w:rsidR="00086D06" w:rsidRPr="00C70D53" w:rsidRDefault="00086D06" w:rsidP="00086D06">
      <w:pPr>
        <w:ind w:left="567" w:right="521"/>
        <w:rPr>
          <w:rFonts w:eastAsia="Times New Roman"/>
          <w:iCs/>
          <w:szCs w:val="20"/>
        </w:rPr>
      </w:pPr>
      <w:r w:rsidRPr="00C70D53">
        <w:rPr>
          <w:rFonts w:eastAsia="Times New Roman"/>
          <w:i/>
          <w:iCs/>
          <w:szCs w:val="20"/>
        </w:rPr>
        <w:t xml:space="preserve">“I'd say there's probably two, maybe three patients who, separate to the My Health Record, which they're familiar with anyway, have enjoyed using the </w:t>
      </w:r>
      <w:r w:rsidRPr="00C70D53">
        <w:rPr>
          <w:rFonts w:eastAsia="Times New Roman"/>
          <w:iCs/>
          <w:szCs w:val="20"/>
        </w:rPr>
        <w:t>[shared care planning tool]</w:t>
      </w:r>
      <w:r w:rsidRPr="00C70D53">
        <w:rPr>
          <w:rFonts w:eastAsia="Times New Roman"/>
          <w:i/>
          <w:iCs/>
          <w:szCs w:val="20"/>
        </w:rPr>
        <w:t xml:space="preserve"> patient portal, one of whom uploads quite actively a fair bit of enough, blood pressures and sugars and so on.”</w:t>
      </w:r>
      <w:r w:rsidRPr="00C70D53">
        <w:rPr>
          <w:rFonts w:eastAsia="Times New Roman"/>
          <w:iCs/>
          <w:szCs w:val="20"/>
        </w:rPr>
        <w:t xml:space="preserve"> [GP, Practice 9, R2]</w:t>
      </w:r>
    </w:p>
    <w:p w14:paraId="5D2F31D7" w14:textId="77777777" w:rsidR="00086D06" w:rsidRPr="00C70D53" w:rsidRDefault="00086D06" w:rsidP="00086D06">
      <w:pPr>
        <w:ind w:left="567" w:right="521"/>
        <w:rPr>
          <w:rFonts w:eastAsia="Times New Roman"/>
          <w:iCs/>
          <w:szCs w:val="20"/>
        </w:rPr>
      </w:pPr>
      <w:r w:rsidRPr="00C70D53">
        <w:rPr>
          <w:rFonts w:eastAsia="Times New Roman"/>
          <w:i/>
          <w:iCs/>
          <w:szCs w:val="20"/>
        </w:rPr>
        <w:t>“…he puts in his own glucose results every day, and his own blood pressure, and things like that. So the ones that are really keen and hands on, they’re getting in there with their logon…But some have no understanding, they’re not IT savvy and they go, why am I getting a message to log in to something? What is that? I don’t know.”</w:t>
      </w:r>
      <w:r w:rsidRPr="00C70D53">
        <w:rPr>
          <w:rFonts w:eastAsia="Times New Roman"/>
          <w:iCs/>
          <w:szCs w:val="20"/>
        </w:rPr>
        <w:t xml:space="preserve"> [Practice manager, Practice 16, R2]</w:t>
      </w:r>
    </w:p>
    <w:p w14:paraId="7697FE7C" w14:textId="77777777" w:rsidR="00086D06" w:rsidRDefault="00086D06" w:rsidP="00086D06">
      <w:pPr>
        <w:pStyle w:val="Heading2"/>
      </w:pPr>
      <w:bookmarkStart w:id="220" w:name="_Toc109996687"/>
      <w:r>
        <w:t>Suggestions for improving shared care planning tools</w:t>
      </w:r>
      <w:bookmarkEnd w:id="220"/>
    </w:p>
    <w:p w14:paraId="400AE524" w14:textId="3402B6C6" w:rsidR="00086D06" w:rsidRPr="002A7D7E" w:rsidRDefault="00086D06" w:rsidP="00086D06">
      <w:pPr>
        <w:rPr>
          <w:szCs w:val="20"/>
        </w:rPr>
      </w:pPr>
      <w:r>
        <w:t>In the final survey, practices were asked how the shared care planning tools could be improved. Of those that responded to this question, most (32%) suggested training of health care providers outside of the practice to access the plans (</w:t>
      </w:r>
      <w:r w:rsidRPr="00A8598B">
        <w:rPr>
          <w:color w:val="002060"/>
        </w:rPr>
        <w:fldChar w:fldCharType="begin"/>
      </w:r>
      <w:r w:rsidRPr="00A8598B">
        <w:rPr>
          <w:color w:val="002060"/>
        </w:rPr>
        <w:instrText xml:space="preserve"> REF _Ref94695329 \h  \* MERGEFORMAT </w:instrText>
      </w:r>
      <w:r w:rsidRPr="00A8598B">
        <w:rPr>
          <w:color w:val="002060"/>
        </w:rPr>
      </w:r>
      <w:r w:rsidRPr="00A8598B">
        <w:rPr>
          <w:color w:val="002060"/>
        </w:rPr>
        <w:fldChar w:fldCharType="separate"/>
      </w:r>
      <w:r w:rsidR="003C4BC2" w:rsidRPr="003C4BC2">
        <w:rPr>
          <w:color w:val="002060"/>
        </w:rPr>
        <w:t xml:space="preserve">Table </w:t>
      </w:r>
      <w:r w:rsidR="003C4BC2" w:rsidRPr="003C4BC2">
        <w:rPr>
          <w:noProof/>
          <w:color w:val="002060"/>
        </w:rPr>
        <w:t>33</w:t>
      </w:r>
      <w:r w:rsidRPr="00A8598B">
        <w:rPr>
          <w:color w:val="002060"/>
        </w:rPr>
        <w:fldChar w:fldCharType="end"/>
      </w:r>
      <w:r>
        <w:t xml:space="preserve">). Many also suggested integrating with practice clinical management systems (22%). Very few (11%) said that no change was required. </w:t>
      </w:r>
      <w:r>
        <w:rPr>
          <w:szCs w:val="20"/>
        </w:rPr>
        <w:t>The responses in the previous survey round (4) were almost identical.</w:t>
      </w:r>
    </w:p>
    <w:p w14:paraId="7D0566EC" w14:textId="2D58BD13" w:rsidR="00086D06" w:rsidRDefault="00086D06" w:rsidP="00086D06">
      <w:pPr>
        <w:pStyle w:val="TableFigureheading"/>
        <w:rPr>
          <w:bCs w:val="0"/>
        </w:rPr>
      </w:pPr>
      <w:bookmarkStart w:id="221" w:name="_Ref94695329"/>
      <w:r w:rsidRPr="00A970A9">
        <w:rPr>
          <w:bCs w:val="0"/>
        </w:rPr>
        <w:t xml:space="preserve">Table </w:t>
      </w:r>
      <w:r w:rsidRPr="00A970A9">
        <w:rPr>
          <w:bCs w:val="0"/>
        </w:rPr>
        <w:fldChar w:fldCharType="begin"/>
      </w:r>
      <w:r w:rsidRPr="00A970A9">
        <w:rPr>
          <w:bCs w:val="0"/>
        </w:rPr>
        <w:instrText xml:space="preserve"> SEQ Table \* ARABIC </w:instrText>
      </w:r>
      <w:r w:rsidRPr="00A970A9">
        <w:rPr>
          <w:bCs w:val="0"/>
        </w:rPr>
        <w:fldChar w:fldCharType="separate"/>
      </w:r>
      <w:r w:rsidR="003C4BC2">
        <w:rPr>
          <w:bCs w:val="0"/>
          <w:noProof/>
        </w:rPr>
        <w:t>33</w:t>
      </w:r>
      <w:r w:rsidRPr="00A970A9">
        <w:rPr>
          <w:bCs w:val="0"/>
        </w:rPr>
        <w:fldChar w:fldCharType="end"/>
      </w:r>
      <w:bookmarkEnd w:id="221"/>
      <w:r w:rsidRPr="00A970A9">
        <w:rPr>
          <w:bCs w:val="0"/>
        </w:rPr>
        <w:t xml:space="preserve">: Practices’ </w:t>
      </w:r>
      <w:r>
        <w:rPr>
          <w:bCs w:val="0"/>
        </w:rPr>
        <w:t>suggestions for how shared care planning tools could be improved</w:t>
      </w:r>
    </w:p>
    <w:tbl>
      <w:tblPr>
        <w:tblW w:w="5000"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6706"/>
        <w:gridCol w:w="2310"/>
      </w:tblGrid>
      <w:tr w:rsidR="00086D06" w:rsidRPr="00A063AC" w14:paraId="3DA92A9A" w14:textId="77777777" w:rsidTr="00B120DE">
        <w:trPr>
          <w:jc w:val="center"/>
        </w:trPr>
        <w:tc>
          <w:tcPr>
            <w:tcW w:w="3719" w:type="pct"/>
            <w:shd w:val="clear" w:color="auto" w:fill="408BCA"/>
            <w:vAlign w:val="center"/>
          </w:tcPr>
          <w:p w14:paraId="534A6B90" w14:textId="77777777" w:rsidR="00086D06" w:rsidRPr="00A063AC" w:rsidRDefault="00086D06" w:rsidP="00A063AC">
            <w:pPr>
              <w:spacing w:after="0"/>
              <w:ind w:right="102"/>
              <w:rPr>
                <w:rFonts w:eastAsia="Century Gothic" w:cs="Century Gothic"/>
                <w:b/>
                <w:bCs/>
                <w:color w:val="000000"/>
                <w:sz w:val="18"/>
                <w:szCs w:val="18"/>
              </w:rPr>
            </w:pPr>
            <w:r w:rsidRPr="00A063AC">
              <w:rPr>
                <w:rFonts w:eastAsia="Century Gothic" w:cs="Century Gothic"/>
                <w:b/>
                <w:bCs/>
                <w:color w:val="FFFFFF"/>
                <w:sz w:val="18"/>
                <w:szCs w:val="18"/>
              </w:rPr>
              <w:t>Improvement</w:t>
            </w:r>
          </w:p>
        </w:tc>
        <w:tc>
          <w:tcPr>
            <w:tcW w:w="1281" w:type="pct"/>
            <w:shd w:val="clear" w:color="auto" w:fill="408BCA"/>
            <w:vAlign w:val="center"/>
          </w:tcPr>
          <w:p w14:paraId="493E60C1" w14:textId="77777777" w:rsidR="00F3645C" w:rsidRDefault="00086D06" w:rsidP="00A063AC">
            <w:pPr>
              <w:spacing w:after="0"/>
              <w:ind w:left="102" w:right="102"/>
              <w:jc w:val="center"/>
              <w:rPr>
                <w:rFonts w:eastAsia="Century Gothic" w:cs="Century Gothic"/>
                <w:b/>
                <w:bCs/>
                <w:color w:val="FFFFFF"/>
                <w:sz w:val="18"/>
                <w:szCs w:val="18"/>
              </w:rPr>
            </w:pPr>
            <w:r w:rsidRPr="00A063AC">
              <w:rPr>
                <w:rFonts w:eastAsia="Century Gothic" w:cs="Century Gothic"/>
                <w:b/>
                <w:bCs/>
                <w:color w:val="FFFFFF"/>
                <w:sz w:val="18"/>
                <w:szCs w:val="18"/>
              </w:rPr>
              <w:t xml:space="preserve">No. of </w:t>
            </w:r>
            <w:r w:rsidR="0069094B">
              <w:rPr>
                <w:rFonts w:eastAsia="Century Gothic" w:cs="Century Gothic"/>
                <w:b/>
                <w:bCs/>
                <w:color w:val="FFFFFF"/>
                <w:sz w:val="18"/>
                <w:szCs w:val="18"/>
              </w:rPr>
              <w:t xml:space="preserve">practices mentioning </w:t>
            </w:r>
            <w:r w:rsidRPr="00A063AC">
              <w:rPr>
                <w:rFonts w:eastAsia="Century Gothic" w:cs="Century Gothic"/>
                <w:b/>
                <w:bCs/>
                <w:color w:val="FFFFFF"/>
                <w:sz w:val="18"/>
                <w:szCs w:val="18"/>
              </w:rPr>
              <w:t xml:space="preserve">improvement </w:t>
            </w:r>
          </w:p>
          <w:p w14:paraId="690D48A7" w14:textId="5D3B5BD2" w:rsidR="00086D06" w:rsidRPr="00A063AC" w:rsidRDefault="00086D06" w:rsidP="00A063AC">
            <w:pPr>
              <w:spacing w:after="0"/>
              <w:ind w:left="102" w:right="102"/>
              <w:jc w:val="center"/>
              <w:rPr>
                <w:rFonts w:eastAsia="Century Gothic" w:cs="Century Gothic"/>
                <w:b/>
                <w:bCs/>
                <w:color w:val="000000"/>
                <w:sz w:val="18"/>
                <w:szCs w:val="18"/>
              </w:rPr>
            </w:pPr>
            <w:r w:rsidRPr="00A063AC">
              <w:rPr>
                <w:rFonts w:eastAsia="Century Gothic" w:cs="Century Gothic"/>
                <w:b/>
                <w:bCs/>
                <w:color w:val="FFFFFF"/>
                <w:sz w:val="18"/>
                <w:szCs w:val="18"/>
              </w:rPr>
              <w:t>(% of practices)</w:t>
            </w:r>
            <w:r w:rsidRPr="00A063AC">
              <w:rPr>
                <w:rFonts w:eastAsia="Century Gothic" w:cs="Century Gothic"/>
                <w:b/>
                <w:bCs/>
                <w:color w:val="FFFFFF"/>
                <w:sz w:val="18"/>
                <w:szCs w:val="18"/>
                <w:vertAlign w:val="superscript"/>
              </w:rPr>
              <w:t>1</w:t>
            </w:r>
          </w:p>
        </w:tc>
      </w:tr>
      <w:tr w:rsidR="00086D06" w:rsidRPr="00A144BD" w14:paraId="10E88267" w14:textId="77777777" w:rsidTr="00B120DE">
        <w:trPr>
          <w:jc w:val="center"/>
        </w:trPr>
        <w:tc>
          <w:tcPr>
            <w:tcW w:w="3719" w:type="pct"/>
          </w:tcPr>
          <w:p w14:paraId="1DD41A0F" w14:textId="77777777" w:rsidR="00086D06" w:rsidRPr="0022069E" w:rsidRDefault="00086D06" w:rsidP="00EA37B5">
            <w:pPr>
              <w:spacing w:after="0"/>
              <w:ind w:right="102"/>
              <w:rPr>
                <w:sz w:val="18"/>
                <w:szCs w:val="18"/>
              </w:rPr>
            </w:pPr>
            <w:r w:rsidRPr="0022069E">
              <w:rPr>
                <w:rFonts w:eastAsia="Century Gothic" w:cs="Century Gothic"/>
                <w:color w:val="000000"/>
                <w:sz w:val="18"/>
                <w:szCs w:val="18"/>
              </w:rPr>
              <w:t>Better training/engagement of health care providers to increase access of shared care plans</w:t>
            </w:r>
          </w:p>
        </w:tc>
        <w:tc>
          <w:tcPr>
            <w:tcW w:w="1281" w:type="pct"/>
          </w:tcPr>
          <w:p w14:paraId="6CF86932" w14:textId="77777777" w:rsidR="00086D06" w:rsidRPr="0022069E" w:rsidRDefault="00086D06" w:rsidP="00EA37B5">
            <w:pPr>
              <w:spacing w:after="0"/>
              <w:ind w:left="102" w:right="102"/>
              <w:jc w:val="right"/>
              <w:rPr>
                <w:sz w:val="18"/>
                <w:szCs w:val="18"/>
              </w:rPr>
            </w:pPr>
            <w:r w:rsidRPr="0022069E">
              <w:rPr>
                <w:rFonts w:eastAsia="Century Gothic" w:cs="Century Gothic"/>
                <w:color w:val="000000"/>
                <w:sz w:val="18"/>
                <w:szCs w:val="18"/>
              </w:rPr>
              <w:t>23 (31.5%)</w:t>
            </w:r>
          </w:p>
        </w:tc>
      </w:tr>
      <w:tr w:rsidR="00086D06" w:rsidRPr="00A144BD" w14:paraId="3BF06D1C" w14:textId="77777777" w:rsidTr="00B120DE">
        <w:trPr>
          <w:jc w:val="center"/>
        </w:trPr>
        <w:tc>
          <w:tcPr>
            <w:tcW w:w="3719" w:type="pct"/>
          </w:tcPr>
          <w:p w14:paraId="42DF57CC" w14:textId="77777777" w:rsidR="00086D06" w:rsidRPr="0022069E" w:rsidRDefault="00086D06" w:rsidP="00EA37B5">
            <w:pPr>
              <w:spacing w:after="0"/>
              <w:ind w:right="102"/>
              <w:rPr>
                <w:sz w:val="18"/>
                <w:szCs w:val="18"/>
              </w:rPr>
            </w:pPr>
            <w:r w:rsidRPr="0022069E">
              <w:rPr>
                <w:rFonts w:eastAsia="Century Gothic" w:cs="Century Gothic"/>
                <w:color w:val="000000"/>
                <w:sz w:val="18"/>
                <w:szCs w:val="18"/>
              </w:rPr>
              <w:t xml:space="preserve">Needs to integrate with practice </w:t>
            </w:r>
            <w:r w:rsidRPr="00AA05EE">
              <w:rPr>
                <w:rFonts w:eastAsia="Century Gothic" w:cs="Century Gothic"/>
                <w:color w:val="000000"/>
                <w:sz w:val="18"/>
                <w:szCs w:val="18"/>
              </w:rPr>
              <w:t>clinical management systems</w:t>
            </w:r>
          </w:p>
        </w:tc>
        <w:tc>
          <w:tcPr>
            <w:tcW w:w="1281" w:type="pct"/>
          </w:tcPr>
          <w:p w14:paraId="0D3817A9" w14:textId="77777777" w:rsidR="00086D06" w:rsidRPr="000C2D55" w:rsidRDefault="00086D06" w:rsidP="00EA37B5">
            <w:pPr>
              <w:spacing w:after="0"/>
              <w:ind w:left="102" w:right="102"/>
              <w:jc w:val="right"/>
              <w:rPr>
                <w:sz w:val="18"/>
                <w:szCs w:val="18"/>
              </w:rPr>
            </w:pPr>
            <w:r w:rsidRPr="000C2D55">
              <w:rPr>
                <w:rFonts w:eastAsia="Century Gothic" w:cs="Century Gothic"/>
                <w:color w:val="000000"/>
                <w:sz w:val="18"/>
                <w:szCs w:val="18"/>
              </w:rPr>
              <w:t>17 (23.3%)</w:t>
            </w:r>
          </w:p>
        </w:tc>
      </w:tr>
      <w:tr w:rsidR="00086D06" w:rsidRPr="00A144BD" w14:paraId="5BD95B5F" w14:textId="77777777" w:rsidTr="00B120DE">
        <w:trPr>
          <w:jc w:val="center"/>
        </w:trPr>
        <w:tc>
          <w:tcPr>
            <w:tcW w:w="3719" w:type="pct"/>
          </w:tcPr>
          <w:p w14:paraId="1196A64A" w14:textId="77777777" w:rsidR="00086D06" w:rsidRPr="0022069E" w:rsidRDefault="00086D06" w:rsidP="00EA37B5">
            <w:pPr>
              <w:spacing w:after="0"/>
              <w:ind w:right="102"/>
              <w:rPr>
                <w:sz w:val="18"/>
                <w:szCs w:val="18"/>
              </w:rPr>
            </w:pPr>
            <w:r w:rsidRPr="0022069E">
              <w:rPr>
                <w:rFonts w:eastAsia="Century Gothic" w:cs="Century Gothic"/>
                <w:color w:val="000000"/>
                <w:sz w:val="18"/>
                <w:szCs w:val="18"/>
              </w:rPr>
              <w:t>Move to a single system</w:t>
            </w:r>
            <w:r>
              <w:rPr>
                <w:rFonts w:eastAsia="Century Gothic" w:cs="Century Gothic"/>
                <w:color w:val="000000"/>
                <w:sz w:val="18"/>
                <w:szCs w:val="18"/>
              </w:rPr>
              <w:t xml:space="preserve"> (that is, across different health care providers)</w:t>
            </w:r>
          </w:p>
        </w:tc>
        <w:tc>
          <w:tcPr>
            <w:tcW w:w="1281" w:type="pct"/>
          </w:tcPr>
          <w:p w14:paraId="5B761390" w14:textId="77777777" w:rsidR="00086D06" w:rsidRPr="000C2D55" w:rsidRDefault="00086D06" w:rsidP="00EA37B5">
            <w:pPr>
              <w:spacing w:after="0"/>
              <w:ind w:left="102" w:right="102"/>
              <w:jc w:val="right"/>
              <w:rPr>
                <w:sz w:val="18"/>
                <w:szCs w:val="18"/>
              </w:rPr>
            </w:pPr>
            <w:r w:rsidRPr="000C2D55">
              <w:rPr>
                <w:rFonts w:eastAsia="Century Gothic" w:cs="Century Gothic"/>
                <w:color w:val="000000"/>
                <w:sz w:val="18"/>
                <w:szCs w:val="18"/>
              </w:rPr>
              <w:t>10 (13.7%)</w:t>
            </w:r>
          </w:p>
        </w:tc>
      </w:tr>
      <w:tr w:rsidR="00086D06" w:rsidRPr="00A144BD" w14:paraId="00D55E32" w14:textId="77777777" w:rsidTr="00B120DE">
        <w:trPr>
          <w:jc w:val="center"/>
        </w:trPr>
        <w:tc>
          <w:tcPr>
            <w:tcW w:w="3719" w:type="pct"/>
          </w:tcPr>
          <w:p w14:paraId="3C93201B" w14:textId="77777777" w:rsidR="00086D06" w:rsidRPr="0022069E" w:rsidRDefault="00086D06" w:rsidP="00EA37B5">
            <w:pPr>
              <w:spacing w:after="0"/>
              <w:ind w:right="102"/>
              <w:rPr>
                <w:rFonts w:eastAsia="Century Gothic" w:cs="Century Gothic"/>
                <w:color w:val="000000"/>
                <w:sz w:val="18"/>
                <w:szCs w:val="18"/>
              </w:rPr>
            </w:pPr>
            <w:r w:rsidRPr="0022069E">
              <w:rPr>
                <w:rFonts w:eastAsia="Century Gothic" w:cs="Century Gothic"/>
                <w:color w:val="000000"/>
                <w:sz w:val="18"/>
                <w:szCs w:val="18"/>
              </w:rPr>
              <w:t>Enhance software by fixing issues around functionality</w:t>
            </w:r>
          </w:p>
        </w:tc>
        <w:tc>
          <w:tcPr>
            <w:tcW w:w="1281" w:type="pct"/>
          </w:tcPr>
          <w:p w14:paraId="7343886B" w14:textId="77777777" w:rsidR="00086D06" w:rsidRPr="000C2D55" w:rsidRDefault="00086D06" w:rsidP="00EA37B5">
            <w:pPr>
              <w:spacing w:after="0"/>
              <w:ind w:left="102" w:right="102"/>
              <w:jc w:val="right"/>
              <w:rPr>
                <w:rFonts w:eastAsia="Century Gothic" w:cs="Century Gothic"/>
                <w:color w:val="000000"/>
                <w:sz w:val="18"/>
                <w:szCs w:val="18"/>
              </w:rPr>
            </w:pPr>
            <w:r w:rsidRPr="000C2D55">
              <w:rPr>
                <w:rFonts w:eastAsia="Century Gothic" w:cs="Century Gothic"/>
                <w:color w:val="000000"/>
                <w:sz w:val="18"/>
                <w:szCs w:val="18"/>
              </w:rPr>
              <w:t>9 (12.3%)</w:t>
            </w:r>
          </w:p>
        </w:tc>
      </w:tr>
      <w:tr w:rsidR="00086D06" w:rsidRPr="00A144BD" w14:paraId="607FCB44" w14:textId="77777777" w:rsidTr="00B120DE">
        <w:trPr>
          <w:jc w:val="center"/>
        </w:trPr>
        <w:tc>
          <w:tcPr>
            <w:tcW w:w="3719" w:type="pct"/>
          </w:tcPr>
          <w:p w14:paraId="148B583E" w14:textId="77777777" w:rsidR="00086D06" w:rsidRPr="0022069E" w:rsidRDefault="00086D06" w:rsidP="00EA37B5">
            <w:pPr>
              <w:spacing w:after="0"/>
              <w:ind w:right="102"/>
              <w:rPr>
                <w:sz w:val="18"/>
                <w:szCs w:val="18"/>
              </w:rPr>
            </w:pPr>
            <w:r w:rsidRPr="0022069E">
              <w:rPr>
                <w:rFonts w:eastAsia="Century Gothic" w:cs="Century Gothic"/>
                <w:color w:val="000000"/>
                <w:sz w:val="18"/>
                <w:szCs w:val="18"/>
              </w:rPr>
              <w:t>Better training/support for practice staff</w:t>
            </w:r>
          </w:p>
        </w:tc>
        <w:tc>
          <w:tcPr>
            <w:tcW w:w="1281" w:type="pct"/>
          </w:tcPr>
          <w:p w14:paraId="40C4FF38" w14:textId="77777777" w:rsidR="00086D06" w:rsidRPr="0022069E" w:rsidRDefault="00086D06" w:rsidP="00EA37B5">
            <w:pPr>
              <w:spacing w:after="0"/>
              <w:ind w:left="102" w:right="102"/>
              <w:jc w:val="right"/>
              <w:rPr>
                <w:sz w:val="18"/>
                <w:szCs w:val="18"/>
              </w:rPr>
            </w:pPr>
            <w:r w:rsidRPr="0022069E">
              <w:rPr>
                <w:rFonts w:eastAsia="Century Gothic" w:cs="Century Gothic"/>
                <w:color w:val="000000"/>
                <w:sz w:val="18"/>
                <w:szCs w:val="18"/>
              </w:rPr>
              <w:t>3 (4.1%)</w:t>
            </w:r>
          </w:p>
        </w:tc>
      </w:tr>
      <w:tr w:rsidR="00086D06" w:rsidRPr="00A144BD" w14:paraId="20C7EB28" w14:textId="77777777" w:rsidTr="00B120DE">
        <w:trPr>
          <w:jc w:val="center"/>
        </w:trPr>
        <w:tc>
          <w:tcPr>
            <w:tcW w:w="3719" w:type="pct"/>
          </w:tcPr>
          <w:p w14:paraId="21A5CF9D" w14:textId="77777777" w:rsidR="00086D06" w:rsidRPr="0022069E" w:rsidRDefault="00086D06" w:rsidP="00EA37B5">
            <w:pPr>
              <w:spacing w:after="0"/>
              <w:ind w:right="102"/>
              <w:rPr>
                <w:rFonts w:eastAsia="Century Gothic" w:cs="Century Gothic"/>
                <w:color w:val="000000"/>
                <w:sz w:val="18"/>
                <w:szCs w:val="18"/>
              </w:rPr>
            </w:pPr>
            <w:r w:rsidRPr="0022069E">
              <w:rPr>
                <w:rFonts w:eastAsia="Century Gothic" w:cs="Century Gothic"/>
                <w:color w:val="000000"/>
                <w:sz w:val="18"/>
                <w:szCs w:val="18"/>
              </w:rPr>
              <w:t>Reliability</w:t>
            </w:r>
          </w:p>
        </w:tc>
        <w:tc>
          <w:tcPr>
            <w:tcW w:w="1281" w:type="pct"/>
          </w:tcPr>
          <w:p w14:paraId="711A80B1" w14:textId="77777777" w:rsidR="00086D06" w:rsidRPr="0022069E" w:rsidRDefault="00086D06" w:rsidP="00EA37B5">
            <w:pPr>
              <w:spacing w:after="0"/>
              <w:ind w:left="102" w:right="102"/>
              <w:jc w:val="right"/>
              <w:rPr>
                <w:sz w:val="18"/>
                <w:szCs w:val="18"/>
              </w:rPr>
            </w:pPr>
            <w:r w:rsidRPr="0022069E">
              <w:rPr>
                <w:rFonts w:eastAsia="Century Gothic" w:cs="Century Gothic"/>
                <w:color w:val="000000"/>
                <w:sz w:val="18"/>
                <w:szCs w:val="18"/>
              </w:rPr>
              <w:t>1 (1.4%)</w:t>
            </w:r>
          </w:p>
        </w:tc>
      </w:tr>
      <w:tr w:rsidR="00086D06" w:rsidRPr="00A144BD" w14:paraId="503B9DE4" w14:textId="77777777" w:rsidTr="00B120DE">
        <w:trPr>
          <w:jc w:val="center"/>
        </w:trPr>
        <w:tc>
          <w:tcPr>
            <w:tcW w:w="3719" w:type="pct"/>
          </w:tcPr>
          <w:p w14:paraId="309523E4" w14:textId="77777777" w:rsidR="00086D06" w:rsidRPr="0022069E" w:rsidRDefault="00086D06" w:rsidP="00EA37B5">
            <w:pPr>
              <w:spacing w:after="0"/>
              <w:ind w:right="102"/>
              <w:rPr>
                <w:rFonts w:eastAsia="Century Gothic" w:cs="Century Gothic"/>
                <w:color w:val="000000"/>
                <w:sz w:val="18"/>
                <w:szCs w:val="18"/>
              </w:rPr>
            </w:pPr>
            <w:r w:rsidRPr="0022069E">
              <w:rPr>
                <w:rFonts w:eastAsia="Century Gothic" w:cs="Century Gothic"/>
                <w:color w:val="000000"/>
                <w:sz w:val="18"/>
                <w:szCs w:val="18"/>
              </w:rPr>
              <w:t>Additional patient education/make plans more patient-focussed</w:t>
            </w:r>
          </w:p>
        </w:tc>
        <w:tc>
          <w:tcPr>
            <w:tcW w:w="1281" w:type="pct"/>
          </w:tcPr>
          <w:p w14:paraId="648EAACE" w14:textId="77777777" w:rsidR="00086D06" w:rsidRPr="0022069E" w:rsidRDefault="00086D06" w:rsidP="00EA37B5">
            <w:pPr>
              <w:spacing w:after="0"/>
              <w:ind w:left="102" w:right="102"/>
              <w:jc w:val="right"/>
              <w:rPr>
                <w:rFonts w:eastAsia="Century Gothic" w:cs="Century Gothic"/>
                <w:color w:val="000000"/>
                <w:sz w:val="18"/>
                <w:szCs w:val="18"/>
              </w:rPr>
            </w:pPr>
            <w:r w:rsidRPr="0022069E">
              <w:rPr>
                <w:rFonts w:eastAsia="Century Gothic" w:cs="Century Gothic"/>
                <w:color w:val="000000"/>
                <w:sz w:val="18"/>
                <w:szCs w:val="18"/>
              </w:rPr>
              <w:t>1 (1.4%)</w:t>
            </w:r>
          </w:p>
        </w:tc>
      </w:tr>
      <w:tr w:rsidR="00086D06" w:rsidRPr="00A144BD" w14:paraId="25E00848" w14:textId="77777777" w:rsidTr="00B120DE">
        <w:trPr>
          <w:jc w:val="center"/>
        </w:trPr>
        <w:tc>
          <w:tcPr>
            <w:tcW w:w="3719" w:type="pct"/>
          </w:tcPr>
          <w:p w14:paraId="1A2513BD" w14:textId="77777777" w:rsidR="00086D06" w:rsidRPr="0022069E" w:rsidRDefault="00086D06" w:rsidP="00EA37B5">
            <w:pPr>
              <w:spacing w:after="0"/>
              <w:ind w:right="102"/>
              <w:rPr>
                <w:rFonts w:eastAsia="Century Gothic" w:cs="Century Gothic"/>
                <w:color w:val="000000"/>
                <w:sz w:val="18"/>
                <w:szCs w:val="18"/>
              </w:rPr>
            </w:pPr>
            <w:r w:rsidRPr="0022069E">
              <w:rPr>
                <w:rFonts w:eastAsia="Century Gothic" w:cs="Century Gothic"/>
                <w:color w:val="000000"/>
                <w:sz w:val="18"/>
                <w:szCs w:val="18"/>
              </w:rPr>
              <w:t>No change required</w:t>
            </w:r>
          </w:p>
        </w:tc>
        <w:tc>
          <w:tcPr>
            <w:tcW w:w="1281" w:type="pct"/>
          </w:tcPr>
          <w:p w14:paraId="1B730052" w14:textId="77777777" w:rsidR="00086D06" w:rsidRPr="0022069E" w:rsidRDefault="00086D06" w:rsidP="00EA37B5">
            <w:pPr>
              <w:spacing w:after="0"/>
              <w:ind w:left="102" w:right="102"/>
              <w:jc w:val="right"/>
              <w:rPr>
                <w:rFonts w:eastAsia="Century Gothic" w:cs="Century Gothic"/>
                <w:color w:val="000000"/>
                <w:sz w:val="18"/>
                <w:szCs w:val="18"/>
              </w:rPr>
            </w:pPr>
            <w:r w:rsidRPr="0022069E">
              <w:rPr>
                <w:rFonts w:eastAsia="Century Gothic" w:cs="Century Gothic"/>
                <w:color w:val="000000"/>
                <w:sz w:val="18"/>
                <w:szCs w:val="18"/>
              </w:rPr>
              <w:t>8 (11.0%)</w:t>
            </w:r>
          </w:p>
        </w:tc>
      </w:tr>
    </w:tbl>
    <w:p w14:paraId="1EAA785E" w14:textId="3174D046" w:rsidR="00086D06" w:rsidRDefault="009B164C" w:rsidP="00086D06">
      <w:pPr>
        <w:pStyle w:val="Chartortablefootnote"/>
        <w:contextualSpacing/>
      </w:pPr>
      <w:r>
        <w:t xml:space="preserve">Notes: </w:t>
      </w:r>
      <w:r w:rsidR="00086D06" w:rsidRPr="00034515">
        <w:rPr>
          <w:vertAlign w:val="superscript"/>
        </w:rPr>
        <w:t>1</w:t>
      </w:r>
      <w:r w:rsidR="00086D06">
        <w:t xml:space="preserve"> Practices could suggest more than one improvement. Number of practices is 73. </w:t>
      </w:r>
    </w:p>
    <w:p w14:paraId="0CD86932" w14:textId="3516ACE3" w:rsidR="00086D06" w:rsidRDefault="00086D06" w:rsidP="00086D06">
      <w:pPr>
        <w:pStyle w:val="Chartortablefootnote"/>
        <w:ind w:left="1985" w:right="2081"/>
      </w:pPr>
      <w:r>
        <w:t xml:space="preserve">Source: Practice survey R5, </w:t>
      </w:r>
      <w:r w:rsidR="00BC2D7A">
        <w:t>Mar–May</w:t>
      </w:r>
      <w:r>
        <w:t xml:space="preserve"> 2021, question 3.</w:t>
      </w:r>
    </w:p>
    <w:p w14:paraId="65485BBC" w14:textId="77777777" w:rsidR="00086D06" w:rsidRDefault="00086D06" w:rsidP="00086D06">
      <w:pPr>
        <w:pStyle w:val="Heading2"/>
      </w:pPr>
      <w:bookmarkStart w:id="222" w:name="_Toc109996688"/>
      <w:r>
        <w:lastRenderedPageBreak/>
        <w:t>Contribution of My Health Record to sharing information</w:t>
      </w:r>
      <w:bookmarkEnd w:id="222"/>
    </w:p>
    <w:p w14:paraId="23F41A75" w14:textId="1F1B1375" w:rsidR="00086D06" w:rsidRDefault="00086D06" w:rsidP="00086D06">
      <w:r>
        <w:t>Initially in the HCH trial,</w:t>
      </w:r>
      <w:r w:rsidRPr="008779AA">
        <w:t xml:space="preserve"> </w:t>
      </w:r>
      <w:r>
        <w:t>practices</w:t>
      </w:r>
      <w:r w:rsidRPr="008779AA">
        <w:t xml:space="preserve"> needed to be registered with the My Health Record System, and enrolled patients were required to have a My Health Record within a month of enrolment. </w:t>
      </w:r>
      <w:r w:rsidR="00727A6D">
        <w:t>These requirements</w:t>
      </w:r>
      <w:r>
        <w:t xml:space="preserve"> </w:t>
      </w:r>
      <w:r w:rsidR="00121E66">
        <w:t xml:space="preserve">were intended to </w:t>
      </w:r>
      <w:r>
        <w:t xml:space="preserve">enhance sharing of information between service providers and with patients. </w:t>
      </w:r>
      <w:r w:rsidRPr="008779AA">
        <w:t>Th</w:t>
      </w:r>
      <w:r>
        <w:t>e</w:t>
      </w:r>
      <w:r w:rsidRPr="008779AA">
        <w:t xml:space="preserve"> requirement</w:t>
      </w:r>
      <w:r>
        <w:t xml:space="preserve"> for patients to have a My Health Record</w:t>
      </w:r>
      <w:r w:rsidRPr="008779AA">
        <w:t xml:space="preserve"> was lifted in late 2018</w:t>
      </w:r>
      <w:r w:rsidR="009E6BA2">
        <w:t>. Short</w:t>
      </w:r>
      <w:r w:rsidR="0078355E">
        <w:t>ly</w:t>
      </w:r>
      <w:r w:rsidR="009E6BA2">
        <w:t xml:space="preserve"> after </w:t>
      </w:r>
      <w:r w:rsidR="00B626AE">
        <w:t>My Health Record was transitioned to an opt-out arrangement</w:t>
      </w:r>
      <w:r w:rsidRPr="008779AA">
        <w:t>.</w:t>
      </w:r>
    </w:p>
    <w:p w14:paraId="66A7C834" w14:textId="7821F0F3" w:rsidR="00086D06" w:rsidRDefault="00086D06" w:rsidP="00086D06">
      <w:r>
        <w:t>In survey</w:t>
      </w:r>
      <w:r w:rsidR="00C16BD1">
        <w:t>s</w:t>
      </w:r>
      <w:r>
        <w:t xml:space="preserve">, practices were asked how useful My Health Record was for sharing information </w:t>
      </w:r>
      <w:r w:rsidRPr="007846EC">
        <w:t>about HCH patients with other service providers</w:t>
      </w:r>
      <w:r>
        <w:t xml:space="preserve"> (</w:t>
      </w:r>
      <w:r w:rsidRPr="00FF78AE">
        <w:rPr>
          <w:color w:val="002060"/>
        </w:rPr>
        <w:fldChar w:fldCharType="begin"/>
      </w:r>
      <w:r w:rsidRPr="00FF78AE">
        <w:rPr>
          <w:color w:val="002060"/>
        </w:rPr>
        <w:instrText xml:space="preserve"> REF _Ref90905487 \h  \* MERGEFORMAT </w:instrText>
      </w:r>
      <w:r w:rsidRPr="00FF78AE">
        <w:rPr>
          <w:color w:val="002060"/>
        </w:rPr>
      </w:r>
      <w:r w:rsidRPr="00FF78AE">
        <w:rPr>
          <w:color w:val="002060"/>
        </w:rPr>
        <w:fldChar w:fldCharType="separate"/>
      </w:r>
      <w:r w:rsidR="003C4BC2" w:rsidRPr="003C4BC2">
        <w:rPr>
          <w:color w:val="002060"/>
        </w:rPr>
        <w:t>Figure 22</w:t>
      </w:r>
      <w:r w:rsidRPr="00FF78AE">
        <w:rPr>
          <w:color w:val="002060"/>
        </w:rPr>
        <w:fldChar w:fldCharType="end"/>
      </w:r>
      <w:r>
        <w:t>). In the final survey (</w:t>
      </w:r>
      <w:r w:rsidR="000715F3">
        <w:t>round</w:t>
      </w:r>
      <w:r>
        <w:t xml:space="preserve"> 5: </w:t>
      </w:r>
      <w:r w:rsidR="004A71C3">
        <w:t xml:space="preserve">March </w:t>
      </w:r>
      <w:r>
        <w:t xml:space="preserve">to </w:t>
      </w:r>
      <w:r w:rsidR="004A71C3">
        <w:t>May</w:t>
      </w:r>
      <w:r>
        <w:t xml:space="preserve"> 2021), more than half of the practices (5</w:t>
      </w:r>
      <w:r w:rsidR="00727A6D">
        <w:t>1</w:t>
      </w:r>
      <w:r>
        <w:t xml:space="preserve">%) reported that it was moderately useful or very useful. In the same survey, most (49%) also said that there was a moderate or significant increase </w:t>
      </w:r>
      <w:r w:rsidRPr="00260828">
        <w:t xml:space="preserve">in the level of use of My Health Record for HCH patients by GPs and other clinicians in </w:t>
      </w:r>
      <w:r>
        <w:t>the</w:t>
      </w:r>
      <w:r w:rsidRPr="00260828">
        <w:t xml:space="preserve"> practice</w:t>
      </w:r>
      <w:r>
        <w:t xml:space="preserve"> </w:t>
      </w:r>
      <w:r w:rsidR="0078355E">
        <w:t>over</w:t>
      </w:r>
      <w:r>
        <w:t xml:space="preserve"> the course of the trial</w:t>
      </w:r>
      <w:r w:rsidRPr="00260828">
        <w:t xml:space="preserve"> </w:t>
      </w:r>
      <w:r>
        <w:t>(</w:t>
      </w:r>
      <w:r w:rsidRPr="00FF78AE">
        <w:rPr>
          <w:color w:val="002060"/>
        </w:rPr>
        <w:fldChar w:fldCharType="begin"/>
      </w:r>
      <w:r w:rsidRPr="00FF78AE">
        <w:rPr>
          <w:color w:val="002060"/>
        </w:rPr>
        <w:instrText xml:space="preserve"> REF _Ref89952419 \h  \* MERGEFORMAT </w:instrText>
      </w:r>
      <w:r w:rsidRPr="00FF78AE">
        <w:rPr>
          <w:color w:val="002060"/>
        </w:rPr>
      </w:r>
      <w:r w:rsidRPr="00FF78AE">
        <w:rPr>
          <w:color w:val="002060"/>
        </w:rPr>
        <w:fldChar w:fldCharType="separate"/>
      </w:r>
      <w:r w:rsidR="003C4BC2" w:rsidRPr="003C4BC2">
        <w:rPr>
          <w:color w:val="002060"/>
        </w:rPr>
        <w:t>Table 34</w:t>
      </w:r>
      <w:r w:rsidRPr="00FF78AE">
        <w:rPr>
          <w:color w:val="002060"/>
        </w:rPr>
        <w:fldChar w:fldCharType="end"/>
      </w:r>
      <w:r>
        <w:t xml:space="preserve">). This aligns with the data in </w:t>
      </w:r>
      <w:r w:rsidRPr="00FF78AE">
        <w:rPr>
          <w:color w:val="002060"/>
        </w:rPr>
        <w:fldChar w:fldCharType="begin"/>
      </w:r>
      <w:r w:rsidRPr="00FF78AE">
        <w:rPr>
          <w:color w:val="002060"/>
        </w:rPr>
        <w:instrText xml:space="preserve"> REF _Ref90905487 \h  \* MERGEFORMAT </w:instrText>
      </w:r>
      <w:r w:rsidRPr="00FF78AE">
        <w:rPr>
          <w:color w:val="002060"/>
        </w:rPr>
      </w:r>
      <w:r w:rsidRPr="00FF78AE">
        <w:rPr>
          <w:color w:val="002060"/>
        </w:rPr>
        <w:fldChar w:fldCharType="separate"/>
      </w:r>
      <w:r w:rsidR="003C4BC2" w:rsidRPr="003C4BC2">
        <w:rPr>
          <w:color w:val="002060"/>
        </w:rPr>
        <w:t>Figure 22</w:t>
      </w:r>
      <w:r w:rsidRPr="00FF78AE">
        <w:rPr>
          <w:color w:val="002060"/>
        </w:rPr>
        <w:fldChar w:fldCharType="end"/>
      </w:r>
      <w:r>
        <w:t xml:space="preserve">, which shows the changes in practices’ assessment of the usefulness of My Health Record </w:t>
      </w:r>
      <w:r w:rsidR="006844C0">
        <w:t>over</w:t>
      </w:r>
      <w:r>
        <w:t xml:space="preserve"> the survey </w:t>
      </w:r>
      <w:r w:rsidR="006844C0">
        <w:t>rounds</w:t>
      </w:r>
      <w:r>
        <w:t>.</w:t>
      </w:r>
    </w:p>
    <w:p w14:paraId="4DB85A97" w14:textId="0B7FEB49" w:rsidR="00086D06" w:rsidRDefault="00086D06" w:rsidP="00086D06">
      <w:pPr>
        <w:pStyle w:val="TableFigureheading"/>
        <w:rPr>
          <w:bCs w:val="0"/>
        </w:rPr>
      </w:pPr>
      <w:bookmarkStart w:id="223" w:name="_Ref90905487"/>
      <w:r>
        <w:rPr>
          <w:bCs w:val="0"/>
        </w:rPr>
        <w:t>Figure</w:t>
      </w:r>
      <w:r w:rsidRPr="00A970A9">
        <w:rPr>
          <w:bCs w:val="0"/>
        </w:rPr>
        <w:t xml:space="preserve"> </w:t>
      </w:r>
      <w:r>
        <w:rPr>
          <w:bCs w:val="0"/>
        </w:rPr>
        <w:fldChar w:fldCharType="begin"/>
      </w:r>
      <w:r>
        <w:rPr>
          <w:bCs w:val="0"/>
        </w:rPr>
        <w:instrText xml:space="preserve"> SEQ Figure\* ARABIC </w:instrText>
      </w:r>
      <w:r>
        <w:rPr>
          <w:bCs w:val="0"/>
        </w:rPr>
        <w:fldChar w:fldCharType="separate"/>
      </w:r>
      <w:r w:rsidR="003C4BC2">
        <w:rPr>
          <w:bCs w:val="0"/>
          <w:noProof/>
        </w:rPr>
        <w:t>22</w:t>
      </w:r>
      <w:r>
        <w:rPr>
          <w:bCs w:val="0"/>
        </w:rPr>
        <w:fldChar w:fldCharType="end"/>
      </w:r>
      <w:bookmarkEnd w:id="223"/>
      <w:r w:rsidRPr="00A970A9">
        <w:rPr>
          <w:bCs w:val="0"/>
        </w:rPr>
        <w:t xml:space="preserve">: </w:t>
      </w:r>
      <w:r>
        <w:rPr>
          <w:bCs w:val="0"/>
        </w:rPr>
        <w:t>Usefulness of My Health Record for</w:t>
      </w:r>
      <w:r w:rsidRPr="00437B63">
        <w:rPr>
          <w:bCs w:val="0"/>
        </w:rPr>
        <w:t xml:space="preserve"> sharing information about HCH patients with other service providers</w:t>
      </w:r>
    </w:p>
    <w:p w14:paraId="34783BAE" w14:textId="45915AFD" w:rsidR="00086D06" w:rsidRDefault="00727A6D" w:rsidP="00A37821">
      <w:pPr>
        <w:spacing w:after="0"/>
        <w:jc w:val="center"/>
      </w:pPr>
      <w:r>
        <w:rPr>
          <w:noProof/>
        </w:rPr>
        <w:drawing>
          <wp:inline distT="0" distB="0" distL="0" distR="0" wp14:anchorId="4D020477" wp14:editId="44B8CFAF">
            <wp:extent cx="4896000" cy="3264000"/>
            <wp:effectExtent l="0" t="0" r="0" b="0"/>
            <wp:docPr id="30" name="Picture 3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896000" cy="3264000"/>
                    </a:xfrm>
                    <a:prstGeom prst="rect">
                      <a:avLst/>
                    </a:prstGeom>
                  </pic:spPr>
                </pic:pic>
              </a:graphicData>
            </a:graphic>
          </wp:inline>
        </w:drawing>
      </w:r>
    </w:p>
    <w:p w14:paraId="0396607A" w14:textId="30E28C5D" w:rsidR="00086D06" w:rsidRDefault="00086D06" w:rsidP="00371FAB">
      <w:pPr>
        <w:pStyle w:val="Chartortablefootnote"/>
        <w:ind w:left="709" w:right="95"/>
      </w:pPr>
      <w:r>
        <w:t>Source: Practice surveys R2</w:t>
      </w:r>
      <w:r w:rsidR="003F30E1">
        <w:t xml:space="preserve"> Nov 2018–Mar 2019</w:t>
      </w:r>
      <w:r w:rsidR="00371FAB">
        <w:t>,</w:t>
      </w:r>
      <w:r w:rsidR="003F30E1">
        <w:t xml:space="preserve"> </w:t>
      </w:r>
      <w:r w:rsidR="00371FAB">
        <w:t xml:space="preserve">question </w:t>
      </w:r>
      <w:r>
        <w:t>17;</w:t>
      </w:r>
      <w:r w:rsidR="003F30E1">
        <w:t xml:space="preserve"> </w:t>
      </w:r>
      <w:r>
        <w:t xml:space="preserve">R4 </w:t>
      </w:r>
      <w:r w:rsidR="00371FAB">
        <w:t xml:space="preserve">Nov 2019–Mar 2020, question </w:t>
      </w:r>
      <w:r>
        <w:t>6; R5</w:t>
      </w:r>
      <w:r w:rsidR="00371FAB">
        <w:t> Mar–May 2021</w:t>
      </w:r>
      <w:r>
        <w:t xml:space="preserve"> </w:t>
      </w:r>
      <w:r w:rsidR="00371FAB">
        <w:t xml:space="preserve">question </w:t>
      </w:r>
      <w:r>
        <w:t>4</w:t>
      </w:r>
      <w:r w:rsidR="00371FAB">
        <w:t>.</w:t>
      </w:r>
    </w:p>
    <w:p w14:paraId="3AFFC8C4" w14:textId="59B5B9D4" w:rsidR="00086D06" w:rsidRDefault="00086D06" w:rsidP="00086D06">
      <w:pPr>
        <w:pStyle w:val="TableFigureheading"/>
        <w:rPr>
          <w:bCs w:val="0"/>
        </w:rPr>
      </w:pPr>
      <w:bookmarkStart w:id="224" w:name="_Ref89952419"/>
      <w:r w:rsidRPr="007876B8">
        <w:rPr>
          <w:bCs w:val="0"/>
        </w:rPr>
        <w:t xml:space="preserve">Table </w:t>
      </w:r>
      <w:r w:rsidRPr="007876B8">
        <w:rPr>
          <w:bCs w:val="0"/>
        </w:rPr>
        <w:fldChar w:fldCharType="begin"/>
      </w:r>
      <w:r w:rsidRPr="007876B8">
        <w:rPr>
          <w:bCs w:val="0"/>
        </w:rPr>
        <w:instrText xml:space="preserve"> SEQ Table \* ARABIC </w:instrText>
      </w:r>
      <w:r w:rsidRPr="007876B8">
        <w:rPr>
          <w:bCs w:val="0"/>
        </w:rPr>
        <w:fldChar w:fldCharType="separate"/>
      </w:r>
      <w:r w:rsidR="003C4BC2">
        <w:rPr>
          <w:bCs w:val="0"/>
          <w:noProof/>
        </w:rPr>
        <w:t>34</w:t>
      </w:r>
      <w:r w:rsidRPr="007876B8">
        <w:rPr>
          <w:bCs w:val="0"/>
        </w:rPr>
        <w:fldChar w:fldCharType="end"/>
      </w:r>
      <w:bookmarkEnd w:id="224"/>
      <w:r w:rsidRPr="007876B8">
        <w:rPr>
          <w:bCs w:val="0"/>
        </w:rPr>
        <w:t xml:space="preserve">: Practices’ perceptions of the level of change in use of My Health Record </w:t>
      </w:r>
      <w:r w:rsidR="006D0E11" w:rsidRPr="007876B8">
        <w:rPr>
          <w:bCs w:val="0"/>
        </w:rPr>
        <w:t xml:space="preserve">for HCH patients </w:t>
      </w:r>
      <w:r w:rsidRPr="007876B8">
        <w:rPr>
          <w:bCs w:val="0"/>
        </w:rPr>
        <w:t xml:space="preserve">by GPs and other clinicians in the practice </w:t>
      </w:r>
    </w:p>
    <w:tbl>
      <w:tblPr>
        <w:tblW w:w="3639"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4166"/>
        <w:gridCol w:w="2396"/>
      </w:tblGrid>
      <w:tr w:rsidR="00086D06" w:rsidRPr="007876B8" w14:paraId="54505315" w14:textId="77777777" w:rsidTr="007876B8">
        <w:trPr>
          <w:jc w:val="center"/>
        </w:trPr>
        <w:tc>
          <w:tcPr>
            <w:tcW w:w="3174" w:type="pct"/>
            <w:shd w:val="clear" w:color="auto" w:fill="408BCA"/>
          </w:tcPr>
          <w:p w14:paraId="01C5D3A2" w14:textId="77777777" w:rsidR="00086D06" w:rsidRPr="007876B8" w:rsidRDefault="00086D06" w:rsidP="00EA37B5">
            <w:pPr>
              <w:spacing w:after="0"/>
              <w:ind w:right="102"/>
              <w:rPr>
                <w:rFonts w:eastAsia="Century Gothic" w:cs="Century Gothic"/>
                <w:b/>
                <w:bCs/>
                <w:color w:val="000000"/>
                <w:sz w:val="18"/>
                <w:szCs w:val="18"/>
              </w:rPr>
            </w:pPr>
            <w:r w:rsidRPr="007876B8">
              <w:rPr>
                <w:rFonts w:eastAsia="Century Gothic" w:cs="Century Gothic"/>
                <w:b/>
                <w:bCs/>
                <w:color w:val="FFFFFF"/>
                <w:sz w:val="18"/>
                <w:szCs w:val="18"/>
              </w:rPr>
              <w:t>Level of change in use of My Health Record</w:t>
            </w:r>
          </w:p>
        </w:tc>
        <w:tc>
          <w:tcPr>
            <w:tcW w:w="1826" w:type="pct"/>
            <w:shd w:val="clear" w:color="auto" w:fill="408BCA"/>
          </w:tcPr>
          <w:p w14:paraId="1D54ABD2" w14:textId="77777777" w:rsidR="00086D06" w:rsidRPr="007876B8" w:rsidRDefault="00086D06" w:rsidP="00EA37B5">
            <w:pPr>
              <w:spacing w:after="0"/>
              <w:ind w:left="102" w:right="102"/>
              <w:jc w:val="right"/>
              <w:rPr>
                <w:rFonts w:eastAsia="Century Gothic" w:cs="Century Gothic"/>
                <w:b/>
                <w:bCs/>
                <w:color w:val="000000"/>
                <w:sz w:val="18"/>
                <w:szCs w:val="18"/>
              </w:rPr>
            </w:pPr>
            <w:r w:rsidRPr="007876B8">
              <w:rPr>
                <w:rFonts w:eastAsia="Century Gothic" w:cs="Century Gothic"/>
                <w:b/>
                <w:bCs/>
                <w:color w:val="FFFFFF"/>
                <w:sz w:val="18"/>
                <w:szCs w:val="18"/>
              </w:rPr>
              <w:t>No of practices (%)</w:t>
            </w:r>
          </w:p>
        </w:tc>
      </w:tr>
      <w:tr w:rsidR="00086D06" w:rsidRPr="00A144BD" w14:paraId="323B945F" w14:textId="77777777" w:rsidTr="007876B8">
        <w:trPr>
          <w:jc w:val="center"/>
        </w:trPr>
        <w:tc>
          <w:tcPr>
            <w:tcW w:w="3174" w:type="pct"/>
          </w:tcPr>
          <w:p w14:paraId="28903B86" w14:textId="77777777" w:rsidR="00086D06" w:rsidRPr="004263E2" w:rsidRDefault="00086D06" w:rsidP="00EA37B5">
            <w:pPr>
              <w:spacing w:after="0"/>
              <w:ind w:right="102"/>
              <w:rPr>
                <w:sz w:val="18"/>
                <w:szCs w:val="18"/>
              </w:rPr>
            </w:pPr>
            <w:r w:rsidRPr="004263E2">
              <w:rPr>
                <w:rFonts w:eastAsia="Century Gothic" w:cs="Century Gothic"/>
                <w:color w:val="000000"/>
                <w:sz w:val="18"/>
                <w:szCs w:val="18"/>
              </w:rPr>
              <w:t>Significant increase</w:t>
            </w:r>
          </w:p>
        </w:tc>
        <w:tc>
          <w:tcPr>
            <w:tcW w:w="1826" w:type="pct"/>
          </w:tcPr>
          <w:p w14:paraId="404856ED" w14:textId="77777777" w:rsidR="00086D06" w:rsidRPr="004263E2" w:rsidRDefault="00086D06" w:rsidP="00EA37B5">
            <w:pPr>
              <w:spacing w:after="0"/>
              <w:ind w:left="102" w:right="102"/>
              <w:jc w:val="right"/>
              <w:rPr>
                <w:sz w:val="18"/>
                <w:szCs w:val="18"/>
              </w:rPr>
            </w:pPr>
            <w:r w:rsidRPr="000C0110">
              <w:rPr>
                <w:rFonts w:eastAsia="Century Gothic" w:cs="Century Gothic"/>
                <w:color w:val="000000"/>
                <w:sz w:val="18"/>
                <w:szCs w:val="18"/>
              </w:rPr>
              <w:t>11 (16%)</w:t>
            </w:r>
          </w:p>
        </w:tc>
      </w:tr>
      <w:tr w:rsidR="00086D06" w:rsidRPr="00A144BD" w14:paraId="5CDF22CF" w14:textId="77777777" w:rsidTr="007876B8">
        <w:trPr>
          <w:jc w:val="center"/>
        </w:trPr>
        <w:tc>
          <w:tcPr>
            <w:tcW w:w="3174" w:type="pct"/>
          </w:tcPr>
          <w:p w14:paraId="32B7C4EC" w14:textId="77777777" w:rsidR="00086D06" w:rsidRPr="004263E2" w:rsidRDefault="00086D06" w:rsidP="00EA37B5">
            <w:pPr>
              <w:spacing w:after="0"/>
              <w:ind w:right="102"/>
              <w:rPr>
                <w:sz w:val="18"/>
                <w:szCs w:val="18"/>
              </w:rPr>
            </w:pPr>
            <w:r w:rsidRPr="004263E2">
              <w:rPr>
                <w:rFonts w:eastAsia="Century Gothic" w:cs="Century Gothic"/>
                <w:color w:val="000000"/>
                <w:sz w:val="18"/>
                <w:szCs w:val="18"/>
              </w:rPr>
              <w:t>Moderate increase</w:t>
            </w:r>
          </w:p>
        </w:tc>
        <w:tc>
          <w:tcPr>
            <w:tcW w:w="1826" w:type="pct"/>
          </w:tcPr>
          <w:p w14:paraId="4F0A655B" w14:textId="77777777" w:rsidR="00086D06" w:rsidRPr="004263E2" w:rsidRDefault="00086D06" w:rsidP="00EA37B5">
            <w:pPr>
              <w:spacing w:after="0"/>
              <w:ind w:left="102" w:right="102"/>
              <w:jc w:val="right"/>
              <w:rPr>
                <w:sz w:val="18"/>
                <w:szCs w:val="18"/>
              </w:rPr>
            </w:pPr>
            <w:r w:rsidRPr="000746D8">
              <w:rPr>
                <w:rFonts w:eastAsia="Century Gothic" w:cs="Century Gothic"/>
                <w:color w:val="000000"/>
                <w:sz w:val="18"/>
                <w:szCs w:val="18"/>
              </w:rPr>
              <w:t>25 (37%)</w:t>
            </w:r>
          </w:p>
        </w:tc>
      </w:tr>
      <w:tr w:rsidR="00086D06" w:rsidRPr="00A144BD" w14:paraId="36D87329" w14:textId="77777777" w:rsidTr="007876B8">
        <w:trPr>
          <w:jc w:val="center"/>
        </w:trPr>
        <w:tc>
          <w:tcPr>
            <w:tcW w:w="3174" w:type="pct"/>
          </w:tcPr>
          <w:p w14:paraId="7747355D" w14:textId="77777777" w:rsidR="00086D06" w:rsidRPr="004263E2" w:rsidRDefault="00086D06" w:rsidP="00EA37B5">
            <w:pPr>
              <w:spacing w:after="0"/>
              <w:ind w:right="102"/>
              <w:rPr>
                <w:sz w:val="18"/>
                <w:szCs w:val="18"/>
              </w:rPr>
            </w:pPr>
            <w:r w:rsidRPr="004263E2">
              <w:rPr>
                <w:rFonts w:eastAsia="Century Gothic" w:cs="Century Gothic"/>
                <w:color w:val="000000"/>
                <w:sz w:val="18"/>
                <w:szCs w:val="18"/>
              </w:rPr>
              <w:t>Much the same</w:t>
            </w:r>
          </w:p>
        </w:tc>
        <w:tc>
          <w:tcPr>
            <w:tcW w:w="1826" w:type="pct"/>
          </w:tcPr>
          <w:p w14:paraId="01D72CA5" w14:textId="77777777" w:rsidR="00086D06" w:rsidRPr="004263E2" w:rsidRDefault="00086D06" w:rsidP="00EA37B5">
            <w:pPr>
              <w:spacing w:after="0"/>
              <w:ind w:left="102" w:right="102"/>
              <w:jc w:val="right"/>
              <w:rPr>
                <w:sz w:val="18"/>
                <w:szCs w:val="18"/>
              </w:rPr>
            </w:pPr>
            <w:r w:rsidRPr="00C50046">
              <w:rPr>
                <w:rFonts w:eastAsia="Century Gothic" w:cs="Century Gothic"/>
                <w:color w:val="000000"/>
                <w:sz w:val="18"/>
                <w:szCs w:val="18"/>
              </w:rPr>
              <w:t>32 (47%)</w:t>
            </w:r>
          </w:p>
        </w:tc>
      </w:tr>
      <w:tr w:rsidR="00086D06" w:rsidRPr="00A144BD" w14:paraId="1227155A" w14:textId="77777777" w:rsidTr="007876B8">
        <w:trPr>
          <w:jc w:val="center"/>
        </w:trPr>
        <w:tc>
          <w:tcPr>
            <w:tcW w:w="3174" w:type="pct"/>
          </w:tcPr>
          <w:p w14:paraId="28C6AEBC" w14:textId="77777777" w:rsidR="00086D06" w:rsidRPr="00FD5610" w:rsidRDefault="00086D06" w:rsidP="00EA37B5">
            <w:pPr>
              <w:spacing w:after="0"/>
              <w:ind w:right="102"/>
              <w:rPr>
                <w:rFonts w:eastAsia="Century Gothic" w:cs="Century Gothic"/>
                <w:b/>
                <w:bCs/>
                <w:color w:val="000000"/>
                <w:sz w:val="18"/>
                <w:szCs w:val="18"/>
              </w:rPr>
            </w:pPr>
            <w:r w:rsidRPr="00FD5610">
              <w:rPr>
                <w:rFonts w:eastAsia="Century Gothic" w:cs="Century Gothic"/>
                <w:b/>
                <w:bCs/>
                <w:color w:val="000000"/>
                <w:sz w:val="18"/>
                <w:szCs w:val="18"/>
              </w:rPr>
              <w:t>Total</w:t>
            </w:r>
          </w:p>
        </w:tc>
        <w:tc>
          <w:tcPr>
            <w:tcW w:w="1826" w:type="pct"/>
          </w:tcPr>
          <w:p w14:paraId="692A2DAC" w14:textId="77777777" w:rsidR="00086D06" w:rsidRPr="00FD5610" w:rsidRDefault="00086D06" w:rsidP="00EA37B5">
            <w:pPr>
              <w:spacing w:after="0"/>
              <w:ind w:left="102" w:right="102"/>
              <w:jc w:val="right"/>
              <w:rPr>
                <w:rFonts w:eastAsia="Century Gothic" w:cs="Century Gothic"/>
                <w:b/>
                <w:bCs/>
                <w:color w:val="000000"/>
                <w:sz w:val="18"/>
                <w:szCs w:val="18"/>
              </w:rPr>
            </w:pPr>
            <w:r>
              <w:rPr>
                <w:rFonts w:eastAsia="Century Gothic" w:cs="Century Gothic"/>
                <w:b/>
                <w:bCs/>
                <w:color w:val="000000"/>
                <w:sz w:val="18"/>
                <w:szCs w:val="18"/>
              </w:rPr>
              <w:t>68 (100%)</w:t>
            </w:r>
          </w:p>
        </w:tc>
      </w:tr>
    </w:tbl>
    <w:p w14:paraId="3FDA843B" w14:textId="2E4CA5FC" w:rsidR="00086D06" w:rsidRDefault="00086D06" w:rsidP="00086D06">
      <w:pPr>
        <w:pStyle w:val="Chartortablefootnote"/>
        <w:ind w:left="1985" w:right="2081"/>
        <w:sectPr w:rsidR="00086D06">
          <w:pgSz w:w="11906" w:h="16838"/>
          <w:pgMar w:top="1440" w:right="1440" w:bottom="1440" w:left="1440" w:header="708" w:footer="708" w:gutter="0"/>
          <w:cols w:space="708"/>
          <w:docGrid w:linePitch="360"/>
        </w:sectPr>
      </w:pPr>
      <w:r>
        <w:t xml:space="preserve">Source: Practice survey R5, </w:t>
      </w:r>
      <w:r w:rsidR="00BC2D7A">
        <w:t>Mar–May</w:t>
      </w:r>
      <w:r>
        <w:t xml:space="preserve"> 2021, question 4</w:t>
      </w:r>
      <w:r w:rsidR="00000B7C">
        <w:t>.</w:t>
      </w:r>
    </w:p>
    <w:p w14:paraId="2EE67D6A" w14:textId="0E5CA99E" w:rsidR="00E02BF0" w:rsidRPr="0094369A" w:rsidRDefault="00E02BF0" w:rsidP="00E02BF0">
      <w:pPr>
        <w:pStyle w:val="ChapterNumber"/>
      </w:pPr>
      <w:r>
        <w:lastRenderedPageBreak/>
        <w:fldChar w:fldCharType="begin"/>
      </w:r>
      <w:r>
        <w:instrText xml:space="preserve"> REF _Ref82531819 \r \h </w:instrText>
      </w:r>
      <w:r>
        <w:fldChar w:fldCharType="separate"/>
      </w:r>
      <w:r w:rsidR="003C4BC2">
        <w:t>12</w:t>
      </w:r>
      <w:r>
        <w:fldChar w:fldCharType="end"/>
      </w:r>
    </w:p>
    <w:p w14:paraId="5B6620A0" w14:textId="54F39733" w:rsidR="00E02BF0" w:rsidRDefault="00E02BF0" w:rsidP="00E02BF0">
      <w:pPr>
        <w:pStyle w:val="Heading1withnumber"/>
        <w:ind w:left="0" w:hanging="993"/>
      </w:pPr>
      <w:bookmarkStart w:id="225" w:name="_Ref82531819"/>
      <w:bookmarkStart w:id="226" w:name="_Toc109996689"/>
      <w:r>
        <w:t>HCH in Aboriginal Community Controlled Health Services</w:t>
      </w:r>
      <w:bookmarkEnd w:id="225"/>
      <w:bookmarkEnd w:id="226"/>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1C1668" w:rsidRPr="0048466A" w14:paraId="3F83D814" w14:textId="77777777" w:rsidTr="0032660B">
        <w:tc>
          <w:tcPr>
            <w:tcW w:w="8996" w:type="dxa"/>
            <w:shd w:val="clear" w:color="auto" w:fill="auto"/>
          </w:tcPr>
          <w:p w14:paraId="3783B43A" w14:textId="066D94F1" w:rsidR="001C1668" w:rsidRPr="00EB5CE5" w:rsidRDefault="001C1668" w:rsidP="00AF15A5">
            <w:pPr>
              <w:pStyle w:val="Boxheading"/>
              <w:spacing w:after="120"/>
              <w:rPr>
                <w:bCs/>
                <w:szCs w:val="20"/>
              </w:rPr>
            </w:pPr>
            <w:r w:rsidRPr="00EB5CE5">
              <w:rPr>
                <w:bCs/>
                <w:szCs w:val="20"/>
              </w:rPr>
              <w:t xml:space="preserve">Box </w:t>
            </w:r>
            <w:r w:rsidRPr="00EB5CE5">
              <w:rPr>
                <w:bCs/>
              </w:rPr>
              <w:fldChar w:fldCharType="begin"/>
            </w:r>
            <w:r w:rsidRPr="00EB5CE5">
              <w:rPr>
                <w:bCs/>
              </w:rPr>
              <w:instrText xml:space="preserve"> SEQ Box \* ARABIC </w:instrText>
            </w:r>
            <w:r w:rsidRPr="00EB5CE5">
              <w:rPr>
                <w:bCs/>
              </w:rPr>
              <w:fldChar w:fldCharType="separate"/>
            </w:r>
            <w:r w:rsidR="003C4BC2">
              <w:rPr>
                <w:bCs/>
                <w:noProof/>
              </w:rPr>
              <w:t>19</w:t>
            </w:r>
            <w:r w:rsidRPr="00EB5CE5">
              <w:rPr>
                <w:bCs/>
                <w:noProof/>
              </w:rPr>
              <w:fldChar w:fldCharType="end"/>
            </w:r>
            <w:r w:rsidRPr="00EB5CE5">
              <w:rPr>
                <w:bCs/>
                <w:szCs w:val="20"/>
              </w:rPr>
              <w:t xml:space="preserve">: </w:t>
            </w:r>
            <w:r w:rsidR="00E76EF4" w:rsidRPr="00EB5CE5">
              <w:rPr>
                <w:bCs/>
                <w:szCs w:val="20"/>
              </w:rPr>
              <w:t>Chapter summary</w:t>
            </w:r>
          </w:p>
          <w:p w14:paraId="4C87A7D7" w14:textId="189A8086" w:rsidR="00CA7533" w:rsidRPr="00CA7533" w:rsidRDefault="00727A6D" w:rsidP="00EB5CE5">
            <w:pPr>
              <w:spacing w:after="120"/>
              <w:rPr>
                <w:rFonts w:eastAsia="Muli" w:cs="Muli"/>
                <w:color w:val="000000" w:themeColor="text1"/>
                <w:sz w:val="18"/>
                <w:szCs w:val="18"/>
              </w:rPr>
            </w:pPr>
            <w:r>
              <w:rPr>
                <w:rFonts w:eastAsia="Muli" w:cs="Muli"/>
                <w:color w:val="000000" w:themeColor="text1"/>
                <w:sz w:val="18"/>
                <w:szCs w:val="18"/>
              </w:rPr>
              <w:t>Eighteen</w:t>
            </w:r>
            <w:r w:rsidR="00584D92">
              <w:rPr>
                <w:rFonts w:eastAsia="Muli" w:cs="Muli"/>
                <w:color w:val="000000" w:themeColor="text1"/>
                <w:sz w:val="18"/>
                <w:szCs w:val="18"/>
              </w:rPr>
              <w:t xml:space="preserve"> community clinics managed by </w:t>
            </w:r>
            <w:r w:rsidR="00F845D1" w:rsidRPr="00EB5CE5">
              <w:rPr>
                <w:rFonts w:eastAsia="Muli" w:cs="Muli"/>
                <w:color w:val="000000" w:themeColor="text1"/>
                <w:sz w:val="18"/>
                <w:szCs w:val="18"/>
              </w:rPr>
              <w:t>Aboriginal Community Controlled Health Services (ACCHS) in the N</w:t>
            </w:r>
            <w:r w:rsidR="00B01ADC">
              <w:rPr>
                <w:rFonts w:eastAsia="Muli" w:cs="Muli"/>
                <w:color w:val="000000" w:themeColor="text1"/>
                <w:sz w:val="18"/>
                <w:szCs w:val="18"/>
              </w:rPr>
              <w:t xml:space="preserve">orthern </w:t>
            </w:r>
            <w:r w:rsidR="00F845D1" w:rsidRPr="00EB5CE5">
              <w:rPr>
                <w:rFonts w:eastAsia="Muli" w:cs="Muli"/>
                <w:color w:val="000000" w:themeColor="text1"/>
                <w:sz w:val="18"/>
                <w:szCs w:val="18"/>
              </w:rPr>
              <w:t>T</w:t>
            </w:r>
            <w:r w:rsidR="00B01ADC">
              <w:rPr>
                <w:rFonts w:eastAsia="Muli" w:cs="Muli"/>
                <w:color w:val="000000" w:themeColor="text1"/>
                <w:sz w:val="18"/>
                <w:szCs w:val="18"/>
              </w:rPr>
              <w:t>erritory</w:t>
            </w:r>
            <w:r w:rsidR="00584D92">
              <w:rPr>
                <w:rFonts w:eastAsia="Muli" w:cs="Muli"/>
                <w:color w:val="000000" w:themeColor="text1"/>
                <w:sz w:val="18"/>
                <w:szCs w:val="18"/>
              </w:rPr>
              <w:t xml:space="preserve"> participated in the trial</w:t>
            </w:r>
            <w:r w:rsidR="006E0DB5">
              <w:rPr>
                <w:rFonts w:eastAsia="Muli" w:cs="Muli"/>
                <w:color w:val="000000" w:themeColor="text1"/>
                <w:sz w:val="18"/>
                <w:szCs w:val="18"/>
              </w:rPr>
              <w:t>, o</w:t>
            </w:r>
            <w:r w:rsidR="006931E1">
              <w:rPr>
                <w:rFonts w:eastAsia="Muli" w:cs="Muli"/>
                <w:color w:val="000000" w:themeColor="text1"/>
                <w:sz w:val="18"/>
                <w:szCs w:val="18"/>
              </w:rPr>
              <w:t>f</w:t>
            </w:r>
            <w:r w:rsidR="006E0DB5">
              <w:rPr>
                <w:rFonts w:eastAsia="Muli" w:cs="Muli"/>
                <w:color w:val="000000" w:themeColor="text1"/>
                <w:sz w:val="18"/>
                <w:szCs w:val="18"/>
              </w:rPr>
              <w:t xml:space="preserve"> which </w:t>
            </w:r>
            <w:r w:rsidR="00F845D1" w:rsidRPr="00EB5CE5">
              <w:rPr>
                <w:rFonts w:eastAsia="Muli" w:cs="Muli"/>
                <w:color w:val="000000" w:themeColor="text1"/>
                <w:sz w:val="18"/>
                <w:szCs w:val="18"/>
              </w:rPr>
              <w:t xml:space="preserve">14 </w:t>
            </w:r>
            <w:r w:rsidR="006E0DB5">
              <w:rPr>
                <w:rFonts w:eastAsia="Muli" w:cs="Muli"/>
                <w:color w:val="000000" w:themeColor="text1"/>
                <w:sz w:val="18"/>
                <w:szCs w:val="18"/>
              </w:rPr>
              <w:t>continue</w:t>
            </w:r>
            <w:r w:rsidR="00132EAF">
              <w:rPr>
                <w:rFonts w:eastAsia="Muli" w:cs="Muli"/>
                <w:color w:val="000000" w:themeColor="text1"/>
                <w:sz w:val="18"/>
                <w:szCs w:val="18"/>
              </w:rPr>
              <w:t>d</w:t>
            </w:r>
            <w:r w:rsidR="000908C4">
              <w:rPr>
                <w:rFonts w:eastAsia="Muli" w:cs="Muli"/>
                <w:color w:val="000000" w:themeColor="text1"/>
                <w:sz w:val="18"/>
                <w:szCs w:val="18"/>
              </w:rPr>
              <w:t xml:space="preserve"> to</w:t>
            </w:r>
            <w:r w:rsidR="006E0DB5">
              <w:rPr>
                <w:rFonts w:eastAsia="Muli" w:cs="Muli"/>
                <w:color w:val="000000" w:themeColor="text1"/>
                <w:sz w:val="18"/>
                <w:szCs w:val="18"/>
              </w:rPr>
              <w:t xml:space="preserve"> </w:t>
            </w:r>
            <w:r w:rsidR="00F845D1" w:rsidRPr="00EB5CE5">
              <w:rPr>
                <w:rFonts w:eastAsia="Muli" w:cs="Muli"/>
                <w:color w:val="000000" w:themeColor="text1"/>
                <w:sz w:val="18"/>
                <w:szCs w:val="18"/>
              </w:rPr>
              <w:t>participat</w:t>
            </w:r>
            <w:r w:rsidR="000908C4">
              <w:rPr>
                <w:rFonts w:eastAsia="Muli" w:cs="Muli"/>
                <w:color w:val="000000" w:themeColor="text1"/>
                <w:sz w:val="18"/>
                <w:szCs w:val="18"/>
              </w:rPr>
              <w:t>e</w:t>
            </w:r>
            <w:r w:rsidR="006E0DB5">
              <w:rPr>
                <w:rFonts w:eastAsia="Muli" w:cs="Muli"/>
                <w:color w:val="000000" w:themeColor="text1"/>
                <w:sz w:val="18"/>
                <w:szCs w:val="18"/>
              </w:rPr>
              <w:t xml:space="preserve"> through to June 2021, with </w:t>
            </w:r>
            <w:r w:rsidR="00F845D1" w:rsidRPr="00EB5CE5">
              <w:rPr>
                <w:rFonts w:eastAsia="Muli" w:cs="Muli"/>
                <w:color w:val="000000" w:themeColor="text1"/>
                <w:sz w:val="18"/>
                <w:szCs w:val="18"/>
              </w:rPr>
              <w:t>one withdr</w:t>
            </w:r>
            <w:r w:rsidR="00326C28">
              <w:rPr>
                <w:rFonts w:eastAsia="Muli" w:cs="Muli"/>
                <w:color w:val="000000" w:themeColor="text1"/>
                <w:sz w:val="18"/>
                <w:szCs w:val="18"/>
              </w:rPr>
              <w:t xml:space="preserve">awing </w:t>
            </w:r>
            <w:r w:rsidR="00F845D1" w:rsidRPr="00EB5CE5">
              <w:rPr>
                <w:rFonts w:eastAsia="Muli" w:cs="Muli"/>
                <w:color w:val="000000" w:themeColor="text1"/>
                <w:sz w:val="18"/>
                <w:szCs w:val="18"/>
              </w:rPr>
              <w:t>in March 2021.</w:t>
            </w:r>
            <w:r w:rsidR="00EB5CE5" w:rsidRPr="00EB5CE5">
              <w:rPr>
                <w:rFonts w:eastAsia="Muli" w:cs="Muli"/>
                <w:color w:val="000000" w:themeColor="text1"/>
                <w:sz w:val="18"/>
                <w:szCs w:val="18"/>
              </w:rPr>
              <w:t xml:space="preserve"> </w:t>
            </w:r>
            <w:r w:rsidR="00EB5CE5">
              <w:rPr>
                <w:rFonts w:eastAsia="Muli" w:cs="Muli"/>
                <w:color w:val="000000" w:themeColor="text1"/>
                <w:sz w:val="18"/>
                <w:szCs w:val="18"/>
              </w:rPr>
              <w:t>The</w:t>
            </w:r>
            <w:r w:rsidR="00EB5CE5" w:rsidRPr="00EB5CE5">
              <w:rPr>
                <w:rFonts w:eastAsia="Muli" w:cs="Muli"/>
                <w:color w:val="000000" w:themeColor="text1"/>
                <w:sz w:val="18"/>
                <w:szCs w:val="18"/>
              </w:rPr>
              <w:t xml:space="preserve"> 14</w:t>
            </w:r>
            <w:r w:rsidR="00CA7533" w:rsidRPr="00EB5CE5">
              <w:rPr>
                <w:rFonts w:eastAsia="Muli" w:cs="Muli"/>
                <w:color w:val="000000" w:themeColor="text1"/>
                <w:sz w:val="18"/>
                <w:szCs w:val="18"/>
              </w:rPr>
              <w:t xml:space="preserve"> </w:t>
            </w:r>
            <w:r w:rsidR="002E41D3">
              <w:rPr>
                <w:rFonts w:eastAsia="Muli" w:cs="Muli"/>
                <w:color w:val="000000" w:themeColor="text1"/>
                <w:sz w:val="18"/>
                <w:szCs w:val="18"/>
              </w:rPr>
              <w:t xml:space="preserve">clinics </w:t>
            </w:r>
            <w:r w:rsidR="00CA7533" w:rsidRPr="00EB5CE5">
              <w:rPr>
                <w:rFonts w:eastAsia="Muli" w:cs="Muli"/>
                <w:color w:val="000000" w:themeColor="text1"/>
                <w:sz w:val="18"/>
                <w:szCs w:val="18"/>
              </w:rPr>
              <w:t xml:space="preserve">enrolled 1,025 patients, with a median of 53 patients per </w:t>
            </w:r>
            <w:r w:rsidR="002F0B64">
              <w:rPr>
                <w:rFonts w:eastAsia="Muli" w:cs="Muli"/>
                <w:color w:val="000000" w:themeColor="text1"/>
                <w:sz w:val="18"/>
                <w:szCs w:val="18"/>
              </w:rPr>
              <w:t>clinic</w:t>
            </w:r>
            <w:r w:rsidR="00CA7533" w:rsidRPr="00EB5CE5">
              <w:rPr>
                <w:rFonts w:eastAsia="Muli" w:cs="Muli"/>
                <w:color w:val="000000" w:themeColor="text1"/>
                <w:sz w:val="18"/>
                <w:szCs w:val="18"/>
              </w:rPr>
              <w:t xml:space="preserve"> (10 minimum and 268 maximum). </w:t>
            </w:r>
            <w:r w:rsidR="004B3D99">
              <w:rPr>
                <w:rFonts w:eastAsia="Muli" w:cs="Muli"/>
                <w:color w:val="000000" w:themeColor="text1"/>
                <w:sz w:val="18"/>
                <w:szCs w:val="18"/>
              </w:rPr>
              <w:t xml:space="preserve">Two </w:t>
            </w:r>
            <w:r w:rsidR="003C50C5">
              <w:rPr>
                <w:rFonts w:eastAsia="Muli" w:cs="Muli"/>
                <w:color w:val="000000" w:themeColor="text1"/>
                <w:sz w:val="18"/>
                <w:szCs w:val="18"/>
              </w:rPr>
              <w:t xml:space="preserve">clinics </w:t>
            </w:r>
            <w:r w:rsidR="00862487">
              <w:rPr>
                <w:rFonts w:eastAsia="Muli" w:cs="Muli"/>
                <w:color w:val="000000" w:themeColor="text1"/>
                <w:sz w:val="18"/>
                <w:szCs w:val="18"/>
              </w:rPr>
              <w:t xml:space="preserve">located in </w:t>
            </w:r>
            <w:r w:rsidR="00920638">
              <w:rPr>
                <w:rFonts w:eastAsia="Muli" w:cs="Muli"/>
                <w:color w:val="000000" w:themeColor="text1"/>
                <w:sz w:val="18"/>
                <w:szCs w:val="18"/>
              </w:rPr>
              <w:t xml:space="preserve">two </w:t>
            </w:r>
            <w:r w:rsidR="00CA7533" w:rsidRPr="00EB5CE5">
              <w:rPr>
                <w:rFonts w:eastAsia="Muli" w:cs="Muli"/>
                <w:color w:val="000000" w:themeColor="text1"/>
                <w:sz w:val="18"/>
                <w:szCs w:val="18"/>
              </w:rPr>
              <w:t xml:space="preserve">different remote Aboriginal communities </w:t>
            </w:r>
            <w:r w:rsidR="00862487">
              <w:rPr>
                <w:rFonts w:eastAsia="Muli" w:cs="Muli"/>
                <w:color w:val="000000" w:themeColor="text1"/>
                <w:sz w:val="18"/>
                <w:szCs w:val="18"/>
              </w:rPr>
              <w:t>and managed by two different ACCHS</w:t>
            </w:r>
            <w:r w:rsidR="00A55255">
              <w:rPr>
                <w:rFonts w:eastAsia="Muli" w:cs="Muli"/>
                <w:color w:val="000000" w:themeColor="text1"/>
                <w:sz w:val="18"/>
                <w:szCs w:val="18"/>
              </w:rPr>
              <w:t xml:space="preserve"> </w:t>
            </w:r>
            <w:r w:rsidR="00CA7533" w:rsidRPr="00EB5CE5">
              <w:rPr>
                <w:rFonts w:eastAsia="Muli" w:cs="Muli"/>
                <w:color w:val="000000" w:themeColor="text1"/>
                <w:sz w:val="18"/>
                <w:szCs w:val="18"/>
              </w:rPr>
              <w:t>were selected as case study sites for the HCH evaluation. Staff members and patients within these communities were interviewed about their experience with the trial at two time points: in 2019 and in 2020.</w:t>
            </w:r>
          </w:p>
          <w:p w14:paraId="0B3EC3FE" w14:textId="3294CCEF" w:rsidR="00CA7533" w:rsidRPr="00CA7533" w:rsidRDefault="00CA7533" w:rsidP="00CA7533">
            <w:pPr>
              <w:spacing w:after="120"/>
              <w:rPr>
                <w:rFonts w:eastAsia="Muli" w:cs="Muli"/>
                <w:color w:val="000000" w:themeColor="text1"/>
                <w:sz w:val="18"/>
                <w:szCs w:val="18"/>
              </w:rPr>
            </w:pPr>
            <w:r w:rsidRPr="00CA7533">
              <w:rPr>
                <w:rFonts w:eastAsia="Muli" w:cs="Muli"/>
                <w:color w:val="000000" w:themeColor="text1"/>
                <w:sz w:val="18"/>
                <w:szCs w:val="18"/>
              </w:rPr>
              <w:t xml:space="preserve">The two </w:t>
            </w:r>
            <w:r w:rsidR="00B01ADC" w:rsidRPr="00EB5CE5">
              <w:rPr>
                <w:rFonts w:eastAsia="Muli" w:cs="Muli"/>
                <w:color w:val="000000" w:themeColor="text1"/>
                <w:sz w:val="18"/>
                <w:szCs w:val="18"/>
              </w:rPr>
              <w:t>N</w:t>
            </w:r>
            <w:r w:rsidR="00B01ADC">
              <w:rPr>
                <w:rFonts w:eastAsia="Muli" w:cs="Muli"/>
                <w:color w:val="000000" w:themeColor="text1"/>
                <w:sz w:val="18"/>
                <w:szCs w:val="18"/>
              </w:rPr>
              <w:t xml:space="preserve">orthern </w:t>
            </w:r>
            <w:r w:rsidR="00B01ADC" w:rsidRPr="00EB5CE5">
              <w:rPr>
                <w:rFonts w:eastAsia="Muli" w:cs="Muli"/>
                <w:color w:val="000000" w:themeColor="text1"/>
                <w:sz w:val="18"/>
                <w:szCs w:val="18"/>
              </w:rPr>
              <w:t>T</w:t>
            </w:r>
            <w:r w:rsidR="00B01ADC">
              <w:rPr>
                <w:rFonts w:eastAsia="Muli" w:cs="Muli"/>
                <w:color w:val="000000" w:themeColor="text1"/>
                <w:sz w:val="18"/>
                <w:szCs w:val="18"/>
              </w:rPr>
              <w:t>erritory</w:t>
            </w:r>
            <w:r w:rsidRPr="00CA7533">
              <w:rPr>
                <w:rFonts w:eastAsia="Muli" w:cs="Muli"/>
                <w:color w:val="000000" w:themeColor="text1"/>
                <w:sz w:val="18"/>
                <w:szCs w:val="18"/>
              </w:rPr>
              <w:t xml:space="preserve"> ACCHS</w:t>
            </w:r>
            <w:r w:rsidR="003E1801">
              <w:rPr>
                <w:rFonts w:eastAsia="Muli" w:cs="Muli"/>
                <w:color w:val="000000" w:themeColor="text1"/>
                <w:sz w:val="18"/>
                <w:szCs w:val="18"/>
              </w:rPr>
              <w:t xml:space="preserve"> clinics</w:t>
            </w:r>
            <w:r w:rsidRPr="00CA7533">
              <w:rPr>
                <w:rFonts w:eastAsia="Muli" w:cs="Muli"/>
                <w:color w:val="000000" w:themeColor="text1"/>
                <w:sz w:val="18"/>
                <w:szCs w:val="18"/>
              </w:rPr>
              <w:t xml:space="preserve"> </w:t>
            </w:r>
            <w:r w:rsidR="0069044A">
              <w:rPr>
                <w:rFonts w:eastAsia="Muli" w:cs="Muli"/>
                <w:color w:val="000000" w:themeColor="text1"/>
                <w:sz w:val="18"/>
                <w:szCs w:val="18"/>
              </w:rPr>
              <w:t xml:space="preserve">involved with the case studies </w:t>
            </w:r>
            <w:r w:rsidR="003B79D3">
              <w:rPr>
                <w:rFonts w:eastAsia="Muli" w:cs="Muli"/>
                <w:color w:val="000000" w:themeColor="text1"/>
                <w:sz w:val="18"/>
                <w:szCs w:val="18"/>
              </w:rPr>
              <w:t xml:space="preserve">reported </w:t>
            </w:r>
            <w:r w:rsidR="003002AB">
              <w:rPr>
                <w:rFonts w:eastAsia="Muli" w:cs="Muli"/>
                <w:color w:val="000000" w:themeColor="text1"/>
                <w:sz w:val="18"/>
                <w:szCs w:val="18"/>
              </w:rPr>
              <w:t xml:space="preserve">that </w:t>
            </w:r>
            <w:r w:rsidRPr="00CA7533">
              <w:rPr>
                <w:rFonts w:eastAsia="Muli" w:cs="Muli"/>
                <w:color w:val="000000" w:themeColor="text1"/>
                <w:sz w:val="18"/>
                <w:szCs w:val="18"/>
              </w:rPr>
              <w:t>although the HCH model is similar to the way they were already delivering care, implementing HCH meant more frequent reviews of patients’ care plans and, overall, more comprehensive plans. They also found that team meetings were more effective and efficient, mostly due to improved care planning</w:t>
            </w:r>
            <w:r w:rsidR="00D4561F">
              <w:rPr>
                <w:rFonts w:eastAsia="Muli" w:cs="Muli"/>
                <w:color w:val="000000" w:themeColor="text1"/>
                <w:sz w:val="18"/>
                <w:szCs w:val="18"/>
              </w:rPr>
              <w:t>,</w:t>
            </w:r>
            <w:r w:rsidRPr="00CA7533">
              <w:rPr>
                <w:rFonts w:eastAsia="Muli" w:cs="Muli"/>
                <w:color w:val="000000" w:themeColor="text1"/>
                <w:sz w:val="18"/>
                <w:szCs w:val="18"/>
              </w:rPr>
              <w:t xml:space="preserve"> which allowed all members of the team (including visiting allied health and other health professionals) to be across what was happening with individual patients.</w:t>
            </w:r>
          </w:p>
          <w:p w14:paraId="01F1956F" w14:textId="59D70E3D" w:rsidR="00CA7533" w:rsidRPr="00CA7533" w:rsidRDefault="00CA7533" w:rsidP="00CA7533">
            <w:pPr>
              <w:spacing w:after="120"/>
              <w:rPr>
                <w:rFonts w:eastAsia="Muli" w:cs="Muli"/>
                <w:color w:val="000000" w:themeColor="text1"/>
                <w:sz w:val="18"/>
                <w:szCs w:val="18"/>
              </w:rPr>
            </w:pPr>
            <w:r w:rsidRPr="00CA7533">
              <w:rPr>
                <w:rFonts w:eastAsia="Muli" w:cs="Muli"/>
                <w:color w:val="000000" w:themeColor="text1"/>
                <w:sz w:val="18"/>
                <w:szCs w:val="18"/>
              </w:rPr>
              <w:t xml:space="preserve">Another key benefit of HCH for the ACCHS was that </w:t>
            </w:r>
            <w:r w:rsidR="00D4561F">
              <w:rPr>
                <w:rFonts w:eastAsia="Muli" w:cs="Muli"/>
                <w:color w:val="000000" w:themeColor="text1"/>
                <w:sz w:val="18"/>
                <w:szCs w:val="18"/>
              </w:rPr>
              <w:t>HCH</w:t>
            </w:r>
            <w:r w:rsidRPr="00CA7533">
              <w:rPr>
                <w:rFonts w:eastAsia="Muli" w:cs="Muli"/>
                <w:color w:val="000000" w:themeColor="text1"/>
                <w:sz w:val="18"/>
                <w:szCs w:val="18"/>
              </w:rPr>
              <w:t xml:space="preserve"> provided certainty of income and enabled staff to get paid for after-hours work that is not supported under Medicare. ACCHS </w:t>
            </w:r>
            <w:r w:rsidR="003E1801">
              <w:rPr>
                <w:rFonts w:eastAsia="Muli" w:cs="Muli"/>
                <w:color w:val="000000" w:themeColor="text1"/>
                <w:sz w:val="18"/>
                <w:szCs w:val="18"/>
              </w:rPr>
              <w:t>clinic</w:t>
            </w:r>
            <w:r w:rsidRPr="00CA7533">
              <w:rPr>
                <w:rFonts w:eastAsia="Muli" w:cs="Muli"/>
                <w:color w:val="000000" w:themeColor="text1"/>
                <w:sz w:val="18"/>
                <w:szCs w:val="18"/>
              </w:rPr>
              <w:t xml:space="preserve"> staff were concerned that at the end of the trial they would not be able to provide the level of care needed by their patients</w:t>
            </w:r>
            <w:r w:rsidR="00D4561F">
              <w:rPr>
                <w:rFonts w:eastAsia="Muli" w:cs="Muli"/>
                <w:color w:val="000000" w:themeColor="text1"/>
                <w:sz w:val="18"/>
                <w:szCs w:val="18"/>
              </w:rPr>
              <w:t xml:space="preserve"> with </w:t>
            </w:r>
            <w:r w:rsidRPr="00CA7533">
              <w:rPr>
                <w:rFonts w:eastAsia="Muli" w:cs="Muli"/>
                <w:color w:val="000000" w:themeColor="text1"/>
                <w:sz w:val="18"/>
                <w:szCs w:val="18"/>
              </w:rPr>
              <w:t>chronic disease without the bundled payment.</w:t>
            </w:r>
          </w:p>
          <w:p w14:paraId="2BFE729B" w14:textId="28C4A79A" w:rsidR="00CA7533" w:rsidRPr="00CA7533" w:rsidRDefault="00CA7533" w:rsidP="00CA7533">
            <w:pPr>
              <w:spacing w:after="120"/>
              <w:rPr>
                <w:rFonts w:eastAsia="Muli" w:cs="Muli"/>
                <w:color w:val="000000" w:themeColor="text1"/>
                <w:sz w:val="18"/>
                <w:szCs w:val="18"/>
              </w:rPr>
            </w:pPr>
            <w:r w:rsidRPr="00CA7533">
              <w:rPr>
                <w:rFonts w:eastAsia="Muli" w:cs="Muli"/>
                <w:color w:val="000000" w:themeColor="text1"/>
                <w:sz w:val="18"/>
                <w:szCs w:val="18"/>
              </w:rPr>
              <w:t xml:space="preserve">ACCHS staff felt that the </w:t>
            </w:r>
            <w:r w:rsidR="00D42E3C">
              <w:rPr>
                <w:rFonts w:eastAsia="Muli" w:cs="Muli"/>
                <w:color w:val="000000" w:themeColor="text1"/>
                <w:sz w:val="18"/>
                <w:szCs w:val="18"/>
              </w:rPr>
              <w:t>RST</w:t>
            </w:r>
            <w:r w:rsidRPr="00CA7533">
              <w:rPr>
                <w:rFonts w:eastAsia="Muli" w:cs="Muli"/>
                <w:color w:val="000000" w:themeColor="text1"/>
                <w:sz w:val="18"/>
                <w:szCs w:val="18"/>
              </w:rPr>
              <w:t xml:space="preserve"> was not suitable for their context as it </w:t>
            </w:r>
            <w:r w:rsidR="00D42E3C">
              <w:rPr>
                <w:rFonts w:eastAsia="Muli" w:cs="Muli"/>
                <w:color w:val="000000" w:themeColor="text1"/>
                <w:sz w:val="18"/>
                <w:szCs w:val="18"/>
              </w:rPr>
              <w:t>did</w:t>
            </w:r>
            <w:r w:rsidRPr="00CA7533">
              <w:rPr>
                <w:rFonts w:eastAsia="Muli" w:cs="Muli"/>
                <w:color w:val="000000" w:themeColor="text1"/>
                <w:sz w:val="18"/>
                <w:szCs w:val="18"/>
              </w:rPr>
              <w:t xml:space="preserve"> not </w:t>
            </w:r>
            <w:r w:rsidR="00B378A8">
              <w:rPr>
                <w:rFonts w:eastAsia="Muli" w:cs="Muli"/>
                <w:color w:val="000000" w:themeColor="text1"/>
                <w:sz w:val="18"/>
                <w:szCs w:val="18"/>
              </w:rPr>
              <w:t xml:space="preserve">adequately account for </w:t>
            </w:r>
            <w:r w:rsidRPr="00CA7533">
              <w:rPr>
                <w:rFonts w:eastAsia="Muli" w:cs="Muli"/>
                <w:color w:val="000000" w:themeColor="text1"/>
                <w:sz w:val="18"/>
                <w:szCs w:val="18"/>
              </w:rPr>
              <w:t>the cultural, social and geographic issues of their clients. They also faced many issues implementing the software.</w:t>
            </w:r>
          </w:p>
          <w:p w14:paraId="5B7F6F63" w14:textId="2F8AA14B" w:rsidR="00CA7533" w:rsidRPr="00CA7533" w:rsidRDefault="00CA7533" w:rsidP="00CA7533">
            <w:pPr>
              <w:spacing w:after="120"/>
              <w:rPr>
                <w:rFonts w:eastAsia="Muli" w:cs="Muli"/>
                <w:color w:val="000000" w:themeColor="text1"/>
                <w:sz w:val="18"/>
                <w:szCs w:val="18"/>
              </w:rPr>
            </w:pPr>
            <w:r w:rsidRPr="00CA7533">
              <w:rPr>
                <w:rFonts w:eastAsia="Muli" w:cs="Muli"/>
                <w:color w:val="000000" w:themeColor="text1"/>
                <w:sz w:val="18"/>
                <w:szCs w:val="18"/>
              </w:rPr>
              <w:t>Key enablers for implementing programs like HCH were the ACCHS structure, the community and relationships of clinical staff with their patients.</w:t>
            </w:r>
          </w:p>
          <w:p w14:paraId="42E119F5" w14:textId="3F3B5DEA" w:rsidR="00CA7533" w:rsidRPr="00CA7533" w:rsidRDefault="000A66B9" w:rsidP="00CA7533">
            <w:pPr>
              <w:spacing w:after="120"/>
              <w:rPr>
                <w:rFonts w:eastAsia="Muli" w:cs="Muli"/>
                <w:color w:val="000000" w:themeColor="text1"/>
                <w:sz w:val="18"/>
                <w:szCs w:val="18"/>
              </w:rPr>
            </w:pPr>
            <w:r>
              <w:rPr>
                <w:rFonts w:eastAsia="Muli" w:cs="Muli"/>
                <w:color w:val="000000" w:themeColor="text1"/>
                <w:sz w:val="18"/>
                <w:szCs w:val="18"/>
              </w:rPr>
              <w:t>C</w:t>
            </w:r>
            <w:r w:rsidR="00CA7533" w:rsidRPr="00CA7533">
              <w:rPr>
                <w:rFonts w:eastAsia="Muli" w:cs="Muli"/>
                <w:color w:val="000000" w:themeColor="text1"/>
                <w:sz w:val="18"/>
                <w:szCs w:val="18"/>
              </w:rPr>
              <w:t>hallenge</w:t>
            </w:r>
            <w:r w:rsidR="00CC16BF">
              <w:rPr>
                <w:rFonts w:eastAsia="Muli" w:cs="Muli"/>
                <w:color w:val="000000" w:themeColor="text1"/>
                <w:sz w:val="18"/>
                <w:szCs w:val="18"/>
              </w:rPr>
              <w:t xml:space="preserve"> </w:t>
            </w:r>
            <w:r>
              <w:rPr>
                <w:rFonts w:eastAsia="Muli" w:cs="Muli"/>
                <w:color w:val="000000" w:themeColor="text1"/>
                <w:sz w:val="18"/>
                <w:szCs w:val="18"/>
              </w:rPr>
              <w:t xml:space="preserve">included </w:t>
            </w:r>
            <w:r w:rsidR="00CA7533" w:rsidRPr="00CA7533">
              <w:rPr>
                <w:rFonts w:eastAsia="Muli" w:cs="Muli"/>
                <w:color w:val="000000" w:themeColor="text1"/>
                <w:sz w:val="18"/>
                <w:szCs w:val="18"/>
              </w:rPr>
              <w:t xml:space="preserve">the transient nature of </w:t>
            </w:r>
            <w:r w:rsidR="002061E6">
              <w:rPr>
                <w:rFonts w:eastAsia="Muli" w:cs="Muli"/>
                <w:color w:val="000000" w:themeColor="text1"/>
                <w:sz w:val="18"/>
                <w:szCs w:val="18"/>
              </w:rPr>
              <w:t xml:space="preserve">community </w:t>
            </w:r>
            <w:r w:rsidR="00CA7533" w:rsidRPr="00CA7533">
              <w:rPr>
                <w:rFonts w:eastAsia="Muli" w:cs="Muli"/>
                <w:color w:val="000000" w:themeColor="text1"/>
                <w:sz w:val="18"/>
                <w:szCs w:val="18"/>
              </w:rPr>
              <w:t>populations</w:t>
            </w:r>
            <w:r>
              <w:rPr>
                <w:rFonts w:eastAsia="Muli" w:cs="Muli"/>
                <w:color w:val="000000" w:themeColor="text1"/>
                <w:sz w:val="18"/>
                <w:szCs w:val="18"/>
              </w:rPr>
              <w:t xml:space="preserve"> </w:t>
            </w:r>
            <w:r w:rsidR="00C24755">
              <w:rPr>
                <w:rFonts w:eastAsia="Muli" w:cs="Muli"/>
                <w:color w:val="000000" w:themeColor="text1"/>
                <w:sz w:val="18"/>
                <w:szCs w:val="18"/>
              </w:rPr>
              <w:t>(</w:t>
            </w:r>
            <w:r>
              <w:rPr>
                <w:rFonts w:eastAsia="Muli" w:cs="Muli"/>
                <w:color w:val="000000" w:themeColor="text1"/>
                <w:sz w:val="18"/>
                <w:szCs w:val="18"/>
              </w:rPr>
              <w:t xml:space="preserve">which made </w:t>
            </w:r>
            <w:r w:rsidR="00CA7533" w:rsidRPr="00CA7533">
              <w:rPr>
                <w:rFonts w:eastAsia="Muli" w:cs="Muli"/>
                <w:color w:val="000000" w:themeColor="text1"/>
                <w:sz w:val="18"/>
                <w:szCs w:val="18"/>
              </w:rPr>
              <w:t>it difficult for a single clinic to operate as their medical home</w:t>
            </w:r>
            <w:r w:rsidR="00C24755">
              <w:rPr>
                <w:rFonts w:eastAsia="Muli" w:cs="Muli"/>
                <w:color w:val="000000" w:themeColor="text1"/>
                <w:sz w:val="18"/>
                <w:szCs w:val="18"/>
              </w:rPr>
              <w:t xml:space="preserve">), </w:t>
            </w:r>
            <w:r w:rsidR="00CA7533" w:rsidRPr="00CA7533">
              <w:rPr>
                <w:rFonts w:eastAsia="Muli" w:cs="Muli"/>
                <w:color w:val="000000" w:themeColor="text1"/>
                <w:sz w:val="18"/>
                <w:szCs w:val="18"/>
              </w:rPr>
              <w:t>suboptimal and inconsistent communications with external health care providers (specialists and hospitals) about their patients; and availability of staff and services to follow through with care plans.</w:t>
            </w:r>
          </w:p>
          <w:p w14:paraId="50ADA28C" w14:textId="50860102" w:rsidR="00CA7533" w:rsidRPr="00CA7533" w:rsidRDefault="00CA7533" w:rsidP="00CA7533">
            <w:pPr>
              <w:spacing w:after="120"/>
              <w:rPr>
                <w:rFonts w:eastAsia="Muli" w:cs="Muli"/>
                <w:color w:val="000000" w:themeColor="text1"/>
                <w:sz w:val="18"/>
                <w:szCs w:val="18"/>
              </w:rPr>
            </w:pPr>
            <w:r w:rsidRPr="00CA7533">
              <w:rPr>
                <w:rFonts w:eastAsia="Muli" w:cs="Muli"/>
                <w:color w:val="000000" w:themeColor="text1"/>
                <w:sz w:val="18"/>
                <w:szCs w:val="18"/>
              </w:rPr>
              <w:t xml:space="preserve">During the pandemic the services used more telehealth. This </w:t>
            </w:r>
            <w:r w:rsidR="006D5091">
              <w:rPr>
                <w:rFonts w:eastAsia="Muli" w:cs="Muli"/>
                <w:color w:val="000000" w:themeColor="text1"/>
                <w:sz w:val="18"/>
                <w:szCs w:val="18"/>
              </w:rPr>
              <w:t xml:space="preserve">included </w:t>
            </w:r>
            <w:r w:rsidRPr="00CA7533">
              <w:rPr>
                <w:rFonts w:eastAsia="Muli" w:cs="Muli"/>
                <w:color w:val="000000" w:themeColor="text1"/>
                <w:sz w:val="18"/>
                <w:szCs w:val="18"/>
              </w:rPr>
              <w:t>for specialist consultations, wher</w:t>
            </w:r>
            <w:r w:rsidR="004225DC">
              <w:rPr>
                <w:rFonts w:eastAsia="Muli" w:cs="Muli"/>
                <w:color w:val="000000" w:themeColor="text1"/>
                <w:sz w:val="18"/>
                <w:szCs w:val="18"/>
              </w:rPr>
              <w:t>e</w:t>
            </w:r>
            <w:r w:rsidRPr="00CA7533">
              <w:rPr>
                <w:rFonts w:eastAsia="Muli" w:cs="Muli"/>
                <w:color w:val="000000" w:themeColor="text1"/>
                <w:sz w:val="18"/>
                <w:szCs w:val="18"/>
              </w:rPr>
              <w:t xml:space="preserve"> patients</w:t>
            </w:r>
            <w:r w:rsidR="004225DC">
              <w:rPr>
                <w:rFonts w:eastAsia="Muli" w:cs="Muli"/>
                <w:color w:val="000000" w:themeColor="text1"/>
                <w:sz w:val="18"/>
                <w:szCs w:val="18"/>
              </w:rPr>
              <w:t xml:space="preserve"> </w:t>
            </w:r>
            <w:r w:rsidR="00D42E3C">
              <w:rPr>
                <w:rFonts w:eastAsia="Muli" w:cs="Muli"/>
                <w:color w:val="000000" w:themeColor="text1"/>
                <w:sz w:val="18"/>
                <w:szCs w:val="18"/>
              </w:rPr>
              <w:t xml:space="preserve">were </w:t>
            </w:r>
            <w:r w:rsidR="004225DC" w:rsidRPr="00CA7533">
              <w:rPr>
                <w:rFonts w:eastAsia="Muli" w:cs="Muli"/>
                <w:color w:val="000000" w:themeColor="text1"/>
                <w:sz w:val="18"/>
                <w:szCs w:val="18"/>
              </w:rPr>
              <w:t>accompanied by a clinical nurse or a GP</w:t>
            </w:r>
            <w:r w:rsidRPr="00CA7533">
              <w:rPr>
                <w:rFonts w:eastAsia="Muli" w:cs="Muli"/>
                <w:color w:val="000000" w:themeColor="text1"/>
                <w:sz w:val="18"/>
                <w:szCs w:val="18"/>
              </w:rPr>
              <w:t xml:space="preserve"> would </w:t>
            </w:r>
            <w:r w:rsidR="00D42E3C">
              <w:rPr>
                <w:rFonts w:eastAsia="Muli" w:cs="Muli"/>
                <w:color w:val="000000" w:themeColor="text1"/>
                <w:sz w:val="18"/>
                <w:szCs w:val="18"/>
              </w:rPr>
              <w:t>for</w:t>
            </w:r>
            <w:r w:rsidRPr="00CA7533">
              <w:rPr>
                <w:rFonts w:eastAsia="Muli" w:cs="Muli"/>
                <w:color w:val="000000" w:themeColor="text1"/>
                <w:sz w:val="18"/>
                <w:szCs w:val="18"/>
              </w:rPr>
              <w:t xml:space="preserve"> a </w:t>
            </w:r>
            <w:proofErr w:type="spellStart"/>
            <w:r w:rsidRPr="00CA7533">
              <w:rPr>
                <w:rFonts w:eastAsia="Muli" w:cs="Muli"/>
                <w:color w:val="000000" w:themeColor="text1"/>
                <w:sz w:val="18"/>
                <w:szCs w:val="18"/>
              </w:rPr>
              <w:t>videoconsult</w:t>
            </w:r>
            <w:proofErr w:type="spellEnd"/>
            <w:r w:rsidRPr="00CA7533">
              <w:rPr>
                <w:rFonts w:eastAsia="Muli" w:cs="Muli"/>
                <w:color w:val="000000" w:themeColor="text1"/>
                <w:sz w:val="18"/>
                <w:szCs w:val="18"/>
              </w:rPr>
              <w:t xml:space="preserve"> with a specialist</w:t>
            </w:r>
            <w:r w:rsidR="004225DC">
              <w:rPr>
                <w:rFonts w:eastAsia="Muli" w:cs="Muli"/>
                <w:color w:val="000000" w:themeColor="text1"/>
                <w:sz w:val="18"/>
                <w:szCs w:val="18"/>
              </w:rPr>
              <w:t xml:space="preserve"> located in a regional centre or hospital</w:t>
            </w:r>
            <w:r w:rsidRPr="00CA7533">
              <w:rPr>
                <w:rFonts w:eastAsia="Muli" w:cs="Muli"/>
                <w:color w:val="000000" w:themeColor="text1"/>
                <w:sz w:val="18"/>
                <w:szCs w:val="18"/>
              </w:rPr>
              <w:t xml:space="preserve">. ACCHS staff </w:t>
            </w:r>
            <w:r w:rsidR="000069C0">
              <w:rPr>
                <w:rFonts w:eastAsia="Muli" w:cs="Muli"/>
                <w:color w:val="000000" w:themeColor="text1"/>
                <w:sz w:val="18"/>
                <w:szCs w:val="18"/>
              </w:rPr>
              <w:t>thought</w:t>
            </w:r>
            <w:r w:rsidRPr="00CA7533">
              <w:rPr>
                <w:rFonts w:eastAsia="Muli" w:cs="Muli"/>
                <w:color w:val="000000" w:themeColor="text1"/>
                <w:sz w:val="18"/>
                <w:szCs w:val="18"/>
              </w:rPr>
              <w:t xml:space="preserve"> that telehealth could </w:t>
            </w:r>
            <w:r w:rsidR="000069C0">
              <w:rPr>
                <w:rFonts w:eastAsia="Muli" w:cs="Muli"/>
                <w:color w:val="000000" w:themeColor="text1"/>
                <w:sz w:val="18"/>
                <w:szCs w:val="18"/>
              </w:rPr>
              <w:t xml:space="preserve">not </w:t>
            </w:r>
            <w:r w:rsidRPr="00CA7533">
              <w:rPr>
                <w:rFonts w:eastAsia="Muli" w:cs="Muli"/>
                <w:color w:val="000000" w:themeColor="text1"/>
                <w:sz w:val="18"/>
                <w:szCs w:val="18"/>
              </w:rPr>
              <w:t>entirely replace specialists physically visiting the communities. The reasons are that for many patients, English is their second, third or fourth language, and they prefer personal (face-to-face) relationships.</w:t>
            </w:r>
          </w:p>
          <w:p w14:paraId="3041A6D5" w14:textId="2482D382" w:rsidR="00CA7533" w:rsidRPr="00CA7533" w:rsidRDefault="00CA7533" w:rsidP="00CA7533">
            <w:pPr>
              <w:spacing w:after="120"/>
              <w:rPr>
                <w:rFonts w:eastAsia="Muli" w:cs="Muli"/>
                <w:color w:val="000000" w:themeColor="text1"/>
                <w:sz w:val="18"/>
                <w:szCs w:val="18"/>
              </w:rPr>
            </w:pPr>
            <w:r w:rsidRPr="00CA7533">
              <w:rPr>
                <w:rFonts w:eastAsia="Muli" w:cs="Muli"/>
                <w:color w:val="000000" w:themeColor="text1"/>
                <w:sz w:val="18"/>
                <w:szCs w:val="18"/>
              </w:rPr>
              <w:t xml:space="preserve">Staff workload at both sites was </w:t>
            </w:r>
            <w:r w:rsidR="00C44DCC">
              <w:rPr>
                <w:rFonts w:eastAsia="Muli" w:cs="Muli"/>
                <w:color w:val="000000" w:themeColor="text1"/>
                <w:sz w:val="18"/>
                <w:szCs w:val="18"/>
              </w:rPr>
              <w:t xml:space="preserve">impacted </w:t>
            </w:r>
            <w:r w:rsidRPr="00CA7533">
              <w:rPr>
                <w:rFonts w:eastAsia="Muli" w:cs="Muli"/>
                <w:color w:val="000000" w:themeColor="text1"/>
                <w:sz w:val="18"/>
                <w:szCs w:val="18"/>
              </w:rPr>
              <w:t xml:space="preserve">in the set-up phase of the trial and continued for one of the sites throughout the trial. Nevertheless, staff at this site reported that the model allowed them to get to know their patients better and understand their complexities. Staffing at the second site </w:t>
            </w:r>
            <w:r w:rsidR="00D42E3C">
              <w:rPr>
                <w:rFonts w:eastAsia="Muli" w:cs="Muli"/>
                <w:color w:val="000000" w:themeColor="text1"/>
                <w:sz w:val="18"/>
                <w:szCs w:val="18"/>
              </w:rPr>
              <w:t>were</w:t>
            </w:r>
            <w:r w:rsidRPr="00CA7533">
              <w:rPr>
                <w:rFonts w:eastAsia="Muli" w:cs="Muli"/>
                <w:color w:val="000000" w:themeColor="text1"/>
                <w:sz w:val="18"/>
                <w:szCs w:val="18"/>
              </w:rPr>
              <w:t xml:space="preserve"> affected by other factors, including the inability to recruit to positions that had become vacant.</w:t>
            </w:r>
          </w:p>
          <w:p w14:paraId="36937292" w14:textId="77777777" w:rsidR="00CE43A3" w:rsidRPr="00CA7533" w:rsidRDefault="00CE43A3" w:rsidP="00CE43A3">
            <w:pPr>
              <w:spacing w:after="120"/>
              <w:rPr>
                <w:rFonts w:eastAsia="Muli" w:cs="Muli"/>
                <w:color w:val="000000" w:themeColor="text1"/>
                <w:sz w:val="18"/>
                <w:szCs w:val="18"/>
              </w:rPr>
            </w:pPr>
            <w:r w:rsidRPr="00CA7533">
              <w:rPr>
                <w:rFonts w:eastAsia="Muli" w:cs="Muli"/>
                <w:color w:val="000000" w:themeColor="text1"/>
                <w:sz w:val="18"/>
                <w:szCs w:val="18"/>
              </w:rPr>
              <w:lastRenderedPageBreak/>
              <w:t>Relationships with clinic staff and continuity of care were important to patients.</w:t>
            </w:r>
          </w:p>
          <w:p w14:paraId="61AA0847" w14:textId="7450D0CF" w:rsidR="00CA7533" w:rsidRPr="00CA7533" w:rsidRDefault="00CA7533" w:rsidP="00CA7533">
            <w:pPr>
              <w:spacing w:after="120"/>
              <w:rPr>
                <w:rFonts w:eastAsia="Muli" w:cs="Muli"/>
                <w:color w:val="000000" w:themeColor="text1"/>
                <w:sz w:val="18"/>
                <w:szCs w:val="18"/>
              </w:rPr>
            </w:pPr>
            <w:r w:rsidRPr="00CA7533">
              <w:rPr>
                <w:rFonts w:eastAsia="Muli" w:cs="Muli"/>
                <w:color w:val="000000" w:themeColor="text1"/>
                <w:sz w:val="18"/>
                <w:szCs w:val="18"/>
              </w:rPr>
              <w:t xml:space="preserve">Patients of the ACCHS </w:t>
            </w:r>
            <w:r w:rsidR="003E1801">
              <w:rPr>
                <w:rFonts w:eastAsia="Muli" w:cs="Muli"/>
                <w:color w:val="000000" w:themeColor="text1"/>
                <w:sz w:val="18"/>
                <w:szCs w:val="18"/>
              </w:rPr>
              <w:t>clinics</w:t>
            </w:r>
            <w:r w:rsidRPr="00CA7533">
              <w:rPr>
                <w:rFonts w:eastAsia="Muli" w:cs="Muli"/>
                <w:color w:val="000000" w:themeColor="text1"/>
                <w:sz w:val="18"/>
                <w:szCs w:val="18"/>
              </w:rPr>
              <w:t xml:space="preserve"> were largely not aware of what the HCH model entailed and did not notice any changes to their care. Most were aware of their care plan and that the doctors monitored their health through regular follow-ups. </w:t>
            </w:r>
            <w:r w:rsidR="00622FD4">
              <w:rPr>
                <w:rFonts w:eastAsia="Muli" w:cs="Muli"/>
                <w:color w:val="000000" w:themeColor="text1"/>
                <w:sz w:val="18"/>
                <w:szCs w:val="18"/>
              </w:rPr>
              <w:t>T</w:t>
            </w:r>
            <w:r w:rsidR="00622FD4" w:rsidRPr="00CA7533">
              <w:rPr>
                <w:rFonts w:eastAsia="Muli" w:cs="Muli"/>
                <w:color w:val="000000" w:themeColor="text1"/>
                <w:sz w:val="18"/>
                <w:szCs w:val="18"/>
              </w:rPr>
              <w:t>hey</w:t>
            </w:r>
            <w:r w:rsidRPr="00CA7533">
              <w:rPr>
                <w:rFonts w:eastAsia="Muli" w:cs="Muli"/>
                <w:color w:val="000000" w:themeColor="text1"/>
                <w:sz w:val="18"/>
                <w:szCs w:val="18"/>
              </w:rPr>
              <w:t xml:space="preserve"> understood the association between lifestyle factors and their medical conditions, and the need to modify their lifestyle to improve their health. Some also mentioned working towards specific health goals (for example, quitting smoking). </w:t>
            </w:r>
          </w:p>
          <w:p w14:paraId="52A5D908" w14:textId="27F918E2" w:rsidR="001C1668" w:rsidRPr="00CA7533" w:rsidRDefault="00CA7533" w:rsidP="00CA7533">
            <w:pPr>
              <w:spacing w:after="120"/>
              <w:rPr>
                <w:rFonts w:eastAsia="Muli" w:cs="Muli"/>
                <w:color w:val="000000" w:themeColor="text1"/>
                <w:sz w:val="18"/>
                <w:szCs w:val="18"/>
              </w:rPr>
            </w:pPr>
            <w:r w:rsidRPr="00CA7533">
              <w:rPr>
                <w:rFonts w:eastAsia="Muli" w:cs="Muli"/>
                <w:color w:val="000000" w:themeColor="text1"/>
                <w:sz w:val="18"/>
                <w:szCs w:val="18"/>
              </w:rPr>
              <w:t>Patients’ lack of awareness of being enrolled in HCH could be due to the similarity of the HCH model to the ACCHS model, but, as with mainstream practices, raising awareness of initiatives is important so that patients know what to expect.</w:t>
            </w:r>
            <w:r w:rsidR="001C1668" w:rsidRPr="00CA7533">
              <w:rPr>
                <w:rFonts w:eastAsia="Muli" w:cs="Muli"/>
                <w:color w:val="000000" w:themeColor="text1"/>
                <w:sz w:val="18"/>
                <w:szCs w:val="18"/>
              </w:rPr>
              <w:t xml:space="preserve"> </w:t>
            </w:r>
          </w:p>
        </w:tc>
      </w:tr>
    </w:tbl>
    <w:p w14:paraId="40055EBE" w14:textId="77777777" w:rsidR="001C1668" w:rsidRDefault="001C1668" w:rsidP="001C1668">
      <w:pPr>
        <w:spacing w:after="0"/>
      </w:pPr>
    </w:p>
    <w:p w14:paraId="0DB4F989" w14:textId="18B84E28" w:rsidR="00145A08" w:rsidRPr="00667E2B" w:rsidRDefault="00145A08" w:rsidP="00145A08">
      <w:r w:rsidRPr="00667E2B">
        <w:t xml:space="preserve">Of the 227 practices that </w:t>
      </w:r>
      <w:r w:rsidR="00D42E3C">
        <w:t>participated</w:t>
      </w:r>
      <w:r w:rsidRPr="00667E2B">
        <w:t xml:space="preserve"> in HCH at any time, 32 were </w:t>
      </w:r>
      <w:r w:rsidR="009F1D4C">
        <w:t xml:space="preserve">clinics operated by </w:t>
      </w:r>
      <w:r w:rsidRPr="00667E2B">
        <w:t>Aboriginal Medical Services (AMSs)</w:t>
      </w:r>
      <w:r w:rsidR="00393591">
        <w:t>, including ACCHS</w:t>
      </w:r>
      <w:r w:rsidRPr="00667E2B">
        <w:t xml:space="preserve">. AMSs </w:t>
      </w:r>
      <w:r w:rsidR="00652502" w:rsidRPr="00667E2B">
        <w:t>withdrew</w:t>
      </w:r>
      <w:r w:rsidRPr="00667E2B">
        <w:t xml:space="preserve"> from the trial at a similar rate as all other practice types (1</w:t>
      </w:r>
      <w:r w:rsidR="00360F19" w:rsidRPr="00667E2B">
        <w:t>6</w:t>
      </w:r>
      <w:r w:rsidRPr="00667E2B">
        <w:t xml:space="preserve"> out of 32 </w:t>
      </w:r>
      <w:r w:rsidR="00D42E3C">
        <w:t xml:space="preserve">or </w:t>
      </w:r>
      <w:r w:rsidR="00360F19" w:rsidRPr="00667E2B">
        <w:t>52</w:t>
      </w:r>
      <w:r w:rsidRPr="00667E2B">
        <w:t>%). Of the 1</w:t>
      </w:r>
      <w:r w:rsidR="00360F19" w:rsidRPr="00667E2B">
        <w:t>6</w:t>
      </w:r>
      <w:r w:rsidRPr="00667E2B">
        <w:t xml:space="preserve"> AMSs that </w:t>
      </w:r>
      <w:r w:rsidR="00652502" w:rsidRPr="00667E2B">
        <w:t>withdrew</w:t>
      </w:r>
      <w:r w:rsidRPr="00667E2B">
        <w:t xml:space="preserve">, </w:t>
      </w:r>
      <w:r w:rsidR="00360F19" w:rsidRPr="00667E2B">
        <w:t>9</w:t>
      </w:r>
      <w:r w:rsidRPr="00667E2B">
        <w:t xml:space="preserve"> had </w:t>
      </w:r>
      <w:r w:rsidR="00D42E3C">
        <w:t>not</w:t>
      </w:r>
      <w:r w:rsidRPr="00667E2B">
        <w:t xml:space="preserve"> enrolled </w:t>
      </w:r>
      <w:r w:rsidR="00D42E3C">
        <w:t>any</w:t>
      </w:r>
      <w:r w:rsidRPr="00667E2B">
        <w:t xml:space="preserve"> patients and another </w:t>
      </w:r>
      <w:r w:rsidR="00360F19" w:rsidRPr="00667E2B">
        <w:t>5</w:t>
      </w:r>
      <w:r w:rsidRPr="00667E2B">
        <w:t xml:space="preserve"> had enrolled fewer than </w:t>
      </w:r>
      <w:r w:rsidR="00360F19" w:rsidRPr="00667E2B">
        <w:t>5</w:t>
      </w:r>
      <w:r w:rsidRPr="00667E2B">
        <w:t xml:space="preserve">. There </w:t>
      </w:r>
      <w:r w:rsidR="00275DE8" w:rsidRPr="00667E2B">
        <w:t>were</w:t>
      </w:r>
      <w:r w:rsidRPr="00667E2B">
        <w:t xml:space="preserve"> </w:t>
      </w:r>
      <w:r w:rsidR="00360F19" w:rsidRPr="00667E2B">
        <w:t>3</w:t>
      </w:r>
      <w:r w:rsidRPr="00667E2B">
        <w:t xml:space="preserve"> AMSs active in the trial outside of the </w:t>
      </w:r>
      <w:r w:rsidR="001A3C0F">
        <w:t>Northern Territory</w:t>
      </w:r>
      <w:r w:rsidRPr="00667E2B">
        <w:t>, and between them they ha</w:t>
      </w:r>
      <w:r w:rsidR="00275DE8" w:rsidRPr="00667E2B">
        <w:t>d</w:t>
      </w:r>
      <w:r w:rsidRPr="00667E2B">
        <w:t xml:space="preserve"> 570 patients</w:t>
      </w:r>
      <w:r w:rsidR="00275DE8" w:rsidRPr="00667E2B">
        <w:t xml:space="preserve"> when enrolment close</w:t>
      </w:r>
      <w:r w:rsidR="00B72E77" w:rsidRPr="00667E2B">
        <w:t>d in June 2019</w:t>
      </w:r>
      <w:r w:rsidRPr="00667E2B">
        <w:t xml:space="preserve">. </w:t>
      </w:r>
    </w:p>
    <w:p w14:paraId="72D5B4E3" w14:textId="0364B742" w:rsidR="00145A08" w:rsidRPr="00145A08" w:rsidRDefault="00145A08" w:rsidP="00145A08">
      <w:pPr>
        <w:rPr>
          <w:szCs w:val="20"/>
        </w:rPr>
      </w:pPr>
      <w:r w:rsidRPr="00667E2B">
        <w:t xml:space="preserve">The </w:t>
      </w:r>
      <w:r w:rsidR="00261C53">
        <w:t xml:space="preserve">participating </w:t>
      </w:r>
      <w:r w:rsidRPr="00667E2B">
        <w:t xml:space="preserve">AMSs in the </w:t>
      </w:r>
      <w:r w:rsidR="001A3C0F">
        <w:t>Northern Territory</w:t>
      </w:r>
      <w:r w:rsidRPr="00667E2B">
        <w:t xml:space="preserve"> </w:t>
      </w:r>
      <w:r w:rsidR="00D42E3C">
        <w:t>were</w:t>
      </w:r>
      <w:r w:rsidRPr="00667E2B">
        <w:t xml:space="preserve"> all ACCHS. </w:t>
      </w:r>
      <w:r w:rsidR="003C651D">
        <w:t>O</w:t>
      </w:r>
      <w:r w:rsidRPr="00667E2B">
        <w:t xml:space="preserve">f the 18 </w:t>
      </w:r>
      <w:r w:rsidR="00EB2B1D">
        <w:t>clinics</w:t>
      </w:r>
      <w:r w:rsidRPr="00667E2B">
        <w:t xml:space="preserve"> that initially </w:t>
      </w:r>
      <w:r w:rsidR="00897D03" w:rsidRPr="00667E2B">
        <w:t>participat</w:t>
      </w:r>
      <w:r w:rsidR="00D42E3C">
        <w:t>ed,</w:t>
      </w:r>
      <w:r w:rsidRPr="00667E2B">
        <w:t xml:space="preserve"> </w:t>
      </w:r>
      <w:r w:rsidR="001A7F34">
        <w:t xml:space="preserve">14 </w:t>
      </w:r>
      <w:r w:rsidR="00EB2B1D">
        <w:t>clinics</w:t>
      </w:r>
      <w:r w:rsidR="001A7F34">
        <w:t xml:space="preserve"> </w:t>
      </w:r>
      <w:r w:rsidR="00E6671A" w:rsidRPr="00667E2B">
        <w:t>stay</w:t>
      </w:r>
      <w:r w:rsidR="00D42E3C">
        <w:t>ed</w:t>
      </w:r>
      <w:r w:rsidR="00E6671A" w:rsidRPr="00667E2B">
        <w:t xml:space="preserve"> until the end</w:t>
      </w:r>
      <w:r w:rsidR="00747581" w:rsidRPr="00667E2B">
        <w:t xml:space="preserve"> </w:t>
      </w:r>
      <w:r w:rsidR="00D42E3C">
        <w:t>of the trial</w:t>
      </w:r>
      <w:r w:rsidR="00747581" w:rsidRPr="00667E2B">
        <w:t xml:space="preserve"> (although one withdrew in March 2021)</w:t>
      </w:r>
      <w:r w:rsidRPr="00667E2B">
        <w:t>. The four that withdrew had enrolled only one patient between them. The total number of patients enrolled in the 14 ACCHS</w:t>
      </w:r>
      <w:r w:rsidR="00897D03" w:rsidRPr="00667E2B">
        <w:t xml:space="preserve"> </w:t>
      </w:r>
      <w:r w:rsidR="003E1801">
        <w:t xml:space="preserve">clinics </w:t>
      </w:r>
      <w:r w:rsidR="00897D03" w:rsidRPr="00667E2B">
        <w:t>that remained until the end</w:t>
      </w:r>
      <w:r w:rsidRPr="00667E2B">
        <w:t xml:space="preserve"> </w:t>
      </w:r>
      <w:r w:rsidR="00897D03" w:rsidRPr="00667E2B">
        <w:t xml:space="preserve">(including the one that withdrew in March 2021) </w:t>
      </w:r>
      <w:r w:rsidR="00F96FBA" w:rsidRPr="00667E2B">
        <w:t>wa</w:t>
      </w:r>
      <w:r w:rsidRPr="00667E2B">
        <w:t xml:space="preserve">s 1,025, </w:t>
      </w:r>
      <w:r w:rsidRPr="00667E2B">
        <w:rPr>
          <w:szCs w:val="20"/>
        </w:rPr>
        <w:t xml:space="preserve">with a median of 53 patients per ACCHS </w:t>
      </w:r>
      <w:r w:rsidR="003E1801">
        <w:rPr>
          <w:szCs w:val="20"/>
        </w:rPr>
        <w:t>clinic</w:t>
      </w:r>
      <w:r w:rsidRPr="00667E2B">
        <w:rPr>
          <w:szCs w:val="20"/>
        </w:rPr>
        <w:t xml:space="preserve"> (10 minimum and 268 maximum).</w:t>
      </w:r>
      <w:r w:rsidRPr="00145A08">
        <w:t xml:space="preserve"> </w:t>
      </w:r>
    </w:p>
    <w:p w14:paraId="0B896A8B" w14:textId="49D70809" w:rsidR="00145A08" w:rsidRPr="00145A08" w:rsidRDefault="00150D81" w:rsidP="00145A08">
      <w:r w:rsidRPr="008976B0">
        <w:t>Following community consultations, two clinics located in two different remote Aboriginal communities and managed by two different ACCHS were nominated as case study sites for the HCH evaluation.</w:t>
      </w:r>
      <w:r w:rsidR="008976B0">
        <w:t xml:space="preserve"> </w:t>
      </w:r>
      <w:r w:rsidR="00145A08" w:rsidRPr="00145A08">
        <w:t>Staff members and patients within these communities were interviewed about their experience with the trial</w:t>
      </w:r>
      <w:r w:rsidR="00137722">
        <w:t xml:space="preserve"> in 2019 and in 2020</w:t>
      </w:r>
      <w:r w:rsidR="00145A08" w:rsidRPr="00145A08">
        <w:t xml:space="preserve">. This </w:t>
      </w:r>
      <w:r w:rsidR="00EB4E3A">
        <w:t>c</w:t>
      </w:r>
      <w:r w:rsidR="00145A08" w:rsidRPr="00145A08">
        <w:t xml:space="preserve">hapter reports on these experiences. </w:t>
      </w:r>
      <w:r w:rsidR="00145A08" w:rsidRPr="00F96FBA">
        <w:t>The staff members interviewed represented all the key roles at both sites.</w:t>
      </w:r>
    </w:p>
    <w:p w14:paraId="31C91690" w14:textId="77777777" w:rsidR="00145A08" w:rsidRPr="00145A08" w:rsidRDefault="00145A08" w:rsidP="002F5D82">
      <w:pPr>
        <w:pStyle w:val="Heading2"/>
        <w:rPr>
          <w:rFonts w:eastAsiaTheme="majorEastAsia"/>
        </w:rPr>
      </w:pPr>
      <w:bookmarkStart w:id="227" w:name="_Toc58256874"/>
      <w:bookmarkStart w:id="228" w:name="_Toc109996690"/>
      <w:r w:rsidRPr="00145A08">
        <w:rPr>
          <w:rFonts w:eastAsiaTheme="majorEastAsia"/>
        </w:rPr>
        <w:t>Context</w:t>
      </w:r>
      <w:bookmarkEnd w:id="227"/>
      <w:bookmarkEnd w:id="228"/>
    </w:p>
    <w:p w14:paraId="0A735168" w14:textId="40821B1C" w:rsidR="00145A08" w:rsidRPr="00145A08" w:rsidRDefault="00145A08" w:rsidP="00145A08">
      <w:r w:rsidRPr="00145A08">
        <w:t xml:space="preserve">ACCHS are governed by </w:t>
      </w:r>
      <w:r w:rsidR="000F5CA0">
        <w:t xml:space="preserve">community </w:t>
      </w:r>
      <w:r w:rsidRPr="00145A08">
        <w:t xml:space="preserve">members and leadership involves both ACCHS management and the community. </w:t>
      </w:r>
      <w:r w:rsidR="00251550">
        <w:t xml:space="preserve">ACCHS tend to operate multiple clinics </w:t>
      </w:r>
      <w:r w:rsidR="00C737EF">
        <w:t xml:space="preserve">located in </w:t>
      </w:r>
      <w:r w:rsidR="00A126AD">
        <w:t>different communities</w:t>
      </w:r>
      <w:r w:rsidR="000435D2">
        <w:t>, but with a central administration located in a regional centre</w:t>
      </w:r>
      <w:r w:rsidR="00A126AD">
        <w:t xml:space="preserve">. </w:t>
      </w:r>
      <w:r w:rsidR="009E5E68">
        <w:t>D</w:t>
      </w:r>
      <w:r w:rsidRPr="00145A08">
        <w:t xml:space="preserve">epending on </w:t>
      </w:r>
      <w:r w:rsidR="009E5E68">
        <w:t xml:space="preserve">the clinic </w:t>
      </w:r>
      <w:r w:rsidRPr="00145A08">
        <w:t xml:space="preserve">location and resourcing, staff either </w:t>
      </w:r>
      <w:r w:rsidR="0091024C">
        <w:t>live in the community o</w:t>
      </w:r>
      <w:r w:rsidR="00EB2B1D">
        <w:t>r</w:t>
      </w:r>
      <w:r w:rsidR="0091024C">
        <w:t xml:space="preserve"> regularly </w:t>
      </w:r>
      <w:r w:rsidRPr="00145A08">
        <w:t>travel to the community</w:t>
      </w:r>
      <w:r w:rsidR="00827651">
        <w:t>, with many communit</w:t>
      </w:r>
      <w:r w:rsidR="00205A6D">
        <w:t xml:space="preserve">ies having </w:t>
      </w:r>
      <w:r w:rsidR="00EB2B1D">
        <w:t xml:space="preserve">a </w:t>
      </w:r>
      <w:r w:rsidR="00205A6D">
        <w:t>mix of these arrangements</w:t>
      </w:r>
      <w:r w:rsidRPr="00145A08">
        <w:t xml:space="preserve">. Lack of staff and high staff turnover commonly </w:t>
      </w:r>
      <w:r w:rsidR="00676359">
        <w:t xml:space="preserve">impact </w:t>
      </w:r>
      <w:r w:rsidRPr="00145A08">
        <w:t>service delivery.</w:t>
      </w:r>
    </w:p>
    <w:p w14:paraId="0506B403" w14:textId="77777777" w:rsidR="00145A08" w:rsidRPr="00145A08" w:rsidRDefault="00145A08" w:rsidP="00145A08">
      <w:r w:rsidRPr="00145A08">
        <w:t xml:space="preserve">In remote communities, services such as pharmacy, community nursing, and allied health are rarely consistently available and residents rely on clinics. Due to high staffing costs and small population sizes within these communities, albeit with complex health needs, there are often relatively few staff members available to support a clinic, and they tend to work across a spectrum of health needs. </w:t>
      </w:r>
    </w:p>
    <w:p w14:paraId="5A035870" w14:textId="52D1C01A" w:rsidR="00D81463" w:rsidRDefault="00145A08" w:rsidP="006B4BCE">
      <w:r w:rsidRPr="00145A08">
        <w:t xml:space="preserve">Participants reported that residents of both communities </w:t>
      </w:r>
      <w:r w:rsidR="00D6328B">
        <w:t xml:space="preserve">in </w:t>
      </w:r>
      <w:r w:rsidRPr="00145A08">
        <w:t xml:space="preserve">the case studies had a high degree of complex health needs and conditions, exacerbated by poor social determinants of </w:t>
      </w:r>
      <w:r w:rsidRPr="00145A08">
        <w:lastRenderedPageBreak/>
        <w:t xml:space="preserve">health, low health literacy and a limited number of health service options available within their communities. </w:t>
      </w:r>
    </w:p>
    <w:p w14:paraId="15A5F7FA" w14:textId="77777777" w:rsidR="00145A08" w:rsidRPr="00145A08" w:rsidRDefault="00145A08" w:rsidP="002F5D82">
      <w:pPr>
        <w:pStyle w:val="Heading2"/>
        <w:rPr>
          <w:rFonts w:eastAsiaTheme="majorEastAsia"/>
        </w:rPr>
      </w:pPr>
      <w:bookmarkStart w:id="229" w:name="_Toc58256875"/>
      <w:bookmarkStart w:id="230" w:name="_Toc109996691"/>
      <w:r w:rsidRPr="00145A08">
        <w:rPr>
          <w:rFonts w:eastAsiaTheme="majorEastAsia"/>
        </w:rPr>
        <w:t>Motivations to join HCH</w:t>
      </w:r>
      <w:bookmarkEnd w:id="229"/>
      <w:bookmarkEnd w:id="230"/>
    </w:p>
    <w:p w14:paraId="1B26F4E2" w14:textId="35372386" w:rsidR="00145A08" w:rsidRPr="00145A08" w:rsidRDefault="00145A08" w:rsidP="00145A08">
      <w:r w:rsidRPr="00145A08">
        <w:t>Both case study sites felt that their model of care closely align</w:t>
      </w:r>
      <w:r w:rsidR="008E7566">
        <w:t>ed</w:t>
      </w:r>
      <w:r w:rsidRPr="00145A08">
        <w:t xml:space="preserve"> with the HCH model, and this was a key motivation to join the trial. Several </w:t>
      </w:r>
      <w:r w:rsidR="000962C1">
        <w:t>other</w:t>
      </w:r>
      <w:r w:rsidRPr="00145A08">
        <w:t xml:space="preserve"> factors also influenced </w:t>
      </w:r>
      <w:r w:rsidR="00AF2B77">
        <w:t>participation</w:t>
      </w:r>
      <w:r w:rsidRPr="00145A08">
        <w:t xml:space="preserve">. One was the opportunity to fund clinical work that </w:t>
      </w:r>
      <w:r w:rsidR="00EB2B1D">
        <w:t>they felt was</w:t>
      </w:r>
      <w:r w:rsidRPr="00145A08">
        <w:t>n’t supported by MBS. Another was that the tiered nature of the bundled payment meant that they would be better able to support the needs of their patients compared with the MBS.</w:t>
      </w:r>
    </w:p>
    <w:p w14:paraId="408D4B62" w14:textId="6E4B05F1" w:rsidR="00145A08" w:rsidRPr="00145A08" w:rsidRDefault="00145A08" w:rsidP="00145A08">
      <w:pPr>
        <w:rPr>
          <w:szCs w:val="20"/>
        </w:rPr>
      </w:pPr>
      <w:r w:rsidRPr="00145A08">
        <w:t>The medical director at one case study site also felt that the model would allow them more time for care planning</w:t>
      </w:r>
      <w:r w:rsidR="00EF3836">
        <w:t xml:space="preserve">, </w:t>
      </w:r>
      <w:r w:rsidR="00C41669">
        <w:t xml:space="preserve">and </w:t>
      </w:r>
      <w:r w:rsidR="009738BB">
        <w:t>considered</w:t>
      </w:r>
      <w:r w:rsidR="00C41669">
        <w:t xml:space="preserve"> </w:t>
      </w:r>
      <w:r w:rsidR="00EF3836">
        <w:rPr>
          <w:szCs w:val="20"/>
        </w:rPr>
        <w:t xml:space="preserve">that </w:t>
      </w:r>
      <w:r w:rsidRPr="00145A08">
        <w:rPr>
          <w:szCs w:val="20"/>
        </w:rPr>
        <w:t xml:space="preserve">patient care plans were not working as effectively as they could. It was their experience that when they saw a patient with complex health problems, too much time </w:t>
      </w:r>
      <w:r w:rsidR="0068011E">
        <w:rPr>
          <w:szCs w:val="20"/>
        </w:rPr>
        <w:t xml:space="preserve">was spent </w:t>
      </w:r>
      <w:r w:rsidRPr="00145A08">
        <w:rPr>
          <w:szCs w:val="20"/>
        </w:rPr>
        <w:t>identifying the diseases and management issues and not enough time resolving them:</w:t>
      </w:r>
    </w:p>
    <w:p w14:paraId="0791BACF" w14:textId="281A96E6" w:rsidR="00145A08" w:rsidRPr="00145A08" w:rsidRDefault="00145A08" w:rsidP="00145A08">
      <w:pPr>
        <w:ind w:left="567" w:right="521"/>
        <w:rPr>
          <w:szCs w:val="20"/>
        </w:rPr>
      </w:pPr>
      <w:r w:rsidRPr="00145A08">
        <w:rPr>
          <w:i/>
          <w:iCs/>
          <w:szCs w:val="20"/>
        </w:rPr>
        <w:t xml:space="preserve">“I spend the first 10 minutes of a consultation coming to grips with the fact that she’s got diabetes and </w:t>
      </w:r>
      <w:r w:rsidRPr="001C1668">
        <w:rPr>
          <w:i/>
          <w:iCs/>
        </w:rPr>
        <w:t>bronchiectasis</w:t>
      </w:r>
      <w:r w:rsidRPr="00145A08">
        <w:rPr>
          <w:i/>
          <w:iCs/>
          <w:szCs w:val="20"/>
        </w:rPr>
        <w:t>, I spend the next 15 minutes coming to grips with the fact that she does or doesn’t take her medication. And although we certainly had care plans, and were paid by Medicare when we completed a 721 and a 723, because it was tied to a patient consult and because we knew there were other patients waiting in the waiting room, we never really, I believe, developed what I would consider a good care plan.”</w:t>
      </w:r>
      <w:r w:rsidRPr="00145A08">
        <w:rPr>
          <w:szCs w:val="20"/>
        </w:rPr>
        <w:t xml:space="preserve"> [Medical Director, Practice 20</w:t>
      </w:r>
      <w:r w:rsidR="00436EC8">
        <w:rPr>
          <w:szCs w:val="20"/>
        </w:rPr>
        <w:t>,</w:t>
      </w:r>
      <w:r w:rsidRPr="00145A08">
        <w:rPr>
          <w:szCs w:val="20"/>
        </w:rPr>
        <w:t xml:space="preserve"> R3]</w:t>
      </w:r>
    </w:p>
    <w:p w14:paraId="7CB84042" w14:textId="77777777" w:rsidR="00145A08" w:rsidRPr="00145A08" w:rsidRDefault="00145A08" w:rsidP="002F5D82">
      <w:pPr>
        <w:pStyle w:val="Heading2"/>
        <w:rPr>
          <w:rFonts w:eastAsiaTheme="majorEastAsia"/>
        </w:rPr>
      </w:pPr>
      <w:bookmarkStart w:id="231" w:name="_Toc58256876"/>
      <w:bookmarkStart w:id="232" w:name="_Toc109996692"/>
      <w:r w:rsidRPr="00145A08">
        <w:rPr>
          <w:rFonts w:eastAsiaTheme="majorEastAsia"/>
        </w:rPr>
        <w:t>Initiation and implementation</w:t>
      </w:r>
      <w:bookmarkEnd w:id="231"/>
      <w:bookmarkEnd w:id="232"/>
      <w:r w:rsidRPr="00145A08">
        <w:rPr>
          <w:rFonts w:eastAsiaTheme="majorEastAsia"/>
        </w:rPr>
        <w:t xml:space="preserve"> </w:t>
      </w:r>
    </w:p>
    <w:p w14:paraId="412D5425" w14:textId="0F3807F4" w:rsidR="002276F1" w:rsidRPr="00145A08" w:rsidRDefault="00145A08" w:rsidP="002276F1">
      <w:pPr>
        <w:widowControl w:val="0"/>
        <w:rPr>
          <w:szCs w:val="20"/>
        </w:rPr>
      </w:pPr>
      <w:r w:rsidRPr="00145A08">
        <w:t>The two case study sites approached the initiation and implementation of the trial differently.</w:t>
      </w:r>
      <w:r w:rsidR="002276F1">
        <w:t xml:space="preserve"> </w:t>
      </w:r>
      <w:r w:rsidR="002276F1" w:rsidRPr="00145A08">
        <w:rPr>
          <w:szCs w:val="20"/>
        </w:rPr>
        <w:t xml:space="preserve">The decision to enrol in HCH at the </w:t>
      </w:r>
      <w:r w:rsidR="002276F1">
        <w:rPr>
          <w:szCs w:val="20"/>
        </w:rPr>
        <w:t>first</w:t>
      </w:r>
      <w:r w:rsidR="002276F1" w:rsidRPr="00145A08">
        <w:rPr>
          <w:szCs w:val="20"/>
        </w:rPr>
        <w:t xml:space="preserve"> site was made centrally by the ACCHS, by senior medical staff. The ACCHS then arranged a meeting with clinic staff to explain what HCH would mean to them and the clinic.</w:t>
      </w:r>
    </w:p>
    <w:p w14:paraId="4386127F" w14:textId="30AF4C38" w:rsidR="00145A08" w:rsidRPr="00145A08" w:rsidRDefault="00F91BAA" w:rsidP="00145A08">
      <w:pPr>
        <w:widowControl w:val="0"/>
      </w:pPr>
      <w:r>
        <w:t>The other</w:t>
      </w:r>
      <w:r w:rsidR="00145A08" w:rsidRPr="00145A08">
        <w:t xml:space="preserve"> site set up a project team comprised of clinicians, admin, the senior business manager and an IT representative. A part of their initial process was observing the implementation experience of the other ACCHS, and this helped to inform decisions, particularly in relation to IT.</w:t>
      </w:r>
    </w:p>
    <w:p w14:paraId="1E482CAB" w14:textId="77777777" w:rsidR="00145A08" w:rsidRPr="00145A08" w:rsidRDefault="00145A08" w:rsidP="00633C61">
      <w:pPr>
        <w:pStyle w:val="Heading2"/>
        <w:rPr>
          <w:rFonts w:eastAsiaTheme="majorEastAsia"/>
        </w:rPr>
      </w:pPr>
      <w:bookmarkStart w:id="233" w:name="_Toc58256877"/>
      <w:bookmarkStart w:id="234" w:name="_Toc109996693"/>
      <w:r w:rsidRPr="00145A08">
        <w:rPr>
          <w:rFonts w:eastAsiaTheme="majorEastAsia"/>
        </w:rPr>
        <w:t>Training and support</w:t>
      </w:r>
      <w:bookmarkEnd w:id="233"/>
      <w:bookmarkEnd w:id="234"/>
    </w:p>
    <w:p w14:paraId="5EC57594" w14:textId="72429553" w:rsidR="00F6314C" w:rsidRDefault="00145A08" w:rsidP="00A8423D">
      <w:pPr>
        <w:rPr>
          <w:szCs w:val="20"/>
        </w:rPr>
      </w:pPr>
      <w:r w:rsidRPr="00145A08">
        <w:t xml:space="preserve">The sites had different experiences </w:t>
      </w:r>
      <w:r w:rsidR="005B363F">
        <w:t>with</w:t>
      </w:r>
      <w:r w:rsidRPr="00145A08">
        <w:t xml:space="preserve"> training and support. </w:t>
      </w:r>
      <w:r w:rsidR="00796326" w:rsidRPr="00145A08">
        <w:rPr>
          <w:szCs w:val="20"/>
        </w:rPr>
        <w:t xml:space="preserve">At the </w:t>
      </w:r>
      <w:r w:rsidR="00796326">
        <w:rPr>
          <w:szCs w:val="20"/>
        </w:rPr>
        <w:t>first</w:t>
      </w:r>
      <w:r w:rsidR="00796326" w:rsidRPr="00145A08">
        <w:rPr>
          <w:szCs w:val="20"/>
        </w:rPr>
        <w:t xml:space="preserve"> site, it was unclear whether staff received training and support for implementing HCH. One allied health professional said they did not participate in training related to HCH. The clinic nurse also did not recognise terms associated with the online training modules, and the regular GP at the clinic had not used the modules. The clinical staff from the various clinics that are part of the ACCHS participate</w:t>
      </w:r>
      <w:r w:rsidR="00F6314C">
        <w:rPr>
          <w:szCs w:val="20"/>
        </w:rPr>
        <w:t>d</w:t>
      </w:r>
      <w:r w:rsidR="00796326" w:rsidRPr="00145A08">
        <w:rPr>
          <w:szCs w:val="20"/>
        </w:rPr>
        <w:t xml:space="preserve"> in weekly team meetings to discuss complex patients and for teaching sessions. During these meetings they discussed HCH.</w:t>
      </w:r>
      <w:r w:rsidR="00A8423D">
        <w:rPr>
          <w:szCs w:val="20"/>
        </w:rPr>
        <w:t xml:space="preserve"> Some staff</w:t>
      </w:r>
      <w:r w:rsidR="00F6314C">
        <w:rPr>
          <w:szCs w:val="20"/>
        </w:rPr>
        <w:t xml:space="preserve"> expressed initial difficulties </w:t>
      </w:r>
      <w:r w:rsidR="00F163F2">
        <w:rPr>
          <w:szCs w:val="20"/>
        </w:rPr>
        <w:lastRenderedPageBreak/>
        <w:t>“</w:t>
      </w:r>
      <w:r w:rsidR="00F6314C">
        <w:rPr>
          <w:szCs w:val="20"/>
        </w:rPr>
        <w:t>wrapping their head around</w:t>
      </w:r>
      <w:r w:rsidR="00F163F2">
        <w:rPr>
          <w:szCs w:val="20"/>
        </w:rPr>
        <w:t>”</w:t>
      </w:r>
      <w:r w:rsidR="00F6314C">
        <w:rPr>
          <w:szCs w:val="20"/>
        </w:rPr>
        <w:t xml:space="preserve"> the program but felt their understanding of the program improved over time</w:t>
      </w:r>
      <w:r w:rsidR="00A8423D">
        <w:rPr>
          <w:szCs w:val="20"/>
        </w:rPr>
        <w:t>:</w:t>
      </w:r>
    </w:p>
    <w:p w14:paraId="583C86BB" w14:textId="77777777" w:rsidR="00F6314C" w:rsidRDefault="00F6314C" w:rsidP="00F6314C">
      <w:pPr>
        <w:ind w:left="567" w:right="521"/>
        <w:rPr>
          <w:szCs w:val="20"/>
        </w:rPr>
      </w:pPr>
      <w:r w:rsidRPr="00CB4B4D">
        <w:rPr>
          <w:i/>
          <w:iCs/>
          <w:szCs w:val="20"/>
        </w:rPr>
        <w:t>“Yes, it was confusing in a sense, but after you live and eat and breathe it for a bit, you start to get your head around it.”</w:t>
      </w:r>
      <w:r>
        <w:rPr>
          <w:szCs w:val="20"/>
        </w:rPr>
        <w:t xml:space="preserve"> [Allied Health Professional, R5, Practice 20]</w:t>
      </w:r>
    </w:p>
    <w:p w14:paraId="5FFF434B" w14:textId="10B1F585" w:rsidR="00F6314C" w:rsidRPr="00145A08" w:rsidRDefault="00F6314C" w:rsidP="00F6314C">
      <w:pPr>
        <w:rPr>
          <w:szCs w:val="20"/>
        </w:rPr>
      </w:pPr>
      <w:r>
        <w:rPr>
          <w:szCs w:val="20"/>
        </w:rPr>
        <w:t xml:space="preserve">The new clinic coordinator, who </w:t>
      </w:r>
      <w:r w:rsidR="00C06415">
        <w:rPr>
          <w:szCs w:val="20"/>
        </w:rPr>
        <w:t xml:space="preserve">had just </w:t>
      </w:r>
      <w:r>
        <w:rPr>
          <w:szCs w:val="20"/>
        </w:rPr>
        <w:t xml:space="preserve">started working at </w:t>
      </w:r>
      <w:r w:rsidR="00A8423D">
        <w:rPr>
          <w:szCs w:val="20"/>
        </w:rPr>
        <w:t>this site</w:t>
      </w:r>
      <w:r>
        <w:rPr>
          <w:szCs w:val="20"/>
        </w:rPr>
        <w:t xml:space="preserve"> echoed this sentiment and expressed interest in receiving additional training to expand </w:t>
      </w:r>
      <w:r w:rsidR="00A8423D">
        <w:rPr>
          <w:szCs w:val="20"/>
        </w:rPr>
        <w:t>their</w:t>
      </w:r>
      <w:r>
        <w:rPr>
          <w:szCs w:val="20"/>
        </w:rPr>
        <w:t xml:space="preserve"> knowledge of the program and its objectives</w:t>
      </w:r>
      <w:r w:rsidR="00A8423D">
        <w:rPr>
          <w:szCs w:val="20"/>
        </w:rPr>
        <w:t>.</w:t>
      </w:r>
    </w:p>
    <w:p w14:paraId="51E65A89" w14:textId="5DC783B8" w:rsidR="00145A08" w:rsidRDefault="00A8423D" w:rsidP="00145A08">
      <w:r>
        <w:t>Staff at the</w:t>
      </w:r>
      <w:r w:rsidR="008E45D8">
        <w:t xml:space="preserve"> other site</w:t>
      </w:r>
      <w:r w:rsidR="00145A08" w:rsidRPr="00145A08">
        <w:t xml:space="preserve"> stated that they initially worked closely with the PHN </w:t>
      </w:r>
      <w:r w:rsidR="007F3162">
        <w:t xml:space="preserve">and </w:t>
      </w:r>
      <w:r w:rsidR="007F3162" w:rsidRPr="00145A08">
        <w:t xml:space="preserve">their sector body </w:t>
      </w:r>
      <w:r w:rsidR="00B308D4">
        <w:t>–</w:t>
      </w:r>
      <w:r w:rsidR="004024B2">
        <w:t xml:space="preserve"> </w:t>
      </w:r>
      <w:r w:rsidR="00BA2285">
        <w:t>the Australian Medical Services Alliance Northern Territory (AMSANT)</w:t>
      </w:r>
      <w:r w:rsidR="004024B2">
        <w:t xml:space="preserve"> </w:t>
      </w:r>
      <w:r w:rsidR="00B308D4">
        <w:t>–</w:t>
      </w:r>
      <w:r w:rsidR="004024B2">
        <w:t xml:space="preserve"> </w:t>
      </w:r>
      <w:r w:rsidR="00145A08" w:rsidRPr="00145A08">
        <w:t xml:space="preserve">to gather knowledge about the program. </w:t>
      </w:r>
      <w:r w:rsidR="00B308D4">
        <w:t>AMSANT</w:t>
      </w:r>
      <w:r w:rsidR="00145A08" w:rsidRPr="00145A08">
        <w:t xml:space="preserve"> also employed a person to support the ACCHS with piloting HCH and their role was to work closely with the ACCHS as well as liaise with the PHN and HCH staff to provide support and information. The organisation also built a strong team that included IT, administrative staff and clinicians and they worked effectively as a team through challenges that emerged. </w:t>
      </w:r>
    </w:p>
    <w:p w14:paraId="5EDBFCF1" w14:textId="626088AF" w:rsidR="009252D2" w:rsidRPr="00145A08" w:rsidRDefault="008E45D8" w:rsidP="009252D2">
      <w:pPr>
        <w:rPr>
          <w:szCs w:val="20"/>
        </w:rPr>
      </w:pPr>
      <w:r w:rsidRPr="00145A08">
        <w:rPr>
          <w:szCs w:val="20"/>
        </w:rPr>
        <w:t xml:space="preserve">The medical director </w:t>
      </w:r>
      <w:r>
        <w:rPr>
          <w:szCs w:val="20"/>
        </w:rPr>
        <w:t xml:space="preserve">at one site </w:t>
      </w:r>
      <w:r w:rsidRPr="00145A08">
        <w:rPr>
          <w:szCs w:val="20"/>
        </w:rPr>
        <w:t xml:space="preserve">expressed some frustration with the initial HCH process and the lack of answers to questions </w:t>
      </w:r>
      <w:r w:rsidR="005B363F">
        <w:rPr>
          <w:szCs w:val="20"/>
        </w:rPr>
        <w:t>about</w:t>
      </w:r>
      <w:r w:rsidRPr="00145A08">
        <w:rPr>
          <w:szCs w:val="20"/>
        </w:rPr>
        <w:t xml:space="preserve"> implementation. They understood it was a trial and that some of the answers may not have been known, but nonetheless felt frustrated. </w:t>
      </w:r>
    </w:p>
    <w:p w14:paraId="067D0F32" w14:textId="226C162D" w:rsidR="00145A08" w:rsidRPr="00145A08" w:rsidRDefault="00633C61" w:rsidP="00633C61">
      <w:pPr>
        <w:pStyle w:val="Heading2"/>
        <w:rPr>
          <w:rFonts w:eastAsiaTheme="majorEastAsia"/>
        </w:rPr>
      </w:pPr>
      <w:bookmarkStart w:id="235" w:name="_Toc58256878"/>
      <w:bookmarkStart w:id="236" w:name="_Toc109996694"/>
      <w:r>
        <w:rPr>
          <w:rFonts w:eastAsiaTheme="majorEastAsia"/>
        </w:rPr>
        <w:t>Patient e</w:t>
      </w:r>
      <w:r w:rsidR="00145A08" w:rsidRPr="00145A08">
        <w:rPr>
          <w:rFonts w:eastAsiaTheme="majorEastAsia"/>
        </w:rPr>
        <w:t>nrolment</w:t>
      </w:r>
      <w:bookmarkEnd w:id="235"/>
      <w:bookmarkEnd w:id="236"/>
    </w:p>
    <w:p w14:paraId="06BCADA3" w14:textId="188410BC" w:rsidR="00145A08" w:rsidRPr="00145A08" w:rsidRDefault="00145A08" w:rsidP="00145A08">
      <w:r w:rsidRPr="00145A08">
        <w:t xml:space="preserve">Staff at the </w:t>
      </w:r>
      <w:r w:rsidR="00436EC8">
        <w:t>one</w:t>
      </w:r>
      <w:r w:rsidRPr="00145A08">
        <w:t xml:space="preserve"> site described significant learning </w:t>
      </w:r>
      <w:r w:rsidR="000F21FD">
        <w:t xml:space="preserve">required to manage </w:t>
      </w:r>
      <w:r w:rsidRPr="00145A08">
        <w:t xml:space="preserve">patient enrolment. To enrol patients, initially, a community barbeque was held (food events in remote communities are important for bringing people together to share information) and information about HCH was combined with health checks. While the barbeque formed the introduction to HCH, the GPs followed up with enrolling patients when the patients attended the clinic. It was decided that GPs and the clinic manager would be involved in enrolling patients because </w:t>
      </w:r>
      <w:r w:rsidRPr="00145A08">
        <w:rPr>
          <w:iCs/>
        </w:rPr>
        <w:t xml:space="preserve">they were thought to have </w:t>
      </w:r>
      <w:r w:rsidRPr="00145A08">
        <w:rPr>
          <w:i/>
        </w:rPr>
        <w:t>the strongest relationships with community members</w:t>
      </w:r>
      <w:r w:rsidRPr="00145A08">
        <w:t xml:space="preserve">. Although it was useful to introduce HCH at a community event, in retrospect several people involved in the event felt that the process could have been undertaken solely within the clinic setting. </w:t>
      </w:r>
    </w:p>
    <w:p w14:paraId="0F5DE9BC" w14:textId="77777777" w:rsidR="00145A08" w:rsidRPr="00145A08" w:rsidRDefault="00145A08" w:rsidP="00145A08">
      <w:r w:rsidRPr="00145A08">
        <w:t xml:space="preserve">There was an attempt to use community liaison officers in the enrolment process, but there was little interest on their part. This lack of motivation was attributed to the perceived lack of difference HCH would make </w:t>
      </w:r>
      <w:r w:rsidRPr="00145A08">
        <w:rPr>
          <w:i/>
        </w:rPr>
        <w:t>on the ground</w:t>
      </w:r>
      <w:r w:rsidRPr="00145A08">
        <w:t xml:space="preserve">. </w:t>
      </w:r>
    </w:p>
    <w:p w14:paraId="20DC8885" w14:textId="77777777" w:rsidR="00145A08" w:rsidRPr="00145A08" w:rsidRDefault="00145A08" w:rsidP="00145A08">
      <w:r w:rsidRPr="00145A08">
        <w:t>Clinic staff commented that the similarity of the ACCHS model to HCH model meant patients were unlikely to notice any difference in their care. Even though the PHN had produced videos in the local language, clinic staff found it challenging to explain HCH to clients, as they did not think the clients’ care would change. HCH was explained as being about the way the clinic was funded to deliver health care to clients. A shared care record already existed, so that component of the model was easier to discuss. However, some patients were still concerned that their care might change.</w:t>
      </w:r>
    </w:p>
    <w:p w14:paraId="476E2B23" w14:textId="3B667A28" w:rsidR="00145A08" w:rsidRPr="00145A08" w:rsidRDefault="00145A08" w:rsidP="00145A08">
      <w:r w:rsidRPr="00145A08">
        <w:t xml:space="preserve">The transient nature of people living in the community was a challenge </w:t>
      </w:r>
      <w:r w:rsidR="00D16953">
        <w:t>for</w:t>
      </w:r>
      <w:r w:rsidRPr="00145A08">
        <w:t xml:space="preserve"> enrolling clients. Initially GPs had to consider which clients to recruit, as for most community members, their </w:t>
      </w:r>
      <w:r w:rsidRPr="00145A08">
        <w:lastRenderedPageBreak/>
        <w:t xml:space="preserve">care is shared among several clinics. There was a strong reliance on longer-term clinic staff to identify which patients </w:t>
      </w:r>
      <w:r w:rsidRPr="00145A08">
        <w:rPr>
          <w:i/>
        </w:rPr>
        <w:t>truly call</w:t>
      </w:r>
      <w:r w:rsidRPr="00145A08">
        <w:t xml:space="preserve"> the community home.</w:t>
      </w:r>
    </w:p>
    <w:p w14:paraId="6879A8DE" w14:textId="0594AD38" w:rsidR="00145A08" w:rsidRPr="00145A08" w:rsidRDefault="00145A08" w:rsidP="00145A08">
      <w:pPr>
        <w:widowControl w:val="0"/>
      </w:pPr>
      <w:r w:rsidRPr="00145A08">
        <w:t xml:space="preserve">No patient declined to enrol. This </w:t>
      </w:r>
      <w:r w:rsidR="00D16953">
        <w:t>was attributed</w:t>
      </w:r>
      <w:r w:rsidRPr="00145A08">
        <w:t xml:space="preserve"> to the strong relationship that GPs </w:t>
      </w:r>
      <w:r w:rsidR="00B771E4">
        <w:t xml:space="preserve">and clinics </w:t>
      </w:r>
      <w:r w:rsidRPr="00145A08">
        <w:t xml:space="preserve">have with their clients. A GP pointed out that </w:t>
      </w:r>
      <w:r w:rsidR="00C06415">
        <w:t>they know their</w:t>
      </w:r>
      <w:r w:rsidRPr="00145A08">
        <w:t xml:space="preserve"> clients and their families very well and attends their funerals and celebrations, and that this positively affected enrolment.</w:t>
      </w:r>
    </w:p>
    <w:p w14:paraId="1E502D9C" w14:textId="5624C29D" w:rsidR="00145A08" w:rsidRPr="00145A08" w:rsidRDefault="00145A08" w:rsidP="00145A08">
      <w:pPr>
        <w:widowControl w:val="0"/>
      </w:pPr>
      <w:r w:rsidRPr="00145A08">
        <w:t xml:space="preserve">Identification of patients eligible for HCH at the </w:t>
      </w:r>
      <w:r w:rsidR="00A82CFA">
        <w:t>other</w:t>
      </w:r>
      <w:r w:rsidRPr="00145A08">
        <w:t xml:space="preserve"> case study site was done centrally. The medical director went through the records of all potentially eligible patients and selected those to approach. They provided the list of patients to be approached to staff at the clinic. The clinic coordinator (a nurse) then went into the community and approached each of the patients about participating in HCH. The main encourage</w:t>
      </w:r>
      <w:r w:rsidR="00CE093D">
        <w:t>ment provided</w:t>
      </w:r>
      <w:r w:rsidRPr="00145A08">
        <w:t xml:space="preserve"> to patients to participate was that </w:t>
      </w:r>
      <w:r w:rsidR="00CE093D">
        <w:t>HCH</w:t>
      </w:r>
      <w:r w:rsidRPr="00145A08">
        <w:t xml:space="preserve"> would provide more </w:t>
      </w:r>
      <w:r w:rsidR="00417BDF">
        <w:t>resources for</w:t>
      </w:r>
      <w:r w:rsidR="006D75FB">
        <w:t xml:space="preserve"> </w:t>
      </w:r>
      <w:r w:rsidRPr="00145A08">
        <w:t xml:space="preserve">the clinic </w:t>
      </w:r>
      <w:r w:rsidR="00417BDF">
        <w:t xml:space="preserve">and consequently enhance </w:t>
      </w:r>
      <w:r w:rsidRPr="00145A08">
        <w:t>care for them, and that the patient’s care would not be adversely affected in any way. Most patients agreed to participate when they were approached by the nurse.</w:t>
      </w:r>
    </w:p>
    <w:p w14:paraId="04F26ECD" w14:textId="77777777" w:rsidR="00145A08" w:rsidRPr="00145A08" w:rsidRDefault="00145A08" w:rsidP="00633C61">
      <w:pPr>
        <w:pStyle w:val="Heading2"/>
        <w:rPr>
          <w:rFonts w:eastAsiaTheme="majorEastAsia"/>
        </w:rPr>
      </w:pPr>
      <w:bookmarkStart w:id="237" w:name="_Toc58256879"/>
      <w:bookmarkStart w:id="238" w:name="_Toc109996695"/>
      <w:r w:rsidRPr="00145A08">
        <w:rPr>
          <w:rFonts w:eastAsiaTheme="majorEastAsia"/>
        </w:rPr>
        <w:t>Risk stratification tool</w:t>
      </w:r>
      <w:bookmarkEnd w:id="237"/>
      <w:bookmarkEnd w:id="238"/>
      <w:r w:rsidRPr="00145A08">
        <w:rPr>
          <w:rFonts w:eastAsiaTheme="majorEastAsia"/>
        </w:rPr>
        <w:t xml:space="preserve"> </w:t>
      </w:r>
    </w:p>
    <w:p w14:paraId="75A06DC2" w14:textId="00EEA975" w:rsidR="00CF383C" w:rsidRPr="00145A08" w:rsidRDefault="00145A08" w:rsidP="00CF383C">
      <w:r w:rsidRPr="00145A08">
        <w:t xml:space="preserve">The RST caused significant challenges at both case study sites. </w:t>
      </w:r>
      <w:r w:rsidR="00CF383C" w:rsidRPr="00145A08">
        <w:t xml:space="preserve">Due to issues with the software, the </w:t>
      </w:r>
      <w:r w:rsidR="00CF383C">
        <w:t>first case</w:t>
      </w:r>
      <w:r w:rsidR="00CF383C" w:rsidRPr="00145A08">
        <w:t xml:space="preserve"> study site did not use the tool and identified patients across the organisation’s clinics </w:t>
      </w:r>
      <w:r w:rsidR="00CE093D">
        <w:t>to approach to enrol</w:t>
      </w:r>
      <w:r w:rsidR="00CF383C" w:rsidRPr="00145A08">
        <w:t xml:space="preserve"> </w:t>
      </w:r>
      <w:r w:rsidR="00CE093D">
        <w:t>manually</w:t>
      </w:r>
      <w:r w:rsidR="00CF383C" w:rsidRPr="00145A08">
        <w:t>:</w:t>
      </w:r>
    </w:p>
    <w:p w14:paraId="269FA84F" w14:textId="77777777" w:rsidR="00CF383C" w:rsidRPr="00145A08" w:rsidRDefault="00CF383C" w:rsidP="00CF383C">
      <w:pPr>
        <w:ind w:left="567" w:right="521"/>
      </w:pPr>
      <w:r w:rsidRPr="00145A08">
        <w:rPr>
          <w:i/>
          <w:iCs/>
        </w:rPr>
        <w:t xml:space="preserve">“I actually manually got a list of all of our chronic disease clients with more than two chronic diseases, and actually went through the 700 of them, working out who engaged with the service enough, and who fulfilled the criteria in order to create a list that was a meaningful list for people to go out and seek their consent.” </w:t>
      </w:r>
      <w:r w:rsidRPr="00145A08">
        <w:t>[</w:t>
      </w:r>
      <w:r w:rsidRPr="00145A08">
        <w:rPr>
          <w:szCs w:val="20"/>
        </w:rPr>
        <w:t>Medical Director</w:t>
      </w:r>
      <w:r w:rsidRPr="00145A08">
        <w:t>, Practice 20, R4]</w:t>
      </w:r>
    </w:p>
    <w:p w14:paraId="5608A9DA" w14:textId="0DBAC841" w:rsidR="00CF383C" w:rsidRPr="00145A08" w:rsidRDefault="00CF383C" w:rsidP="00CF383C">
      <w:r w:rsidRPr="00145A08">
        <w:t xml:space="preserve">The GPs divided up the 700 patients </w:t>
      </w:r>
      <w:r w:rsidR="00CE093D">
        <w:t>selected</w:t>
      </w:r>
      <w:r w:rsidRPr="00145A08">
        <w:t xml:space="preserve"> and went through their medical records and developed a care plan for each patient. This was all done in the absence of the patient. </w:t>
      </w:r>
    </w:p>
    <w:p w14:paraId="5A28674E" w14:textId="69267693" w:rsidR="00145A08" w:rsidRPr="00145A08" w:rsidRDefault="00145A08" w:rsidP="00145A08">
      <w:r w:rsidRPr="00145A08">
        <w:t xml:space="preserve">At </w:t>
      </w:r>
      <w:r w:rsidR="00CF383C">
        <w:t>the second site</w:t>
      </w:r>
      <w:r w:rsidRPr="00145A08">
        <w:t xml:space="preserve">, the team initially compared patients to other patients within the community and, after extensive team discussions, it became apparent that they needed to compare their client experience to people living in regional areas. In a remote setting, questions of access to transport, housing, allied health services and specialists are crucial. For example, while the clinic provides transport for clients to attend health services, it is not always available at times that enable clients to access the clinic when they need. </w:t>
      </w:r>
    </w:p>
    <w:p w14:paraId="2DDAB7D5" w14:textId="77777777" w:rsidR="00145A08" w:rsidRPr="00145A08" w:rsidRDefault="00145A08" w:rsidP="00145A08">
      <w:r w:rsidRPr="00145A08">
        <w:t>The following additional issues with the RST were also raised:</w:t>
      </w:r>
    </w:p>
    <w:p w14:paraId="3ACB38E0" w14:textId="77777777" w:rsidR="00145A08" w:rsidRPr="00145A08" w:rsidRDefault="00145A08" w:rsidP="00BB7C8D">
      <w:pPr>
        <w:numPr>
          <w:ilvl w:val="0"/>
          <w:numId w:val="42"/>
        </w:numPr>
        <w:spacing w:line="276" w:lineRule="auto"/>
        <w:contextualSpacing/>
      </w:pPr>
      <w:r w:rsidRPr="00145A08">
        <w:t>The tool does not consider certain chronic conditions</w:t>
      </w:r>
      <w:r w:rsidRPr="00145A08">
        <w:rPr>
          <w:iCs/>
        </w:rPr>
        <w:t>:</w:t>
      </w:r>
    </w:p>
    <w:p w14:paraId="2151C2B1" w14:textId="77777777" w:rsidR="00145A08" w:rsidRPr="00145A08" w:rsidRDefault="00145A08" w:rsidP="001C1668">
      <w:pPr>
        <w:ind w:left="709" w:right="521"/>
      </w:pPr>
      <w:r w:rsidRPr="00145A08">
        <w:rPr>
          <w:i/>
        </w:rPr>
        <w:t>“</w:t>
      </w:r>
      <w:r w:rsidRPr="001C1668">
        <w:t>Some</w:t>
      </w:r>
      <w:r w:rsidRPr="00145A08">
        <w:rPr>
          <w:i/>
        </w:rPr>
        <w:t xml:space="preserve"> of our most complex patients who have extremely high care requirement needs but they don’t actually come under any of those other chronic conditions that are included in the HARP.</w:t>
      </w:r>
      <w:r w:rsidRPr="00145A08">
        <w:t xml:space="preserve"> </w:t>
      </w:r>
      <w:r w:rsidRPr="00145A08">
        <w:rPr>
          <w:i/>
          <w:iCs/>
        </w:rPr>
        <w:t>For example,</w:t>
      </w:r>
      <w:r w:rsidRPr="00145A08">
        <w:t xml:space="preserve"> </w:t>
      </w:r>
      <w:r w:rsidRPr="00145A08">
        <w:rPr>
          <w:i/>
        </w:rPr>
        <w:t>people with malignancies just don’t quite fit into that algorithm somehow and they are incredibly complex.</w:t>
      </w:r>
      <w:r w:rsidRPr="00145A08">
        <w:t>” [Staff member, Practice 20, R4]</w:t>
      </w:r>
    </w:p>
    <w:p w14:paraId="58A6C78E" w14:textId="77777777" w:rsidR="00145A08" w:rsidRPr="00145A08" w:rsidRDefault="00145A08" w:rsidP="00BB7C8D">
      <w:pPr>
        <w:numPr>
          <w:ilvl w:val="0"/>
          <w:numId w:val="42"/>
        </w:numPr>
        <w:ind w:left="714" w:hanging="357"/>
      </w:pPr>
      <w:r w:rsidRPr="00145A08">
        <w:lastRenderedPageBreak/>
        <w:t xml:space="preserve">Social determinants of health should carry more weight in the tiering process, as they play a significant role in health in remote communities. </w:t>
      </w:r>
    </w:p>
    <w:p w14:paraId="114288D3" w14:textId="77777777" w:rsidR="00145A08" w:rsidRPr="00145A08" w:rsidRDefault="00145A08" w:rsidP="00BB7C8D">
      <w:pPr>
        <w:numPr>
          <w:ilvl w:val="0"/>
          <w:numId w:val="42"/>
        </w:numPr>
        <w:ind w:left="714" w:hanging="357"/>
      </w:pPr>
      <w:r w:rsidRPr="00145A08">
        <w:t xml:space="preserve">Tier 3 does not provide enough support or cater to the needs of patients who are </w:t>
      </w:r>
      <w:r w:rsidRPr="00145A08">
        <w:rPr>
          <w:i/>
        </w:rPr>
        <w:t>some of the sickest in the country.</w:t>
      </w:r>
      <w:r w:rsidRPr="00145A08">
        <w:t xml:space="preserve"> Many of these clients are in the clinic on a regular basis for support with their conditions. </w:t>
      </w:r>
    </w:p>
    <w:p w14:paraId="4087D241" w14:textId="77777777" w:rsidR="00145A08" w:rsidRPr="00145A08" w:rsidRDefault="00145A08" w:rsidP="00BB7C8D">
      <w:pPr>
        <w:numPr>
          <w:ilvl w:val="0"/>
          <w:numId w:val="42"/>
        </w:numPr>
        <w:spacing w:after="0"/>
        <w:ind w:left="714" w:hanging="357"/>
      </w:pPr>
      <w:r w:rsidRPr="00145A08">
        <w:t>The tool is subjective and the questions are broad and binary:</w:t>
      </w:r>
    </w:p>
    <w:p w14:paraId="3599EC05" w14:textId="77777777" w:rsidR="00145A08" w:rsidRDefault="00145A08" w:rsidP="001C1668">
      <w:pPr>
        <w:ind w:left="709" w:right="521"/>
      </w:pPr>
      <w:r w:rsidRPr="00145A08">
        <w:t>“</w:t>
      </w:r>
      <w:r w:rsidRPr="00145A08">
        <w:rPr>
          <w:i/>
        </w:rPr>
        <w:t xml:space="preserve">The </w:t>
      </w:r>
      <w:r w:rsidRPr="001C1668">
        <w:rPr>
          <w:i/>
          <w:iCs/>
        </w:rPr>
        <w:t>HARP</w:t>
      </w:r>
      <w:r w:rsidRPr="00145A08">
        <w:rPr>
          <w:i/>
        </w:rPr>
        <w:t xml:space="preserve"> is very open to interpretation I would say, the way the questions are phrased </w:t>
      </w:r>
      <w:r w:rsidRPr="00145A08">
        <w:t xml:space="preserve">…” [GP, Practice 20, R4]. </w:t>
      </w:r>
    </w:p>
    <w:p w14:paraId="22C921CE" w14:textId="59298D5D" w:rsidR="009F6610" w:rsidRPr="00145A08" w:rsidRDefault="009F6610" w:rsidP="009F6610">
      <w:pPr>
        <w:ind w:right="521"/>
      </w:pPr>
      <w:r>
        <w:t>Overall, s</w:t>
      </w:r>
      <w:r w:rsidRPr="00145A08">
        <w:t>taff members were critical of the usefulness of the tool</w:t>
      </w:r>
      <w:r>
        <w:t xml:space="preserve"> and felt </w:t>
      </w:r>
      <w:r w:rsidRPr="00145A08">
        <w:t xml:space="preserve">that it did it not </w:t>
      </w:r>
      <w:r>
        <w:t>adequately account for</w:t>
      </w:r>
      <w:r w:rsidRPr="00145A08">
        <w:t xml:space="preserve"> the cultural, social or geographic issues of their clients</w:t>
      </w:r>
      <w:r w:rsidR="006B7741">
        <w:t xml:space="preserve">, which </w:t>
      </w:r>
      <w:r w:rsidR="00433234">
        <w:t xml:space="preserve">often entail </w:t>
      </w:r>
      <w:r w:rsidR="00CB5D92">
        <w:t xml:space="preserve">extreme </w:t>
      </w:r>
      <w:r w:rsidR="00B130D6">
        <w:t xml:space="preserve">challenges </w:t>
      </w:r>
      <w:r w:rsidR="00433234">
        <w:t>and disadvantage</w:t>
      </w:r>
      <w:r w:rsidRPr="00145A08">
        <w:t>.</w:t>
      </w:r>
    </w:p>
    <w:p w14:paraId="6D003E93" w14:textId="77777777" w:rsidR="00145A08" w:rsidRPr="00145A08" w:rsidRDefault="00145A08" w:rsidP="00633C61">
      <w:pPr>
        <w:pStyle w:val="Heading2"/>
        <w:rPr>
          <w:rFonts w:eastAsiaTheme="majorEastAsia"/>
        </w:rPr>
      </w:pPr>
      <w:bookmarkStart w:id="239" w:name="_Toc58256880"/>
      <w:bookmarkStart w:id="240" w:name="_Toc109996696"/>
      <w:r w:rsidRPr="00145A08">
        <w:rPr>
          <w:rFonts w:eastAsiaTheme="majorEastAsia"/>
        </w:rPr>
        <w:t>Shared care planning</w:t>
      </w:r>
      <w:bookmarkEnd w:id="239"/>
      <w:bookmarkEnd w:id="240"/>
    </w:p>
    <w:p w14:paraId="39C49D78" w14:textId="12EA0637" w:rsidR="00784E07" w:rsidRDefault="00145A08" w:rsidP="00145A08">
      <w:pPr>
        <w:widowControl w:val="0"/>
      </w:pPr>
      <w:r w:rsidRPr="00145A08">
        <w:t xml:space="preserve">Though shared care plans were already in place at both </w:t>
      </w:r>
      <w:r w:rsidR="00CE093D">
        <w:t>case</w:t>
      </w:r>
      <w:r w:rsidRPr="00145A08">
        <w:t xml:space="preserve"> study sites </w:t>
      </w:r>
      <w:r w:rsidR="0002675D">
        <w:t>before</w:t>
      </w:r>
      <w:r w:rsidRPr="00145A08">
        <w:t xml:space="preserve"> HCH, the process differed at the two sites. </w:t>
      </w:r>
    </w:p>
    <w:p w14:paraId="2DF56F9B" w14:textId="4873CBEB" w:rsidR="00145A08" w:rsidRPr="00145A08" w:rsidRDefault="00145A08" w:rsidP="00DB17C8">
      <w:pPr>
        <w:widowControl w:val="0"/>
      </w:pPr>
      <w:r w:rsidRPr="00145A08">
        <w:t xml:space="preserve">GPs at the </w:t>
      </w:r>
      <w:r w:rsidR="00DB17C8">
        <w:t>first</w:t>
      </w:r>
      <w:r w:rsidRPr="00145A08">
        <w:t xml:space="preserve"> site prepared care plans for all patients registered for HCH, in the absence of the patient. Additional funding was provided by the site to free-up doctors to develop the care plan. Although the method used to develop the care plans would suggest the care plans are not patient-centred, this is not the way the GPs saw it. There is a section of the care plan that allows the GP to engage the patient during a consultation. For example, the GP is prompted to ask the patient, “Do you want to give up smoking?”, “Do you want to improve your diet?”, etc. The patient has the opportunity to input at these points. </w:t>
      </w:r>
    </w:p>
    <w:p w14:paraId="3BC7692C" w14:textId="63513F7D" w:rsidR="00145A08" w:rsidRPr="00145A08" w:rsidRDefault="00145A08" w:rsidP="00DB17C8">
      <w:pPr>
        <w:widowControl w:val="0"/>
      </w:pPr>
      <w:r w:rsidRPr="00145A08">
        <w:t>Sections of the care plan allow other staff members, and those who provide care to the patient (</w:t>
      </w:r>
      <w:r w:rsidR="007D59AD">
        <w:t>such as</w:t>
      </w:r>
      <w:r w:rsidR="0010747B">
        <w:t>,</w:t>
      </w:r>
      <w:r w:rsidRPr="00145A08">
        <w:t xml:space="preserve"> allied health), to also have input to the care plan. This may lead to GPs being more aware of what other care providers suggest:</w:t>
      </w:r>
    </w:p>
    <w:p w14:paraId="6C1A8AFB" w14:textId="77777777" w:rsidR="00145A08" w:rsidRPr="00145A08" w:rsidRDefault="00145A08" w:rsidP="00145A08">
      <w:pPr>
        <w:ind w:left="567" w:right="521"/>
      </w:pPr>
      <w:r w:rsidRPr="00145A08">
        <w:t xml:space="preserve">“… </w:t>
      </w:r>
      <w:r w:rsidRPr="00145A08">
        <w:rPr>
          <w:i/>
          <w:iCs/>
        </w:rPr>
        <w:t>maybe before I might not have read the podiatrist’s entry, I might not have read the optometrist’s entry, I’d sort of notice that they’d seen them, whereas this way I actually read the optometrist’s entry, I read the podiatrist’s entry, I read the Tackling Indigenous Smoking entry …”</w:t>
      </w:r>
      <w:r w:rsidRPr="00145A08">
        <w:t xml:space="preserve"> [GP, R4, Practice 20]</w:t>
      </w:r>
    </w:p>
    <w:p w14:paraId="2A8C3FFA" w14:textId="77777777" w:rsidR="00DB17C8" w:rsidRPr="00145A08" w:rsidRDefault="00DB17C8" w:rsidP="00DB17C8">
      <w:pPr>
        <w:widowControl w:val="0"/>
      </w:pPr>
      <w:r>
        <w:t>One site</w:t>
      </w:r>
      <w:r w:rsidRPr="00145A08">
        <w:t xml:space="preserve"> stated that their plans were stored in their practice clinical management system. Involving patients in care planning aligned with the site’s usual practice and was viewed as a fundamental component of the patient-clinician relationship. However, the level of engagement often depended upon the capacity of the patient to engage with staff.</w:t>
      </w:r>
    </w:p>
    <w:p w14:paraId="5152C2C2" w14:textId="4D2E772C" w:rsidR="00145A08" w:rsidRPr="00145A08" w:rsidRDefault="00145A08" w:rsidP="00145A08">
      <w:pPr>
        <w:widowControl w:val="0"/>
      </w:pPr>
      <w:r w:rsidRPr="00145A08">
        <w:t xml:space="preserve">Staff members at both sites discussed the main differences with their own shared care planning process and that as part of HCH. Interviewees at </w:t>
      </w:r>
      <w:r w:rsidR="00785F2E">
        <w:t>the first</w:t>
      </w:r>
      <w:r w:rsidRPr="00145A08">
        <w:t xml:space="preserve"> site stated that care plans were used in referral letters to the hospital and specialists. A marked difference with the shared care plans under HCH is that revision of the plans was prompted more frequently than previously undertaken. Staff thought that the care plans developed as part of HCH were more comprehensive:</w:t>
      </w:r>
    </w:p>
    <w:p w14:paraId="6F0664D1" w14:textId="77777777" w:rsidR="00145A08" w:rsidRPr="00145A08" w:rsidRDefault="00145A08" w:rsidP="00145A08">
      <w:pPr>
        <w:ind w:left="567" w:right="521"/>
      </w:pPr>
      <w:r w:rsidRPr="00145A08">
        <w:rPr>
          <w:i/>
          <w:iCs/>
        </w:rPr>
        <w:lastRenderedPageBreak/>
        <w:t xml:space="preserve">“There were care plans in place. They were a different sort of care plan. Probably Health Care Homes </w:t>
      </w:r>
      <w:r w:rsidRPr="001C1668">
        <w:rPr>
          <w:i/>
          <w:iCs/>
          <w:szCs w:val="20"/>
          <w:lang w:val="en-US"/>
        </w:rPr>
        <w:t>are</w:t>
      </w:r>
      <w:r w:rsidRPr="00145A08">
        <w:rPr>
          <w:i/>
          <w:iCs/>
        </w:rPr>
        <w:t xml:space="preserve"> more up to date and more cohesive. I think the care plans we had before actually weren’t that wonderful, really. They were a bit scattered. I find these ones quite good.”</w:t>
      </w:r>
      <w:r w:rsidRPr="00145A08">
        <w:t xml:space="preserve"> [Nurse, Practice 20, R4]</w:t>
      </w:r>
    </w:p>
    <w:p w14:paraId="635685AF" w14:textId="77777777" w:rsidR="00145A08" w:rsidRPr="00145A08" w:rsidRDefault="00145A08" w:rsidP="00145A08">
      <w:pPr>
        <w:ind w:left="567" w:right="521"/>
      </w:pPr>
      <w:r w:rsidRPr="00145A08">
        <w:rPr>
          <w:i/>
          <w:iCs/>
        </w:rPr>
        <w:t>“I’ve come to see, and I think this is what’s so great about the Health Care Homes, seeing as a model where all the different health people who are involved with a patient care communicate with each other in an effective manner.”</w:t>
      </w:r>
      <w:r w:rsidRPr="00145A08">
        <w:t xml:space="preserve"> [GP, Practice 20, R4] </w:t>
      </w:r>
    </w:p>
    <w:p w14:paraId="095369D0" w14:textId="08C1C665" w:rsidR="00145A08" w:rsidRPr="00145A08" w:rsidRDefault="0073578F" w:rsidP="00145A08">
      <w:pPr>
        <w:widowControl w:val="0"/>
      </w:pPr>
      <w:r>
        <w:t>Staff</w:t>
      </w:r>
      <w:r w:rsidR="00145A08" w:rsidRPr="00145A08">
        <w:t xml:space="preserve"> commented that </w:t>
      </w:r>
      <w:r w:rsidR="00EF49A0">
        <w:t>HCH made it</w:t>
      </w:r>
      <w:r w:rsidR="00145A08" w:rsidRPr="00145A08">
        <w:t xml:space="preserve"> easier for nurse</w:t>
      </w:r>
      <w:r w:rsidR="00C66627">
        <w:t>s</w:t>
      </w:r>
      <w:r w:rsidR="00145A08" w:rsidRPr="00145A08">
        <w:t xml:space="preserve"> to access the care plan and that the nurse had greater ability to influence the doctors to change the care plans. This allowed nurse</w:t>
      </w:r>
      <w:r w:rsidR="008A3C9B">
        <w:t>s</w:t>
      </w:r>
      <w:r w:rsidR="00145A08" w:rsidRPr="00145A08">
        <w:t xml:space="preserve"> to advocate for the patient and discuss their concerns further with the GP. The GP said they overhauled the way they were doing care plans. They had consulted other organisations and created a template they thought would be good for them. The GP thought this was a real positive from HCH:</w:t>
      </w:r>
    </w:p>
    <w:p w14:paraId="600EFEDE" w14:textId="77777777" w:rsidR="00145A08" w:rsidRPr="00145A08" w:rsidRDefault="00145A08" w:rsidP="00145A08">
      <w:pPr>
        <w:ind w:left="567" w:right="521"/>
      </w:pPr>
      <w:r w:rsidRPr="00145A08">
        <w:t>“</w:t>
      </w:r>
      <w:r w:rsidRPr="001C1668">
        <w:rPr>
          <w:i/>
          <w:iCs/>
          <w:szCs w:val="20"/>
          <w:lang w:val="en-US"/>
        </w:rPr>
        <w:t>You</w:t>
      </w:r>
      <w:r w:rsidRPr="00145A08">
        <w:rPr>
          <w:i/>
          <w:iCs/>
        </w:rPr>
        <w:t xml:space="preserve"> get a better perspective on it, especially if you're new or somebody doesn't know the client, you've got a perspective on them that it doesn't take a lot of time to figure out. Yes, it's much more effective and much more efficient</w:t>
      </w:r>
      <w:r w:rsidRPr="00145A08">
        <w:t>.” [GP, Practice 20, R4]</w:t>
      </w:r>
    </w:p>
    <w:p w14:paraId="3A546E3B" w14:textId="179C91C8" w:rsidR="00145A08" w:rsidRPr="00145A08" w:rsidRDefault="0073578F" w:rsidP="00145A08">
      <w:pPr>
        <w:widowControl w:val="0"/>
      </w:pPr>
      <w:r>
        <w:t>At this site t</w:t>
      </w:r>
      <w:r w:rsidR="00145A08" w:rsidRPr="00145A08">
        <w:t xml:space="preserve">here </w:t>
      </w:r>
      <w:r w:rsidR="002A1219">
        <w:t>were</w:t>
      </w:r>
      <w:r w:rsidR="00145A08" w:rsidRPr="00145A08">
        <w:t xml:space="preserve"> monthly meetings attended by </w:t>
      </w:r>
      <w:r w:rsidR="00C76CD0">
        <w:t>the</w:t>
      </w:r>
      <w:r w:rsidR="00145A08" w:rsidRPr="00145A08">
        <w:t xml:space="preserve"> GP</w:t>
      </w:r>
      <w:r w:rsidR="00C76CD0">
        <w:t xml:space="preserve">, the </w:t>
      </w:r>
      <w:r w:rsidR="00145A08" w:rsidRPr="00145A08">
        <w:t>many nurses</w:t>
      </w:r>
      <w:r w:rsidR="00C76CD0">
        <w:t>,</w:t>
      </w:r>
      <w:r w:rsidR="00145A08" w:rsidRPr="00145A08">
        <w:t xml:space="preserve"> and a pharmacist, where they discuss</w:t>
      </w:r>
      <w:r w:rsidR="003C7E0B">
        <w:t>ed</w:t>
      </w:r>
      <w:r w:rsidR="00145A08" w:rsidRPr="00145A08">
        <w:t xml:space="preserve"> the care of patients. Both GPs thought the meetings were substantially better and more efficient than previously. The care plans </w:t>
      </w:r>
      <w:r w:rsidR="00EF49A0">
        <w:t>were</w:t>
      </w:r>
      <w:r w:rsidR="00145A08" w:rsidRPr="00145A08">
        <w:t xml:space="preserve"> simplified and updated, which allow</w:t>
      </w:r>
      <w:r w:rsidR="00EF49A0">
        <w:t>ed</w:t>
      </w:r>
      <w:r w:rsidR="00145A08" w:rsidRPr="00145A08">
        <w:t xml:space="preserve"> locums and other GPs not familiar with the patient to </w:t>
      </w:r>
      <w:r w:rsidR="00C76CD0" w:rsidRPr="00145A08">
        <w:t xml:space="preserve">identify </w:t>
      </w:r>
      <w:r w:rsidR="00145A08" w:rsidRPr="00145A08">
        <w:t>more easily who the patient was seeing, when and for what. However, although one of the GPs could see the benefit of the improved care plans, they commented on the additional burden this puts on them to keep the plans up</w:t>
      </w:r>
      <w:r w:rsidR="00C76CD0" w:rsidRPr="00145A08">
        <w:t xml:space="preserve"> </w:t>
      </w:r>
      <w:r w:rsidR="00145A08" w:rsidRPr="00145A08">
        <w:t>to</w:t>
      </w:r>
      <w:r w:rsidR="00C76CD0" w:rsidRPr="00145A08">
        <w:t xml:space="preserve"> </w:t>
      </w:r>
      <w:r w:rsidR="00145A08" w:rsidRPr="00145A08">
        <w:t>date.</w:t>
      </w:r>
    </w:p>
    <w:p w14:paraId="54159045" w14:textId="5D6D0671" w:rsidR="00145A08" w:rsidRPr="00145A08" w:rsidRDefault="00145A08" w:rsidP="00145A08">
      <w:pPr>
        <w:widowControl w:val="0"/>
      </w:pPr>
      <w:r w:rsidRPr="00145A08">
        <w:t xml:space="preserve">Staff members at </w:t>
      </w:r>
      <w:r w:rsidR="0073578F">
        <w:t>the second site</w:t>
      </w:r>
      <w:r w:rsidRPr="00145A08">
        <w:t xml:space="preserve"> stated that because of the transient nature of the population in remote communities, care of patients is spread across the clinics in the communities the patients visit. </w:t>
      </w:r>
      <w:r w:rsidR="00EF49A0">
        <w:t>F</w:t>
      </w:r>
      <w:r w:rsidRPr="00145A08">
        <w:t xml:space="preserve">or security purposes, each clinic has its own practice clinical management database, which results in multiple entries for the same client across the clinics that are part of the ACCHS. Notes are made on the client’s file to indicate their </w:t>
      </w:r>
      <w:r w:rsidR="00F163F2">
        <w:t>“</w:t>
      </w:r>
      <w:r w:rsidRPr="00145A08">
        <w:t>home</w:t>
      </w:r>
      <w:r w:rsidR="00F163F2">
        <w:t>”</w:t>
      </w:r>
      <w:r w:rsidRPr="00145A08">
        <w:t xml:space="preserve"> clinic, which is the clinic that is allocated responsibility for their shared care plan. The ACCHS is moving towards a centralised client </w:t>
      </w:r>
      <w:r w:rsidR="00153E29" w:rsidRPr="00145A08">
        <w:t>database and</w:t>
      </w:r>
      <w:r w:rsidRPr="00145A08">
        <w:t xml:space="preserve"> will eventually centralise shared care plans. </w:t>
      </w:r>
    </w:p>
    <w:p w14:paraId="5A4C81CE" w14:textId="77777777" w:rsidR="00145A08" w:rsidRPr="00145A08" w:rsidRDefault="00145A08" w:rsidP="00145A08">
      <w:pPr>
        <w:widowControl w:val="0"/>
      </w:pPr>
      <w:r w:rsidRPr="00145A08">
        <w:t xml:space="preserve">Communication with the regional hospital also remains a challenge that can affect shared care plans and the maintenance of client records. For example, hospital discharge summaries and letters from specialist appointments are inconsistent, which can lead to inconsistencies in patient data kept by the service. The GPs reported spending significant time and effort following up information from the hospital, although they acknowledged that this is not unique to them – it is experienced by GPs across the country. The allied health professional interviewed also reported similar challenges. </w:t>
      </w:r>
    </w:p>
    <w:p w14:paraId="5B2CAD23" w14:textId="77777777" w:rsidR="006B4BCE" w:rsidRDefault="006B4BCE">
      <w:pPr>
        <w:spacing w:after="160" w:line="259" w:lineRule="auto"/>
        <w:rPr>
          <w:rFonts w:ascii="Roboto Slab" w:eastAsiaTheme="majorEastAsia" w:hAnsi="Roboto Slab" w:cs="Times New Roman"/>
          <w:bCs/>
          <w:color w:val="408BCA"/>
          <w:sz w:val="32"/>
          <w:szCs w:val="36"/>
          <w:lang w:eastAsia="en-AU"/>
        </w:rPr>
      </w:pPr>
      <w:bookmarkStart w:id="241" w:name="_Toc58256881"/>
      <w:r>
        <w:rPr>
          <w:rFonts w:eastAsiaTheme="majorEastAsia"/>
        </w:rPr>
        <w:br w:type="page"/>
      </w:r>
    </w:p>
    <w:p w14:paraId="441C9467" w14:textId="7FF0FD27" w:rsidR="00145A08" w:rsidRPr="00145A08" w:rsidRDefault="00145A08" w:rsidP="002F5D82">
      <w:pPr>
        <w:pStyle w:val="Heading2"/>
        <w:rPr>
          <w:rFonts w:eastAsiaTheme="majorEastAsia"/>
        </w:rPr>
      </w:pPr>
      <w:bookmarkStart w:id="242" w:name="_Toc109996697"/>
      <w:r w:rsidRPr="00145A08">
        <w:rPr>
          <w:rFonts w:eastAsiaTheme="majorEastAsia"/>
        </w:rPr>
        <w:lastRenderedPageBreak/>
        <w:t>HCH model</w:t>
      </w:r>
      <w:bookmarkEnd w:id="241"/>
      <w:bookmarkEnd w:id="242"/>
    </w:p>
    <w:p w14:paraId="7A19FF35" w14:textId="60D4B834" w:rsidR="00316B4A" w:rsidRDefault="007A5A52" w:rsidP="00B73432">
      <w:r>
        <w:t>From the outset</w:t>
      </w:r>
      <w:r w:rsidR="00C76CD0">
        <w:t>,</w:t>
      </w:r>
      <w:r>
        <w:t xml:space="preserve"> </w:t>
      </w:r>
      <w:r w:rsidR="00A443AF">
        <w:t xml:space="preserve">staff </w:t>
      </w:r>
      <w:r w:rsidR="00920BE0">
        <w:t>from</w:t>
      </w:r>
      <w:r w:rsidR="00A443AF">
        <w:t xml:space="preserve"> </w:t>
      </w:r>
      <w:r>
        <w:t>both case study</w:t>
      </w:r>
      <w:r w:rsidR="00A443AF">
        <w:t xml:space="preserve"> sites </w:t>
      </w:r>
      <w:r w:rsidR="00C068E2">
        <w:t>maintained that HCH was very similar to their model</w:t>
      </w:r>
      <w:r w:rsidR="00920BE0">
        <w:t xml:space="preserve">. </w:t>
      </w:r>
      <w:r w:rsidR="006B1C4C">
        <w:t>Two</w:t>
      </w:r>
      <w:r w:rsidR="0058362E">
        <w:t xml:space="preserve"> similarities </w:t>
      </w:r>
      <w:r w:rsidR="00C76CD0">
        <w:t>were</w:t>
      </w:r>
      <w:r w:rsidR="0068562E">
        <w:t xml:space="preserve"> using data and a strong commitment to </w:t>
      </w:r>
      <w:r w:rsidR="0058362E">
        <w:t>continuous quality improvement</w:t>
      </w:r>
      <w:r w:rsidR="00B73432">
        <w:t xml:space="preserve">, which both sites continued </w:t>
      </w:r>
      <w:r w:rsidR="00D50694">
        <w:t xml:space="preserve">under the HCH model. </w:t>
      </w:r>
    </w:p>
    <w:p w14:paraId="6EDA8A92" w14:textId="3946838D" w:rsidR="00F8469A" w:rsidRDefault="00F8469A" w:rsidP="00F8469A">
      <w:r>
        <w:t xml:space="preserve">In the first round of interviews, </w:t>
      </w:r>
      <w:r w:rsidR="00AA3EC3">
        <w:t xml:space="preserve">an </w:t>
      </w:r>
      <w:r>
        <w:t xml:space="preserve">allied health </w:t>
      </w:r>
      <w:r w:rsidR="00333165">
        <w:t>practitioner</w:t>
      </w:r>
      <w:r w:rsidR="00AA09B9">
        <w:t xml:space="preserve"> </w:t>
      </w:r>
      <w:r w:rsidR="00333165">
        <w:t xml:space="preserve">at the first case study site </w:t>
      </w:r>
      <w:r>
        <w:t xml:space="preserve">indicated </w:t>
      </w:r>
      <w:r w:rsidR="00C06415">
        <w:t xml:space="preserve">that </w:t>
      </w:r>
      <w:r w:rsidR="00F80179">
        <w:t xml:space="preserve">they </w:t>
      </w:r>
      <w:r w:rsidR="00C06415">
        <w:t>had not</w:t>
      </w:r>
      <w:r>
        <w:t xml:space="preserve"> noticed any difference in the way patients were treated since the introduction of HCH. </w:t>
      </w:r>
      <w:r w:rsidR="00C06415">
        <w:t>They</w:t>
      </w:r>
      <w:r>
        <w:t xml:space="preserve"> knew whether a patient was a HCH patient because there was a sticker in the</w:t>
      </w:r>
      <w:r w:rsidR="002C36F7">
        <w:t xml:space="preserve"> patient’s</w:t>
      </w:r>
      <w:r>
        <w:t xml:space="preserve"> notes indicating their tier. At that stage, </w:t>
      </w:r>
      <w:r w:rsidR="00C06415">
        <w:t>they</w:t>
      </w:r>
      <w:r>
        <w:t xml:space="preserve"> did not feel anything had changed and that patients with a chronic disease were treated the same regardless of whether they were a HCH patient or not. </w:t>
      </w:r>
    </w:p>
    <w:p w14:paraId="5102E472" w14:textId="61319761" w:rsidR="00F8469A" w:rsidRDefault="00F8469A" w:rsidP="00F8469A">
      <w:r>
        <w:t xml:space="preserve">While the care for HCH </w:t>
      </w:r>
      <w:r w:rsidR="00C06415">
        <w:t>versus</w:t>
      </w:r>
      <w:r>
        <w:t xml:space="preserve"> non-HCH patients was largely the same, staff members felt that documentation via the care plan and patient monitoring was enhanced under HCH. </w:t>
      </w:r>
      <w:r w:rsidR="00602157">
        <w:t>An allied health practitioner</w:t>
      </w:r>
      <w:r>
        <w:t xml:space="preserve"> reflected in the final interview that HCH patients were monitored more closely by clinicians and other health professionals</w:t>
      </w:r>
      <w:r w:rsidR="00DF5453">
        <w:t xml:space="preserve">, with </w:t>
      </w:r>
      <w:r>
        <w:t>more effort</w:t>
      </w:r>
      <w:r w:rsidR="007F0411">
        <w:t xml:space="preserve">s to </w:t>
      </w:r>
      <w:r w:rsidR="00F163F2">
        <w:t>“</w:t>
      </w:r>
      <w:r>
        <w:t>chas</w:t>
      </w:r>
      <w:r w:rsidR="007F0411">
        <w:t>e</w:t>
      </w:r>
      <w:r>
        <w:t xml:space="preserve"> people up</w:t>
      </w:r>
      <w:r w:rsidR="00F163F2">
        <w:t>”</w:t>
      </w:r>
      <w:r w:rsidR="00FC0CCE">
        <w:t xml:space="preserve"> (</w:t>
      </w:r>
      <w:r w:rsidR="009738BB">
        <w:t>mainly</w:t>
      </w:r>
      <w:r w:rsidR="00983E7B">
        <w:t xml:space="preserve"> other health providers)</w:t>
      </w:r>
      <w:r>
        <w:t>, to ensure HCH patients receive</w:t>
      </w:r>
      <w:r w:rsidR="002C36F7">
        <w:t>d</w:t>
      </w:r>
      <w:r>
        <w:t xml:space="preserve"> high quality chronic disease management. </w:t>
      </w:r>
      <w:r w:rsidR="00C06415">
        <w:t>They</w:t>
      </w:r>
      <w:r>
        <w:t xml:space="preserve"> </w:t>
      </w:r>
      <w:r w:rsidR="00115416">
        <w:t xml:space="preserve">considered </w:t>
      </w:r>
      <w:r>
        <w:t xml:space="preserve">this </w:t>
      </w:r>
      <w:r w:rsidR="00DC4A92">
        <w:t xml:space="preserve">increased the </w:t>
      </w:r>
      <w:r>
        <w:t>willingness of patients to engage with the health service</w:t>
      </w:r>
      <w:r w:rsidR="00AA09B9">
        <w:t>:</w:t>
      </w:r>
    </w:p>
    <w:p w14:paraId="7702C858" w14:textId="77777777" w:rsidR="00F8469A" w:rsidRDefault="00F8469A" w:rsidP="00F8469A">
      <w:pPr>
        <w:ind w:left="567" w:right="521"/>
      </w:pPr>
      <w:r>
        <w:t>“</w:t>
      </w:r>
      <w:r w:rsidRPr="00AA09B9">
        <w:rPr>
          <w:i/>
          <w:iCs/>
        </w:rPr>
        <w:t>They’re more willing to come, that’s all I can see, so something is registering somewhere in their head and they’re more willing to present</w:t>
      </w:r>
      <w:r>
        <w:t>.” [AHP, R5, Practice 20].</w:t>
      </w:r>
    </w:p>
    <w:p w14:paraId="0632485A" w14:textId="17D44CC3" w:rsidR="001246B0" w:rsidRDefault="00A12B7A" w:rsidP="00F8469A">
      <w:r>
        <w:t xml:space="preserve">A </w:t>
      </w:r>
      <w:r w:rsidR="00F8469A">
        <w:t xml:space="preserve">practice nurse, who was interviewed in the first round of interviews and subsequently left the clinic </w:t>
      </w:r>
      <w:r w:rsidR="0002675D">
        <w:t>before</w:t>
      </w:r>
      <w:r w:rsidR="00F8469A">
        <w:t xml:space="preserve"> the second round of interviews, could not think </w:t>
      </w:r>
      <w:r w:rsidR="002C36F7">
        <w:t>of</w:t>
      </w:r>
      <w:r w:rsidR="00F8469A">
        <w:t xml:space="preserve"> any specific changes at the time, but stated that HCH would bring the health care components together in a cohesive way. The nurse believed in patient</w:t>
      </w:r>
      <w:r w:rsidR="0009161E">
        <w:t>-</w:t>
      </w:r>
      <w:r w:rsidR="00F8469A">
        <w:t>centred</w:t>
      </w:r>
      <w:r w:rsidR="0075302A">
        <w:t xml:space="preserve"> </w:t>
      </w:r>
      <w:r w:rsidR="00F8469A">
        <w:t xml:space="preserve">care and was </w:t>
      </w:r>
      <w:r w:rsidR="002C36F7">
        <w:t>practising</w:t>
      </w:r>
      <w:r w:rsidR="00F8469A">
        <w:t xml:space="preserve"> it at </w:t>
      </w:r>
      <w:r w:rsidR="0009161E">
        <w:t>the clinic</w:t>
      </w:r>
      <w:r w:rsidR="008714AF">
        <w:t>, and o</w:t>
      </w:r>
      <w:r w:rsidR="00F8469A">
        <w:t xml:space="preserve">utlined the approach used to ensure patients understood what </w:t>
      </w:r>
      <w:r w:rsidR="00074480">
        <w:t xml:space="preserve">was being </w:t>
      </w:r>
      <w:r w:rsidR="00F8469A">
        <w:t xml:space="preserve">asking </w:t>
      </w:r>
      <w:r w:rsidR="00074480">
        <w:t xml:space="preserve">of </w:t>
      </w:r>
      <w:r w:rsidR="00F8469A">
        <w:t>them (</w:t>
      </w:r>
      <w:r w:rsidR="001246B0">
        <w:t xml:space="preserve">the </w:t>
      </w:r>
      <w:r w:rsidR="00F163F2">
        <w:t>“</w:t>
      </w:r>
      <w:r w:rsidR="001246B0">
        <w:t>teach back</w:t>
      </w:r>
      <w:r w:rsidR="00F163F2">
        <w:t>”</w:t>
      </w:r>
      <w:r w:rsidR="001246B0">
        <w:t xml:space="preserve"> method</w:t>
      </w:r>
      <w:r w:rsidR="00232516">
        <w:t>)</w:t>
      </w:r>
      <w:r w:rsidR="002C36F7">
        <w:t>.</w:t>
      </w:r>
      <w:r w:rsidR="00F8469A">
        <w:t xml:space="preserve"> </w:t>
      </w:r>
      <w:r w:rsidR="00C06415">
        <w:t>The</w:t>
      </w:r>
      <w:r w:rsidR="006D4E20">
        <w:t xml:space="preserve"> nurse </w:t>
      </w:r>
      <w:r w:rsidR="00F8469A">
        <w:t xml:space="preserve">described one </w:t>
      </w:r>
      <w:r w:rsidR="0004563A">
        <w:t xml:space="preserve">example where a </w:t>
      </w:r>
      <w:r w:rsidR="00F8469A">
        <w:t xml:space="preserve">patient </w:t>
      </w:r>
      <w:r w:rsidR="0004563A">
        <w:t>bec</w:t>
      </w:r>
      <w:r w:rsidR="002C36F7">
        <w:t>a</w:t>
      </w:r>
      <w:r w:rsidR="0004563A">
        <w:t xml:space="preserve">me </w:t>
      </w:r>
      <w:r w:rsidR="00F8469A">
        <w:t>more confident and self-sufficient, and less reliant on the clinic</w:t>
      </w:r>
      <w:r w:rsidR="002C36F7">
        <w:t>:</w:t>
      </w:r>
    </w:p>
    <w:p w14:paraId="0EBE9B5C" w14:textId="4EB74F8B" w:rsidR="004274BE" w:rsidRDefault="004274BE" w:rsidP="004274BE">
      <w:pPr>
        <w:ind w:left="567" w:right="521"/>
      </w:pPr>
      <w:r>
        <w:t>“</w:t>
      </w:r>
      <w:r w:rsidR="00F8469A" w:rsidRPr="004274BE">
        <w:rPr>
          <w:i/>
          <w:iCs/>
        </w:rPr>
        <w:t>You need to goal set with them. Achievable goals. SMART goals rather than set goals for them</w:t>
      </w:r>
      <w:r w:rsidR="00F8469A">
        <w:t xml:space="preserve">.” [Nurse, R4, Practice 20]. </w:t>
      </w:r>
    </w:p>
    <w:p w14:paraId="40CCDD7E" w14:textId="17C6896A" w:rsidR="00F8469A" w:rsidRDefault="00431291" w:rsidP="00F8469A">
      <w:r>
        <w:t>The staff at the clinic believed that p</w:t>
      </w:r>
      <w:r w:rsidR="00F8469A">
        <w:t>atients ha</w:t>
      </w:r>
      <w:r w:rsidR="002C36F7">
        <w:t>d</w:t>
      </w:r>
      <w:r w:rsidR="00F8469A">
        <w:t xml:space="preserve"> good access to service</w:t>
      </w:r>
      <w:r w:rsidR="009D3B82">
        <w:t>s at the clinic</w:t>
      </w:r>
      <w:r w:rsidR="00F8469A">
        <w:t xml:space="preserve">. </w:t>
      </w:r>
      <w:r w:rsidR="009B423E">
        <w:t>Patient</w:t>
      </w:r>
      <w:r w:rsidR="009D3B82">
        <w:t>s</w:t>
      </w:r>
      <w:r w:rsidR="009B423E">
        <w:t xml:space="preserve"> </w:t>
      </w:r>
      <w:r w:rsidR="009D3B82">
        <w:t>were booked to see</w:t>
      </w:r>
      <w:r w:rsidR="00F8469A">
        <w:t xml:space="preserve"> specialists or other </w:t>
      </w:r>
      <w:r w:rsidR="009D3B82">
        <w:t xml:space="preserve">visiting </w:t>
      </w:r>
      <w:r w:rsidR="00F8469A">
        <w:t>health professionals</w:t>
      </w:r>
      <w:r w:rsidR="009D3B82">
        <w:t>,</w:t>
      </w:r>
      <w:r w:rsidR="00F8469A">
        <w:t xml:space="preserve"> but they </w:t>
      </w:r>
      <w:r w:rsidR="002C36F7">
        <w:t>could</w:t>
      </w:r>
      <w:r w:rsidR="00F8469A">
        <w:t xml:space="preserve"> turn up any time to see someone at the clinic.</w:t>
      </w:r>
      <w:r w:rsidR="00A561EE">
        <w:t xml:space="preserve"> </w:t>
      </w:r>
      <w:r w:rsidR="00F8469A">
        <w:t>If a patient c</w:t>
      </w:r>
      <w:r w:rsidR="002C36F7">
        <w:t>ame</w:t>
      </w:r>
      <w:r w:rsidR="00F8469A">
        <w:t xml:space="preserve"> to the clinic for a</w:t>
      </w:r>
      <w:r w:rsidR="009D3B82">
        <w:t xml:space="preserve"> booked</w:t>
      </w:r>
      <w:r w:rsidR="00F8469A">
        <w:t xml:space="preserve"> appointment, </w:t>
      </w:r>
      <w:r w:rsidR="002C36F7">
        <w:t>staff</w:t>
      </w:r>
      <w:r w:rsidR="00F8469A">
        <w:t xml:space="preserve"> attempt</w:t>
      </w:r>
      <w:r w:rsidR="002C36F7">
        <w:t>ed</w:t>
      </w:r>
      <w:r w:rsidR="00F8469A">
        <w:t xml:space="preserve"> to get the patient to see other healthcare </w:t>
      </w:r>
      <w:r w:rsidR="009D3B82">
        <w:t>professionals</w:t>
      </w:r>
      <w:r w:rsidR="00F8469A">
        <w:t xml:space="preserve"> at the same time. For example, while the HPA team was conducting the first round of interviews, patients were coming to the clinic to see a podiatrist who was visiting the clinic and staff encouraged patient</w:t>
      </w:r>
      <w:r w:rsidR="009D3B82">
        <w:t>s to</w:t>
      </w:r>
      <w:r w:rsidR="00F8469A">
        <w:t xml:space="preserve"> see the GP and the nurse while they were there.</w:t>
      </w:r>
      <w:r w:rsidR="00A561EE">
        <w:t xml:space="preserve"> </w:t>
      </w:r>
      <w:r w:rsidR="00F8469A">
        <w:t>The nurse believed that access to allied health workers had improved since the introduction of HCH.</w:t>
      </w:r>
    </w:p>
    <w:p w14:paraId="55356E2C" w14:textId="3D32C2E2" w:rsidR="00C86BF3" w:rsidRDefault="007229C3" w:rsidP="00F8469A">
      <w:r>
        <w:t xml:space="preserve">A </w:t>
      </w:r>
      <w:r w:rsidR="00F8469A">
        <w:t xml:space="preserve">new clinic coordinator felt that HCH patients were monitored more closely, which, in turn, improved continuity of care. </w:t>
      </w:r>
      <w:r w:rsidR="00C06415">
        <w:t>They</w:t>
      </w:r>
      <w:r w:rsidR="00F8469A">
        <w:t xml:space="preserve"> highlighted enhanced follow up, referral and care planning processes as things that had improved patient management. </w:t>
      </w:r>
      <w:r w:rsidR="00C06415">
        <w:t>They</w:t>
      </w:r>
      <w:r w:rsidR="00F8469A">
        <w:t xml:space="preserve"> felt that HCH patients a </w:t>
      </w:r>
      <w:r w:rsidR="00F8469A">
        <w:lastRenderedPageBreak/>
        <w:t xml:space="preserve">generally </w:t>
      </w:r>
      <w:r w:rsidR="009D3B82">
        <w:t xml:space="preserve">had </w:t>
      </w:r>
      <w:r w:rsidR="00F8469A">
        <w:t xml:space="preserve">better understanding of their health and how to manage their conditions </w:t>
      </w:r>
      <w:r w:rsidR="00E602FD">
        <w:t>compared with</w:t>
      </w:r>
      <w:r w:rsidR="00F8469A">
        <w:t xml:space="preserve"> </w:t>
      </w:r>
      <w:r w:rsidR="009D3B82">
        <w:t>other</w:t>
      </w:r>
      <w:r w:rsidR="00F8469A">
        <w:t xml:space="preserve"> patients. </w:t>
      </w:r>
    </w:p>
    <w:p w14:paraId="3FC3D078" w14:textId="67777E0F" w:rsidR="00535FEE" w:rsidRDefault="00F8469A" w:rsidP="00F8469A">
      <w:r>
        <w:t xml:space="preserve">While the GP felt that the clinic was already delivering care to chronic disease patients based on a model similar to HCH, </w:t>
      </w:r>
      <w:r w:rsidR="000D2243">
        <w:t>t</w:t>
      </w:r>
      <w:r w:rsidR="00CF005C">
        <w:t>he</w:t>
      </w:r>
      <w:r w:rsidR="000D2243">
        <w:t>y</w:t>
      </w:r>
      <w:r>
        <w:t xml:space="preserve"> felt that the biggest benefit of the program had been the improvement </w:t>
      </w:r>
      <w:r w:rsidR="009D3B82">
        <w:t>in</w:t>
      </w:r>
      <w:r>
        <w:t xml:space="preserve"> care planning processes. This resulted in updated care plans that were more detailed and provided a better source of information for other health professionals who were assisting with HCH patients’ care. Many visiting health professionals, including allied health, may not know a patient or be intimately familiar with their condition(s); therefore, these care plans allowed staff to provide other clinicians with a holistic view of HCH patients in a timely and efficient manner. As a result, the G</w:t>
      </w:r>
      <w:r w:rsidR="00C86BF3">
        <w:t>P</w:t>
      </w:r>
      <w:r>
        <w:t xml:space="preserve"> felt HCH clients</w:t>
      </w:r>
      <w:r w:rsidR="00535FEE">
        <w:t>:</w:t>
      </w:r>
    </w:p>
    <w:p w14:paraId="0E59F8A1" w14:textId="19710B07" w:rsidR="00F8469A" w:rsidRDefault="00535FEE" w:rsidP="00535FEE">
      <w:pPr>
        <w:ind w:left="567" w:right="521"/>
      </w:pPr>
      <w:r>
        <w:t>“…</w:t>
      </w:r>
      <w:r w:rsidR="00F8469A" w:rsidRPr="00535FEE">
        <w:rPr>
          <w:i/>
          <w:iCs/>
        </w:rPr>
        <w:t>are getting a better service because people are more informed about them than they were before</w:t>
      </w:r>
      <w:r w:rsidR="00F8469A">
        <w:t>…” [GP, Practice 20, R5].</w:t>
      </w:r>
    </w:p>
    <w:p w14:paraId="2CA3E167" w14:textId="45182D39" w:rsidR="00F8469A" w:rsidRDefault="00F8469A" w:rsidP="00F8469A">
      <w:r>
        <w:t xml:space="preserve">The GP and the </w:t>
      </w:r>
      <w:r w:rsidR="00535FEE">
        <w:t xml:space="preserve">medical director </w:t>
      </w:r>
      <w:r>
        <w:t xml:space="preserve">discussed the benefits of the flexible program funding arrangements. The </w:t>
      </w:r>
      <w:r w:rsidR="00535FEE">
        <w:t xml:space="preserve">medical director </w:t>
      </w:r>
      <w:r>
        <w:t xml:space="preserve">cited this as the main benefit of HCH as it provided </w:t>
      </w:r>
      <w:r w:rsidR="00535FEE">
        <w:t>the health service</w:t>
      </w:r>
      <w:r>
        <w:t xml:space="preserve"> certainty of income and enabled staff to get paid for a</w:t>
      </w:r>
      <w:r w:rsidR="00F841B9">
        <w:t>fter-</w:t>
      </w:r>
      <w:r>
        <w:t xml:space="preserve">hours work that </w:t>
      </w:r>
      <w:r w:rsidR="009D3B82">
        <w:t>they believed was</w:t>
      </w:r>
      <w:r>
        <w:t xml:space="preserve"> not supported under Medicare. Both </w:t>
      </w:r>
      <w:r w:rsidR="009D3B82">
        <w:t>had</w:t>
      </w:r>
      <w:r>
        <w:t xml:space="preserve"> concerns about the end of the trial and how they would continue to provide this level of care to their </w:t>
      </w:r>
      <w:r w:rsidR="009D3B82">
        <w:t xml:space="preserve">patients with </w:t>
      </w:r>
      <w:r>
        <w:t xml:space="preserve">chronic disease without </w:t>
      </w:r>
      <w:r w:rsidR="001C535E">
        <w:t xml:space="preserve">the </w:t>
      </w:r>
      <w:r w:rsidR="00414B97">
        <w:t>b</w:t>
      </w:r>
      <w:r w:rsidR="00FB7442">
        <w:t>u</w:t>
      </w:r>
      <w:r w:rsidR="00414B97">
        <w:t xml:space="preserve">ndled </w:t>
      </w:r>
      <w:r w:rsidR="00FB7442">
        <w:t>payment</w:t>
      </w:r>
      <w:r>
        <w:t xml:space="preserve">. The </w:t>
      </w:r>
      <w:r w:rsidR="006133EC">
        <w:t xml:space="preserve">medical director </w:t>
      </w:r>
      <w:r>
        <w:t>described the HCH funding model as:</w:t>
      </w:r>
    </w:p>
    <w:p w14:paraId="260AE6A4" w14:textId="77777777" w:rsidR="00F8469A" w:rsidRDefault="00F8469A" w:rsidP="00F8469A">
      <w:pPr>
        <w:ind w:left="567" w:right="521"/>
      </w:pPr>
      <w:r>
        <w:t>“…</w:t>
      </w:r>
      <w:r w:rsidRPr="00535FEE">
        <w:rPr>
          <w:i/>
          <w:iCs/>
        </w:rPr>
        <w:t>ideal for regional and remote and it’s a way for us to actually be funded for all the work we already do on the ground and don’t ever get paid for</w:t>
      </w:r>
      <w:r>
        <w:t>.” [Medical Director, R5, Practice 20]</w:t>
      </w:r>
    </w:p>
    <w:p w14:paraId="237BD45B" w14:textId="08B76830" w:rsidR="0078668A" w:rsidRDefault="005B363F" w:rsidP="00F8469A">
      <w:r>
        <w:t>T</w:t>
      </w:r>
      <w:r w:rsidR="00F8469A">
        <w:t xml:space="preserve">he GP </w:t>
      </w:r>
      <w:r>
        <w:t>observed</w:t>
      </w:r>
      <w:r w:rsidR="00F8469A">
        <w:t xml:space="preserve"> improvements in the health of some HCH patients</w:t>
      </w:r>
      <w:r>
        <w:t xml:space="preserve"> over the course of the trial</w:t>
      </w:r>
      <w:r w:rsidR="00F8469A">
        <w:t>, particularly patients</w:t>
      </w:r>
      <w:r>
        <w:t xml:space="preserve"> with diabetes</w:t>
      </w:r>
      <w:r w:rsidR="00F8469A">
        <w:t xml:space="preserve">, but felt that this was a result of better management, </w:t>
      </w:r>
      <w:r>
        <w:t>rather than</w:t>
      </w:r>
      <w:r w:rsidR="00F8469A">
        <w:t xml:space="preserve"> improved patient activation. </w:t>
      </w:r>
      <w:r w:rsidR="00C06415">
        <w:t>They</w:t>
      </w:r>
      <w:r w:rsidR="00F61811">
        <w:t xml:space="preserve"> </w:t>
      </w:r>
      <w:r w:rsidR="00F8469A">
        <w:t xml:space="preserve">stated that patient activation comes from the patient, and that HCH has not changed that. </w:t>
      </w:r>
      <w:r w:rsidR="00C06415">
        <w:t>They</w:t>
      </w:r>
      <w:r w:rsidR="00F8469A">
        <w:t xml:space="preserve"> did not believe that the way </w:t>
      </w:r>
      <w:r w:rsidR="00C06415">
        <w:t>they</w:t>
      </w:r>
      <w:r w:rsidR="008A5A37">
        <w:t xml:space="preserve"> spoke</w:t>
      </w:r>
      <w:r w:rsidR="00F8469A">
        <w:t xml:space="preserve"> to or interact</w:t>
      </w:r>
      <w:r w:rsidR="008A5A37">
        <w:t>ed</w:t>
      </w:r>
      <w:r w:rsidR="00F8469A">
        <w:t xml:space="preserve"> with </w:t>
      </w:r>
      <w:r w:rsidR="00C06415">
        <w:t>their</w:t>
      </w:r>
      <w:r w:rsidR="00F8469A">
        <w:t xml:space="preserve"> patients has changed </w:t>
      </w:r>
      <w:r w:rsidR="00C06415">
        <w:t>because</w:t>
      </w:r>
      <w:r w:rsidR="00F8469A">
        <w:t xml:space="preserve"> of HCH. </w:t>
      </w:r>
      <w:r w:rsidR="00C06415">
        <w:t>They</w:t>
      </w:r>
      <w:r w:rsidR="00F8469A">
        <w:t xml:space="preserve"> did state that some of </w:t>
      </w:r>
      <w:r w:rsidR="00C06415">
        <w:t>their</w:t>
      </w:r>
      <w:r w:rsidR="00F8469A">
        <w:t xml:space="preserve"> patients experiencing positive health outcomes are excited about these results which, in turn, increased their involvement and overall positivity as it relate</w:t>
      </w:r>
      <w:r w:rsidR="00BA3B41">
        <w:t>s</w:t>
      </w:r>
      <w:r w:rsidR="00F8469A">
        <w:t xml:space="preserve"> to managing their conditions. Ultimately, </w:t>
      </w:r>
      <w:r w:rsidR="00C06415">
        <w:t>they</w:t>
      </w:r>
      <w:r w:rsidR="00F8469A">
        <w:t xml:space="preserve"> noted that changing peoples’ behaviour is a slow process that does not happen in a short period of time.</w:t>
      </w:r>
    </w:p>
    <w:p w14:paraId="1ADE9745" w14:textId="73E88E32" w:rsidR="0078668A" w:rsidRPr="009C4FF2" w:rsidRDefault="0078668A" w:rsidP="0078668A">
      <w:r w:rsidRPr="00EC78F9">
        <w:t xml:space="preserve">Clinical staff and management at the </w:t>
      </w:r>
      <w:r w:rsidR="00EC78F9" w:rsidRPr="00EC78F9">
        <w:t>second</w:t>
      </w:r>
      <w:r w:rsidRPr="00EC78F9">
        <w:t xml:space="preserve"> case study site commented that the comprehensive shared care plan was useful for health staff to document the more complex patients:</w:t>
      </w:r>
    </w:p>
    <w:p w14:paraId="685DEC95" w14:textId="77777777" w:rsidR="0078668A" w:rsidRPr="009C4FF2" w:rsidRDefault="0078668A" w:rsidP="0078668A">
      <w:pPr>
        <w:ind w:left="567" w:right="521"/>
        <w:rPr>
          <w:i/>
        </w:rPr>
      </w:pPr>
      <w:r w:rsidRPr="002C70ED">
        <w:rPr>
          <w:i/>
          <w:iCs/>
        </w:rPr>
        <w:t>“</w:t>
      </w:r>
      <w:r w:rsidRPr="009C4FF2">
        <w:t>…</w:t>
      </w:r>
      <w:r w:rsidRPr="009C4FF2">
        <w:rPr>
          <w:i/>
        </w:rPr>
        <w:t xml:space="preserve">we often use our </w:t>
      </w:r>
      <w:r w:rsidRPr="00100E90">
        <w:rPr>
          <w:i/>
        </w:rPr>
        <w:t>care plans as a running summary of what area needs focus on in the next few months, which I think is helpful to staff coming in, not knowing patient’s background.</w:t>
      </w:r>
      <w:r>
        <w:rPr>
          <w:i/>
        </w:rPr>
        <w:t>”</w:t>
      </w:r>
      <w:r w:rsidRPr="00100E90">
        <w:rPr>
          <w:i/>
        </w:rPr>
        <w:t xml:space="preserve"> [GP, </w:t>
      </w:r>
      <w:r w:rsidRPr="00153E29">
        <w:rPr>
          <w:i/>
        </w:rPr>
        <w:t>Practice 19,</w:t>
      </w:r>
      <w:r>
        <w:rPr>
          <w:i/>
        </w:rPr>
        <w:t xml:space="preserve"> R5</w:t>
      </w:r>
      <w:r w:rsidRPr="00100E90">
        <w:rPr>
          <w:i/>
        </w:rPr>
        <w:t>]</w:t>
      </w:r>
    </w:p>
    <w:p w14:paraId="764A0B02" w14:textId="65EFD54B" w:rsidR="0078668A" w:rsidRPr="009C4FF2" w:rsidRDefault="0078668A" w:rsidP="0078668A">
      <w:r w:rsidRPr="009C4FF2">
        <w:t xml:space="preserve">In addition, the </w:t>
      </w:r>
      <w:r w:rsidR="0055658F">
        <w:t>twice-yearly</w:t>
      </w:r>
      <w:r w:rsidRPr="009C4FF2">
        <w:t xml:space="preserve"> audits provide</w:t>
      </w:r>
      <w:r>
        <w:t>d</w:t>
      </w:r>
      <w:r w:rsidRPr="009C4FF2">
        <w:t xml:space="preserve"> a framework to ensure everyone is followed up</w:t>
      </w:r>
      <w:r>
        <w:t xml:space="preserve">. This was </w:t>
      </w:r>
      <w:r w:rsidRPr="009C4FF2">
        <w:t>considered useful and did not significantly add to day</w:t>
      </w:r>
      <w:r>
        <w:t>-</w:t>
      </w:r>
      <w:r w:rsidRPr="009C4FF2">
        <w:t>to</w:t>
      </w:r>
      <w:r>
        <w:t>-</w:t>
      </w:r>
      <w:r w:rsidRPr="009C4FF2">
        <w:t>day work</w:t>
      </w:r>
      <w:r>
        <w:t xml:space="preserve">, which was important with staff </w:t>
      </w:r>
      <w:r w:rsidRPr="009C4FF2">
        <w:t>shortages.</w:t>
      </w:r>
      <w:r w:rsidR="00A561EE">
        <w:t xml:space="preserve"> </w:t>
      </w:r>
    </w:p>
    <w:p w14:paraId="54D665FE" w14:textId="2961DA77" w:rsidR="00663166" w:rsidRDefault="00B73432" w:rsidP="00B73432">
      <w:r>
        <w:lastRenderedPageBreak/>
        <w:t>GPs</w:t>
      </w:r>
      <w:r w:rsidR="001B4CEB">
        <w:t xml:space="preserve"> at </w:t>
      </w:r>
      <w:r w:rsidR="008359BC">
        <w:t>this</w:t>
      </w:r>
      <w:r w:rsidR="00316B4A">
        <w:t xml:space="preserve"> site</w:t>
      </w:r>
      <w:r>
        <w:t xml:space="preserve"> reflected that once the HCH program was </w:t>
      </w:r>
      <w:r w:rsidRPr="00385534">
        <w:t>up and running</w:t>
      </w:r>
      <w:r>
        <w:t xml:space="preserve">, there was minimal additional work. From </w:t>
      </w:r>
      <w:r w:rsidR="0078668A">
        <w:t>their</w:t>
      </w:r>
      <w:r>
        <w:t xml:space="preserve"> perspective</w:t>
      </w:r>
      <w:r w:rsidR="001B4CEB">
        <w:t>,</w:t>
      </w:r>
      <w:r>
        <w:t xml:space="preserve"> getting paid for </w:t>
      </w:r>
      <w:r w:rsidR="008F2976">
        <w:t xml:space="preserve">the </w:t>
      </w:r>
      <w:r>
        <w:t>administrative work they were already doing but could not claim</w:t>
      </w:r>
      <w:r w:rsidR="00B04101">
        <w:t xml:space="preserve"> under fee-for-service</w:t>
      </w:r>
      <w:r>
        <w:t xml:space="preserve"> was a strength of the program. </w:t>
      </w:r>
    </w:p>
    <w:p w14:paraId="7C930222" w14:textId="1F64468F" w:rsidR="00315B86" w:rsidRPr="00F3089E" w:rsidRDefault="00B73432" w:rsidP="00F3089E">
      <w:r w:rsidRPr="008E744A">
        <w:t xml:space="preserve">The additional resources allowed the </w:t>
      </w:r>
      <w:r w:rsidR="00660C72" w:rsidRPr="008E744A">
        <w:t xml:space="preserve">medical director </w:t>
      </w:r>
      <w:r w:rsidRPr="008E744A">
        <w:t>to advocate for a new diabetes program</w:t>
      </w:r>
      <w:r w:rsidR="00663166" w:rsidRPr="008E744A">
        <w:t>. It was observed that</w:t>
      </w:r>
      <w:r w:rsidRPr="008E744A">
        <w:t xml:space="preserve"> although HCH focused on innovation, </w:t>
      </w:r>
      <w:r w:rsidR="00E74C5B" w:rsidRPr="008E744A">
        <w:t xml:space="preserve">often simple </w:t>
      </w:r>
      <w:r w:rsidR="008E744A" w:rsidRPr="008E744A">
        <w:t>initiatives such as</w:t>
      </w:r>
      <w:r w:rsidRPr="008E744A">
        <w:t xml:space="preserve"> exercise and committing health resources (such as facilities) to support exercise</w:t>
      </w:r>
      <w:r w:rsidR="008E744A" w:rsidRPr="008E744A">
        <w:t xml:space="preserve"> could make a big difference.</w:t>
      </w:r>
    </w:p>
    <w:p w14:paraId="45920A1D" w14:textId="77777777" w:rsidR="00145A08" w:rsidRPr="00145A08" w:rsidRDefault="00145A08" w:rsidP="002F5D82">
      <w:pPr>
        <w:pStyle w:val="Heading2"/>
        <w:rPr>
          <w:rFonts w:eastAsiaTheme="majorEastAsia"/>
        </w:rPr>
      </w:pPr>
      <w:bookmarkStart w:id="243" w:name="_Toc58256884"/>
      <w:bookmarkStart w:id="244" w:name="_Toc109996698"/>
      <w:r w:rsidRPr="00145A08">
        <w:rPr>
          <w:rFonts w:eastAsiaTheme="majorEastAsia"/>
        </w:rPr>
        <w:t>Implementation enablers and barriers</w:t>
      </w:r>
      <w:bookmarkEnd w:id="243"/>
      <w:bookmarkEnd w:id="244"/>
      <w:r w:rsidRPr="00145A08">
        <w:rPr>
          <w:rFonts w:eastAsiaTheme="majorEastAsia"/>
        </w:rPr>
        <w:t xml:space="preserve"> </w:t>
      </w:r>
    </w:p>
    <w:p w14:paraId="4B82128D" w14:textId="29EEE9A0" w:rsidR="00161EED" w:rsidRDefault="00C256D2" w:rsidP="00C256D2">
      <w:pPr>
        <w:pStyle w:val="Heading3"/>
      </w:pPr>
      <w:r>
        <w:t xml:space="preserve">During the </w:t>
      </w:r>
      <w:r w:rsidR="00EE63D2">
        <w:t>enrolment phase</w:t>
      </w:r>
    </w:p>
    <w:p w14:paraId="0E9ACE9C" w14:textId="117037D9" w:rsidR="00145A08" w:rsidRPr="00145A08" w:rsidRDefault="000F28D0" w:rsidP="00145A08">
      <w:r>
        <w:t>One</w:t>
      </w:r>
      <w:r w:rsidR="00145A08" w:rsidRPr="00145A08">
        <w:t xml:space="preserve"> </w:t>
      </w:r>
      <w:r w:rsidR="0055658F">
        <w:t>of the</w:t>
      </w:r>
      <w:r w:rsidR="00145A08" w:rsidRPr="00145A08">
        <w:t xml:space="preserve"> case study site identified their ACCHS structure as a key enabler. Senior staff in the ACCHS championed the model in the first instance and facilitated its trial in the clinic, supporting the implementation when the challenges arose requiring an extensive investment of labour (such as IT implementation). The ACCHS also provided a lot of practical support along the way, for example, understanding of billing and help with this.</w:t>
      </w:r>
    </w:p>
    <w:p w14:paraId="63F4E281" w14:textId="77777777" w:rsidR="00145A08" w:rsidRPr="00145A08" w:rsidRDefault="00145A08" w:rsidP="00145A08">
      <w:r w:rsidRPr="00145A08">
        <w:t xml:space="preserve">The site also identified the community and the strong relationships the clinic staff have with patients as an enabler, which meant it was relatively easy to enrol patients for the trial. </w:t>
      </w:r>
    </w:p>
    <w:p w14:paraId="44A252AB" w14:textId="77777777" w:rsidR="00145A08" w:rsidRPr="00145A08" w:rsidRDefault="00145A08" w:rsidP="00145A08">
      <w:r w:rsidRPr="00145A08">
        <w:t xml:space="preserve">The same organisational structure that supported implementation was also identified as a potential barrier to introducing new approaches. That is, individual clinics and their boards have the final say as to whether they would participate in the trial. In some instances, it was difficult to convince them to participate in the HCH trial. </w:t>
      </w:r>
    </w:p>
    <w:p w14:paraId="224A41DD" w14:textId="19AE11DF" w:rsidR="00145A08" w:rsidRDefault="00145A08" w:rsidP="00145A08">
      <w:r w:rsidRPr="00145A08">
        <w:t xml:space="preserve">As with other sites around Australia, staff of ACCHS clinics found it difficult to explain the model to patients and how it would benefit them. This was especially a problem with ACCHS clinics and other practices that were already using a chronic disease management approach similar to the HCH model. </w:t>
      </w:r>
      <w:r w:rsidR="00781A22">
        <w:t>The services reported that s</w:t>
      </w:r>
      <w:r w:rsidRPr="00145A08">
        <w:t>ome patients were concerned that things might change.</w:t>
      </w:r>
    </w:p>
    <w:p w14:paraId="15CD89AA" w14:textId="66CAAEDF" w:rsidR="00145A08" w:rsidRPr="00145A08" w:rsidRDefault="006724D7" w:rsidP="00145A08">
      <w:r>
        <w:t>One of the</w:t>
      </w:r>
      <w:r w:rsidR="00145A08" w:rsidRPr="00145A08">
        <w:t xml:space="preserve"> site</w:t>
      </w:r>
      <w:r>
        <w:t>s</w:t>
      </w:r>
      <w:r w:rsidR="00145A08" w:rsidRPr="00145A08">
        <w:t xml:space="preserve"> reported that software issues were also a large barrier in the early stages of the trial. These issues often took an extensive amount of effort, funding and commitment to address. Other practical issues clinics had difficulty with were understanding billing, for example, what services would form part of the bundled payment for a patient, and what could be billed separately.</w:t>
      </w:r>
    </w:p>
    <w:p w14:paraId="0926F216" w14:textId="058BB911" w:rsidR="00145A08" w:rsidRPr="00145A08" w:rsidRDefault="00CD058E" w:rsidP="00145A08">
      <w:r>
        <w:t>Clinic staff commented that</w:t>
      </w:r>
      <w:r w:rsidR="00145A08" w:rsidRPr="00145A08">
        <w:t xml:space="preserve"> innovations that may be appropriate in other settings do not </w:t>
      </w:r>
      <w:r>
        <w:t xml:space="preserve">necessarily </w:t>
      </w:r>
      <w:r w:rsidR="00145A08" w:rsidRPr="00145A08">
        <w:t xml:space="preserve">work in a remote context. For example, group </w:t>
      </w:r>
      <w:r>
        <w:t>sessions with patients are</w:t>
      </w:r>
      <w:r w:rsidR="00145A08" w:rsidRPr="00145A08">
        <w:t xml:space="preserve"> rarely appropriate. This is due to issues of confidentiality and privacy, which are critical to manage in a small community, coupled with long-standing issues between different family groups. Therefore, services need to find alternative methods of educating people living in this environmental context. </w:t>
      </w:r>
    </w:p>
    <w:p w14:paraId="3621F9BA" w14:textId="3B7B3AE8" w:rsidR="00145A08" w:rsidRPr="00145A08" w:rsidRDefault="00145A08" w:rsidP="00145A08">
      <w:r w:rsidRPr="00145A08">
        <w:t xml:space="preserve">The two case study sites found it difficult to share care with care providers not employed by the ACCHS. For example, they found it hard to get feedback from specialists, and discharge summaries from specialists and other providers </w:t>
      </w:r>
      <w:r w:rsidR="00CD058E">
        <w:t>were</w:t>
      </w:r>
      <w:r w:rsidRPr="00145A08">
        <w:t xml:space="preserve"> often inconsistent.</w:t>
      </w:r>
    </w:p>
    <w:p w14:paraId="50763634" w14:textId="702CF992" w:rsidR="00145A08" w:rsidRPr="00145A08" w:rsidRDefault="00145A08" w:rsidP="00145A08">
      <w:r w:rsidRPr="00145A08">
        <w:lastRenderedPageBreak/>
        <w:t xml:space="preserve">Access to staff and other services to follow through with care plans was also more complicated for the ACCHS clinics. For example, </w:t>
      </w:r>
      <w:r w:rsidR="00CD058E">
        <w:t>they commented that</w:t>
      </w:r>
      <w:r w:rsidRPr="00145A08">
        <w:t xml:space="preserve"> it is often difficult to access particular sorts of specialists in remote communities, as well as aged care and disability services (plus distinguishing between the two).</w:t>
      </w:r>
    </w:p>
    <w:p w14:paraId="78E69134" w14:textId="688563B9" w:rsidR="00C256D2" w:rsidRDefault="00C256D2" w:rsidP="00EE63D2">
      <w:pPr>
        <w:pStyle w:val="Heading3"/>
      </w:pPr>
      <w:r>
        <w:t xml:space="preserve">Post patient </w:t>
      </w:r>
      <w:r w:rsidR="00EE63D2">
        <w:t>enrolment</w:t>
      </w:r>
    </w:p>
    <w:p w14:paraId="101DD9DC" w14:textId="04E25BEE" w:rsidR="00E36B80" w:rsidRDefault="00002844" w:rsidP="00623995">
      <w:r>
        <w:t xml:space="preserve">In the post patient enrolment period, </w:t>
      </w:r>
      <w:r w:rsidRPr="00145A08">
        <w:t xml:space="preserve">strong relationships </w:t>
      </w:r>
      <w:r w:rsidR="00E36B80">
        <w:t>facilitated ongoing HCH work.</w:t>
      </w:r>
      <w:r w:rsidR="00623995">
        <w:t xml:space="preserve"> It was observed that c</w:t>
      </w:r>
      <w:r w:rsidR="00E36B80">
        <w:t xml:space="preserve">ommunities with a higher reliance on </w:t>
      </w:r>
      <w:r w:rsidR="00623995">
        <w:t>fly-in-fly-out</w:t>
      </w:r>
      <w:r w:rsidR="00E36B80">
        <w:t xml:space="preserve"> staff </w:t>
      </w:r>
      <w:r w:rsidR="00CD058E">
        <w:t>would</w:t>
      </w:r>
      <w:r w:rsidR="00E36B80">
        <w:t xml:space="preserve"> find HCH challenging</w:t>
      </w:r>
      <w:r w:rsidR="003E20A4">
        <w:t xml:space="preserve"> to implement</w:t>
      </w:r>
      <w:r w:rsidR="00E36B80">
        <w:t>.</w:t>
      </w:r>
    </w:p>
    <w:p w14:paraId="643B936D" w14:textId="29AADC76" w:rsidR="00E36B80" w:rsidRDefault="00E36B80" w:rsidP="00E36B80">
      <w:pPr>
        <w:tabs>
          <w:tab w:val="left" w:pos="4980"/>
        </w:tabs>
      </w:pPr>
      <w:r>
        <w:t>Other post</w:t>
      </w:r>
      <w:r w:rsidR="0032518C">
        <w:t>-</w:t>
      </w:r>
      <w:r w:rsidR="00E82196">
        <w:t>enrolment</w:t>
      </w:r>
      <w:r>
        <w:t xml:space="preserve"> enablers included </w:t>
      </w:r>
      <w:r w:rsidR="00F27F09">
        <w:t xml:space="preserve">education supports. One of these was </w:t>
      </w:r>
      <w:r>
        <w:t xml:space="preserve">the </w:t>
      </w:r>
      <w:r w:rsidR="00B1449F">
        <w:t>HCH Forum hosted by the Department of Health</w:t>
      </w:r>
      <w:r w:rsidR="00BA5970">
        <w:t xml:space="preserve"> in November 2019. It was </w:t>
      </w:r>
      <w:r>
        <w:t xml:space="preserve">still being talked about </w:t>
      </w:r>
      <w:r w:rsidR="00BA5970">
        <w:t xml:space="preserve">long after the </w:t>
      </w:r>
      <w:r w:rsidR="00BA5970" w:rsidRPr="00866A39">
        <w:t xml:space="preserve">event, </w:t>
      </w:r>
      <w:r w:rsidRPr="00866A39">
        <w:t xml:space="preserve">and </w:t>
      </w:r>
      <w:r w:rsidR="00866A39" w:rsidRPr="00866A39">
        <w:t>interviewees felt that those that attended</w:t>
      </w:r>
      <w:r w:rsidRPr="00866A39">
        <w:t xml:space="preserve"> came away with ideas about how you could do something </w:t>
      </w:r>
      <w:r w:rsidR="00E82196" w:rsidRPr="00866A39">
        <w:t>different and</w:t>
      </w:r>
      <w:r w:rsidRPr="00866A39">
        <w:t xml:space="preserve"> wished they had it earlier.</w:t>
      </w:r>
      <w:r>
        <w:rPr>
          <w:i/>
        </w:rPr>
        <w:t xml:space="preserve"> </w:t>
      </w:r>
      <w:r w:rsidRPr="00866A39">
        <w:rPr>
          <w:iCs/>
        </w:rPr>
        <w:t xml:space="preserve">The </w:t>
      </w:r>
      <w:r>
        <w:t xml:space="preserve">AGPAL webinars were also considered </w:t>
      </w:r>
      <w:r w:rsidR="00866A39">
        <w:t>useful</w:t>
      </w:r>
      <w:r>
        <w:t xml:space="preserve"> although </w:t>
      </w:r>
      <w:r w:rsidR="00866A39">
        <w:t xml:space="preserve">not </w:t>
      </w:r>
      <w:r w:rsidR="00E82196">
        <w:t xml:space="preserve">frequently attended </w:t>
      </w:r>
      <w:r>
        <w:t xml:space="preserve">due to time constraints. </w:t>
      </w:r>
    </w:p>
    <w:p w14:paraId="5761E301" w14:textId="77777777" w:rsidR="007831D9" w:rsidRDefault="00186419" w:rsidP="00186419">
      <w:pPr>
        <w:rPr>
          <w:szCs w:val="20"/>
        </w:rPr>
      </w:pPr>
      <w:r>
        <w:rPr>
          <w:szCs w:val="20"/>
        </w:rPr>
        <w:t>P</w:t>
      </w:r>
      <w:r w:rsidRPr="000F5876">
        <w:rPr>
          <w:szCs w:val="20"/>
        </w:rPr>
        <w:t>atient engagement was also cited as an ongoing challenge</w:t>
      </w:r>
      <w:r>
        <w:rPr>
          <w:szCs w:val="20"/>
        </w:rPr>
        <w:t xml:space="preserve"> for the clinics</w:t>
      </w:r>
      <w:r w:rsidR="007831D9">
        <w:rPr>
          <w:szCs w:val="20"/>
        </w:rPr>
        <w:t>:</w:t>
      </w:r>
    </w:p>
    <w:p w14:paraId="7A119287" w14:textId="3575D5C0" w:rsidR="007831D9" w:rsidRDefault="00186419" w:rsidP="007831D9">
      <w:pPr>
        <w:ind w:left="567" w:right="521"/>
        <w:rPr>
          <w:szCs w:val="20"/>
        </w:rPr>
      </w:pPr>
      <w:r w:rsidRPr="000F5876">
        <w:rPr>
          <w:i/>
          <w:iCs/>
          <w:szCs w:val="20"/>
        </w:rPr>
        <w:t xml:space="preserve">“I think you could say 70% of the patients we don’t see as often as we’d like…” </w:t>
      </w:r>
      <w:r w:rsidR="00771CC0">
        <w:rPr>
          <w:szCs w:val="20"/>
        </w:rPr>
        <w:t>[</w:t>
      </w:r>
      <w:r w:rsidRPr="000F5876">
        <w:rPr>
          <w:szCs w:val="20"/>
        </w:rPr>
        <w:t>Medical Director, R5, Practice 20</w:t>
      </w:r>
      <w:r w:rsidR="00771CC0">
        <w:rPr>
          <w:szCs w:val="20"/>
        </w:rPr>
        <w:t>]</w:t>
      </w:r>
    </w:p>
    <w:p w14:paraId="28045B63" w14:textId="5D8F3991" w:rsidR="00186419" w:rsidRPr="000F5876" w:rsidRDefault="003E20A4" w:rsidP="00186419">
      <w:pPr>
        <w:rPr>
          <w:szCs w:val="20"/>
        </w:rPr>
      </w:pPr>
      <w:r>
        <w:rPr>
          <w:szCs w:val="20"/>
        </w:rPr>
        <w:t>T</w:t>
      </w:r>
      <w:r w:rsidR="00186419" w:rsidRPr="000F5876">
        <w:rPr>
          <w:szCs w:val="20"/>
        </w:rPr>
        <w:t>he medical director</w:t>
      </w:r>
      <w:r w:rsidR="00186419">
        <w:rPr>
          <w:szCs w:val="20"/>
        </w:rPr>
        <w:t xml:space="preserve"> at the first case study site</w:t>
      </w:r>
      <w:r w:rsidR="00186419" w:rsidRPr="000F5876">
        <w:rPr>
          <w:szCs w:val="20"/>
        </w:rPr>
        <w:t xml:space="preserve"> </w:t>
      </w:r>
      <w:r w:rsidR="00063F01">
        <w:rPr>
          <w:szCs w:val="20"/>
        </w:rPr>
        <w:t>identified</w:t>
      </w:r>
      <w:r w:rsidR="00186419" w:rsidRPr="000F5876">
        <w:rPr>
          <w:szCs w:val="20"/>
        </w:rPr>
        <w:t xml:space="preserve"> </w:t>
      </w:r>
      <w:r>
        <w:rPr>
          <w:szCs w:val="20"/>
        </w:rPr>
        <w:t xml:space="preserve">patient engagement </w:t>
      </w:r>
      <w:r w:rsidR="00186419" w:rsidRPr="000F5876">
        <w:rPr>
          <w:szCs w:val="20"/>
        </w:rPr>
        <w:t xml:space="preserve">as an ongoing barrier that did not improve with </w:t>
      </w:r>
      <w:r w:rsidR="00186419" w:rsidRPr="7A26A11E">
        <w:rPr>
          <w:szCs w:val="20"/>
        </w:rPr>
        <w:t xml:space="preserve">the </w:t>
      </w:r>
      <w:r w:rsidR="00186419" w:rsidRPr="000F5876">
        <w:rPr>
          <w:szCs w:val="20"/>
        </w:rPr>
        <w:t>implementation of HCH.</w:t>
      </w:r>
      <w:r w:rsidR="00186419">
        <w:rPr>
          <w:szCs w:val="20"/>
        </w:rPr>
        <w:t xml:space="preserve"> </w:t>
      </w:r>
      <w:r w:rsidR="00222A3C">
        <w:rPr>
          <w:szCs w:val="20"/>
        </w:rPr>
        <w:t>It was</w:t>
      </w:r>
      <w:r w:rsidR="00186419">
        <w:rPr>
          <w:szCs w:val="20"/>
        </w:rPr>
        <w:t xml:space="preserve"> estimated that the main GP saw </w:t>
      </w:r>
      <w:r w:rsidR="00C303B0">
        <w:rPr>
          <w:szCs w:val="20"/>
        </w:rPr>
        <w:t>their</w:t>
      </w:r>
      <w:r w:rsidR="00186419">
        <w:rPr>
          <w:szCs w:val="20"/>
        </w:rPr>
        <w:t xml:space="preserve"> tier 3 patients about three or four times in three months at most and others less than that on an ad hoc basis:</w:t>
      </w:r>
    </w:p>
    <w:p w14:paraId="4A32BA9C" w14:textId="77777777" w:rsidR="00186419" w:rsidRPr="000F5876" w:rsidRDefault="00186419" w:rsidP="00186419">
      <w:pPr>
        <w:ind w:left="567" w:right="521"/>
        <w:rPr>
          <w:szCs w:val="20"/>
        </w:rPr>
      </w:pPr>
      <w:r w:rsidRPr="000F5876">
        <w:rPr>
          <w:i/>
          <w:iCs/>
          <w:szCs w:val="20"/>
        </w:rPr>
        <w:t>“I would be surprised, and we haven’t pre-empted anyone, I would be surprised if any one of them would still know that they’re in Health Care Homes…, we definitely explained to them what it was about, and we talked to them about the care plans that we’ve developed for them. I don’t believe anyone would say I’m in Health Care Homes and therefore I should get this, this, and this.”</w:t>
      </w:r>
      <w:r w:rsidRPr="000F5876">
        <w:rPr>
          <w:szCs w:val="20"/>
        </w:rPr>
        <w:t xml:space="preserve"> [Medical Director, R5, Practice 20]</w:t>
      </w:r>
    </w:p>
    <w:p w14:paraId="29700119" w14:textId="6654F53D" w:rsidR="00E36B80" w:rsidRDefault="00E36B80" w:rsidP="00E36B80">
      <w:pPr>
        <w:widowControl w:val="0"/>
      </w:pPr>
      <w:r>
        <w:t>The transient population provided challenges</w:t>
      </w:r>
      <w:r w:rsidR="008F41C2">
        <w:t xml:space="preserve"> for </w:t>
      </w:r>
      <w:r w:rsidR="00613EF9">
        <w:t>keeping patients enrolled in the trial</w:t>
      </w:r>
      <w:r>
        <w:t xml:space="preserve">. </w:t>
      </w:r>
      <w:r w:rsidR="00613EF9">
        <w:t>P</w:t>
      </w:r>
      <w:r>
        <w:t xml:space="preserve">atients </w:t>
      </w:r>
      <w:r w:rsidR="00613EF9">
        <w:t xml:space="preserve">often </w:t>
      </w:r>
      <w:r>
        <w:t xml:space="preserve">travel to other communities and GPs were unsure at what stage to </w:t>
      </w:r>
      <w:r w:rsidR="00613EF9">
        <w:t>unenroll them</w:t>
      </w:r>
      <w:r w:rsidR="00B4317A">
        <w:t>; i</w:t>
      </w:r>
      <w:r w:rsidRPr="00D77002">
        <w:t>t was not</w:t>
      </w:r>
      <w:r w:rsidR="00B4317A">
        <w:t xml:space="preserve"> unusual for </w:t>
      </w:r>
      <w:r w:rsidR="00D93F40">
        <w:t>patients</w:t>
      </w:r>
      <w:r w:rsidR="00B4317A">
        <w:t xml:space="preserve"> to be gone for </w:t>
      </w:r>
      <w:r w:rsidR="00D93F40">
        <w:t>three</w:t>
      </w:r>
      <w:r w:rsidR="00B4317A">
        <w:t xml:space="preserve"> or six months but</w:t>
      </w:r>
      <w:r w:rsidRPr="00D77002">
        <w:t xml:space="preserve"> </w:t>
      </w:r>
      <w:r w:rsidR="00764413">
        <w:t xml:space="preserve">the clinics had no way of knowing whether they would be </w:t>
      </w:r>
      <w:r w:rsidRPr="00D77002">
        <w:t>coming back</w:t>
      </w:r>
      <w:r w:rsidR="008F41C2">
        <w:t>.</w:t>
      </w:r>
      <w:r w:rsidRPr="00D77002">
        <w:t xml:space="preserve"> </w:t>
      </w:r>
      <w:r w:rsidR="0020437B">
        <w:t xml:space="preserve">At the first case study site, </w:t>
      </w:r>
      <w:r w:rsidR="0020437B" w:rsidRPr="0020437B">
        <w:t>any patients who did not actively engage with the service were removed from the program</w:t>
      </w:r>
      <w:r w:rsidR="0020437B">
        <w:t xml:space="preserve">, although the staff didn’t state </w:t>
      </w:r>
      <w:r w:rsidR="00D427AD">
        <w:t xml:space="preserve">the time frame </w:t>
      </w:r>
      <w:r w:rsidR="003E20A4">
        <w:t>at</w:t>
      </w:r>
      <w:r w:rsidR="00D427AD">
        <w:t xml:space="preserve"> which </w:t>
      </w:r>
      <w:r w:rsidR="003E20A4">
        <w:t>this</w:t>
      </w:r>
      <w:r w:rsidR="00D427AD">
        <w:t xml:space="preserve"> would </w:t>
      </w:r>
      <w:r w:rsidR="003E20A4">
        <w:t>occur</w:t>
      </w:r>
      <w:r w:rsidR="0020437B">
        <w:t>. The second study site suggested a</w:t>
      </w:r>
      <w:r>
        <w:t xml:space="preserve">n option to pause enrolment. </w:t>
      </w:r>
    </w:p>
    <w:p w14:paraId="5B69AD82" w14:textId="77777777" w:rsidR="00FC0FA1" w:rsidRDefault="00FC0FA1">
      <w:pPr>
        <w:spacing w:after="160" w:line="259" w:lineRule="auto"/>
      </w:pPr>
      <w:r>
        <w:br w:type="page"/>
      </w:r>
    </w:p>
    <w:p w14:paraId="48E6DBB2" w14:textId="64510B23" w:rsidR="00E36B80" w:rsidRDefault="00E36B80" w:rsidP="00E36B80">
      <w:r>
        <w:lastRenderedPageBreak/>
        <w:t>Other contextual inhibitors include</w:t>
      </w:r>
      <w:r w:rsidR="003E20A4">
        <w:t>d</w:t>
      </w:r>
      <w:r>
        <w:t>:</w:t>
      </w:r>
    </w:p>
    <w:p w14:paraId="5B871DAB" w14:textId="77777777" w:rsidR="00E36B80" w:rsidRDefault="00E36B80" w:rsidP="00BB7C8D">
      <w:pPr>
        <w:pStyle w:val="ListParagraph"/>
        <w:numPr>
          <w:ilvl w:val="0"/>
          <w:numId w:val="44"/>
        </w:numPr>
        <w:ind w:left="714" w:hanging="357"/>
      </w:pPr>
      <w:r>
        <w:t>The shortage of staff and overworked GPs made shared care plan reviews a challenge.</w:t>
      </w:r>
    </w:p>
    <w:p w14:paraId="698A1970" w14:textId="18872310" w:rsidR="00E36B80" w:rsidRPr="00562E2A" w:rsidRDefault="00E36B80" w:rsidP="00BB7C8D">
      <w:pPr>
        <w:pStyle w:val="ListParagraph"/>
        <w:numPr>
          <w:ilvl w:val="0"/>
          <w:numId w:val="44"/>
        </w:numPr>
        <w:ind w:left="714" w:hanging="357"/>
        <w:rPr>
          <w:rFonts w:asciiTheme="minorHAnsi" w:hAnsiTheme="minorHAnsi"/>
        </w:rPr>
      </w:pPr>
      <w:r>
        <w:t xml:space="preserve">A question remained whether a second round of enrolments would have made a difference to counteract </w:t>
      </w:r>
      <w:r w:rsidR="00EB7879">
        <w:t>dropouts</w:t>
      </w:r>
      <w:r>
        <w:t xml:space="preserve"> and ensure there were enough people enrolled to make it financially viable.</w:t>
      </w:r>
    </w:p>
    <w:p w14:paraId="71FEC23D" w14:textId="0DADD7FF" w:rsidR="00E36B80" w:rsidRPr="00774A41" w:rsidRDefault="00E36B80" w:rsidP="00BB7C8D">
      <w:pPr>
        <w:pStyle w:val="ListParagraph"/>
        <w:numPr>
          <w:ilvl w:val="0"/>
          <w:numId w:val="44"/>
        </w:numPr>
        <w:ind w:left="714" w:hanging="357"/>
        <w:rPr>
          <w:rFonts w:asciiTheme="minorHAnsi" w:hAnsiTheme="minorHAnsi"/>
        </w:rPr>
      </w:pPr>
      <w:r>
        <w:t>IT issues continued to be a challenge</w:t>
      </w:r>
      <w:r w:rsidR="005B3FCA">
        <w:t xml:space="preserve"> for</w:t>
      </w:r>
      <w:r w:rsidR="005B3FCA" w:rsidRPr="005B3FCA">
        <w:t xml:space="preserve"> </w:t>
      </w:r>
      <w:r w:rsidR="005B3FCA">
        <w:t>telehealth</w:t>
      </w:r>
      <w:r>
        <w:t xml:space="preserve">. Patients do not have reliable access to video nor the technology. The popular </w:t>
      </w:r>
      <w:r w:rsidR="005B3FCA">
        <w:t xml:space="preserve">videoconferencing </w:t>
      </w:r>
      <w:r>
        <w:t>platform</w:t>
      </w:r>
      <w:r w:rsidR="005B3FCA">
        <w:t>s</w:t>
      </w:r>
      <w:r>
        <w:t xml:space="preserve"> lack security that would guarantee confidentiality and </w:t>
      </w:r>
      <w:r w:rsidR="003D2E25">
        <w:t>were</w:t>
      </w:r>
      <w:r>
        <w:t xml:space="preserve"> therefore not </w:t>
      </w:r>
      <w:r w:rsidR="003D2E25">
        <w:t>an</w:t>
      </w:r>
      <w:r>
        <w:t xml:space="preserve"> option. </w:t>
      </w:r>
    </w:p>
    <w:p w14:paraId="556E9538" w14:textId="77777777" w:rsidR="00E36B80" w:rsidRPr="00774A41" w:rsidRDefault="00E36B80" w:rsidP="00BB7C8D">
      <w:pPr>
        <w:pStyle w:val="ListParagraph"/>
        <w:numPr>
          <w:ilvl w:val="0"/>
          <w:numId w:val="44"/>
        </w:numPr>
        <w:ind w:left="714" w:hanging="357"/>
        <w:rPr>
          <w:rFonts w:asciiTheme="minorHAnsi" w:hAnsiTheme="minorHAnsi"/>
        </w:rPr>
      </w:pPr>
      <w:r>
        <w:t>Health literacy is a long, slow process. The focus for staff is building strong relationships with clients to ensure that people feel more comfortable to talk about what they want and need in relation to their health care.</w:t>
      </w:r>
    </w:p>
    <w:p w14:paraId="531142EE" w14:textId="07BDE828" w:rsidR="00726C4B" w:rsidRDefault="00726C4B" w:rsidP="00E36B80">
      <w:r>
        <w:t>Well into the trial c</w:t>
      </w:r>
      <w:r w:rsidR="00E36B80">
        <w:t>oncerns remain</w:t>
      </w:r>
      <w:r>
        <w:t>ed</w:t>
      </w:r>
      <w:r w:rsidR="00E36B80">
        <w:t xml:space="preserve"> around </w:t>
      </w:r>
      <w:r w:rsidR="00693834">
        <w:t xml:space="preserve">the financial viability of the model; whether it could support patients </w:t>
      </w:r>
      <w:r w:rsidR="000C3616">
        <w:t>who</w:t>
      </w:r>
      <w:r w:rsidR="00693834">
        <w:t xml:space="preserve"> had </w:t>
      </w:r>
      <w:r w:rsidR="00EB32DA">
        <w:t>almost weekly follow-ups. A</w:t>
      </w:r>
      <w:r w:rsidR="00FE63A2">
        <w:t>n a</w:t>
      </w:r>
      <w:r w:rsidR="00EB32DA">
        <w:t>dditional tier</w:t>
      </w:r>
      <w:r w:rsidR="00FE63A2">
        <w:t xml:space="preserve"> or tiers</w:t>
      </w:r>
      <w:r w:rsidR="00EB32DA">
        <w:t xml:space="preserve"> were suggested to </w:t>
      </w:r>
      <w:r w:rsidR="00FE63A2">
        <w:t>improve this.</w:t>
      </w:r>
    </w:p>
    <w:p w14:paraId="6E20B0E2" w14:textId="54F53842" w:rsidR="00E36B80" w:rsidRDefault="00E36B80" w:rsidP="00E36B80">
      <w:r>
        <w:t xml:space="preserve">Accountability emerged as a key theme from both clinical and non-clinical staff. Concerns </w:t>
      </w:r>
      <w:r w:rsidR="0057019A">
        <w:t>were</w:t>
      </w:r>
      <w:r>
        <w:t xml:space="preserve"> that urban GPs</w:t>
      </w:r>
      <w:r w:rsidR="00670EBA">
        <w:t xml:space="preserve"> could</w:t>
      </w:r>
      <w:r>
        <w:t xml:space="preserve"> bill for care plans</w:t>
      </w:r>
      <w:r w:rsidR="00670EBA">
        <w:t xml:space="preserve"> but there was no accountability that </w:t>
      </w:r>
      <w:r w:rsidR="0057019A">
        <w:t>a plan was</w:t>
      </w:r>
      <w:r w:rsidR="00670EBA">
        <w:t xml:space="preserve"> </w:t>
      </w:r>
      <w:r w:rsidR="00C048C9">
        <w:t>developed</w:t>
      </w:r>
      <w:r>
        <w:t>.</w:t>
      </w:r>
      <w:r w:rsidR="00C048C9">
        <w:t xml:space="preserve"> </w:t>
      </w:r>
      <w:r w:rsidR="0057019A">
        <w:t xml:space="preserve">Staff were </w:t>
      </w:r>
      <w:r>
        <w:t xml:space="preserve">also </w:t>
      </w:r>
      <w:r w:rsidR="0057019A">
        <w:t>concerned</w:t>
      </w:r>
      <w:r>
        <w:t xml:space="preserve"> about </w:t>
      </w:r>
      <w:r w:rsidR="0057019A">
        <w:t xml:space="preserve">being clear on </w:t>
      </w:r>
      <w:r>
        <w:t xml:space="preserve">what </w:t>
      </w:r>
      <w:r w:rsidR="0057019A">
        <w:t>could be</w:t>
      </w:r>
      <w:r>
        <w:t xml:space="preserve"> claimed under HCH versus Medicare for acute versus chronic</w:t>
      </w:r>
      <w:r w:rsidR="0057019A">
        <w:t xml:space="preserve"> conditions</w:t>
      </w:r>
      <w:r>
        <w:t xml:space="preserve">: </w:t>
      </w:r>
      <w:r w:rsidRPr="00F53FAC">
        <w:rPr>
          <w:i/>
        </w:rPr>
        <w:t xml:space="preserve">it’s </w:t>
      </w:r>
      <w:r>
        <w:rPr>
          <w:i/>
        </w:rPr>
        <w:t>…</w:t>
      </w:r>
      <w:r w:rsidRPr="00F53FAC">
        <w:rPr>
          <w:i/>
        </w:rPr>
        <w:t xml:space="preserve">an honesty system </w:t>
      </w:r>
      <w:r>
        <w:t>and questions were raised about what’s happening on a national scale.</w:t>
      </w:r>
      <w:r w:rsidR="00A561EE">
        <w:t xml:space="preserve"> </w:t>
      </w:r>
      <w:r w:rsidR="0057019A">
        <w:t>They pointed out that</w:t>
      </w:r>
      <w:r>
        <w:t xml:space="preserve"> </w:t>
      </w:r>
      <w:r w:rsidRPr="00E75CF4">
        <w:t xml:space="preserve">Medicare doesn’t reject </w:t>
      </w:r>
      <w:r>
        <w:t xml:space="preserve">inappropriate claims </w:t>
      </w:r>
      <w:r w:rsidRPr="00E75CF4">
        <w:t>so it’s up to clinicians</w:t>
      </w:r>
      <w:r w:rsidR="0057019A">
        <w:t>,</w:t>
      </w:r>
      <w:r w:rsidRPr="00E75CF4">
        <w:t xml:space="preserve"> </w:t>
      </w:r>
      <w:r>
        <w:t xml:space="preserve">and this </w:t>
      </w:r>
      <w:r w:rsidR="00027AAA">
        <w:t>was</w:t>
      </w:r>
      <w:r>
        <w:t xml:space="preserve"> a source of stress for GPs who </w:t>
      </w:r>
      <w:r w:rsidR="0057019A">
        <w:t>were</w:t>
      </w:r>
      <w:r>
        <w:t xml:space="preserve"> keen to ensure they </w:t>
      </w:r>
      <w:r w:rsidR="0057019A">
        <w:t>were</w:t>
      </w:r>
      <w:r w:rsidR="00027AAA">
        <w:t xml:space="preserve"> not</w:t>
      </w:r>
      <w:r>
        <w:t xml:space="preserve"> inadvertently double</w:t>
      </w:r>
      <w:r w:rsidR="0057019A">
        <w:t>-</w:t>
      </w:r>
      <w:r>
        <w:t>dipping.</w:t>
      </w:r>
    </w:p>
    <w:p w14:paraId="772EB1C1" w14:textId="462A93ED" w:rsidR="00E36B80" w:rsidRDefault="00E36B80" w:rsidP="00E36B80">
      <w:r>
        <w:t xml:space="preserve">Securing funding for transient community members </w:t>
      </w:r>
      <w:r w:rsidR="00B805BD">
        <w:t>was also</w:t>
      </w:r>
      <w:r>
        <w:t xml:space="preserve"> an ongoing concern.</w:t>
      </w:r>
      <w:r w:rsidR="00A561EE">
        <w:t xml:space="preserve"> </w:t>
      </w:r>
      <w:r w:rsidR="0057019A">
        <w:t>M</w:t>
      </w:r>
      <w:r>
        <w:t>anag</w:t>
      </w:r>
      <w:r w:rsidR="0057019A">
        <w:t>ing</w:t>
      </w:r>
      <w:r>
        <w:t xml:space="preserve"> highly mobile patients</w:t>
      </w:r>
      <w:r w:rsidR="0057019A">
        <w:t xml:space="preserve"> was difficult</w:t>
      </w:r>
      <w:r>
        <w:t xml:space="preserve">. The lack of connectivity in many remote communities coupled with people changing phone numbers makes contact difficult. In the </w:t>
      </w:r>
      <w:r w:rsidR="0057019A">
        <w:t>trial</w:t>
      </w:r>
      <w:r>
        <w:t xml:space="preserve">, patients </w:t>
      </w:r>
      <w:r w:rsidR="0057019A">
        <w:t>who</w:t>
      </w:r>
      <w:r>
        <w:t xml:space="preserve"> were known to be relatively stable were deliberately chosen to address this challenge</w:t>
      </w:r>
      <w:r w:rsidR="0057019A">
        <w:t>. However</w:t>
      </w:r>
      <w:r>
        <w:t>, this does not address the challenge on how to fund this cohort.</w:t>
      </w:r>
    </w:p>
    <w:p w14:paraId="3A69B2E0" w14:textId="77777777" w:rsidR="00F219A4" w:rsidRPr="00C91981" w:rsidRDefault="00F219A4" w:rsidP="00F219A4">
      <w:pPr>
        <w:pStyle w:val="Heading2"/>
        <w:rPr>
          <w:rFonts w:eastAsiaTheme="majorEastAsia"/>
        </w:rPr>
      </w:pPr>
      <w:bookmarkStart w:id="245" w:name="_Toc109996699"/>
      <w:r w:rsidRPr="00C91981">
        <w:rPr>
          <w:rFonts w:eastAsiaTheme="majorEastAsia"/>
        </w:rPr>
        <w:t>Bundled payment</w:t>
      </w:r>
      <w:bookmarkEnd w:id="245"/>
    </w:p>
    <w:p w14:paraId="04001D89" w14:textId="6EDDC6FF" w:rsidR="00F219A4" w:rsidRDefault="00F219A4" w:rsidP="00F219A4">
      <w:r w:rsidRPr="006C3984">
        <w:t xml:space="preserve">Although both case study sites reported additional flexibility with the bundled payment – that </w:t>
      </w:r>
      <w:r w:rsidRPr="006C3984">
        <w:rPr>
          <w:szCs w:val="20"/>
        </w:rPr>
        <w:t xml:space="preserve">HCH funds were not tied to individual clients and </w:t>
      </w:r>
      <w:r>
        <w:rPr>
          <w:szCs w:val="20"/>
        </w:rPr>
        <w:t>could</w:t>
      </w:r>
      <w:r w:rsidRPr="006C3984">
        <w:rPr>
          <w:szCs w:val="20"/>
        </w:rPr>
        <w:t xml:space="preserve"> be used flexibly across the clinic</w:t>
      </w:r>
      <w:r w:rsidRPr="006C3984">
        <w:t xml:space="preserve"> – this did not mean that they were necessarily better off compared with fee-for-service. Interviewees</w:t>
      </w:r>
      <w:r>
        <w:t xml:space="preserve"> at one of the case study sites roughly calculated that they needed about 500 </w:t>
      </w:r>
      <w:r w:rsidR="004A382E">
        <w:t>enrolees</w:t>
      </w:r>
      <w:r>
        <w:t xml:space="preserve"> to employ a new staff member, but that this number would be impossible to achieve in small and transient communities.</w:t>
      </w:r>
      <w:r w:rsidRPr="00166180">
        <w:t xml:space="preserve"> </w:t>
      </w:r>
      <w:r>
        <w:t xml:space="preserve">At best they could share </w:t>
      </w:r>
      <w:r w:rsidRPr="00FD2D7D">
        <w:t>a full-time role among a few clinics</w:t>
      </w:r>
      <w:r>
        <w:t>.</w:t>
      </w:r>
    </w:p>
    <w:p w14:paraId="3B3FD5EB" w14:textId="0F24706D" w:rsidR="00817818" w:rsidRPr="004749C8" w:rsidRDefault="00817818" w:rsidP="004749C8">
      <w:r w:rsidRPr="004749C8">
        <w:t>Feedback from ACCHS suggested that the bundled payment – with refinements – may a viable and appropriate approach in these settings. This partly reflects that ACCHS are typically offering a team-based approach in which there is much greater reliance on nurses, Aboriginal health practitioners and workers, and allied health professionals</w:t>
      </w:r>
      <w:r w:rsidR="004749C8">
        <w:t xml:space="preserve"> </w:t>
      </w:r>
      <w:r w:rsidR="00A44AAE">
        <w:t>i</w:t>
      </w:r>
      <w:r w:rsidR="0083090E">
        <w:t>n addition to the</w:t>
      </w:r>
      <w:r w:rsidR="004749C8">
        <w:t xml:space="preserve"> GPs</w:t>
      </w:r>
      <w:r w:rsidR="007E0F4A">
        <w:t>,</w:t>
      </w:r>
      <w:r w:rsidR="004749C8">
        <w:t xml:space="preserve"> </w:t>
      </w:r>
      <w:r w:rsidRPr="004749C8">
        <w:t xml:space="preserve">and that these service providers are only partially and inadequately supported through MBS fee-for-service revenue. Additionally, the bundled payment offered greater predictability </w:t>
      </w:r>
      <w:r w:rsidRPr="004749C8">
        <w:lastRenderedPageBreak/>
        <w:t xml:space="preserve">in revenue and opportunities to use funds more flexibly in addressing priority needs </w:t>
      </w:r>
      <w:r w:rsidR="007E0F4A">
        <w:t>of</w:t>
      </w:r>
      <w:r w:rsidRPr="004749C8">
        <w:t xml:space="preserve"> the </w:t>
      </w:r>
      <w:r w:rsidR="007E0F4A">
        <w:t xml:space="preserve">ACCHS </w:t>
      </w:r>
      <w:r w:rsidRPr="004749C8">
        <w:t>population</w:t>
      </w:r>
      <w:r w:rsidR="007E0F4A">
        <w:t>s</w:t>
      </w:r>
      <w:r w:rsidRPr="004749C8">
        <w:t>.</w:t>
      </w:r>
    </w:p>
    <w:p w14:paraId="3894225C" w14:textId="193C7F29" w:rsidR="000E7F65" w:rsidRPr="000E7F65" w:rsidRDefault="000E7F65" w:rsidP="000E7F65">
      <w:pPr>
        <w:pStyle w:val="Heading2"/>
        <w:rPr>
          <w:rFonts w:eastAsiaTheme="majorEastAsia"/>
        </w:rPr>
      </w:pPr>
      <w:bookmarkStart w:id="246" w:name="_Ref99202287"/>
      <w:bookmarkStart w:id="247" w:name="_Ref99202292"/>
      <w:bookmarkStart w:id="248" w:name="_Toc109996700"/>
      <w:r w:rsidRPr="000E7F65">
        <w:rPr>
          <w:rFonts w:eastAsiaTheme="majorEastAsia"/>
        </w:rPr>
        <w:t>COVID-19 impacts</w:t>
      </w:r>
      <w:bookmarkEnd w:id="246"/>
      <w:bookmarkEnd w:id="247"/>
      <w:bookmarkEnd w:id="248"/>
    </w:p>
    <w:p w14:paraId="4D76BB28" w14:textId="5EC3C7DF" w:rsidR="008F7B92" w:rsidRDefault="00BA6C4D" w:rsidP="006C1647">
      <w:r>
        <w:t xml:space="preserve">Northern Territory </w:t>
      </w:r>
      <w:r w:rsidR="006C1647">
        <w:t xml:space="preserve">communities were in lockdown for </w:t>
      </w:r>
      <w:r>
        <w:t>about</w:t>
      </w:r>
      <w:r w:rsidR="006C1647">
        <w:t xml:space="preserve"> four months in 2020</w:t>
      </w:r>
      <w:r w:rsidR="005F2A3B">
        <w:t xml:space="preserve"> and were affected by other states’ lockdowns, making it harder to get services and specialists in. Despite this, both sites reported that they were surprisingly minimally disrupted by </w:t>
      </w:r>
      <w:r w:rsidR="00964A67">
        <w:t xml:space="preserve">the pandemic and it was </w:t>
      </w:r>
      <w:r w:rsidR="00964A67" w:rsidRPr="007D0E24">
        <w:rPr>
          <w:i/>
        </w:rPr>
        <w:t>business as usual</w:t>
      </w:r>
      <w:r w:rsidR="00964A67">
        <w:t>.</w:t>
      </w:r>
    </w:p>
    <w:p w14:paraId="1064F972" w14:textId="77777777" w:rsidR="002215F3" w:rsidRDefault="00244C9C" w:rsidP="002215F3">
      <w:r>
        <w:t>Both sites made additional use of te</w:t>
      </w:r>
      <w:r w:rsidR="007C6EE2">
        <w:t xml:space="preserve">lehealth during the pandemic. </w:t>
      </w:r>
      <w:r w:rsidR="002215F3">
        <w:t>Increased use of telehealth was one area of innovation directly resulting from COVID-19:</w:t>
      </w:r>
    </w:p>
    <w:p w14:paraId="0CC23A39" w14:textId="77777777" w:rsidR="002215F3" w:rsidRDefault="002215F3" w:rsidP="002215F3">
      <w:pPr>
        <w:ind w:left="567" w:right="521"/>
        <w:rPr>
          <w:i/>
        </w:rPr>
      </w:pPr>
      <w:r>
        <w:rPr>
          <w:i/>
        </w:rPr>
        <w:t>“…</w:t>
      </w:r>
      <w:r w:rsidRPr="000A54FC">
        <w:rPr>
          <w:i/>
        </w:rPr>
        <w:t>we just started thinking outside the box a little bit, and actually using other means to make sure that we could continue to service these communities.</w:t>
      </w:r>
      <w:r>
        <w:rPr>
          <w:i/>
        </w:rPr>
        <w:t xml:space="preserve">” </w:t>
      </w:r>
      <w:r w:rsidRPr="002C70ED">
        <w:rPr>
          <w:iCs/>
        </w:rPr>
        <w:t xml:space="preserve">[Business </w:t>
      </w:r>
      <w:r w:rsidRPr="00153E29">
        <w:rPr>
          <w:iCs/>
        </w:rPr>
        <w:t xml:space="preserve">manager, Practice </w:t>
      </w:r>
      <w:r>
        <w:rPr>
          <w:iCs/>
        </w:rPr>
        <w:t>19</w:t>
      </w:r>
      <w:r w:rsidRPr="00153E29">
        <w:rPr>
          <w:iCs/>
        </w:rPr>
        <w:t>, R5]</w:t>
      </w:r>
    </w:p>
    <w:p w14:paraId="6EC09FA5" w14:textId="294B8F7E" w:rsidR="00964A67" w:rsidRDefault="007C6EE2" w:rsidP="006C1647">
      <w:r>
        <w:t xml:space="preserve">At the first site, the health service provided iPads to </w:t>
      </w:r>
      <w:r w:rsidR="006574B8">
        <w:t>its</w:t>
      </w:r>
      <w:r>
        <w:t xml:space="preserve"> clinic</w:t>
      </w:r>
      <w:r w:rsidR="006574B8">
        <w:t>s to maintain continuity of service by clinicians working off-site.</w:t>
      </w:r>
    </w:p>
    <w:p w14:paraId="415A66AA" w14:textId="020037EF" w:rsidR="006C1647" w:rsidRDefault="001E1D4B" w:rsidP="008D4E20">
      <w:r>
        <w:t xml:space="preserve">At the second site, telehealth was mainly used for </w:t>
      </w:r>
      <w:r w:rsidR="006412B5">
        <w:t>specialist appointments</w:t>
      </w:r>
      <w:r w:rsidR="008D4E20">
        <w:t>,</w:t>
      </w:r>
      <w:r w:rsidR="006412B5">
        <w:t xml:space="preserve"> for specialists who could not visit from </w:t>
      </w:r>
      <w:r w:rsidR="008D4E20">
        <w:t>places like Sydney and Melbourne</w:t>
      </w:r>
      <w:r w:rsidR="006C1647">
        <w:t xml:space="preserve">. </w:t>
      </w:r>
      <w:r w:rsidR="005C02FC">
        <w:t>T</w:t>
      </w:r>
      <w:r w:rsidR="006C1647">
        <w:t xml:space="preserve">elehealth consisted of the patient </w:t>
      </w:r>
      <w:r w:rsidR="001C34C7">
        <w:t>s</w:t>
      </w:r>
      <w:r w:rsidR="001F138C">
        <w:t>itting</w:t>
      </w:r>
      <w:r w:rsidR="006C1647">
        <w:t xml:space="preserve"> with the </w:t>
      </w:r>
      <w:r w:rsidR="001F138C">
        <w:t>clinic n</w:t>
      </w:r>
      <w:r w:rsidR="006C1647">
        <w:t xml:space="preserve">urse or GP </w:t>
      </w:r>
      <w:r w:rsidR="001C34C7">
        <w:t>having</w:t>
      </w:r>
      <w:r w:rsidR="006C1647">
        <w:t xml:space="preserve"> </w:t>
      </w:r>
      <w:r w:rsidR="00DC0B37">
        <w:t xml:space="preserve">a </w:t>
      </w:r>
      <w:r w:rsidR="006C1647">
        <w:t>consultation with a specialist using technology</w:t>
      </w:r>
      <w:r w:rsidR="001C34C7">
        <w:t xml:space="preserve"> within the clini</w:t>
      </w:r>
      <w:r w:rsidR="00C13B89">
        <w:t>c</w:t>
      </w:r>
      <w:r w:rsidR="00DC0B37">
        <w:t>.</w:t>
      </w:r>
      <w:r w:rsidR="00815BD8">
        <w:t xml:space="preserve"> </w:t>
      </w:r>
      <w:r w:rsidR="00C13B89">
        <w:t xml:space="preserve">Although the </w:t>
      </w:r>
      <w:r w:rsidR="000438CC">
        <w:t>health service want</w:t>
      </w:r>
      <w:r w:rsidR="0083090E">
        <w:t>ed</w:t>
      </w:r>
      <w:r w:rsidR="000438CC">
        <w:t xml:space="preserve"> to continue to use telehealth</w:t>
      </w:r>
      <w:r w:rsidR="00286DF0">
        <w:t xml:space="preserve"> for specialist appointments</w:t>
      </w:r>
      <w:r w:rsidR="008A1BDD">
        <w:t xml:space="preserve">, </w:t>
      </w:r>
      <w:r w:rsidR="00581E62">
        <w:t>p</w:t>
      </w:r>
      <w:r w:rsidR="00581E62" w:rsidRPr="00872D03">
        <w:t xml:space="preserve">articularly as there </w:t>
      </w:r>
      <w:r w:rsidR="0083090E">
        <w:t>was</w:t>
      </w:r>
      <w:r w:rsidR="00581E62" w:rsidRPr="00872D03">
        <w:t xml:space="preserve"> an increasing difficulty in getting clinical staff into remote clinics</w:t>
      </w:r>
      <w:r w:rsidR="00581E62">
        <w:t xml:space="preserve">, </w:t>
      </w:r>
      <w:r w:rsidR="00627D6B">
        <w:t xml:space="preserve">it </w:t>
      </w:r>
      <w:r w:rsidR="0083090E">
        <w:t>could not</w:t>
      </w:r>
      <w:r w:rsidR="00627D6B">
        <w:t xml:space="preserve"> entirely </w:t>
      </w:r>
      <w:r w:rsidR="00581E62">
        <w:t xml:space="preserve">replace </w:t>
      </w:r>
      <w:r w:rsidR="003A367F">
        <w:t xml:space="preserve">specialists physically visiting the communities. </w:t>
      </w:r>
      <w:r w:rsidR="00627D6B">
        <w:t>The reasons are that f</w:t>
      </w:r>
      <w:r w:rsidR="00DA793C">
        <w:t>or many patients</w:t>
      </w:r>
      <w:r w:rsidR="0065536D">
        <w:t>,</w:t>
      </w:r>
      <w:r w:rsidR="00DA793C">
        <w:t xml:space="preserve"> English is their second, third or fourth language</w:t>
      </w:r>
      <w:r w:rsidR="00627D6B">
        <w:t>,</w:t>
      </w:r>
      <w:r w:rsidR="00DA793C">
        <w:t xml:space="preserve"> and they prefer personal (face-to-face) relationships.</w:t>
      </w:r>
      <w:r w:rsidR="00985303">
        <w:t xml:space="preserve"> </w:t>
      </w:r>
    </w:p>
    <w:p w14:paraId="119D5127" w14:textId="0529BB17" w:rsidR="001E1D4B" w:rsidRDefault="001E1D4B" w:rsidP="003A367F">
      <w:r>
        <w:t>One of the sites noticed that community members were less transient than usual, so GPs were able to have stronger contact with patients</w:t>
      </w:r>
      <w:r w:rsidR="007C73DE">
        <w:t xml:space="preserve"> d</w:t>
      </w:r>
      <w:r w:rsidR="00F646B4">
        <w:t>uring the pandemic.</w:t>
      </w:r>
    </w:p>
    <w:p w14:paraId="7723CFD1" w14:textId="1E735D65" w:rsidR="00774CC0" w:rsidRPr="00145A08" w:rsidRDefault="00774CC0" w:rsidP="00774CC0">
      <w:pPr>
        <w:pStyle w:val="Heading2"/>
        <w:rPr>
          <w:rFonts w:eastAsiaTheme="majorEastAsia"/>
        </w:rPr>
      </w:pPr>
      <w:bookmarkStart w:id="249" w:name="_Toc58256882"/>
      <w:bookmarkStart w:id="250" w:name="_Toc109996701"/>
      <w:r w:rsidRPr="00145A08">
        <w:rPr>
          <w:rFonts w:eastAsiaTheme="majorEastAsia"/>
        </w:rPr>
        <w:t xml:space="preserve">Impact </w:t>
      </w:r>
      <w:r w:rsidR="0083090E">
        <w:rPr>
          <w:rFonts w:eastAsiaTheme="majorEastAsia"/>
        </w:rPr>
        <w:t xml:space="preserve">of HCH </w:t>
      </w:r>
      <w:r w:rsidRPr="00145A08">
        <w:rPr>
          <w:rFonts w:eastAsiaTheme="majorEastAsia"/>
        </w:rPr>
        <w:t>on practice staff</w:t>
      </w:r>
      <w:bookmarkEnd w:id="249"/>
      <w:bookmarkEnd w:id="250"/>
    </w:p>
    <w:p w14:paraId="3D16BB95" w14:textId="7F991AA6" w:rsidR="00EA2549" w:rsidRDefault="00EA2549" w:rsidP="00EA2549">
      <w:pPr>
        <w:rPr>
          <w:szCs w:val="20"/>
        </w:rPr>
      </w:pPr>
      <w:r>
        <w:rPr>
          <w:szCs w:val="20"/>
        </w:rPr>
        <w:t xml:space="preserve">While staff </w:t>
      </w:r>
      <w:r w:rsidR="00943AA6">
        <w:rPr>
          <w:szCs w:val="20"/>
        </w:rPr>
        <w:t xml:space="preserve">at the first case study site </w:t>
      </w:r>
      <w:r>
        <w:rPr>
          <w:szCs w:val="20"/>
        </w:rPr>
        <w:t xml:space="preserve">had positive experiences with the program, the </w:t>
      </w:r>
      <w:r w:rsidRPr="00EA6CD8">
        <w:rPr>
          <w:szCs w:val="20"/>
        </w:rPr>
        <w:t>trial impact</w:t>
      </w:r>
      <w:r w:rsidR="0083090E">
        <w:rPr>
          <w:szCs w:val="20"/>
        </w:rPr>
        <w:t>ed</w:t>
      </w:r>
      <w:r w:rsidRPr="00EA6CD8">
        <w:rPr>
          <w:szCs w:val="20"/>
        </w:rPr>
        <w:t xml:space="preserve"> their workload.</w:t>
      </w:r>
      <w:r>
        <w:rPr>
          <w:szCs w:val="20"/>
        </w:rPr>
        <w:t xml:space="preserve"> This was particularly apparent for the GPs who took ownership of HCH and played a central role in patient management and care planning. </w:t>
      </w:r>
      <w:r w:rsidR="0083090E">
        <w:rPr>
          <w:szCs w:val="20"/>
        </w:rPr>
        <w:t>However, the</w:t>
      </w:r>
      <w:r>
        <w:rPr>
          <w:szCs w:val="20"/>
        </w:rPr>
        <w:t xml:space="preserve"> main GP commented that </w:t>
      </w:r>
      <w:r w:rsidR="0083090E">
        <w:rPr>
          <w:szCs w:val="20"/>
        </w:rPr>
        <w:t>despite</w:t>
      </w:r>
      <w:r>
        <w:rPr>
          <w:szCs w:val="20"/>
        </w:rPr>
        <w:t xml:space="preserve"> </w:t>
      </w:r>
      <w:r w:rsidR="00E70AD6">
        <w:rPr>
          <w:szCs w:val="20"/>
        </w:rPr>
        <w:t>their</w:t>
      </w:r>
      <w:r>
        <w:rPr>
          <w:szCs w:val="20"/>
        </w:rPr>
        <w:t xml:space="preserve"> </w:t>
      </w:r>
      <w:r w:rsidR="0083090E">
        <w:rPr>
          <w:szCs w:val="20"/>
        </w:rPr>
        <w:t>increased</w:t>
      </w:r>
      <w:r>
        <w:rPr>
          <w:szCs w:val="20"/>
        </w:rPr>
        <w:t xml:space="preserve"> workload, </w:t>
      </w:r>
      <w:r w:rsidR="0083090E">
        <w:rPr>
          <w:szCs w:val="20"/>
        </w:rPr>
        <w:t>HCH</w:t>
      </w:r>
      <w:r>
        <w:rPr>
          <w:szCs w:val="20"/>
        </w:rPr>
        <w:t xml:space="preserve"> was advantageous as it allowed </w:t>
      </w:r>
      <w:r w:rsidR="00E70AD6">
        <w:rPr>
          <w:szCs w:val="20"/>
        </w:rPr>
        <w:t>them</w:t>
      </w:r>
      <w:r>
        <w:rPr>
          <w:szCs w:val="20"/>
        </w:rPr>
        <w:t xml:space="preserve"> to get to know </w:t>
      </w:r>
      <w:r w:rsidR="00E70AD6">
        <w:rPr>
          <w:szCs w:val="20"/>
        </w:rPr>
        <w:t>their</w:t>
      </w:r>
      <w:r>
        <w:rPr>
          <w:szCs w:val="20"/>
        </w:rPr>
        <w:t xml:space="preserve"> patients better and understand their complexities and what needs to be done to manage their care</w:t>
      </w:r>
      <w:r w:rsidR="00E70AD6">
        <w:rPr>
          <w:szCs w:val="20"/>
        </w:rPr>
        <w:t>:</w:t>
      </w:r>
    </w:p>
    <w:p w14:paraId="722AB7CD" w14:textId="77777777" w:rsidR="00EA2549" w:rsidRDefault="00EA2549" w:rsidP="00943AA6">
      <w:pPr>
        <w:ind w:left="567" w:right="521"/>
        <w:rPr>
          <w:szCs w:val="20"/>
        </w:rPr>
      </w:pPr>
      <w:r w:rsidRPr="003C2A55">
        <w:rPr>
          <w:i/>
          <w:iCs/>
          <w:szCs w:val="20"/>
        </w:rPr>
        <w:t>“Because the GPs have enjoyed it, even though they’ve found it onerous, they’ve also enjoyed feeling more to grips with their patients than they have when they randomly see them.”</w:t>
      </w:r>
      <w:r>
        <w:rPr>
          <w:szCs w:val="20"/>
        </w:rPr>
        <w:t xml:space="preserve"> [Medical Director, R5, Practice 20]</w:t>
      </w:r>
    </w:p>
    <w:p w14:paraId="2903B361" w14:textId="7EC74583" w:rsidR="00EA2549" w:rsidRDefault="00EA2549" w:rsidP="00EA2549">
      <w:pPr>
        <w:rPr>
          <w:szCs w:val="20"/>
        </w:rPr>
      </w:pPr>
      <w:r w:rsidRPr="00F85709">
        <w:rPr>
          <w:szCs w:val="20"/>
        </w:rPr>
        <w:t>In the first round of interviews</w:t>
      </w:r>
      <w:r w:rsidR="00943AA6">
        <w:rPr>
          <w:szCs w:val="20"/>
        </w:rPr>
        <w:t xml:space="preserve"> at this site</w:t>
      </w:r>
      <w:r w:rsidRPr="00F85709">
        <w:rPr>
          <w:szCs w:val="20"/>
        </w:rPr>
        <w:t xml:space="preserve">, the </w:t>
      </w:r>
      <w:r w:rsidR="006638AE">
        <w:rPr>
          <w:szCs w:val="20"/>
        </w:rPr>
        <w:t>allied health practitioner</w:t>
      </w:r>
      <w:r w:rsidRPr="00F85709">
        <w:rPr>
          <w:szCs w:val="20"/>
        </w:rPr>
        <w:t xml:space="preserve"> said </w:t>
      </w:r>
      <w:r w:rsidR="006638AE">
        <w:rPr>
          <w:szCs w:val="20"/>
        </w:rPr>
        <w:t>they</w:t>
      </w:r>
      <w:r w:rsidRPr="00F85709">
        <w:rPr>
          <w:szCs w:val="20"/>
        </w:rPr>
        <w:t xml:space="preserve"> had been given the role of chronic conditions coordinator, but there had been no change to the work </w:t>
      </w:r>
      <w:r w:rsidR="006638AE">
        <w:rPr>
          <w:szCs w:val="20"/>
        </w:rPr>
        <w:t>they</w:t>
      </w:r>
      <w:r w:rsidR="006511E2">
        <w:rPr>
          <w:szCs w:val="20"/>
        </w:rPr>
        <w:t xml:space="preserve"> were</w:t>
      </w:r>
      <w:r w:rsidRPr="00F85709">
        <w:rPr>
          <w:szCs w:val="20"/>
        </w:rPr>
        <w:t xml:space="preserve"> doing.</w:t>
      </w:r>
      <w:r w:rsidR="00A561EE">
        <w:rPr>
          <w:szCs w:val="20"/>
        </w:rPr>
        <w:t xml:space="preserve"> </w:t>
      </w:r>
      <w:r>
        <w:rPr>
          <w:szCs w:val="20"/>
        </w:rPr>
        <w:t xml:space="preserve">These observations were </w:t>
      </w:r>
      <w:r w:rsidR="00B4011B">
        <w:rPr>
          <w:szCs w:val="20"/>
        </w:rPr>
        <w:t>echoed</w:t>
      </w:r>
      <w:r>
        <w:rPr>
          <w:szCs w:val="20"/>
        </w:rPr>
        <w:t xml:space="preserve"> by the nurse who stated that </w:t>
      </w:r>
      <w:r w:rsidR="006511E2">
        <w:rPr>
          <w:szCs w:val="20"/>
        </w:rPr>
        <w:t>their</w:t>
      </w:r>
      <w:r>
        <w:rPr>
          <w:szCs w:val="20"/>
        </w:rPr>
        <w:t xml:space="preserve"> </w:t>
      </w:r>
      <w:r w:rsidRPr="003E2D4C">
        <w:rPr>
          <w:szCs w:val="20"/>
        </w:rPr>
        <w:t xml:space="preserve">role, and the role of the other nurse, </w:t>
      </w:r>
      <w:r>
        <w:rPr>
          <w:szCs w:val="20"/>
        </w:rPr>
        <w:t>had not changed with the implementation of HCH.</w:t>
      </w:r>
    </w:p>
    <w:p w14:paraId="7C28C7F5" w14:textId="0CD9CC0C" w:rsidR="00EA2549" w:rsidRPr="003E2D4C" w:rsidRDefault="00EA2549" w:rsidP="00EA2549">
      <w:pPr>
        <w:rPr>
          <w:szCs w:val="20"/>
        </w:rPr>
      </w:pPr>
      <w:r w:rsidRPr="00F85709">
        <w:rPr>
          <w:szCs w:val="20"/>
        </w:rPr>
        <w:lastRenderedPageBreak/>
        <w:t xml:space="preserve">In the final round of interviews, the </w:t>
      </w:r>
      <w:r w:rsidR="00FE02F5">
        <w:rPr>
          <w:szCs w:val="20"/>
        </w:rPr>
        <w:t>allied health practitioner</w:t>
      </w:r>
      <w:r w:rsidRPr="00F85709">
        <w:rPr>
          <w:szCs w:val="20"/>
        </w:rPr>
        <w:t xml:space="preserve"> reflected that </w:t>
      </w:r>
      <w:r>
        <w:rPr>
          <w:szCs w:val="20"/>
        </w:rPr>
        <w:t xml:space="preserve">while </w:t>
      </w:r>
      <w:r w:rsidR="00FE02F5">
        <w:rPr>
          <w:szCs w:val="20"/>
        </w:rPr>
        <w:t>they</w:t>
      </w:r>
      <w:r>
        <w:rPr>
          <w:szCs w:val="20"/>
        </w:rPr>
        <w:t xml:space="preserve"> had to work </w:t>
      </w:r>
      <w:r w:rsidR="00F163F2">
        <w:rPr>
          <w:szCs w:val="20"/>
        </w:rPr>
        <w:t>“</w:t>
      </w:r>
      <w:r w:rsidRPr="00BA013E">
        <w:rPr>
          <w:i/>
          <w:iCs/>
          <w:szCs w:val="20"/>
        </w:rPr>
        <w:t>a little bit harder</w:t>
      </w:r>
      <w:r>
        <w:rPr>
          <w:szCs w:val="20"/>
        </w:rPr>
        <w:t>,</w:t>
      </w:r>
      <w:r w:rsidR="00F163F2">
        <w:rPr>
          <w:szCs w:val="20"/>
        </w:rPr>
        <w:t>”</w:t>
      </w:r>
      <w:r>
        <w:rPr>
          <w:szCs w:val="20"/>
        </w:rPr>
        <w:t xml:space="preserve"> </w:t>
      </w:r>
      <w:r w:rsidRPr="00F85709">
        <w:rPr>
          <w:szCs w:val="20"/>
        </w:rPr>
        <w:t>the enhancement of patients</w:t>
      </w:r>
      <w:r>
        <w:rPr>
          <w:szCs w:val="20"/>
        </w:rPr>
        <w:t>’</w:t>
      </w:r>
      <w:r w:rsidRPr="00F85709">
        <w:rPr>
          <w:szCs w:val="20"/>
        </w:rPr>
        <w:t xml:space="preserve"> care plans had given </w:t>
      </w:r>
      <w:r w:rsidR="00FE02F5">
        <w:rPr>
          <w:szCs w:val="20"/>
        </w:rPr>
        <w:t>their</w:t>
      </w:r>
      <w:r w:rsidRPr="00F85709">
        <w:rPr>
          <w:szCs w:val="20"/>
        </w:rPr>
        <w:t xml:space="preserve"> role </w:t>
      </w:r>
      <w:r w:rsidR="00F163F2">
        <w:rPr>
          <w:szCs w:val="20"/>
        </w:rPr>
        <w:t>“</w:t>
      </w:r>
      <w:r w:rsidRPr="00F85709">
        <w:rPr>
          <w:i/>
          <w:iCs/>
          <w:szCs w:val="20"/>
        </w:rPr>
        <w:t>a bit more purpose</w:t>
      </w:r>
      <w:r w:rsidR="00F163F2">
        <w:rPr>
          <w:i/>
          <w:iCs/>
          <w:szCs w:val="20"/>
        </w:rPr>
        <w:t>”</w:t>
      </w:r>
      <w:r w:rsidRPr="00F85709">
        <w:rPr>
          <w:szCs w:val="20"/>
        </w:rPr>
        <w:t xml:space="preserve"> as </w:t>
      </w:r>
      <w:r w:rsidR="00FE02F5">
        <w:rPr>
          <w:szCs w:val="20"/>
        </w:rPr>
        <w:t>they were</w:t>
      </w:r>
      <w:r w:rsidRPr="00F85709">
        <w:rPr>
          <w:szCs w:val="20"/>
        </w:rPr>
        <w:t xml:space="preserve"> able to gain a better understanding of patients’ problems. </w:t>
      </w:r>
      <w:r>
        <w:rPr>
          <w:szCs w:val="20"/>
        </w:rPr>
        <w:t>While t</w:t>
      </w:r>
      <w:r w:rsidRPr="003E2D4C">
        <w:rPr>
          <w:szCs w:val="20"/>
        </w:rPr>
        <w:t xml:space="preserve">he new clinic coordinator felt </w:t>
      </w:r>
      <w:r>
        <w:rPr>
          <w:szCs w:val="20"/>
        </w:rPr>
        <w:t xml:space="preserve">HCH had </w:t>
      </w:r>
      <w:r w:rsidRPr="003E2D4C">
        <w:rPr>
          <w:szCs w:val="20"/>
        </w:rPr>
        <w:t xml:space="preserve">minimal impact on </w:t>
      </w:r>
      <w:r w:rsidR="00C266FF">
        <w:rPr>
          <w:szCs w:val="20"/>
        </w:rPr>
        <w:t>their</w:t>
      </w:r>
      <w:r w:rsidRPr="003E2D4C">
        <w:rPr>
          <w:szCs w:val="20"/>
        </w:rPr>
        <w:t xml:space="preserve"> role, </w:t>
      </w:r>
      <w:r w:rsidR="00C266FF">
        <w:rPr>
          <w:szCs w:val="20"/>
        </w:rPr>
        <w:t>they</w:t>
      </w:r>
      <w:r w:rsidRPr="003E2D4C">
        <w:rPr>
          <w:szCs w:val="20"/>
        </w:rPr>
        <w:t xml:space="preserve"> had a positive experience</w:t>
      </w:r>
      <w:r>
        <w:rPr>
          <w:szCs w:val="20"/>
        </w:rPr>
        <w:t xml:space="preserve"> with the program </w:t>
      </w:r>
      <w:r w:rsidRPr="003E2D4C">
        <w:rPr>
          <w:szCs w:val="20"/>
        </w:rPr>
        <w:t xml:space="preserve">and felt the clinic’s more complex patients were being followed up and monitored </w:t>
      </w:r>
      <w:r>
        <w:rPr>
          <w:szCs w:val="20"/>
        </w:rPr>
        <w:t xml:space="preserve">more </w:t>
      </w:r>
      <w:r w:rsidRPr="003E2D4C">
        <w:rPr>
          <w:szCs w:val="20"/>
        </w:rPr>
        <w:t xml:space="preserve">regularly which, in turn, </w:t>
      </w:r>
      <w:r>
        <w:rPr>
          <w:szCs w:val="20"/>
        </w:rPr>
        <w:t xml:space="preserve">had </w:t>
      </w:r>
      <w:r w:rsidR="00F163F2">
        <w:rPr>
          <w:i/>
          <w:iCs/>
          <w:szCs w:val="20"/>
        </w:rPr>
        <w:t>“</w:t>
      </w:r>
      <w:r w:rsidRPr="000264F8">
        <w:rPr>
          <w:i/>
          <w:iCs/>
          <w:szCs w:val="20"/>
        </w:rPr>
        <w:t>reduced the inciden</w:t>
      </w:r>
      <w:r w:rsidR="0083090E">
        <w:rPr>
          <w:i/>
          <w:iCs/>
          <w:szCs w:val="20"/>
        </w:rPr>
        <w:t>ce</w:t>
      </w:r>
      <w:r w:rsidRPr="000264F8">
        <w:rPr>
          <w:i/>
          <w:iCs/>
          <w:szCs w:val="20"/>
        </w:rPr>
        <w:t xml:space="preserve"> of </w:t>
      </w:r>
      <w:r>
        <w:rPr>
          <w:i/>
          <w:iCs/>
          <w:szCs w:val="20"/>
        </w:rPr>
        <w:t>[patients]</w:t>
      </w:r>
      <w:r w:rsidRPr="000264F8">
        <w:rPr>
          <w:i/>
          <w:iCs/>
          <w:szCs w:val="20"/>
        </w:rPr>
        <w:t xml:space="preserve"> presenting acutely unwell.</w:t>
      </w:r>
      <w:r w:rsidR="00F163F2">
        <w:rPr>
          <w:i/>
          <w:iCs/>
          <w:szCs w:val="20"/>
        </w:rPr>
        <w:t>”</w:t>
      </w:r>
      <w:r w:rsidRPr="000264F8">
        <w:rPr>
          <w:i/>
          <w:iCs/>
          <w:szCs w:val="20"/>
        </w:rPr>
        <w:t xml:space="preserve"> </w:t>
      </w:r>
    </w:p>
    <w:p w14:paraId="0457C4BF" w14:textId="77777777" w:rsidR="0083090E" w:rsidRDefault="00774CC0" w:rsidP="00774CC0">
      <w:r w:rsidRPr="00145A08">
        <w:t xml:space="preserve">At </w:t>
      </w:r>
      <w:r w:rsidR="003C5995">
        <w:t>the second site</w:t>
      </w:r>
      <w:r w:rsidRPr="00145A08">
        <w:t>, staff</w:t>
      </w:r>
      <w:r w:rsidR="001074ED">
        <w:t xml:space="preserve"> reported that their</w:t>
      </w:r>
      <w:r w:rsidRPr="00145A08">
        <w:t xml:space="preserve"> workload was predominantly affected during the learning phase of the HCH trial when the clinic was </w:t>
      </w:r>
      <w:r w:rsidR="0083090E">
        <w:t>working out</w:t>
      </w:r>
      <w:r w:rsidRPr="00145A08">
        <w:t xml:space="preserve"> how to introduce the model to patients, gather their consent and work out aspects of billing (chronic versus acute care). However, the shared care planning process and other aspects of the model were considered to be very similar to what was done with the </w:t>
      </w:r>
      <w:r w:rsidR="0083090E">
        <w:t>previous</w:t>
      </w:r>
      <w:r w:rsidRPr="00145A08">
        <w:t xml:space="preserve"> care plan</w:t>
      </w:r>
      <w:r w:rsidR="0083090E">
        <w:t>ning</w:t>
      </w:r>
      <w:r w:rsidRPr="00145A08">
        <w:t xml:space="preserve"> system. No one cited </w:t>
      </w:r>
      <w:r w:rsidR="0083090E">
        <w:t>a</w:t>
      </w:r>
      <w:r w:rsidRPr="00145A08">
        <w:t xml:space="preserve"> significant effect on workload. If anything, in relation to billing</w:t>
      </w:r>
      <w:r w:rsidR="007E6D40">
        <w:t>,</w:t>
      </w:r>
      <w:r w:rsidRPr="00145A08">
        <w:t xml:space="preserve"> it was considered to </w:t>
      </w:r>
      <w:r w:rsidR="00F163F2">
        <w:t>“</w:t>
      </w:r>
      <w:r w:rsidRPr="00145A08">
        <w:rPr>
          <w:i/>
        </w:rPr>
        <w:t>definitely be more straightforward</w:t>
      </w:r>
      <w:r w:rsidR="00F163F2">
        <w:rPr>
          <w:i/>
        </w:rPr>
        <w:t>”</w:t>
      </w:r>
      <w:r w:rsidRPr="00145A08">
        <w:t>.</w:t>
      </w:r>
      <w:r>
        <w:t xml:space="preserve"> </w:t>
      </w:r>
    </w:p>
    <w:p w14:paraId="33E885BB" w14:textId="6323C6D6" w:rsidR="00774CC0" w:rsidRDefault="00774CC0" w:rsidP="00774CC0">
      <w:pPr>
        <w:rPr>
          <w:szCs w:val="20"/>
        </w:rPr>
      </w:pPr>
      <w:r>
        <w:t xml:space="preserve">Although staff at this clinic continued to report minimal impact </w:t>
      </w:r>
      <w:r w:rsidR="0083090E">
        <w:t>of</w:t>
      </w:r>
      <w:r>
        <w:t xml:space="preserve"> HCH, staff workload was impacted by other factors. A</w:t>
      </w:r>
      <w:r>
        <w:rPr>
          <w:szCs w:val="20"/>
        </w:rPr>
        <w:t>fter</w:t>
      </w:r>
      <w:r w:rsidRPr="00EE45B3">
        <w:rPr>
          <w:szCs w:val="20"/>
        </w:rPr>
        <w:t xml:space="preserve"> an extended period of staffing stability, the </w:t>
      </w:r>
      <w:r>
        <w:rPr>
          <w:szCs w:val="20"/>
        </w:rPr>
        <w:t>clinic experienced</w:t>
      </w:r>
      <w:r w:rsidRPr="00EE45B3">
        <w:rPr>
          <w:szCs w:val="20"/>
        </w:rPr>
        <w:t xml:space="preserve"> staff turnover</w:t>
      </w:r>
      <w:r>
        <w:rPr>
          <w:szCs w:val="20"/>
        </w:rPr>
        <w:t>; t</w:t>
      </w:r>
      <w:r w:rsidRPr="00EE45B3">
        <w:rPr>
          <w:szCs w:val="20"/>
        </w:rPr>
        <w:t xml:space="preserve">wo remote area nurses left and the service </w:t>
      </w:r>
      <w:r>
        <w:rPr>
          <w:szCs w:val="20"/>
        </w:rPr>
        <w:t>was</w:t>
      </w:r>
      <w:r w:rsidRPr="00EE45B3">
        <w:rPr>
          <w:szCs w:val="20"/>
        </w:rPr>
        <w:t xml:space="preserve"> unable to fill the vacancies. This resulted in staffing shortages and intermittent clinic closures (30–60 minutes). Simultaneously, there was an extensive period of sorry business in the community</w:t>
      </w:r>
      <w:r w:rsidR="0083090E">
        <w:rPr>
          <w:szCs w:val="20"/>
        </w:rPr>
        <w:t>,</w:t>
      </w:r>
      <w:r w:rsidRPr="00EE45B3">
        <w:rPr>
          <w:szCs w:val="20"/>
        </w:rPr>
        <w:t xml:space="preserve"> which meant that local support staff were not available to work</w:t>
      </w:r>
      <w:r w:rsidR="00424223">
        <w:rPr>
          <w:szCs w:val="20"/>
        </w:rPr>
        <w:t>,</w:t>
      </w:r>
      <w:r w:rsidRPr="00EE45B3">
        <w:rPr>
          <w:szCs w:val="20"/>
        </w:rPr>
        <w:t xml:space="preserve"> placing an additional burden on the </w:t>
      </w:r>
      <w:r>
        <w:rPr>
          <w:szCs w:val="20"/>
        </w:rPr>
        <w:t>c</w:t>
      </w:r>
      <w:r w:rsidRPr="00EE45B3">
        <w:rPr>
          <w:szCs w:val="20"/>
        </w:rPr>
        <w:t>linic. Sorry business combined with staff shortages resulted in the second round of community research being delayed by several months.</w:t>
      </w:r>
    </w:p>
    <w:p w14:paraId="6A6CD713" w14:textId="2A4FC517" w:rsidR="00463788" w:rsidRDefault="00624279" w:rsidP="00463788">
      <w:pPr>
        <w:rPr>
          <w:szCs w:val="20"/>
        </w:rPr>
      </w:pPr>
      <w:r>
        <w:rPr>
          <w:szCs w:val="20"/>
        </w:rPr>
        <w:t xml:space="preserve">Staff turnover was also an issue </w:t>
      </w:r>
      <w:r w:rsidR="001B2246">
        <w:rPr>
          <w:szCs w:val="20"/>
        </w:rPr>
        <w:t xml:space="preserve">at the </w:t>
      </w:r>
      <w:r w:rsidR="00624AB3">
        <w:rPr>
          <w:szCs w:val="20"/>
        </w:rPr>
        <w:t>first</w:t>
      </w:r>
      <w:r w:rsidR="00CE38A2">
        <w:rPr>
          <w:szCs w:val="20"/>
        </w:rPr>
        <w:t xml:space="preserve"> case study site</w:t>
      </w:r>
      <w:r w:rsidR="002D71B3">
        <w:rPr>
          <w:szCs w:val="20"/>
        </w:rPr>
        <w:t xml:space="preserve">, and the clinic also faced issues with recruiting </w:t>
      </w:r>
      <w:r w:rsidR="00463788">
        <w:rPr>
          <w:szCs w:val="20"/>
        </w:rPr>
        <w:t xml:space="preserve">to vacant positions. The medical director described the long-term staff, such as the main GP and the </w:t>
      </w:r>
      <w:r w:rsidR="0083090E">
        <w:rPr>
          <w:szCs w:val="20"/>
        </w:rPr>
        <w:t>allied health practitioner</w:t>
      </w:r>
      <w:r w:rsidR="00463788">
        <w:rPr>
          <w:szCs w:val="20"/>
        </w:rPr>
        <w:t xml:space="preserve">, as </w:t>
      </w:r>
      <w:r w:rsidR="00F163F2">
        <w:rPr>
          <w:szCs w:val="20"/>
        </w:rPr>
        <w:t>“</w:t>
      </w:r>
      <w:r w:rsidR="00463788" w:rsidRPr="006C2B34">
        <w:rPr>
          <w:i/>
          <w:iCs/>
          <w:szCs w:val="20"/>
        </w:rPr>
        <w:t>linchpins</w:t>
      </w:r>
      <w:r w:rsidR="00F163F2">
        <w:rPr>
          <w:i/>
          <w:iCs/>
          <w:szCs w:val="20"/>
        </w:rPr>
        <w:t>”</w:t>
      </w:r>
      <w:r w:rsidR="00463788">
        <w:rPr>
          <w:szCs w:val="20"/>
        </w:rPr>
        <w:t xml:space="preserve">. </w:t>
      </w:r>
      <w:r w:rsidR="00ED57BE">
        <w:rPr>
          <w:szCs w:val="20"/>
        </w:rPr>
        <w:t>S</w:t>
      </w:r>
      <w:r w:rsidR="00463788">
        <w:rPr>
          <w:szCs w:val="20"/>
        </w:rPr>
        <w:t>taff</w:t>
      </w:r>
      <w:r w:rsidR="00ED57BE">
        <w:rPr>
          <w:szCs w:val="20"/>
        </w:rPr>
        <w:t xml:space="preserve">ing stability was seen as key </w:t>
      </w:r>
      <w:r w:rsidR="00463788" w:rsidRPr="7A26A11E">
        <w:rPr>
          <w:szCs w:val="20"/>
        </w:rPr>
        <w:t>to</w:t>
      </w:r>
      <w:r w:rsidR="00463788">
        <w:rPr>
          <w:szCs w:val="20"/>
        </w:rPr>
        <w:t xml:space="preserve"> improving health outcomes</w:t>
      </w:r>
      <w:r w:rsidR="00CC7FCF">
        <w:rPr>
          <w:szCs w:val="20"/>
        </w:rPr>
        <w:t>. The medical director acknowledged that HCH wasn’t going to fix this issue, but that additional funds that might come from the funding model could be used to improve the service to counteract issues caused by high staff turnover:</w:t>
      </w:r>
    </w:p>
    <w:p w14:paraId="18F432A1" w14:textId="4C36BD8D" w:rsidR="00463788" w:rsidRPr="00CC7FCF" w:rsidRDefault="00463788" w:rsidP="005A5C9C">
      <w:pPr>
        <w:ind w:left="567" w:right="521"/>
        <w:rPr>
          <w:szCs w:val="20"/>
        </w:rPr>
      </w:pPr>
      <w:r w:rsidRPr="00973F09">
        <w:rPr>
          <w:i/>
          <w:iCs/>
          <w:szCs w:val="20"/>
        </w:rPr>
        <w:t xml:space="preserve">“What I’ve noticed is when we’ve got stable staff and the client knows that they’re going to come up to the clinic and say can I have my medication, and the person’s going to know their name, know where their medication is, know that that insulin pen isn’t </w:t>
      </w:r>
      <w:r w:rsidRPr="00CC7FCF">
        <w:rPr>
          <w:i/>
          <w:iCs/>
          <w:szCs w:val="20"/>
        </w:rPr>
        <w:t>available yet, but it might be available next week, not give them the wrong patient’s medications and not give them the wrong information. I think that’s when patient outcomes will improve when we’ve got a lot more stability of staff</w:t>
      </w:r>
      <w:r w:rsidR="00CC7FCF" w:rsidRPr="00CC7FCF">
        <w:rPr>
          <w:i/>
          <w:iCs/>
          <w:szCs w:val="20"/>
        </w:rPr>
        <w:t>…</w:t>
      </w:r>
      <w:r w:rsidR="00CC7FCF">
        <w:rPr>
          <w:i/>
          <w:iCs/>
          <w:szCs w:val="20"/>
        </w:rPr>
        <w:t xml:space="preserve">But </w:t>
      </w:r>
      <w:r w:rsidR="00CC7FCF" w:rsidRPr="00CC7FCF">
        <w:rPr>
          <w:i/>
          <w:iCs/>
          <w:szCs w:val="20"/>
        </w:rPr>
        <w:t>being involved in Health Care Homes gives the service more money then I believe we can implement more changes to mop up the problems with the rapid turnover of staff</w:t>
      </w:r>
      <w:r w:rsidRPr="00CC7FCF">
        <w:rPr>
          <w:i/>
          <w:iCs/>
          <w:szCs w:val="20"/>
        </w:rPr>
        <w:t>.”</w:t>
      </w:r>
      <w:r w:rsidRPr="00CC7FCF">
        <w:rPr>
          <w:szCs w:val="20"/>
        </w:rPr>
        <w:t xml:space="preserve"> [Medical Director, R5, Practice 20]</w:t>
      </w:r>
    </w:p>
    <w:p w14:paraId="3CD486F2" w14:textId="77777777" w:rsidR="00145A08" w:rsidRPr="00145A08" w:rsidRDefault="00145A08" w:rsidP="002F5D82">
      <w:pPr>
        <w:pStyle w:val="Heading2"/>
        <w:rPr>
          <w:rFonts w:eastAsiaTheme="majorEastAsia"/>
        </w:rPr>
      </w:pPr>
      <w:bookmarkStart w:id="251" w:name="_Toc58256885"/>
      <w:bookmarkStart w:id="252" w:name="_Toc109996702"/>
      <w:r w:rsidRPr="00CC7FCF">
        <w:rPr>
          <w:rFonts w:eastAsiaTheme="majorEastAsia"/>
        </w:rPr>
        <w:t>Patient experiences</w:t>
      </w:r>
      <w:bookmarkEnd w:id="251"/>
      <w:bookmarkEnd w:id="252"/>
    </w:p>
    <w:p w14:paraId="1FF237E6" w14:textId="77777777" w:rsidR="00A46C75" w:rsidRDefault="000E05B0" w:rsidP="00145A08">
      <w:pPr>
        <w:rPr>
          <w:szCs w:val="20"/>
        </w:rPr>
      </w:pPr>
      <w:r w:rsidRPr="0070648A">
        <w:rPr>
          <w:szCs w:val="20"/>
        </w:rPr>
        <w:t xml:space="preserve">Over the two rounds of interviews, 18 </w:t>
      </w:r>
      <w:r w:rsidRPr="0070648A" w:rsidDel="00C274DE">
        <w:rPr>
          <w:szCs w:val="20"/>
        </w:rPr>
        <w:t>patients were interviewed</w:t>
      </w:r>
      <w:r>
        <w:rPr>
          <w:szCs w:val="20"/>
        </w:rPr>
        <w:t xml:space="preserve"> at one case study site and only one at the other site, despite numerous efforts by the researcher to visit the site and efforts by local GPs to recruit patients for the case study interviews</w:t>
      </w:r>
      <w:r w:rsidRPr="0070648A">
        <w:rPr>
          <w:szCs w:val="20"/>
        </w:rPr>
        <w:t>.</w:t>
      </w:r>
    </w:p>
    <w:p w14:paraId="536221D9" w14:textId="2E9B70EC" w:rsidR="000E05B0" w:rsidRDefault="000E05B0" w:rsidP="00145A08">
      <w:pPr>
        <w:rPr>
          <w:szCs w:val="20"/>
        </w:rPr>
      </w:pPr>
      <w:r w:rsidRPr="00EA6CD8">
        <w:rPr>
          <w:szCs w:val="20"/>
        </w:rPr>
        <w:lastRenderedPageBreak/>
        <w:t xml:space="preserve">The </w:t>
      </w:r>
      <w:r w:rsidR="00A46C75">
        <w:rPr>
          <w:szCs w:val="20"/>
        </w:rPr>
        <w:t xml:space="preserve">clinic </w:t>
      </w:r>
      <w:r w:rsidRPr="00EA6CD8">
        <w:rPr>
          <w:szCs w:val="20"/>
        </w:rPr>
        <w:t>staff</w:t>
      </w:r>
      <w:r w:rsidR="00A46C75">
        <w:rPr>
          <w:szCs w:val="20"/>
        </w:rPr>
        <w:t xml:space="preserve"> at both </w:t>
      </w:r>
      <w:r w:rsidR="00876EF5">
        <w:rPr>
          <w:szCs w:val="20"/>
        </w:rPr>
        <w:t>s</w:t>
      </w:r>
      <w:r w:rsidR="00A46C75">
        <w:rPr>
          <w:szCs w:val="20"/>
        </w:rPr>
        <w:t>ites</w:t>
      </w:r>
      <w:r w:rsidRPr="00EA6CD8">
        <w:rPr>
          <w:szCs w:val="20"/>
        </w:rPr>
        <w:t xml:space="preserve"> thought patients would not be aware of any changes </w:t>
      </w:r>
      <w:r>
        <w:rPr>
          <w:szCs w:val="20"/>
        </w:rPr>
        <w:t xml:space="preserve">to </w:t>
      </w:r>
      <w:r w:rsidRPr="00EA6CD8">
        <w:rPr>
          <w:szCs w:val="20"/>
        </w:rPr>
        <w:t>their medical care</w:t>
      </w:r>
      <w:r>
        <w:rPr>
          <w:szCs w:val="20"/>
        </w:rPr>
        <w:t>;</w:t>
      </w:r>
      <w:r w:rsidRPr="00EA6CD8">
        <w:rPr>
          <w:szCs w:val="20"/>
        </w:rPr>
        <w:t xml:space="preserve"> therefore</w:t>
      </w:r>
      <w:r>
        <w:rPr>
          <w:szCs w:val="20"/>
        </w:rPr>
        <w:t>,</w:t>
      </w:r>
      <w:r w:rsidRPr="00EA6CD8">
        <w:rPr>
          <w:szCs w:val="20"/>
        </w:rPr>
        <w:t xml:space="preserve"> the</w:t>
      </w:r>
      <w:r>
        <w:rPr>
          <w:szCs w:val="20"/>
        </w:rPr>
        <w:t>y</w:t>
      </w:r>
      <w:r w:rsidRPr="00EA6CD8">
        <w:rPr>
          <w:szCs w:val="20"/>
        </w:rPr>
        <w:t xml:space="preserve"> would not be able to attribute any change</w:t>
      </w:r>
      <w:r>
        <w:rPr>
          <w:szCs w:val="20"/>
        </w:rPr>
        <w:t>s</w:t>
      </w:r>
      <w:r w:rsidRPr="00EA6CD8">
        <w:rPr>
          <w:szCs w:val="20"/>
        </w:rPr>
        <w:t xml:space="preserve"> to </w:t>
      </w:r>
      <w:r>
        <w:rPr>
          <w:szCs w:val="20"/>
        </w:rPr>
        <w:t xml:space="preserve">HCH. Patient awareness of their involvement in the program was </w:t>
      </w:r>
      <w:r w:rsidR="0083090E">
        <w:rPr>
          <w:szCs w:val="20"/>
        </w:rPr>
        <w:t>in fact</w:t>
      </w:r>
      <w:r>
        <w:rPr>
          <w:szCs w:val="20"/>
        </w:rPr>
        <w:t xml:space="preserve"> low and most </w:t>
      </w:r>
      <w:r w:rsidRPr="00EA6CD8" w:rsidDel="00C274DE">
        <w:rPr>
          <w:szCs w:val="20"/>
        </w:rPr>
        <w:t xml:space="preserve">of them were </w:t>
      </w:r>
      <w:r>
        <w:rPr>
          <w:szCs w:val="20"/>
        </w:rPr>
        <w:t>un</w:t>
      </w:r>
      <w:r w:rsidRPr="00EA6CD8" w:rsidDel="00C274DE">
        <w:rPr>
          <w:szCs w:val="20"/>
        </w:rPr>
        <w:t xml:space="preserve">aware of HCH or that they had signed up for </w:t>
      </w:r>
      <w:r>
        <w:rPr>
          <w:szCs w:val="20"/>
        </w:rPr>
        <w:t>the program</w:t>
      </w:r>
      <w:r w:rsidR="00A0204D">
        <w:rPr>
          <w:szCs w:val="20"/>
        </w:rPr>
        <w:t>.</w:t>
      </w:r>
    </w:p>
    <w:p w14:paraId="38E7D43E" w14:textId="5D1D7B8B" w:rsidR="00A0204D" w:rsidRDefault="00A0204D" w:rsidP="00A0204D">
      <w:pPr>
        <w:rPr>
          <w:szCs w:val="20"/>
        </w:rPr>
      </w:pPr>
      <w:r w:rsidRPr="00EA6CD8">
        <w:rPr>
          <w:szCs w:val="20"/>
        </w:rPr>
        <w:t xml:space="preserve">The patients </w:t>
      </w:r>
      <w:r w:rsidR="0083090E">
        <w:rPr>
          <w:szCs w:val="20"/>
        </w:rPr>
        <w:t>who</w:t>
      </w:r>
      <w:r w:rsidRPr="00EA6CD8">
        <w:rPr>
          <w:szCs w:val="20"/>
        </w:rPr>
        <w:t xml:space="preserve"> were interviewed had a good </w:t>
      </w:r>
      <w:r>
        <w:rPr>
          <w:szCs w:val="20"/>
        </w:rPr>
        <w:t xml:space="preserve">understanding </w:t>
      </w:r>
      <w:r w:rsidRPr="00EA6CD8">
        <w:rPr>
          <w:szCs w:val="20"/>
        </w:rPr>
        <w:t xml:space="preserve">of the association between lifestyle factors and their medical conditions, and they expressed </w:t>
      </w:r>
      <w:r>
        <w:rPr>
          <w:szCs w:val="20"/>
        </w:rPr>
        <w:t>awareness</w:t>
      </w:r>
      <w:r w:rsidRPr="00EA6CD8">
        <w:rPr>
          <w:szCs w:val="20"/>
        </w:rPr>
        <w:t xml:space="preserve"> that they needed to modify their lifestyle to improve their health. </w:t>
      </w:r>
      <w:r>
        <w:rPr>
          <w:szCs w:val="20"/>
        </w:rPr>
        <w:t>Most were aware of their care plan and that the doctors monitored the</w:t>
      </w:r>
      <w:r w:rsidR="001D6FB4">
        <w:rPr>
          <w:szCs w:val="20"/>
        </w:rPr>
        <w:t>ir health</w:t>
      </w:r>
      <w:r>
        <w:rPr>
          <w:szCs w:val="20"/>
        </w:rPr>
        <w:t xml:space="preserve"> through regular </w:t>
      </w:r>
      <w:r w:rsidR="001D6FB4">
        <w:rPr>
          <w:szCs w:val="20"/>
        </w:rPr>
        <w:t>follow-ups. S</w:t>
      </w:r>
      <w:r>
        <w:rPr>
          <w:szCs w:val="20"/>
        </w:rPr>
        <w:t>ome</w:t>
      </w:r>
      <w:r w:rsidR="001D6FB4">
        <w:rPr>
          <w:szCs w:val="20"/>
        </w:rPr>
        <w:t xml:space="preserve"> also</w:t>
      </w:r>
      <w:r>
        <w:rPr>
          <w:szCs w:val="20"/>
        </w:rPr>
        <w:t xml:space="preserve"> mentioned working towards specific goals, such as </w:t>
      </w:r>
      <w:r w:rsidRPr="00EA6CD8">
        <w:rPr>
          <w:szCs w:val="20"/>
        </w:rPr>
        <w:t>reduc</w:t>
      </w:r>
      <w:r>
        <w:rPr>
          <w:szCs w:val="20"/>
        </w:rPr>
        <w:t>ing</w:t>
      </w:r>
      <w:r w:rsidRPr="00EA6CD8">
        <w:rPr>
          <w:szCs w:val="20"/>
        </w:rPr>
        <w:t xml:space="preserve"> or quit</w:t>
      </w:r>
      <w:r>
        <w:rPr>
          <w:szCs w:val="20"/>
        </w:rPr>
        <w:t>ting</w:t>
      </w:r>
      <w:r w:rsidRPr="00EA6CD8">
        <w:rPr>
          <w:szCs w:val="20"/>
        </w:rPr>
        <w:t xml:space="preserve"> smoking (among the smokers),</w:t>
      </w:r>
      <w:r>
        <w:rPr>
          <w:szCs w:val="20"/>
        </w:rPr>
        <w:t xml:space="preserve"> lowering alcohol consumption,</w:t>
      </w:r>
      <w:r w:rsidRPr="00EA6CD8">
        <w:rPr>
          <w:szCs w:val="20"/>
        </w:rPr>
        <w:t xml:space="preserve"> improv</w:t>
      </w:r>
      <w:r>
        <w:rPr>
          <w:szCs w:val="20"/>
        </w:rPr>
        <w:t>ing</w:t>
      </w:r>
      <w:r w:rsidRPr="00EA6CD8">
        <w:rPr>
          <w:szCs w:val="20"/>
        </w:rPr>
        <w:t xml:space="preserve"> their diet, and increas</w:t>
      </w:r>
      <w:r>
        <w:rPr>
          <w:szCs w:val="20"/>
        </w:rPr>
        <w:t xml:space="preserve">ing </w:t>
      </w:r>
      <w:r w:rsidRPr="00EA6CD8">
        <w:rPr>
          <w:szCs w:val="20"/>
        </w:rPr>
        <w:t>physical activity</w:t>
      </w:r>
      <w:r w:rsidR="008B38EA">
        <w:rPr>
          <w:szCs w:val="20"/>
        </w:rPr>
        <w:t>:</w:t>
      </w:r>
      <w:r w:rsidR="00A561EE">
        <w:rPr>
          <w:szCs w:val="20"/>
        </w:rPr>
        <w:t xml:space="preserve"> </w:t>
      </w:r>
    </w:p>
    <w:p w14:paraId="30C61CAD" w14:textId="77777777" w:rsidR="00A0204D" w:rsidRDefault="00A0204D" w:rsidP="00A0204D">
      <w:pPr>
        <w:ind w:left="567" w:right="521"/>
        <w:rPr>
          <w:szCs w:val="20"/>
        </w:rPr>
      </w:pPr>
      <w:r w:rsidRPr="00A81B23">
        <w:rPr>
          <w:i/>
          <w:iCs/>
          <w:szCs w:val="20"/>
        </w:rPr>
        <w:t>“It was a continuous thing. I am a person with diabetes</w:t>
      </w:r>
      <w:r>
        <w:rPr>
          <w:i/>
          <w:iCs/>
          <w:szCs w:val="20"/>
        </w:rPr>
        <w:t>,</w:t>
      </w:r>
      <w:r w:rsidRPr="00A81B23">
        <w:rPr>
          <w:i/>
          <w:iCs/>
          <w:szCs w:val="20"/>
        </w:rPr>
        <w:t xml:space="preserve"> so I’ve got my doctor and every time I come and check in they keep track of me with…Records and chart going and I’ve got a goal that I have to try follow up. And I’m sure that other people have the same goal as well.”</w:t>
      </w:r>
      <w:r>
        <w:rPr>
          <w:szCs w:val="20"/>
        </w:rPr>
        <w:t xml:space="preserve"> [Patient 6, R5, Practice 20]</w:t>
      </w:r>
    </w:p>
    <w:p w14:paraId="171F3D90" w14:textId="60290003" w:rsidR="008B38EA" w:rsidRDefault="008B38EA" w:rsidP="000E05B0">
      <w:pPr>
        <w:rPr>
          <w:szCs w:val="20"/>
        </w:rPr>
      </w:pPr>
      <w:r w:rsidRPr="00EA6CD8">
        <w:rPr>
          <w:szCs w:val="20"/>
        </w:rPr>
        <w:t>No patient indicated they exercise</w:t>
      </w:r>
      <w:r w:rsidR="00CD541B">
        <w:rPr>
          <w:szCs w:val="20"/>
        </w:rPr>
        <w:t>d to increase</w:t>
      </w:r>
      <w:r w:rsidRPr="00EA6CD8">
        <w:rPr>
          <w:szCs w:val="20"/>
        </w:rPr>
        <w:t xml:space="preserve"> their physical activity</w:t>
      </w:r>
      <w:r w:rsidR="00CD541B">
        <w:rPr>
          <w:szCs w:val="20"/>
        </w:rPr>
        <w:t xml:space="preserve">; </w:t>
      </w:r>
      <w:r w:rsidR="00014795">
        <w:rPr>
          <w:szCs w:val="20"/>
        </w:rPr>
        <w:t>i</w:t>
      </w:r>
      <w:r w:rsidRPr="00EA6CD8">
        <w:rPr>
          <w:szCs w:val="20"/>
        </w:rPr>
        <w:t>nstead they mentioned doing work around the house and recreational outdoor activit</w:t>
      </w:r>
      <w:r w:rsidR="00014795">
        <w:rPr>
          <w:szCs w:val="20"/>
        </w:rPr>
        <w:t>ies</w:t>
      </w:r>
      <w:r w:rsidRPr="00EA6CD8">
        <w:rPr>
          <w:szCs w:val="20"/>
        </w:rPr>
        <w:t xml:space="preserve"> (such as camping).</w:t>
      </w:r>
    </w:p>
    <w:p w14:paraId="7F053342" w14:textId="05DE54F3" w:rsidR="005A7307" w:rsidRPr="00C733D3" w:rsidRDefault="005A7307" w:rsidP="000E05B0">
      <w:pPr>
        <w:rPr>
          <w:szCs w:val="20"/>
        </w:rPr>
      </w:pPr>
      <w:r w:rsidRPr="00C733D3">
        <w:rPr>
          <w:szCs w:val="20"/>
        </w:rPr>
        <w:t xml:space="preserve">Interviewees expressed ownership </w:t>
      </w:r>
      <w:r w:rsidR="00395FCF">
        <w:rPr>
          <w:szCs w:val="20"/>
        </w:rPr>
        <w:t>of</w:t>
      </w:r>
      <w:r w:rsidRPr="00C733D3">
        <w:rPr>
          <w:szCs w:val="20"/>
        </w:rPr>
        <w:t xml:space="preserve"> their health. This was evident when they were asked about how they manage their health. </w:t>
      </w:r>
      <w:r w:rsidR="00FA5E09">
        <w:rPr>
          <w:szCs w:val="20"/>
        </w:rPr>
        <w:t xml:space="preserve">They felt </w:t>
      </w:r>
      <w:r w:rsidRPr="00C733D3">
        <w:rPr>
          <w:szCs w:val="20"/>
        </w:rPr>
        <w:t>comfortable expressing their opinions and felt they had some control in managing their health. Some reflected on past cultural history which had contributed to their health</w:t>
      </w:r>
      <w:r w:rsidR="00FA5E09">
        <w:rPr>
          <w:szCs w:val="20"/>
        </w:rPr>
        <w:t>:</w:t>
      </w:r>
    </w:p>
    <w:p w14:paraId="786CB9DA" w14:textId="77777777" w:rsidR="008C32F3" w:rsidRPr="00C733D3" w:rsidRDefault="008C32F3" w:rsidP="008C32F3">
      <w:pPr>
        <w:ind w:left="567" w:right="521"/>
        <w:rPr>
          <w:szCs w:val="20"/>
        </w:rPr>
      </w:pPr>
      <w:r w:rsidRPr="00C733D3">
        <w:rPr>
          <w:i/>
          <w:iCs/>
          <w:szCs w:val="20"/>
        </w:rPr>
        <w:t>“I think [looking after my health is] my responsibility. You’ve got to try to look after yourself with doctor guidance and advice.”</w:t>
      </w:r>
      <w:r w:rsidRPr="00C733D3">
        <w:rPr>
          <w:szCs w:val="20"/>
        </w:rPr>
        <w:t xml:space="preserve"> [Patient 6, R5, Practice 20]</w:t>
      </w:r>
    </w:p>
    <w:p w14:paraId="058C590D" w14:textId="60259E24" w:rsidR="005A7307" w:rsidRPr="00C733D3" w:rsidRDefault="005A7307" w:rsidP="005A7307">
      <w:pPr>
        <w:ind w:left="567" w:right="521"/>
        <w:rPr>
          <w:szCs w:val="20"/>
        </w:rPr>
      </w:pPr>
      <w:r w:rsidRPr="00C733D3">
        <w:rPr>
          <w:i/>
          <w:iCs/>
          <w:szCs w:val="20"/>
        </w:rPr>
        <w:t>“...We’ve got ourselves into this, to be honest we’ve been diabetic and things like that, even increase sugar.</w:t>
      </w:r>
      <w:r w:rsidR="00A561EE">
        <w:rPr>
          <w:i/>
          <w:iCs/>
          <w:szCs w:val="20"/>
        </w:rPr>
        <w:t xml:space="preserve"> </w:t>
      </w:r>
      <w:r w:rsidRPr="00C733D3">
        <w:rPr>
          <w:i/>
          <w:iCs/>
          <w:szCs w:val="20"/>
        </w:rPr>
        <w:t>But in our day, here was no sugar or anything, [unclear] health everything people but not we...In a month now, so it’s pretty hard to get it but I’m trying my best to try.”</w:t>
      </w:r>
      <w:r w:rsidRPr="00C733D3">
        <w:rPr>
          <w:szCs w:val="20"/>
        </w:rPr>
        <w:t xml:space="preserve"> [Patient 4, R5, Practice 20]</w:t>
      </w:r>
    </w:p>
    <w:p w14:paraId="7AFA7051" w14:textId="53A4E832" w:rsidR="005A7307" w:rsidRPr="00C733D3" w:rsidRDefault="005A7307" w:rsidP="005A7307">
      <w:pPr>
        <w:ind w:left="567" w:right="521"/>
        <w:rPr>
          <w:szCs w:val="20"/>
        </w:rPr>
      </w:pPr>
      <w:r w:rsidRPr="00C733D3">
        <w:rPr>
          <w:i/>
          <w:iCs/>
          <w:szCs w:val="20"/>
        </w:rPr>
        <w:t xml:space="preserve">“Well, it’s my responsibility to [look after] my health…look after myself and to show my young kids and grandsons to </w:t>
      </w:r>
      <w:proofErr w:type="spellStart"/>
      <w:r w:rsidRPr="00C733D3">
        <w:rPr>
          <w:i/>
          <w:iCs/>
          <w:szCs w:val="20"/>
        </w:rPr>
        <w:t>do..all</w:t>
      </w:r>
      <w:proofErr w:type="spellEnd"/>
      <w:r w:rsidRPr="00C733D3">
        <w:rPr>
          <w:i/>
          <w:iCs/>
          <w:szCs w:val="20"/>
        </w:rPr>
        <w:t xml:space="preserve"> that sort of thing, like what are definitely giving me problem with that now that I’ve had blood pressure problem.</w:t>
      </w:r>
      <w:r w:rsidR="00A561EE">
        <w:rPr>
          <w:i/>
          <w:iCs/>
          <w:szCs w:val="20"/>
        </w:rPr>
        <w:t xml:space="preserve"> </w:t>
      </w:r>
      <w:r w:rsidRPr="00C733D3">
        <w:rPr>
          <w:i/>
          <w:iCs/>
          <w:szCs w:val="20"/>
        </w:rPr>
        <w:t>And all that gout thing from drinking [inaudible]. I’m going to try telling my grandkids and my families and grandkids...I keep telling them…”</w:t>
      </w:r>
      <w:r w:rsidRPr="00C733D3">
        <w:rPr>
          <w:szCs w:val="20"/>
        </w:rPr>
        <w:t xml:space="preserve"> [Patient 7, R5, Practice 20]</w:t>
      </w:r>
    </w:p>
    <w:p w14:paraId="78A3E982" w14:textId="5B445000" w:rsidR="002233CD" w:rsidRPr="00F940FD" w:rsidRDefault="005A7307" w:rsidP="002233CD">
      <w:pPr>
        <w:rPr>
          <w:szCs w:val="20"/>
        </w:rPr>
      </w:pPr>
      <w:r>
        <w:rPr>
          <w:szCs w:val="20"/>
        </w:rPr>
        <w:t xml:space="preserve">Patients appeared to have good access to the medical staff at the clinic and most </w:t>
      </w:r>
      <w:r w:rsidRPr="00C733D3">
        <w:rPr>
          <w:szCs w:val="20"/>
        </w:rPr>
        <w:t xml:space="preserve">patients indicated they felt comfortable speaking to the doctor and the nurse about their medical conditions. </w:t>
      </w:r>
      <w:r w:rsidR="002233CD">
        <w:rPr>
          <w:szCs w:val="20"/>
        </w:rPr>
        <w:t>T</w:t>
      </w:r>
      <w:r w:rsidR="002233CD" w:rsidRPr="00F940FD">
        <w:rPr>
          <w:szCs w:val="20"/>
        </w:rPr>
        <w:t xml:space="preserve">hey appreciated the support </w:t>
      </w:r>
      <w:r w:rsidR="002233CD">
        <w:rPr>
          <w:szCs w:val="20"/>
        </w:rPr>
        <w:t xml:space="preserve">they received from </w:t>
      </w:r>
      <w:r w:rsidR="002233CD" w:rsidRPr="00F940FD">
        <w:rPr>
          <w:szCs w:val="20"/>
        </w:rPr>
        <w:t>clinic staff and indicated certain staff members had been a major source of support for them and their families</w:t>
      </w:r>
      <w:r w:rsidR="002233CD">
        <w:rPr>
          <w:szCs w:val="20"/>
        </w:rPr>
        <w:t>:</w:t>
      </w:r>
    </w:p>
    <w:p w14:paraId="434222AD" w14:textId="77777777" w:rsidR="002233CD" w:rsidRDefault="002233CD" w:rsidP="002233CD">
      <w:pPr>
        <w:ind w:left="567" w:right="521"/>
        <w:rPr>
          <w:szCs w:val="20"/>
          <w:lang w:val="en-GB"/>
        </w:rPr>
      </w:pPr>
      <w:r w:rsidRPr="00F940FD">
        <w:rPr>
          <w:i/>
          <w:iCs/>
          <w:szCs w:val="20"/>
        </w:rPr>
        <w:t>“…[the] family support was helpful…Yes, nurses and doctor. [GP1] looks after me. He takes care of me so much, my medication, and he tells me if I need to take a different tablet…</w:t>
      </w:r>
      <w:r>
        <w:rPr>
          <w:i/>
          <w:iCs/>
          <w:szCs w:val="20"/>
        </w:rPr>
        <w:t>”</w:t>
      </w:r>
      <w:r w:rsidRPr="00F940FD">
        <w:rPr>
          <w:i/>
          <w:iCs/>
          <w:szCs w:val="20"/>
          <w:lang w:val="en-GB"/>
        </w:rPr>
        <w:t xml:space="preserve"> </w:t>
      </w:r>
      <w:r w:rsidRPr="00F940FD">
        <w:rPr>
          <w:szCs w:val="20"/>
          <w:lang w:val="en-GB"/>
        </w:rPr>
        <w:t>[Patient 5, R5, Practice 20]</w:t>
      </w:r>
    </w:p>
    <w:p w14:paraId="74B3DC51" w14:textId="291B8B0E" w:rsidR="005A7307" w:rsidRPr="00C733D3" w:rsidRDefault="005A7307" w:rsidP="000E05B0">
      <w:pPr>
        <w:rPr>
          <w:szCs w:val="20"/>
        </w:rPr>
      </w:pPr>
      <w:r w:rsidRPr="00C733D3">
        <w:rPr>
          <w:szCs w:val="20"/>
        </w:rPr>
        <w:lastRenderedPageBreak/>
        <w:t xml:space="preserve">Their routine checks allowed for more consistency and relationship building. </w:t>
      </w:r>
      <w:r w:rsidR="00B7146E">
        <w:rPr>
          <w:szCs w:val="20"/>
        </w:rPr>
        <w:t>R</w:t>
      </w:r>
      <w:r>
        <w:rPr>
          <w:szCs w:val="20"/>
        </w:rPr>
        <w:t xml:space="preserve">elationships with clinic staff and continuity of care </w:t>
      </w:r>
      <w:r w:rsidR="00525EB5">
        <w:rPr>
          <w:szCs w:val="20"/>
        </w:rPr>
        <w:t>were</w:t>
      </w:r>
      <w:r>
        <w:rPr>
          <w:szCs w:val="20"/>
        </w:rPr>
        <w:t xml:space="preserve"> important to patients</w:t>
      </w:r>
      <w:r w:rsidR="008F4CCC">
        <w:rPr>
          <w:szCs w:val="20"/>
        </w:rPr>
        <w:t>:</w:t>
      </w:r>
    </w:p>
    <w:p w14:paraId="33180A3C" w14:textId="77777777" w:rsidR="005A7307" w:rsidRDefault="005A7307" w:rsidP="005A7307">
      <w:pPr>
        <w:ind w:left="567" w:right="521"/>
        <w:rPr>
          <w:szCs w:val="20"/>
        </w:rPr>
      </w:pPr>
      <w:r w:rsidRPr="00030217">
        <w:rPr>
          <w:i/>
          <w:iCs/>
          <w:szCs w:val="20"/>
        </w:rPr>
        <w:t>“</w:t>
      </w:r>
      <w:r w:rsidRPr="00A13220">
        <w:rPr>
          <w:i/>
          <w:iCs/>
          <w:szCs w:val="20"/>
        </w:rPr>
        <w:t>I’d rather stay with one doctor. In fact, if [GP1] left here and somebody else, [GP1] is going on holiday and we get another doctor here, I actually avoid that doctor. I’ll wait for [GP1] to come back.</w:t>
      </w:r>
      <w:r w:rsidRPr="00030217">
        <w:rPr>
          <w:i/>
          <w:iCs/>
          <w:szCs w:val="20"/>
        </w:rPr>
        <w:t>”</w:t>
      </w:r>
      <w:r w:rsidRPr="00030217">
        <w:rPr>
          <w:szCs w:val="20"/>
        </w:rPr>
        <w:t xml:space="preserve"> [Patient 6, R5, Practice 20]</w:t>
      </w:r>
    </w:p>
    <w:p w14:paraId="3C4D6E8C" w14:textId="77777777" w:rsidR="005A7307" w:rsidRDefault="005A7307" w:rsidP="005A7307">
      <w:pPr>
        <w:ind w:left="567" w:right="521"/>
        <w:rPr>
          <w:szCs w:val="20"/>
        </w:rPr>
      </w:pPr>
      <w:r w:rsidRPr="00F10A4A">
        <w:rPr>
          <w:i/>
          <w:iCs/>
          <w:szCs w:val="20"/>
        </w:rPr>
        <w:t>“So, there’s different doctors sometimes that makes is hard because you’ve got to repeat yourself.”</w:t>
      </w:r>
      <w:r>
        <w:rPr>
          <w:szCs w:val="20"/>
        </w:rPr>
        <w:t xml:space="preserve"> [Patient 4, R5, Practice 20]</w:t>
      </w:r>
    </w:p>
    <w:p w14:paraId="42C3367B" w14:textId="618A1B89" w:rsidR="00145A08" w:rsidRDefault="005A7307" w:rsidP="000E05B0">
      <w:pPr>
        <w:rPr>
          <w:szCs w:val="20"/>
        </w:rPr>
      </w:pPr>
      <w:r w:rsidRPr="009425BF">
        <w:rPr>
          <w:szCs w:val="20"/>
        </w:rPr>
        <w:t>Interviewees also highlighted a</w:t>
      </w:r>
      <w:r w:rsidRPr="001849B5">
        <w:rPr>
          <w:szCs w:val="20"/>
        </w:rPr>
        <w:t xml:space="preserve">ccess to other </w:t>
      </w:r>
      <w:r w:rsidRPr="009425BF">
        <w:rPr>
          <w:szCs w:val="20"/>
        </w:rPr>
        <w:t xml:space="preserve">health professionals </w:t>
      </w:r>
      <w:r w:rsidR="008F4CCC">
        <w:rPr>
          <w:szCs w:val="20"/>
        </w:rPr>
        <w:t>who</w:t>
      </w:r>
      <w:r w:rsidRPr="009425BF">
        <w:rPr>
          <w:szCs w:val="20"/>
        </w:rPr>
        <w:t xml:space="preserve"> visited the community. These additional services included p</w:t>
      </w:r>
      <w:r w:rsidRPr="001849B5">
        <w:rPr>
          <w:szCs w:val="20"/>
        </w:rPr>
        <w:t>harmacy, podiatry</w:t>
      </w:r>
      <w:r w:rsidRPr="009425BF">
        <w:rPr>
          <w:szCs w:val="20"/>
        </w:rPr>
        <w:t xml:space="preserve">, dentistry </w:t>
      </w:r>
      <w:r w:rsidRPr="001849B5">
        <w:rPr>
          <w:szCs w:val="20"/>
        </w:rPr>
        <w:t xml:space="preserve">and </w:t>
      </w:r>
      <w:r w:rsidRPr="009425BF">
        <w:rPr>
          <w:szCs w:val="20"/>
        </w:rPr>
        <w:t>optometry.</w:t>
      </w:r>
    </w:p>
    <w:p w14:paraId="28080F8D" w14:textId="451B2705" w:rsidR="00232313" w:rsidRDefault="00232313" w:rsidP="000E05B0">
      <w:pPr>
        <w:rPr>
          <w:szCs w:val="20"/>
        </w:rPr>
      </w:pPr>
      <w:r w:rsidRPr="00232313">
        <w:rPr>
          <w:szCs w:val="20"/>
        </w:rPr>
        <w:t>Most patients did not recommend any changes to the health care provided at the clinic, but a few highlighted specific enhancements they felt would improve the health of the community, such as additional contact from clinic staff and more support to older community members.</w:t>
      </w:r>
    </w:p>
    <w:p w14:paraId="2A38350C" w14:textId="77777777" w:rsidR="00221A5E" w:rsidRPr="00145A08" w:rsidRDefault="00221A5E" w:rsidP="00221A5E">
      <w:pPr>
        <w:pStyle w:val="Heading2"/>
        <w:rPr>
          <w:rFonts w:eastAsiaTheme="majorEastAsia"/>
        </w:rPr>
      </w:pPr>
      <w:bookmarkStart w:id="253" w:name="_Toc58256883"/>
      <w:bookmarkStart w:id="254" w:name="_Toc109996703"/>
      <w:r w:rsidRPr="00145A08">
        <w:rPr>
          <w:rFonts w:eastAsiaTheme="majorEastAsia"/>
        </w:rPr>
        <w:t>Pharmacy services</w:t>
      </w:r>
      <w:bookmarkEnd w:id="253"/>
      <w:bookmarkEnd w:id="254"/>
    </w:p>
    <w:p w14:paraId="4957E83F" w14:textId="5BA65BF5" w:rsidR="00221A5E" w:rsidRPr="00145A08" w:rsidRDefault="00221A5E" w:rsidP="00221A5E">
      <w:r w:rsidRPr="00145A08">
        <w:t>Neither site had referred patients to a community pharmacy to receive services under the community pharmacy trial. One of the sites ha</w:t>
      </w:r>
      <w:r w:rsidR="008C32F3">
        <w:t>d</w:t>
      </w:r>
      <w:r w:rsidRPr="00145A08">
        <w:t xml:space="preserve"> a medicine room that </w:t>
      </w:r>
      <w:r w:rsidR="008C32F3">
        <w:t>wa</w:t>
      </w:r>
      <w:r w:rsidRPr="00145A08">
        <w:t>s overseen by the clinic manager. Patients receive</w:t>
      </w:r>
      <w:r w:rsidR="008C32F3">
        <w:t>d</w:t>
      </w:r>
      <w:r w:rsidRPr="00145A08">
        <w:t xml:space="preserve"> medicines at the clinic and the GPs ha</w:t>
      </w:r>
      <w:r w:rsidR="008C32F3">
        <w:t>d</w:t>
      </w:r>
      <w:r w:rsidRPr="00145A08">
        <w:t xml:space="preserve"> access to a pharmacist </w:t>
      </w:r>
      <w:r w:rsidR="008C32F3">
        <w:t>for</w:t>
      </w:r>
      <w:r w:rsidRPr="00145A08">
        <w:t xml:space="preserve"> any questions. Pharmacists employed by the ACCHS travel</w:t>
      </w:r>
      <w:r w:rsidR="008C32F3">
        <w:t>led</w:t>
      </w:r>
      <w:r w:rsidRPr="00145A08">
        <w:t xml:space="preserve"> to the clinic about every eight weeks to review the medicine room and oversee processes. A contracted pharmacy provider also undert</w:t>
      </w:r>
      <w:r w:rsidR="008C32F3">
        <w:t>ook</w:t>
      </w:r>
      <w:r w:rsidRPr="00145A08">
        <w:t xml:space="preserve"> six-monthly reviews. </w:t>
      </w:r>
    </w:p>
    <w:p w14:paraId="4C759F63" w14:textId="6D29EBA1" w:rsidR="00221A5E" w:rsidRPr="00145A08" w:rsidRDefault="00221A5E" w:rsidP="00221A5E">
      <w:r w:rsidRPr="00145A08">
        <w:t>The other case study site order</w:t>
      </w:r>
      <w:r w:rsidR="008C32F3">
        <w:t>ed</w:t>
      </w:r>
      <w:r w:rsidRPr="00145A08">
        <w:t xml:space="preserve"> medications for patients through a pharmacy in Darwin. The medications </w:t>
      </w:r>
      <w:r w:rsidR="008C32F3">
        <w:t>were</w:t>
      </w:r>
      <w:r w:rsidRPr="00145A08">
        <w:t xml:space="preserve"> delivered each week. The ACCHS employ</w:t>
      </w:r>
      <w:r w:rsidR="008C32F3">
        <w:t>ed</w:t>
      </w:r>
      <w:r w:rsidRPr="00145A08">
        <w:t xml:space="preserve"> a pharmacist, and they participate in the monthly meetings where patient care is discussed. On other occasions, the pharmacist contacts the GP to discuss the medications a patient is taking. Some patients look</w:t>
      </w:r>
      <w:r w:rsidR="008C32F3">
        <w:t>ed</w:t>
      </w:r>
      <w:r w:rsidRPr="00145A08">
        <w:t xml:space="preserve"> after their own medicines, but for others</w:t>
      </w:r>
      <w:r w:rsidR="008C32F3">
        <w:t>,</w:t>
      </w:r>
      <w:r w:rsidRPr="00145A08">
        <w:t xml:space="preserve"> the clinic dispense</w:t>
      </w:r>
      <w:r w:rsidR="008C32F3">
        <w:t>d</w:t>
      </w:r>
      <w:r w:rsidRPr="00145A08">
        <w:t xml:space="preserve"> their medicines each day.</w:t>
      </w:r>
    </w:p>
    <w:p w14:paraId="57708563" w14:textId="77777777" w:rsidR="00221A5E" w:rsidRPr="00145A08" w:rsidRDefault="00221A5E" w:rsidP="00221A5E">
      <w:pPr>
        <w:widowControl w:val="0"/>
      </w:pPr>
      <w:r w:rsidRPr="00145A08">
        <w:t xml:space="preserve">Remote clinics operate under the Highly Specialised Drugs program that provides access to specialised PBS medicines for the treatment of chronic conditions. Dispensing staff are required to undertake specific training. </w:t>
      </w:r>
    </w:p>
    <w:p w14:paraId="12B9FA70" w14:textId="6BE7A562" w:rsidR="00221A5E" w:rsidRPr="00145A08" w:rsidRDefault="00221A5E" w:rsidP="00221A5E">
      <w:pPr>
        <w:widowControl w:val="0"/>
      </w:pPr>
      <w:r w:rsidRPr="00145A08">
        <w:t>The community pharmacy trial was not viewed as relevant in the remote context by staff at one of the case study sites. For clinics in remote communities, teaming up with a pharmacy would not lighten their workload as clinic staff dispense</w:t>
      </w:r>
      <w:r w:rsidR="008C32F3">
        <w:t>d</w:t>
      </w:r>
      <w:r w:rsidRPr="00145A08">
        <w:t xml:space="preserve"> medications.</w:t>
      </w:r>
    </w:p>
    <w:p w14:paraId="03C95B81" w14:textId="37447BE5" w:rsidR="00221A5E" w:rsidRPr="00145A08" w:rsidRDefault="00221A5E" w:rsidP="00221A5E">
      <w:r w:rsidRPr="00145A08">
        <w:t xml:space="preserve">In addition, staff members at </w:t>
      </w:r>
      <w:r w:rsidR="00DA0E89">
        <w:t>one of the</w:t>
      </w:r>
      <w:r w:rsidRPr="00145A08">
        <w:t xml:space="preserve"> site</w:t>
      </w:r>
      <w:r w:rsidR="00DA0E89">
        <w:t>s</w:t>
      </w:r>
      <w:r w:rsidRPr="00145A08">
        <w:t xml:space="preserve"> felt that it wasn’t desirable to have visiting community pharmacists consult with their patients, as it is clinic staff that have the ongoing relationships with patients. Also, patients should get advice and other services related to their medicines when its suits them rather than when a community pharmacist is visiting. A special example of this is patients visiting from other communities, who often require an unscheduled visit to the clinic for their medicines.</w:t>
      </w:r>
    </w:p>
    <w:p w14:paraId="27828CF6" w14:textId="3A90B8FF" w:rsidR="00AA1EF4" w:rsidRDefault="00221A5E" w:rsidP="008C32F3">
      <w:pPr>
        <w:rPr>
          <w:szCs w:val="20"/>
        </w:rPr>
      </w:pPr>
      <w:r w:rsidRPr="00145A08">
        <w:rPr>
          <w:szCs w:val="20"/>
        </w:rPr>
        <w:t xml:space="preserve">The GP at the </w:t>
      </w:r>
      <w:r w:rsidR="00DA0E89">
        <w:rPr>
          <w:szCs w:val="20"/>
        </w:rPr>
        <w:t>other</w:t>
      </w:r>
      <w:r w:rsidRPr="00145A08">
        <w:rPr>
          <w:szCs w:val="20"/>
        </w:rPr>
        <w:t xml:space="preserve"> site had heard of the </w:t>
      </w:r>
      <w:r w:rsidRPr="00145A08">
        <w:t xml:space="preserve">community pharmacy </w:t>
      </w:r>
      <w:r w:rsidR="002625CF" w:rsidRPr="00145A08">
        <w:t>trial</w:t>
      </w:r>
      <w:r w:rsidR="002625CF" w:rsidRPr="00145A08">
        <w:rPr>
          <w:szCs w:val="20"/>
        </w:rPr>
        <w:t xml:space="preserve"> but</w:t>
      </w:r>
      <w:r w:rsidRPr="00145A08">
        <w:rPr>
          <w:szCs w:val="20"/>
        </w:rPr>
        <w:t xml:space="preserve"> had not referred patients.</w:t>
      </w:r>
      <w:r w:rsidR="00AA1EF4">
        <w:rPr>
          <w:szCs w:val="20"/>
        </w:rPr>
        <w:br w:type="page"/>
      </w:r>
    </w:p>
    <w:p w14:paraId="560DF090" w14:textId="77777777" w:rsidR="00145A08" w:rsidRPr="00145A08" w:rsidRDefault="00145A08" w:rsidP="002F5D82">
      <w:pPr>
        <w:pStyle w:val="Heading2"/>
        <w:rPr>
          <w:rFonts w:eastAsiaTheme="majorEastAsia"/>
        </w:rPr>
      </w:pPr>
      <w:bookmarkStart w:id="255" w:name="_Toc58256886"/>
      <w:bookmarkStart w:id="256" w:name="_Toc109996704"/>
      <w:r w:rsidRPr="00145A08">
        <w:rPr>
          <w:rFonts w:eastAsiaTheme="majorEastAsia"/>
        </w:rPr>
        <w:lastRenderedPageBreak/>
        <w:t>ACCHS staff suggestions for HCH</w:t>
      </w:r>
      <w:bookmarkEnd w:id="255"/>
      <w:bookmarkEnd w:id="256"/>
    </w:p>
    <w:p w14:paraId="3EEE66C6" w14:textId="21241F19" w:rsidR="00664BAD" w:rsidRDefault="00664BAD" w:rsidP="00664BAD">
      <w:pPr>
        <w:rPr>
          <w:szCs w:val="20"/>
        </w:rPr>
      </w:pPr>
      <w:r>
        <w:rPr>
          <w:szCs w:val="20"/>
        </w:rPr>
        <w:t xml:space="preserve">Staff members at the first case study site described the program as a </w:t>
      </w:r>
      <w:r w:rsidR="00F163F2">
        <w:rPr>
          <w:szCs w:val="20"/>
        </w:rPr>
        <w:t>“</w:t>
      </w:r>
      <w:r>
        <w:rPr>
          <w:szCs w:val="20"/>
        </w:rPr>
        <w:t>success</w:t>
      </w:r>
      <w:r w:rsidR="00F163F2">
        <w:rPr>
          <w:szCs w:val="20"/>
        </w:rPr>
        <w:t>”</w:t>
      </w:r>
      <w:r>
        <w:rPr>
          <w:szCs w:val="20"/>
        </w:rPr>
        <w:t xml:space="preserve"> and hoped to continue certain aspects of the model, such as care planning, if existing funding arrangements permitted this. Staff advocated for the program to continue as they felt it was too soon to effectively measure health impacts and that the funding model was much more advantageous for health services in </w:t>
      </w:r>
      <w:r w:rsidRPr="00A13FD8">
        <w:rPr>
          <w:szCs w:val="20"/>
        </w:rPr>
        <w:t xml:space="preserve">rural and remote areas </w:t>
      </w:r>
      <w:r w:rsidR="00E602FD">
        <w:rPr>
          <w:szCs w:val="20"/>
        </w:rPr>
        <w:t>compared with</w:t>
      </w:r>
      <w:r>
        <w:rPr>
          <w:szCs w:val="20"/>
        </w:rPr>
        <w:t xml:space="preserve"> the traditional fee-for-service model:</w:t>
      </w:r>
    </w:p>
    <w:p w14:paraId="5AE9927E" w14:textId="1013070C" w:rsidR="00664BAD" w:rsidRDefault="00664BAD" w:rsidP="00664BAD">
      <w:pPr>
        <w:ind w:left="567" w:right="521"/>
        <w:rPr>
          <w:szCs w:val="20"/>
        </w:rPr>
      </w:pPr>
      <w:r w:rsidRPr="005D3E1B">
        <w:rPr>
          <w:i/>
          <w:iCs/>
          <w:szCs w:val="20"/>
        </w:rPr>
        <w:t xml:space="preserve">“I note the undeniable value of the HCH model (capitated payments for chronic disease) in supporting health services deliver care to people from culturally and linguistically diverse (CALD) groups, including Aboriginal people as well as migrants…HCH provided resources which allowed </w:t>
      </w:r>
      <w:r w:rsidR="00F5564F">
        <w:rPr>
          <w:i/>
          <w:iCs/>
          <w:szCs w:val="20"/>
        </w:rPr>
        <w:t>[health service]</w:t>
      </w:r>
      <w:r w:rsidRPr="005D3E1B">
        <w:rPr>
          <w:i/>
          <w:iCs/>
          <w:szCs w:val="20"/>
        </w:rPr>
        <w:t xml:space="preserve"> to fund detailed and regular review of care plans thus ensuring items included in the “to do box” at any one time made medical sense</w:t>
      </w:r>
      <w:r>
        <w:rPr>
          <w:i/>
          <w:iCs/>
          <w:szCs w:val="20"/>
        </w:rPr>
        <w:t>..</w:t>
      </w:r>
      <w:r w:rsidRPr="005D3E1B">
        <w:rPr>
          <w:i/>
          <w:iCs/>
          <w:szCs w:val="20"/>
        </w:rPr>
        <w:t>. In addition</w:t>
      </w:r>
      <w:r>
        <w:rPr>
          <w:i/>
          <w:iCs/>
          <w:szCs w:val="20"/>
        </w:rPr>
        <w:t>,</w:t>
      </w:r>
      <w:r w:rsidRPr="005D3E1B">
        <w:rPr>
          <w:i/>
          <w:iCs/>
          <w:szCs w:val="20"/>
        </w:rPr>
        <w:t xml:space="preserve"> the </w:t>
      </w:r>
      <w:r w:rsidR="00F5564F" w:rsidRPr="005D3E1B">
        <w:rPr>
          <w:i/>
          <w:iCs/>
          <w:szCs w:val="20"/>
        </w:rPr>
        <w:t>up-to-date</w:t>
      </w:r>
      <w:r w:rsidRPr="005D3E1B">
        <w:rPr>
          <w:i/>
          <w:iCs/>
          <w:szCs w:val="20"/>
        </w:rPr>
        <w:t xml:space="preserve"> care plans could be read by other treating clinicians and a more consistent medical approach could be counted on for that client…The usual fee</w:t>
      </w:r>
      <w:r w:rsidR="00D348A5">
        <w:rPr>
          <w:i/>
          <w:iCs/>
          <w:szCs w:val="20"/>
        </w:rPr>
        <w:t>-</w:t>
      </w:r>
      <w:r w:rsidRPr="005D3E1B">
        <w:rPr>
          <w:i/>
          <w:iCs/>
          <w:szCs w:val="20"/>
        </w:rPr>
        <w:t>for</w:t>
      </w:r>
      <w:r w:rsidR="00D348A5">
        <w:rPr>
          <w:i/>
          <w:iCs/>
          <w:szCs w:val="20"/>
        </w:rPr>
        <w:t>-</w:t>
      </w:r>
      <w:r w:rsidRPr="005D3E1B">
        <w:rPr>
          <w:i/>
          <w:iCs/>
          <w:szCs w:val="20"/>
        </w:rPr>
        <w:t>service billing model for services can miss out on the MBS funding for 721 and 723 for people from CALD backgrounds because GPs may not be satisfied the patient has been appropriately/ sufficiently engaged in the consultations.”</w:t>
      </w:r>
      <w:r>
        <w:rPr>
          <w:i/>
          <w:iCs/>
          <w:szCs w:val="20"/>
        </w:rPr>
        <w:t xml:space="preserve"> </w:t>
      </w:r>
      <w:r>
        <w:rPr>
          <w:szCs w:val="20"/>
        </w:rPr>
        <w:t xml:space="preserve">[Medical Director, </w:t>
      </w:r>
      <w:r w:rsidRPr="7A26A11E">
        <w:rPr>
          <w:szCs w:val="20"/>
        </w:rPr>
        <w:t xml:space="preserve">Email correspondence, </w:t>
      </w:r>
      <w:r>
        <w:rPr>
          <w:szCs w:val="20"/>
        </w:rPr>
        <w:t>R5, Practice 20]</w:t>
      </w:r>
    </w:p>
    <w:p w14:paraId="4DA5E070" w14:textId="60A6D3F3" w:rsidR="00664BAD" w:rsidRDefault="00664BAD" w:rsidP="00664BAD">
      <w:pPr>
        <w:rPr>
          <w:szCs w:val="20"/>
        </w:rPr>
      </w:pPr>
      <w:r>
        <w:rPr>
          <w:szCs w:val="20"/>
        </w:rPr>
        <w:t>The flexibility of the model allowed staff to be compensated for their non-client facing work</w:t>
      </w:r>
      <w:r w:rsidR="001478F3">
        <w:rPr>
          <w:szCs w:val="20"/>
        </w:rPr>
        <w:t>,</w:t>
      </w:r>
      <w:r>
        <w:rPr>
          <w:szCs w:val="20"/>
        </w:rPr>
        <w:t xml:space="preserve"> which </w:t>
      </w:r>
      <w:r w:rsidR="001478F3">
        <w:rPr>
          <w:szCs w:val="20"/>
        </w:rPr>
        <w:t>they</w:t>
      </w:r>
      <w:r>
        <w:rPr>
          <w:szCs w:val="20"/>
        </w:rPr>
        <w:t xml:space="preserve"> reflected had enhanced patient management and promoted preventative rather than reactive care. In the long run, staff felt the program would help to improve patient outcomes</w:t>
      </w:r>
      <w:r w:rsidR="001478F3">
        <w:rPr>
          <w:szCs w:val="20"/>
        </w:rPr>
        <w:t>:</w:t>
      </w:r>
    </w:p>
    <w:p w14:paraId="6F9FFB68" w14:textId="77777777" w:rsidR="00664BAD" w:rsidRPr="00187F2E" w:rsidRDefault="00664BAD" w:rsidP="00664BAD">
      <w:pPr>
        <w:ind w:left="567" w:right="521"/>
        <w:rPr>
          <w:szCs w:val="20"/>
        </w:rPr>
      </w:pPr>
      <w:r w:rsidRPr="006A67A2">
        <w:rPr>
          <w:i/>
          <w:iCs/>
          <w:szCs w:val="20"/>
        </w:rPr>
        <w:t xml:space="preserve"> “…if I had control, I would continue it because two years is very difficult to actually measure quantitatively the outcomes. You can probably do a qualitative measure of the outcomes but quantitatively two years probably is a small amount of time.” </w:t>
      </w:r>
      <w:r>
        <w:rPr>
          <w:szCs w:val="20"/>
        </w:rPr>
        <w:t>[Clinic Coordinator, R5, Practice 20]</w:t>
      </w:r>
    </w:p>
    <w:p w14:paraId="6FD2A305" w14:textId="168A587A" w:rsidR="00145A08" w:rsidRPr="00145A08" w:rsidRDefault="00145A08" w:rsidP="00145A08">
      <w:r w:rsidRPr="00145A08">
        <w:t xml:space="preserve">Staff members at the </w:t>
      </w:r>
      <w:r w:rsidR="00BC042F">
        <w:t>second case study</w:t>
      </w:r>
      <w:r w:rsidRPr="00145A08">
        <w:t xml:space="preserve"> site had several recommendations for HCH. These included:</w:t>
      </w:r>
    </w:p>
    <w:p w14:paraId="7EC4E76E" w14:textId="77777777" w:rsidR="00145A08" w:rsidRPr="00145A08" w:rsidRDefault="00145A08" w:rsidP="00BB7C8D">
      <w:pPr>
        <w:numPr>
          <w:ilvl w:val="0"/>
          <w:numId w:val="43"/>
        </w:numPr>
        <w:ind w:left="714" w:hanging="357"/>
        <w:contextualSpacing/>
      </w:pPr>
      <w:r w:rsidRPr="00145A08">
        <w:t xml:space="preserve">Clarification of explanations of what constitutes acute care versus chronic care in the context of chronic disease. </w:t>
      </w:r>
    </w:p>
    <w:p w14:paraId="62EF6776" w14:textId="6CC1D809" w:rsidR="00145A08" w:rsidRPr="00145A08" w:rsidRDefault="00145A08" w:rsidP="00BB7C8D">
      <w:pPr>
        <w:numPr>
          <w:ilvl w:val="0"/>
          <w:numId w:val="43"/>
        </w:numPr>
        <w:ind w:left="714" w:hanging="357"/>
        <w:contextualSpacing/>
      </w:pPr>
      <w:r w:rsidRPr="00145A08">
        <w:t>Consider an additional tier – or even tiers – for remote chronic disease stratification.</w:t>
      </w:r>
    </w:p>
    <w:p w14:paraId="1561077D" w14:textId="77777777" w:rsidR="00145A08" w:rsidRPr="00145A08" w:rsidRDefault="00145A08" w:rsidP="00BB7C8D">
      <w:pPr>
        <w:numPr>
          <w:ilvl w:val="0"/>
          <w:numId w:val="43"/>
        </w:numPr>
        <w:ind w:left="714" w:hanging="357"/>
        <w:contextualSpacing/>
      </w:pPr>
      <w:r w:rsidRPr="00145A08">
        <w:t>In future iterations of HCH that involve additional pharmacy services, consider how pharmacy is delivered in remote settings.</w:t>
      </w:r>
    </w:p>
    <w:p w14:paraId="46691649" w14:textId="77777777" w:rsidR="00145A08" w:rsidRPr="00145A08" w:rsidRDefault="00145A08" w:rsidP="00BB7C8D">
      <w:pPr>
        <w:numPr>
          <w:ilvl w:val="0"/>
          <w:numId w:val="43"/>
        </w:numPr>
        <w:ind w:left="714" w:hanging="357"/>
        <w:contextualSpacing/>
      </w:pPr>
      <w:r w:rsidRPr="00145A08">
        <w:t xml:space="preserve">Review the HARP tool for plain language wording and the degree to which it reflects the remote context, particularly Part B. </w:t>
      </w:r>
    </w:p>
    <w:p w14:paraId="4888BA1F" w14:textId="77777777" w:rsidR="00145A08" w:rsidRPr="00145A08" w:rsidRDefault="00145A08" w:rsidP="00BB7C8D">
      <w:pPr>
        <w:numPr>
          <w:ilvl w:val="0"/>
          <w:numId w:val="43"/>
        </w:numPr>
        <w:ind w:left="714" w:hanging="357"/>
      </w:pPr>
      <w:r w:rsidRPr="00145A08">
        <w:t>Consider developing a consent form that is relevant to ACCHS and is in plain language.</w:t>
      </w:r>
    </w:p>
    <w:p w14:paraId="7F55454E" w14:textId="2C052EF3" w:rsidR="00D772F4" w:rsidRDefault="00D17A72" w:rsidP="00E02BF0">
      <w:r>
        <w:t>In the second round of interviews</w:t>
      </w:r>
      <w:r w:rsidR="008C223F">
        <w:t>,</w:t>
      </w:r>
      <w:r w:rsidR="00D772F4">
        <w:t xml:space="preserve"> ACCHS staff and the peak body reiterated some of the earlier suggestions and added </w:t>
      </w:r>
      <w:r w:rsidR="00F07742">
        <w:t>to them</w:t>
      </w:r>
      <w:r w:rsidR="00D772F4">
        <w:t>.</w:t>
      </w:r>
    </w:p>
    <w:p w14:paraId="18D71107" w14:textId="10548105" w:rsidR="00145A08" w:rsidRDefault="00D772F4" w:rsidP="00E02BF0">
      <w:r>
        <w:lastRenderedPageBreak/>
        <w:t>In relation</w:t>
      </w:r>
      <w:r w:rsidR="00D17A72">
        <w:t xml:space="preserve"> to additional tier or tiers</w:t>
      </w:r>
      <w:r>
        <w:t xml:space="preserve"> t</w:t>
      </w:r>
      <w:r w:rsidR="00A92A0A">
        <w:t>hey suggested that s</w:t>
      </w:r>
      <w:r w:rsidR="00A92A0A" w:rsidRPr="00A92A0A">
        <w:t>tratification that reflects the complexity and uniqueness of the client base is required. Some complex clients have</w:t>
      </w:r>
      <w:r w:rsidR="00A92A0A">
        <w:t xml:space="preserve"> more than 250</w:t>
      </w:r>
      <w:r w:rsidR="00A92A0A" w:rsidRPr="00A92A0A">
        <w:t xml:space="preserve"> </w:t>
      </w:r>
      <w:r w:rsidR="00A92A0A">
        <w:t>c</w:t>
      </w:r>
      <w:r w:rsidR="00A92A0A" w:rsidRPr="00A92A0A">
        <w:t xml:space="preserve">linic contacts in a year. It’s clear that some high need clients do better under Medicare and concern exists that this could lead to cherry picking if not managed through clear guidelines. A guide to the number of contacts in each </w:t>
      </w:r>
      <w:r w:rsidR="00A92A0A">
        <w:t>t</w:t>
      </w:r>
      <w:r w:rsidR="00A92A0A" w:rsidRPr="00A92A0A">
        <w:t xml:space="preserve">ier </w:t>
      </w:r>
      <w:r w:rsidR="00A92A0A">
        <w:t>was</w:t>
      </w:r>
      <w:r w:rsidR="00A92A0A" w:rsidRPr="00A92A0A">
        <w:t xml:space="preserve"> also suggested.</w:t>
      </w:r>
    </w:p>
    <w:p w14:paraId="521E32DF" w14:textId="35D1C7C3" w:rsidR="00A92A0A" w:rsidRDefault="002E3121" w:rsidP="00E02BF0">
      <w:r>
        <w:t xml:space="preserve">In relation to patient enrolment, it was suggested that </w:t>
      </w:r>
      <w:r w:rsidRPr="002E3121">
        <w:t xml:space="preserve">an opt out process </w:t>
      </w:r>
      <w:r>
        <w:t>to</w:t>
      </w:r>
      <w:r w:rsidRPr="002E3121">
        <w:t xml:space="preserve"> simplify the enrolment process would be useful</w:t>
      </w:r>
      <w:r>
        <w:t>.</w:t>
      </w:r>
    </w:p>
    <w:p w14:paraId="672AF885" w14:textId="052AAF63" w:rsidR="00754378" w:rsidRDefault="002404EB" w:rsidP="00032A68">
      <w:r>
        <w:t xml:space="preserve">Finally, in relation to </w:t>
      </w:r>
      <w:r w:rsidR="00A25D89">
        <w:t>the HCH model, they</w:t>
      </w:r>
      <w:r w:rsidR="00A25D89" w:rsidRPr="00A25D89">
        <w:t xml:space="preserve"> suggested that </w:t>
      </w:r>
      <w:r w:rsidR="00060301">
        <w:t>it</w:t>
      </w:r>
      <w:r w:rsidR="00A25D89" w:rsidRPr="00A25D89">
        <w:t xml:space="preserve"> could be simplified. </w:t>
      </w:r>
      <w:r w:rsidR="00060301">
        <w:t>It was thought that the training m</w:t>
      </w:r>
      <w:r w:rsidR="00A25D89" w:rsidRPr="00A25D89">
        <w:t>odules contain</w:t>
      </w:r>
      <w:r w:rsidR="00060301">
        <w:t>ed</w:t>
      </w:r>
      <w:r w:rsidR="00A25D89" w:rsidRPr="00A25D89">
        <w:t xml:space="preserve"> too many concepts </w:t>
      </w:r>
      <w:r w:rsidR="00060301">
        <w:t xml:space="preserve">for people on the ground to absorb </w:t>
      </w:r>
      <w:r w:rsidR="00723571">
        <w:t>d</w:t>
      </w:r>
      <w:r w:rsidR="00A25D89" w:rsidRPr="00A25D89">
        <w:t xml:space="preserve">ue to </w:t>
      </w:r>
      <w:r w:rsidR="00723571">
        <w:t>time</w:t>
      </w:r>
      <w:r w:rsidR="00B36BC0">
        <w:t xml:space="preserve">, and the philosophy and theory in particular could be pared back to expose </w:t>
      </w:r>
      <w:r w:rsidR="002E2702">
        <w:t>the practical elements of the model that could be implemented.</w:t>
      </w:r>
    </w:p>
    <w:p w14:paraId="486E32F4" w14:textId="77777777" w:rsidR="00754378" w:rsidRDefault="00754378" w:rsidP="00754378">
      <w:pPr>
        <w:rPr>
          <w:rFonts w:eastAsia="Muli" w:cs="Muli"/>
          <w:color w:val="000000" w:themeColor="text1"/>
          <w:szCs w:val="20"/>
        </w:rPr>
      </w:pPr>
    </w:p>
    <w:p w14:paraId="4DFCEB25" w14:textId="77777777" w:rsidR="00C63DCD" w:rsidRDefault="00C63DCD" w:rsidP="00032A68">
      <w:pPr>
        <w:sectPr w:rsidR="00C63DCD">
          <w:pgSz w:w="11906" w:h="16838"/>
          <w:pgMar w:top="1440" w:right="1440" w:bottom="1440" w:left="1440" w:header="708" w:footer="708" w:gutter="0"/>
          <w:cols w:space="708"/>
          <w:docGrid w:linePitch="360"/>
        </w:sectPr>
      </w:pPr>
    </w:p>
    <w:p w14:paraId="2A45F520" w14:textId="1A5C10DD" w:rsidR="001B7F69" w:rsidRPr="0094369A" w:rsidRDefault="001B7F69" w:rsidP="001B7F69">
      <w:pPr>
        <w:pStyle w:val="ChapterNumber"/>
      </w:pPr>
      <w:r>
        <w:lastRenderedPageBreak/>
        <w:fldChar w:fldCharType="begin"/>
      </w:r>
      <w:r>
        <w:instrText xml:space="preserve"> REF _Ref89273390 \r \h </w:instrText>
      </w:r>
      <w:r>
        <w:fldChar w:fldCharType="separate"/>
      </w:r>
      <w:r w:rsidR="003C4BC2">
        <w:t>13</w:t>
      </w:r>
      <w:r>
        <w:fldChar w:fldCharType="end"/>
      </w:r>
    </w:p>
    <w:p w14:paraId="58D98C63" w14:textId="288F81BE" w:rsidR="001B7F69" w:rsidRDefault="00721A3E" w:rsidP="001B7F69">
      <w:pPr>
        <w:pStyle w:val="Heading1withnumber"/>
        <w:ind w:left="0" w:hanging="993"/>
      </w:pPr>
      <w:bookmarkStart w:id="257" w:name="_Ref89273390"/>
      <w:bookmarkStart w:id="258" w:name="_Ref103764817"/>
      <w:bookmarkStart w:id="259" w:name="_Toc109996705"/>
      <w:r>
        <w:t xml:space="preserve">Effects of </w:t>
      </w:r>
      <w:r w:rsidR="00C56B68">
        <w:t>location, size, ownership or patient</w:t>
      </w:r>
      <w:bookmarkEnd w:id="257"/>
      <w:r w:rsidR="00C56B68">
        <w:t xml:space="preserve"> volume</w:t>
      </w:r>
      <w:bookmarkEnd w:id="258"/>
      <w:bookmarkEnd w:id="259"/>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C92AD4" w:rsidRPr="0048466A" w14:paraId="31F9525F" w14:textId="77777777" w:rsidTr="0032660B">
        <w:tc>
          <w:tcPr>
            <w:tcW w:w="8996" w:type="dxa"/>
            <w:shd w:val="clear" w:color="auto" w:fill="auto"/>
          </w:tcPr>
          <w:p w14:paraId="4C253E11" w14:textId="2E1B131A" w:rsidR="00C92AD4" w:rsidRPr="006201AB" w:rsidRDefault="00C92AD4" w:rsidP="00AF15A5">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20</w:t>
            </w:r>
            <w:r w:rsidRPr="006201AB">
              <w:rPr>
                <w:bCs/>
                <w:noProof/>
              </w:rPr>
              <w:fldChar w:fldCharType="end"/>
            </w:r>
            <w:r w:rsidRPr="006201AB">
              <w:rPr>
                <w:bCs/>
                <w:szCs w:val="20"/>
              </w:rPr>
              <w:t>: Chapter summary</w:t>
            </w:r>
          </w:p>
          <w:p w14:paraId="6EF20459" w14:textId="77777777" w:rsidR="00C02D59" w:rsidRDefault="00C02D59" w:rsidP="00C02D59">
            <w:pPr>
              <w:spacing w:after="120"/>
              <w:rPr>
                <w:rFonts w:eastAsia="Muli" w:cs="Muli"/>
                <w:color w:val="000000" w:themeColor="text1"/>
                <w:sz w:val="18"/>
                <w:szCs w:val="18"/>
              </w:rPr>
            </w:pPr>
            <w:r>
              <w:rPr>
                <w:rFonts w:eastAsia="Muli" w:cs="Muli"/>
                <w:color w:val="000000" w:themeColor="text1"/>
                <w:sz w:val="18"/>
                <w:szCs w:val="18"/>
              </w:rPr>
              <w:t>Different barriers and enablers presented for practices in their implementation and operation of HCH based on their location, size, ownership model or volume of patients enrolled in the trial.</w:t>
            </w:r>
          </w:p>
          <w:p w14:paraId="559DBD92" w14:textId="73F29A2C" w:rsidR="00C02D59" w:rsidRDefault="00E602FD" w:rsidP="00C02D59">
            <w:pPr>
              <w:spacing w:after="120"/>
              <w:rPr>
                <w:rFonts w:eastAsia="Muli" w:cs="Muli"/>
                <w:color w:val="000000" w:themeColor="text1"/>
                <w:sz w:val="18"/>
                <w:szCs w:val="18"/>
              </w:rPr>
            </w:pPr>
            <w:r>
              <w:rPr>
                <w:rFonts w:eastAsia="Muli" w:cs="Muli"/>
                <w:color w:val="000000" w:themeColor="text1"/>
                <w:sz w:val="18"/>
                <w:szCs w:val="18"/>
              </w:rPr>
              <w:t>Compared with</w:t>
            </w:r>
            <w:r w:rsidR="00C02D59" w:rsidRPr="002F508C">
              <w:rPr>
                <w:rFonts w:eastAsia="Muli" w:cs="Muli"/>
                <w:color w:val="000000" w:themeColor="text1"/>
                <w:sz w:val="18"/>
                <w:szCs w:val="18"/>
              </w:rPr>
              <w:t xml:space="preserve"> practices in metropolitan and regional areas, rural and remote practices described additional challenges </w:t>
            </w:r>
            <w:r w:rsidR="00C02D59">
              <w:rPr>
                <w:rFonts w:eastAsia="Muli" w:cs="Muli"/>
                <w:color w:val="000000" w:themeColor="text1"/>
                <w:sz w:val="18"/>
                <w:szCs w:val="18"/>
              </w:rPr>
              <w:t xml:space="preserve">with </w:t>
            </w:r>
            <w:r w:rsidR="00C02D59" w:rsidRPr="002F508C">
              <w:rPr>
                <w:rFonts w:eastAsia="Muli" w:cs="Muli"/>
                <w:color w:val="000000" w:themeColor="text1"/>
                <w:sz w:val="18"/>
                <w:szCs w:val="18"/>
              </w:rPr>
              <w:t>participating in the trial. These were especially apparent during the</w:t>
            </w:r>
            <w:r w:rsidR="001A3C0F">
              <w:rPr>
                <w:rFonts w:eastAsia="Muli" w:cs="Muli"/>
                <w:color w:val="000000" w:themeColor="text1"/>
                <w:sz w:val="18"/>
                <w:szCs w:val="18"/>
              </w:rPr>
              <w:t xml:space="preserve"> early</w:t>
            </w:r>
            <w:r w:rsidR="00C02D59" w:rsidRPr="002F508C">
              <w:rPr>
                <w:rFonts w:eastAsia="Muli" w:cs="Muli"/>
                <w:color w:val="000000" w:themeColor="text1"/>
                <w:sz w:val="18"/>
                <w:szCs w:val="18"/>
              </w:rPr>
              <w:t xml:space="preserve"> implementation phase and included difficulties with IT set-up and internet connections, recruiting and retaining staff, and availability of supports and medical resources within the community resulting in reduced access to services</w:t>
            </w:r>
            <w:r w:rsidR="00C02D59">
              <w:rPr>
                <w:rFonts w:eastAsia="Muli" w:cs="Muli"/>
                <w:color w:val="000000" w:themeColor="text1"/>
                <w:sz w:val="18"/>
                <w:szCs w:val="18"/>
              </w:rPr>
              <w:t xml:space="preserve">. Collaboration with the PHN and other practices within the region was also more challenging due to the wide geographic distribution. </w:t>
            </w:r>
            <w:r w:rsidR="00C02D59" w:rsidRPr="00240296">
              <w:rPr>
                <w:rFonts w:eastAsia="Muli" w:cs="Muli"/>
                <w:color w:val="000000" w:themeColor="text1"/>
                <w:sz w:val="18"/>
                <w:szCs w:val="18"/>
              </w:rPr>
              <w:t xml:space="preserve">Widespread use and acceptance of telehealth and videoconferencing, </w:t>
            </w:r>
            <w:r w:rsidR="00B80D13">
              <w:rPr>
                <w:rFonts w:eastAsia="Muli" w:cs="Muli"/>
                <w:color w:val="000000" w:themeColor="text1"/>
                <w:sz w:val="18"/>
                <w:szCs w:val="18"/>
              </w:rPr>
              <w:t xml:space="preserve">which </w:t>
            </w:r>
            <w:r w:rsidR="00C02D59" w:rsidRPr="00240296">
              <w:rPr>
                <w:rFonts w:eastAsia="Muli" w:cs="Muli"/>
                <w:color w:val="000000" w:themeColor="text1"/>
                <w:sz w:val="18"/>
                <w:szCs w:val="18"/>
              </w:rPr>
              <w:t xml:space="preserve">accelerated during COVID-19, helped to improve </w:t>
            </w:r>
            <w:r w:rsidR="00C02D59">
              <w:rPr>
                <w:rFonts w:eastAsia="Muli" w:cs="Muli"/>
                <w:color w:val="000000" w:themeColor="text1"/>
                <w:sz w:val="18"/>
                <w:szCs w:val="18"/>
              </w:rPr>
              <w:t>collaboration.</w:t>
            </w:r>
          </w:p>
          <w:p w14:paraId="1F7E71F8" w14:textId="2D66EDB4" w:rsidR="00C02D59" w:rsidRDefault="00C02D59" w:rsidP="00C02D59">
            <w:pPr>
              <w:spacing w:after="120"/>
              <w:rPr>
                <w:rFonts w:eastAsia="Muli" w:cs="Muli"/>
                <w:color w:val="000000" w:themeColor="text1"/>
                <w:sz w:val="18"/>
                <w:szCs w:val="18"/>
              </w:rPr>
            </w:pPr>
            <w:r>
              <w:rPr>
                <w:rFonts w:eastAsia="Muli" w:cs="Muli"/>
                <w:color w:val="000000" w:themeColor="text1"/>
                <w:sz w:val="18"/>
                <w:szCs w:val="18"/>
              </w:rPr>
              <w:t>On the other hand, due to the lack of services outside of primary care, rural practices tend to be more holistic and team-oriented in their approach, and the bundled payment supported them in this, providing c</w:t>
            </w:r>
            <w:r w:rsidRPr="00FF58C8">
              <w:rPr>
                <w:rFonts w:eastAsia="Muli" w:cs="Muli"/>
                <w:color w:val="000000" w:themeColor="text1"/>
                <w:sz w:val="18"/>
                <w:szCs w:val="18"/>
              </w:rPr>
              <w:t xml:space="preserve">ertainty of funding and </w:t>
            </w:r>
            <w:r w:rsidR="00B0545B">
              <w:rPr>
                <w:rFonts w:eastAsia="Muli" w:cs="Muli"/>
                <w:color w:val="000000" w:themeColor="text1"/>
                <w:sz w:val="18"/>
                <w:szCs w:val="18"/>
              </w:rPr>
              <w:t>backing</w:t>
            </w:r>
            <w:r>
              <w:rPr>
                <w:rFonts w:eastAsia="Muli" w:cs="Muli"/>
                <w:color w:val="000000" w:themeColor="text1"/>
                <w:sz w:val="18"/>
                <w:szCs w:val="18"/>
              </w:rPr>
              <w:t xml:space="preserve"> for clinical</w:t>
            </w:r>
            <w:r w:rsidRPr="00FF58C8">
              <w:rPr>
                <w:rFonts w:eastAsia="Muli" w:cs="Muli"/>
                <w:color w:val="000000" w:themeColor="text1"/>
                <w:sz w:val="18"/>
                <w:szCs w:val="18"/>
              </w:rPr>
              <w:t xml:space="preserve"> staff to work at the top of their scope</w:t>
            </w:r>
            <w:r>
              <w:rPr>
                <w:rFonts w:eastAsia="Muli" w:cs="Muli"/>
                <w:color w:val="000000" w:themeColor="text1"/>
                <w:sz w:val="18"/>
                <w:szCs w:val="18"/>
              </w:rPr>
              <w:t>.</w:t>
            </w:r>
          </w:p>
          <w:p w14:paraId="50E6E819" w14:textId="6B76F04C" w:rsidR="00C02D59" w:rsidRDefault="00C02D59" w:rsidP="00C02D59">
            <w:pPr>
              <w:spacing w:after="120"/>
              <w:rPr>
                <w:rFonts w:eastAsia="Muli" w:cs="Muli"/>
                <w:color w:val="000000" w:themeColor="text1"/>
                <w:sz w:val="18"/>
                <w:szCs w:val="18"/>
              </w:rPr>
            </w:pPr>
            <w:r>
              <w:rPr>
                <w:rFonts w:eastAsia="Muli" w:cs="Muli"/>
                <w:color w:val="000000" w:themeColor="text1"/>
                <w:sz w:val="18"/>
                <w:szCs w:val="18"/>
              </w:rPr>
              <w:t xml:space="preserve">While larger practices had more staff and infrastructure to implement the model, they also took more time for implementation due to the need to get a larger group of people engaged and a wider set of processes to change. Smaller practices had more flexibility to make and implement decisions, but they had less resources and were more greatly affected by turnover of key staff compared with larger practices. </w:t>
            </w:r>
            <w:r w:rsidRPr="00485380">
              <w:rPr>
                <w:rFonts w:eastAsia="Muli" w:cs="Muli"/>
                <w:color w:val="000000" w:themeColor="text1"/>
                <w:sz w:val="18"/>
                <w:szCs w:val="18"/>
              </w:rPr>
              <w:t xml:space="preserve">Regardless of practice size, PHNs and practices reinforced that strong leadership, staff buy-in and </w:t>
            </w:r>
            <w:r w:rsidR="005D1DF8">
              <w:rPr>
                <w:rFonts w:eastAsia="Muli" w:cs="Muli"/>
                <w:color w:val="000000" w:themeColor="text1"/>
                <w:sz w:val="18"/>
                <w:szCs w:val="18"/>
              </w:rPr>
              <w:t>a larger</w:t>
            </w:r>
            <w:r w:rsidRPr="00485380">
              <w:rPr>
                <w:rFonts w:eastAsia="Muli" w:cs="Muli"/>
                <w:color w:val="000000" w:themeColor="text1"/>
                <w:sz w:val="18"/>
                <w:szCs w:val="18"/>
              </w:rPr>
              <w:t xml:space="preserve"> scale of HCH patients were integral to program success</w:t>
            </w:r>
            <w:r>
              <w:rPr>
                <w:rFonts w:eastAsia="Muli" w:cs="Muli"/>
                <w:color w:val="000000" w:themeColor="text1"/>
                <w:sz w:val="18"/>
                <w:szCs w:val="18"/>
              </w:rPr>
              <w:t>.</w:t>
            </w:r>
          </w:p>
          <w:p w14:paraId="4562D8FB" w14:textId="77777777" w:rsidR="00C02D59" w:rsidRDefault="00C02D59" w:rsidP="00C02D59">
            <w:pPr>
              <w:spacing w:after="120"/>
              <w:rPr>
                <w:rFonts w:eastAsia="Muli" w:cs="Muli"/>
                <w:color w:val="000000" w:themeColor="text1"/>
                <w:sz w:val="18"/>
                <w:szCs w:val="18"/>
              </w:rPr>
            </w:pPr>
            <w:r w:rsidRPr="00485380">
              <w:rPr>
                <w:rFonts w:eastAsia="Muli" w:cs="Muli"/>
                <w:color w:val="000000" w:themeColor="text1"/>
                <w:sz w:val="18"/>
                <w:szCs w:val="18"/>
              </w:rPr>
              <w:t xml:space="preserve">Similar to practice size, there were advantages and disadvantages to </w:t>
            </w:r>
            <w:r>
              <w:rPr>
                <w:rFonts w:eastAsia="Muli" w:cs="Muli"/>
                <w:color w:val="000000" w:themeColor="text1"/>
                <w:sz w:val="18"/>
                <w:szCs w:val="18"/>
              </w:rPr>
              <w:t>operating</w:t>
            </w:r>
            <w:r w:rsidRPr="00485380">
              <w:rPr>
                <w:rFonts w:eastAsia="Muli" w:cs="Muli"/>
                <w:color w:val="000000" w:themeColor="text1"/>
                <w:sz w:val="18"/>
                <w:szCs w:val="18"/>
              </w:rPr>
              <w:t xml:space="preserve"> HCH in corporate versus independently-owned practices. In </w:t>
            </w:r>
            <w:r>
              <w:rPr>
                <w:rFonts w:eastAsia="Muli" w:cs="Muli"/>
                <w:color w:val="000000" w:themeColor="text1"/>
                <w:sz w:val="18"/>
                <w:szCs w:val="18"/>
              </w:rPr>
              <w:t>many</w:t>
            </w:r>
            <w:r w:rsidRPr="00485380">
              <w:rPr>
                <w:rFonts w:eastAsia="Muli" w:cs="Muli"/>
                <w:color w:val="000000" w:themeColor="text1"/>
                <w:sz w:val="18"/>
                <w:szCs w:val="18"/>
              </w:rPr>
              <w:t xml:space="preserve"> instances corporate practices were also large practices and independently-owned practices were usually small or medium-sized; therefore, there was some level of overlap when comparing </w:t>
            </w:r>
            <w:r>
              <w:rPr>
                <w:rFonts w:eastAsia="Muli" w:cs="Muli"/>
                <w:color w:val="000000" w:themeColor="text1"/>
                <w:sz w:val="18"/>
                <w:szCs w:val="18"/>
              </w:rPr>
              <w:t xml:space="preserve">practices’ </w:t>
            </w:r>
            <w:r w:rsidRPr="00485380">
              <w:rPr>
                <w:rFonts w:eastAsia="Muli" w:cs="Muli"/>
                <w:color w:val="000000" w:themeColor="text1"/>
                <w:sz w:val="18"/>
                <w:szCs w:val="18"/>
              </w:rPr>
              <w:t>experiences based on practice size and ownership.</w:t>
            </w:r>
            <w:r>
              <w:rPr>
                <w:rFonts w:eastAsia="Muli" w:cs="Muli"/>
                <w:color w:val="000000" w:themeColor="text1"/>
                <w:sz w:val="18"/>
                <w:szCs w:val="18"/>
              </w:rPr>
              <w:t xml:space="preserve"> </w:t>
            </w:r>
          </w:p>
          <w:p w14:paraId="10C6B423" w14:textId="15D29809" w:rsidR="00890CF2" w:rsidRPr="00170C2F" w:rsidRDefault="00C02D59" w:rsidP="00C02D59">
            <w:pPr>
              <w:spacing w:after="120"/>
              <w:rPr>
                <w:rFonts w:eastAsia="Muli" w:cs="Muli"/>
                <w:color w:val="000000" w:themeColor="text1"/>
                <w:sz w:val="18"/>
                <w:szCs w:val="18"/>
              </w:rPr>
            </w:pPr>
            <w:r w:rsidRPr="00FF725C">
              <w:rPr>
                <w:sz w:val="18"/>
                <w:szCs w:val="18"/>
              </w:rPr>
              <w:t xml:space="preserve">Practices with very low numbers of </w:t>
            </w:r>
            <w:r w:rsidR="004A382E">
              <w:rPr>
                <w:sz w:val="18"/>
                <w:szCs w:val="18"/>
              </w:rPr>
              <w:t>enrolees</w:t>
            </w:r>
            <w:r w:rsidRPr="00FF725C">
              <w:rPr>
                <w:sz w:val="18"/>
                <w:szCs w:val="18"/>
              </w:rPr>
              <w:t xml:space="preserve"> </w:t>
            </w:r>
            <w:r>
              <w:rPr>
                <w:sz w:val="18"/>
                <w:szCs w:val="18"/>
              </w:rPr>
              <w:t xml:space="preserve">didn’t have the flexibility from the bundled payments to </w:t>
            </w:r>
            <w:r w:rsidRPr="00FF725C">
              <w:rPr>
                <w:sz w:val="18"/>
                <w:szCs w:val="18"/>
              </w:rPr>
              <w:t>introduce new or different supports for patients</w:t>
            </w:r>
            <w:r>
              <w:rPr>
                <w:sz w:val="18"/>
                <w:szCs w:val="18"/>
              </w:rPr>
              <w:t xml:space="preserve"> and had </w:t>
            </w:r>
            <w:r w:rsidRPr="00FF725C">
              <w:rPr>
                <w:sz w:val="18"/>
                <w:szCs w:val="18"/>
              </w:rPr>
              <w:t>difficulties with maintaining the model given that it was such a small part of their practice</w:t>
            </w:r>
            <w:r>
              <w:rPr>
                <w:sz w:val="18"/>
                <w:szCs w:val="18"/>
              </w:rPr>
              <w:t>.</w:t>
            </w:r>
          </w:p>
        </w:tc>
      </w:tr>
    </w:tbl>
    <w:p w14:paraId="44D9CE11" w14:textId="77777777" w:rsidR="00C92AD4" w:rsidRDefault="00C92AD4" w:rsidP="00C92AD4">
      <w:pPr>
        <w:spacing w:after="0"/>
        <w:rPr>
          <w:rFonts w:eastAsia="Muli" w:cs="Muli"/>
          <w:color w:val="000000" w:themeColor="text1"/>
          <w:szCs w:val="20"/>
        </w:rPr>
      </w:pPr>
    </w:p>
    <w:p w14:paraId="3F87F7D8" w14:textId="4344DFF2" w:rsidR="00AB3A6E" w:rsidRDefault="00AB3A6E" w:rsidP="00AB3A6E">
      <w:pPr>
        <w:pStyle w:val="Heading2"/>
      </w:pPr>
      <w:bookmarkStart w:id="260" w:name="_Toc109996706"/>
      <w:r w:rsidRPr="00073282">
        <w:t>Rural and remote vs metro</w:t>
      </w:r>
      <w:r w:rsidR="00CE4B1D">
        <w:t>politan-based</w:t>
      </w:r>
      <w:r w:rsidRPr="00073282">
        <w:t xml:space="preserve"> practices</w:t>
      </w:r>
      <w:bookmarkEnd w:id="260"/>
    </w:p>
    <w:p w14:paraId="5E3BFA59" w14:textId="215AD402" w:rsidR="00AB3A6E" w:rsidRDefault="00E602FD" w:rsidP="00AB3A6E">
      <w:r>
        <w:t>Compared with</w:t>
      </w:r>
      <w:r w:rsidR="00AB3A6E">
        <w:t xml:space="preserve"> practices in metropolitan and regional areas, rural and remote practices described additional </w:t>
      </w:r>
      <w:r w:rsidR="00297052">
        <w:t>challenges</w:t>
      </w:r>
      <w:r w:rsidR="00AB3A6E">
        <w:t xml:space="preserve"> </w:t>
      </w:r>
      <w:r w:rsidR="0031153D">
        <w:t xml:space="preserve">with </w:t>
      </w:r>
      <w:r w:rsidR="00AB3A6E">
        <w:t xml:space="preserve">participating in the HCH trial. These were especially apparent during the implementation phase and included </w:t>
      </w:r>
      <w:r w:rsidR="0032160D">
        <w:t>difficulties</w:t>
      </w:r>
      <w:r w:rsidR="00AB3A6E">
        <w:t xml:space="preserve"> with </w:t>
      </w:r>
      <w:r w:rsidR="00342853">
        <w:t xml:space="preserve">IT set-up and </w:t>
      </w:r>
      <w:r w:rsidR="00AB3A6E">
        <w:t>internet connection</w:t>
      </w:r>
      <w:r w:rsidR="0032160D">
        <w:t>s</w:t>
      </w:r>
      <w:r w:rsidR="004804FA">
        <w:t>,</w:t>
      </w:r>
      <w:r w:rsidR="00AB3A6E">
        <w:t xml:space="preserve"> recruiting</w:t>
      </w:r>
      <w:r w:rsidR="0032160D">
        <w:t xml:space="preserve"> and retaining</w:t>
      </w:r>
      <w:r w:rsidR="00AB3A6E">
        <w:t xml:space="preserve"> staff</w:t>
      </w:r>
      <w:r w:rsidR="004804FA">
        <w:t>,</w:t>
      </w:r>
      <w:r w:rsidR="00AB3A6E">
        <w:t xml:space="preserve"> </w:t>
      </w:r>
      <w:r w:rsidR="004804FA">
        <w:t>and availability of s</w:t>
      </w:r>
      <w:r w:rsidR="00AB3A6E">
        <w:t xml:space="preserve">upports and medical resources </w:t>
      </w:r>
      <w:r w:rsidR="00342853">
        <w:t>within the community</w:t>
      </w:r>
      <w:r w:rsidR="004804FA">
        <w:t xml:space="preserve"> resulting in reduced</w:t>
      </w:r>
      <w:r w:rsidR="00AB3A6E">
        <w:t xml:space="preserve"> access</w:t>
      </w:r>
      <w:r w:rsidR="004804FA">
        <w:t xml:space="preserve"> to services</w:t>
      </w:r>
      <w:r w:rsidR="00342853">
        <w:t>:</w:t>
      </w:r>
    </w:p>
    <w:p w14:paraId="3E002337" w14:textId="0461E134" w:rsidR="00AB3A6E" w:rsidRDefault="00AB3A6E" w:rsidP="00AB3A6E">
      <w:pPr>
        <w:ind w:left="567" w:right="521"/>
      </w:pPr>
      <w:r>
        <w:rPr>
          <w:i/>
          <w:iCs/>
        </w:rPr>
        <w:lastRenderedPageBreak/>
        <w:t>“</w:t>
      </w:r>
      <w:r w:rsidRPr="002B4560">
        <w:rPr>
          <w:i/>
          <w:iCs/>
        </w:rPr>
        <w:t xml:space="preserve">Some practices have diabetes educators and or a, like one of their practice nurses may be a diabetes </w:t>
      </w:r>
      <w:r w:rsidRPr="00AB3A6E">
        <w:rPr>
          <w:i/>
          <w:iCs/>
          <w:szCs w:val="20"/>
        </w:rPr>
        <w:t>educator</w:t>
      </w:r>
      <w:r w:rsidRPr="002B4560">
        <w:rPr>
          <w:i/>
          <w:iCs/>
        </w:rPr>
        <w:t xml:space="preserve"> or respiratory nurse or a something or other else, who might </w:t>
      </w:r>
      <w:r w:rsidRPr="00B35913">
        <w:rPr>
          <w:rFonts w:cs="Arial"/>
          <w:i/>
          <w:szCs w:val="20"/>
          <w:lang w:val="en-GB"/>
        </w:rPr>
        <w:t>take</w:t>
      </w:r>
      <w:r w:rsidRPr="002B4560">
        <w:rPr>
          <w:i/>
          <w:iCs/>
        </w:rPr>
        <w:t xml:space="preserve"> on some activity. But</w:t>
      </w:r>
      <w:r>
        <w:rPr>
          <w:i/>
          <w:iCs/>
        </w:rPr>
        <w:t>…</w:t>
      </w:r>
      <w:r w:rsidRPr="002B4560">
        <w:rPr>
          <w:i/>
          <w:iCs/>
        </w:rPr>
        <w:t xml:space="preserve">the resources are just really stretched in most of our practices…And the GPs are actually covering the hospital as well as the practice </w:t>
      </w:r>
      <w:r w:rsidR="00DB31DC">
        <w:rPr>
          <w:i/>
          <w:iCs/>
        </w:rPr>
        <w:t>..</w:t>
      </w:r>
      <w:r w:rsidRPr="002B4560">
        <w:rPr>
          <w:i/>
          <w:iCs/>
        </w:rPr>
        <w:t>. So</w:t>
      </w:r>
      <w:r>
        <w:rPr>
          <w:i/>
          <w:iCs/>
        </w:rPr>
        <w:t>,</w:t>
      </w:r>
      <w:r w:rsidRPr="002B4560">
        <w:rPr>
          <w:i/>
          <w:iCs/>
        </w:rPr>
        <w:t xml:space="preserve"> there’s a number of things impacting on the practice.”</w:t>
      </w:r>
      <w:r>
        <w:t xml:space="preserve"> [PHN 10, interview, R2]</w:t>
      </w:r>
    </w:p>
    <w:p w14:paraId="2653CAA0" w14:textId="77777777" w:rsidR="00AB3A6E" w:rsidRDefault="00AB3A6E" w:rsidP="00AB3A6E">
      <w:pPr>
        <w:ind w:left="567" w:right="521"/>
      </w:pPr>
      <w:r w:rsidRPr="001F27F5">
        <w:rPr>
          <w:i/>
          <w:iCs/>
        </w:rPr>
        <w:t xml:space="preserve">“…I’m personally booked out six weeks in advance as a GP, and…[GP] is booked out six weeks…And </w:t>
      </w:r>
      <w:r w:rsidRPr="00AB3A6E">
        <w:rPr>
          <w:i/>
          <w:iCs/>
          <w:szCs w:val="20"/>
        </w:rPr>
        <w:t>we’ve</w:t>
      </w:r>
      <w:r w:rsidRPr="001F27F5">
        <w:rPr>
          <w:i/>
          <w:iCs/>
        </w:rPr>
        <w:t xml:space="preserve"> got a bit of a crisis at how do people access stuff…”</w:t>
      </w:r>
      <w:r w:rsidRPr="00370CA0">
        <w:t xml:space="preserve"> </w:t>
      </w:r>
      <w:r>
        <w:t xml:space="preserve">[GP, </w:t>
      </w:r>
      <w:r w:rsidRPr="00370CA0">
        <w:t>Practice</w:t>
      </w:r>
      <w:r>
        <w:t xml:space="preserve"> </w:t>
      </w:r>
      <w:r w:rsidRPr="00370CA0">
        <w:t>7 R1</w:t>
      </w:r>
      <w:r>
        <w:t>]</w:t>
      </w:r>
    </w:p>
    <w:p w14:paraId="77912733" w14:textId="34091B01" w:rsidR="00AB3A6E" w:rsidRPr="007245B7" w:rsidRDefault="00AB3A6E" w:rsidP="00AB3A6E">
      <w:pPr>
        <w:ind w:left="567" w:right="521"/>
      </w:pPr>
      <w:r w:rsidRPr="00A645A7">
        <w:rPr>
          <w:i/>
          <w:iCs/>
        </w:rPr>
        <w:t xml:space="preserve">“We </w:t>
      </w:r>
      <w:r w:rsidRPr="00AB3A6E">
        <w:rPr>
          <w:i/>
          <w:iCs/>
          <w:szCs w:val="20"/>
        </w:rPr>
        <w:t>have</w:t>
      </w:r>
      <w:r w:rsidRPr="00A645A7">
        <w:rPr>
          <w:i/>
          <w:iCs/>
        </w:rPr>
        <w:t xml:space="preserve"> lots of internet problems so me tryin</w:t>
      </w:r>
      <w:r w:rsidRPr="007245B7">
        <w:rPr>
          <w:i/>
          <w:iCs/>
        </w:rPr>
        <w:t xml:space="preserve">g to </w:t>
      </w:r>
      <w:r w:rsidR="00420832">
        <w:rPr>
          <w:i/>
          <w:iCs/>
        </w:rPr>
        <w:t>…</w:t>
      </w:r>
      <w:r w:rsidRPr="007245B7">
        <w:rPr>
          <w:i/>
          <w:iCs/>
        </w:rPr>
        <w:t xml:space="preserve"> log onto HPOS to do this… Sometimes I can log</w:t>
      </w:r>
      <w:r w:rsidR="00B70392">
        <w:rPr>
          <w:i/>
          <w:iCs/>
        </w:rPr>
        <w:t xml:space="preserve"> </w:t>
      </w:r>
      <w:r w:rsidRPr="007245B7">
        <w:rPr>
          <w:i/>
          <w:iCs/>
        </w:rPr>
        <w:t>on and it takes me five seconds to logon to HPOS, sometimes it takes six or seven attempts.”</w:t>
      </w:r>
      <w:r w:rsidRPr="007245B7">
        <w:t xml:space="preserve"> [GP, Practice</w:t>
      </w:r>
      <w:r>
        <w:t xml:space="preserve"> </w:t>
      </w:r>
      <w:r w:rsidRPr="007245B7">
        <w:t>17, R1]</w:t>
      </w:r>
    </w:p>
    <w:p w14:paraId="1699CFE2" w14:textId="77777777" w:rsidR="00AB3A6E" w:rsidRDefault="00AB3A6E" w:rsidP="00AB3A6E">
      <w:pPr>
        <w:ind w:left="567" w:right="521"/>
      </w:pPr>
      <w:r w:rsidRPr="007245B7">
        <w:rPr>
          <w:i/>
          <w:iCs/>
        </w:rPr>
        <w:t xml:space="preserve">“Not to discredit the practices, I’m sure that they would have had good intentions to really start team-based care and integrated care, but they just don’t have the infrastructure to do it in the way that </w:t>
      </w:r>
      <w:r w:rsidRPr="00AB3A6E">
        <w:rPr>
          <w:i/>
          <w:iCs/>
          <w:szCs w:val="20"/>
        </w:rPr>
        <w:t>intended</w:t>
      </w:r>
      <w:r w:rsidRPr="007245B7">
        <w:rPr>
          <w:i/>
          <w:iCs/>
        </w:rPr>
        <w:t>. The resources are not there. As [Practice facilitator 2] says, the transient workforce is a massive issue here. Even in my time supporting the practices, you would go to the practice and it’s a new nurse. The one you saw last time has left and that new nurse knows nothing about Health Care Homes or even what it is. So, not much progress at all...”</w:t>
      </w:r>
      <w:r>
        <w:t xml:space="preserve"> [PHN 8, Interview, R5]</w:t>
      </w:r>
    </w:p>
    <w:p w14:paraId="25C8CA6C" w14:textId="4D3F7287" w:rsidR="00AB3A6E" w:rsidRDefault="00AB3A6E" w:rsidP="00AB3A6E">
      <w:r>
        <w:t xml:space="preserve">Rural and remote practices and PHNs also discussed additional challenges collaborating with other HCH practices, arranging meetings and organising face-to-face training activities due to the wide geographic distribution of practices in </w:t>
      </w:r>
      <w:r w:rsidR="00A83082">
        <w:t>some</w:t>
      </w:r>
      <w:r>
        <w:t xml:space="preserve"> regions</w:t>
      </w:r>
      <w:r w:rsidR="00A83082">
        <w:t>:</w:t>
      </w:r>
    </w:p>
    <w:p w14:paraId="230A695A" w14:textId="77777777" w:rsidR="00AB3A6E" w:rsidRPr="00B72779" w:rsidRDefault="00AB3A6E" w:rsidP="00AB3A6E">
      <w:pPr>
        <w:ind w:left="567" w:right="521"/>
      </w:pPr>
      <w:r w:rsidRPr="00495E95">
        <w:rPr>
          <w:i/>
          <w:iCs/>
        </w:rPr>
        <w:t xml:space="preserve">“The PHNs don't seem to have organised any collaboratives. And I don’t know that there’s anybody locally from our </w:t>
      </w:r>
      <w:r w:rsidRPr="00AB3A6E">
        <w:rPr>
          <w:i/>
          <w:iCs/>
          <w:szCs w:val="20"/>
        </w:rPr>
        <w:t>point</w:t>
      </w:r>
      <w:r w:rsidRPr="00495E95">
        <w:rPr>
          <w:i/>
          <w:iCs/>
        </w:rPr>
        <w:t xml:space="preserve"> of view that’s involved. Part of the difficulty with the primary health is that it’s not very local. It covers the whole of the state....And I don’t know that there’d be small practices like ours involved virtually anywhere, really.”</w:t>
      </w:r>
      <w:r>
        <w:t xml:space="preserve"> [GP, </w:t>
      </w:r>
      <w:r w:rsidRPr="009839DF">
        <w:t>Practice</w:t>
      </w:r>
      <w:r>
        <w:t xml:space="preserve"> </w:t>
      </w:r>
      <w:r w:rsidRPr="009839DF">
        <w:t>2</w:t>
      </w:r>
      <w:r>
        <w:t>,</w:t>
      </w:r>
      <w:r w:rsidRPr="009839DF">
        <w:t xml:space="preserve"> R1</w:t>
      </w:r>
      <w:r>
        <w:t>]</w:t>
      </w:r>
    </w:p>
    <w:p w14:paraId="6A1D01AB" w14:textId="4046F1DC" w:rsidR="00B47B71" w:rsidRDefault="009108D5" w:rsidP="00AB3A6E">
      <w:r>
        <w:t>Widespread use and acceptance of t</w:t>
      </w:r>
      <w:r w:rsidR="00B47B71">
        <w:t xml:space="preserve">elehealth and videoconferencing, </w:t>
      </w:r>
      <w:r w:rsidR="00B80D13">
        <w:t xml:space="preserve">which </w:t>
      </w:r>
      <w:r w:rsidR="00B47B71">
        <w:t xml:space="preserve">accelerated </w:t>
      </w:r>
      <w:r>
        <w:t>during</w:t>
      </w:r>
      <w:r w:rsidR="00B47B71">
        <w:t xml:space="preserve"> COVID-19, </w:t>
      </w:r>
      <w:r>
        <w:t xml:space="preserve">helped to improve </w:t>
      </w:r>
      <w:r w:rsidR="008037E4">
        <w:t>collaboration</w:t>
      </w:r>
      <w:r w:rsidR="00145FD8">
        <w:t>.</w:t>
      </w:r>
    </w:p>
    <w:p w14:paraId="159C7042" w14:textId="0966D7B9" w:rsidR="00853470" w:rsidRDefault="008037E4" w:rsidP="003A6211">
      <w:r>
        <w:t xml:space="preserve">An often-mentioned challenge for rural practices is the </w:t>
      </w:r>
      <w:r w:rsidR="008C39A9">
        <w:t>lack</w:t>
      </w:r>
      <w:r>
        <w:t xml:space="preserve"> of services to refer patients to. However, this</w:t>
      </w:r>
      <w:r w:rsidR="003A6211">
        <w:t xml:space="preserve"> reality means that practices</w:t>
      </w:r>
      <w:r w:rsidR="008C39A9">
        <w:t xml:space="preserve"> in these situations</w:t>
      </w:r>
      <w:r w:rsidR="00853470">
        <w:t xml:space="preserve"> tend to </w:t>
      </w:r>
      <w:r w:rsidR="00F65A8E">
        <w:t>be more holistic and team-oriented in their approach to care</w:t>
      </w:r>
      <w:r w:rsidR="000D20E4">
        <w:t>:</w:t>
      </w:r>
    </w:p>
    <w:p w14:paraId="63E9224E" w14:textId="77777777" w:rsidR="00AB3A6E" w:rsidRDefault="00AB3A6E" w:rsidP="00AB3A6E">
      <w:pPr>
        <w:ind w:left="567" w:right="521"/>
        <w:rPr>
          <w:iCs/>
        </w:rPr>
      </w:pPr>
      <w:r w:rsidRPr="00A14871">
        <w:rPr>
          <w:i/>
          <w:iCs/>
        </w:rPr>
        <w:t xml:space="preserve">“Maybe that’s a reflection of the type of practice we are, because we’re in a community where there isn’t a hospital, and we’ve come from that culture of managing everything anyway…We haven’t got the hospital just right here, so if we saw people for home visits, we might engage the pharmacy to help and so on. So we’ve had that culture of seeking allied support before. So it wasn’t such a change for us. I can quickly speak to the nursing staff, or speak to the pharmacy, or speak to one of my partners, or...whatever needs to happen....it happens here </w:t>
      </w:r>
      <w:r w:rsidRPr="00A14871">
        <w:rPr>
          <w:i/>
          <w:iCs/>
        </w:rPr>
        <w:lastRenderedPageBreak/>
        <w:t xml:space="preserve">and it’s always been the way, because of the nature of this practice...As opposed to say, </w:t>
      </w:r>
      <w:r w:rsidRPr="00A14871">
        <w:rPr>
          <w:iCs/>
        </w:rPr>
        <w:t>[town]</w:t>
      </w:r>
      <w:r w:rsidRPr="00A14871">
        <w:rPr>
          <w:i/>
          <w:iCs/>
        </w:rPr>
        <w:t>, where they’ve got the hospital right there</w:t>
      </w:r>
      <w:r>
        <w:rPr>
          <w:i/>
          <w:iCs/>
        </w:rPr>
        <w:t>…</w:t>
      </w:r>
      <w:r w:rsidRPr="00A14871">
        <w:rPr>
          <w:i/>
          <w:iCs/>
        </w:rPr>
        <w:t>"</w:t>
      </w:r>
      <w:r w:rsidRPr="00A14871">
        <w:rPr>
          <w:iCs/>
        </w:rPr>
        <w:t xml:space="preserve"> [GP, Practice 4, R2]</w:t>
      </w:r>
    </w:p>
    <w:p w14:paraId="01D5F650" w14:textId="780AB8BA" w:rsidR="00AB3A6E" w:rsidRDefault="00AB3A6E" w:rsidP="00AB3A6E">
      <w:r>
        <w:t xml:space="preserve">This sentiment was echoed amongst a few other rural and regional practices. Since there are often fewer health supports available to patients in these areas, practices commented that they already had an expanded scope of practice </w:t>
      </w:r>
      <w:r w:rsidR="0002675D">
        <w:t>before</w:t>
      </w:r>
      <w:r w:rsidRPr="00584EE3">
        <w:t xml:space="preserve"> participating in HCH</w:t>
      </w:r>
      <w:r>
        <w:t xml:space="preserve"> and that they provide additional supports to all their patients. This expanded scope of practice was especially relevant for nurses. A few practices in rural and remote areas felt that the HCH program aligned with their existing model of care, allowed them additional financial flexibility and the ability to be compensated for services that they were already providing</w:t>
      </w:r>
      <w:r w:rsidR="00093A78">
        <w:t>:</w:t>
      </w:r>
      <w:r>
        <w:t xml:space="preserve"> </w:t>
      </w:r>
    </w:p>
    <w:p w14:paraId="085704BA" w14:textId="77777777" w:rsidR="00AB3A6E" w:rsidRDefault="00AB3A6E" w:rsidP="00AB3A6E">
      <w:pPr>
        <w:ind w:left="567" w:right="521"/>
      </w:pPr>
      <w:r w:rsidRPr="00C74DAA">
        <w:rPr>
          <w:i/>
          <w:iCs/>
        </w:rPr>
        <w:t>“…Because we are working in a remote area here, only those who are in chronic condition. We are already doing this one, even those who are not Health Care Home patients…it doesn’t really matter whether they’re Health Care Homes or not. They still get the recall.</w:t>
      </w:r>
      <w:r>
        <w:rPr>
          <w:i/>
          <w:iCs/>
        </w:rPr>
        <w:t>”</w:t>
      </w:r>
      <w:r w:rsidRPr="00CA5D76">
        <w:t xml:space="preserve"> </w:t>
      </w:r>
      <w:r>
        <w:t>[GP, Practice 24, R4]</w:t>
      </w:r>
    </w:p>
    <w:p w14:paraId="0D5D06C1" w14:textId="77777777" w:rsidR="00AB3A6E" w:rsidRDefault="00AB3A6E" w:rsidP="00AB3A6E">
      <w:pPr>
        <w:ind w:left="567" w:right="521"/>
      </w:pPr>
      <w:r w:rsidRPr="00FC7735">
        <w:rPr>
          <w:i/>
          <w:iCs/>
        </w:rPr>
        <w:t>“The other thing you have to remember is that we’re a rural practice, and so our nurses are used to doing things like people popping in to get their blood pressure checked, and if their blood pressure’s normal, the nurses will send them on their way…Our nurses are used to triaging people. So it wasn</w:t>
      </w:r>
      <w:r w:rsidRPr="00FC7735">
        <w:rPr>
          <w:rFonts w:cs="Century Gothic"/>
          <w:i/>
          <w:iCs/>
        </w:rPr>
        <w:t>’</w:t>
      </w:r>
      <w:r w:rsidRPr="00FC7735">
        <w:rPr>
          <w:i/>
          <w:iCs/>
        </w:rPr>
        <w:t>t, for some of them anyway, it wasn</w:t>
      </w:r>
      <w:r w:rsidRPr="00FC7735">
        <w:rPr>
          <w:rFonts w:cs="Century Gothic"/>
          <w:i/>
          <w:iCs/>
        </w:rPr>
        <w:t>’</w:t>
      </w:r>
      <w:r w:rsidRPr="00FC7735">
        <w:rPr>
          <w:i/>
          <w:iCs/>
        </w:rPr>
        <w:t>t a big step for them. And our nurses take blood and put drips in and are used to emergency care. Maybe if you were in a city practice, and your nurses weren’t as skilled, then there would be more instruction that would be needed. I don’t think it was such a big leap for ours really.”</w:t>
      </w:r>
      <w:r>
        <w:t xml:space="preserve"> [GP, Practice 4, R5]</w:t>
      </w:r>
    </w:p>
    <w:p w14:paraId="44D8C08B" w14:textId="6CA80561" w:rsidR="00AB3A6E" w:rsidRPr="00A14871" w:rsidRDefault="00AB3A6E" w:rsidP="00AB3A6E">
      <w:pPr>
        <w:ind w:left="567" w:right="521"/>
      </w:pPr>
      <w:r w:rsidRPr="00882462">
        <w:rPr>
          <w:i/>
          <w:iCs/>
        </w:rPr>
        <w:t>“We spent a lot of time supporting our patients in extra ways, on the phone and so forth anyway. It’s not that different that’s just because of the way we did it anyway. I spent a lot of time on the phone to [unclear] pharmacies and patients and following things up. I think that individualised care we were giving to a lot of these high needs patients anyway without a name on it.”</w:t>
      </w:r>
      <w:r w:rsidR="00A561EE">
        <w:t xml:space="preserve"> </w:t>
      </w:r>
      <w:r>
        <w:t xml:space="preserve">[Practice Manager/Nurse, </w:t>
      </w:r>
      <w:r w:rsidRPr="005838AB">
        <w:t>Practice</w:t>
      </w:r>
      <w:r w:rsidR="009738BB">
        <w:t xml:space="preserve"> </w:t>
      </w:r>
      <w:r w:rsidRPr="005838AB">
        <w:t>18</w:t>
      </w:r>
      <w:r>
        <w:t>,</w:t>
      </w:r>
      <w:r w:rsidRPr="005838AB">
        <w:t xml:space="preserve"> R</w:t>
      </w:r>
      <w:r>
        <w:t>2]</w:t>
      </w:r>
    </w:p>
    <w:p w14:paraId="0AD69C4D" w14:textId="72093C2B" w:rsidR="00FC1C8A" w:rsidRDefault="00B35892" w:rsidP="00FC1C8A">
      <w:r>
        <w:t>One practice</w:t>
      </w:r>
      <w:r w:rsidR="00FC1C8A">
        <w:t xml:space="preserve"> also commented </w:t>
      </w:r>
      <w:r w:rsidR="000B2CF0">
        <w:t>that rural practices tend</w:t>
      </w:r>
      <w:r w:rsidR="007A247D">
        <w:t xml:space="preserve"> to </w:t>
      </w:r>
      <w:r w:rsidR="00FB5299">
        <w:t>be better at continuity</w:t>
      </w:r>
      <w:r w:rsidR="001A1C13">
        <w:t xml:space="preserve"> of care</w:t>
      </w:r>
      <w:r>
        <w:t xml:space="preserve"> compared with their metropolitan counterparts:</w:t>
      </w:r>
    </w:p>
    <w:p w14:paraId="66BA4F03" w14:textId="77777777" w:rsidR="00FC1C8A" w:rsidRDefault="00FC1C8A" w:rsidP="00FC1C8A">
      <w:pPr>
        <w:ind w:left="567" w:right="521"/>
      </w:pPr>
      <w:r w:rsidRPr="000F1E7D">
        <w:rPr>
          <w:i/>
          <w:iCs/>
        </w:rPr>
        <w:t>“A few of my colleagues, they work in urban areas…Their question was…how they can implement [HCH]…they say that, look, I am working in the surgery and I know that the patient who comes to see me, that [they] will be seen by another GP on some other day. How it will be implemented in the urban areas…Because the difference comes if you are working in an urban area where the GP is there but the patients are changing. In rural area[s]…[the] same patient] is coming to see the same GP.”</w:t>
      </w:r>
      <w:r>
        <w:t xml:space="preserve"> [GP, Practice 24, R4]</w:t>
      </w:r>
    </w:p>
    <w:p w14:paraId="4A5F660E" w14:textId="31F9DF95" w:rsidR="00AB3A6E" w:rsidRDefault="00AB3A6E" w:rsidP="00AB3A6E">
      <w:r w:rsidRPr="00BC18E4">
        <w:t>Some interviewees felt that th</w:t>
      </w:r>
      <w:r w:rsidR="00DA00A6" w:rsidRPr="00BC18E4">
        <w:t>e</w:t>
      </w:r>
      <w:r w:rsidRPr="00BC18E4">
        <w:t xml:space="preserve"> </w:t>
      </w:r>
      <w:r w:rsidR="00DA00A6" w:rsidRPr="00BC18E4">
        <w:t>bundled payment</w:t>
      </w:r>
      <w:r w:rsidRPr="00BC18E4">
        <w:t xml:space="preserve"> may </w:t>
      </w:r>
      <w:r w:rsidR="00384654">
        <w:t>better serve</w:t>
      </w:r>
      <w:r w:rsidRPr="00BC18E4">
        <w:t xml:space="preserve"> practices in rural and remote areas. Practices and PHNs commented on the advantages of having certainty of funding </w:t>
      </w:r>
      <w:r w:rsidR="00E602F6">
        <w:t>and</w:t>
      </w:r>
      <w:r w:rsidRPr="00BC18E4">
        <w:t xml:space="preserve"> for </w:t>
      </w:r>
      <w:r w:rsidR="001D2AC0">
        <w:t>clinical staff</w:t>
      </w:r>
      <w:r w:rsidRPr="00BC18E4">
        <w:t xml:space="preserve"> to work at the top of their scope</w:t>
      </w:r>
      <w:r w:rsidR="00DB7A17">
        <w:t>:</w:t>
      </w:r>
    </w:p>
    <w:p w14:paraId="48DB093E" w14:textId="24FE3559" w:rsidR="00AB3A6E" w:rsidRDefault="00AB3A6E" w:rsidP="00AB3A6E">
      <w:pPr>
        <w:ind w:left="567" w:right="521"/>
      </w:pPr>
      <w:r w:rsidRPr="00463778">
        <w:rPr>
          <w:i/>
          <w:iCs/>
        </w:rPr>
        <w:t xml:space="preserve">“…the way that general practice is funded from MBS it doesn’t set practices up to the top of the scope. It just doesn’t. MBS doesn’t allow for that to happen. It’s a </w:t>
      </w:r>
      <w:r w:rsidRPr="00463778">
        <w:rPr>
          <w:i/>
          <w:iCs/>
        </w:rPr>
        <w:lastRenderedPageBreak/>
        <w:t xml:space="preserve">system that’s built on that foundation…When you are out in remote you have to do it. You don’t have a GP, so your nurses are specialist nurses because they have to be. </w:t>
      </w:r>
      <w:r w:rsidR="00BC6979">
        <w:rPr>
          <w:i/>
          <w:iCs/>
        </w:rPr>
        <w:t xml:space="preserve">[Allied health professionals] </w:t>
      </w:r>
      <w:r w:rsidRPr="00463778">
        <w:rPr>
          <w:i/>
          <w:iCs/>
        </w:rPr>
        <w:t>are specialists because they have to be...If we want that kind of work to happen in general practice [in rural and remote areas] the funding model has to be reviewed to allow people to work to scope and be paid for it…They need to look at and review the MBS system and look at bulk funding services and giving them flexibility so that they can incentivise their workers, their staff so that they can pay people who have the skills and they can retain that staff.”</w:t>
      </w:r>
      <w:r w:rsidR="0049464E">
        <w:rPr>
          <w:i/>
          <w:iCs/>
        </w:rPr>
        <w:t xml:space="preserve"> </w:t>
      </w:r>
      <w:r>
        <w:t>[PHN 8, Interview, R5]</w:t>
      </w:r>
    </w:p>
    <w:p w14:paraId="15FE676B" w14:textId="2907A2D3" w:rsidR="00AB3A6E" w:rsidRPr="00463778" w:rsidRDefault="00AB3A6E" w:rsidP="00AB3A6E">
      <w:pPr>
        <w:ind w:left="567" w:right="521"/>
      </w:pPr>
      <w:r>
        <w:rPr>
          <w:i/>
          <w:iCs/>
        </w:rPr>
        <w:t>“</w:t>
      </w:r>
      <w:r w:rsidRPr="003F3EA8">
        <w:rPr>
          <w:i/>
          <w:iCs/>
        </w:rPr>
        <w:t xml:space="preserve">There </w:t>
      </w:r>
      <w:r>
        <w:rPr>
          <w:i/>
          <w:iCs/>
        </w:rPr>
        <w:t>are</w:t>
      </w:r>
      <w:r w:rsidRPr="003F3EA8">
        <w:rPr>
          <w:i/>
          <w:iCs/>
        </w:rPr>
        <w:t xml:space="preserve"> a couple of examples of practices where they’ve actually lost GPs and only </w:t>
      </w:r>
      <w:r>
        <w:rPr>
          <w:i/>
          <w:iCs/>
        </w:rPr>
        <w:t>[had]</w:t>
      </w:r>
      <w:r w:rsidRPr="003F3EA8">
        <w:rPr>
          <w:i/>
          <w:iCs/>
        </w:rPr>
        <w:t xml:space="preserve"> nurses to maintain the Health Care Homes </w:t>
      </w:r>
      <w:r w:rsidR="0002675D">
        <w:rPr>
          <w:i/>
          <w:iCs/>
        </w:rPr>
        <w:t>program</w:t>
      </w:r>
      <w:r w:rsidRPr="003F3EA8">
        <w:rPr>
          <w:i/>
          <w:iCs/>
        </w:rPr>
        <w:t xml:space="preserve"> with the oversight of a remote GP.</w:t>
      </w:r>
      <w:r w:rsidR="0049464E">
        <w:rPr>
          <w:i/>
          <w:iCs/>
        </w:rPr>
        <w:t>..</w:t>
      </w:r>
      <w:r w:rsidRPr="003F3EA8">
        <w:rPr>
          <w:i/>
          <w:iCs/>
        </w:rPr>
        <w:t xml:space="preserve"> if you</w:t>
      </w:r>
      <w:r w:rsidRPr="003F3EA8">
        <w:rPr>
          <w:rFonts w:cs="Century Gothic"/>
          <w:i/>
          <w:iCs/>
        </w:rPr>
        <w:t>’</w:t>
      </w:r>
      <w:r w:rsidRPr="003F3EA8">
        <w:rPr>
          <w:i/>
          <w:iCs/>
        </w:rPr>
        <w:t>ve got a smaller community with no GP or a community nurse, that can probably help to build up that relationship with the nurse a little bit more.</w:t>
      </w:r>
      <w:r>
        <w:rPr>
          <w:i/>
          <w:iCs/>
        </w:rPr>
        <w:t>”</w:t>
      </w:r>
      <w:r w:rsidRPr="003F3EA8">
        <w:rPr>
          <w:i/>
          <w:iCs/>
        </w:rPr>
        <w:t xml:space="preserve"> </w:t>
      </w:r>
      <w:r>
        <w:t>[GP, Practice 7, R5]</w:t>
      </w:r>
    </w:p>
    <w:p w14:paraId="5BD229D1" w14:textId="77777777" w:rsidR="00AB3A6E" w:rsidRDefault="00AB3A6E" w:rsidP="00AB3A6E">
      <w:pPr>
        <w:ind w:left="567" w:right="521"/>
      </w:pPr>
      <w:r w:rsidRPr="007A21DB">
        <w:rPr>
          <w:i/>
          <w:iCs/>
        </w:rPr>
        <w:t>“…we’ve actually got one practice remaining in the Health Care Homes, who doesn’t actually have a GP at the moment. So, for them, being enrolled in the Health Care Homes is actually a massive benefit. They’ve only got one patient, but for that one person, it’s making a difference because it’s providing their funding model to be able to continue to provide chronic disease care for that patient, which they otherwise wouldn’t be able to provide at all. And that</w:t>
      </w:r>
      <w:r w:rsidRPr="007A21DB">
        <w:rPr>
          <w:rFonts w:cs="Century Gothic"/>
          <w:i/>
          <w:iCs/>
        </w:rPr>
        <w:t>’</w:t>
      </w:r>
      <w:r w:rsidRPr="007A21DB">
        <w:rPr>
          <w:i/>
          <w:iCs/>
        </w:rPr>
        <w:t>s been done, obviously, under the supervision of a remote GP, but it has allowed a greater level of care for that one patient, as opposed to the others in their practice.”</w:t>
      </w:r>
      <w:r>
        <w:t xml:space="preserve"> [PHN 6, Interview, R5]</w:t>
      </w:r>
    </w:p>
    <w:p w14:paraId="56084078" w14:textId="77777777" w:rsidR="001C305E" w:rsidRDefault="001C305E">
      <w:pPr>
        <w:spacing w:after="160" w:line="259" w:lineRule="auto"/>
        <w:rPr>
          <w:rFonts w:ascii="Roboto Slab" w:eastAsia="Times New Roman" w:hAnsi="Roboto Slab" w:cs="Times New Roman"/>
          <w:bCs/>
          <w:color w:val="408BCA"/>
          <w:sz w:val="32"/>
          <w:szCs w:val="36"/>
          <w:lang w:eastAsia="en-AU"/>
        </w:rPr>
      </w:pPr>
      <w:r>
        <w:br w:type="page"/>
      </w:r>
    </w:p>
    <w:p w14:paraId="1E3AF51D" w14:textId="7CA160B7" w:rsidR="00AB3A6E" w:rsidRDefault="00AB3A6E" w:rsidP="00AB3A6E">
      <w:pPr>
        <w:pStyle w:val="Heading2"/>
      </w:pPr>
      <w:bookmarkStart w:id="261" w:name="_Toc109996707"/>
      <w:r w:rsidRPr="00073282">
        <w:lastRenderedPageBreak/>
        <w:t>Small vs large practices</w:t>
      </w:r>
      <w:bookmarkEnd w:id="261"/>
    </w:p>
    <w:p w14:paraId="32CAE524" w14:textId="422FB761" w:rsidR="00B35913" w:rsidRDefault="00AB3A6E" w:rsidP="00AB3A6E">
      <w:r>
        <w:t>Practices identified advantages and disadvantages of operating HCH in small versus large practices</w:t>
      </w:r>
      <w:r w:rsidRPr="007439DE">
        <w:t>.</w:t>
      </w:r>
      <w:r w:rsidR="00F66F0B">
        <w:t xml:space="preserve"> </w:t>
      </w:r>
      <w:r w:rsidR="00F66F0B" w:rsidRPr="00FF78AE">
        <w:rPr>
          <w:rFonts w:eastAsiaTheme="minorEastAsia"/>
          <w:color w:val="1D2455"/>
          <w:szCs w:val="20"/>
          <w:lang w:eastAsia="en-AU"/>
        </w:rPr>
        <w:fldChar w:fldCharType="begin"/>
      </w:r>
      <w:r w:rsidR="00F66F0B" w:rsidRPr="00FF78AE">
        <w:rPr>
          <w:rFonts w:eastAsiaTheme="minorEastAsia"/>
          <w:color w:val="1D2455"/>
          <w:szCs w:val="20"/>
          <w:lang w:eastAsia="en-AU"/>
        </w:rPr>
        <w:instrText xml:space="preserve"> REF _Ref77942403 \h </w:instrText>
      </w:r>
      <w:r w:rsidR="00034863" w:rsidRPr="00FF78AE">
        <w:rPr>
          <w:rFonts w:eastAsiaTheme="minorEastAsia"/>
          <w:color w:val="1D2455"/>
          <w:szCs w:val="20"/>
          <w:lang w:eastAsia="en-AU"/>
        </w:rPr>
        <w:instrText xml:space="preserve"> \* MERGEFORMAT </w:instrText>
      </w:r>
      <w:r w:rsidR="00F66F0B" w:rsidRPr="00FF78AE">
        <w:rPr>
          <w:rFonts w:eastAsiaTheme="minorEastAsia"/>
          <w:color w:val="1D2455"/>
          <w:szCs w:val="20"/>
          <w:lang w:eastAsia="en-AU"/>
        </w:rPr>
      </w:r>
      <w:r w:rsidR="00F66F0B" w:rsidRPr="00FF78AE">
        <w:rPr>
          <w:rFonts w:eastAsiaTheme="minorEastAsia"/>
          <w:color w:val="1D2455"/>
          <w:szCs w:val="20"/>
          <w:lang w:eastAsia="en-AU"/>
        </w:rPr>
        <w:fldChar w:fldCharType="separate"/>
      </w:r>
      <w:r w:rsidR="003C4BC2" w:rsidRPr="003C4BC2">
        <w:rPr>
          <w:rFonts w:eastAsiaTheme="minorEastAsia"/>
          <w:color w:val="1D2455"/>
          <w:szCs w:val="20"/>
          <w:lang w:eastAsia="en-AU"/>
        </w:rPr>
        <w:t>Figure 23</w:t>
      </w:r>
      <w:r w:rsidR="00F66F0B" w:rsidRPr="00FF78AE">
        <w:rPr>
          <w:rFonts w:eastAsiaTheme="minorEastAsia"/>
          <w:color w:val="1D2455"/>
          <w:szCs w:val="20"/>
          <w:lang w:eastAsia="en-AU"/>
        </w:rPr>
        <w:fldChar w:fldCharType="end"/>
      </w:r>
      <w:r w:rsidR="00F66F0B" w:rsidRPr="00FF78AE">
        <w:rPr>
          <w:rFonts w:eastAsiaTheme="minorEastAsia"/>
          <w:color w:val="1D2455"/>
          <w:szCs w:val="20"/>
          <w:lang w:eastAsia="en-AU"/>
        </w:rPr>
        <w:t xml:space="preserve"> </w:t>
      </w:r>
      <w:r w:rsidR="00F66F0B">
        <w:t>summarises these.</w:t>
      </w:r>
    </w:p>
    <w:p w14:paraId="12E016CA" w14:textId="5358E9DD" w:rsidR="00B35913" w:rsidRDefault="00B35913" w:rsidP="00F66F0B">
      <w:pPr>
        <w:pStyle w:val="TableFigureheading"/>
      </w:pPr>
      <w:bookmarkStart w:id="262" w:name="_Ref77942403"/>
      <w:r w:rsidRPr="007439DE">
        <w:t xml:space="preserve">Figure </w:t>
      </w:r>
      <w:r w:rsidR="00A61B29">
        <w:fldChar w:fldCharType="begin"/>
      </w:r>
      <w:r w:rsidR="00A61B29">
        <w:instrText xml:space="preserve"> SEQ Figure \* ARABIC </w:instrText>
      </w:r>
      <w:r w:rsidR="00A61B29">
        <w:fldChar w:fldCharType="separate"/>
      </w:r>
      <w:r w:rsidR="003C4BC2">
        <w:rPr>
          <w:noProof/>
        </w:rPr>
        <w:t>23</w:t>
      </w:r>
      <w:r w:rsidR="00A61B29">
        <w:rPr>
          <w:noProof/>
        </w:rPr>
        <w:fldChar w:fldCharType="end"/>
      </w:r>
      <w:bookmarkEnd w:id="262"/>
      <w:r>
        <w:t>:</w:t>
      </w:r>
      <w:r w:rsidRPr="007439DE">
        <w:t xml:space="preserve"> </w:t>
      </w:r>
      <w:r>
        <w:t>Advantages and disadvantages</w:t>
      </w:r>
      <w:r w:rsidRPr="007439DE">
        <w:t xml:space="preserve"> </w:t>
      </w:r>
      <w:r w:rsidR="00DF6206">
        <w:t>reported by practices</w:t>
      </w:r>
      <w:r w:rsidRPr="007439DE">
        <w:t xml:space="preserve"> of operating HCH in </w:t>
      </w:r>
      <w:r>
        <w:t>small and large</w:t>
      </w:r>
      <w:r w:rsidRPr="007439DE">
        <w:t xml:space="preserve"> practices</w:t>
      </w:r>
    </w:p>
    <w:p w14:paraId="15C3846F" w14:textId="77777777" w:rsidR="00B35913" w:rsidRDefault="00B35913" w:rsidP="00B35913">
      <w:pPr>
        <w:jc w:val="center"/>
      </w:pPr>
      <w:r w:rsidRPr="00B35913">
        <w:rPr>
          <w:noProof/>
        </w:rPr>
        <w:drawing>
          <wp:inline distT="0" distB="0" distL="0" distR="0" wp14:anchorId="26E6D6BD" wp14:editId="00C8CE8E">
            <wp:extent cx="4485714" cy="4257143"/>
            <wp:effectExtent l="0" t="0" r="0" b="0"/>
            <wp:docPr id="12" name="Picture 12" descr="Diagram,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Diagram, text&#10;&#10;Description automatically generated"/>
                    <pic:cNvPicPr/>
                  </pic:nvPicPr>
                  <pic:blipFill>
                    <a:blip r:embed="rId49"/>
                    <a:stretch>
                      <a:fillRect/>
                    </a:stretch>
                  </pic:blipFill>
                  <pic:spPr>
                    <a:xfrm>
                      <a:off x="0" y="0"/>
                      <a:ext cx="4485714" cy="4257143"/>
                    </a:xfrm>
                    <a:prstGeom prst="rect">
                      <a:avLst/>
                    </a:prstGeom>
                  </pic:spPr>
                </pic:pic>
              </a:graphicData>
            </a:graphic>
          </wp:inline>
        </w:drawing>
      </w:r>
    </w:p>
    <w:p w14:paraId="63DC36AB" w14:textId="33C3B967" w:rsidR="008B048A" w:rsidRDefault="008B048A" w:rsidP="001604AC">
      <w:pPr>
        <w:pStyle w:val="Chartortablefootnote"/>
      </w:pPr>
      <w:r>
        <w:t>Source: Case studies R5</w:t>
      </w:r>
      <w:r w:rsidR="001604AC">
        <w:t xml:space="preserve"> Mar–May 2021.</w:t>
      </w:r>
    </w:p>
    <w:p w14:paraId="1B71193B" w14:textId="4161E6B3" w:rsidR="00B35913" w:rsidRPr="000233C9" w:rsidRDefault="004B1402" w:rsidP="004A4C6B">
      <w:pPr>
        <w:spacing w:before="200"/>
      </w:pPr>
      <w:r>
        <w:t xml:space="preserve">Larger practices speculated that </w:t>
      </w:r>
      <w:r w:rsidR="002C4A50">
        <w:t xml:space="preserve">small practices would find implementation of the model </w:t>
      </w:r>
      <w:r w:rsidR="0017252C">
        <w:t>difficult given their own experiences:</w:t>
      </w:r>
    </w:p>
    <w:p w14:paraId="5CE1B4BD" w14:textId="728E83E2" w:rsidR="00B35913" w:rsidRPr="000233C9" w:rsidRDefault="00B35913" w:rsidP="00B35913">
      <w:pPr>
        <w:ind w:left="567" w:right="521"/>
      </w:pPr>
      <w:r w:rsidRPr="000233C9">
        <w:rPr>
          <w:i/>
          <w:iCs/>
        </w:rPr>
        <w:t>“But imagine a solo practice. I don't know how they did it. I really don't because it would be so difficult, and I think they</w:t>
      </w:r>
      <w:r w:rsidRPr="000233C9">
        <w:rPr>
          <w:rFonts w:cs="Century Gothic"/>
          <w:i/>
          <w:iCs/>
        </w:rPr>
        <w:t>’</w:t>
      </w:r>
      <w:r w:rsidRPr="000233C9">
        <w:rPr>
          <w:i/>
          <w:iCs/>
        </w:rPr>
        <w:t xml:space="preserve">re still struggling now. I went to a workshop a couple of weeks ago with </w:t>
      </w:r>
      <w:r w:rsidR="00C91F7D" w:rsidRPr="000233C9">
        <w:rPr>
          <w:i/>
          <w:iCs/>
        </w:rPr>
        <w:t>[the PHN]</w:t>
      </w:r>
      <w:r w:rsidRPr="000233C9">
        <w:rPr>
          <w:i/>
          <w:iCs/>
        </w:rPr>
        <w:t xml:space="preserve"> and </w:t>
      </w:r>
      <w:r w:rsidR="00440AA8" w:rsidRPr="000233C9">
        <w:rPr>
          <w:i/>
          <w:iCs/>
        </w:rPr>
        <w:t>[the solo GP practice]</w:t>
      </w:r>
      <w:r w:rsidRPr="000233C9">
        <w:rPr>
          <w:i/>
          <w:iCs/>
        </w:rPr>
        <w:t xml:space="preserve"> are struggling because they have to do it on their own. Whereas we’ve got a lot of support and help and people doing different things to get us through it and we found that we were struggling.”</w:t>
      </w:r>
      <w:r w:rsidRPr="000233C9">
        <w:t xml:space="preserve"> [GP, Practice 1, R2]</w:t>
      </w:r>
    </w:p>
    <w:p w14:paraId="59DF9B5D" w14:textId="77777777" w:rsidR="00B35913" w:rsidRPr="000233C9" w:rsidRDefault="00B35913" w:rsidP="00B35913">
      <w:pPr>
        <w:ind w:left="567" w:right="521"/>
      </w:pPr>
      <w:r w:rsidRPr="000233C9">
        <w:rPr>
          <w:i/>
          <w:iCs/>
        </w:rPr>
        <w:t xml:space="preserve">“Also, the practice size comes to the fact. The tiny little practices, the poor little solo GPs, are far too busy just trying to keep their head above water to have time to think about that.” </w:t>
      </w:r>
      <w:r w:rsidRPr="000233C9">
        <w:t>[GP, Practice 12, R4]</w:t>
      </w:r>
    </w:p>
    <w:p w14:paraId="396D7B85" w14:textId="5A2368DD" w:rsidR="00B35913" w:rsidRDefault="00A04D8F" w:rsidP="00B35913">
      <w:pPr>
        <w:spacing w:before="200"/>
      </w:pPr>
      <w:r>
        <w:t xml:space="preserve">Small practices </w:t>
      </w:r>
      <w:r w:rsidR="00601558">
        <w:t xml:space="preserve">confirmed difficulties, which included </w:t>
      </w:r>
      <w:r w:rsidR="00FE4B08">
        <w:t>lack of resources</w:t>
      </w:r>
      <w:r w:rsidR="00987AC5">
        <w:t xml:space="preserve"> and </w:t>
      </w:r>
      <w:r w:rsidR="002C3D3B">
        <w:t xml:space="preserve">reliance on </w:t>
      </w:r>
      <w:r w:rsidR="00A20B94">
        <w:t>one or two individuals</w:t>
      </w:r>
      <w:r>
        <w:t>:</w:t>
      </w:r>
    </w:p>
    <w:p w14:paraId="38287BA7" w14:textId="0A2C5B23" w:rsidR="00B35913" w:rsidRDefault="00B35913" w:rsidP="00B35913">
      <w:pPr>
        <w:ind w:left="567" w:right="521"/>
      </w:pPr>
      <w:r w:rsidRPr="000D1A6F">
        <w:rPr>
          <w:i/>
          <w:iCs/>
        </w:rPr>
        <w:lastRenderedPageBreak/>
        <w:t xml:space="preserve">“But that’s one of the problems I had, which is just a side-line because we’re such a small practice. In a bigger practice, losing one of the key players probably wouldn’t be an issue if the </w:t>
      </w:r>
      <w:r w:rsidR="0002675D">
        <w:rPr>
          <w:i/>
          <w:iCs/>
        </w:rPr>
        <w:t>program</w:t>
      </w:r>
      <w:r w:rsidRPr="000D1A6F">
        <w:rPr>
          <w:i/>
          <w:iCs/>
        </w:rPr>
        <w:t xml:space="preserve"> was up and running. But it would be an issue for us in our practice…,I needed to be here to run the </w:t>
      </w:r>
      <w:r w:rsidR="0002675D">
        <w:rPr>
          <w:i/>
          <w:iCs/>
        </w:rPr>
        <w:t>program</w:t>
      </w:r>
      <w:r w:rsidRPr="000D1A6F">
        <w:rPr>
          <w:i/>
          <w:iCs/>
        </w:rPr>
        <w:t xml:space="preserve">, so I haven’t taken a holiday this year…I’ve been sitting here because I’m still trying to work out what we want to do with the </w:t>
      </w:r>
      <w:r w:rsidR="0002675D">
        <w:rPr>
          <w:i/>
          <w:iCs/>
        </w:rPr>
        <w:t>program</w:t>
      </w:r>
      <w:r w:rsidRPr="000D1A6F">
        <w:rPr>
          <w:i/>
          <w:iCs/>
        </w:rPr>
        <w:t xml:space="preserve">…You don’t need to be big to run this sort of </w:t>
      </w:r>
      <w:r w:rsidR="0002675D">
        <w:rPr>
          <w:i/>
          <w:iCs/>
        </w:rPr>
        <w:t>program</w:t>
      </w:r>
      <w:r w:rsidRPr="000D1A6F">
        <w:rPr>
          <w:i/>
          <w:iCs/>
        </w:rPr>
        <w:t>. You can run this in a small practice, it’s just been very difficult for us to do.”</w:t>
      </w:r>
      <w:r w:rsidRPr="000D1A6F">
        <w:t xml:space="preserve"> [GP, Practice </w:t>
      </w:r>
      <w:r w:rsidRPr="00162F6B">
        <w:t>17</w:t>
      </w:r>
      <w:r w:rsidRPr="000D1A6F">
        <w:t>, R2]</w:t>
      </w:r>
    </w:p>
    <w:p w14:paraId="041C8373" w14:textId="416A1828" w:rsidR="00B35913" w:rsidRDefault="00B35913" w:rsidP="00B35913">
      <w:pPr>
        <w:ind w:left="567" w:right="521"/>
        <w:rPr>
          <w:rFonts w:eastAsia="Times New Roman" w:cs="Arial"/>
          <w:color w:val="000000"/>
          <w:szCs w:val="20"/>
          <w:lang w:eastAsia="en-AU"/>
        </w:rPr>
      </w:pPr>
      <w:r w:rsidRPr="00302B73">
        <w:rPr>
          <w:rFonts w:eastAsia="Times New Roman" w:cs="Arial"/>
          <w:i/>
          <w:iCs/>
          <w:color w:val="000000"/>
          <w:szCs w:val="20"/>
          <w:lang w:eastAsia="en-AU"/>
        </w:rPr>
        <w:t>“</w:t>
      </w:r>
      <w:r w:rsidRPr="00B35913">
        <w:rPr>
          <w:i/>
          <w:iCs/>
        </w:rPr>
        <w:t>It’s</w:t>
      </w:r>
      <w:r w:rsidRPr="00B222B8">
        <w:rPr>
          <w:rFonts w:eastAsia="Times New Roman" w:cs="Arial"/>
          <w:i/>
          <w:iCs/>
          <w:color w:val="000000"/>
          <w:szCs w:val="20"/>
          <w:lang w:eastAsia="en-AU"/>
        </w:rPr>
        <w:t xml:space="preserve"> a difficult </w:t>
      </w:r>
      <w:r w:rsidR="0002675D">
        <w:rPr>
          <w:rFonts w:eastAsia="Times New Roman" w:cs="Arial"/>
          <w:i/>
          <w:iCs/>
          <w:color w:val="000000"/>
          <w:szCs w:val="20"/>
          <w:lang w:eastAsia="en-AU"/>
        </w:rPr>
        <w:t>program</w:t>
      </w:r>
      <w:r w:rsidRPr="00B222B8">
        <w:rPr>
          <w:rFonts w:eastAsia="Times New Roman" w:cs="Arial"/>
          <w:i/>
          <w:iCs/>
          <w:color w:val="000000"/>
          <w:szCs w:val="20"/>
          <w:lang w:eastAsia="en-AU"/>
        </w:rPr>
        <w:t xml:space="preserve"> at this stage. We need more help to run this </w:t>
      </w:r>
      <w:r w:rsidR="0002675D">
        <w:rPr>
          <w:rFonts w:eastAsia="Times New Roman" w:cs="Arial"/>
          <w:i/>
          <w:iCs/>
          <w:color w:val="000000"/>
          <w:szCs w:val="20"/>
          <w:lang w:eastAsia="en-AU"/>
        </w:rPr>
        <w:t>program</w:t>
      </w:r>
      <w:r w:rsidRPr="00B222B8">
        <w:rPr>
          <w:rFonts w:eastAsia="Times New Roman" w:cs="Arial"/>
          <w:i/>
          <w:iCs/>
          <w:color w:val="000000"/>
          <w:szCs w:val="20"/>
          <w:lang w:eastAsia="en-AU"/>
        </w:rPr>
        <w:t xml:space="preserve"> successfully. We need some more help</w:t>
      </w:r>
      <w:r w:rsidRPr="00302B73">
        <w:rPr>
          <w:rFonts w:eastAsia="Times New Roman" w:cs="Arial"/>
          <w:i/>
          <w:iCs/>
          <w:color w:val="000000"/>
          <w:szCs w:val="20"/>
          <w:lang w:eastAsia="en-AU"/>
        </w:rPr>
        <w:t>.”</w:t>
      </w:r>
      <w:r w:rsidRPr="00302B73">
        <w:rPr>
          <w:rFonts w:eastAsia="Times New Roman" w:cs="Arial"/>
          <w:color w:val="000000"/>
          <w:szCs w:val="20"/>
          <w:lang w:eastAsia="en-AU"/>
        </w:rPr>
        <w:t xml:space="preserve"> [GP, Practice </w:t>
      </w:r>
      <w:r>
        <w:rPr>
          <w:rFonts w:eastAsia="Times New Roman" w:cs="Arial"/>
          <w:color w:val="000000"/>
          <w:szCs w:val="20"/>
          <w:lang w:eastAsia="en-AU"/>
        </w:rPr>
        <w:t>21, R4</w:t>
      </w:r>
      <w:r w:rsidRPr="00302B73">
        <w:rPr>
          <w:rFonts w:eastAsia="Times New Roman" w:cs="Arial"/>
          <w:color w:val="000000"/>
          <w:szCs w:val="20"/>
          <w:lang w:eastAsia="en-AU"/>
        </w:rPr>
        <w:t>]</w:t>
      </w:r>
    </w:p>
    <w:p w14:paraId="5E9F1AF7" w14:textId="3D3541B2" w:rsidR="00116D0D" w:rsidRDefault="00116D0D" w:rsidP="00B35913">
      <w:pPr>
        <w:spacing w:before="200"/>
      </w:pPr>
      <w:r>
        <w:t>PHNs also observed that</w:t>
      </w:r>
      <w:r w:rsidR="003A2825">
        <w:t xml:space="preserve"> implementation was easier for the large practices:</w:t>
      </w:r>
    </w:p>
    <w:p w14:paraId="3FC8FAE5" w14:textId="77777777" w:rsidR="003A2825" w:rsidRPr="00CD3D8D" w:rsidRDefault="003A2825" w:rsidP="003A2825">
      <w:pPr>
        <w:ind w:left="567" w:right="521"/>
        <w:rPr>
          <w:rFonts w:eastAsia="Times New Roman"/>
          <w:szCs w:val="20"/>
          <w:lang w:eastAsia="en-AU"/>
        </w:rPr>
      </w:pPr>
      <w:r w:rsidRPr="000233C9">
        <w:rPr>
          <w:rFonts w:eastAsia="Times New Roman"/>
          <w:i/>
          <w:iCs/>
          <w:szCs w:val="20"/>
          <w:lang w:eastAsia="en-AU"/>
        </w:rPr>
        <w:t xml:space="preserve">“The larger practices, I’m finding, had time because they implemented the email address, the phone dedicated, </w:t>
      </w:r>
      <w:r w:rsidRPr="000233C9">
        <w:rPr>
          <w:i/>
          <w:iCs/>
        </w:rPr>
        <w:t>the</w:t>
      </w:r>
      <w:r w:rsidRPr="000233C9">
        <w:rPr>
          <w:rFonts w:eastAsia="Times New Roman"/>
          <w:i/>
          <w:iCs/>
          <w:szCs w:val="20"/>
          <w:lang w:eastAsia="en-AU"/>
        </w:rPr>
        <w:t xml:space="preserve"> telehealth. They didn’t have to pay, they had their IT systems all schmick. Where the smaller practices don’t have that. They haven’t got that infrastructure, basically. The online care portal, that was an issue for some of them with internet access, but the larger practices, I feel, went with it a lot easier.” </w:t>
      </w:r>
      <w:r w:rsidRPr="000233C9">
        <w:rPr>
          <w:rFonts w:eastAsia="Times New Roman"/>
          <w:szCs w:val="20"/>
          <w:lang w:eastAsia="en-AU"/>
        </w:rPr>
        <w:t>[PHN 10, Interview, R5]</w:t>
      </w:r>
    </w:p>
    <w:p w14:paraId="74A6CF15" w14:textId="6C4CEFF9" w:rsidR="00A259A0" w:rsidRDefault="00B35913" w:rsidP="00B35913">
      <w:pPr>
        <w:spacing w:before="200"/>
      </w:pPr>
      <w:r>
        <w:t xml:space="preserve">Whilst larger practices often had more resources and staff to implement and operate HCH, </w:t>
      </w:r>
      <w:r w:rsidR="00A259A0">
        <w:t xml:space="preserve">they struggled with </w:t>
      </w:r>
      <w:r w:rsidR="00031446">
        <w:t xml:space="preserve">being able to make changes as </w:t>
      </w:r>
      <w:r w:rsidR="00A561E7">
        <w:t>quickly</w:t>
      </w:r>
      <w:r w:rsidR="00C20D2D">
        <w:t xml:space="preserve"> due to the many decision-makers involved:</w:t>
      </w:r>
    </w:p>
    <w:p w14:paraId="67E99B8C" w14:textId="77777777" w:rsidR="00B35913" w:rsidRDefault="00B35913" w:rsidP="00B35913">
      <w:pPr>
        <w:ind w:left="567" w:right="521"/>
      </w:pPr>
      <w:r w:rsidRPr="00841BF1">
        <w:rPr>
          <w:i/>
          <w:iCs/>
        </w:rPr>
        <w:t>“You get to this size practice, all right, with multiple owners…and it’s enormously difficult to actually make some kind of practice change, I find.”</w:t>
      </w:r>
      <w:r>
        <w:t xml:space="preserve"> [GP, Practice 12, R2]</w:t>
      </w:r>
    </w:p>
    <w:p w14:paraId="0801287F" w14:textId="5C715C07" w:rsidR="00B35913" w:rsidRDefault="00B35913" w:rsidP="00B35913">
      <w:pPr>
        <w:ind w:left="567" w:right="521"/>
      </w:pPr>
      <w:r w:rsidRPr="00C84C8A">
        <w:rPr>
          <w:i/>
          <w:iCs/>
        </w:rPr>
        <w:t>“it can work in a practice this size, when the majority of the doctors are on board. And if you were to try and implement it in a big practice, you’d have to have little hubs. You’d have to split it into three at least.”</w:t>
      </w:r>
      <w:r>
        <w:t xml:space="preserve"> [Practice Manager, Practice 11, R4]</w:t>
      </w:r>
    </w:p>
    <w:p w14:paraId="293C346C" w14:textId="7E831B31" w:rsidR="00B35913" w:rsidRDefault="00B35913" w:rsidP="00B35913">
      <w:pPr>
        <w:spacing w:before="200"/>
      </w:pPr>
      <w:r>
        <w:t>Regardless of practice size, PHNs and practices reinforced that strong leadership, staff buy-in and the scale of HCH patients were integral to program success.</w:t>
      </w:r>
    </w:p>
    <w:p w14:paraId="05B3D314" w14:textId="3BFF7794" w:rsidR="00B35913" w:rsidRDefault="00B35913" w:rsidP="00B35913">
      <w:pPr>
        <w:pStyle w:val="Heading2"/>
      </w:pPr>
      <w:bookmarkStart w:id="263" w:name="_Toc109996708"/>
      <w:r w:rsidRPr="00073282">
        <w:t xml:space="preserve">Corporate vs </w:t>
      </w:r>
      <w:r>
        <w:t>independently-owned</w:t>
      </w:r>
      <w:r w:rsidRPr="00073282">
        <w:t xml:space="preserve"> practices</w:t>
      </w:r>
      <w:bookmarkEnd w:id="263"/>
    </w:p>
    <w:p w14:paraId="5EB55073" w14:textId="343F3A78" w:rsidR="00B35913" w:rsidRDefault="00B35913" w:rsidP="00B35913">
      <w:r>
        <w:t xml:space="preserve">Similar to practice size, interviewees felt that there were advantages and disadvantages to </w:t>
      </w:r>
      <w:r w:rsidR="0090576B">
        <w:t>operating</w:t>
      </w:r>
      <w:r>
        <w:t xml:space="preserve"> HCH in corporate versus </w:t>
      </w:r>
      <w:r w:rsidR="000D7DBE" w:rsidRPr="000D7DBE">
        <w:t>independently-owned</w:t>
      </w:r>
      <w:r>
        <w:t xml:space="preserve"> practices. In some instances corporate practices were </w:t>
      </w:r>
      <w:r w:rsidR="000D7DBE">
        <w:t>also</w:t>
      </w:r>
      <w:r>
        <w:t xml:space="preserve"> large practices and </w:t>
      </w:r>
      <w:r w:rsidR="000D7DBE">
        <w:t>independently-owned</w:t>
      </w:r>
      <w:r w:rsidR="000D7DBE" w:rsidRPr="00073282">
        <w:t xml:space="preserve"> </w:t>
      </w:r>
      <w:r w:rsidR="00BA0E69">
        <w:t xml:space="preserve">practices </w:t>
      </w:r>
      <w:r>
        <w:t xml:space="preserve">were </w:t>
      </w:r>
      <w:r w:rsidR="00BA0E69">
        <w:t>usually small or medium-sized</w:t>
      </w:r>
      <w:r>
        <w:t xml:space="preserve">; therefore, there was some level of overlap when comparing </w:t>
      </w:r>
      <w:r w:rsidR="00BA0E69">
        <w:t xml:space="preserve">experiences based on </w:t>
      </w:r>
      <w:r>
        <w:t xml:space="preserve">practice size and </w:t>
      </w:r>
      <w:r w:rsidR="00BA0E69">
        <w:t>ownership</w:t>
      </w:r>
      <w:r>
        <w:t xml:space="preserve">. </w:t>
      </w:r>
    </w:p>
    <w:p w14:paraId="6CDC2FBB" w14:textId="458A0A03" w:rsidR="00B35913" w:rsidRDefault="00B35913" w:rsidP="00B35913">
      <w:r>
        <w:t xml:space="preserve">Similar to larger practices, the </w:t>
      </w:r>
      <w:r w:rsidR="007D754A">
        <w:t>advantages</w:t>
      </w:r>
      <w:r>
        <w:t xml:space="preserve"> of operating HCH in a corporate practice predominantly revolved around additional staff members and resources to support HCH implementation and ongoing program operations</w:t>
      </w:r>
      <w:r w:rsidR="00BA0E69">
        <w:t>:</w:t>
      </w:r>
    </w:p>
    <w:p w14:paraId="561FFE9C" w14:textId="6FF9D3CF" w:rsidR="00B35913" w:rsidRDefault="00B35913" w:rsidP="00B35913">
      <w:pPr>
        <w:ind w:left="567" w:right="521"/>
      </w:pPr>
      <w:r w:rsidRPr="00895FAE">
        <w:rPr>
          <w:i/>
          <w:iCs/>
        </w:rPr>
        <w:t xml:space="preserve">“…we’re lucky because we’re a corporation and we’ve got a team of people that are working on different things that are providing me with stuff to then pass on, </w:t>
      </w:r>
      <w:r w:rsidRPr="00895FAE">
        <w:rPr>
          <w:i/>
          <w:iCs/>
        </w:rPr>
        <w:lastRenderedPageBreak/>
        <w:t xml:space="preserve">and we’ve got the </w:t>
      </w:r>
      <w:r w:rsidR="007D754A">
        <w:rPr>
          <w:i/>
          <w:iCs/>
        </w:rPr>
        <w:t>[practice managers]</w:t>
      </w:r>
      <w:r w:rsidRPr="00895FAE">
        <w:rPr>
          <w:i/>
          <w:iCs/>
        </w:rPr>
        <w:t xml:space="preserve"> that can do things locally.”</w:t>
      </w:r>
      <w:r>
        <w:t xml:space="preserve"> [Clinical Services Manager, Practice 1, R2]</w:t>
      </w:r>
    </w:p>
    <w:p w14:paraId="58B6C900" w14:textId="1B364151" w:rsidR="009B34C4" w:rsidRDefault="00B35913" w:rsidP="00B35913">
      <w:r>
        <w:t>The disadvantages included</w:t>
      </w:r>
      <w:r w:rsidR="009B34C4">
        <w:t xml:space="preserve"> the larger number of decision-makers involved</w:t>
      </w:r>
      <w:r w:rsidR="000F66E5">
        <w:t xml:space="preserve">, </w:t>
      </w:r>
      <w:r w:rsidR="00432692">
        <w:t xml:space="preserve">less direct </w:t>
      </w:r>
      <w:r w:rsidR="000F66E5">
        <w:t>communication</w:t>
      </w:r>
      <w:r w:rsidR="00432692">
        <w:t xml:space="preserve"> channels and more established processes that are harder to change:</w:t>
      </w:r>
    </w:p>
    <w:p w14:paraId="1A5892EF" w14:textId="77777777" w:rsidR="00B35913" w:rsidRDefault="00B35913" w:rsidP="00B35913">
      <w:pPr>
        <w:ind w:left="567" w:right="521"/>
      </w:pPr>
      <w:r w:rsidRPr="00A82B30">
        <w:rPr>
          <w:i/>
          <w:iCs/>
        </w:rPr>
        <w:t>“I think as [a corporate practice] as who we are, we have tried to really support this and make it an easier process and create the things that we needed to…But it</w:t>
      </w:r>
      <w:r w:rsidRPr="00A82B30">
        <w:rPr>
          <w:rFonts w:cs="Century Gothic"/>
          <w:i/>
          <w:iCs/>
        </w:rPr>
        <w:t>’</w:t>
      </w:r>
      <w:r w:rsidRPr="00A82B30">
        <w:rPr>
          <w:i/>
          <w:iCs/>
        </w:rPr>
        <w:t>s still... we</w:t>
      </w:r>
      <w:r w:rsidRPr="00A82B30">
        <w:rPr>
          <w:rFonts w:cs="Century Gothic"/>
          <w:i/>
          <w:iCs/>
        </w:rPr>
        <w:t>’</w:t>
      </w:r>
      <w:r w:rsidRPr="00A82B30">
        <w:rPr>
          <w:i/>
          <w:iCs/>
        </w:rPr>
        <w:t>re just getting nowhere.”</w:t>
      </w:r>
      <w:r>
        <w:t xml:space="preserve"> [Clinical Services Manager, Practice 1, R2]</w:t>
      </w:r>
    </w:p>
    <w:p w14:paraId="53099365" w14:textId="77777777" w:rsidR="00B35913" w:rsidRDefault="00B35913" w:rsidP="00B35913">
      <w:pPr>
        <w:ind w:left="567" w:right="521"/>
      </w:pPr>
      <w:r>
        <w:rPr>
          <w:i/>
          <w:iCs/>
        </w:rPr>
        <w:t>“</w:t>
      </w:r>
      <w:r w:rsidRPr="00F131FB">
        <w:rPr>
          <w:i/>
          <w:iCs/>
        </w:rPr>
        <w:t>In a larger corporate practice, everything goes through the practice software. So, at my old practice…for every patient, I had to put through two billings each month. One for the practice, the amount that the practice got to keep, and one for the doctor. And then, you had to buddy up the doctors…it gets very complicated.”</w:t>
      </w:r>
      <w:r>
        <w:t xml:space="preserve"> [Practice Manager, practice 11, R4]</w:t>
      </w:r>
    </w:p>
    <w:p w14:paraId="316868DA" w14:textId="0E563E59" w:rsidR="00B35913" w:rsidRDefault="00B35913" w:rsidP="00B35913">
      <w:pPr>
        <w:ind w:left="567" w:right="521"/>
      </w:pPr>
      <w:r w:rsidRPr="00491B10">
        <w:rPr>
          <w:i/>
          <w:iCs/>
        </w:rPr>
        <w:t xml:space="preserve">“…it all comes back to the issue of how it all started. If you’ve got a </w:t>
      </w:r>
      <w:r w:rsidR="00A85247">
        <w:rPr>
          <w:i/>
          <w:iCs/>
        </w:rPr>
        <w:t>practice</w:t>
      </w:r>
      <w:r w:rsidRPr="00491B10">
        <w:rPr>
          <w:i/>
          <w:iCs/>
        </w:rPr>
        <w:t xml:space="preserve"> that are corporate level or owner level, you’ve got onboard without engaging or talking about it with their doctors, straight up, they’re not aware. They don’t know anything about it. They’re not onboard.”</w:t>
      </w:r>
      <w:r>
        <w:t xml:space="preserve"> [PHN 1, interview, R2]</w:t>
      </w:r>
    </w:p>
    <w:p w14:paraId="423503EE" w14:textId="23001A89" w:rsidR="00B35913" w:rsidRPr="00073282" w:rsidRDefault="00B35913" w:rsidP="00B35913">
      <w:pPr>
        <w:pStyle w:val="Heading2"/>
      </w:pPr>
      <w:bookmarkStart w:id="264" w:name="_Toc109996709"/>
      <w:r w:rsidRPr="00073282">
        <w:t xml:space="preserve">Practices with high vs low patient </w:t>
      </w:r>
      <w:r w:rsidR="00192D2A">
        <w:t>enrolments</w:t>
      </w:r>
      <w:bookmarkEnd w:id="264"/>
    </w:p>
    <w:p w14:paraId="3BB58025" w14:textId="0B347278" w:rsidR="00B35913" w:rsidRDefault="008F1CDA" w:rsidP="001905C1">
      <w:pPr>
        <w:ind w:right="521"/>
      </w:pPr>
      <w:r>
        <w:t xml:space="preserve">Practices with very low </w:t>
      </w:r>
      <w:r w:rsidR="0091585E">
        <w:t>number</w:t>
      </w:r>
      <w:r w:rsidR="00B26C70">
        <w:t>s</w:t>
      </w:r>
      <w:r w:rsidR="0091585E">
        <w:t xml:space="preserve"> of enrolments reported issues with </w:t>
      </w:r>
      <w:r w:rsidR="00415BD3">
        <w:t xml:space="preserve">being able to </w:t>
      </w:r>
      <w:r w:rsidR="00256077">
        <w:t xml:space="preserve">have the flexibility that the bundled payment was designed for to introduce </w:t>
      </w:r>
      <w:r w:rsidR="00CF6261">
        <w:t>new or different supports for patients</w:t>
      </w:r>
      <w:r w:rsidR="008F05CE">
        <w:t xml:space="preserve">, and </w:t>
      </w:r>
      <w:r w:rsidR="0039364B">
        <w:t>difficulties with maintaining the model given that it was such a small part of their practice.</w:t>
      </w:r>
      <w:r w:rsidR="0092728B">
        <w:t xml:space="preserve"> These issues have been described in other parts of this report.</w:t>
      </w:r>
    </w:p>
    <w:p w14:paraId="6B92FC12" w14:textId="77777777" w:rsidR="0092728B" w:rsidRDefault="0092728B" w:rsidP="001905C1">
      <w:pPr>
        <w:ind w:right="521"/>
      </w:pPr>
    </w:p>
    <w:p w14:paraId="303632C1" w14:textId="08BC527F" w:rsidR="00B35913" w:rsidRDefault="00B35913" w:rsidP="00B35913">
      <w:pPr>
        <w:sectPr w:rsidR="00B35913">
          <w:pgSz w:w="11906" w:h="16838"/>
          <w:pgMar w:top="1440" w:right="1440" w:bottom="1440" w:left="1440" w:header="708" w:footer="708" w:gutter="0"/>
          <w:cols w:space="708"/>
          <w:docGrid w:linePitch="360"/>
        </w:sectPr>
      </w:pPr>
      <w:r>
        <w:br/>
      </w:r>
    </w:p>
    <w:p w14:paraId="361ACA38" w14:textId="753A64B8" w:rsidR="00A56F24" w:rsidRPr="0094369A" w:rsidRDefault="00A56F24" w:rsidP="00A56F24">
      <w:pPr>
        <w:pStyle w:val="ChapterNumber"/>
      </w:pPr>
      <w:r>
        <w:lastRenderedPageBreak/>
        <w:fldChar w:fldCharType="begin"/>
      </w:r>
      <w:r>
        <w:instrText xml:space="preserve"> REF _Ref84001465 \r \h </w:instrText>
      </w:r>
      <w:r>
        <w:fldChar w:fldCharType="separate"/>
      </w:r>
      <w:r w:rsidR="003C4BC2">
        <w:t>14</w:t>
      </w:r>
      <w:r>
        <w:fldChar w:fldCharType="end"/>
      </w:r>
    </w:p>
    <w:p w14:paraId="1649EA5C" w14:textId="3CCC89C8" w:rsidR="00A56F24" w:rsidRDefault="00A56F24" w:rsidP="00A56F24">
      <w:pPr>
        <w:pStyle w:val="Heading1withnumber"/>
        <w:ind w:left="0" w:hanging="993"/>
      </w:pPr>
      <w:bookmarkStart w:id="265" w:name="_Ref84001465"/>
      <w:bookmarkStart w:id="266" w:name="_Toc109996710"/>
      <w:r>
        <w:t>Staff experience</w:t>
      </w:r>
      <w:bookmarkEnd w:id="265"/>
      <w:bookmarkEnd w:id="266"/>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AB14F3" w:rsidRPr="0048466A" w14:paraId="64F0B894" w14:textId="77777777" w:rsidTr="0032660B">
        <w:tc>
          <w:tcPr>
            <w:tcW w:w="8996" w:type="dxa"/>
            <w:shd w:val="clear" w:color="auto" w:fill="auto"/>
          </w:tcPr>
          <w:p w14:paraId="0C6223BF" w14:textId="3EE615AA" w:rsidR="00AB14F3" w:rsidRPr="00E76EF4" w:rsidRDefault="00AB14F3" w:rsidP="00AF15A5">
            <w:pPr>
              <w:pStyle w:val="Boxheading"/>
              <w:spacing w:after="120"/>
              <w:rPr>
                <w:bCs/>
                <w:szCs w:val="20"/>
              </w:rPr>
            </w:pPr>
            <w:r w:rsidRPr="00E76EF4">
              <w:rPr>
                <w:bCs/>
                <w:szCs w:val="20"/>
              </w:rPr>
              <w:t xml:space="preserve">Box </w:t>
            </w:r>
            <w:r w:rsidRPr="00E76EF4">
              <w:rPr>
                <w:bCs/>
              </w:rPr>
              <w:fldChar w:fldCharType="begin"/>
            </w:r>
            <w:r w:rsidRPr="00E76EF4">
              <w:rPr>
                <w:bCs/>
              </w:rPr>
              <w:instrText xml:space="preserve"> SEQ Box \* ARABIC </w:instrText>
            </w:r>
            <w:r w:rsidRPr="00E76EF4">
              <w:rPr>
                <w:bCs/>
              </w:rPr>
              <w:fldChar w:fldCharType="separate"/>
            </w:r>
            <w:r w:rsidR="003C4BC2">
              <w:rPr>
                <w:bCs/>
                <w:noProof/>
              </w:rPr>
              <w:t>21</w:t>
            </w:r>
            <w:r w:rsidRPr="00E76EF4">
              <w:rPr>
                <w:bCs/>
                <w:noProof/>
              </w:rPr>
              <w:fldChar w:fldCharType="end"/>
            </w:r>
            <w:r w:rsidRPr="00E76EF4">
              <w:rPr>
                <w:bCs/>
                <w:szCs w:val="20"/>
              </w:rPr>
              <w:t xml:space="preserve">: </w:t>
            </w:r>
            <w:r w:rsidR="00E76EF4" w:rsidRPr="00E76EF4">
              <w:rPr>
                <w:bCs/>
                <w:szCs w:val="20"/>
              </w:rPr>
              <w:t>Chapter summary</w:t>
            </w:r>
          </w:p>
          <w:p w14:paraId="68C32311" w14:textId="04A254CD" w:rsidR="005608FF" w:rsidRDefault="001B214D" w:rsidP="005608FF">
            <w:pPr>
              <w:spacing w:after="120"/>
              <w:rPr>
                <w:rFonts w:eastAsia="Muli" w:cs="Muli"/>
                <w:color w:val="000000" w:themeColor="text1"/>
                <w:sz w:val="18"/>
                <w:szCs w:val="18"/>
              </w:rPr>
            </w:pPr>
            <w:r>
              <w:rPr>
                <w:rFonts w:eastAsia="Muli" w:cs="Muli"/>
                <w:color w:val="000000" w:themeColor="text1"/>
                <w:sz w:val="18"/>
                <w:szCs w:val="18"/>
              </w:rPr>
              <w:t>S</w:t>
            </w:r>
            <w:r w:rsidR="005608FF">
              <w:rPr>
                <w:rFonts w:eastAsia="Muli" w:cs="Muli"/>
                <w:color w:val="000000" w:themeColor="text1"/>
                <w:sz w:val="18"/>
                <w:szCs w:val="18"/>
              </w:rPr>
              <w:t xml:space="preserve">taff experience </w:t>
            </w:r>
            <w:r>
              <w:rPr>
                <w:rFonts w:eastAsia="Muli" w:cs="Muli"/>
                <w:color w:val="000000" w:themeColor="text1"/>
                <w:sz w:val="18"/>
                <w:szCs w:val="18"/>
              </w:rPr>
              <w:t xml:space="preserve">with HCH </w:t>
            </w:r>
            <w:r w:rsidR="005608FF">
              <w:rPr>
                <w:rFonts w:eastAsia="Muli" w:cs="Muli"/>
                <w:color w:val="000000" w:themeColor="text1"/>
                <w:sz w:val="18"/>
                <w:szCs w:val="18"/>
              </w:rPr>
              <w:t xml:space="preserve">differed substantially across practices. </w:t>
            </w:r>
            <w:bookmarkStart w:id="267" w:name="_Hlk99200576"/>
            <w:r w:rsidR="005608FF">
              <w:rPr>
                <w:rFonts w:eastAsia="Muli" w:cs="Muli"/>
                <w:color w:val="000000" w:themeColor="text1"/>
                <w:sz w:val="18"/>
                <w:szCs w:val="18"/>
              </w:rPr>
              <w:t>Only about one</w:t>
            </w:r>
            <w:r w:rsidR="00D63CA9">
              <w:rPr>
                <w:rFonts w:eastAsia="Muli" w:cs="Muli"/>
                <w:color w:val="000000" w:themeColor="text1"/>
                <w:sz w:val="18"/>
                <w:szCs w:val="18"/>
              </w:rPr>
              <w:t xml:space="preserve"> </w:t>
            </w:r>
            <w:r w:rsidR="005608FF">
              <w:rPr>
                <w:rFonts w:eastAsia="Muli" w:cs="Muli"/>
                <w:color w:val="000000" w:themeColor="text1"/>
                <w:sz w:val="18"/>
                <w:szCs w:val="18"/>
              </w:rPr>
              <w:t xml:space="preserve">third of staff who had been employed at their practice </w:t>
            </w:r>
            <w:r w:rsidR="00725B31">
              <w:rPr>
                <w:rFonts w:eastAsia="Muli" w:cs="Muli"/>
                <w:color w:val="000000" w:themeColor="text1"/>
                <w:sz w:val="18"/>
                <w:szCs w:val="18"/>
              </w:rPr>
              <w:t>before</w:t>
            </w:r>
            <w:r w:rsidR="005608FF">
              <w:rPr>
                <w:rFonts w:eastAsia="Muli" w:cs="Muli"/>
                <w:color w:val="000000" w:themeColor="text1"/>
                <w:sz w:val="18"/>
                <w:szCs w:val="18"/>
              </w:rPr>
              <w:t xml:space="preserve"> the introduction of HCH reported their role had changed </w:t>
            </w:r>
            <w:bookmarkStart w:id="268" w:name="_Hlk108625997"/>
            <w:r w:rsidR="00130DAA">
              <w:rPr>
                <w:rFonts w:eastAsia="Muli" w:cs="Muli"/>
                <w:color w:val="000000" w:themeColor="text1"/>
                <w:sz w:val="18"/>
                <w:szCs w:val="18"/>
              </w:rPr>
              <w:t xml:space="preserve">due to </w:t>
            </w:r>
            <w:r w:rsidR="00125A12">
              <w:rPr>
                <w:rFonts w:eastAsia="Muli" w:cs="Muli"/>
                <w:color w:val="000000" w:themeColor="text1"/>
                <w:sz w:val="18"/>
                <w:szCs w:val="18"/>
              </w:rPr>
              <w:t>the</w:t>
            </w:r>
            <w:r w:rsidR="005608FF">
              <w:rPr>
                <w:rFonts w:eastAsia="Muli" w:cs="Muli"/>
                <w:color w:val="000000" w:themeColor="text1"/>
                <w:sz w:val="18"/>
                <w:szCs w:val="18"/>
              </w:rPr>
              <w:t xml:space="preserve"> </w:t>
            </w:r>
            <w:r w:rsidR="00130DAA">
              <w:rPr>
                <w:rFonts w:eastAsia="Muli" w:cs="Muli"/>
                <w:color w:val="000000" w:themeColor="text1"/>
                <w:sz w:val="18"/>
                <w:szCs w:val="18"/>
              </w:rPr>
              <w:t>practice’s participation in the program</w:t>
            </w:r>
            <w:bookmarkEnd w:id="268"/>
            <w:r w:rsidR="005608FF">
              <w:rPr>
                <w:rFonts w:eastAsia="Muli" w:cs="Muli"/>
                <w:color w:val="000000" w:themeColor="text1"/>
                <w:sz w:val="18"/>
                <w:szCs w:val="18"/>
              </w:rPr>
              <w:t>. Among those who reported a change in role, the majority reported that they delegated more responsibility to others</w:t>
            </w:r>
            <w:r w:rsidR="00714A8D">
              <w:rPr>
                <w:rFonts w:eastAsia="Muli" w:cs="Muli"/>
                <w:color w:val="000000" w:themeColor="text1"/>
                <w:sz w:val="18"/>
                <w:szCs w:val="18"/>
              </w:rPr>
              <w:t xml:space="preserve">. This </w:t>
            </w:r>
            <w:r w:rsidR="005608FF">
              <w:rPr>
                <w:rFonts w:eastAsia="Muli" w:cs="Muli"/>
                <w:color w:val="000000" w:themeColor="text1"/>
                <w:sz w:val="18"/>
                <w:szCs w:val="18"/>
              </w:rPr>
              <w:t>was more common among GPs. Most staff also reported they were delegated more responsibility, and consistent with above, this was less common among GPs. Administrative staff and practice managers mainly reported change</w:t>
            </w:r>
            <w:r w:rsidR="00D51B50">
              <w:rPr>
                <w:rFonts w:eastAsia="Muli" w:cs="Muli"/>
                <w:color w:val="000000" w:themeColor="text1"/>
                <w:sz w:val="18"/>
                <w:szCs w:val="18"/>
              </w:rPr>
              <w:t>s</w:t>
            </w:r>
            <w:r w:rsidR="005608FF">
              <w:rPr>
                <w:rFonts w:eastAsia="Muli" w:cs="Muli"/>
                <w:color w:val="000000" w:themeColor="text1"/>
                <w:sz w:val="18"/>
                <w:szCs w:val="18"/>
              </w:rPr>
              <w:t xml:space="preserve"> in administrative tasks</w:t>
            </w:r>
            <w:r w:rsidR="00477867">
              <w:rPr>
                <w:rFonts w:eastAsia="Muli" w:cs="Muli"/>
                <w:color w:val="000000" w:themeColor="text1"/>
                <w:sz w:val="18"/>
                <w:szCs w:val="18"/>
              </w:rPr>
              <w:t>,</w:t>
            </w:r>
            <w:r w:rsidR="005608FF">
              <w:rPr>
                <w:rFonts w:eastAsia="Muli" w:cs="Muli"/>
                <w:color w:val="000000" w:themeColor="text1"/>
                <w:sz w:val="18"/>
                <w:szCs w:val="18"/>
              </w:rPr>
              <w:t xml:space="preserve"> </w:t>
            </w:r>
            <w:r w:rsidR="00751E5F">
              <w:rPr>
                <w:rFonts w:eastAsia="Muli" w:cs="Muli"/>
                <w:color w:val="000000" w:themeColor="text1"/>
                <w:sz w:val="18"/>
                <w:szCs w:val="18"/>
              </w:rPr>
              <w:t>with</w:t>
            </w:r>
            <w:r w:rsidR="005608FF">
              <w:rPr>
                <w:rFonts w:eastAsia="Muli" w:cs="Muli"/>
                <w:color w:val="000000" w:themeColor="text1"/>
                <w:sz w:val="18"/>
                <w:szCs w:val="18"/>
              </w:rPr>
              <w:t xml:space="preserve"> some administrative staff </w:t>
            </w:r>
            <w:r w:rsidR="00F94AE6">
              <w:rPr>
                <w:rFonts w:eastAsia="Muli" w:cs="Muli"/>
                <w:color w:val="000000" w:themeColor="text1"/>
                <w:sz w:val="18"/>
                <w:szCs w:val="18"/>
              </w:rPr>
              <w:t xml:space="preserve">taking on </w:t>
            </w:r>
            <w:r w:rsidR="005608FF">
              <w:rPr>
                <w:rFonts w:eastAsia="Muli" w:cs="Muli"/>
                <w:color w:val="000000" w:themeColor="text1"/>
                <w:sz w:val="18"/>
                <w:szCs w:val="18"/>
              </w:rPr>
              <w:t>role</w:t>
            </w:r>
            <w:r w:rsidR="00F94AE6">
              <w:rPr>
                <w:rFonts w:eastAsia="Muli" w:cs="Muli"/>
                <w:color w:val="000000" w:themeColor="text1"/>
                <w:sz w:val="18"/>
                <w:szCs w:val="18"/>
              </w:rPr>
              <w:t>s</w:t>
            </w:r>
            <w:r w:rsidR="005608FF">
              <w:rPr>
                <w:rFonts w:eastAsia="Muli" w:cs="Muli"/>
                <w:color w:val="000000" w:themeColor="text1"/>
                <w:sz w:val="18"/>
                <w:szCs w:val="18"/>
              </w:rPr>
              <w:t xml:space="preserve"> in educating people about HCH. Some nurses reported an increase in their scope of practice, particularly in relation to chronic disease management and stronger relationship</w:t>
            </w:r>
            <w:r w:rsidR="00477867">
              <w:rPr>
                <w:rFonts w:eastAsia="Muli" w:cs="Muli"/>
                <w:color w:val="000000" w:themeColor="text1"/>
                <w:sz w:val="18"/>
                <w:szCs w:val="18"/>
              </w:rPr>
              <w:t>s</w:t>
            </w:r>
            <w:r w:rsidR="005608FF">
              <w:rPr>
                <w:rFonts w:eastAsia="Muli" w:cs="Muli"/>
                <w:color w:val="000000" w:themeColor="text1"/>
                <w:sz w:val="18"/>
                <w:szCs w:val="18"/>
              </w:rPr>
              <w:t xml:space="preserve"> with patients.</w:t>
            </w:r>
          </w:p>
          <w:p w14:paraId="21253DD6" w14:textId="73CE22FB" w:rsidR="005608FF" w:rsidRDefault="005608FF" w:rsidP="005608FF">
            <w:pPr>
              <w:spacing w:after="120"/>
              <w:rPr>
                <w:rFonts w:eastAsia="Muli" w:cs="Muli"/>
                <w:color w:val="000000" w:themeColor="text1"/>
                <w:sz w:val="18"/>
                <w:szCs w:val="18"/>
              </w:rPr>
            </w:pPr>
            <w:r>
              <w:rPr>
                <w:rFonts w:eastAsia="Muli" w:cs="Muli"/>
                <w:color w:val="000000" w:themeColor="text1"/>
                <w:sz w:val="18"/>
                <w:szCs w:val="18"/>
              </w:rPr>
              <w:t xml:space="preserve">Approximately half of the staff who completed the staff survey reported the practice was </w:t>
            </w:r>
            <w:r w:rsidR="00F163F2">
              <w:rPr>
                <w:rFonts w:eastAsia="Muli" w:cs="Muli"/>
                <w:color w:val="000000" w:themeColor="text1"/>
                <w:sz w:val="18"/>
                <w:szCs w:val="18"/>
              </w:rPr>
              <w:t>“</w:t>
            </w:r>
            <w:r>
              <w:rPr>
                <w:rFonts w:eastAsia="Muli" w:cs="Muli"/>
                <w:color w:val="000000" w:themeColor="text1"/>
                <w:sz w:val="18"/>
                <w:szCs w:val="18"/>
              </w:rPr>
              <w:t>busy but reasonable</w:t>
            </w:r>
            <w:r w:rsidR="00F163F2">
              <w:rPr>
                <w:rFonts w:eastAsia="Muli" w:cs="Muli"/>
                <w:color w:val="000000" w:themeColor="text1"/>
                <w:sz w:val="18"/>
                <w:szCs w:val="18"/>
              </w:rPr>
              <w:t>”</w:t>
            </w:r>
            <w:r>
              <w:rPr>
                <w:rFonts w:eastAsia="Muli" w:cs="Muli"/>
                <w:color w:val="000000" w:themeColor="text1"/>
                <w:sz w:val="18"/>
                <w:szCs w:val="18"/>
              </w:rPr>
              <w:t xml:space="preserve">, and over 30% reported it was </w:t>
            </w:r>
            <w:r w:rsidR="00F163F2">
              <w:rPr>
                <w:rFonts w:eastAsia="Muli" w:cs="Muli"/>
                <w:color w:val="000000" w:themeColor="text1"/>
                <w:sz w:val="18"/>
                <w:szCs w:val="18"/>
              </w:rPr>
              <w:t>“</w:t>
            </w:r>
            <w:r>
              <w:rPr>
                <w:rFonts w:eastAsia="Muli" w:cs="Muli"/>
                <w:color w:val="000000" w:themeColor="text1"/>
                <w:sz w:val="18"/>
                <w:szCs w:val="18"/>
              </w:rPr>
              <w:t>busier than reasonable</w:t>
            </w:r>
            <w:r w:rsidR="00F163F2">
              <w:rPr>
                <w:rFonts w:eastAsia="Muli" w:cs="Muli"/>
                <w:color w:val="000000" w:themeColor="text1"/>
                <w:sz w:val="18"/>
                <w:szCs w:val="18"/>
              </w:rPr>
              <w:t>”</w:t>
            </w:r>
            <w:r>
              <w:rPr>
                <w:rFonts w:eastAsia="Muli" w:cs="Muli"/>
                <w:color w:val="000000" w:themeColor="text1"/>
                <w:sz w:val="18"/>
                <w:szCs w:val="18"/>
              </w:rPr>
              <w:t>, but this was not significantly different between survey</w:t>
            </w:r>
            <w:r w:rsidR="00D608DF">
              <w:rPr>
                <w:rFonts w:eastAsia="Muli" w:cs="Muli"/>
                <w:color w:val="000000" w:themeColor="text1"/>
                <w:sz w:val="18"/>
                <w:szCs w:val="18"/>
              </w:rPr>
              <w:t xml:space="preserve"> rounds</w:t>
            </w:r>
            <w:r>
              <w:rPr>
                <w:rFonts w:eastAsia="Muli" w:cs="Muli"/>
                <w:color w:val="000000" w:themeColor="text1"/>
                <w:sz w:val="18"/>
                <w:szCs w:val="18"/>
              </w:rPr>
              <w:t xml:space="preserve">. </w:t>
            </w:r>
          </w:p>
          <w:p w14:paraId="2C0207C4" w14:textId="2D802A0E" w:rsidR="00AB14F3" w:rsidRPr="007D0D5A" w:rsidRDefault="005608FF" w:rsidP="005608FF">
            <w:pPr>
              <w:spacing w:after="120"/>
              <w:rPr>
                <w:rFonts w:eastAsia="Muli" w:cs="Muli"/>
                <w:color w:val="000000" w:themeColor="text1"/>
                <w:sz w:val="18"/>
                <w:szCs w:val="18"/>
              </w:rPr>
            </w:pPr>
            <w:bookmarkStart w:id="269" w:name="_Hlk99200436"/>
            <w:r>
              <w:rPr>
                <w:rFonts w:eastAsia="Muli" w:cs="Muli"/>
                <w:color w:val="000000" w:themeColor="text1"/>
                <w:sz w:val="18"/>
                <w:szCs w:val="18"/>
              </w:rPr>
              <w:t xml:space="preserve">In the round 5 survey, staff reported positively on seven statements </w:t>
            </w:r>
            <w:r w:rsidR="00990B87">
              <w:rPr>
                <w:rFonts w:eastAsia="Muli" w:cs="Muli"/>
                <w:color w:val="000000" w:themeColor="text1"/>
                <w:sz w:val="18"/>
                <w:szCs w:val="18"/>
              </w:rPr>
              <w:t>about</w:t>
            </w:r>
            <w:r>
              <w:rPr>
                <w:rFonts w:eastAsia="Muli" w:cs="Muli"/>
                <w:color w:val="000000" w:themeColor="text1"/>
                <w:sz w:val="18"/>
                <w:szCs w:val="18"/>
              </w:rPr>
              <w:t xml:space="preserve"> their work environment, with approximately 90% indicating they agreed with each of the positive statements</w:t>
            </w:r>
            <w:r w:rsidR="003F3506">
              <w:rPr>
                <w:rFonts w:eastAsia="Muli" w:cs="Muli"/>
                <w:color w:val="000000" w:themeColor="text1"/>
                <w:sz w:val="18"/>
                <w:szCs w:val="18"/>
              </w:rPr>
              <w:t>. This</w:t>
            </w:r>
            <w:r>
              <w:rPr>
                <w:rFonts w:eastAsia="Muli" w:cs="Muli"/>
                <w:color w:val="000000" w:themeColor="text1"/>
                <w:sz w:val="18"/>
                <w:szCs w:val="18"/>
              </w:rPr>
              <w:t xml:space="preserve"> was only slightly higher than in round 1</w:t>
            </w:r>
            <w:r w:rsidR="00D608DF">
              <w:rPr>
                <w:rFonts w:eastAsia="Muli" w:cs="Muli"/>
                <w:color w:val="000000" w:themeColor="text1"/>
                <w:sz w:val="18"/>
                <w:szCs w:val="18"/>
              </w:rPr>
              <w:t xml:space="preserve"> (baseline)</w:t>
            </w:r>
            <w:r>
              <w:rPr>
                <w:rFonts w:eastAsia="Muli" w:cs="Muli"/>
                <w:color w:val="000000" w:themeColor="text1"/>
                <w:sz w:val="18"/>
                <w:szCs w:val="18"/>
              </w:rPr>
              <w:t xml:space="preserve">. </w:t>
            </w:r>
            <w:bookmarkEnd w:id="269"/>
            <w:r>
              <w:rPr>
                <w:rFonts w:eastAsia="Muli" w:cs="Muli"/>
                <w:color w:val="000000" w:themeColor="text1"/>
                <w:sz w:val="18"/>
                <w:szCs w:val="18"/>
              </w:rPr>
              <w:t xml:space="preserve">Responses to the practice survey in round 5 indicated there was either no (24.7%), small (26.0%) or moderate (24.7%) improvement in job satisfaction due to </w:t>
            </w:r>
            <w:r w:rsidR="0034554E" w:rsidRPr="0034554E">
              <w:rPr>
                <w:rFonts w:eastAsia="Muli" w:cs="Muli"/>
                <w:color w:val="000000" w:themeColor="text1"/>
                <w:sz w:val="18"/>
                <w:szCs w:val="18"/>
              </w:rPr>
              <w:t>HCH being implemented in the practice</w:t>
            </w:r>
            <w:r>
              <w:rPr>
                <w:rFonts w:eastAsia="Muli" w:cs="Muli"/>
                <w:color w:val="000000" w:themeColor="text1"/>
                <w:sz w:val="18"/>
                <w:szCs w:val="18"/>
              </w:rPr>
              <w:t xml:space="preserve">. </w:t>
            </w:r>
            <w:r w:rsidR="00F91B72" w:rsidRPr="00D608DF">
              <w:rPr>
                <w:rFonts w:eastAsia="Muli" w:cs="Muli"/>
                <w:color w:val="000000" w:themeColor="text1"/>
                <w:sz w:val="18"/>
                <w:szCs w:val="18"/>
              </w:rPr>
              <w:t>T</w:t>
            </w:r>
            <w:r w:rsidR="00B42170" w:rsidRPr="00D608DF">
              <w:rPr>
                <w:rFonts w:eastAsia="Muli" w:cs="Muli"/>
                <w:color w:val="000000" w:themeColor="text1"/>
                <w:sz w:val="18"/>
                <w:szCs w:val="18"/>
              </w:rPr>
              <w:t>he most rewarding aspect of the model for staff was working towards improved health outcomes for patients, along with the ability to build rapport and establish stronger relationships with patients</w:t>
            </w:r>
            <w:bookmarkEnd w:id="267"/>
            <w:r w:rsidR="009F63D4">
              <w:rPr>
                <w:rFonts w:eastAsia="Muli" w:cs="Muli"/>
                <w:color w:val="000000" w:themeColor="text1"/>
                <w:sz w:val="18"/>
                <w:szCs w:val="18"/>
              </w:rPr>
              <w:t>.</w:t>
            </w:r>
          </w:p>
        </w:tc>
      </w:tr>
    </w:tbl>
    <w:p w14:paraId="01E5DF75" w14:textId="77777777" w:rsidR="00AB14F3" w:rsidRDefault="00AB14F3" w:rsidP="00AB14F3">
      <w:pPr>
        <w:spacing w:after="0"/>
      </w:pPr>
    </w:p>
    <w:p w14:paraId="6889B5BD" w14:textId="4171506C" w:rsidR="00223A07" w:rsidRPr="0037477F" w:rsidRDefault="0037477F" w:rsidP="0037477F">
      <w:pPr>
        <w:pStyle w:val="Heading2"/>
        <w:rPr>
          <w:lang w:val="en-GB"/>
        </w:rPr>
      </w:pPr>
      <w:bookmarkStart w:id="270" w:name="_Toc109996711"/>
      <w:r w:rsidRPr="0037477F">
        <w:rPr>
          <w:lang w:val="en-GB"/>
        </w:rPr>
        <w:t>Overview</w:t>
      </w:r>
      <w:bookmarkEnd w:id="270"/>
    </w:p>
    <w:p w14:paraId="0D593101" w14:textId="7C9DD43C" w:rsidR="005727C9" w:rsidRDefault="005727C9" w:rsidP="005727C9">
      <w:pPr>
        <w:rPr>
          <w:lang w:eastAsia="en-AU"/>
        </w:rPr>
      </w:pPr>
      <w:r>
        <w:rPr>
          <w:lang w:eastAsia="en-AU"/>
        </w:rPr>
        <w:t xml:space="preserve">Staff </w:t>
      </w:r>
      <w:r w:rsidR="0026027B">
        <w:rPr>
          <w:lang w:eastAsia="en-AU"/>
        </w:rPr>
        <w:t>were surveyed</w:t>
      </w:r>
      <w:r>
        <w:rPr>
          <w:lang w:eastAsia="en-AU"/>
        </w:rPr>
        <w:t xml:space="preserve"> shortly after the </w:t>
      </w:r>
      <w:r w:rsidR="0026027B">
        <w:rPr>
          <w:lang w:eastAsia="en-AU"/>
        </w:rPr>
        <w:t>start</w:t>
      </w:r>
      <w:r>
        <w:rPr>
          <w:lang w:eastAsia="en-AU"/>
        </w:rPr>
        <w:t xml:space="preserve"> of HCH (</w:t>
      </w:r>
      <w:r w:rsidR="0026027B">
        <w:rPr>
          <w:lang w:eastAsia="en-AU"/>
        </w:rPr>
        <w:t>r</w:t>
      </w:r>
      <w:r>
        <w:rPr>
          <w:lang w:eastAsia="en-AU"/>
        </w:rPr>
        <w:t>ound 1) and at the end of the trial (</w:t>
      </w:r>
      <w:r w:rsidR="0026027B">
        <w:rPr>
          <w:lang w:eastAsia="en-AU"/>
        </w:rPr>
        <w:t>r</w:t>
      </w:r>
      <w:r>
        <w:rPr>
          <w:lang w:eastAsia="en-AU"/>
        </w:rPr>
        <w:t>ound 5)</w:t>
      </w:r>
      <w:r w:rsidR="002A01F1">
        <w:rPr>
          <w:lang w:eastAsia="en-AU"/>
        </w:rPr>
        <w:t xml:space="preserve">. </w:t>
      </w:r>
      <w:r w:rsidR="00990B87">
        <w:rPr>
          <w:lang w:eastAsia="en-AU"/>
        </w:rPr>
        <w:t>Questions</w:t>
      </w:r>
      <w:r w:rsidR="002A01F1">
        <w:rPr>
          <w:lang w:eastAsia="en-AU"/>
        </w:rPr>
        <w:t xml:space="preserve"> </w:t>
      </w:r>
      <w:r>
        <w:rPr>
          <w:lang w:eastAsia="en-AU"/>
        </w:rPr>
        <w:t xml:space="preserve">included </w:t>
      </w:r>
      <w:r w:rsidR="002A01F1">
        <w:rPr>
          <w:lang w:eastAsia="en-AU"/>
        </w:rPr>
        <w:t xml:space="preserve">staff perspectives on their roles in the practice, leadership and </w:t>
      </w:r>
      <w:r w:rsidR="00F6389D">
        <w:rPr>
          <w:lang w:eastAsia="en-AU"/>
        </w:rPr>
        <w:t xml:space="preserve">job satisfaction. </w:t>
      </w:r>
    </w:p>
    <w:p w14:paraId="5832A6F1" w14:textId="30B3BBCA" w:rsidR="0042272B" w:rsidRDefault="008F557D" w:rsidP="008F557D">
      <w:pPr>
        <w:ind w:right="521"/>
      </w:pPr>
      <w:r>
        <w:t xml:space="preserve">Among the </w:t>
      </w:r>
      <w:r w:rsidR="00B25617">
        <w:t xml:space="preserve">182 </w:t>
      </w:r>
      <w:r>
        <w:t>staff who completed the survey</w:t>
      </w:r>
      <w:r w:rsidR="00B25617">
        <w:t xml:space="preserve"> in round 5</w:t>
      </w:r>
      <w:r>
        <w:t xml:space="preserve">, 19% (n=35) started work at the practice after the HCH program </w:t>
      </w:r>
      <w:r w:rsidR="001D0F94">
        <w:t>started</w:t>
      </w:r>
      <w:r>
        <w:t xml:space="preserve"> and 35% (n=63) reported there had been no change to their role. </w:t>
      </w:r>
      <w:r w:rsidR="00CA16F5">
        <w:t>Other</w:t>
      </w:r>
      <w:r>
        <w:t xml:space="preserve"> staff reported either </w:t>
      </w:r>
      <w:r w:rsidR="00CA16F5">
        <w:t xml:space="preserve">that </w:t>
      </w:r>
      <w:r>
        <w:t>their role changed but not due to HCH (19%</w:t>
      </w:r>
      <w:r w:rsidR="001C6C26">
        <w:t xml:space="preserve">, </w:t>
      </w:r>
      <w:r>
        <w:t xml:space="preserve">n=34) or their role changed </w:t>
      </w:r>
      <w:r w:rsidR="006B44DB">
        <w:t>because of</w:t>
      </w:r>
      <w:r>
        <w:t xml:space="preserve"> or related to the HCH program (27%</w:t>
      </w:r>
      <w:r w:rsidR="001C6C26">
        <w:t xml:space="preserve">, </w:t>
      </w:r>
      <w:r>
        <w:t>n = 50).</w:t>
      </w:r>
    </w:p>
    <w:p w14:paraId="3B8CBC72" w14:textId="2CC0E66D" w:rsidR="00D23DEA" w:rsidRDefault="00D23DEA" w:rsidP="006D5E07">
      <w:pPr>
        <w:ind w:right="521"/>
      </w:pPr>
      <w:r w:rsidRPr="00D23DEA">
        <w:rPr>
          <w:rFonts w:eastAsiaTheme="minorEastAsia"/>
          <w:color w:val="1D2455"/>
          <w:szCs w:val="20"/>
          <w:lang w:eastAsia="en-AU"/>
        </w:rPr>
        <w:fldChar w:fldCharType="begin"/>
      </w:r>
      <w:r w:rsidRPr="00D23DEA">
        <w:rPr>
          <w:rFonts w:eastAsiaTheme="minorEastAsia"/>
          <w:color w:val="1D2455"/>
          <w:szCs w:val="20"/>
          <w:lang w:eastAsia="en-AU"/>
        </w:rPr>
        <w:instrText xml:space="preserve"> REF _Ref103704956 \h </w:instrText>
      </w:r>
      <w:r>
        <w:rPr>
          <w:rFonts w:eastAsiaTheme="minorEastAsia"/>
          <w:color w:val="1D2455"/>
          <w:szCs w:val="20"/>
          <w:lang w:eastAsia="en-AU"/>
        </w:rPr>
        <w:instrText xml:space="preserve"> \* MERGEFORMAT </w:instrText>
      </w:r>
      <w:r w:rsidRPr="00D23DEA">
        <w:rPr>
          <w:rFonts w:eastAsiaTheme="minorEastAsia"/>
          <w:color w:val="1D2455"/>
          <w:szCs w:val="20"/>
          <w:lang w:eastAsia="en-AU"/>
        </w:rPr>
      </w:r>
      <w:r w:rsidRPr="00D23DEA">
        <w:rPr>
          <w:rFonts w:eastAsiaTheme="minorEastAsia"/>
          <w:color w:val="1D2455"/>
          <w:szCs w:val="20"/>
          <w:lang w:eastAsia="en-AU"/>
        </w:rPr>
        <w:fldChar w:fldCharType="separate"/>
      </w:r>
      <w:r w:rsidR="003C4BC2" w:rsidRPr="003C4BC2">
        <w:rPr>
          <w:rFonts w:eastAsiaTheme="minorEastAsia"/>
          <w:color w:val="1D2455"/>
          <w:szCs w:val="20"/>
          <w:lang w:eastAsia="en-AU"/>
        </w:rPr>
        <w:t>Figure 24</w:t>
      </w:r>
      <w:r w:rsidRPr="00D23DEA">
        <w:rPr>
          <w:rFonts w:eastAsiaTheme="minorEastAsia"/>
          <w:color w:val="1D2455"/>
          <w:szCs w:val="20"/>
          <w:lang w:eastAsia="en-AU"/>
        </w:rPr>
        <w:fldChar w:fldCharType="end"/>
      </w:r>
      <w:r>
        <w:t xml:space="preserve"> </w:t>
      </w:r>
      <w:r w:rsidR="008F557D">
        <w:t xml:space="preserve">shows the distribution of responses </w:t>
      </w:r>
      <w:r w:rsidR="00D22379">
        <w:t xml:space="preserve">from the 50 staff who indicated their role had changed </w:t>
      </w:r>
      <w:r w:rsidR="00990B87">
        <w:t>about</w:t>
      </w:r>
      <w:r w:rsidR="008F557D">
        <w:t xml:space="preserve"> how </w:t>
      </w:r>
      <w:r w:rsidR="00990B87">
        <w:t>it</w:t>
      </w:r>
      <w:r w:rsidR="008F557D">
        <w:t xml:space="preserve"> </w:t>
      </w:r>
      <w:r w:rsidR="00D22379">
        <w:t>had changed</w:t>
      </w:r>
      <w:r w:rsidR="008F557D">
        <w:t xml:space="preserve">. A high </w:t>
      </w:r>
      <w:r w:rsidR="001C6C26">
        <w:t>proportion</w:t>
      </w:r>
      <w:r w:rsidR="008F557D">
        <w:t xml:space="preserve"> indicated they either strongly agreed or somewhat agreed that the depth of their job increased (76%), the breadth of their job expanded (80%), they delegate</w:t>
      </w:r>
      <w:r w:rsidR="00990B87">
        <w:t>d</w:t>
      </w:r>
      <w:r w:rsidR="008F557D">
        <w:t xml:space="preserve"> more responsibility (56%), </w:t>
      </w:r>
      <w:r w:rsidR="00D22379">
        <w:t>or</w:t>
      </w:r>
      <w:r w:rsidR="008F557D">
        <w:t xml:space="preserve"> they were delegated more responsibility (70%). Many also reported they ha</w:t>
      </w:r>
      <w:r w:rsidR="00D22379">
        <w:t>d</w:t>
      </w:r>
      <w:r w:rsidR="008F557D">
        <w:t xml:space="preserve"> </w:t>
      </w:r>
      <w:r w:rsidR="008F557D" w:rsidRPr="000F16E1">
        <w:t>clear planned goals and objectives (48%), an inte</w:t>
      </w:r>
      <w:r w:rsidR="008F557D">
        <w:t>res</w:t>
      </w:r>
      <w:r w:rsidR="008F557D" w:rsidRPr="000F16E1">
        <w:t>ting job (54%), a developing role (75%), and more responsibility delegated to them (67%)</w:t>
      </w:r>
      <w:r w:rsidR="008F557D">
        <w:t xml:space="preserve"> (</w:t>
      </w:r>
      <w:r w:rsidR="00081E27" w:rsidRPr="00F24A8B">
        <w:rPr>
          <w:rFonts w:eastAsiaTheme="minorEastAsia"/>
          <w:color w:val="1D2455"/>
          <w:szCs w:val="20"/>
          <w:lang w:eastAsia="en-AU"/>
        </w:rPr>
        <w:fldChar w:fldCharType="begin"/>
      </w:r>
      <w:r w:rsidR="00081E27" w:rsidRPr="00F24A8B">
        <w:rPr>
          <w:rFonts w:eastAsiaTheme="minorEastAsia"/>
          <w:color w:val="1D2455"/>
          <w:szCs w:val="20"/>
          <w:lang w:eastAsia="en-AU"/>
        </w:rPr>
        <w:instrText xml:space="preserve"> REF _Ref99039653 \h </w:instrText>
      </w:r>
      <w:r w:rsidR="00F24A8B">
        <w:rPr>
          <w:rFonts w:eastAsiaTheme="minorEastAsia"/>
          <w:color w:val="1D2455"/>
          <w:szCs w:val="20"/>
          <w:lang w:eastAsia="en-AU"/>
        </w:rPr>
        <w:instrText xml:space="preserve"> \* MERGEFORMAT </w:instrText>
      </w:r>
      <w:r w:rsidR="00081E27" w:rsidRPr="00F24A8B">
        <w:rPr>
          <w:rFonts w:eastAsiaTheme="minorEastAsia"/>
          <w:color w:val="1D2455"/>
          <w:szCs w:val="20"/>
          <w:lang w:eastAsia="en-AU"/>
        </w:rPr>
      </w:r>
      <w:r w:rsidR="00081E27" w:rsidRPr="00F24A8B">
        <w:rPr>
          <w:rFonts w:eastAsiaTheme="minorEastAsia"/>
          <w:color w:val="1D2455"/>
          <w:szCs w:val="20"/>
          <w:lang w:eastAsia="en-AU"/>
        </w:rPr>
        <w:fldChar w:fldCharType="separate"/>
      </w:r>
      <w:r w:rsidR="003C4BC2" w:rsidRPr="003C4BC2">
        <w:rPr>
          <w:rFonts w:eastAsiaTheme="minorEastAsia"/>
          <w:color w:val="1D2455"/>
          <w:szCs w:val="20"/>
          <w:lang w:eastAsia="en-AU"/>
        </w:rPr>
        <w:t>Figure 25</w:t>
      </w:r>
      <w:r w:rsidR="00081E27" w:rsidRPr="00F24A8B">
        <w:rPr>
          <w:rFonts w:eastAsiaTheme="minorEastAsia"/>
          <w:color w:val="1D2455"/>
          <w:szCs w:val="20"/>
          <w:lang w:eastAsia="en-AU"/>
        </w:rPr>
        <w:fldChar w:fldCharType="end"/>
      </w:r>
      <w:r w:rsidR="008F557D">
        <w:t>)</w:t>
      </w:r>
      <w:r w:rsidR="008F557D" w:rsidRPr="000F16E1">
        <w:t>.</w:t>
      </w:r>
      <w:bookmarkStart w:id="271" w:name="_Ref99039625"/>
    </w:p>
    <w:p w14:paraId="198A4BFE" w14:textId="391116C6" w:rsidR="003F6DE8" w:rsidRPr="00360C6F" w:rsidRDefault="00653C55" w:rsidP="00A8514C">
      <w:pPr>
        <w:pStyle w:val="TableFigureheading"/>
        <w:spacing w:after="0"/>
        <w:rPr>
          <w:bCs w:val="0"/>
        </w:rPr>
      </w:pPr>
      <w:bookmarkStart w:id="272" w:name="_Ref103704956"/>
      <w:r>
        <w:rPr>
          <w:bCs w:val="0"/>
        </w:rPr>
        <w:lastRenderedPageBreak/>
        <w:t>Figure</w:t>
      </w:r>
      <w:r w:rsidRPr="00A970A9">
        <w:rPr>
          <w:bCs w:val="0"/>
        </w:rPr>
        <w:t xml:space="preserve"> </w:t>
      </w:r>
      <w:r>
        <w:rPr>
          <w:bCs w:val="0"/>
        </w:rPr>
        <w:fldChar w:fldCharType="begin"/>
      </w:r>
      <w:r>
        <w:rPr>
          <w:bCs w:val="0"/>
        </w:rPr>
        <w:instrText xml:space="preserve"> SEQ Figure\* ARABIC </w:instrText>
      </w:r>
      <w:r>
        <w:rPr>
          <w:bCs w:val="0"/>
        </w:rPr>
        <w:fldChar w:fldCharType="separate"/>
      </w:r>
      <w:r w:rsidR="003C4BC2">
        <w:rPr>
          <w:bCs w:val="0"/>
          <w:noProof/>
        </w:rPr>
        <w:t>24</w:t>
      </w:r>
      <w:r>
        <w:rPr>
          <w:bCs w:val="0"/>
        </w:rPr>
        <w:fldChar w:fldCharType="end"/>
      </w:r>
      <w:bookmarkEnd w:id="271"/>
      <w:bookmarkEnd w:id="272"/>
      <w:r w:rsidRPr="00A970A9">
        <w:rPr>
          <w:bCs w:val="0"/>
        </w:rPr>
        <w:t xml:space="preserve">: </w:t>
      </w:r>
      <w:r w:rsidR="003F6DE8" w:rsidRPr="00360C6F">
        <w:rPr>
          <w:bCs w:val="0"/>
        </w:rPr>
        <w:t>Change in staff members' role in the practice</w:t>
      </w:r>
      <w:r w:rsidR="0026027B">
        <w:rPr>
          <w:bCs w:val="0"/>
        </w:rPr>
        <w:t xml:space="preserve"> </w:t>
      </w:r>
      <w:r w:rsidR="003F6DE8" w:rsidRPr="00360C6F">
        <w:rPr>
          <w:bCs w:val="0"/>
        </w:rPr>
        <w:t>since HCH</w:t>
      </w:r>
      <w:r w:rsidR="0026027B">
        <w:rPr>
          <w:bCs w:val="0"/>
        </w:rPr>
        <w:t xml:space="preserve"> start</w:t>
      </w:r>
    </w:p>
    <w:p w14:paraId="5E8E4881" w14:textId="13807354" w:rsidR="00B91A00" w:rsidRDefault="00B91A00" w:rsidP="0026027B">
      <w:pPr>
        <w:pStyle w:val="TableFigureheading"/>
        <w:spacing w:after="0"/>
        <w:rPr>
          <w:bCs w:val="0"/>
        </w:rPr>
      </w:pPr>
      <w:r>
        <w:rPr>
          <w:noProof/>
        </w:rPr>
        <w:drawing>
          <wp:inline distT="0" distB="0" distL="0" distR="0" wp14:anchorId="41D517A9" wp14:editId="7DEF76A4">
            <wp:extent cx="4590000" cy="3672000"/>
            <wp:effectExtent l="0" t="0" r="0" b="0"/>
            <wp:docPr id="6278" name="Picture 6278"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with medium confidenc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90000" cy="3672000"/>
                    </a:xfrm>
                    <a:prstGeom prst="rect">
                      <a:avLst/>
                    </a:prstGeom>
                  </pic:spPr>
                </pic:pic>
              </a:graphicData>
            </a:graphic>
          </wp:inline>
        </w:drawing>
      </w:r>
    </w:p>
    <w:p w14:paraId="4F4DF592" w14:textId="3D78C39C" w:rsidR="00F24A8B" w:rsidRDefault="003F6DE8" w:rsidP="0026027B">
      <w:pPr>
        <w:pStyle w:val="Source"/>
        <w:rPr>
          <w:bCs w:val="0"/>
          <w:i w:val="0"/>
        </w:rPr>
      </w:pPr>
      <w:r w:rsidRPr="001C3504">
        <w:t xml:space="preserve">Source: </w:t>
      </w:r>
      <w:r>
        <w:t>Staff survey</w:t>
      </w:r>
      <w:r w:rsidRPr="001C3504">
        <w:t xml:space="preserve"> </w:t>
      </w:r>
      <w:r>
        <w:t>R</w:t>
      </w:r>
      <w:r w:rsidRPr="001C3504">
        <w:t>5</w:t>
      </w:r>
      <w:r w:rsidR="00505B74">
        <w:t xml:space="preserve"> </w:t>
      </w:r>
      <w:r w:rsidR="00505B74" w:rsidRPr="00505B74">
        <w:t>Mar–May 2021</w:t>
      </w:r>
      <w:r w:rsidRPr="001C3504">
        <w:t xml:space="preserve">, </w:t>
      </w:r>
      <w:r>
        <w:t>question</w:t>
      </w:r>
      <w:r w:rsidRPr="001C3504">
        <w:t xml:space="preserve"> 23C</w:t>
      </w:r>
      <w:r w:rsidR="005447B9">
        <w:t>.</w:t>
      </w:r>
    </w:p>
    <w:p w14:paraId="6C7954B4" w14:textId="72E3A7AC" w:rsidR="00DE7D8B" w:rsidRPr="00360C6F" w:rsidRDefault="00652345" w:rsidP="00D4603B">
      <w:pPr>
        <w:pStyle w:val="TableFigureheading"/>
        <w:spacing w:after="0"/>
        <w:rPr>
          <w:bCs w:val="0"/>
        </w:rPr>
      </w:pPr>
      <w:bookmarkStart w:id="273" w:name="_Ref99039653"/>
      <w:r>
        <w:rPr>
          <w:bCs w:val="0"/>
        </w:rPr>
        <w:t>Figure</w:t>
      </w:r>
      <w:r w:rsidRPr="00A970A9">
        <w:rPr>
          <w:bCs w:val="0"/>
        </w:rPr>
        <w:t xml:space="preserve"> </w:t>
      </w:r>
      <w:r>
        <w:rPr>
          <w:bCs w:val="0"/>
        </w:rPr>
        <w:fldChar w:fldCharType="begin"/>
      </w:r>
      <w:r>
        <w:rPr>
          <w:bCs w:val="0"/>
        </w:rPr>
        <w:instrText xml:space="preserve"> SEQ Figure\* ARABIC </w:instrText>
      </w:r>
      <w:r>
        <w:rPr>
          <w:bCs w:val="0"/>
        </w:rPr>
        <w:fldChar w:fldCharType="separate"/>
      </w:r>
      <w:r w:rsidR="003C4BC2">
        <w:rPr>
          <w:bCs w:val="0"/>
          <w:noProof/>
        </w:rPr>
        <w:t>25</w:t>
      </w:r>
      <w:r>
        <w:rPr>
          <w:bCs w:val="0"/>
        </w:rPr>
        <w:fldChar w:fldCharType="end"/>
      </w:r>
      <w:bookmarkEnd w:id="273"/>
      <w:r w:rsidRPr="00A970A9">
        <w:rPr>
          <w:bCs w:val="0"/>
        </w:rPr>
        <w:t xml:space="preserve">: </w:t>
      </w:r>
      <w:r w:rsidR="00DE7D8B" w:rsidRPr="00360C6F">
        <w:rPr>
          <w:bCs w:val="0"/>
        </w:rPr>
        <w:t>Change of aspect</w:t>
      </w:r>
      <w:r w:rsidR="00F24A8B">
        <w:rPr>
          <w:bCs w:val="0"/>
        </w:rPr>
        <w:t>s</w:t>
      </w:r>
      <w:r w:rsidR="00DE7D8B" w:rsidRPr="00360C6F">
        <w:rPr>
          <w:bCs w:val="0"/>
        </w:rPr>
        <w:t xml:space="preserve"> of job since </w:t>
      </w:r>
      <w:r w:rsidR="00F24A8B">
        <w:rPr>
          <w:bCs w:val="0"/>
        </w:rPr>
        <w:t xml:space="preserve">start </w:t>
      </w:r>
      <w:r w:rsidR="00DE7D8B" w:rsidRPr="00360C6F">
        <w:rPr>
          <w:bCs w:val="0"/>
        </w:rPr>
        <w:t>of HCH in practice</w:t>
      </w:r>
    </w:p>
    <w:p w14:paraId="4BCE9FF3" w14:textId="00EAA775" w:rsidR="00B91A00" w:rsidRPr="00360C6F" w:rsidRDefault="00CA1D4B" w:rsidP="0026027B">
      <w:pPr>
        <w:pStyle w:val="TableFigureheading"/>
        <w:spacing w:after="0"/>
        <w:rPr>
          <w:bCs w:val="0"/>
        </w:rPr>
      </w:pPr>
      <w:r>
        <w:rPr>
          <w:rFonts w:eastAsia="Century Gothic" w:cs="Century Gothic"/>
          <w:noProof/>
          <w:color w:val="000000"/>
          <w:sz w:val="18"/>
          <w:szCs w:val="18"/>
        </w:rPr>
        <w:drawing>
          <wp:inline distT="0" distB="0" distL="0" distR="0" wp14:anchorId="4526F272" wp14:editId="36655CE7">
            <wp:extent cx="4698000" cy="3758400"/>
            <wp:effectExtent l="0" t="0" r="0" b="0"/>
            <wp:docPr id="6290" name="Picture 6290"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calendar&#10;&#10;Description automatically generated"/>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98000" cy="3758400"/>
                    </a:xfrm>
                    <a:prstGeom prst="rect">
                      <a:avLst/>
                    </a:prstGeom>
                  </pic:spPr>
                </pic:pic>
              </a:graphicData>
            </a:graphic>
          </wp:inline>
        </w:drawing>
      </w:r>
    </w:p>
    <w:p w14:paraId="1CA8D12B" w14:textId="40CA5EF8" w:rsidR="00DE7D8B" w:rsidRPr="001C3504" w:rsidRDefault="00DE7D8B" w:rsidP="00DE7D8B">
      <w:pPr>
        <w:pStyle w:val="Source"/>
      </w:pPr>
      <w:r w:rsidRPr="001C3504">
        <w:t xml:space="preserve">Source: </w:t>
      </w:r>
      <w:r>
        <w:t>Staff survey</w:t>
      </w:r>
      <w:r w:rsidRPr="001C3504">
        <w:t xml:space="preserve"> </w:t>
      </w:r>
      <w:r>
        <w:t>R</w:t>
      </w:r>
      <w:r w:rsidRPr="001C3504">
        <w:t>5</w:t>
      </w:r>
      <w:r w:rsidR="00505B74">
        <w:t xml:space="preserve"> </w:t>
      </w:r>
      <w:r w:rsidR="00505B74" w:rsidRPr="00505B74">
        <w:t>Mar–May 2021</w:t>
      </w:r>
      <w:r w:rsidRPr="001C3504">
        <w:t xml:space="preserve">, </w:t>
      </w:r>
      <w:r>
        <w:t>question</w:t>
      </w:r>
      <w:r w:rsidRPr="001C3504">
        <w:t xml:space="preserve"> 23E</w:t>
      </w:r>
      <w:r w:rsidR="005447B9">
        <w:t>.</w:t>
      </w:r>
    </w:p>
    <w:p w14:paraId="5868436B" w14:textId="10B58E02" w:rsidR="00BB54CC" w:rsidRDefault="00AE2908" w:rsidP="00AE2908">
      <w:r>
        <w:t>Staff were asked “</w:t>
      </w:r>
      <w:r w:rsidRPr="00AE2908">
        <w:t>Which number below best describes the atmosphere in your practice?”</w:t>
      </w:r>
      <w:r w:rsidR="00E545FC">
        <w:t>,</w:t>
      </w:r>
      <w:r w:rsidRPr="00AE2908">
        <w:t xml:space="preserve"> with possible responses </w:t>
      </w:r>
      <w:r w:rsidR="00264012">
        <w:t xml:space="preserve">of </w:t>
      </w:r>
      <w:r w:rsidR="00F163F2">
        <w:t>“</w:t>
      </w:r>
      <w:r w:rsidR="00264012">
        <w:t>1 Calm</w:t>
      </w:r>
      <w:r w:rsidR="00F163F2">
        <w:t>”</w:t>
      </w:r>
      <w:r w:rsidR="00264012">
        <w:t xml:space="preserve"> to </w:t>
      </w:r>
      <w:r w:rsidR="00F163F2">
        <w:t>“</w:t>
      </w:r>
      <w:r w:rsidR="00CB1AEA">
        <w:t>5 Hectic, chaotic</w:t>
      </w:r>
      <w:r w:rsidR="00F163F2">
        <w:t>”</w:t>
      </w:r>
      <w:r w:rsidR="00CB1AEA">
        <w:t xml:space="preserve"> (</w:t>
      </w:r>
      <w:r w:rsidR="00DF5535">
        <w:fldChar w:fldCharType="begin"/>
      </w:r>
      <w:r w:rsidR="00DF5535">
        <w:instrText xml:space="preserve"> REF _Ref99302691 \h </w:instrText>
      </w:r>
      <w:r w:rsidR="00DF5535">
        <w:fldChar w:fldCharType="separate"/>
      </w:r>
      <w:r w:rsidR="003C4BC2" w:rsidRPr="0065592A">
        <w:t xml:space="preserve">Table </w:t>
      </w:r>
      <w:r w:rsidR="003C4BC2">
        <w:rPr>
          <w:noProof/>
        </w:rPr>
        <w:t>35</w:t>
      </w:r>
      <w:r w:rsidR="00DF5535">
        <w:fldChar w:fldCharType="end"/>
      </w:r>
      <w:r w:rsidR="00894586">
        <w:t xml:space="preserve">). </w:t>
      </w:r>
      <w:r>
        <w:t xml:space="preserve">Just over 50% of staff </w:t>
      </w:r>
      <w:r>
        <w:lastRenderedPageBreak/>
        <w:t xml:space="preserve">considered the atmosphere of their practice to be </w:t>
      </w:r>
      <w:r w:rsidR="00F163F2">
        <w:t>“</w:t>
      </w:r>
      <w:r w:rsidR="00470B21">
        <w:t xml:space="preserve">3 </w:t>
      </w:r>
      <w:r>
        <w:t>Bus</w:t>
      </w:r>
      <w:r w:rsidR="00894586">
        <w:t>y</w:t>
      </w:r>
      <w:r>
        <w:t>, but reasonable</w:t>
      </w:r>
      <w:r w:rsidR="00F163F2">
        <w:t>”</w:t>
      </w:r>
      <w:r>
        <w:t xml:space="preserve"> with another 30% scoring slightly higher (</w:t>
      </w:r>
      <w:r w:rsidR="00894586">
        <w:t xml:space="preserve">that is, </w:t>
      </w:r>
      <w:r>
        <w:t>busier). There was little change between the</w:t>
      </w:r>
      <w:r w:rsidR="00894586">
        <w:t xml:space="preserve"> </w:t>
      </w:r>
      <w:r w:rsidR="00086D06">
        <w:t>r</w:t>
      </w:r>
      <w:r w:rsidR="00894586">
        <w:t xml:space="preserve">ound 1 and </w:t>
      </w:r>
      <w:r w:rsidR="00086D06">
        <w:t>r</w:t>
      </w:r>
      <w:r w:rsidR="00894586">
        <w:t>ound</w:t>
      </w:r>
      <w:r w:rsidR="00086D06">
        <w:t xml:space="preserve"> </w:t>
      </w:r>
      <w:r w:rsidR="00894586">
        <w:t>5</w:t>
      </w:r>
      <w:r>
        <w:t xml:space="preserve"> </w:t>
      </w:r>
      <w:r w:rsidR="00086D06">
        <w:t xml:space="preserve">surveys, </w:t>
      </w:r>
      <w:r>
        <w:t>with slightly more staff reporting scores of 4 or 5 in round 5 (39%</w:t>
      </w:r>
      <w:r w:rsidR="005A4D14">
        <w:t xml:space="preserve"> </w:t>
      </w:r>
      <w:r w:rsidR="001C6C26">
        <w:t>in round 5</w:t>
      </w:r>
      <w:r w:rsidR="005A4D14">
        <w:t xml:space="preserve"> vs 33%</w:t>
      </w:r>
      <w:r>
        <w:t xml:space="preserve"> in round 1)</w:t>
      </w:r>
      <w:r w:rsidR="00086D06">
        <w:t>,</w:t>
      </w:r>
      <w:r>
        <w:t xml:space="preserve"> but the difference </w:t>
      </w:r>
      <w:r w:rsidR="00470B21">
        <w:t xml:space="preserve">between rounds </w:t>
      </w:r>
      <w:r>
        <w:t xml:space="preserve">was </w:t>
      </w:r>
      <w:r w:rsidR="005A4D14">
        <w:t xml:space="preserve">not </w:t>
      </w:r>
      <w:r>
        <w:t>statistically significant (p = 0.10).</w:t>
      </w:r>
      <w:r w:rsidR="00FC070B">
        <w:t xml:space="preserve"> </w:t>
      </w:r>
      <w:r w:rsidR="00A05A19">
        <w:t>GPs were more likely to report the</w:t>
      </w:r>
      <w:r w:rsidR="00FD4787">
        <w:t xml:space="preserve"> atmosphere in the practice was between </w:t>
      </w:r>
      <w:r w:rsidR="00F163F2">
        <w:t>“</w:t>
      </w:r>
      <w:r w:rsidR="00FD4787">
        <w:t>1 Calm</w:t>
      </w:r>
      <w:r w:rsidR="00F163F2">
        <w:t>”</w:t>
      </w:r>
      <w:r w:rsidR="00FD4787">
        <w:t xml:space="preserve"> and </w:t>
      </w:r>
      <w:r w:rsidR="00F163F2">
        <w:t>“</w:t>
      </w:r>
      <w:r w:rsidR="00FD4787">
        <w:t>3 Busy but reasonable</w:t>
      </w:r>
      <w:r w:rsidR="00F163F2">
        <w:t>”</w:t>
      </w:r>
      <w:r w:rsidR="00FD4787">
        <w:t xml:space="preserve"> </w:t>
      </w:r>
      <w:r w:rsidR="00F909A2">
        <w:t>(78%)</w:t>
      </w:r>
      <w:r w:rsidR="00086D06">
        <w:t>,</w:t>
      </w:r>
      <w:r w:rsidR="00F909A2">
        <w:t xml:space="preserve"> but </w:t>
      </w:r>
      <w:r w:rsidR="001A79D2">
        <w:t xml:space="preserve">other staff also selected these categories more than </w:t>
      </w:r>
      <w:r w:rsidR="001A716C">
        <w:t xml:space="preserve">50% </w:t>
      </w:r>
      <w:r w:rsidR="001A79D2">
        <w:t>of the time</w:t>
      </w:r>
      <w:r w:rsidR="00F909A2">
        <w:t xml:space="preserve"> </w:t>
      </w:r>
      <w:r w:rsidR="001A716C">
        <w:t>(</w:t>
      </w:r>
      <w:r w:rsidR="00DF5535">
        <w:fldChar w:fldCharType="begin"/>
      </w:r>
      <w:r w:rsidR="00DF5535">
        <w:instrText xml:space="preserve"> REF _Ref99302692 \h </w:instrText>
      </w:r>
      <w:r w:rsidR="00DF5535">
        <w:fldChar w:fldCharType="separate"/>
      </w:r>
      <w:r w:rsidR="003C4BC2" w:rsidRPr="0065592A">
        <w:t xml:space="preserve">Table </w:t>
      </w:r>
      <w:r w:rsidR="003C4BC2">
        <w:rPr>
          <w:noProof/>
        </w:rPr>
        <w:t>36</w:t>
      </w:r>
      <w:r w:rsidR="00DF5535">
        <w:fldChar w:fldCharType="end"/>
      </w:r>
      <w:r w:rsidR="001A716C">
        <w:t xml:space="preserve">). </w:t>
      </w:r>
      <w:r w:rsidR="00E7081F">
        <w:t xml:space="preserve">There was also no statistically significant change in this dichotomised </w:t>
      </w:r>
      <w:r w:rsidR="00EF0264">
        <w:t>version of th</w:t>
      </w:r>
      <w:r w:rsidR="00470B21">
        <w:t>e</w:t>
      </w:r>
      <w:r w:rsidR="00EF0264">
        <w:t xml:space="preserve"> scale between </w:t>
      </w:r>
      <w:r w:rsidR="001A79D2">
        <w:t>r</w:t>
      </w:r>
      <w:r w:rsidR="00EF0264">
        <w:t xml:space="preserve">ound 1 and </w:t>
      </w:r>
      <w:r w:rsidR="001A79D2">
        <w:t>r</w:t>
      </w:r>
      <w:r w:rsidR="00EF0264">
        <w:t>ound 5 (</w:t>
      </w:r>
      <w:r w:rsidR="00A27FF6">
        <w:t>66% vs 61%; p = 0.162</w:t>
      </w:r>
      <w:r w:rsidR="00EF0264">
        <w:t>)</w:t>
      </w:r>
      <w:r w:rsidR="00B752A2">
        <w:t>.</w:t>
      </w:r>
    </w:p>
    <w:p w14:paraId="725699A8" w14:textId="77BDFE63" w:rsidR="001A716C" w:rsidRPr="0065592A" w:rsidRDefault="001A716C" w:rsidP="00497A06">
      <w:pPr>
        <w:pStyle w:val="TableorFigurecaptionHPA"/>
      </w:pPr>
      <w:bookmarkStart w:id="274" w:name="_Ref99302691"/>
      <w:r w:rsidRPr="0065592A">
        <w:t xml:space="preserve">Table </w:t>
      </w:r>
      <w:r w:rsidRPr="0065592A">
        <w:fldChar w:fldCharType="begin"/>
      </w:r>
      <w:r w:rsidRPr="0065592A">
        <w:instrText>SEQ Table \* ARABIC</w:instrText>
      </w:r>
      <w:r w:rsidRPr="0065592A">
        <w:fldChar w:fldCharType="separate"/>
      </w:r>
      <w:r w:rsidR="003C4BC2">
        <w:rPr>
          <w:noProof/>
        </w:rPr>
        <w:t>35</w:t>
      </w:r>
      <w:r w:rsidRPr="0065592A">
        <w:fldChar w:fldCharType="end"/>
      </w:r>
      <w:bookmarkEnd w:id="274"/>
      <w:r w:rsidRPr="0065592A">
        <w:t>: Staff assessment of atmosphere within the practice, longitudinal analysis</w:t>
      </w:r>
    </w:p>
    <w:tbl>
      <w:tblPr>
        <w:tblW w:w="0" w:type="auto"/>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3124"/>
        <w:gridCol w:w="992"/>
        <w:gridCol w:w="992"/>
        <w:gridCol w:w="993"/>
        <w:gridCol w:w="978"/>
        <w:gridCol w:w="978"/>
        <w:gridCol w:w="979"/>
      </w:tblGrid>
      <w:tr w:rsidR="001A716C" w:rsidRPr="001C3504" w14:paraId="7B6BCBD7" w14:textId="77777777" w:rsidTr="00470B21">
        <w:trPr>
          <w:cantSplit/>
          <w:tblHeader/>
          <w:jc w:val="center"/>
        </w:trPr>
        <w:tc>
          <w:tcPr>
            <w:tcW w:w="3124" w:type="dxa"/>
            <w:vMerge w:val="restart"/>
            <w:shd w:val="clear" w:color="auto" w:fill="408BCA"/>
            <w:tcMar>
              <w:top w:w="0" w:type="dxa"/>
              <w:left w:w="0" w:type="dxa"/>
              <w:bottom w:w="0" w:type="dxa"/>
              <w:right w:w="0" w:type="dxa"/>
            </w:tcMar>
            <w:vAlign w:val="center"/>
          </w:tcPr>
          <w:p w14:paraId="7F51AB14" w14:textId="77777777" w:rsidR="001A716C" w:rsidRPr="001C3504" w:rsidRDefault="001A716C" w:rsidP="008165C2">
            <w:pPr>
              <w:spacing w:before="20" w:after="20"/>
              <w:ind w:left="100" w:right="100"/>
              <w:jc w:val="center"/>
              <w:rPr>
                <w:sz w:val="18"/>
                <w:szCs w:val="18"/>
              </w:rPr>
            </w:pPr>
          </w:p>
        </w:tc>
        <w:tc>
          <w:tcPr>
            <w:tcW w:w="2977" w:type="dxa"/>
            <w:gridSpan w:val="3"/>
            <w:shd w:val="clear" w:color="auto" w:fill="408BCA"/>
            <w:tcMar>
              <w:top w:w="0" w:type="dxa"/>
              <w:left w:w="0" w:type="dxa"/>
              <w:bottom w:w="0" w:type="dxa"/>
              <w:right w:w="0" w:type="dxa"/>
            </w:tcMar>
            <w:vAlign w:val="center"/>
          </w:tcPr>
          <w:p w14:paraId="7B1D1194" w14:textId="77777777" w:rsidR="001A716C" w:rsidRPr="001C3504" w:rsidRDefault="001A716C" w:rsidP="008165C2">
            <w:pPr>
              <w:spacing w:before="20" w:after="20"/>
              <w:ind w:left="100" w:right="100"/>
              <w:jc w:val="center"/>
              <w:rPr>
                <w:sz w:val="18"/>
                <w:szCs w:val="18"/>
              </w:rPr>
            </w:pPr>
            <w:r w:rsidRPr="001C3504">
              <w:rPr>
                <w:rFonts w:eastAsia="Century Gothic" w:cs="Century Gothic"/>
                <w:b/>
                <w:color w:val="FFFFFF"/>
                <w:sz w:val="18"/>
                <w:szCs w:val="18"/>
              </w:rPr>
              <w:t>All responses</w:t>
            </w:r>
          </w:p>
        </w:tc>
        <w:tc>
          <w:tcPr>
            <w:tcW w:w="2935" w:type="dxa"/>
            <w:gridSpan w:val="3"/>
            <w:shd w:val="clear" w:color="auto" w:fill="408BCA"/>
            <w:tcMar>
              <w:top w:w="0" w:type="dxa"/>
              <w:left w:w="0" w:type="dxa"/>
              <w:bottom w:w="0" w:type="dxa"/>
              <w:right w:w="0" w:type="dxa"/>
            </w:tcMar>
            <w:vAlign w:val="center"/>
          </w:tcPr>
          <w:p w14:paraId="25384996" w14:textId="77777777" w:rsidR="001A716C" w:rsidRPr="001C3504" w:rsidRDefault="001A716C" w:rsidP="008165C2">
            <w:pPr>
              <w:spacing w:before="20" w:after="20"/>
              <w:ind w:left="100" w:right="100"/>
              <w:jc w:val="center"/>
              <w:rPr>
                <w:sz w:val="18"/>
                <w:szCs w:val="18"/>
              </w:rPr>
            </w:pPr>
            <w:r w:rsidRPr="001C3504">
              <w:rPr>
                <w:rFonts w:eastAsia="Century Gothic" w:cs="Century Gothic"/>
                <w:b/>
                <w:color w:val="FFFFFF"/>
                <w:sz w:val="18"/>
                <w:szCs w:val="18"/>
              </w:rPr>
              <w:t xml:space="preserve">Responses by staff in practices responding to </w:t>
            </w:r>
            <w:r>
              <w:rPr>
                <w:rFonts w:eastAsia="Century Gothic" w:cs="Century Gothic"/>
                <w:b/>
                <w:color w:val="FFFFFF"/>
                <w:sz w:val="18"/>
                <w:szCs w:val="18"/>
              </w:rPr>
              <w:t>R1 &amp; R5</w:t>
            </w:r>
          </w:p>
        </w:tc>
      </w:tr>
      <w:tr w:rsidR="001A716C" w:rsidRPr="001C3504" w14:paraId="03095A7E" w14:textId="77777777" w:rsidTr="00470B21">
        <w:trPr>
          <w:cantSplit/>
          <w:tblHeader/>
          <w:jc w:val="center"/>
        </w:trPr>
        <w:tc>
          <w:tcPr>
            <w:tcW w:w="3124" w:type="dxa"/>
            <w:vMerge/>
            <w:shd w:val="clear" w:color="auto" w:fill="408BCA"/>
            <w:tcMar>
              <w:top w:w="0" w:type="dxa"/>
              <w:left w:w="0" w:type="dxa"/>
              <w:bottom w:w="0" w:type="dxa"/>
              <w:right w:w="0" w:type="dxa"/>
            </w:tcMar>
            <w:vAlign w:val="center"/>
          </w:tcPr>
          <w:p w14:paraId="7177FAD4" w14:textId="77777777" w:rsidR="001A716C" w:rsidRPr="001C3504" w:rsidRDefault="001A716C" w:rsidP="008165C2">
            <w:pPr>
              <w:spacing w:before="20" w:after="20"/>
              <w:ind w:left="100" w:right="100"/>
              <w:jc w:val="center"/>
              <w:rPr>
                <w:sz w:val="18"/>
                <w:szCs w:val="18"/>
              </w:rPr>
            </w:pPr>
          </w:p>
        </w:tc>
        <w:tc>
          <w:tcPr>
            <w:tcW w:w="992" w:type="dxa"/>
            <w:shd w:val="clear" w:color="auto" w:fill="408BCA"/>
            <w:tcMar>
              <w:top w:w="0" w:type="dxa"/>
              <w:left w:w="0" w:type="dxa"/>
              <w:bottom w:w="0" w:type="dxa"/>
              <w:right w:w="0" w:type="dxa"/>
            </w:tcMar>
            <w:vAlign w:val="center"/>
          </w:tcPr>
          <w:p w14:paraId="22DE7D72" w14:textId="77777777" w:rsidR="001A716C" w:rsidRPr="001C3504" w:rsidRDefault="001A716C" w:rsidP="008165C2">
            <w:pPr>
              <w:spacing w:before="20" w:after="20"/>
              <w:ind w:left="100" w:right="100"/>
              <w:jc w:val="center"/>
              <w:rPr>
                <w:sz w:val="18"/>
                <w:szCs w:val="18"/>
              </w:rPr>
            </w:pPr>
            <w:r w:rsidRPr="001C3504">
              <w:rPr>
                <w:rFonts w:eastAsia="Century Gothic" w:cs="Century Gothic"/>
                <w:b/>
                <w:color w:val="FFFFFF"/>
                <w:sz w:val="18"/>
                <w:szCs w:val="18"/>
              </w:rPr>
              <w:t>R1</w:t>
            </w:r>
          </w:p>
        </w:tc>
        <w:tc>
          <w:tcPr>
            <w:tcW w:w="992" w:type="dxa"/>
            <w:shd w:val="clear" w:color="auto" w:fill="408BCA"/>
            <w:tcMar>
              <w:top w:w="0" w:type="dxa"/>
              <w:left w:w="0" w:type="dxa"/>
              <w:bottom w:w="0" w:type="dxa"/>
              <w:right w:w="0" w:type="dxa"/>
            </w:tcMar>
            <w:vAlign w:val="center"/>
          </w:tcPr>
          <w:p w14:paraId="4C7F3D94" w14:textId="77777777" w:rsidR="001A716C" w:rsidRPr="001C3504" w:rsidRDefault="001A716C" w:rsidP="008165C2">
            <w:pPr>
              <w:spacing w:before="20" w:after="20"/>
              <w:ind w:left="100" w:right="100"/>
              <w:jc w:val="center"/>
              <w:rPr>
                <w:sz w:val="18"/>
                <w:szCs w:val="18"/>
              </w:rPr>
            </w:pPr>
            <w:r w:rsidRPr="001C3504">
              <w:rPr>
                <w:rFonts w:eastAsia="Century Gothic" w:cs="Century Gothic"/>
                <w:b/>
                <w:color w:val="FFFFFF"/>
                <w:sz w:val="18"/>
                <w:szCs w:val="18"/>
              </w:rPr>
              <w:t>R5</w:t>
            </w:r>
          </w:p>
        </w:tc>
        <w:tc>
          <w:tcPr>
            <w:tcW w:w="993" w:type="dxa"/>
            <w:shd w:val="clear" w:color="auto" w:fill="408BCA"/>
            <w:tcMar>
              <w:top w:w="0" w:type="dxa"/>
              <w:left w:w="0" w:type="dxa"/>
              <w:bottom w:w="0" w:type="dxa"/>
              <w:right w:w="0" w:type="dxa"/>
            </w:tcMar>
            <w:vAlign w:val="center"/>
          </w:tcPr>
          <w:p w14:paraId="486A3553" w14:textId="6170AEBD" w:rsidR="001A716C" w:rsidRPr="001C3504" w:rsidRDefault="001A716C" w:rsidP="008165C2">
            <w:pPr>
              <w:spacing w:before="20" w:after="20"/>
              <w:ind w:left="100" w:right="100"/>
              <w:jc w:val="center"/>
              <w:rPr>
                <w:sz w:val="18"/>
                <w:szCs w:val="18"/>
              </w:rPr>
            </w:pPr>
            <w:r w:rsidRPr="001C3504">
              <w:rPr>
                <w:rFonts w:eastAsia="Century Gothic" w:cs="Century Gothic"/>
                <w:b/>
                <w:color w:val="FFFFFF"/>
                <w:sz w:val="18"/>
                <w:szCs w:val="18"/>
              </w:rPr>
              <w:t>p-value</w:t>
            </w:r>
          </w:p>
        </w:tc>
        <w:tc>
          <w:tcPr>
            <w:tcW w:w="978" w:type="dxa"/>
            <w:shd w:val="clear" w:color="auto" w:fill="408BCA"/>
            <w:tcMar>
              <w:top w:w="0" w:type="dxa"/>
              <w:left w:w="0" w:type="dxa"/>
              <w:bottom w:w="0" w:type="dxa"/>
              <w:right w:w="0" w:type="dxa"/>
            </w:tcMar>
            <w:vAlign w:val="center"/>
          </w:tcPr>
          <w:p w14:paraId="2D8C93D6" w14:textId="77777777" w:rsidR="001A716C" w:rsidRPr="001C3504" w:rsidRDefault="001A716C" w:rsidP="008165C2">
            <w:pPr>
              <w:spacing w:before="20" w:after="20"/>
              <w:ind w:left="100" w:right="100"/>
              <w:jc w:val="center"/>
              <w:rPr>
                <w:sz w:val="18"/>
                <w:szCs w:val="18"/>
              </w:rPr>
            </w:pPr>
            <w:r w:rsidRPr="001C3504">
              <w:rPr>
                <w:rFonts w:eastAsia="Century Gothic" w:cs="Century Gothic"/>
                <w:b/>
                <w:color w:val="FFFFFF"/>
                <w:sz w:val="18"/>
                <w:szCs w:val="18"/>
              </w:rPr>
              <w:t>R1</w:t>
            </w:r>
          </w:p>
        </w:tc>
        <w:tc>
          <w:tcPr>
            <w:tcW w:w="978" w:type="dxa"/>
            <w:shd w:val="clear" w:color="auto" w:fill="408BCA"/>
            <w:tcMar>
              <w:top w:w="0" w:type="dxa"/>
              <w:left w:w="0" w:type="dxa"/>
              <w:bottom w:w="0" w:type="dxa"/>
              <w:right w:w="0" w:type="dxa"/>
            </w:tcMar>
            <w:vAlign w:val="center"/>
          </w:tcPr>
          <w:p w14:paraId="051034B0" w14:textId="77777777" w:rsidR="001A716C" w:rsidRPr="001C3504" w:rsidRDefault="001A716C" w:rsidP="008165C2">
            <w:pPr>
              <w:spacing w:before="20" w:after="20"/>
              <w:ind w:left="100" w:right="100"/>
              <w:jc w:val="center"/>
              <w:rPr>
                <w:sz w:val="18"/>
                <w:szCs w:val="18"/>
              </w:rPr>
            </w:pPr>
            <w:r w:rsidRPr="001C3504">
              <w:rPr>
                <w:rFonts w:eastAsia="Century Gothic" w:cs="Century Gothic"/>
                <w:b/>
                <w:color w:val="FFFFFF"/>
                <w:sz w:val="18"/>
                <w:szCs w:val="18"/>
              </w:rPr>
              <w:t>R5</w:t>
            </w:r>
          </w:p>
        </w:tc>
        <w:tc>
          <w:tcPr>
            <w:tcW w:w="979" w:type="dxa"/>
            <w:shd w:val="clear" w:color="auto" w:fill="408BCA"/>
            <w:tcMar>
              <w:top w:w="0" w:type="dxa"/>
              <w:left w:w="0" w:type="dxa"/>
              <w:bottom w:w="0" w:type="dxa"/>
              <w:right w:w="0" w:type="dxa"/>
            </w:tcMar>
            <w:vAlign w:val="center"/>
          </w:tcPr>
          <w:p w14:paraId="59C20367" w14:textId="6DA94139" w:rsidR="001A716C" w:rsidRPr="001C3504" w:rsidRDefault="001A716C" w:rsidP="008165C2">
            <w:pPr>
              <w:spacing w:before="20" w:after="20"/>
              <w:ind w:left="100" w:right="100"/>
              <w:jc w:val="center"/>
              <w:rPr>
                <w:sz w:val="18"/>
                <w:szCs w:val="18"/>
              </w:rPr>
            </w:pPr>
            <w:r w:rsidRPr="001C3504">
              <w:rPr>
                <w:rFonts w:eastAsia="Century Gothic" w:cs="Century Gothic"/>
                <w:b/>
                <w:color w:val="FFFFFF"/>
                <w:sz w:val="18"/>
                <w:szCs w:val="18"/>
              </w:rPr>
              <w:t>p-value</w:t>
            </w:r>
          </w:p>
        </w:tc>
      </w:tr>
      <w:tr w:rsidR="001A716C" w:rsidRPr="001C3504" w14:paraId="33CB1BC7" w14:textId="77777777" w:rsidTr="00470B21">
        <w:trPr>
          <w:cantSplit/>
          <w:jc w:val="center"/>
        </w:trPr>
        <w:tc>
          <w:tcPr>
            <w:tcW w:w="3124" w:type="dxa"/>
            <w:shd w:val="clear" w:color="auto" w:fill="FFFFFF"/>
            <w:tcMar>
              <w:top w:w="0" w:type="dxa"/>
              <w:left w:w="0" w:type="dxa"/>
              <w:bottom w:w="0" w:type="dxa"/>
              <w:right w:w="0" w:type="dxa"/>
            </w:tcMar>
            <w:vAlign w:val="center"/>
          </w:tcPr>
          <w:p w14:paraId="18E13F9C" w14:textId="6F93A601" w:rsidR="001A716C" w:rsidRPr="001C3504" w:rsidRDefault="001A716C" w:rsidP="008165C2">
            <w:pPr>
              <w:spacing w:before="20" w:after="20"/>
              <w:ind w:left="100" w:right="100"/>
              <w:rPr>
                <w:sz w:val="18"/>
                <w:szCs w:val="18"/>
              </w:rPr>
            </w:pPr>
            <w:r w:rsidRPr="00173100">
              <w:rPr>
                <w:sz w:val="18"/>
                <w:szCs w:val="18"/>
              </w:rPr>
              <w:t xml:space="preserve">Percentage responding </w:t>
            </w:r>
            <w:r w:rsidR="00470B21">
              <w:rPr>
                <w:sz w:val="18"/>
                <w:szCs w:val="18"/>
              </w:rPr>
              <w:t>1 “</w:t>
            </w:r>
            <w:r w:rsidRPr="00173100">
              <w:rPr>
                <w:sz w:val="18"/>
                <w:szCs w:val="18"/>
              </w:rPr>
              <w:t>Calm</w:t>
            </w:r>
            <w:r w:rsidR="00470B21">
              <w:rPr>
                <w:sz w:val="18"/>
                <w:szCs w:val="18"/>
              </w:rPr>
              <w:t>”</w:t>
            </w:r>
            <w:r w:rsidRPr="00173100">
              <w:rPr>
                <w:sz w:val="18"/>
                <w:szCs w:val="18"/>
              </w:rPr>
              <w:t xml:space="preserve"> to </w:t>
            </w:r>
            <w:r w:rsidR="00470B21">
              <w:rPr>
                <w:sz w:val="18"/>
                <w:szCs w:val="18"/>
              </w:rPr>
              <w:t xml:space="preserve">“3 </w:t>
            </w:r>
            <w:r w:rsidRPr="00173100">
              <w:rPr>
                <w:sz w:val="18"/>
                <w:szCs w:val="18"/>
              </w:rPr>
              <w:t>Busy but reasonable</w:t>
            </w:r>
            <w:r w:rsidR="00470B21">
              <w:rPr>
                <w:sz w:val="18"/>
                <w:szCs w:val="18"/>
              </w:rPr>
              <w:t>”</w:t>
            </w:r>
          </w:p>
        </w:tc>
        <w:tc>
          <w:tcPr>
            <w:tcW w:w="992" w:type="dxa"/>
            <w:shd w:val="clear" w:color="auto" w:fill="FFFFFF"/>
            <w:tcMar>
              <w:top w:w="0" w:type="dxa"/>
              <w:left w:w="0" w:type="dxa"/>
              <w:bottom w:w="0" w:type="dxa"/>
              <w:right w:w="0" w:type="dxa"/>
            </w:tcMar>
            <w:vAlign w:val="center"/>
          </w:tcPr>
          <w:p w14:paraId="1452011E" w14:textId="77777777" w:rsidR="001A716C" w:rsidRPr="001C3504" w:rsidRDefault="001A716C" w:rsidP="008165C2">
            <w:pPr>
              <w:spacing w:before="20" w:after="20"/>
              <w:ind w:left="100" w:right="100"/>
              <w:jc w:val="right"/>
              <w:rPr>
                <w:sz w:val="18"/>
                <w:szCs w:val="18"/>
              </w:rPr>
            </w:pPr>
            <w:r w:rsidRPr="001C3504">
              <w:rPr>
                <w:rFonts w:eastAsia="Century Gothic" w:cs="Century Gothic"/>
                <w:color w:val="000000"/>
                <w:sz w:val="18"/>
                <w:szCs w:val="18"/>
              </w:rPr>
              <w:t>281 (66%)</w:t>
            </w:r>
          </w:p>
        </w:tc>
        <w:tc>
          <w:tcPr>
            <w:tcW w:w="992" w:type="dxa"/>
            <w:shd w:val="clear" w:color="auto" w:fill="FFFFFF"/>
            <w:tcMar>
              <w:top w:w="0" w:type="dxa"/>
              <w:left w:w="0" w:type="dxa"/>
              <w:bottom w:w="0" w:type="dxa"/>
              <w:right w:w="0" w:type="dxa"/>
            </w:tcMar>
            <w:vAlign w:val="center"/>
          </w:tcPr>
          <w:p w14:paraId="2901A448" w14:textId="77777777" w:rsidR="001A716C" w:rsidRPr="001C3504" w:rsidRDefault="001A716C" w:rsidP="008165C2">
            <w:pPr>
              <w:spacing w:before="20" w:after="20"/>
              <w:ind w:left="100" w:right="100"/>
              <w:jc w:val="right"/>
              <w:rPr>
                <w:sz w:val="18"/>
                <w:szCs w:val="18"/>
              </w:rPr>
            </w:pPr>
            <w:r w:rsidRPr="001C3504">
              <w:rPr>
                <w:rFonts w:eastAsia="Century Gothic" w:cs="Century Gothic"/>
                <w:color w:val="000000"/>
                <w:sz w:val="18"/>
                <w:szCs w:val="18"/>
              </w:rPr>
              <w:t>111 (61%)</w:t>
            </w:r>
          </w:p>
        </w:tc>
        <w:tc>
          <w:tcPr>
            <w:tcW w:w="993" w:type="dxa"/>
            <w:shd w:val="clear" w:color="auto" w:fill="FFFFFF"/>
            <w:tcMar>
              <w:top w:w="0" w:type="dxa"/>
              <w:left w:w="0" w:type="dxa"/>
              <w:bottom w:w="0" w:type="dxa"/>
              <w:right w:w="0" w:type="dxa"/>
            </w:tcMar>
            <w:vAlign w:val="center"/>
          </w:tcPr>
          <w:p w14:paraId="3F082377" w14:textId="77777777" w:rsidR="001A716C" w:rsidRPr="001C3504" w:rsidRDefault="001A716C" w:rsidP="008165C2">
            <w:pPr>
              <w:spacing w:before="20" w:after="20"/>
              <w:ind w:left="100" w:right="100"/>
              <w:jc w:val="right"/>
              <w:rPr>
                <w:sz w:val="18"/>
                <w:szCs w:val="18"/>
              </w:rPr>
            </w:pPr>
            <w:r w:rsidRPr="001C3504">
              <w:rPr>
                <w:rFonts w:eastAsia="Century Gothic" w:cs="Century Gothic"/>
                <w:color w:val="000000"/>
                <w:sz w:val="18"/>
                <w:szCs w:val="18"/>
              </w:rPr>
              <w:t>0.162</w:t>
            </w:r>
          </w:p>
        </w:tc>
        <w:tc>
          <w:tcPr>
            <w:tcW w:w="978" w:type="dxa"/>
            <w:shd w:val="clear" w:color="auto" w:fill="FFFFFF"/>
            <w:tcMar>
              <w:top w:w="0" w:type="dxa"/>
              <w:left w:w="0" w:type="dxa"/>
              <w:bottom w:w="0" w:type="dxa"/>
              <w:right w:w="0" w:type="dxa"/>
            </w:tcMar>
            <w:vAlign w:val="center"/>
          </w:tcPr>
          <w:p w14:paraId="364566BF" w14:textId="77777777" w:rsidR="001A716C" w:rsidRPr="001C3504" w:rsidRDefault="001A716C" w:rsidP="008165C2">
            <w:pPr>
              <w:spacing w:before="20" w:after="20"/>
              <w:ind w:left="100" w:right="100"/>
              <w:jc w:val="right"/>
              <w:rPr>
                <w:sz w:val="18"/>
                <w:szCs w:val="18"/>
              </w:rPr>
            </w:pPr>
            <w:r w:rsidRPr="001C3504">
              <w:rPr>
                <w:rFonts w:eastAsia="Century Gothic" w:cs="Century Gothic"/>
                <w:color w:val="000000"/>
                <w:sz w:val="18"/>
                <w:szCs w:val="18"/>
              </w:rPr>
              <w:t>190 (66%)</w:t>
            </w:r>
          </w:p>
        </w:tc>
        <w:tc>
          <w:tcPr>
            <w:tcW w:w="978" w:type="dxa"/>
            <w:shd w:val="clear" w:color="auto" w:fill="FFFFFF"/>
            <w:tcMar>
              <w:top w:w="0" w:type="dxa"/>
              <w:left w:w="0" w:type="dxa"/>
              <w:bottom w:w="0" w:type="dxa"/>
              <w:right w:w="0" w:type="dxa"/>
            </w:tcMar>
            <w:vAlign w:val="center"/>
          </w:tcPr>
          <w:p w14:paraId="1F83710D" w14:textId="77777777" w:rsidR="001A716C" w:rsidRPr="001C3504" w:rsidRDefault="001A716C" w:rsidP="008165C2">
            <w:pPr>
              <w:spacing w:before="20" w:after="20"/>
              <w:ind w:left="100" w:right="100"/>
              <w:jc w:val="right"/>
              <w:rPr>
                <w:sz w:val="18"/>
                <w:szCs w:val="18"/>
              </w:rPr>
            </w:pPr>
            <w:r w:rsidRPr="001C3504">
              <w:rPr>
                <w:rFonts w:eastAsia="Century Gothic" w:cs="Century Gothic"/>
                <w:color w:val="000000"/>
                <w:sz w:val="18"/>
                <w:szCs w:val="18"/>
              </w:rPr>
              <w:t>94 (60%)</w:t>
            </w:r>
          </w:p>
        </w:tc>
        <w:tc>
          <w:tcPr>
            <w:tcW w:w="979" w:type="dxa"/>
            <w:shd w:val="clear" w:color="auto" w:fill="FFFFFF"/>
            <w:tcMar>
              <w:top w:w="0" w:type="dxa"/>
              <w:left w:w="0" w:type="dxa"/>
              <w:bottom w:w="0" w:type="dxa"/>
              <w:right w:w="0" w:type="dxa"/>
            </w:tcMar>
            <w:vAlign w:val="center"/>
          </w:tcPr>
          <w:p w14:paraId="1094B407" w14:textId="77777777" w:rsidR="001A716C" w:rsidRPr="001C3504" w:rsidRDefault="001A716C" w:rsidP="008165C2">
            <w:pPr>
              <w:spacing w:before="20" w:after="20"/>
              <w:ind w:left="100" w:right="100"/>
              <w:jc w:val="right"/>
              <w:rPr>
                <w:sz w:val="18"/>
                <w:szCs w:val="18"/>
              </w:rPr>
            </w:pPr>
            <w:r w:rsidRPr="001C3504">
              <w:rPr>
                <w:rFonts w:eastAsia="Century Gothic" w:cs="Century Gothic"/>
                <w:color w:val="000000"/>
                <w:sz w:val="18"/>
                <w:szCs w:val="18"/>
              </w:rPr>
              <w:t>0.202</w:t>
            </w:r>
          </w:p>
        </w:tc>
      </w:tr>
    </w:tbl>
    <w:p w14:paraId="11F573B8" w14:textId="50ACF288" w:rsidR="001A716C" w:rsidRPr="001C3504" w:rsidRDefault="001A716C" w:rsidP="001A716C">
      <w:pPr>
        <w:pStyle w:val="Source"/>
      </w:pPr>
      <w:r w:rsidRPr="001C3504">
        <w:t xml:space="preserve">Source: </w:t>
      </w:r>
      <w:r>
        <w:t>Staff survey</w:t>
      </w:r>
      <w:r w:rsidRPr="001C3504">
        <w:t xml:space="preserve"> </w:t>
      </w:r>
      <w:r>
        <w:t xml:space="preserve">R1 </w:t>
      </w:r>
      <w:r w:rsidR="00EE093A">
        <w:t>Dec 2017–Jul 2018</w:t>
      </w:r>
      <w:r>
        <w:t xml:space="preserve"> and R</w:t>
      </w:r>
      <w:r w:rsidRPr="001C3504">
        <w:t>5</w:t>
      </w:r>
      <w:r w:rsidR="00EE093A">
        <w:t xml:space="preserve"> </w:t>
      </w:r>
      <w:r w:rsidR="00EE093A" w:rsidRPr="00505B74">
        <w:t>Mar–May 2021</w:t>
      </w:r>
      <w:r w:rsidRPr="001C3504">
        <w:t xml:space="preserve">, </w:t>
      </w:r>
      <w:r>
        <w:t>question</w:t>
      </w:r>
      <w:r w:rsidRPr="001C3504">
        <w:t xml:space="preserve"> 24</w:t>
      </w:r>
      <w:r w:rsidR="00470B21">
        <w:t>.</w:t>
      </w:r>
    </w:p>
    <w:p w14:paraId="48DE5386" w14:textId="2AB6821C" w:rsidR="0065592A" w:rsidRPr="0065592A" w:rsidRDefault="0065592A" w:rsidP="00497A06">
      <w:pPr>
        <w:pStyle w:val="TableorFigurecaptionHPA"/>
      </w:pPr>
      <w:bookmarkStart w:id="275" w:name="_Ref99302692"/>
      <w:r w:rsidRPr="0065592A">
        <w:t xml:space="preserve">Table </w:t>
      </w:r>
      <w:r w:rsidRPr="0065592A">
        <w:fldChar w:fldCharType="begin"/>
      </w:r>
      <w:r w:rsidRPr="0065592A">
        <w:instrText>SEQ Table \* ARABIC</w:instrText>
      </w:r>
      <w:r w:rsidRPr="0065592A">
        <w:fldChar w:fldCharType="separate"/>
      </w:r>
      <w:r w:rsidR="003C4BC2">
        <w:rPr>
          <w:noProof/>
        </w:rPr>
        <w:t>36</w:t>
      </w:r>
      <w:r w:rsidRPr="0065592A">
        <w:fldChar w:fldCharType="end"/>
      </w:r>
      <w:bookmarkEnd w:id="275"/>
      <w:r w:rsidRPr="0065592A">
        <w:t>: Staff assessment of atmosphere within the practice by staff type</w:t>
      </w:r>
    </w:p>
    <w:tbl>
      <w:tblPr>
        <w:tblW w:w="0" w:type="auto"/>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20" w:firstRow="1" w:lastRow="0" w:firstColumn="0" w:lastColumn="0" w:noHBand="0" w:noVBand="1"/>
      </w:tblPr>
      <w:tblGrid>
        <w:gridCol w:w="4203"/>
        <w:gridCol w:w="988"/>
        <w:gridCol w:w="919"/>
        <w:gridCol w:w="925"/>
        <w:gridCol w:w="1060"/>
        <w:gridCol w:w="921"/>
      </w:tblGrid>
      <w:tr w:rsidR="0065592A" w:rsidRPr="001C3504" w14:paraId="7D52D7A8" w14:textId="77777777" w:rsidTr="00EA37B5">
        <w:trPr>
          <w:cantSplit/>
          <w:tblHeader/>
          <w:jc w:val="center"/>
        </w:trPr>
        <w:tc>
          <w:tcPr>
            <w:tcW w:w="0" w:type="auto"/>
            <w:vMerge w:val="restart"/>
            <w:shd w:val="clear" w:color="auto" w:fill="408BCA"/>
            <w:tcMar>
              <w:top w:w="0" w:type="dxa"/>
              <w:left w:w="0" w:type="dxa"/>
              <w:bottom w:w="0" w:type="dxa"/>
              <w:right w:w="0" w:type="dxa"/>
            </w:tcMar>
            <w:vAlign w:val="center"/>
          </w:tcPr>
          <w:p w14:paraId="143716A5" w14:textId="77777777" w:rsidR="0065592A" w:rsidRPr="001C3504" w:rsidRDefault="0065592A" w:rsidP="00EA37B5">
            <w:pPr>
              <w:spacing w:before="20" w:after="20"/>
              <w:ind w:left="100" w:right="100"/>
              <w:jc w:val="center"/>
              <w:rPr>
                <w:sz w:val="18"/>
                <w:szCs w:val="18"/>
              </w:rPr>
            </w:pPr>
          </w:p>
        </w:tc>
        <w:tc>
          <w:tcPr>
            <w:tcW w:w="0" w:type="auto"/>
            <w:gridSpan w:val="5"/>
            <w:shd w:val="clear" w:color="auto" w:fill="408BCA"/>
            <w:tcMar>
              <w:top w:w="0" w:type="dxa"/>
              <w:left w:w="0" w:type="dxa"/>
              <w:bottom w:w="0" w:type="dxa"/>
              <w:right w:w="0" w:type="dxa"/>
            </w:tcMar>
            <w:vAlign w:val="center"/>
          </w:tcPr>
          <w:p w14:paraId="206C7F0D" w14:textId="666D4EE5" w:rsidR="0065592A" w:rsidRPr="001C3504" w:rsidRDefault="0065592A" w:rsidP="00EA37B5">
            <w:pPr>
              <w:spacing w:before="20" w:after="20"/>
              <w:ind w:left="100" w:right="100"/>
              <w:jc w:val="center"/>
              <w:rPr>
                <w:sz w:val="18"/>
                <w:szCs w:val="18"/>
              </w:rPr>
            </w:pPr>
            <w:r w:rsidRPr="001C3504">
              <w:rPr>
                <w:rFonts w:eastAsia="Century Gothic" w:cs="Century Gothic"/>
                <w:b/>
                <w:color w:val="FFFFFF"/>
                <w:sz w:val="18"/>
                <w:szCs w:val="18"/>
              </w:rPr>
              <w:t xml:space="preserve">Percentage responding </w:t>
            </w:r>
            <w:r w:rsidR="00470B21">
              <w:rPr>
                <w:rFonts w:eastAsia="Century Gothic" w:cs="Century Gothic"/>
                <w:b/>
                <w:color w:val="FFFFFF"/>
                <w:sz w:val="18"/>
                <w:szCs w:val="18"/>
              </w:rPr>
              <w:t xml:space="preserve">“1 </w:t>
            </w:r>
            <w:r w:rsidRPr="001C3504">
              <w:rPr>
                <w:rFonts w:eastAsia="Century Gothic" w:cs="Century Gothic"/>
                <w:b/>
                <w:color w:val="FFFFFF"/>
                <w:sz w:val="18"/>
                <w:szCs w:val="18"/>
              </w:rPr>
              <w:t>Calm</w:t>
            </w:r>
            <w:r w:rsidR="00470B21">
              <w:rPr>
                <w:rFonts w:eastAsia="Century Gothic" w:cs="Century Gothic"/>
                <w:b/>
                <w:color w:val="FFFFFF"/>
                <w:sz w:val="18"/>
                <w:szCs w:val="18"/>
              </w:rPr>
              <w:t>”</w:t>
            </w:r>
            <w:r w:rsidRPr="001C3504">
              <w:rPr>
                <w:rFonts w:eastAsia="Century Gothic" w:cs="Century Gothic"/>
                <w:b/>
                <w:color w:val="FFFFFF"/>
                <w:sz w:val="18"/>
                <w:szCs w:val="18"/>
              </w:rPr>
              <w:t xml:space="preserve"> to </w:t>
            </w:r>
            <w:r w:rsidR="00470B21">
              <w:rPr>
                <w:rFonts w:eastAsia="Century Gothic" w:cs="Century Gothic"/>
                <w:b/>
                <w:color w:val="FFFFFF"/>
                <w:sz w:val="18"/>
                <w:szCs w:val="18"/>
              </w:rPr>
              <w:t xml:space="preserve">“3 </w:t>
            </w:r>
            <w:r w:rsidRPr="001C3504">
              <w:rPr>
                <w:rFonts w:eastAsia="Century Gothic" w:cs="Century Gothic"/>
                <w:b/>
                <w:color w:val="FFFFFF"/>
                <w:sz w:val="18"/>
                <w:szCs w:val="18"/>
              </w:rPr>
              <w:t>Busy but reasonable</w:t>
            </w:r>
            <w:r w:rsidR="00470B21">
              <w:rPr>
                <w:rFonts w:eastAsia="Century Gothic" w:cs="Century Gothic"/>
                <w:b/>
                <w:color w:val="FFFFFF"/>
                <w:sz w:val="18"/>
                <w:szCs w:val="18"/>
              </w:rPr>
              <w:t>”</w:t>
            </w:r>
          </w:p>
        </w:tc>
      </w:tr>
      <w:tr w:rsidR="0065592A" w:rsidRPr="001C3504" w14:paraId="5829E406" w14:textId="77777777" w:rsidTr="00EA37B5">
        <w:trPr>
          <w:cantSplit/>
          <w:tblHeader/>
          <w:jc w:val="center"/>
        </w:trPr>
        <w:tc>
          <w:tcPr>
            <w:tcW w:w="0" w:type="auto"/>
            <w:vMerge/>
            <w:shd w:val="clear" w:color="auto" w:fill="003D79"/>
            <w:tcMar>
              <w:top w:w="0" w:type="dxa"/>
              <w:left w:w="0" w:type="dxa"/>
              <w:bottom w:w="0" w:type="dxa"/>
              <w:right w:w="0" w:type="dxa"/>
            </w:tcMar>
            <w:vAlign w:val="center"/>
          </w:tcPr>
          <w:p w14:paraId="6E28423D" w14:textId="77777777" w:rsidR="0065592A" w:rsidRPr="001C3504" w:rsidRDefault="0065592A" w:rsidP="00EA37B5">
            <w:pPr>
              <w:spacing w:before="20" w:after="20"/>
              <w:ind w:left="100" w:right="100"/>
              <w:jc w:val="center"/>
              <w:rPr>
                <w:sz w:val="18"/>
                <w:szCs w:val="18"/>
              </w:rPr>
            </w:pPr>
          </w:p>
        </w:tc>
        <w:tc>
          <w:tcPr>
            <w:tcW w:w="0" w:type="auto"/>
            <w:shd w:val="clear" w:color="auto" w:fill="408BCA"/>
            <w:tcMar>
              <w:top w:w="0" w:type="dxa"/>
              <w:left w:w="0" w:type="dxa"/>
              <w:bottom w:w="0" w:type="dxa"/>
              <w:right w:w="0" w:type="dxa"/>
            </w:tcMar>
            <w:vAlign w:val="center"/>
          </w:tcPr>
          <w:p w14:paraId="198201E4" w14:textId="77777777" w:rsidR="0065592A" w:rsidRPr="001C3504" w:rsidRDefault="0065592A" w:rsidP="00EA37B5">
            <w:pPr>
              <w:spacing w:before="20" w:after="20"/>
              <w:ind w:left="100" w:right="100"/>
              <w:jc w:val="center"/>
              <w:rPr>
                <w:sz w:val="18"/>
                <w:szCs w:val="18"/>
              </w:rPr>
            </w:pPr>
            <w:r w:rsidRPr="001C3504">
              <w:rPr>
                <w:rFonts w:eastAsia="Century Gothic" w:cs="Century Gothic"/>
                <w:b/>
                <w:color w:val="FFFFFF"/>
                <w:sz w:val="18"/>
                <w:szCs w:val="18"/>
              </w:rPr>
              <w:t>Total</w:t>
            </w:r>
          </w:p>
        </w:tc>
        <w:tc>
          <w:tcPr>
            <w:tcW w:w="0" w:type="auto"/>
            <w:shd w:val="clear" w:color="auto" w:fill="408BCA"/>
            <w:tcMar>
              <w:top w:w="0" w:type="dxa"/>
              <w:left w:w="0" w:type="dxa"/>
              <w:bottom w:w="0" w:type="dxa"/>
              <w:right w:w="0" w:type="dxa"/>
            </w:tcMar>
            <w:vAlign w:val="center"/>
          </w:tcPr>
          <w:p w14:paraId="2B8F58AD" w14:textId="77777777" w:rsidR="0065592A" w:rsidRPr="001C3504" w:rsidRDefault="0065592A" w:rsidP="00EA37B5">
            <w:pPr>
              <w:spacing w:before="20" w:after="20"/>
              <w:ind w:left="100" w:right="100"/>
              <w:jc w:val="center"/>
              <w:rPr>
                <w:sz w:val="18"/>
                <w:szCs w:val="18"/>
              </w:rPr>
            </w:pPr>
            <w:r w:rsidRPr="001C3504">
              <w:rPr>
                <w:rFonts w:eastAsia="Century Gothic" w:cs="Century Gothic"/>
                <w:b/>
                <w:color w:val="FFFFFF"/>
                <w:sz w:val="18"/>
                <w:szCs w:val="18"/>
              </w:rPr>
              <w:t>GP</w:t>
            </w:r>
          </w:p>
        </w:tc>
        <w:tc>
          <w:tcPr>
            <w:tcW w:w="0" w:type="auto"/>
            <w:shd w:val="clear" w:color="auto" w:fill="408BCA"/>
            <w:tcMar>
              <w:top w:w="0" w:type="dxa"/>
              <w:left w:w="0" w:type="dxa"/>
              <w:bottom w:w="0" w:type="dxa"/>
              <w:right w:w="0" w:type="dxa"/>
            </w:tcMar>
            <w:vAlign w:val="center"/>
          </w:tcPr>
          <w:p w14:paraId="3549BE50" w14:textId="77777777" w:rsidR="0065592A" w:rsidRPr="001C3504" w:rsidRDefault="0065592A" w:rsidP="00EA37B5">
            <w:pPr>
              <w:spacing w:before="20" w:after="20"/>
              <w:ind w:left="100" w:right="100"/>
              <w:jc w:val="center"/>
              <w:rPr>
                <w:sz w:val="18"/>
                <w:szCs w:val="18"/>
              </w:rPr>
            </w:pPr>
            <w:r w:rsidRPr="001C3504">
              <w:rPr>
                <w:rFonts w:eastAsia="Century Gothic" w:cs="Century Gothic"/>
                <w:b/>
                <w:color w:val="FFFFFF"/>
                <w:sz w:val="18"/>
                <w:szCs w:val="18"/>
              </w:rPr>
              <w:t>Nurse</w:t>
            </w:r>
          </w:p>
        </w:tc>
        <w:tc>
          <w:tcPr>
            <w:tcW w:w="0" w:type="auto"/>
            <w:shd w:val="clear" w:color="auto" w:fill="408BCA"/>
            <w:tcMar>
              <w:top w:w="0" w:type="dxa"/>
              <w:left w:w="0" w:type="dxa"/>
              <w:bottom w:w="0" w:type="dxa"/>
              <w:right w:w="0" w:type="dxa"/>
            </w:tcMar>
            <w:vAlign w:val="center"/>
          </w:tcPr>
          <w:p w14:paraId="6916D841" w14:textId="77777777" w:rsidR="0065592A" w:rsidRPr="001C3504" w:rsidRDefault="0065592A" w:rsidP="00EA37B5">
            <w:pPr>
              <w:spacing w:before="20" w:after="20"/>
              <w:ind w:left="100" w:right="100"/>
              <w:jc w:val="center"/>
              <w:rPr>
                <w:sz w:val="18"/>
                <w:szCs w:val="18"/>
              </w:rPr>
            </w:pPr>
            <w:r w:rsidRPr="001C3504">
              <w:rPr>
                <w:rFonts w:eastAsia="Century Gothic" w:cs="Century Gothic"/>
                <w:b/>
                <w:color w:val="FFFFFF"/>
                <w:sz w:val="18"/>
                <w:szCs w:val="18"/>
              </w:rPr>
              <w:t>Manager</w:t>
            </w:r>
          </w:p>
        </w:tc>
        <w:tc>
          <w:tcPr>
            <w:tcW w:w="0" w:type="auto"/>
            <w:shd w:val="clear" w:color="auto" w:fill="408BCA"/>
            <w:tcMar>
              <w:top w:w="0" w:type="dxa"/>
              <w:left w:w="0" w:type="dxa"/>
              <w:bottom w:w="0" w:type="dxa"/>
              <w:right w:w="0" w:type="dxa"/>
            </w:tcMar>
            <w:vAlign w:val="center"/>
          </w:tcPr>
          <w:p w14:paraId="2C73239C" w14:textId="77777777" w:rsidR="0065592A" w:rsidRPr="001C3504" w:rsidRDefault="0065592A" w:rsidP="00EA37B5">
            <w:pPr>
              <w:spacing w:before="20" w:after="20"/>
              <w:ind w:left="100" w:right="100"/>
              <w:jc w:val="center"/>
              <w:rPr>
                <w:sz w:val="18"/>
                <w:szCs w:val="18"/>
              </w:rPr>
            </w:pPr>
            <w:r w:rsidRPr="001C3504">
              <w:rPr>
                <w:rFonts w:eastAsia="Century Gothic" w:cs="Century Gothic"/>
                <w:b/>
                <w:color w:val="FFFFFF"/>
                <w:sz w:val="18"/>
                <w:szCs w:val="18"/>
              </w:rPr>
              <w:t>Other</w:t>
            </w:r>
          </w:p>
        </w:tc>
      </w:tr>
      <w:tr w:rsidR="0065592A" w:rsidRPr="001C3504" w14:paraId="7C62D3FD" w14:textId="77777777" w:rsidTr="00EA37B5">
        <w:trPr>
          <w:cantSplit/>
          <w:jc w:val="center"/>
        </w:trPr>
        <w:tc>
          <w:tcPr>
            <w:tcW w:w="0" w:type="auto"/>
            <w:shd w:val="clear" w:color="auto" w:fill="FFFFFF"/>
            <w:tcMar>
              <w:top w:w="0" w:type="dxa"/>
              <w:left w:w="0" w:type="dxa"/>
              <w:bottom w:w="0" w:type="dxa"/>
              <w:right w:w="0" w:type="dxa"/>
            </w:tcMar>
            <w:vAlign w:val="center"/>
          </w:tcPr>
          <w:p w14:paraId="5A1D978A" w14:textId="77777777" w:rsidR="0065592A" w:rsidRPr="001C3504" w:rsidRDefault="0065592A" w:rsidP="00EA37B5">
            <w:pPr>
              <w:spacing w:before="20" w:after="20"/>
              <w:ind w:left="100" w:right="100"/>
              <w:rPr>
                <w:sz w:val="18"/>
                <w:szCs w:val="18"/>
              </w:rPr>
            </w:pPr>
            <w:r w:rsidRPr="001C3504">
              <w:rPr>
                <w:rFonts w:eastAsia="Century Gothic" w:cs="Century Gothic"/>
                <w:color w:val="000000"/>
                <w:sz w:val="18"/>
                <w:szCs w:val="18"/>
              </w:rPr>
              <w:t>Which number below best describes the atmosphere in your practice?</w:t>
            </w:r>
          </w:p>
        </w:tc>
        <w:tc>
          <w:tcPr>
            <w:tcW w:w="0" w:type="auto"/>
            <w:shd w:val="clear" w:color="auto" w:fill="FFFFFF"/>
            <w:tcMar>
              <w:top w:w="0" w:type="dxa"/>
              <w:left w:w="0" w:type="dxa"/>
              <w:bottom w:w="0" w:type="dxa"/>
              <w:right w:w="0" w:type="dxa"/>
            </w:tcMar>
            <w:vAlign w:val="center"/>
          </w:tcPr>
          <w:p w14:paraId="3C4B6F69" w14:textId="77777777" w:rsidR="0065592A" w:rsidRPr="001C3504" w:rsidRDefault="0065592A" w:rsidP="00EA37B5">
            <w:pPr>
              <w:spacing w:before="20" w:after="20"/>
              <w:ind w:left="100" w:right="100"/>
              <w:jc w:val="right"/>
              <w:rPr>
                <w:sz w:val="18"/>
                <w:szCs w:val="18"/>
              </w:rPr>
            </w:pPr>
            <w:r w:rsidRPr="001C3504">
              <w:rPr>
                <w:rFonts w:eastAsia="Century Gothic" w:cs="Century Gothic"/>
                <w:color w:val="000000"/>
                <w:sz w:val="18"/>
                <w:szCs w:val="18"/>
              </w:rPr>
              <w:t>111 (61%)</w:t>
            </w:r>
          </w:p>
        </w:tc>
        <w:tc>
          <w:tcPr>
            <w:tcW w:w="0" w:type="auto"/>
            <w:shd w:val="clear" w:color="auto" w:fill="FFFFFF"/>
            <w:tcMar>
              <w:top w:w="0" w:type="dxa"/>
              <w:left w:w="0" w:type="dxa"/>
              <w:bottom w:w="0" w:type="dxa"/>
              <w:right w:w="0" w:type="dxa"/>
            </w:tcMar>
            <w:vAlign w:val="center"/>
          </w:tcPr>
          <w:p w14:paraId="34FDE6A9" w14:textId="77777777" w:rsidR="0065592A" w:rsidRPr="001C3504" w:rsidRDefault="0065592A" w:rsidP="00EA37B5">
            <w:pPr>
              <w:spacing w:before="20" w:after="20"/>
              <w:ind w:left="100" w:right="100"/>
              <w:jc w:val="right"/>
              <w:rPr>
                <w:sz w:val="18"/>
                <w:szCs w:val="18"/>
              </w:rPr>
            </w:pPr>
            <w:r w:rsidRPr="001C3504">
              <w:rPr>
                <w:rFonts w:eastAsia="Century Gothic" w:cs="Century Gothic"/>
                <w:color w:val="000000"/>
                <w:sz w:val="18"/>
                <w:szCs w:val="18"/>
              </w:rPr>
              <w:t>28 (78%)</w:t>
            </w:r>
          </w:p>
        </w:tc>
        <w:tc>
          <w:tcPr>
            <w:tcW w:w="0" w:type="auto"/>
            <w:shd w:val="clear" w:color="auto" w:fill="FFFFFF"/>
            <w:tcMar>
              <w:top w:w="0" w:type="dxa"/>
              <w:left w:w="0" w:type="dxa"/>
              <w:bottom w:w="0" w:type="dxa"/>
              <w:right w:w="0" w:type="dxa"/>
            </w:tcMar>
            <w:vAlign w:val="center"/>
          </w:tcPr>
          <w:p w14:paraId="0B86C13B" w14:textId="77777777" w:rsidR="0065592A" w:rsidRPr="001C3504" w:rsidRDefault="0065592A" w:rsidP="00EA37B5">
            <w:pPr>
              <w:spacing w:before="20" w:after="20"/>
              <w:ind w:left="100" w:right="100"/>
              <w:jc w:val="right"/>
              <w:rPr>
                <w:sz w:val="18"/>
                <w:szCs w:val="18"/>
              </w:rPr>
            </w:pPr>
            <w:r w:rsidRPr="001C3504">
              <w:rPr>
                <w:rFonts w:eastAsia="Century Gothic" w:cs="Century Gothic"/>
                <w:color w:val="000000"/>
                <w:sz w:val="18"/>
                <w:szCs w:val="18"/>
              </w:rPr>
              <w:t>24 (53%)</w:t>
            </w:r>
          </w:p>
        </w:tc>
        <w:tc>
          <w:tcPr>
            <w:tcW w:w="0" w:type="auto"/>
            <w:shd w:val="clear" w:color="auto" w:fill="FFFFFF"/>
            <w:tcMar>
              <w:top w:w="0" w:type="dxa"/>
              <w:left w:w="0" w:type="dxa"/>
              <w:bottom w:w="0" w:type="dxa"/>
              <w:right w:w="0" w:type="dxa"/>
            </w:tcMar>
            <w:vAlign w:val="center"/>
          </w:tcPr>
          <w:p w14:paraId="4BAFB41F" w14:textId="77777777" w:rsidR="0065592A" w:rsidRPr="001C3504" w:rsidRDefault="0065592A" w:rsidP="00EA37B5">
            <w:pPr>
              <w:spacing w:before="20" w:after="20"/>
              <w:ind w:left="100" w:right="100"/>
              <w:jc w:val="right"/>
              <w:rPr>
                <w:sz w:val="18"/>
                <w:szCs w:val="18"/>
              </w:rPr>
            </w:pPr>
            <w:r w:rsidRPr="001C3504">
              <w:rPr>
                <w:rFonts w:eastAsia="Century Gothic" w:cs="Century Gothic"/>
                <w:color w:val="000000"/>
                <w:sz w:val="18"/>
                <w:szCs w:val="18"/>
              </w:rPr>
              <w:t>28 (56%)</w:t>
            </w:r>
          </w:p>
        </w:tc>
        <w:tc>
          <w:tcPr>
            <w:tcW w:w="0" w:type="auto"/>
            <w:shd w:val="clear" w:color="auto" w:fill="FFFFFF"/>
            <w:tcMar>
              <w:top w:w="0" w:type="dxa"/>
              <w:left w:w="0" w:type="dxa"/>
              <w:bottom w:w="0" w:type="dxa"/>
              <w:right w:w="0" w:type="dxa"/>
            </w:tcMar>
            <w:vAlign w:val="center"/>
          </w:tcPr>
          <w:p w14:paraId="2E9DF23D" w14:textId="77777777" w:rsidR="0065592A" w:rsidRPr="001C3504" w:rsidRDefault="0065592A" w:rsidP="00EA37B5">
            <w:pPr>
              <w:spacing w:before="20" w:after="20"/>
              <w:ind w:left="100" w:right="100"/>
              <w:jc w:val="right"/>
              <w:rPr>
                <w:sz w:val="18"/>
                <w:szCs w:val="18"/>
              </w:rPr>
            </w:pPr>
            <w:r w:rsidRPr="001C3504">
              <w:rPr>
                <w:rFonts w:eastAsia="Century Gothic" w:cs="Century Gothic"/>
                <w:color w:val="000000"/>
                <w:sz w:val="18"/>
                <w:szCs w:val="18"/>
              </w:rPr>
              <w:t>31 (61%)</w:t>
            </w:r>
          </w:p>
        </w:tc>
      </w:tr>
    </w:tbl>
    <w:p w14:paraId="766B9C33" w14:textId="41C1F2C1" w:rsidR="00DE7D8B" w:rsidRPr="001C3504" w:rsidRDefault="00DE7D8B" w:rsidP="00DE7D8B">
      <w:pPr>
        <w:pStyle w:val="Source"/>
      </w:pPr>
      <w:r w:rsidRPr="001C3504">
        <w:t xml:space="preserve">Source: </w:t>
      </w:r>
      <w:r>
        <w:t>Staff survey</w:t>
      </w:r>
      <w:r w:rsidRPr="001C3504">
        <w:t xml:space="preserve"> </w:t>
      </w:r>
      <w:r>
        <w:t>R</w:t>
      </w:r>
      <w:r w:rsidRPr="001C3504">
        <w:t>5</w:t>
      </w:r>
      <w:r w:rsidR="00505B74">
        <w:t xml:space="preserve"> </w:t>
      </w:r>
      <w:r w:rsidR="00505B74" w:rsidRPr="00505B74">
        <w:t>Mar–May 2021</w:t>
      </w:r>
      <w:r w:rsidRPr="001C3504">
        <w:t xml:space="preserve">, </w:t>
      </w:r>
      <w:r>
        <w:t>question</w:t>
      </w:r>
      <w:r w:rsidRPr="001C3504">
        <w:t xml:space="preserve"> 24</w:t>
      </w:r>
      <w:r w:rsidR="00470B21">
        <w:t>.</w:t>
      </w:r>
    </w:p>
    <w:p w14:paraId="76BD2C76" w14:textId="6A66B0E0" w:rsidR="007C6256" w:rsidRDefault="00DF5535" w:rsidP="00C512DC">
      <w:r w:rsidRPr="00DF5535">
        <w:rPr>
          <w:rFonts w:eastAsiaTheme="minorEastAsia"/>
          <w:color w:val="1D2455"/>
          <w:szCs w:val="20"/>
          <w:lang w:eastAsia="en-AU"/>
        </w:rPr>
        <w:fldChar w:fldCharType="begin"/>
      </w:r>
      <w:r w:rsidRPr="00DF5535">
        <w:rPr>
          <w:rFonts w:eastAsiaTheme="minorEastAsia"/>
          <w:color w:val="1D2455"/>
          <w:szCs w:val="20"/>
          <w:lang w:eastAsia="en-AU"/>
        </w:rPr>
        <w:instrText xml:space="preserve"> REF _Ref99302693 \h </w:instrText>
      </w:r>
      <w:r>
        <w:rPr>
          <w:rFonts w:eastAsiaTheme="minorEastAsia"/>
          <w:color w:val="1D2455"/>
          <w:szCs w:val="20"/>
          <w:lang w:eastAsia="en-AU"/>
        </w:rPr>
        <w:instrText xml:space="preserve"> \* MERGEFORMAT </w:instrText>
      </w:r>
      <w:r w:rsidRPr="00DF5535">
        <w:rPr>
          <w:rFonts w:eastAsiaTheme="minorEastAsia"/>
          <w:color w:val="1D2455"/>
          <w:szCs w:val="20"/>
          <w:lang w:eastAsia="en-AU"/>
        </w:rPr>
      </w:r>
      <w:r w:rsidRPr="00DF5535">
        <w:rPr>
          <w:rFonts w:eastAsiaTheme="minorEastAsia"/>
          <w:color w:val="1D2455"/>
          <w:szCs w:val="20"/>
          <w:lang w:eastAsia="en-AU"/>
        </w:rPr>
        <w:fldChar w:fldCharType="separate"/>
      </w:r>
      <w:r w:rsidR="003C4BC2" w:rsidRPr="003C4BC2">
        <w:rPr>
          <w:rFonts w:eastAsiaTheme="minorEastAsia"/>
          <w:color w:val="1D2455"/>
          <w:szCs w:val="20"/>
          <w:lang w:eastAsia="en-AU"/>
        </w:rPr>
        <w:t>Table 37</w:t>
      </w:r>
      <w:r w:rsidRPr="00DF5535">
        <w:rPr>
          <w:rFonts w:eastAsiaTheme="minorEastAsia"/>
          <w:color w:val="1D2455"/>
          <w:szCs w:val="20"/>
          <w:lang w:eastAsia="en-AU"/>
        </w:rPr>
        <w:fldChar w:fldCharType="end"/>
      </w:r>
      <w:r>
        <w:t xml:space="preserve"> </w:t>
      </w:r>
      <w:r w:rsidR="00AA05E3">
        <w:t xml:space="preserve">shows responses by staff to a set of </w:t>
      </w:r>
      <w:r w:rsidR="00470B21">
        <w:t xml:space="preserve">positive </w:t>
      </w:r>
      <w:r w:rsidR="00EC4E41">
        <w:t xml:space="preserve">statements about </w:t>
      </w:r>
      <w:r w:rsidR="00AA05E3">
        <w:t>their job and work environment. A</w:t>
      </w:r>
      <w:r w:rsidR="00C512DC">
        <w:t xml:space="preserve">pproximately 90% of staff reported they agree or somewhat agree to </w:t>
      </w:r>
      <w:r w:rsidR="00EC4E41">
        <w:t>these statements</w:t>
      </w:r>
      <w:r w:rsidR="00256C47">
        <w:t>.</w:t>
      </w:r>
      <w:r w:rsidR="00A561EE">
        <w:t xml:space="preserve"> </w:t>
      </w:r>
      <w:r w:rsidR="00C512DC">
        <w:t>The responses were also high in the round 1 survey</w:t>
      </w:r>
      <w:r w:rsidR="00256C47">
        <w:t xml:space="preserve">. There was </w:t>
      </w:r>
      <w:r w:rsidR="00C512DC">
        <w:t>no significant change</w:t>
      </w:r>
      <w:r w:rsidR="00256C47">
        <w:t xml:space="preserve"> between the two round</w:t>
      </w:r>
      <w:r w:rsidR="00AF4FC7">
        <w:t>s</w:t>
      </w:r>
      <w:r w:rsidR="00256C47">
        <w:t xml:space="preserve"> although levels of agreement </w:t>
      </w:r>
      <w:r w:rsidR="00470B21">
        <w:t xml:space="preserve">to each of </w:t>
      </w:r>
      <w:r w:rsidR="00C512DC">
        <w:t xml:space="preserve">the </w:t>
      </w:r>
      <w:r w:rsidR="00470B21">
        <w:t>statements</w:t>
      </w:r>
      <w:r w:rsidR="00C512DC">
        <w:t xml:space="preserve"> in round 5 were slightly higher.</w:t>
      </w:r>
    </w:p>
    <w:p w14:paraId="691EFB9B" w14:textId="77777777" w:rsidR="007C6256" w:rsidRDefault="007C6256">
      <w:pPr>
        <w:spacing w:after="160" w:line="259" w:lineRule="auto"/>
      </w:pPr>
      <w:r>
        <w:br w:type="page"/>
      </w:r>
    </w:p>
    <w:p w14:paraId="5CEC3BF4" w14:textId="11405F46" w:rsidR="005C4DA0" w:rsidRDefault="005C4DA0" w:rsidP="00497A06">
      <w:pPr>
        <w:pStyle w:val="TableorFigurecaptionHPA"/>
      </w:pPr>
      <w:bookmarkStart w:id="276" w:name="_Ref99302693"/>
      <w:r w:rsidRPr="00EC694E">
        <w:lastRenderedPageBreak/>
        <w:t xml:space="preserve">Table </w:t>
      </w:r>
      <w:r w:rsidR="00A61B29">
        <w:fldChar w:fldCharType="begin"/>
      </w:r>
      <w:r w:rsidR="00A61B29">
        <w:instrText xml:space="preserve"> SEQ Table \* ARABIC </w:instrText>
      </w:r>
      <w:r w:rsidR="00A61B29">
        <w:fldChar w:fldCharType="separate"/>
      </w:r>
      <w:r w:rsidR="003C4BC2">
        <w:rPr>
          <w:noProof/>
        </w:rPr>
        <w:t>37</w:t>
      </w:r>
      <w:r w:rsidR="00A61B29">
        <w:rPr>
          <w:noProof/>
        </w:rPr>
        <w:fldChar w:fldCharType="end"/>
      </w:r>
      <w:bookmarkEnd w:id="276"/>
      <w:r w:rsidRPr="00EC694E">
        <w:t xml:space="preserve">: </w:t>
      </w:r>
      <w:r>
        <w:t>Staff responses to questions on their wo</w:t>
      </w:r>
      <w:r w:rsidRPr="00FC08F5">
        <w:t>rk environment</w:t>
      </w:r>
    </w:p>
    <w:tbl>
      <w:tblPr>
        <w:tblW w:w="5000" w:type="pct"/>
        <w:jc w:val="center"/>
        <w:tblLayout w:type="fixed"/>
        <w:tblLook w:val="0420" w:firstRow="1" w:lastRow="0" w:firstColumn="0" w:lastColumn="0" w:noHBand="0" w:noVBand="1"/>
      </w:tblPr>
      <w:tblGrid>
        <w:gridCol w:w="3396"/>
        <w:gridCol w:w="989"/>
        <w:gridCol w:w="1269"/>
        <w:gridCol w:w="1129"/>
        <w:gridCol w:w="1216"/>
        <w:gridCol w:w="1007"/>
      </w:tblGrid>
      <w:tr w:rsidR="005C4DA0" w14:paraId="0A0E8376" w14:textId="77777777" w:rsidTr="00EA37B5">
        <w:trPr>
          <w:cantSplit/>
          <w:tblHeader/>
          <w:jc w:val="center"/>
        </w:trPr>
        <w:tc>
          <w:tcPr>
            <w:tcW w:w="3412" w:type="dxa"/>
            <w:tcBorders>
              <w:top w:val="single" w:sz="8" w:space="0" w:color="BFBFBF"/>
              <w:left w:val="single" w:sz="8" w:space="0" w:color="BFBFBF"/>
              <w:bottom w:val="single" w:sz="8" w:space="0" w:color="BFBFBF"/>
              <w:right w:val="single" w:sz="8" w:space="0" w:color="BFBFBF"/>
            </w:tcBorders>
            <w:shd w:val="clear" w:color="auto" w:fill="408BCA"/>
            <w:tcMar>
              <w:top w:w="0" w:type="dxa"/>
              <w:left w:w="0" w:type="dxa"/>
              <w:bottom w:w="0" w:type="dxa"/>
              <w:right w:w="0" w:type="dxa"/>
            </w:tcMar>
            <w:vAlign w:val="center"/>
          </w:tcPr>
          <w:p w14:paraId="6DC4F414" w14:textId="35C8039C" w:rsidR="005C4DA0" w:rsidRPr="00E133EE" w:rsidRDefault="00470B21" w:rsidP="00EA37B5">
            <w:pPr>
              <w:spacing w:after="0"/>
              <w:ind w:left="102" w:right="102"/>
              <w:rPr>
                <w:rFonts w:eastAsia="Century Gothic" w:cs="Century Gothic"/>
                <w:b/>
                <w:bCs/>
                <w:color w:val="FFFFFF" w:themeColor="background1"/>
                <w:sz w:val="18"/>
                <w:szCs w:val="18"/>
              </w:rPr>
            </w:pPr>
            <w:r>
              <w:rPr>
                <w:rFonts w:eastAsia="Century Gothic" w:cs="Century Gothic"/>
                <w:b/>
                <w:bCs/>
                <w:color w:val="FFFFFF" w:themeColor="background1"/>
                <w:sz w:val="18"/>
                <w:szCs w:val="18"/>
              </w:rPr>
              <w:t>Statement</w:t>
            </w:r>
          </w:p>
        </w:tc>
        <w:tc>
          <w:tcPr>
            <w:tcW w:w="993" w:type="dxa"/>
            <w:tcBorders>
              <w:top w:val="single" w:sz="8" w:space="0" w:color="BFBFBF"/>
              <w:left w:val="single" w:sz="8" w:space="0" w:color="BFBFBF"/>
              <w:bottom w:val="single" w:sz="8" w:space="0" w:color="BFBFBF"/>
              <w:right w:val="single" w:sz="8" w:space="0" w:color="BFBFBF"/>
            </w:tcBorders>
            <w:shd w:val="clear" w:color="auto" w:fill="408BCA"/>
            <w:tcMar>
              <w:top w:w="0" w:type="dxa"/>
              <w:left w:w="0" w:type="dxa"/>
              <w:bottom w:w="0" w:type="dxa"/>
              <w:right w:w="0" w:type="dxa"/>
            </w:tcMar>
            <w:vAlign w:val="center"/>
          </w:tcPr>
          <w:p w14:paraId="37D48772" w14:textId="77777777" w:rsidR="005C4DA0" w:rsidRPr="00E133EE" w:rsidRDefault="005C4DA0" w:rsidP="00470B21">
            <w:pPr>
              <w:spacing w:after="0"/>
              <w:ind w:left="102" w:right="102"/>
              <w:jc w:val="center"/>
              <w:rPr>
                <w:rFonts w:eastAsia="Century Gothic" w:cs="Century Gothic"/>
                <w:b/>
                <w:bCs/>
                <w:color w:val="FFFFFF" w:themeColor="background1"/>
                <w:sz w:val="18"/>
                <w:szCs w:val="18"/>
              </w:rPr>
            </w:pPr>
            <w:r w:rsidRPr="00E133EE">
              <w:rPr>
                <w:rFonts w:eastAsia="Century Gothic" w:cs="Century Gothic"/>
                <w:b/>
                <w:bCs/>
                <w:color w:val="FFFFFF" w:themeColor="background1"/>
                <w:sz w:val="18"/>
                <w:szCs w:val="18"/>
              </w:rPr>
              <w:t>Agree</w:t>
            </w:r>
          </w:p>
        </w:tc>
        <w:tc>
          <w:tcPr>
            <w:tcW w:w="1275" w:type="dxa"/>
            <w:tcBorders>
              <w:top w:val="single" w:sz="8" w:space="0" w:color="BFBFBF"/>
              <w:left w:val="single" w:sz="8" w:space="0" w:color="BFBFBF"/>
              <w:bottom w:val="single" w:sz="8" w:space="0" w:color="BFBFBF"/>
              <w:right w:val="single" w:sz="8" w:space="0" w:color="BFBFBF"/>
            </w:tcBorders>
            <w:shd w:val="clear" w:color="auto" w:fill="408BCA"/>
            <w:tcMar>
              <w:top w:w="0" w:type="dxa"/>
              <w:left w:w="0" w:type="dxa"/>
              <w:bottom w:w="0" w:type="dxa"/>
              <w:right w:w="0" w:type="dxa"/>
            </w:tcMar>
            <w:vAlign w:val="center"/>
          </w:tcPr>
          <w:p w14:paraId="6F5CF4B5" w14:textId="77777777" w:rsidR="005C4DA0" w:rsidRPr="00E133EE" w:rsidRDefault="005C4DA0" w:rsidP="00470B21">
            <w:pPr>
              <w:spacing w:after="0"/>
              <w:ind w:left="102" w:right="102"/>
              <w:jc w:val="center"/>
              <w:rPr>
                <w:rFonts w:eastAsia="Century Gothic" w:cs="Century Gothic"/>
                <w:b/>
                <w:bCs/>
                <w:color w:val="FFFFFF" w:themeColor="background1"/>
                <w:sz w:val="18"/>
                <w:szCs w:val="18"/>
              </w:rPr>
            </w:pPr>
            <w:r w:rsidRPr="00E133EE">
              <w:rPr>
                <w:rFonts w:eastAsia="Century Gothic" w:cs="Century Gothic"/>
                <w:b/>
                <w:bCs/>
                <w:color w:val="FFFFFF" w:themeColor="background1"/>
                <w:sz w:val="18"/>
                <w:szCs w:val="18"/>
              </w:rPr>
              <w:t>Somewhat agree</w:t>
            </w:r>
          </w:p>
        </w:tc>
        <w:tc>
          <w:tcPr>
            <w:tcW w:w="1134" w:type="dxa"/>
            <w:tcBorders>
              <w:top w:val="single" w:sz="8" w:space="0" w:color="BFBFBF"/>
              <w:left w:val="single" w:sz="8" w:space="0" w:color="BFBFBF"/>
              <w:bottom w:val="single" w:sz="8" w:space="0" w:color="BFBFBF"/>
              <w:right w:val="single" w:sz="8" w:space="0" w:color="BFBFBF"/>
            </w:tcBorders>
            <w:shd w:val="clear" w:color="auto" w:fill="408BCA"/>
            <w:tcMar>
              <w:top w:w="0" w:type="dxa"/>
              <w:left w:w="0" w:type="dxa"/>
              <w:bottom w:w="0" w:type="dxa"/>
              <w:right w:w="0" w:type="dxa"/>
            </w:tcMar>
            <w:vAlign w:val="center"/>
          </w:tcPr>
          <w:p w14:paraId="5C24AADB" w14:textId="77777777" w:rsidR="005C4DA0" w:rsidRPr="00E133EE" w:rsidRDefault="005C4DA0" w:rsidP="00470B21">
            <w:pPr>
              <w:spacing w:after="0"/>
              <w:ind w:left="102" w:right="102"/>
              <w:jc w:val="center"/>
              <w:rPr>
                <w:rFonts w:eastAsia="Century Gothic" w:cs="Century Gothic"/>
                <w:b/>
                <w:bCs/>
                <w:color w:val="FFFFFF" w:themeColor="background1"/>
                <w:sz w:val="18"/>
                <w:szCs w:val="18"/>
              </w:rPr>
            </w:pPr>
            <w:r w:rsidRPr="00E133EE">
              <w:rPr>
                <w:rFonts w:eastAsia="Century Gothic" w:cs="Century Gothic"/>
                <w:b/>
                <w:bCs/>
                <w:color w:val="FFFFFF" w:themeColor="background1"/>
                <w:sz w:val="18"/>
                <w:szCs w:val="18"/>
              </w:rPr>
              <w:t>Neither agree nor disagree</w:t>
            </w:r>
          </w:p>
        </w:tc>
        <w:tc>
          <w:tcPr>
            <w:tcW w:w="1221" w:type="dxa"/>
            <w:tcBorders>
              <w:top w:val="single" w:sz="8" w:space="0" w:color="BFBFBF"/>
              <w:left w:val="single" w:sz="8" w:space="0" w:color="BFBFBF"/>
              <w:bottom w:val="single" w:sz="8" w:space="0" w:color="BFBFBF"/>
              <w:right w:val="single" w:sz="8" w:space="0" w:color="BFBFBF"/>
            </w:tcBorders>
            <w:shd w:val="clear" w:color="auto" w:fill="408BCA"/>
            <w:tcMar>
              <w:top w:w="0" w:type="dxa"/>
              <w:left w:w="0" w:type="dxa"/>
              <w:bottom w:w="0" w:type="dxa"/>
              <w:right w:w="0" w:type="dxa"/>
            </w:tcMar>
            <w:vAlign w:val="center"/>
          </w:tcPr>
          <w:p w14:paraId="05BB6B01" w14:textId="77777777" w:rsidR="005C4DA0" w:rsidRPr="00E133EE" w:rsidRDefault="005C4DA0" w:rsidP="00470B21">
            <w:pPr>
              <w:spacing w:after="0"/>
              <w:ind w:left="102" w:right="102"/>
              <w:jc w:val="center"/>
              <w:rPr>
                <w:rFonts w:eastAsia="Century Gothic" w:cs="Century Gothic"/>
                <w:b/>
                <w:bCs/>
                <w:color w:val="FFFFFF" w:themeColor="background1"/>
                <w:sz w:val="18"/>
                <w:szCs w:val="18"/>
              </w:rPr>
            </w:pPr>
            <w:r w:rsidRPr="00E133EE">
              <w:rPr>
                <w:rFonts w:eastAsia="Century Gothic" w:cs="Century Gothic"/>
                <w:b/>
                <w:bCs/>
                <w:color w:val="FFFFFF" w:themeColor="background1"/>
                <w:sz w:val="18"/>
                <w:szCs w:val="18"/>
              </w:rPr>
              <w:t>Somewhat disagree</w:t>
            </w:r>
          </w:p>
        </w:tc>
        <w:tc>
          <w:tcPr>
            <w:tcW w:w="1011" w:type="dxa"/>
            <w:tcBorders>
              <w:top w:val="single" w:sz="8" w:space="0" w:color="BFBFBF"/>
              <w:left w:val="single" w:sz="8" w:space="0" w:color="BFBFBF"/>
              <w:bottom w:val="single" w:sz="8" w:space="0" w:color="BFBFBF"/>
              <w:right w:val="single" w:sz="8" w:space="0" w:color="BFBFBF"/>
            </w:tcBorders>
            <w:shd w:val="clear" w:color="auto" w:fill="408BCA"/>
            <w:tcMar>
              <w:top w:w="0" w:type="dxa"/>
              <w:left w:w="0" w:type="dxa"/>
              <w:bottom w:w="0" w:type="dxa"/>
              <w:right w:w="0" w:type="dxa"/>
            </w:tcMar>
            <w:vAlign w:val="center"/>
          </w:tcPr>
          <w:p w14:paraId="0204B7DE" w14:textId="77777777" w:rsidR="005C4DA0" w:rsidRPr="00E133EE" w:rsidRDefault="005C4DA0" w:rsidP="00470B21">
            <w:pPr>
              <w:spacing w:after="0"/>
              <w:ind w:left="102" w:right="102"/>
              <w:jc w:val="center"/>
              <w:rPr>
                <w:rFonts w:eastAsia="Century Gothic" w:cs="Century Gothic"/>
                <w:b/>
                <w:bCs/>
                <w:color w:val="FFFFFF" w:themeColor="background1"/>
                <w:sz w:val="18"/>
                <w:szCs w:val="18"/>
              </w:rPr>
            </w:pPr>
            <w:r w:rsidRPr="00E133EE">
              <w:rPr>
                <w:rFonts w:eastAsia="Century Gothic" w:cs="Century Gothic"/>
                <w:b/>
                <w:bCs/>
                <w:color w:val="FFFFFF" w:themeColor="background1"/>
                <w:sz w:val="18"/>
                <w:szCs w:val="18"/>
              </w:rPr>
              <w:t>Disagree</w:t>
            </w:r>
          </w:p>
        </w:tc>
      </w:tr>
      <w:tr w:rsidR="005C4DA0" w14:paraId="451BC34A" w14:textId="77777777" w:rsidTr="00EA37B5">
        <w:trPr>
          <w:cantSplit/>
          <w:jc w:val="center"/>
        </w:trPr>
        <w:tc>
          <w:tcPr>
            <w:tcW w:w="3412"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69D6081B" w14:textId="77777777" w:rsidR="005C4DA0" w:rsidRPr="00E133EE" w:rsidRDefault="005C4DA0" w:rsidP="00EA37B5">
            <w:pPr>
              <w:spacing w:after="0"/>
              <w:ind w:left="102" w:right="102"/>
              <w:rPr>
                <w:rFonts w:eastAsia="Century Gothic" w:cs="Century Gothic"/>
                <w:color w:val="000000"/>
                <w:sz w:val="18"/>
                <w:szCs w:val="18"/>
              </w:rPr>
            </w:pPr>
            <w:r w:rsidRPr="00E133EE">
              <w:rPr>
                <w:rFonts w:eastAsia="Century Gothic" w:cs="Century Gothic"/>
                <w:color w:val="000000"/>
                <w:sz w:val="18"/>
                <w:szCs w:val="18"/>
              </w:rPr>
              <w:t>My work gives me a feeling of personal accomplishment</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5301D428"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82 (45%)</w:t>
            </w:r>
          </w:p>
        </w:tc>
        <w:tc>
          <w:tcPr>
            <w:tcW w:w="1275"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0834E3B8"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90 (50%)</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7010AD82"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7 (4%)</w:t>
            </w:r>
          </w:p>
        </w:tc>
        <w:tc>
          <w:tcPr>
            <w:tcW w:w="122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4ADD3FC0"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2 (1%)</w:t>
            </w:r>
          </w:p>
        </w:tc>
        <w:tc>
          <w:tcPr>
            <w:tcW w:w="101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24E37567" w14:textId="77777777" w:rsidR="005C4DA0" w:rsidRPr="00E133EE" w:rsidRDefault="005C4DA0" w:rsidP="00EA37B5">
            <w:pPr>
              <w:spacing w:after="0"/>
              <w:ind w:left="102" w:right="102"/>
              <w:jc w:val="right"/>
              <w:rPr>
                <w:rFonts w:eastAsia="Century Gothic" w:cs="Century Gothic"/>
                <w:color w:val="000000"/>
                <w:sz w:val="18"/>
                <w:szCs w:val="18"/>
              </w:rPr>
            </w:pPr>
          </w:p>
        </w:tc>
      </w:tr>
      <w:tr w:rsidR="005C4DA0" w14:paraId="6380049F" w14:textId="77777777" w:rsidTr="00EA37B5">
        <w:trPr>
          <w:cantSplit/>
          <w:jc w:val="center"/>
        </w:trPr>
        <w:tc>
          <w:tcPr>
            <w:tcW w:w="3412"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551FC3AD" w14:textId="77777777" w:rsidR="005C4DA0" w:rsidRPr="00E133EE" w:rsidRDefault="005C4DA0" w:rsidP="00EA37B5">
            <w:pPr>
              <w:spacing w:after="0"/>
              <w:ind w:left="102" w:right="102"/>
              <w:rPr>
                <w:rFonts w:eastAsia="Century Gothic" w:cs="Century Gothic"/>
                <w:color w:val="000000"/>
                <w:sz w:val="18"/>
                <w:szCs w:val="18"/>
              </w:rPr>
            </w:pPr>
            <w:r w:rsidRPr="00E133EE">
              <w:rPr>
                <w:rFonts w:eastAsia="Century Gothic" w:cs="Century Gothic"/>
                <w:color w:val="000000"/>
                <w:sz w:val="18"/>
                <w:szCs w:val="18"/>
              </w:rPr>
              <w:t>I have the tools and resources to do my job well.</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3EA29CDD"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83 (46%)</w:t>
            </w:r>
          </w:p>
        </w:tc>
        <w:tc>
          <w:tcPr>
            <w:tcW w:w="1275"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7F689C07"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79 (44%)</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6B36BF43"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11 (6%)</w:t>
            </w:r>
          </w:p>
        </w:tc>
        <w:tc>
          <w:tcPr>
            <w:tcW w:w="122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2E545DF5"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7 (4%)</w:t>
            </w:r>
          </w:p>
        </w:tc>
        <w:tc>
          <w:tcPr>
            <w:tcW w:w="101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75A55A24"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1 (1%)</w:t>
            </w:r>
          </w:p>
        </w:tc>
      </w:tr>
      <w:tr w:rsidR="005C4DA0" w14:paraId="2A8B9CC5" w14:textId="77777777" w:rsidTr="00EA37B5">
        <w:trPr>
          <w:cantSplit/>
          <w:jc w:val="center"/>
        </w:trPr>
        <w:tc>
          <w:tcPr>
            <w:tcW w:w="3412"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413E372E" w14:textId="77777777" w:rsidR="005C4DA0" w:rsidRPr="00E133EE" w:rsidRDefault="005C4DA0" w:rsidP="00EA37B5">
            <w:pPr>
              <w:spacing w:after="0"/>
              <w:ind w:left="102" w:right="102"/>
              <w:rPr>
                <w:rFonts w:eastAsia="Century Gothic" w:cs="Century Gothic"/>
                <w:color w:val="000000"/>
                <w:sz w:val="18"/>
                <w:szCs w:val="18"/>
              </w:rPr>
            </w:pPr>
            <w:r w:rsidRPr="00E133EE">
              <w:rPr>
                <w:rFonts w:eastAsia="Century Gothic" w:cs="Century Gothic"/>
                <w:color w:val="000000"/>
                <w:sz w:val="18"/>
                <w:szCs w:val="18"/>
              </w:rPr>
              <w:t>My job makes good use of my skills and abilities.</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0AD7BD60"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88 (49%)</w:t>
            </w:r>
          </w:p>
        </w:tc>
        <w:tc>
          <w:tcPr>
            <w:tcW w:w="1275"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1188C14D"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71 (39%)</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466C6E01"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16 (9%)</w:t>
            </w:r>
          </w:p>
        </w:tc>
        <w:tc>
          <w:tcPr>
            <w:tcW w:w="122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48C4FDB2"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5 (3%)</w:t>
            </w:r>
          </w:p>
        </w:tc>
        <w:tc>
          <w:tcPr>
            <w:tcW w:w="101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48456DA1" w14:textId="77777777" w:rsidR="005C4DA0" w:rsidRPr="00E133EE" w:rsidRDefault="005C4DA0" w:rsidP="00EA37B5">
            <w:pPr>
              <w:spacing w:after="0"/>
              <w:ind w:left="102" w:right="102"/>
              <w:jc w:val="right"/>
              <w:rPr>
                <w:rFonts w:eastAsia="Century Gothic" w:cs="Century Gothic"/>
                <w:color w:val="000000"/>
                <w:sz w:val="18"/>
                <w:szCs w:val="18"/>
              </w:rPr>
            </w:pPr>
          </w:p>
        </w:tc>
      </w:tr>
      <w:tr w:rsidR="005C4DA0" w14:paraId="79914B9B" w14:textId="77777777" w:rsidTr="00EA37B5">
        <w:trPr>
          <w:cantSplit/>
          <w:jc w:val="center"/>
        </w:trPr>
        <w:tc>
          <w:tcPr>
            <w:tcW w:w="3412"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4909FEE4" w14:textId="77777777" w:rsidR="005C4DA0" w:rsidRPr="00E133EE" w:rsidRDefault="005C4DA0" w:rsidP="00EA37B5">
            <w:pPr>
              <w:spacing w:after="0"/>
              <w:ind w:left="102" w:right="102"/>
              <w:rPr>
                <w:rFonts w:eastAsia="Century Gothic" w:cs="Century Gothic"/>
                <w:color w:val="000000"/>
                <w:sz w:val="18"/>
                <w:szCs w:val="18"/>
              </w:rPr>
            </w:pPr>
            <w:r w:rsidRPr="00E133EE">
              <w:rPr>
                <w:rFonts w:eastAsia="Century Gothic" w:cs="Century Gothic"/>
                <w:color w:val="000000"/>
                <w:sz w:val="18"/>
                <w:szCs w:val="18"/>
              </w:rPr>
              <w:t>I have clearly defined quality goals.</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1F845C0E"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85 (47%)</w:t>
            </w:r>
          </w:p>
        </w:tc>
        <w:tc>
          <w:tcPr>
            <w:tcW w:w="1275"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33CC35CA"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76 (42%)</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3C3862C5"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14 (8%)</w:t>
            </w:r>
          </w:p>
        </w:tc>
        <w:tc>
          <w:tcPr>
            <w:tcW w:w="122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5A31F7FB"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4 (2%)</w:t>
            </w:r>
          </w:p>
        </w:tc>
        <w:tc>
          <w:tcPr>
            <w:tcW w:w="101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4A033EE9"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1 (1%)</w:t>
            </w:r>
          </w:p>
        </w:tc>
      </w:tr>
      <w:tr w:rsidR="005C4DA0" w14:paraId="1060009E" w14:textId="77777777" w:rsidTr="00EA37B5">
        <w:trPr>
          <w:cantSplit/>
          <w:jc w:val="center"/>
        </w:trPr>
        <w:tc>
          <w:tcPr>
            <w:tcW w:w="3412"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560E66C7" w14:textId="77777777" w:rsidR="005C4DA0" w:rsidRPr="00E133EE" w:rsidRDefault="005C4DA0" w:rsidP="00EA37B5">
            <w:pPr>
              <w:spacing w:after="0"/>
              <w:ind w:left="102" w:right="102"/>
              <w:rPr>
                <w:rFonts w:eastAsia="Century Gothic" w:cs="Century Gothic"/>
                <w:color w:val="000000"/>
                <w:sz w:val="18"/>
                <w:szCs w:val="18"/>
              </w:rPr>
            </w:pPr>
            <w:r w:rsidRPr="00E133EE">
              <w:rPr>
                <w:rFonts w:eastAsia="Century Gothic" w:cs="Century Gothic"/>
                <w:color w:val="000000"/>
                <w:sz w:val="18"/>
                <w:szCs w:val="18"/>
              </w:rPr>
              <w:t>The practice/service leaders visibly demonstrate a commitment to quality.</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0189C8AC"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88 (49%)</w:t>
            </w:r>
          </w:p>
        </w:tc>
        <w:tc>
          <w:tcPr>
            <w:tcW w:w="1275"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1DE422F0"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79 (44%)</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541D0A5C"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11 (6%)</w:t>
            </w:r>
          </w:p>
        </w:tc>
        <w:tc>
          <w:tcPr>
            <w:tcW w:w="122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79234119"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1 (1%)</w:t>
            </w:r>
          </w:p>
        </w:tc>
        <w:tc>
          <w:tcPr>
            <w:tcW w:w="101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58856427" w14:textId="77777777" w:rsidR="005C4DA0" w:rsidRPr="00E133EE" w:rsidRDefault="005C4DA0" w:rsidP="00EA37B5">
            <w:pPr>
              <w:spacing w:after="0"/>
              <w:ind w:left="102" w:right="102"/>
              <w:jc w:val="right"/>
              <w:rPr>
                <w:rFonts w:eastAsia="Century Gothic" w:cs="Century Gothic"/>
                <w:color w:val="000000"/>
                <w:sz w:val="18"/>
                <w:szCs w:val="18"/>
              </w:rPr>
            </w:pPr>
          </w:p>
        </w:tc>
      </w:tr>
      <w:tr w:rsidR="005C4DA0" w14:paraId="0A42A71C" w14:textId="77777777" w:rsidTr="00EA37B5">
        <w:trPr>
          <w:cantSplit/>
          <w:jc w:val="center"/>
        </w:trPr>
        <w:tc>
          <w:tcPr>
            <w:tcW w:w="3412"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4E0455B6" w14:textId="77777777" w:rsidR="005C4DA0" w:rsidRPr="00E133EE" w:rsidRDefault="005C4DA0" w:rsidP="00EA37B5">
            <w:pPr>
              <w:spacing w:after="0"/>
              <w:ind w:left="102" w:right="102"/>
              <w:rPr>
                <w:rFonts w:eastAsia="Century Gothic" w:cs="Century Gothic"/>
                <w:color w:val="000000"/>
                <w:sz w:val="18"/>
                <w:szCs w:val="18"/>
              </w:rPr>
            </w:pPr>
            <w:r w:rsidRPr="00E133EE">
              <w:rPr>
                <w:rFonts w:eastAsia="Century Gothic" w:cs="Century Gothic"/>
                <w:color w:val="000000"/>
                <w:sz w:val="18"/>
                <w:szCs w:val="18"/>
              </w:rPr>
              <w:t>The practice/service leaders keep employees informed about matters affecting us.</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1758F652"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81 (45%)</w:t>
            </w:r>
          </w:p>
        </w:tc>
        <w:tc>
          <w:tcPr>
            <w:tcW w:w="1275"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4AEE5B0A"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80 (44%)</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352771C4"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13 (7%)</w:t>
            </w:r>
          </w:p>
        </w:tc>
        <w:tc>
          <w:tcPr>
            <w:tcW w:w="122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45442B98"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3 (2%)</w:t>
            </w:r>
          </w:p>
        </w:tc>
        <w:tc>
          <w:tcPr>
            <w:tcW w:w="101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63493351"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3 (2%)</w:t>
            </w:r>
          </w:p>
        </w:tc>
      </w:tr>
      <w:tr w:rsidR="005C4DA0" w14:paraId="15AF1C3B" w14:textId="77777777" w:rsidTr="00EA37B5">
        <w:trPr>
          <w:cantSplit/>
          <w:jc w:val="center"/>
        </w:trPr>
        <w:tc>
          <w:tcPr>
            <w:tcW w:w="3412"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3A119A3D" w14:textId="77777777" w:rsidR="005C4DA0" w:rsidRPr="00E133EE" w:rsidRDefault="005C4DA0" w:rsidP="00EA37B5">
            <w:pPr>
              <w:spacing w:after="0"/>
              <w:ind w:left="102" w:right="102"/>
              <w:rPr>
                <w:rFonts w:eastAsia="Century Gothic" w:cs="Century Gothic"/>
                <w:color w:val="000000"/>
                <w:sz w:val="18"/>
                <w:szCs w:val="18"/>
              </w:rPr>
            </w:pPr>
            <w:r w:rsidRPr="00E133EE">
              <w:rPr>
                <w:rFonts w:eastAsia="Century Gothic" w:cs="Century Gothic"/>
                <w:color w:val="000000"/>
                <w:sz w:val="18"/>
                <w:szCs w:val="18"/>
              </w:rPr>
              <w:t>The practice/service leaders strongly support practice change efforts.</w:t>
            </w:r>
          </w:p>
        </w:tc>
        <w:tc>
          <w:tcPr>
            <w:tcW w:w="993"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5056F16C"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80 (45%)</w:t>
            </w:r>
          </w:p>
        </w:tc>
        <w:tc>
          <w:tcPr>
            <w:tcW w:w="1275"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32789F37"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80 (45%)</w:t>
            </w:r>
          </w:p>
        </w:tc>
        <w:tc>
          <w:tcPr>
            <w:tcW w:w="1134"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5880D8CC"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15 (8%)</w:t>
            </w:r>
          </w:p>
        </w:tc>
        <w:tc>
          <w:tcPr>
            <w:tcW w:w="122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6209DF73"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2 (1%)</w:t>
            </w:r>
          </w:p>
        </w:tc>
        <w:tc>
          <w:tcPr>
            <w:tcW w:w="1011" w:type="dxa"/>
            <w:tcBorders>
              <w:top w:val="single" w:sz="8" w:space="0" w:color="BFBFBF"/>
              <w:left w:val="single" w:sz="8" w:space="0" w:color="BFBFBF"/>
              <w:bottom w:val="single" w:sz="8" w:space="0" w:color="BFBFBF"/>
              <w:right w:val="single" w:sz="8" w:space="0" w:color="BFBFBF"/>
            </w:tcBorders>
            <w:shd w:val="clear" w:color="auto" w:fill="FFFFFF"/>
            <w:tcMar>
              <w:top w:w="0" w:type="dxa"/>
              <w:left w:w="0" w:type="dxa"/>
              <w:bottom w:w="0" w:type="dxa"/>
              <w:right w:w="0" w:type="dxa"/>
            </w:tcMar>
            <w:vAlign w:val="center"/>
          </w:tcPr>
          <w:p w14:paraId="2FCE3AB6" w14:textId="77777777" w:rsidR="005C4DA0" w:rsidRPr="00E133EE" w:rsidRDefault="005C4DA0" w:rsidP="00EA37B5">
            <w:pPr>
              <w:spacing w:after="0"/>
              <w:ind w:left="102" w:right="102"/>
              <w:jc w:val="right"/>
              <w:rPr>
                <w:rFonts w:eastAsia="Century Gothic" w:cs="Century Gothic"/>
                <w:color w:val="000000"/>
                <w:sz w:val="18"/>
                <w:szCs w:val="18"/>
              </w:rPr>
            </w:pPr>
            <w:r w:rsidRPr="00E133EE">
              <w:rPr>
                <w:rFonts w:eastAsia="Century Gothic" w:cs="Century Gothic"/>
                <w:color w:val="000000"/>
                <w:sz w:val="18"/>
                <w:szCs w:val="18"/>
              </w:rPr>
              <w:t>2 (1%)</w:t>
            </w:r>
          </w:p>
        </w:tc>
      </w:tr>
    </w:tbl>
    <w:p w14:paraId="79DABB2D" w14:textId="4CECA8C6" w:rsidR="005C4DA0" w:rsidRDefault="005C4DA0" w:rsidP="00371FAB">
      <w:pPr>
        <w:pStyle w:val="Source"/>
      </w:pPr>
      <w:r w:rsidRPr="00371FAB">
        <w:t xml:space="preserve">Source: </w:t>
      </w:r>
      <w:r>
        <w:t xml:space="preserve">Staff </w:t>
      </w:r>
      <w:r w:rsidR="00505B74">
        <w:t>survey</w:t>
      </w:r>
      <w:r w:rsidRPr="001C3504">
        <w:t xml:space="preserve"> </w:t>
      </w:r>
      <w:r>
        <w:t>R</w:t>
      </w:r>
      <w:r w:rsidRPr="001C3504">
        <w:t>5</w:t>
      </w:r>
      <w:r w:rsidR="00505B74">
        <w:t xml:space="preserve"> </w:t>
      </w:r>
      <w:r w:rsidR="00505B74" w:rsidRPr="00505B74">
        <w:t>Mar–May 2021</w:t>
      </w:r>
      <w:r w:rsidRPr="00371FAB">
        <w:t xml:space="preserve">, </w:t>
      </w:r>
      <w:r w:rsidR="00371FAB">
        <w:t>q</w:t>
      </w:r>
      <w:r w:rsidRPr="00371FAB">
        <w:t>uestion 23</w:t>
      </w:r>
      <w:r w:rsidR="00470B21" w:rsidRPr="00371FAB">
        <w:t>.</w:t>
      </w:r>
    </w:p>
    <w:p w14:paraId="630AFF93" w14:textId="10F7C88C" w:rsidR="00BB54CC" w:rsidRDefault="00B752A2" w:rsidP="003979A1">
      <w:r>
        <w:t xml:space="preserve">In the </w:t>
      </w:r>
      <w:r w:rsidR="00497A06">
        <w:t>r</w:t>
      </w:r>
      <w:r>
        <w:t>ound 5 survey, over 50% of staff reported they were satisfied with their job</w:t>
      </w:r>
      <w:r w:rsidR="00497A06">
        <w:t>,</w:t>
      </w:r>
      <w:r>
        <w:t xml:space="preserve"> </w:t>
      </w:r>
      <w:r w:rsidR="00497A06">
        <w:t xml:space="preserve">and </w:t>
      </w:r>
      <w:r>
        <w:t>more than 30% indicat</w:t>
      </w:r>
      <w:r w:rsidR="00497A06">
        <w:t>ed</w:t>
      </w:r>
      <w:r>
        <w:t xml:space="preserve"> they were very satisfied (</w:t>
      </w:r>
      <w:r w:rsidRPr="00497A06">
        <w:rPr>
          <w:rFonts w:eastAsiaTheme="minorEastAsia"/>
          <w:color w:val="1D2455"/>
          <w:szCs w:val="20"/>
          <w:lang w:eastAsia="en-AU"/>
        </w:rPr>
        <w:fldChar w:fldCharType="begin"/>
      </w:r>
      <w:r w:rsidRPr="00497A06">
        <w:rPr>
          <w:rFonts w:eastAsiaTheme="minorEastAsia"/>
          <w:color w:val="1D2455"/>
          <w:szCs w:val="20"/>
          <w:lang w:eastAsia="en-AU"/>
        </w:rPr>
        <w:instrText xml:space="preserve"> REF _Ref99039605 \h </w:instrText>
      </w:r>
      <w:r w:rsidR="00497A06">
        <w:rPr>
          <w:rFonts w:eastAsiaTheme="minorEastAsia"/>
          <w:color w:val="1D2455"/>
          <w:szCs w:val="20"/>
          <w:lang w:eastAsia="en-AU"/>
        </w:rPr>
        <w:instrText xml:space="preserve"> \* MERGEFORMAT </w:instrText>
      </w:r>
      <w:r w:rsidRPr="00497A06">
        <w:rPr>
          <w:rFonts w:eastAsiaTheme="minorEastAsia"/>
          <w:color w:val="1D2455"/>
          <w:szCs w:val="20"/>
          <w:lang w:eastAsia="en-AU"/>
        </w:rPr>
      </w:r>
      <w:r w:rsidRPr="00497A06">
        <w:rPr>
          <w:rFonts w:eastAsiaTheme="minorEastAsia"/>
          <w:color w:val="1D2455"/>
          <w:szCs w:val="20"/>
          <w:lang w:eastAsia="en-AU"/>
        </w:rPr>
        <w:fldChar w:fldCharType="separate"/>
      </w:r>
      <w:r w:rsidR="003C4BC2" w:rsidRPr="003C4BC2">
        <w:rPr>
          <w:rFonts w:eastAsiaTheme="minorEastAsia"/>
          <w:color w:val="1D2455"/>
          <w:szCs w:val="20"/>
          <w:lang w:eastAsia="en-AU"/>
        </w:rPr>
        <w:t>Figure 26</w:t>
      </w:r>
      <w:r w:rsidRPr="00497A06">
        <w:rPr>
          <w:rFonts w:eastAsiaTheme="minorEastAsia"/>
          <w:color w:val="1D2455"/>
          <w:szCs w:val="20"/>
          <w:lang w:eastAsia="en-AU"/>
        </w:rPr>
        <w:fldChar w:fldCharType="end"/>
      </w:r>
      <w:r>
        <w:t xml:space="preserve">). There was no statistical difference between </w:t>
      </w:r>
      <w:r w:rsidR="00497A06">
        <w:t>r</w:t>
      </w:r>
      <w:r>
        <w:t xml:space="preserve">ound 1 and </w:t>
      </w:r>
      <w:r w:rsidR="00497A06">
        <w:t>r</w:t>
      </w:r>
      <w:r>
        <w:t xml:space="preserve">ound 5 in the percentage who reported </w:t>
      </w:r>
      <w:r w:rsidR="00497A06">
        <w:t>being</w:t>
      </w:r>
      <w:r>
        <w:t xml:space="preserve"> very satisfied (p = 0.249</w:t>
      </w:r>
      <w:r w:rsidR="00470B21">
        <w:t>)</w:t>
      </w:r>
      <w:r>
        <w:t xml:space="preserve"> or satisfied or very satisfied</w:t>
      </w:r>
      <w:r w:rsidR="00F30593">
        <w:t xml:space="preserve"> combined</w:t>
      </w:r>
      <w:r>
        <w:t xml:space="preserve"> (0.926).</w:t>
      </w:r>
    </w:p>
    <w:p w14:paraId="3D4B9D9C" w14:textId="6DA08198" w:rsidR="001C63D9" w:rsidRDefault="001C63D9" w:rsidP="00497A06">
      <w:pPr>
        <w:pStyle w:val="TableorFigurecaptionHPA"/>
        <w:rPr>
          <w:bCs/>
        </w:rPr>
      </w:pPr>
      <w:bookmarkStart w:id="277" w:name="_Ref99039605"/>
      <w:r>
        <w:t>Figure</w:t>
      </w:r>
      <w:r w:rsidRPr="00A970A9">
        <w:t xml:space="preserve"> </w:t>
      </w:r>
      <w:r w:rsidR="00A61B29">
        <w:fldChar w:fldCharType="begin"/>
      </w:r>
      <w:r w:rsidR="00A61B29">
        <w:instrText xml:space="preserve"> SEQ Figure\* ARABIC </w:instrText>
      </w:r>
      <w:r w:rsidR="00A61B29">
        <w:fldChar w:fldCharType="separate"/>
      </w:r>
      <w:r w:rsidR="003C4BC2">
        <w:rPr>
          <w:noProof/>
        </w:rPr>
        <w:t>26</w:t>
      </w:r>
      <w:r w:rsidR="00A61B29">
        <w:rPr>
          <w:noProof/>
        </w:rPr>
        <w:fldChar w:fldCharType="end"/>
      </w:r>
      <w:bookmarkEnd w:id="277"/>
      <w:r w:rsidR="0065592A">
        <w:rPr>
          <w:noProof/>
        </w:rPr>
        <w:t>:</w:t>
      </w:r>
      <w:r w:rsidR="00DE7D8B" w:rsidRPr="00A970A9">
        <w:t xml:space="preserve"> </w:t>
      </w:r>
      <w:r w:rsidR="00DE7D8B" w:rsidRPr="00360C6F">
        <w:t>Staff rating of satisfaction</w:t>
      </w:r>
      <w:r w:rsidR="0019442F">
        <w:t xml:space="preserve"> with their job</w:t>
      </w:r>
    </w:p>
    <w:p w14:paraId="346EB679" w14:textId="17C27395" w:rsidR="00874F1F" w:rsidRDefault="00727A6D" w:rsidP="00DE7D8B">
      <w:pPr>
        <w:pStyle w:val="Caption1"/>
        <w:spacing w:before="20" w:after="20"/>
        <w:rPr>
          <w:szCs w:val="20"/>
          <w:lang w:val="en-AU" w:eastAsia="en-AU"/>
        </w:rPr>
      </w:pPr>
      <w:r>
        <w:rPr>
          <w:noProof/>
          <w:szCs w:val="20"/>
          <w:lang w:val="en-AU" w:eastAsia="en-AU"/>
        </w:rPr>
        <w:drawing>
          <wp:inline distT="0" distB="0" distL="0" distR="0" wp14:anchorId="3DDFA690" wp14:editId="58547783">
            <wp:extent cx="5399543" cy="2878842"/>
            <wp:effectExtent l="0" t="0" r="0" b="0"/>
            <wp:docPr id="27" name="Picture 27" descr="Bar 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Bar chart&#10;&#10;Description automatically generated with low confidenc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9543" cy="2878842"/>
                    </a:xfrm>
                    <a:prstGeom prst="rect">
                      <a:avLst/>
                    </a:prstGeom>
                  </pic:spPr>
                </pic:pic>
              </a:graphicData>
            </a:graphic>
          </wp:inline>
        </w:drawing>
      </w:r>
    </w:p>
    <w:p w14:paraId="4131F21A" w14:textId="5283C7FD" w:rsidR="000715F3" w:rsidRDefault="000715F3" w:rsidP="000715F3">
      <w:pPr>
        <w:pStyle w:val="Source"/>
      </w:pPr>
      <w:r>
        <w:t xml:space="preserve">Source: </w:t>
      </w:r>
      <w:r w:rsidR="00495596">
        <w:t>Staff survey</w:t>
      </w:r>
      <w:r w:rsidR="00495596" w:rsidRPr="001C3504">
        <w:t xml:space="preserve"> </w:t>
      </w:r>
      <w:r w:rsidR="00495596">
        <w:t>R</w:t>
      </w:r>
      <w:r w:rsidR="00495596" w:rsidRPr="001C3504">
        <w:t>5</w:t>
      </w:r>
      <w:r w:rsidR="00495596">
        <w:t xml:space="preserve"> </w:t>
      </w:r>
      <w:r w:rsidR="00495596" w:rsidRPr="00505B74">
        <w:t>Mar–May 2021</w:t>
      </w:r>
      <w:r w:rsidR="00495596">
        <w:t xml:space="preserve">, question </w:t>
      </w:r>
      <w:r w:rsidR="009D523C">
        <w:t>2</w:t>
      </w:r>
      <w:r w:rsidR="001479D2">
        <w:t>5</w:t>
      </w:r>
      <w:r w:rsidR="007C7AED">
        <w:t>.</w:t>
      </w:r>
    </w:p>
    <w:p w14:paraId="3553585A" w14:textId="279930A6" w:rsidR="00AA6F26" w:rsidRDefault="00391CE7" w:rsidP="00AA6F26">
      <w:r>
        <w:t xml:space="preserve">In the final </w:t>
      </w:r>
      <w:r w:rsidR="00333446">
        <w:t>practice</w:t>
      </w:r>
      <w:r>
        <w:t xml:space="preserve"> survey for the evaluation, practices were asked to assess the </w:t>
      </w:r>
      <w:r w:rsidRPr="00391CE7">
        <w:t>overall impact of HCH on staff experience and satisfaction</w:t>
      </w:r>
      <w:r w:rsidR="007C5089">
        <w:t>. M</w:t>
      </w:r>
      <w:r w:rsidR="00AA6F26">
        <w:t>ost practices (4</w:t>
      </w:r>
      <w:r w:rsidR="00CE02F6">
        <w:t>6</w:t>
      </w:r>
      <w:r w:rsidR="00AA6F26">
        <w:t xml:space="preserve"> or </w:t>
      </w:r>
      <w:r w:rsidR="002B1ABE">
        <w:t>70</w:t>
      </w:r>
      <w:r w:rsidR="00AA6F26">
        <w:t xml:space="preserve">%) reported an improvement in </w:t>
      </w:r>
      <w:r w:rsidR="00AA6F26" w:rsidRPr="00822A8B">
        <w:t>staff experience and satisfaction</w:t>
      </w:r>
      <w:r w:rsidR="00AA6F26">
        <w:t xml:space="preserve"> during HCH compared with </w:t>
      </w:r>
      <w:r w:rsidR="00F30593">
        <w:t>previously</w:t>
      </w:r>
      <w:r w:rsidR="007C5089">
        <w:t xml:space="preserve"> (</w:t>
      </w:r>
      <w:r w:rsidR="006C2CF2" w:rsidRPr="00D74FD0">
        <w:rPr>
          <w:color w:val="1D2455"/>
        </w:rPr>
        <w:fldChar w:fldCharType="begin"/>
      </w:r>
      <w:r w:rsidR="006C2CF2" w:rsidRPr="00D74FD0">
        <w:rPr>
          <w:color w:val="1D2455"/>
        </w:rPr>
        <w:instrText xml:space="preserve"> REF _Ref89440529 \h </w:instrText>
      </w:r>
      <w:r w:rsidR="00302D66" w:rsidRPr="00D74FD0">
        <w:rPr>
          <w:color w:val="1D2455"/>
        </w:rPr>
        <w:instrText xml:space="preserve"> \* MERGEFORMAT </w:instrText>
      </w:r>
      <w:r w:rsidR="006C2CF2" w:rsidRPr="00D74FD0">
        <w:rPr>
          <w:color w:val="1D2455"/>
        </w:rPr>
      </w:r>
      <w:r w:rsidR="006C2CF2" w:rsidRPr="00D74FD0">
        <w:rPr>
          <w:color w:val="1D2455"/>
        </w:rPr>
        <w:fldChar w:fldCharType="separate"/>
      </w:r>
      <w:r w:rsidR="003C4BC2" w:rsidRPr="003C4BC2">
        <w:rPr>
          <w:color w:val="1D2455"/>
        </w:rPr>
        <w:t xml:space="preserve">Table </w:t>
      </w:r>
      <w:r w:rsidR="003C4BC2" w:rsidRPr="003C4BC2">
        <w:rPr>
          <w:noProof/>
          <w:color w:val="1D2455"/>
        </w:rPr>
        <w:t>38</w:t>
      </w:r>
      <w:r w:rsidR="006C2CF2" w:rsidRPr="00D74FD0">
        <w:rPr>
          <w:color w:val="1D2455"/>
        </w:rPr>
        <w:fldChar w:fldCharType="end"/>
      </w:r>
      <w:r w:rsidR="007C5089">
        <w:t>)</w:t>
      </w:r>
      <w:r w:rsidR="00AA6F26">
        <w:t xml:space="preserve">. </w:t>
      </w:r>
      <w:r w:rsidR="004159B3">
        <w:t>This is consistent with the results of the staff surveys.</w:t>
      </w:r>
      <w:r w:rsidR="00C348B7">
        <w:t xml:space="preserve"> There was </w:t>
      </w:r>
      <w:r w:rsidR="00703A8A">
        <w:t xml:space="preserve">also </w:t>
      </w:r>
      <w:r w:rsidR="00C348B7">
        <w:t xml:space="preserve">a significant difference in the </w:t>
      </w:r>
      <w:r w:rsidR="00703A8A">
        <w:t>responses of practices that had enrolled</w:t>
      </w:r>
      <w:r w:rsidR="00A00590">
        <w:t xml:space="preserve"> 50 or</w:t>
      </w:r>
      <w:r w:rsidR="00703A8A">
        <w:t xml:space="preserve"> more </w:t>
      </w:r>
      <w:r w:rsidR="00A00590">
        <w:t xml:space="preserve">patients compared with </w:t>
      </w:r>
      <w:r w:rsidR="00A00590">
        <w:lastRenderedPageBreak/>
        <w:t xml:space="preserve">practices that had enrolled less than 50 patients, with the former </w:t>
      </w:r>
      <w:r w:rsidR="00914020">
        <w:t>more likely to report improvements in staff experience/ satisfaction.</w:t>
      </w:r>
    </w:p>
    <w:p w14:paraId="7FC7C174" w14:textId="3A0A49DF" w:rsidR="00C348B7" w:rsidRPr="004F63E7" w:rsidRDefault="00EC694E" w:rsidP="00444BF8">
      <w:pPr>
        <w:pStyle w:val="TableFigureheading"/>
      </w:pPr>
      <w:bookmarkStart w:id="278" w:name="_Ref89440529"/>
      <w:bookmarkStart w:id="279" w:name="_Hlk108452815"/>
      <w:r w:rsidRPr="00EC694E">
        <w:rPr>
          <w:bCs w:val="0"/>
        </w:rPr>
        <w:t xml:space="preserve">Table </w:t>
      </w:r>
      <w:r w:rsidRPr="00EC694E">
        <w:rPr>
          <w:bCs w:val="0"/>
        </w:rPr>
        <w:fldChar w:fldCharType="begin"/>
      </w:r>
      <w:r w:rsidRPr="00EC694E">
        <w:rPr>
          <w:bCs w:val="0"/>
        </w:rPr>
        <w:instrText xml:space="preserve"> SEQ Table \* ARABIC </w:instrText>
      </w:r>
      <w:r w:rsidRPr="00EC694E">
        <w:rPr>
          <w:bCs w:val="0"/>
        </w:rPr>
        <w:fldChar w:fldCharType="separate"/>
      </w:r>
      <w:r w:rsidR="003C4BC2">
        <w:rPr>
          <w:bCs w:val="0"/>
          <w:noProof/>
        </w:rPr>
        <w:t>38</w:t>
      </w:r>
      <w:r w:rsidRPr="00EC694E">
        <w:rPr>
          <w:bCs w:val="0"/>
        </w:rPr>
        <w:fldChar w:fldCharType="end"/>
      </w:r>
      <w:bookmarkEnd w:id="278"/>
      <w:r w:rsidRPr="00C348B7">
        <w:rPr>
          <w:bCs w:val="0"/>
        </w:rPr>
        <w:t xml:space="preserve">: </w:t>
      </w:r>
      <w:r w:rsidR="00444BF8" w:rsidRPr="004F63E7">
        <w:t xml:space="preserve">Practice assessment of the overall impact of HCH </w:t>
      </w:r>
      <w:r w:rsidR="00444BF8">
        <w:t>(</w:t>
      </w:r>
      <w:r w:rsidR="00444BF8" w:rsidRPr="004F63E7">
        <w:t>compared with usual care</w:t>
      </w:r>
      <w:r w:rsidR="00444BF8">
        <w:t>)</w:t>
      </w:r>
      <w:r w:rsidR="00444BF8" w:rsidRPr="004F63E7">
        <w:t xml:space="preserve"> on staff experience/satisfaction</w:t>
      </w:r>
      <w:bookmarkEnd w:id="279"/>
    </w:p>
    <w:tbl>
      <w:tblPr>
        <w:tblW w:w="8966"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2044"/>
        <w:gridCol w:w="1171"/>
        <w:gridCol w:w="1171"/>
        <w:gridCol w:w="1171"/>
        <w:gridCol w:w="1171"/>
        <w:gridCol w:w="1172"/>
        <w:gridCol w:w="1066"/>
      </w:tblGrid>
      <w:tr w:rsidR="00C348B7" w:rsidRPr="004F63E7" w14:paraId="51C165A2" w14:textId="77777777" w:rsidTr="00444BF8">
        <w:trPr>
          <w:cantSplit/>
          <w:tblHeader/>
          <w:jc w:val="center"/>
        </w:trPr>
        <w:tc>
          <w:tcPr>
            <w:tcW w:w="2044" w:type="dxa"/>
            <w:vMerge w:val="restart"/>
            <w:shd w:val="clear" w:color="auto" w:fill="408BCA"/>
            <w:tcMar>
              <w:top w:w="0" w:type="dxa"/>
              <w:left w:w="0" w:type="dxa"/>
              <w:bottom w:w="0" w:type="dxa"/>
              <w:right w:w="0" w:type="dxa"/>
            </w:tcMar>
            <w:vAlign w:val="center"/>
          </w:tcPr>
          <w:p w14:paraId="42065BAE"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b/>
                <w:color w:val="FFFFFF"/>
                <w:sz w:val="18"/>
                <w:szCs w:val="18"/>
              </w:rPr>
              <w:t>Practice subgroup</w:t>
            </w:r>
          </w:p>
        </w:tc>
        <w:tc>
          <w:tcPr>
            <w:tcW w:w="5856" w:type="dxa"/>
            <w:gridSpan w:val="5"/>
            <w:shd w:val="clear" w:color="auto" w:fill="408BCA"/>
            <w:tcMar>
              <w:top w:w="0" w:type="dxa"/>
              <w:left w:w="0" w:type="dxa"/>
              <w:bottom w:w="0" w:type="dxa"/>
              <w:right w:w="0" w:type="dxa"/>
            </w:tcMar>
            <w:vAlign w:val="center"/>
          </w:tcPr>
          <w:p w14:paraId="08F80A11"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b/>
                <w:color w:val="FFFFFF"/>
                <w:sz w:val="18"/>
                <w:szCs w:val="18"/>
              </w:rPr>
              <w:t>Practice assessment of improvement compared with usual care</w:t>
            </w:r>
          </w:p>
        </w:tc>
        <w:tc>
          <w:tcPr>
            <w:tcW w:w="1066" w:type="dxa"/>
            <w:vMerge w:val="restart"/>
            <w:shd w:val="clear" w:color="auto" w:fill="408BCA"/>
            <w:tcMar>
              <w:top w:w="0" w:type="dxa"/>
              <w:left w:w="0" w:type="dxa"/>
              <w:bottom w:w="0" w:type="dxa"/>
              <w:right w:w="0" w:type="dxa"/>
            </w:tcMar>
            <w:vAlign w:val="center"/>
          </w:tcPr>
          <w:p w14:paraId="2EA6D836"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b/>
                <w:color w:val="FFFFFF"/>
                <w:sz w:val="18"/>
                <w:szCs w:val="18"/>
              </w:rPr>
              <w:t>chi-square</w:t>
            </w:r>
          </w:p>
        </w:tc>
      </w:tr>
      <w:tr w:rsidR="00C348B7" w:rsidRPr="004F63E7" w14:paraId="03D40752" w14:textId="77777777" w:rsidTr="00444BF8">
        <w:trPr>
          <w:cantSplit/>
          <w:tblHeader/>
          <w:jc w:val="center"/>
        </w:trPr>
        <w:tc>
          <w:tcPr>
            <w:tcW w:w="2044" w:type="dxa"/>
            <w:vMerge/>
            <w:shd w:val="clear" w:color="auto" w:fill="003D79"/>
            <w:tcMar>
              <w:top w:w="0" w:type="dxa"/>
              <w:left w:w="0" w:type="dxa"/>
              <w:bottom w:w="0" w:type="dxa"/>
              <w:right w:w="0" w:type="dxa"/>
            </w:tcMar>
            <w:vAlign w:val="center"/>
          </w:tcPr>
          <w:p w14:paraId="0364E5C6" w14:textId="77777777" w:rsidR="00C348B7" w:rsidRPr="004F63E7" w:rsidRDefault="00C348B7" w:rsidP="000A58A6">
            <w:pPr>
              <w:spacing w:before="20" w:afterLines="20" w:after="48"/>
              <w:ind w:left="100" w:right="100"/>
              <w:jc w:val="center"/>
              <w:rPr>
                <w:sz w:val="18"/>
                <w:szCs w:val="18"/>
              </w:rPr>
            </w:pPr>
          </w:p>
        </w:tc>
        <w:tc>
          <w:tcPr>
            <w:tcW w:w="1171" w:type="dxa"/>
            <w:shd w:val="clear" w:color="auto" w:fill="408BCA"/>
            <w:tcMar>
              <w:top w:w="0" w:type="dxa"/>
              <w:left w:w="0" w:type="dxa"/>
              <w:bottom w:w="0" w:type="dxa"/>
              <w:right w:w="0" w:type="dxa"/>
            </w:tcMar>
            <w:vAlign w:val="center"/>
          </w:tcPr>
          <w:p w14:paraId="50CFA250"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b/>
                <w:color w:val="FFFFFF"/>
                <w:sz w:val="18"/>
                <w:szCs w:val="18"/>
              </w:rPr>
              <w:t>Significant</w:t>
            </w:r>
          </w:p>
        </w:tc>
        <w:tc>
          <w:tcPr>
            <w:tcW w:w="1171" w:type="dxa"/>
            <w:shd w:val="clear" w:color="auto" w:fill="408BCA"/>
            <w:tcMar>
              <w:top w:w="0" w:type="dxa"/>
              <w:left w:w="0" w:type="dxa"/>
              <w:bottom w:w="0" w:type="dxa"/>
              <w:right w:w="0" w:type="dxa"/>
            </w:tcMar>
            <w:vAlign w:val="center"/>
          </w:tcPr>
          <w:p w14:paraId="4892B88B"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b/>
                <w:color w:val="FFFFFF"/>
                <w:sz w:val="18"/>
                <w:szCs w:val="18"/>
              </w:rPr>
              <w:t>Moderate</w:t>
            </w:r>
          </w:p>
        </w:tc>
        <w:tc>
          <w:tcPr>
            <w:tcW w:w="1171" w:type="dxa"/>
            <w:shd w:val="clear" w:color="auto" w:fill="408BCA"/>
            <w:tcMar>
              <w:top w:w="0" w:type="dxa"/>
              <w:left w:w="0" w:type="dxa"/>
              <w:bottom w:w="0" w:type="dxa"/>
              <w:right w:w="0" w:type="dxa"/>
            </w:tcMar>
            <w:vAlign w:val="center"/>
          </w:tcPr>
          <w:p w14:paraId="3FBE9266"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b/>
                <w:color w:val="FFFFFF"/>
                <w:sz w:val="18"/>
                <w:szCs w:val="18"/>
              </w:rPr>
              <w:t>Small</w:t>
            </w:r>
          </w:p>
        </w:tc>
        <w:tc>
          <w:tcPr>
            <w:tcW w:w="1171" w:type="dxa"/>
            <w:shd w:val="clear" w:color="auto" w:fill="408BCA"/>
            <w:tcMar>
              <w:top w:w="0" w:type="dxa"/>
              <w:left w:w="0" w:type="dxa"/>
              <w:bottom w:w="0" w:type="dxa"/>
              <w:right w:w="0" w:type="dxa"/>
            </w:tcMar>
            <w:vAlign w:val="center"/>
          </w:tcPr>
          <w:p w14:paraId="0D032E19"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b/>
                <w:color w:val="FFFFFF"/>
                <w:sz w:val="18"/>
                <w:szCs w:val="18"/>
              </w:rPr>
              <w:t>None</w:t>
            </w:r>
          </w:p>
        </w:tc>
        <w:tc>
          <w:tcPr>
            <w:tcW w:w="1172" w:type="dxa"/>
            <w:shd w:val="clear" w:color="auto" w:fill="408BCA"/>
            <w:tcMar>
              <w:top w:w="0" w:type="dxa"/>
              <w:left w:w="0" w:type="dxa"/>
              <w:bottom w:w="0" w:type="dxa"/>
              <w:right w:w="0" w:type="dxa"/>
            </w:tcMar>
            <w:vAlign w:val="center"/>
          </w:tcPr>
          <w:p w14:paraId="4E0C1CCB"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b/>
                <w:color w:val="FFFFFF"/>
                <w:sz w:val="18"/>
                <w:szCs w:val="18"/>
              </w:rPr>
              <w:t>Worse</w:t>
            </w:r>
          </w:p>
        </w:tc>
        <w:tc>
          <w:tcPr>
            <w:tcW w:w="1066" w:type="dxa"/>
            <w:vMerge/>
            <w:shd w:val="clear" w:color="auto" w:fill="003D79"/>
            <w:tcMar>
              <w:top w:w="0" w:type="dxa"/>
              <w:left w:w="0" w:type="dxa"/>
              <w:bottom w:w="0" w:type="dxa"/>
              <w:right w:w="0" w:type="dxa"/>
            </w:tcMar>
            <w:vAlign w:val="center"/>
          </w:tcPr>
          <w:p w14:paraId="41B97BED" w14:textId="77777777" w:rsidR="00C348B7" w:rsidRPr="004F63E7" w:rsidRDefault="00C348B7" w:rsidP="000A58A6">
            <w:pPr>
              <w:spacing w:before="20" w:afterLines="20" w:after="48"/>
              <w:ind w:left="100" w:right="100"/>
              <w:jc w:val="center"/>
              <w:rPr>
                <w:sz w:val="18"/>
                <w:szCs w:val="18"/>
              </w:rPr>
            </w:pPr>
          </w:p>
        </w:tc>
      </w:tr>
      <w:tr w:rsidR="00C348B7" w:rsidRPr="004F63E7" w14:paraId="649F9E3B" w14:textId="77777777" w:rsidTr="00444BF8">
        <w:trPr>
          <w:cantSplit/>
          <w:jc w:val="center"/>
        </w:trPr>
        <w:tc>
          <w:tcPr>
            <w:tcW w:w="2044" w:type="dxa"/>
            <w:shd w:val="clear" w:color="auto" w:fill="FFFFFF"/>
            <w:tcMar>
              <w:top w:w="0" w:type="dxa"/>
              <w:left w:w="0" w:type="dxa"/>
              <w:bottom w:w="0" w:type="dxa"/>
              <w:right w:w="0" w:type="dxa"/>
            </w:tcMar>
            <w:vAlign w:val="center"/>
          </w:tcPr>
          <w:p w14:paraId="60E9FB76" w14:textId="77777777" w:rsidR="00C348B7" w:rsidRPr="004F63E7" w:rsidRDefault="00C348B7" w:rsidP="000A58A6">
            <w:pPr>
              <w:spacing w:before="20" w:afterLines="20" w:after="48"/>
              <w:ind w:left="100" w:right="100"/>
              <w:rPr>
                <w:sz w:val="18"/>
                <w:szCs w:val="18"/>
              </w:rPr>
            </w:pPr>
            <w:r w:rsidRPr="004F63E7">
              <w:rPr>
                <w:rFonts w:eastAsia="Century Gothic" w:cs="Century Gothic"/>
                <w:color w:val="000000"/>
                <w:sz w:val="18"/>
                <w:szCs w:val="18"/>
              </w:rPr>
              <w:t>All R5 practices</w:t>
            </w:r>
          </w:p>
        </w:tc>
        <w:tc>
          <w:tcPr>
            <w:tcW w:w="1171" w:type="dxa"/>
            <w:shd w:val="clear" w:color="auto" w:fill="FFFFFF"/>
            <w:tcMar>
              <w:top w:w="0" w:type="dxa"/>
              <w:left w:w="0" w:type="dxa"/>
              <w:bottom w:w="0" w:type="dxa"/>
              <w:right w:w="0" w:type="dxa"/>
            </w:tcMar>
            <w:vAlign w:val="center"/>
          </w:tcPr>
          <w:p w14:paraId="0B60D1A3"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9 (14%)</w:t>
            </w:r>
          </w:p>
        </w:tc>
        <w:tc>
          <w:tcPr>
            <w:tcW w:w="1171" w:type="dxa"/>
            <w:shd w:val="clear" w:color="auto" w:fill="FFFFFF"/>
            <w:tcMar>
              <w:top w:w="0" w:type="dxa"/>
              <w:left w:w="0" w:type="dxa"/>
              <w:bottom w:w="0" w:type="dxa"/>
              <w:right w:w="0" w:type="dxa"/>
            </w:tcMar>
            <w:vAlign w:val="center"/>
          </w:tcPr>
          <w:p w14:paraId="1C56FFAE"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18 (27%)</w:t>
            </w:r>
          </w:p>
        </w:tc>
        <w:tc>
          <w:tcPr>
            <w:tcW w:w="1171" w:type="dxa"/>
            <w:shd w:val="clear" w:color="auto" w:fill="FFFFFF"/>
            <w:tcMar>
              <w:top w:w="0" w:type="dxa"/>
              <w:left w:w="0" w:type="dxa"/>
              <w:bottom w:w="0" w:type="dxa"/>
              <w:right w:w="0" w:type="dxa"/>
            </w:tcMar>
            <w:vAlign w:val="center"/>
          </w:tcPr>
          <w:p w14:paraId="509B8928"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19 (29%)</w:t>
            </w:r>
          </w:p>
        </w:tc>
        <w:tc>
          <w:tcPr>
            <w:tcW w:w="1171" w:type="dxa"/>
            <w:shd w:val="clear" w:color="auto" w:fill="FFFFFF"/>
            <w:tcMar>
              <w:top w:w="0" w:type="dxa"/>
              <w:left w:w="0" w:type="dxa"/>
              <w:bottom w:w="0" w:type="dxa"/>
              <w:right w:w="0" w:type="dxa"/>
            </w:tcMar>
            <w:vAlign w:val="center"/>
          </w:tcPr>
          <w:p w14:paraId="79E9A04A"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18 (27%)</w:t>
            </w:r>
          </w:p>
        </w:tc>
        <w:tc>
          <w:tcPr>
            <w:tcW w:w="1172" w:type="dxa"/>
            <w:shd w:val="clear" w:color="auto" w:fill="FFFFFF"/>
            <w:tcMar>
              <w:top w:w="0" w:type="dxa"/>
              <w:left w:w="0" w:type="dxa"/>
              <w:bottom w:w="0" w:type="dxa"/>
              <w:right w:w="0" w:type="dxa"/>
            </w:tcMar>
            <w:vAlign w:val="center"/>
          </w:tcPr>
          <w:p w14:paraId="12B73225"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2 (3%)</w:t>
            </w:r>
          </w:p>
        </w:tc>
        <w:tc>
          <w:tcPr>
            <w:tcW w:w="1066" w:type="dxa"/>
            <w:vMerge w:val="restart"/>
            <w:shd w:val="clear" w:color="auto" w:fill="FFFFFF"/>
            <w:tcMar>
              <w:top w:w="0" w:type="dxa"/>
              <w:left w:w="0" w:type="dxa"/>
              <w:bottom w:w="0" w:type="dxa"/>
              <w:right w:w="0" w:type="dxa"/>
            </w:tcMar>
            <w:vAlign w:val="center"/>
          </w:tcPr>
          <w:p w14:paraId="190B6147"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17.297 (p=0.001)</w:t>
            </w:r>
          </w:p>
        </w:tc>
      </w:tr>
      <w:tr w:rsidR="00C348B7" w:rsidRPr="004F63E7" w14:paraId="6AC19EEE" w14:textId="77777777" w:rsidTr="00444BF8">
        <w:trPr>
          <w:cantSplit/>
          <w:jc w:val="center"/>
        </w:trPr>
        <w:tc>
          <w:tcPr>
            <w:tcW w:w="2044" w:type="dxa"/>
            <w:shd w:val="clear" w:color="auto" w:fill="FFFFFF"/>
            <w:tcMar>
              <w:top w:w="0" w:type="dxa"/>
              <w:left w:w="0" w:type="dxa"/>
              <w:bottom w:w="0" w:type="dxa"/>
              <w:right w:w="0" w:type="dxa"/>
            </w:tcMar>
            <w:vAlign w:val="center"/>
          </w:tcPr>
          <w:p w14:paraId="5A863B89" w14:textId="77777777" w:rsidR="00C348B7" w:rsidRPr="004F63E7" w:rsidRDefault="00C348B7" w:rsidP="000A58A6">
            <w:pPr>
              <w:spacing w:before="20" w:afterLines="20" w:after="48"/>
              <w:ind w:left="100" w:right="100"/>
              <w:rPr>
                <w:sz w:val="18"/>
                <w:szCs w:val="18"/>
              </w:rPr>
            </w:pPr>
            <w:r w:rsidRPr="004F63E7">
              <w:rPr>
                <w:rFonts w:eastAsia="Century Gothic" w:cs="Century Gothic"/>
                <w:color w:val="000000"/>
                <w:sz w:val="18"/>
                <w:szCs w:val="18"/>
              </w:rPr>
              <w:t>Practice enrolled &lt;50 patients</w:t>
            </w:r>
          </w:p>
        </w:tc>
        <w:tc>
          <w:tcPr>
            <w:tcW w:w="1171" w:type="dxa"/>
            <w:shd w:val="clear" w:color="auto" w:fill="FFFFFF"/>
            <w:tcMar>
              <w:top w:w="0" w:type="dxa"/>
              <w:left w:w="0" w:type="dxa"/>
              <w:bottom w:w="0" w:type="dxa"/>
              <w:right w:w="0" w:type="dxa"/>
            </w:tcMar>
            <w:vAlign w:val="center"/>
          </w:tcPr>
          <w:p w14:paraId="6AA6EB81"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1 (3%)</w:t>
            </w:r>
          </w:p>
        </w:tc>
        <w:tc>
          <w:tcPr>
            <w:tcW w:w="1171" w:type="dxa"/>
            <w:shd w:val="clear" w:color="auto" w:fill="FFFFFF"/>
            <w:tcMar>
              <w:top w:w="0" w:type="dxa"/>
              <w:left w:w="0" w:type="dxa"/>
              <w:bottom w:w="0" w:type="dxa"/>
              <w:right w:w="0" w:type="dxa"/>
            </w:tcMar>
            <w:vAlign w:val="center"/>
          </w:tcPr>
          <w:p w14:paraId="20A5B3EB"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6 (18%)</w:t>
            </w:r>
          </w:p>
        </w:tc>
        <w:tc>
          <w:tcPr>
            <w:tcW w:w="1171" w:type="dxa"/>
            <w:shd w:val="clear" w:color="auto" w:fill="FFFFFF"/>
            <w:tcMar>
              <w:top w:w="0" w:type="dxa"/>
              <w:left w:w="0" w:type="dxa"/>
              <w:bottom w:w="0" w:type="dxa"/>
              <w:right w:w="0" w:type="dxa"/>
            </w:tcMar>
            <w:vAlign w:val="center"/>
          </w:tcPr>
          <w:p w14:paraId="0FF4021C"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9 (27%)</w:t>
            </w:r>
          </w:p>
        </w:tc>
        <w:tc>
          <w:tcPr>
            <w:tcW w:w="1171" w:type="dxa"/>
            <w:shd w:val="clear" w:color="auto" w:fill="FFFFFF"/>
            <w:tcMar>
              <w:top w:w="0" w:type="dxa"/>
              <w:left w:w="0" w:type="dxa"/>
              <w:bottom w:w="0" w:type="dxa"/>
              <w:right w:w="0" w:type="dxa"/>
            </w:tcMar>
            <w:vAlign w:val="center"/>
          </w:tcPr>
          <w:p w14:paraId="1F01A771"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16 (48%)</w:t>
            </w:r>
          </w:p>
        </w:tc>
        <w:tc>
          <w:tcPr>
            <w:tcW w:w="1172" w:type="dxa"/>
            <w:shd w:val="clear" w:color="auto" w:fill="FFFFFF"/>
            <w:tcMar>
              <w:top w:w="0" w:type="dxa"/>
              <w:left w:w="0" w:type="dxa"/>
              <w:bottom w:w="0" w:type="dxa"/>
              <w:right w:w="0" w:type="dxa"/>
            </w:tcMar>
            <w:vAlign w:val="center"/>
          </w:tcPr>
          <w:p w14:paraId="1D816787"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1 (3%)</w:t>
            </w:r>
          </w:p>
        </w:tc>
        <w:tc>
          <w:tcPr>
            <w:tcW w:w="1066" w:type="dxa"/>
            <w:vMerge/>
            <w:shd w:val="clear" w:color="auto" w:fill="FFFFFF"/>
            <w:tcMar>
              <w:top w:w="0" w:type="dxa"/>
              <w:left w:w="0" w:type="dxa"/>
              <w:bottom w:w="0" w:type="dxa"/>
              <w:right w:w="0" w:type="dxa"/>
            </w:tcMar>
            <w:vAlign w:val="center"/>
          </w:tcPr>
          <w:p w14:paraId="086D78D8" w14:textId="77777777" w:rsidR="00C348B7" w:rsidRPr="004F63E7" w:rsidRDefault="00C348B7" w:rsidP="000A58A6">
            <w:pPr>
              <w:spacing w:before="20" w:afterLines="20" w:after="48"/>
              <w:ind w:left="100" w:right="100"/>
              <w:jc w:val="center"/>
              <w:rPr>
                <w:sz w:val="18"/>
                <w:szCs w:val="18"/>
              </w:rPr>
            </w:pPr>
          </w:p>
        </w:tc>
      </w:tr>
      <w:tr w:rsidR="00C348B7" w:rsidRPr="004F63E7" w14:paraId="5F04E156" w14:textId="77777777" w:rsidTr="00444BF8">
        <w:trPr>
          <w:cantSplit/>
          <w:jc w:val="center"/>
        </w:trPr>
        <w:tc>
          <w:tcPr>
            <w:tcW w:w="2044" w:type="dxa"/>
            <w:shd w:val="clear" w:color="auto" w:fill="FFFFFF"/>
            <w:tcMar>
              <w:top w:w="0" w:type="dxa"/>
              <w:left w:w="0" w:type="dxa"/>
              <w:bottom w:w="0" w:type="dxa"/>
              <w:right w:w="0" w:type="dxa"/>
            </w:tcMar>
            <w:vAlign w:val="center"/>
          </w:tcPr>
          <w:p w14:paraId="20FAED99" w14:textId="77777777" w:rsidR="00C348B7" w:rsidRPr="004F63E7" w:rsidRDefault="00C348B7" w:rsidP="000A58A6">
            <w:pPr>
              <w:spacing w:before="20" w:afterLines="20" w:after="48"/>
              <w:ind w:left="100" w:right="100"/>
              <w:rPr>
                <w:sz w:val="18"/>
                <w:szCs w:val="18"/>
              </w:rPr>
            </w:pPr>
            <w:r w:rsidRPr="004F63E7">
              <w:rPr>
                <w:rFonts w:eastAsia="Century Gothic" w:cs="Century Gothic"/>
                <w:color w:val="000000"/>
                <w:sz w:val="18"/>
                <w:szCs w:val="18"/>
              </w:rPr>
              <w:t>Practice enrolled 50+ patients</w:t>
            </w:r>
          </w:p>
        </w:tc>
        <w:tc>
          <w:tcPr>
            <w:tcW w:w="1171" w:type="dxa"/>
            <w:shd w:val="clear" w:color="auto" w:fill="FFFFFF"/>
            <w:tcMar>
              <w:top w:w="0" w:type="dxa"/>
              <w:left w:w="0" w:type="dxa"/>
              <w:bottom w:w="0" w:type="dxa"/>
              <w:right w:w="0" w:type="dxa"/>
            </w:tcMar>
            <w:vAlign w:val="center"/>
          </w:tcPr>
          <w:p w14:paraId="5579D7F4"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8 (24%)</w:t>
            </w:r>
          </w:p>
        </w:tc>
        <w:tc>
          <w:tcPr>
            <w:tcW w:w="1171" w:type="dxa"/>
            <w:shd w:val="clear" w:color="auto" w:fill="FFFFFF"/>
            <w:tcMar>
              <w:top w:w="0" w:type="dxa"/>
              <w:left w:w="0" w:type="dxa"/>
              <w:bottom w:w="0" w:type="dxa"/>
              <w:right w:w="0" w:type="dxa"/>
            </w:tcMar>
            <w:vAlign w:val="center"/>
          </w:tcPr>
          <w:p w14:paraId="3E5E8F85"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12 (36%)</w:t>
            </w:r>
          </w:p>
        </w:tc>
        <w:tc>
          <w:tcPr>
            <w:tcW w:w="1171" w:type="dxa"/>
            <w:shd w:val="clear" w:color="auto" w:fill="FFFFFF"/>
            <w:tcMar>
              <w:top w:w="0" w:type="dxa"/>
              <w:left w:w="0" w:type="dxa"/>
              <w:bottom w:w="0" w:type="dxa"/>
              <w:right w:w="0" w:type="dxa"/>
            </w:tcMar>
            <w:vAlign w:val="center"/>
          </w:tcPr>
          <w:p w14:paraId="4CB4C006"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10 (30%)</w:t>
            </w:r>
          </w:p>
        </w:tc>
        <w:tc>
          <w:tcPr>
            <w:tcW w:w="1171" w:type="dxa"/>
            <w:shd w:val="clear" w:color="auto" w:fill="FFFFFF"/>
            <w:tcMar>
              <w:top w:w="0" w:type="dxa"/>
              <w:left w:w="0" w:type="dxa"/>
              <w:bottom w:w="0" w:type="dxa"/>
              <w:right w:w="0" w:type="dxa"/>
            </w:tcMar>
            <w:vAlign w:val="center"/>
          </w:tcPr>
          <w:p w14:paraId="4D3796CC"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2 (6%)</w:t>
            </w:r>
          </w:p>
        </w:tc>
        <w:tc>
          <w:tcPr>
            <w:tcW w:w="1172" w:type="dxa"/>
            <w:shd w:val="clear" w:color="auto" w:fill="FFFFFF"/>
            <w:tcMar>
              <w:top w:w="0" w:type="dxa"/>
              <w:left w:w="0" w:type="dxa"/>
              <w:bottom w:w="0" w:type="dxa"/>
              <w:right w:w="0" w:type="dxa"/>
            </w:tcMar>
            <w:vAlign w:val="center"/>
          </w:tcPr>
          <w:p w14:paraId="68A0EA2C" w14:textId="77777777" w:rsidR="00C348B7" w:rsidRPr="004F63E7" w:rsidRDefault="00C348B7" w:rsidP="000A58A6">
            <w:pPr>
              <w:spacing w:before="20" w:afterLines="20" w:after="48"/>
              <w:ind w:left="100" w:right="100"/>
              <w:jc w:val="center"/>
              <w:rPr>
                <w:sz w:val="18"/>
                <w:szCs w:val="18"/>
              </w:rPr>
            </w:pPr>
            <w:r w:rsidRPr="004F63E7">
              <w:rPr>
                <w:rFonts w:eastAsia="Century Gothic" w:cs="Century Gothic"/>
                <w:color w:val="000000"/>
                <w:sz w:val="18"/>
                <w:szCs w:val="18"/>
              </w:rPr>
              <w:t>1 (3%)</w:t>
            </w:r>
          </w:p>
        </w:tc>
        <w:tc>
          <w:tcPr>
            <w:tcW w:w="1066" w:type="dxa"/>
            <w:vMerge/>
            <w:shd w:val="clear" w:color="auto" w:fill="FFFFFF"/>
            <w:tcMar>
              <w:top w:w="0" w:type="dxa"/>
              <w:left w:w="0" w:type="dxa"/>
              <w:bottom w:w="0" w:type="dxa"/>
              <w:right w:w="0" w:type="dxa"/>
            </w:tcMar>
            <w:vAlign w:val="center"/>
          </w:tcPr>
          <w:p w14:paraId="00448091" w14:textId="77777777" w:rsidR="00C348B7" w:rsidRPr="004F63E7" w:rsidRDefault="00C348B7" w:rsidP="000A58A6">
            <w:pPr>
              <w:spacing w:before="20" w:afterLines="20" w:after="48"/>
              <w:ind w:left="100" w:right="100"/>
              <w:jc w:val="center"/>
              <w:rPr>
                <w:sz w:val="18"/>
                <w:szCs w:val="18"/>
              </w:rPr>
            </w:pPr>
          </w:p>
        </w:tc>
      </w:tr>
    </w:tbl>
    <w:p w14:paraId="594595F4" w14:textId="0A5562F1" w:rsidR="00C348B7" w:rsidRPr="004F63E7" w:rsidRDefault="00C348B7" w:rsidP="00C348B7">
      <w:pPr>
        <w:jc w:val="center"/>
        <w:rPr>
          <w:rFonts w:eastAsiaTheme="minorEastAsia"/>
          <w:bCs/>
          <w:i/>
          <w:sz w:val="16"/>
          <w:szCs w:val="16"/>
          <w:lang w:eastAsia="en-AU"/>
        </w:rPr>
      </w:pPr>
      <w:r w:rsidRPr="004F63E7">
        <w:rPr>
          <w:rFonts w:eastAsiaTheme="minorEastAsia"/>
          <w:bCs/>
          <w:i/>
          <w:sz w:val="16"/>
          <w:szCs w:val="16"/>
          <w:lang w:eastAsia="en-AU"/>
        </w:rPr>
        <w:t xml:space="preserve">Source: </w:t>
      </w:r>
      <w:r w:rsidRPr="00000B7C">
        <w:rPr>
          <w:rFonts w:eastAsiaTheme="minorEastAsia"/>
          <w:bCs/>
          <w:i/>
          <w:sz w:val="16"/>
          <w:szCs w:val="16"/>
          <w:lang w:eastAsia="en-AU"/>
        </w:rPr>
        <w:t xml:space="preserve">Practice survey R5, </w:t>
      </w:r>
      <w:r w:rsidR="00BC2D7A">
        <w:rPr>
          <w:rFonts w:eastAsiaTheme="minorEastAsia"/>
          <w:bCs/>
          <w:i/>
          <w:sz w:val="16"/>
          <w:szCs w:val="16"/>
          <w:lang w:eastAsia="en-AU"/>
        </w:rPr>
        <w:t xml:space="preserve">Mar–May </w:t>
      </w:r>
      <w:r w:rsidRPr="00000B7C">
        <w:rPr>
          <w:rFonts w:eastAsiaTheme="minorEastAsia"/>
          <w:bCs/>
          <w:i/>
          <w:sz w:val="16"/>
          <w:szCs w:val="16"/>
          <w:lang w:eastAsia="en-AU"/>
        </w:rPr>
        <w:t>2021</w:t>
      </w:r>
      <w:r w:rsidRPr="004F63E7">
        <w:rPr>
          <w:rFonts w:eastAsiaTheme="minorEastAsia"/>
          <w:bCs/>
          <w:i/>
          <w:sz w:val="16"/>
          <w:szCs w:val="16"/>
          <w:lang w:eastAsia="en-AU"/>
        </w:rPr>
        <w:t xml:space="preserve">, question </w:t>
      </w:r>
      <w:r w:rsidR="00273FF4">
        <w:rPr>
          <w:rFonts w:eastAsiaTheme="minorEastAsia"/>
          <w:bCs/>
          <w:i/>
          <w:sz w:val="16"/>
          <w:szCs w:val="16"/>
          <w:lang w:eastAsia="en-AU"/>
        </w:rPr>
        <w:t>2</w:t>
      </w:r>
      <w:r w:rsidRPr="004F63E7">
        <w:rPr>
          <w:rFonts w:eastAsiaTheme="minorEastAsia"/>
          <w:bCs/>
          <w:i/>
          <w:sz w:val="16"/>
          <w:szCs w:val="16"/>
          <w:lang w:eastAsia="en-AU"/>
        </w:rPr>
        <w:t>6</w:t>
      </w:r>
      <w:r>
        <w:rPr>
          <w:rFonts w:eastAsiaTheme="minorEastAsia"/>
          <w:bCs/>
          <w:i/>
          <w:sz w:val="16"/>
          <w:szCs w:val="16"/>
          <w:lang w:eastAsia="en-AU"/>
        </w:rPr>
        <w:t>.</w:t>
      </w:r>
    </w:p>
    <w:p w14:paraId="48CFEA78" w14:textId="52DA2A06" w:rsidR="0030690C" w:rsidRDefault="00AA6F26" w:rsidP="00223A07">
      <w:r>
        <w:t>P</w:t>
      </w:r>
      <w:r w:rsidR="009F0FE2">
        <w:t xml:space="preserve">ractices were </w:t>
      </w:r>
      <w:r w:rsidR="00391CE7">
        <w:t xml:space="preserve">also </w:t>
      </w:r>
      <w:r w:rsidR="009F0FE2">
        <w:t>asked</w:t>
      </w:r>
      <w:r w:rsidR="00F255BD">
        <w:t xml:space="preserve"> about</w:t>
      </w:r>
      <w:r w:rsidR="009F0FE2">
        <w:t xml:space="preserve"> </w:t>
      </w:r>
      <w:r w:rsidR="009F0FE2" w:rsidRPr="009F0FE2">
        <w:t xml:space="preserve">the main ways in which staff experience and satisfaction improved </w:t>
      </w:r>
      <w:r w:rsidR="00731A3A">
        <w:t>during</w:t>
      </w:r>
      <w:r w:rsidR="009F0FE2" w:rsidRPr="009F0FE2">
        <w:t xml:space="preserve"> </w:t>
      </w:r>
      <w:r w:rsidR="00914020">
        <w:t xml:space="preserve">as a result of </w:t>
      </w:r>
      <w:r w:rsidR="009F0FE2" w:rsidRPr="009F0FE2">
        <w:t>HCH</w:t>
      </w:r>
      <w:r w:rsidR="009F0FE2">
        <w:t>. P</w:t>
      </w:r>
      <w:r w:rsidR="00223A07">
        <w:t>ractices reported that</w:t>
      </w:r>
      <w:r w:rsidR="00ED29EC">
        <w:t xml:space="preserve"> the most </w:t>
      </w:r>
      <w:r w:rsidR="003866D1">
        <w:t>rewarding aspect of the model for staff was</w:t>
      </w:r>
      <w:r w:rsidR="00223A07">
        <w:t xml:space="preserve"> </w:t>
      </w:r>
      <w:r w:rsidR="0030690C">
        <w:t>working towards</w:t>
      </w:r>
      <w:r w:rsidR="00223A07">
        <w:t xml:space="preserve"> improved health outcomes for patients, along with the ability to build rapport and establish stronger relationships with patients under the model. </w:t>
      </w:r>
    </w:p>
    <w:p w14:paraId="5677C7F7" w14:textId="180BF549" w:rsidR="00966B9C" w:rsidRDefault="002D0815" w:rsidP="00966B9C">
      <w:r>
        <w:t xml:space="preserve">The next </w:t>
      </w:r>
      <w:r w:rsidR="00866352">
        <w:t>most reported</w:t>
      </w:r>
      <w:r w:rsidR="009B12AD">
        <w:t xml:space="preserve"> aspects of the model leading to improved staff satisfaction </w:t>
      </w:r>
      <w:r w:rsidR="001734C1">
        <w:t>were</w:t>
      </w:r>
      <w:r w:rsidR="009B12AD">
        <w:t xml:space="preserve"> </w:t>
      </w:r>
      <w:r w:rsidR="00B82C3B">
        <w:t xml:space="preserve">increased scope and/or responsibility </w:t>
      </w:r>
      <w:r w:rsidR="00866352">
        <w:t>of</w:t>
      </w:r>
      <w:r w:rsidR="00B82C3B">
        <w:t xml:space="preserve"> individual staff members and a sense of autonomy in their work</w:t>
      </w:r>
      <w:r w:rsidR="001734C1">
        <w:t xml:space="preserve"> (particularly nurses)</w:t>
      </w:r>
      <w:r w:rsidR="00B82C3B">
        <w:t>.</w:t>
      </w:r>
      <w:r w:rsidR="00FC2180">
        <w:t xml:space="preserve"> In t</w:t>
      </w:r>
      <w:r w:rsidR="001734C1">
        <w:t>heir</w:t>
      </w:r>
      <w:r w:rsidR="00FC2180">
        <w:t xml:space="preserve"> responses</w:t>
      </w:r>
      <w:r w:rsidR="001734C1">
        <w:t xml:space="preserve"> practices </w:t>
      </w:r>
      <w:r w:rsidR="00FC2180">
        <w:t xml:space="preserve">mentioned “empowerment”, </w:t>
      </w:r>
      <w:r w:rsidR="007F2313">
        <w:t xml:space="preserve">“feeling involved” and </w:t>
      </w:r>
      <w:r w:rsidR="00FC666A">
        <w:t>“admin involvement in the patient journey”.</w:t>
      </w:r>
      <w:r w:rsidR="00966B9C">
        <w:t xml:space="preserve"> Opportunities to undergo training and upskilling</w:t>
      </w:r>
      <w:r w:rsidR="00966B9C" w:rsidRPr="006F0014">
        <w:t xml:space="preserve"> </w:t>
      </w:r>
      <w:r w:rsidR="00333249">
        <w:t>was one of the features of HCH that</w:t>
      </w:r>
      <w:r w:rsidR="00F30593">
        <w:t xml:space="preserve"> practices indicated as</w:t>
      </w:r>
      <w:r w:rsidR="00333249">
        <w:t xml:space="preserve"> contribut</w:t>
      </w:r>
      <w:r w:rsidR="00F30593">
        <w:t>ing</w:t>
      </w:r>
      <w:r w:rsidR="00333249">
        <w:t xml:space="preserve"> to</w:t>
      </w:r>
      <w:r w:rsidR="00F00314">
        <w:t xml:space="preserve"> staff being able to have increased responsibilities/scope.</w:t>
      </w:r>
      <w:r w:rsidR="00200B03">
        <w:t xml:space="preserve"> </w:t>
      </w:r>
      <w:r w:rsidR="00803EEB">
        <w:t xml:space="preserve">Results from the staff survey </w:t>
      </w:r>
      <w:r w:rsidR="00F60E17">
        <w:t xml:space="preserve">support the finding that staff were given more responsibility. Among the staff who indicated that HCH had changed their roles, </w:t>
      </w:r>
      <w:r w:rsidR="00BB3FDE">
        <w:t xml:space="preserve">92% of GPs </w:t>
      </w:r>
      <w:r w:rsidR="00AA4B4A">
        <w:t>strongly agreed or somewhat agreed</w:t>
      </w:r>
      <w:r w:rsidR="00BB3FDE">
        <w:t xml:space="preserve"> they delegate</w:t>
      </w:r>
      <w:r w:rsidR="00F30593">
        <w:t>d</w:t>
      </w:r>
      <w:r w:rsidR="00BB3FDE">
        <w:t xml:space="preserve"> more responsibility to others</w:t>
      </w:r>
      <w:r w:rsidR="00D90E4D">
        <w:t xml:space="preserve">. </w:t>
      </w:r>
      <w:r w:rsidR="00085E0F">
        <w:t xml:space="preserve">The percentage was lower for the other staff </w:t>
      </w:r>
      <w:r w:rsidR="00F30593">
        <w:t xml:space="preserve">types: </w:t>
      </w:r>
      <w:r w:rsidR="00085E0F">
        <w:t xml:space="preserve">50% for nurses, </w:t>
      </w:r>
      <w:r w:rsidR="006046B0">
        <w:t xml:space="preserve">46% for practice managers and 37% for administrative staff. </w:t>
      </w:r>
      <w:r w:rsidR="00CC6365">
        <w:t xml:space="preserve">In terms of having more responsibility delegated to them, 45% of GPs strongly agreed or somewhat agreed compared with </w:t>
      </w:r>
      <w:r w:rsidR="005F16E0">
        <w:t xml:space="preserve">78% for nurses, 77% for practice managers, and </w:t>
      </w:r>
      <w:r w:rsidR="00FE7478">
        <w:t xml:space="preserve">100% </w:t>
      </w:r>
      <w:r w:rsidR="00F30593">
        <w:t>for</w:t>
      </w:r>
      <w:r w:rsidR="00FE7478">
        <w:t xml:space="preserve"> administrative staff.</w:t>
      </w:r>
    </w:p>
    <w:p w14:paraId="134BED70" w14:textId="68CF166E" w:rsidR="001734C1" w:rsidRDefault="001734C1" w:rsidP="00223A07">
      <w:r>
        <w:t xml:space="preserve">The flexibility created by the </w:t>
      </w:r>
      <w:r w:rsidR="005E32DA">
        <w:t>bundled payment was reported as improving the experience/satisfaction of GPs.</w:t>
      </w:r>
      <w:r w:rsidR="00EE3912">
        <w:t xml:space="preserve"> This was through the ability to provide care in a different way (for example, phone consults and scripts or referrals without a consultation) and being able to delegate tasks to other team members</w:t>
      </w:r>
      <w:r w:rsidR="00406257">
        <w:t>.</w:t>
      </w:r>
    </w:p>
    <w:p w14:paraId="1409F37E" w14:textId="7287682C" w:rsidR="00E4188B" w:rsidRDefault="00876CD8" w:rsidP="00223A07">
      <w:r>
        <w:t>Team-based care was commonly associated with feeling pride in one</w:t>
      </w:r>
      <w:r w:rsidR="0097171E">
        <w:t xml:space="preserve">’s work and feeling valued. This was through the contributions individuals </w:t>
      </w:r>
      <w:r w:rsidR="00BF76DF">
        <w:t>were making</w:t>
      </w:r>
      <w:r w:rsidR="0097171E">
        <w:t xml:space="preserve"> </w:t>
      </w:r>
      <w:r w:rsidR="00D8351C">
        <w:t>within the team and feedback from other team members, particularly GPs</w:t>
      </w:r>
      <w:r w:rsidR="00F853EA">
        <w:t>.</w:t>
      </w:r>
    </w:p>
    <w:p w14:paraId="77D3B6E1" w14:textId="180FF3CA" w:rsidR="00A4695C" w:rsidRDefault="00B30779" w:rsidP="00223A07">
      <w:r>
        <w:t>A few</w:t>
      </w:r>
      <w:r w:rsidR="00223A07">
        <w:t xml:space="preserve"> practices noted negative staff experience</w:t>
      </w:r>
      <w:r w:rsidR="00BC5382">
        <w:t>s</w:t>
      </w:r>
      <w:r w:rsidR="00223A07">
        <w:t xml:space="preserve"> and </w:t>
      </w:r>
      <w:r w:rsidR="00BC5382">
        <w:t>increased</w:t>
      </w:r>
      <w:r w:rsidR="00223A07">
        <w:t xml:space="preserve"> stress from increased administration </w:t>
      </w:r>
      <w:r w:rsidR="00E24E13">
        <w:t>associated with the program</w:t>
      </w:r>
      <w:r w:rsidR="00223A07">
        <w:t>.</w:t>
      </w:r>
    </w:p>
    <w:p w14:paraId="69B37372" w14:textId="6E154178" w:rsidR="00AF3429" w:rsidRDefault="009D1E0C" w:rsidP="00223A07">
      <w:r>
        <w:t xml:space="preserve">The sections </w:t>
      </w:r>
      <w:r w:rsidR="00FE3669">
        <w:t>that follow</w:t>
      </w:r>
      <w:r>
        <w:t xml:space="preserve"> provide additional analyses from the quantitative and qualitative data for </w:t>
      </w:r>
      <w:r w:rsidR="00D460B1">
        <w:t xml:space="preserve">the main staff types with general practice. </w:t>
      </w:r>
    </w:p>
    <w:p w14:paraId="6D1F5E7D" w14:textId="77777777" w:rsidR="00AF3429" w:rsidRDefault="00AF3429">
      <w:pPr>
        <w:spacing w:after="160" w:line="259" w:lineRule="auto"/>
      </w:pPr>
      <w:r>
        <w:br w:type="page"/>
      </w:r>
    </w:p>
    <w:p w14:paraId="390D43CF" w14:textId="33AE7B55" w:rsidR="009D1E0C" w:rsidRDefault="009D1E0C" w:rsidP="009D1E0C">
      <w:pPr>
        <w:pStyle w:val="Heading2"/>
        <w:rPr>
          <w:lang w:val="en-GB"/>
        </w:rPr>
      </w:pPr>
      <w:bookmarkStart w:id="280" w:name="_Toc109996712"/>
      <w:r>
        <w:rPr>
          <w:lang w:val="en-GB"/>
        </w:rPr>
        <w:lastRenderedPageBreak/>
        <w:t>General practitioners</w:t>
      </w:r>
      <w:bookmarkEnd w:id="280"/>
    </w:p>
    <w:p w14:paraId="4CEF3717" w14:textId="410B998F" w:rsidR="009D1E0C" w:rsidRDefault="009D1E0C" w:rsidP="009D1E0C">
      <w:pPr>
        <w:rPr>
          <w:szCs w:val="20"/>
        </w:rPr>
      </w:pPr>
      <w:r w:rsidRPr="00401F0B">
        <w:rPr>
          <w:lang w:val="en-GB"/>
        </w:rPr>
        <w:t xml:space="preserve">In the initial stages of implementing HCH, practices actively worked on encouraging GPs in their practice to participate. Some </w:t>
      </w:r>
      <w:r w:rsidR="00CA5F64">
        <w:rPr>
          <w:lang w:val="en-GB"/>
        </w:rPr>
        <w:t>practices</w:t>
      </w:r>
      <w:r w:rsidRPr="00401F0B">
        <w:rPr>
          <w:lang w:val="en-GB"/>
        </w:rPr>
        <w:t xml:space="preserve"> stated that, with time and some convincing, GP engagement increased, which made it easier to roll</w:t>
      </w:r>
      <w:r>
        <w:rPr>
          <w:lang w:val="en-GB"/>
        </w:rPr>
        <w:t xml:space="preserve"> </w:t>
      </w:r>
      <w:r w:rsidRPr="00401F0B">
        <w:rPr>
          <w:lang w:val="en-GB"/>
        </w:rPr>
        <w:t>out the model within their practices</w:t>
      </w:r>
      <w:r>
        <w:rPr>
          <w:lang w:val="en-GB"/>
        </w:rPr>
        <w:t xml:space="preserve">. </w:t>
      </w:r>
      <w:r>
        <w:rPr>
          <w:szCs w:val="20"/>
        </w:rPr>
        <w:t>Others cited ongoing difficulties engaging their GPs due to concerns and limited information on some aspects of the model, such as workload, how it would work with their patients in practice, or the financial impact of the bundled payment. Their lack of engagement decreased staff engagement and the scale of HCH within some practices, which proved to be a significant barrier during program implementation. For example, practices with only one or two GPs involved in HCH reported issues providing adequate access to their HCH patients when they were unavailable. This problem was exacerbated when the participating GP(s) only worked part-time. In some instances, non-participating GPs were confused about the bundled payment, which made them less inclined to treat HCH patients when the participating GP was away or unavailable:</w:t>
      </w:r>
    </w:p>
    <w:p w14:paraId="10214480" w14:textId="118A016A" w:rsidR="009D1E0C" w:rsidRDefault="00456525" w:rsidP="009D1E0C">
      <w:pPr>
        <w:ind w:left="567" w:right="521"/>
        <w:rPr>
          <w:szCs w:val="20"/>
          <w:lang w:val="en-US"/>
        </w:rPr>
      </w:pPr>
      <w:r>
        <w:rPr>
          <w:i/>
          <w:iCs/>
          <w:szCs w:val="20"/>
          <w:lang w:val="en-US"/>
        </w:rPr>
        <w:t>“</w:t>
      </w:r>
      <w:r w:rsidR="009D1E0C" w:rsidRPr="006F7E25">
        <w:rPr>
          <w:i/>
          <w:iCs/>
          <w:szCs w:val="20"/>
          <w:lang w:val="en-US"/>
        </w:rPr>
        <w:t xml:space="preserve">It has been </w:t>
      </w:r>
      <w:r w:rsidR="009D1E0C" w:rsidRPr="00AB14F3">
        <w:rPr>
          <w:i/>
          <w:iCs/>
          <w:lang w:val="en-GB"/>
        </w:rPr>
        <w:t>quite</w:t>
      </w:r>
      <w:r w:rsidR="009D1E0C" w:rsidRPr="006F7E25">
        <w:rPr>
          <w:i/>
          <w:iCs/>
          <w:szCs w:val="20"/>
          <w:lang w:val="en-US"/>
        </w:rPr>
        <w:t xml:space="preserve"> difficult as a practice with this program because our lead GP that is completing the program is less available.</w:t>
      </w:r>
      <w:r w:rsidR="00A561EE">
        <w:rPr>
          <w:i/>
          <w:iCs/>
          <w:szCs w:val="20"/>
          <w:lang w:val="en-US"/>
        </w:rPr>
        <w:t xml:space="preserve"> </w:t>
      </w:r>
      <w:r w:rsidR="009D1E0C" w:rsidRPr="006F7E25">
        <w:rPr>
          <w:i/>
          <w:iCs/>
          <w:szCs w:val="20"/>
          <w:lang w:val="en-US"/>
        </w:rPr>
        <w:t>He</w:t>
      </w:r>
      <w:r w:rsidR="009D1E0C" w:rsidRPr="006F7E25">
        <w:rPr>
          <w:rFonts w:cs="Calibri"/>
          <w:i/>
          <w:iCs/>
          <w:szCs w:val="20"/>
          <w:lang w:val="en-US"/>
        </w:rPr>
        <w:t>’</w:t>
      </w:r>
      <w:r w:rsidR="009D1E0C" w:rsidRPr="006F7E25">
        <w:rPr>
          <w:i/>
          <w:iCs/>
          <w:szCs w:val="20"/>
          <w:lang w:val="en-US"/>
        </w:rPr>
        <w:t>s only here one day per week now at [</w:t>
      </w:r>
      <w:r w:rsidR="009D1E0C">
        <w:rPr>
          <w:i/>
          <w:iCs/>
          <w:szCs w:val="20"/>
          <w:lang w:val="en-US"/>
        </w:rPr>
        <w:t>this practice</w:t>
      </w:r>
      <w:r w:rsidR="009D1E0C" w:rsidRPr="006F7E25">
        <w:rPr>
          <w:i/>
          <w:iCs/>
          <w:szCs w:val="20"/>
          <w:lang w:val="en-US"/>
        </w:rPr>
        <w:t>], which has become a problem for a lot of our patients because he’s just not there and able to take those consultations and have that input and feedback…And then with him not being as available, [patients] being maybe moved to other GPs because it’s a requirement in that they have to be seen, that became a problem.”</w:t>
      </w:r>
      <w:r w:rsidR="009D1E0C">
        <w:rPr>
          <w:szCs w:val="20"/>
          <w:lang w:val="en-US"/>
        </w:rPr>
        <w:t xml:space="preserve"> [Practice Manager, Practice 22, R5]</w:t>
      </w:r>
    </w:p>
    <w:p w14:paraId="674D9F7D" w14:textId="77777777" w:rsidR="009D1E0C" w:rsidRDefault="009D1E0C" w:rsidP="009D1E0C">
      <w:pPr>
        <w:ind w:left="567" w:right="521"/>
        <w:rPr>
          <w:szCs w:val="20"/>
        </w:rPr>
      </w:pPr>
      <w:r w:rsidRPr="00D917D6">
        <w:rPr>
          <w:i/>
          <w:iCs/>
          <w:szCs w:val="20"/>
        </w:rPr>
        <w:t xml:space="preserve">“It’s very difficult when you’ve got a practice with 15 doctors and there’s only one GP enrolled, seven, 10 patients. And he only works half a day a week. Distributing that care within the care team </w:t>
      </w:r>
      <w:r w:rsidRPr="00AB14F3">
        <w:rPr>
          <w:i/>
          <w:iCs/>
          <w:lang w:val="en-GB"/>
        </w:rPr>
        <w:t>and</w:t>
      </w:r>
      <w:r w:rsidRPr="00D917D6">
        <w:rPr>
          <w:i/>
          <w:iCs/>
          <w:szCs w:val="20"/>
        </w:rPr>
        <w:t xml:space="preserve"> then obviously the payments, it’s causing some conflict within the GPs in that practice because the GPs will not see the Health</w:t>
      </w:r>
      <w:r>
        <w:rPr>
          <w:i/>
          <w:iCs/>
          <w:szCs w:val="20"/>
        </w:rPr>
        <w:t xml:space="preserve"> C</w:t>
      </w:r>
      <w:r w:rsidRPr="00D917D6">
        <w:rPr>
          <w:i/>
          <w:iCs/>
          <w:szCs w:val="20"/>
        </w:rPr>
        <w:t>are Homes patients because the doctor’s not on until next Wednesday afternoon.”</w:t>
      </w:r>
      <w:r>
        <w:rPr>
          <w:szCs w:val="20"/>
        </w:rPr>
        <w:t xml:space="preserve"> [PHN 2, Interview, R5]</w:t>
      </w:r>
    </w:p>
    <w:p w14:paraId="27EC7912" w14:textId="77777777" w:rsidR="009D1E0C" w:rsidRDefault="009D1E0C" w:rsidP="009D1E0C">
      <w:pPr>
        <w:rPr>
          <w:szCs w:val="20"/>
        </w:rPr>
      </w:pPr>
      <w:r>
        <w:rPr>
          <w:szCs w:val="20"/>
        </w:rPr>
        <w:t>One carer remarked:</w:t>
      </w:r>
    </w:p>
    <w:p w14:paraId="35ED6847" w14:textId="77777777" w:rsidR="009D1E0C" w:rsidRPr="00F52C05" w:rsidRDefault="009D1E0C" w:rsidP="009D1E0C">
      <w:pPr>
        <w:ind w:left="567" w:right="521"/>
        <w:rPr>
          <w:szCs w:val="20"/>
        </w:rPr>
      </w:pPr>
      <w:r w:rsidRPr="00F52C05">
        <w:rPr>
          <w:i/>
          <w:iCs/>
          <w:szCs w:val="20"/>
          <w:lang w:val="en-US"/>
        </w:rPr>
        <w:t>“Occasionally in emergencies we</w:t>
      </w:r>
      <w:r w:rsidRPr="00F52C05">
        <w:rPr>
          <w:rFonts w:cs="Calibri"/>
          <w:i/>
          <w:iCs/>
          <w:szCs w:val="20"/>
          <w:lang w:val="en-US"/>
        </w:rPr>
        <w:t>’</w:t>
      </w:r>
      <w:r w:rsidRPr="00F52C05">
        <w:rPr>
          <w:i/>
          <w:iCs/>
          <w:szCs w:val="20"/>
          <w:lang w:val="en-US"/>
        </w:rPr>
        <w:t>ll see somebody else because our GP isn</w:t>
      </w:r>
      <w:r w:rsidRPr="00F52C05">
        <w:rPr>
          <w:rFonts w:cs="Calibri"/>
          <w:i/>
          <w:iCs/>
          <w:szCs w:val="20"/>
          <w:lang w:val="en-US"/>
        </w:rPr>
        <w:t>’</w:t>
      </w:r>
      <w:r w:rsidRPr="00F52C05">
        <w:rPr>
          <w:i/>
          <w:iCs/>
          <w:szCs w:val="20"/>
          <w:lang w:val="en-US"/>
        </w:rPr>
        <w:t>t there all of time. And it just gets difficult if we don</w:t>
      </w:r>
      <w:r w:rsidRPr="00F52C05">
        <w:rPr>
          <w:rFonts w:cs="Calibri"/>
          <w:i/>
          <w:iCs/>
          <w:szCs w:val="20"/>
          <w:lang w:val="en-US"/>
        </w:rPr>
        <w:t>’</w:t>
      </w:r>
      <w:r w:rsidRPr="00F52C05">
        <w:rPr>
          <w:i/>
          <w:iCs/>
          <w:szCs w:val="20"/>
          <w:lang w:val="en-US"/>
        </w:rPr>
        <w:t xml:space="preserve">t see our regular GP. Because I’ve got to go through the whole </w:t>
      </w:r>
      <w:r w:rsidRPr="00AB14F3">
        <w:rPr>
          <w:i/>
          <w:iCs/>
          <w:lang w:val="en-GB"/>
        </w:rPr>
        <w:t>scenario</w:t>
      </w:r>
      <w:r w:rsidRPr="00F52C05">
        <w:rPr>
          <w:i/>
          <w:iCs/>
          <w:szCs w:val="20"/>
          <w:lang w:val="en-US"/>
        </w:rPr>
        <w:t xml:space="preserve"> of what’s happening in relation to why he’s there that particular visit…it gets really difficult…that</w:t>
      </w:r>
      <w:r w:rsidRPr="00F52C05">
        <w:rPr>
          <w:rFonts w:cs="Calibri"/>
          <w:i/>
          <w:iCs/>
          <w:szCs w:val="20"/>
          <w:lang w:val="en-US"/>
        </w:rPr>
        <w:t>’</w:t>
      </w:r>
      <w:r w:rsidRPr="00F52C05">
        <w:rPr>
          <w:i/>
          <w:iCs/>
          <w:szCs w:val="20"/>
          <w:lang w:val="en-US"/>
        </w:rPr>
        <w:t>s why I’m pedantic at making regular visits to see our GP so that I don’t have to keep on running through it.”</w:t>
      </w:r>
      <w:r w:rsidRPr="00F52C05">
        <w:rPr>
          <w:szCs w:val="20"/>
          <w:lang w:val="en-US"/>
        </w:rPr>
        <w:t xml:space="preserve"> [</w:t>
      </w:r>
      <w:proofErr w:type="spellStart"/>
      <w:r w:rsidRPr="00F52C05">
        <w:rPr>
          <w:szCs w:val="20"/>
          <w:lang w:val="en-US"/>
        </w:rPr>
        <w:t>Carer</w:t>
      </w:r>
      <w:proofErr w:type="spellEnd"/>
      <w:r w:rsidRPr="00F52C05">
        <w:rPr>
          <w:szCs w:val="20"/>
          <w:lang w:val="en-US"/>
        </w:rPr>
        <w:t>, Practice 15, R5]</w:t>
      </w:r>
    </w:p>
    <w:p w14:paraId="6FC6433B" w14:textId="0E3201ED" w:rsidR="009D1E0C" w:rsidRDefault="009D1E0C" w:rsidP="009D1E0C">
      <w:pPr>
        <w:rPr>
          <w:szCs w:val="20"/>
        </w:rPr>
      </w:pPr>
      <w:r>
        <w:rPr>
          <w:szCs w:val="20"/>
        </w:rPr>
        <w:t xml:space="preserve">One practice cited the HCH forum that the Department of Health hosted in late 2019 in Melbourne as a catalyst for getting some GPs more interested in the model. But the enrolment period had closed a few months before the forum (June 2019), which made it difficult for some practices to turn the enthusiasm into more patient enrolments. A few interviewees commented that, </w:t>
      </w:r>
      <w:r w:rsidR="00D60071">
        <w:rPr>
          <w:szCs w:val="20"/>
        </w:rPr>
        <w:t>even with</w:t>
      </w:r>
      <w:r>
        <w:rPr>
          <w:szCs w:val="20"/>
        </w:rPr>
        <w:t xml:space="preserve"> the extension of the enrolment period, the window of opportunity they had to convince GPs was not long enough, and they wished they had more time to engage more of their GPs in the model and recruit more patients.</w:t>
      </w:r>
    </w:p>
    <w:p w14:paraId="7F75E296" w14:textId="044AF928" w:rsidR="009D7A72" w:rsidRDefault="009D1E0C" w:rsidP="00AF3429">
      <w:pPr>
        <w:rPr>
          <w:lang w:val="en-GB"/>
        </w:rPr>
      </w:pPr>
      <w:r>
        <w:rPr>
          <w:lang w:val="en-GB"/>
        </w:rPr>
        <w:lastRenderedPageBreak/>
        <w:t xml:space="preserve">While many GPs stated that the effect of HCH on their day-to-day responsibilities </w:t>
      </w:r>
      <w:r w:rsidR="00D60071">
        <w:rPr>
          <w:lang w:val="en-GB"/>
        </w:rPr>
        <w:t>was</w:t>
      </w:r>
      <w:r>
        <w:rPr>
          <w:lang w:val="en-GB"/>
        </w:rPr>
        <w:t xml:space="preserve"> relatively minimal, others elaborated on how the program impacted their roles. </w:t>
      </w:r>
      <w:r w:rsidR="00AF3429" w:rsidRPr="00AF3429">
        <w:rPr>
          <w:rFonts w:eastAsiaTheme="minorEastAsia"/>
          <w:bCs/>
          <w:color w:val="1D2455"/>
          <w:szCs w:val="20"/>
          <w:lang w:eastAsia="en-AU"/>
        </w:rPr>
        <w:fldChar w:fldCharType="begin"/>
      </w:r>
      <w:r w:rsidR="00AF3429" w:rsidRPr="00AF3429">
        <w:rPr>
          <w:rFonts w:eastAsiaTheme="minorEastAsia"/>
          <w:bCs/>
          <w:color w:val="1D2455"/>
          <w:szCs w:val="20"/>
          <w:lang w:eastAsia="en-AU"/>
        </w:rPr>
        <w:instrText xml:space="preserve"> REF _Ref99302738 \h </w:instrText>
      </w:r>
      <w:r w:rsidR="00AF3429">
        <w:rPr>
          <w:rFonts w:eastAsiaTheme="minorEastAsia"/>
          <w:bCs/>
          <w:color w:val="1D2455"/>
          <w:szCs w:val="20"/>
          <w:lang w:eastAsia="en-AU"/>
        </w:rPr>
        <w:instrText xml:space="preserve"> \* MERGEFORMAT </w:instrText>
      </w:r>
      <w:r w:rsidR="00AF3429" w:rsidRPr="00AF3429">
        <w:rPr>
          <w:rFonts w:eastAsiaTheme="minorEastAsia"/>
          <w:bCs/>
          <w:color w:val="1D2455"/>
          <w:szCs w:val="20"/>
          <w:lang w:eastAsia="en-AU"/>
        </w:rPr>
      </w:r>
      <w:r w:rsidR="00AF3429" w:rsidRPr="00AF3429">
        <w:rPr>
          <w:rFonts w:eastAsiaTheme="minorEastAsia"/>
          <w:bCs/>
          <w:color w:val="1D2455"/>
          <w:szCs w:val="20"/>
          <w:lang w:eastAsia="en-AU"/>
        </w:rPr>
        <w:fldChar w:fldCharType="separate"/>
      </w:r>
      <w:r w:rsidR="003C4BC2" w:rsidRPr="003C4BC2">
        <w:rPr>
          <w:rFonts w:eastAsiaTheme="minorEastAsia"/>
          <w:bCs/>
          <w:color w:val="1D2455"/>
          <w:szCs w:val="20"/>
          <w:lang w:eastAsia="en-AU"/>
        </w:rPr>
        <w:t>Figure 27</w:t>
      </w:r>
      <w:r w:rsidR="00AF3429" w:rsidRPr="00AF3429">
        <w:rPr>
          <w:rFonts w:eastAsiaTheme="minorEastAsia"/>
          <w:bCs/>
          <w:color w:val="1D2455"/>
          <w:szCs w:val="20"/>
          <w:lang w:eastAsia="en-AU"/>
        </w:rPr>
        <w:fldChar w:fldCharType="end"/>
      </w:r>
      <w:r w:rsidR="00AF3429">
        <w:rPr>
          <w:lang w:val="en-GB"/>
        </w:rPr>
        <w:t xml:space="preserve"> </w:t>
      </w:r>
      <w:r>
        <w:rPr>
          <w:lang w:val="en-GB"/>
        </w:rPr>
        <w:t>lists aspects of HCH that that GPs commonly reported as positively and negatively impacting their role.</w:t>
      </w:r>
    </w:p>
    <w:p w14:paraId="4EFA96B8" w14:textId="2C6CB5FE" w:rsidR="009D1E0C" w:rsidRDefault="009D1E0C" w:rsidP="009D1E0C">
      <w:pPr>
        <w:pStyle w:val="TableFigureheading"/>
      </w:pPr>
      <w:bookmarkStart w:id="281" w:name="_Ref99302738"/>
      <w:bookmarkStart w:id="282" w:name="_Ref99302723"/>
      <w:r w:rsidRPr="00F01A5A">
        <w:t xml:space="preserve">Figure </w:t>
      </w:r>
      <w:r w:rsidR="00A61B29">
        <w:fldChar w:fldCharType="begin"/>
      </w:r>
      <w:r w:rsidR="00A61B29">
        <w:instrText xml:space="preserve"> SEQ Figure \* ARABIC </w:instrText>
      </w:r>
      <w:r w:rsidR="00A61B29">
        <w:fldChar w:fldCharType="separate"/>
      </w:r>
      <w:r w:rsidR="003C4BC2">
        <w:rPr>
          <w:noProof/>
        </w:rPr>
        <w:t>27</w:t>
      </w:r>
      <w:r w:rsidR="00A61B29">
        <w:rPr>
          <w:noProof/>
        </w:rPr>
        <w:fldChar w:fldCharType="end"/>
      </w:r>
      <w:bookmarkEnd w:id="281"/>
      <w:r>
        <w:t>: GP</w:t>
      </w:r>
      <w:r w:rsidR="00EF4CD4">
        <w:t>s’</w:t>
      </w:r>
      <w:r>
        <w:t xml:space="preserve"> </w:t>
      </w:r>
      <w:r w:rsidR="00094613">
        <w:t>perceptions</w:t>
      </w:r>
      <w:r>
        <w:t xml:space="preserve"> of </w:t>
      </w:r>
      <w:r w:rsidR="00EF4CD4">
        <w:t>how</w:t>
      </w:r>
      <w:r>
        <w:t xml:space="preserve"> HCH impact</w:t>
      </w:r>
      <w:r w:rsidR="00EF4CD4">
        <w:t>ed</w:t>
      </w:r>
      <w:r>
        <w:t xml:space="preserve"> their role</w:t>
      </w:r>
      <w:bookmarkEnd w:id="282"/>
      <w:r>
        <w:t xml:space="preserve"> </w:t>
      </w:r>
    </w:p>
    <w:p w14:paraId="7E74E103" w14:textId="4F1EDDB3" w:rsidR="009D1E0C" w:rsidRDefault="009D1E0C" w:rsidP="002C3866">
      <w:pPr>
        <w:spacing w:after="0"/>
        <w:rPr>
          <w:lang w:val="en-GB"/>
        </w:rPr>
      </w:pPr>
      <w:r w:rsidRPr="004561BF">
        <w:rPr>
          <w:noProof/>
        </w:rPr>
        <w:drawing>
          <wp:inline distT="0" distB="0" distL="0" distR="0" wp14:anchorId="1E99FEBC" wp14:editId="14CE33DD">
            <wp:extent cx="5731510" cy="3140075"/>
            <wp:effectExtent l="0" t="0" r="0" b="0"/>
            <wp:docPr id="9" name="Picture 9"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ext&#10;&#10;Description automatically generated with low confidence"/>
                    <pic:cNvPicPr/>
                  </pic:nvPicPr>
                  <pic:blipFill>
                    <a:blip r:embed="rId53"/>
                    <a:stretch>
                      <a:fillRect/>
                    </a:stretch>
                  </pic:blipFill>
                  <pic:spPr>
                    <a:xfrm>
                      <a:off x="0" y="0"/>
                      <a:ext cx="5731510" cy="3140075"/>
                    </a:xfrm>
                    <a:prstGeom prst="rect">
                      <a:avLst/>
                    </a:prstGeom>
                  </pic:spPr>
                </pic:pic>
              </a:graphicData>
            </a:graphic>
          </wp:inline>
        </w:drawing>
      </w:r>
    </w:p>
    <w:p w14:paraId="2B2CB6FF" w14:textId="725B539D" w:rsidR="00D460B1" w:rsidRPr="002C3866" w:rsidRDefault="002C3866" w:rsidP="002C3866">
      <w:pPr>
        <w:jc w:val="center"/>
        <w:rPr>
          <w:rFonts w:eastAsiaTheme="minorEastAsia"/>
          <w:i/>
          <w:sz w:val="16"/>
          <w:szCs w:val="16"/>
          <w:lang w:eastAsia="en-AU"/>
        </w:rPr>
      </w:pPr>
      <w:r w:rsidRPr="004F63E7">
        <w:rPr>
          <w:rFonts w:eastAsiaTheme="minorEastAsia"/>
          <w:bCs/>
          <w:i/>
          <w:sz w:val="16"/>
          <w:szCs w:val="16"/>
          <w:lang w:eastAsia="en-AU"/>
        </w:rPr>
        <w:t xml:space="preserve">Source: </w:t>
      </w:r>
      <w:r>
        <w:rPr>
          <w:rFonts w:eastAsiaTheme="minorEastAsia"/>
          <w:bCs/>
          <w:i/>
          <w:sz w:val="16"/>
          <w:szCs w:val="16"/>
          <w:lang w:eastAsia="en-AU"/>
        </w:rPr>
        <w:t>Case study interviews,</w:t>
      </w:r>
      <w:r w:rsidRPr="00000B7C">
        <w:rPr>
          <w:rFonts w:eastAsiaTheme="minorEastAsia"/>
          <w:bCs/>
          <w:i/>
          <w:sz w:val="16"/>
          <w:szCs w:val="16"/>
          <w:lang w:eastAsia="en-AU"/>
        </w:rPr>
        <w:t xml:space="preserve"> R</w:t>
      </w:r>
      <w:r>
        <w:rPr>
          <w:rFonts w:eastAsiaTheme="minorEastAsia"/>
          <w:bCs/>
          <w:i/>
          <w:sz w:val="16"/>
          <w:szCs w:val="16"/>
          <w:lang w:eastAsia="en-AU"/>
        </w:rPr>
        <w:t xml:space="preserve">2 </w:t>
      </w:r>
      <w:r w:rsidRPr="00C351C4">
        <w:rPr>
          <w:rFonts w:eastAsiaTheme="minorEastAsia"/>
          <w:bCs/>
          <w:i/>
          <w:sz w:val="16"/>
          <w:szCs w:val="16"/>
          <w:lang w:eastAsia="en-AU"/>
        </w:rPr>
        <w:t>Sept–Oct 2018</w:t>
      </w:r>
      <w:r>
        <w:rPr>
          <w:rFonts w:eastAsiaTheme="minorEastAsia"/>
          <w:bCs/>
          <w:i/>
          <w:sz w:val="16"/>
          <w:szCs w:val="16"/>
          <w:lang w:eastAsia="en-AU"/>
        </w:rPr>
        <w:t>, R4</w:t>
      </w:r>
      <w:r w:rsidRPr="00000B7C">
        <w:rPr>
          <w:rFonts w:eastAsiaTheme="minorEastAsia"/>
          <w:bCs/>
          <w:i/>
          <w:sz w:val="16"/>
          <w:szCs w:val="16"/>
          <w:lang w:eastAsia="en-AU"/>
        </w:rPr>
        <w:t xml:space="preserve"> </w:t>
      </w:r>
      <w:r w:rsidRPr="00D97971">
        <w:rPr>
          <w:rFonts w:eastAsiaTheme="minorEastAsia"/>
          <w:bCs/>
          <w:i/>
          <w:sz w:val="16"/>
          <w:szCs w:val="16"/>
          <w:lang w:eastAsia="en-AU"/>
        </w:rPr>
        <w:t>Nov 2019–Mar 2020</w:t>
      </w:r>
      <w:r>
        <w:rPr>
          <w:rFonts w:eastAsiaTheme="minorEastAsia"/>
          <w:bCs/>
          <w:i/>
          <w:sz w:val="16"/>
          <w:szCs w:val="16"/>
          <w:lang w:eastAsia="en-AU"/>
        </w:rPr>
        <w:t>, R5 Mar–May 2021.</w:t>
      </w:r>
    </w:p>
    <w:p w14:paraId="6D752653" w14:textId="133A8CCE" w:rsidR="00D460B1" w:rsidRDefault="00D460B1" w:rsidP="00D460B1">
      <w:pPr>
        <w:rPr>
          <w:lang w:val="en-GB"/>
        </w:rPr>
      </w:pPr>
      <w:r w:rsidRPr="003F159C">
        <w:rPr>
          <w:lang w:val="en-GB"/>
        </w:rPr>
        <w:t xml:space="preserve">Some </w:t>
      </w:r>
      <w:r>
        <w:rPr>
          <w:lang w:val="en-GB"/>
        </w:rPr>
        <w:t>practices</w:t>
      </w:r>
      <w:r w:rsidRPr="003F159C">
        <w:rPr>
          <w:lang w:val="en-GB"/>
        </w:rPr>
        <w:t xml:space="preserve"> </w:t>
      </w:r>
      <w:r>
        <w:rPr>
          <w:lang w:val="en-GB"/>
        </w:rPr>
        <w:t>reported in interviews</w:t>
      </w:r>
      <w:r w:rsidRPr="003F159C">
        <w:rPr>
          <w:lang w:val="en-GB"/>
        </w:rPr>
        <w:t xml:space="preserve"> that HCH had the largest effect on their nurses</w:t>
      </w:r>
      <w:r>
        <w:rPr>
          <w:lang w:val="en-GB"/>
        </w:rPr>
        <w:t xml:space="preserve"> compared with other roles. The model </w:t>
      </w:r>
      <w:r w:rsidRPr="003F159C">
        <w:rPr>
          <w:lang w:val="en-GB"/>
        </w:rPr>
        <w:t>chang</w:t>
      </w:r>
      <w:r>
        <w:rPr>
          <w:lang w:val="en-GB"/>
        </w:rPr>
        <w:t>ed</w:t>
      </w:r>
      <w:r w:rsidRPr="003F159C">
        <w:rPr>
          <w:lang w:val="en-GB"/>
        </w:rPr>
        <w:t xml:space="preserve"> </w:t>
      </w:r>
      <w:r w:rsidR="00E332FF">
        <w:rPr>
          <w:lang w:val="en-GB"/>
        </w:rPr>
        <w:t>nurses’</w:t>
      </w:r>
      <w:r w:rsidRPr="003F159C">
        <w:rPr>
          <w:lang w:val="en-GB"/>
        </w:rPr>
        <w:t xml:space="preserve"> overall scope of practice and increas</w:t>
      </w:r>
      <w:r>
        <w:rPr>
          <w:lang w:val="en-GB"/>
        </w:rPr>
        <w:t>ed</w:t>
      </w:r>
      <w:r w:rsidRPr="003F159C">
        <w:rPr>
          <w:lang w:val="en-GB"/>
        </w:rPr>
        <w:t xml:space="preserve"> their involvement in patient care</w:t>
      </w:r>
      <w:r>
        <w:rPr>
          <w:lang w:val="en-GB"/>
        </w:rPr>
        <w:t>. Sometimes</w:t>
      </w:r>
      <w:r w:rsidRPr="00C00C71">
        <w:rPr>
          <w:lang w:val="en-GB"/>
        </w:rPr>
        <w:t xml:space="preserve"> </w:t>
      </w:r>
      <w:r>
        <w:rPr>
          <w:lang w:val="en-GB"/>
        </w:rPr>
        <w:t xml:space="preserve">nurses </w:t>
      </w:r>
      <w:r w:rsidRPr="00C00C71">
        <w:rPr>
          <w:lang w:val="en-GB"/>
        </w:rPr>
        <w:t>reported limited changes in their roles</w:t>
      </w:r>
      <w:r>
        <w:rPr>
          <w:lang w:val="en-GB"/>
        </w:rPr>
        <w:t>.</w:t>
      </w:r>
    </w:p>
    <w:p w14:paraId="424C360A" w14:textId="6F412FBB" w:rsidR="00D460B1" w:rsidRDefault="00D460B1" w:rsidP="00D460B1">
      <w:pPr>
        <w:rPr>
          <w:lang w:val="en-GB"/>
        </w:rPr>
      </w:pPr>
      <w:r>
        <w:rPr>
          <w:lang w:val="en-GB"/>
        </w:rPr>
        <w:t>In some instances, practices chose to only involve some of their nurses in HCH.</w:t>
      </w:r>
      <w:r w:rsidRPr="001959B8">
        <w:rPr>
          <w:lang w:val="en-GB"/>
        </w:rPr>
        <w:t xml:space="preserve"> This limited engagement with HCH by other practice staff </w:t>
      </w:r>
      <w:r w:rsidR="008A2EC8">
        <w:rPr>
          <w:lang w:val="en-GB"/>
        </w:rPr>
        <w:t>and</w:t>
      </w:r>
      <w:r w:rsidRPr="001959B8">
        <w:rPr>
          <w:lang w:val="en-GB"/>
        </w:rPr>
        <w:t xml:space="preserve"> </w:t>
      </w:r>
      <w:r>
        <w:rPr>
          <w:lang w:val="en-GB"/>
        </w:rPr>
        <w:t xml:space="preserve">often created </w:t>
      </w:r>
      <w:r w:rsidRPr="001959B8">
        <w:rPr>
          <w:lang w:val="en-GB"/>
        </w:rPr>
        <w:t>a high workload for those involved</w:t>
      </w:r>
      <w:r>
        <w:rPr>
          <w:lang w:val="en-GB"/>
        </w:rPr>
        <w:t xml:space="preserve">. At the end of the trial, some practices reflected that they should have involved their entire nursing staff to </w:t>
      </w:r>
      <w:r w:rsidR="008A2EC8">
        <w:rPr>
          <w:lang w:val="en-GB"/>
        </w:rPr>
        <w:t>spread</w:t>
      </w:r>
      <w:r>
        <w:rPr>
          <w:lang w:val="en-GB"/>
        </w:rPr>
        <w:t xml:space="preserve"> the responsibility of managing their HCH patients</w:t>
      </w:r>
      <w:r w:rsidRPr="001959B8">
        <w:rPr>
          <w:lang w:val="en-GB"/>
        </w:rPr>
        <w:t>:</w:t>
      </w:r>
    </w:p>
    <w:p w14:paraId="00C1E917" w14:textId="77777777" w:rsidR="00D460B1" w:rsidRDefault="00D460B1" w:rsidP="00D460B1">
      <w:pPr>
        <w:ind w:left="567" w:right="521"/>
        <w:rPr>
          <w:lang w:val="en-GB"/>
        </w:rPr>
      </w:pPr>
      <w:r>
        <w:rPr>
          <w:i/>
          <w:iCs/>
          <w:lang w:val="en-GB"/>
        </w:rPr>
        <w:t>“…</w:t>
      </w:r>
      <w:r w:rsidRPr="00DA09E7">
        <w:rPr>
          <w:i/>
          <w:iCs/>
          <w:lang w:val="en-GB"/>
        </w:rPr>
        <w:t xml:space="preserve"> us not involving the full nursing team was a constraint, as in sharing the load a little bit…</w:t>
      </w:r>
      <w:r w:rsidRPr="00DA09E7">
        <w:rPr>
          <w:i/>
          <w:iCs/>
        </w:rPr>
        <w:t xml:space="preserve"> </w:t>
      </w:r>
      <w:r w:rsidRPr="00DA09E7">
        <w:rPr>
          <w:i/>
          <w:iCs/>
          <w:lang w:val="en-GB"/>
        </w:rPr>
        <w:t>We mainly have two nurses that just look after the Health Care Homes patients. Going forward, that was probably a mistake. We probably should have had the whole nursing team involved…I think if it continued or kept going, we would actually involve the whole nursing team.”</w:t>
      </w:r>
      <w:r>
        <w:rPr>
          <w:lang w:val="en-GB"/>
        </w:rPr>
        <w:t xml:space="preserve"> [Practice Manager, Practice 22, R5]</w:t>
      </w:r>
    </w:p>
    <w:p w14:paraId="2A17C776" w14:textId="08E672BB" w:rsidR="00D460B1" w:rsidRDefault="00D460B1" w:rsidP="00D460B1">
      <w:pPr>
        <w:rPr>
          <w:lang w:val="en-GB"/>
        </w:rPr>
      </w:pPr>
      <w:r>
        <w:rPr>
          <w:lang w:val="en-GB"/>
        </w:rPr>
        <w:t>Practices</w:t>
      </w:r>
      <w:r w:rsidR="002B2571">
        <w:rPr>
          <w:lang w:val="en-GB"/>
        </w:rPr>
        <w:t xml:space="preserve"> said that they didn’t </w:t>
      </w:r>
      <w:r>
        <w:rPr>
          <w:lang w:val="en-GB"/>
        </w:rPr>
        <w:t>involve their entire nurs</w:t>
      </w:r>
      <w:r w:rsidR="002B2571">
        <w:rPr>
          <w:lang w:val="en-GB"/>
        </w:rPr>
        <w:t>ing team</w:t>
      </w:r>
      <w:r>
        <w:rPr>
          <w:lang w:val="en-GB"/>
        </w:rPr>
        <w:t xml:space="preserve"> </w:t>
      </w:r>
      <w:r w:rsidR="002B2571">
        <w:rPr>
          <w:lang w:val="en-GB"/>
        </w:rPr>
        <w:t>due to</w:t>
      </w:r>
      <w:r>
        <w:rPr>
          <w:lang w:val="en-GB"/>
        </w:rPr>
        <w:t xml:space="preserve"> lack of time, concerns around finances and staff turnover.</w:t>
      </w:r>
    </w:p>
    <w:p w14:paraId="6D4BC4DF" w14:textId="046EE76C" w:rsidR="00D460B1" w:rsidRDefault="00D460B1" w:rsidP="00D460B1">
      <w:pPr>
        <w:rPr>
          <w:lang w:val="en-GB"/>
        </w:rPr>
      </w:pPr>
      <w:r w:rsidRPr="00576BAF">
        <w:rPr>
          <w:lang w:val="en-GB"/>
        </w:rPr>
        <w:t xml:space="preserve">Several nurses reflected on how increasing their clinical scope and responsibilities as part of HCH impacted their role. </w:t>
      </w:r>
      <w:r>
        <w:rPr>
          <w:lang w:val="en-GB"/>
        </w:rPr>
        <w:t xml:space="preserve">Perceived benefits </w:t>
      </w:r>
      <w:r w:rsidRPr="00576BAF">
        <w:rPr>
          <w:lang w:val="en-GB"/>
        </w:rPr>
        <w:t xml:space="preserve">included </w:t>
      </w:r>
      <w:r w:rsidR="00D0111B" w:rsidRPr="00576BAF">
        <w:rPr>
          <w:lang w:val="en-GB"/>
        </w:rPr>
        <w:t xml:space="preserve">increased involvement in chronic disease management, </w:t>
      </w:r>
      <w:r w:rsidRPr="00576BAF">
        <w:rPr>
          <w:lang w:val="en-GB"/>
        </w:rPr>
        <w:t xml:space="preserve">stronger relationships with patients, </w:t>
      </w:r>
      <w:r>
        <w:rPr>
          <w:lang w:val="en-GB"/>
        </w:rPr>
        <w:t xml:space="preserve">justification </w:t>
      </w:r>
      <w:r w:rsidR="008A2EC8">
        <w:rPr>
          <w:lang w:val="en-GB"/>
        </w:rPr>
        <w:t>of</w:t>
      </w:r>
      <w:r>
        <w:rPr>
          <w:lang w:val="en-GB"/>
        </w:rPr>
        <w:t xml:space="preserve"> their</w:t>
      </w:r>
      <w:r w:rsidRPr="00576BAF">
        <w:rPr>
          <w:lang w:val="en-GB"/>
        </w:rPr>
        <w:t xml:space="preserve"> time </w:t>
      </w:r>
      <w:r>
        <w:rPr>
          <w:lang w:val="en-GB"/>
        </w:rPr>
        <w:t xml:space="preserve">with the </w:t>
      </w:r>
      <w:r>
        <w:rPr>
          <w:lang w:val="en-GB"/>
        </w:rPr>
        <w:lastRenderedPageBreak/>
        <w:t>bundled payment</w:t>
      </w:r>
      <w:r w:rsidRPr="00576BAF">
        <w:rPr>
          <w:lang w:val="en-GB"/>
        </w:rPr>
        <w:t>, more personalised patient care and enhanced patient monitoring and recalls</w:t>
      </w:r>
      <w:r>
        <w:rPr>
          <w:lang w:val="en-GB"/>
        </w:rPr>
        <w:t>:</w:t>
      </w:r>
    </w:p>
    <w:p w14:paraId="0ECC7D89" w14:textId="77777777" w:rsidR="00D460B1" w:rsidRPr="00AB74C0" w:rsidRDefault="00D460B1" w:rsidP="00D460B1">
      <w:pPr>
        <w:ind w:left="567" w:right="521"/>
        <w:rPr>
          <w:i/>
          <w:iCs/>
          <w:lang w:val="en-GB"/>
        </w:rPr>
      </w:pPr>
      <w:r>
        <w:rPr>
          <w:i/>
          <w:iCs/>
          <w:lang w:val="en-GB"/>
        </w:rPr>
        <w:t>“It’</w:t>
      </w:r>
      <w:r w:rsidRPr="00AB74C0">
        <w:rPr>
          <w:i/>
          <w:iCs/>
          <w:lang w:val="en-GB"/>
        </w:rPr>
        <w:t>s made me more proactive, I would say</w:t>
      </w:r>
      <w:r>
        <w:rPr>
          <w:i/>
          <w:iCs/>
          <w:lang w:val="en-GB"/>
        </w:rPr>
        <w:t>…</w:t>
      </w:r>
      <w:r w:rsidRPr="00AB74C0">
        <w:rPr>
          <w:i/>
          <w:iCs/>
          <w:lang w:val="en-GB"/>
        </w:rPr>
        <w:t>I feel like at the end of the day I’m like, oh, yes</w:t>
      </w:r>
      <w:r>
        <w:rPr>
          <w:i/>
          <w:iCs/>
          <w:lang w:val="en-GB"/>
        </w:rPr>
        <w:t>…</w:t>
      </w:r>
      <w:r w:rsidRPr="00AB74C0">
        <w:rPr>
          <w:i/>
          <w:iCs/>
          <w:lang w:val="en-GB"/>
        </w:rPr>
        <w:t>I’ve done well that day. I’ve done everything that I could have for my patients.</w:t>
      </w:r>
      <w:r>
        <w:rPr>
          <w:i/>
          <w:iCs/>
          <w:lang w:val="en-GB"/>
        </w:rPr>
        <w:t>”</w:t>
      </w:r>
      <w:r w:rsidRPr="00722799">
        <w:rPr>
          <w:lang w:val="en-GB"/>
        </w:rPr>
        <w:t xml:space="preserve"> [Nurse, Practice 10</w:t>
      </w:r>
      <w:r>
        <w:rPr>
          <w:lang w:val="en-GB"/>
        </w:rPr>
        <w:t>, R5</w:t>
      </w:r>
      <w:r w:rsidRPr="00722799">
        <w:rPr>
          <w:lang w:val="en-GB"/>
        </w:rPr>
        <w:t>]</w:t>
      </w:r>
    </w:p>
    <w:p w14:paraId="55F8BCD2" w14:textId="77777777" w:rsidR="00D460B1" w:rsidRDefault="00D460B1" w:rsidP="00D460B1">
      <w:pPr>
        <w:ind w:left="567" w:right="521"/>
        <w:rPr>
          <w:lang w:val="en-GB"/>
        </w:rPr>
      </w:pPr>
      <w:r w:rsidRPr="000E5EC9">
        <w:rPr>
          <w:i/>
          <w:iCs/>
          <w:lang w:val="en-GB"/>
        </w:rPr>
        <w:t>“I just want to add one more thing to let you know what a positive thing was for our nurse practitioners. They were able to see the chronic disease patients. They didn’t have to refer them back to a GP. So, they were able to refer them to the podiatrist and physio, dietician, things like that.”</w:t>
      </w:r>
      <w:r>
        <w:rPr>
          <w:lang w:val="en-GB"/>
        </w:rPr>
        <w:t xml:space="preserve"> [Nurse, Practice 6, R5]</w:t>
      </w:r>
    </w:p>
    <w:p w14:paraId="4270AC24" w14:textId="77777777" w:rsidR="00D460B1" w:rsidRDefault="00D460B1" w:rsidP="00D460B1">
      <w:pPr>
        <w:ind w:left="567" w:right="521"/>
        <w:rPr>
          <w:lang w:val="en-GB"/>
        </w:rPr>
      </w:pPr>
      <w:r w:rsidRPr="00FA2624">
        <w:rPr>
          <w:i/>
          <w:iCs/>
          <w:lang w:val="en-GB"/>
        </w:rPr>
        <w:t>“Well, I don’t think [the nurse is] winning in terms of workload but she’s aware of the aim and the benefit of the program and she’s recognised, with the workload, we discussed with her, she agreed to take on the role. She’s being financially reimbursed for her role as well. We’re happy for her to dedicate her time to Health Care Home patients only so every week she will dedicate specific days, or day, just purely for her Health Care Homes. And as part of the management, I’m more than willing to assist in terms of other resources.”</w:t>
      </w:r>
      <w:r w:rsidRPr="00FA2624">
        <w:rPr>
          <w:lang w:val="en-GB"/>
        </w:rPr>
        <w:t xml:space="preserve"> [Practice Manager, Practice 3</w:t>
      </w:r>
      <w:r>
        <w:rPr>
          <w:lang w:val="en-GB"/>
        </w:rPr>
        <w:t>, R4</w:t>
      </w:r>
      <w:r w:rsidRPr="00FA2624">
        <w:rPr>
          <w:lang w:val="en-GB"/>
        </w:rPr>
        <w:t>]</w:t>
      </w:r>
    </w:p>
    <w:p w14:paraId="7788B179" w14:textId="29DA61E3" w:rsidR="00D460B1" w:rsidRDefault="00D460B1" w:rsidP="00D460B1">
      <w:pPr>
        <w:ind w:right="521"/>
        <w:rPr>
          <w:lang w:val="en-GB"/>
        </w:rPr>
      </w:pPr>
      <w:r>
        <w:rPr>
          <w:lang w:val="en-GB"/>
        </w:rPr>
        <w:t xml:space="preserve">Despite positive reflections by many nurses, it was acknowledged that the program largely increased nurses’ workloads </w:t>
      </w:r>
      <w:r w:rsidRPr="001069B8">
        <w:rPr>
          <w:lang w:val="en-GB"/>
        </w:rPr>
        <w:t>(</w:t>
      </w:r>
      <w:r w:rsidR="00F163F2">
        <w:rPr>
          <w:lang w:val="en-GB"/>
        </w:rPr>
        <w:t>“</w:t>
      </w:r>
      <w:r w:rsidRPr="001069B8">
        <w:rPr>
          <w:i/>
          <w:iCs/>
          <w:lang w:val="en-US"/>
        </w:rPr>
        <w:t>it’s a lot of pressure…</w:t>
      </w:r>
      <w:r w:rsidRPr="001069B8">
        <w:rPr>
          <w:i/>
          <w:iCs/>
          <w:lang w:val="en-GB"/>
        </w:rPr>
        <w:t>”</w:t>
      </w:r>
      <w:r w:rsidRPr="001069B8">
        <w:rPr>
          <w:lang w:val="en-GB"/>
        </w:rPr>
        <w:t xml:space="preserve"> [Nurse, Practice 21, R5])</w:t>
      </w:r>
      <w:r>
        <w:rPr>
          <w:lang w:val="en-GB"/>
        </w:rPr>
        <w:t>. This increase in workload was especially prevalent during the enrolment period.</w:t>
      </w:r>
    </w:p>
    <w:p w14:paraId="5CB11671" w14:textId="77777777" w:rsidR="009309D1" w:rsidRDefault="009309D1" w:rsidP="008604F8">
      <w:pPr>
        <w:pStyle w:val="Heading2"/>
        <w:rPr>
          <w:lang w:val="en-GB"/>
        </w:rPr>
      </w:pPr>
      <w:bookmarkStart w:id="283" w:name="_Toc109996713"/>
      <w:r>
        <w:rPr>
          <w:lang w:val="en-GB"/>
        </w:rPr>
        <w:t>Receptionists and administrative staff</w:t>
      </w:r>
      <w:bookmarkEnd w:id="283"/>
    </w:p>
    <w:p w14:paraId="10B6C5FE" w14:textId="0AE37BD3" w:rsidR="009309D1" w:rsidRDefault="006C7440" w:rsidP="009309D1">
      <w:pPr>
        <w:rPr>
          <w:lang w:val="en-GB"/>
        </w:rPr>
      </w:pPr>
      <w:r>
        <w:rPr>
          <w:lang w:val="en-GB"/>
        </w:rPr>
        <w:t>Only 8 (</w:t>
      </w:r>
      <w:r w:rsidR="0052311C">
        <w:rPr>
          <w:lang w:val="en-GB"/>
        </w:rPr>
        <w:t xml:space="preserve">15.7%) of the </w:t>
      </w:r>
      <w:r w:rsidR="00253EF4">
        <w:rPr>
          <w:lang w:val="en-GB"/>
        </w:rPr>
        <w:t>51</w:t>
      </w:r>
      <w:r w:rsidR="0052311C">
        <w:rPr>
          <w:lang w:val="en-GB"/>
        </w:rPr>
        <w:t xml:space="preserve"> administrative staff </w:t>
      </w:r>
      <w:r w:rsidR="00253EF4">
        <w:rPr>
          <w:lang w:val="en-GB"/>
        </w:rPr>
        <w:t xml:space="preserve">who completed the staff survey in round 5, </w:t>
      </w:r>
      <w:r w:rsidR="0052311C">
        <w:rPr>
          <w:lang w:val="en-GB"/>
        </w:rPr>
        <w:t>report</w:t>
      </w:r>
      <w:r w:rsidR="00DB25E4">
        <w:rPr>
          <w:lang w:val="en-GB"/>
        </w:rPr>
        <w:t>ed</w:t>
      </w:r>
      <w:r w:rsidR="00253EF4">
        <w:rPr>
          <w:lang w:val="en-GB"/>
        </w:rPr>
        <w:t xml:space="preserve"> </w:t>
      </w:r>
      <w:r w:rsidR="00ED3922">
        <w:rPr>
          <w:lang w:val="en-GB"/>
        </w:rPr>
        <w:t xml:space="preserve">their </w:t>
      </w:r>
      <w:r w:rsidR="00DB25E4">
        <w:rPr>
          <w:lang w:val="en-GB"/>
        </w:rPr>
        <w:t>role had changed due to HCH.</w:t>
      </w:r>
      <w:r w:rsidR="001470FB">
        <w:rPr>
          <w:lang w:val="en-GB"/>
        </w:rPr>
        <w:t xml:space="preserve"> </w:t>
      </w:r>
      <w:r w:rsidR="00070B84">
        <w:rPr>
          <w:lang w:val="en-GB"/>
        </w:rPr>
        <w:t>In interviews, a</w:t>
      </w:r>
      <w:r w:rsidR="009309D1">
        <w:rPr>
          <w:lang w:val="en-GB"/>
        </w:rPr>
        <w:t xml:space="preserve">dministrative staff largely </w:t>
      </w:r>
      <w:r w:rsidR="009E24AC">
        <w:rPr>
          <w:lang w:val="en-GB"/>
        </w:rPr>
        <w:t xml:space="preserve">also </w:t>
      </w:r>
      <w:r w:rsidR="009309D1">
        <w:rPr>
          <w:lang w:val="en-GB"/>
        </w:rPr>
        <w:t xml:space="preserve">reported limited changes to their roles with the introduction of HCH in their practices. This was often </w:t>
      </w:r>
      <w:r w:rsidR="006624E0">
        <w:rPr>
          <w:lang w:val="en-GB"/>
        </w:rPr>
        <w:t>because</w:t>
      </w:r>
      <w:r w:rsidR="009309D1">
        <w:rPr>
          <w:lang w:val="en-GB"/>
        </w:rPr>
        <w:t xml:space="preserve"> some practices did not actively involve their administrative staff in HCH, or their HCH </w:t>
      </w:r>
      <w:r w:rsidR="006624E0">
        <w:rPr>
          <w:lang w:val="en-GB"/>
        </w:rPr>
        <w:t xml:space="preserve">patients </w:t>
      </w:r>
      <w:r w:rsidR="009309D1">
        <w:rPr>
          <w:lang w:val="en-GB"/>
        </w:rPr>
        <w:t xml:space="preserve">represented only a small part of their </w:t>
      </w:r>
      <w:r w:rsidR="006624E0">
        <w:rPr>
          <w:lang w:val="en-GB"/>
        </w:rPr>
        <w:t>practice population:</w:t>
      </w:r>
    </w:p>
    <w:p w14:paraId="4ED66C0D" w14:textId="77777777" w:rsidR="009309D1" w:rsidRDefault="009309D1" w:rsidP="00AB14F3">
      <w:pPr>
        <w:ind w:left="567" w:right="521"/>
        <w:rPr>
          <w:lang w:val="en-GB"/>
        </w:rPr>
      </w:pPr>
      <w:r w:rsidRPr="004144E6">
        <w:rPr>
          <w:i/>
          <w:iCs/>
          <w:lang w:val="en-GB"/>
        </w:rPr>
        <w:t xml:space="preserve">“It has engaged our two administration staff into thinking a little bit more about the processes and </w:t>
      </w:r>
      <w:r w:rsidRPr="00AB14F3">
        <w:rPr>
          <w:rFonts w:eastAsia="Times New Roman"/>
          <w:i/>
          <w:iCs/>
          <w:szCs w:val="20"/>
        </w:rPr>
        <w:t>so</w:t>
      </w:r>
      <w:r w:rsidRPr="004144E6">
        <w:rPr>
          <w:i/>
          <w:iCs/>
          <w:lang w:val="en-GB"/>
        </w:rPr>
        <w:t xml:space="preserve"> on as well. Although I don’t think that we have engaged the admin people to the same degree as perhaps is ideal in the whole model.”</w:t>
      </w:r>
      <w:r w:rsidRPr="004144E6">
        <w:rPr>
          <w:lang w:val="en-GB"/>
        </w:rPr>
        <w:t xml:space="preserve"> [GP, Practice 12</w:t>
      </w:r>
      <w:r>
        <w:rPr>
          <w:lang w:val="en-GB"/>
        </w:rPr>
        <w:t>, R4</w:t>
      </w:r>
      <w:r w:rsidRPr="004144E6">
        <w:rPr>
          <w:lang w:val="en-GB"/>
        </w:rPr>
        <w:t xml:space="preserve">] </w:t>
      </w:r>
    </w:p>
    <w:p w14:paraId="12FC1334" w14:textId="77777777" w:rsidR="009309D1" w:rsidRDefault="009309D1" w:rsidP="00AB14F3">
      <w:pPr>
        <w:ind w:left="567" w:right="521"/>
        <w:rPr>
          <w:i/>
          <w:iCs/>
          <w:lang w:val="en-GB"/>
        </w:rPr>
      </w:pPr>
      <w:r>
        <w:rPr>
          <w:i/>
          <w:iCs/>
          <w:lang w:val="en-GB"/>
        </w:rPr>
        <w:t>“</w:t>
      </w:r>
      <w:r w:rsidRPr="00E91A52">
        <w:rPr>
          <w:i/>
          <w:iCs/>
          <w:lang w:val="en-GB"/>
        </w:rPr>
        <w:t xml:space="preserve">It’s sort of once a month checking in and seeing that the jobs have been done to keep things on </w:t>
      </w:r>
      <w:r w:rsidRPr="00AB14F3">
        <w:rPr>
          <w:rFonts w:eastAsia="Times New Roman"/>
          <w:i/>
          <w:iCs/>
          <w:szCs w:val="20"/>
        </w:rPr>
        <w:t>track</w:t>
      </w:r>
      <w:r w:rsidRPr="00E91A52">
        <w:rPr>
          <w:i/>
          <w:iCs/>
          <w:lang w:val="en-GB"/>
        </w:rPr>
        <w:t>. Yes, it’s a very small percentage of my role.</w:t>
      </w:r>
      <w:r>
        <w:rPr>
          <w:i/>
          <w:iCs/>
          <w:lang w:val="en-GB"/>
        </w:rPr>
        <w:t xml:space="preserve">” </w:t>
      </w:r>
      <w:r w:rsidRPr="00E91A52">
        <w:rPr>
          <w:lang w:val="en-GB"/>
        </w:rPr>
        <w:t>[Executive Assistant, Practice 7, R5]</w:t>
      </w:r>
    </w:p>
    <w:p w14:paraId="6B797B9E" w14:textId="66AF5EDC" w:rsidR="009309D1" w:rsidRDefault="00404F18" w:rsidP="009309D1">
      <w:pPr>
        <w:rPr>
          <w:lang w:val="en-GB"/>
        </w:rPr>
      </w:pPr>
      <w:r>
        <w:rPr>
          <w:lang w:val="en-GB"/>
        </w:rPr>
        <w:t>Where</w:t>
      </w:r>
      <w:r w:rsidR="009309D1">
        <w:rPr>
          <w:lang w:val="en-GB"/>
        </w:rPr>
        <w:t xml:space="preserve"> administrative staff</w:t>
      </w:r>
      <w:r>
        <w:rPr>
          <w:lang w:val="en-GB"/>
        </w:rPr>
        <w:t xml:space="preserve"> were involved in HCH they</w:t>
      </w:r>
      <w:r w:rsidR="009309D1">
        <w:rPr>
          <w:lang w:val="en-GB"/>
        </w:rPr>
        <w:t xml:space="preserve"> reported </w:t>
      </w:r>
      <w:r w:rsidR="001133F2">
        <w:rPr>
          <w:lang w:val="en-GB"/>
        </w:rPr>
        <w:t>a</w:t>
      </w:r>
      <w:r w:rsidR="009309D1">
        <w:rPr>
          <w:lang w:val="en-GB"/>
        </w:rPr>
        <w:t xml:space="preserve">ssisting with activities like </w:t>
      </w:r>
      <w:r>
        <w:rPr>
          <w:lang w:val="en-GB"/>
        </w:rPr>
        <w:t>teaching</w:t>
      </w:r>
      <w:r w:rsidR="009309D1">
        <w:rPr>
          <w:lang w:val="en-GB"/>
        </w:rPr>
        <w:t xml:space="preserve"> new staff members about the program</w:t>
      </w:r>
      <w:r w:rsidR="008760A7">
        <w:rPr>
          <w:lang w:val="en-GB"/>
        </w:rPr>
        <w:t xml:space="preserve"> and</w:t>
      </w:r>
      <w:r w:rsidR="009309D1">
        <w:rPr>
          <w:lang w:val="en-GB"/>
        </w:rPr>
        <w:t xml:space="preserve"> supporting staff with administrative tasks such as billing, or ensuring that any patient issues were dealt with by the appropriate staff member</w:t>
      </w:r>
      <w:r w:rsidR="001133F2">
        <w:rPr>
          <w:lang w:val="en-GB"/>
        </w:rPr>
        <w:t>.</w:t>
      </w:r>
    </w:p>
    <w:p w14:paraId="2E885269" w14:textId="7DE61850" w:rsidR="009309D1" w:rsidRDefault="009309D1" w:rsidP="009309D1">
      <w:pPr>
        <w:rPr>
          <w:lang w:val="en-GB"/>
        </w:rPr>
      </w:pPr>
      <w:r>
        <w:rPr>
          <w:lang w:val="en-GB"/>
        </w:rPr>
        <w:t>A few practices stated the program negatively impacted their reception staff by creating more work and adding another layer of complexity to administrative processes</w:t>
      </w:r>
      <w:r w:rsidR="007F2AF9">
        <w:rPr>
          <w:lang w:val="en-GB"/>
        </w:rPr>
        <w:t xml:space="preserve"> by having different systems for different patients within the practice</w:t>
      </w:r>
      <w:r w:rsidR="00DE53EE">
        <w:rPr>
          <w:lang w:val="en-GB"/>
        </w:rPr>
        <w:t>:</w:t>
      </w:r>
    </w:p>
    <w:p w14:paraId="1C461B28" w14:textId="77777777" w:rsidR="00D307D9" w:rsidRDefault="00D307D9" w:rsidP="00D307D9">
      <w:pPr>
        <w:ind w:left="567" w:right="521"/>
        <w:rPr>
          <w:lang w:val="en-GB"/>
        </w:rPr>
      </w:pPr>
      <w:r w:rsidRPr="00E53E84">
        <w:rPr>
          <w:i/>
          <w:iCs/>
          <w:lang w:val="en-GB"/>
        </w:rPr>
        <w:lastRenderedPageBreak/>
        <w:t>“I largely do chronic disease entrants, so I provide admin support, and then falling into the Health Care Homes role just to assist [nurse]. But we had a meet just to talk with [GP] earlier and said that we probably need more of our team to be onboard to help [nurse] and I do it. It’s just too much…”</w:t>
      </w:r>
      <w:r w:rsidRPr="00E53E84">
        <w:rPr>
          <w:lang w:val="en-GB"/>
        </w:rPr>
        <w:t xml:space="preserve"> [Administrative Assistant, Practice 7</w:t>
      </w:r>
      <w:r>
        <w:rPr>
          <w:lang w:val="en-GB"/>
        </w:rPr>
        <w:t>, R4</w:t>
      </w:r>
      <w:r w:rsidRPr="00E53E84">
        <w:rPr>
          <w:lang w:val="en-GB"/>
        </w:rPr>
        <w:t>]</w:t>
      </w:r>
    </w:p>
    <w:p w14:paraId="0EC39288" w14:textId="77777777" w:rsidR="009309D1" w:rsidRDefault="009309D1" w:rsidP="00AB14F3">
      <w:pPr>
        <w:ind w:left="567" w:right="521"/>
        <w:rPr>
          <w:lang w:val="en-GB"/>
        </w:rPr>
      </w:pPr>
      <w:r w:rsidRPr="00DC0420">
        <w:rPr>
          <w:i/>
          <w:iCs/>
          <w:lang w:val="en-GB"/>
        </w:rPr>
        <w:t xml:space="preserve">“I’d say, it </w:t>
      </w:r>
      <w:r w:rsidRPr="00AB14F3">
        <w:rPr>
          <w:rFonts w:eastAsia="Times New Roman"/>
          <w:i/>
          <w:iCs/>
          <w:szCs w:val="20"/>
        </w:rPr>
        <w:t>added</w:t>
      </w:r>
      <w:r w:rsidRPr="00DC0420">
        <w:rPr>
          <w:i/>
          <w:iCs/>
          <w:lang w:val="en-GB"/>
        </w:rPr>
        <w:t xml:space="preserve"> to confusion, particularly for admin team and particularly ones who had been working with us less time. So, if there’s a Health Care Homes patient with a request, it would be common for the receptionist taking that request to not know how to redirect it for a Health Care Homes patient compared to not.”</w:t>
      </w:r>
      <w:r>
        <w:rPr>
          <w:i/>
          <w:iCs/>
          <w:lang w:val="en-GB"/>
        </w:rPr>
        <w:t xml:space="preserve"> </w:t>
      </w:r>
      <w:r>
        <w:rPr>
          <w:lang w:val="en-GB"/>
        </w:rPr>
        <w:t>[GP, Practice 4, R5]</w:t>
      </w:r>
    </w:p>
    <w:p w14:paraId="308A732B" w14:textId="77777777" w:rsidR="00B522BB" w:rsidRDefault="00B522BB" w:rsidP="00B522BB">
      <w:pPr>
        <w:ind w:left="567" w:right="521"/>
        <w:rPr>
          <w:lang w:val="en-GB"/>
        </w:rPr>
      </w:pPr>
      <w:r>
        <w:rPr>
          <w:i/>
          <w:iCs/>
          <w:lang w:val="en-GB"/>
        </w:rPr>
        <w:t>“</w:t>
      </w:r>
      <w:r w:rsidRPr="00AF4ED5">
        <w:rPr>
          <w:i/>
          <w:iCs/>
          <w:lang w:val="en-GB"/>
        </w:rPr>
        <w:t xml:space="preserve">The biggest thing for my reception staff is the extra workload…because all of a sudden we were having to send the patient a copy of their care plans. Whereas, when they came to the surgery </w:t>
      </w:r>
      <w:r w:rsidRPr="00AB14F3">
        <w:rPr>
          <w:rFonts w:eastAsia="Times New Roman"/>
          <w:i/>
          <w:iCs/>
          <w:szCs w:val="20"/>
        </w:rPr>
        <w:t>they</w:t>
      </w:r>
      <w:r w:rsidRPr="00AF4ED5">
        <w:rPr>
          <w:i/>
          <w:iCs/>
          <w:lang w:val="en-GB"/>
        </w:rPr>
        <w:t xml:space="preserve"> would take it out so the reception team, their workload increased a lot. Even the scripts, even though we’ve got the </w:t>
      </w:r>
      <w:proofErr w:type="spellStart"/>
      <w:r w:rsidRPr="00AF4ED5">
        <w:rPr>
          <w:i/>
          <w:iCs/>
          <w:lang w:val="en-GB"/>
        </w:rPr>
        <w:t>eScripts</w:t>
      </w:r>
      <w:proofErr w:type="spellEnd"/>
      <w:r w:rsidRPr="00AF4ED5">
        <w:rPr>
          <w:i/>
          <w:iCs/>
          <w:lang w:val="en-GB"/>
        </w:rPr>
        <w:t xml:space="preserve"> now but going back 12 months ago, we were faxing scripts. Scripts didn’t arrive. It was a nightmare for my reception team. We were I’ll say very stressed. And of course, everyone wanted everything like now and sometimes the doctors would wait until they saw a few patients and then would bring over a pile of things for us to do whereas some patients wanted everything five minutes after they hung up.”</w:t>
      </w:r>
      <w:r>
        <w:rPr>
          <w:lang w:val="en-GB"/>
        </w:rPr>
        <w:t xml:space="preserve"> [Practice Manager, Practice 6, R5]</w:t>
      </w:r>
    </w:p>
    <w:p w14:paraId="7FD928EB" w14:textId="58E03730" w:rsidR="009309D1" w:rsidRDefault="009309D1" w:rsidP="009309D1">
      <w:pPr>
        <w:rPr>
          <w:lang w:val="en-GB"/>
        </w:rPr>
      </w:pPr>
      <w:r>
        <w:rPr>
          <w:lang w:val="en-GB"/>
        </w:rPr>
        <w:t>When discussing the positive impacts of the program on her role, one receptionist felt the program increased her involvement in patient care and enabled her to develop stronger relationships with patients</w:t>
      </w:r>
      <w:r w:rsidR="001F43F8">
        <w:rPr>
          <w:lang w:val="en-GB"/>
        </w:rPr>
        <w:t>:</w:t>
      </w:r>
    </w:p>
    <w:p w14:paraId="4903C472" w14:textId="77777777" w:rsidR="009309D1" w:rsidRPr="00DC0420" w:rsidRDefault="009309D1" w:rsidP="00AB14F3">
      <w:pPr>
        <w:ind w:left="567" w:right="521"/>
        <w:rPr>
          <w:lang w:val="en-GB"/>
        </w:rPr>
      </w:pPr>
      <w:r w:rsidRPr="001C407B">
        <w:rPr>
          <w:i/>
          <w:iCs/>
          <w:lang w:val="en-US"/>
        </w:rPr>
        <w:t>“It does make you feel a bit more included</w:t>
      </w:r>
      <w:r w:rsidRPr="001C407B">
        <w:rPr>
          <w:i/>
          <w:iCs/>
          <w:lang w:val="en-GB"/>
        </w:rPr>
        <w:t xml:space="preserve">…It does make me feel a bit more than just a receptionist. Absolutely, you definitely feel more of a medical administrator than just a receptionist.” </w:t>
      </w:r>
      <w:r>
        <w:rPr>
          <w:lang w:val="en-GB"/>
        </w:rPr>
        <w:t>[Receptionist, Practice 22, R5]</w:t>
      </w:r>
    </w:p>
    <w:p w14:paraId="309413AB" w14:textId="77777777" w:rsidR="009309D1" w:rsidRPr="008B4D82" w:rsidRDefault="009309D1" w:rsidP="008604F8">
      <w:pPr>
        <w:pStyle w:val="Heading2"/>
        <w:rPr>
          <w:lang w:val="en-GB"/>
        </w:rPr>
      </w:pPr>
      <w:bookmarkStart w:id="284" w:name="_Toc109996714"/>
      <w:r>
        <w:rPr>
          <w:lang w:val="en-GB"/>
        </w:rPr>
        <w:t>Practice managers</w:t>
      </w:r>
      <w:bookmarkEnd w:id="284"/>
    </w:p>
    <w:p w14:paraId="3BC3612F" w14:textId="136FF731" w:rsidR="009309D1" w:rsidRDefault="00070B84" w:rsidP="009309D1">
      <w:pPr>
        <w:rPr>
          <w:szCs w:val="20"/>
        </w:rPr>
      </w:pPr>
      <w:r>
        <w:rPr>
          <w:lang w:val="en-GB"/>
        </w:rPr>
        <w:t>In interviews, p</w:t>
      </w:r>
      <w:r w:rsidR="009309D1" w:rsidRPr="008B4D82">
        <w:rPr>
          <w:lang w:val="en-GB"/>
        </w:rPr>
        <w:t>ractice managers reported varying degrees of involvement in HCH</w:t>
      </w:r>
      <w:r w:rsidR="00581991">
        <w:rPr>
          <w:lang w:val="en-GB"/>
        </w:rPr>
        <w:t xml:space="preserve">, which is consistent with the </w:t>
      </w:r>
      <w:r w:rsidR="00825196">
        <w:rPr>
          <w:lang w:val="en-GB"/>
        </w:rPr>
        <w:t>staff surveys w</w:t>
      </w:r>
      <w:r w:rsidR="00D35C13">
        <w:rPr>
          <w:lang w:val="en-GB"/>
        </w:rPr>
        <w:t xml:space="preserve">here only 26% of the 50 </w:t>
      </w:r>
      <w:r w:rsidR="001F1E06">
        <w:rPr>
          <w:lang w:val="en-GB"/>
        </w:rPr>
        <w:t>practice managers who completed the survey indicat</w:t>
      </w:r>
      <w:r w:rsidR="004F64A7">
        <w:rPr>
          <w:lang w:val="en-GB"/>
        </w:rPr>
        <w:t>ed</w:t>
      </w:r>
      <w:r w:rsidR="001F1E06">
        <w:rPr>
          <w:lang w:val="en-GB"/>
        </w:rPr>
        <w:t xml:space="preserve"> their role had change</w:t>
      </w:r>
      <w:r w:rsidR="00715B7E">
        <w:rPr>
          <w:lang w:val="en-GB"/>
        </w:rPr>
        <w:t>d</w:t>
      </w:r>
      <w:r w:rsidR="001F1E06">
        <w:rPr>
          <w:lang w:val="en-GB"/>
        </w:rPr>
        <w:t xml:space="preserve"> as a result of HCH</w:t>
      </w:r>
      <w:r w:rsidR="009309D1" w:rsidRPr="008B4D82">
        <w:rPr>
          <w:lang w:val="en-GB"/>
        </w:rPr>
        <w:t xml:space="preserve">. </w:t>
      </w:r>
      <w:r w:rsidR="00E21047">
        <w:rPr>
          <w:lang w:val="en-GB"/>
        </w:rPr>
        <w:t>S</w:t>
      </w:r>
      <w:r w:rsidR="009309D1" w:rsidRPr="008B4D82">
        <w:rPr>
          <w:lang w:val="en-GB"/>
        </w:rPr>
        <w:t>everal noted limited engagement</w:t>
      </w:r>
      <w:r w:rsidR="009309D1">
        <w:rPr>
          <w:lang w:val="en-GB"/>
        </w:rPr>
        <w:t xml:space="preserve"> </w:t>
      </w:r>
      <w:r w:rsidR="009309D1" w:rsidRPr="008B4D82">
        <w:rPr>
          <w:lang w:val="en-GB"/>
        </w:rPr>
        <w:t xml:space="preserve">beyond managing </w:t>
      </w:r>
      <w:r w:rsidR="00E21047">
        <w:rPr>
          <w:lang w:val="en-GB"/>
        </w:rPr>
        <w:t>billing for HCH</w:t>
      </w:r>
      <w:r w:rsidR="009309D1">
        <w:rPr>
          <w:szCs w:val="20"/>
        </w:rPr>
        <w:t>:</w:t>
      </w:r>
    </w:p>
    <w:p w14:paraId="51742EA6" w14:textId="77777777" w:rsidR="009309D1" w:rsidRDefault="009309D1" w:rsidP="00AB14F3">
      <w:pPr>
        <w:ind w:left="567" w:right="521"/>
        <w:rPr>
          <w:szCs w:val="20"/>
        </w:rPr>
      </w:pPr>
      <w:r w:rsidRPr="008337AB">
        <w:rPr>
          <w:i/>
          <w:iCs/>
          <w:szCs w:val="20"/>
        </w:rPr>
        <w:t xml:space="preserve">“I think just more </w:t>
      </w:r>
      <w:r w:rsidRPr="00AB14F3">
        <w:rPr>
          <w:i/>
          <w:iCs/>
          <w:lang w:val="en-US"/>
        </w:rPr>
        <w:t>that</w:t>
      </w:r>
      <w:r w:rsidRPr="008337AB">
        <w:rPr>
          <w:i/>
          <w:iCs/>
          <w:szCs w:val="20"/>
        </w:rPr>
        <w:t xml:space="preserve"> I probably would like to be more involved personally. I think that I haven’t really made a commitment to be that involved.”</w:t>
      </w:r>
      <w:r>
        <w:rPr>
          <w:szCs w:val="20"/>
        </w:rPr>
        <w:t xml:space="preserve"> [Practice Manager, Practice 22, R5]</w:t>
      </w:r>
    </w:p>
    <w:p w14:paraId="2F576031" w14:textId="7F5B4F61" w:rsidR="00BD45B3" w:rsidRDefault="00BD45B3" w:rsidP="00BD45B3">
      <w:pPr>
        <w:ind w:right="521"/>
        <w:rPr>
          <w:szCs w:val="20"/>
        </w:rPr>
      </w:pPr>
      <w:r>
        <w:rPr>
          <w:szCs w:val="20"/>
        </w:rPr>
        <w:t>Others identified themselves as change leaders within their practices and stated that they were the initial drivers of signing up for the trial and were responsible for initiating important aspects of implementation, such as engaging GPs and staff and setting up internal processes:</w:t>
      </w:r>
    </w:p>
    <w:p w14:paraId="712E89B1" w14:textId="77777777" w:rsidR="009309D1" w:rsidRDefault="009309D1" w:rsidP="00AB14F3">
      <w:pPr>
        <w:ind w:left="567" w:right="521"/>
        <w:rPr>
          <w:lang w:val="en-GB"/>
        </w:rPr>
      </w:pPr>
      <w:r w:rsidRPr="002D6801">
        <w:rPr>
          <w:i/>
          <w:iCs/>
          <w:lang w:val="en-GB"/>
        </w:rPr>
        <w:lastRenderedPageBreak/>
        <w:t>“I was the one that pushed the whole thing… you need someone to head it, you’d have to have the GPs on board, equally on board, to be able to do it.”</w:t>
      </w:r>
      <w:r w:rsidRPr="002D6801">
        <w:rPr>
          <w:lang w:val="en-GB"/>
        </w:rPr>
        <w:t xml:space="preserve"> [Practice Manager, Practice 4</w:t>
      </w:r>
      <w:r>
        <w:rPr>
          <w:lang w:val="en-GB"/>
        </w:rPr>
        <w:t>, R4</w:t>
      </w:r>
      <w:r w:rsidRPr="002D6801">
        <w:rPr>
          <w:lang w:val="en-GB"/>
        </w:rPr>
        <w:t>]</w:t>
      </w:r>
    </w:p>
    <w:p w14:paraId="75E0FD89" w14:textId="3BF59BEA" w:rsidR="009309D1" w:rsidRDefault="009309D1" w:rsidP="009309D1">
      <w:pPr>
        <w:rPr>
          <w:lang w:val="en-GB"/>
        </w:rPr>
      </w:pPr>
      <w:r>
        <w:rPr>
          <w:szCs w:val="20"/>
        </w:rPr>
        <w:t xml:space="preserve">The degree to which practice managers were engaged in the model </w:t>
      </w:r>
      <w:r w:rsidR="005C7C8B">
        <w:rPr>
          <w:szCs w:val="20"/>
        </w:rPr>
        <w:t>when they were not the instigators</w:t>
      </w:r>
      <w:r>
        <w:rPr>
          <w:szCs w:val="20"/>
        </w:rPr>
        <w:t xml:space="preserve"> largely depende</w:t>
      </w:r>
      <w:r w:rsidR="00204417">
        <w:rPr>
          <w:szCs w:val="20"/>
        </w:rPr>
        <w:t>d</w:t>
      </w:r>
      <w:r>
        <w:rPr>
          <w:szCs w:val="20"/>
        </w:rPr>
        <w:t xml:space="preserve"> on </w:t>
      </w:r>
      <w:r w:rsidR="00465BBD">
        <w:rPr>
          <w:szCs w:val="20"/>
        </w:rPr>
        <w:t>how</w:t>
      </w:r>
      <w:r w:rsidR="005C7C8B">
        <w:rPr>
          <w:szCs w:val="20"/>
        </w:rPr>
        <w:t xml:space="preserve"> </w:t>
      </w:r>
      <w:r w:rsidR="00465BBD">
        <w:rPr>
          <w:szCs w:val="20"/>
        </w:rPr>
        <w:t>practice leaders</w:t>
      </w:r>
      <w:r>
        <w:rPr>
          <w:szCs w:val="20"/>
        </w:rPr>
        <w:t xml:space="preserve"> chose to engage their staff in HCH</w:t>
      </w:r>
      <w:r w:rsidR="00465BBD">
        <w:rPr>
          <w:szCs w:val="20"/>
        </w:rPr>
        <w:t xml:space="preserve"> and </w:t>
      </w:r>
      <w:r>
        <w:rPr>
          <w:szCs w:val="20"/>
        </w:rPr>
        <w:t>staff turnover.</w:t>
      </w:r>
    </w:p>
    <w:p w14:paraId="30830753" w14:textId="531A27A0" w:rsidR="009309D1" w:rsidRDefault="00A561EE" w:rsidP="009309D1">
      <w:pPr>
        <w:pStyle w:val="Caption"/>
        <w:rPr>
          <w:sz w:val="20"/>
          <w:szCs w:val="20"/>
        </w:rPr>
      </w:pPr>
      <w:r>
        <w:rPr>
          <w:sz w:val="20"/>
          <w:szCs w:val="20"/>
        </w:rPr>
        <w:t xml:space="preserve"> </w:t>
      </w:r>
    </w:p>
    <w:p w14:paraId="5F34364B" w14:textId="77777777" w:rsidR="00EE51C0" w:rsidRDefault="00EE51C0" w:rsidP="00032A68">
      <w:pPr>
        <w:sectPr w:rsidR="00EE51C0">
          <w:pgSz w:w="11906" w:h="16838"/>
          <w:pgMar w:top="1440" w:right="1440" w:bottom="1440" w:left="1440" w:header="708" w:footer="708" w:gutter="0"/>
          <w:cols w:space="708"/>
          <w:docGrid w:linePitch="360"/>
        </w:sectPr>
      </w:pP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EE51C0" w14:paraId="286C6F92" w14:textId="77777777" w:rsidTr="00256EF9">
        <w:tc>
          <w:tcPr>
            <w:tcW w:w="9016" w:type="dxa"/>
          </w:tcPr>
          <w:p w14:paraId="035AE938" w14:textId="2D71EC74" w:rsidR="00EE51C0" w:rsidRPr="00C71F42" w:rsidRDefault="00EE51C0" w:rsidP="002363F0">
            <w:pPr>
              <w:pStyle w:val="Sectionheading"/>
            </w:pPr>
            <w:r>
              <w:lastRenderedPageBreak/>
              <w:br w:type="page"/>
            </w:r>
            <w:bookmarkStart w:id="285" w:name="_Toc109996715"/>
            <w:r w:rsidRPr="00C71F42">
              <w:t xml:space="preserve">Key evaluation question </w:t>
            </w:r>
            <w:r>
              <w:t>3</w:t>
            </w:r>
            <w:r w:rsidRPr="00C71F42">
              <w:t xml:space="preserve">: </w:t>
            </w:r>
            <w:r w:rsidRPr="00EE51C0">
              <w:t>Do patients enrolled in HCH experience better quality care</w:t>
            </w:r>
            <w:r w:rsidRPr="00C71F42">
              <w:t>?</w:t>
            </w:r>
            <w:bookmarkEnd w:id="285"/>
          </w:p>
          <w:p w14:paraId="041316FD" w14:textId="77777777" w:rsidR="00EE51C0" w:rsidRDefault="005B6744" w:rsidP="00256EF9">
            <w:r w:rsidRPr="005B6744">
              <w:t>The evaluation assess</w:t>
            </w:r>
            <w:r>
              <w:t>ed</w:t>
            </w:r>
            <w:r w:rsidRPr="005B6744">
              <w:t xml:space="preserve"> how the HCH implementation led to enhancements in care planning</w:t>
            </w:r>
            <w:r>
              <w:t xml:space="preserve"> (including patient and carer involvement in planning)</w:t>
            </w:r>
            <w:r w:rsidRPr="005B6744">
              <w:t>, and the extent to which these led to</w:t>
            </w:r>
            <w:r>
              <w:t xml:space="preserve"> improved patient experience and</w:t>
            </w:r>
            <w:r w:rsidRPr="005B6744">
              <w:t xml:space="preserve"> greater levels of patient activation.</w:t>
            </w:r>
            <w:r w:rsidR="00EE51C0">
              <w:t xml:space="preserve"> </w:t>
            </w:r>
          </w:p>
          <w:p w14:paraId="376B0623" w14:textId="52C63C70" w:rsidR="001B37D6" w:rsidRPr="001B37D6" w:rsidRDefault="001B37D6" w:rsidP="001B37D6">
            <w:pPr>
              <w:rPr>
                <w:rFonts w:eastAsia="Muli" w:cs="Muli"/>
                <w:color w:val="000000" w:themeColor="text1"/>
                <w:szCs w:val="20"/>
              </w:rPr>
            </w:pPr>
            <w:r w:rsidRPr="001B37D6">
              <w:rPr>
                <w:rFonts w:eastAsia="Muli" w:cs="Muli"/>
                <w:color w:val="000000" w:themeColor="text1"/>
                <w:szCs w:val="20"/>
              </w:rPr>
              <w:t xml:space="preserve">The chapters in this section answer the following sub-questions of key evaluation question </w:t>
            </w:r>
            <w:r>
              <w:rPr>
                <w:rFonts w:eastAsia="Muli" w:cs="Muli"/>
                <w:color w:val="000000" w:themeColor="text1"/>
                <w:szCs w:val="20"/>
              </w:rPr>
              <w:t>3</w:t>
            </w:r>
            <w:r w:rsidRPr="001B37D6">
              <w:rPr>
                <w:rFonts w:eastAsia="Muli" w:cs="Muli"/>
                <w:color w:val="000000" w:themeColor="text1"/>
                <w:szCs w:val="20"/>
              </w:rPr>
              <w:t>:</w:t>
            </w:r>
          </w:p>
          <w:p w14:paraId="1FD74129" w14:textId="77777777" w:rsidR="001B37D6" w:rsidRPr="001B37D6" w:rsidRDefault="001B37D6" w:rsidP="004D48A4">
            <w:pPr>
              <w:pStyle w:val="ListParagraph"/>
              <w:numPr>
                <w:ilvl w:val="0"/>
                <w:numId w:val="2"/>
              </w:numPr>
              <w:spacing w:after="60"/>
              <w:ind w:left="306" w:hanging="284"/>
              <w:rPr>
                <w:szCs w:val="20"/>
              </w:rPr>
            </w:pPr>
            <w:r w:rsidRPr="001B37D6">
              <w:rPr>
                <w:szCs w:val="20"/>
              </w:rPr>
              <w:t>3.01 What changes occurred in the quality of chronic illness care provided for patients enrolled in the HCH program, and how did these compare with patients receiving care from practices not enrolled in HCH?</w:t>
            </w:r>
          </w:p>
          <w:p w14:paraId="1FEB9092" w14:textId="77777777" w:rsidR="001B37D6" w:rsidRPr="001B37D6" w:rsidRDefault="001B37D6" w:rsidP="004D48A4">
            <w:pPr>
              <w:pStyle w:val="ListParagraph"/>
              <w:numPr>
                <w:ilvl w:val="0"/>
                <w:numId w:val="2"/>
              </w:numPr>
              <w:spacing w:after="60"/>
              <w:ind w:left="306" w:hanging="284"/>
              <w:rPr>
                <w:szCs w:val="20"/>
              </w:rPr>
            </w:pPr>
            <w:r w:rsidRPr="001B37D6">
              <w:rPr>
                <w:szCs w:val="20"/>
              </w:rPr>
              <w:t>3.02 Did patients enrolled in the HCH program have improved access to primary care services, including through alternate ways of accessing the service? How did the use of primary care services change for HCH patients compared with similar patients receiving care from practices not enrolled in HCH? How did use of services from within the HCH practice change? Did the HCH model result in increased continuity in the provision of primary care?</w:t>
            </w:r>
          </w:p>
          <w:p w14:paraId="2B16003D" w14:textId="77777777" w:rsidR="001B37D6" w:rsidRPr="001B37D6" w:rsidRDefault="001B37D6" w:rsidP="004D48A4">
            <w:pPr>
              <w:pStyle w:val="ListParagraph"/>
              <w:numPr>
                <w:ilvl w:val="0"/>
                <w:numId w:val="2"/>
              </w:numPr>
              <w:spacing w:after="60"/>
              <w:ind w:left="306" w:hanging="284"/>
              <w:rPr>
                <w:szCs w:val="20"/>
              </w:rPr>
            </w:pPr>
            <w:r w:rsidRPr="001B37D6">
              <w:rPr>
                <w:szCs w:val="20"/>
              </w:rPr>
              <w:t>3.03 How did the use of secondary care and other community-based services change for HCH patients compared with similar patients in practices not enrolled in HCH? Was there improved coordination of services between primary care and other service providers?</w:t>
            </w:r>
          </w:p>
          <w:p w14:paraId="0613FDC7" w14:textId="77777777" w:rsidR="001B37D6" w:rsidRPr="001B37D6" w:rsidRDefault="001B37D6" w:rsidP="004D48A4">
            <w:pPr>
              <w:pStyle w:val="ListParagraph"/>
              <w:numPr>
                <w:ilvl w:val="0"/>
                <w:numId w:val="2"/>
              </w:numPr>
              <w:spacing w:after="60"/>
              <w:ind w:left="306" w:hanging="284"/>
              <w:rPr>
                <w:szCs w:val="20"/>
              </w:rPr>
            </w:pPr>
            <w:r w:rsidRPr="001B37D6">
              <w:rPr>
                <w:szCs w:val="20"/>
              </w:rPr>
              <w:t>3.04 Were the patients enrolled in the HCH program and their families/ carers more engaged in managing patients’ health needs? What strategies resulted in the greatest impact on patient activation?</w:t>
            </w:r>
          </w:p>
          <w:p w14:paraId="47FB780F" w14:textId="77777777" w:rsidR="001B37D6" w:rsidRPr="001B37D6" w:rsidRDefault="001B37D6" w:rsidP="004D48A4">
            <w:pPr>
              <w:pStyle w:val="ListParagraph"/>
              <w:numPr>
                <w:ilvl w:val="0"/>
                <w:numId w:val="2"/>
              </w:numPr>
              <w:spacing w:after="60"/>
              <w:ind w:left="306" w:hanging="284"/>
              <w:rPr>
                <w:szCs w:val="20"/>
              </w:rPr>
            </w:pPr>
            <w:r w:rsidRPr="001B37D6">
              <w:rPr>
                <w:szCs w:val="20"/>
              </w:rPr>
              <w:t>3.05 Did patients enrolled in the HCH program report an improved experience of primary care, including coordination of their care and communication with their primary care providers? What were the experiences of patients, carers and families in care planning?</w:t>
            </w:r>
          </w:p>
          <w:p w14:paraId="1539BD34" w14:textId="77777777" w:rsidR="001B37D6" w:rsidRPr="001B37D6" w:rsidRDefault="001B37D6" w:rsidP="004D48A4">
            <w:pPr>
              <w:pStyle w:val="ListParagraph"/>
              <w:numPr>
                <w:ilvl w:val="0"/>
                <w:numId w:val="2"/>
              </w:numPr>
              <w:spacing w:after="60"/>
              <w:ind w:left="306" w:hanging="284"/>
              <w:rPr>
                <w:szCs w:val="20"/>
              </w:rPr>
            </w:pPr>
            <w:r w:rsidRPr="001B37D6">
              <w:rPr>
                <w:szCs w:val="20"/>
              </w:rPr>
              <w:t>3.06 How did the utilisation of hospital services (including emergency care), and entry into aged care change for HCH patients compared with similar patients receiving care in practices not enrolled in HCH?</w:t>
            </w:r>
          </w:p>
          <w:p w14:paraId="631C40FD" w14:textId="50A4E66C" w:rsidR="001B37D6" w:rsidRPr="001B37D6" w:rsidRDefault="001B37D6" w:rsidP="004D48A4">
            <w:pPr>
              <w:pStyle w:val="ListParagraph"/>
              <w:numPr>
                <w:ilvl w:val="0"/>
                <w:numId w:val="2"/>
              </w:numPr>
              <w:spacing w:after="60"/>
              <w:ind w:left="306" w:hanging="284"/>
              <w:rPr>
                <w:szCs w:val="20"/>
              </w:rPr>
            </w:pPr>
            <w:r w:rsidRPr="001B37D6">
              <w:rPr>
                <w:szCs w:val="20"/>
              </w:rPr>
              <w:t>3.07 Which patients benefited from the HCH program? Are the benefits of the HCH program similar for patients across categories of disadvantage? Was patient participation in the program maintained through the trial? Were movements of patients between risk tiers appropriate?</w:t>
            </w:r>
            <w:r w:rsidR="00D225A5">
              <w:rPr>
                <w:szCs w:val="20"/>
              </w:rPr>
              <w:t xml:space="preserve"> </w:t>
            </w:r>
            <w:r w:rsidRPr="001B37D6">
              <w:rPr>
                <w:szCs w:val="20"/>
              </w:rPr>
              <w:t>What does this tell us about the potential of the HCH program to improve access to primary health care, particularly for vulnerable and disadvantaged populations, and improved equity in health outcomes?</w:t>
            </w:r>
          </w:p>
          <w:p w14:paraId="51B1ADFC" w14:textId="4DF62697" w:rsidR="001B37D6" w:rsidRPr="008E10EF" w:rsidRDefault="001B37D6" w:rsidP="004D48A4">
            <w:pPr>
              <w:pStyle w:val="ListParagraph"/>
              <w:numPr>
                <w:ilvl w:val="0"/>
                <w:numId w:val="2"/>
              </w:numPr>
              <w:spacing w:after="60"/>
              <w:ind w:left="306" w:hanging="284"/>
            </w:pPr>
            <w:r w:rsidRPr="001B37D6">
              <w:rPr>
                <w:szCs w:val="20"/>
              </w:rPr>
              <w:t>3.08 What preliminary evidence is there of the impact of the HCH program on health outcomes?</w:t>
            </w:r>
          </w:p>
        </w:tc>
      </w:tr>
    </w:tbl>
    <w:p w14:paraId="07B1A347" w14:textId="77777777" w:rsidR="00EE51C0" w:rsidRDefault="00EE51C0" w:rsidP="00032A68">
      <w:pPr>
        <w:sectPr w:rsidR="00EE51C0" w:rsidSect="005B6744">
          <w:headerReference w:type="default" r:id="rId54"/>
          <w:pgSz w:w="11906" w:h="16838"/>
          <w:pgMar w:top="1440" w:right="1440" w:bottom="1440" w:left="1440" w:header="709" w:footer="709" w:gutter="0"/>
          <w:cols w:space="708"/>
          <w:vAlign w:val="center"/>
          <w:docGrid w:linePitch="360"/>
        </w:sectPr>
      </w:pPr>
    </w:p>
    <w:p w14:paraId="482715B2" w14:textId="7F5A10C7" w:rsidR="00FB4507" w:rsidRPr="0094369A" w:rsidRDefault="00FB4507" w:rsidP="00FB4507">
      <w:pPr>
        <w:pStyle w:val="ChapterNumber"/>
      </w:pPr>
      <w:r>
        <w:lastRenderedPageBreak/>
        <w:fldChar w:fldCharType="begin"/>
      </w:r>
      <w:r>
        <w:instrText xml:space="preserve"> REF _Ref84157972 \r \h </w:instrText>
      </w:r>
      <w:r>
        <w:fldChar w:fldCharType="separate"/>
      </w:r>
      <w:r w:rsidR="003C4BC2">
        <w:t>15</w:t>
      </w:r>
      <w:r>
        <w:fldChar w:fldCharType="end"/>
      </w:r>
    </w:p>
    <w:p w14:paraId="1E7833B8" w14:textId="262CD5EC" w:rsidR="00FB4507" w:rsidRDefault="00C90130" w:rsidP="00FB4507">
      <w:pPr>
        <w:pStyle w:val="Heading1withnumber"/>
        <w:ind w:left="0" w:hanging="851"/>
      </w:pPr>
      <w:bookmarkStart w:id="286" w:name="_Ref84157972"/>
      <w:bookmarkStart w:id="287" w:name="_Ref103765169"/>
      <w:bookmarkStart w:id="288" w:name="_Ref103771638"/>
      <w:bookmarkStart w:id="289" w:name="_Ref103771651"/>
      <w:bookmarkStart w:id="290" w:name="_Toc109996716"/>
      <w:r>
        <w:t>C</w:t>
      </w:r>
      <w:r w:rsidR="00883E5E">
        <w:t>hanges t</w:t>
      </w:r>
      <w:r w:rsidR="00BA104E">
        <w:t>o c</w:t>
      </w:r>
      <w:r w:rsidR="00FB4507">
        <w:t xml:space="preserve">hronic disease </w:t>
      </w:r>
      <w:bookmarkEnd w:id="286"/>
      <w:r w:rsidR="00FB4507">
        <w:t>management</w:t>
      </w:r>
      <w:bookmarkEnd w:id="287"/>
      <w:bookmarkEnd w:id="288"/>
      <w:bookmarkEnd w:id="289"/>
      <w:bookmarkEnd w:id="290"/>
      <w:r w:rsidR="00FB4507">
        <w:t xml:space="preserve"> </w:t>
      </w: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B90A66" w:rsidRPr="0048466A" w14:paraId="7DB137AA" w14:textId="77777777" w:rsidTr="0032660B">
        <w:tc>
          <w:tcPr>
            <w:tcW w:w="8996" w:type="dxa"/>
            <w:shd w:val="clear" w:color="auto" w:fill="auto"/>
          </w:tcPr>
          <w:p w14:paraId="785BB06F" w14:textId="67209A27" w:rsidR="00B90A66" w:rsidRPr="006201AB" w:rsidRDefault="00B90A66" w:rsidP="00AF15A5">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22</w:t>
            </w:r>
            <w:r w:rsidRPr="006201AB">
              <w:rPr>
                <w:bCs/>
                <w:noProof/>
              </w:rPr>
              <w:fldChar w:fldCharType="end"/>
            </w:r>
            <w:r w:rsidRPr="006201AB">
              <w:rPr>
                <w:bCs/>
                <w:szCs w:val="20"/>
              </w:rPr>
              <w:t>: Chapter summary</w:t>
            </w:r>
          </w:p>
          <w:p w14:paraId="35DC40DB" w14:textId="7F7B626E" w:rsidR="00B90A66" w:rsidRDefault="00441E78" w:rsidP="00441E78">
            <w:pPr>
              <w:rPr>
                <w:rFonts w:eastAsia="Muli" w:cs="Muli"/>
                <w:color w:val="000000" w:themeColor="text1"/>
                <w:sz w:val="18"/>
                <w:szCs w:val="18"/>
              </w:rPr>
            </w:pPr>
            <w:r w:rsidRPr="00C92AD4">
              <w:rPr>
                <w:rFonts w:eastAsia="Muli" w:cs="Muli"/>
                <w:color w:val="000000" w:themeColor="text1"/>
                <w:sz w:val="18"/>
                <w:szCs w:val="18"/>
              </w:rPr>
              <w:t xml:space="preserve">This </w:t>
            </w:r>
            <w:r w:rsidR="00EB4E3A">
              <w:rPr>
                <w:rFonts w:eastAsia="Muli" w:cs="Muli"/>
                <w:color w:val="000000" w:themeColor="text1"/>
                <w:sz w:val="18"/>
                <w:szCs w:val="18"/>
              </w:rPr>
              <w:t>c</w:t>
            </w:r>
            <w:r w:rsidRPr="00C92AD4">
              <w:rPr>
                <w:rFonts w:eastAsia="Muli" w:cs="Muli"/>
                <w:color w:val="000000" w:themeColor="text1"/>
                <w:sz w:val="18"/>
                <w:szCs w:val="18"/>
              </w:rPr>
              <w:t xml:space="preserve">hapter explores how </w:t>
            </w:r>
            <w:r>
              <w:rPr>
                <w:rFonts w:eastAsia="Muli" w:cs="Muli"/>
                <w:color w:val="000000" w:themeColor="text1"/>
                <w:sz w:val="18"/>
                <w:szCs w:val="18"/>
              </w:rPr>
              <w:t xml:space="preserve">HCH practices managed patients’ chronic diseases, using data extracted from the practices’ </w:t>
            </w:r>
            <w:r w:rsidR="00903B60">
              <w:rPr>
                <w:rFonts w:eastAsia="Muli" w:cs="Muli"/>
                <w:color w:val="000000" w:themeColor="text1"/>
                <w:sz w:val="18"/>
                <w:szCs w:val="18"/>
              </w:rPr>
              <w:t>clinical management system</w:t>
            </w:r>
            <w:r w:rsidRPr="415A915D">
              <w:rPr>
                <w:rFonts w:eastAsia="Muli" w:cs="Muli"/>
                <w:color w:val="000000" w:themeColor="text1"/>
                <w:sz w:val="18"/>
                <w:szCs w:val="18"/>
              </w:rPr>
              <w:t>s.</w:t>
            </w:r>
            <w:r>
              <w:rPr>
                <w:rFonts w:eastAsia="Muli" w:cs="Muli"/>
                <w:color w:val="000000" w:themeColor="text1"/>
                <w:sz w:val="18"/>
                <w:szCs w:val="18"/>
              </w:rPr>
              <w:t xml:space="preserve"> This includes recording of clinical measures and risk factor information</w:t>
            </w:r>
            <w:r w:rsidR="0071460D">
              <w:rPr>
                <w:rFonts w:eastAsia="Muli" w:cs="Muli"/>
                <w:color w:val="000000" w:themeColor="text1"/>
                <w:sz w:val="18"/>
                <w:szCs w:val="18"/>
              </w:rPr>
              <w:t xml:space="preserve"> and</w:t>
            </w:r>
            <w:r>
              <w:rPr>
                <w:rFonts w:eastAsia="Muli" w:cs="Muli"/>
                <w:color w:val="000000" w:themeColor="text1"/>
                <w:sz w:val="18"/>
                <w:szCs w:val="18"/>
              </w:rPr>
              <w:t xml:space="preserve"> access to </w:t>
            </w:r>
            <w:r w:rsidRPr="1EFB62ED">
              <w:rPr>
                <w:rFonts w:eastAsia="Muli" w:cs="Muli"/>
                <w:color w:val="000000" w:themeColor="text1"/>
                <w:sz w:val="18"/>
                <w:szCs w:val="18"/>
              </w:rPr>
              <w:t xml:space="preserve">different modalities of </w:t>
            </w:r>
            <w:r>
              <w:rPr>
                <w:rFonts w:eastAsia="Muli" w:cs="Muli"/>
                <w:color w:val="000000" w:themeColor="text1"/>
                <w:sz w:val="18"/>
                <w:szCs w:val="18"/>
              </w:rPr>
              <w:t>care within the practice</w:t>
            </w:r>
            <w:r w:rsidRPr="415A915D">
              <w:rPr>
                <w:rFonts w:eastAsia="Muli" w:cs="Muli"/>
                <w:color w:val="000000" w:themeColor="text1"/>
                <w:sz w:val="18"/>
                <w:szCs w:val="18"/>
              </w:rPr>
              <w:t>.</w:t>
            </w:r>
            <w:r>
              <w:rPr>
                <w:rFonts w:eastAsia="Muli" w:cs="Muli"/>
                <w:color w:val="000000" w:themeColor="text1"/>
                <w:sz w:val="18"/>
                <w:szCs w:val="18"/>
              </w:rPr>
              <w:t xml:space="preserve"> </w:t>
            </w:r>
            <w:r w:rsidRPr="070704A5">
              <w:rPr>
                <w:rFonts w:eastAsia="Muli" w:cs="Muli"/>
                <w:color w:val="000000" w:themeColor="text1"/>
                <w:sz w:val="18"/>
                <w:szCs w:val="18"/>
              </w:rPr>
              <w:t>Patients enrolled in the HCH program</w:t>
            </w:r>
            <w:r>
              <w:rPr>
                <w:rFonts w:eastAsia="Muli" w:cs="Muli"/>
                <w:color w:val="000000" w:themeColor="text1"/>
                <w:sz w:val="18"/>
                <w:szCs w:val="18"/>
              </w:rPr>
              <w:t xml:space="preserve"> were compared </w:t>
            </w:r>
            <w:r w:rsidR="00EF5A26">
              <w:rPr>
                <w:rFonts w:eastAsia="Muli" w:cs="Muli"/>
                <w:color w:val="000000" w:themeColor="text1"/>
                <w:sz w:val="18"/>
                <w:szCs w:val="18"/>
              </w:rPr>
              <w:t>with</w:t>
            </w:r>
            <w:r>
              <w:rPr>
                <w:rFonts w:eastAsia="Muli" w:cs="Muli"/>
                <w:color w:val="000000" w:themeColor="text1"/>
                <w:sz w:val="18"/>
                <w:szCs w:val="18"/>
              </w:rPr>
              <w:t xml:space="preserve"> </w:t>
            </w:r>
            <w:r w:rsidR="00CA495C">
              <w:rPr>
                <w:rFonts w:eastAsia="Muli" w:cs="Muli"/>
                <w:color w:val="000000" w:themeColor="text1"/>
                <w:sz w:val="18"/>
                <w:szCs w:val="18"/>
              </w:rPr>
              <w:t>“</w:t>
            </w:r>
            <w:r w:rsidR="000E16C4">
              <w:rPr>
                <w:rFonts w:eastAsia="Muli" w:cs="Muli"/>
                <w:color w:val="000000" w:themeColor="text1"/>
                <w:sz w:val="18"/>
                <w:szCs w:val="18"/>
              </w:rPr>
              <w:t>comparator</w:t>
            </w:r>
            <w:r w:rsidR="00CA495C">
              <w:rPr>
                <w:rFonts w:eastAsia="Muli" w:cs="Muli"/>
                <w:color w:val="000000" w:themeColor="text1"/>
                <w:sz w:val="18"/>
                <w:szCs w:val="18"/>
              </w:rPr>
              <w:t>”</w:t>
            </w:r>
            <w:r>
              <w:rPr>
                <w:rFonts w:eastAsia="Muli" w:cs="Muli"/>
                <w:color w:val="000000" w:themeColor="text1"/>
                <w:sz w:val="18"/>
                <w:szCs w:val="18"/>
              </w:rPr>
              <w:t xml:space="preserve"> patients, who were patients at practices not participating in HCH </w:t>
            </w:r>
            <w:r w:rsidRPr="393652BE">
              <w:rPr>
                <w:rFonts w:eastAsia="Muli" w:cs="Muli"/>
                <w:color w:val="000000" w:themeColor="text1"/>
                <w:sz w:val="18"/>
                <w:szCs w:val="18"/>
              </w:rPr>
              <w:t>who</w:t>
            </w:r>
            <w:r>
              <w:rPr>
                <w:rFonts w:eastAsia="Muli" w:cs="Muli"/>
                <w:color w:val="000000" w:themeColor="text1"/>
                <w:sz w:val="18"/>
                <w:szCs w:val="18"/>
              </w:rPr>
              <w:t xml:space="preserve"> had similar </w:t>
            </w:r>
            <w:r w:rsidRPr="393652BE">
              <w:rPr>
                <w:rFonts w:eastAsia="Muli" w:cs="Muli"/>
                <w:color w:val="000000" w:themeColor="text1"/>
                <w:sz w:val="18"/>
                <w:szCs w:val="18"/>
              </w:rPr>
              <w:t xml:space="preserve">demographic and health </w:t>
            </w:r>
            <w:r>
              <w:rPr>
                <w:rFonts w:eastAsia="Muli" w:cs="Muli"/>
                <w:color w:val="000000" w:themeColor="text1"/>
                <w:sz w:val="18"/>
                <w:szCs w:val="18"/>
              </w:rPr>
              <w:t xml:space="preserve">characteristics </w:t>
            </w:r>
            <w:r w:rsidRPr="1F07BCE4">
              <w:rPr>
                <w:rFonts w:eastAsia="Muli" w:cs="Muli"/>
                <w:color w:val="000000" w:themeColor="text1"/>
                <w:sz w:val="18"/>
                <w:szCs w:val="18"/>
              </w:rPr>
              <w:t>to</w:t>
            </w:r>
            <w:r>
              <w:rPr>
                <w:rFonts w:eastAsia="Muli" w:cs="Muli"/>
                <w:color w:val="000000" w:themeColor="text1"/>
                <w:sz w:val="18"/>
                <w:szCs w:val="18"/>
              </w:rPr>
              <w:t xml:space="preserve"> HCH patients </w:t>
            </w:r>
            <w:r w:rsidRPr="7D04FFE0">
              <w:rPr>
                <w:rFonts w:eastAsia="Muli" w:cs="Muli"/>
                <w:color w:val="000000" w:themeColor="text1"/>
                <w:sz w:val="18"/>
                <w:szCs w:val="18"/>
              </w:rPr>
              <w:t>in</w:t>
            </w:r>
            <w:r w:rsidRPr="089AAB12">
              <w:rPr>
                <w:rFonts w:eastAsia="Muli" w:cs="Muli"/>
                <w:color w:val="000000" w:themeColor="text1"/>
                <w:sz w:val="18"/>
                <w:szCs w:val="18"/>
              </w:rPr>
              <w:t xml:space="preserve"> the </w:t>
            </w:r>
            <w:r w:rsidRPr="7D04FFE0">
              <w:rPr>
                <w:rFonts w:eastAsia="Muli" w:cs="Muli"/>
                <w:color w:val="000000" w:themeColor="text1"/>
                <w:sz w:val="18"/>
                <w:szCs w:val="18"/>
              </w:rPr>
              <w:t xml:space="preserve">period </w:t>
            </w:r>
            <w:r w:rsidR="0002675D">
              <w:rPr>
                <w:rFonts w:eastAsia="Muli" w:cs="Muli"/>
                <w:color w:val="000000" w:themeColor="text1"/>
                <w:sz w:val="18"/>
                <w:szCs w:val="18"/>
              </w:rPr>
              <w:t>before</w:t>
            </w:r>
            <w:r w:rsidRPr="089AAB12">
              <w:rPr>
                <w:rFonts w:eastAsia="Muli" w:cs="Muli"/>
                <w:color w:val="000000" w:themeColor="text1"/>
                <w:sz w:val="18"/>
                <w:szCs w:val="18"/>
              </w:rPr>
              <w:t xml:space="preserve"> </w:t>
            </w:r>
            <w:r w:rsidR="004E433C">
              <w:rPr>
                <w:rFonts w:eastAsia="Muli" w:cs="Muli"/>
                <w:color w:val="000000" w:themeColor="text1"/>
                <w:sz w:val="18"/>
                <w:szCs w:val="18"/>
              </w:rPr>
              <w:t>enrolling in</w:t>
            </w:r>
            <w:r w:rsidRPr="089AAB12">
              <w:rPr>
                <w:rFonts w:eastAsia="Muli" w:cs="Muli"/>
                <w:color w:val="000000" w:themeColor="text1"/>
                <w:sz w:val="18"/>
                <w:szCs w:val="18"/>
              </w:rPr>
              <w:t xml:space="preserve"> HCH</w:t>
            </w:r>
            <w:r w:rsidRPr="19E826FD">
              <w:rPr>
                <w:rFonts w:eastAsia="Muli" w:cs="Muli"/>
                <w:color w:val="000000" w:themeColor="text1"/>
                <w:sz w:val="18"/>
                <w:szCs w:val="18"/>
              </w:rPr>
              <w:t>.</w:t>
            </w:r>
            <w:r w:rsidR="00A82A19">
              <w:rPr>
                <w:rFonts w:eastAsia="Muli" w:cs="Muli"/>
                <w:color w:val="000000" w:themeColor="text1"/>
                <w:sz w:val="18"/>
                <w:szCs w:val="18"/>
              </w:rPr>
              <w:t xml:space="preserve"> </w:t>
            </w:r>
            <w:r w:rsidR="00BD200B">
              <w:rPr>
                <w:rFonts w:eastAsia="Muli" w:cs="Muli"/>
                <w:color w:val="000000" w:themeColor="text1"/>
                <w:sz w:val="18"/>
                <w:szCs w:val="18"/>
              </w:rPr>
              <w:t>The m</w:t>
            </w:r>
            <w:r w:rsidR="00B90A66" w:rsidRPr="001129DB">
              <w:rPr>
                <w:rFonts w:eastAsia="Muli" w:cs="Muli"/>
                <w:color w:val="000000" w:themeColor="text1"/>
                <w:sz w:val="18"/>
                <w:szCs w:val="18"/>
              </w:rPr>
              <w:t>ain findings are:</w:t>
            </w:r>
          </w:p>
          <w:p w14:paraId="5DB0E28E" w14:textId="7C740668" w:rsidR="00441E78" w:rsidRPr="008C45E8" w:rsidRDefault="00441E78" w:rsidP="00BB7C8D">
            <w:pPr>
              <w:pStyle w:val="ListParagraph"/>
              <w:numPr>
                <w:ilvl w:val="0"/>
                <w:numId w:val="47"/>
              </w:numPr>
              <w:spacing w:after="120"/>
              <w:ind w:left="714" w:hanging="357"/>
              <w:contextualSpacing w:val="0"/>
              <w:rPr>
                <w:rFonts w:asciiTheme="minorHAnsi" w:eastAsiaTheme="minorEastAsia" w:hAnsiTheme="minorHAnsi"/>
                <w:color w:val="000000" w:themeColor="text1"/>
                <w:sz w:val="18"/>
                <w:szCs w:val="18"/>
              </w:rPr>
            </w:pPr>
            <w:r w:rsidRPr="41BAA38F">
              <w:rPr>
                <w:rFonts w:eastAsia="Muli" w:cs="Muli"/>
                <w:color w:val="000000" w:themeColor="text1"/>
                <w:sz w:val="18"/>
                <w:szCs w:val="18"/>
              </w:rPr>
              <w:t xml:space="preserve">Compared </w:t>
            </w:r>
            <w:r w:rsidR="00395E9A">
              <w:rPr>
                <w:rFonts w:eastAsia="Muli" w:cs="Muli"/>
                <w:color w:val="000000" w:themeColor="text1"/>
                <w:sz w:val="18"/>
                <w:szCs w:val="18"/>
              </w:rPr>
              <w:t>with</w:t>
            </w:r>
            <w:r w:rsidRPr="31A5173D">
              <w:rPr>
                <w:rFonts w:eastAsia="Muli" w:cs="Muli"/>
                <w:color w:val="000000" w:themeColor="text1"/>
                <w:sz w:val="18"/>
                <w:szCs w:val="18"/>
              </w:rPr>
              <w:t xml:space="preserve"> the </w:t>
            </w:r>
            <w:r w:rsidRPr="41BAA38F">
              <w:rPr>
                <w:rFonts w:eastAsia="Muli" w:cs="Muli"/>
                <w:color w:val="000000" w:themeColor="text1"/>
                <w:sz w:val="18"/>
                <w:szCs w:val="18"/>
              </w:rPr>
              <w:t>pre-</w:t>
            </w:r>
            <w:r w:rsidRPr="19E826FD">
              <w:rPr>
                <w:rFonts w:eastAsia="Muli" w:cs="Muli"/>
                <w:color w:val="000000" w:themeColor="text1"/>
                <w:sz w:val="18"/>
                <w:szCs w:val="18"/>
              </w:rPr>
              <w:t>enrolment</w:t>
            </w:r>
            <w:r w:rsidRPr="41BAA38F">
              <w:rPr>
                <w:rFonts w:eastAsia="Muli" w:cs="Muli"/>
                <w:color w:val="000000" w:themeColor="text1"/>
                <w:sz w:val="18"/>
                <w:szCs w:val="18"/>
              </w:rPr>
              <w:t xml:space="preserve"> period</w:t>
            </w:r>
            <w:r w:rsidRPr="19E826FD">
              <w:rPr>
                <w:rFonts w:eastAsia="Muli" w:cs="Muli"/>
                <w:color w:val="000000" w:themeColor="text1"/>
                <w:sz w:val="18"/>
                <w:szCs w:val="18"/>
              </w:rPr>
              <w:t xml:space="preserve">, </w:t>
            </w:r>
            <w:r w:rsidRPr="00A36D0B">
              <w:rPr>
                <w:rFonts w:eastAsia="Muli" w:cs="Muli"/>
                <w:color w:val="000000" w:themeColor="text1"/>
                <w:sz w:val="18"/>
                <w:szCs w:val="18"/>
              </w:rPr>
              <w:t xml:space="preserve">HCH patients tended to have </w:t>
            </w:r>
            <w:r>
              <w:rPr>
                <w:rFonts w:eastAsia="Muli" w:cs="Muli"/>
                <w:color w:val="000000" w:themeColor="text1"/>
                <w:sz w:val="18"/>
                <w:szCs w:val="18"/>
              </w:rPr>
              <w:t>more</w:t>
            </w:r>
            <w:r w:rsidRPr="00A36D0B">
              <w:rPr>
                <w:rFonts w:eastAsia="Muli" w:cs="Muli"/>
                <w:color w:val="000000" w:themeColor="text1"/>
                <w:sz w:val="18"/>
                <w:szCs w:val="18"/>
              </w:rPr>
              <w:t xml:space="preserve"> encounters with </w:t>
            </w:r>
            <w:r w:rsidRPr="089AAB12">
              <w:rPr>
                <w:rFonts w:eastAsia="Muli" w:cs="Muli"/>
                <w:color w:val="000000" w:themeColor="text1"/>
                <w:sz w:val="18"/>
                <w:szCs w:val="18"/>
              </w:rPr>
              <w:t xml:space="preserve">practice </w:t>
            </w:r>
            <w:r w:rsidRPr="00A36D0B">
              <w:rPr>
                <w:rFonts w:eastAsia="Muli" w:cs="Muli"/>
                <w:color w:val="000000" w:themeColor="text1"/>
                <w:sz w:val="18"/>
                <w:szCs w:val="18"/>
              </w:rPr>
              <w:t>GPs</w:t>
            </w:r>
            <w:r w:rsidRPr="1EC57DE4">
              <w:rPr>
                <w:rFonts w:eastAsia="Muli" w:cs="Muli"/>
                <w:color w:val="000000" w:themeColor="text1"/>
                <w:sz w:val="18"/>
                <w:szCs w:val="18"/>
              </w:rPr>
              <w:t xml:space="preserve"> following enrolment</w:t>
            </w:r>
            <w:r w:rsidRPr="41BAA38F">
              <w:rPr>
                <w:rFonts w:eastAsia="Muli" w:cs="Muli"/>
                <w:color w:val="000000" w:themeColor="text1"/>
                <w:sz w:val="18"/>
                <w:szCs w:val="18"/>
              </w:rPr>
              <w:t xml:space="preserve"> </w:t>
            </w:r>
            <w:r w:rsidRPr="089AAB12">
              <w:rPr>
                <w:rFonts w:eastAsia="Muli" w:cs="Muli"/>
                <w:color w:val="000000" w:themeColor="text1"/>
                <w:sz w:val="18"/>
                <w:szCs w:val="18"/>
              </w:rPr>
              <w:t xml:space="preserve">while </w:t>
            </w:r>
            <w:r w:rsidR="000E16C4">
              <w:rPr>
                <w:rFonts w:eastAsia="Muli" w:cs="Muli"/>
                <w:color w:val="000000" w:themeColor="text1"/>
                <w:sz w:val="18"/>
                <w:szCs w:val="18"/>
              </w:rPr>
              <w:t>comparator</w:t>
            </w:r>
            <w:r w:rsidRPr="089AAB12">
              <w:rPr>
                <w:rFonts w:eastAsia="Muli" w:cs="Muli"/>
                <w:color w:val="000000" w:themeColor="text1"/>
                <w:sz w:val="18"/>
                <w:szCs w:val="18"/>
              </w:rPr>
              <w:t xml:space="preserve"> patients tended to have fewer GP </w:t>
            </w:r>
            <w:r w:rsidRPr="008C45E8">
              <w:rPr>
                <w:rFonts w:eastAsia="Muli" w:cs="Muli"/>
                <w:color w:val="000000" w:themeColor="text1"/>
                <w:sz w:val="18"/>
                <w:szCs w:val="18"/>
              </w:rPr>
              <w:t>encounters.</w:t>
            </w:r>
          </w:p>
          <w:p w14:paraId="65F048FC" w14:textId="2F4905CD" w:rsidR="00441E78" w:rsidRPr="008C45E8" w:rsidRDefault="00441E78" w:rsidP="00BB7C8D">
            <w:pPr>
              <w:pStyle w:val="ListParagraph"/>
              <w:numPr>
                <w:ilvl w:val="0"/>
                <w:numId w:val="47"/>
              </w:numPr>
              <w:spacing w:after="120"/>
              <w:ind w:left="714" w:hanging="357"/>
              <w:contextualSpacing w:val="0"/>
              <w:rPr>
                <w:rFonts w:eastAsia="Muli" w:cs="Muli"/>
                <w:color w:val="000000" w:themeColor="text1"/>
                <w:sz w:val="18"/>
                <w:szCs w:val="18"/>
              </w:rPr>
            </w:pPr>
            <w:r w:rsidRPr="008C45E8">
              <w:rPr>
                <w:rFonts w:eastAsia="Muli" w:cs="Muli"/>
                <w:color w:val="000000" w:themeColor="text1"/>
                <w:sz w:val="18"/>
                <w:szCs w:val="18"/>
              </w:rPr>
              <w:t>Following enrolment, the proportion of HCH patients having service encounters with a practice nurse increased.</w:t>
            </w:r>
            <w:r w:rsidR="0071460D">
              <w:rPr>
                <w:rFonts w:eastAsia="Muli" w:cs="Muli"/>
                <w:color w:val="000000" w:themeColor="text1"/>
                <w:sz w:val="18"/>
                <w:szCs w:val="18"/>
              </w:rPr>
              <w:t xml:space="preserve"> </w:t>
            </w:r>
            <w:r w:rsidR="0071460D" w:rsidRPr="0186834E">
              <w:rPr>
                <w:rFonts w:eastAsia="Muli" w:cs="Muli"/>
                <w:color w:val="000000" w:themeColor="text1"/>
                <w:sz w:val="18"/>
                <w:szCs w:val="18"/>
              </w:rPr>
              <w:t xml:space="preserve">This information was not available for </w:t>
            </w:r>
            <w:r w:rsidR="0071460D">
              <w:rPr>
                <w:rFonts w:eastAsia="Muli" w:cs="Muli"/>
                <w:color w:val="000000" w:themeColor="text1"/>
                <w:sz w:val="18"/>
                <w:szCs w:val="18"/>
              </w:rPr>
              <w:t>comparator</w:t>
            </w:r>
            <w:r w:rsidR="0071460D" w:rsidRPr="0186834E">
              <w:rPr>
                <w:rFonts w:eastAsia="Muli" w:cs="Muli"/>
                <w:color w:val="000000" w:themeColor="text1"/>
                <w:sz w:val="18"/>
                <w:szCs w:val="18"/>
              </w:rPr>
              <w:t xml:space="preserve"> patients.</w:t>
            </w:r>
          </w:p>
          <w:p w14:paraId="4E2CDEDC" w14:textId="235AC2FA" w:rsidR="00441E78" w:rsidRPr="00A36D0B" w:rsidRDefault="00441E78" w:rsidP="00BB7C8D">
            <w:pPr>
              <w:pStyle w:val="ListParagraph"/>
              <w:numPr>
                <w:ilvl w:val="0"/>
                <w:numId w:val="47"/>
              </w:numPr>
              <w:spacing w:after="120"/>
              <w:ind w:left="714" w:hanging="357"/>
              <w:contextualSpacing w:val="0"/>
              <w:rPr>
                <w:rFonts w:asciiTheme="minorHAnsi" w:eastAsiaTheme="minorEastAsia" w:hAnsiTheme="minorHAnsi"/>
                <w:color w:val="000000" w:themeColor="text1"/>
                <w:szCs w:val="20"/>
              </w:rPr>
            </w:pPr>
            <w:r w:rsidRPr="00A36D0B">
              <w:rPr>
                <w:rFonts w:eastAsia="Muli" w:cs="Muli"/>
                <w:color w:val="000000" w:themeColor="text1"/>
                <w:sz w:val="18"/>
                <w:szCs w:val="18"/>
              </w:rPr>
              <w:t>A small proportion of HCH patients had encounters with podiatrists, dieticians and psychologists within the HCH practice. This proportion changed very little following enrolment.</w:t>
            </w:r>
            <w:r w:rsidRPr="0186834E">
              <w:rPr>
                <w:rFonts w:eastAsia="Muli" w:cs="Muli"/>
                <w:color w:val="000000" w:themeColor="text1"/>
                <w:sz w:val="18"/>
                <w:szCs w:val="18"/>
              </w:rPr>
              <w:t xml:space="preserve"> This information was not available for </w:t>
            </w:r>
            <w:r w:rsidR="000E16C4">
              <w:rPr>
                <w:rFonts w:eastAsia="Muli" w:cs="Muli"/>
                <w:color w:val="000000" w:themeColor="text1"/>
                <w:sz w:val="18"/>
                <w:szCs w:val="18"/>
              </w:rPr>
              <w:t>comparator</w:t>
            </w:r>
            <w:r w:rsidRPr="0186834E">
              <w:rPr>
                <w:rFonts w:eastAsia="Muli" w:cs="Muli"/>
                <w:color w:val="000000" w:themeColor="text1"/>
                <w:sz w:val="18"/>
                <w:szCs w:val="18"/>
              </w:rPr>
              <w:t xml:space="preserve"> patients.</w:t>
            </w:r>
            <w:r w:rsidR="00BA18F8">
              <w:rPr>
                <w:rFonts w:eastAsia="Muli" w:cs="Muli"/>
                <w:color w:val="000000" w:themeColor="text1"/>
                <w:sz w:val="18"/>
                <w:szCs w:val="18"/>
              </w:rPr>
              <w:t xml:space="preserve"> As shown in </w:t>
            </w:r>
            <w:r w:rsidR="007D130E">
              <w:rPr>
                <w:rFonts w:eastAsia="Muli" w:cs="Muli"/>
                <w:color w:val="000000" w:themeColor="text1"/>
                <w:sz w:val="18"/>
                <w:szCs w:val="18"/>
              </w:rPr>
              <w:t>C</w:t>
            </w:r>
            <w:r w:rsidR="00BA18F8">
              <w:rPr>
                <w:rFonts w:eastAsia="Muli" w:cs="Muli"/>
                <w:color w:val="000000" w:themeColor="text1"/>
                <w:sz w:val="18"/>
                <w:szCs w:val="18"/>
              </w:rPr>
              <w:t xml:space="preserve">hapter </w:t>
            </w:r>
            <w:r w:rsidR="00A102D5">
              <w:rPr>
                <w:rFonts w:eastAsia="Muli" w:cs="Muli"/>
                <w:color w:val="000000" w:themeColor="text1"/>
                <w:sz w:val="18"/>
                <w:szCs w:val="18"/>
              </w:rPr>
              <w:fldChar w:fldCharType="begin"/>
            </w:r>
            <w:r w:rsidR="00A102D5">
              <w:rPr>
                <w:rFonts w:eastAsia="Muli" w:cs="Muli"/>
                <w:color w:val="000000" w:themeColor="text1"/>
                <w:sz w:val="18"/>
                <w:szCs w:val="18"/>
              </w:rPr>
              <w:instrText xml:space="preserve"> REF _Ref82530174 \r \h </w:instrText>
            </w:r>
            <w:r w:rsidR="00A102D5">
              <w:rPr>
                <w:rFonts w:eastAsia="Muli" w:cs="Muli"/>
                <w:color w:val="000000" w:themeColor="text1"/>
                <w:sz w:val="18"/>
                <w:szCs w:val="18"/>
              </w:rPr>
            </w:r>
            <w:r w:rsidR="00A102D5">
              <w:rPr>
                <w:rFonts w:eastAsia="Muli" w:cs="Muli"/>
                <w:color w:val="000000" w:themeColor="text1"/>
                <w:sz w:val="18"/>
                <w:szCs w:val="18"/>
              </w:rPr>
              <w:fldChar w:fldCharType="separate"/>
            </w:r>
            <w:r w:rsidR="003C4BC2">
              <w:rPr>
                <w:rFonts w:eastAsia="Muli" w:cs="Muli"/>
                <w:color w:val="000000" w:themeColor="text1"/>
                <w:sz w:val="18"/>
                <w:szCs w:val="18"/>
              </w:rPr>
              <w:t>18</w:t>
            </w:r>
            <w:r w:rsidR="00A102D5">
              <w:rPr>
                <w:rFonts w:eastAsia="Muli" w:cs="Muli"/>
                <w:color w:val="000000" w:themeColor="text1"/>
                <w:sz w:val="18"/>
                <w:szCs w:val="18"/>
              </w:rPr>
              <w:fldChar w:fldCharType="end"/>
            </w:r>
            <w:r w:rsidR="004C315B">
              <w:rPr>
                <w:rFonts w:eastAsia="Muli" w:cs="Muli"/>
                <w:color w:val="000000" w:themeColor="text1"/>
                <w:sz w:val="18"/>
                <w:szCs w:val="18"/>
              </w:rPr>
              <w:t xml:space="preserve"> (p. </w:t>
            </w:r>
            <w:r w:rsidR="004C315B">
              <w:rPr>
                <w:rFonts w:eastAsia="Muli" w:cs="Muli"/>
                <w:color w:val="000000" w:themeColor="text1"/>
                <w:sz w:val="18"/>
                <w:szCs w:val="18"/>
              </w:rPr>
              <w:fldChar w:fldCharType="begin"/>
            </w:r>
            <w:r w:rsidR="004C315B">
              <w:rPr>
                <w:rFonts w:eastAsia="Muli" w:cs="Muli"/>
                <w:color w:val="000000" w:themeColor="text1"/>
                <w:sz w:val="18"/>
                <w:szCs w:val="18"/>
              </w:rPr>
              <w:instrText xml:space="preserve"> PAGEREF _Ref103765343 \h </w:instrText>
            </w:r>
            <w:r w:rsidR="004C315B">
              <w:rPr>
                <w:rFonts w:eastAsia="Muli" w:cs="Muli"/>
                <w:color w:val="000000" w:themeColor="text1"/>
                <w:sz w:val="18"/>
                <w:szCs w:val="18"/>
              </w:rPr>
            </w:r>
            <w:r w:rsidR="004C315B">
              <w:rPr>
                <w:rFonts w:eastAsia="Muli" w:cs="Muli"/>
                <w:color w:val="000000" w:themeColor="text1"/>
                <w:sz w:val="18"/>
                <w:szCs w:val="18"/>
              </w:rPr>
              <w:fldChar w:fldCharType="separate"/>
            </w:r>
            <w:r w:rsidR="003C4BC2">
              <w:rPr>
                <w:rFonts w:eastAsia="Muli" w:cs="Muli"/>
                <w:noProof/>
                <w:color w:val="000000" w:themeColor="text1"/>
                <w:sz w:val="18"/>
                <w:szCs w:val="18"/>
              </w:rPr>
              <w:t>220</w:t>
            </w:r>
            <w:r w:rsidR="004C315B">
              <w:rPr>
                <w:rFonts w:eastAsia="Muli" w:cs="Muli"/>
                <w:color w:val="000000" w:themeColor="text1"/>
                <w:sz w:val="18"/>
                <w:szCs w:val="18"/>
              </w:rPr>
              <w:fldChar w:fldCharType="end"/>
            </w:r>
            <w:r w:rsidR="004C315B">
              <w:rPr>
                <w:rFonts w:eastAsia="Muli" w:cs="Muli"/>
                <w:color w:val="000000" w:themeColor="text1"/>
                <w:sz w:val="18"/>
                <w:szCs w:val="18"/>
              </w:rPr>
              <w:t>)</w:t>
            </w:r>
            <w:r w:rsidR="00A102D5">
              <w:rPr>
                <w:rFonts w:eastAsia="Muli" w:cs="Muli"/>
                <w:color w:val="000000" w:themeColor="text1"/>
                <w:sz w:val="18"/>
                <w:szCs w:val="18"/>
              </w:rPr>
              <w:t xml:space="preserve">, </w:t>
            </w:r>
            <w:r w:rsidR="003E6B45">
              <w:rPr>
                <w:rFonts w:eastAsia="Muli" w:cs="Muli"/>
                <w:color w:val="000000" w:themeColor="text1"/>
                <w:sz w:val="18"/>
                <w:szCs w:val="18"/>
              </w:rPr>
              <w:t>the p</w:t>
            </w:r>
            <w:r w:rsidR="00DC43BE">
              <w:rPr>
                <w:rFonts w:eastAsia="Muli" w:cs="Muli"/>
                <w:color w:val="000000" w:themeColor="text1"/>
                <w:sz w:val="18"/>
                <w:szCs w:val="18"/>
              </w:rPr>
              <w:t xml:space="preserve">roportion of patients where a claim under Medicare for </w:t>
            </w:r>
            <w:r w:rsidR="003E6B45">
              <w:rPr>
                <w:rFonts w:eastAsia="Muli" w:cs="Muli"/>
                <w:color w:val="000000" w:themeColor="text1"/>
                <w:sz w:val="18"/>
                <w:szCs w:val="18"/>
              </w:rPr>
              <w:t>allied health services increased</w:t>
            </w:r>
            <w:r w:rsidR="00DC43BE">
              <w:rPr>
                <w:rFonts w:eastAsia="Muli" w:cs="Muli"/>
                <w:color w:val="000000" w:themeColor="text1"/>
                <w:sz w:val="18"/>
                <w:szCs w:val="18"/>
              </w:rPr>
              <w:t xml:space="preserve"> </w:t>
            </w:r>
            <w:r w:rsidR="008A04EF">
              <w:rPr>
                <w:rFonts w:eastAsia="Muli" w:cs="Muli"/>
                <w:color w:val="000000" w:themeColor="text1"/>
                <w:sz w:val="18"/>
                <w:szCs w:val="18"/>
              </w:rPr>
              <w:t xml:space="preserve">for HCH patients </w:t>
            </w:r>
            <w:r w:rsidR="00DC43BE">
              <w:rPr>
                <w:rFonts w:eastAsia="Muli" w:cs="Muli"/>
                <w:color w:val="000000" w:themeColor="text1"/>
                <w:sz w:val="18"/>
                <w:szCs w:val="18"/>
              </w:rPr>
              <w:t xml:space="preserve">but decreased for </w:t>
            </w:r>
            <w:r w:rsidR="007D130E">
              <w:rPr>
                <w:rFonts w:eastAsia="Muli" w:cs="Muli"/>
                <w:color w:val="000000" w:themeColor="text1"/>
                <w:sz w:val="18"/>
                <w:szCs w:val="18"/>
              </w:rPr>
              <w:t>comparator</w:t>
            </w:r>
            <w:r w:rsidR="00DC43BE">
              <w:rPr>
                <w:rFonts w:eastAsia="Muli" w:cs="Muli"/>
                <w:color w:val="000000" w:themeColor="text1"/>
                <w:sz w:val="18"/>
                <w:szCs w:val="18"/>
              </w:rPr>
              <w:t xml:space="preserve"> patients.</w:t>
            </w:r>
            <w:r w:rsidR="003E6B45">
              <w:rPr>
                <w:rFonts w:eastAsia="Muli" w:cs="Muli"/>
                <w:color w:val="000000" w:themeColor="text1"/>
                <w:sz w:val="18"/>
                <w:szCs w:val="18"/>
              </w:rPr>
              <w:t xml:space="preserve"> </w:t>
            </w:r>
          </w:p>
          <w:p w14:paraId="2A6E8CAB" w14:textId="7464C739" w:rsidR="00441E78" w:rsidRDefault="00441E78" w:rsidP="00BB7C8D">
            <w:pPr>
              <w:pStyle w:val="ListParagraph"/>
              <w:numPr>
                <w:ilvl w:val="0"/>
                <w:numId w:val="47"/>
              </w:numPr>
              <w:spacing w:after="120"/>
              <w:ind w:left="714" w:hanging="357"/>
              <w:contextualSpacing w:val="0"/>
              <w:rPr>
                <w:rFonts w:eastAsia="Muli" w:cs="Muli"/>
                <w:color w:val="000000" w:themeColor="text1"/>
                <w:sz w:val="18"/>
                <w:szCs w:val="18"/>
              </w:rPr>
            </w:pPr>
            <w:r w:rsidRPr="398497F9">
              <w:rPr>
                <w:rFonts w:eastAsia="Muli" w:cs="Muli"/>
                <w:color w:val="000000" w:themeColor="text1"/>
                <w:sz w:val="18"/>
                <w:szCs w:val="18"/>
              </w:rPr>
              <w:t xml:space="preserve">Greater proportions of </w:t>
            </w:r>
            <w:r>
              <w:rPr>
                <w:rFonts w:eastAsia="Muli" w:cs="Muli"/>
                <w:color w:val="000000" w:themeColor="text1"/>
                <w:sz w:val="18"/>
                <w:szCs w:val="18"/>
              </w:rPr>
              <w:t xml:space="preserve">HCH </w:t>
            </w:r>
            <w:r w:rsidRPr="331A75E1">
              <w:rPr>
                <w:rFonts w:eastAsia="Muli" w:cs="Muli"/>
                <w:color w:val="000000" w:themeColor="text1"/>
                <w:sz w:val="18"/>
                <w:szCs w:val="18"/>
              </w:rPr>
              <w:t xml:space="preserve">than </w:t>
            </w:r>
            <w:r w:rsidR="000E16C4">
              <w:rPr>
                <w:rFonts w:eastAsia="Muli" w:cs="Muli"/>
                <w:color w:val="000000" w:themeColor="text1"/>
                <w:sz w:val="18"/>
                <w:szCs w:val="18"/>
              </w:rPr>
              <w:t>comparator</w:t>
            </w:r>
            <w:r w:rsidRPr="398497F9">
              <w:rPr>
                <w:rFonts w:eastAsia="Muli" w:cs="Muli"/>
                <w:color w:val="000000" w:themeColor="text1"/>
                <w:sz w:val="18"/>
                <w:szCs w:val="18"/>
              </w:rPr>
              <w:t xml:space="preserve"> patients</w:t>
            </w:r>
            <w:r>
              <w:rPr>
                <w:rFonts w:eastAsia="Muli" w:cs="Muli"/>
                <w:color w:val="000000" w:themeColor="text1"/>
                <w:sz w:val="18"/>
                <w:szCs w:val="18"/>
              </w:rPr>
              <w:t xml:space="preserve"> had clinical </w:t>
            </w:r>
            <w:r w:rsidR="0071460D">
              <w:rPr>
                <w:rFonts w:eastAsia="Muli" w:cs="Muli"/>
                <w:color w:val="000000" w:themeColor="text1"/>
                <w:sz w:val="18"/>
                <w:szCs w:val="18"/>
              </w:rPr>
              <w:t>measure</w:t>
            </w:r>
            <w:r>
              <w:rPr>
                <w:rFonts w:eastAsia="Muli" w:cs="Muli"/>
                <w:color w:val="000000" w:themeColor="text1"/>
                <w:sz w:val="18"/>
                <w:szCs w:val="18"/>
              </w:rPr>
              <w:t xml:space="preserve">s, including blood pressure, lipid tests, HbA1c and kidney function tests, </w:t>
            </w:r>
            <w:r w:rsidRPr="398497F9">
              <w:rPr>
                <w:rFonts w:eastAsia="Muli" w:cs="Muli"/>
                <w:color w:val="000000" w:themeColor="text1"/>
                <w:sz w:val="18"/>
                <w:szCs w:val="18"/>
              </w:rPr>
              <w:t xml:space="preserve">recorded </w:t>
            </w:r>
            <w:r>
              <w:rPr>
                <w:rFonts w:eastAsia="Muli" w:cs="Muli"/>
                <w:color w:val="000000" w:themeColor="text1"/>
                <w:sz w:val="18"/>
                <w:szCs w:val="18"/>
              </w:rPr>
              <w:t>in the two years following enrolment.</w:t>
            </w:r>
          </w:p>
          <w:p w14:paraId="6E17416D" w14:textId="24BEFB86" w:rsidR="00441E78" w:rsidRPr="00F609DF" w:rsidRDefault="00441E78" w:rsidP="00BB7C8D">
            <w:pPr>
              <w:pStyle w:val="ListParagraph"/>
              <w:numPr>
                <w:ilvl w:val="0"/>
                <w:numId w:val="47"/>
              </w:numPr>
              <w:spacing w:after="120"/>
              <w:ind w:left="714" w:hanging="357"/>
              <w:contextualSpacing w:val="0"/>
              <w:rPr>
                <w:rFonts w:asciiTheme="minorHAnsi" w:eastAsiaTheme="minorEastAsia" w:hAnsiTheme="minorHAnsi"/>
                <w:color w:val="000000" w:themeColor="text1"/>
                <w:sz w:val="18"/>
                <w:szCs w:val="18"/>
              </w:rPr>
            </w:pPr>
            <w:r>
              <w:rPr>
                <w:rFonts w:eastAsia="Muli" w:cs="Muli"/>
                <w:color w:val="000000" w:themeColor="text1"/>
                <w:sz w:val="18"/>
                <w:szCs w:val="18"/>
              </w:rPr>
              <w:t xml:space="preserve">A larger proportion of HCH patients </w:t>
            </w:r>
            <w:r w:rsidRPr="398497F9">
              <w:rPr>
                <w:rFonts w:eastAsia="Muli" w:cs="Muli"/>
                <w:color w:val="000000" w:themeColor="text1"/>
                <w:sz w:val="18"/>
                <w:szCs w:val="18"/>
              </w:rPr>
              <w:t xml:space="preserve">than </w:t>
            </w:r>
            <w:r w:rsidR="000E16C4">
              <w:rPr>
                <w:rFonts w:eastAsia="Muli" w:cs="Muli"/>
                <w:color w:val="000000" w:themeColor="text1"/>
                <w:sz w:val="18"/>
                <w:szCs w:val="18"/>
              </w:rPr>
              <w:t>comparator</w:t>
            </w:r>
            <w:r w:rsidRPr="398497F9">
              <w:rPr>
                <w:rFonts w:eastAsia="Muli" w:cs="Muli"/>
                <w:color w:val="000000" w:themeColor="text1"/>
                <w:sz w:val="18"/>
                <w:szCs w:val="18"/>
              </w:rPr>
              <w:t xml:space="preserve"> patients </w:t>
            </w:r>
            <w:r>
              <w:rPr>
                <w:rFonts w:eastAsia="Muli" w:cs="Muli"/>
                <w:color w:val="000000" w:themeColor="text1"/>
                <w:sz w:val="18"/>
                <w:szCs w:val="18"/>
              </w:rPr>
              <w:t>received an annual influenza vaccination</w:t>
            </w:r>
            <w:r w:rsidRPr="398497F9">
              <w:rPr>
                <w:rFonts w:eastAsia="Muli" w:cs="Muli"/>
                <w:color w:val="000000" w:themeColor="text1"/>
                <w:sz w:val="18"/>
                <w:szCs w:val="18"/>
              </w:rPr>
              <w:t>.</w:t>
            </w:r>
          </w:p>
          <w:p w14:paraId="68C49897" w14:textId="77777777" w:rsidR="00EF5A26" w:rsidRPr="009A50AA" w:rsidRDefault="00441E78" w:rsidP="00BB7C8D">
            <w:pPr>
              <w:pStyle w:val="ListParagraph"/>
              <w:numPr>
                <w:ilvl w:val="0"/>
                <w:numId w:val="47"/>
              </w:numPr>
              <w:spacing w:after="120"/>
              <w:ind w:left="714" w:hanging="357"/>
              <w:contextualSpacing w:val="0"/>
              <w:rPr>
                <w:rFonts w:eastAsia="Muli" w:cs="Muli"/>
                <w:color w:val="000000" w:themeColor="text1"/>
                <w:sz w:val="18"/>
                <w:szCs w:val="18"/>
              </w:rPr>
            </w:pPr>
            <w:r>
              <w:rPr>
                <w:rFonts w:eastAsia="Muli" w:cs="Muli"/>
                <w:sz w:val="18"/>
                <w:szCs w:val="18"/>
              </w:rPr>
              <w:t>Among</w:t>
            </w:r>
            <w:r w:rsidRPr="7620C380">
              <w:rPr>
                <w:rFonts w:eastAsia="Muli" w:cs="Muli"/>
                <w:sz w:val="18"/>
                <w:szCs w:val="18"/>
              </w:rPr>
              <w:t xml:space="preserve"> HCH</w:t>
            </w:r>
            <w:r>
              <w:rPr>
                <w:rFonts w:eastAsia="Muli" w:cs="Muli"/>
                <w:sz w:val="18"/>
                <w:szCs w:val="18"/>
              </w:rPr>
              <w:t xml:space="preserve"> patients with type 2 diabetes who had records of blood pressure and HbA1c tests, </w:t>
            </w:r>
            <w:r w:rsidRPr="7620C380">
              <w:rPr>
                <w:rFonts w:eastAsia="Muli" w:cs="Muli"/>
                <w:sz w:val="18"/>
                <w:szCs w:val="18"/>
              </w:rPr>
              <w:t xml:space="preserve">the </w:t>
            </w:r>
            <w:r>
              <w:rPr>
                <w:rFonts w:eastAsia="Muli" w:cs="Muli"/>
                <w:sz w:val="18"/>
                <w:szCs w:val="18"/>
              </w:rPr>
              <w:t xml:space="preserve">proportion of patients achieving targeted </w:t>
            </w:r>
            <w:r w:rsidRPr="00573B69">
              <w:rPr>
                <w:rFonts w:eastAsia="Muli" w:cs="Muli"/>
                <w:sz w:val="18"/>
                <w:szCs w:val="18"/>
              </w:rPr>
              <w:t>blood pressure</w:t>
            </w:r>
            <w:r>
              <w:rPr>
                <w:rFonts w:eastAsia="Muli" w:cs="Muli"/>
                <w:sz w:val="18"/>
                <w:szCs w:val="18"/>
              </w:rPr>
              <w:t xml:space="preserve"> (&lt;130/80mmHg) and</w:t>
            </w:r>
            <w:r w:rsidRPr="00573B69">
              <w:rPr>
                <w:rFonts w:eastAsia="Muli" w:cs="Muli"/>
                <w:sz w:val="18"/>
                <w:szCs w:val="18"/>
              </w:rPr>
              <w:t xml:space="preserve"> </w:t>
            </w:r>
            <w:r>
              <w:rPr>
                <w:rFonts w:eastAsia="Muli" w:cs="Muli"/>
                <w:sz w:val="18"/>
                <w:szCs w:val="18"/>
              </w:rPr>
              <w:t>targeted glycaemic control (</w:t>
            </w:r>
            <w:r w:rsidRPr="00573B69">
              <w:rPr>
                <w:rFonts w:eastAsia="Muli" w:cs="Muli"/>
                <w:sz w:val="18"/>
                <w:szCs w:val="18"/>
              </w:rPr>
              <w:t xml:space="preserve">HbA1c </w:t>
            </w:r>
            <w:r>
              <w:rPr>
                <w:rFonts w:eastAsia="Muli" w:cs="Muli"/>
                <w:sz w:val="18"/>
                <w:szCs w:val="18"/>
              </w:rPr>
              <w:t>≤7%)</w:t>
            </w:r>
            <w:r w:rsidRPr="00573B69">
              <w:rPr>
                <w:rFonts w:eastAsia="Muli" w:cs="Muli"/>
                <w:sz w:val="18"/>
                <w:szCs w:val="18"/>
              </w:rPr>
              <w:t xml:space="preserve"> within the two years following enrolment </w:t>
            </w:r>
            <w:r w:rsidRPr="40418740">
              <w:rPr>
                <w:rFonts w:eastAsia="Muli" w:cs="Muli"/>
                <w:sz w:val="18"/>
                <w:szCs w:val="18"/>
              </w:rPr>
              <w:t>did not change.</w:t>
            </w:r>
          </w:p>
          <w:p w14:paraId="026F2A2A" w14:textId="6F86EB84" w:rsidR="009A50AA" w:rsidRPr="009A50AA" w:rsidRDefault="00A615A1" w:rsidP="00BC3D21">
            <w:pPr>
              <w:spacing w:after="120"/>
              <w:rPr>
                <w:rFonts w:eastAsia="Muli" w:cs="Muli"/>
                <w:color w:val="000000" w:themeColor="text1"/>
                <w:sz w:val="18"/>
                <w:szCs w:val="18"/>
              </w:rPr>
            </w:pPr>
            <w:r w:rsidRPr="005405DB">
              <w:rPr>
                <w:rFonts w:eastAsia="Muli" w:cs="Muli"/>
                <w:color w:val="000000" w:themeColor="text1"/>
                <w:sz w:val="18"/>
                <w:szCs w:val="18"/>
              </w:rPr>
              <w:t xml:space="preserve">Differences in process of care between HCH and comparator patients seen in the post-enrolment period may be attributable to HCH but may also reflect </w:t>
            </w:r>
            <w:r w:rsidR="007B2FB2" w:rsidRPr="005405DB">
              <w:rPr>
                <w:rFonts w:eastAsia="Muli" w:cs="Muli"/>
                <w:color w:val="000000" w:themeColor="text1"/>
                <w:sz w:val="18"/>
                <w:szCs w:val="18"/>
              </w:rPr>
              <w:t xml:space="preserve">a focus on improving quality and completeness of data </w:t>
            </w:r>
            <w:r w:rsidR="0057432D" w:rsidRPr="005405DB">
              <w:rPr>
                <w:rFonts w:eastAsia="Muli" w:cs="Muli"/>
                <w:color w:val="000000" w:themeColor="text1"/>
                <w:sz w:val="18"/>
                <w:szCs w:val="18"/>
              </w:rPr>
              <w:t xml:space="preserve">as part of the </w:t>
            </w:r>
            <w:r w:rsidR="000A362E">
              <w:rPr>
                <w:rFonts w:eastAsia="Muli" w:cs="Muli"/>
                <w:color w:val="000000" w:themeColor="text1"/>
                <w:sz w:val="18"/>
                <w:szCs w:val="18"/>
              </w:rPr>
              <w:t>HCH trial</w:t>
            </w:r>
            <w:r w:rsidR="0057432D" w:rsidRPr="005405DB">
              <w:rPr>
                <w:rFonts w:eastAsia="Muli" w:cs="Muli"/>
                <w:color w:val="000000" w:themeColor="text1"/>
                <w:sz w:val="18"/>
                <w:szCs w:val="18"/>
              </w:rPr>
              <w:t>. This included an awareness that d</w:t>
            </w:r>
            <w:r w:rsidRPr="005405DB">
              <w:rPr>
                <w:rFonts w:eastAsia="Muli" w:cs="Muli"/>
                <w:color w:val="000000" w:themeColor="text1"/>
                <w:sz w:val="18"/>
                <w:szCs w:val="18"/>
              </w:rPr>
              <w:t xml:space="preserve">ata would be </w:t>
            </w:r>
            <w:r w:rsidR="0057432D" w:rsidRPr="005405DB">
              <w:rPr>
                <w:rFonts w:eastAsia="Muli" w:cs="Muli"/>
                <w:color w:val="000000" w:themeColor="text1"/>
                <w:sz w:val="18"/>
                <w:szCs w:val="18"/>
              </w:rPr>
              <w:t>used for risk stratification and care plans</w:t>
            </w:r>
            <w:r w:rsidR="000A362E">
              <w:rPr>
                <w:rFonts w:eastAsia="Muli" w:cs="Muli"/>
                <w:color w:val="000000" w:themeColor="text1"/>
                <w:sz w:val="18"/>
                <w:szCs w:val="18"/>
              </w:rPr>
              <w:t xml:space="preserve"> (</w:t>
            </w:r>
            <w:r w:rsidR="0057432D" w:rsidRPr="005405DB">
              <w:rPr>
                <w:rFonts w:eastAsia="Muli" w:cs="Muli"/>
                <w:color w:val="000000" w:themeColor="text1"/>
                <w:sz w:val="18"/>
                <w:szCs w:val="18"/>
              </w:rPr>
              <w:t>including shared care plans</w:t>
            </w:r>
            <w:r w:rsidR="000A362E">
              <w:rPr>
                <w:rFonts w:eastAsia="Muli" w:cs="Muli"/>
                <w:color w:val="000000" w:themeColor="text1"/>
                <w:sz w:val="18"/>
                <w:szCs w:val="18"/>
              </w:rPr>
              <w:t>)</w:t>
            </w:r>
            <w:r w:rsidR="0057432D" w:rsidRPr="005405DB">
              <w:rPr>
                <w:rFonts w:eastAsia="Muli" w:cs="Muli"/>
                <w:color w:val="000000" w:themeColor="text1"/>
                <w:sz w:val="18"/>
                <w:szCs w:val="18"/>
              </w:rPr>
              <w:t xml:space="preserve">. Practices were also </w:t>
            </w:r>
            <w:r w:rsidR="00BC3D21" w:rsidRPr="005405DB">
              <w:rPr>
                <w:rFonts w:eastAsia="Muli" w:cs="Muli"/>
                <w:color w:val="000000" w:themeColor="text1"/>
                <w:sz w:val="18"/>
                <w:szCs w:val="18"/>
              </w:rPr>
              <w:t>aware</w:t>
            </w:r>
            <w:r w:rsidR="0057432D" w:rsidRPr="005405DB">
              <w:rPr>
                <w:rFonts w:eastAsia="Muli" w:cs="Muli"/>
                <w:color w:val="000000" w:themeColor="text1"/>
                <w:sz w:val="18"/>
                <w:szCs w:val="18"/>
              </w:rPr>
              <w:t xml:space="preserve"> that data would be collated </w:t>
            </w:r>
            <w:r w:rsidR="00E16026" w:rsidRPr="005405DB">
              <w:rPr>
                <w:rFonts w:eastAsia="Muli" w:cs="Muli"/>
                <w:color w:val="000000" w:themeColor="text1"/>
                <w:sz w:val="18"/>
                <w:szCs w:val="18"/>
              </w:rPr>
              <w:t xml:space="preserve">for evaluation purposes and </w:t>
            </w:r>
            <w:r w:rsidR="000A362E">
              <w:rPr>
                <w:rFonts w:eastAsia="Muli" w:cs="Muli"/>
                <w:color w:val="000000" w:themeColor="text1"/>
                <w:sz w:val="18"/>
                <w:szCs w:val="18"/>
              </w:rPr>
              <w:t xml:space="preserve">preparation of </w:t>
            </w:r>
            <w:r w:rsidR="005E4B78" w:rsidRPr="005405DB">
              <w:rPr>
                <w:rFonts w:eastAsia="Muli" w:cs="Muli"/>
                <w:color w:val="000000" w:themeColor="text1"/>
                <w:sz w:val="18"/>
                <w:szCs w:val="18"/>
              </w:rPr>
              <w:t>benchmark reports</w:t>
            </w:r>
            <w:r w:rsidR="00E16026" w:rsidRPr="005405DB">
              <w:rPr>
                <w:rFonts w:eastAsia="Muli" w:cs="Muli"/>
                <w:color w:val="000000" w:themeColor="text1"/>
                <w:sz w:val="18"/>
                <w:szCs w:val="18"/>
              </w:rPr>
              <w:t xml:space="preserve"> </w:t>
            </w:r>
            <w:r w:rsidR="000A362E">
              <w:rPr>
                <w:rFonts w:eastAsia="Muli" w:cs="Muli"/>
                <w:color w:val="000000" w:themeColor="text1"/>
                <w:sz w:val="18"/>
                <w:szCs w:val="18"/>
              </w:rPr>
              <w:t>comparing</w:t>
            </w:r>
            <w:r w:rsidR="00BC3D21" w:rsidRPr="005405DB">
              <w:rPr>
                <w:rFonts w:eastAsia="Muli" w:cs="Muli"/>
                <w:color w:val="000000" w:themeColor="text1"/>
                <w:sz w:val="18"/>
                <w:szCs w:val="18"/>
              </w:rPr>
              <w:t xml:space="preserve"> the</w:t>
            </w:r>
            <w:r w:rsidR="00564912" w:rsidRPr="005405DB">
              <w:rPr>
                <w:rFonts w:eastAsia="Muli" w:cs="Muli"/>
                <w:color w:val="000000" w:themeColor="text1"/>
                <w:sz w:val="18"/>
                <w:szCs w:val="18"/>
              </w:rPr>
              <w:t xml:space="preserve"> completeness of data.</w:t>
            </w:r>
            <w:r w:rsidRPr="005405DB">
              <w:rPr>
                <w:rFonts w:eastAsia="Muli" w:cs="Muli"/>
                <w:color w:val="000000" w:themeColor="text1"/>
                <w:sz w:val="18"/>
                <w:szCs w:val="18"/>
              </w:rPr>
              <w:t xml:space="preserve"> </w:t>
            </w:r>
          </w:p>
        </w:tc>
      </w:tr>
    </w:tbl>
    <w:p w14:paraId="12B16D9F" w14:textId="0CEA8B72" w:rsidR="009A50AA" w:rsidRDefault="009A50AA" w:rsidP="00B90A66">
      <w:pPr>
        <w:spacing w:after="0"/>
        <w:rPr>
          <w:rFonts w:eastAsia="Muli" w:cs="Muli"/>
          <w:color w:val="000000" w:themeColor="text1"/>
          <w:szCs w:val="20"/>
        </w:rPr>
      </w:pPr>
    </w:p>
    <w:p w14:paraId="1CF45A2D" w14:textId="77777777" w:rsidR="009A50AA" w:rsidRDefault="009A50AA">
      <w:pPr>
        <w:spacing w:after="160" w:line="259" w:lineRule="auto"/>
        <w:rPr>
          <w:rFonts w:eastAsia="Muli" w:cs="Muli"/>
          <w:color w:val="000000" w:themeColor="text1"/>
          <w:szCs w:val="20"/>
        </w:rPr>
      </w:pPr>
      <w:r>
        <w:rPr>
          <w:rFonts w:eastAsia="Muli" w:cs="Muli"/>
          <w:color w:val="000000" w:themeColor="text1"/>
          <w:szCs w:val="20"/>
        </w:rPr>
        <w:br w:type="page"/>
      </w:r>
    </w:p>
    <w:p w14:paraId="262AE51B" w14:textId="77777777" w:rsidR="00101336" w:rsidRDefault="00101336" w:rsidP="00101336">
      <w:pPr>
        <w:pStyle w:val="Heading2"/>
        <w:rPr>
          <w:rFonts w:eastAsia="Muli"/>
        </w:rPr>
      </w:pPr>
      <w:bookmarkStart w:id="291" w:name="_Toc109996717"/>
      <w:r>
        <w:rPr>
          <w:rFonts w:eastAsia="Muli"/>
        </w:rPr>
        <w:lastRenderedPageBreak/>
        <w:t>Measuring changes in chronic disease management</w:t>
      </w:r>
      <w:bookmarkEnd w:id="291"/>
    </w:p>
    <w:p w14:paraId="44BEDDF1" w14:textId="45088944" w:rsidR="005657CF" w:rsidRDefault="00E778E1" w:rsidP="00C66B9E">
      <w:r>
        <w:t>C</w:t>
      </w:r>
      <w:r w:rsidR="00101336" w:rsidRPr="415A915D">
        <w:t xml:space="preserve">hanges in management of chronic conditions within </w:t>
      </w:r>
      <w:r w:rsidR="00101336">
        <w:t>HCH</w:t>
      </w:r>
      <w:r w:rsidR="00101336" w:rsidRPr="415A915D">
        <w:t xml:space="preserve"> practices</w:t>
      </w:r>
      <w:r>
        <w:t xml:space="preserve"> were assessed using </w:t>
      </w:r>
      <w:r w:rsidR="00101336" w:rsidRPr="415A915D">
        <w:t xml:space="preserve">data </w:t>
      </w:r>
      <w:r>
        <w:t xml:space="preserve">extracted </w:t>
      </w:r>
      <w:r w:rsidR="00101336">
        <w:t>from</w:t>
      </w:r>
      <w:r w:rsidR="00101336" w:rsidRPr="415A915D">
        <w:t xml:space="preserve"> the </w:t>
      </w:r>
      <w:r w:rsidR="00101336">
        <w:t>HCH</w:t>
      </w:r>
      <w:r w:rsidR="00101336" w:rsidRPr="415A915D">
        <w:t xml:space="preserve"> practices’ </w:t>
      </w:r>
      <w:r w:rsidR="00903B60">
        <w:t>clinical management system</w:t>
      </w:r>
      <w:r w:rsidR="00101336" w:rsidRPr="415A915D">
        <w:t xml:space="preserve">s. </w:t>
      </w:r>
      <w:r w:rsidR="005657CF">
        <w:t>The sources of these data</w:t>
      </w:r>
      <w:r w:rsidR="001162A9">
        <w:t xml:space="preserve"> and method used to </w:t>
      </w:r>
      <w:r w:rsidR="0087413E">
        <w:t xml:space="preserve">harmonise </w:t>
      </w:r>
      <w:r w:rsidR="00374989">
        <w:t xml:space="preserve">these data are described in </w:t>
      </w:r>
      <w:r w:rsidR="00B93A94">
        <w:t>Chapter 2 of Volume 3 of the evaluation report.</w:t>
      </w:r>
      <w:r w:rsidR="0094400D">
        <w:t xml:space="preserve"> </w:t>
      </w:r>
    </w:p>
    <w:p w14:paraId="56A3F6E1" w14:textId="2571AA01" w:rsidR="00101336" w:rsidRDefault="00101336" w:rsidP="00C66B9E">
      <w:r w:rsidRPr="415A915D">
        <w:t xml:space="preserve">This </w:t>
      </w:r>
      <w:r w:rsidR="009904F8">
        <w:t xml:space="preserve">practice data extracts </w:t>
      </w:r>
      <w:r w:rsidRPr="415A915D">
        <w:t xml:space="preserve">included information on recorded diagnoses and risk factors, clinical </w:t>
      </w:r>
      <w:r w:rsidR="0071460D">
        <w:t>measure</w:t>
      </w:r>
      <w:r w:rsidRPr="415A915D">
        <w:t xml:space="preserve">s, results of pathology tests, and the reason for and type of encounter. Data on </w:t>
      </w:r>
      <w:r>
        <w:t>HCH</w:t>
      </w:r>
      <w:r w:rsidRPr="415A915D">
        <w:t xml:space="preserve"> patients were extracted </w:t>
      </w:r>
      <w:r>
        <w:t xml:space="preserve">via third party </w:t>
      </w:r>
      <w:r w:rsidRPr="415A915D">
        <w:t>software</w:t>
      </w:r>
      <w:r w:rsidR="008B3E94">
        <w:t>,</w:t>
      </w:r>
      <w:r>
        <w:t xml:space="preserve"> including </w:t>
      </w:r>
      <w:r w:rsidR="0091323C">
        <w:t>Pen CS</w:t>
      </w:r>
      <w:r>
        <w:t>, POLAR and Sonic Clinical Service’s Independent Practitioner Network</w:t>
      </w:r>
      <w:r w:rsidRPr="415A915D">
        <w:t xml:space="preserve">, with regular </w:t>
      </w:r>
      <w:r w:rsidRPr="69A6259D">
        <w:t xml:space="preserve">updates </w:t>
      </w:r>
      <w:r w:rsidRPr="415A915D">
        <w:t>throughout the evaluation.</w:t>
      </w:r>
      <w:r>
        <w:t xml:space="preserve"> Practices participating in HCH were required to provide data until their withdrawal from the </w:t>
      </w:r>
      <w:r w:rsidR="008B3E94">
        <w:t>trial</w:t>
      </w:r>
      <w:r>
        <w:t xml:space="preserve"> or </w:t>
      </w:r>
      <w:r w:rsidR="008B3E94">
        <w:t xml:space="preserve">the </w:t>
      </w:r>
      <w:r>
        <w:t>end</w:t>
      </w:r>
      <w:r w:rsidR="008B3E94">
        <w:t xml:space="preserve"> of the trial in</w:t>
      </w:r>
      <w:r>
        <w:t xml:space="preserve"> June 2021. </w:t>
      </w:r>
      <w:r w:rsidR="00745AF7" w:rsidRPr="008E6D64">
        <w:t>Among</w:t>
      </w:r>
      <w:r w:rsidRPr="008E6D64">
        <w:t xml:space="preserve"> </w:t>
      </w:r>
      <w:r w:rsidR="008E6D64">
        <w:t xml:space="preserve">the </w:t>
      </w:r>
      <w:r w:rsidRPr="008E6D64">
        <w:t>165 practices</w:t>
      </w:r>
      <w:r w:rsidR="008B3E94">
        <w:t xml:space="preserve"> participating in the trial</w:t>
      </w:r>
      <w:r w:rsidRPr="00515F1C">
        <w:t xml:space="preserve"> that enrolled patients, 151 provided data extracts. Of these, extracts from 117 practices contain</w:t>
      </w:r>
      <w:r w:rsidR="008B3E94">
        <w:t>ed</w:t>
      </w:r>
      <w:r w:rsidRPr="00515F1C">
        <w:t xml:space="preserve"> flags for HCH enrolled patients that enable</w:t>
      </w:r>
      <w:r w:rsidR="008B3E94">
        <w:t>d</w:t>
      </w:r>
      <w:r w:rsidRPr="00515F1C">
        <w:t xml:space="preserve"> examination of chronic disease management. Among enrolled patients, 96.1% had follow-up data for at least one year, 92.2% had follow-up</w:t>
      </w:r>
      <w:r>
        <w:t xml:space="preserve"> data for at least two years </w:t>
      </w:r>
      <w:r w:rsidR="008B3E94" w:rsidRPr="008B3E94">
        <w:t>and</w:t>
      </w:r>
      <w:r w:rsidRPr="008B3E94">
        <w:t xml:space="preserve"> 9.3% had data for</w:t>
      </w:r>
      <w:r>
        <w:t xml:space="preserve"> more than three years. Importantly, practice data only captured services provided to the patient within that specific practice, and not services that they may have received from other practices.</w:t>
      </w:r>
    </w:p>
    <w:p w14:paraId="009D8193" w14:textId="76BC05A0" w:rsidR="00101336" w:rsidRDefault="00101336" w:rsidP="00C66B9E">
      <w:r w:rsidRPr="3B2E4E8A">
        <w:t xml:space="preserve">To understand how changes in chronic disease management could be attributed to participation in </w:t>
      </w:r>
      <w:r>
        <w:t>HCH</w:t>
      </w:r>
      <w:r w:rsidRPr="3B2E4E8A">
        <w:t xml:space="preserve">, data </w:t>
      </w:r>
      <w:r w:rsidRPr="00AB77C4">
        <w:t>from 403 GP</w:t>
      </w:r>
      <w:r>
        <w:t xml:space="preserve"> practices that </w:t>
      </w:r>
      <w:r w:rsidRPr="3B2E4E8A">
        <w:t xml:space="preserve">were not participating in the </w:t>
      </w:r>
      <w:r>
        <w:t>HCH</w:t>
      </w:r>
      <w:r w:rsidRPr="3B2E4E8A">
        <w:t xml:space="preserve"> program</w:t>
      </w:r>
      <w:r>
        <w:t xml:space="preserve"> were </w:t>
      </w:r>
      <w:r w:rsidRPr="030BF871">
        <w:t>obtained</w:t>
      </w:r>
      <w:r>
        <w:t xml:space="preserve"> through NPS MedicineWise’s </w:t>
      </w:r>
      <w:proofErr w:type="spellStart"/>
      <w:r>
        <w:t>MedicineInsight</w:t>
      </w:r>
      <w:proofErr w:type="spellEnd"/>
      <w:r>
        <w:t xml:space="preserve"> program</w:t>
      </w:r>
      <w:r w:rsidRPr="3B2E4E8A">
        <w:t xml:space="preserve">. </w:t>
      </w:r>
      <w:r w:rsidR="00CA495C">
        <w:t>“</w:t>
      </w:r>
      <w:r w:rsidR="000E16C4">
        <w:t>Comparator</w:t>
      </w:r>
      <w:r w:rsidR="00CA495C">
        <w:t>”</w:t>
      </w:r>
      <w:r w:rsidRPr="3B2E4E8A">
        <w:t xml:space="preserve"> patients were identified </w:t>
      </w:r>
      <w:r w:rsidRPr="1EFB62ED">
        <w:t xml:space="preserve">from these </w:t>
      </w:r>
      <w:r>
        <w:t xml:space="preserve">non-HCH </w:t>
      </w:r>
      <w:r w:rsidRPr="1EFB62ED">
        <w:t>practices</w:t>
      </w:r>
      <w:r w:rsidR="008B3E94">
        <w:t xml:space="preserve"> through matching</w:t>
      </w:r>
      <w:r w:rsidRPr="3B2E4E8A">
        <w:t xml:space="preserve"> </w:t>
      </w:r>
      <w:r w:rsidRPr="1EFB62ED">
        <w:t xml:space="preserve">to HCH </w:t>
      </w:r>
      <w:r w:rsidR="00057F54" w:rsidRPr="1EFB62ED">
        <w:t>patients,</w:t>
      </w:r>
      <w:r>
        <w:t xml:space="preserve"> </w:t>
      </w:r>
      <w:r w:rsidRPr="3B2E4E8A">
        <w:t xml:space="preserve">so they had similar </w:t>
      </w:r>
      <w:r w:rsidRPr="1EFB62ED">
        <w:t xml:space="preserve">pre-enrolment </w:t>
      </w:r>
      <w:r w:rsidRPr="3B2E4E8A">
        <w:t>demographic</w:t>
      </w:r>
      <w:r>
        <w:t xml:space="preserve"> characteristics</w:t>
      </w:r>
      <w:r w:rsidRPr="4E37AE47">
        <w:t>,</w:t>
      </w:r>
      <w:r>
        <w:t xml:space="preserve"> health status (morbidities, use of medicines, results of blood pressure, HbA1c and </w:t>
      </w:r>
      <w:r w:rsidRPr="7D04FFE0">
        <w:t>estimated glomerular filtration rate</w:t>
      </w:r>
      <w:r w:rsidR="008B3E94">
        <w:t xml:space="preserve"> or</w:t>
      </w:r>
      <w:r w:rsidRPr="7D04FFE0">
        <w:t xml:space="preserve"> eGFR</w:t>
      </w:r>
      <w:r w:rsidR="00B854CA">
        <w:t>)</w:t>
      </w:r>
      <w:r>
        <w:t>, process</w:t>
      </w:r>
      <w:r w:rsidR="00B854CA">
        <w:t>es</w:t>
      </w:r>
      <w:r>
        <w:t xml:space="preserve"> </w:t>
      </w:r>
      <w:r w:rsidRPr="00A0227F">
        <w:t xml:space="preserve">of care, encounters with GPs, and were attending similar types of GP practices (according to socio-economic disadvantage and geographic location). Full details of the data sources and methods for matching HCH and </w:t>
      </w:r>
      <w:r w:rsidR="000E16C4" w:rsidRPr="00A0227F">
        <w:t>comparator</w:t>
      </w:r>
      <w:r w:rsidRPr="00A0227F">
        <w:t xml:space="preserve"> patients are reported in </w:t>
      </w:r>
      <w:r w:rsidR="004E0452">
        <w:t xml:space="preserve">Chapter 3 of </w:t>
      </w:r>
      <w:r w:rsidRPr="00A0227F">
        <w:rPr>
          <w:rFonts w:eastAsia="Muli" w:cs="Muli"/>
        </w:rPr>
        <w:t>Volume 3</w:t>
      </w:r>
      <w:r w:rsidR="004E0452">
        <w:rPr>
          <w:rFonts w:eastAsia="Muli" w:cs="Muli"/>
        </w:rPr>
        <w:t xml:space="preserve"> of the evaluation report</w:t>
      </w:r>
      <w:r w:rsidR="009728BA" w:rsidRPr="00A0227F">
        <w:rPr>
          <w:rFonts w:eastAsia="Muli" w:cs="Muli"/>
        </w:rPr>
        <w:t>.</w:t>
      </w:r>
      <w:r w:rsidR="00077ED2" w:rsidRPr="00077ED2">
        <w:t xml:space="preserve"> </w:t>
      </w:r>
      <w:r w:rsidR="00077ED2">
        <w:t>Appendix 5 of Volume 3 also present</w:t>
      </w:r>
      <w:r w:rsidR="00660FBA">
        <w:t>s</w:t>
      </w:r>
      <w:r w:rsidR="00077ED2">
        <w:t xml:space="preserve"> detailed tables </w:t>
      </w:r>
      <w:r w:rsidR="00990B87">
        <w:t>o</w:t>
      </w:r>
      <w:r w:rsidR="00077ED2">
        <w:t>f change</w:t>
      </w:r>
      <w:r w:rsidR="00990B87">
        <w:t>s</w:t>
      </w:r>
      <w:r w:rsidR="00077ED2">
        <w:t xml:space="preserve"> in chronic disease management.</w:t>
      </w:r>
    </w:p>
    <w:p w14:paraId="486D1C7D" w14:textId="0FE83DA6" w:rsidR="00B854CA" w:rsidRDefault="00101336" w:rsidP="00FB4507">
      <w:r w:rsidRPr="3B2E4E8A">
        <w:t>For many H</w:t>
      </w:r>
      <w:r>
        <w:t>CH</w:t>
      </w:r>
      <w:r w:rsidRPr="3B2E4E8A">
        <w:t xml:space="preserve"> patients, the process of recruitment may have been spread over several months </w:t>
      </w:r>
      <w:r w:rsidR="0002675D">
        <w:t>before</w:t>
      </w:r>
      <w:r w:rsidRPr="3B2E4E8A">
        <w:t xml:space="preserve"> enrolment in the program. As such, some of the processes of care being measured (</w:t>
      </w:r>
      <w:r w:rsidR="0010747B">
        <w:t>for example,</w:t>
      </w:r>
      <w:r w:rsidRPr="3B2E4E8A">
        <w:t xml:space="preserve"> recording of chronic conditions and risk factor</w:t>
      </w:r>
      <w:r>
        <w:t>s for cardiovascular disease</w:t>
      </w:r>
      <w:r w:rsidRPr="3B2E4E8A">
        <w:t xml:space="preserve">) </w:t>
      </w:r>
      <w:r w:rsidR="00F11772">
        <w:t>is</w:t>
      </w:r>
      <w:r w:rsidRPr="1EFB62ED">
        <w:t xml:space="preserve"> expected to </w:t>
      </w:r>
      <w:r w:rsidRPr="3B2E4E8A">
        <w:t>be high in the pre-enrolment period</w:t>
      </w:r>
      <w:r>
        <w:t xml:space="preserve"> </w:t>
      </w:r>
      <w:r w:rsidR="00F11772">
        <w:t>–</w:t>
      </w:r>
      <w:r w:rsidRPr="1EFB62ED">
        <w:t xml:space="preserve"> because th</w:t>
      </w:r>
      <w:r>
        <w:t>is information</w:t>
      </w:r>
      <w:r w:rsidRPr="1EFB62ED">
        <w:t xml:space="preserve"> </w:t>
      </w:r>
      <w:r w:rsidRPr="3B2E4E8A">
        <w:t>w</w:t>
      </w:r>
      <w:r>
        <w:t xml:space="preserve">as </w:t>
      </w:r>
      <w:r w:rsidRPr="3B2E4E8A">
        <w:t>required for risk stratification</w:t>
      </w:r>
      <w:r>
        <w:t xml:space="preserve"> </w:t>
      </w:r>
      <w:r w:rsidRPr="1D0737D5">
        <w:t>purposes.</w:t>
      </w:r>
      <w:r w:rsidRPr="3B2E4E8A">
        <w:t xml:space="preserve"> Similar pre-enrolment patterns of care will be seen in </w:t>
      </w:r>
      <w:r>
        <w:t xml:space="preserve">the selected </w:t>
      </w:r>
      <w:r w:rsidR="000E16C4">
        <w:t>comparator</w:t>
      </w:r>
      <w:r w:rsidRPr="3B2E4E8A">
        <w:t xml:space="preserve"> patients because they were matched to HCH patients based on </w:t>
      </w:r>
      <w:r>
        <w:t>these patterns of care</w:t>
      </w:r>
      <w:r w:rsidRPr="3B2E4E8A">
        <w:t xml:space="preserve"> in the pre-enrolment period. </w:t>
      </w:r>
      <w:r w:rsidR="000A362E" w:rsidRPr="000A362E">
        <w:t>Differences in process of care between HCH and comparator patients seen in the post-enrolment period may be attributable to HCH but may also reflect a focus on improving quality and completeness of data as part of the HCH trial. This included an awareness that data would be used for risk stratification and care plans (including shared care plans). Practices were also aware that data would be collated for evaluation purposes and preparation of benchmark reports comparing the completeness of data</w:t>
      </w:r>
      <w:r w:rsidR="00A615A1">
        <w:t>.</w:t>
      </w:r>
    </w:p>
    <w:p w14:paraId="0F77D917" w14:textId="3030F213" w:rsidR="00AC3EED" w:rsidRDefault="00AC3EED" w:rsidP="00185C67">
      <w:pPr>
        <w:rPr>
          <w:rFonts w:eastAsia="Muli" w:cs="Muli"/>
          <w:color w:val="000000" w:themeColor="text1"/>
          <w:szCs w:val="20"/>
        </w:rPr>
      </w:pPr>
      <w:r>
        <w:rPr>
          <w:rFonts w:eastAsia="Muli" w:cs="Muli"/>
          <w:color w:val="000000" w:themeColor="text1"/>
          <w:szCs w:val="20"/>
        </w:rPr>
        <w:t>In addition to the results reported below, the</w:t>
      </w:r>
      <w:r w:rsidRPr="00A53C91">
        <w:rPr>
          <w:rFonts w:eastAsia="Muli" w:cs="Muli"/>
          <w:color w:val="000000" w:themeColor="text1"/>
          <w:szCs w:val="20"/>
        </w:rPr>
        <w:t xml:space="preserve"> Department of Health undertook a compliance audit of a sample of practices </w:t>
      </w:r>
      <w:r>
        <w:rPr>
          <w:rFonts w:eastAsia="Muli" w:cs="Muli"/>
          <w:color w:val="000000" w:themeColor="text1"/>
          <w:szCs w:val="20"/>
        </w:rPr>
        <w:t>that</w:t>
      </w:r>
      <w:r w:rsidRPr="00A53C91">
        <w:rPr>
          <w:rFonts w:eastAsia="Muli" w:cs="Muli"/>
          <w:color w:val="000000" w:themeColor="text1"/>
          <w:szCs w:val="20"/>
        </w:rPr>
        <w:t xml:space="preserve"> assessed the appropriateness of the services provided to </w:t>
      </w:r>
      <w:r w:rsidRPr="00A53C91">
        <w:rPr>
          <w:rFonts w:eastAsia="Muli" w:cs="Muli"/>
          <w:color w:val="000000" w:themeColor="text1"/>
          <w:szCs w:val="20"/>
        </w:rPr>
        <w:lastRenderedPageBreak/>
        <w:t xml:space="preserve">HCH patients. The audit found that </w:t>
      </w:r>
      <w:r w:rsidR="00185C67">
        <w:rPr>
          <w:rFonts w:eastAsia="Muli" w:cs="Muli"/>
          <w:color w:val="000000" w:themeColor="text1"/>
          <w:szCs w:val="20"/>
        </w:rPr>
        <w:t xml:space="preserve">the </w:t>
      </w:r>
      <w:r w:rsidRPr="00A53C91">
        <w:rPr>
          <w:rFonts w:eastAsia="Muli" w:cs="Muli"/>
          <w:color w:val="000000" w:themeColor="text1"/>
          <w:szCs w:val="20"/>
        </w:rPr>
        <w:t>services provided were aligned with, and appropriate for, their level of complexity and tier level in the majority of cases reviewed.</w:t>
      </w:r>
      <w:r w:rsidR="006D75FB">
        <w:rPr>
          <w:rFonts w:eastAsia="Muli" w:cs="Muli"/>
          <w:color w:val="000000" w:themeColor="text1"/>
          <w:szCs w:val="20"/>
        </w:rPr>
        <w:t xml:space="preserve"> </w:t>
      </w:r>
    </w:p>
    <w:p w14:paraId="5D1EA04B" w14:textId="77777777" w:rsidR="002C32B8" w:rsidRPr="008C1992" w:rsidRDefault="002C32B8" w:rsidP="002C32B8">
      <w:pPr>
        <w:pStyle w:val="Heading2"/>
        <w:rPr>
          <w:rFonts w:eastAsia="Muli"/>
        </w:rPr>
      </w:pPr>
      <w:bookmarkStart w:id="292" w:name="_Toc109996718"/>
      <w:r>
        <w:rPr>
          <w:rFonts w:eastAsia="Muli"/>
        </w:rPr>
        <w:t>Impact of COVID</w:t>
      </w:r>
      <w:r w:rsidRPr="1D0737D5">
        <w:rPr>
          <w:rFonts w:eastAsia="Muli"/>
        </w:rPr>
        <w:t>-</w:t>
      </w:r>
      <w:r w:rsidRPr="15B40D6F">
        <w:rPr>
          <w:rFonts w:eastAsia="Muli"/>
        </w:rPr>
        <w:t>19</w:t>
      </w:r>
      <w:bookmarkEnd w:id="292"/>
    </w:p>
    <w:p w14:paraId="5DC8E9ED" w14:textId="2FA3B778" w:rsidR="0012231E" w:rsidRDefault="00262D62" w:rsidP="00FB4507">
      <w:r>
        <w:t>In the final practice survey, practices were asked about the impact of COVID-19 on</w:t>
      </w:r>
      <w:r w:rsidR="009C4088">
        <w:t xml:space="preserve"> how regularly they undertook </w:t>
      </w:r>
      <w:r w:rsidR="009C4088" w:rsidRPr="009C4088">
        <w:t>clinical or preventative measures/screening for HCH patients</w:t>
      </w:r>
      <w:r w:rsidR="00590087">
        <w:t xml:space="preserve">. </w:t>
      </w:r>
      <w:r w:rsidR="0012231E">
        <w:t xml:space="preserve">These included </w:t>
      </w:r>
      <w:r w:rsidR="0012231E" w:rsidRPr="0012231E">
        <w:t xml:space="preserve">measures such as </w:t>
      </w:r>
      <w:r w:rsidR="001002C7">
        <w:t>HbA1c</w:t>
      </w:r>
      <w:r w:rsidR="0012231E" w:rsidRPr="0012231E">
        <w:t>, cholesterol/lipids, prostate cancer screening, and recording of lifestyle factors such as smoking</w:t>
      </w:r>
      <w:r w:rsidR="0012231E">
        <w:t>.</w:t>
      </w:r>
    </w:p>
    <w:p w14:paraId="15543230" w14:textId="14B2D7AE" w:rsidR="002B7647" w:rsidRDefault="00590087" w:rsidP="00185C67">
      <w:r>
        <w:t xml:space="preserve">Between April and June 2021 when they were responding to the services, </w:t>
      </w:r>
      <w:r w:rsidR="002448C9">
        <w:t>37% of</w:t>
      </w:r>
      <w:r>
        <w:t xml:space="preserve"> practices said that</w:t>
      </w:r>
      <w:r w:rsidR="00F75F45">
        <w:t xml:space="preserve"> the pandemic had r</w:t>
      </w:r>
      <w:r w:rsidR="00F75F45" w:rsidRPr="00F75F45">
        <w:t>educed the regularity of these measures/screening for a while and</w:t>
      </w:r>
      <w:r w:rsidR="00F75F45">
        <w:t xml:space="preserve"> they were</w:t>
      </w:r>
      <w:r w:rsidR="00F75F45" w:rsidRPr="00F75F45">
        <w:t xml:space="preserve"> still catching up to achieve usual regularity</w:t>
      </w:r>
      <w:r w:rsidR="002448C9">
        <w:t xml:space="preserve"> </w:t>
      </w:r>
      <w:r w:rsidR="002448C9" w:rsidRPr="006524FD">
        <w:t>(</w:t>
      </w:r>
      <w:r w:rsidR="002448C9" w:rsidRPr="006524FD">
        <w:rPr>
          <w:rFonts w:eastAsiaTheme="minorEastAsia"/>
          <w:color w:val="1D2455"/>
          <w:szCs w:val="20"/>
          <w:lang w:eastAsia="en-AU"/>
        </w:rPr>
        <w:fldChar w:fldCharType="begin"/>
      </w:r>
      <w:r w:rsidR="002448C9" w:rsidRPr="006524FD">
        <w:instrText xml:space="preserve"> REF _Ref90030355 \h </w:instrText>
      </w:r>
      <w:r w:rsidR="00302D66" w:rsidRPr="006524FD">
        <w:instrText xml:space="preserve"> \* MERGEFORMAT </w:instrText>
      </w:r>
      <w:r w:rsidR="002448C9" w:rsidRPr="006524FD">
        <w:rPr>
          <w:rFonts w:eastAsiaTheme="minorEastAsia"/>
          <w:color w:val="1D2455"/>
          <w:szCs w:val="20"/>
          <w:lang w:eastAsia="en-AU"/>
        </w:rPr>
      </w:r>
      <w:r w:rsidR="002448C9" w:rsidRPr="006524FD">
        <w:rPr>
          <w:rFonts w:eastAsiaTheme="minorEastAsia"/>
          <w:color w:val="1D2455"/>
          <w:szCs w:val="20"/>
          <w:lang w:eastAsia="en-AU"/>
        </w:rPr>
        <w:fldChar w:fldCharType="separate"/>
      </w:r>
      <w:r w:rsidR="003C4BC2" w:rsidRPr="003C4BC2">
        <w:rPr>
          <w:rFonts w:eastAsiaTheme="minorEastAsia"/>
          <w:color w:val="1D2455"/>
          <w:szCs w:val="20"/>
          <w:lang w:eastAsia="en-AU"/>
        </w:rPr>
        <w:t>Table 39</w:t>
      </w:r>
      <w:r w:rsidR="002448C9" w:rsidRPr="006524FD">
        <w:rPr>
          <w:rFonts w:eastAsiaTheme="minorEastAsia"/>
          <w:color w:val="1D2455"/>
          <w:szCs w:val="20"/>
          <w:lang w:eastAsia="en-AU"/>
        </w:rPr>
        <w:fldChar w:fldCharType="end"/>
      </w:r>
      <w:r w:rsidR="002448C9">
        <w:t>)</w:t>
      </w:r>
      <w:r w:rsidR="00F75F45" w:rsidRPr="00F75F45">
        <w:t>.</w:t>
      </w:r>
      <w:r w:rsidR="002448C9">
        <w:t xml:space="preserve"> </w:t>
      </w:r>
      <w:r w:rsidR="001D5CC6">
        <w:t>COVID had no effect</w:t>
      </w:r>
      <w:r w:rsidR="00F50550">
        <w:t xml:space="preserve"> on these measures for 29% of practices and 25% of practices said that although the pandemic reduced their regularity, they had subsequently caught </w:t>
      </w:r>
      <w:r w:rsidR="00B30C00">
        <w:t>up and were at pre-pandemic regularity.</w:t>
      </w:r>
    </w:p>
    <w:p w14:paraId="73E325CA" w14:textId="1405BEEA" w:rsidR="00FF4C3C" w:rsidRDefault="00001A8E" w:rsidP="00FF4C3C">
      <w:pPr>
        <w:pStyle w:val="TableFigureheading"/>
        <w:spacing w:after="0"/>
        <w:rPr>
          <w:bCs w:val="0"/>
        </w:rPr>
      </w:pPr>
      <w:bookmarkStart w:id="293" w:name="_Ref90030355"/>
      <w:r w:rsidRPr="00EC694E">
        <w:rPr>
          <w:bCs w:val="0"/>
        </w:rPr>
        <w:t xml:space="preserve">Table </w:t>
      </w:r>
      <w:r w:rsidRPr="00EC694E">
        <w:rPr>
          <w:bCs w:val="0"/>
        </w:rPr>
        <w:fldChar w:fldCharType="begin"/>
      </w:r>
      <w:r w:rsidRPr="00EC694E">
        <w:rPr>
          <w:bCs w:val="0"/>
        </w:rPr>
        <w:instrText xml:space="preserve"> SEQ Table \* ARABIC </w:instrText>
      </w:r>
      <w:r w:rsidRPr="00EC694E">
        <w:rPr>
          <w:bCs w:val="0"/>
        </w:rPr>
        <w:fldChar w:fldCharType="separate"/>
      </w:r>
      <w:r w:rsidR="003C4BC2">
        <w:rPr>
          <w:bCs w:val="0"/>
          <w:noProof/>
        </w:rPr>
        <w:t>39</w:t>
      </w:r>
      <w:r w:rsidRPr="00EC694E">
        <w:rPr>
          <w:bCs w:val="0"/>
        </w:rPr>
        <w:fldChar w:fldCharType="end"/>
      </w:r>
      <w:bookmarkEnd w:id="293"/>
      <w:r w:rsidRPr="00EC694E">
        <w:rPr>
          <w:bCs w:val="0"/>
        </w:rPr>
        <w:t xml:space="preserve">: </w:t>
      </w:r>
      <w:r w:rsidR="00353C07">
        <w:rPr>
          <w:bCs w:val="0"/>
        </w:rPr>
        <w:t>Impact of</w:t>
      </w:r>
      <w:r w:rsidR="00353C07" w:rsidRPr="00353C07">
        <w:rPr>
          <w:bCs w:val="0"/>
        </w:rPr>
        <w:t xml:space="preserve"> COVID-19 on regular</w:t>
      </w:r>
      <w:r w:rsidR="00353C07">
        <w:rPr>
          <w:bCs w:val="0"/>
        </w:rPr>
        <w:t xml:space="preserve">ity of </w:t>
      </w:r>
      <w:r w:rsidR="00353C07" w:rsidRPr="00353C07">
        <w:rPr>
          <w:bCs w:val="0"/>
        </w:rPr>
        <w:t xml:space="preserve">clinical or preventative </w:t>
      </w:r>
    </w:p>
    <w:p w14:paraId="33BF2525" w14:textId="5B26A05E" w:rsidR="00001A8E" w:rsidRDefault="00353C07" w:rsidP="00001A8E">
      <w:pPr>
        <w:pStyle w:val="TableFigureheading"/>
      </w:pPr>
      <w:r w:rsidRPr="00353C07">
        <w:rPr>
          <w:bCs w:val="0"/>
        </w:rPr>
        <w:t>measures/screening for HCH patients</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6881"/>
        <w:gridCol w:w="2135"/>
      </w:tblGrid>
      <w:tr w:rsidR="00001A8E" w:rsidRPr="007876B8" w14:paraId="78169FB4" w14:textId="77777777" w:rsidTr="007876B8">
        <w:tc>
          <w:tcPr>
            <w:tcW w:w="3816" w:type="pct"/>
            <w:shd w:val="clear" w:color="auto" w:fill="408BCA"/>
          </w:tcPr>
          <w:p w14:paraId="4700BD67" w14:textId="1A6865A7" w:rsidR="00001A8E" w:rsidRPr="007876B8" w:rsidRDefault="00307047" w:rsidP="0032660B">
            <w:pPr>
              <w:spacing w:after="0"/>
              <w:ind w:left="102" w:right="102"/>
              <w:rPr>
                <w:rFonts w:eastAsia="Century Gothic" w:cs="Century Gothic"/>
                <w:b/>
                <w:bCs/>
                <w:color w:val="000000"/>
                <w:sz w:val="18"/>
                <w:szCs w:val="18"/>
              </w:rPr>
            </w:pPr>
            <w:r w:rsidRPr="007876B8">
              <w:rPr>
                <w:rFonts w:eastAsia="Century Gothic" w:cs="Century Gothic"/>
                <w:b/>
                <w:bCs/>
                <w:color w:val="FFFFFF"/>
                <w:sz w:val="18"/>
                <w:szCs w:val="18"/>
              </w:rPr>
              <w:t>Impact</w:t>
            </w:r>
          </w:p>
        </w:tc>
        <w:tc>
          <w:tcPr>
            <w:tcW w:w="1184" w:type="pct"/>
            <w:shd w:val="clear" w:color="auto" w:fill="408BCA"/>
          </w:tcPr>
          <w:p w14:paraId="026F04C5" w14:textId="6ED1DECE" w:rsidR="00001A8E" w:rsidRPr="007876B8" w:rsidRDefault="00001A8E" w:rsidP="0032660B">
            <w:pPr>
              <w:spacing w:after="0"/>
              <w:ind w:left="102" w:right="102"/>
              <w:jc w:val="right"/>
              <w:rPr>
                <w:rFonts w:eastAsia="Century Gothic" w:cs="Century Gothic"/>
                <w:b/>
                <w:bCs/>
                <w:color w:val="000000"/>
                <w:sz w:val="18"/>
                <w:szCs w:val="18"/>
              </w:rPr>
            </w:pPr>
            <w:r w:rsidRPr="007876B8">
              <w:rPr>
                <w:rFonts w:eastAsia="Century Gothic" w:cs="Century Gothic"/>
                <w:b/>
                <w:bCs/>
                <w:color w:val="FFFFFF"/>
                <w:sz w:val="18"/>
                <w:szCs w:val="18"/>
              </w:rPr>
              <w:t xml:space="preserve">No. of </w:t>
            </w:r>
            <w:r w:rsidR="00353C07" w:rsidRPr="007876B8">
              <w:rPr>
                <w:rFonts w:eastAsia="Century Gothic" w:cs="Century Gothic"/>
                <w:b/>
                <w:bCs/>
                <w:color w:val="FFFFFF"/>
                <w:sz w:val="18"/>
                <w:szCs w:val="18"/>
              </w:rPr>
              <w:t>pract</w:t>
            </w:r>
            <w:r w:rsidR="0013158C" w:rsidRPr="007876B8">
              <w:rPr>
                <w:rFonts w:eastAsia="Century Gothic" w:cs="Century Gothic"/>
                <w:b/>
                <w:bCs/>
                <w:color w:val="FFFFFF"/>
                <w:sz w:val="18"/>
                <w:szCs w:val="18"/>
              </w:rPr>
              <w:t>ices</w:t>
            </w:r>
            <w:r w:rsidRPr="007876B8">
              <w:rPr>
                <w:rFonts w:eastAsia="Century Gothic" w:cs="Century Gothic"/>
                <w:b/>
                <w:bCs/>
                <w:color w:val="FFFFFF"/>
                <w:sz w:val="18"/>
                <w:szCs w:val="18"/>
              </w:rPr>
              <w:t xml:space="preserve"> (%)</w:t>
            </w:r>
          </w:p>
        </w:tc>
      </w:tr>
      <w:tr w:rsidR="00012D40" w:rsidRPr="00012D40" w14:paraId="4245C8E4" w14:textId="77777777" w:rsidTr="007876B8">
        <w:tc>
          <w:tcPr>
            <w:tcW w:w="3816" w:type="pct"/>
          </w:tcPr>
          <w:p w14:paraId="16F9A7B1" w14:textId="72FF6ED9" w:rsidR="00012D40" w:rsidRPr="00012D40" w:rsidRDefault="009C746D" w:rsidP="00012D40">
            <w:pPr>
              <w:spacing w:after="0"/>
              <w:ind w:left="102" w:right="102"/>
              <w:rPr>
                <w:sz w:val="18"/>
                <w:szCs w:val="18"/>
              </w:rPr>
            </w:pPr>
            <w:r>
              <w:rPr>
                <w:sz w:val="18"/>
                <w:szCs w:val="18"/>
              </w:rPr>
              <w:t>R</w:t>
            </w:r>
            <w:r w:rsidR="00012D40" w:rsidRPr="00012D40">
              <w:rPr>
                <w:sz w:val="18"/>
                <w:szCs w:val="18"/>
              </w:rPr>
              <w:t>educed the regularity of these measures/screening for a while, and still catching up to achieve usual regularity.</w:t>
            </w:r>
          </w:p>
        </w:tc>
        <w:tc>
          <w:tcPr>
            <w:tcW w:w="1184" w:type="pct"/>
          </w:tcPr>
          <w:p w14:paraId="02A3000E" w14:textId="7E0312FC" w:rsidR="00012D40" w:rsidRPr="00012D40" w:rsidRDefault="00012D40" w:rsidP="00012D40">
            <w:pPr>
              <w:spacing w:after="0"/>
              <w:ind w:left="102" w:right="102"/>
              <w:jc w:val="right"/>
              <w:rPr>
                <w:sz w:val="18"/>
                <w:szCs w:val="18"/>
              </w:rPr>
            </w:pPr>
            <w:r w:rsidRPr="00012D40">
              <w:rPr>
                <w:sz w:val="18"/>
                <w:szCs w:val="18"/>
              </w:rPr>
              <w:t>27 (37.0%)</w:t>
            </w:r>
          </w:p>
        </w:tc>
      </w:tr>
      <w:tr w:rsidR="00012D40" w:rsidRPr="00012D40" w14:paraId="65E1D8C6" w14:textId="77777777" w:rsidTr="007876B8">
        <w:tc>
          <w:tcPr>
            <w:tcW w:w="3816" w:type="pct"/>
          </w:tcPr>
          <w:p w14:paraId="0A38A854" w14:textId="08EE4548" w:rsidR="00012D40" w:rsidRPr="00012D40" w:rsidRDefault="00012D40" w:rsidP="00012D40">
            <w:pPr>
              <w:spacing w:after="0"/>
              <w:ind w:left="102" w:right="102"/>
              <w:rPr>
                <w:sz w:val="18"/>
                <w:szCs w:val="18"/>
              </w:rPr>
            </w:pPr>
            <w:r w:rsidRPr="00012D40">
              <w:rPr>
                <w:sz w:val="18"/>
                <w:szCs w:val="18"/>
              </w:rPr>
              <w:t>COVID-19 had no effect</w:t>
            </w:r>
            <w:r w:rsidR="009C746D">
              <w:rPr>
                <w:sz w:val="18"/>
                <w:szCs w:val="18"/>
              </w:rPr>
              <w:t xml:space="preserve"> –</w:t>
            </w:r>
            <w:r w:rsidR="00F50550">
              <w:rPr>
                <w:sz w:val="18"/>
                <w:szCs w:val="18"/>
              </w:rPr>
              <w:t xml:space="preserve"> </w:t>
            </w:r>
            <w:r w:rsidRPr="00012D40">
              <w:rPr>
                <w:sz w:val="18"/>
                <w:szCs w:val="18"/>
              </w:rPr>
              <w:t>continued measurement/screening with the same regularity as usual.</w:t>
            </w:r>
          </w:p>
        </w:tc>
        <w:tc>
          <w:tcPr>
            <w:tcW w:w="1184" w:type="pct"/>
          </w:tcPr>
          <w:p w14:paraId="3A9E4C4C" w14:textId="27B596B5" w:rsidR="00012D40" w:rsidRPr="00012D40" w:rsidRDefault="00012D40" w:rsidP="00012D40">
            <w:pPr>
              <w:spacing w:after="0"/>
              <w:ind w:left="102" w:right="102"/>
              <w:jc w:val="right"/>
              <w:rPr>
                <w:sz w:val="18"/>
                <w:szCs w:val="18"/>
              </w:rPr>
            </w:pPr>
            <w:r w:rsidRPr="00012D40">
              <w:rPr>
                <w:sz w:val="18"/>
                <w:szCs w:val="18"/>
              </w:rPr>
              <w:t>21 (28.8%)</w:t>
            </w:r>
          </w:p>
        </w:tc>
      </w:tr>
      <w:tr w:rsidR="00012D40" w:rsidRPr="00012D40" w14:paraId="45928105" w14:textId="77777777" w:rsidTr="007876B8">
        <w:tc>
          <w:tcPr>
            <w:tcW w:w="3816" w:type="pct"/>
          </w:tcPr>
          <w:p w14:paraId="2446039D" w14:textId="3EED2A28" w:rsidR="00012D40" w:rsidRPr="00012D40" w:rsidRDefault="009C746D" w:rsidP="00012D40">
            <w:pPr>
              <w:spacing w:after="0"/>
              <w:ind w:left="102" w:right="102"/>
              <w:rPr>
                <w:rFonts w:eastAsia="Century Gothic" w:cs="Century Gothic"/>
                <w:color w:val="000000"/>
                <w:sz w:val="18"/>
                <w:szCs w:val="18"/>
              </w:rPr>
            </w:pPr>
            <w:r>
              <w:rPr>
                <w:sz w:val="18"/>
                <w:szCs w:val="18"/>
              </w:rPr>
              <w:t>R</w:t>
            </w:r>
            <w:r w:rsidR="00012D40" w:rsidRPr="00012D40">
              <w:rPr>
                <w:sz w:val="18"/>
                <w:szCs w:val="18"/>
              </w:rPr>
              <w:t>educed the regularity of these measures/screening for a while, but subsequently caught up and are now achieving our usual regularity.</w:t>
            </w:r>
          </w:p>
        </w:tc>
        <w:tc>
          <w:tcPr>
            <w:tcW w:w="1184" w:type="pct"/>
          </w:tcPr>
          <w:p w14:paraId="2D057627" w14:textId="0B102083" w:rsidR="00012D40" w:rsidRPr="00012D40" w:rsidRDefault="00012D40" w:rsidP="00012D40">
            <w:pPr>
              <w:spacing w:after="0"/>
              <w:ind w:left="102" w:right="102"/>
              <w:jc w:val="right"/>
              <w:rPr>
                <w:rFonts w:eastAsia="Century Gothic" w:cs="Century Gothic"/>
                <w:color w:val="000000"/>
                <w:sz w:val="18"/>
                <w:szCs w:val="18"/>
              </w:rPr>
            </w:pPr>
            <w:r w:rsidRPr="00012D40">
              <w:rPr>
                <w:sz w:val="18"/>
                <w:szCs w:val="18"/>
              </w:rPr>
              <w:t>18 (24.7%)</w:t>
            </w:r>
          </w:p>
        </w:tc>
      </w:tr>
      <w:tr w:rsidR="00012D40" w:rsidRPr="00012D40" w14:paraId="6892F315" w14:textId="77777777" w:rsidTr="007876B8">
        <w:tc>
          <w:tcPr>
            <w:tcW w:w="3816" w:type="pct"/>
          </w:tcPr>
          <w:p w14:paraId="206C8844" w14:textId="04BBF705" w:rsidR="00012D40" w:rsidRPr="00012D40" w:rsidRDefault="00012D40" w:rsidP="00012D40">
            <w:pPr>
              <w:spacing w:after="0"/>
              <w:ind w:left="102" w:right="102"/>
              <w:rPr>
                <w:sz w:val="18"/>
                <w:szCs w:val="18"/>
              </w:rPr>
            </w:pPr>
            <w:r w:rsidRPr="00012D40">
              <w:rPr>
                <w:sz w:val="18"/>
                <w:szCs w:val="18"/>
              </w:rPr>
              <w:t>Don't know/ no response</w:t>
            </w:r>
          </w:p>
        </w:tc>
        <w:tc>
          <w:tcPr>
            <w:tcW w:w="1184" w:type="pct"/>
          </w:tcPr>
          <w:p w14:paraId="7EB45E4F" w14:textId="3A001B7C" w:rsidR="00012D40" w:rsidRPr="00012D40" w:rsidRDefault="00012D40" w:rsidP="00012D40">
            <w:pPr>
              <w:spacing w:after="0"/>
              <w:ind w:left="102" w:right="102"/>
              <w:jc w:val="right"/>
              <w:rPr>
                <w:sz w:val="18"/>
                <w:szCs w:val="18"/>
              </w:rPr>
            </w:pPr>
            <w:r w:rsidRPr="00012D40">
              <w:rPr>
                <w:sz w:val="18"/>
                <w:szCs w:val="18"/>
              </w:rPr>
              <w:t>7 (9.6%)</w:t>
            </w:r>
          </w:p>
        </w:tc>
      </w:tr>
      <w:tr w:rsidR="0013158C" w:rsidRPr="00012D40" w14:paraId="2D7A7728" w14:textId="77777777" w:rsidTr="007876B8">
        <w:tc>
          <w:tcPr>
            <w:tcW w:w="3816" w:type="pct"/>
          </w:tcPr>
          <w:p w14:paraId="0DA7642A" w14:textId="2E7370B0" w:rsidR="0013158C" w:rsidRPr="00012D40" w:rsidRDefault="0013158C" w:rsidP="0032660B">
            <w:pPr>
              <w:spacing w:after="0"/>
              <w:ind w:left="102" w:right="102"/>
              <w:rPr>
                <w:rFonts w:eastAsia="Century Gothic" w:cs="Century Gothic"/>
                <w:b/>
                <w:bCs/>
                <w:color w:val="000000"/>
                <w:sz w:val="18"/>
                <w:szCs w:val="18"/>
              </w:rPr>
            </w:pPr>
            <w:r w:rsidRPr="00012D40">
              <w:rPr>
                <w:rFonts w:eastAsia="Century Gothic" w:cs="Century Gothic"/>
                <w:b/>
                <w:bCs/>
                <w:color w:val="000000"/>
                <w:sz w:val="18"/>
                <w:szCs w:val="18"/>
              </w:rPr>
              <w:t>Total</w:t>
            </w:r>
          </w:p>
        </w:tc>
        <w:tc>
          <w:tcPr>
            <w:tcW w:w="1184" w:type="pct"/>
          </w:tcPr>
          <w:p w14:paraId="69BA5C79" w14:textId="4314F482" w:rsidR="0013158C" w:rsidRPr="00012D40" w:rsidRDefault="0013158C" w:rsidP="0032660B">
            <w:pPr>
              <w:spacing w:after="0"/>
              <w:ind w:left="102" w:right="102"/>
              <w:jc w:val="right"/>
              <w:rPr>
                <w:rFonts w:eastAsia="Century Gothic" w:cs="Century Gothic"/>
                <w:b/>
                <w:bCs/>
                <w:color w:val="000000"/>
                <w:sz w:val="18"/>
                <w:szCs w:val="18"/>
              </w:rPr>
            </w:pPr>
            <w:r w:rsidRPr="00012D40">
              <w:rPr>
                <w:rFonts w:eastAsia="Century Gothic" w:cs="Century Gothic"/>
                <w:b/>
                <w:bCs/>
                <w:color w:val="000000"/>
                <w:sz w:val="18"/>
                <w:szCs w:val="18"/>
              </w:rPr>
              <w:t>73 (100%)</w:t>
            </w:r>
          </w:p>
        </w:tc>
      </w:tr>
    </w:tbl>
    <w:p w14:paraId="2E1413CB" w14:textId="01758339" w:rsidR="00A731E4" w:rsidRDefault="00001A8E" w:rsidP="00D3257C">
      <w:pPr>
        <w:pStyle w:val="Chartortablefootnote"/>
        <w:ind w:left="1985" w:right="2081"/>
      </w:pPr>
      <w:r>
        <w:t xml:space="preserve">Source: Practice survey R5, </w:t>
      </w:r>
      <w:r w:rsidR="00BC2D7A">
        <w:t>Mar–May</w:t>
      </w:r>
      <w:r>
        <w:t xml:space="preserve"> 2021, question 2</w:t>
      </w:r>
      <w:r w:rsidR="00D72CCD">
        <w:t>3</w:t>
      </w:r>
      <w:r>
        <w:t>.</w:t>
      </w:r>
    </w:p>
    <w:p w14:paraId="1B8860EE" w14:textId="71F27FEB" w:rsidR="00FB4507" w:rsidRDefault="006F00C3" w:rsidP="00A731E4">
      <w:r>
        <w:t xml:space="preserve">This suggests </w:t>
      </w:r>
      <w:r w:rsidR="00D35C28" w:rsidRPr="3B2E4E8A">
        <w:t>that COVID</w:t>
      </w:r>
      <w:r w:rsidR="00D35C28" w:rsidRPr="15B40D6F">
        <w:t>-19</w:t>
      </w:r>
      <w:r w:rsidR="00D35C28" w:rsidRPr="3B2E4E8A">
        <w:t xml:space="preserve"> influenced the chronic disease management </w:t>
      </w:r>
      <w:r w:rsidR="00E2169D">
        <w:t>of</w:t>
      </w:r>
      <w:r w:rsidR="00D35C28" w:rsidRPr="3B2E4E8A">
        <w:t xml:space="preserve"> some </w:t>
      </w:r>
      <w:r w:rsidR="00D35C28">
        <w:t>HCH</w:t>
      </w:r>
      <w:r w:rsidR="00D35C28" w:rsidRPr="3B2E4E8A">
        <w:t xml:space="preserve"> patients</w:t>
      </w:r>
      <w:r w:rsidR="00D35C28" w:rsidRPr="6AAC5CEF">
        <w:t>.</w:t>
      </w:r>
      <w:r w:rsidR="00490F10">
        <w:t xml:space="preserve"> A report of </w:t>
      </w:r>
      <w:r w:rsidR="00F96B52">
        <w:t>practices from which comparator patients were drawn for this evaluation</w:t>
      </w:r>
      <w:r w:rsidR="00876BCD" w:rsidRPr="00F96B52">
        <w:rPr>
          <w:rStyle w:val="FootnoteReference"/>
          <w:color w:val="408BCA"/>
        </w:rPr>
        <w:footnoteReference w:id="75"/>
      </w:r>
      <w:r w:rsidR="00055CE4" w:rsidRPr="00F96B52">
        <w:rPr>
          <w:color w:val="408BCA"/>
        </w:rPr>
        <w:t xml:space="preserve"> </w:t>
      </w:r>
      <w:r w:rsidR="008916D8">
        <w:t>confirms</w:t>
      </w:r>
      <w:r w:rsidR="00F96B52">
        <w:t xml:space="preserve"> that </w:t>
      </w:r>
      <w:r w:rsidR="00362F1E">
        <w:t xml:space="preserve">there were </w:t>
      </w:r>
      <w:r w:rsidR="00E2169D">
        <w:t xml:space="preserve">also changes </w:t>
      </w:r>
      <w:r w:rsidR="00476364">
        <w:t>for these practices during the pandemic</w:t>
      </w:r>
      <w:r w:rsidR="00577BC3">
        <w:t>, including to clinical encounters, prescribing</w:t>
      </w:r>
      <w:r w:rsidR="00E3355C">
        <w:t xml:space="preserve">, medical test requests and </w:t>
      </w:r>
      <w:r w:rsidR="001162D5">
        <w:t>influenza vaccine rates</w:t>
      </w:r>
      <w:r w:rsidR="00E3355C">
        <w:t>.</w:t>
      </w:r>
    </w:p>
    <w:p w14:paraId="3A01817E" w14:textId="0C559B3C" w:rsidR="00FD13E3" w:rsidRDefault="00F23A9F" w:rsidP="00FD13E3">
      <w:pPr>
        <w:pStyle w:val="Heading2"/>
      </w:pPr>
      <w:bookmarkStart w:id="294" w:name="_Toc109996719"/>
      <w:r>
        <w:t>Encounter</w:t>
      </w:r>
      <w:r w:rsidR="00A20626">
        <w:t>s</w:t>
      </w:r>
      <w:r w:rsidR="002C6D62">
        <w:t xml:space="preserve"> with</w:t>
      </w:r>
      <w:r w:rsidR="00FD13E3">
        <w:t xml:space="preserve"> health care providers </w:t>
      </w:r>
      <w:r w:rsidR="00FD13E3" w:rsidRPr="000F225F">
        <w:t xml:space="preserve">within the </w:t>
      </w:r>
      <w:r w:rsidR="00FD13E3">
        <w:t>p</w:t>
      </w:r>
      <w:r w:rsidR="00FD13E3" w:rsidRPr="000F225F">
        <w:t>ractice</w:t>
      </w:r>
      <w:bookmarkEnd w:id="294"/>
    </w:p>
    <w:p w14:paraId="66D193F7" w14:textId="1EA21FB8" w:rsidR="00FD13E3" w:rsidRDefault="00FD13E3" w:rsidP="00FD13E3">
      <w:r>
        <w:t xml:space="preserve">GP practice </w:t>
      </w:r>
      <w:r w:rsidR="00903B60">
        <w:t>clinical management system</w:t>
      </w:r>
      <w:r w:rsidR="002D183B">
        <w:t>s</w:t>
      </w:r>
      <w:r>
        <w:t xml:space="preserve"> record a patient encounter when the patient’s file is accessed and the type of user who accessed the record</w:t>
      </w:r>
      <w:r w:rsidR="00E82DCD">
        <w:t xml:space="preserve"> (for example, GP, practice nurse, podiatrist)</w:t>
      </w:r>
      <w:r>
        <w:t xml:space="preserve">. Not all these instances will </w:t>
      </w:r>
      <w:r w:rsidR="00615BEF">
        <w:t xml:space="preserve">reflect </w:t>
      </w:r>
      <w:r>
        <w:t>a face-to-face consultation with the patient, and they may include a variety of services, for example, accessing or updating the patient record, writing a prescription</w:t>
      </w:r>
      <w:r w:rsidR="007E02C8">
        <w:t xml:space="preserve">, </w:t>
      </w:r>
      <w:r>
        <w:t>a telehealth consultation</w:t>
      </w:r>
      <w:r w:rsidR="007E02C8">
        <w:t>, recalling a patient</w:t>
      </w:r>
      <w:r w:rsidR="00A7691E">
        <w:t xml:space="preserve"> or issuing a reminder</w:t>
      </w:r>
      <w:r>
        <w:t xml:space="preserve">. </w:t>
      </w:r>
      <w:r w:rsidR="00E4587D">
        <w:t>There may also be differences in how encounters with specific types of practitioners (</w:t>
      </w:r>
      <w:r w:rsidR="0010747B">
        <w:t>for example,</w:t>
      </w:r>
      <w:r w:rsidR="00E4587D">
        <w:t xml:space="preserve"> practice nurses) are recorded and identified within different </w:t>
      </w:r>
      <w:r w:rsidR="00903B60">
        <w:t xml:space="preserve">clinical </w:t>
      </w:r>
      <w:r w:rsidR="00903B60">
        <w:lastRenderedPageBreak/>
        <w:t>management system</w:t>
      </w:r>
      <w:r w:rsidR="00E4587D">
        <w:t xml:space="preserve">s and data providers. </w:t>
      </w:r>
      <w:r w:rsidR="00CA7DF6">
        <w:t>Therefore,</w:t>
      </w:r>
      <w:r w:rsidR="00AB3FE8">
        <w:t xml:space="preserve"> encounters with practice nurses maybe under-represented in the data. </w:t>
      </w:r>
      <w:r w:rsidR="00F934D2" w:rsidRPr="00AB77C4">
        <w:t xml:space="preserve">Among 165 HCH practices that enrolled patients, data extracted from 106 practices (64.2%) contained </w:t>
      </w:r>
      <w:r w:rsidR="00F934D2">
        <w:t xml:space="preserve">data on </w:t>
      </w:r>
      <w:r w:rsidR="00F934D2" w:rsidRPr="00AB77C4">
        <w:t>the type of health care provider</w:t>
      </w:r>
      <w:r w:rsidR="00F934D2">
        <w:t xml:space="preserve"> involved with the event</w:t>
      </w:r>
      <w:r w:rsidR="00F934D2" w:rsidRPr="00AB77C4">
        <w:t xml:space="preserve">. </w:t>
      </w:r>
      <w:r>
        <w:t xml:space="preserve">While the data do not capture the </w:t>
      </w:r>
      <w:r w:rsidRPr="00AB77C4">
        <w:t>full specifics of the modality and length of each encounter, it provides an indication of patient</w:t>
      </w:r>
      <w:r w:rsidR="008865F5">
        <w:t xml:space="preserve"> utilisatio</w:t>
      </w:r>
      <w:r w:rsidR="00EA1A4B">
        <w:t>n of ser</w:t>
      </w:r>
      <w:r w:rsidR="003638DB">
        <w:t>vices</w:t>
      </w:r>
      <w:r w:rsidRPr="00AB77C4">
        <w:t xml:space="preserve"> within that particular practice. </w:t>
      </w:r>
    </w:p>
    <w:p w14:paraId="112658BA" w14:textId="77777777" w:rsidR="00FD13E3" w:rsidRDefault="00FD13E3" w:rsidP="00FD13E3">
      <w:pPr>
        <w:pStyle w:val="Heading3"/>
      </w:pPr>
      <w:r>
        <w:t>Encounters with GPs</w:t>
      </w:r>
    </w:p>
    <w:p w14:paraId="0726A3ED" w14:textId="3839086C" w:rsidR="00FD13E3" w:rsidRDefault="00FD13E3" w:rsidP="00FD13E3">
      <w:pPr>
        <w:rPr>
          <w:lang w:val="en-GB"/>
        </w:rPr>
      </w:pPr>
      <w:r>
        <w:t xml:space="preserve">Overall, most HCH patients had </w:t>
      </w:r>
      <w:r w:rsidR="009921B8">
        <w:t xml:space="preserve">frequent </w:t>
      </w:r>
      <w:r>
        <w:t xml:space="preserve">encounters with a practice GP in the 12 months before enrolment </w:t>
      </w:r>
      <w:r w:rsidR="009921B8">
        <w:t xml:space="preserve">(mean </w:t>
      </w:r>
      <w:r>
        <w:rPr>
          <w:lang w:val="en-GB"/>
        </w:rPr>
        <w:t xml:space="preserve">13.4 </w:t>
      </w:r>
      <w:r w:rsidR="009921B8">
        <w:rPr>
          <w:lang w:val="en-GB"/>
        </w:rPr>
        <w:t xml:space="preserve">encounters, </w:t>
      </w:r>
      <w:r>
        <w:rPr>
          <w:lang w:val="en-GB"/>
        </w:rPr>
        <w:t xml:space="preserve">std 9.9, median 11). </w:t>
      </w:r>
      <w:r w:rsidRPr="00E273B8">
        <w:rPr>
          <w:lang w:val="en-GB"/>
        </w:rPr>
        <w:t xml:space="preserve">Almost all HCH patients (84.7%) had five or more GP </w:t>
      </w:r>
      <w:r>
        <w:rPr>
          <w:lang w:val="en-GB"/>
        </w:rPr>
        <w:t>encounters within the practice</w:t>
      </w:r>
      <w:r w:rsidRPr="00E273B8">
        <w:rPr>
          <w:lang w:val="en-GB"/>
        </w:rPr>
        <w:t xml:space="preserve">, </w:t>
      </w:r>
      <w:r>
        <w:rPr>
          <w:lang w:val="en-GB"/>
        </w:rPr>
        <w:t>almost two</w:t>
      </w:r>
      <w:r w:rsidR="001D0F94">
        <w:rPr>
          <w:lang w:val="en-GB"/>
        </w:rPr>
        <w:t xml:space="preserve"> </w:t>
      </w:r>
      <w:r>
        <w:rPr>
          <w:lang w:val="en-GB"/>
        </w:rPr>
        <w:t xml:space="preserve">thirds of </w:t>
      </w:r>
      <w:r w:rsidRPr="00E273B8">
        <w:rPr>
          <w:lang w:val="en-GB"/>
        </w:rPr>
        <w:t>HCH patients</w:t>
      </w:r>
      <w:r>
        <w:rPr>
          <w:lang w:val="en-GB"/>
        </w:rPr>
        <w:t xml:space="preserve"> (60.4%) had 10 or more GP encounters, just over one third of HCH patients (36.7%) had 15 or more GP encounters, and one fifth (20.1%) of HCH patients had 20 or more GP encounters (</w:t>
      </w:r>
      <w:r w:rsidR="001151ED" w:rsidRPr="001151ED">
        <w:rPr>
          <w:rFonts w:eastAsiaTheme="minorEastAsia"/>
          <w:color w:val="1D2455"/>
          <w:szCs w:val="20"/>
          <w:lang w:eastAsia="en-AU"/>
        </w:rPr>
        <w:fldChar w:fldCharType="begin"/>
      </w:r>
      <w:r w:rsidR="001151ED" w:rsidRPr="001151ED">
        <w:rPr>
          <w:rFonts w:eastAsiaTheme="minorEastAsia"/>
          <w:color w:val="1D2455"/>
          <w:szCs w:val="20"/>
          <w:lang w:eastAsia="en-AU"/>
        </w:rPr>
        <w:instrText xml:space="preserve"> REF _Ref108628411 \h </w:instrText>
      </w:r>
      <w:r w:rsidR="001151ED">
        <w:rPr>
          <w:rFonts w:eastAsiaTheme="minorEastAsia"/>
          <w:color w:val="1D2455"/>
          <w:szCs w:val="20"/>
          <w:lang w:eastAsia="en-AU"/>
        </w:rPr>
        <w:instrText xml:space="preserve"> \* MERGEFORMAT </w:instrText>
      </w:r>
      <w:r w:rsidR="001151ED" w:rsidRPr="001151ED">
        <w:rPr>
          <w:rFonts w:eastAsiaTheme="minorEastAsia"/>
          <w:color w:val="1D2455"/>
          <w:szCs w:val="20"/>
          <w:lang w:eastAsia="en-AU"/>
        </w:rPr>
      </w:r>
      <w:r w:rsidR="001151ED" w:rsidRPr="001151ED">
        <w:rPr>
          <w:rFonts w:eastAsiaTheme="minorEastAsia"/>
          <w:color w:val="1D2455"/>
          <w:szCs w:val="20"/>
          <w:lang w:eastAsia="en-AU"/>
        </w:rPr>
        <w:fldChar w:fldCharType="separate"/>
      </w:r>
      <w:r w:rsidR="003C4BC2" w:rsidRPr="003C4BC2">
        <w:rPr>
          <w:rFonts w:eastAsiaTheme="minorEastAsia"/>
          <w:color w:val="1D2455"/>
          <w:szCs w:val="20"/>
          <w:lang w:eastAsia="en-AU"/>
        </w:rPr>
        <w:t>Figure 28</w:t>
      </w:r>
      <w:r w:rsidR="001151ED" w:rsidRPr="001151ED">
        <w:rPr>
          <w:rFonts w:eastAsiaTheme="minorEastAsia"/>
          <w:color w:val="1D2455"/>
          <w:szCs w:val="20"/>
          <w:lang w:eastAsia="en-AU"/>
        </w:rPr>
        <w:fldChar w:fldCharType="end"/>
      </w:r>
      <w:r>
        <w:rPr>
          <w:lang w:val="en-GB"/>
        </w:rPr>
        <w:t>)</w:t>
      </w:r>
      <w:r w:rsidR="007D130E">
        <w:rPr>
          <w:lang w:val="en-GB"/>
        </w:rPr>
        <w:t>.</w:t>
      </w:r>
      <w:r w:rsidR="000B5CDB" w:rsidRPr="007D130E">
        <w:rPr>
          <w:rStyle w:val="FootnoteReference"/>
          <w:color w:val="408BCA"/>
          <w:lang w:val="en-GB"/>
        </w:rPr>
        <w:footnoteReference w:id="76"/>
      </w:r>
    </w:p>
    <w:p w14:paraId="706B7218" w14:textId="77777777" w:rsidR="00FD13E3" w:rsidRDefault="00FD13E3" w:rsidP="00FD13E3">
      <w:pPr>
        <w:rPr>
          <w:lang w:val="en-GB"/>
        </w:rPr>
      </w:pPr>
      <w:r>
        <w:rPr>
          <w:lang w:val="en-GB"/>
        </w:rPr>
        <w:t>In the year following enrolment HCH patients had a similarly large number of GP encounters as in the pre-enrolment period (mean=13.7, std=10.3). About 84.8% of HCH patients had five or more GP encounters, and 60.3% had at least 10 or more GP encounters. A slightly higher proportion of HCH patients had a very larger number of GP encounters in the year following enrolment: 37.8% had 15 or more GP encounters, and 21.7% had 20 or more GP encounters. A small proportion of HCH patients (1.5%) did not have a record of any GP encounters in the year following enrolment.</w:t>
      </w:r>
    </w:p>
    <w:p w14:paraId="6504E8FE" w14:textId="0B8CB221" w:rsidR="00863929" w:rsidRDefault="00FD13E3" w:rsidP="00FD13E3">
      <w:pPr>
        <w:rPr>
          <w:lang w:val="en-GB"/>
        </w:rPr>
      </w:pPr>
      <w:r>
        <w:rPr>
          <w:lang w:val="en-GB"/>
        </w:rPr>
        <w:t xml:space="preserve">Comparator patients </w:t>
      </w:r>
      <w:r w:rsidRPr="769C23D6">
        <w:rPr>
          <w:lang w:val="en-GB"/>
        </w:rPr>
        <w:t>were matched to HCH patients on pre-</w:t>
      </w:r>
      <w:r w:rsidRPr="60545F69">
        <w:rPr>
          <w:lang w:val="en-GB"/>
        </w:rPr>
        <w:t xml:space="preserve">enrolment </w:t>
      </w:r>
      <w:r w:rsidRPr="7B258843">
        <w:rPr>
          <w:lang w:val="en-GB"/>
        </w:rPr>
        <w:t>numbers</w:t>
      </w:r>
      <w:r>
        <w:rPr>
          <w:lang w:val="en-GB"/>
        </w:rPr>
        <w:t xml:space="preserve"> of GP encounters </w:t>
      </w:r>
      <w:r w:rsidRPr="7C72FF2C">
        <w:rPr>
          <w:lang w:val="en-GB"/>
        </w:rPr>
        <w:t xml:space="preserve">and </w:t>
      </w:r>
      <w:r w:rsidRPr="000D51C7">
        <w:rPr>
          <w:lang w:val="en-GB"/>
        </w:rPr>
        <w:t>had a mean of 13.3 (std 9.7</w:t>
      </w:r>
      <w:r>
        <w:rPr>
          <w:lang w:val="en-GB"/>
        </w:rPr>
        <w:t>, median 11</w:t>
      </w:r>
      <w:r w:rsidRPr="000D51C7">
        <w:rPr>
          <w:lang w:val="en-GB"/>
        </w:rPr>
        <w:t xml:space="preserve">) encounters in the 12 months before enrolment. </w:t>
      </w:r>
      <w:r w:rsidRPr="0C1D22D3">
        <w:rPr>
          <w:lang w:val="en-GB"/>
        </w:rPr>
        <w:t>However</w:t>
      </w:r>
      <w:r w:rsidRPr="000D51C7">
        <w:rPr>
          <w:lang w:val="en-GB"/>
        </w:rPr>
        <w:t>,</w:t>
      </w:r>
      <w:r>
        <w:rPr>
          <w:lang w:val="en-GB"/>
        </w:rPr>
        <w:t xml:space="preserve"> they tended to have fewer GP encounters </w:t>
      </w:r>
      <w:r w:rsidRPr="151A95EA">
        <w:rPr>
          <w:lang w:val="en-GB"/>
        </w:rPr>
        <w:t xml:space="preserve">than HCH patients </w:t>
      </w:r>
      <w:r>
        <w:rPr>
          <w:lang w:val="en-GB"/>
        </w:rPr>
        <w:t xml:space="preserve">in the following year (mean=12.0, std=10.2). After one year, only three quarters of </w:t>
      </w:r>
      <w:r w:rsidR="000E16C4">
        <w:rPr>
          <w:lang w:val="en-GB"/>
        </w:rPr>
        <w:t>comparator</w:t>
      </w:r>
      <w:r>
        <w:rPr>
          <w:lang w:val="en-GB"/>
        </w:rPr>
        <w:t xml:space="preserve"> patients (77.2%) had five of more GP encounters within the practice; just over half (51.7%) had 10 or more GP encounters; less than one</w:t>
      </w:r>
      <w:r w:rsidR="00D63CA9">
        <w:rPr>
          <w:lang w:val="en-GB"/>
        </w:rPr>
        <w:t xml:space="preserve"> </w:t>
      </w:r>
      <w:r>
        <w:rPr>
          <w:lang w:val="en-GB"/>
        </w:rPr>
        <w:t xml:space="preserve">third (31.6%) had 15 or more GP encounters; and 18.4% had 20 or more GP encounters. A much larger proportion of </w:t>
      </w:r>
      <w:r w:rsidR="000E16C4">
        <w:rPr>
          <w:lang w:val="en-GB"/>
        </w:rPr>
        <w:t>comparator</w:t>
      </w:r>
      <w:r>
        <w:rPr>
          <w:lang w:val="en-GB"/>
        </w:rPr>
        <w:t xml:space="preserve"> patients than HCH patients had no GP encounters recorded in the period following enrolment</w:t>
      </w:r>
      <w:r w:rsidR="004C0EF1">
        <w:rPr>
          <w:lang w:val="en-GB"/>
        </w:rPr>
        <w:t xml:space="preserve"> of the matched HCH patients</w:t>
      </w:r>
      <w:r>
        <w:rPr>
          <w:lang w:val="en-GB"/>
        </w:rPr>
        <w:t xml:space="preserve"> (</w:t>
      </w:r>
      <w:r w:rsidR="001151ED" w:rsidRPr="001151ED">
        <w:rPr>
          <w:rFonts w:eastAsiaTheme="minorEastAsia"/>
          <w:color w:val="1D2455"/>
          <w:szCs w:val="20"/>
          <w:lang w:eastAsia="en-AU"/>
        </w:rPr>
        <w:fldChar w:fldCharType="begin"/>
      </w:r>
      <w:r w:rsidR="001151ED" w:rsidRPr="001151ED">
        <w:rPr>
          <w:rFonts w:eastAsiaTheme="minorEastAsia"/>
          <w:color w:val="1D2455"/>
          <w:szCs w:val="20"/>
          <w:lang w:eastAsia="en-AU"/>
        </w:rPr>
        <w:instrText xml:space="preserve"> REF _Ref108628411 \h </w:instrText>
      </w:r>
      <w:r w:rsidR="001151ED">
        <w:rPr>
          <w:rFonts w:eastAsiaTheme="minorEastAsia"/>
          <w:color w:val="1D2455"/>
          <w:szCs w:val="20"/>
          <w:lang w:eastAsia="en-AU"/>
        </w:rPr>
        <w:instrText xml:space="preserve"> \* MERGEFORMAT </w:instrText>
      </w:r>
      <w:r w:rsidR="001151ED" w:rsidRPr="001151ED">
        <w:rPr>
          <w:rFonts w:eastAsiaTheme="minorEastAsia"/>
          <w:color w:val="1D2455"/>
          <w:szCs w:val="20"/>
          <w:lang w:eastAsia="en-AU"/>
        </w:rPr>
      </w:r>
      <w:r w:rsidR="001151ED" w:rsidRPr="001151ED">
        <w:rPr>
          <w:rFonts w:eastAsiaTheme="minorEastAsia"/>
          <w:color w:val="1D2455"/>
          <w:szCs w:val="20"/>
          <w:lang w:eastAsia="en-AU"/>
        </w:rPr>
        <w:fldChar w:fldCharType="separate"/>
      </w:r>
      <w:r w:rsidR="003C4BC2" w:rsidRPr="003C4BC2">
        <w:rPr>
          <w:rFonts w:eastAsiaTheme="minorEastAsia"/>
          <w:color w:val="1D2455"/>
          <w:szCs w:val="20"/>
          <w:lang w:eastAsia="en-AU"/>
        </w:rPr>
        <w:t>Figure 28</w:t>
      </w:r>
      <w:r w:rsidR="001151ED" w:rsidRPr="001151ED">
        <w:rPr>
          <w:rFonts w:eastAsiaTheme="minorEastAsia"/>
          <w:color w:val="1D2455"/>
          <w:szCs w:val="20"/>
          <w:lang w:eastAsia="en-AU"/>
        </w:rPr>
        <w:fldChar w:fldCharType="end"/>
      </w:r>
      <w:r>
        <w:rPr>
          <w:lang w:val="en-GB"/>
        </w:rPr>
        <w:t xml:space="preserve">). </w:t>
      </w:r>
    </w:p>
    <w:p w14:paraId="6E321D7E" w14:textId="77777777" w:rsidR="00863929" w:rsidRDefault="00863929">
      <w:pPr>
        <w:spacing w:after="160" w:line="259" w:lineRule="auto"/>
        <w:rPr>
          <w:lang w:val="en-GB"/>
        </w:rPr>
      </w:pPr>
      <w:r>
        <w:rPr>
          <w:lang w:val="en-GB"/>
        </w:rPr>
        <w:br w:type="page"/>
      </w:r>
    </w:p>
    <w:p w14:paraId="086B563B" w14:textId="42805EC3" w:rsidR="00FD13E3" w:rsidRDefault="00F118BD" w:rsidP="00FD13E3">
      <w:pPr>
        <w:pStyle w:val="TableFigureheading"/>
        <w:rPr>
          <w:bCs w:val="0"/>
        </w:rPr>
      </w:pPr>
      <w:bookmarkStart w:id="295" w:name="_Ref108628411"/>
      <w:bookmarkStart w:id="296" w:name="_Ref108628539"/>
      <w:r>
        <w:rPr>
          <w:bCs w:val="0"/>
        </w:rPr>
        <w:lastRenderedPageBreak/>
        <w:t xml:space="preserve">Figure </w:t>
      </w:r>
      <w:r>
        <w:rPr>
          <w:bCs w:val="0"/>
        </w:rPr>
        <w:fldChar w:fldCharType="begin"/>
      </w:r>
      <w:r>
        <w:rPr>
          <w:bCs w:val="0"/>
        </w:rPr>
        <w:instrText xml:space="preserve"> SEQ Figure\* ARABIC </w:instrText>
      </w:r>
      <w:r>
        <w:rPr>
          <w:bCs w:val="0"/>
        </w:rPr>
        <w:fldChar w:fldCharType="separate"/>
      </w:r>
      <w:r w:rsidR="003C4BC2">
        <w:rPr>
          <w:bCs w:val="0"/>
          <w:noProof/>
        </w:rPr>
        <w:t>28</w:t>
      </w:r>
      <w:r>
        <w:rPr>
          <w:bCs w:val="0"/>
        </w:rPr>
        <w:fldChar w:fldCharType="end"/>
      </w:r>
      <w:bookmarkEnd w:id="295"/>
      <w:r w:rsidR="00FD13E3" w:rsidRPr="00A970A9">
        <w:rPr>
          <w:bCs w:val="0"/>
        </w:rPr>
        <w:t xml:space="preserve">: </w:t>
      </w:r>
      <w:r w:rsidR="00FD13E3">
        <w:rPr>
          <w:bCs w:val="0"/>
        </w:rPr>
        <w:t xml:space="preserve">Number of encounters with GP among HCH patients and </w:t>
      </w:r>
      <w:r w:rsidR="000E16C4">
        <w:rPr>
          <w:bCs w:val="0"/>
        </w:rPr>
        <w:t>comparator</w:t>
      </w:r>
      <w:r w:rsidR="00FD13E3">
        <w:rPr>
          <w:bCs w:val="0"/>
        </w:rPr>
        <w:t>s</w:t>
      </w:r>
      <w:bookmarkEnd w:id="296"/>
    </w:p>
    <w:p w14:paraId="18D7D5E0" w14:textId="77777777" w:rsidR="00FD13E3" w:rsidRDefault="00FD13E3" w:rsidP="00FD13E3">
      <w:pPr>
        <w:jc w:val="center"/>
        <w:rPr>
          <w:lang w:val="en-GB"/>
        </w:rPr>
      </w:pPr>
      <w:r>
        <w:rPr>
          <w:noProof/>
          <w:lang w:val="en-GB"/>
        </w:rPr>
        <w:drawing>
          <wp:inline distT="0" distB="0" distL="0" distR="0" wp14:anchorId="43C16F7F" wp14:editId="582C0580">
            <wp:extent cx="5658216" cy="3960000"/>
            <wp:effectExtent l="0" t="0" r="0" b="0"/>
            <wp:docPr id="6293" name="Picture 629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3" name="Picture 6293" descr="Chart, bar chart&#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658216" cy="3960000"/>
                    </a:xfrm>
                    <a:prstGeom prst="rect">
                      <a:avLst/>
                    </a:prstGeom>
                  </pic:spPr>
                </pic:pic>
              </a:graphicData>
            </a:graphic>
          </wp:inline>
        </w:drawing>
      </w:r>
    </w:p>
    <w:p w14:paraId="313F6FDA" w14:textId="664FC277" w:rsidR="0083172A" w:rsidRDefault="0083172A" w:rsidP="0083172A">
      <w:pPr>
        <w:pStyle w:val="Chartortablefootnote"/>
        <w:spacing w:after="0"/>
        <w:ind w:left="720" w:right="663"/>
        <w:rPr>
          <w:lang w:val="en-GB"/>
        </w:rPr>
      </w:pPr>
      <w:r>
        <w:rPr>
          <w:lang w:val="en-GB"/>
        </w:rPr>
        <w:t>Notes: People with length of follow-up shorter than respective yearly anniversaries were excluded from analyses.</w:t>
      </w:r>
    </w:p>
    <w:p w14:paraId="2B34ADF2" w14:textId="41569283" w:rsidR="00FD13E3" w:rsidRDefault="00FD13E3" w:rsidP="00FD13E3">
      <w:pPr>
        <w:pStyle w:val="Chartortablefootnote"/>
        <w:ind w:left="720" w:right="662"/>
      </w:pPr>
      <w:r w:rsidRPr="00BA00F5">
        <w:rPr>
          <w:lang w:val="en-GB"/>
        </w:rPr>
        <w:t xml:space="preserve">Source: Data </w:t>
      </w:r>
      <w:r w:rsidRPr="00BA00F5">
        <w:t>extracted from 106 HCH practices (Pen CS, POLAR) and 403 comparator practices</w:t>
      </w:r>
      <w:r>
        <w:t xml:space="preserve"> (</w:t>
      </w:r>
      <w:proofErr w:type="spellStart"/>
      <w:r>
        <w:t>MedicineInsight</w:t>
      </w:r>
      <w:proofErr w:type="spellEnd"/>
      <w:r>
        <w:t>).</w:t>
      </w:r>
    </w:p>
    <w:p w14:paraId="25F7633B" w14:textId="77777777" w:rsidR="00FD13E3" w:rsidRDefault="00FD13E3" w:rsidP="00FD13E3">
      <w:pPr>
        <w:pStyle w:val="Heading3"/>
      </w:pPr>
      <w:r>
        <w:t xml:space="preserve">Encounters with practice nurses </w:t>
      </w:r>
    </w:p>
    <w:p w14:paraId="22A9B8AB" w14:textId="3A9BF8A2" w:rsidR="00031055" w:rsidRPr="000E42F0" w:rsidRDefault="00031055" w:rsidP="00031055">
      <w:r w:rsidRPr="00F65C18">
        <w:t>Encounters with practice nurses can be identified in the practice data</w:t>
      </w:r>
      <w:r>
        <w:t xml:space="preserve"> for</w:t>
      </w:r>
      <w:r w:rsidRPr="00F65C18">
        <w:t xml:space="preserve"> six-monthly (not annual) periods</w:t>
      </w:r>
      <w:r>
        <w:t>. Th</w:t>
      </w:r>
      <w:r w:rsidR="002E55E2">
        <w:t>ese</w:t>
      </w:r>
      <w:r>
        <w:t xml:space="preserve"> data are reported for HCH practices only, as sources of practice extracts may </w:t>
      </w:r>
      <w:r w:rsidR="006B2BD9">
        <w:t xml:space="preserve">use </w:t>
      </w:r>
      <w:r>
        <w:t xml:space="preserve">different </w:t>
      </w:r>
      <w:r w:rsidR="006B2BD9">
        <w:t xml:space="preserve">approach </w:t>
      </w:r>
      <w:r>
        <w:t>to derive practice nurse role.</w:t>
      </w:r>
    </w:p>
    <w:p w14:paraId="79254786" w14:textId="17670F24" w:rsidR="00863929" w:rsidRDefault="00FD13E3" w:rsidP="00FD13E3">
      <w:r w:rsidRPr="00F65C18" w:rsidDel="00A41F94">
        <w:t xml:space="preserve">In the six months </w:t>
      </w:r>
      <w:r w:rsidR="0002675D">
        <w:t>before</w:t>
      </w:r>
      <w:r w:rsidRPr="00F65C18" w:rsidDel="00A41F94">
        <w:t xml:space="preserve"> enrolment, </w:t>
      </w:r>
      <w:r>
        <w:t>18.4% of</w:t>
      </w:r>
      <w:r w:rsidRPr="00F65C18" w:rsidDel="00A41F94">
        <w:t xml:space="preserve"> HCH patients had at least one recorded encounter </w:t>
      </w:r>
      <w:r w:rsidRPr="00F65C18">
        <w:t xml:space="preserve">with </w:t>
      </w:r>
      <w:r w:rsidRPr="00F65C18" w:rsidDel="00A41F94">
        <w:t>a practice nurse</w:t>
      </w:r>
      <w:r w:rsidR="00704610">
        <w:t xml:space="preserve">, with </w:t>
      </w:r>
      <w:r w:rsidR="007C1CB0">
        <w:t xml:space="preserve">a </w:t>
      </w:r>
      <w:r w:rsidR="00704610">
        <w:t xml:space="preserve">mean number of encounters </w:t>
      </w:r>
      <w:r w:rsidR="007C1CB0">
        <w:t xml:space="preserve">of </w:t>
      </w:r>
      <w:r>
        <w:rPr>
          <w:lang w:val="en-GB"/>
        </w:rPr>
        <w:t>0.8</w:t>
      </w:r>
      <w:r w:rsidR="007C1CB0">
        <w:rPr>
          <w:lang w:val="en-GB"/>
        </w:rPr>
        <w:t xml:space="preserve"> </w:t>
      </w:r>
      <w:r w:rsidR="00034283">
        <w:rPr>
          <w:lang w:val="en-GB"/>
        </w:rPr>
        <w:t>per patient (</w:t>
      </w:r>
      <w:r>
        <w:rPr>
          <w:lang w:val="en-GB"/>
        </w:rPr>
        <w:t>std=3.5, median: zero encounters). A s</w:t>
      </w:r>
      <w:r w:rsidRPr="00F65C18" w:rsidDel="00A41F94">
        <w:t xml:space="preserve">mall proportion </w:t>
      </w:r>
      <w:r>
        <w:t>(4.4</w:t>
      </w:r>
      <w:r w:rsidRPr="00F65C18" w:rsidDel="00A41F94">
        <w:t xml:space="preserve">%) having five or more encounters. At </w:t>
      </w:r>
      <w:r w:rsidRPr="00F65C18">
        <w:t>six months</w:t>
      </w:r>
      <w:r w:rsidRPr="00F65C18" w:rsidDel="00A41F94">
        <w:t xml:space="preserve"> following enrolment, </w:t>
      </w:r>
      <w:r w:rsidR="006C1CF6">
        <w:t xml:space="preserve">the </w:t>
      </w:r>
      <w:r w:rsidRPr="00F65C18" w:rsidDel="00A41F94">
        <w:t xml:space="preserve">proportion </w:t>
      </w:r>
      <w:r>
        <w:t xml:space="preserve">of patients having an encounter with </w:t>
      </w:r>
      <w:r w:rsidR="006D5B1D">
        <w:t xml:space="preserve">a </w:t>
      </w:r>
      <w:r>
        <w:t xml:space="preserve">practice nurse </w:t>
      </w:r>
      <w:r w:rsidRPr="00F65C18" w:rsidDel="00A41F94">
        <w:t xml:space="preserve">increased </w:t>
      </w:r>
      <w:r w:rsidRPr="00F65C18">
        <w:t>to</w:t>
      </w:r>
      <w:r w:rsidRPr="00F65C18" w:rsidDel="00A41F94">
        <w:t xml:space="preserve"> </w:t>
      </w:r>
      <w:r>
        <w:t>22.6% and remained stable thereafter</w:t>
      </w:r>
      <w:r w:rsidRPr="00F65C18">
        <w:t xml:space="preserve"> </w:t>
      </w:r>
      <w:r>
        <w:t>(</w:t>
      </w:r>
      <w:r w:rsidRPr="00FF78AE">
        <w:rPr>
          <w:rFonts w:eastAsiaTheme="minorEastAsia"/>
          <w:color w:val="1D2455"/>
          <w:szCs w:val="20"/>
          <w:lang w:eastAsia="en-AU"/>
        </w:rPr>
        <w:fldChar w:fldCharType="begin"/>
      </w:r>
      <w:r w:rsidRPr="00FF78AE">
        <w:rPr>
          <w:rFonts w:eastAsiaTheme="minorEastAsia"/>
          <w:color w:val="1D2455"/>
          <w:szCs w:val="20"/>
          <w:lang w:eastAsia="en-AU"/>
        </w:rPr>
        <w:instrText xml:space="preserve"> REF _Ref96722422 \h </w:instrText>
      </w:r>
      <w:r w:rsidR="003B374A" w:rsidRPr="00FF78AE">
        <w:rPr>
          <w:rFonts w:eastAsiaTheme="minorEastAsia"/>
          <w:color w:val="1D2455"/>
          <w:szCs w:val="20"/>
          <w:lang w:eastAsia="en-AU"/>
        </w:rPr>
        <w:instrText xml:space="preserve"> \* MERGEFORMAT </w:instrText>
      </w:r>
      <w:r w:rsidRPr="00FF78AE">
        <w:rPr>
          <w:rFonts w:eastAsiaTheme="minorEastAsia"/>
          <w:color w:val="1D2455"/>
          <w:szCs w:val="20"/>
          <w:lang w:eastAsia="en-AU"/>
        </w:rPr>
      </w:r>
      <w:r w:rsidRPr="00FF78AE">
        <w:rPr>
          <w:rFonts w:eastAsiaTheme="minorEastAsia"/>
          <w:color w:val="1D2455"/>
          <w:szCs w:val="20"/>
          <w:lang w:eastAsia="en-AU"/>
        </w:rPr>
        <w:fldChar w:fldCharType="separate"/>
      </w:r>
      <w:r w:rsidR="003C4BC2" w:rsidRPr="003C4BC2">
        <w:rPr>
          <w:rFonts w:eastAsiaTheme="minorEastAsia"/>
          <w:color w:val="1D2455"/>
          <w:szCs w:val="20"/>
          <w:lang w:eastAsia="en-AU"/>
        </w:rPr>
        <w:t>Figure 29</w:t>
      </w:r>
      <w:r w:rsidRPr="00FF78AE">
        <w:rPr>
          <w:rFonts w:eastAsiaTheme="minorEastAsia"/>
          <w:color w:val="1D2455"/>
          <w:szCs w:val="20"/>
          <w:lang w:eastAsia="en-AU"/>
        </w:rPr>
        <w:fldChar w:fldCharType="end"/>
      </w:r>
      <w:r>
        <w:t>)</w:t>
      </w:r>
      <w:r w:rsidRPr="00F65C18" w:rsidDel="00A41F94">
        <w:t>.</w:t>
      </w:r>
    </w:p>
    <w:p w14:paraId="2BA15314" w14:textId="77777777" w:rsidR="00863929" w:rsidRDefault="00863929">
      <w:pPr>
        <w:spacing w:after="160" w:line="259" w:lineRule="auto"/>
      </w:pPr>
      <w:r>
        <w:br w:type="page"/>
      </w:r>
    </w:p>
    <w:p w14:paraId="2635D1B9" w14:textId="0C5EB857" w:rsidR="00FD13E3" w:rsidRDefault="00FD13E3" w:rsidP="00FD13E3">
      <w:pPr>
        <w:pStyle w:val="TableFigureheading"/>
        <w:rPr>
          <w:bCs w:val="0"/>
        </w:rPr>
      </w:pPr>
      <w:bookmarkStart w:id="297" w:name="_Ref96722422"/>
      <w:r>
        <w:rPr>
          <w:bCs w:val="0"/>
        </w:rPr>
        <w:lastRenderedPageBreak/>
        <w:t>Figure</w:t>
      </w:r>
      <w:r w:rsidRPr="00A970A9">
        <w:rPr>
          <w:bCs w:val="0"/>
        </w:rPr>
        <w:t xml:space="preserve"> </w:t>
      </w:r>
      <w:r>
        <w:rPr>
          <w:bCs w:val="0"/>
        </w:rPr>
        <w:fldChar w:fldCharType="begin"/>
      </w:r>
      <w:r>
        <w:rPr>
          <w:bCs w:val="0"/>
        </w:rPr>
        <w:instrText xml:space="preserve"> SEQ Figure\* ARABIC </w:instrText>
      </w:r>
      <w:r>
        <w:rPr>
          <w:bCs w:val="0"/>
        </w:rPr>
        <w:fldChar w:fldCharType="separate"/>
      </w:r>
      <w:r w:rsidR="003C4BC2">
        <w:rPr>
          <w:bCs w:val="0"/>
          <w:noProof/>
        </w:rPr>
        <w:t>29</w:t>
      </w:r>
      <w:r>
        <w:rPr>
          <w:bCs w:val="0"/>
        </w:rPr>
        <w:fldChar w:fldCharType="end"/>
      </w:r>
      <w:bookmarkEnd w:id="297"/>
      <w:r w:rsidRPr="00A970A9">
        <w:rPr>
          <w:bCs w:val="0"/>
        </w:rPr>
        <w:t xml:space="preserve">: </w:t>
      </w:r>
      <w:r>
        <w:rPr>
          <w:bCs w:val="0"/>
        </w:rPr>
        <w:t>Number of encounters with practice nurses</w:t>
      </w:r>
      <w:r w:rsidR="00274A18">
        <w:rPr>
          <w:bCs w:val="0"/>
        </w:rPr>
        <w:t>,</w:t>
      </w:r>
      <w:r>
        <w:rPr>
          <w:bCs w:val="0"/>
        </w:rPr>
        <w:t xml:space="preserve"> among HCH patients</w:t>
      </w:r>
      <w:r w:rsidR="00274A18">
        <w:rPr>
          <w:bCs w:val="0"/>
        </w:rPr>
        <w:t xml:space="preserve"> only</w:t>
      </w:r>
    </w:p>
    <w:p w14:paraId="79BB6B5D" w14:textId="1F17E8B6" w:rsidR="00FD13E3" w:rsidRPr="003D1AB2" w:rsidRDefault="00596BC4" w:rsidP="003D1AB2">
      <w:pPr>
        <w:jc w:val="center"/>
        <w:rPr>
          <w:noProof/>
          <w:lang w:val="en-GB"/>
        </w:rPr>
      </w:pPr>
      <w:r>
        <w:rPr>
          <w:bCs/>
          <w:noProof/>
        </w:rPr>
        <w:drawing>
          <wp:inline distT="0" distB="0" distL="0" distR="0" wp14:anchorId="73473EBE" wp14:editId="72B713F4">
            <wp:extent cx="3778370" cy="3023124"/>
            <wp:effectExtent l="0" t="0" r="0" b="0"/>
            <wp:docPr id="6297" name="Picture 629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1" name="Picture 6291" descr="Chart, bar chart&#10;&#10;Description automatically generated"/>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787055" cy="3030073"/>
                    </a:xfrm>
                    <a:prstGeom prst="rect">
                      <a:avLst/>
                    </a:prstGeom>
                  </pic:spPr>
                </pic:pic>
              </a:graphicData>
            </a:graphic>
          </wp:inline>
        </w:drawing>
      </w:r>
    </w:p>
    <w:p w14:paraId="2612C1BA" w14:textId="1163C59D" w:rsidR="00FD13E3" w:rsidRDefault="0083172A" w:rsidP="0083172A">
      <w:pPr>
        <w:pStyle w:val="Chartortablefootnote"/>
        <w:spacing w:after="0"/>
        <w:ind w:left="720" w:right="663"/>
        <w:rPr>
          <w:lang w:val="en-GB"/>
        </w:rPr>
      </w:pPr>
      <w:r>
        <w:rPr>
          <w:lang w:val="en-GB"/>
        </w:rPr>
        <w:t>Notes:</w:t>
      </w:r>
      <w:r w:rsidR="00FD13E3">
        <w:rPr>
          <w:lang w:val="en-GB"/>
        </w:rPr>
        <w:t xml:space="preserve"> </w:t>
      </w:r>
      <w:r w:rsidR="00FD13E3" w:rsidRPr="00BA00F5">
        <w:rPr>
          <w:lang w:val="en-GB"/>
        </w:rPr>
        <w:t xml:space="preserve">People with length of follow-up shorter than </w:t>
      </w:r>
      <w:r w:rsidR="009C5FF9">
        <w:rPr>
          <w:lang w:val="en-GB"/>
        </w:rPr>
        <w:t xml:space="preserve">the </w:t>
      </w:r>
      <w:r w:rsidR="00FD13E3" w:rsidRPr="00BA00F5">
        <w:rPr>
          <w:lang w:val="en-GB"/>
        </w:rPr>
        <w:t>respective six-monthly</w:t>
      </w:r>
      <w:r w:rsidR="00FD13E3">
        <w:rPr>
          <w:lang w:val="en-GB"/>
        </w:rPr>
        <w:t xml:space="preserve"> </w:t>
      </w:r>
      <w:r w:rsidR="00596BC4">
        <w:rPr>
          <w:lang w:val="en-GB"/>
        </w:rPr>
        <w:t>measurement period</w:t>
      </w:r>
      <w:r w:rsidR="00FD13E3">
        <w:rPr>
          <w:lang w:val="en-GB"/>
        </w:rPr>
        <w:t xml:space="preserve"> were excluded from analyses.</w:t>
      </w:r>
    </w:p>
    <w:p w14:paraId="3BA0C25F" w14:textId="214D820B" w:rsidR="0083172A" w:rsidRDefault="0083172A" w:rsidP="00FD13E3">
      <w:pPr>
        <w:pStyle w:val="Chartortablefootnote"/>
        <w:ind w:left="720" w:right="662"/>
      </w:pPr>
      <w:r w:rsidRPr="00BA00F5">
        <w:rPr>
          <w:lang w:val="en-GB"/>
        </w:rPr>
        <w:t xml:space="preserve">Source: Data </w:t>
      </w:r>
      <w:r w:rsidRPr="00BA00F5">
        <w:t>extracted from 106 HCH practices (Pen CS, POLAR).</w:t>
      </w:r>
    </w:p>
    <w:p w14:paraId="51914E6F" w14:textId="77777777" w:rsidR="00FD13E3" w:rsidRDefault="00FD13E3" w:rsidP="00FD13E3">
      <w:pPr>
        <w:pStyle w:val="Heading3"/>
      </w:pPr>
      <w:r>
        <w:t xml:space="preserve">Encounters with allied health practitioners </w:t>
      </w:r>
    </w:p>
    <w:p w14:paraId="1DEBB9FC" w14:textId="6FF3EAC7" w:rsidR="003D1AB2" w:rsidRDefault="00FD13E3" w:rsidP="00FD13E3">
      <w:r>
        <w:t>Information about e</w:t>
      </w:r>
      <w:r w:rsidRPr="00F65C18">
        <w:t xml:space="preserve">ncounters with </w:t>
      </w:r>
      <w:r>
        <w:t>allied health staff</w:t>
      </w:r>
      <w:r w:rsidRPr="00F65C18">
        <w:t xml:space="preserve"> </w:t>
      </w:r>
      <w:r>
        <w:t xml:space="preserve">including psychologists, podiatrists and dieticians </w:t>
      </w:r>
      <w:r w:rsidRPr="00F65C18">
        <w:t xml:space="preserve">were </w:t>
      </w:r>
      <w:r>
        <w:t xml:space="preserve">derived for six monthly periods. This information was not available for </w:t>
      </w:r>
      <w:r w:rsidR="000E16C4">
        <w:t>comparator</w:t>
      </w:r>
      <w:r>
        <w:t xml:space="preserve"> patients</w:t>
      </w:r>
      <w:r w:rsidRPr="00F65C18">
        <w:t>.</w:t>
      </w:r>
      <w:r w:rsidR="00D053FB">
        <w:t xml:space="preserve"> </w:t>
      </w:r>
      <w:r>
        <w:t xml:space="preserve">A small proportion of HCH patients had encounters with podiatrists (8.1%), dieticians (3.5%) and psychologists (1.5%) in the practice in the six months </w:t>
      </w:r>
      <w:r w:rsidR="0002675D">
        <w:t>before</w:t>
      </w:r>
      <w:r>
        <w:t xml:space="preserve"> enrolment</w:t>
      </w:r>
      <w:r w:rsidRPr="00D62897">
        <w:t>. Th</w:t>
      </w:r>
      <w:r>
        <w:t xml:space="preserve">ese proportions </w:t>
      </w:r>
      <w:r w:rsidRPr="004F2735">
        <w:t xml:space="preserve">remained </w:t>
      </w:r>
      <w:r>
        <w:t xml:space="preserve">low </w:t>
      </w:r>
      <w:r w:rsidRPr="00855643">
        <w:t>at six months following enrolment (</w:t>
      </w:r>
      <w:r w:rsidR="00491ADB">
        <w:t>9.6</w:t>
      </w:r>
      <w:r w:rsidRPr="00855643">
        <w:t>%, 3.</w:t>
      </w:r>
      <w:r w:rsidR="00491ADB">
        <w:t>6</w:t>
      </w:r>
      <w:r w:rsidRPr="00855643">
        <w:t>% and 1.</w:t>
      </w:r>
      <w:r w:rsidR="00491ADB">
        <w:t>5</w:t>
      </w:r>
      <w:r w:rsidRPr="00855643">
        <w:t>%</w:t>
      </w:r>
      <w:r>
        <w:t xml:space="preserve"> </w:t>
      </w:r>
      <w:r w:rsidRPr="00855643">
        <w:t>respectively) and thereafter</w:t>
      </w:r>
      <w:r>
        <w:t xml:space="preserve"> (</w:t>
      </w:r>
      <w:r w:rsidRPr="00FF78AE">
        <w:rPr>
          <w:rFonts w:eastAsiaTheme="minorEastAsia"/>
          <w:color w:val="1D2455"/>
          <w:szCs w:val="20"/>
          <w:lang w:eastAsia="en-AU"/>
        </w:rPr>
        <w:fldChar w:fldCharType="begin"/>
      </w:r>
      <w:r w:rsidRPr="00FF78AE">
        <w:rPr>
          <w:rFonts w:eastAsiaTheme="minorEastAsia"/>
          <w:color w:val="1D2455"/>
          <w:szCs w:val="20"/>
          <w:lang w:eastAsia="en-AU"/>
        </w:rPr>
        <w:instrText xml:space="preserve"> REF _Ref96722615 \h </w:instrText>
      </w:r>
      <w:r w:rsidR="003B374A" w:rsidRPr="00FF78AE">
        <w:rPr>
          <w:rFonts w:eastAsiaTheme="minorEastAsia"/>
          <w:color w:val="1D2455"/>
          <w:szCs w:val="20"/>
          <w:lang w:eastAsia="en-AU"/>
        </w:rPr>
        <w:instrText xml:space="preserve"> \* MERGEFORMAT </w:instrText>
      </w:r>
      <w:r w:rsidRPr="00FF78AE">
        <w:rPr>
          <w:rFonts w:eastAsiaTheme="minorEastAsia"/>
          <w:color w:val="1D2455"/>
          <w:szCs w:val="20"/>
          <w:lang w:eastAsia="en-AU"/>
        </w:rPr>
      </w:r>
      <w:r w:rsidRPr="00FF78AE">
        <w:rPr>
          <w:rFonts w:eastAsiaTheme="minorEastAsia"/>
          <w:color w:val="1D2455"/>
          <w:szCs w:val="20"/>
          <w:lang w:eastAsia="en-AU"/>
        </w:rPr>
        <w:fldChar w:fldCharType="separate"/>
      </w:r>
      <w:r w:rsidR="003C4BC2" w:rsidRPr="003C4BC2">
        <w:rPr>
          <w:rFonts w:eastAsiaTheme="minorEastAsia"/>
          <w:color w:val="1D2455"/>
          <w:szCs w:val="20"/>
          <w:lang w:eastAsia="en-AU"/>
        </w:rPr>
        <w:t>Figure 30</w:t>
      </w:r>
      <w:r w:rsidRPr="00FF78AE">
        <w:rPr>
          <w:rFonts w:eastAsiaTheme="minorEastAsia"/>
          <w:color w:val="1D2455"/>
          <w:szCs w:val="20"/>
          <w:lang w:eastAsia="en-AU"/>
        </w:rPr>
        <w:fldChar w:fldCharType="end"/>
      </w:r>
      <w:r>
        <w:t>)</w:t>
      </w:r>
      <w:r w:rsidRPr="00855643">
        <w:t>.</w:t>
      </w:r>
    </w:p>
    <w:p w14:paraId="4F6EC0E5" w14:textId="78F39464" w:rsidR="000E19EB" w:rsidRPr="00366901" w:rsidRDefault="000E19EB" w:rsidP="000E19EB">
      <w:r>
        <w:t xml:space="preserve">These data should be interpreted cautiously. The data on the staffing profile of HCH practices shows that there is only limited direct employment of allied health staff in most practices (see Volume 3 Appendix 8). </w:t>
      </w:r>
      <w:r w:rsidR="00BA6C4D">
        <w:t>About</w:t>
      </w:r>
      <w:r>
        <w:t xml:space="preserve"> 60% of HCH practices reported employment of allied health or related staff (including Aboriginal Health Practitioners). On average, allied health staff made up 9% of FTE in these practices. Additionally, practices frequently refer patients to allied health staff outside the practice. As</w:t>
      </w:r>
      <w:r w:rsidRPr="00366901">
        <w:t xml:space="preserve"> shown in </w:t>
      </w:r>
      <w:r>
        <w:t>C</w:t>
      </w:r>
      <w:r w:rsidRPr="00366901">
        <w:t xml:space="preserve">hapter </w:t>
      </w:r>
      <w:r w:rsidRPr="00366901">
        <w:fldChar w:fldCharType="begin"/>
      </w:r>
      <w:r w:rsidRPr="00366901">
        <w:instrText xml:space="preserve"> REF _Ref82530174 \r \h </w:instrText>
      </w:r>
      <w:r>
        <w:instrText xml:space="preserve"> \* MERGEFORMAT </w:instrText>
      </w:r>
      <w:r w:rsidRPr="00366901">
        <w:fldChar w:fldCharType="separate"/>
      </w:r>
      <w:r w:rsidR="003C4BC2">
        <w:t>18</w:t>
      </w:r>
      <w:r w:rsidRPr="00366901">
        <w:fldChar w:fldCharType="end"/>
      </w:r>
      <w:r w:rsidR="004C315B">
        <w:t xml:space="preserve"> (p. </w:t>
      </w:r>
      <w:r w:rsidR="004C315B">
        <w:fldChar w:fldCharType="begin"/>
      </w:r>
      <w:r w:rsidR="004C315B">
        <w:instrText xml:space="preserve"> PAGEREF _Ref103765343 \h </w:instrText>
      </w:r>
      <w:r w:rsidR="004C315B">
        <w:fldChar w:fldCharType="separate"/>
      </w:r>
      <w:r w:rsidR="003C4BC2">
        <w:rPr>
          <w:noProof/>
        </w:rPr>
        <w:t>220</w:t>
      </w:r>
      <w:r w:rsidR="004C315B">
        <w:fldChar w:fldCharType="end"/>
      </w:r>
      <w:r w:rsidR="004C315B">
        <w:t>)</w:t>
      </w:r>
      <w:r w:rsidRPr="00366901">
        <w:t xml:space="preserve">, the proportion of patients where a claim under Medicare for allied health services increased for HCH patients but decreased for </w:t>
      </w:r>
      <w:r>
        <w:t>comparator</w:t>
      </w:r>
      <w:r w:rsidRPr="00366901">
        <w:t xml:space="preserve"> patients. </w:t>
      </w:r>
    </w:p>
    <w:p w14:paraId="45CE8356" w14:textId="66EAF226" w:rsidR="000E19EB" w:rsidRDefault="000E19EB">
      <w:pPr>
        <w:spacing w:after="160" w:line="259" w:lineRule="auto"/>
      </w:pPr>
      <w:r>
        <w:br w:type="page"/>
      </w:r>
    </w:p>
    <w:p w14:paraId="48BB796D" w14:textId="57FB6670" w:rsidR="00FD13E3" w:rsidRDefault="00FD13E3" w:rsidP="00FD13E3">
      <w:pPr>
        <w:pStyle w:val="TableFigureheading"/>
        <w:rPr>
          <w:bCs w:val="0"/>
        </w:rPr>
      </w:pPr>
      <w:bookmarkStart w:id="298" w:name="_Ref96722615"/>
      <w:r>
        <w:rPr>
          <w:bCs w:val="0"/>
        </w:rPr>
        <w:lastRenderedPageBreak/>
        <w:t>Figure</w:t>
      </w:r>
      <w:r w:rsidRPr="00A970A9">
        <w:rPr>
          <w:bCs w:val="0"/>
        </w:rPr>
        <w:t xml:space="preserve"> </w:t>
      </w:r>
      <w:r>
        <w:rPr>
          <w:bCs w:val="0"/>
        </w:rPr>
        <w:fldChar w:fldCharType="begin"/>
      </w:r>
      <w:r>
        <w:rPr>
          <w:bCs w:val="0"/>
        </w:rPr>
        <w:instrText xml:space="preserve"> SEQ Figure\* ARABIC </w:instrText>
      </w:r>
      <w:r>
        <w:rPr>
          <w:bCs w:val="0"/>
        </w:rPr>
        <w:fldChar w:fldCharType="separate"/>
      </w:r>
      <w:r w:rsidR="003C4BC2">
        <w:rPr>
          <w:bCs w:val="0"/>
          <w:noProof/>
        </w:rPr>
        <w:t>30</w:t>
      </w:r>
      <w:r>
        <w:rPr>
          <w:bCs w:val="0"/>
        </w:rPr>
        <w:fldChar w:fldCharType="end"/>
      </w:r>
      <w:bookmarkEnd w:id="298"/>
      <w:r w:rsidRPr="00A970A9">
        <w:rPr>
          <w:bCs w:val="0"/>
        </w:rPr>
        <w:t xml:space="preserve">: </w:t>
      </w:r>
      <w:r>
        <w:rPr>
          <w:bCs w:val="0"/>
        </w:rPr>
        <w:t xml:space="preserve">Encounters with </w:t>
      </w:r>
      <w:r w:rsidR="00E85D22">
        <w:rPr>
          <w:bCs w:val="0"/>
        </w:rPr>
        <w:t>podiatrists, dietician</w:t>
      </w:r>
      <w:r w:rsidR="00F80AD3">
        <w:rPr>
          <w:bCs w:val="0"/>
        </w:rPr>
        <w:t>s and</w:t>
      </w:r>
      <w:r w:rsidR="00E85D22">
        <w:rPr>
          <w:bCs w:val="0"/>
        </w:rPr>
        <w:t xml:space="preserve"> </w:t>
      </w:r>
      <w:r>
        <w:rPr>
          <w:bCs w:val="0"/>
        </w:rPr>
        <w:t>psychologists, among HCH patients only</w:t>
      </w:r>
    </w:p>
    <w:p w14:paraId="000E8E59" w14:textId="49778968" w:rsidR="00FD13E3" w:rsidRDefault="00E74717" w:rsidP="00FD13E3">
      <w:pPr>
        <w:pStyle w:val="TableFigureheading"/>
      </w:pPr>
      <w:r>
        <w:rPr>
          <w:bCs w:val="0"/>
          <w:noProof/>
        </w:rPr>
        <w:drawing>
          <wp:inline distT="0" distB="0" distL="0" distR="0" wp14:anchorId="09DF378A" wp14:editId="4655F487">
            <wp:extent cx="5731510" cy="3126105"/>
            <wp:effectExtent l="0" t="0" r="0" b="0"/>
            <wp:docPr id="6295" name="Picture 629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5" name="Picture 6295" descr="Chart&#10;&#10;Description automatically generated"/>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731510" cy="3126105"/>
                    </a:xfrm>
                    <a:prstGeom prst="rect">
                      <a:avLst/>
                    </a:prstGeom>
                  </pic:spPr>
                </pic:pic>
              </a:graphicData>
            </a:graphic>
          </wp:inline>
        </w:drawing>
      </w:r>
    </w:p>
    <w:p w14:paraId="155DE12C" w14:textId="5C2E00AF" w:rsidR="00FD13E3" w:rsidRDefault="0083172A" w:rsidP="0083172A">
      <w:pPr>
        <w:pStyle w:val="Chartortablefootnote"/>
        <w:spacing w:after="0"/>
        <w:ind w:left="720" w:right="663"/>
        <w:rPr>
          <w:lang w:val="en-GB"/>
        </w:rPr>
      </w:pPr>
      <w:r>
        <w:rPr>
          <w:lang w:val="en-GB"/>
        </w:rPr>
        <w:t>Notes</w:t>
      </w:r>
      <w:r w:rsidR="00FD13E3" w:rsidRPr="00144095">
        <w:rPr>
          <w:lang w:val="en-GB"/>
        </w:rPr>
        <w:t>: People with length of follow-up</w:t>
      </w:r>
      <w:r w:rsidR="00FD13E3">
        <w:rPr>
          <w:lang w:val="en-GB"/>
        </w:rPr>
        <w:t xml:space="preserve"> shorter than respective six-monthly </w:t>
      </w:r>
      <w:r w:rsidR="00905F63">
        <w:rPr>
          <w:lang w:val="en-GB"/>
        </w:rPr>
        <w:t>measurem</w:t>
      </w:r>
      <w:r w:rsidR="00EE4317">
        <w:rPr>
          <w:lang w:val="en-GB"/>
        </w:rPr>
        <w:t>ent period</w:t>
      </w:r>
      <w:r w:rsidR="00FD13E3">
        <w:rPr>
          <w:lang w:val="en-GB"/>
        </w:rPr>
        <w:t xml:space="preserve"> were excluded from analyses.</w:t>
      </w:r>
    </w:p>
    <w:p w14:paraId="376D45E4" w14:textId="72BFE27B" w:rsidR="0083172A" w:rsidRDefault="0083172A" w:rsidP="00FD13E3">
      <w:pPr>
        <w:pStyle w:val="Chartortablefootnote"/>
        <w:ind w:left="720" w:right="662"/>
        <w:rPr>
          <w:lang w:val="en-GB"/>
        </w:rPr>
      </w:pPr>
      <w:r w:rsidRPr="00144095">
        <w:rPr>
          <w:lang w:val="en-GB"/>
        </w:rPr>
        <w:t xml:space="preserve">Source: Data </w:t>
      </w:r>
      <w:r w:rsidRPr="00144095">
        <w:t>extracted from 106 HCH practices (Pen CS, POLAR).</w:t>
      </w:r>
    </w:p>
    <w:p w14:paraId="43436678" w14:textId="77777777" w:rsidR="00FD13E3" w:rsidRDefault="00FD13E3" w:rsidP="00FD13E3">
      <w:pPr>
        <w:pStyle w:val="Heading2"/>
      </w:pPr>
      <w:bookmarkStart w:id="299" w:name="_Toc109996720"/>
      <w:r>
        <w:t>Monitoring of clinical measures</w:t>
      </w:r>
      <w:bookmarkEnd w:id="299"/>
    </w:p>
    <w:p w14:paraId="0BBEEDC7" w14:textId="46262A6C" w:rsidR="00FD13E3" w:rsidRDefault="00FD13E3" w:rsidP="00FD13E3">
      <w:pPr>
        <w:rPr>
          <w:lang w:val="en-GB"/>
        </w:rPr>
      </w:pPr>
      <w:r>
        <w:rPr>
          <w:lang w:val="en-GB"/>
        </w:rPr>
        <w:t xml:space="preserve">Overall, a </w:t>
      </w:r>
      <w:r w:rsidR="005D498A">
        <w:rPr>
          <w:lang w:val="en-GB"/>
        </w:rPr>
        <w:t xml:space="preserve">high </w:t>
      </w:r>
      <w:r>
        <w:rPr>
          <w:lang w:val="en-GB"/>
        </w:rPr>
        <w:t xml:space="preserve">proportion of HCH patients had key clinical measures recorded in the </w:t>
      </w:r>
      <w:r w:rsidR="00903B60">
        <w:rPr>
          <w:lang w:val="en-GB"/>
        </w:rPr>
        <w:t>clinical management system</w:t>
      </w:r>
      <w:r>
        <w:rPr>
          <w:lang w:val="en-GB"/>
        </w:rPr>
        <w:t xml:space="preserve"> of their HCH practice </w:t>
      </w:r>
      <w:r w:rsidR="00F11772">
        <w:rPr>
          <w:lang w:val="en-GB"/>
        </w:rPr>
        <w:t>–</w:t>
      </w:r>
      <w:r>
        <w:rPr>
          <w:lang w:val="en-GB"/>
        </w:rPr>
        <w:t xml:space="preserve"> including blood pressure, </w:t>
      </w:r>
      <w:r w:rsidRPr="6AAC5CEF">
        <w:rPr>
          <w:lang w:val="en-GB"/>
        </w:rPr>
        <w:t xml:space="preserve">blood </w:t>
      </w:r>
      <w:r w:rsidRPr="23CAF347">
        <w:rPr>
          <w:lang w:val="en-GB"/>
        </w:rPr>
        <w:t>lipid tests</w:t>
      </w:r>
      <w:r>
        <w:rPr>
          <w:lang w:val="en-GB"/>
        </w:rPr>
        <w:t xml:space="preserve">, HbA1c in patients with type 2 diabetes, and kidney function in patients with type 2 diabetes or cardiovascular disease. </w:t>
      </w:r>
    </w:p>
    <w:p w14:paraId="36B49926" w14:textId="77777777" w:rsidR="00FD13E3" w:rsidRDefault="00FD13E3" w:rsidP="00FD13E3">
      <w:pPr>
        <w:rPr>
          <w:lang w:val="en-GB"/>
        </w:rPr>
      </w:pPr>
      <w:r>
        <w:rPr>
          <w:lang w:val="en-GB"/>
        </w:rPr>
        <w:t>Annual recording of this information tended to be highe</w:t>
      </w:r>
      <w:r w:rsidRPr="3EA823B4">
        <w:rPr>
          <w:lang w:val="en-GB"/>
        </w:rPr>
        <w:t xml:space="preserve">r </w:t>
      </w:r>
      <w:r>
        <w:rPr>
          <w:lang w:val="en-GB"/>
        </w:rPr>
        <w:t xml:space="preserve">in the pre-enrolment period than during </w:t>
      </w:r>
      <w:r w:rsidRPr="3EA823B4">
        <w:rPr>
          <w:lang w:val="en-GB"/>
        </w:rPr>
        <w:t>the</w:t>
      </w:r>
      <w:r>
        <w:rPr>
          <w:lang w:val="en-GB"/>
        </w:rPr>
        <w:t xml:space="preserve"> patient’s</w:t>
      </w:r>
      <w:r w:rsidRPr="3EA823B4">
        <w:rPr>
          <w:lang w:val="en-GB"/>
        </w:rPr>
        <w:t xml:space="preserve"> </w:t>
      </w:r>
      <w:r>
        <w:rPr>
          <w:lang w:val="en-GB"/>
        </w:rPr>
        <w:t xml:space="preserve">enrolment in </w:t>
      </w:r>
      <w:r w:rsidRPr="3EA823B4">
        <w:rPr>
          <w:lang w:val="en-GB"/>
        </w:rPr>
        <w:t>HCH</w:t>
      </w:r>
      <w:r>
        <w:rPr>
          <w:lang w:val="en-GB"/>
        </w:rPr>
        <w:t xml:space="preserve"> for all of these measures. This likely reflects increased collection of clinical information for recruitment and enrolment of patients into </w:t>
      </w:r>
      <w:r w:rsidRPr="3EA823B4">
        <w:rPr>
          <w:lang w:val="en-GB"/>
        </w:rPr>
        <w:t>HCH</w:t>
      </w:r>
      <w:r>
        <w:rPr>
          <w:lang w:val="en-GB"/>
        </w:rPr>
        <w:t>.</w:t>
      </w:r>
    </w:p>
    <w:p w14:paraId="496426F0" w14:textId="6E392C17" w:rsidR="00FD13E3" w:rsidRPr="00A8243D" w:rsidRDefault="00FD13E3" w:rsidP="00FD13E3">
      <w:pPr>
        <w:rPr>
          <w:lang w:val="en-GB"/>
        </w:rPr>
      </w:pPr>
      <w:r>
        <w:rPr>
          <w:lang w:val="en-GB"/>
        </w:rPr>
        <w:t xml:space="preserve">Annual recording of each clinical </w:t>
      </w:r>
      <w:r w:rsidR="0071460D">
        <w:rPr>
          <w:lang w:val="en-GB"/>
        </w:rPr>
        <w:t>measure</w:t>
      </w:r>
      <w:r w:rsidRPr="3EA823B4">
        <w:rPr>
          <w:lang w:val="en-GB"/>
        </w:rPr>
        <w:t xml:space="preserve"> </w:t>
      </w:r>
      <w:r>
        <w:rPr>
          <w:lang w:val="en-GB"/>
        </w:rPr>
        <w:t xml:space="preserve">decreased slightly </w:t>
      </w:r>
      <w:r w:rsidRPr="3EA823B4">
        <w:rPr>
          <w:lang w:val="en-GB"/>
        </w:rPr>
        <w:t>in HCH patients</w:t>
      </w:r>
      <w:r>
        <w:rPr>
          <w:lang w:val="en-GB"/>
        </w:rPr>
        <w:t xml:space="preserve"> across every subsequent 12-month period following enrolment. </w:t>
      </w:r>
      <w:r w:rsidRPr="65C634AC">
        <w:rPr>
          <w:lang w:val="en-GB"/>
        </w:rPr>
        <w:t>It is</w:t>
      </w:r>
      <w:r>
        <w:rPr>
          <w:lang w:val="en-GB"/>
        </w:rPr>
        <w:t xml:space="preserve"> likely some of this decrease is related to the impact of COVID</w:t>
      </w:r>
      <w:r w:rsidRPr="65C634AC">
        <w:rPr>
          <w:lang w:val="en-GB"/>
        </w:rPr>
        <w:t>-19</w:t>
      </w:r>
      <w:r>
        <w:rPr>
          <w:lang w:val="en-GB"/>
        </w:rPr>
        <w:t xml:space="preserve">. While the level of recording was lower </w:t>
      </w:r>
      <w:r w:rsidRPr="44588D4D">
        <w:rPr>
          <w:lang w:val="en-GB"/>
        </w:rPr>
        <w:t xml:space="preserve">for </w:t>
      </w:r>
      <w:r w:rsidR="0071460D">
        <w:rPr>
          <w:lang w:val="en-GB"/>
        </w:rPr>
        <w:t>measure</w:t>
      </w:r>
      <w:r w:rsidRPr="44588D4D">
        <w:rPr>
          <w:lang w:val="en-GB"/>
        </w:rPr>
        <w:t>s taken</w:t>
      </w:r>
      <w:r>
        <w:rPr>
          <w:lang w:val="en-GB"/>
        </w:rPr>
        <w:t xml:space="preserve"> at six-monthly than yearly intervals, not all patients would be expected to receive these </w:t>
      </w:r>
      <w:r w:rsidRPr="00A8243D">
        <w:rPr>
          <w:lang w:val="en-GB"/>
        </w:rPr>
        <w:t>tests (</w:t>
      </w:r>
      <w:r w:rsidR="0010747B">
        <w:rPr>
          <w:lang w:val="en-GB"/>
        </w:rPr>
        <w:t>for example,</w:t>
      </w:r>
      <w:r w:rsidRPr="00A8243D">
        <w:rPr>
          <w:lang w:val="en-GB"/>
        </w:rPr>
        <w:t xml:space="preserve"> HbA1c) every six months. </w:t>
      </w:r>
    </w:p>
    <w:p w14:paraId="2236A0C1" w14:textId="75057A17" w:rsidR="00FD13E3" w:rsidRDefault="00FD13E3" w:rsidP="00FD13E3">
      <w:pPr>
        <w:rPr>
          <w:lang w:val="en-GB"/>
        </w:rPr>
      </w:pPr>
      <w:r>
        <w:rPr>
          <w:lang w:val="en-GB"/>
        </w:rPr>
        <w:t xml:space="preserve">Comparator patients </w:t>
      </w:r>
      <w:r w:rsidRPr="72ACCD6B">
        <w:rPr>
          <w:lang w:val="en-GB"/>
        </w:rPr>
        <w:t xml:space="preserve">were matched </w:t>
      </w:r>
      <w:r w:rsidRPr="2EE679EC">
        <w:rPr>
          <w:lang w:val="en-GB"/>
        </w:rPr>
        <w:t xml:space="preserve">so they </w:t>
      </w:r>
      <w:r w:rsidRPr="7AED6B75">
        <w:rPr>
          <w:lang w:val="en-GB"/>
        </w:rPr>
        <w:t xml:space="preserve">had </w:t>
      </w:r>
      <w:r>
        <w:rPr>
          <w:lang w:val="en-GB"/>
        </w:rPr>
        <w:t xml:space="preserve">similar levels of recording of clinical measures in the pre-enrolment period </w:t>
      </w:r>
      <w:r w:rsidRPr="7AED6B75">
        <w:rPr>
          <w:lang w:val="en-GB"/>
        </w:rPr>
        <w:t>to</w:t>
      </w:r>
      <w:r>
        <w:rPr>
          <w:lang w:val="en-GB"/>
        </w:rPr>
        <w:t xml:space="preserve"> HCH patients. However, for the first two years of enrolment in the program, the proportion of HCH patients with each clinical </w:t>
      </w:r>
      <w:r w:rsidR="0071460D">
        <w:rPr>
          <w:lang w:val="en-GB"/>
        </w:rPr>
        <w:t>measure</w:t>
      </w:r>
      <w:r>
        <w:rPr>
          <w:lang w:val="en-GB"/>
        </w:rPr>
        <w:t xml:space="preserve"> recorded w</w:t>
      </w:r>
      <w:r w:rsidRPr="44588D4D">
        <w:rPr>
          <w:lang w:val="en-GB"/>
        </w:rPr>
        <w:t>as</w:t>
      </w:r>
      <w:r>
        <w:rPr>
          <w:lang w:val="en-GB"/>
        </w:rPr>
        <w:t xml:space="preserve"> significantly higher than </w:t>
      </w:r>
      <w:r w:rsidRPr="7AED6B75">
        <w:rPr>
          <w:lang w:val="en-GB"/>
        </w:rPr>
        <w:t>for</w:t>
      </w:r>
      <w:r>
        <w:rPr>
          <w:lang w:val="en-GB"/>
        </w:rPr>
        <w:t xml:space="preserve"> </w:t>
      </w:r>
      <w:r w:rsidR="000E16C4">
        <w:rPr>
          <w:lang w:val="en-GB"/>
        </w:rPr>
        <w:t>comparator</w:t>
      </w:r>
      <w:r>
        <w:rPr>
          <w:lang w:val="en-GB"/>
        </w:rPr>
        <w:t xml:space="preserve"> patients.</w:t>
      </w:r>
    </w:p>
    <w:p w14:paraId="24C1BE3E" w14:textId="77777777" w:rsidR="00FD13E3" w:rsidRDefault="00FD13E3" w:rsidP="00FD13E3">
      <w:pPr>
        <w:pStyle w:val="Heading3"/>
        <w:rPr>
          <w:lang w:val="en-GB"/>
        </w:rPr>
      </w:pPr>
      <w:r>
        <w:rPr>
          <w:lang w:val="en-GB"/>
        </w:rPr>
        <w:t>Recording of blood pressure</w:t>
      </w:r>
    </w:p>
    <w:p w14:paraId="37AC17DB" w14:textId="60F1AC0C" w:rsidR="00FD13E3" w:rsidRDefault="00FD13E3" w:rsidP="00FD13E3">
      <w:pPr>
        <w:rPr>
          <w:lang w:val="en-GB"/>
        </w:rPr>
      </w:pPr>
      <w:r>
        <w:rPr>
          <w:lang w:val="en-GB"/>
        </w:rPr>
        <w:t xml:space="preserve">Most HCH patients had a recording of blood pressure in the year </w:t>
      </w:r>
      <w:r w:rsidR="0002675D">
        <w:rPr>
          <w:lang w:val="en-GB"/>
        </w:rPr>
        <w:t>before</w:t>
      </w:r>
      <w:r>
        <w:rPr>
          <w:lang w:val="en-GB"/>
        </w:rPr>
        <w:t xml:space="preserve"> enrolment (84.1%), with three quarters having a recording in the six months prior (76.3%). There was no change in annual blood pressure recording after one year (84.2%), followed by a slight drop at year </w:t>
      </w:r>
      <w:r>
        <w:rPr>
          <w:lang w:val="en-GB"/>
        </w:rPr>
        <w:lastRenderedPageBreak/>
        <w:t>two (74.8%) and three (</w:t>
      </w:r>
      <w:r w:rsidR="009D06A6">
        <w:rPr>
          <w:lang w:val="en-GB"/>
        </w:rPr>
        <w:t>69</w:t>
      </w:r>
      <w:r>
        <w:rPr>
          <w:lang w:val="en-GB"/>
        </w:rPr>
        <w:t xml:space="preserve">.7%). </w:t>
      </w:r>
      <w:r w:rsidRPr="27C9D6CF">
        <w:rPr>
          <w:lang w:val="en-GB"/>
        </w:rPr>
        <w:t xml:space="preserve">While similar to HCH patients </w:t>
      </w:r>
      <w:r>
        <w:rPr>
          <w:lang w:val="en-GB"/>
        </w:rPr>
        <w:t>in the pre-enrolment period</w:t>
      </w:r>
      <w:r w:rsidRPr="27C9D6CF">
        <w:rPr>
          <w:lang w:val="en-GB"/>
        </w:rPr>
        <w:t>,</w:t>
      </w:r>
      <w:r>
        <w:rPr>
          <w:lang w:val="en-GB"/>
        </w:rPr>
        <w:t xml:space="preserve"> significantly </w:t>
      </w:r>
      <w:r w:rsidRPr="1B71502E">
        <w:rPr>
          <w:lang w:val="en-GB"/>
        </w:rPr>
        <w:t>lower</w:t>
      </w:r>
      <w:r>
        <w:rPr>
          <w:lang w:val="en-GB"/>
        </w:rPr>
        <w:t xml:space="preserve"> </w:t>
      </w:r>
      <w:r w:rsidRPr="28A5D326">
        <w:rPr>
          <w:lang w:val="en-GB"/>
        </w:rPr>
        <w:t>proportions</w:t>
      </w:r>
      <w:r>
        <w:rPr>
          <w:lang w:val="en-GB"/>
        </w:rPr>
        <w:t xml:space="preserve"> of </w:t>
      </w:r>
      <w:r w:rsidR="000E16C4">
        <w:rPr>
          <w:lang w:val="en-GB"/>
        </w:rPr>
        <w:t>comparator</w:t>
      </w:r>
      <w:r>
        <w:rPr>
          <w:lang w:val="en-GB"/>
        </w:rPr>
        <w:t xml:space="preserve"> patients had their blood pressure recorded at </w:t>
      </w:r>
      <w:r w:rsidRPr="1B71502E">
        <w:rPr>
          <w:lang w:val="en-GB"/>
        </w:rPr>
        <w:t xml:space="preserve">both </w:t>
      </w:r>
      <w:r>
        <w:rPr>
          <w:lang w:val="en-GB"/>
        </w:rPr>
        <w:t xml:space="preserve">12 months (77.0%) and 24 months </w:t>
      </w:r>
      <w:r w:rsidRPr="1B71502E">
        <w:rPr>
          <w:lang w:val="en-GB"/>
        </w:rPr>
        <w:t xml:space="preserve">(67.2%) </w:t>
      </w:r>
      <w:r>
        <w:rPr>
          <w:lang w:val="en-GB"/>
        </w:rPr>
        <w:t xml:space="preserve">following enrolment. </w:t>
      </w:r>
      <w:r w:rsidRPr="6509A258">
        <w:rPr>
          <w:lang w:val="en-GB"/>
        </w:rPr>
        <w:t>Recording of b</w:t>
      </w:r>
      <w:r>
        <w:rPr>
          <w:lang w:val="en-GB"/>
        </w:rPr>
        <w:t xml:space="preserve">lood pressure </w:t>
      </w:r>
      <w:r w:rsidRPr="23CAF347">
        <w:rPr>
          <w:lang w:val="en-GB"/>
        </w:rPr>
        <w:t xml:space="preserve">at </w:t>
      </w:r>
      <w:r>
        <w:rPr>
          <w:lang w:val="en-GB"/>
        </w:rPr>
        <w:t>six</w:t>
      </w:r>
      <w:r w:rsidRPr="23CAF347">
        <w:rPr>
          <w:lang w:val="en-GB"/>
        </w:rPr>
        <w:t xml:space="preserve"> monthly intervals </w:t>
      </w:r>
      <w:r>
        <w:rPr>
          <w:lang w:val="en-GB"/>
        </w:rPr>
        <w:t xml:space="preserve">was similarly higher in HCH than comparator patients for most of the follow-up </w:t>
      </w:r>
      <w:r w:rsidRPr="23CAF347">
        <w:rPr>
          <w:lang w:val="en-GB"/>
        </w:rPr>
        <w:t>period</w:t>
      </w:r>
      <w:r>
        <w:rPr>
          <w:lang w:val="en-GB"/>
        </w:rPr>
        <w:t xml:space="preserve"> (</w:t>
      </w:r>
      <w:r>
        <w:rPr>
          <w:lang w:val="en-GB"/>
        </w:rPr>
        <w:fldChar w:fldCharType="begin"/>
      </w:r>
      <w:r>
        <w:rPr>
          <w:lang w:val="en-GB"/>
        </w:rPr>
        <w:instrText xml:space="preserve"> REF _Ref96722935 \h </w:instrText>
      </w:r>
      <w:r>
        <w:rPr>
          <w:lang w:val="en-GB"/>
        </w:rPr>
      </w:r>
      <w:r>
        <w:rPr>
          <w:lang w:val="en-GB"/>
        </w:rPr>
        <w:fldChar w:fldCharType="separate"/>
      </w:r>
      <w:r w:rsidR="003C4BC2">
        <w:t xml:space="preserve">Figure </w:t>
      </w:r>
      <w:r w:rsidR="003C4BC2">
        <w:rPr>
          <w:noProof/>
        </w:rPr>
        <w:t>31</w:t>
      </w:r>
      <w:r>
        <w:rPr>
          <w:lang w:val="en-GB"/>
        </w:rPr>
        <w:fldChar w:fldCharType="end"/>
      </w:r>
      <w:r>
        <w:rPr>
          <w:lang w:val="en-GB"/>
        </w:rPr>
        <w:t>).</w:t>
      </w:r>
      <w:r w:rsidR="00B3759B">
        <w:rPr>
          <w:lang w:val="en-GB"/>
        </w:rPr>
        <w:t xml:space="preserve"> </w:t>
      </w:r>
    </w:p>
    <w:p w14:paraId="601C0366" w14:textId="26A972AD" w:rsidR="00FD13E3" w:rsidRDefault="00FD13E3" w:rsidP="00FD13E3">
      <w:pPr>
        <w:pStyle w:val="TableFigureheading"/>
        <w:rPr>
          <w:bCs w:val="0"/>
        </w:rPr>
      </w:pPr>
      <w:bookmarkStart w:id="300" w:name="_Ref96722935"/>
      <w:r>
        <w:t xml:space="preserve">Figure </w:t>
      </w:r>
      <w:r>
        <w:fldChar w:fldCharType="begin"/>
      </w:r>
      <w:r>
        <w:instrText>SEQ Figure \* ARABIC</w:instrText>
      </w:r>
      <w:r>
        <w:fldChar w:fldCharType="separate"/>
      </w:r>
      <w:r w:rsidR="003C4BC2">
        <w:rPr>
          <w:noProof/>
        </w:rPr>
        <w:t>31</w:t>
      </w:r>
      <w:r>
        <w:fldChar w:fldCharType="end"/>
      </w:r>
      <w:bookmarkEnd w:id="300"/>
      <w:r>
        <w:t xml:space="preserve">: Recording of </w:t>
      </w:r>
      <w:r>
        <w:rPr>
          <w:bCs w:val="0"/>
        </w:rPr>
        <w:t xml:space="preserve">blood pressure among HCH and </w:t>
      </w:r>
      <w:r w:rsidR="000E16C4">
        <w:rPr>
          <w:bCs w:val="0"/>
        </w:rPr>
        <w:t>comparator</w:t>
      </w:r>
      <w:r w:rsidR="00274A18">
        <w:rPr>
          <w:bCs w:val="0"/>
        </w:rPr>
        <w:t xml:space="preserve"> </w:t>
      </w:r>
      <w:r>
        <w:rPr>
          <w:bCs w:val="0"/>
        </w:rPr>
        <w:t>patients</w:t>
      </w:r>
    </w:p>
    <w:p w14:paraId="2DBB4DE7" w14:textId="77777777" w:rsidR="00FD13E3" w:rsidRPr="003D1AB2" w:rsidRDefault="00FD13E3" w:rsidP="003D1AB2">
      <w:pPr>
        <w:jc w:val="center"/>
        <w:rPr>
          <w:noProof/>
          <w:lang w:val="en-GB"/>
        </w:rPr>
      </w:pPr>
      <w:r w:rsidRPr="003D1AB2">
        <w:rPr>
          <w:noProof/>
          <w:lang w:val="en-GB"/>
        </w:rPr>
        <w:drawing>
          <wp:inline distT="0" distB="0" distL="0" distR="0" wp14:anchorId="56B97F8A" wp14:editId="066952C8">
            <wp:extent cx="5423886" cy="3829050"/>
            <wp:effectExtent l="0" t="0" r="0" b="0"/>
            <wp:docPr id="11" name="Picture 1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Chart, line chart&#10;&#10;Description automatically generated"/>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36213" cy="3837752"/>
                    </a:xfrm>
                    <a:prstGeom prst="rect">
                      <a:avLst/>
                    </a:prstGeom>
                  </pic:spPr>
                </pic:pic>
              </a:graphicData>
            </a:graphic>
          </wp:inline>
        </w:drawing>
      </w:r>
    </w:p>
    <w:p w14:paraId="25DE837C" w14:textId="086D1F0E" w:rsidR="00FD13E3" w:rsidRDefault="0083172A" w:rsidP="0083172A">
      <w:pPr>
        <w:pStyle w:val="Chartortablefootnote"/>
        <w:spacing w:after="0"/>
        <w:ind w:left="720" w:right="663"/>
        <w:rPr>
          <w:lang w:val="en-GB"/>
        </w:rPr>
      </w:pPr>
      <w:r>
        <w:rPr>
          <w:lang w:val="en-GB"/>
        </w:rPr>
        <w:t>Notes:</w:t>
      </w:r>
      <w:r w:rsidR="00FD13E3">
        <w:rPr>
          <w:lang w:val="en-GB"/>
        </w:rPr>
        <w:t xml:space="preserve"> People with length of follow-up shorter than respective </w:t>
      </w:r>
      <w:r w:rsidR="006B1E37">
        <w:rPr>
          <w:lang w:val="en-GB"/>
        </w:rPr>
        <w:t xml:space="preserve">yearly and </w:t>
      </w:r>
      <w:r w:rsidR="00FD13E3">
        <w:rPr>
          <w:lang w:val="en-GB"/>
        </w:rPr>
        <w:t xml:space="preserve">six-monthly </w:t>
      </w:r>
      <w:r w:rsidR="006B1E37">
        <w:rPr>
          <w:lang w:val="en-GB"/>
        </w:rPr>
        <w:t>measurement period</w:t>
      </w:r>
      <w:r w:rsidR="00FD13E3">
        <w:rPr>
          <w:lang w:val="en-GB"/>
        </w:rPr>
        <w:t xml:space="preserve"> were excluded from analyses.</w:t>
      </w:r>
    </w:p>
    <w:p w14:paraId="5D4D1FE5" w14:textId="72CD7CCA" w:rsidR="0083172A" w:rsidRPr="00737705" w:rsidRDefault="0083172A" w:rsidP="006F5B60">
      <w:pPr>
        <w:pStyle w:val="Chartortablefootnote"/>
        <w:ind w:left="720" w:right="662"/>
      </w:pPr>
      <w:r w:rsidRPr="007A6D10">
        <w:rPr>
          <w:lang w:val="en-GB"/>
        </w:rPr>
        <w:t xml:space="preserve">Source: Data </w:t>
      </w:r>
      <w:r w:rsidRPr="007A6D10">
        <w:t>extracted from 117 HCH practices (Pen CS, POLAR, and Sonic) and 403 comparator</w:t>
      </w:r>
      <w:r>
        <w:t xml:space="preserve"> practices (</w:t>
      </w:r>
      <w:proofErr w:type="spellStart"/>
      <w:r>
        <w:t>MedicineInsight</w:t>
      </w:r>
      <w:proofErr w:type="spellEnd"/>
      <w:r>
        <w:t>).</w:t>
      </w:r>
    </w:p>
    <w:p w14:paraId="6466EB36" w14:textId="77777777" w:rsidR="00FD13E3" w:rsidRDefault="00FD13E3" w:rsidP="00FD13E3">
      <w:pPr>
        <w:pStyle w:val="Heading3"/>
        <w:rPr>
          <w:lang w:val="en-GB"/>
        </w:rPr>
      </w:pPr>
      <w:r>
        <w:rPr>
          <w:lang w:val="en-GB"/>
        </w:rPr>
        <w:t xml:space="preserve">Recording of blood lipid </w:t>
      </w:r>
      <w:r w:rsidRPr="4DB20BEF">
        <w:rPr>
          <w:lang w:val="en-GB"/>
        </w:rPr>
        <w:t>tests</w:t>
      </w:r>
    </w:p>
    <w:p w14:paraId="5B5A552D" w14:textId="5D3BC27D" w:rsidR="00987B4B" w:rsidRDefault="00FD13E3" w:rsidP="00FD13E3">
      <w:pPr>
        <w:rPr>
          <w:lang w:val="en-GB"/>
        </w:rPr>
      </w:pPr>
      <w:r>
        <w:rPr>
          <w:lang w:val="en-GB"/>
        </w:rPr>
        <w:t xml:space="preserve">Three quarters of HCH patients had a recording of a blood lipid test in the year </w:t>
      </w:r>
      <w:r w:rsidR="0002675D">
        <w:rPr>
          <w:lang w:val="en-GB"/>
        </w:rPr>
        <w:t>before</w:t>
      </w:r>
      <w:r>
        <w:rPr>
          <w:lang w:val="en-GB"/>
        </w:rPr>
        <w:t xml:space="preserve"> enrolment (75.5%), with </w:t>
      </w:r>
      <w:r w:rsidR="00BA6C4D">
        <w:rPr>
          <w:lang w:val="en-GB"/>
        </w:rPr>
        <w:t>about</w:t>
      </w:r>
      <w:r>
        <w:rPr>
          <w:lang w:val="en-GB"/>
        </w:rPr>
        <w:t xml:space="preserve"> half (56.7%) having a recording in the six months prior There was a slight decrease in annual blood lipid test recording after one year (69.7%) and two years (62.6%) following enrolment. </w:t>
      </w:r>
      <w:r w:rsidRPr="13210AEC">
        <w:rPr>
          <w:lang w:val="en-GB"/>
        </w:rPr>
        <w:t xml:space="preserve">While similar to HCH patients </w:t>
      </w:r>
      <w:r>
        <w:rPr>
          <w:lang w:val="en-GB"/>
        </w:rPr>
        <w:t>in the pre-enrolment period</w:t>
      </w:r>
      <w:r w:rsidRPr="13210AEC">
        <w:rPr>
          <w:lang w:val="en-GB"/>
        </w:rPr>
        <w:t>,</w:t>
      </w:r>
      <w:r>
        <w:rPr>
          <w:lang w:val="en-GB"/>
        </w:rPr>
        <w:t xml:space="preserve"> significantly </w:t>
      </w:r>
      <w:r w:rsidRPr="475865F8">
        <w:rPr>
          <w:lang w:val="en-GB"/>
        </w:rPr>
        <w:t xml:space="preserve">lower </w:t>
      </w:r>
      <w:r w:rsidRPr="28A5D326">
        <w:rPr>
          <w:lang w:val="en-GB"/>
        </w:rPr>
        <w:t>proportions</w:t>
      </w:r>
      <w:r w:rsidRPr="475865F8">
        <w:rPr>
          <w:lang w:val="en-GB"/>
        </w:rPr>
        <w:t xml:space="preserve"> of </w:t>
      </w:r>
      <w:r w:rsidR="000E16C4">
        <w:rPr>
          <w:lang w:val="en-GB"/>
        </w:rPr>
        <w:t>comparator</w:t>
      </w:r>
      <w:r w:rsidRPr="475865F8">
        <w:rPr>
          <w:lang w:val="en-GB"/>
        </w:rPr>
        <w:t xml:space="preserve"> patients had a blood lipid test at both 12 months (</w:t>
      </w:r>
      <w:r w:rsidRPr="6C8BDAC7">
        <w:rPr>
          <w:lang w:val="en-GB"/>
        </w:rPr>
        <w:t>58.8</w:t>
      </w:r>
      <w:r w:rsidRPr="475865F8">
        <w:rPr>
          <w:lang w:val="en-GB"/>
        </w:rPr>
        <w:t>%) and 24 months (</w:t>
      </w:r>
      <w:r w:rsidRPr="6C8BDAC7">
        <w:rPr>
          <w:lang w:val="en-GB"/>
        </w:rPr>
        <w:t>55.9</w:t>
      </w:r>
      <w:r w:rsidRPr="475865F8">
        <w:rPr>
          <w:lang w:val="en-GB"/>
        </w:rPr>
        <w:t xml:space="preserve">%) following </w:t>
      </w:r>
      <w:r w:rsidRPr="4DB20BEF">
        <w:rPr>
          <w:lang w:val="en-GB"/>
        </w:rPr>
        <w:t>enrolment.</w:t>
      </w:r>
      <w:r>
        <w:rPr>
          <w:lang w:val="en-GB"/>
        </w:rPr>
        <w:t xml:space="preserve"> Blood lipid test recording </w:t>
      </w:r>
      <w:r w:rsidRPr="4410098E">
        <w:rPr>
          <w:lang w:val="en-GB"/>
        </w:rPr>
        <w:t xml:space="preserve">at </w:t>
      </w:r>
      <w:r>
        <w:rPr>
          <w:lang w:val="en-GB"/>
        </w:rPr>
        <w:t>six</w:t>
      </w:r>
      <w:r w:rsidRPr="4410098E">
        <w:rPr>
          <w:lang w:val="en-GB"/>
        </w:rPr>
        <w:t xml:space="preserve"> monthly intervals </w:t>
      </w:r>
      <w:r>
        <w:rPr>
          <w:lang w:val="en-GB"/>
        </w:rPr>
        <w:t xml:space="preserve">was similarly higher in HCH than </w:t>
      </w:r>
      <w:r w:rsidR="000E16C4">
        <w:rPr>
          <w:lang w:val="en-GB"/>
        </w:rPr>
        <w:t>comparator</w:t>
      </w:r>
      <w:r>
        <w:rPr>
          <w:lang w:val="en-GB"/>
        </w:rPr>
        <w:t xml:space="preserve"> patients for most of the follow-up (</w:t>
      </w:r>
      <w:r w:rsidRPr="00FF78AE">
        <w:rPr>
          <w:rFonts w:eastAsiaTheme="minorEastAsia"/>
          <w:color w:val="1D2455"/>
          <w:szCs w:val="20"/>
          <w:lang w:eastAsia="en-AU"/>
        </w:rPr>
        <w:fldChar w:fldCharType="begin"/>
      </w:r>
      <w:r w:rsidRPr="00FF78AE">
        <w:rPr>
          <w:rFonts w:eastAsiaTheme="minorEastAsia"/>
          <w:color w:val="1D2455"/>
          <w:szCs w:val="20"/>
          <w:lang w:eastAsia="en-AU"/>
        </w:rPr>
        <w:instrText xml:space="preserve"> REF _Ref96723027 \h </w:instrText>
      </w:r>
      <w:r w:rsidR="00F96FBA" w:rsidRPr="00FF78AE">
        <w:rPr>
          <w:rFonts w:eastAsiaTheme="minorEastAsia"/>
          <w:color w:val="1D2455"/>
          <w:szCs w:val="20"/>
          <w:lang w:eastAsia="en-AU"/>
        </w:rPr>
        <w:instrText xml:space="preserve"> \* MERGEFORMAT </w:instrText>
      </w:r>
      <w:r w:rsidRPr="00FF78AE">
        <w:rPr>
          <w:rFonts w:eastAsiaTheme="minorEastAsia"/>
          <w:color w:val="1D2455"/>
          <w:szCs w:val="20"/>
          <w:lang w:eastAsia="en-AU"/>
        </w:rPr>
      </w:r>
      <w:r w:rsidRPr="00FF78AE">
        <w:rPr>
          <w:rFonts w:eastAsiaTheme="minorEastAsia"/>
          <w:color w:val="1D2455"/>
          <w:szCs w:val="20"/>
          <w:lang w:eastAsia="en-AU"/>
        </w:rPr>
        <w:fldChar w:fldCharType="separate"/>
      </w:r>
      <w:r w:rsidR="003C4BC2" w:rsidRPr="003C4BC2">
        <w:rPr>
          <w:rFonts w:eastAsiaTheme="minorEastAsia"/>
          <w:color w:val="1D2455"/>
          <w:szCs w:val="20"/>
          <w:lang w:eastAsia="en-AU"/>
        </w:rPr>
        <w:t xml:space="preserve">Figure </w:t>
      </w:r>
      <w:r w:rsidR="003C4BC2">
        <w:rPr>
          <w:noProof/>
        </w:rPr>
        <w:t>32</w:t>
      </w:r>
      <w:r w:rsidRPr="00FF78AE">
        <w:rPr>
          <w:rFonts w:eastAsiaTheme="minorEastAsia"/>
          <w:color w:val="1D2455"/>
          <w:szCs w:val="20"/>
          <w:lang w:eastAsia="en-AU"/>
        </w:rPr>
        <w:fldChar w:fldCharType="end"/>
      </w:r>
      <w:r>
        <w:rPr>
          <w:lang w:val="en-GB"/>
        </w:rPr>
        <w:t>).</w:t>
      </w:r>
    </w:p>
    <w:p w14:paraId="0A220A4C" w14:textId="77777777" w:rsidR="00987B4B" w:rsidRDefault="00987B4B">
      <w:pPr>
        <w:spacing w:after="160" w:line="259" w:lineRule="auto"/>
        <w:rPr>
          <w:lang w:val="en-GB"/>
        </w:rPr>
      </w:pPr>
      <w:r>
        <w:rPr>
          <w:lang w:val="en-GB"/>
        </w:rPr>
        <w:br w:type="page"/>
      </w:r>
    </w:p>
    <w:p w14:paraId="33828208" w14:textId="46DDE1AF" w:rsidR="00FD13E3" w:rsidRPr="000530C5" w:rsidRDefault="00FD13E3" w:rsidP="00FD13E3">
      <w:pPr>
        <w:pStyle w:val="TableFigureheading"/>
      </w:pPr>
      <w:bookmarkStart w:id="301" w:name="_Ref96723027"/>
      <w:bookmarkStart w:id="302" w:name="_Ref98505371"/>
      <w:r>
        <w:lastRenderedPageBreak/>
        <w:t xml:space="preserve">Figure </w:t>
      </w:r>
      <w:r>
        <w:fldChar w:fldCharType="begin"/>
      </w:r>
      <w:r>
        <w:instrText>SEQ Figure \* ARABIC</w:instrText>
      </w:r>
      <w:r>
        <w:fldChar w:fldCharType="separate"/>
      </w:r>
      <w:r w:rsidR="003C4BC2">
        <w:rPr>
          <w:noProof/>
        </w:rPr>
        <w:t>32</w:t>
      </w:r>
      <w:r>
        <w:fldChar w:fldCharType="end"/>
      </w:r>
      <w:bookmarkEnd w:id="301"/>
      <w:r>
        <w:t xml:space="preserve">: Recording of lipid tests </w:t>
      </w:r>
      <w:r>
        <w:rPr>
          <w:bCs w:val="0"/>
        </w:rPr>
        <w:t xml:space="preserve">among HCH </w:t>
      </w:r>
      <w:r w:rsidR="00274A18">
        <w:rPr>
          <w:bCs w:val="0"/>
        </w:rPr>
        <w:t xml:space="preserve">and comparator </w:t>
      </w:r>
      <w:r>
        <w:rPr>
          <w:bCs w:val="0"/>
        </w:rPr>
        <w:t>patients</w:t>
      </w:r>
      <w:bookmarkEnd w:id="302"/>
    </w:p>
    <w:p w14:paraId="5180FDF8" w14:textId="77777777" w:rsidR="003D1AB2" w:rsidRDefault="00FD13E3" w:rsidP="003D1AB2">
      <w:pPr>
        <w:jc w:val="center"/>
        <w:rPr>
          <w:lang w:val="en-GB"/>
        </w:rPr>
      </w:pPr>
      <w:r w:rsidRPr="003D1AB2">
        <w:rPr>
          <w:noProof/>
          <w:lang w:val="en-GB"/>
        </w:rPr>
        <w:drawing>
          <wp:inline distT="0" distB="0" distL="0" distR="0" wp14:anchorId="3F5B5B64" wp14:editId="1714BFA3">
            <wp:extent cx="5558384" cy="3924000"/>
            <wp:effectExtent l="0" t="0" r="0" b="0"/>
            <wp:docPr id="6272" name="Picture 627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2" name="Picture 6272" descr="Chart, line chart&#10;&#10;Description automatically generated"/>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558384" cy="3924000"/>
                    </a:xfrm>
                    <a:prstGeom prst="rect">
                      <a:avLst/>
                    </a:prstGeom>
                  </pic:spPr>
                </pic:pic>
              </a:graphicData>
            </a:graphic>
          </wp:inline>
        </w:drawing>
      </w:r>
    </w:p>
    <w:p w14:paraId="440EFC83" w14:textId="2DDF23C0" w:rsidR="003D1AB2" w:rsidRDefault="0083172A" w:rsidP="0083172A">
      <w:pPr>
        <w:pStyle w:val="Chartortablefootnote"/>
        <w:spacing w:after="0"/>
        <w:ind w:right="-46"/>
        <w:rPr>
          <w:lang w:val="en-GB"/>
        </w:rPr>
      </w:pPr>
      <w:r>
        <w:rPr>
          <w:lang w:val="en-GB"/>
        </w:rPr>
        <w:t>Notes:</w:t>
      </w:r>
      <w:r w:rsidR="00FD13E3" w:rsidRPr="003D1AB2">
        <w:rPr>
          <w:lang w:val="en-GB"/>
        </w:rPr>
        <w:t xml:space="preserve"> Lipid tests include total cholesterol, HDL, LDL or triglycerides. </w:t>
      </w:r>
      <w:r w:rsidR="00FD13E3">
        <w:rPr>
          <w:lang w:val="en-GB"/>
        </w:rPr>
        <w:t xml:space="preserve">People with length of follow-up shorter than respective yearly and six-monthly </w:t>
      </w:r>
      <w:r w:rsidR="001F5F65">
        <w:rPr>
          <w:lang w:val="en-GB"/>
        </w:rPr>
        <w:t>measure</w:t>
      </w:r>
      <w:r w:rsidR="0007494E">
        <w:rPr>
          <w:lang w:val="en-GB"/>
        </w:rPr>
        <w:t>ment period</w:t>
      </w:r>
      <w:r w:rsidR="00FD13E3">
        <w:rPr>
          <w:lang w:val="en-GB"/>
        </w:rPr>
        <w:t xml:space="preserve"> were excluded from analyses.</w:t>
      </w:r>
    </w:p>
    <w:p w14:paraId="646B4D39" w14:textId="037E60B2" w:rsidR="0083172A" w:rsidRDefault="0083172A" w:rsidP="0083172A">
      <w:pPr>
        <w:pStyle w:val="Chartortablefootnote"/>
        <w:ind w:right="-46"/>
        <w:rPr>
          <w:b/>
          <w:sz w:val="18"/>
        </w:rPr>
      </w:pPr>
      <w:r w:rsidRPr="007A6D10">
        <w:rPr>
          <w:lang w:val="en-GB"/>
        </w:rPr>
        <w:t xml:space="preserve">Source: Data </w:t>
      </w:r>
      <w:r w:rsidRPr="003D1AB2">
        <w:rPr>
          <w:lang w:val="en-GB"/>
        </w:rPr>
        <w:t>extracted from 117 HCH practices (Pen CS, POLAR, and Sonic) and 403 comparator practices (</w:t>
      </w:r>
      <w:proofErr w:type="spellStart"/>
      <w:r w:rsidRPr="003D1AB2">
        <w:rPr>
          <w:lang w:val="en-GB"/>
        </w:rPr>
        <w:t>MedicineInsight</w:t>
      </w:r>
      <w:proofErr w:type="spellEnd"/>
      <w:r w:rsidRPr="003D1AB2">
        <w:rPr>
          <w:lang w:val="en-GB"/>
        </w:rPr>
        <w:t>).</w:t>
      </w:r>
    </w:p>
    <w:p w14:paraId="6E241176" w14:textId="77777777" w:rsidR="00FD13E3" w:rsidRDefault="00FD13E3" w:rsidP="00FD13E3">
      <w:pPr>
        <w:pStyle w:val="Heading3"/>
        <w:rPr>
          <w:lang w:val="en-GB"/>
        </w:rPr>
      </w:pPr>
      <w:r>
        <w:rPr>
          <w:lang w:val="en-GB"/>
        </w:rPr>
        <w:t xml:space="preserve">Recording of HbA1c </w:t>
      </w:r>
      <w:r w:rsidRPr="4DB20BEF">
        <w:rPr>
          <w:lang w:val="en-GB"/>
        </w:rPr>
        <w:t>tests</w:t>
      </w:r>
    </w:p>
    <w:p w14:paraId="6B701D11" w14:textId="1FD97B7A" w:rsidR="00987B4B" w:rsidRDefault="00FD13E3" w:rsidP="004927FE">
      <w:pPr>
        <w:rPr>
          <w:lang w:val="en-GB"/>
        </w:rPr>
      </w:pPr>
      <w:r>
        <w:rPr>
          <w:lang w:val="en-GB"/>
        </w:rPr>
        <w:t xml:space="preserve">Most HCH patients with type 2 diabetes had a recording of HbA1c in the year </w:t>
      </w:r>
      <w:r w:rsidR="0002675D">
        <w:rPr>
          <w:lang w:val="en-GB"/>
        </w:rPr>
        <w:t>before</w:t>
      </w:r>
      <w:r>
        <w:rPr>
          <w:lang w:val="en-GB"/>
        </w:rPr>
        <w:t xml:space="preserve"> enrolment (85.7%), with </w:t>
      </w:r>
      <w:r w:rsidR="00BA6C4D">
        <w:rPr>
          <w:lang w:val="en-GB"/>
        </w:rPr>
        <w:t>about</w:t>
      </w:r>
      <w:r>
        <w:rPr>
          <w:lang w:val="en-GB"/>
        </w:rPr>
        <w:t xml:space="preserve"> three quarters having a recording in the six months prior (73.3%). There was small decrease in annual recording of HbA1c after one year (83.8%) and a slightly larger drop at two years (78.9</w:t>
      </w:r>
      <w:r w:rsidRPr="4DB20BEF">
        <w:rPr>
          <w:lang w:val="en-GB"/>
        </w:rPr>
        <w:t xml:space="preserve">%) following enrolment. </w:t>
      </w:r>
      <w:r w:rsidRPr="13210AEC">
        <w:rPr>
          <w:lang w:val="en-GB"/>
        </w:rPr>
        <w:t xml:space="preserve">While similar to HCH patients </w:t>
      </w:r>
      <w:r>
        <w:rPr>
          <w:lang w:val="en-GB"/>
        </w:rPr>
        <w:t>in the pre-enrolment period</w:t>
      </w:r>
      <w:r w:rsidRPr="13210AEC">
        <w:rPr>
          <w:lang w:val="en-GB"/>
        </w:rPr>
        <w:t>, significantly</w:t>
      </w:r>
      <w:r w:rsidRPr="4DB20BEF">
        <w:rPr>
          <w:lang w:val="en-GB"/>
        </w:rPr>
        <w:t xml:space="preserve"> lower proportions of </w:t>
      </w:r>
      <w:r w:rsidR="000E16C4">
        <w:rPr>
          <w:lang w:val="en-GB"/>
        </w:rPr>
        <w:t>comparator</w:t>
      </w:r>
      <w:r w:rsidRPr="4DB20BEF">
        <w:rPr>
          <w:lang w:val="en-GB"/>
        </w:rPr>
        <w:t xml:space="preserve"> patients </w:t>
      </w:r>
      <w:r w:rsidRPr="07439437">
        <w:rPr>
          <w:lang w:val="en-GB"/>
        </w:rPr>
        <w:t xml:space="preserve">with type 2 diabetes had an annual recording of HbA1c </w:t>
      </w:r>
      <w:r w:rsidRPr="4DB20BEF">
        <w:rPr>
          <w:lang w:val="en-GB"/>
        </w:rPr>
        <w:t>at both 12 months (</w:t>
      </w:r>
      <w:r w:rsidRPr="07439437">
        <w:rPr>
          <w:lang w:val="en-GB"/>
        </w:rPr>
        <w:t>79.2</w:t>
      </w:r>
      <w:r w:rsidRPr="4DB20BEF">
        <w:rPr>
          <w:lang w:val="en-GB"/>
        </w:rPr>
        <w:t>%) and 24 months (</w:t>
      </w:r>
      <w:r w:rsidRPr="07439437">
        <w:rPr>
          <w:lang w:val="en-GB"/>
        </w:rPr>
        <w:t>71.1</w:t>
      </w:r>
      <w:r w:rsidRPr="4DB20BEF">
        <w:rPr>
          <w:lang w:val="en-GB"/>
        </w:rPr>
        <w:t>%) following enrolment.</w:t>
      </w:r>
      <w:r>
        <w:rPr>
          <w:lang w:val="en-GB"/>
        </w:rPr>
        <w:t xml:space="preserve"> Recording of HbA1c </w:t>
      </w:r>
      <w:r w:rsidRPr="4410098E">
        <w:rPr>
          <w:lang w:val="en-GB"/>
        </w:rPr>
        <w:t xml:space="preserve">at </w:t>
      </w:r>
      <w:r>
        <w:rPr>
          <w:lang w:val="en-GB"/>
        </w:rPr>
        <w:t>six</w:t>
      </w:r>
      <w:r w:rsidRPr="4410098E">
        <w:rPr>
          <w:lang w:val="en-GB"/>
        </w:rPr>
        <w:t xml:space="preserve"> monthly intervals </w:t>
      </w:r>
      <w:r>
        <w:rPr>
          <w:lang w:val="en-GB"/>
        </w:rPr>
        <w:t xml:space="preserve">was similarly higher in HCH than </w:t>
      </w:r>
      <w:r w:rsidR="000E16C4">
        <w:rPr>
          <w:lang w:val="en-GB"/>
        </w:rPr>
        <w:t>comparator</w:t>
      </w:r>
      <w:r>
        <w:rPr>
          <w:lang w:val="en-GB"/>
        </w:rPr>
        <w:t xml:space="preserve"> patients for all of the follow-up</w:t>
      </w:r>
      <w:r w:rsidR="00321E83">
        <w:rPr>
          <w:lang w:val="en-GB"/>
        </w:rPr>
        <w:t xml:space="preserve"> (</w:t>
      </w:r>
      <w:r w:rsidR="00321E83">
        <w:rPr>
          <w:lang w:val="en-GB"/>
        </w:rPr>
        <w:fldChar w:fldCharType="begin"/>
      </w:r>
      <w:r w:rsidR="00321E83">
        <w:rPr>
          <w:lang w:val="en-GB"/>
        </w:rPr>
        <w:instrText xml:space="preserve"> REF _Ref98880753 \h </w:instrText>
      </w:r>
      <w:r w:rsidR="00321E83">
        <w:rPr>
          <w:lang w:val="en-GB"/>
        </w:rPr>
      </w:r>
      <w:r w:rsidR="00321E83">
        <w:rPr>
          <w:lang w:val="en-GB"/>
        </w:rPr>
        <w:fldChar w:fldCharType="separate"/>
      </w:r>
      <w:r w:rsidR="003C4BC2">
        <w:t xml:space="preserve">Figure </w:t>
      </w:r>
      <w:r w:rsidR="003C4BC2">
        <w:rPr>
          <w:noProof/>
        </w:rPr>
        <w:t>33</w:t>
      </w:r>
      <w:r w:rsidR="00321E83">
        <w:rPr>
          <w:lang w:val="en-GB"/>
        </w:rPr>
        <w:fldChar w:fldCharType="end"/>
      </w:r>
      <w:r w:rsidRPr="00FF78AE">
        <w:rPr>
          <w:lang w:val="en-GB"/>
        </w:rPr>
        <w:t>).</w:t>
      </w:r>
    </w:p>
    <w:p w14:paraId="15BB511E" w14:textId="77777777" w:rsidR="00987B4B" w:rsidRDefault="00987B4B">
      <w:pPr>
        <w:spacing w:after="160" w:line="259" w:lineRule="auto"/>
        <w:rPr>
          <w:lang w:val="en-GB"/>
        </w:rPr>
      </w:pPr>
      <w:r>
        <w:rPr>
          <w:lang w:val="en-GB"/>
        </w:rPr>
        <w:br w:type="page"/>
      </w:r>
    </w:p>
    <w:p w14:paraId="4BE83D7A" w14:textId="7DC75972" w:rsidR="00FD13E3" w:rsidRPr="000530C5" w:rsidRDefault="00FD13E3" w:rsidP="00FD13E3">
      <w:pPr>
        <w:pStyle w:val="TableFigureheading"/>
      </w:pPr>
      <w:bookmarkStart w:id="303" w:name="_Ref98880753"/>
      <w:r>
        <w:lastRenderedPageBreak/>
        <w:t xml:space="preserve">Figure </w:t>
      </w:r>
      <w:r>
        <w:fldChar w:fldCharType="begin"/>
      </w:r>
      <w:r>
        <w:instrText>SEQ Figure \* ARABIC</w:instrText>
      </w:r>
      <w:r>
        <w:fldChar w:fldCharType="separate"/>
      </w:r>
      <w:r w:rsidR="003C4BC2">
        <w:rPr>
          <w:noProof/>
        </w:rPr>
        <w:t>33</w:t>
      </w:r>
      <w:r>
        <w:fldChar w:fldCharType="end"/>
      </w:r>
      <w:bookmarkEnd w:id="303"/>
      <w:r>
        <w:t xml:space="preserve">: Recording of HbA1c test </w:t>
      </w:r>
      <w:r>
        <w:rPr>
          <w:bCs w:val="0"/>
        </w:rPr>
        <w:t xml:space="preserve">among HCH </w:t>
      </w:r>
      <w:r w:rsidR="00274A18">
        <w:rPr>
          <w:bCs w:val="0"/>
        </w:rPr>
        <w:t xml:space="preserve">and comparator </w:t>
      </w:r>
      <w:r>
        <w:rPr>
          <w:bCs w:val="0"/>
        </w:rPr>
        <w:t>patients with type 2 diabetes</w:t>
      </w:r>
    </w:p>
    <w:p w14:paraId="2134482B" w14:textId="77777777" w:rsidR="001F7267" w:rsidRDefault="00FD13E3" w:rsidP="001F7267">
      <w:pPr>
        <w:jc w:val="center"/>
        <w:rPr>
          <w:lang w:val="en-GB"/>
        </w:rPr>
      </w:pPr>
      <w:r w:rsidRPr="001F7267">
        <w:rPr>
          <w:noProof/>
          <w:lang w:val="en-GB"/>
        </w:rPr>
        <w:drawing>
          <wp:inline distT="0" distB="0" distL="0" distR="0" wp14:anchorId="2CBACA56" wp14:editId="100E9D4D">
            <wp:extent cx="5354402" cy="3780000"/>
            <wp:effectExtent l="0" t="0" r="0" b="0"/>
            <wp:docPr id="6277" name="Picture 627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7" name="Picture 6277" descr="Chart, line chart&#10;&#10;Description automatically generated"/>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354402" cy="3780000"/>
                    </a:xfrm>
                    <a:prstGeom prst="rect">
                      <a:avLst/>
                    </a:prstGeom>
                  </pic:spPr>
                </pic:pic>
              </a:graphicData>
            </a:graphic>
          </wp:inline>
        </w:drawing>
      </w:r>
      <w:r w:rsidRPr="00E44009">
        <w:rPr>
          <w:lang w:val="en-GB"/>
        </w:rPr>
        <w:t xml:space="preserve"> </w:t>
      </w:r>
    </w:p>
    <w:p w14:paraId="268CED08" w14:textId="2B4AF1E0" w:rsidR="00FD13E3" w:rsidRPr="006F5B60" w:rsidRDefault="00837892" w:rsidP="00837892">
      <w:pPr>
        <w:spacing w:after="0"/>
        <w:ind w:firstLine="425"/>
        <w:jc w:val="center"/>
        <w:rPr>
          <w:rFonts w:eastAsia="Calibri" w:cs="Times New Roman"/>
          <w:i/>
          <w:sz w:val="16"/>
          <w:szCs w:val="18"/>
          <w:lang w:val="en-GB"/>
        </w:rPr>
      </w:pPr>
      <w:r>
        <w:rPr>
          <w:rFonts w:eastAsia="Calibri" w:cs="Times New Roman"/>
          <w:i/>
          <w:sz w:val="16"/>
          <w:szCs w:val="18"/>
          <w:lang w:val="en-GB"/>
        </w:rPr>
        <w:t>Notes:</w:t>
      </w:r>
      <w:r w:rsidR="00FD13E3" w:rsidRPr="001F7267">
        <w:rPr>
          <w:rFonts w:eastAsia="Calibri" w:cs="Times New Roman"/>
          <w:i/>
          <w:sz w:val="16"/>
          <w:szCs w:val="18"/>
          <w:lang w:val="en-GB"/>
        </w:rPr>
        <w:t xml:space="preserve"> People with length of follow-up shorter than respective yearly and six-monthly </w:t>
      </w:r>
      <w:r w:rsidR="005D7E53">
        <w:rPr>
          <w:rFonts w:eastAsia="Calibri" w:cs="Times New Roman"/>
          <w:i/>
          <w:sz w:val="16"/>
          <w:szCs w:val="18"/>
          <w:lang w:val="en-GB"/>
        </w:rPr>
        <w:t>measurement period</w:t>
      </w:r>
      <w:r w:rsidR="00FD13E3" w:rsidRPr="001F7267">
        <w:rPr>
          <w:rFonts w:eastAsia="Calibri" w:cs="Times New Roman"/>
          <w:i/>
          <w:sz w:val="16"/>
          <w:szCs w:val="18"/>
          <w:lang w:val="en-GB"/>
        </w:rPr>
        <w:t xml:space="preserve"> were excluded from analyses.</w:t>
      </w:r>
    </w:p>
    <w:p w14:paraId="752DD79E" w14:textId="7AB5BFE8" w:rsidR="00837892" w:rsidRPr="006F5B60" w:rsidRDefault="00837892" w:rsidP="006F5B60">
      <w:pPr>
        <w:ind w:firstLine="426"/>
        <w:jc w:val="center"/>
        <w:rPr>
          <w:rFonts w:eastAsia="Calibri" w:cs="Times New Roman"/>
          <w:i/>
          <w:sz w:val="16"/>
          <w:szCs w:val="18"/>
          <w:lang w:val="en-GB"/>
        </w:rPr>
      </w:pPr>
      <w:r w:rsidRPr="001F7267">
        <w:rPr>
          <w:rFonts w:eastAsia="Calibri" w:cs="Times New Roman"/>
          <w:i/>
          <w:sz w:val="16"/>
          <w:szCs w:val="18"/>
          <w:lang w:val="en-GB"/>
        </w:rPr>
        <w:t>Source: Data extracted from 117 HCH practices (Pen CS, POLAR, and Sonic) and 403 comparator practices (</w:t>
      </w:r>
      <w:proofErr w:type="spellStart"/>
      <w:r w:rsidRPr="001F7267">
        <w:rPr>
          <w:rFonts w:eastAsia="Calibri" w:cs="Times New Roman"/>
          <w:i/>
          <w:sz w:val="16"/>
          <w:szCs w:val="18"/>
          <w:lang w:val="en-GB"/>
        </w:rPr>
        <w:t>MedicineInsight</w:t>
      </w:r>
      <w:proofErr w:type="spellEnd"/>
      <w:r w:rsidRPr="001F7267">
        <w:rPr>
          <w:rFonts w:eastAsia="Calibri" w:cs="Times New Roman"/>
          <w:i/>
          <w:sz w:val="16"/>
          <w:szCs w:val="18"/>
          <w:lang w:val="en-GB"/>
        </w:rPr>
        <w:t>).</w:t>
      </w:r>
    </w:p>
    <w:p w14:paraId="076E21DA" w14:textId="77777777" w:rsidR="00FD13E3" w:rsidRDefault="00FD13E3" w:rsidP="00FD13E3">
      <w:pPr>
        <w:pStyle w:val="Heading3"/>
      </w:pPr>
      <w:r>
        <w:t>Recording of kidney function tests</w:t>
      </w:r>
    </w:p>
    <w:p w14:paraId="271568C9" w14:textId="57229902" w:rsidR="00987B4B" w:rsidRDefault="00FD13E3" w:rsidP="00FD13E3">
      <w:pPr>
        <w:rPr>
          <w:lang w:val="en-GB"/>
        </w:rPr>
      </w:pPr>
      <w:r>
        <w:rPr>
          <w:lang w:val="en-GB"/>
        </w:rPr>
        <w:t>Recording of kidney function test was measured for patients with type 2 diabetes or cardiovascular disease</w:t>
      </w:r>
      <w:r w:rsidDel="009D5936">
        <w:rPr>
          <w:lang w:val="en-GB"/>
        </w:rPr>
        <w:t xml:space="preserve"> </w:t>
      </w:r>
      <w:r>
        <w:rPr>
          <w:lang w:val="en-GB"/>
        </w:rPr>
        <w:t xml:space="preserve">and included tests for </w:t>
      </w:r>
      <w:r w:rsidRPr="7D04FFE0">
        <w:rPr>
          <w:rFonts w:eastAsia="Muli" w:cs="Muli"/>
        </w:rPr>
        <w:t>estimated glomerular filtration rate (eGFR)</w:t>
      </w:r>
      <w:r>
        <w:rPr>
          <w:rFonts w:eastAsia="Muli" w:cs="Muli"/>
        </w:rPr>
        <w:t xml:space="preserve">, </w:t>
      </w:r>
      <w:r w:rsidRPr="00161F5A">
        <w:rPr>
          <w:rFonts w:eastAsia="Muli" w:cs="Muli"/>
        </w:rPr>
        <w:t>creatinine</w:t>
      </w:r>
      <w:r>
        <w:rPr>
          <w:rFonts w:eastAsia="Muli" w:cs="Muli"/>
        </w:rPr>
        <w:t xml:space="preserve"> and</w:t>
      </w:r>
      <w:r w:rsidRPr="00161F5A">
        <w:rPr>
          <w:rFonts w:eastAsia="Muli" w:cs="Muli"/>
        </w:rPr>
        <w:t xml:space="preserve"> albumin-creatine ratio</w:t>
      </w:r>
      <w:r>
        <w:rPr>
          <w:rFonts w:eastAsia="Muli" w:cs="Muli"/>
        </w:rPr>
        <w:t xml:space="preserve">. </w:t>
      </w:r>
      <w:r>
        <w:rPr>
          <w:lang w:val="en-GB"/>
        </w:rPr>
        <w:t xml:space="preserve">Most HCH patients had a recording of a kidney function test in the year </w:t>
      </w:r>
      <w:r w:rsidR="0002675D">
        <w:rPr>
          <w:lang w:val="en-GB"/>
        </w:rPr>
        <w:t>before</w:t>
      </w:r>
      <w:r>
        <w:rPr>
          <w:lang w:val="en-GB"/>
        </w:rPr>
        <w:t xml:space="preserve"> enrolment (88.7%), with </w:t>
      </w:r>
      <w:r w:rsidR="00BA6C4D">
        <w:rPr>
          <w:lang w:val="en-GB"/>
        </w:rPr>
        <w:t>about</w:t>
      </w:r>
      <w:r>
        <w:rPr>
          <w:lang w:val="en-GB"/>
        </w:rPr>
        <w:t xml:space="preserve"> three quarters having a recording in the six months prior (72.3%). There was very little decrease in annual recording of </w:t>
      </w:r>
      <w:r w:rsidRPr="1EFB62ED">
        <w:rPr>
          <w:lang w:val="en-GB"/>
        </w:rPr>
        <w:t>a kidney</w:t>
      </w:r>
      <w:r w:rsidRPr="48DCBD16">
        <w:rPr>
          <w:lang w:val="en-GB"/>
        </w:rPr>
        <w:t xml:space="preserve"> function </w:t>
      </w:r>
      <w:r w:rsidRPr="1EFB62ED">
        <w:rPr>
          <w:lang w:val="en-GB"/>
        </w:rPr>
        <w:t>test</w:t>
      </w:r>
      <w:r>
        <w:rPr>
          <w:lang w:val="en-GB"/>
        </w:rPr>
        <w:t xml:space="preserve"> after one year (85.6%) and a slightly larger drop at two years (79.0%). </w:t>
      </w:r>
      <w:r w:rsidRPr="4F2110A4">
        <w:rPr>
          <w:lang w:val="en-GB"/>
        </w:rPr>
        <w:t xml:space="preserve">While similar to HCH patients </w:t>
      </w:r>
      <w:r>
        <w:rPr>
          <w:lang w:val="en-GB"/>
        </w:rPr>
        <w:t>in the pre-enrolment period</w:t>
      </w:r>
      <w:r w:rsidRPr="4F2110A4">
        <w:rPr>
          <w:lang w:val="en-GB"/>
        </w:rPr>
        <w:t>, significantly</w:t>
      </w:r>
      <w:r w:rsidRPr="07439437">
        <w:rPr>
          <w:lang w:val="en-GB"/>
        </w:rPr>
        <w:t xml:space="preserve"> lower proportions of </w:t>
      </w:r>
      <w:r w:rsidR="000E16C4">
        <w:rPr>
          <w:lang w:val="en-GB"/>
        </w:rPr>
        <w:t>comparator</w:t>
      </w:r>
      <w:r w:rsidRPr="07439437">
        <w:rPr>
          <w:lang w:val="en-GB"/>
        </w:rPr>
        <w:t xml:space="preserve"> patients </w:t>
      </w:r>
      <w:r>
        <w:rPr>
          <w:lang w:val="en-GB"/>
        </w:rPr>
        <w:t>had an annual recording of a kidney function test</w:t>
      </w:r>
      <w:r w:rsidDel="007A4013">
        <w:rPr>
          <w:lang w:val="en-GB"/>
        </w:rPr>
        <w:t xml:space="preserve"> </w:t>
      </w:r>
      <w:r w:rsidRPr="1F0E654F">
        <w:rPr>
          <w:lang w:val="en-GB"/>
        </w:rPr>
        <w:t xml:space="preserve">at both </w:t>
      </w:r>
      <w:r>
        <w:rPr>
          <w:lang w:val="en-GB"/>
        </w:rPr>
        <w:t xml:space="preserve">12 months (76.0%) and 24 months (69.5%) </w:t>
      </w:r>
      <w:r w:rsidDel="00290155">
        <w:rPr>
          <w:lang w:val="en-GB"/>
        </w:rPr>
        <w:t>following enrolment</w:t>
      </w:r>
      <w:r>
        <w:rPr>
          <w:lang w:val="en-GB"/>
        </w:rPr>
        <w:t xml:space="preserve">. Recording of a kidney function test </w:t>
      </w:r>
      <w:r w:rsidRPr="1EFB62ED">
        <w:rPr>
          <w:lang w:val="en-GB"/>
        </w:rPr>
        <w:t xml:space="preserve">at </w:t>
      </w:r>
      <w:r>
        <w:rPr>
          <w:lang w:val="en-GB"/>
        </w:rPr>
        <w:t>six</w:t>
      </w:r>
      <w:r w:rsidRPr="1EFB62ED">
        <w:rPr>
          <w:lang w:val="en-GB"/>
        </w:rPr>
        <w:t xml:space="preserve"> monthly intervals </w:t>
      </w:r>
      <w:r>
        <w:rPr>
          <w:lang w:val="en-GB"/>
        </w:rPr>
        <w:t xml:space="preserve">was similarly higher in HCH than </w:t>
      </w:r>
      <w:r w:rsidR="000E16C4">
        <w:rPr>
          <w:lang w:val="en-GB"/>
        </w:rPr>
        <w:t>comparator</w:t>
      </w:r>
      <w:r>
        <w:rPr>
          <w:lang w:val="en-GB"/>
        </w:rPr>
        <w:t xml:space="preserve"> patients for all of the follow-up (</w:t>
      </w:r>
      <w:r w:rsidR="00082763" w:rsidRPr="00FF78AE">
        <w:rPr>
          <w:rFonts w:eastAsiaTheme="minorEastAsia"/>
          <w:color w:val="1D2455"/>
          <w:szCs w:val="20"/>
          <w:lang w:eastAsia="en-AU"/>
        </w:rPr>
        <w:fldChar w:fldCharType="begin"/>
      </w:r>
      <w:r w:rsidR="00082763" w:rsidRPr="00FF78AE">
        <w:rPr>
          <w:rFonts w:eastAsiaTheme="minorEastAsia"/>
          <w:color w:val="1D2455"/>
          <w:szCs w:val="20"/>
          <w:lang w:eastAsia="en-AU"/>
        </w:rPr>
        <w:instrText xml:space="preserve"> REF _Ref97027219 \h </w:instrText>
      </w:r>
      <w:r w:rsidR="00F96FBA" w:rsidRPr="00FF78AE">
        <w:rPr>
          <w:rFonts w:eastAsiaTheme="minorEastAsia"/>
          <w:color w:val="1D2455"/>
          <w:szCs w:val="20"/>
          <w:lang w:eastAsia="en-AU"/>
        </w:rPr>
        <w:instrText xml:space="preserve"> \* MERGEFORMAT </w:instrText>
      </w:r>
      <w:r w:rsidR="00082763" w:rsidRPr="00FF78AE">
        <w:rPr>
          <w:rFonts w:eastAsiaTheme="minorEastAsia"/>
          <w:color w:val="1D2455"/>
          <w:szCs w:val="20"/>
          <w:lang w:eastAsia="en-AU"/>
        </w:rPr>
      </w:r>
      <w:r w:rsidR="00082763" w:rsidRPr="00FF78AE">
        <w:rPr>
          <w:rFonts w:eastAsiaTheme="minorEastAsia"/>
          <w:color w:val="1D2455"/>
          <w:szCs w:val="20"/>
          <w:lang w:eastAsia="en-AU"/>
        </w:rPr>
        <w:fldChar w:fldCharType="separate"/>
      </w:r>
      <w:r w:rsidR="003C4BC2" w:rsidRPr="003C4BC2">
        <w:rPr>
          <w:rFonts w:eastAsiaTheme="minorEastAsia"/>
          <w:color w:val="1D2455"/>
          <w:szCs w:val="20"/>
          <w:lang w:eastAsia="en-AU"/>
        </w:rPr>
        <w:t>Figure 34</w:t>
      </w:r>
      <w:r w:rsidR="00082763" w:rsidRPr="00FF78AE">
        <w:rPr>
          <w:rFonts w:eastAsiaTheme="minorEastAsia"/>
          <w:color w:val="1D2455"/>
          <w:szCs w:val="20"/>
          <w:lang w:eastAsia="en-AU"/>
        </w:rPr>
        <w:fldChar w:fldCharType="end"/>
      </w:r>
      <w:r>
        <w:rPr>
          <w:lang w:val="en-GB"/>
        </w:rPr>
        <w:t>).</w:t>
      </w:r>
    </w:p>
    <w:p w14:paraId="5045EF75" w14:textId="77777777" w:rsidR="00987B4B" w:rsidRDefault="00987B4B">
      <w:pPr>
        <w:spacing w:after="160" w:line="259" w:lineRule="auto"/>
        <w:rPr>
          <w:lang w:val="en-GB"/>
        </w:rPr>
      </w:pPr>
      <w:r>
        <w:rPr>
          <w:lang w:val="en-GB"/>
        </w:rPr>
        <w:br w:type="page"/>
      </w:r>
    </w:p>
    <w:p w14:paraId="7B61B085" w14:textId="1E6A3C2B" w:rsidR="00FD13E3" w:rsidRPr="00925135" w:rsidRDefault="00FD13E3" w:rsidP="00FD13E3">
      <w:pPr>
        <w:pStyle w:val="TableFigureheading"/>
      </w:pPr>
      <w:bookmarkStart w:id="304" w:name="_Ref97027219"/>
      <w:r>
        <w:lastRenderedPageBreak/>
        <w:t xml:space="preserve">Figure </w:t>
      </w:r>
      <w:r>
        <w:fldChar w:fldCharType="begin"/>
      </w:r>
      <w:r>
        <w:instrText>SEQ Figure \* ARABIC</w:instrText>
      </w:r>
      <w:r>
        <w:fldChar w:fldCharType="separate"/>
      </w:r>
      <w:r w:rsidR="003C4BC2">
        <w:rPr>
          <w:noProof/>
        </w:rPr>
        <w:t>34</w:t>
      </w:r>
      <w:r>
        <w:fldChar w:fldCharType="end"/>
      </w:r>
      <w:bookmarkEnd w:id="304"/>
      <w:r>
        <w:t xml:space="preserve">: Recording of </w:t>
      </w:r>
      <w:r w:rsidRPr="00925135">
        <w:t xml:space="preserve">kidney function test </w:t>
      </w:r>
      <w:r>
        <w:rPr>
          <w:bCs w:val="0"/>
        </w:rPr>
        <w:t xml:space="preserve">among HCH </w:t>
      </w:r>
      <w:r w:rsidR="00274A18">
        <w:rPr>
          <w:bCs w:val="0"/>
        </w:rPr>
        <w:t xml:space="preserve">and comparator </w:t>
      </w:r>
      <w:r>
        <w:rPr>
          <w:bCs w:val="0"/>
        </w:rPr>
        <w:t>patients with type 2 diabetes or cardiovascular disease</w:t>
      </w:r>
    </w:p>
    <w:p w14:paraId="5A494D3F" w14:textId="77777777" w:rsidR="00AD13F1" w:rsidRDefault="00FD13E3" w:rsidP="00AD13F1">
      <w:pPr>
        <w:pStyle w:val="Chartortablefootnote"/>
        <w:ind w:right="95"/>
        <w:rPr>
          <w:lang w:val="en-GB"/>
        </w:rPr>
      </w:pPr>
      <w:r>
        <w:rPr>
          <w:b/>
          <w:noProof/>
          <w:sz w:val="18"/>
        </w:rPr>
        <w:drawing>
          <wp:inline distT="0" distB="0" distL="0" distR="0" wp14:anchorId="7FA16D0D" wp14:editId="2BA47B7A">
            <wp:extent cx="5150426" cy="3636000"/>
            <wp:effectExtent l="0" t="0" r="0" b="0"/>
            <wp:docPr id="6280" name="Picture 628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0" name="Picture 6280" descr="Chart, line char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150426" cy="3636000"/>
                    </a:xfrm>
                    <a:prstGeom prst="rect">
                      <a:avLst/>
                    </a:prstGeom>
                  </pic:spPr>
                </pic:pic>
              </a:graphicData>
            </a:graphic>
          </wp:inline>
        </w:drawing>
      </w:r>
      <w:r w:rsidRPr="00DB09EB">
        <w:rPr>
          <w:lang w:val="en-GB"/>
        </w:rPr>
        <w:t xml:space="preserve"> </w:t>
      </w:r>
    </w:p>
    <w:p w14:paraId="6DBDE5C9" w14:textId="5F450A75" w:rsidR="00FD13E3" w:rsidRDefault="00837892" w:rsidP="00837892">
      <w:pPr>
        <w:pStyle w:val="Chartortablefootnote"/>
        <w:spacing w:after="0"/>
        <w:ind w:right="96"/>
        <w:rPr>
          <w:lang w:val="en-GB"/>
        </w:rPr>
      </w:pPr>
      <w:r>
        <w:t>Notes:</w:t>
      </w:r>
      <w:r w:rsidR="00FD13E3">
        <w:t xml:space="preserve"> K</w:t>
      </w:r>
      <w:r w:rsidR="00FD13E3" w:rsidRPr="00DB09EB">
        <w:t>idney function test</w:t>
      </w:r>
      <w:r w:rsidR="00FD13E3">
        <w:t>s</w:t>
      </w:r>
      <w:r w:rsidR="00FD13E3" w:rsidRPr="00DB09EB">
        <w:t xml:space="preserve"> included estimated glomerular filtration rate (eGFR), creatinine and albumin-creatine ratio</w:t>
      </w:r>
      <w:r w:rsidR="00FD13E3">
        <w:t xml:space="preserve">. </w:t>
      </w:r>
      <w:r w:rsidR="00FD13E3">
        <w:rPr>
          <w:lang w:val="en-GB"/>
        </w:rPr>
        <w:t xml:space="preserve">People with length of follow-up shorter than respective yearly and six-monthly </w:t>
      </w:r>
      <w:r w:rsidR="0054373F">
        <w:rPr>
          <w:lang w:val="en-GB"/>
        </w:rPr>
        <w:t>measurement period</w:t>
      </w:r>
      <w:r w:rsidR="00FD13E3">
        <w:rPr>
          <w:lang w:val="en-GB"/>
        </w:rPr>
        <w:t xml:space="preserve"> were excluded from analyses.</w:t>
      </w:r>
    </w:p>
    <w:p w14:paraId="76AF1E6A" w14:textId="372EC8A3" w:rsidR="00837892" w:rsidRDefault="00837892" w:rsidP="00AD13F1">
      <w:pPr>
        <w:pStyle w:val="Chartortablefootnote"/>
        <w:ind w:right="95"/>
      </w:pPr>
      <w:r w:rsidRPr="00B63D3E">
        <w:rPr>
          <w:lang w:val="en-GB"/>
        </w:rPr>
        <w:t xml:space="preserve">Source: Data </w:t>
      </w:r>
      <w:r w:rsidRPr="00B63D3E">
        <w:t>extracted from 117 HCH practices (Pen CS, POLAR, and Sonic) and 403 comparator</w:t>
      </w:r>
      <w:r>
        <w:t xml:space="preserve"> practices (</w:t>
      </w:r>
      <w:proofErr w:type="spellStart"/>
      <w:r>
        <w:t>MedicineInsight</w:t>
      </w:r>
      <w:proofErr w:type="spellEnd"/>
      <w:r>
        <w:t>).</w:t>
      </w:r>
    </w:p>
    <w:p w14:paraId="141993C6" w14:textId="77777777" w:rsidR="00FD13E3" w:rsidRDefault="00FD13E3" w:rsidP="00FD13E3">
      <w:pPr>
        <w:pStyle w:val="Heading2"/>
      </w:pPr>
      <w:bookmarkStart w:id="305" w:name="_Toc109996721"/>
      <w:r>
        <w:t>Monitoring of risk factor information</w:t>
      </w:r>
      <w:bookmarkEnd w:id="305"/>
      <w:r w:rsidRPr="00F32FCC">
        <w:t xml:space="preserve"> </w:t>
      </w:r>
    </w:p>
    <w:p w14:paraId="3446BFBD" w14:textId="5D3DEECD" w:rsidR="00FD13E3" w:rsidRDefault="00FD13E3" w:rsidP="00FD13E3">
      <w:pPr>
        <w:rPr>
          <w:lang w:val="en-GB"/>
        </w:rPr>
      </w:pPr>
      <w:r>
        <w:rPr>
          <w:lang w:val="en-GB"/>
        </w:rPr>
        <w:t xml:space="preserve">Overall, a large proportion of HCH patients had key risk factor information recorded in the </w:t>
      </w:r>
      <w:r w:rsidR="00903B60">
        <w:rPr>
          <w:lang w:val="en-GB"/>
        </w:rPr>
        <w:t>clinical management system</w:t>
      </w:r>
      <w:r>
        <w:rPr>
          <w:lang w:val="en-GB"/>
        </w:rPr>
        <w:t xml:space="preserve"> of their HCH practice </w:t>
      </w:r>
      <w:r w:rsidR="00F11772">
        <w:rPr>
          <w:lang w:val="en-GB"/>
        </w:rPr>
        <w:t xml:space="preserve">– </w:t>
      </w:r>
      <w:r>
        <w:rPr>
          <w:lang w:val="en-GB"/>
        </w:rPr>
        <w:t xml:space="preserve">including body </w:t>
      </w:r>
      <w:r w:rsidRPr="00C260F8">
        <w:rPr>
          <w:lang w:val="en-GB"/>
        </w:rPr>
        <w:t xml:space="preserve">height and weight (for calculating BMI), smoking status, </w:t>
      </w:r>
      <w:r>
        <w:rPr>
          <w:lang w:val="en-GB"/>
        </w:rPr>
        <w:t xml:space="preserve">as well as </w:t>
      </w:r>
      <w:r w:rsidRPr="555B0374">
        <w:rPr>
          <w:lang w:val="en-GB"/>
        </w:rPr>
        <w:t xml:space="preserve">risk </w:t>
      </w:r>
      <w:r>
        <w:rPr>
          <w:lang w:val="en-GB"/>
        </w:rPr>
        <w:t xml:space="preserve">factors </w:t>
      </w:r>
      <w:r w:rsidRPr="1F0E654F">
        <w:rPr>
          <w:lang w:val="en-GB"/>
        </w:rPr>
        <w:t>needed</w:t>
      </w:r>
      <w:r>
        <w:rPr>
          <w:lang w:val="en-GB"/>
        </w:rPr>
        <w:t xml:space="preserve"> </w:t>
      </w:r>
      <w:r w:rsidRPr="555B0374">
        <w:rPr>
          <w:lang w:val="en-GB"/>
        </w:rPr>
        <w:t>to</w:t>
      </w:r>
      <w:r>
        <w:rPr>
          <w:lang w:val="en-GB"/>
        </w:rPr>
        <w:t xml:space="preserve"> perform a cardiovascular risk assessment (age, </w:t>
      </w:r>
      <w:r w:rsidRPr="00C260F8">
        <w:rPr>
          <w:lang w:val="en-GB"/>
        </w:rPr>
        <w:t>blood pressure</w:t>
      </w:r>
      <w:r>
        <w:rPr>
          <w:lang w:val="en-GB"/>
        </w:rPr>
        <w:t xml:space="preserve"> </w:t>
      </w:r>
      <w:r w:rsidRPr="00C260F8">
        <w:rPr>
          <w:lang w:val="en-GB"/>
        </w:rPr>
        <w:t>and cholesterol)</w:t>
      </w:r>
      <w:r>
        <w:rPr>
          <w:lang w:val="en-GB"/>
        </w:rPr>
        <w:t>.</w:t>
      </w:r>
    </w:p>
    <w:p w14:paraId="193680F7" w14:textId="77777777" w:rsidR="00FD13E3" w:rsidRDefault="00FD13E3" w:rsidP="00FD13E3">
      <w:pPr>
        <w:rPr>
          <w:lang w:val="en-GB"/>
        </w:rPr>
      </w:pPr>
      <w:r>
        <w:rPr>
          <w:lang w:val="en-GB"/>
        </w:rPr>
        <w:t>Annual recording of this information tended to be highe</w:t>
      </w:r>
      <w:r w:rsidRPr="3EA823B4">
        <w:rPr>
          <w:lang w:val="en-GB"/>
        </w:rPr>
        <w:t xml:space="preserve">r </w:t>
      </w:r>
      <w:r>
        <w:rPr>
          <w:lang w:val="en-GB"/>
        </w:rPr>
        <w:t xml:space="preserve">in the pre-enrolment period than during </w:t>
      </w:r>
      <w:r w:rsidRPr="3EA823B4">
        <w:rPr>
          <w:lang w:val="en-GB"/>
        </w:rPr>
        <w:t>the</w:t>
      </w:r>
      <w:r>
        <w:rPr>
          <w:lang w:val="en-GB"/>
        </w:rPr>
        <w:t xml:space="preserve"> patient’s</w:t>
      </w:r>
      <w:r w:rsidRPr="3EA823B4">
        <w:rPr>
          <w:lang w:val="en-GB"/>
        </w:rPr>
        <w:t xml:space="preserve"> </w:t>
      </w:r>
      <w:r>
        <w:rPr>
          <w:lang w:val="en-GB"/>
        </w:rPr>
        <w:t xml:space="preserve">enrolment in </w:t>
      </w:r>
      <w:r w:rsidRPr="3EA823B4">
        <w:rPr>
          <w:lang w:val="en-GB"/>
        </w:rPr>
        <w:t>HCH</w:t>
      </w:r>
      <w:r>
        <w:rPr>
          <w:lang w:val="en-GB"/>
        </w:rPr>
        <w:t xml:space="preserve"> for all these measures. This likely reflects increased collection of patient’s medical history for recruitment and enrolment of patients into </w:t>
      </w:r>
      <w:r w:rsidRPr="3EA823B4">
        <w:rPr>
          <w:lang w:val="en-GB"/>
        </w:rPr>
        <w:t>HCH</w:t>
      </w:r>
      <w:r>
        <w:rPr>
          <w:lang w:val="en-GB"/>
        </w:rPr>
        <w:t>.</w:t>
      </w:r>
    </w:p>
    <w:p w14:paraId="5AFE4C42" w14:textId="1AF3FDEA" w:rsidR="00FD13E3" w:rsidRPr="005F2A7D" w:rsidRDefault="00FD13E3" w:rsidP="00FD13E3">
      <w:pPr>
        <w:rPr>
          <w:lang w:val="en-GB"/>
        </w:rPr>
      </w:pPr>
      <w:r w:rsidRPr="00C260F8">
        <w:rPr>
          <w:lang w:val="en-GB"/>
        </w:rPr>
        <w:t xml:space="preserve">Recording of each risk factor in HCH patients </w:t>
      </w:r>
      <w:r>
        <w:rPr>
          <w:lang w:val="en-GB"/>
        </w:rPr>
        <w:t xml:space="preserve">remained high throughout the program, although </w:t>
      </w:r>
      <w:r w:rsidRPr="00C260F8">
        <w:rPr>
          <w:lang w:val="en-GB"/>
        </w:rPr>
        <w:t xml:space="preserve">decreased slightly across every subsequent 12-month period following enrolment. </w:t>
      </w:r>
      <w:r w:rsidRPr="00AD26BE">
        <w:rPr>
          <w:lang w:val="en-GB"/>
        </w:rPr>
        <w:t xml:space="preserve">While the level of recording was lower for </w:t>
      </w:r>
      <w:r w:rsidR="0071460D">
        <w:rPr>
          <w:lang w:val="en-GB"/>
        </w:rPr>
        <w:t>measure</w:t>
      </w:r>
      <w:r w:rsidRPr="00AD26BE">
        <w:rPr>
          <w:lang w:val="en-GB"/>
        </w:rPr>
        <w:t xml:space="preserve">s taken at </w:t>
      </w:r>
      <w:r>
        <w:rPr>
          <w:lang w:val="en-GB"/>
        </w:rPr>
        <w:t>six</w:t>
      </w:r>
      <w:r w:rsidRPr="00AD26BE">
        <w:rPr>
          <w:lang w:val="en-GB"/>
        </w:rPr>
        <w:t>-monthly than yearly intervals, not all patients would be expected to have all these risk factors recorded every six months.</w:t>
      </w:r>
    </w:p>
    <w:p w14:paraId="68C07995" w14:textId="3F87DF0C" w:rsidR="00FD13E3" w:rsidRPr="005F2A7D" w:rsidRDefault="00FD13E3" w:rsidP="00FD13E3">
      <w:pPr>
        <w:rPr>
          <w:lang w:val="en-GB"/>
        </w:rPr>
      </w:pPr>
      <w:r w:rsidRPr="1EFB871D">
        <w:rPr>
          <w:lang w:val="en-GB"/>
        </w:rPr>
        <w:t xml:space="preserve">Recording of smoking status was unable to be measured for </w:t>
      </w:r>
      <w:r w:rsidR="000E16C4">
        <w:rPr>
          <w:lang w:val="en-GB"/>
        </w:rPr>
        <w:t>comparator</w:t>
      </w:r>
      <w:r w:rsidRPr="1EFB871D">
        <w:rPr>
          <w:lang w:val="en-GB"/>
        </w:rPr>
        <w:t xml:space="preserve"> patients. </w:t>
      </w:r>
      <w:r w:rsidR="000E16C4">
        <w:rPr>
          <w:lang w:val="en-GB"/>
        </w:rPr>
        <w:t>Comparator</w:t>
      </w:r>
      <w:r w:rsidRPr="1EFB871D">
        <w:rPr>
          <w:lang w:val="en-GB"/>
        </w:rPr>
        <w:t xml:space="preserve"> patients were matched so they had similar levels of recording </w:t>
      </w:r>
      <w:r w:rsidR="00330A64" w:rsidRPr="1EFB871D">
        <w:rPr>
          <w:lang w:val="en-GB"/>
        </w:rPr>
        <w:t xml:space="preserve">to HCH patients </w:t>
      </w:r>
      <w:r w:rsidRPr="1EFB871D">
        <w:rPr>
          <w:lang w:val="en-GB"/>
        </w:rPr>
        <w:t xml:space="preserve">of other risk factor information in the pre-enrolment period. Within the first two years of </w:t>
      </w:r>
      <w:r w:rsidR="00CD0A18">
        <w:rPr>
          <w:lang w:val="en-GB"/>
        </w:rPr>
        <w:t xml:space="preserve">HCH </w:t>
      </w:r>
      <w:r w:rsidR="00CD0A18">
        <w:rPr>
          <w:lang w:val="en-GB"/>
        </w:rPr>
        <w:lastRenderedPageBreak/>
        <w:t xml:space="preserve">patients enrolling in the program, </w:t>
      </w:r>
      <w:r w:rsidRPr="1EFB871D">
        <w:rPr>
          <w:lang w:val="en-GB"/>
        </w:rPr>
        <w:t xml:space="preserve">the proportion of </w:t>
      </w:r>
      <w:r w:rsidR="000E16C4">
        <w:rPr>
          <w:lang w:val="en-GB"/>
        </w:rPr>
        <w:t>comparator</w:t>
      </w:r>
      <w:r w:rsidRPr="1EFB871D">
        <w:rPr>
          <w:lang w:val="en-GB"/>
        </w:rPr>
        <w:t xml:space="preserve"> patients with this risk factor information recorded was significantly lower than </w:t>
      </w:r>
      <w:r w:rsidR="00CD0A18">
        <w:rPr>
          <w:lang w:val="en-GB"/>
        </w:rPr>
        <w:t>for</w:t>
      </w:r>
      <w:r w:rsidRPr="1EFB871D">
        <w:rPr>
          <w:lang w:val="en-GB"/>
        </w:rPr>
        <w:t xml:space="preserve"> </w:t>
      </w:r>
      <w:r w:rsidRPr="005F2A7D">
        <w:rPr>
          <w:lang w:val="en-GB"/>
        </w:rPr>
        <w:t>HCH</w:t>
      </w:r>
      <w:r w:rsidRPr="1EFB871D">
        <w:rPr>
          <w:lang w:val="en-GB"/>
        </w:rPr>
        <w:t xml:space="preserve"> patients.</w:t>
      </w:r>
    </w:p>
    <w:p w14:paraId="3B0541C4" w14:textId="77777777" w:rsidR="00FD13E3" w:rsidRDefault="00FD13E3" w:rsidP="00FD13E3">
      <w:pPr>
        <w:pStyle w:val="Heading3"/>
      </w:pPr>
      <w:r>
        <w:t>Body mass index (BMI)</w:t>
      </w:r>
    </w:p>
    <w:p w14:paraId="53B8C09D" w14:textId="764164F1" w:rsidR="00FD13E3" w:rsidRDefault="00FD13E3" w:rsidP="00FD13E3">
      <w:pPr>
        <w:rPr>
          <w:lang w:val="en-GB"/>
        </w:rPr>
      </w:pPr>
      <w:r>
        <w:rPr>
          <w:lang w:val="en-GB"/>
        </w:rPr>
        <w:t xml:space="preserve">Both body height and weight, required for calculating BMI, are recorded within the GP practice’s </w:t>
      </w:r>
      <w:r w:rsidR="00903B60">
        <w:rPr>
          <w:lang w:val="en-GB"/>
        </w:rPr>
        <w:t>clinical management system</w:t>
      </w:r>
      <w:r>
        <w:rPr>
          <w:lang w:val="en-GB"/>
        </w:rPr>
        <w:t xml:space="preserve">. At the time of enrolment, the majority of HCH patients (84.9%) had height recorded in the practice’s data, which increased to </w:t>
      </w:r>
      <w:r w:rsidR="005767BC">
        <w:rPr>
          <w:lang w:val="en-GB"/>
        </w:rPr>
        <w:t>90.7%</w:t>
      </w:r>
      <w:r>
        <w:rPr>
          <w:lang w:val="en-GB"/>
        </w:rPr>
        <w:t xml:space="preserve"> after one year </w:t>
      </w:r>
      <w:r w:rsidR="005767BC">
        <w:rPr>
          <w:lang w:val="en-GB"/>
        </w:rPr>
        <w:t>and 93</w:t>
      </w:r>
      <w:r>
        <w:rPr>
          <w:lang w:val="en-GB"/>
        </w:rPr>
        <w:t>.4</w:t>
      </w:r>
      <w:r w:rsidR="005767BC">
        <w:rPr>
          <w:lang w:val="en-GB"/>
        </w:rPr>
        <w:t>% after year three.</w:t>
      </w:r>
      <w:r>
        <w:rPr>
          <w:lang w:val="en-GB"/>
        </w:rPr>
        <w:t xml:space="preserve"> Height was similarly recorded for the majority of </w:t>
      </w:r>
      <w:r w:rsidR="007D130E">
        <w:rPr>
          <w:lang w:val="en-GB"/>
        </w:rPr>
        <w:t>comparator</w:t>
      </w:r>
      <w:r>
        <w:rPr>
          <w:lang w:val="en-GB"/>
        </w:rPr>
        <w:t xml:space="preserve"> patients (85.1% at enrolment; </w:t>
      </w:r>
      <w:r w:rsidR="005767BC">
        <w:rPr>
          <w:lang w:val="en-GB"/>
        </w:rPr>
        <w:t>87.2</w:t>
      </w:r>
      <w:r>
        <w:rPr>
          <w:lang w:val="en-GB"/>
        </w:rPr>
        <w:t>% after one year</w:t>
      </w:r>
      <w:r w:rsidR="005767BC">
        <w:rPr>
          <w:lang w:val="en-GB"/>
        </w:rPr>
        <w:t xml:space="preserve"> and 90.7% after year three</w:t>
      </w:r>
      <w:r>
        <w:rPr>
          <w:lang w:val="en-GB"/>
        </w:rPr>
        <w:t>).</w:t>
      </w:r>
    </w:p>
    <w:p w14:paraId="71C21AA7" w14:textId="05D1D0A8" w:rsidR="00FD13E3" w:rsidRPr="005E4436" w:rsidRDefault="00FD13E3" w:rsidP="00FD13E3">
      <w:pPr>
        <w:rPr>
          <w:lang w:val="en-GB"/>
        </w:rPr>
      </w:pPr>
      <w:r>
        <w:rPr>
          <w:lang w:val="en-GB"/>
        </w:rPr>
        <w:t>T</w:t>
      </w:r>
      <w:r w:rsidRPr="005E4436">
        <w:rPr>
          <w:lang w:val="en-GB"/>
        </w:rPr>
        <w:t>hree quarters of H</w:t>
      </w:r>
      <w:r>
        <w:rPr>
          <w:lang w:val="en-GB"/>
        </w:rPr>
        <w:t>CH</w:t>
      </w:r>
      <w:r w:rsidRPr="005E4436">
        <w:rPr>
          <w:lang w:val="en-GB"/>
        </w:rPr>
        <w:t xml:space="preserve"> patients had a recording of body weight in the year </w:t>
      </w:r>
      <w:r w:rsidR="0002675D">
        <w:rPr>
          <w:lang w:val="en-GB"/>
        </w:rPr>
        <w:t>before</w:t>
      </w:r>
      <w:r w:rsidRPr="005E4436">
        <w:rPr>
          <w:lang w:val="en-GB"/>
        </w:rPr>
        <w:t xml:space="preserve"> enrolment (74.2%), with </w:t>
      </w:r>
      <w:r w:rsidR="00BA6C4D">
        <w:rPr>
          <w:lang w:val="en-GB"/>
        </w:rPr>
        <w:t>about</w:t>
      </w:r>
      <w:r w:rsidRPr="005E4436">
        <w:rPr>
          <w:lang w:val="en-GB"/>
        </w:rPr>
        <w:t xml:space="preserve"> two</w:t>
      </w:r>
      <w:r w:rsidR="001D0F94">
        <w:rPr>
          <w:lang w:val="en-GB"/>
        </w:rPr>
        <w:t xml:space="preserve"> </w:t>
      </w:r>
      <w:r w:rsidRPr="005E4436">
        <w:rPr>
          <w:lang w:val="en-GB"/>
        </w:rPr>
        <w:t>thirds having a recording in the six months prior (6</w:t>
      </w:r>
      <w:r>
        <w:rPr>
          <w:lang w:val="en-GB"/>
        </w:rPr>
        <w:t>1.</w:t>
      </w:r>
      <w:r w:rsidRPr="005E4436">
        <w:rPr>
          <w:lang w:val="en-GB"/>
        </w:rPr>
        <w:t xml:space="preserve">2%). There was a slight decrease in annual recording of body weight after one year (71.1%) and two years (62.2%) following enrolment. </w:t>
      </w:r>
      <w:r w:rsidRPr="0D264D8F">
        <w:rPr>
          <w:lang w:val="en-GB"/>
        </w:rPr>
        <w:t xml:space="preserve">While similar to HCH patients </w:t>
      </w:r>
      <w:r>
        <w:rPr>
          <w:lang w:val="en-GB"/>
        </w:rPr>
        <w:t>in the pre-enrolment period</w:t>
      </w:r>
      <w:r w:rsidRPr="0D264D8F">
        <w:rPr>
          <w:lang w:val="en-GB"/>
        </w:rPr>
        <w:t>,</w:t>
      </w:r>
      <w:r w:rsidRPr="005E4436">
        <w:rPr>
          <w:lang w:val="en-GB"/>
        </w:rPr>
        <w:t xml:space="preserve"> significantly </w:t>
      </w:r>
      <w:r w:rsidRPr="195149CE">
        <w:rPr>
          <w:lang w:val="en-GB"/>
        </w:rPr>
        <w:t>lower</w:t>
      </w:r>
      <w:r w:rsidRPr="005E4436">
        <w:rPr>
          <w:lang w:val="en-GB"/>
        </w:rPr>
        <w:t xml:space="preserve"> </w:t>
      </w:r>
      <w:r w:rsidRPr="0D264D8F">
        <w:rPr>
          <w:lang w:val="en-GB"/>
        </w:rPr>
        <w:t>proportions</w:t>
      </w:r>
      <w:r w:rsidRPr="005E4436">
        <w:rPr>
          <w:lang w:val="en-GB"/>
        </w:rPr>
        <w:t xml:space="preserve"> of </w:t>
      </w:r>
      <w:r w:rsidR="000E16C4">
        <w:rPr>
          <w:lang w:val="en-GB"/>
        </w:rPr>
        <w:t>comparator</w:t>
      </w:r>
      <w:r w:rsidRPr="005E4436">
        <w:rPr>
          <w:lang w:val="en-GB"/>
        </w:rPr>
        <w:t xml:space="preserve"> patients had their body weight recorded at </w:t>
      </w:r>
      <w:r w:rsidRPr="195149CE">
        <w:rPr>
          <w:lang w:val="en-GB"/>
        </w:rPr>
        <w:t xml:space="preserve">both </w:t>
      </w:r>
      <w:r w:rsidRPr="005E4436">
        <w:rPr>
          <w:lang w:val="en-GB"/>
        </w:rPr>
        <w:t xml:space="preserve">12 months </w:t>
      </w:r>
      <w:r>
        <w:rPr>
          <w:lang w:val="en-GB"/>
        </w:rPr>
        <w:t xml:space="preserve">(57.9%) </w:t>
      </w:r>
      <w:r w:rsidRPr="005E4436">
        <w:rPr>
          <w:lang w:val="en-GB"/>
        </w:rPr>
        <w:t xml:space="preserve">and 24 months </w:t>
      </w:r>
      <w:r w:rsidRPr="27C9D6CF">
        <w:rPr>
          <w:lang w:val="en-GB"/>
        </w:rPr>
        <w:t xml:space="preserve">(48.9%) </w:t>
      </w:r>
      <w:r w:rsidRPr="005E4436" w:rsidDel="00C32D42">
        <w:rPr>
          <w:lang w:val="en-GB"/>
        </w:rPr>
        <w:t>following enrolment</w:t>
      </w:r>
      <w:r w:rsidRPr="005E4436">
        <w:rPr>
          <w:lang w:val="en-GB"/>
        </w:rPr>
        <w:t xml:space="preserve">. Body weight recording at </w:t>
      </w:r>
      <w:r>
        <w:rPr>
          <w:lang w:val="en-GB"/>
        </w:rPr>
        <w:t>six</w:t>
      </w:r>
      <w:r w:rsidRPr="005E4436">
        <w:rPr>
          <w:lang w:val="en-GB"/>
        </w:rPr>
        <w:t>-monthly intervals was similarly higher in H</w:t>
      </w:r>
      <w:r>
        <w:rPr>
          <w:lang w:val="en-GB"/>
        </w:rPr>
        <w:t>CH</w:t>
      </w:r>
      <w:r w:rsidRPr="005E4436">
        <w:rPr>
          <w:lang w:val="en-GB"/>
        </w:rPr>
        <w:t xml:space="preserve"> than </w:t>
      </w:r>
      <w:r w:rsidR="000E16C4">
        <w:rPr>
          <w:lang w:val="en-GB"/>
        </w:rPr>
        <w:t>comparator</w:t>
      </w:r>
      <w:r w:rsidRPr="005E4436">
        <w:rPr>
          <w:lang w:val="en-GB"/>
        </w:rPr>
        <w:t xml:space="preserve"> patients for most of the follow-up</w:t>
      </w:r>
      <w:r>
        <w:rPr>
          <w:lang w:val="en-GB"/>
        </w:rPr>
        <w:t xml:space="preserve"> (</w:t>
      </w:r>
      <w:r w:rsidR="001C37FF" w:rsidRPr="00FF78AE">
        <w:rPr>
          <w:rFonts w:eastAsiaTheme="minorEastAsia"/>
          <w:color w:val="1D2455"/>
          <w:szCs w:val="20"/>
          <w:lang w:eastAsia="en-AU"/>
        </w:rPr>
        <w:fldChar w:fldCharType="begin"/>
      </w:r>
      <w:r w:rsidR="001C37FF" w:rsidRPr="00FF78AE">
        <w:rPr>
          <w:rFonts w:eastAsiaTheme="minorEastAsia"/>
          <w:color w:val="1D2455"/>
          <w:szCs w:val="20"/>
          <w:lang w:eastAsia="en-AU"/>
        </w:rPr>
        <w:instrText xml:space="preserve"> REF _Ref96723458 \h </w:instrText>
      </w:r>
      <w:r w:rsidR="00F96FBA" w:rsidRPr="00FF78AE">
        <w:rPr>
          <w:rFonts w:eastAsiaTheme="minorEastAsia"/>
          <w:color w:val="1D2455"/>
          <w:szCs w:val="20"/>
          <w:lang w:eastAsia="en-AU"/>
        </w:rPr>
        <w:instrText xml:space="preserve"> \* MERGEFORMAT </w:instrText>
      </w:r>
      <w:r w:rsidR="001C37FF" w:rsidRPr="00FF78AE">
        <w:rPr>
          <w:rFonts w:eastAsiaTheme="minorEastAsia"/>
          <w:color w:val="1D2455"/>
          <w:szCs w:val="20"/>
          <w:lang w:eastAsia="en-AU"/>
        </w:rPr>
      </w:r>
      <w:r w:rsidR="001C37FF" w:rsidRPr="00FF78AE">
        <w:rPr>
          <w:rFonts w:eastAsiaTheme="minorEastAsia"/>
          <w:color w:val="1D2455"/>
          <w:szCs w:val="20"/>
          <w:lang w:eastAsia="en-AU"/>
        </w:rPr>
        <w:fldChar w:fldCharType="separate"/>
      </w:r>
      <w:r w:rsidR="003C4BC2" w:rsidRPr="003C4BC2">
        <w:rPr>
          <w:rFonts w:eastAsiaTheme="minorEastAsia"/>
          <w:color w:val="1D2455"/>
          <w:szCs w:val="20"/>
          <w:lang w:eastAsia="en-AU"/>
        </w:rPr>
        <w:t>Figure 35</w:t>
      </w:r>
      <w:r w:rsidR="001C37FF" w:rsidRPr="00FF78AE">
        <w:rPr>
          <w:rFonts w:eastAsiaTheme="minorEastAsia"/>
          <w:color w:val="1D2455"/>
          <w:szCs w:val="20"/>
          <w:lang w:eastAsia="en-AU"/>
        </w:rPr>
        <w:fldChar w:fldCharType="end"/>
      </w:r>
      <w:r>
        <w:rPr>
          <w:lang w:val="en-GB"/>
        </w:rPr>
        <w:t>)</w:t>
      </w:r>
      <w:r w:rsidRPr="005E4436">
        <w:rPr>
          <w:lang w:val="en-GB"/>
        </w:rPr>
        <w:t>.</w:t>
      </w:r>
    </w:p>
    <w:p w14:paraId="3E856DC8" w14:textId="3D178277" w:rsidR="00FD13E3" w:rsidRPr="00925135" w:rsidRDefault="00FD13E3" w:rsidP="00FD13E3">
      <w:pPr>
        <w:pStyle w:val="TableFigureheading"/>
      </w:pPr>
      <w:bookmarkStart w:id="306" w:name="_Ref96723458"/>
      <w:r>
        <w:t xml:space="preserve">Figure </w:t>
      </w:r>
      <w:r>
        <w:fldChar w:fldCharType="begin"/>
      </w:r>
      <w:r>
        <w:instrText>SEQ Figure \* ARABIC</w:instrText>
      </w:r>
      <w:r>
        <w:fldChar w:fldCharType="separate"/>
      </w:r>
      <w:r w:rsidR="003C4BC2">
        <w:rPr>
          <w:noProof/>
        </w:rPr>
        <w:t>35</w:t>
      </w:r>
      <w:r>
        <w:fldChar w:fldCharType="end"/>
      </w:r>
      <w:bookmarkEnd w:id="306"/>
      <w:r>
        <w:t xml:space="preserve">: Recording of body weight </w:t>
      </w:r>
      <w:r w:rsidR="00274A18">
        <w:t>among</w:t>
      </w:r>
      <w:r>
        <w:t xml:space="preserve"> </w:t>
      </w:r>
      <w:r>
        <w:rPr>
          <w:bCs w:val="0"/>
        </w:rPr>
        <w:t xml:space="preserve">HCH </w:t>
      </w:r>
      <w:r w:rsidR="00274A18">
        <w:rPr>
          <w:bCs w:val="0"/>
        </w:rPr>
        <w:t xml:space="preserve">and comparator </w:t>
      </w:r>
      <w:r>
        <w:rPr>
          <w:bCs w:val="0"/>
        </w:rPr>
        <w:t>patients</w:t>
      </w:r>
    </w:p>
    <w:p w14:paraId="1FD167E7" w14:textId="77777777" w:rsidR="00FD13E3" w:rsidRDefault="00FD13E3" w:rsidP="00FD13E3">
      <w:pPr>
        <w:jc w:val="center"/>
        <w:rPr>
          <w:b/>
          <w:sz w:val="18"/>
          <w:szCs w:val="18"/>
        </w:rPr>
      </w:pPr>
      <w:r>
        <w:rPr>
          <w:b/>
          <w:noProof/>
          <w:sz w:val="18"/>
          <w:szCs w:val="18"/>
        </w:rPr>
        <w:drawing>
          <wp:inline distT="0" distB="0" distL="0" distR="0" wp14:anchorId="5B40D19C" wp14:editId="48D44EF0">
            <wp:extent cx="5150427" cy="3636000"/>
            <wp:effectExtent l="0" t="0" r="0" b="0"/>
            <wp:docPr id="6282" name="Picture 628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2" name="Picture 6282" descr="Chart, line chart&#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150427" cy="3636000"/>
                    </a:xfrm>
                    <a:prstGeom prst="rect">
                      <a:avLst/>
                    </a:prstGeom>
                  </pic:spPr>
                </pic:pic>
              </a:graphicData>
            </a:graphic>
          </wp:inline>
        </w:drawing>
      </w:r>
    </w:p>
    <w:p w14:paraId="3F8BBF04" w14:textId="34D1A409" w:rsidR="00FD13E3" w:rsidRDefault="00837892" w:rsidP="00837892">
      <w:pPr>
        <w:pStyle w:val="Chartortablefootnote"/>
        <w:spacing w:after="0"/>
        <w:ind w:left="720" w:right="663"/>
        <w:rPr>
          <w:lang w:val="en-GB"/>
        </w:rPr>
      </w:pPr>
      <w:r>
        <w:rPr>
          <w:lang w:val="en-GB"/>
        </w:rPr>
        <w:t>Notes:</w:t>
      </w:r>
      <w:r w:rsidR="00FD13E3">
        <w:rPr>
          <w:lang w:val="en-GB"/>
        </w:rPr>
        <w:t xml:space="preserve"> People with length of follow-up shorter than respective yearly and six-monthly </w:t>
      </w:r>
      <w:r w:rsidR="005767BC">
        <w:rPr>
          <w:lang w:val="en-GB"/>
        </w:rPr>
        <w:t>measurement period</w:t>
      </w:r>
      <w:r w:rsidR="00FD13E3">
        <w:rPr>
          <w:lang w:val="en-GB"/>
        </w:rPr>
        <w:t xml:space="preserve"> were excluded from analyses.</w:t>
      </w:r>
    </w:p>
    <w:p w14:paraId="698EC6CE" w14:textId="256DCF5D" w:rsidR="00837892" w:rsidRDefault="00837892" w:rsidP="00FD13E3">
      <w:pPr>
        <w:pStyle w:val="Chartortablefootnote"/>
        <w:ind w:left="720" w:right="662"/>
        <w:rPr>
          <w:b/>
          <w:sz w:val="18"/>
        </w:rPr>
      </w:pPr>
      <w:r w:rsidRPr="007D2344">
        <w:rPr>
          <w:lang w:val="en-GB"/>
        </w:rPr>
        <w:t xml:space="preserve">Source: Data </w:t>
      </w:r>
      <w:r w:rsidRPr="007D2344">
        <w:t>extracted from 117 HCH practices (Pen CS, POLAR, and Sonic) and 403 comparator</w:t>
      </w:r>
      <w:r>
        <w:t xml:space="preserve"> practices (</w:t>
      </w:r>
      <w:proofErr w:type="spellStart"/>
      <w:r>
        <w:t>MedicineInsight</w:t>
      </w:r>
      <w:proofErr w:type="spellEnd"/>
      <w:r>
        <w:t>).</w:t>
      </w:r>
    </w:p>
    <w:p w14:paraId="009D835A" w14:textId="77777777" w:rsidR="00FD13E3" w:rsidRPr="00833631" w:rsidRDefault="00FD13E3" w:rsidP="00FD13E3">
      <w:pPr>
        <w:pStyle w:val="Heading3"/>
      </w:pPr>
      <w:r>
        <w:lastRenderedPageBreak/>
        <w:t>S</w:t>
      </w:r>
      <w:r w:rsidRPr="00833631">
        <w:t>moking status</w:t>
      </w:r>
    </w:p>
    <w:p w14:paraId="35C4C8AC" w14:textId="13693146" w:rsidR="00FD13E3" w:rsidRDefault="00FD13E3" w:rsidP="00FD13E3">
      <w:pPr>
        <w:rPr>
          <w:lang w:val="en-GB"/>
        </w:rPr>
      </w:pPr>
      <w:r>
        <w:rPr>
          <w:lang w:val="en-GB"/>
        </w:rPr>
        <w:t xml:space="preserve">While patients’ smoking status is recorded in the GP practice’s </w:t>
      </w:r>
      <w:r w:rsidR="00903B60">
        <w:rPr>
          <w:lang w:val="en-GB"/>
        </w:rPr>
        <w:t>clinical management system</w:t>
      </w:r>
      <w:r>
        <w:rPr>
          <w:lang w:val="en-GB"/>
        </w:rPr>
        <w:t>, only the latest recorded value is stored.</w:t>
      </w:r>
      <w:r w:rsidR="00BF2D4B">
        <w:rPr>
          <w:lang w:val="en-GB"/>
        </w:rPr>
        <w:t xml:space="preserve"> </w:t>
      </w:r>
      <w:r w:rsidR="00BF2D4B">
        <w:rPr>
          <w:szCs w:val="20"/>
        </w:rPr>
        <w:t xml:space="preserve">(While some </w:t>
      </w:r>
      <w:r w:rsidR="00903B60">
        <w:rPr>
          <w:szCs w:val="20"/>
        </w:rPr>
        <w:t>clinical management system</w:t>
      </w:r>
      <w:r w:rsidR="00BF2D4B">
        <w:rPr>
          <w:szCs w:val="20"/>
        </w:rPr>
        <w:t xml:space="preserve">s are now retaining multiple recordings of these values, they are usually not extracted.) </w:t>
      </w:r>
      <w:r>
        <w:rPr>
          <w:lang w:val="en-GB"/>
        </w:rPr>
        <w:t xml:space="preserve">As such, it was only possible to measure changes in the recording of smoking where data from the </w:t>
      </w:r>
      <w:r w:rsidR="00903B60">
        <w:rPr>
          <w:lang w:val="en-GB"/>
        </w:rPr>
        <w:t>clinical management system</w:t>
      </w:r>
      <w:r>
        <w:rPr>
          <w:lang w:val="en-GB"/>
        </w:rPr>
        <w:t xml:space="preserve"> was continually extracted throughout the evaluation. No historical data on smoking status were available for </w:t>
      </w:r>
      <w:r w:rsidR="000E16C4">
        <w:rPr>
          <w:lang w:val="en-GB"/>
        </w:rPr>
        <w:t>comparator</w:t>
      </w:r>
      <w:r>
        <w:rPr>
          <w:lang w:val="en-GB"/>
        </w:rPr>
        <w:t xml:space="preserve"> patients. </w:t>
      </w:r>
    </w:p>
    <w:p w14:paraId="59533212" w14:textId="4255A8CD" w:rsidR="00FD13E3" w:rsidRDefault="00FD13E3" w:rsidP="00FD13E3">
      <w:pPr>
        <w:rPr>
          <w:lang w:val="en-GB"/>
        </w:rPr>
      </w:pPr>
      <w:r w:rsidRPr="005E4436">
        <w:rPr>
          <w:lang w:val="en-GB"/>
        </w:rPr>
        <w:t xml:space="preserve">At the time of enrolment, </w:t>
      </w:r>
      <w:r>
        <w:rPr>
          <w:lang w:val="en-GB"/>
        </w:rPr>
        <w:t>the majority</w:t>
      </w:r>
      <w:r w:rsidRPr="005E4436">
        <w:rPr>
          <w:lang w:val="en-GB"/>
        </w:rPr>
        <w:t xml:space="preserve"> of </w:t>
      </w:r>
      <w:r w:rsidRPr="0D264D8F">
        <w:rPr>
          <w:lang w:val="en-GB"/>
        </w:rPr>
        <w:t xml:space="preserve">HCH </w:t>
      </w:r>
      <w:r w:rsidRPr="005E4436">
        <w:rPr>
          <w:lang w:val="en-GB"/>
        </w:rPr>
        <w:t xml:space="preserve">patients </w:t>
      </w:r>
      <w:r>
        <w:rPr>
          <w:lang w:val="en-GB"/>
        </w:rPr>
        <w:t xml:space="preserve">(77.8%) </w:t>
      </w:r>
      <w:r w:rsidRPr="005E4436">
        <w:rPr>
          <w:lang w:val="en-GB"/>
        </w:rPr>
        <w:t xml:space="preserve">had </w:t>
      </w:r>
      <w:r>
        <w:rPr>
          <w:lang w:val="en-GB"/>
        </w:rPr>
        <w:t xml:space="preserve">their smoking status </w:t>
      </w:r>
      <w:r w:rsidRPr="005E4436">
        <w:rPr>
          <w:lang w:val="en-GB"/>
        </w:rPr>
        <w:t>record</w:t>
      </w:r>
      <w:r>
        <w:rPr>
          <w:lang w:val="en-GB"/>
        </w:rPr>
        <w:t xml:space="preserve">ed in the practice </w:t>
      </w:r>
      <w:r w:rsidR="00903B60">
        <w:rPr>
          <w:lang w:val="en-GB"/>
        </w:rPr>
        <w:t>clinical management system</w:t>
      </w:r>
      <w:r w:rsidRPr="005E4436">
        <w:rPr>
          <w:lang w:val="en-GB"/>
        </w:rPr>
        <w:t xml:space="preserve">. </w:t>
      </w:r>
      <w:r>
        <w:rPr>
          <w:lang w:val="en-GB"/>
        </w:rPr>
        <w:t>After one year this increased dramatically (92.8%), and after two years almost all HCH patients had their smoking status recorded (96.1%) (</w:t>
      </w:r>
      <w:r w:rsidRPr="00FF78AE">
        <w:rPr>
          <w:rFonts w:eastAsiaTheme="minorEastAsia"/>
          <w:color w:val="1D2455"/>
          <w:szCs w:val="20"/>
          <w:lang w:eastAsia="en-AU"/>
        </w:rPr>
        <w:fldChar w:fldCharType="begin"/>
      </w:r>
      <w:r w:rsidRPr="00FF78AE">
        <w:rPr>
          <w:rFonts w:eastAsiaTheme="minorEastAsia"/>
          <w:color w:val="1D2455"/>
          <w:szCs w:val="20"/>
          <w:lang w:eastAsia="en-AU"/>
        </w:rPr>
        <w:instrText xml:space="preserve"> REF _Ref96759952 \h </w:instrText>
      </w:r>
      <w:r w:rsidR="00F96FBA" w:rsidRPr="00FF78AE">
        <w:rPr>
          <w:rFonts w:eastAsiaTheme="minorEastAsia"/>
          <w:color w:val="1D2455"/>
          <w:szCs w:val="20"/>
          <w:lang w:eastAsia="en-AU"/>
        </w:rPr>
        <w:instrText xml:space="preserve"> \* MERGEFORMAT </w:instrText>
      </w:r>
      <w:r w:rsidRPr="00FF78AE">
        <w:rPr>
          <w:rFonts w:eastAsiaTheme="minorEastAsia"/>
          <w:color w:val="1D2455"/>
          <w:szCs w:val="20"/>
          <w:lang w:eastAsia="en-AU"/>
        </w:rPr>
      </w:r>
      <w:r w:rsidRPr="00FF78AE">
        <w:rPr>
          <w:rFonts w:eastAsiaTheme="minorEastAsia"/>
          <w:color w:val="1D2455"/>
          <w:szCs w:val="20"/>
          <w:lang w:eastAsia="en-AU"/>
        </w:rPr>
        <w:fldChar w:fldCharType="separate"/>
      </w:r>
      <w:r w:rsidR="003C4BC2" w:rsidRPr="003C4BC2">
        <w:rPr>
          <w:rFonts w:eastAsiaTheme="minorEastAsia"/>
          <w:color w:val="1D2455"/>
          <w:szCs w:val="20"/>
          <w:lang w:eastAsia="en-AU"/>
        </w:rPr>
        <w:t>Figure 36</w:t>
      </w:r>
      <w:r w:rsidRPr="00FF78AE">
        <w:rPr>
          <w:rFonts w:eastAsiaTheme="minorEastAsia"/>
          <w:color w:val="1D2455"/>
          <w:szCs w:val="20"/>
          <w:lang w:eastAsia="en-AU"/>
        </w:rPr>
        <w:fldChar w:fldCharType="end"/>
      </w:r>
      <w:r>
        <w:rPr>
          <w:lang w:val="en-GB"/>
        </w:rPr>
        <w:t>).</w:t>
      </w:r>
    </w:p>
    <w:p w14:paraId="67B4BBB2" w14:textId="437DA810" w:rsidR="00FD13E3" w:rsidRPr="00925135" w:rsidRDefault="00FD13E3" w:rsidP="00FD13E3">
      <w:pPr>
        <w:pStyle w:val="TableFigureheading"/>
      </w:pPr>
      <w:bookmarkStart w:id="307" w:name="_Ref96759952"/>
      <w:r>
        <w:t xml:space="preserve">Figure </w:t>
      </w:r>
      <w:r>
        <w:fldChar w:fldCharType="begin"/>
      </w:r>
      <w:r>
        <w:instrText>SEQ Figure \* ARABIC</w:instrText>
      </w:r>
      <w:r>
        <w:fldChar w:fldCharType="separate"/>
      </w:r>
      <w:r w:rsidR="003C4BC2">
        <w:rPr>
          <w:noProof/>
        </w:rPr>
        <w:t>36</w:t>
      </w:r>
      <w:r>
        <w:fldChar w:fldCharType="end"/>
      </w:r>
      <w:bookmarkEnd w:id="307"/>
      <w:r>
        <w:t>: Smoking status ever recorded</w:t>
      </w:r>
      <w:r w:rsidR="00274A18">
        <w:t>,</w:t>
      </w:r>
      <w:r>
        <w:t xml:space="preserve"> </w:t>
      </w:r>
      <w:r>
        <w:rPr>
          <w:bCs w:val="0"/>
        </w:rPr>
        <w:t>HCH patients only</w:t>
      </w:r>
    </w:p>
    <w:p w14:paraId="3A43BA46" w14:textId="142A0F3E" w:rsidR="00FD13E3" w:rsidRPr="006F5B60" w:rsidRDefault="00FD13E3" w:rsidP="006F5B60">
      <w:pPr>
        <w:pStyle w:val="Chartortablefootnote"/>
        <w:ind w:left="720" w:right="662"/>
      </w:pPr>
      <w:r>
        <w:rPr>
          <w:noProof/>
          <w:sz w:val="18"/>
        </w:rPr>
        <w:drawing>
          <wp:inline distT="0" distB="0" distL="0" distR="0" wp14:anchorId="46C621E2" wp14:editId="22FAD3C9">
            <wp:extent cx="4742474" cy="3348000"/>
            <wp:effectExtent l="0" t="0" r="0" b="0"/>
            <wp:docPr id="6283" name="Picture 628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3" name="Picture 6283" descr="Chart, line chart&#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742474" cy="3348000"/>
                    </a:xfrm>
                    <a:prstGeom prst="rect">
                      <a:avLst/>
                    </a:prstGeom>
                  </pic:spPr>
                </pic:pic>
              </a:graphicData>
            </a:graphic>
          </wp:inline>
        </w:drawing>
      </w:r>
      <w:r w:rsidRPr="00507EF3">
        <w:rPr>
          <w:lang w:val="en-GB"/>
        </w:rPr>
        <w:t xml:space="preserve"> </w:t>
      </w:r>
      <w:r w:rsidRPr="007D2344">
        <w:rPr>
          <w:lang w:val="en-GB"/>
        </w:rPr>
        <w:t xml:space="preserve">Source: Data </w:t>
      </w:r>
      <w:r w:rsidRPr="007D2344">
        <w:t>extracted from 117 HCH practices (Pen CS, POLAR, and Sonic).</w:t>
      </w:r>
      <w:r>
        <w:t xml:space="preserve"> </w:t>
      </w:r>
    </w:p>
    <w:p w14:paraId="534DD1E4" w14:textId="77777777" w:rsidR="00FD13E3" w:rsidRDefault="00FD13E3" w:rsidP="00FD13E3">
      <w:pPr>
        <w:pStyle w:val="Heading3"/>
      </w:pPr>
      <w:r>
        <w:t>Cardiovascular risk assessment</w:t>
      </w:r>
    </w:p>
    <w:p w14:paraId="6B79F616" w14:textId="26B37BB2" w:rsidR="00FD13E3" w:rsidRDefault="00FD13E3" w:rsidP="00FD13E3">
      <w:pPr>
        <w:rPr>
          <w:lang w:val="en-GB"/>
        </w:rPr>
      </w:pPr>
      <w:r>
        <w:t>Risk factors required for performing a cardiovascular risk assessment include age, smoking status, blood pressure and cholesterol. As recording</w:t>
      </w:r>
      <w:r w:rsidRPr="1EFB871D">
        <w:rPr>
          <w:lang w:val="en-GB"/>
        </w:rPr>
        <w:t xml:space="preserve"> of smoking status was only able to be measured for a subset of HCH practices where data from the </w:t>
      </w:r>
      <w:r w:rsidR="00903B60">
        <w:rPr>
          <w:lang w:val="en-GB"/>
        </w:rPr>
        <w:t>clinical management system</w:t>
      </w:r>
      <w:r w:rsidRPr="1EFB871D">
        <w:rPr>
          <w:lang w:val="en-GB"/>
        </w:rPr>
        <w:t xml:space="preserve"> was continually extracted throughout the evaluation, recording of all of the other measures (age, blood pressure and cholesterol) were measured for this evaluation. </w:t>
      </w:r>
    </w:p>
    <w:p w14:paraId="40E2972A" w14:textId="1DDF264A" w:rsidR="00FD13E3" w:rsidRPr="00881119" w:rsidRDefault="00FD13E3" w:rsidP="00FD13E3">
      <w:pPr>
        <w:rPr>
          <w:highlight w:val="yellow"/>
        </w:rPr>
      </w:pPr>
      <w:r>
        <w:rPr>
          <w:lang w:val="en-GB"/>
        </w:rPr>
        <w:t xml:space="preserve">In the year </w:t>
      </w:r>
      <w:r w:rsidR="0002675D">
        <w:rPr>
          <w:lang w:val="en-GB"/>
        </w:rPr>
        <w:t>before</w:t>
      </w:r>
      <w:r>
        <w:rPr>
          <w:lang w:val="en-GB"/>
        </w:rPr>
        <w:t xml:space="preserve"> enrolment, slightly over two</w:t>
      </w:r>
      <w:r w:rsidR="001D0F94">
        <w:rPr>
          <w:lang w:val="en-GB"/>
        </w:rPr>
        <w:t xml:space="preserve"> </w:t>
      </w:r>
      <w:r>
        <w:rPr>
          <w:lang w:val="en-GB"/>
        </w:rPr>
        <w:t xml:space="preserve">thirds of HCH patients (69.9%) had a recording of all three risk factors (age, blood pressure, cholesterol) to assist cardiovascular risk assessment, with </w:t>
      </w:r>
      <w:r w:rsidR="00BA6C4D">
        <w:rPr>
          <w:lang w:val="en-GB"/>
        </w:rPr>
        <w:t>about</w:t>
      </w:r>
      <w:r>
        <w:rPr>
          <w:lang w:val="en-GB"/>
        </w:rPr>
        <w:t xml:space="preserve"> half having a recording in the six months prior (49.9%). There was a slight decrease in annual recording of these three measures after one year (65.1%) and a slightly larger drop at two years (57.4%) (</w:t>
      </w:r>
      <w:r w:rsidRPr="00FF78AE">
        <w:rPr>
          <w:rFonts w:eastAsiaTheme="minorEastAsia"/>
          <w:color w:val="1D2455"/>
          <w:szCs w:val="20"/>
          <w:lang w:eastAsia="en-AU"/>
        </w:rPr>
        <w:fldChar w:fldCharType="begin"/>
      </w:r>
      <w:r w:rsidRPr="00FF78AE">
        <w:rPr>
          <w:rFonts w:eastAsiaTheme="minorEastAsia"/>
          <w:color w:val="1D2455"/>
          <w:szCs w:val="20"/>
          <w:lang w:eastAsia="en-AU"/>
        </w:rPr>
        <w:instrText xml:space="preserve"> REF _Ref96760199 \h </w:instrText>
      </w:r>
      <w:r w:rsidR="00F96FBA" w:rsidRPr="00FF78AE">
        <w:rPr>
          <w:rFonts w:eastAsiaTheme="minorEastAsia"/>
          <w:color w:val="1D2455"/>
          <w:szCs w:val="20"/>
          <w:lang w:eastAsia="en-AU"/>
        </w:rPr>
        <w:instrText xml:space="preserve"> \* MERGEFORMAT </w:instrText>
      </w:r>
      <w:r w:rsidRPr="00FF78AE">
        <w:rPr>
          <w:rFonts w:eastAsiaTheme="minorEastAsia"/>
          <w:color w:val="1D2455"/>
          <w:szCs w:val="20"/>
          <w:lang w:eastAsia="en-AU"/>
        </w:rPr>
      </w:r>
      <w:r w:rsidRPr="00FF78AE">
        <w:rPr>
          <w:rFonts w:eastAsiaTheme="minorEastAsia"/>
          <w:color w:val="1D2455"/>
          <w:szCs w:val="20"/>
          <w:lang w:eastAsia="en-AU"/>
        </w:rPr>
        <w:fldChar w:fldCharType="separate"/>
      </w:r>
      <w:r w:rsidR="003C4BC2" w:rsidRPr="003C4BC2">
        <w:rPr>
          <w:rFonts w:eastAsiaTheme="minorEastAsia"/>
          <w:color w:val="1D2455"/>
          <w:szCs w:val="20"/>
          <w:lang w:eastAsia="en-AU"/>
        </w:rPr>
        <w:t>Figure 37</w:t>
      </w:r>
      <w:r w:rsidRPr="00FF78AE">
        <w:rPr>
          <w:rFonts w:eastAsiaTheme="minorEastAsia"/>
          <w:color w:val="1D2455"/>
          <w:szCs w:val="20"/>
          <w:lang w:eastAsia="en-AU"/>
        </w:rPr>
        <w:fldChar w:fldCharType="end"/>
      </w:r>
      <w:r>
        <w:rPr>
          <w:lang w:val="en-GB"/>
        </w:rPr>
        <w:t>).</w:t>
      </w:r>
    </w:p>
    <w:p w14:paraId="5EC972D6" w14:textId="05D21D11" w:rsidR="00987B4B" w:rsidRDefault="00FD13E3" w:rsidP="00517A6F">
      <w:pPr>
        <w:rPr>
          <w:lang w:val="en-GB"/>
        </w:rPr>
      </w:pPr>
      <w:r w:rsidRPr="0D264D8F">
        <w:rPr>
          <w:lang w:val="en-GB"/>
        </w:rPr>
        <w:lastRenderedPageBreak/>
        <w:t xml:space="preserve">While similar to HCH patients </w:t>
      </w:r>
      <w:r>
        <w:rPr>
          <w:lang w:val="en-GB"/>
        </w:rPr>
        <w:t>in the pre-enrolment period</w:t>
      </w:r>
      <w:r w:rsidRPr="0D264D8F">
        <w:rPr>
          <w:lang w:val="en-GB"/>
        </w:rPr>
        <w:t xml:space="preserve">, </w:t>
      </w:r>
      <w:r>
        <w:rPr>
          <w:lang w:val="en-GB"/>
        </w:rPr>
        <w:t xml:space="preserve">significantly </w:t>
      </w:r>
      <w:r w:rsidRPr="0D264D8F">
        <w:rPr>
          <w:lang w:val="en-GB"/>
        </w:rPr>
        <w:t>lower proportions</w:t>
      </w:r>
      <w:r>
        <w:rPr>
          <w:lang w:val="en-GB"/>
        </w:rPr>
        <w:t xml:space="preserve"> of </w:t>
      </w:r>
      <w:r w:rsidR="000E16C4">
        <w:rPr>
          <w:lang w:val="en-GB"/>
        </w:rPr>
        <w:t>comparator</w:t>
      </w:r>
      <w:r w:rsidRPr="1EFB62ED">
        <w:rPr>
          <w:lang w:val="en-GB"/>
        </w:rPr>
        <w:t xml:space="preserve"> patients </w:t>
      </w:r>
      <w:r>
        <w:rPr>
          <w:lang w:val="en-GB"/>
        </w:rPr>
        <w:t xml:space="preserve">had an annual recording of these three risk factors, at </w:t>
      </w:r>
      <w:r w:rsidRPr="0D264D8F">
        <w:rPr>
          <w:lang w:val="en-GB"/>
        </w:rPr>
        <w:t xml:space="preserve">both </w:t>
      </w:r>
      <w:r>
        <w:rPr>
          <w:lang w:val="en-GB"/>
        </w:rPr>
        <w:t xml:space="preserve">12 months (54.9%) and 24 months </w:t>
      </w:r>
      <w:r w:rsidRPr="0D264D8F">
        <w:rPr>
          <w:lang w:val="en-GB"/>
        </w:rPr>
        <w:t xml:space="preserve">(50.6%) </w:t>
      </w:r>
      <w:r w:rsidDel="00C75B1B">
        <w:rPr>
          <w:lang w:val="en-GB"/>
        </w:rPr>
        <w:t>following enrolment</w:t>
      </w:r>
      <w:r>
        <w:rPr>
          <w:lang w:val="en-GB"/>
        </w:rPr>
        <w:t xml:space="preserve">. Recording of these three risk factors </w:t>
      </w:r>
      <w:r w:rsidRPr="1EFB62ED">
        <w:rPr>
          <w:lang w:val="en-GB"/>
        </w:rPr>
        <w:t xml:space="preserve">at </w:t>
      </w:r>
      <w:r>
        <w:rPr>
          <w:lang w:val="en-GB"/>
        </w:rPr>
        <w:t>six</w:t>
      </w:r>
      <w:r w:rsidRPr="1EFB62ED">
        <w:rPr>
          <w:lang w:val="en-GB"/>
        </w:rPr>
        <w:t xml:space="preserve"> monthly intervals </w:t>
      </w:r>
      <w:r>
        <w:rPr>
          <w:lang w:val="en-GB"/>
        </w:rPr>
        <w:t xml:space="preserve">was similarly higher in HCH than </w:t>
      </w:r>
      <w:r w:rsidR="000E16C4">
        <w:rPr>
          <w:lang w:val="en-GB"/>
        </w:rPr>
        <w:t>comparator</w:t>
      </w:r>
      <w:r>
        <w:rPr>
          <w:lang w:val="en-GB"/>
        </w:rPr>
        <w:t xml:space="preserve"> patients for most of the follow-up period (</w:t>
      </w:r>
      <w:r w:rsidR="00F76BC9" w:rsidRPr="00FF78AE">
        <w:rPr>
          <w:rFonts w:eastAsiaTheme="minorEastAsia"/>
          <w:color w:val="1D2455"/>
          <w:szCs w:val="20"/>
          <w:lang w:eastAsia="en-AU"/>
        </w:rPr>
        <w:fldChar w:fldCharType="begin"/>
      </w:r>
      <w:r w:rsidR="00F76BC9" w:rsidRPr="00FF78AE">
        <w:rPr>
          <w:rFonts w:eastAsiaTheme="minorEastAsia"/>
          <w:color w:val="1D2455"/>
          <w:szCs w:val="20"/>
          <w:lang w:eastAsia="en-AU"/>
        </w:rPr>
        <w:instrText xml:space="preserve"> REF _Ref96760199 \h </w:instrText>
      </w:r>
      <w:r w:rsidR="00F96FBA" w:rsidRPr="00FF78AE">
        <w:rPr>
          <w:rFonts w:eastAsiaTheme="minorEastAsia"/>
          <w:color w:val="1D2455"/>
          <w:szCs w:val="20"/>
          <w:lang w:eastAsia="en-AU"/>
        </w:rPr>
        <w:instrText xml:space="preserve"> \* MERGEFORMAT </w:instrText>
      </w:r>
      <w:r w:rsidR="00F76BC9" w:rsidRPr="00FF78AE">
        <w:rPr>
          <w:rFonts w:eastAsiaTheme="minorEastAsia"/>
          <w:color w:val="1D2455"/>
          <w:szCs w:val="20"/>
          <w:lang w:eastAsia="en-AU"/>
        </w:rPr>
      </w:r>
      <w:r w:rsidR="00F76BC9" w:rsidRPr="00FF78AE">
        <w:rPr>
          <w:rFonts w:eastAsiaTheme="minorEastAsia"/>
          <w:color w:val="1D2455"/>
          <w:szCs w:val="20"/>
          <w:lang w:eastAsia="en-AU"/>
        </w:rPr>
        <w:fldChar w:fldCharType="separate"/>
      </w:r>
      <w:r w:rsidR="003C4BC2" w:rsidRPr="003C4BC2">
        <w:rPr>
          <w:rFonts w:eastAsiaTheme="minorEastAsia"/>
          <w:color w:val="1D2455"/>
          <w:szCs w:val="20"/>
          <w:lang w:eastAsia="en-AU"/>
        </w:rPr>
        <w:t>Figure 37</w:t>
      </w:r>
      <w:r w:rsidR="00F76BC9" w:rsidRPr="00FF78AE">
        <w:rPr>
          <w:rFonts w:eastAsiaTheme="minorEastAsia"/>
          <w:color w:val="1D2455"/>
          <w:szCs w:val="20"/>
          <w:lang w:eastAsia="en-AU"/>
        </w:rPr>
        <w:fldChar w:fldCharType="end"/>
      </w:r>
      <w:r>
        <w:rPr>
          <w:lang w:val="en-GB"/>
        </w:rPr>
        <w:t>).</w:t>
      </w:r>
    </w:p>
    <w:p w14:paraId="2AE6E7C7" w14:textId="66D6F1C8" w:rsidR="00FD13E3" w:rsidRPr="00925135" w:rsidRDefault="00FD13E3" w:rsidP="00FD13E3">
      <w:pPr>
        <w:pStyle w:val="TableFigureheading"/>
      </w:pPr>
      <w:bookmarkStart w:id="308" w:name="_Ref96760199"/>
      <w:r>
        <w:t xml:space="preserve">Figure </w:t>
      </w:r>
      <w:r>
        <w:fldChar w:fldCharType="begin"/>
      </w:r>
      <w:r>
        <w:instrText>SEQ Figure \* ARABIC</w:instrText>
      </w:r>
      <w:r>
        <w:fldChar w:fldCharType="separate"/>
      </w:r>
      <w:r w:rsidR="003C4BC2">
        <w:rPr>
          <w:noProof/>
        </w:rPr>
        <w:t>37</w:t>
      </w:r>
      <w:r>
        <w:fldChar w:fldCharType="end"/>
      </w:r>
      <w:bookmarkEnd w:id="308"/>
      <w:r>
        <w:t xml:space="preserve">: Recording of three CVD risk factors (age, cholesterol and blood pressure) among </w:t>
      </w:r>
      <w:r>
        <w:rPr>
          <w:bCs w:val="0"/>
        </w:rPr>
        <w:t xml:space="preserve">HCH </w:t>
      </w:r>
      <w:r w:rsidR="00AE60AC">
        <w:rPr>
          <w:bCs w:val="0"/>
        </w:rPr>
        <w:t>and comparator patients</w:t>
      </w:r>
    </w:p>
    <w:p w14:paraId="35D0D65C" w14:textId="77777777" w:rsidR="00B03197" w:rsidRDefault="00FD13E3" w:rsidP="00B03197">
      <w:pPr>
        <w:pStyle w:val="Chartortablefootnote"/>
        <w:ind w:right="-46"/>
        <w:rPr>
          <w:lang w:val="en-GB"/>
        </w:rPr>
      </w:pPr>
      <w:r>
        <w:rPr>
          <w:noProof/>
        </w:rPr>
        <w:drawing>
          <wp:inline distT="0" distB="0" distL="0" distR="0" wp14:anchorId="613A937B" wp14:editId="50568A2B">
            <wp:extent cx="5150428" cy="3636000"/>
            <wp:effectExtent l="0" t="0" r="0" b="0"/>
            <wp:docPr id="6285" name="Picture 628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 name="Picture 6285" descr="Chart, line chart&#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150428" cy="3636000"/>
                    </a:xfrm>
                    <a:prstGeom prst="rect">
                      <a:avLst/>
                    </a:prstGeom>
                  </pic:spPr>
                </pic:pic>
              </a:graphicData>
            </a:graphic>
          </wp:inline>
        </w:drawing>
      </w:r>
    </w:p>
    <w:p w14:paraId="6BC67BBC" w14:textId="3C747FC3" w:rsidR="009325E5" w:rsidRPr="006F5B60" w:rsidRDefault="00837892" w:rsidP="00837892">
      <w:pPr>
        <w:pStyle w:val="Chartortablefootnote"/>
        <w:spacing w:after="0"/>
        <w:ind w:left="567" w:right="238"/>
        <w:rPr>
          <w:lang w:val="en-GB"/>
        </w:rPr>
      </w:pPr>
      <w:r>
        <w:rPr>
          <w:lang w:val="en-GB"/>
        </w:rPr>
        <w:t>Notes:</w:t>
      </w:r>
      <w:r w:rsidR="00FD13E3">
        <w:rPr>
          <w:lang w:val="en-GB"/>
        </w:rPr>
        <w:t xml:space="preserve"> People with length of follow-up shorter than respective yearly and six-monthly </w:t>
      </w:r>
      <w:r w:rsidR="00A3295A">
        <w:rPr>
          <w:lang w:val="en-GB"/>
        </w:rPr>
        <w:t>measurement period</w:t>
      </w:r>
      <w:r w:rsidR="00FD13E3">
        <w:rPr>
          <w:lang w:val="en-GB"/>
        </w:rPr>
        <w:t xml:space="preserve"> were excluded from analyses.</w:t>
      </w:r>
    </w:p>
    <w:p w14:paraId="5C563B99" w14:textId="73393BAA" w:rsidR="00837892" w:rsidRPr="006F5B60" w:rsidRDefault="00837892" w:rsidP="009325E5">
      <w:pPr>
        <w:pStyle w:val="Chartortablefootnote"/>
        <w:ind w:left="567" w:right="237"/>
        <w:rPr>
          <w:lang w:val="en-GB"/>
        </w:rPr>
      </w:pPr>
      <w:r>
        <w:rPr>
          <w:lang w:val="en-GB"/>
        </w:rPr>
        <w:t xml:space="preserve">Source: Data </w:t>
      </w:r>
      <w:r>
        <w:t>extracted from HCH practices (Pen CS, POLAR, and Sonic) and comparator practices (</w:t>
      </w:r>
      <w:proofErr w:type="spellStart"/>
      <w:r>
        <w:t>MedicineInsight</w:t>
      </w:r>
      <w:proofErr w:type="spellEnd"/>
      <w:r>
        <w:t>).</w:t>
      </w:r>
    </w:p>
    <w:p w14:paraId="7556B293" w14:textId="77777777" w:rsidR="00FD13E3" w:rsidRDefault="00FD13E3" w:rsidP="00FD13E3">
      <w:pPr>
        <w:pStyle w:val="Heading2"/>
      </w:pPr>
      <w:bookmarkStart w:id="309" w:name="_Toc109996722"/>
      <w:r>
        <w:t>Immunisation against influenza</w:t>
      </w:r>
      <w:bookmarkEnd w:id="309"/>
    </w:p>
    <w:p w14:paraId="1A0DA28C" w14:textId="26E171DA" w:rsidR="00FD13E3" w:rsidRDefault="00FD13E3" w:rsidP="00FD13E3">
      <w:pPr>
        <w:rPr>
          <w:lang w:val="en-GB"/>
        </w:rPr>
      </w:pPr>
      <w:r>
        <w:rPr>
          <w:lang w:val="en-GB"/>
        </w:rPr>
        <w:t>O</w:t>
      </w:r>
      <w:r w:rsidRPr="002E73D8">
        <w:rPr>
          <w:lang w:val="en-GB"/>
        </w:rPr>
        <w:t xml:space="preserve">ver half of HCH patients had a record of immunisation against influenza at the HCH practice in the year </w:t>
      </w:r>
      <w:r w:rsidR="0002675D">
        <w:rPr>
          <w:lang w:val="en-GB"/>
        </w:rPr>
        <w:t>before</w:t>
      </w:r>
      <w:r w:rsidRPr="002E73D8">
        <w:rPr>
          <w:lang w:val="en-GB"/>
        </w:rPr>
        <w:t xml:space="preserve"> enrolment (57.</w:t>
      </w:r>
      <w:r>
        <w:rPr>
          <w:lang w:val="en-GB"/>
        </w:rPr>
        <w:t>4</w:t>
      </w:r>
      <w:r w:rsidRPr="002E73D8">
        <w:rPr>
          <w:lang w:val="en-GB"/>
        </w:rPr>
        <w:t>%). This increased to two</w:t>
      </w:r>
      <w:r w:rsidR="001D0F94">
        <w:rPr>
          <w:lang w:val="en-GB"/>
        </w:rPr>
        <w:t xml:space="preserve"> </w:t>
      </w:r>
      <w:r w:rsidRPr="002E73D8">
        <w:rPr>
          <w:lang w:val="en-GB"/>
        </w:rPr>
        <w:t>thirds of HCH patients after one year of enrolment (</w:t>
      </w:r>
      <w:r>
        <w:rPr>
          <w:lang w:val="en-GB"/>
        </w:rPr>
        <w:t>66.2</w:t>
      </w:r>
      <w:r w:rsidRPr="002E73D8">
        <w:rPr>
          <w:lang w:val="en-GB"/>
        </w:rPr>
        <w:t>%) and dropped slightly after two years (</w:t>
      </w:r>
      <w:r>
        <w:rPr>
          <w:lang w:val="en-GB"/>
        </w:rPr>
        <w:t>61.0</w:t>
      </w:r>
      <w:r w:rsidRPr="00767CBE">
        <w:rPr>
          <w:lang w:val="en-GB"/>
        </w:rPr>
        <w:t>%).</w:t>
      </w:r>
    </w:p>
    <w:p w14:paraId="18219321" w14:textId="05ED9B06" w:rsidR="00FD13E3" w:rsidRDefault="00FD13E3" w:rsidP="00FD13E3">
      <w:pPr>
        <w:rPr>
          <w:lang w:val="en-GB"/>
        </w:rPr>
      </w:pPr>
      <w:r w:rsidRPr="22454431">
        <w:rPr>
          <w:lang w:val="en-GB"/>
        </w:rPr>
        <w:t>Comparator pat</w:t>
      </w:r>
      <w:r>
        <w:rPr>
          <w:lang w:val="en-GB"/>
        </w:rPr>
        <w:t>i</w:t>
      </w:r>
      <w:r w:rsidRPr="22454431">
        <w:rPr>
          <w:lang w:val="en-GB"/>
        </w:rPr>
        <w:t xml:space="preserve">ents were matched so that </w:t>
      </w:r>
      <w:r w:rsidRPr="00767CBE">
        <w:rPr>
          <w:lang w:val="en-GB"/>
        </w:rPr>
        <w:t xml:space="preserve">the proportion with a record of </w:t>
      </w:r>
      <w:r>
        <w:rPr>
          <w:lang w:val="en-GB"/>
        </w:rPr>
        <w:t>i</w:t>
      </w:r>
      <w:r w:rsidRPr="00767CBE">
        <w:rPr>
          <w:lang w:val="en-GB"/>
        </w:rPr>
        <w:t xml:space="preserve">nfluenza </w:t>
      </w:r>
      <w:r w:rsidRPr="0D264D8F">
        <w:rPr>
          <w:lang w:val="en-GB"/>
        </w:rPr>
        <w:t xml:space="preserve">immunisation was similar </w:t>
      </w:r>
      <w:r w:rsidRPr="22454431">
        <w:rPr>
          <w:lang w:val="en-GB"/>
        </w:rPr>
        <w:t xml:space="preserve">to HCH </w:t>
      </w:r>
      <w:r w:rsidRPr="4215010B">
        <w:rPr>
          <w:lang w:val="en-GB"/>
        </w:rPr>
        <w:t>patients</w:t>
      </w:r>
      <w:r w:rsidRPr="22454431">
        <w:rPr>
          <w:lang w:val="en-GB"/>
        </w:rPr>
        <w:t xml:space="preserve"> </w:t>
      </w:r>
      <w:r>
        <w:rPr>
          <w:lang w:val="en-GB"/>
        </w:rPr>
        <w:t>in the pre-enrolment period</w:t>
      </w:r>
      <w:r w:rsidRPr="4215010B">
        <w:rPr>
          <w:lang w:val="en-GB"/>
        </w:rPr>
        <w:t>. However</w:t>
      </w:r>
      <w:r w:rsidRPr="0D264D8F">
        <w:rPr>
          <w:lang w:val="en-GB"/>
        </w:rPr>
        <w:t xml:space="preserve">, </w:t>
      </w:r>
      <w:r w:rsidRPr="4215010B">
        <w:rPr>
          <w:lang w:val="en-GB"/>
        </w:rPr>
        <w:t>significantly</w:t>
      </w:r>
      <w:r w:rsidRPr="0D264D8F">
        <w:rPr>
          <w:lang w:val="en-GB"/>
        </w:rPr>
        <w:t xml:space="preserve"> lower proportions</w:t>
      </w:r>
      <w:r w:rsidRPr="00767CBE">
        <w:rPr>
          <w:lang w:val="en-GB"/>
        </w:rPr>
        <w:t xml:space="preserve"> of </w:t>
      </w:r>
      <w:r w:rsidR="000E16C4">
        <w:rPr>
          <w:lang w:val="en-GB"/>
        </w:rPr>
        <w:t>comparator</w:t>
      </w:r>
      <w:r w:rsidRPr="0D264D8F">
        <w:rPr>
          <w:lang w:val="en-GB"/>
        </w:rPr>
        <w:t xml:space="preserve"> </w:t>
      </w:r>
      <w:r w:rsidRPr="00767CBE">
        <w:rPr>
          <w:lang w:val="en-GB"/>
        </w:rPr>
        <w:t xml:space="preserve">patients had a record of immunisation against influenza at </w:t>
      </w:r>
      <w:r w:rsidRPr="0D264D8F">
        <w:rPr>
          <w:lang w:val="en-GB"/>
        </w:rPr>
        <w:t xml:space="preserve">both </w:t>
      </w:r>
      <w:r w:rsidRPr="00767CBE">
        <w:rPr>
          <w:lang w:val="en-GB"/>
        </w:rPr>
        <w:t xml:space="preserve">12 months </w:t>
      </w:r>
      <w:r>
        <w:rPr>
          <w:lang w:val="en-GB"/>
        </w:rPr>
        <w:t xml:space="preserve">(55.3%) </w:t>
      </w:r>
      <w:r w:rsidRPr="00767CBE">
        <w:rPr>
          <w:lang w:val="en-GB"/>
        </w:rPr>
        <w:t xml:space="preserve">and 24 months </w:t>
      </w:r>
      <w:r w:rsidRPr="0D264D8F">
        <w:rPr>
          <w:lang w:val="en-GB"/>
        </w:rPr>
        <w:t xml:space="preserve">(51.1%) </w:t>
      </w:r>
      <w:r w:rsidRPr="00767CBE" w:rsidDel="00A339E8">
        <w:rPr>
          <w:lang w:val="en-GB"/>
        </w:rPr>
        <w:t>following enrolment</w:t>
      </w:r>
      <w:r>
        <w:rPr>
          <w:lang w:val="en-GB"/>
        </w:rPr>
        <w:t xml:space="preserve"> (</w:t>
      </w:r>
      <w:r w:rsidRPr="00FF78AE">
        <w:rPr>
          <w:rFonts w:eastAsiaTheme="minorEastAsia"/>
          <w:color w:val="1D2455"/>
          <w:szCs w:val="20"/>
          <w:lang w:eastAsia="en-AU"/>
        </w:rPr>
        <w:fldChar w:fldCharType="begin"/>
      </w:r>
      <w:r w:rsidRPr="00FF78AE">
        <w:rPr>
          <w:rFonts w:eastAsiaTheme="minorEastAsia"/>
          <w:color w:val="1D2455"/>
          <w:szCs w:val="20"/>
          <w:lang w:eastAsia="en-AU"/>
        </w:rPr>
        <w:instrText xml:space="preserve"> REF _Ref96760280 \h </w:instrText>
      </w:r>
      <w:r w:rsidR="00F96FBA" w:rsidRPr="00FF78AE">
        <w:rPr>
          <w:rFonts w:eastAsiaTheme="minorEastAsia"/>
          <w:color w:val="1D2455"/>
          <w:szCs w:val="20"/>
          <w:lang w:eastAsia="en-AU"/>
        </w:rPr>
        <w:instrText xml:space="preserve"> \* MERGEFORMAT </w:instrText>
      </w:r>
      <w:r w:rsidRPr="00FF78AE">
        <w:rPr>
          <w:rFonts w:eastAsiaTheme="minorEastAsia"/>
          <w:color w:val="1D2455"/>
          <w:szCs w:val="20"/>
          <w:lang w:eastAsia="en-AU"/>
        </w:rPr>
      </w:r>
      <w:r w:rsidRPr="00FF78AE">
        <w:rPr>
          <w:rFonts w:eastAsiaTheme="minorEastAsia"/>
          <w:color w:val="1D2455"/>
          <w:szCs w:val="20"/>
          <w:lang w:eastAsia="en-AU"/>
        </w:rPr>
        <w:fldChar w:fldCharType="separate"/>
      </w:r>
      <w:r w:rsidR="003C4BC2" w:rsidRPr="003C4BC2">
        <w:rPr>
          <w:rFonts w:eastAsiaTheme="minorEastAsia"/>
          <w:color w:val="1D2455"/>
          <w:szCs w:val="20"/>
          <w:lang w:eastAsia="en-AU"/>
        </w:rPr>
        <w:t>Figure 38</w:t>
      </w:r>
      <w:r w:rsidRPr="00FF78AE">
        <w:rPr>
          <w:rFonts w:eastAsiaTheme="minorEastAsia"/>
          <w:color w:val="1D2455"/>
          <w:szCs w:val="20"/>
          <w:lang w:eastAsia="en-AU"/>
        </w:rPr>
        <w:fldChar w:fldCharType="end"/>
      </w:r>
      <w:r>
        <w:rPr>
          <w:lang w:val="en-GB"/>
        </w:rPr>
        <w:t>)</w:t>
      </w:r>
      <w:r w:rsidRPr="00767CBE">
        <w:rPr>
          <w:lang w:val="en-GB"/>
        </w:rPr>
        <w:t>.</w:t>
      </w:r>
    </w:p>
    <w:p w14:paraId="49F3DF2E" w14:textId="6F488B02" w:rsidR="00987B4B" w:rsidRDefault="00987B4B">
      <w:pPr>
        <w:spacing w:after="160" w:line="259" w:lineRule="auto"/>
        <w:rPr>
          <w:lang w:val="en-GB"/>
        </w:rPr>
      </w:pPr>
      <w:r>
        <w:rPr>
          <w:lang w:val="en-GB"/>
        </w:rPr>
        <w:br w:type="page"/>
      </w:r>
    </w:p>
    <w:p w14:paraId="5B160A4A" w14:textId="736B40F8" w:rsidR="00FD13E3" w:rsidRPr="00925135" w:rsidRDefault="00FD13E3" w:rsidP="00FD13E3">
      <w:pPr>
        <w:pStyle w:val="TableFigureheading"/>
      </w:pPr>
      <w:bookmarkStart w:id="310" w:name="_Ref96760280"/>
      <w:r>
        <w:lastRenderedPageBreak/>
        <w:t xml:space="preserve">Figure </w:t>
      </w:r>
      <w:r>
        <w:fldChar w:fldCharType="begin"/>
      </w:r>
      <w:r>
        <w:instrText>SEQ Figure \* ARABIC</w:instrText>
      </w:r>
      <w:r>
        <w:fldChar w:fldCharType="separate"/>
      </w:r>
      <w:r w:rsidR="003C4BC2">
        <w:rPr>
          <w:noProof/>
        </w:rPr>
        <w:t>38</w:t>
      </w:r>
      <w:r>
        <w:fldChar w:fldCharType="end"/>
      </w:r>
      <w:bookmarkEnd w:id="310"/>
      <w:r>
        <w:t>: Immunisation against influenza</w:t>
      </w:r>
      <w:r w:rsidR="00AE60AC">
        <w:t>,</w:t>
      </w:r>
      <w:r>
        <w:t xml:space="preserve"> </w:t>
      </w:r>
      <w:r>
        <w:rPr>
          <w:bCs w:val="0"/>
        </w:rPr>
        <w:t xml:space="preserve">HCH </w:t>
      </w:r>
      <w:r w:rsidR="00AE60AC">
        <w:rPr>
          <w:bCs w:val="0"/>
        </w:rPr>
        <w:t xml:space="preserve">and comparator </w:t>
      </w:r>
      <w:r>
        <w:rPr>
          <w:bCs w:val="0"/>
        </w:rPr>
        <w:t>patients</w:t>
      </w:r>
    </w:p>
    <w:p w14:paraId="7795A6A6" w14:textId="77777777" w:rsidR="00FD13E3" w:rsidRDefault="00FD13E3" w:rsidP="00FD13E3">
      <w:pPr>
        <w:pStyle w:val="Chartortablefootnote"/>
        <w:ind w:left="720" w:right="662"/>
        <w:rPr>
          <w:lang w:val="en-GB"/>
        </w:rPr>
      </w:pPr>
      <w:r>
        <w:rPr>
          <w:noProof/>
        </w:rPr>
        <w:drawing>
          <wp:inline distT="0" distB="0" distL="0" distR="0" wp14:anchorId="5DDD6BE6" wp14:editId="428283DB">
            <wp:extent cx="4488021" cy="3590925"/>
            <wp:effectExtent l="0" t="0" r="0" b="0"/>
            <wp:docPr id="6296" name="Picture 629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6" name="Picture 6296" descr="Chart, line chart&#10;&#10;Description automatically generated"/>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491997" cy="3594107"/>
                    </a:xfrm>
                    <a:prstGeom prst="rect">
                      <a:avLst/>
                    </a:prstGeom>
                  </pic:spPr>
                </pic:pic>
              </a:graphicData>
            </a:graphic>
          </wp:inline>
        </w:drawing>
      </w:r>
    </w:p>
    <w:p w14:paraId="4327327A" w14:textId="7765C630" w:rsidR="00FD13E3" w:rsidRDefault="00837892" w:rsidP="00837892">
      <w:pPr>
        <w:pStyle w:val="Chartortablefootnote"/>
        <w:spacing w:after="0"/>
        <w:ind w:left="720" w:right="663"/>
        <w:rPr>
          <w:lang w:val="en-GB"/>
        </w:rPr>
      </w:pPr>
      <w:r>
        <w:rPr>
          <w:lang w:val="en-GB"/>
        </w:rPr>
        <w:t>Notes:</w:t>
      </w:r>
      <w:r w:rsidR="00FD13E3">
        <w:rPr>
          <w:lang w:val="en-GB"/>
        </w:rPr>
        <w:t xml:space="preserve"> </w:t>
      </w:r>
      <w:r w:rsidR="00FD13E3" w:rsidRPr="003511EE">
        <w:rPr>
          <w:lang w:val="en-GB"/>
        </w:rPr>
        <w:t xml:space="preserve">People with length of follow-up shorter than respective </w:t>
      </w:r>
      <w:r w:rsidR="00FD13E3">
        <w:rPr>
          <w:lang w:val="en-GB"/>
        </w:rPr>
        <w:t>anniversaries were excluded from analyses.</w:t>
      </w:r>
    </w:p>
    <w:p w14:paraId="16711082" w14:textId="0A930274" w:rsidR="00837892" w:rsidRDefault="00837892" w:rsidP="00FD13E3">
      <w:pPr>
        <w:pStyle w:val="Chartortablefootnote"/>
        <w:ind w:left="720" w:right="662"/>
      </w:pPr>
      <w:r w:rsidRPr="003511EE">
        <w:rPr>
          <w:lang w:val="en-GB"/>
        </w:rPr>
        <w:t xml:space="preserve">Source: Data </w:t>
      </w:r>
      <w:r w:rsidRPr="003511EE">
        <w:t>extracted from 117 HCH practices (Pen CS, POLAR, and Sonic) and 403 comparator</w:t>
      </w:r>
      <w:r>
        <w:t xml:space="preserve"> </w:t>
      </w:r>
      <w:r w:rsidRPr="003511EE">
        <w:t>practices (</w:t>
      </w:r>
      <w:proofErr w:type="spellStart"/>
      <w:r w:rsidRPr="003511EE">
        <w:t>MedicineInsight</w:t>
      </w:r>
      <w:proofErr w:type="spellEnd"/>
      <w:r w:rsidRPr="003511EE">
        <w:t>).</w:t>
      </w:r>
    </w:p>
    <w:p w14:paraId="0E7FF727" w14:textId="68D7328C" w:rsidR="00FD13E3" w:rsidRPr="009543BB" w:rsidRDefault="00084A55" w:rsidP="00FD13E3">
      <w:pPr>
        <w:pStyle w:val="Heading2"/>
        <w:rPr>
          <w:szCs w:val="32"/>
        </w:rPr>
      </w:pPr>
      <w:bookmarkStart w:id="311" w:name="_Ref103771832"/>
      <w:bookmarkStart w:id="312" w:name="_Ref103771837"/>
      <w:bookmarkStart w:id="313" w:name="_Toc109996723"/>
      <w:r>
        <w:t>Chan</w:t>
      </w:r>
      <w:r w:rsidR="00926E94">
        <w:t>ges in blood pressure</w:t>
      </w:r>
      <w:r w:rsidR="00324016">
        <w:t>, glycaemic control</w:t>
      </w:r>
      <w:r w:rsidR="00926E94">
        <w:t xml:space="preserve"> and</w:t>
      </w:r>
      <w:r w:rsidR="00324016">
        <w:t xml:space="preserve"> renal function</w:t>
      </w:r>
      <w:bookmarkEnd w:id="311"/>
      <w:bookmarkEnd w:id="312"/>
      <w:bookmarkEnd w:id="313"/>
    </w:p>
    <w:p w14:paraId="5E394EE2" w14:textId="4ABB9880" w:rsidR="00FD13E3" w:rsidRDefault="00FD13E3" w:rsidP="00FD13E3">
      <w:pPr>
        <w:rPr>
          <w:rFonts w:eastAsia="Muli" w:cs="Muli"/>
        </w:rPr>
      </w:pPr>
      <w:r>
        <w:rPr>
          <w:lang w:val="en-GB"/>
        </w:rPr>
        <w:t xml:space="preserve">Changes in value of the most recent blood pressure and HbA1c </w:t>
      </w:r>
      <w:r w:rsidR="0071460D">
        <w:rPr>
          <w:lang w:val="en-GB"/>
        </w:rPr>
        <w:t>recording</w:t>
      </w:r>
      <w:r>
        <w:rPr>
          <w:lang w:val="en-GB"/>
        </w:rPr>
        <w:t xml:space="preserve"> were examined amongst patient with type 2 diabetes while changes in eGFR results were assessed in those with type 2 diabetes or cardiovascular disease. </w:t>
      </w:r>
      <w:r w:rsidRPr="00D640E9">
        <w:rPr>
          <w:lang w:val="en-GB"/>
        </w:rPr>
        <w:t xml:space="preserve">Overall, </w:t>
      </w:r>
      <w:r>
        <w:rPr>
          <w:lang w:val="en-GB"/>
        </w:rPr>
        <w:t>most</w:t>
      </w:r>
      <w:r w:rsidRPr="00D640E9">
        <w:rPr>
          <w:lang w:val="en-GB"/>
        </w:rPr>
        <w:t xml:space="preserve"> HCH patients </w:t>
      </w:r>
      <w:r>
        <w:rPr>
          <w:lang w:val="en-GB"/>
        </w:rPr>
        <w:t xml:space="preserve">with type 2 diabetes did not have clinical measures within typical target </w:t>
      </w:r>
      <w:r w:rsidRPr="00D640E9">
        <w:rPr>
          <w:lang w:val="en-GB"/>
        </w:rPr>
        <w:t>levels</w:t>
      </w:r>
      <w:r>
        <w:rPr>
          <w:lang w:val="en-GB"/>
        </w:rPr>
        <w:t xml:space="preserve"> for blood pressure and glycaemic </w:t>
      </w:r>
      <w:r w:rsidRPr="425717DA">
        <w:rPr>
          <w:lang w:val="en-GB"/>
        </w:rPr>
        <w:t>control</w:t>
      </w:r>
      <w:r w:rsidRPr="30AD103A">
        <w:rPr>
          <w:lang w:val="en-GB"/>
        </w:rPr>
        <w:t xml:space="preserve"> </w:t>
      </w:r>
      <w:r w:rsidR="0002675D">
        <w:rPr>
          <w:lang w:val="en-GB"/>
        </w:rPr>
        <w:t>before</w:t>
      </w:r>
      <w:r w:rsidRPr="30AD103A">
        <w:rPr>
          <w:lang w:val="en-GB"/>
        </w:rPr>
        <w:t xml:space="preserve"> enrolment</w:t>
      </w:r>
      <w:r>
        <w:rPr>
          <w:lang w:val="en-GB"/>
        </w:rPr>
        <w:t xml:space="preserve">. Among those who had a </w:t>
      </w:r>
      <w:r w:rsidR="0071460D">
        <w:rPr>
          <w:lang w:val="en-GB"/>
        </w:rPr>
        <w:t>measure</w:t>
      </w:r>
      <w:r w:rsidRPr="00D640E9" w:rsidDel="00994BD5">
        <w:rPr>
          <w:lang w:val="en-GB"/>
        </w:rPr>
        <w:t>,</w:t>
      </w:r>
      <w:r w:rsidRPr="00D640E9">
        <w:rPr>
          <w:lang w:val="en-GB"/>
        </w:rPr>
        <w:t xml:space="preserve"> less than half </w:t>
      </w:r>
      <w:r w:rsidRPr="11335350">
        <w:rPr>
          <w:lang w:val="en-GB"/>
        </w:rPr>
        <w:t>(</w:t>
      </w:r>
      <w:r>
        <w:rPr>
          <w:lang w:val="en-GB"/>
        </w:rPr>
        <w:t>40.2</w:t>
      </w:r>
      <w:r w:rsidRPr="11335350">
        <w:rPr>
          <w:lang w:val="en-GB"/>
        </w:rPr>
        <w:t>%)</w:t>
      </w:r>
      <w:r>
        <w:rPr>
          <w:lang w:val="en-GB"/>
        </w:rPr>
        <w:t xml:space="preserve"> </w:t>
      </w:r>
      <w:r w:rsidRPr="00D640E9">
        <w:rPr>
          <w:lang w:val="en-GB"/>
        </w:rPr>
        <w:t xml:space="preserve">had blood pressure </w:t>
      </w:r>
      <w:r w:rsidR="009738BB">
        <w:rPr>
          <w:lang w:val="en-GB"/>
        </w:rPr>
        <w:t>lower</w:t>
      </w:r>
      <w:r w:rsidRPr="0D264D8F">
        <w:rPr>
          <w:rFonts w:eastAsia="Muli" w:cs="Muli"/>
        </w:rPr>
        <w:t xml:space="preserve"> than 130/80 mmHg</w:t>
      </w:r>
      <w:r w:rsidRPr="11335350">
        <w:rPr>
          <w:rFonts w:eastAsia="Muli" w:cs="Muli"/>
        </w:rPr>
        <w:t xml:space="preserve"> and </w:t>
      </w:r>
      <w:r w:rsidRPr="0D264D8F">
        <w:rPr>
          <w:rFonts w:eastAsia="Muli" w:cs="Muli"/>
        </w:rPr>
        <w:t xml:space="preserve">a little over half </w:t>
      </w:r>
      <w:r w:rsidRPr="11335350">
        <w:rPr>
          <w:rFonts w:eastAsia="Muli" w:cs="Muli"/>
        </w:rPr>
        <w:t>(</w:t>
      </w:r>
      <w:r>
        <w:rPr>
          <w:rFonts w:eastAsia="Muli" w:cs="Muli"/>
        </w:rPr>
        <w:t>56.1</w:t>
      </w:r>
      <w:r w:rsidRPr="11335350">
        <w:rPr>
          <w:rFonts w:eastAsia="Muli" w:cs="Muli"/>
        </w:rPr>
        <w:t xml:space="preserve">%) </w:t>
      </w:r>
      <w:r w:rsidRPr="0D264D8F">
        <w:rPr>
          <w:rFonts w:eastAsia="Muli" w:cs="Muli"/>
        </w:rPr>
        <w:t xml:space="preserve">had HbA1c </w:t>
      </w:r>
      <w:r>
        <w:rPr>
          <w:rFonts w:eastAsia="Muli" w:cs="Muli"/>
        </w:rPr>
        <w:t>≤</w:t>
      </w:r>
      <w:r w:rsidRPr="0D264D8F">
        <w:rPr>
          <w:rFonts w:eastAsia="Muli" w:cs="Muli"/>
        </w:rPr>
        <w:t xml:space="preserve">7%. Among </w:t>
      </w:r>
      <w:r w:rsidRPr="423EEB9C">
        <w:rPr>
          <w:rFonts w:eastAsia="Muli" w:cs="Muli"/>
        </w:rPr>
        <w:t>HCH patients</w:t>
      </w:r>
      <w:r w:rsidRPr="0D264D8F">
        <w:rPr>
          <w:rFonts w:eastAsia="Muli" w:cs="Muli"/>
        </w:rPr>
        <w:t xml:space="preserve"> with type 2 diabetes or cardiovascular disease about a third </w:t>
      </w:r>
      <w:r w:rsidRPr="423EEB9C">
        <w:rPr>
          <w:rFonts w:eastAsia="Muli" w:cs="Muli"/>
        </w:rPr>
        <w:t>(</w:t>
      </w:r>
      <w:r>
        <w:rPr>
          <w:rFonts w:eastAsia="Muli" w:cs="Muli"/>
        </w:rPr>
        <w:t>35.1</w:t>
      </w:r>
      <w:r w:rsidRPr="423EEB9C">
        <w:rPr>
          <w:rFonts w:eastAsia="Muli" w:cs="Muli"/>
        </w:rPr>
        <w:t xml:space="preserve">%) </w:t>
      </w:r>
      <w:r w:rsidRPr="0D264D8F">
        <w:rPr>
          <w:rFonts w:eastAsia="Muli" w:cs="Muli"/>
        </w:rPr>
        <w:t>had reduction in estimated glomerular filtration rate (eGFR &lt;60 mL/min/1.73m</w:t>
      </w:r>
      <w:r w:rsidRPr="0D264D8F">
        <w:rPr>
          <w:rFonts w:eastAsia="Muli" w:cs="Muli"/>
          <w:vertAlign w:val="superscript"/>
        </w:rPr>
        <w:t>2</w:t>
      </w:r>
      <w:r w:rsidRPr="425717DA">
        <w:rPr>
          <w:rFonts w:eastAsia="Muli" w:cs="Muli"/>
        </w:rPr>
        <w:t>).</w:t>
      </w:r>
      <w:r w:rsidRPr="0D264D8F">
        <w:rPr>
          <w:rFonts w:eastAsia="Muli" w:cs="Muli"/>
        </w:rPr>
        <w:t xml:space="preserve"> These reflect complex chronic health circumstances among those enrolled into HCH program.</w:t>
      </w:r>
    </w:p>
    <w:p w14:paraId="57942B63" w14:textId="5E3F043A" w:rsidR="00FD13E3" w:rsidRDefault="00FD13E3" w:rsidP="00FD13E3">
      <w:pPr>
        <w:rPr>
          <w:rFonts w:eastAsia="Muli" w:cs="Muli"/>
        </w:rPr>
      </w:pPr>
      <w:r w:rsidRPr="00EE1B17">
        <w:rPr>
          <w:lang w:val="en-GB"/>
        </w:rPr>
        <w:t xml:space="preserve">Not all HCH patients had new test results recorded throughout the period of the evaluation (see </w:t>
      </w:r>
      <w:r w:rsidR="00CA495C">
        <w:rPr>
          <w:lang w:val="en-GB"/>
        </w:rPr>
        <w:t>“</w:t>
      </w:r>
      <w:r w:rsidRPr="00EE1B17">
        <w:rPr>
          <w:lang w:val="en-GB"/>
        </w:rPr>
        <w:t>Monitoring of clinical measures</w:t>
      </w:r>
      <w:r w:rsidR="00CA495C">
        <w:rPr>
          <w:lang w:val="en-GB"/>
        </w:rPr>
        <w:t>”</w:t>
      </w:r>
      <w:r w:rsidRPr="00EE1B17">
        <w:rPr>
          <w:lang w:val="en-GB"/>
        </w:rPr>
        <w:t xml:space="preserve"> above). As such changes in these clinical measures need to be interpreted with caution. </w:t>
      </w:r>
      <w:r w:rsidRPr="423EEB9C">
        <w:rPr>
          <w:rFonts w:eastAsia="Muli" w:cs="Muli"/>
        </w:rPr>
        <w:t>It is possible, for example, that patients with chronic conditions or outlying values in these tests (</w:t>
      </w:r>
      <w:r w:rsidR="0010747B">
        <w:rPr>
          <w:rFonts w:eastAsia="Muli" w:cs="Muli"/>
        </w:rPr>
        <w:t>for example,</w:t>
      </w:r>
      <w:r w:rsidRPr="423EEB9C">
        <w:rPr>
          <w:rFonts w:eastAsia="Muli" w:cs="Muli"/>
        </w:rPr>
        <w:t xml:space="preserve"> uncontrolled hypertension) were those selected for continued monitoring and testing (</w:t>
      </w:r>
      <w:r w:rsidR="0010747B">
        <w:rPr>
          <w:rFonts w:eastAsia="Muli" w:cs="Muli"/>
        </w:rPr>
        <w:t>for example,</w:t>
      </w:r>
      <w:r w:rsidRPr="423EEB9C">
        <w:rPr>
          <w:rFonts w:eastAsia="Muli" w:cs="Muli"/>
        </w:rPr>
        <w:t xml:space="preserve"> more regular blood pressure monitoring). This may have particularly been the case during COVID-19, when patients with less complicated chronic conditions may have received remote models of care (</w:t>
      </w:r>
      <w:r w:rsidR="0010747B">
        <w:rPr>
          <w:rFonts w:eastAsia="Muli" w:cs="Muli"/>
        </w:rPr>
        <w:t>for example,</w:t>
      </w:r>
      <w:r w:rsidRPr="423EEB9C">
        <w:rPr>
          <w:rFonts w:eastAsia="Muli" w:cs="Muli"/>
        </w:rPr>
        <w:t xml:space="preserve"> telehealth services).</w:t>
      </w:r>
    </w:p>
    <w:p w14:paraId="6A515565" w14:textId="0DF0039B" w:rsidR="00FD13E3" w:rsidRPr="0033186B" w:rsidRDefault="00FD13E3" w:rsidP="00FD13E3">
      <w:pPr>
        <w:rPr>
          <w:rFonts w:eastAsia="Muli" w:cs="Muli"/>
          <w:szCs w:val="20"/>
        </w:rPr>
      </w:pPr>
      <w:r w:rsidRPr="1EFB871D">
        <w:rPr>
          <w:lang w:val="en-GB"/>
        </w:rPr>
        <w:lastRenderedPageBreak/>
        <w:t xml:space="preserve">Comparator patients were matched with HCH </w:t>
      </w:r>
      <w:r w:rsidR="005E3218" w:rsidRPr="1EFB871D">
        <w:rPr>
          <w:lang w:val="en-GB"/>
        </w:rPr>
        <w:t>patients,</w:t>
      </w:r>
      <w:r w:rsidRPr="1EFB871D">
        <w:rPr>
          <w:lang w:val="en-GB"/>
        </w:rPr>
        <w:t xml:space="preserve"> so they </w:t>
      </w:r>
      <w:r w:rsidRPr="0E194EA2">
        <w:rPr>
          <w:lang w:val="en-GB"/>
        </w:rPr>
        <w:t>had</w:t>
      </w:r>
      <w:r w:rsidRPr="1EFB871D">
        <w:rPr>
          <w:lang w:val="en-GB"/>
        </w:rPr>
        <w:t xml:space="preserve"> similar levels of recording of these clinical measures in the pre-</w:t>
      </w:r>
      <w:r w:rsidRPr="3F6BA445">
        <w:rPr>
          <w:lang w:val="en-GB"/>
        </w:rPr>
        <w:t>enrolment</w:t>
      </w:r>
      <w:r w:rsidRPr="00887E8A">
        <w:rPr>
          <w:lang w:val="en-GB"/>
        </w:rPr>
        <w:t xml:space="preserve"> </w:t>
      </w:r>
      <w:r w:rsidRPr="1EFB871D">
        <w:rPr>
          <w:lang w:val="en-GB"/>
        </w:rPr>
        <w:t xml:space="preserve">period, as well as similar values for the results of these tests. As with HCH patients, not all </w:t>
      </w:r>
      <w:r w:rsidR="000E16C4">
        <w:rPr>
          <w:lang w:val="en-GB"/>
        </w:rPr>
        <w:t>comparator</w:t>
      </w:r>
      <w:r w:rsidRPr="1EFB871D">
        <w:rPr>
          <w:lang w:val="en-GB"/>
        </w:rPr>
        <w:t xml:space="preserve"> patients had new tests recorded throughout the period of the evaluation, and so changes in the values of tests recorded must be interpreted with caution. Broadly, </w:t>
      </w:r>
      <w:r w:rsidR="000E16C4">
        <w:rPr>
          <w:lang w:val="en-GB"/>
        </w:rPr>
        <w:t>comparator</w:t>
      </w:r>
      <w:r w:rsidRPr="1EFB871D">
        <w:rPr>
          <w:lang w:val="en-GB"/>
        </w:rPr>
        <w:t xml:space="preserve"> patients had only </w:t>
      </w:r>
      <w:r w:rsidRPr="39FE6B33">
        <w:rPr>
          <w:lang w:val="en-GB"/>
        </w:rPr>
        <w:t>small</w:t>
      </w:r>
      <w:r w:rsidRPr="1EFB871D">
        <w:rPr>
          <w:lang w:val="en-GB"/>
        </w:rPr>
        <w:t xml:space="preserve"> changes in the recorded values of test results over the follow-up period, which were not always consistent with </w:t>
      </w:r>
      <w:r w:rsidRPr="4B79AEE9" w:rsidDel="00233043">
        <w:rPr>
          <w:lang w:val="en-GB"/>
        </w:rPr>
        <w:t>th</w:t>
      </w:r>
      <w:r w:rsidRPr="4B79AEE9">
        <w:rPr>
          <w:lang w:val="en-GB"/>
        </w:rPr>
        <w:t>ose</w:t>
      </w:r>
      <w:r w:rsidRPr="1EFB871D">
        <w:rPr>
          <w:lang w:val="en-GB"/>
        </w:rPr>
        <w:t xml:space="preserve"> seen for HCH patients. </w:t>
      </w:r>
    </w:p>
    <w:p w14:paraId="4D45FB20" w14:textId="77777777" w:rsidR="00FD13E3" w:rsidRDefault="00FD13E3" w:rsidP="00FD13E3">
      <w:pPr>
        <w:pStyle w:val="Heading3"/>
      </w:pPr>
      <w:r>
        <w:t>Blood pressure test results</w:t>
      </w:r>
    </w:p>
    <w:p w14:paraId="10BFE8FF" w14:textId="19840074" w:rsidR="00FD13E3" w:rsidRDefault="00FD13E3" w:rsidP="00FD13E3">
      <w:pPr>
        <w:rPr>
          <w:rFonts w:eastAsia="Muli" w:cs="Muli"/>
          <w:szCs w:val="20"/>
        </w:rPr>
      </w:pPr>
      <w:r w:rsidRPr="000805AB">
        <w:rPr>
          <w:lang w:val="en-GB"/>
        </w:rPr>
        <w:t xml:space="preserve">Among HCH patients with a diagnosis of type 2 diabetes, annual recording of blood pressure was high in the year </w:t>
      </w:r>
      <w:r w:rsidR="0002675D">
        <w:rPr>
          <w:lang w:val="en-GB"/>
        </w:rPr>
        <w:t>before</w:t>
      </w:r>
      <w:r w:rsidRPr="000805AB">
        <w:rPr>
          <w:lang w:val="en-GB"/>
        </w:rPr>
        <w:t xml:space="preserve"> enrolment (89.7%) and remained at both </w:t>
      </w:r>
      <w:r>
        <w:rPr>
          <w:lang w:val="en-GB"/>
        </w:rPr>
        <w:t xml:space="preserve">year </w:t>
      </w:r>
      <w:r w:rsidRPr="000805AB">
        <w:rPr>
          <w:lang w:val="en-GB"/>
        </w:rPr>
        <w:t xml:space="preserve">one and </w:t>
      </w:r>
      <w:r>
        <w:rPr>
          <w:lang w:val="en-GB"/>
        </w:rPr>
        <w:t xml:space="preserve">year </w:t>
      </w:r>
      <w:r w:rsidRPr="000805AB">
        <w:rPr>
          <w:lang w:val="en-GB"/>
        </w:rPr>
        <w:t xml:space="preserve">two following enrolment. </w:t>
      </w:r>
      <w:r>
        <w:rPr>
          <w:lang w:val="en-GB"/>
        </w:rPr>
        <w:t>Comparator patients with type 2 diabetes were matched with HCH patients on the recording of blood pressure in the pre-enrolment period. Comparator patients had significantly lower p</w:t>
      </w:r>
      <w:r w:rsidRPr="00C77103">
        <w:rPr>
          <w:lang w:val="en-GB"/>
        </w:rPr>
        <w:t xml:space="preserve">roportions </w:t>
      </w:r>
      <w:r>
        <w:rPr>
          <w:lang w:val="en-GB"/>
        </w:rPr>
        <w:t xml:space="preserve">having </w:t>
      </w:r>
      <w:r w:rsidRPr="00C77103">
        <w:rPr>
          <w:lang w:val="en-GB"/>
        </w:rPr>
        <w:t xml:space="preserve">blood pressure recorded </w:t>
      </w:r>
      <w:r>
        <w:rPr>
          <w:lang w:val="en-GB"/>
        </w:rPr>
        <w:t>during the follow-up period</w:t>
      </w:r>
      <w:r w:rsidRPr="1A0B3423">
        <w:rPr>
          <w:lang w:val="en-GB"/>
        </w:rPr>
        <w:t xml:space="preserve"> </w:t>
      </w:r>
      <w:r>
        <w:rPr>
          <w:rFonts w:eastAsia="Muli" w:cs="Muli"/>
          <w:szCs w:val="20"/>
        </w:rPr>
        <w:t>(</w:t>
      </w:r>
      <w:r w:rsidRPr="00FF78AE">
        <w:rPr>
          <w:rFonts w:eastAsiaTheme="minorEastAsia"/>
          <w:color w:val="1D2455"/>
          <w:szCs w:val="20"/>
          <w:lang w:eastAsia="en-AU"/>
        </w:rPr>
        <w:fldChar w:fldCharType="begin"/>
      </w:r>
      <w:r w:rsidRPr="00FF78AE">
        <w:rPr>
          <w:rFonts w:eastAsiaTheme="minorEastAsia"/>
          <w:color w:val="1D2455"/>
          <w:szCs w:val="20"/>
          <w:lang w:eastAsia="en-AU"/>
        </w:rPr>
        <w:instrText xml:space="preserve"> REF _Ref96760557 \h </w:instrText>
      </w:r>
      <w:r w:rsidR="00F96FBA" w:rsidRPr="00FF78AE">
        <w:rPr>
          <w:rFonts w:eastAsiaTheme="minorEastAsia"/>
          <w:color w:val="1D2455"/>
          <w:szCs w:val="20"/>
          <w:lang w:eastAsia="en-AU"/>
        </w:rPr>
        <w:instrText xml:space="preserve"> \* MERGEFORMAT </w:instrText>
      </w:r>
      <w:r w:rsidRPr="00FF78AE">
        <w:rPr>
          <w:rFonts w:eastAsiaTheme="minorEastAsia"/>
          <w:color w:val="1D2455"/>
          <w:szCs w:val="20"/>
          <w:lang w:eastAsia="en-AU"/>
        </w:rPr>
      </w:r>
      <w:r w:rsidRPr="00FF78AE">
        <w:rPr>
          <w:rFonts w:eastAsiaTheme="minorEastAsia"/>
          <w:color w:val="1D2455"/>
          <w:szCs w:val="20"/>
          <w:lang w:eastAsia="en-AU"/>
        </w:rPr>
        <w:fldChar w:fldCharType="separate"/>
      </w:r>
      <w:r w:rsidR="003C4BC2" w:rsidRPr="003C4BC2">
        <w:rPr>
          <w:rFonts w:eastAsiaTheme="minorEastAsia"/>
          <w:color w:val="1D2455"/>
          <w:szCs w:val="20"/>
          <w:lang w:eastAsia="en-AU"/>
        </w:rPr>
        <w:t>Figure 39</w:t>
      </w:r>
      <w:r w:rsidRPr="00FF78AE">
        <w:rPr>
          <w:rFonts w:eastAsiaTheme="minorEastAsia"/>
          <w:color w:val="1D2455"/>
          <w:szCs w:val="20"/>
          <w:lang w:eastAsia="en-AU"/>
        </w:rPr>
        <w:fldChar w:fldCharType="end"/>
      </w:r>
      <w:r>
        <w:rPr>
          <w:rFonts w:eastAsia="Muli" w:cs="Muli"/>
          <w:szCs w:val="20"/>
        </w:rPr>
        <w:t>)</w:t>
      </w:r>
      <w:r w:rsidRPr="00565742">
        <w:rPr>
          <w:rFonts w:eastAsia="Muli" w:cs="Muli"/>
          <w:szCs w:val="20"/>
        </w:rPr>
        <w:t>.</w:t>
      </w:r>
    </w:p>
    <w:p w14:paraId="2D5A4778" w14:textId="073DCD4E" w:rsidR="00FD13E3" w:rsidRDefault="00FD13E3" w:rsidP="00FD13E3">
      <w:pPr>
        <w:pStyle w:val="TableFigureheading"/>
      </w:pPr>
      <w:bookmarkStart w:id="314" w:name="_Ref96760557"/>
      <w:r w:rsidRPr="00F877C0">
        <w:t xml:space="preserve">Figure </w:t>
      </w:r>
      <w:r>
        <w:fldChar w:fldCharType="begin"/>
      </w:r>
      <w:r>
        <w:instrText>SEQ Figure \* ARABIC</w:instrText>
      </w:r>
      <w:r>
        <w:fldChar w:fldCharType="separate"/>
      </w:r>
      <w:r w:rsidR="003C4BC2">
        <w:rPr>
          <w:noProof/>
        </w:rPr>
        <w:t>39</w:t>
      </w:r>
      <w:r>
        <w:fldChar w:fldCharType="end"/>
      </w:r>
      <w:bookmarkEnd w:id="314"/>
      <w:r>
        <w:t xml:space="preserve">: Recording of blood pressure in HCH </w:t>
      </w:r>
      <w:r w:rsidR="00820A36">
        <w:rPr>
          <w:bCs w:val="0"/>
        </w:rPr>
        <w:t xml:space="preserve">and comparator </w:t>
      </w:r>
      <w:r>
        <w:t>patients with type 2 diabetes</w:t>
      </w:r>
    </w:p>
    <w:p w14:paraId="7B748F59" w14:textId="77777777" w:rsidR="00FD13E3" w:rsidRDefault="00FD13E3" w:rsidP="00FD13E3">
      <w:pPr>
        <w:pStyle w:val="TableFigureheading"/>
      </w:pPr>
      <w:r>
        <w:rPr>
          <w:noProof/>
        </w:rPr>
        <w:drawing>
          <wp:inline distT="0" distB="0" distL="0" distR="0" wp14:anchorId="05DBEE4F" wp14:editId="61520378">
            <wp:extent cx="4894748" cy="3455499"/>
            <wp:effectExtent l="0" t="0" r="0" b="0"/>
            <wp:docPr id="19" name="Picture 1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hart, line chart&#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03388" cy="3461599"/>
                    </a:xfrm>
                    <a:prstGeom prst="rect">
                      <a:avLst/>
                    </a:prstGeom>
                  </pic:spPr>
                </pic:pic>
              </a:graphicData>
            </a:graphic>
          </wp:inline>
        </w:drawing>
      </w:r>
    </w:p>
    <w:p w14:paraId="41AC317C" w14:textId="345D8572" w:rsidR="00FD13E3" w:rsidRDefault="00837892" w:rsidP="00837892">
      <w:pPr>
        <w:pStyle w:val="Chartortablefootnote"/>
        <w:spacing w:after="0"/>
        <w:ind w:right="-45"/>
        <w:rPr>
          <w:lang w:val="en-GB"/>
        </w:rPr>
      </w:pPr>
      <w:r>
        <w:rPr>
          <w:lang w:val="en-GB"/>
        </w:rPr>
        <w:t>Notes:</w:t>
      </w:r>
      <w:r w:rsidR="00FD13E3">
        <w:rPr>
          <w:lang w:val="en-GB"/>
        </w:rPr>
        <w:t xml:space="preserve"> People with length of follow-up shorter than respective yearly and six-monthly </w:t>
      </w:r>
      <w:r w:rsidR="00AB43D3">
        <w:rPr>
          <w:lang w:val="en-GB"/>
        </w:rPr>
        <w:t>measurement periods</w:t>
      </w:r>
      <w:r w:rsidR="00FD13E3">
        <w:rPr>
          <w:lang w:val="en-GB"/>
        </w:rPr>
        <w:t xml:space="preserve"> were excluded from analyses.</w:t>
      </w:r>
    </w:p>
    <w:p w14:paraId="02D52B47" w14:textId="46E9F37F" w:rsidR="00837892" w:rsidRDefault="00837892" w:rsidP="00FD13E3">
      <w:pPr>
        <w:pStyle w:val="Chartortablefootnote"/>
        <w:ind w:right="-46"/>
      </w:pPr>
      <w:r w:rsidRPr="00C13C40">
        <w:rPr>
          <w:lang w:val="en-GB"/>
        </w:rPr>
        <w:t xml:space="preserve">Source: Data </w:t>
      </w:r>
      <w:r w:rsidRPr="00C13C40">
        <w:t>extracted from 117 HCH practices (Pen CS, POLAR, and Sonic) and 403 comparator practices</w:t>
      </w:r>
      <w:r>
        <w:t xml:space="preserve"> (</w:t>
      </w:r>
      <w:proofErr w:type="spellStart"/>
      <w:r>
        <w:t>MedicineInsight</w:t>
      </w:r>
      <w:proofErr w:type="spellEnd"/>
      <w:r>
        <w:t>).</w:t>
      </w:r>
    </w:p>
    <w:p w14:paraId="05F3281C" w14:textId="747C385B" w:rsidR="00FD13E3" w:rsidRDefault="00FD13E3" w:rsidP="00FD13E3">
      <w:pPr>
        <w:spacing w:after="0"/>
        <w:rPr>
          <w:rFonts w:eastAsia="Muli" w:cs="Muli"/>
          <w:szCs w:val="20"/>
        </w:rPr>
      </w:pPr>
      <w:r>
        <w:rPr>
          <w:rFonts w:eastAsia="Muli" w:cs="Muli"/>
          <w:szCs w:val="20"/>
        </w:rPr>
        <w:t xml:space="preserve">Among those who had blood pressure measured, </w:t>
      </w:r>
      <w:r w:rsidR="00BA6C4D">
        <w:rPr>
          <w:rFonts w:eastAsia="Muli" w:cs="Muli"/>
          <w:szCs w:val="20"/>
        </w:rPr>
        <w:t>about</w:t>
      </w:r>
      <w:r w:rsidRPr="00565742">
        <w:rPr>
          <w:rFonts w:eastAsia="Muli" w:cs="Muli"/>
          <w:szCs w:val="20"/>
        </w:rPr>
        <w:t xml:space="preserve"> two in five </w:t>
      </w:r>
      <w:r w:rsidR="00AB43D3">
        <w:rPr>
          <w:rFonts w:eastAsia="Muli" w:cs="Muli"/>
          <w:szCs w:val="20"/>
        </w:rPr>
        <w:t xml:space="preserve">HCH patients </w:t>
      </w:r>
      <w:r w:rsidRPr="00280555">
        <w:rPr>
          <w:rFonts w:eastAsia="Muli" w:cs="Muli"/>
          <w:szCs w:val="20"/>
        </w:rPr>
        <w:t>(40.2%)</w:t>
      </w:r>
      <w:r w:rsidRPr="00565742">
        <w:rPr>
          <w:rFonts w:eastAsia="Muli" w:cs="Muli"/>
          <w:szCs w:val="20"/>
        </w:rPr>
        <w:t xml:space="preserve"> had blood pressure lower than 130/80 mmHg.</w:t>
      </w:r>
      <w:r>
        <w:rPr>
          <w:rFonts w:eastAsia="Muli" w:cs="Muli"/>
          <w:szCs w:val="20"/>
        </w:rPr>
        <w:t xml:space="preserve"> Following enrolment, this proportion increased slightly after one year (41.6%) and decreased after two years (37.5%) </w:t>
      </w:r>
      <w:r w:rsidRPr="00280555">
        <w:rPr>
          <w:rFonts w:eastAsia="Muli" w:cs="Muli"/>
          <w:szCs w:val="20"/>
        </w:rPr>
        <w:t>and three years (32.7%)</w:t>
      </w:r>
      <w:r>
        <w:rPr>
          <w:rFonts w:eastAsia="Muli" w:cs="Muli"/>
          <w:szCs w:val="20"/>
        </w:rPr>
        <w:t xml:space="preserve"> (</w:t>
      </w:r>
      <w:r>
        <w:rPr>
          <w:rFonts w:eastAsia="Muli" w:cs="Muli"/>
          <w:szCs w:val="20"/>
        </w:rPr>
        <w:fldChar w:fldCharType="begin"/>
      </w:r>
      <w:r>
        <w:rPr>
          <w:rFonts w:eastAsia="Muli" w:cs="Muli"/>
          <w:szCs w:val="20"/>
        </w:rPr>
        <w:instrText xml:space="preserve"> REF _Ref96760706 \h </w:instrText>
      </w:r>
      <w:r>
        <w:rPr>
          <w:rFonts w:eastAsia="Muli" w:cs="Muli"/>
          <w:szCs w:val="20"/>
        </w:rPr>
      </w:r>
      <w:r>
        <w:rPr>
          <w:rFonts w:eastAsia="Muli" w:cs="Muli"/>
          <w:szCs w:val="20"/>
        </w:rPr>
        <w:fldChar w:fldCharType="separate"/>
      </w:r>
      <w:r w:rsidR="003C4BC2" w:rsidRPr="00F877C0">
        <w:t xml:space="preserve">Figure </w:t>
      </w:r>
      <w:r w:rsidR="003C4BC2">
        <w:rPr>
          <w:noProof/>
        </w:rPr>
        <w:t>40</w:t>
      </w:r>
      <w:r>
        <w:rPr>
          <w:rFonts w:eastAsia="Muli" w:cs="Muli"/>
          <w:szCs w:val="20"/>
        </w:rPr>
        <w:fldChar w:fldCharType="end"/>
      </w:r>
      <w:r>
        <w:rPr>
          <w:rFonts w:eastAsia="Muli" w:cs="Muli"/>
          <w:szCs w:val="20"/>
        </w:rPr>
        <w:t>)</w:t>
      </w:r>
      <w:r w:rsidRPr="0097201D">
        <w:rPr>
          <w:rFonts w:eastAsia="Muli" w:cs="Muli"/>
          <w:szCs w:val="20"/>
        </w:rPr>
        <w:t>.</w:t>
      </w:r>
    </w:p>
    <w:p w14:paraId="5C566747" w14:textId="77777777" w:rsidR="00FD13E3" w:rsidRDefault="00FD13E3" w:rsidP="00FD13E3">
      <w:pPr>
        <w:spacing w:after="0"/>
        <w:rPr>
          <w:rFonts w:eastAsia="Muli" w:cs="Muli"/>
          <w:szCs w:val="20"/>
        </w:rPr>
      </w:pPr>
    </w:p>
    <w:p w14:paraId="79C4F5F7" w14:textId="5FD68111" w:rsidR="00FD13E3" w:rsidRDefault="00FD13E3" w:rsidP="00FD13E3">
      <w:pPr>
        <w:spacing w:after="0"/>
        <w:rPr>
          <w:rFonts w:eastAsia="Muli" w:cs="Muli"/>
          <w:szCs w:val="20"/>
        </w:rPr>
      </w:pPr>
      <w:r w:rsidRPr="7D04FFE0">
        <w:rPr>
          <w:rFonts w:eastAsia="Muli" w:cs="Muli"/>
        </w:rPr>
        <w:t xml:space="preserve">Comparator patients </w:t>
      </w:r>
      <w:r>
        <w:rPr>
          <w:rFonts w:eastAsia="Muli" w:cs="Muli"/>
        </w:rPr>
        <w:t>with type 2 diabetes were matched with HCH patients in the pre-enrolment period</w:t>
      </w:r>
      <w:r w:rsidDel="002E7F16">
        <w:rPr>
          <w:rFonts w:eastAsia="Muli" w:cs="Muli"/>
        </w:rPr>
        <w:t xml:space="preserve"> </w:t>
      </w:r>
      <w:r>
        <w:rPr>
          <w:rFonts w:eastAsia="Muli" w:cs="Muli"/>
        </w:rPr>
        <w:t xml:space="preserve">(whether blood pressure was recorded and blood pressure results). Among </w:t>
      </w:r>
      <w:r w:rsidR="000E16C4">
        <w:rPr>
          <w:rFonts w:eastAsia="Muli" w:cs="Muli"/>
        </w:rPr>
        <w:lastRenderedPageBreak/>
        <w:t>comparator</w:t>
      </w:r>
      <w:r w:rsidRPr="1A5F5780">
        <w:rPr>
          <w:rFonts w:eastAsia="Muli" w:cs="Muli"/>
        </w:rPr>
        <w:t xml:space="preserve"> patients </w:t>
      </w:r>
      <w:r>
        <w:rPr>
          <w:rFonts w:eastAsia="Muli" w:cs="Muli"/>
        </w:rPr>
        <w:t xml:space="preserve">who had blood pressure measured, </w:t>
      </w:r>
      <w:r w:rsidRPr="003F35EB">
        <w:rPr>
          <w:rFonts w:eastAsia="Muli" w:cs="Muli"/>
        </w:rPr>
        <w:t xml:space="preserve">proportions </w:t>
      </w:r>
      <w:r>
        <w:rPr>
          <w:rFonts w:eastAsia="Muli" w:cs="Muli"/>
        </w:rPr>
        <w:t xml:space="preserve">with blood pressure lower than 130/80mmHg was 38.6% </w:t>
      </w:r>
      <w:r w:rsidRPr="1A5F5780">
        <w:rPr>
          <w:rFonts w:eastAsia="Muli" w:cs="Muli"/>
        </w:rPr>
        <w:t xml:space="preserve">at </w:t>
      </w:r>
      <w:r>
        <w:rPr>
          <w:rFonts w:eastAsia="Muli" w:cs="Muli"/>
        </w:rPr>
        <w:t xml:space="preserve">year </w:t>
      </w:r>
      <w:r w:rsidRPr="1A5F5780">
        <w:rPr>
          <w:rFonts w:eastAsia="Muli" w:cs="Muli"/>
        </w:rPr>
        <w:t>one</w:t>
      </w:r>
      <w:r>
        <w:rPr>
          <w:rFonts w:eastAsia="Muli" w:cs="Muli"/>
        </w:rPr>
        <w:t xml:space="preserve">, 36.8% at </w:t>
      </w:r>
      <w:r w:rsidRPr="1A5F5780">
        <w:rPr>
          <w:rFonts w:eastAsia="Muli" w:cs="Muli"/>
        </w:rPr>
        <w:t>year</w:t>
      </w:r>
      <w:r>
        <w:rPr>
          <w:rFonts w:eastAsia="Muli" w:cs="Muli"/>
        </w:rPr>
        <w:t xml:space="preserve"> two and 38.3% at year three </w:t>
      </w:r>
      <w:r w:rsidRPr="1A5F5780">
        <w:rPr>
          <w:rFonts w:eastAsia="Muli" w:cs="Muli"/>
        </w:rPr>
        <w:t xml:space="preserve">following enrolment </w:t>
      </w:r>
      <w:r>
        <w:rPr>
          <w:rFonts w:eastAsia="Muli" w:cs="Muli"/>
          <w:szCs w:val="20"/>
        </w:rPr>
        <w:t>(</w:t>
      </w:r>
      <w:r>
        <w:rPr>
          <w:rFonts w:eastAsia="Muli" w:cs="Muli"/>
          <w:szCs w:val="20"/>
        </w:rPr>
        <w:fldChar w:fldCharType="begin"/>
      </w:r>
      <w:r>
        <w:rPr>
          <w:rFonts w:eastAsia="Muli" w:cs="Muli"/>
          <w:szCs w:val="20"/>
        </w:rPr>
        <w:instrText xml:space="preserve"> REF _Ref96760706 \h </w:instrText>
      </w:r>
      <w:r w:rsidR="00F96FBA">
        <w:rPr>
          <w:rFonts w:eastAsia="Muli" w:cs="Muli"/>
          <w:szCs w:val="20"/>
        </w:rPr>
        <w:instrText xml:space="preserve"> \* MERGEFORMAT </w:instrText>
      </w:r>
      <w:r>
        <w:rPr>
          <w:rFonts w:eastAsia="Muli" w:cs="Muli"/>
          <w:szCs w:val="20"/>
        </w:rPr>
      </w:r>
      <w:r>
        <w:rPr>
          <w:rFonts w:eastAsia="Muli" w:cs="Muli"/>
          <w:szCs w:val="20"/>
        </w:rPr>
        <w:fldChar w:fldCharType="separate"/>
      </w:r>
      <w:r w:rsidR="003C4BC2" w:rsidRPr="003C4BC2">
        <w:rPr>
          <w:rFonts w:eastAsiaTheme="minorEastAsia"/>
          <w:color w:val="1D2455"/>
          <w:szCs w:val="20"/>
          <w:lang w:eastAsia="en-AU"/>
        </w:rPr>
        <w:t>Figure 40</w:t>
      </w:r>
      <w:r>
        <w:rPr>
          <w:rFonts w:eastAsia="Muli" w:cs="Muli"/>
          <w:szCs w:val="20"/>
        </w:rPr>
        <w:fldChar w:fldCharType="end"/>
      </w:r>
      <w:r>
        <w:rPr>
          <w:rFonts w:eastAsia="Muli" w:cs="Muli"/>
          <w:szCs w:val="20"/>
        </w:rPr>
        <w:t>)</w:t>
      </w:r>
      <w:r w:rsidRPr="0097201D">
        <w:rPr>
          <w:rFonts w:eastAsia="Muli" w:cs="Muli"/>
          <w:szCs w:val="20"/>
        </w:rPr>
        <w:t>.</w:t>
      </w:r>
    </w:p>
    <w:p w14:paraId="141D0982" w14:textId="77777777" w:rsidR="00FD13E3" w:rsidRDefault="00FD13E3" w:rsidP="00FD13E3">
      <w:pPr>
        <w:spacing w:after="0"/>
        <w:rPr>
          <w:rFonts w:eastAsia="Muli" w:cs="Muli"/>
        </w:rPr>
      </w:pPr>
    </w:p>
    <w:p w14:paraId="39026E9C" w14:textId="1A3575D7" w:rsidR="00FD13E3" w:rsidRDefault="00FD13E3" w:rsidP="00FD13E3">
      <w:pPr>
        <w:pStyle w:val="TableFigureheading"/>
      </w:pPr>
      <w:bookmarkStart w:id="315" w:name="_Ref96760706"/>
      <w:r w:rsidRPr="00F877C0">
        <w:t xml:space="preserve">Figure </w:t>
      </w:r>
      <w:r>
        <w:fldChar w:fldCharType="begin"/>
      </w:r>
      <w:r>
        <w:instrText>SEQ Figure \* ARABIC</w:instrText>
      </w:r>
      <w:r>
        <w:fldChar w:fldCharType="separate"/>
      </w:r>
      <w:r w:rsidR="003C4BC2">
        <w:rPr>
          <w:noProof/>
        </w:rPr>
        <w:t>40</w:t>
      </w:r>
      <w:r>
        <w:fldChar w:fldCharType="end"/>
      </w:r>
      <w:bookmarkEnd w:id="315"/>
      <w:r>
        <w:t xml:space="preserve">: Blood pressure </w:t>
      </w:r>
      <w:r w:rsidR="00182061">
        <w:t>results</w:t>
      </w:r>
      <w:r>
        <w:t xml:space="preserve"> in HCH </w:t>
      </w:r>
      <w:r w:rsidR="00820A36">
        <w:rPr>
          <w:bCs w:val="0"/>
        </w:rPr>
        <w:t xml:space="preserve">and comparator </w:t>
      </w:r>
      <w:r>
        <w:t>patients with type 2 diabetes who had blood pressure recorded</w:t>
      </w:r>
    </w:p>
    <w:p w14:paraId="74C528A2" w14:textId="3572B82A" w:rsidR="00FD13E3" w:rsidRDefault="00FD13E3" w:rsidP="007314E6">
      <w:pPr>
        <w:pStyle w:val="Chartortablefootnote"/>
        <w:spacing w:after="0"/>
        <w:ind w:left="720" w:right="663"/>
        <w:rPr>
          <w:lang w:val="en-GB"/>
        </w:rPr>
      </w:pPr>
      <w:r>
        <w:rPr>
          <w:noProof/>
        </w:rPr>
        <w:drawing>
          <wp:inline distT="0" distB="0" distL="0" distR="0" wp14:anchorId="225C0A55" wp14:editId="40051C65">
            <wp:extent cx="5347970" cy="4404698"/>
            <wp:effectExtent l="0" t="0" r="0" b="0"/>
            <wp:docPr id="33" name="Picture 33" descr="Char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Chart, table&#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352159" cy="4408148"/>
                    </a:xfrm>
                    <a:prstGeom prst="rect">
                      <a:avLst/>
                    </a:prstGeom>
                  </pic:spPr>
                </pic:pic>
              </a:graphicData>
            </a:graphic>
          </wp:inline>
        </w:drawing>
      </w:r>
      <w:r w:rsidR="00837892">
        <w:t>No</w:t>
      </w:r>
      <w:r w:rsidR="007314E6">
        <w:t>tes:</w:t>
      </w:r>
      <w:r>
        <w:t xml:space="preserve"> </w:t>
      </w:r>
      <w:r>
        <w:rPr>
          <w:lang w:val="en-GB"/>
        </w:rPr>
        <w:t xml:space="preserve">People with length of follow-up shorter than respective yearly and six-monthly </w:t>
      </w:r>
      <w:r w:rsidR="00DF6F72">
        <w:rPr>
          <w:lang w:val="en-GB"/>
        </w:rPr>
        <w:t>measurement period</w:t>
      </w:r>
      <w:r>
        <w:rPr>
          <w:lang w:val="en-GB"/>
        </w:rPr>
        <w:t xml:space="preserve"> were excluded from analyses.</w:t>
      </w:r>
    </w:p>
    <w:p w14:paraId="0D0FE3ED" w14:textId="35A7A535" w:rsidR="007314E6" w:rsidRPr="006F5B60" w:rsidRDefault="007314E6" w:rsidP="006F5B60">
      <w:pPr>
        <w:pStyle w:val="Chartortablefootnote"/>
        <w:ind w:left="720" w:right="662"/>
      </w:pPr>
      <w:r>
        <w:rPr>
          <w:lang w:val="en-GB"/>
        </w:rPr>
        <w:t xml:space="preserve">Source: Data </w:t>
      </w:r>
      <w:r>
        <w:t>extracted from 117 HCH practices (Pen CS, POLAR, and Sonic) and 403 comparator practices (</w:t>
      </w:r>
      <w:proofErr w:type="spellStart"/>
      <w:r>
        <w:t>MedicineInsight</w:t>
      </w:r>
      <w:proofErr w:type="spellEnd"/>
      <w:r>
        <w:t>).</w:t>
      </w:r>
    </w:p>
    <w:p w14:paraId="4AB4D054" w14:textId="77777777" w:rsidR="00FD13E3" w:rsidRDefault="00FD13E3" w:rsidP="00FD13E3">
      <w:pPr>
        <w:pStyle w:val="Heading3"/>
      </w:pPr>
      <w:r>
        <w:t>HbA1c test results</w:t>
      </w:r>
    </w:p>
    <w:p w14:paraId="15A8FB90" w14:textId="14EDE4D3" w:rsidR="00FD13E3" w:rsidRDefault="00FD13E3" w:rsidP="00987B4B">
      <w:pPr>
        <w:rPr>
          <w:rFonts w:eastAsia="Muli" w:cs="Muli"/>
          <w:szCs w:val="20"/>
        </w:rPr>
      </w:pPr>
      <w:r w:rsidRPr="00E33180">
        <w:rPr>
          <w:rFonts w:eastAsia="Muli" w:cs="Muli"/>
        </w:rPr>
        <w:t>R</w:t>
      </w:r>
      <w:r w:rsidRPr="00E33180">
        <w:rPr>
          <w:rFonts w:eastAsia="Muli" w:cs="Muli"/>
          <w:szCs w:val="20"/>
        </w:rPr>
        <w:t xml:space="preserve">ecording of HbA1c in HCH patients with type 2 diabetes was generally high in the year </w:t>
      </w:r>
      <w:r w:rsidR="0002675D">
        <w:rPr>
          <w:rFonts w:eastAsia="Muli" w:cs="Muli"/>
          <w:szCs w:val="20"/>
        </w:rPr>
        <w:t>before</w:t>
      </w:r>
      <w:r w:rsidRPr="00E33180">
        <w:rPr>
          <w:rFonts w:eastAsia="Muli" w:cs="Muli"/>
          <w:szCs w:val="20"/>
        </w:rPr>
        <w:t xml:space="preserve"> enrolment (85.7%) and slightly decreased at year one and year two following enrolment. Recording of HbA1c among matched </w:t>
      </w:r>
      <w:r w:rsidR="000E16C4">
        <w:rPr>
          <w:rFonts w:eastAsia="Muli" w:cs="Muli"/>
          <w:szCs w:val="20"/>
        </w:rPr>
        <w:t>comparator</w:t>
      </w:r>
      <w:r w:rsidRPr="00E33180">
        <w:rPr>
          <w:rFonts w:eastAsia="Muli" w:cs="Muli"/>
          <w:szCs w:val="20"/>
        </w:rPr>
        <w:t xml:space="preserve"> patients were significantly lower in periods following enrolment</w:t>
      </w:r>
      <w:r>
        <w:rPr>
          <w:rFonts w:eastAsia="Muli" w:cs="Muli"/>
          <w:szCs w:val="20"/>
        </w:rPr>
        <w:t xml:space="preserve"> (</w:t>
      </w:r>
      <w:r w:rsidR="00D779EF">
        <w:rPr>
          <w:rFonts w:eastAsia="Muli" w:cs="Muli"/>
          <w:szCs w:val="20"/>
        </w:rPr>
        <w:fldChar w:fldCharType="begin"/>
      </w:r>
      <w:r w:rsidR="00D779EF">
        <w:rPr>
          <w:rFonts w:eastAsia="Muli" w:cs="Muli"/>
          <w:szCs w:val="20"/>
        </w:rPr>
        <w:instrText xml:space="preserve"> REF _Ref98880753 \h </w:instrText>
      </w:r>
      <w:r w:rsidR="00D779EF">
        <w:rPr>
          <w:rFonts w:eastAsia="Muli" w:cs="Muli"/>
          <w:szCs w:val="20"/>
        </w:rPr>
      </w:r>
      <w:r w:rsidR="00D779EF">
        <w:rPr>
          <w:rFonts w:eastAsia="Muli" w:cs="Muli"/>
          <w:szCs w:val="20"/>
        </w:rPr>
        <w:fldChar w:fldCharType="separate"/>
      </w:r>
      <w:r w:rsidR="003C4BC2">
        <w:t xml:space="preserve">Figure </w:t>
      </w:r>
      <w:r w:rsidR="003C4BC2">
        <w:rPr>
          <w:noProof/>
        </w:rPr>
        <w:t>33</w:t>
      </w:r>
      <w:r w:rsidR="00D779EF">
        <w:rPr>
          <w:rFonts w:eastAsia="Muli" w:cs="Muli"/>
          <w:szCs w:val="20"/>
        </w:rPr>
        <w:fldChar w:fldCharType="end"/>
      </w:r>
      <w:r>
        <w:rPr>
          <w:rFonts w:eastAsia="Muli" w:cs="Muli"/>
          <w:szCs w:val="20"/>
        </w:rPr>
        <w:t>)</w:t>
      </w:r>
      <w:r w:rsidRPr="007C0B12">
        <w:rPr>
          <w:rFonts w:eastAsia="Muli" w:cs="Muli"/>
          <w:szCs w:val="20"/>
        </w:rPr>
        <w:t>.</w:t>
      </w:r>
    </w:p>
    <w:p w14:paraId="16138A53" w14:textId="782BB154" w:rsidR="00FD13E3" w:rsidRDefault="00FD13E3" w:rsidP="00987B4B">
      <w:pPr>
        <w:rPr>
          <w:rFonts w:eastAsia="Muli" w:cs="Muli"/>
          <w:szCs w:val="20"/>
        </w:rPr>
      </w:pPr>
      <w:r>
        <w:rPr>
          <w:rFonts w:eastAsia="Muli" w:cs="Muli"/>
          <w:szCs w:val="20"/>
        </w:rPr>
        <w:t>Among HCH patients who had a record of HbA1c test,</w:t>
      </w:r>
      <w:r w:rsidRPr="007C0B12">
        <w:rPr>
          <w:rFonts w:eastAsia="Muli" w:cs="Muli"/>
          <w:szCs w:val="20"/>
        </w:rPr>
        <w:t xml:space="preserve"> over half (56.1%) had HbA1c</w:t>
      </w:r>
      <w:r>
        <w:rPr>
          <w:rFonts w:eastAsia="Muli" w:cs="Muli"/>
          <w:szCs w:val="20"/>
        </w:rPr>
        <w:t>≤</w:t>
      </w:r>
      <w:r w:rsidRPr="007C0B12">
        <w:rPr>
          <w:rFonts w:eastAsia="Muli" w:cs="Muli"/>
          <w:szCs w:val="20"/>
        </w:rPr>
        <w:t>7</w:t>
      </w:r>
      <w:r>
        <w:rPr>
          <w:rFonts w:eastAsia="Muli" w:cs="Muli"/>
          <w:szCs w:val="20"/>
        </w:rPr>
        <w:t>% (a common target value for management and prevention of diabetic complications)</w:t>
      </w:r>
      <w:r w:rsidRPr="007C0B12">
        <w:rPr>
          <w:rFonts w:eastAsia="Muli" w:cs="Muli"/>
          <w:szCs w:val="20"/>
        </w:rPr>
        <w:t>.</w:t>
      </w:r>
      <w:r>
        <w:rPr>
          <w:rFonts w:eastAsia="Muli" w:cs="Muli"/>
          <w:color w:val="FF0000"/>
          <w:szCs w:val="20"/>
        </w:rPr>
        <w:t xml:space="preserve"> </w:t>
      </w:r>
      <w:r w:rsidRPr="00790EB3">
        <w:rPr>
          <w:rFonts w:eastAsia="Muli" w:cs="Muli"/>
          <w:szCs w:val="20"/>
        </w:rPr>
        <w:t xml:space="preserve">Following enrolment, the proportion of HCH patients with type 2 diabetes where the last HbA1c result was </w:t>
      </w:r>
      <w:r>
        <w:rPr>
          <w:rFonts w:eastAsia="Muli" w:cs="Muli"/>
          <w:szCs w:val="20"/>
        </w:rPr>
        <w:t>≤</w:t>
      </w:r>
      <w:r w:rsidRPr="00790EB3">
        <w:rPr>
          <w:rFonts w:eastAsia="Muli" w:cs="Muli"/>
          <w:szCs w:val="20"/>
        </w:rPr>
        <w:t>7</w:t>
      </w:r>
      <w:r>
        <w:rPr>
          <w:rFonts w:eastAsia="Muli" w:cs="Muli"/>
          <w:szCs w:val="20"/>
        </w:rPr>
        <w:t>%</w:t>
      </w:r>
      <w:r w:rsidRPr="00790EB3">
        <w:rPr>
          <w:rFonts w:eastAsia="Muli" w:cs="Muli"/>
          <w:szCs w:val="20"/>
        </w:rPr>
        <w:t xml:space="preserve"> increased slightly after one year (57.6%) and decreased after two years (51.1%) </w:t>
      </w:r>
      <w:r>
        <w:rPr>
          <w:rFonts w:eastAsia="Muli" w:cs="Muli"/>
          <w:szCs w:val="20"/>
        </w:rPr>
        <w:t>(</w:t>
      </w:r>
      <w:r>
        <w:rPr>
          <w:rFonts w:eastAsia="Muli" w:cs="Muli"/>
          <w:szCs w:val="20"/>
        </w:rPr>
        <w:fldChar w:fldCharType="begin"/>
      </w:r>
      <w:r>
        <w:rPr>
          <w:rFonts w:eastAsia="Muli" w:cs="Muli"/>
          <w:szCs w:val="20"/>
        </w:rPr>
        <w:instrText xml:space="preserve"> REF _Ref96762557 \h </w:instrText>
      </w:r>
      <w:r>
        <w:rPr>
          <w:rFonts w:eastAsia="Muli" w:cs="Muli"/>
          <w:szCs w:val="20"/>
        </w:rPr>
      </w:r>
      <w:r>
        <w:rPr>
          <w:rFonts w:eastAsia="Muli" w:cs="Muli"/>
          <w:szCs w:val="20"/>
        </w:rPr>
        <w:fldChar w:fldCharType="separate"/>
      </w:r>
      <w:r w:rsidR="003C4BC2" w:rsidRPr="00F877C0">
        <w:t xml:space="preserve">Figure </w:t>
      </w:r>
      <w:r w:rsidR="003C4BC2">
        <w:rPr>
          <w:noProof/>
        </w:rPr>
        <w:t>41</w:t>
      </w:r>
      <w:r>
        <w:rPr>
          <w:rFonts w:eastAsia="Muli" w:cs="Muli"/>
          <w:szCs w:val="20"/>
        </w:rPr>
        <w:fldChar w:fldCharType="end"/>
      </w:r>
      <w:r>
        <w:rPr>
          <w:rFonts w:eastAsia="Muli" w:cs="Muli"/>
          <w:szCs w:val="20"/>
        </w:rPr>
        <w:t>)</w:t>
      </w:r>
      <w:r w:rsidRPr="007B33E5">
        <w:rPr>
          <w:rFonts w:eastAsia="Muli" w:cs="Muli"/>
          <w:szCs w:val="20"/>
        </w:rPr>
        <w:t xml:space="preserve">. </w:t>
      </w:r>
      <w:r w:rsidRPr="66BBBADD">
        <w:rPr>
          <w:rFonts w:eastAsia="Muli" w:cs="Muli"/>
        </w:rPr>
        <w:t xml:space="preserve">Data for HbA1c levels at three years were not shown </w:t>
      </w:r>
      <w:r>
        <w:rPr>
          <w:rFonts w:eastAsia="Muli" w:cs="Muli"/>
        </w:rPr>
        <w:t xml:space="preserve">for confidentiality purposes, given the </w:t>
      </w:r>
      <w:r w:rsidRPr="66BBBADD">
        <w:rPr>
          <w:rFonts w:eastAsia="Muli" w:cs="Muli"/>
        </w:rPr>
        <w:t xml:space="preserve">small number of patients </w:t>
      </w:r>
      <w:r>
        <w:rPr>
          <w:rFonts w:eastAsia="Muli" w:cs="Muli"/>
        </w:rPr>
        <w:t xml:space="preserve">with three years follow-up and </w:t>
      </w:r>
      <w:r w:rsidRPr="66BBBADD">
        <w:rPr>
          <w:rFonts w:eastAsia="Muli" w:cs="Muli"/>
        </w:rPr>
        <w:t>having high HbA1c.</w:t>
      </w:r>
    </w:p>
    <w:p w14:paraId="671C5E5F" w14:textId="4A0A66FC" w:rsidR="00FD13E3" w:rsidRDefault="00FD13E3" w:rsidP="00FD13E3">
      <w:pPr>
        <w:spacing w:after="0"/>
        <w:rPr>
          <w:rFonts w:eastAsia="Muli" w:cs="Muli"/>
        </w:rPr>
      </w:pPr>
      <w:r w:rsidRPr="7D04FFE0">
        <w:rPr>
          <w:rFonts w:eastAsia="Muli" w:cs="Muli"/>
        </w:rPr>
        <w:lastRenderedPageBreak/>
        <w:t xml:space="preserve">Comparator patients </w:t>
      </w:r>
      <w:r>
        <w:rPr>
          <w:rFonts w:eastAsia="Muli" w:cs="Muli"/>
        </w:rPr>
        <w:t xml:space="preserve">were matched with HCH patients in the pre-enrolment period (whether HbAc1 was recorded and HbA1c results). </w:t>
      </w:r>
      <w:r w:rsidRPr="66BBBADD">
        <w:rPr>
          <w:rFonts w:eastAsia="Muli" w:cs="Muli"/>
        </w:rPr>
        <w:t xml:space="preserve">Among </w:t>
      </w:r>
      <w:r w:rsidR="000E16C4">
        <w:rPr>
          <w:rFonts w:eastAsia="Muli" w:cs="Muli"/>
        </w:rPr>
        <w:t>comparator</w:t>
      </w:r>
      <w:r>
        <w:rPr>
          <w:rFonts w:eastAsia="Muli" w:cs="Muli"/>
        </w:rPr>
        <w:t xml:space="preserve"> </w:t>
      </w:r>
      <w:r w:rsidRPr="66BBBADD">
        <w:rPr>
          <w:rFonts w:eastAsia="Muli" w:cs="Muli"/>
        </w:rPr>
        <w:t>patients who had a HbA1c result recorded, 56</w:t>
      </w:r>
      <w:r>
        <w:rPr>
          <w:rFonts w:eastAsia="Muli" w:cs="Muli"/>
        </w:rPr>
        <w:t>.3</w:t>
      </w:r>
      <w:r w:rsidRPr="66BBBADD">
        <w:rPr>
          <w:rFonts w:eastAsia="Muli" w:cs="Muli"/>
        </w:rPr>
        <w:t>% had HbA1c</w:t>
      </w:r>
      <w:r>
        <w:rPr>
          <w:rFonts w:eastAsia="Muli" w:cs="Muli"/>
        </w:rPr>
        <w:t>≤</w:t>
      </w:r>
      <w:r w:rsidRPr="66BBBADD">
        <w:rPr>
          <w:rFonts w:eastAsia="Muli" w:cs="Muli"/>
        </w:rPr>
        <w:t>7% in</w:t>
      </w:r>
      <w:r>
        <w:rPr>
          <w:rFonts w:eastAsia="Muli" w:cs="Muli"/>
        </w:rPr>
        <w:t xml:space="preserve"> a </w:t>
      </w:r>
      <w:r w:rsidRPr="66BBBADD">
        <w:rPr>
          <w:rFonts w:eastAsia="Muli" w:cs="Muli"/>
        </w:rPr>
        <w:t xml:space="preserve">year </w:t>
      </w:r>
      <w:r w:rsidR="0002675D">
        <w:rPr>
          <w:rFonts w:eastAsia="Muli" w:cs="Muli"/>
        </w:rPr>
        <w:t>before</w:t>
      </w:r>
      <w:r>
        <w:rPr>
          <w:rFonts w:eastAsia="Muli" w:cs="Muli"/>
        </w:rPr>
        <w:t xml:space="preserve"> enrolment. In the first year </w:t>
      </w:r>
      <w:r w:rsidRPr="6175592A">
        <w:rPr>
          <w:rFonts w:eastAsia="Muli" w:cs="Muli"/>
        </w:rPr>
        <w:t xml:space="preserve">following </w:t>
      </w:r>
      <w:r w:rsidRPr="66BBBADD">
        <w:rPr>
          <w:rFonts w:eastAsia="Muli" w:cs="Muli"/>
        </w:rPr>
        <w:t>enrolment</w:t>
      </w:r>
      <w:r>
        <w:rPr>
          <w:rFonts w:eastAsia="Muli" w:cs="Muli"/>
        </w:rPr>
        <w:t xml:space="preserve">, this proportion was 56.6% and declined </w:t>
      </w:r>
      <w:r w:rsidRPr="66BBBADD">
        <w:rPr>
          <w:rFonts w:eastAsia="Muli" w:cs="Muli"/>
        </w:rPr>
        <w:t xml:space="preserve">at </w:t>
      </w:r>
      <w:r>
        <w:rPr>
          <w:rFonts w:eastAsia="Muli" w:cs="Muli"/>
        </w:rPr>
        <w:t>the second</w:t>
      </w:r>
      <w:r w:rsidRPr="66BBBADD">
        <w:rPr>
          <w:rFonts w:eastAsia="Muli" w:cs="Muli"/>
        </w:rPr>
        <w:t xml:space="preserve"> year</w:t>
      </w:r>
      <w:r>
        <w:rPr>
          <w:rFonts w:eastAsia="Muli" w:cs="Muli"/>
        </w:rPr>
        <w:t xml:space="preserve"> (53.1%) </w:t>
      </w:r>
      <w:r>
        <w:rPr>
          <w:rFonts w:eastAsia="Muli" w:cs="Muli"/>
          <w:szCs w:val="20"/>
        </w:rPr>
        <w:t>(</w:t>
      </w:r>
      <w:r w:rsidRPr="00FF78AE">
        <w:rPr>
          <w:rFonts w:eastAsiaTheme="minorEastAsia"/>
          <w:color w:val="1D2455"/>
          <w:szCs w:val="20"/>
          <w:lang w:eastAsia="en-AU"/>
        </w:rPr>
        <w:fldChar w:fldCharType="begin"/>
      </w:r>
      <w:r w:rsidRPr="00FF78AE">
        <w:rPr>
          <w:rFonts w:eastAsiaTheme="minorEastAsia"/>
          <w:color w:val="1D2455"/>
          <w:szCs w:val="20"/>
          <w:lang w:eastAsia="en-AU"/>
        </w:rPr>
        <w:instrText xml:space="preserve"> REF _Ref96762557 \h </w:instrText>
      </w:r>
      <w:r w:rsidR="00F96FBA" w:rsidRPr="00FF78AE">
        <w:rPr>
          <w:rFonts w:eastAsiaTheme="minorEastAsia"/>
          <w:color w:val="1D2455"/>
          <w:szCs w:val="20"/>
          <w:lang w:eastAsia="en-AU"/>
        </w:rPr>
        <w:instrText xml:space="preserve"> \* MERGEFORMAT </w:instrText>
      </w:r>
      <w:r w:rsidRPr="00FF78AE">
        <w:rPr>
          <w:rFonts w:eastAsiaTheme="minorEastAsia"/>
          <w:color w:val="1D2455"/>
          <w:szCs w:val="20"/>
          <w:lang w:eastAsia="en-AU"/>
        </w:rPr>
      </w:r>
      <w:r w:rsidRPr="00FF78AE">
        <w:rPr>
          <w:rFonts w:eastAsiaTheme="minorEastAsia"/>
          <w:color w:val="1D2455"/>
          <w:szCs w:val="20"/>
          <w:lang w:eastAsia="en-AU"/>
        </w:rPr>
        <w:fldChar w:fldCharType="separate"/>
      </w:r>
      <w:r w:rsidR="003C4BC2" w:rsidRPr="003C4BC2">
        <w:rPr>
          <w:rFonts w:eastAsiaTheme="minorEastAsia"/>
          <w:color w:val="1D2455"/>
          <w:szCs w:val="20"/>
          <w:lang w:eastAsia="en-AU"/>
        </w:rPr>
        <w:t>Figure 41</w:t>
      </w:r>
      <w:r w:rsidRPr="00FF78AE">
        <w:rPr>
          <w:rFonts w:eastAsiaTheme="minorEastAsia"/>
          <w:color w:val="1D2455"/>
          <w:szCs w:val="20"/>
          <w:lang w:eastAsia="en-AU"/>
        </w:rPr>
        <w:fldChar w:fldCharType="end"/>
      </w:r>
      <w:r>
        <w:rPr>
          <w:rFonts w:eastAsia="Muli" w:cs="Muli"/>
          <w:szCs w:val="20"/>
        </w:rPr>
        <w:t>)</w:t>
      </w:r>
      <w:r>
        <w:rPr>
          <w:rFonts w:eastAsia="Muli" w:cs="Muli"/>
        </w:rPr>
        <w:t>.</w:t>
      </w:r>
    </w:p>
    <w:p w14:paraId="465D633D" w14:textId="77777777" w:rsidR="00FD13E3" w:rsidRDefault="00FD13E3" w:rsidP="00FD13E3">
      <w:pPr>
        <w:spacing w:after="0"/>
        <w:rPr>
          <w:rFonts w:eastAsia="Muli" w:cs="Muli"/>
        </w:rPr>
      </w:pPr>
    </w:p>
    <w:p w14:paraId="07B4F740" w14:textId="08FAFA28" w:rsidR="00FD13E3" w:rsidRDefault="00FD13E3" w:rsidP="00FD13E3">
      <w:pPr>
        <w:pStyle w:val="TableFigureheading"/>
      </w:pPr>
      <w:bookmarkStart w:id="316" w:name="_Ref96762557"/>
      <w:r w:rsidRPr="00F877C0">
        <w:t xml:space="preserve">Figure </w:t>
      </w:r>
      <w:r>
        <w:fldChar w:fldCharType="begin"/>
      </w:r>
      <w:r>
        <w:instrText>SEQ Figure \* ARABIC</w:instrText>
      </w:r>
      <w:r>
        <w:fldChar w:fldCharType="separate"/>
      </w:r>
      <w:r w:rsidR="003C4BC2">
        <w:rPr>
          <w:noProof/>
        </w:rPr>
        <w:t>41</w:t>
      </w:r>
      <w:r>
        <w:fldChar w:fldCharType="end"/>
      </w:r>
      <w:bookmarkEnd w:id="316"/>
      <w:r>
        <w:t>:</w:t>
      </w:r>
      <w:r w:rsidRPr="00F877C0">
        <w:t xml:space="preserve"> </w:t>
      </w:r>
      <w:r>
        <w:t xml:space="preserve">HbA1c results in HCH </w:t>
      </w:r>
      <w:r w:rsidR="00CB141A">
        <w:rPr>
          <w:bCs w:val="0"/>
        </w:rPr>
        <w:t xml:space="preserve">and comparator </w:t>
      </w:r>
      <w:r>
        <w:t>patients with type 2 diabetes who had a HbA1c test recorded</w:t>
      </w:r>
    </w:p>
    <w:p w14:paraId="447E0ECB" w14:textId="77777777" w:rsidR="00FD13E3" w:rsidRDefault="00FD13E3" w:rsidP="00DE6B35">
      <w:pPr>
        <w:spacing w:after="0"/>
      </w:pPr>
      <w:r>
        <w:rPr>
          <w:noProof/>
        </w:rPr>
        <w:drawing>
          <wp:inline distT="0" distB="0" distL="0" distR="0" wp14:anchorId="1F1F2D67" wp14:editId="0A1D92AD">
            <wp:extent cx="5624423" cy="4778828"/>
            <wp:effectExtent l="0" t="0" r="0" b="0"/>
            <wp:docPr id="6303" name="Picture 6303" descr="A picture containing text, cabine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3" name="Picture 6303" descr="A picture containing text, cabinet, screenshot&#10;&#10;Description automatically generated"/>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625272" cy="4779549"/>
                    </a:xfrm>
                    <a:prstGeom prst="rect">
                      <a:avLst/>
                    </a:prstGeom>
                  </pic:spPr>
                </pic:pic>
              </a:graphicData>
            </a:graphic>
          </wp:inline>
        </w:drawing>
      </w:r>
    </w:p>
    <w:p w14:paraId="2E0F6AAF" w14:textId="178CC3C4" w:rsidR="00FD13E3" w:rsidRPr="006F5B60" w:rsidRDefault="007314E6" w:rsidP="007314E6">
      <w:pPr>
        <w:spacing w:after="0"/>
        <w:ind w:left="425"/>
        <w:jc w:val="center"/>
        <w:rPr>
          <w:rFonts w:eastAsia="Calibri" w:cs="Times New Roman"/>
          <w:i/>
          <w:sz w:val="16"/>
          <w:szCs w:val="18"/>
          <w:lang w:val="en-GB"/>
        </w:rPr>
      </w:pPr>
      <w:r>
        <w:rPr>
          <w:rFonts w:eastAsia="Calibri" w:cs="Times New Roman"/>
          <w:i/>
          <w:sz w:val="16"/>
          <w:szCs w:val="18"/>
          <w:lang w:val="en-GB"/>
        </w:rPr>
        <w:t>Notes:</w:t>
      </w:r>
      <w:r w:rsidR="00FD13E3">
        <w:rPr>
          <w:rFonts w:eastAsia="Calibri" w:cs="Times New Roman"/>
          <w:i/>
          <w:sz w:val="16"/>
          <w:szCs w:val="18"/>
          <w:lang w:val="en-GB"/>
        </w:rPr>
        <w:t xml:space="preserve"> </w:t>
      </w:r>
      <w:r w:rsidR="00FD13E3" w:rsidRPr="005D6FB7">
        <w:rPr>
          <w:rFonts w:eastAsia="Calibri" w:cs="Times New Roman"/>
          <w:i/>
          <w:sz w:val="16"/>
          <w:szCs w:val="18"/>
          <w:lang w:val="en-GB"/>
        </w:rPr>
        <w:t xml:space="preserve">People with length of follow-up shorter than respective yearly and six-monthly </w:t>
      </w:r>
      <w:r w:rsidR="00880C70">
        <w:rPr>
          <w:rFonts w:eastAsia="Calibri" w:cs="Times New Roman"/>
          <w:i/>
          <w:sz w:val="16"/>
          <w:szCs w:val="18"/>
          <w:lang w:val="en-GB"/>
        </w:rPr>
        <w:t>measurement period</w:t>
      </w:r>
      <w:r w:rsidR="00FD13E3" w:rsidRPr="005D6FB7">
        <w:rPr>
          <w:rFonts w:eastAsia="Calibri" w:cs="Times New Roman"/>
          <w:i/>
          <w:sz w:val="16"/>
          <w:szCs w:val="18"/>
          <w:lang w:val="en-GB"/>
        </w:rPr>
        <w:t xml:space="preserve"> were excluded from analyses.</w:t>
      </w:r>
    </w:p>
    <w:p w14:paraId="1DC9D07B" w14:textId="624FB5E7" w:rsidR="007314E6" w:rsidRPr="006F5B60" w:rsidRDefault="007314E6" w:rsidP="006F5B60">
      <w:pPr>
        <w:ind w:left="426"/>
        <w:jc w:val="center"/>
        <w:rPr>
          <w:rFonts w:eastAsia="Calibri" w:cs="Times New Roman"/>
          <w:i/>
          <w:sz w:val="16"/>
          <w:szCs w:val="18"/>
          <w:lang w:val="en-GB"/>
        </w:rPr>
      </w:pPr>
      <w:r w:rsidRPr="00704D19">
        <w:rPr>
          <w:rFonts w:eastAsia="Calibri" w:cs="Times New Roman"/>
          <w:i/>
          <w:sz w:val="16"/>
          <w:szCs w:val="18"/>
          <w:lang w:val="en-GB"/>
        </w:rPr>
        <w:t>Source: Data extracted from 117 HCH practices (Pen CS, POLAR, and Sonic) and 403 comparator practices</w:t>
      </w:r>
      <w:r w:rsidRPr="00810D81">
        <w:rPr>
          <w:rFonts w:eastAsia="Calibri" w:cs="Times New Roman"/>
          <w:i/>
          <w:sz w:val="16"/>
          <w:szCs w:val="18"/>
          <w:lang w:val="en-GB"/>
        </w:rPr>
        <w:t xml:space="preserve"> (</w:t>
      </w:r>
      <w:proofErr w:type="spellStart"/>
      <w:r w:rsidRPr="00810D81">
        <w:rPr>
          <w:rFonts w:eastAsia="Calibri" w:cs="Times New Roman"/>
          <w:i/>
          <w:sz w:val="16"/>
          <w:szCs w:val="18"/>
          <w:lang w:val="en-GB"/>
        </w:rPr>
        <w:t>MedicineInsight</w:t>
      </w:r>
      <w:proofErr w:type="spellEnd"/>
      <w:r w:rsidRPr="00810D81">
        <w:rPr>
          <w:rFonts w:eastAsia="Calibri" w:cs="Times New Roman"/>
          <w:i/>
          <w:sz w:val="16"/>
          <w:szCs w:val="18"/>
          <w:lang w:val="en-GB"/>
        </w:rPr>
        <w:t>).</w:t>
      </w:r>
    </w:p>
    <w:p w14:paraId="207C90C5" w14:textId="77777777" w:rsidR="00FD13E3" w:rsidRDefault="00FD13E3" w:rsidP="00FD13E3">
      <w:pPr>
        <w:pStyle w:val="Heading3"/>
      </w:pPr>
      <w:r>
        <w:t>E</w:t>
      </w:r>
      <w:r w:rsidRPr="000B1860">
        <w:t>stimated glomerular filtration rate</w:t>
      </w:r>
      <w:r>
        <w:t xml:space="preserve"> results</w:t>
      </w:r>
    </w:p>
    <w:p w14:paraId="65CA9D32" w14:textId="6AEA431C" w:rsidR="00FD13E3" w:rsidRDefault="00FD13E3" w:rsidP="00987B4B">
      <w:pPr>
        <w:rPr>
          <w:rFonts w:eastAsia="Muli" w:cs="Muli"/>
        </w:rPr>
      </w:pPr>
      <w:r w:rsidRPr="002926A1">
        <w:rPr>
          <w:rFonts w:eastAsia="Muli" w:cs="Muli"/>
        </w:rPr>
        <w:t>Most HCH patients with type 2 diabetes and/or cardiovascular disease (86.4%) had a recording of an estimated glomerular filtration rate (eGFR) test</w:t>
      </w:r>
      <w:r w:rsidRPr="002926A1" w:rsidDel="00D61AE7">
        <w:rPr>
          <w:rFonts w:eastAsia="Muli" w:cs="Muli"/>
        </w:rPr>
        <w:t xml:space="preserve"> </w:t>
      </w:r>
      <w:r w:rsidRPr="002926A1">
        <w:rPr>
          <w:rFonts w:eastAsia="Muli" w:cs="Muli"/>
        </w:rPr>
        <w:t xml:space="preserve">in the year </w:t>
      </w:r>
      <w:r w:rsidR="0002675D">
        <w:rPr>
          <w:rFonts w:eastAsia="Muli" w:cs="Muli"/>
        </w:rPr>
        <w:t>before</w:t>
      </w:r>
      <w:r w:rsidRPr="002926A1">
        <w:rPr>
          <w:rFonts w:eastAsia="Muli" w:cs="Muli"/>
        </w:rPr>
        <w:t xml:space="preserve"> enrolment. This declined slightly at year one following enrolment (84.2%) and further declined at year two (77.6%) and year three (71.4%). Recording of eGFR in matched </w:t>
      </w:r>
      <w:r w:rsidR="000E16C4">
        <w:rPr>
          <w:rFonts w:eastAsia="Muli" w:cs="Muli"/>
        </w:rPr>
        <w:t>comparator</w:t>
      </w:r>
      <w:r w:rsidRPr="002926A1">
        <w:rPr>
          <w:rFonts w:eastAsia="Muli" w:cs="Muli"/>
        </w:rPr>
        <w:t xml:space="preserve"> patients were significantly lower in the follow-up periods</w:t>
      </w:r>
      <w:r>
        <w:rPr>
          <w:rFonts w:eastAsia="Muli" w:cs="Muli"/>
        </w:rPr>
        <w:t xml:space="preserve"> </w:t>
      </w:r>
      <w:r w:rsidRPr="006524FD">
        <w:rPr>
          <w:rFonts w:eastAsia="Muli" w:cs="Muli"/>
        </w:rPr>
        <w:t>(</w:t>
      </w:r>
      <w:r w:rsidRPr="006524FD">
        <w:rPr>
          <w:rFonts w:eastAsiaTheme="minorEastAsia"/>
          <w:color w:val="1D2455"/>
          <w:szCs w:val="20"/>
          <w:lang w:eastAsia="en-AU"/>
        </w:rPr>
        <w:fldChar w:fldCharType="begin"/>
      </w:r>
      <w:r w:rsidRPr="006524FD">
        <w:rPr>
          <w:rFonts w:eastAsiaTheme="minorEastAsia"/>
          <w:color w:val="1D2455"/>
          <w:szCs w:val="20"/>
          <w:lang w:eastAsia="en-AU"/>
        </w:rPr>
        <w:instrText xml:space="preserve"> REF _Ref96763820 \h </w:instrText>
      </w:r>
      <w:r w:rsidR="00F96FBA" w:rsidRPr="006524FD">
        <w:rPr>
          <w:rFonts w:eastAsiaTheme="minorEastAsia"/>
          <w:color w:val="1D2455"/>
          <w:szCs w:val="20"/>
          <w:lang w:eastAsia="en-AU"/>
        </w:rPr>
        <w:instrText xml:space="preserve"> \* MERGEFORMAT </w:instrText>
      </w:r>
      <w:r w:rsidRPr="006524FD">
        <w:rPr>
          <w:rFonts w:eastAsiaTheme="minorEastAsia"/>
          <w:color w:val="1D2455"/>
          <w:szCs w:val="20"/>
          <w:lang w:eastAsia="en-AU"/>
        </w:rPr>
      </w:r>
      <w:r w:rsidRPr="006524FD">
        <w:rPr>
          <w:rFonts w:eastAsiaTheme="minorEastAsia"/>
          <w:color w:val="1D2455"/>
          <w:szCs w:val="20"/>
          <w:lang w:eastAsia="en-AU"/>
        </w:rPr>
        <w:fldChar w:fldCharType="separate"/>
      </w:r>
      <w:r w:rsidR="003C4BC2" w:rsidRPr="003C4BC2">
        <w:rPr>
          <w:rFonts w:eastAsiaTheme="minorEastAsia"/>
          <w:color w:val="1D2455"/>
          <w:szCs w:val="20"/>
          <w:lang w:eastAsia="en-AU"/>
        </w:rPr>
        <w:t>Figure 42</w:t>
      </w:r>
      <w:r w:rsidRPr="006524FD">
        <w:rPr>
          <w:rFonts w:eastAsiaTheme="minorEastAsia"/>
          <w:color w:val="1D2455"/>
          <w:szCs w:val="20"/>
          <w:lang w:eastAsia="en-AU"/>
        </w:rPr>
        <w:fldChar w:fldCharType="end"/>
      </w:r>
      <w:r>
        <w:rPr>
          <w:rFonts w:eastAsia="Muli" w:cs="Muli"/>
        </w:rPr>
        <w:t>).</w:t>
      </w:r>
    </w:p>
    <w:p w14:paraId="28FD79E2" w14:textId="069D85BB" w:rsidR="00987B4B" w:rsidRDefault="00987B4B">
      <w:pPr>
        <w:spacing w:after="160" w:line="259" w:lineRule="auto"/>
        <w:rPr>
          <w:rFonts w:eastAsia="Muli" w:cs="Muli"/>
        </w:rPr>
      </w:pPr>
      <w:r>
        <w:rPr>
          <w:rFonts w:eastAsia="Muli" w:cs="Muli"/>
        </w:rPr>
        <w:br w:type="page"/>
      </w:r>
    </w:p>
    <w:p w14:paraId="1F398A1A" w14:textId="113F6951" w:rsidR="00FD13E3" w:rsidRDefault="00FD13E3" w:rsidP="00FD13E3">
      <w:pPr>
        <w:pStyle w:val="TableFigureheading"/>
      </w:pPr>
      <w:bookmarkStart w:id="317" w:name="_Ref96763820"/>
      <w:r w:rsidRPr="00F877C0">
        <w:lastRenderedPageBreak/>
        <w:t xml:space="preserve">Figure </w:t>
      </w:r>
      <w:r>
        <w:fldChar w:fldCharType="begin"/>
      </w:r>
      <w:r>
        <w:instrText>SEQ Figure \* ARABIC</w:instrText>
      </w:r>
      <w:r>
        <w:fldChar w:fldCharType="separate"/>
      </w:r>
      <w:r w:rsidR="003C4BC2">
        <w:rPr>
          <w:noProof/>
        </w:rPr>
        <w:t>42</w:t>
      </w:r>
      <w:r>
        <w:fldChar w:fldCharType="end"/>
      </w:r>
      <w:bookmarkEnd w:id="317"/>
      <w:r>
        <w:t xml:space="preserve">: Recording of </w:t>
      </w:r>
      <w:r w:rsidRPr="7D04FFE0">
        <w:rPr>
          <w:rFonts w:eastAsia="Muli" w:cs="Muli"/>
        </w:rPr>
        <w:t>eGFR</w:t>
      </w:r>
      <w:r>
        <w:t xml:space="preserve"> test in HCH </w:t>
      </w:r>
      <w:r w:rsidR="00CB141A">
        <w:rPr>
          <w:bCs w:val="0"/>
        </w:rPr>
        <w:t xml:space="preserve">and comparator </w:t>
      </w:r>
      <w:r>
        <w:t>patients with type 2 diabetes or cardiovascular disease</w:t>
      </w:r>
    </w:p>
    <w:p w14:paraId="7D73C75B" w14:textId="77777777" w:rsidR="00FD13E3" w:rsidRDefault="00FD13E3" w:rsidP="00FD13E3">
      <w:pPr>
        <w:pStyle w:val="TableFigureheading"/>
      </w:pPr>
      <w:r>
        <w:rPr>
          <w:noProof/>
        </w:rPr>
        <w:drawing>
          <wp:inline distT="0" distB="0" distL="0" distR="0" wp14:anchorId="2B90AA8D" wp14:editId="76A52607">
            <wp:extent cx="5221503" cy="3686175"/>
            <wp:effectExtent l="0" t="0" r="0" b="0"/>
            <wp:docPr id="26" name="Picture 2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hart, line chart&#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229993" cy="3692169"/>
                    </a:xfrm>
                    <a:prstGeom prst="rect">
                      <a:avLst/>
                    </a:prstGeom>
                  </pic:spPr>
                </pic:pic>
              </a:graphicData>
            </a:graphic>
          </wp:inline>
        </w:drawing>
      </w:r>
    </w:p>
    <w:p w14:paraId="5DB3EBF0" w14:textId="472EF520" w:rsidR="00FD13E3" w:rsidRDefault="007314E6" w:rsidP="007314E6">
      <w:pPr>
        <w:pStyle w:val="Chartortablefootnote"/>
        <w:spacing w:after="0"/>
        <w:ind w:right="-45"/>
        <w:rPr>
          <w:lang w:val="en-GB"/>
        </w:rPr>
      </w:pPr>
      <w:r>
        <w:rPr>
          <w:lang w:val="en-GB"/>
        </w:rPr>
        <w:t>Notes:</w:t>
      </w:r>
      <w:r w:rsidR="00FD13E3">
        <w:rPr>
          <w:lang w:val="en-GB"/>
        </w:rPr>
        <w:t xml:space="preserve"> People with length of follow-up shorter than respective yearly and six-monthly </w:t>
      </w:r>
      <w:r w:rsidR="009F2B76">
        <w:rPr>
          <w:lang w:val="en-GB"/>
        </w:rPr>
        <w:t>measurement period</w:t>
      </w:r>
      <w:r w:rsidR="00FD13E3">
        <w:rPr>
          <w:lang w:val="en-GB"/>
        </w:rPr>
        <w:t xml:space="preserve"> were excluded from analyses.</w:t>
      </w:r>
    </w:p>
    <w:p w14:paraId="6F7E97ED" w14:textId="66974DFD" w:rsidR="007314E6" w:rsidRDefault="007314E6" w:rsidP="00FD13E3">
      <w:pPr>
        <w:pStyle w:val="Chartortablefootnote"/>
        <w:ind w:right="-46"/>
      </w:pPr>
      <w:r w:rsidRPr="009C5B71">
        <w:rPr>
          <w:lang w:val="en-GB"/>
        </w:rPr>
        <w:t xml:space="preserve">Source: Data </w:t>
      </w:r>
      <w:r w:rsidRPr="009C5B71">
        <w:t>extracted from 117 HCH practices (Pen CS, POLAR, and Sonic) and 403 comparator practices</w:t>
      </w:r>
      <w:r>
        <w:t xml:space="preserve"> (</w:t>
      </w:r>
      <w:proofErr w:type="spellStart"/>
      <w:r>
        <w:t>MedicineInsight</w:t>
      </w:r>
      <w:proofErr w:type="spellEnd"/>
      <w:r>
        <w:t>).</w:t>
      </w:r>
    </w:p>
    <w:p w14:paraId="5BD0849F" w14:textId="3B98F9AE" w:rsidR="00FD13E3" w:rsidRPr="006F5B60" w:rsidRDefault="00FD13E3" w:rsidP="006F5B60">
      <w:r w:rsidRPr="7D04FFE0">
        <w:t xml:space="preserve">Among enrolled patients who had </w:t>
      </w:r>
      <w:r w:rsidRPr="00C96EFB">
        <w:t xml:space="preserve">an </w:t>
      </w:r>
      <w:r w:rsidRPr="7D04FFE0">
        <w:t>eGF</w:t>
      </w:r>
      <w:r>
        <w:t>R</w:t>
      </w:r>
      <w:r w:rsidRPr="7D04FFE0">
        <w:t xml:space="preserve"> </w:t>
      </w:r>
      <w:r w:rsidRPr="00C96EFB">
        <w:t>record</w:t>
      </w:r>
      <w:r w:rsidRPr="7D04FFE0">
        <w:t xml:space="preserve">, </w:t>
      </w:r>
      <w:r>
        <w:t xml:space="preserve">in the 12 months </w:t>
      </w:r>
      <w:r w:rsidR="0002675D">
        <w:t>before</w:t>
      </w:r>
      <w:r>
        <w:t xml:space="preserve"> enrolment, 20.2</w:t>
      </w:r>
      <w:r w:rsidRPr="7D04FFE0">
        <w:t xml:space="preserve">% had </w:t>
      </w:r>
      <w:r>
        <w:t xml:space="preserve">an </w:t>
      </w:r>
      <w:r w:rsidRPr="7D04FFE0">
        <w:t>eGFR</w:t>
      </w:r>
      <w:r>
        <w:t xml:space="preserve"> result in the range of chronic kidney disease (CKD) Stage 3A </w:t>
      </w:r>
      <w:r w:rsidRPr="7D04FFE0">
        <w:t>(</w:t>
      </w:r>
      <w:r>
        <w:t>45</w:t>
      </w:r>
      <w:r w:rsidR="000E43F6">
        <w:t>≤</w:t>
      </w:r>
      <w:r w:rsidRPr="7D04FFE0">
        <w:t xml:space="preserve">eGFR&lt;60 </w:t>
      </w:r>
      <w:r>
        <w:t>mL/min/1.73m</w:t>
      </w:r>
      <w:r w:rsidRPr="00C96EFB">
        <w:rPr>
          <w:vertAlign w:val="superscript"/>
        </w:rPr>
        <w:t>2</w:t>
      </w:r>
      <w:r>
        <w:t>) or CKD Stage 3B (30</w:t>
      </w:r>
      <w:r w:rsidR="000E43F6">
        <w:t>≤</w:t>
      </w:r>
      <w:r w:rsidRPr="7D04FFE0">
        <w:t>eGFR&lt;</w:t>
      </w:r>
      <w:r>
        <w:t>45); and 14.9% had eGFR in the range of CKD Stage 4 (15</w:t>
      </w:r>
      <w:r w:rsidR="000E43F6">
        <w:t>≤</w:t>
      </w:r>
      <w:r w:rsidRPr="7D04FFE0">
        <w:t>eGFR&lt;</w:t>
      </w:r>
      <w:r>
        <w:t>3</w:t>
      </w:r>
      <w:r w:rsidRPr="7D04FFE0">
        <w:t>0</w:t>
      </w:r>
      <w:r>
        <w:t>) or CDK Stage 5 (eGFR&lt;15).</w:t>
      </w:r>
      <w:r w:rsidRPr="7D04FFE0">
        <w:t xml:space="preserve"> </w:t>
      </w:r>
      <w:r>
        <w:t>The proportions of patients with an eGFR in CKD Stage 3A/3B increased slightly during the follow-up periods while the proportions of patients with an eGFR in CKD Stage 4/5 slightly decreased over the follow-up period (</w:t>
      </w:r>
      <w:r w:rsidRPr="006524FD">
        <w:rPr>
          <w:rFonts w:eastAsiaTheme="minorEastAsia"/>
          <w:bCs/>
          <w:color w:val="1D2455"/>
          <w:szCs w:val="20"/>
          <w:lang w:eastAsia="en-AU"/>
        </w:rPr>
        <w:fldChar w:fldCharType="begin"/>
      </w:r>
      <w:r w:rsidRPr="006524FD">
        <w:rPr>
          <w:bCs/>
        </w:rPr>
        <w:instrText xml:space="preserve"> REF _Ref96770271 \h </w:instrText>
      </w:r>
      <w:r w:rsidR="006F5B60" w:rsidRPr="006524FD">
        <w:rPr>
          <w:bCs/>
        </w:rPr>
        <w:instrText xml:space="preserve"> \* MERGEFORMAT </w:instrText>
      </w:r>
      <w:r w:rsidRPr="006524FD">
        <w:rPr>
          <w:rFonts w:eastAsiaTheme="minorEastAsia"/>
          <w:bCs/>
          <w:color w:val="1D2455"/>
          <w:szCs w:val="20"/>
          <w:lang w:eastAsia="en-AU"/>
        </w:rPr>
      </w:r>
      <w:r w:rsidRPr="006524FD">
        <w:rPr>
          <w:rFonts w:eastAsiaTheme="minorEastAsia"/>
          <w:bCs/>
          <w:color w:val="1D2455"/>
          <w:szCs w:val="20"/>
          <w:lang w:eastAsia="en-AU"/>
        </w:rPr>
        <w:fldChar w:fldCharType="separate"/>
      </w:r>
      <w:r w:rsidR="003C4BC2" w:rsidRPr="003C4BC2">
        <w:rPr>
          <w:rFonts w:eastAsiaTheme="minorEastAsia"/>
          <w:bCs/>
          <w:color w:val="1D2455"/>
          <w:szCs w:val="20"/>
          <w:lang w:eastAsia="en-AU"/>
        </w:rPr>
        <w:t xml:space="preserve">Figure </w:t>
      </w:r>
      <w:r w:rsidR="003C4BC2" w:rsidRPr="003C4BC2">
        <w:rPr>
          <w:rFonts w:eastAsiaTheme="minorEastAsia"/>
          <w:color w:val="1D2455"/>
          <w:szCs w:val="20"/>
          <w:lang w:eastAsia="en-AU"/>
        </w:rPr>
        <w:t>43</w:t>
      </w:r>
      <w:r w:rsidRPr="006524FD">
        <w:rPr>
          <w:rFonts w:eastAsiaTheme="minorEastAsia"/>
          <w:bCs/>
          <w:color w:val="1D2455"/>
          <w:szCs w:val="20"/>
          <w:lang w:eastAsia="en-AU"/>
        </w:rPr>
        <w:fldChar w:fldCharType="end"/>
      </w:r>
      <w:r>
        <w:t>).</w:t>
      </w:r>
      <w:r w:rsidRPr="7D04FFE0">
        <w:t xml:space="preserve"> </w:t>
      </w:r>
    </w:p>
    <w:p w14:paraId="697CB408" w14:textId="1C2AB7BE" w:rsidR="00987B4B" w:rsidRDefault="00FD13E3" w:rsidP="006F5B60">
      <w:r w:rsidRPr="7D04FFE0">
        <w:t xml:space="preserve">Comparator patients </w:t>
      </w:r>
      <w:r>
        <w:t>were matched with HCH patients in the pre-enrolment period</w:t>
      </w:r>
      <w:r w:rsidDel="00D6209B">
        <w:t xml:space="preserve"> </w:t>
      </w:r>
      <w:r>
        <w:t xml:space="preserve">(whether an eGFR test was recorded and results of the latest eGFR). Among those who </w:t>
      </w:r>
      <w:r w:rsidRPr="7D04FFE0">
        <w:t xml:space="preserve">had an eGFR test, </w:t>
      </w:r>
      <w:r>
        <w:t>similar patterns in changes in eGFR levels were also observed during the follow-up period (</w:t>
      </w:r>
      <w:r w:rsidRPr="006524FD">
        <w:rPr>
          <w:rFonts w:eastAsiaTheme="minorEastAsia"/>
          <w:bCs/>
          <w:color w:val="1D2455"/>
          <w:szCs w:val="20"/>
          <w:lang w:eastAsia="en-AU"/>
        </w:rPr>
        <w:fldChar w:fldCharType="begin"/>
      </w:r>
      <w:r w:rsidRPr="006524FD">
        <w:rPr>
          <w:bCs/>
        </w:rPr>
        <w:instrText xml:space="preserve"> REF _Ref96770271 \h </w:instrText>
      </w:r>
      <w:r w:rsidR="006F5B60" w:rsidRPr="006524FD">
        <w:rPr>
          <w:bCs/>
        </w:rPr>
        <w:instrText xml:space="preserve"> \* MERGEFORMAT </w:instrText>
      </w:r>
      <w:r w:rsidRPr="006524FD">
        <w:rPr>
          <w:rFonts w:eastAsiaTheme="minorEastAsia"/>
          <w:bCs/>
          <w:color w:val="1D2455"/>
          <w:szCs w:val="20"/>
          <w:lang w:eastAsia="en-AU"/>
        </w:rPr>
      </w:r>
      <w:r w:rsidRPr="006524FD">
        <w:rPr>
          <w:rFonts w:eastAsiaTheme="minorEastAsia"/>
          <w:bCs/>
          <w:color w:val="1D2455"/>
          <w:szCs w:val="20"/>
          <w:lang w:eastAsia="en-AU"/>
        </w:rPr>
        <w:fldChar w:fldCharType="separate"/>
      </w:r>
      <w:r w:rsidR="003C4BC2" w:rsidRPr="003C4BC2">
        <w:rPr>
          <w:rFonts w:eastAsiaTheme="minorEastAsia"/>
          <w:bCs/>
          <w:color w:val="1D2455"/>
          <w:szCs w:val="20"/>
          <w:lang w:eastAsia="en-AU"/>
        </w:rPr>
        <w:t xml:space="preserve">Figure </w:t>
      </w:r>
      <w:r w:rsidR="003C4BC2" w:rsidRPr="003C4BC2">
        <w:rPr>
          <w:rFonts w:eastAsiaTheme="minorEastAsia"/>
          <w:color w:val="1D2455"/>
          <w:szCs w:val="20"/>
          <w:lang w:eastAsia="en-AU"/>
        </w:rPr>
        <w:t>43</w:t>
      </w:r>
      <w:r w:rsidRPr="006524FD">
        <w:rPr>
          <w:rFonts w:eastAsiaTheme="minorEastAsia"/>
          <w:bCs/>
          <w:color w:val="1D2455"/>
          <w:szCs w:val="20"/>
          <w:lang w:eastAsia="en-AU"/>
        </w:rPr>
        <w:fldChar w:fldCharType="end"/>
      </w:r>
      <w:r>
        <w:t>).</w:t>
      </w:r>
    </w:p>
    <w:p w14:paraId="6A2FFDF0" w14:textId="77777777" w:rsidR="00987B4B" w:rsidRDefault="00987B4B">
      <w:pPr>
        <w:spacing w:after="160" w:line="259" w:lineRule="auto"/>
      </w:pPr>
      <w:r>
        <w:br w:type="page"/>
      </w:r>
    </w:p>
    <w:p w14:paraId="328AE67C" w14:textId="55F9FA4D" w:rsidR="00FD13E3" w:rsidRDefault="00FD13E3" w:rsidP="00FD13E3">
      <w:pPr>
        <w:pStyle w:val="TableFigureheading"/>
      </w:pPr>
      <w:bookmarkStart w:id="318" w:name="_Ref96770271"/>
      <w:r w:rsidRPr="00F877C0">
        <w:lastRenderedPageBreak/>
        <w:t xml:space="preserve">Figure </w:t>
      </w:r>
      <w:r>
        <w:fldChar w:fldCharType="begin"/>
      </w:r>
      <w:r>
        <w:instrText>SEQ Figure \* ARABIC</w:instrText>
      </w:r>
      <w:r>
        <w:fldChar w:fldCharType="separate"/>
      </w:r>
      <w:r w:rsidR="003C4BC2">
        <w:rPr>
          <w:noProof/>
        </w:rPr>
        <w:t>43</w:t>
      </w:r>
      <w:r>
        <w:fldChar w:fldCharType="end"/>
      </w:r>
      <w:bookmarkEnd w:id="318"/>
      <w:r>
        <w:t xml:space="preserve">: eGFR results in HCH </w:t>
      </w:r>
      <w:r w:rsidR="00CB141A">
        <w:rPr>
          <w:bCs w:val="0"/>
        </w:rPr>
        <w:t xml:space="preserve">and comparator </w:t>
      </w:r>
      <w:r>
        <w:t>patients with type 2 diabetes or cardiovascular disease who had an eGFR test recorded</w:t>
      </w:r>
    </w:p>
    <w:p w14:paraId="15B8F77E" w14:textId="77777777" w:rsidR="00FD13E3" w:rsidRDefault="00FD13E3" w:rsidP="00FD13E3">
      <w:pPr>
        <w:pStyle w:val="TableFigureheading"/>
      </w:pPr>
      <w:r>
        <w:rPr>
          <w:noProof/>
        </w:rPr>
        <w:drawing>
          <wp:inline distT="0" distB="0" distL="0" distR="0" wp14:anchorId="55E9CCB6" wp14:editId="055F57D5">
            <wp:extent cx="5455465" cy="4635272"/>
            <wp:effectExtent l="0" t="0" r="0" b="0"/>
            <wp:docPr id="28" name="Picture 28"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screenshot of a computer&#10;&#10;Description automatically generated with low confidenc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458399" cy="4637765"/>
                    </a:xfrm>
                    <a:prstGeom prst="rect">
                      <a:avLst/>
                    </a:prstGeom>
                  </pic:spPr>
                </pic:pic>
              </a:graphicData>
            </a:graphic>
          </wp:inline>
        </w:drawing>
      </w:r>
    </w:p>
    <w:p w14:paraId="73FB6B72" w14:textId="0F0AE769" w:rsidR="00FD13E3" w:rsidRDefault="007314E6" w:rsidP="007314E6">
      <w:pPr>
        <w:pStyle w:val="Chartortablefootnote"/>
        <w:spacing w:after="0"/>
        <w:ind w:left="720" w:right="663"/>
        <w:rPr>
          <w:lang w:val="en-GB"/>
        </w:rPr>
      </w:pPr>
      <w:r>
        <w:rPr>
          <w:lang w:val="en-GB"/>
        </w:rPr>
        <w:t>Notes:</w:t>
      </w:r>
      <w:r w:rsidR="00FD13E3">
        <w:rPr>
          <w:lang w:val="en-GB"/>
        </w:rPr>
        <w:t xml:space="preserve"> People with length of follow-up shorter than respective yearly and six-monthly </w:t>
      </w:r>
      <w:r w:rsidR="00FB0DB0">
        <w:rPr>
          <w:lang w:val="en-GB"/>
        </w:rPr>
        <w:t>measurement period</w:t>
      </w:r>
      <w:r w:rsidR="00FD13E3">
        <w:rPr>
          <w:lang w:val="en-GB"/>
        </w:rPr>
        <w:t xml:space="preserve"> were excluded from analyses.</w:t>
      </w:r>
    </w:p>
    <w:p w14:paraId="23934A58" w14:textId="6497DE65" w:rsidR="007314E6" w:rsidRDefault="007314E6" w:rsidP="00FD13E3">
      <w:pPr>
        <w:pStyle w:val="Chartortablefootnote"/>
        <w:ind w:left="720" w:right="662"/>
      </w:pPr>
      <w:r w:rsidRPr="00E05AB7">
        <w:rPr>
          <w:lang w:val="en-GB"/>
        </w:rPr>
        <w:t xml:space="preserve">Source: Data </w:t>
      </w:r>
      <w:r w:rsidRPr="00E05AB7">
        <w:t>extracted from 117 HCH practices (Pen CS, POLAR, and Sonic) and 403 comparator</w:t>
      </w:r>
      <w:r>
        <w:t xml:space="preserve"> practices (</w:t>
      </w:r>
      <w:proofErr w:type="spellStart"/>
      <w:r>
        <w:t>MedicineInsight</w:t>
      </w:r>
      <w:proofErr w:type="spellEnd"/>
      <w:r>
        <w:t>).</w:t>
      </w:r>
    </w:p>
    <w:p w14:paraId="4D2F42F9" w14:textId="77777777" w:rsidR="00A731E4" w:rsidRDefault="00A731E4" w:rsidP="00A731E4"/>
    <w:p w14:paraId="48D25581" w14:textId="2C08158B" w:rsidR="004A40FC" w:rsidRDefault="004A40FC" w:rsidP="00A731E4">
      <w:pPr>
        <w:sectPr w:rsidR="004A40FC">
          <w:headerReference w:type="default" r:id="rId71"/>
          <w:pgSz w:w="11906" w:h="16838"/>
          <w:pgMar w:top="1440" w:right="1440" w:bottom="1440" w:left="1440" w:header="708" w:footer="708" w:gutter="0"/>
          <w:cols w:space="708"/>
          <w:docGrid w:linePitch="360"/>
        </w:sectPr>
      </w:pPr>
    </w:p>
    <w:p w14:paraId="49839355" w14:textId="381C8EC4" w:rsidR="00032A68" w:rsidRPr="0094369A" w:rsidRDefault="005B6744" w:rsidP="00032A68">
      <w:pPr>
        <w:pStyle w:val="ChapterNumber"/>
      </w:pPr>
      <w:r>
        <w:lastRenderedPageBreak/>
        <w:fldChar w:fldCharType="begin"/>
      </w:r>
      <w:r>
        <w:instrText xml:space="preserve"> REF _Ref82530191 \r \h </w:instrText>
      </w:r>
      <w:r>
        <w:fldChar w:fldCharType="separate"/>
      </w:r>
      <w:r w:rsidR="003C4BC2">
        <w:t>16</w:t>
      </w:r>
      <w:r>
        <w:fldChar w:fldCharType="end"/>
      </w:r>
    </w:p>
    <w:p w14:paraId="57B802BD" w14:textId="5282AC78" w:rsidR="00032A68" w:rsidRDefault="005B6744" w:rsidP="005B6744">
      <w:pPr>
        <w:pStyle w:val="Heading1withnumber"/>
        <w:ind w:left="0" w:hanging="993"/>
      </w:pPr>
      <w:bookmarkStart w:id="319" w:name="_Ref82530191"/>
      <w:bookmarkStart w:id="320" w:name="_Toc109996724"/>
      <w:r>
        <w:t>Patient and carer experience</w:t>
      </w:r>
      <w:bookmarkEnd w:id="319"/>
      <w:bookmarkEnd w:id="320"/>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2A4D96" w:rsidRPr="0048466A" w14:paraId="0E4AF6ED" w14:textId="77777777" w:rsidTr="00256EF9">
        <w:tc>
          <w:tcPr>
            <w:tcW w:w="8996" w:type="dxa"/>
            <w:shd w:val="clear" w:color="auto" w:fill="auto"/>
          </w:tcPr>
          <w:p w14:paraId="2D1A682E" w14:textId="484B8CF4" w:rsidR="00FF7D69" w:rsidRPr="006201AB" w:rsidRDefault="00FF7D69" w:rsidP="00FF7D69">
            <w:pPr>
              <w:pStyle w:val="Boxheading"/>
              <w:spacing w:after="120"/>
              <w:rPr>
                <w:bCs/>
                <w:szCs w:val="20"/>
              </w:rPr>
            </w:pPr>
            <w:bookmarkStart w:id="321" w:name="_Hlk99202528"/>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23</w:t>
            </w:r>
            <w:r w:rsidRPr="006201AB">
              <w:rPr>
                <w:bCs/>
                <w:noProof/>
              </w:rPr>
              <w:fldChar w:fldCharType="end"/>
            </w:r>
            <w:r w:rsidRPr="006201AB">
              <w:rPr>
                <w:bCs/>
                <w:szCs w:val="20"/>
              </w:rPr>
              <w:t>: Chapter summary</w:t>
            </w:r>
          </w:p>
          <w:p w14:paraId="044A4BB0" w14:textId="77777777" w:rsidR="000C1BE3" w:rsidRPr="000C4D9F" w:rsidRDefault="000C1BE3" w:rsidP="000C1BE3">
            <w:pPr>
              <w:spacing w:after="120"/>
              <w:rPr>
                <w:rFonts w:eastAsia="Muli" w:cs="Muli"/>
                <w:color w:val="000000" w:themeColor="text1"/>
                <w:sz w:val="18"/>
                <w:szCs w:val="18"/>
              </w:rPr>
            </w:pPr>
            <w:r w:rsidRPr="000C4D9F">
              <w:rPr>
                <w:rFonts w:eastAsia="Muli" w:cs="Muli"/>
                <w:color w:val="000000" w:themeColor="text1"/>
                <w:sz w:val="18"/>
                <w:szCs w:val="18"/>
              </w:rPr>
              <w:t>Most patients reported that they had strong, long-standing relationships with their GPs</w:t>
            </w:r>
            <w:r>
              <w:rPr>
                <w:rFonts w:eastAsia="Muli" w:cs="Muli"/>
                <w:color w:val="000000" w:themeColor="text1"/>
                <w:sz w:val="18"/>
                <w:szCs w:val="18"/>
              </w:rPr>
              <w:t xml:space="preserve">. </w:t>
            </w:r>
            <w:r w:rsidRPr="000C4D9F">
              <w:rPr>
                <w:rFonts w:eastAsia="Muli" w:cs="Muli"/>
                <w:color w:val="000000" w:themeColor="text1"/>
                <w:sz w:val="18"/>
                <w:szCs w:val="18"/>
              </w:rPr>
              <w:t xml:space="preserve">The </w:t>
            </w:r>
            <w:r>
              <w:rPr>
                <w:rFonts w:eastAsia="Muli" w:cs="Muli"/>
                <w:color w:val="000000" w:themeColor="text1"/>
                <w:sz w:val="18"/>
                <w:szCs w:val="18"/>
              </w:rPr>
              <w:t>r</w:t>
            </w:r>
            <w:r w:rsidRPr="000C4D9F">
              <w:rPr>
                <w:rFonts w:eastAsia="Muli" w:cs="Muli"/>
                <w:color w:val="000000" w:themeColor="text1"/>
                <w:sz w:val="18"/>
                <w:szCs w:val="18"/>
              </w:rPr>
              <w:t>ound 1 patient survey revealed that 65% of HCH patients had been attending their practice for five or more years and a further 16% had attended for three to five years.</w:t>
            </w:r>
          </w:p>
          <w:p w14:paraId="5EA410CD" w14:textId="00A7E578" w:rsidR="00FF7D69" w:rsidRPr="000C4D9F" w:rsidRDefault="003C2B4A" w:rsidP="00FF7D69">
            <w:pPr>
              <w:spacing w:after="120"/>
              <w:rPr>
                <w:rFonts w:eastAsia="Muli" w:cs="Muli"/>
                <w:color w:val="000000" w:themeColor="text1"/>
                <w:sz w:val="18"/>
                <w:szCs w:val="18"/>
              </w:rPr>
            </w:pPr>
            <w:r>
              <w:rPr>
                <w:rFonts w:eastAsia="Muli" w:cs="Muli"/>
                <w:color w:val="000000" w:themeColor="text1"/>
                <w:sz w:val="18"/>
                <w:szCs w:val="18"/>
              </w:rPr>
              <w:t xml:space="preserve">When interviewed </w:t>
            </w:r>
            <w:r w:rsidR="009529AD">
              <w:rPr>
                <w:rFonts w:eastAsia="Muli" w:cs="Muli"/>
                <w:color w:val="000000" w:themeColor="text1"/>
                <w:sz w:val="18"/>
                <w:szCs w:val="18"/>
              </w:rPr>
              <w:t>s</w:t>
            </w:r>
            <w:r w:rsidR="00FF7D69" w:rsidRPr="000C4D9F">
              <w:rPr>
                <w:rFonts w:eastAsia="Muli" w:cs="Muli"/>
                <w:color w:val="000000" w:themeColor="text1"/>
                <w:sz w:val="18"/>
                <w:szCs w:val="18"/>
              </w:rPr>
              <w:t>ome patients appeared unaware of what HCH entail</w:t>
            </w:r>
            <w:r w:rsidR="008760FE">
              <w:rPr>
                <w:rFonts w:eastAsia="Muli" w:cs="Muli"/>
                <w:color w:val="000000" w:themeColor="text1"/>
                <w:sz w:val="18"/>
                <w:szCs w:val="18"/>
              </w:rPr>
              <w:t>ed</w:t>
            </w:r>
            <w:r w:rsidR="00FF7D69" w:rsidRPr="000C4D9F">
              <w:rPr>
                <w:rFonts w:eastAsia="Muli" w:cs="Muli"/>
                <w:color w:val="000000" w:themeColor="text1"/>
                <w:sz w:val="18"/>
                <w:szCs w:val="18"/>
              </w:rPr>
              <w:t xml:space="preserve"> and reported that little had changed with their care. Practices attributed patients’ observations of no difference to already operating like </w:t>
            </w:r>
            <w:r w:rsidR="00DB1BD7">
              <w:rPr>
                <w:rFonts w:eastAsia="Muli" w:cs="Muli"/>
                <w:color w:val="000000" w:themeColor="text1"/>
                <w:sz w:val="18"/>
                <w:szCs w:val="18"/>
              </w:rPr>
              <w:t>a HCH</w:t>
            </w:r>
            <w:r w:rsidR="00FF7D69" w:rsidRPr="000C4D9F">
              <w:rPr>
                <w:rFonts w:eastAsia="Muli" w:cs="Muli"/>
                <w:color w:val="000000" w:themeColor="text1"/>
                <w:sz w:val="18"/>
                <w:szCs w:val="18"/>
              </w:rPr>
              <w:t xml:space="preserve"> before the trial. Patients generally reported getting good care, but increased awareness may allow them to take full advantage of what HCH can offer. This is especially important for HCH with its emphasis on involving patients in their care and patient self-management.</w:t>
            </w:r>
          </w:p>
          <w:p w14:paraId="57256A07" w14:textId="589DACE5" w:rsidR="00FF7D69" w:rsidRPr="000C4D9F" w:rsidRDefault="00A12AA6" w:rsidP="003F7449">
            <w:pPr>
              <w:spacing w:after="120"/>
              <w:rPr>
                <w:rFonts w:eastAsia="Muli" w:cs="Muli"/>
                <w:color w:val="000000" w:themeColor="text1"/>
                <w:sz w:val="18"/>
                <w:szCs w:val="18"/>
              </w:rPr>
            </w:pPr>
            <w:r>
              <w:rPr>
                <w:rFonts w:eastAsia="Muli" w:cs="Muli"/>
                <w:color w:val="000000" w:themeColor="text1"/>
                <w:sz w:val="18"/>
                <w:szCs w:val="18"/>
              </w:rPr>
              <w:t>Most p</w:t>
            </w:r>
            <w:r w:rsidR="003F7449">
              <w:rPr>
                <w:rFonts w:eastAsia="Muli" w:cs="Muli"/>
                <w:color w:val="000000" w:themeColor="text1"/>
                <w:sz w:val="18"/>
                <w:szCs w:val="18"/>
              </w:rPr>
              <w:t xml:space="preserve">atients reported that they </w:t>
            </w:r>
            <w:r w:rsidR="00FF7D69" w:rsidRPr="000C4D9F">
              <w:rPr>
                <w:rFonts w:eastAsia="Muli" w:cs="Muli"/>
                <w:color w:val="000000" w:themeColor="text1"/>
                <w:sz w:val="18"/>
                <w:szCs w:val="18"/>
              </w:rPr>
              <w:t xml:space="preserve">were satisfied with the care received at their practices. Some patients observed </w:t>
            </w:r>
            <w:r w:rsidR="00BC4A4A">
              <w:rPr>
                <w:rFonts w:eastAsia="Muli" w:cs="Muli"/>
                <w:color w:val="000000" w:themeColor="text1"/>
                <w:sz w:val="18"/>
                <w:szCs w:val="18"/>
              </w:rPr>
              <w:t>that</w:t>
            </w:r>
            <w:r w:rsidR="00FF7D69" w:rsidRPr="000C4D9F">
              <w:rPr>
                <w:rFonts w:eastAsia="Muli" w:cs="Muli"/>
                <w:color w:val="000000" w:themeColor="text1"/>
                <w:sz w:val="18"/>
                <w:szCs w:val="18"/>
              </w:rPr>
              <w:t xml:space="preserve"> </w:t>
            </w:r>
            <w:r w:rsidR="00BC4A4A">
              <w:rPr>
                <w:rFonts w:eastAsia="Muli" w:cs="Muli"/>
                <w:color w:val="000000" w:themeColor="text1"/>
                <w:sz w:val="18"/>
                <w:szCs w:val="18"/>
              </w:rPr>
              <w:t>a</w:t>
            </w:r>
            <w:r w:rsidR="00FF7D69" w:rsidRPr="000C4D9F">
              <w:rPr>
                <w:rFonts w:eastAsia="Muli" w:cs="Muli"/>
                <w:color w:val="000000" w:themeColor="text1"/>
                <w:sz w:val="18"/>
                <w:szCs w:val="18"/>
              </w:rPr>
              <w:t xml:space="preserve"> practice nurse had more active involvement in their care </w:t>
            </w:r>
            <w:r w:rsidR="00D21682">
              <w:rPr>
                <w:rFonts w:eastAsia="Muli" w:cs="Muli"/>
                <w:color w:val="000000" w:themeColor="text1"/>
                <w:sz w:val="18"/>
                <w:szCs w:val="18"/>
              </w:rPr>
              <w:t xml:space="preserve">following enrolling in </w:t>
            </w:r>
            <w:r w:rsidR="00FF7D69" w:rsidRPr="000C4D9F">
              <w:rPr>
                <w:rFonts w:eastAsia="Muli" w:cs="Muli"/>
                <w:color w:val="000000" w:themeColor="text1"/>
                <w:sz w:val="18"/>
                <w:szCs w:val="18"/>
              </w:rPr>
              <w:t xml:space="preserve">HCH. </w:t>
            </w:r>
            <w:r w:rsidR="00E74545">
              <w:rPr>
                <w:rFonts w:eastAsia="Muli" w:cs="Muli"/>
                <w:color w:val="000000" w:themeColor="text1"/>
                <w:sz w:val="18"/>
                <w:szCs w:val="18"/>
              </w:rPr>
              <w:t>They</w:t>
            </w:r>
            <w:r w:rsidR="00FF7D69" w:rsidRPr="000C4D9F">
              <w:rPr>
                <w:rFonts w:eastAsia="Muli" w:cs="Muli"/>
                <w:color w:val="000000" w:themeColor="text1"/>
                <w:sz w:val="18"/>
                <w:szCs w:val="18"/>
              </w:rPr>
              <w:t xml:space="preserve"> welcomed this change</w:t>
            </w:r>
            <w:r w:rsidR="00E74545">
              <w:rPr>
                <w:rFonts w:eastAsia="Muli" w:cs="Muli"/>
                <w:color w:val="000000" w:themeColor="text1"/>
                <w:sz w:val="18"/>
                <w:szCs w:val="18"/>
              </w:rPr>
              <w:t>,</w:t>
            </w:r>
            <w:r w:rsidR="00FF7D69" w:rsidRPr="000C4D9F">
              <w:rPr>
                <w:rFonts w:eastAsia="Muli" w:cs="Muli"/>
                <w:color w:val="000000" w:themeColor="text1"/>
                <w:sz w:val="18"/>
                <w:szCs w:val="18"/>
              </w:rPr>
              <w:t xml:space="preserve"> </w:t>
            </w:r>
            <w:r w:rsidR="00983560">
              <w:rPr>
                <w:rFonts w:eastAsia="Muli" w:cs="Muli"/>
                <w:color w:val="000000" w:themeColor="text1"/>
                <w:sz w:val="18"/>
                <w:szCs w:val="18"/>
              </w:rPr>
              <w:t>as they</w:t>
            </w:r>
            <w:r w:rsidR="00FF7D69" w:rsidRPr="000C4D9F">
              <w:rPr>
                <w:rFonts w:eastAsia="Muli" w:cs="Muli"/>
                <w:color w:val="000000" w:themeColor="text1"/>
                <w:sz w:val="18"/>
                <w:szCs w:val="18"/>
              </w:rPr>
              <w:t xml:space="preserve"> were able to ask more questions about their health and </w:t>
            </w:r>
            <w:r w:rsidR="00E74545">
              <w:rPr>
                <w:rFonts w:eastAsia="Muli" w:cs="Muli"/>
                <w:color w:val="000000" w:themeColor="text1"/>
                <w:sz w:val="18"/>
                <w:szCs w:val="18"/>
              </w:rPr>
              <w:t>how to manage</w:t>
            </w:r>
            <w:r w:rsidR="00FF7D69" w:rsidRPr="000C4D9F">
              <w:rPr>
                <w:rFonts w:eastAsia="Muli" w:cs="Muli"/>
                <w:color w:val="000000" w:themeColor="text1"/>
                <w:sz w:val="18"/>
                <w:szCs w:val="18"/>
              </w:rPr>
              <w:t xml:space="preserve"> their conditions.</w:t>
            </w:r>
          </w:p>
          <w:p w14:paraId="51617B6A" w14:textId="77777777" w:rsidR="00FF7D69" w:rsidRPr="000C4D9F" w:rsidRDefault="00FF7D69" w:rsidP="00FF7D69">
            <w:pPr>
              <w:spacing w:after="120"/>
              <w:rPr>
                <w:rFonts w:eastAsia="Muli" w:cs="Muli"/>
                <w:color w:val="000000" w:themeColor="text1"/>
                <w:sz w:val="18"/>
                <w:szCs w:val="18"/>
              </w:rPr>
            </w:pPr>
            <w:r w:rsidRPr="000C4D9F">
              <w:rPr>
                <w:rFonts w:eastAsia="Muli" w:cs="Muli"/>
                <w:color w:val="000000" w:themeColor="text1"/>
                <w:sz w:val="18"/>
                <w:szCs w:val="18"/>
              </w:rPr>
              <w:t xml:space="preserve">Changes in care most noticed by patients included increased access to a practice via telephone or email. This included requesting routine prescriptions or referrals over the phone without an appointment with their GP, and a capacity to telephone with a practice nurse, HCH coordinator or doctor to discuss questions or concerns, which put them at ease and helped them manage their condition more effectively. </w:t>
            </w:r>
          </w:p>
          <w:p w14:paraId="2736DBE3" w14:textId="76123371" w:rsidR="00D31510" w:rsidRDefault="00D31510" w:rsidP="00D31510">
            <w:pPr>
              <w:spacing w:after="120"/>
              <w:rPr>
                <w:rFonts w:eastAsia="Muli" w:cs="Muli"/>
                <w:color w:val="000000" w:themeColor="text1"/>
                <w:sz w:val="18"/>
                <w:szCs w:val="18"/>
              </w:rPr>
            </w:pPr>
            <w:r w:rsidRPr="00D31510">
              <w:rPr>
                <w:rFonts w:eastAsia="Muli" w:cs="Muli"/>
                <w:color w:val="000000" w:themeColor="text1"/>
                <w:sz w:val="18"/>
                <w:szCs w:val="18"/>
              </w:rPr>
              <w:t>Fifty-seven percent of the patients surveyed reported being aware of a treatment or shared care plan. Of these, 42% reported that the plan was discussed with the GP or other practice staff at most consultations, and 43% reported that it was sometimes discussed. Patients had limited awareness of electronic sharing of information from their care plan among their providers.</w:t>
            </w:r>
          </w:p>
          <w:p w14:paraId="7C4A75D6" w14:textId="77777777" w:rsidR="00D31510" w:rsidRPr="000C4D9F" w:rsidRDefault="00D31510" w:rsidP="00D31510">
            <w:pPr>
              <w:spacing w:after="120"/>
              <w:rPr>
                <w:rFonts w:eastAsia="Muli" w:cs="Muli"/>
                <w:color w:val="000000" w:themeColor="text1"/>
                <w:sz w:val="18"/>
                <w:szCs w:val="18"/>
              </w:rPr>
            </w:pPr>
            <w:r w:rsidRPr="000C4D9F">
              <w:rPr>
                <w:rFonts w:eastAsia="Muli" w:cs="Muli"/>
                <w:color w:val="000000" w:themeColor="text1"/>
                <w:sz w:val="18"/>
                <w:szCs w:val="18"/>
              </w:rPr>
              <w:t>Some patients reported positive experiences from involvement in patient groups established by the practice, which contributed to improvements in knowledge and sometimes their physical and psychological health. However, most HCHs did not establish groups, and practices that did introduce groups had to suspend or stop their group sessions altogether due to the pandemic.</w:t>
            </w:r>
          </w:p>
          <w:p w14:paraId="7E9E59AB" w14:textId="792186A7" w:rsidR="00D31510" w:rsidRPr="00D31510" w:rsidRDefault="00D31510" w:rsidP="00D31510">
            <w:pPr>
              <w:spacing w:after="120"/>
              <w:rPr>
                <w:rFonts w:eastAsia="Muli" w:cs="Muli"/>
                <w:color w:val="000000" w:themeColor="text1"/>
                <w:sz w:val="18"/>
                <w:szCs w:val="18"/>
              </w:rPr>
            </w:pPr>
            <w:r w:rsidRPr="00D31510">
              <w:rPr>
                <w:rFonts w:eastAsia="Muli" w:cs="Muli"/>
                <w:color w:val="000000" w:themeColor="text1"/>
                <w:sz w:val="18"/>
                <w:szCs w:val="18"/>
              </w:rPr>
              <w:t xml:space="preserve">Overall, </w:t>
            </w:r>
            <w:r w:rsidR="00FD2B08" w:rsidRPr="00FD2B08">
              <w:rPr>
                <w:rFonts w:eastAsia="Muli" w:cs="Muli"/>
                <w:color w:val="000000" w:themeColor="text1"/>
                <w:sz w:val="18"/>
                <w:szCs w:val="18"/>
              </w:rPr>
              <w:t>most patients were satisfied that their care was well organised, that the doctor or nurse thought about their values, beliefs, and traditions when they recommended treatments and that they were shown how what they did to care for themselves influenced their condition</w:t>
            </w:r>
            <w:r w:rsidRPr="00D31510">
              <w:rPr>
                <w:rFonts w:eastAsia="Muli" w:cs="Muli"/>
                <w:color w:val="000000" w:themeColor="text1"/>
                <w:sz w:val="18"/>
                <w:szCs w:val="18"/>
              </w:rPr>
              <w:t xml:space="preserve">. </w:t>
            </w:r>
            <w:r w:rsidR="006001CF" w:rsidRPr="006001CF">
              <w:rPr>
                <w:rFonts w:eastAsia="Muli" w:cs="Muli"/>
                <w:color w:val="000000" w:themeColor="text1"/>
                <w:sz w:val="18"/>
                <w:szCs w:val="18"/>
              </w:rPr>
              <w:t xml:space="preserve">Features of care that patients reported occurred less commonly included that </w:t>
            </w:r>
            <w:r w:rsidR="00311B8E">
              <w:rPr>
                <w:rFonts w:eastAsia="Muli" w:cs="Muli"/>
                <w:color w:val="000000" w:themeColor="text1"/>
                <w:sz w:val="18"/>
                <w:szCs w:val="18"/>
              </w:rPr>
              <w:t>they</w:t>
            </w:r>
            <w:r w:rsidR="0064591F">
              <w:rPr>
                <w:rFonts w:eastAsia="Muli" w:cs="Muli"/>
                <w:color w:val="000000" w:themeColor="text1"/>
                <w:sz w:val="18"/>
                <w:szCs w:val="18"/>
              </w:rPr>
              <w:t xml:space="preserve"> were</w:t>
            </w:r>
            <w:r w:rsidR="006001CF" w:rsidRPr="006001CF">
              <w:rPr>
                <w:rFonts w:eastAsia="Muli" w:cs="Muli"/>
                <w:color w:val="000000" w:themeColor="text1"/>
                <w:sz w:val="18"/>
                <w:szCs w:val="18"/>
              </w:rPr>
              <w:t xml:space="preserve"> encouraged to attend programs in the community that could help them, that they were given a written list of things they should do to improve their health, that they were contacted after a visit to see how things were going and </w:t>
            </w:r>
            <w:r w:rsidR="00A746C7">
              <w:rPr>
                <w:rFonts w:eastAsia="Muli" w:cs="Muli"/>
                <w:color w:val="000000" w:themeColor="text1"/>
                <w:sz w:val="18"/>
                <w:szCs w:val="18"/>
              </w:rPr>
              <w:t xml:space="preserve">that they were </w:t>
            </w:r>
            <w:r w:rsidR="006001CF" w:rsidRPr="006001CF">
              <w:rPr>
                <w:rFonts w:eastAsia="Muli" w:cs="Muli"/>
                <w:color w:val="000000" w:themeColor="text1"/>
                <w:sz w:val="18"/>
                <w:szCs w:val="18"/>
              </w:rPr>
              <w:t>asked how their visits with other doctors were going</w:t>
            </w:r>
            <w:r w:rsidRPr="00D31510">
              <w:rPr>
                <w:rFonts w:eastAsia="Muli" w:cs="Muli"/>
                <w:color w:val="000000" w:themeColor="text1"/>
                <w:sz w:val="18"/>
                <w:szCs w:val="18"/>
              </w:rPr>
              <w:t xml:space="preserve">. </w:t>
            </w:r>
          </w:p>
          <w:p w14:paraId="5A5AEC0C" w14:textId="6081CB5F" w:rsidR="00FF7D69" w:rsidRPr="000C4D9F" w:rsidRDefault="002D79B0" w:rsidP="00D31510">
            <w:pPr>
              <w:spacing w:after="120"/>
              <w:rPr>
                <w:rFonts w:eastAsia="Muli" w:cs="Muli"/>
                <w:color w:val="000000" w:themeColor="text1"/>
                <w:sz w:val="18"/>
                <w:szCs w:val="18"/>
              </w:rPr>
            </w:pPr>
            <w:r>
              <w:rPr>
                <w:rFonts w:eastAsia="Muli" w:cs="Muli"/>
                <w:color w:val="000000" w:themeColor="text1"/>
                <w:sz w:val="18"/>
                <w:szCs w:val="18"/>
              </w:rPr>
              <w:t>T</w:t>
            </w:r>
            <w:r w:rsidR="000605FA" w:rsidRPr="000605FA">
              <w:rPr>
                <w:rFonts w:eastAsia="Muli" w:cs="Muli"/>
                <w:color w:val="000000" w:themeColor="text1"/>
                <w:sz w:val="18"/>
                <w:szCs w:val="18"/>
              </w:rPr>
              <w:t>here was no significant change between the first and second surveys in patients’ perspectives of the receipt of patient-centred care and cultivation of self-management behaviours</w:t>
            </w:r>
            <w:r w:rsidR="0013670C">
              <w:rPr>
                <w:rFonts w:eastAsia="Muli" w:cs="Muli"/>
                <w:color w:val="000000" w:themeColor="text1"/>
                <w:sz w:val="18"/>
                <w:szCs w:val="18"/>
              </w:rPr>
              <w:t>,</w:t>
            </w:r>
            <w:r w:rsidR="00D31510" w:rsidRPr="00D31510">
              <w:rPr>
                <w:rFonts w:eastAsia="Muli" w:cs="Muli"/>
                <w:color w:val="000000" w:themeColor="text1"/>
                <w:sz w:val="18"/>
                <w:szCs w:val="18"/>
              </w:rPr>
              <w:t xml:space="preserve"> </w:t>
            </w:r>
            <w:r w:rsidR="0013670C">
              <w:rPr>
                <w:rFonts w:eastAsia="Muli" w:cs="Muli"/>
                <w:color w:val="000000" w:themeColor="text1"/>
                <w:sz w:val="18"/>
                <w:szCs w:val="18"/>
              </w:rPr>
              <w:t>but a decline between</w:t>
            </w:r>
            <w:r w:rsidR="00B6016A">
              <w:rPr>
                <w:rFonts w:eastAsia="Muli" w:cs="Muli"/>
                <w:color w:val="000000" w:themeColor="text1"/>
                <w:sz w:val="18"/>
                <w:szCs w:val="18"/>
              </w:rPr>
              <w:t xml:space="preserve"> the second and third surveys</w:t>
            </w:r>
            <w:r w:rsidR="003E5BD9">
              <w:rPr>
                <w:rFonts w:eastAsia="Muli" w:cs="Muli"/>
                <w:color w:val="000000" w:themeColor="text1"/>
                <w:sz w:val="18"/>
                <w:szCs w:val="18"/>
              </w:rPr>
              <w:t>.</w:t>
            </w:r>
            <w:r w:rsidR="00D31510" w:rsidRPr="00D31510">
              <w:rPr>
                <w:rFonts w:eastAsia="Muli" w:cs="Muli"/>
                <w:color w:val="000000" w:themeColor="text1"/>
                <w:sz w:val="18"/>
                <w:szCs w:val="18"/>
              </w:rPr>
              <w:t xml:space="preserve"> </w:t>
            </w:r>
            <w:r w:rsidR="00DC66DE" w:rsidRPr="00DC66DE">
              <w:rPr>
                <w:rFonts w:eastAsia="Muli" w:cs="Muli"/>
                <w:color w:val="000000" w:themeColor="text1"/>
                <w:sz w:val="18"/>
                <w:szCs w:val="18"/>
              </w:rPr>
              <w:t>During interviews, patients identified possible reasons for this: the COVID-19 pandemic which reduced services that were available to them previously and staff turnover at practices that also meant a reduced level of service when the staff member wasn’t replaced, or they had to rebuild relationships with new staff.</w:t>
            </w:r>
          </w:p>
          <w:p w14:paraId="42AFA46E" w14:textId="146787C8" w:rsidR="00FF7D69" w:rsidRPr="000C4D9F" w:rsidRDefault="00FF7D69" w:rsidP="00FF7D69">
            <w:pPr>
              <w:spacing w:after="120"/>
              <w:rPr>
                <w:rFonts w:eastAsia="Muli" w:cs="Muli"/>
                <w:color w:val="000000" w:themeColor="text1"/>
                <w:sz w:val="18"/>
                <w:szCs w:val="18"/>
              </w:rPr>
            </w:pPr>
            <w:r w:rsidRPr="000C4D9F">
              <w:rPr>
                <w:rFonts w:eastAsia="Muli" w:cs="Muli"/>
                <w:color w:val="000000" w:themeColor="text1"/>
                <w:sz w:val="18"/>
                <w:szCs w:val="18"/>
              </w:rPr>
              <w:lastRenderedPageBreak/>
              <w:t xml:space="preserve">Carers interviewed reflected that the </w:t>
            </w:r>
            <w:r w:rsidR="00C636C2" w:rsidRPr="00C636C2">
              <w:rPr>
                <w:rFonts w:eastAsia="Muli" w:cs="Muli"/>
                <w:color w:val="000000" w:themeColor="text1"/>
                <w:sz w:val="18"/>
                <w:szCs w:val="18"/>
              </w:rPr>
              <w:t>HCH model was</w:t>
            </w:r>
            <w:r w:rsidRPr="000C4D9F">
              <w:rPr>
                <w:rFonts w:eastAsia="Muli" w:cs="Muli"/>
                <w:color w:val="000000" w:themeColor="text1"/>
                <w:sz w:val="18"/>
                <w:szCs w:val="18"/>
              </w:rPr>
              <w:t xml:space="preserve"> a great support to them and the person they care for. Carers mentioned that the ability to request prescriptions and referrals over the phone and having the nurse or coordinator as a clinical resource </w:t>
            </w:r>
            <w:r w:rsidR="00C636C2" w:rsidRPr="00C636C2">
              <w:rPr>
                <w:rFonts w:eastAsia="Muli" w:cs="Muli"/>
                <w:color w:val="000000" w:themeColor="text1"/>
                <w:sz w:val="18"/>
                <w:szCs w:val="18"/>
              </w:rPr>
              <w:t>to call upon were</w:t>
            </w:r>
            <w:r w:rsidRPr="000C4D9F">
              <w:rPr>
                <w:rFonts w:eastAsia="Muli" w:cs="Muli"/>
                <w:color w:val="000000" w:themeColor="text1"/>
                <w:sz w:val="18"/>
                <w:szCs w:val="18"/>
              </w:rPr>
              <w:t xml:space="preserve"> very beneficial.</w:t>
            </w:r>
          </w:p>
          <w:p w14:paraId="6743F20A" w14:textId="64FB634E" w:rsidR="00FF7D69" w:rsidRPr="000C4D9F" w:rsidRDefault="00FF7D69" w:rsidP="00FF7D69">
            <w:pPr>
              <w:spacing w:after="120"/>
              <w:rPr>
                <w:rFonts w:eastAsia="Muli" w:cs="Muli"/>
                <w:color w:val="000000" w:themeColor="text1"/>
                <w:sz w:val="18"/>
                <w:szCs w:val="18"/>
              </w:rPr>
            </w:pPr>
            <w:r w:rsidRPr="000C4D9F">
              <w:rPr>
                <w:rFonts w:eastAsia="Muli" w:cs="Muli"/>
                <w:color w:val="000000" w:themeColor="text1"/>
                <w:sz w:val="18"/>
                <w:szCs w:val="18"/>
              </w:rPr>
              <w:t xml:space="preserve">Many practices reported that patients who enrolled in HCH were already motivated </w:t>
            </w:r>
            <w:r w:rsidR="001C005B">
              <w:rPr>
                <w:rFonts w:eastAsia="Muli" w:cs="Muli"/>
                <w:color w:val="000000" w:themeColor="text1"/>
                <w:sz w:val="18"/>
                <w:szCs w:val="18"/>
              </w:rPr>
              <w:t>to manage</w:t>
            </w:r>
            <w:r w:rsidRPr="000C4D9F">
              <w:rPr>
                <w:rFonts w:eastAsia="Muli" w:cs="Muli"/>
                <w:color w:val="000000" w:themeColor="text1"/>
                <w:sz w:val="18"/>
                <w:szCs w:val="18"/>
              </w:rPr>
              <w:t xml:space="preserve"> their health. GPs also tended to approach patients to enrol who they thought were activated or were willing to try new things. Some practices observed that through HCH, patients bec</w:t>
            </w:r>
            <w:r w:rsidR="00297A67">
              <w:rPr>
                <w:rFonts w:eastAsia="Muli" w:cs="Muli"/>
                <w:color w:val="000000" w:themeColor="text1"/>
                <w:sz w:val="18"/>
                <w:szCs w:val="18"/>
              </w:rPr>
              <w:t>a</w:t>
            </w:r>
            <w:r w:rsidRPr="000C4D9F">
              <w:rPr>
                <w:rFonts w:eastAsia="Muli" w:cs="Muli"/>
                <w:color w:val="000000" w:themeColor="text1"/>
                <w:sz w:val="18"/>
                <w:szCs w:val="18"/>
              </w:rPr>
              <w:t>me more aware of their role in managing their health, and this engendered enthusiasm about what patients can achieve for themselves.</w:t>
            </w:r>
          </w:p>
          <w:p w14:paraId="3AFCC629" w14:textId="34A960EB" w:rsidR="00C54231" w:rsidRPr="00A5097C" w:rsidRDefault="00FF7D69" w:rsidP="00FF7D69">
            <w:pPr>
              <w:spacing w:after="120"/>
              <w:rPr>
                <w:bCs/>
                <w:szCs w:val="20"/>
              </w:rPr>
            </w:pPr>
            <w:r w:rsidRPr="000C4D9F">
              <w:rPr>
                <w:rFonts w:eastAsia="Muli" w:cs="Muli"/>
                <w:color w:val="000000" w:themeColor="text1"/>
                <w:sz w:val="18"/>
                <w:szCs w:val="18"/>
              </w:rPr>
              <w:t>In the broader rollout of programs like HCH, strategies to engage patients who are less motivated, activated and/or willing to try new things will be important. These patients are more likely have poorly controlled chronic conditions and may benefit significantly from programs like HCH.</w:t>
            </w:r>
          </w:p>
        </w:tc>
      </w:tr>
      <w:bookmarkEnd w:id="321"/>
    </w:tbl>
    <w:p w14:paraId="6CEFA861" w14:textId="5B23F792" w:rsidR="002A4D96" w:rsidRDefault="002A4D96" w:rsidP="00300C94">
      <w:pPr>
        <w:spacing w:after="0"/>
        <w:rPr>
          <w:rFonts w:eastAsia="Muli" w:cs="Muli"/>
          <w:color w:val="000000" w:themeColor="text1"/>
          <w:szCs w:val="20"/>
        </w:rPr>
      </w:pPr>
    </w:p>
    <w:p w14:paraId="06C04ABB" w14:textId="07EB96B9" w:rsidR="00C54231" w:rsidRPr="00300C94" w:rsidRDefault="00C54231" w:rsidP="00300C94">
      <w:pPr>
        <w:pStyle w:val="Heading2"/>
      </w:pPr>
      <w:bookmarkStart w:id="322" w:name="_Toc109996725"/>
      <w:r w:rsidRPr="00300C94">
        <w:t xml:space="preserve">Patient experience of practices </w:t>
      </w:r>
      <w:r w:rsidR="00FB12E3" w:rsidRPr="00300C94">
        <w:t>before</w:t>
      </w:r>
      <w:r w:rsidRPr="00300C94">
        <w:t xml:space="preserve"> HCH</w:t>
      </w:r>
      <w:bookmarkEnd w:id="322"/>
    </w:p>
    <w:p w14:paraId="7C1412AB" w14:textId="57424D80" w:rsidR="00C54231" w:rsidRPr="00CD4210" w:rsidRDefault="00C54231" w:rsidP="00C54231">
      <w:pPr>
        <w:spacing w:after="160"/>
        <w:rPr>
          <w:lang w:eastAsia="en-AU"/>
        </w:rPr>
      </w:pPr>
      <w:r>
        <w:rPr>
          <w:lang w:eastAsia="en-AU"/>
        </w:rPr>
        <w:t xml:space="preserve">At the beginning of the evaluation, patients were asked about their history and experience with their practices </w:t>
      </w:r>
      <w:r w:rsidR="0002675D">
        <w:rPr>
          <w:lang w:eastAsia="en-AU"/>
        </w:rPr>
        <w:t>before</w:t>
      </w:r>
      <w:r>
        <w:rPr>
          <w:lang w:eastAsia="en-AU"/>
        </w:rPr>
        <w:t xml:space="preserve"> HCH via interviews and surveys. T</w:t>
      </w:r>
      <w:r w:rsidRPr="00CD4210">
        <w:rPr>
          <w:lang w:eastAsia="en-AU"/>
        </w:rPr>
        <w:t>he patient survey</w:t>
      </w:r>
      <w:r w:rsidR="00A008D4">
        <w:rPr>
          <w:lang w:eastAsia="en-AU"/>
        </w:rPr>
        <w:t>s</w:t>
      </w:r>
      <w:r w:rsidRPr="00CD4210">
        <w:rPr>
          <w:lang w:eastAsia="en-AU"/>
        </w:rPr>
        <w:t xml:space="preserve"> revealed that the majority of HCH patients (6</w:t>
      </w:r>
      <w:r w:rsidR="00A008D4">
        <w:rPr>
          <w:lang w:eastAsia="en-AU"/>
        </w:rPr>
        <w:t>7.2</w:t>
      </w:r>
      <w:r w:rsidRPr="00CD4210">
        <w:rPr>
          <w:lang w:eastAsia="en-AU"/>
        </w:rPr>
        <w:t>%) ha</w:t>
      </w:r>
      <w:r>
        <w:rPr>
          <w:lang w:eastAsia="en-AU"/>
        </w:rPr>
        <w:t>d</w:t>
      </w:r>
      <w:r w:rsidRPr="00CD4210">
        <w:rPr>
          <w:lang w:eastAsia="en-AU"/>
        </w:rPr>
        <w:t xml:space="preserve"> been attending their HCH practice for five or more years, with </w:t>
      </w:r>
      <w:r>
        <w:rPr>
          <w:lang w:eastAsia="en-AU"/>
        </w:rPr>
        <w:t xml:space="preserve">a </w:t>
      </w:r>
      <w:r w:rsidRPr="00CD4210">
        <w:rPr>
          <w:lang w:eastAsia="en-AU"/>
        </w:rPr>
        <w:t>further 1</w:t>
      </w:r>
      <w:r w:rsidR="00A008D4">
        <w:rPr>
          <w:lang w:eastAsia="en-AU"/>
        </w:rPr>
        <w:t>4.9</w:t>
      </w:r>
      <w:r w:rsidRPr="00CD4210">
        <w:rPr>
          <w:lang w:eastAsia="en-AU"/>
        </w:rPr>
        <w:t xml:space="preserve">% attending </w:t>
      </w:r>
      <w:r>
        <w:rPr>
          <w:lang w:eastAsia="en-AU"/>
        </w:rPr>
        <w:t xml:space="preserve">for </w:t>
      </w:r>
      <w:r w:rsidRPr="00CD4210">
        <w:rPr>
          <w:lang w:eastAsia="en-AU"/>
        </w:rPr>
        <w:t>three to five years</w:t>
      </w:r>
      <w:r w:rsidR="00A008D4">
        <w:rPr>
          <w:lang w:eastAsia="en-AU"/>
        </w:rPr>
        <w:t xml:space="preserve"> (Volume 3 </w:t>
      </w:r>
      <w:r w:rsidR="005E30BB">
        <w:rPr>
          <w:lang w:eastAsia="en-AU"/>
        </w:rPr>
        <w:t>Appendix</w:t>
      </w:r>
      <w:r w:rsidR="00A008D4">
        <w:rPr>
          <w:lang w:eastAsia="en-AU"/>
        </w:rPr>
        <w:t xml:space="preserve"> </w:t>
      </w:r>
      <w:r w:rsidR="00700514">
        <w:rPr>
          <w:lang w:eastAsia="en-AU"/>
        </w:rPr>
        <w:t>7</w:t>
      </w:r>
      <w:r w:rsidR="005E30BB">
        <w:rPr>
          <w:lang w:eastAsia="en-AU"/>
        </w:rPr>
        <w:t>)</w:t>
      </w:r>
      <w:r w:rsidRPr="00CD4210">
        <w:rPr>
          <w:lang w:eastAsia="en-AU"/>
        </w:rPr>
        <w:t>.</w:t>
      </w:r>
    </w:p>
    <w:p w14:paraId="7EEAE57A" w14:textId="7D1C2262" w:rsidR="00C54231" w:rsidRPr="00300C94" w:rsidRDefault="00C54231" w:rsidP="00C54231">
      <w:pPr>
        <w:rPr>
          <w:lang w:eastAsia="en-AU"/>
        </w:rPr>
      </w:pPr>
      <w:r w:rsidRPr="00300C94">
        <w:rPr>
          <w:lang w:eastAsia="en-AU"/>
        </w:rPr>
        <w:t xml:space="preserve">Beyond practical factors, such as patients’ close proximity to their practice, many interviewees discussed the importance of the relationship with their GP. The strength of this relationship was often the main reason that patients had </w:t>
      </w:r>
      <w:r w:rsidR="00202C84">
        <w:rPr>
          <w:lang w:eastAsia="en-AU"/>
        </w:rPr>
        <w:t>long-standing</w:t>
      </w:r>
      <w:r w:rsidRPr="00300C94">
        <w:rPr>
          <w:lang w:eastAsia="en-AU"/>
        </w:rPr>
        <w:t xml:space="preserve"> relationships with their practices. Some interviewees highlighted the positive traits and values that their GPs exhibited or that were important to them as health consumers and patients. These included:</w:t>
      </w:r>
    </w:p>
    <w:p w14:paraId="14727974" w14:textId="77777777" w:rsidR="00C54231" w:rsidRPr="00300C94" w:rsidRDefault="00C54231" w:rsidP="00EB5918">
      <w:pPr>
        <w:pStyle w:val="ListParagraph"/>
        <w:numPr>
          <w:ilvl w:val="0"/>
          <w:numId w:val="22"/>
        </w:numPr>
        <w:spacing w:line="276" w:lineRule="auto"/>
        <w:rPr>
          <w:lang w:eastAsia="en-AU"/>
        </w:rPr>
      </w:pPr>
      <w:r w:rsidRPr="00300C94">
        <w:rPr>
          <w:lang w:eastAsia="en-AU"/>
        </w:rPr>
        <w:t>Excellent communication skills, including listening and answering questions, being truthful and upfront.</w:t>
      </w:r>
    </w:p>
    <w:p w14:paraId="06AA09DF" w14:textId="77777777" w:rsidR="00C54231" w:rsidRPr="00300C94" w:rsidRDefault="00C54231" w:rsidP="00EB5918">
      <w:pPr>
        <w:pStyle w:val="ListParagraph"/>
        <w:numPr>
          <w:ilvl w:val="0"/>
          <w:numId w:val="22"/>
        </w:numPr>
        <w:spacing w:line="276" w:lineRule="auto"/>
        <w:rPr>
          <w:lang w:eastAsia="en-AU"/>
        </w:rPr>
      </w:pPr>
      <w:r w:rsidRPr="00300C94">
        <w:rPr>
          <w:lang w:eastAsia="en-AU"/>
        </w:rPr>
        <w:t xml:space="preserve">Showing empathy. </w:t>
      </w:r>
    </w:p>
    <w:p w14:paraId="4449625D" w14:textId="77777777" w:rsidR="00C54231" w:rsidRPr="00300C94" w:rsidRDefault="00C54231" w:rsidP="00EB5918">
      <w:pPr>
        <w:pStyle w:val="ListParagraph"/>
        <w:numPr>
          <w:ilvl w:val="0"/>
          <w:numId w:val="22"/>
        </w:numPr>
        <w:spacing w:line="276" w:lineRule="auto"/>
        <w:rPr>
          <w:lang w:eastAsia="en-AU"/>
        </w:rPr>
      </w:pPr>
      <w:r w:rsidRPr="00300C94">
        <w:rPr>
          <w:lang w:eastAsia="en-AU"/>
        </w:rPr>
        <w:t>Being non-judgemental and making the patient feel comfortable: “</w:t>
      </w:r>
      <w:r w:rsidRPr="00300C94">
        <w:rPr>
          <w:i/>
          <w:iCs/>
          <w:lang w:eastAsia="en-AU"/>
        </w:rPr>
        <w:t>…There’s less judgement</w:t>
      </w:r>
      <w:r w:rsidRPr="00300C94">
        <w:rPr>
          <w:lang w:eastAsia="en-AU"/>
        </w:rPr>
        <w:t>.” [Patient 2, Practice 10, R2].</w:t>
      </w:r>
    </w:p>
    <w:p w14:paraId="4E4F6605" w14:textId="77777777" w:rsidR="00C54231" w:rsidRPr="00300C94" w:rsidRDefault="00C54231" w:rsidP="00EB5918">
      <w:pPr>
        <w:pStyle w:val="ListParagraph"/>
        <w:numPr>
          <w:ilvl w:val="0"/>
          <w:numId w:val="22"/>
        </w:numPr>
        <w:spacing w:line="276" w:lineRule="auto"/>
        <w:rPr>
          <w:lang w:eastAsia="en-AU"/>
        </w:rPr>
      </w:pPr>
      <w:r w:rsidRPr="00300C94">
        <w:rPr>
          <w:lang w:eastAsia="en-AU"/>
        </w:rPr>
        <w:t xml:space="preserve">Having time for the patient, for example not rushing the patient in a consultation: </w:t>
      </w:r>
      <w:r w:rsidRPr="00300C94">
        <w:rPr>
          <w:i/>
          <w:iCs/>
          <w:lang w:eastAsia="en-AU"/>
        </w:rPr>
        <w:t>“…he’s always got time for you</w:t>
      </w:r>
      <w:r w:rsidRPr="00300C94">
        <w:rPr>
          <w:lang w:eastAsia="en-AU"/>
        </w:rPr>
        <w:t xml:space="preserve">.” [Patient 2, Practice 5, R2]. </w:t>
      </w:r>
    </w:p>
    <w:p w14:paraId="5709BEA8" w14:textId="77777777" w:rsidR="00C54231" w:rsidRPr="00300C94" w:rsidRDefault="00C54231" w:rsidP="00EB5918">
      <w:pPr>
        <w:pStyle w:val="ListParagraph"/>
        <w:numPr>
          <w:ilvl w:val="0"/>
          <w:numId w:val="22"/>
        </w:numPr>
        <w:spacing w:line="276" w:lineRule="auto"/>
        <w:rPr>
          <w:lang w:eastAsia="en-AU"/>
        </w:rPr>
      </w:pPr>
      <w:r w:rsidRPr="00300C94">
        <w:rPr>
          <w:lang w:eastAsia="en-AU"/>
        </w:rPr>
        <w:t xml:space="preserve">Thoroughness and being proactive rather than reactive: “she is brilliant, she doesn’t leave any stone unturned…” [Patient 1, Practice 9, interview, R2]; “[The GP] always asks me if there’s anything else she can do for me, anything like that, do you need anything? I can’t praise them enough.” [Patient 3, Practice 16, R2]. </w:t>
      </w:r>
    </w:p>
    <w:p w14:paraId="2BE42200" w14:textId="77777777" w:rsidR="00C54231" w:rsidRPr="00300C94" w:rsidRDefault="00C54231" w:rsidP="00EB5918">
      <w:pPr>
        <w:pStyle w:val="ListParagraph"/>
        <w:numPr>
          <w:ilvl w:val="0"/>
          <w:numId w:val="22"/>
        </w:numPr>
        <w:spacing w:line="276" w:lineRule="auto"/>
        <w:rPr>
          <w:lang w:eastAsia="en-AU"/>
        </w:rPr>
      </w:pPr>
      <w:r w:rsidRPr="00300C94">
        <w:rPr>
          <w:lang w:eastAsia="en-AU"/>
        </w:rPr>
        <w:t>Continuity.</w:t>
      </w:r>
    </w:p>
    <w:p w14:paraId="69F93436" w14:textId="77777777" w:rsidR="00C54231" w:rsidRPr="00300C94" w:rsidRDefault="00C54231" w:rsidP="00EB5918">
      <w:pPr>
        <w:pStyle w:val="ListParagraph"/>
        <w:numPr>
          <w:ilvl w:val="0"/>
          <w:numId w:val="22"/>
        </w:numPr>
        <w:spacing w:line="276" w:lineRule="auto"/>
        <w:rPr>
          <w:lang w:eastAsia="en-AU"/>
        </w:rPr>
      </w:pPr>
      <w:r w:rsidRPr="00300C94">
        <w:rPr>
          <w:lang w:eastAsia="en-AU"/>
        </w:rPr>
        <w:t>Expertise in the patient’s specific chronic condition: “I think what you got here is, [the GP] and the people that provide similar services associated with him…fill a gap that the mainstream doesn’t.” [Patient 3, Practice 10, R2].</w:t>
      </w:r>
    </w:p>
    <w:p w14:paraId="1854F022" w14:textId="52D77BCB" w:rsidR="00C54231" w:rsidRPr="00300C94" w:rsidRDefault="00C54231" w:rsidP="00C54231">
      <w:pPr>
        <w:rPr>
          <w:lang w:eastAsia="en-AU"/>
        </w:rPr>
      </w:pPr>
      <w:r w:rsidRPr="00300C94">
        <w:rPr>
          <w:lang w:eastAsia="en-AU"/>
        </w:rPr>
        <w:t xml:space="preserve">Many interviewees felt that these characteristics separated their doctors’ or other high performing GPs from what they considered </w:t>
      </w:r>
      <w:r w:rsidR="00CA495C">
        <w:rPr>
          <w:lang w:eastAsia="en-AU"/>
        </w:rPr>
        <w:t>“</w:t>
      </w:r>
      <w:r w:rsidRPr="00300C94">
        <w:rPr>
          <w:lang w:eastAsia="en-AU"/>
        </w:rPr>
        <w:t>mainstream</w:t>
      </w:r>
      <w:r w:rsidR="00CA495C">
        <w:rPr>
          <w:lang w:eastAsia="en-AU"/>
        </w:rPr>
        <w:t>”</w:t>
      </w:r>
      <w:r w:rsidRPr="00300C94">
        <w:rPr>
          <w:lang w:eastAsia="en-AU"/>
        </w:rPr>
        <w:t xml:space="preserve"> or average care in the health system: </w:t>
      </w:r>
    </w:p>
    <w:p w14:paraId="0D8D0D24" w14:textId="77777777" w:rsidR="00C54231" w:rsidRPr="00300C94" w:rsidRDefault="00C54231" w:rsidP="00FB12E3">
      <w:pPr>
        <w:ind w:left="567" w:right="521"/>
        <w:rPr>
          <w:lang w:eastAsia="en-AU"/>
        </w:rPr>
      </w:pPr>
      <w:r w:rsidRPr="00300C94">
        <w:rPr>
          <w:i/>
          <w:iCs/>
          <w:lang w:eastAsia="en-AU"/>
        </w:rPr>
        <w:lastRenderedPageBreak/>
        <w:t>“Doctors are like anybody. I mean, there’s house painters and there’s house painters…You and I could both go and paint a house together, it’d get painted, ceiling might too. But then someone might come in and do a really nice job and not make a mess. You can take your car in for a service, you might get the first-year apprentices doing it, or you might get the guy that’s been there a long time and has a passion for it still. To do it. That’s the difference.”</w:t>
      </w:r>
      <w:r w:rsidRPr="00300C94">
        <w:rPr>
          <w:lang w:eastAsia="en-AU"/>
        </w:rPr>
        <w:t xml:space="preserve"> [Patient 5, Practice 16, R2] </w:t>
      </w:r>
    </w:p>
    <w:p w14:paraId="773DC7CF" w14:textId="77777777" w:rsidR="00C54231" w:rsidRPr="00300C94" w:rsidRDefault="00C54231" w:rsidP="00FB12E3">
      <w:pPr>
        <w:ind w:left="567" w:right="521"/>
        <w:rPr>
          <w:szCs w:val="20"/>
          <w:lang w:val="en-US"/>
        </w:rPr>
      </w:pPr>
      <w:r w:rsidRPr="00300C94">
        <w:rPr>
          <w:i/>
          <w:iCs/>
          <w:szCs w:val="20"/>
          <w:lang w:val="en-US"/>
        </w:rPr>
        <w:t>“Yes. I would be lost without him. [GP]</w:t>
      </w:r>
      <w:r w:rsidRPr="00300C94">
        <w:rPr>
          <w:rFonts w:cs="Calibri"/>
          <w:i/>
          <w:iCs/>
          <w:szCs w:val="20"/>
          <w:lang w:val="en-US"/>
        </w:rPr>
        <w:t>’</w:t>
      </w:r>
      <w:r w:rsidRPr="00300C94">
        <w:rPr>
          <w:i/>
          <w:iCs/>
          <w:szCs w:val="20"/>
          <w:lang w:val="en-US"/>
        </w:rPr>
        <w:t>s the only one who</w:t>
      </w:r>
      <w:r w:rsidRPr="00300C94">
        <w:rPr>
          <w:rFonts w:cs="Calibri"/>
          <w:i/>
          <w:iCs/>
          <w:szCs w:val="20"/>
          <w:lang w:val="en-US"/>
        </w:rPr>
        <w:t>’</w:t>
      </w:r>
      <w:r w:rsidRPr="00300C94">
        <w:rPr>
          <w:i/>
          <w:iCs/>
          <w:szCs w:val="20"/>
          <w:lang w:val="en-US"/>
        </w:rPr>
        <w:t>s listened to [Patient 1] and I think that</w:t>
      </w:r>
      <w:r w:rsidRPr="00300C94">
        <w:rPr>
          <w:rFonts w:cs="Calibri"/>
          <w:i/>
          <w:iCs/>
          <w:szCs w:val="20"/>
          <w:lang w:val="en-US"/>
        </w:rPr>
        <w:t>’</w:t>
      </w:r>
      <w:r w:rsidRPr="00300C94">
        <w:rPr>
          <w:i/>
          <w:iCs/>
          <w:szCs w:val="20"/>
          <w:lang w:val="en-US"/>
        </w:rPr>
        <w:t>s what</w:t>
      </w:r>
      <w:r w:rsidRPr="00300C94">
        <w:rPr>
          <w:rFonts w:cs="Calibri"/>
          <w:i/>
          <w:iCs/>
          <w:szCs w:val="20"/>
          <w:lang w:val="en-US"/>
        </w:rPr>
        <w:t>’</w:t>
      </w:r>
      <w:r w:rsidRPr="00300C94">
        <w:rPr>
          <w:i/>
          <w:iCs/>
          <w:szCs w:val="20"/>
          <w:lang w:val="en-US"/>
        </w:rPr>
        <w:t>s made [Patient 1] grow now, in her mental health. I, as you knew the first time you</w:t>
      </w:r>
      <w:r w:rsidRPr="00300C94">
        <w:rPr>
          <w:rFonts w:cs="Calibri"/>
          <w:i/>
          <w:iCs/>
          <w:szCs w:val="20"/>
          <w:lang w:val="en-US"/>
        </w:rPr>
        <w:t>’</w:t>
      </w:r>
      <w:r w:rsidRPr="00300C94">
        <w:rPr>
          <w:i/>
          <w:iCs/>
          <w:szCs w:val="20"/>
          <w:lang w:val="en-US"/>
        </w:rPr>
        <w:t>d interviewed us, I</w:t>
      </w:r>
      <w:r w:rsidRPr="00300C94">
        <w:rPr>
          <w:rFonts w:cs="Calibri"/>
          <w:i/>
          <w:iCs/>
          <w:szCs w:val="20"/>
          <w:lang w:val="en-US"/>
        </w:rPr>
        <w:t>’</w:t>
      </w:r>
      <w:r w:rsidRPr="00300C94">
        <w:rPr>
          <w:i/>
          <w:iCs/>
          <w:szCs w:val="20"/>
          <w:lang w:val="en-US"/>
        </w:rPr>
        <w:t>d done all the talking.”</w:t>
      </w:r>
      <w:r w:rsidRPr="00300C94">
        <w:rPr>
          <w:szCs w:val="20"/>
          <w:lang w:val="en-US"/>
        </w:rPr>
        <w:t xml:space="preserve"> [</w:t>
      </w:r>
      <w:proofErr w:type="spellStart"/>
      <w:r w:rsidRPr="00300C94">
        <w:rPr>
          <w:szCs w:val="20"/>
          <w:lang w:val="en-US"/>
        </w:rPr>
        <w:t>Carer</w:t>
      </w:r>
      <w:proofErr w:type="spellEnd"/>
      <w:r w:rsidRPr="00300C94">
        <w:rPr>
          <w:szCs w:val="20"/>
          <w:lang w:val="en-US"/>
        </w:rPr>
        <w:t>, Practice 10, R5]</w:t>
      </w:r>
    </w:p>
    <w:p w14:paraId="18275713" w14:textId="77777777" w:rsidR="00C54231" w:rsidRPr="00300C94" w:rsidRDefault="00C54231" w:rsidP="00C54231">
      <w:pPr>
        <w:rPr>
          <w:lang w:eastAsia="en-AU"/>
        </w:rPr>
      </w:pPr>
      <w:r w:rsidRPr="00300C94">
        <w:rPr>
          <w:lang w:eastAsia="en-AU"/>
        </w:rPr>
        <w:t xml:space="preserve">Beyond the GP-patient relationship, patients cited other reasons they initially visited their practices. Their first visits were predominantly due to the convenience of location. Others reported that they received a recommendation to visit the practice or conducted some online research about clinics in the area, which led them to their current GP. After the initial consultation, patients discussed what encouraged them to continue to return to the practice. In addition to the qualities of their GPs, some of these reasons included: </w:t>
      </w:r>
    </w:p>
    <w:p w14:paraId="38442595" w14:textId="77777777" w:rsidR="00C54231" w:rsidRPr="00300C94" w:rsidRDefault="00C54231" w:rsidP="00EB5918">
      <w:pPr>
        <w:pStyle w:val="ListParagraph"/>
        <w:numPr>
          <w:ilvl w:val="0"/>
          <w:numId w:val="23"/>
        </w:numPr>
        <w:spacing w:line="276" w:lineRule="auto"/>
        <w:rPr>
          <w:lang w:eastAsia="en-AU"/>
        </w:rPr>
      </w:pPr>
      <w:r w:rsidRPr="00300C94">
        <w:rPr>
          <w:lang w:eastAsia="en-AU"/>
        </w:rPr>
        <w:t xml:space="preserve">friendly staff members, not feeling like just another patient: “…you're not just a number.” [Patient 1, Practice 8, R2]) </w:t>
      </w:r>
    </w:p>
    <w:p w14:paraId="29628904" w14:textId="523A8C1B" w:rsidR="00C54231" w:rsidRPr="00300C94" w:rsidRDefault="00C54231" w:rsidP="00EB5918">
      <w:pPr>
        <w:pStyle w:val="ListParagraph"/>
        <w:numPr>
          <w:ilvl w:val="0"/>
          <w:numId w:val="23"/>
        </w:numPr>
        <w:spacing w:line="276" w:lineRule="auto"/>
        <w:rPr>
          <w:lang w:eastAsia="en-AU"/>
        </w:rPr>
      </w:pPr>
      <w:r w:rsidRPr="00300C94">
        <w:rPr>
          <w:lang w:eastAsia="en-AU"/>
        </w:rPr>
        <w:t xml:space="preserve">additional services and specialists </w:t>
      </w:r>
      <w:r w:rsidR="002C36F7">
        <w:rPr>
          <w:lang w:eastAsia="en-AU"/>
        </w:rPr>
        <w:t>practising</w:t>
      </w:r>
      <w:r w:rsidRPr="00300C94">
        <w:rPr>
          <w:lang w:eastAsia="en-AU"/>
        </w:rPr>
        <w:t xml:space="preserve"> at location </w:t>
      </w:r>
    </w:p>
    <w:p w14:paraId="442F27A8" w14:textId="77777777" w:rsidR="00C54231" w:rsidRPr="00300C94" w:rsidRDefault="00C54231" w:rsidP="00EB5918">
      <w:pPr>
        <w:pStyle w:val="ListParagraph"/>
        <w:numPr>
          <w:ilvl w:val="0"/>
          <w:numId w:val="23"/>
        </w:numPr>
        <w:spacing w:line="276" w:lineRule="auto"/>
        <w:rPr>
          <w:lang w:eastAsia="en-AU"/>
        </w:rPr>
      </w:pPr>
      <w:r w:rsidRPr="00300C94">
        <w:rPr>
          <w:lang w:eastAsia="en-AU"/>
        </w:rPr>
        <w:t xml:space="preserve">close proximity to specialists or pharmacy </w:t>
      </w:r>
    </w:p>
    <w:p w14:paraId="601143A0" w14:textId="77777777" w:rsidR="00C54231" w:rsidRPr="00300C94" w:rsidRDefault="00C54231" w:rsidP="00EB5918">
      <w:pPr>
        <w:pStyle w:val="ListParagraph"/>
        <w:numPr>
          <w:ilvl w:val="0"/>
          <w:numId w:val="23"/>
        </w:numPr>
        <w:spacing w:line="276" w:lineRule="auto"/>
        <w:rPr>
          <w:lang w:eastAsia="en-AU"/>
        </w:rPr>
      </w:pPr>
      <w:r w:rsidRPr="00300C94">
        <w:rPr>
          <w:lang w:eastAsia="en-AU"/>
        </w:rPr>
        <w:t xml:space="preserve">bulk billing </w:t>
      </w:r>
    </w:p>
    <w:p w14:paraId="115C4B09" w14:textId="77777777" w:rsidR="00C54231" w:rsidRPr="00300C94" w:rsidRDefault="00C54231" w:rsidP="00EB5918">
      <w:pPr>
        <w:pStyle w:val="ListParagraph"/>
        <w:numPr>
          <w:ilvl w:val="0"/>
          <w:numId w:val="23"/>
        </w:numPr>
        <w:spacing w:line="276" w:lineRule="auto"/>
        <w:rPr>
          <w:lang w:eastAsia="en-AU"/>
        </w:rPr>
      </w:pPr>
      <w:r w:rsidRPr="00300C94">
        <w:rPr>
          <w:lang w:eastAsia="en-AU"/>
        </w:rPr>
        <w:t xml:space="preserve">office set-up </w:t>
      </w:r>
    </w:p>
    <w:p w14:paraId="1CB7600E" w14:textId="77777777" w:rsidR="00C54231" w:rsidRPr="00300C94" w:rsidRDefault="00C54231" w:rsidP="00EB5918">
      <w:pPr>
        <w:pStyle w:val="ListParagraph"/>
        <w:numPr>
          <w:ilvl w:val="0"/>
          <w:numId w:val="23"/>
        </w:numPr>
        <w:spacing w:line="276" w:lineRule="auto"/>
        <w:rPr>
          <w:lang w:eastAsia="en-AU"/>
        </w:rPr>
      </w:pPr>
      <w:r w:rsidRPr="00300C94">
        <w:rPr>
          <w:lang w:eastAsia="en-AU"/>
        </w:rPr>
        <w:t xml:space="preserve">large practice with multiple GPs that have a wide range of skills </w:t>
      </w:r>
    </w:p>
    <w:p w14:paraId="41ECAD03" w14:textId="77777777" w:rsidR="00C54231" w:rsidRPr="00300C94" w:rsidRDefault="00C54231" w:rsidP="00EB5918">
      <w:pPr>
        <w:pStyle w:val="ListParagraph"/>
        <w:numPr>
          <w:ilvl w:val="0"/>
          <w:numId w:val="23"/>
        </w:numPr>
        <w:spacing w:line="276" w:lineRule="auto"/>
        <w:rPr>
          <w:lang w:eastAsia="en-AU"/>
        </w:rPr>
      </w:pPr>
      <w:r w:rsidRPr="00300C94">
        <w:rPr>
          <w:lang w:eastAsia="en-AU"/>
        </w:rPr>
        <w:t xml:space="preserve">open to trying new treatment ideas and other options in order to improve condition </w:t>
      </w:r>
    </w:p>
    <w:p w14:paraId="2FB62136" w14:textId="77777777" w:rsidR="00C54231" w:rsidRPr="00300C94" w:rsidRDefault="00C54231" w:rsidP="00EB5918">
      <w:pPr>
        <w:pStyle w:val="ListParagraph"/>
        <w:numPr>
          <w:ilvl w:val="0"/>
          <w:numId w:val="23"/>
        </w:numPr>
        <w:spacing w:line="276" w:lineRule="auto"/>
        <w:rPr>
          <w:lang w:eastAsia="en-AU"/>
        </w:rPr>
      </w:pPr>
      <w:r w:rsidRPr="00300C94">
        <w:rPr>
          <w:lang w:eastAsia="en-AU"/>
        </w:rPr>
        <w:t>access to receptionists or nurses via phone.</w:t>
      </w:r>
    </w:p>
    <w:p w14:paraId="18F54F20" w14:textId="3A1552B8" w:rsidR="00C54231" w:rsidRPr="00F04E10" w:rsidRDefault="006B193B" w:rsidP="00C54231">
      <w:pPr>
        <w:pStyle w:val="Heading2"/>
      </w:pPr>
      <w:bookmarkStart w:id="323" w:name="_Toc109996726"/>
      <w:r>
        <w:t>R</w:t>
      </w:r>
      <w:r w:rsidR="00C54231" w:rsidRPr="00F04E10">
        <w:t>ecruitment to HCH</w:t>
      </w:r>
      <w:bookmarkEnd w:id="323"/>
      <w:r w:rsidR="00C54231" w:rsidRPr="00F04E10">
        <w:t> </w:t>
      </w:r>
    </w:p>
    <w:p w14:paraId="15E937CD" w14:textId="77777777" w:rsidR="00C54231" w:rsidRDefault="00C54231" w:rsidP="00C54231">
      <w:pPr>
        <w:pStyle w:val="Heading3"/>
        <w:rPr>
          <w:lang w:eastAsia="en-AU"/>
        </w:rPr>
      </w:pPr>
      <w:r w:rsidRPr="00F04E10">
        <w:rPr>
          <w:lang w:eastAsia="en-AU"/>
        </w:rPr>
        <w:t>Patient motivations and expectations</w:t>
      </w:r>
    </w:p>
    <w:p w14:paraId="2F0E6E4B" w14:textId="77777777" w:rsidR="00C54231" w:rsidRDefault="00C54231" w:rsidP="00C54231">
      <w:pPr>
        <w:rPr>
          <w:lang w:eastAsia="en-AU"/>
        </w:rPr>
      </w:pPr>
      <w:r>
        <w:rPr>
          <w:lang w:eastAsia="en-AU"/>
        </w:rPr>
        <w:t>Many patients had few to no expectations of the program. Some were curious about the initiative and others trusted their doctor who recommended that they participate in HCH:</w:t>
      </w:r>
    </w:p>
    <w:p w14:paraId="57A9FD46" w14:textId="77777777" w:rsidR="00C54231" w:rsidRDefault="00C54231" w:rsidP="00FB12E3">
      <w:pPr>
        <w:ind w:left="567" w:right="521"/>
        <w:rPr>
          <w:lang w:eastAsia="en-AU"/>
        </w:rPr>
      </w:pPr>
      <w:r w:rsidRPr="00A01408">
        <w:rPr>
          <w:i/>
          <w:iCs/>
          <w:lang w:eastAsia="en-AU"/>
        </w:rPr>
        <w:t>“I was curious more than anything else I think, you know. And then they had an information evening or afternoon.”</w:t>
      </w:r>
      <w:r w:rsidRPr="00AC4405">
        <w:rPr>
          <w:lang w:eastAsia="en-AU"/>
        </w:rPr>
        <w:t xml:space="preserve"> [Patient 4, Practice 4, R2]</w:t>
      </w:r>
    </w:p>
    <w:p w14:paraId="2F6651F4" w14:textId="77777777" w:rsidR="00C54231" w:rsidRDefault="00C54231" w:rsidP="00FB12E3">
      <w:pPr>
        <w:ind w:left="567" w:right="521"/>
        <w:rPr>
          <w:rFonts w:eastAsia="Times New Roman"/>
          <w:szCs w:val="20"/>
          <w:lang w:eastAsia="en-AU"/>
        </w:rPr>
      </w:pPr>
      <w:r w:rsidRPr="007B6DF7">
        <w:rPr>
          <w:rFonts w:eastAsia="Times New Roman" w:cs="Segoe UI"/>
          <w:i/>
          <w:iCs/>
          <w:szCs w:val="20"/>
          <w:lang w:val="en-GB" w:eastAsia="en-AU"/>
        </w:rPr>
        <w:t>“We didn’t really know, we just followed along</w:t>
      </w:r>
      <w:r w:rsidRPr="00BC7386">
        <w:rPr>
          <w:rFonts w:eastAsia="Times New Roman" w:cs="Segoe UI"/>
          <w:iCs/>
          <w:szCs w:val="20"/>
          <w:lang w:val="en-GB" w:eastAsia="en-AU"/>
        </w:rPr>
        <w:t>…</w:t>
      </w:r>
      <w:r w:rsidRPr="00BC7386">
        <w:rPr>
          <w:rFonts w:eastAsia="Times New Roman" w:cs="Segoe UI"/>
          <w:iCs/>
          <w:szCs w:val="20"/>
          <w:lang w:eastAsia="en-AU"/>
        </w:rPr>
        <w:t>[The GP]</w:t>
      </w:r>
      <w:r w:rsidRPr="007B6DF7">
        <w:rPr>
          <w:rFonts w:eastAsia="Times New Roman" w:cs="Segoe UI"/>
          <w:i/>
          <w:iCs/>
          <w:szCs w:val="20"/>
          <w:lang w:val="en-GB" w:eastAsia="en-AU"/>
        </w:rPr>
        <w:t> suggested it was a good idea so we said, fine. She knows us better than the other doctors down there…” </w:t>
      </w:r>
      <w:r w:rsidRPr="007B6DF7">
        <w:rPr>
          <w:rFonts w:eastAsia="Times New Roman" w:cs="Segoe UI"/>
          <w:szCs w:val="20"/>
          <w:lang w:val="en-GB" w:eastAsia="en-AU"/>
        </w:rPr>
        <w:t>[Patient 1, Practice 16</w:t>
      </w:r>
      <w:r>
        <w:rPr>
          <w:rFonts w:eastAsia="Times New Roman" w:cs="Segoe UI"/>
          <w:szCs w:val="20"/>
          <w:lang w:val="en-GB" w:eastAsia="en-AU"/>
        </w:rPr>
        <w:t>, R2]</w:t>
      </w:r>
      <w:r w:rsidRPr="007B6DF7">
        <w:rPr>
          <w:rFonts w:eastAsia="Times New Roman"/>
          <w:szCs w:val="20"/>
          <w:lang w:eastAsia="en-AU"/>
        </w:rPr>
        <w:t> </w:t>
      </w:r>
    </w:p>
    <w:p w14:paraId="0362CA39" w14:textId="75B15624" w:rsidR="00C54231" w:rsidRPr="00D427C3" w:rsidRDefault="00C54231" w:rsidP="00C54231">
      <w:pPr>
        <w:rPr>
          <w:lang w:eastAsia="en-AU"/>
        </w:rPr>
      </w:pPr>
      <w:r>
        <w:rPr>
          <w:rFonts w:eastAsia="Times New Roman" w:cs="Segoe UI"/>
          <w:szCs w:val="20"/>
          <w:lang w:val="en-GB" w:eastAsia="en-AU"/>
        </w:rPr>
        <w:t xml:space="preserve">Others cited specific program benefits that appealed to them as chronic disease patients. Easier access </w:t>
      </w:r>
      <w:r w:rsidRPr="00AF0269">
        <w:rPr>
          <w:rFonts w:eastAsia="Times New Roman" w:cs="Segoe UI"/>
          <w:szCs w:val="20"/>
          <w:lang w:val="en-GB" w:eastAsia="en-AU"/>
        </w:rPr>
        <w:t>to the practic</w:t>
      </w:r>
      <w:r>
        <w:rPr>
          <w:rFonts w:eastAsia="Times New Roman" w:cs="Segoe UI"/>
          <w:szCs w:val="20"/>
          <w:lang w:val="en-GB" w:eastAsia="en-AU"/>
        </w:rPr>
        <w:t xml:space="preserve">e, more personalised care, additional education to promote self-management, greater involvement in their care, enhanced chronic disease management and additional support and the ability to be </w:t>
      </w:r>
      <w:r w:rsidR="00CA495C">
        <w:rPr>
          <w:rFonts w:eastAsia="Times New Roman" w:cs="Segoe UI"/>
          <w:szCs w:val="20"/>
          <w:lang w:val="en-GB" w:eastAsia="en-AU"/>
        </w:rPr>
        <w:t>“</w:t>
      </w:r>
      <w:r>
        <w:rPr>
          <w:rFonts w:eastAsia="Times New Roman" w:cs="Segoe UI"/>
          <w:szCs w:val="20"/>
          <w:lang w:val="en-GB" w:eastAsia="en-AU"/>
        </w:rPr>
        <w:t>priority patients</w:t>
      </w:r>
      <w:r w:rsidR="00CA495C">
        <w:rPr>
          <w:rFonts w:eastAsia="Times New Roman" w:cs="Segoe UI"/>
          <w:szCs w:val="20"/>
          <w:lang w:val="en-GB" w:eastAsia="en-AU"/>
        </w:rPr>
        <w:t>”</w:t>
      </w:r>
      <w:r>
        <w:rPr>
          <w:rFonts w:eastAsia="Times New Roman" w:cs="Segoe UI"/>
          <w:szCs w:val="20"/>
          <w:lang w:val="en-GB" w:eastAsia="en-AU"/>
        </w:rPr>
        <w:t xml:space="preserve"> were commonly reported as </w:t>
      </w:r>
      <w:r>
        <w:rPr>
          <w:rFonts w:eastAsia="Times New Roman" w:cs="Segoe UI"/>
          <w:szCs w:val="20"/>
          <w:lang w:val="en-GB" w:eastAsia="en-AU"/>
        </w:rPr>
        <w:lastRenderedPageBreak/>
        <w:t>attractive features of HCH that motivated patients to join the program. Reported benefits varied by practice but often included better support and access to their GP or the nursing staff via phone, shorter wait times and the ability to request referrals and regular prescriptions over the phone.</w:t>
      </w:r>
    </w:p>
    <w:p w14:paraId="7FF4923E" w14:textId="77777777" w:rsidR="00C54231" w:rsidRDefault="00C54231" w:rsidP="00FB12E3">
      <w:pPr>
        <w:ind w:left="567" w:right="521"/>
        <w:rPr>
          <w:lang w:eastAsia="en-AU"/>
        </w:rPr>
      </w:pPr>
      <w:r w:rsidRPr="007D4EA4">
        <w:rPr>
          <w:i/>
          <w:iCs/>
          <w:lang w:eastAsia="en-AU"/>
        </w:rPr>
        <w:t>“I just see it [as] getting the prescriptions and being a priority patient.</w:t>
      </w:r>
      <w:r w:rsidRPr="00C11B8C">
        <w:rPr>
          <w:lang w:eastAsia="en-AU"/>
        </w:rPr>
        <w:t xml:space="preserve"> [Patient 3, Practice 3, R2]</w:t>
      </w:r>
    </w:p>
    <w:p w14:paraId="649B54CC" w14:textId="77777777" w:rsidR="00C54231" w:rsidRPr="00D804D7" w:rsidRDefault="00C54231" w:rsidP="00FB12E3">
      <w:pPr>
        <w:ind w:left="567" w:right="521"/>
        <w:rPr>
          <w:rFonts w:eastAsia="Times New Roman"/>
          <w:szCs w:val="20"/>
          <w:lang w:eastAsia="en-AU"/>
        </w:rPr>
      </w:pPr>
      <w:r w:rsidRPr="007B6DF7">
        <w:rPr>
          <w:rFonts w:eastAsia="Times New Roman" w:cs="Segoe UI"/>
          <w:i/>
          <w:iCs/>
          <w:szCs w:val="20"/>
          <w:lang w:val="en-GB" w:eastAsia="en-AU"/>
        </w:rPr>
        <w:t> “…so, the nurse is supposed to liaise with us, we can call for a prescription if we need it on his chronic, long-term meds. Which is huge, because getting him into the practice is very hard.”</w:t>
      </w:r>
      <w:r w:rsidRPr="007B6DF7">
        <w:rPr>
          <w:rFonts w:eastAsia="Times New Roman" w:cs="Segoe UI"/>
          <w:szCs w:val="20"/>
          <w:lang w:val="en-GB" w:eastAsia="en-AU"/>
        </w:rPr>
        <w:t> [Carer</w:t>
      </w:r>
      <w:r>
        <w:rPr>
          <w:rFonts w:eastAsia="Times New Roman" w:cs="Segoe UI"/>
          <w:szCs w:val="20"/>
          <w:lang w:val="en-GB" w:eastAsia="en-AU"/>
        </w:rPr>
        <w:t xml:space="preserve"> 2</w:t>
      </w:r>
      <w:r w:rsidRPr="007B6DF7">
        <w:rPr>
          <w:rFonts w:eastAsia="Times New Roman" w:cs="Segoe UI"/>
          <w:szCs w:val="20"/>
          <w:lang w:val="en-GB" w:eastAsia="en-AU"/>
        </w:rPr>
        <w:t>, Practice 5</w:t>
      </w:r>
      <w:r>
        <w:rPr>
          <w:rFonts w:eastAsia="Times New Roman" w:cs="Segoe UI"/>
          <w:szCs w:val="20"/>
          <w:lang w:val="en-GB" w:eastAsia="en-AU"/>
        </w:rPr>
        <w:t>, R2]</w:t>
      </w:r>
      <w:r w:rsidRPr="007B6DF7">
        <w:rPr>
          <w:rFonts w:eastAsia="Times New Roman"/>
          <w:szCs w:val="20"/>
          <w:lang w:eastAsia="en-AU"/>
        </w:rPr>
        <w:t> </w:t>
      </w:r>
    </w:p>
    <w:p w14:paraId="3611151D" w14:textId="77777777" w:rsidR="00C54231" w:rsidRPr="004264C2" w:rsidRDefault="00C54231" w:rsidP="00FB12E3">
      <w:pPr>
        <w:ind w:left="567" w:right="521"/>
        <w:rPr>
          <w:lang w:eastAsia="en-AU"/>
        </w:rPr>
      </w:pPr>
      <w:r w:rsidRPr="00FB12E3">
        <w:rPr>
          <w:rFonts w:eastAsia="Times New Roman" w:cs="Segoe UI"/>
          <w:i/>
          <w:iCs/>
          <w:szCs w:val="20"/>
          <w:lang w:val="en-GB" w:eastAsia="en-AU"/>
        </w:rPr>
        <w:t>“Oh, well, what might change is when I get a bit older I suppose I'll be looked after. If I'm</w:t>
      </w:r>
      <w:r w:rsidRPr="00B552C4">
        <w:rPr>
          <w:i/>
          <w:iCs/>
          <w:lang w:eastAsia="en-AU"/>
        </w:rPr>
        <w:t xml:space="preserve"> on my own, I've got wife and two boys…If something happens I think I'll be looked after through this Health Care [Homes].”</w:t>
      </w:r>
      <w:r w:rsidRPr="007824C0">
        <w:rPr>
          <w:lang w:eastAsia="en-AU"/>
        </w:rPr>
        <w:t xml:space="preserve"> [Patient 2, Practice 3, R2]</w:t>
      </w:r>
    </w:p>
    <w:p w14:paraId="4863CECE" w14:textId="77777777" w:rsidR="00C54231" w:rsidRPr="007D3CF4" w:rsidRDefault="00C54231" w:rsidP="00C54231">
      <w:pPr>
        <w:pStyle w:val="Heading3"/>
        <w:rPr>
          <w:lang w:eastAsia="en-AU"/>
        </w:rPr>
      </w:pPr>
      <w:r w:rsidRPr="007D3CF4">
        <w:rPr>
          <w:lang w:eastAsia="en-AU"/>
        </w:rPr>
        <w:t>How practices recruited patients to HCH</w:t>
      </w:r>
    </w:p>
    <w:p w14:paraId="38018370" w14:textId="77777777" w:rsidR="00C54231" w:rsidRDefault="00C54231" w:rsidP="00C54231">
      <w:pPr>
        <w:rPr>
          <w:lang w:eastAsia="en-AU"/>
        </w:rPr>
      </w:pPr>
      <w:r>
        <w:rPr>
          <w:lang w:eastAsia="en-AU"/>
        </w:rPr>
        <w:t xml:space="preserve">Practices used a wide range of approaches to recruit patients into HCH. Many patients and carers reported that their doctor discussed the program with them at one of their routine visits. This conversation often involved their GP or a practice nurse explaining the program and its potential benefits and encouraging the patient join the program. Other patients stated that their practice held an information session. </w:t>
      </w:r>
      <w:r w:rsidRPr="000E69EB">
        <w:rPr>
          <w:lang w:eastAsia="en-AU"/>
        </w:rPr>
        <w:t>Patients’ experience of the forum approach seemed to be dependent on individual preference. Some reported enjoying the experience, but others reported difficulties in understanding the program or hearing the speakers</w:t>
      </w:r>
      <w:r>
        <w:rPr>
          <w:lang w:eastAsia="en-AU"/>
        </w:rPr>
        <w:t>:</w:t>
      </w:r>
    </w:p>
    <w:p w14:paraId="2D1C27EB" w14:textId="77777777" w:rsidR="00C54231" w:rsidRDefault="00C54231" w:rsidP="00FB12E3">
      <w:pPr>
        <w:ind w:left="567" w:right="521"/>
        <w:rPr>
          <w:rFonts w:eastAsia="Times New Roman"/>
          <w:szCs w:val="20"/>
          <w:lang w:eastAsia="en-AU"/>
        </w:rPr>
      </w:pPr>
      <w:r w:rsidRPr="007B6DF7">
        <w:rPr>
          <w:rFonts w:eastAsia="Times New Roman" w:cs="Segoe UI"/>
          <w:i/>
          <w:iCs/>
          <w:szCs w:val="20"/>
          <w:lang w:eastAsia="en-AU"/>
        </w:rPr>
        <w:t xml:space="preserve">“I was asked to consider joining up and having read through the documentation I thought I’d have a word to </w:t>
      </w:r>
      <w:r w:rsidRPr="00F02D29">
        <w:rPr>
          <w:rFonts w:eastAsia="Times New Roman" w:cs="Segoe UI"/>
          <w:iCs/>
          <w:szCs w:val="20"/>
          <w:lang w:eastAsia="en-AU"/>
        </w:rPr>
        <w:t>[my GP]</w:t>
      </w:r>
      <w:r w:rsidRPr="007B6DF7">
        <w:rPr>
          <w:rFonts w:eastAsia="Times New Roman" w:cs="Segoe UI"/>
          <w:i/>
          <w:iCs/>
          <w:szCs w:val="20"/>
          <w:lang w:eastAsia="en-AU"/>
        </w:rPr>
        <w:t xml:space="preserve"> about it. He recommended I joined up. So, I joined up.”</w:t>
      </w:r>
      <w:r w:rsidRPr="007B6DF7">
        <w:rPr>
          <w:rFonts w:eastAsia="Times New Roman" w:cs="Segoe UI"/>
          <w:szCs w:val="20"/>
          <w:lang w:eastAsia="en-AU"/>
        </w:rPr>
        <w:t> [Patient 1, Practice 10</w:t>
      </w:r>
      <w:r>
        <w:rPr>
          <w:rFonts w:eastAsia="Times New Roman" w:cs="Segoe UI"/>
          <w:szCs w:val="20"/>
          <w:lang w:eastAsia="en-AU"/>
        </w:rPr>
        <w:t>, R2]</w:t>
      </w:r>
      <w:r w:rsidRPr="007B6DF7">
        <w:rPr>
          <w:rFonts w:eastAsia="Times New Roman"/>
          <w:szCs w:val="20"/>
          <w:lang w:eastAsia="en-AU"/>
        </w:rPr>
        <w:t> </w:t>
      </w:r>
    </w:p>
    <w:p w14:paraId="2C34401C" w14:textId="2BEE14D6" w:rsidR="00C54231" w:rsidRPr="007B6DF7" w:rsidRDefault="00FB12E3" w:rsidP="00FB12E3">
      <w:pPr>
        <w:ind w:left="567" w:right="521"/>
        <w:rPr>
          <w:rFonts w:eastAsia="Times New Roman"/>
          <w:szCs w:val="20"/>
          <w:lang w:eastAsia="en-AU"/>
        </w:rPr>
      </w:pPr>
      <w:r>
        <w:rPr>
          <w:rFonts w:eastAsia="Times New Roman"/>
          <w:i/>
          <w:iCs/>
          <w:szCs w:val="20"/>
          <w:lang w:eastAsia="en-AU"/>
        </w:rPr>
        <w:t>“</w:t>
      </w:r>
      <w:r w:rsidR="00C54231" w:rsidRPr="00E075DC">
        <w:rPr>
          <w:rFonts w:eastAsia="Times New Roman"/>
          <w:i/>
          <w:iCs/>
          <w:szCs w:val="20"/>
          <w:lang w:eastAsia="en-AU"/>
        </w:rPr>
        <w:t>They actually had a really nice evening inviting patients that may want to go on it. And they had someone come down from the government, just to tell us how it would all work. And they put on a supper.”</w:t>
      </w:r>
      <w:r w:rsidR="00C54231">
        <w:rPr>
          <w:rFonts w:eastAsia="Times New Roman"/>
          <w:szCs w:val="20"/>
          <w:lang w:eastAsia="en-AU"/>
        </w:rPr>
        <w:t xml:space="preserve"> [Patient 2, Practice 4, R5]</w:t>
      </w:r>
    </w:p>
    <w:p w14:paraId="6B8C2E90" w14:textId="77777777" w:rsidR="00C54231" w:rsidRDefault="00C54231" w:rsidP="00FB12E3">
      <w:pPr>
        <w:ind w:left="567" w:right="521"/>
        <w:rPr>
          <w:rFonts w:eastAsia="Times New Roman"/>
          <w:szCs w:val="20"/>
          <w:lang w:eastAsia="en-AU"/>
        </w:rPr>
      </w:pPr>
      <w:r w:rsidRPr="007B6DF7">
        <w:rPr>
          <w:rFonts w:eastAsia="Times New Roman" w:cs="Segoe UI"/>
          <w:i/>
          <w:iCs/>
          <w:szCs w:val="20"/>
          <w:lang w:val="en-GB" w:eastAsia="en-AU"/>
        </w:rPr>
        <w:t>“</w:t>
      </w:r>
      <w:r w:rsidRPr="007B6DF7">
        <w:rPr>
          <w:rFonts w:eastAsia="Times New Roman" w:cs="Segoe UI"/>
          <w:iCs/>
          <w:szCs w:val="20"/>
          <w:lang w:val="en-GB" w:eastAsia="en-AU"/>
        </w:rPr>
        <w:t>[The community event]</w:t>
      </w:r>
      <w:r w:rsidRPr="007B6DF7">
        <w:rPr>
          <w:rFonts w:eastAsia="Times New Roman" w:cs="Segoe UI"/>
          <w:i/>
          <w:iCs/>
          <w:szCs w:val="20"/>
          <w:lang w:val="en-GB" w:eastAsia="en-AU"/>
        </w:rPr>
        <w:t xml:space="preserve"> was ever so interesting, because there were quite a few people there, and we were listening to each other…There were 70 people there, I think. </w:t>
      </w:r>
      <w:r w:rsidRPr="007B6DF7">
        <w:rPr>
          <w:rFonts w:eastAsia="Times New Roman" w:cs="Segoe UI"/>
          <w:szCs w:val="20"/>
          <w:lang w:val="en-GB" w:eastAsia="en-AU"/>
        </w:rPr>
        <w:t>[Patient 3, Practice 16</w:t>
      </w:r>
      <w:r>
        <w:rPr>
          <w:rFonts w:eastAsia="Times New Roman" w:cs="Segoe UI"/>
          <w:szCs w:val="20"/>
          <w:lang w:val="en-GB" w:eastAsia="en-AU"/>
        </w:rPr>
        <w:t>, R2]</w:t>
      </w:r>
      <w:r w:rsidRPr="007B6DF7">
        <w:rPr>
          <w:rFonts w:eastAsia="Times New Roman"/>
          <w:szCs w:val="20"/>
          <w:lang w:eastAsia="en-AU"/>
        </w:rPr>
        <w:t> </w:t>
      </w:r>
    </w:p>
    <w:p w14:paraId="7A116ABA" w14:textId="3BD04C84" w:rsidR="005B6744" w:rsidRDefault="00C54231" w:rsidP="00032A68">
      <w:r>
        <w:rPr>
          <w:rFonts w:eastAsia="Times New Roman" w:cs="Segoe UI"/>
          <w:szCs w:val="20"/>
          <w:lang w:val="en-GB" w:eastAsia="en-AU"/>
        </w:rPr>
        <w:t>T</w:t>
      </w:r>
      <w:r w:rsidRPr="007B6DF7">
        <w:rPr>
          <w:rFonts w:eastAsia="Times New Roman" w:cs="Segoe UI"/>
          <w:szCs w:val="20"/>
          <w:lang w:val="en-GB" w:eastAsia="en-AU"/>
        </w:rPr>
        <w:t>rust and confidence in the judgement of their GP and practice persuaded many patients to join HCH.</w:t>
      </w:r>
      <w:r w:rsidR="00D225A5">
        <w:rPr>
          <w:rFonts w:eastAsia="Times New Roman" w:cs="Segoe UI"/>
          <w:szCs w:val="20"/>
          <w:lang w:val="en-GB" w:eastAsia="en-AU"/>
        </w:rPr>
        <w:t xml:space="preserve"> </w:t>
      </w:r>
      <w:r w:rsidR="0002357B">
        <w:t>Patients also reported other motivations (</w:t>
      </w:r>
      <w:r w:rsidR="0002357B" w:rsidRPr="006524FD">
        <w:rPr>
          <w:rFonts w:eastAsiaTheme="minorEastAsia"/>
          <w:bCs/>
          <w:color w:val="1D2455"/>
          <w:szCs w:val="20"/>
          <w:lang w:eastAsia="en-AU"/>
        </w:rPr>
        <w:fldChar w:fldCharType="begin"/>
      </w:r>
      <w:r w:rsidR="0002357B" w:rsidRPr="006524FD">
        <w:rPr>
          <w:rFonts w:eastAsiaTheme="minorEastAsia"/>
          <w:bCs/>
          <w:color w:val="1D2455"/>
          <w:szCs w:val="20"/>
          <w:lang w:eastAsia="en-AU"/>
        </w:rPr>
        <w:instrText xml:space="preserve"> REF _Ref83978198 \h  \* MERGEFORMAT </w:instrText>
      </w:r>
      <w:r w:rsidR="0002357B" w:rsidRPr="006524FD">
        <w:rPr>
          <w:rFonts w:eastAsiaTheme="minorEastAsia"/>
          <w:bCs/>
          <w:color w:val="1D2455"/>
          <w:szCs w:val="20"/>
          <w:lang w:eastAsia="en-AU"/>
        </w:rPr>
      </w:r>
      <w:r w:rsidR="0002357B" w:rsidRPr="006524FD">
        <w:rPr>
          <w:rFonts w:eastAsiaTheme="minorEastAsia"/>
          <w:bCs/>
          <w:color w:val="1D2455"/>
          <w:szCs w:val="20"/>
          <w:lang w:eastAsia="en-AU"/>
        </w:rPr>
        <w:fldChar w:fldCharType="separate"/>
      </w:r>
      <w:r w:rsidR="003C4BC2" w:rsidRPr="003C4BC2">
        <w:rPr>
          <w:rFonts w:eastAsiaTheme="minorEastAsia"/>
          <w:bCs/>
          <w:color w:val="1D2455"/>
          <w:szCs w:val="20"/>
          <w:lang w:eastAsia="en-AU"/>
        </w:rPr>
        <w:t>Figure 44</w:t>
      </w:r>
      <w:r w:rsidR="0002357B" w:rsidRPr="006524FD">
        <w:rPr>
          <w:rFonts w:eastAsiaTheme="minorEastAsia"/>
          <w:bCs/>
          <w:color w:val="1D2455"/>
          <w:szCs w:val="20"/>
          <w:lang w:eastAsia="en-AU"/>
        </w:rPr>
        <w:fldChar w:fldCharType="end"/>
      </w:r>
      <w:r w:rsidR="0002357B">
        <w:t>).</w:t>
      </w:r>
    </w:p>
    <w:p w14:paraId="36965968" w14:textId="77777777" w:rsidR="00970507" w:rsidRDefault="00970507">
      <w:pPr>
        <w:spacing w:after="160" w:line="259" w:lineRule="auto"/>
      </w:pPr>
      <w:r>
        <w:br w:type="page"/>
      </w:r>
    </w:p>
    <w:p w14:paraId="5D18789B" w14:textId="16E169F3" w:rsidR="00C54231" w:rsidRPr="00C54231" w:rsidRDefault="00C54231" w:rsidP="00C54231">
      <w:pPr>
        <w:pStyle w:val="TableFigureheading"/>
      </w:pPr>
      <w:bookmarkStart w:id="324" w:name="_Ref83978198"/>
      <w:r w:rsidRPr="00C54231">
        <w:lastRenderedPageBreak/>
        <w:t xml:space="preserve">Figure </w:t>
      </w:r>
      <w:r w:rsidR="00A61B29">
        <w:fldChar w:fldCharType="begin"/>
      </w:r>
      <w:r w:rsidR="00A61B29">
        <w:instrText xml:space="preserve"> SEQ Figure \* ARABIC </w:instrText>
      </w:r>
      <w:r w:rsidR="00A61B29">
        <w:fldChar w:fldCharType="separate"/>
      </w:r>
      <w:r w:rsidR="003C4BC2">
        <w:rPr>
          <w:noProof/>
        </w:rPr>
        <w:t>44</w:t>
      </w:r>
      <w:r w:rsidR="00A61B29">
        <w:rPr>
          <w:noProof/>
        </w:rPr>
        <w:fldChar w:fldCharType="end"/>
      </w:r>
      <w:bookmarkEnd w:id="324"/>
      <w:r>
        <w:t xml:space="preserve">: </w:t>
      </w:r>
      <w:r w:rsidR="00EF091C">
        <w:t>M</w:t>
      </w:r>
      <w:r w:rsidRPr="00C54231">
        <w:t>otivations for joining HCH</w:t>
      </w:r>
      <w:r w:rsidR="00EF091C">
        <w:t xml:space="preserve"> reported by patients</w:t>
      </w:r>
    </w:p>
    <w:p w14:paraId="7A4052E7" w14:textId="0C407297" w:rsidR="00C54231" w:rsidRDefault="0002357B" w:rsidP="0002357B">
      <w:pPr>
        <w:spacing w:after="0"/>
      </w:pPr>
      <w:r w:rsidRPr="0002357B">
        <w:rPr>
          <w:noProof/>
        </w:rPr>
        <w:drawing>
          <wp:inline distT="0" distB="0" distL="0" distR="0" wp14:anchorId="668CA962" wp14:editId="5B31725F">
            <wp:extent cx="5731510" cy="3039745"/>
            <wp:effectExtent l="0" t="0" r="0" b="0"/>
            <wp:docPr id="22" name="Picture 22" descr="diagram, motivations for joining the t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diagram, motivations for joining the trial"/>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31510" cy="3039745"/>
                    </a:xfrm>
                    <a:prstGeom prst="rect">
                      <a:avLst/>
                    </a:prstGeom>
                    <a:noFill/>
                    <a:ln>
                      <a:noFill/>
                    </a:ln>
                  </pic:spPr>
                </pic:pic>
              </a:graphicData>
            </a:graphic>
          </wp:inline>
        </w:drawing>
      </w:r>
    </w:p>
    <w:p w14:paraId="093D00C1" w14:textId="35C8FBB5" w:rsidR="00C54231" w:rsidRDefault="00C54231" w:rsidP="00C54231">
      <w:pPr>
        <w:jc w:val="center"/>
        <w:rPr>
          <w:rFonts w:eastAsia="Times New Roman"/>
          <w:i/>
          <w:sz w:val="16"/>
          <w:szCs w:val="16"/>
          <w:lang w:eastAsia="en-AU"/>
        </w:rPr>
      </w:pPr>
      <w:r w:rsidRPr="00675A4F">
        <w:rPr>
          <w:rFonts w:eastAsia="Times New Roman"/>
          <w:i/>
          <w:sz w:val="16"/>
          <w:szCs w:val="16"/>
          <w:lang w:eastAsia="en-AU"/>
        </w:rPr>
        <w:t xml:space="preserve">Source: </w:t>
      </w:r>
      <w:r w:rsidR="004D49E7">
        <w:rPr>
          <w:rFonts w:eastAsia="Times New Roman"/>
          <w:i/>
          <w:sz w:val="16"/>
          <w:szCs w:val="16"/>
          <w:lang w:eastAsia="en-AU"/>
        </w:rPr>
        <w:t>Case study</w:t>
      </w:r>
      <w:r w:rsidRPr="00675A4F">
        <w:rPr>
          <w:rFonts w:eastAsia="Times New Roman"/>
          <w:i/>
          <w:sz w:val="16"/>
          <w:szCs w:val="16"/>
          <w:lang w:eastAsia="en-AU"/>
        </w:rPr>
        <w:t xml:space="preserve"> interviews, R2</w:t>
      </w:r>
      <w:r w:rsidR="00970507">
        <w:rPr>
          <w:rFonts w:eastAsia="Times New Roman"/>
          <w:i/>
          <w:sz w:val="16"/>
          <w:szCs w:val="16"/>
          <w:lang w:eastAsia="en-AU"/>
        </w:rPr>
        <w:t xml:space="preserve"> </w:t>
      </w:r>
      <w:r w:rsidR="00970507" w:rsidRPr="00970507">
        <w:rPr>
          <w:rFonts w:eastAsia="Times New Roman"/>
          <w:i/>
          <w:sz w:val="16"/>
          <w:szCs w:val="16"/>
          <w:lang w:eastAsia="en-AU"/>
        </w:rPr>
        <w:t>Sept–Oct 2018</w:t>
      </w:r>
      <w:r w:rsidR="00970507">
        <w:rPr>
          <w:rFonts w:eastAsia="Times New Roman"/>
          <w:i/>
          <w:sz w:val="16"/>
          <w:szCs w:val="16"/>
          <w:lang w:eastAsia="en-AU"/>
        </w:rPr>
        <w:t>.</w:t>
      </w:r>
    </w:p>
    <w:p w14:paraId="0C265668" w14:textId="4DF6605E" w:rsidR="0002357B" w:rsidRDefault="00381E8F" w:rsidP="0002357B">
      <w:pPr>
        <w:rPr>
          <w:lang w:eastAsia="en-AU"/>
        </w:rPr>
      </w:pPr>
      <w:r>
        <w:rPr>
          <w:lang w:eastAsia="en-AU"/>
        </w:rPr>
        <w:t>S</w:t>
      </w:r>
      <w:r w:rsidR="0002357B">
        <w:rPr>
          <w:lang w:eastAsia="en-AU"/>
        </w:rPr>
        <w:t>ome patients stated that they struggled to effectively understand the program and its objectives. This was due to a multitude of factors</w:t>
      </w:r>
      <w:r w:rsidR="00DB0A92">
        <w:rPr>
          <w:lang w:eastAsia="en-AU"/>
        </w:rPr>
        <w:t>,</w:t>
      </w:r>
      <w:r w:rsidR="0002357B">
        <w:rPr>
          <w:lang w:eastAsia="en-AU"/>
        </w:rPr>
        <w:t xml:space="preserve"> including confusion amongst staff members about the program aims and how it would work within their practices which often translated into a lack of confidence in effectively </w:t>
      </w:r>
      <w:r w:rsidR="00CA495C">
        <w:rPr>
          <w:lang w:eastAsia="en-AU"/>
        </w:rPr>
        <w:t>“</w:t>
      </w:r>
      <w:r w:rsidR="0002357B">
        <w:rPr>
          <w:lang w:eastAsia="en-AU"/>
        </w:rPr>
        <w:t>selling</w:t>
      </w:r>
      <w:r w:rsidR="00CA495C">
        <w:rPr>
          <w:lang w:eastAsia="en-AU"/>
        </w:rPr>
        <w:t>”</w:t>
      </w:r>
      <w:r w:rsidR="0002357B">
        <w:rPr>
          <w:lang w:eastAsia="en-AU"/>
        </w:rPr>
        <w:t xml:space="preserve"> the program to their patients. In subsequent interviews, practices reported that patient understanding and expectations of HCH was an ongoing challenge for some patients which led to confusion around the program benefits and how it impacted their care:</w:t>
      </w:r>
    </w:p>
    <w:p w14:paraId="35CD841C" w14:textId="77777777" w:rsidR="0002357B" w:rsidRDefault="0002357B" w:rsidP="00FB12E3">
      <w:pPr>
        <w:ind w:left="567" w:right="521"/>
        <w:rPr>
          <w:lang w:eastAsia="en-AU"/>
        </w:rPr>
      </w:pPr>
      <w:r w:rsidRPr="00306302">
        <w:rPr>
          <w:i/>
          <w:iCs/>
          <w:lang w:eastAsia="en-AU"/>
        </w:rPr>
        <w:t xml:space="preserve"> “I did find it quite hard to get my head round I don’t know quite why…I know I was given information to read afterwards…but a simple crib sheet or something just with the main points on would be... because it’s quite wordy that document that comes out.”</w:t>
      </w:r>
      <w:r w:rsidRPr="00306302">
        <w:rPr>
          <w:lang w:eastAsia="en-AU"/>
        </w:rPr>
        <w:t xml:space="preserve"> [Patient 2, Practice 5, R2]</w:t>
      </w:r>
    </w:p>
    <w:p w14:paraId="28520615" w14:textId="77777777" w:rsidR="0002357B" w:rsidRDefault="0002357B" w:rsidP="00FB12E3">
      <w:pPr>
        <w:ind w:left="567" w:right="521"/>
        <w:rPr>
          <w:rFonts w:eastAsia="Times New Roman"/>
          <w:szCs w:val="20"/>
          <w:lang w:eastAsia="en-AU"/>
        </w:rPr>
      </w:pPr>
      <w:r w:rsidRPr="007B6DF7">
        <w:rPr>
          <w:rFonts w:eastAsia="Times New Roman" w:cs="Segoe UI"/>
          <w:i/>
          <w:iCs/>
          <w:szCs w:val="20"/>
          <w:lang w:val="en-GB" w:eastAsia="en-AU"/>
        </w:rPr>
        <w:t>“Well, at the time I don't think the practice knew much about it and what it was about. I'm quite sure they didn't actually…Nothing tells me that any of it has changed.”</w:t>
      </w:r>
      <w:r>
        <w:rPr>
          <w:rFonts w:eastAsia="Times New Roman" w:cs="Segoe UI"/>
          <w:i/>
          <w:iCs/>
          <w:szCs w:val="20"/>
          <w:lang w:val="en-GB" w:eastAsia="en-AU"/>
        </w:rPr>
        <w:t xml:space="preserve"> </w:t>
      </w:r>
      <w:r w:rsidRPr="007B6DF7">
        <w:rPr>
          <w:rFonts w:eastAsia="Times New Roman" w:cs="Segoe UI"/>
          <w:szCs w:val="20"/>
          <w:lang w:val="en-GB" w:eastAsia="en-AU"/>
        </w:rPr>
        <w:t>[Patient 1, Practice 8</w:t>
      </w:r>
      <w:r>
        <w:rPr>
          <w:rFonts w:eastAsia="Times New Roman" w:cs="Segoe UI"/>
          <w:szCs w:val="20"/>
          <w:lang w:val="en-GB" w:eastAsia="en-AU"/>
        </w:rPr>
        <w:t>, R2]</w:t>
      </w:r>
      <w:r w:rsidRPr="007B6DF7">
        <w:rPr>
          <w:rFonts w:eastAsia="Times New Roman"/>
          <w:szCs w:val="20"/>
          <w:lang w:eastAsia="en-AU"/>
        </w:rPr>
        <w:t> </w:t>
      </w:r>
    </w:p>
    <w:p w14:paraId="6DC01A49" w14:textId="77777777" w:rsidR="0002357B" w:rsidRDefault="0002357B" w:rsidP="00FB12E3">
      <w:pPr>
        <w:ind w:left="567" w:right="521"/>
        <w:rPr>
          <w:rFonts w:eastAsia="Times New Roman"/>
          <w:szCs w:val="20"/>
          <w:lang w:eastAsia="en-AU"/>
        </w:rPr>
      </w:pPr>
      <w:r w:rsidRPr="00FB12E3">
        <w:rPr>
          <w:rFonts w:eastAsia="Times New Roman" w:cs="Segoe UI"/>
          <w:i/>
          <w:iCs/>
          <w:szCs w:val="20"/>
          <w:lang w:val="en-GB" w:eastAsia="en-AU"/>
        </w:rPr>
        <w:t>“I don’t really understand what the difference is. I’m never quite sure whether</w:t>
      </w:r>
      <w:r w:rsidRPr="000E2303">
        <w:rPr>
          <w:rFonts w:eastAsia="Times New Roman"/>
          <w:i/>
          <w:iCs/>
          <w:szCs w:val="20"/>
          <w:lang w:eastAsia="en-AU"/>
        </w:rPr>
        <w:t xml:space="preserve"> it’s because we’re now seniors or classed as seniors, whether we become entitled to things or whether it’s because of the healthcare plan or whatever. But I do know the doctor is quite…insistent on seeing me twice a year at least, unless something crops up. That’s the only difference I’ve noted.”</w:t>
      </w:r>
      <w:r w:rsidRPr="000E2303">
        <w:rPr>
          <w:rFonts w:eastAsia="Times New Roman"/>
          <w:szCs w:val="20"/>
          <w:lang w:eastAsia="en-AU"/>
        </w:rPr>
        <w:t xml:space="preserve"> [Patient 4, Practice 1, R5]</w:t>
      </w:r>
    </w:p>
    <w:p w14:paraId="7DBD475F" w14:textId="3601EF22" w:rsidR="0002357B" w:rsidRDefault="0002357B" w:rsidP="00FB12E3">
      <w:pPr>
        <w:ind w:left="567" w:right="521"/>
        <w:rPr>
          <w:rFonts w:eastAsia="Times New Roman"/>
          <w:szCs w:val="20"/>
          <w:lang w:eastAsia="en-AU"/>
        </w:rPr>
      </w:pPr>
      <w:r w:rsidRPr="005C5759">
        <w:rPr>
          <w:rFonts w:eastAsia="Times New Roman"/>
          <w:i/>
          <w:iCs/>
          <w:szCs w:val="20"/>
          <w:lang w:eastAsia="en-AU"/>
        </w:rPr>
        <w:t>“When I joined up with this sc</w:t>
      </w:r>
      <w:r w:rsidR="00240831">
        <w:rPr>
          <w:rFonts w:eastAsia="Times New Roman"/>
          <w:i/>
          <w:iCs/>
          <w:szCs w:val="20"/>
          <w:lang w:eastAsia="en-AU"/>
        </w:rPr>
        <w:t>h</w:t>
      </w:r>
      <w:r w:rsidRPr="005C5759">
        <w:rPr>
          <w:rFonts w:eastAsia="Times New Roman"/>
          <w:i/>
          <w:iCs/>
          <w:szCs w:val="20"/>
          <w:lang w:eastAsia="en-AU"/>
        </w:rPr>
        <w:t>e</w:t>
      </w:r>
      <w:r w:rsidR="00240831">
        <w:rPr>
          <w:rFonts w:eastAsia="Times New Roman"/>
          <w:i/>
          <w:iCs/>
          <w:szCs w:val="20"/>
          <w:lang w:eastAsia="en-AU"/>
        </w:rPr>
        <w:t>m</w:t>
      </w:r>
      <w:r w:rsidRPr="005C5759">
        <w:rPr>
          <w:rFonts w:eastAsia="Times New Roman"/>
          <w:i/>
          <w:iCs/>
          <w:szCs w:val="20"/>
          <w:lang w:eastAsia="en-AU"/>
        </w:rPr>
        <w:t xml:space="preserve">e, they never fully explained it to me properly. I just got a rough explanation and they put me in the </w:t>
      </w:r>
      <w:r w:rsidR="0002675D">
        <w:rPr>
          <w:rFonts w:eastAsia="Times New Roman"/>
          <w:i/>
          <w:iCs/>
          <w:szCs w:val="20"/>
          <w:lang w:eastAsia="en-AU"/>
        </w:rPr>
        <w:t>program</w:t>
      </w:r>
      <w:r w:rsidRPr="005C5759">
        <w:rPr>
          <w:rFonts w:eastAsia="Times New Roman"/>
          <w:i/>
          <w:iCs/>
          <w:szCs w:val="20"/>
          <w:lang w:eastAsia="en-AU"/>
        </w:rPr>
        <w:t xml:space="preserve">. [GP] sat me down and then explained what this </w:t>
      </w:r>
      <w:r w:rsidR="0002675D">
        <w:rPr>
          <w:rFonts w:eastAsia="Times New Roman"/>
          <w:i/>
          <w:iCs/>
          <w:szCs w:val="20"/>
          <w:lang w:eastAsia="en-AU"/>
        </w:rPr>
        <w:t>program</w:t>
      </w:r>
      <w:r w:rsidRPr="005C5759">
        <w:rPr>
          <w:rFonts w:eastAsia="Times New Roman"/>
          <w:i/>
          <w:iCs/>
          <w:szCs w:val="20"/>
          <w:lang w:eastAsia="en-AU"/>
        </w:rPr>
        <w:t xml:space="preserve"> could help me or what they could do for me. I’ve just got along with the flow more or less.”</w:t>
      </w:r>
      <w:r>
        <w:rPr>
          <w:rFonts w:eastAsia="Times New Roman"/>
          <w:szCs w:val="20"/>
          <w:lang w:eastAsia="en-AU"/>
        </w:rPr>
        <w:t xml:space="preserve"> [Patient 1, Practice 15, R5]</w:t>
      </w:r>
    </w:p>
    <w:p w14:paraId="054F91B9" w14:textId="77777777" w:rsidR="00987B4B" w:rsidRDefault="00987B4B">
      <w:pPr>
        <w:spacing w:after="160" w:line="259" w:lineRule="auto"/>
        <w:rPr>
          <w:rFonts w:ascii="Roboto Slab" w:eastAsia="Times New Roman" w:hAnsi="Roboto Slab" w:cs="Times New Roman"/>
          <w:bCs/>
          <w:color w:val="408BCA"/>
          <w:sz w:val="32"/>
          <w:szCs w:val="36"/>
          <w:lang w:eastAsia="en-AU"/>
        </w:rPr>
      </w:pPr>
      <w:r>
        <w:br w:type="page"/>
      </w:r>
    </w:p>
    <w:p w14:paraId="6167F43B" w14:textId="5A40DC48" w:rsidR="0002357B" w:rsidRPr="00D8612B" w:rsidRDefault="0002357B" w:rsidP="0002357B">
      <w:pPr>
        <w:pStyle w:val="Heading2"/>
      </w:pPr>
      <w:bookmarkStart w:id="325" w:name="_Toc109996727"/>
      <w:r>
        <w:lastRenderedPageBreak/>
        <w:t>Patient e</w:t>
      </w:r>
      <w:r w:rsidRPr="006A5A11">
        <w:t>xperiences with HCH</w:t>
      </w:r>
      <w:bookmarkEnd w:id="325"/>
      <w:r w:rsidRPr="006A5A11">
        <w:t> </w:t>
      </w:r>
    </w:p>
    <w:p w14:paraId="6C116AD9" w14:textId="6A489AD5" w:rsidR="0002357B" w:rsidRDefault="0002357B" w:rsidP="00125A12">
      <w:pPr>
        <w:rPr>
          <w:lang w:eastAsia="en-AU"/>
        </w:rPr>
      </w:pPr>
      <w:r>
        <w:rPr>
          <w:lang w:eastAsia="en-AU"/>
        </w:rPr>
        <w:t xml:space="preserve">Early in the trial, many practices reported concentrating on recruiting patients and implementing internal processes; therefore, patients reflected that little had changed in their care. Patients </w:t>
      </w:r>
      <w:r w:rsidR="000F5826">
        <w:rPr>
          <w:lang w:eastAsia="en-AU"/>
        </w:rPr>
        <w:t>who</w:t>
      </w:r>
      <w:r>
        <w:rPr>
          <w:lang w:eastAsia="en-AU"/>
        </w:rPr>
        <w:t xml:space="preserve"> report</w:t>
      </w:r>
      <w:r w:rsidR="00487346">
        <w:rPr>
          <w:lang w:eastAsia="en-AU"/>
        </w:rPr>
        <w:t>ed</w:t>
      </w:r>
      <w:r>
        <w:rPr>
          <w:lang w:eastAsia="en-AU"/>
        </w:rPr>
        <w:t xml:space="preserve"> changes predominantly discussed the ability to request prescriptions over the phone, more proactive follow up, better access to the practice and enhanced chronic disease management:</w:t>
      </w:r>
    </w:p>
    <w:p w14:paraId="733D0ADA" w14:textId="77777777" w:rsidR="0002357B" w:rsidRPr="00F7203B" w:rsidRDefault="0002357B" w:rsidP="00FB12E3">
      <w:pPr>
        <w:ind w:left="567" w:right="521"/>
        <w:rPr>
          <w:rFonts w:eastAsia="Times New Roman" w:cs="Segoe UI"/>
          <w:i/>
          <w:iCs/>
          <w:szCs w:val="20"/>
          <w:lang w:val="en-GB" w:eastAsia="en-AU"/>
        </w:rPr>
      </w:pPr>
      <w:r w:rsidRPr="007B6DF7">
        <w:rPr>
          <w:rFonts w:eastAsia="Times New Roman" w:cs="Segoe UI"/>
          <w:i/>
          <w:iCs/>
          <w:szCs w:val="20"/>
          <w:lang w:val="en-GB" w:eastAsia="en-AU"/>
        </w:rPr>
        <w:t xml:space="preserve">“…I just ring up and say, oh, HCH Coordinator, I need some prescriptions refilled, okay </w:t>
      </w:r>
      <w:r w:rsidRPr="005E5910">
        <w:rPr>
          <w:rFonts w:eastAsia="Times New Roman" w:cs="Segoe UI"/>
          <w:iCs/>
          <w:szCs w:val="20"/>
          <w:lang w:val="en-GB" w:eastAsia="en-AU"/>
        </w:rPr>
        <w:t>[patient 6]</w:t>
      </w:r>
      <w:r w:rsidRPr="007B6DF7">
        <w:rPr>
          <w:rFonts w:eastAsia="Times New Roman" w:cs="Segoe UI"/>
          <w:i/>
          <w:iCs/>
          <w:szCs w:val="20"/>
          <w:lang w:val="en-GB" w:eastAsia="en-AU"/>
        </w:rPr>
        <w:t>, I’ll ring you when they’re ready. I’m saving the doctors time for her to see somebody that needs to be seen.” </w:t>
      </w:r>
      <w:r w:rsidRPr="007B6DF7">
        <w:rPr>
          <w:rFonts w:eastAsia="Times New Roman" w:cs="Segoe UI"/>
          <w:szCs w:val="20"/>
          <w:lang w:val="en-GB" w:eastAsia="en-AU"/>
        </w:rPr>
        <w:t>[Patient 5, Practice 16</w:t>
      </w:r>
      <w:r>
        <w:rPr>
          <w:rFonts w:eastAsia="Times New Roman" w:cs="Segoe UI"/>
          <w:szCs w:val="20"/>
          <w:lang w:val="en-GB" w:eastAsia="en-AU"/>
        </w:rPr>
        <w:t>, R2]</w:t>
      </w:r>
      <w:r w:rsidRPr="007B6DF7">
        <w:rPr>
          <w:rFonts w:eastAsia="Times New Roman"/>
          <w:szCs w:val="20"/>
          <w:lang w:eastAsia="en-AU"/>
        </w:rPr>
        <w:t> </w:t>
      </w:r>
    </w:p>
    <w:p w14:paraId="07D64F80" w14:textId="77777777" w:rsidR="0002357B" w:rsidRDefault="0002357B" w:rsidP="00FB12E3">
      <w:pPr>
        <w:ind w:left="567" w:right="521"/>
        <w:rPr>
          <w:lang w:eastAsia="en-AU"/>
        </w:rPr>
      </w:pPr>
      <w:r w:rsidRPr="00415DCE">
        <w:rPr>
          <w:i/>
          <w:iCs/>
          <w:lang w:eastAsia="en-AU"/>
        </w:rPr>
        <w:t>“…the only thing that really has changed is that I’m…sort of pushed a bit for, to get, you know, my knees looked at…we’re communicating properly, the doctor and I. I think [my GP is] taking it a bit more seriously now.”</w:t>
      </w:r>
      <w:r w:rsidRPr="00415DCE">
        <w:rPr>
          <w:lang w:eastAsia="en-AU"/>
        </w:rPr>
        <w:t xml:space="preserve"> [Patient 3, Practice 5, R2]</w:t>
      </w:r>
    </w:p>
    <w:p w14:paraId="43B4902E" w14:textId="77777777" w:rsidR="0002357B" w:rsidRDefault="0002357B" w:rsidP="00FB12E3">
      <w:pPr>
        <w:ind w:left="567" w:right="521"/>
        <w:rPr>
          <w:rFonts w:eastAsia="Times New Roman" w:cs="Segoe UI"/>
          <w:szCs w:val="20"/>
          <w:lang w:val="en-GB" w:eastAsia="en-AU"/>
        </w:rPr>
      </w:pPr>
      <w:r w:rsidRPr="007B6DF7">
        <w:rPr>
          <w:rFonts w:eastAsia="Times New Roman" w:cs="Segoe UI"/>
          <w:i/>
          <w:iCs/>
          <w:szCs w:val="20"/>
          <w:lang w:val="en-GB" w:eastAsia="en-AU"/>
        </w:rPr>
        <w:t>“</w:t>
      </w:r>
      <w:r w:rsidRPr="00643F90">
        <w:rPr>
          <w:rFonts w:eastAsia="Times New Roman" w:cs="Segoe UI"/>
          <w:iCs/>
          <w:szCs w:val="20"/>
          <w:lang w:val="en-GB" w:eastAsia="en-AU"/>
        </w:rPr>
        <w:t>[The care process has]</w:t>
      </w:r>
      <w:r w:rsidRPr="007B6DF7">
        <w:rPr>
          <w:rFonts w:eastAsia="Times New Roman" w:cs="Segoe UI"/>
          <w:i/>
          <w:iCs/>
          <w:szCs w:val="20"/>
          <w:lang w:val="en-GB" w:eastAsia="en-AU"/>
        </w:rPr>
        <w:t xml:space="preserve"> probably intensified a little bit, whether it was just me or whether the practice as a whole was doing it, but, you know, they’ve always been…a multi-branch sort of thing...They want to talk to you about health and talk about…wellbeing in total and lifestyle and that sort of thing.”</w:t>
      </w:r>
      <w:r w:rsidRPr="007B6DF7">
        <w:rPr>
          <w:rFonts w:eastAsia="Times New Roman" w:cs="Segoe UI"/>
          <w:szCs w:val="20"/>
          <w:lang w:val="en-GB" w:eastAsia="en-AU"/>
        </w:rPr>
        <w:t> [Patient 3, Practice 5</w:t>
      </w:r>
      <w:r>
        <w:rPr>
          <w:rFonts w:eastAsia="Times New Roman" w:cs="Segoe UI"/>
          <w:szCs w:val="20"/>
          <w:lang w:val="en-GB" w:eastAsia="en-AU"/>
        </w:rPr>
        <w:t>, R2]</w:t>
      </w:r>
    </w:p>
    <w:p w14:paraId="010C14C6" w14:textId="77777777" w:rsidR="0002357B" w:rsidRPr="009C7918" w:rsidRDefault="0002357B" w:rsidP="00FB12E3">
      <w:pPr>
        <w:ind w:left="567" w:right="521"/>
        <w:rPr>
          <w:rFonts w:eastAsia="Times New Roman" w:cs="Segoe UI"/>
          <w:szCs w:val="20"/>
          <w:lang w:eastAsia="en-AU"/>
        </w:rPr>
      </w:pPr>
      <w:r w:rsidRPr="009C7918">
        <w:rPr>
          <w:rFonts w:eastAsia="Times New Roman" w:cs="Segoe UI"/>
          <w:i/>
          <w:iCs/>
          <w:szCs w:val="20"/>
          <w:lang w:val="en-GB" w:eastAsia="en-AU"/>
        </w:rPr>
        <w:t>“Before that it was pretty lax...I would have to go and see the doctor and say I want a blood test done for my sugar and all of this. I was the one that was always…Driving it and I shouldn't have been. You know but this has all changed now and that's been, I suppose, 18 months and maybe two years...”</w:t>
      </w:r>
      <w:r w:rsidRPr="009C7918">
        <w:rPr>
          <w:rFonts w:eastAsia="Times New Roman" w:cs="Segoe UI"/>
          <w:szCs w:val="20"/>
          <w:lang w:val="en-GB" w:eastAsia="en-AU"/>
        </w:rPr>
        <w:t> [Patient 5, Practice 4, R2]</w:t>
      </w:r>
      <w:r w:rsidRPr="009C7918">
        <w:rPr>
          <w:rFonts w:eastAsia="Times New Roman" w:cs="Segoe UI"/>
          <w:szCs w:val="20"/>
          <w:lang w:eastAsia="en-AU"/>
        </w:rPr>
        <w:t> </w:t>
      </w:r>
    </w:p>
    <w:p w14:paraId="47859E29" w14:textId="36093A4D" w:rsidR="00987B4B" w:rsidRDefault="0002357B" w:rsidP="0002357B">
      <w:pPr>
        <w:spacing w:after="120"/>
        <w:ind w:right="1089"/>
        <w:rPr>
          <w:rFonts w:eastAsia="Times New Roman" w:cs="Segoe UI"/>
          <w:szCs w:val="20"/>
          <w:lang w:val="en-GB" w:eastAsia="en-AU"/>
        </w:rPr>
      </w:pPr>
      <w:r>
        <w:rPr>
          <w:rFonts w:eastAsia="Times New Roman" w:cs="Segoe UI"/>
          <w:szCs w:val="20"/>
          <w:lang w:eastAsia="en-AU"/>
        </w:rPr>
        <w:t>Some</w:t>
      </w:r>
      <w:r w:rsidRPr="00FC6D06">
        <w:rPr>
          <w:rFonts w:eastAsia="Times New Roman" w:cs="Segoe UI"/>
          <w:szCs w:val="20"/>
          <w:lang w:eastAsia="en-AU"/>
        </w:rPr>
        <w:t xml:space="preserve"> practices were further along in implementation and had made more noticeable developments that were apparent to patients. </w:t>
      </w:r>
      <w:r w:rsidRPr="006524FD">
        <w:rPr>
          <w:rFonts w:eastAsia="Times New Roman" w:cs="Segoe UI"/>
          <w:color w:val="002060"/>
          <w:szCs w:val="20"/>
          <w:highlight w:val="yellow"/>
          <w:lang w:val="en-GB" w:eastAsia="en-AU"/>
        </w:rPr>
        <w:fldChar w:fldCharType="begin"/>
      </w:r>
      <w:r w:rsidRPr="006524FD">
        <w:rPr>
          <w:rFonts w:eastAsia="Times New Roman" w:cs="Segoe UI"/>
          <w:color w:val="002060"/>
          <w:szCs w:val="20"/>
          <w:lang w:eastAsia="en-AU"/>
        </w:rPr>
        <w:instrText xml:space="preserve"> REF _Ref61967662 \h </w:instrText>
      </w:r>
      <w:r w:rsidR="00034863" w:rsidRPr="006524FD">
        <w:rPr>
          <w:rFonts w:eastAsia="Times New Roman" w:cs="Segoe UI"/>
          <w:color w:val="002060"/>
          <w:szCs w:val="20"/>
          <w:highlight w:val="yellow"/>
          <w:lang w:val="en-GB" w:eastAsia="en-AU"/>
        </w:rPr>
        <w:instrText xml:space="preserve"> \* MERGEFORMAT </w:instrText>
      </w:r>
      <w:r w:rsidRPr="006524FD">
        <w:rPr>
          <w:rFonts w:eastAsia="Times New Roman" w:cs="Segoe UI"/>
          <w:color w:val="002060"/>
          <w:szCs w:val="20"/>
          <w:highlight w:val="yellow"/>
          <w:lang w:val="en-GB" w:eastAsia="en-AU"/>
        </w:rPr>
      </w:r>
      <w:r w:rsidRPr="006524FD">
        <w:rPr>
          <w:rFonts w:eastAsia="Times New Roman" w:cs="Segoe UI"/>
          <w:color w:val="002060"/>
          <w:szCs w:val="20"/>
          <w:highlight w:val="yellow"/>
          <w:lang w:val="en-GB" w:eastAsia="en-AU"/>
        </w:rPr>
        <w:fldChar w:fldCharType="separate"/>
      </w:r>
      <w:r w:rsidR="003C4BC2" w:rsidRPr="003C4BC2">
        <w:rPr>
          <w:color w:val="002060"/>
        </w:rPr>
        <w:t xml:space="preserve">Figure </w:t>
      </w:r>
      <w:r w:rsidR="003C4BC2" w:rsidRPr="003C4BC2">
        <w:rPr>
          <w:noProof/>
          <w:color w:val="002060"/>
        </w:rPr>
        <w:t>45</w:t>
      </w:r>
      <w:r w:rsidRPr="006524FD">
        <w:rPr>
          <w:rFonts w:eastAsia="Times New Roman" w:cs="Segoe UI"/>
          <w:color w:val="002060"/>
          <w:szCs w:val="20"/>
          <w:highlight w:val="yellow"/>
          <w:lang w:val="en-GB" w:eastAsia="en-AU"/>
        </w:rPr>
        <w:fldChar w:fldCharType="end"/>
      </w:r>
      <w:r>
        <w:rPr>
          <w:rFonts w:eastAsia="Times New Roman" w:cs="Segoe UI"/>
          <w:szCs w:val="20"/>
          <w:lang w:val="en-GB" w:eastAsia="en-AU"/>
        </w:rPr>
        <w:t xml:space="preserve"> highlights these early changes that some patients observed.</w:t>
      </w:r>
    </w:p>
    <w:p w14:paraId="790BD05D" w14:textId="77777777" w:rsidR="00987B4B" w:rsidRDefault="00987B4B">
      <w:pPr>
        <w:spacing w:after="160" w:line="259" w:lineRule="auto"/>
        <w:rPr>
          <w:rFonts w:eastAsia="Times New Roman" w:cs="Segoe UI"/>
          <w:szCs w:val="20"/>
          <w:lang w:val="en-GB" w:eastAsia="en-AU"/>
        </w:rPr>
      </w:pPr>
      <w:r>
        <w:rPr>
          <w:rFonts w:eastAsia="Times New Roman" w:cs="Segoe UI"/>
          <w:szCs w:val="20"/>
          <w:lang w:val="en-GB" w:eastAsia="en-AU"/>
        </w:rPr>
        <w:br w:type="page"/>
      </w:r>
    </w:p>
    <w:p w14:paraId="05E1C019" w14:textId="506F3556" w:rsidR="0002357B" w:rsidRDefault="0002357B" w:rsidP="00FB12E3">
      <w:pPr>
        <w:pStyle w:val="tabletitle"/>
      </w:pPr>
      <w:bookmarkStart w:id="326" w:name="_Ref61967662"/>
      <w:r w:rsidRPr="009833E0">
        <w:lastRenderedPageBreak/>
        <w:t xml:space="preserve">Figure </w:t>
      </w:r>
      <w:r w:rsidR="00A61B29">
        <w:fldChar w:fldCharType="begin"/>
      </w:r>
      <w:r w:rsidR="00A61B29">
        <w:instrText xml:space="preserve"> SEQ Figure \* ARABIC </w:instrText>
      </w:r>
      <w:r w:rsidR="00A61B29">
        <w:fldChar w:fldCharType="separate"/>
      </w:r>
      <w:r w:rsidR="003C4BC2">
        <w:rPr>
          <w:noProof/>
        </w:rPr>
        <w:t>45</w:t>
      </w:r>
      <w:r w:rsidR="00A61B29">
        <w:rPr>
          <w:noProof/>
        </w:rPr>
        <w:fldChar w:fldCharType="end"/>
      </w:r>
      <w:bookmarkEnd w:id="326"/>
      <w:r w:rsidR="00FB12E3">
        <w:t xml:space="preserve">: </w:t>
      </w:r>
      <w:r w:rsidRPr="00207B67">
        <w:t>Early changes patients observed with HCH</w:t>
      </w:r>
    </w:p>
    <w:p w14:paraId="498E6FB6" w14:textId="616905E0" w:rsidR="00FB12E3" w:rsidRPr="00207B67" w:rsidRDefault="00FB12E3" w:rsidP="00FA5E3D">
      <w:pPr>
        <w:spacing w:after="0"/>
        <w:ind w:right="1089"/>
        <w:rPr>
          <w:b/>
          <w:szCs w:val="20"/>
        </w:rPr>
      </w:pPr>
      <w:r w:rsidRPr="00FB12E3">
        <w:rPr>
          <w:noProof/>
        </w:rPr>
        <w:drawing>
          <wp:inline distT="0" distB="0" distL="0" distR="0" wp14:anchorId="3EC5B22F" wp14:editId="4D354779">
            <wp:extent cx="5731510" cy="4412615"/>
            <wp:effectExtent l="0" t="0" r="0" b="0"/>
            <wp:docPr id="23" name="Picture 23" descr="diagram, changes patients observ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diagram, changes patients observ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31510" cy="4412615"/>
                    </a:xfrm>
                    <a:prstGeom prst="rect">
                      <a:avLst/>
                    </a:prstGeom>
                    <a:noFill/>
                    <a:ln>
                      <a:noFill/>
                    </a:ln>
                  </pic:spPr>
                </pic:pic>
              </a:graphicData>
            </a:graphic>
          </wp:inline>
        </w:drawing>
      </w:r>
    </w:p>
    <w:p w14:paraId="40934271" w14:textId="6D11A73A" w:rsidR="0002357B" w:rsidRPr="00207B67" w:rsidRDefault="0002357B" w:rsidP="00FA5E3D">
      <w:pPr>
        <w:pStyle w:val="Source"/>
      </w:pPr>
      <w:r w:rsidRPr="00207B67">
        <w:t xml:space="preserve">Source: </w:t>
      </w:r>
      <w:r w:rsidR="00970507">
        <w:rPr>
          <w:rFonts w:eastAsia="Times New Roman"/>
          <w:i w:val="0"/>
        </w:rPr>
        <w:t>Case study</w:t>
      </w:r>
      <w:r>
        <w:rPr>
          <w:rFonts w:eastAsia="Times New Roman"/>
          <w:i w:val="0"/>
        </w:rPr>
        <w:t xml:space="preserve"> interviews</w:t>
      </w:r>
      <w:r w:rsidRPr="00675A4F">
        <w:rPr>
          <w:rFonts w:eastAsia="Times New Roman"/>
          <w:i w:val="0"/>
        </w:rPr>
        <w:t>, R2</w:t>
      </w:r>
      <w:r w:rsidR="00970507">
        <w:rPr>
          <w:rFonts w:eastAsia="Times New Roman"/>
          <w:i w:val="0"/>
        </w:rPr>
        <w:t xml:space="preserve"> </w:t>
      </w:r>
      <w:r w:rsidR="00970507" w:rsidRPr="00970507">
        <w:rPr>
          <w:rFonts w:eastAsia="Times New Roman"/>
        </w:rPr>
        <w:t>Sept–Oct 2018</w:t>
      </w:r>
      <w:r w:rsidR="00970507">
        <w:rPr>
          <w:rFonts w:eastAsia="Times New Roman"/>
        </w:rPr>
        <w:t>.</w:t>
      </w:r>
    </w:p>
    <w:p w14:paraId="0BBB82FA" w14:textId="73E1901B" w:rsidR="0002357B" w:rsidRDefault="0002357B" w:rsidP="0002357B">
      <w:pPr>
        <w:spacing w:after="160"/>
        <w:rPr>
          <w:lang w:eastAsia="en-AU"/>
        </w:rPr>
      </w:pPr>
      <w:r>
        <w:rPr>
          <w:lang w:eastAsia="en-AU"/>
        </w:rPr>
        <w:t xml:space="preserve">As the trial progressed, practices continued to develop their HCH models and many aimed to make additional enhancements to their chronic management processes. Some of these developments were more internal and may not have been noticeable to patients, such as </w:t>
      </w:r>
      <w:r w:rsidR="00287CC3">
        <w:rPr>
          <w:lang w:eastAsia="en-AU"/>
        </w:rPr>
        <w:t xml:space="preserve">more frequent </w:t>
      </w:r>
      <w:r>
        <w:rPr>
          <w:lang w:eastAsia="en-AU"/>
        </w:rPr>
        <w:t xml:space="preserve">meetings </w:t>
      </w:r>
      <w:r w:rsidR="00287CC3">
        <w:rPr>
          <w:lang w:eastAsia="en-AU"/>
        </w:rPr>
        <w:t>between team members</w:t>
      </w:r>
      <w:r>
        <w:rPr>
          <w:lang w:eastAsia="en-AU"/>
        </w:rPr>
        <w:t xml:space="preserve">. </w:t>
      </w:r>
    </w:p>
    <w:p w14:paraId="339C5B75" w14:textId="25819F9F" w:rsidR="0002357B" w:rsidRDefault="0002357B" w:rsidP="0002357B">
      <w:pPr>
        <w:spacing w:after="160"/>
        <w:rPr>
          <w:lang w:eastAsia="en-AU"/>
        </w:rPr>
      </w:pPr>
      <w:r w:rsidRPr="00604377">
        <w:rPr>
          <w:lang w:eastAsia="en-AU"/>
        </w:rPr>
        <w:t>A few practices stated that there was some initial resistance and concerns from their patients about enrolling in HCH, particularly arou</w:t>
      </w:r>
      <w:r w:rsidR="00B6250A">
        <w:rPr>
          <w:lang w:eastAsia="en-AU"/>
        </w:rPr>
        <w:t>nd being managed by other members of a team rather than</w:t>
      </w:r>
      <w:r w:rsidR="000C4D52">
        <w:rPr>
          <w:lang w:eastAsia="en-AU"/>
        </w:rPr>
        <w:t xml:space="preserve"> solely</w:t>
      </w:r>
      <w:r w:rsidR="00EC4A67">
        <w:rPr>
          <w:lang w:eastAsia="en-AU"/>
        </w:rPr>
        <w:t xml:space="preserve"> by</w:t>
      </w:r>
      <w:r w:rsidR="000C4D52">
        <w:rPr>
          <w:lang w:eastAsia="en-AU"/>
        </w:rPr>
        <w:t xml:space="preserve"> their GP</w:t>
      </w:r>
      <w:r w:rsidRPr="00604377">
        <w:rPr>
          <w:lang w:eastAsia="en-AU"/>
        </w:rPr>
        <w:t xml:space="preserve">. </w:t>
      </w:r>
      <w:r w:rsidR="00794FC9">
        <w:rPr>
          <w:lang w:eastAsia="en-AU"/>
        </w:rPr>
        <w:t>T</w:t>
      </w:r>
      <w:r w:rsidRPr="00604377">
        <w:rPr>
          <w:lang w:eastAsia="en-AU"/>
        </w:rPr>
        <w:t>o manage any resistance and allay patients’ fears, practices introduced program changes slowly.</w:t>
      </w:r>
      <w:r w:rsidR="00D225A5">
        <w:rPr>
          <w:lang w:eastAsia="en-AU"/>
        </w:rPr>
        <w:t xml:space="preserve"> </w:t>
      </w:r>
      <w:r w:rsidRPr="00604377">
        <w:rPr>
          <w:lang w:eastAsia="en-AU"/>
        </w:rPr>
        <w:t xml:space="preserve">Overall, many patients appeared happy with HCH and reported positive experiences with the </w:t>
      </w:r>
      <w:r w:rsidR="00794FC9">
        <w:rPr>
          <w:lang w:eastAsia="en-AU"/>
        </w:rPr>
        <w:t>model</w:t>
      </w:r>
      <w:r w:rsidRPr="00604377">
        <w:rPr>
          <w:lang w:eastAsia="en-AU"/>
        </w:rPr>
        <w:t>:</w:t>
      </w:r>
    </w:p>
    <w:p w14:paraId="106D588B" w14:textId="77777777" w:rsidR="0002357B" w:rsidRDefault="0002357B" w:rsidP="00FB12E3">
      <w:pPr>
        <w:ind w:left="567" w:right="521"/>
        <w:rPr>
          <w:lang w:eastAsia="en-AU"/>
        </w:rPr>
      </w:pPr>
      <w:r w:rsidRPr="002F0670">
        <w:rPr>
          <w:i/>
          <w:iCs/>
          <w:lang w:eastAsia="en-AU"/>
        </w:rPr>
        <w:t>“[HCH coordinator] enrolled myself and my wife in Health Care [Homes], and she’s more or less taken us under her wing. She more or less tells us if we’re in any sort of trouble, here’s her phone number, we ring her. And so it gets that way now, whenever we come down to the doctor’s rooms there, we always look up [coordinator]. [Coordinator] sort of takes care of us. She checks our blood pressure and makes us really feel very, very at home, and she’s a very good ambassador for Health Care [Homes].”</w:t>
      </w:r>
      <w:r w:rsidRPr="002F0670">
        <w:rPr>
          <w:lang w:eastAsia="en-AU"/>
        </w:rPr>
        <w:t xml:space="preserve"> [Patient 3, Practice 4</w:t>
      </w:r>
      <w:r>
        <w:rPr>
          <w:lang w:eastAsia="en-AU"/>
        </w:rPr>
        <w:t>, R4</w:t>
      </w:r>
      <w:r w:rsidRPr="002F0670">
        <w:rPr>
          <w:lang w:eastAsia="en-AU"/>
        </w:rPr>
        <w:t>]</w:t>
      </w:r>
    </w:p>
    <w:p w14:paraId="4DEA9972" w14:textId="77777777" w:rsidR="0002357B" w:rsidRDefault="0002357B" w:rsidP="00FB12E3">
      <w:pPr>
        <w:ind w:left="567" w:right="521"/>
        <w:rPr>
          <w:lang w:eastAsia="en-AU"/>
        </w:rPr>
      </w:pPr>
      <w:r w:rsidRPr="00B26A6E">
        <w:rPr>
          <w:i/>
          <w:iCs/>
          <w:lang w:eastAsia="en-AU"/>
        </w:rPr>
        <w:t xml:space="preserve">“… so when we began and where we are now. But even that has changed and shifted. When I started enrolling patients, more than half of my patients were very reluctant to get onto the program because they thought they’d lose me … there </w:t>
      </w:r>
      <w:r w:rsidRPr="00B26A6E">
        <w:rPr>
          <w:i/>
          <w:iCs/>
          <w:lang w:eastAsia="en-AU"/>
        </w:rPr>
        <w:lastRenderedPageBreak/>
        <w:t>was one woman, after I enrolled her and explained, she held my hand and she said, no one can separate you from me, [GP2]. Yes, so that's how we started. She’s still enrolled … The big shift that I've seen is in her now, where in the beginning, she would still keep booking in to see me. And was unable to trust her care could be given to her by the whole team. And it took a while, but now she’s more than happy when my nurse rings her to just check in on her … And she’s finding it massively beneficial now. Where there are days when I'm not here and I've heard she’s rung in and spoken to one of my nurses for something like I need a referral or can you please ask [GP2] to ring me back. Which she would never have done before. That's one success.”</w:t>
      </w:r>
      <w:r w:rsidRPr="00EA1B69">
        <w:rPr>
          <w:lang w:eastAsia="en-AU"/>
        </w:rPr>
        <w:t xml:space="preserve"> [GP, Practice 5</w:t>
      </w:r>
      <w:r>
        <w:rPr>
          <w:lang w:eastAsia="en-AU"/>
        </w:rPr>
        <w:t>, R4</w:t>
      </w:r>
      <w:r w:rsidRPr="00EA1B69">
        <w:rPr>
          <w:lang w:eastAsia="en-AU"/>
        </w:rPr>
        <w:t>]</w:t>
      </w:r>
    </w:p>
    <w:p w14:paraId="3C0D9929" w14:textId="09B816A4" w:rsidR="0002357B" w:rsidRDefault="0002357B" w:rsidP="0002357B">
      <w:pPr>
        <w:spacing w:after="160" w:line="259" w:lineRule="auto"/>
        <w:rPr>
          <w:lang w:eastAsia="en-AU"/>
        </w:rPr>
      </w:pPr>
      <w:r>
        <w:rPr>
          <w:lang w:eastAsia="en-AU"/>
        </w:rPr>
        <w:t xml:space="preserve">COVID-19 put additional pressure on practices and brought forth significant whole-of-practice changes to care delivery, staff communication and collaboration. </w:t>
      </w:r>
      <w:r w:rsidR="00A56D8C">
        <w:rPr>
          <w:lang w:eastAsia="en-AU"/>
        </w:rPr>
        <w:t>T</w:t>
      </w:r>
      <w:r>
        <w:rPr>
          <w:lang w:eastAsia="en-AU"/>
        </w:rPr>
        <w:t xml:space="preserve">he introduction of telehealth and </w:t>
      </w:r>
      <w:proofErr w:type="spellStart"/>
      <w:r>
        <w:rPr>
          <w:lang w:eastAsia="en-AU"/>
        </w:rPr>
        <w:t>eScripts</w:t>
      </w:r>
      <w:proofErr w:type="spellEnd"/>
      <w:r>
        <w:rPr>
          <w:lang w:eastAsia="en-AU"/>
        </w:rPr>
        <w:t xml:space="preserve"> resulted in changes in care delivery and access for non-HCH patients, but HCH patients’ care largely remained the same. In some instances, HCH patients reported that certain benefits were scaled back during the pandemic, such as check-in calls and the ability to request prescriptions over the phone. Practices attributed these changes to staff turnover or </w:t>
      </w:r>
      <w:r w:rsidR="00CA495C">
        <w:rPr>
          <w:lang w:eastAsia="en-AU"/>
        </w:rPr>
        <w:t>“</w:t>
      </w:r>
      <w:r>
        <w:rPr>
          <w:lang w:eastAsia="en-AU"/>
        </w:rPr>
        <w:t>pandemic priorities</w:t>
      </w:r>
      <w:r w:rsidR="00CA495C">
        <w:rPr>
          <w:lang w:eastAsia="en-AU"/>
        </w:rPr>
        <w:t>”</w:t>
      </w:r>
      <w:r>
        <w:rPr>
          <w:lang w:eastAsia="en-AU"/>
        </w:rPr>
        <w:t>, such as changing workflows and the vaccine rollout</w:t>
      </w:r>
      <w:r w:rsidR="002253DE">
        <w:rPr>
          <w:lang w:eastAsia="en-AU"/>
        </w:rPr>
        <w:t>:</w:t>
      </w:r>
    </w:p>
    <w:p w14:paraId="70B97F33" w14:textId="77777777" w:rsidR="0002357B" w:rsidRDefault="0002357B" w:rsidP="00FB12E3">
      <w:pPr>
        <w:ind w:left="567" w:right="521"/>
        <w:rPr>
          <w:lang w:eastAsia="en-AU"/>
        </w:rPr>
      </w:pPr>
      <w:r w:rsidRPr="003C5DD1">
        <w:rPr>
          <w:i/>
          <w:iCs/>
          <w:lang w:eastAsia="en-AU"/>
        </w:rPr>
        <w:t>“No…it’s the same. If I need a doctor, I get to see the doctor. No</w:t>
      </w:r>
      <w:r>
        <w:rPr>
          <w:i/>
          <w:iCs/>
          <w:lang w:eastAsia="en-AU"/>
        </w:rPr>
        <w:t>,</w:t>
      </w:r>
      <w:r w:rsidRPr="003C5DD1">
        <w:rPr>
          <w:i/>
          <w:iCs/>
          <w:lang w:eastAsia="en-AU"/>
        </w:rPr>
        <w:t xml:space="preserve"> I don’t think it’s changed” </w:t>
      </w:r>
      <w:r>
        <w:rPr>
          <w:lang w:eastAsia="en-AU"/>
        </w:rPr>
        <w:t>[Patient 3, Practice 24, R5]</w:t>
      </w:r>
    </w:p>
    <w:p w14:paraId="1751C868" w14:textId="77777777" w:rsidR="0002357B" w:rsidRDefault="0002357B" w:rsidP="00FB12E3">
      <w:pPr>
        <w:ind w:left="567" w:right="521"/>
        <w:rPr>
          <w:lang w:eastAsia="en-AU"/>
        </w:rPr>
      </w:pPr>
      <w:r w:rsidRPr="00431364">
        <w:rPr>
          <w:i/>
          <w:iCs/>
          <w:lang w:eastAsia="en-AU"/>
        </w:rPr>
        <w:t>“…when the scheme actually started, the nurses would ring us once a fortnight just to check how we were going, whether there was anything we needed them to do. It was wonderful. But then, of course, they got very busy with Covid.”</w:t>
      </w:r>
      <w:r w:rsidRPr="00431364">
        <w:rPr>
          <w:lang w:eastAsia="en-AU"/>
        </w:rPr>
        <w:t xml:space="preserve"> [</w:t>
      </w:r>
      <w:r>
        <w:rPr>
          <w:lang w:eastAsia="en-AU"/>
        </w:rPr>
        <w:t>Patient 2, Practice 4, R5]</w:t>
      </w:r>
    </w:p>
    <w:p w14:paraId="37820171" w14:textId="428EC23A" w:rsidR="0002357B" w:rsidRPr="006439AE" w:rsidRDefault="0002357B" w:rsidP="00FB12E3">
      <w:pPr>
        <w:ind w:left="567" w:right="521"/>
        <w:rPr>
          <w:lang w:eastAsia="en-AU"/>
        </w:rPr>
      </w:pPr>
      <w:r w:rsidRPr="0057601F">
        <w:rPr>
          <w:i/>
          <w:iCs/>
          <w:lang w:eastAsia="en-AU"/>
        </w:rPr>
        <w:t>“We had a girl</w:t>
      </w:r>
      <w:r w:rsidR="002079BA">
        <w:rPr>
          <w:i/>
          <w:iCs/>
          <w:lang w:eastAsia="en-AU"/>
        </w:rPr>
        <w:t xml:space="preserve"> [sic]</w:t>
      </w:r>
      <w:r w:rsidRPr="0057601F">
        <w:rPr>
          <w:i/>
          <w:iCs/>
          <w:lang w:eastAsia="en-AU"/>
        </w:rPr>
        <w:t xml:space="preserve"> at [Practice 16] that used to ring us all the time and ask me if I needed scripts and stuff like that. And now I can’t even ring up anymore and get my scripts. I have to go in and get all of them. I don’t know what happened.”</w:t>
      </w:r>
      <w:r>
        <w:rPr>
          <w:lang w:eastAsia="en-AU"/>
        </w:rPr>
        <w:t xml:space="preserve"> [Patient 1, Practice 16, R5]</w:t>
      </w:r>
    </w:p>
    <w:p w14:paraId="117E26B8" w14:textId="77777777" w:rsidR="0002357B" w:rsidRDefault="0002357B" w:rsidP="00FB12E3">
      <w:pPr>
        <w:ind w:left="567" w:right="521"/>
        <w:rPr>
          <w:lang w:eastAsia="en-AU"/>
        </w:rPr>
      </w:pPr>
      <w:r w:rsidRPr="005C50C8">
        <w:rPr>
          <w:i/>
          <w:iCs/>
          <w:lang w:eastAsia="en-AU"/>
        </w:rPr>
        <w:t>“[They] used to call every month. But then lately the last 12 months, because you go to doctor, and then they used to say, well you've got to book in for it. They talk to me, but it hasn't happened, I think, for the last 12 months, nothing at all.”</w:t>
      </w:r>
      <w:r>
        <w:rPr>
          <w:lang w:eastAsia="en-AU"/>
        </w:rPr>
        <w:t xml:space="preserve"> [Patient 5, Practice 1, R5]</w:t>
      </w:r>
    </w:p>
    <w:p w14:paraId="2FA00C14" w14:textId="1F99CDBB" w:rsidR="0002357B" w:rsidRDefault="0002357B" w:rsidP="0002357B">
      <w:pPr>
        <w:spacing w:after="160" w:line="259" w:lineRule="auto"/>
        <w:rPr>
          <w:lang w:eastAsia="en-AU"/>
        </w:rPr>
      </w:pPr>
      <w:r>
        <w:rPr>
          <w:lang w:eastAsia="en-AU"/>
        </w:rPr>
        <w:t>HCH patients noted that COVID-19 increased practices’ reliance on telehealth and video consults. While some patients had limited to no contact with their practices during the height of the pandemic or visited face-to-face, others found this method of communication very beneficial as they were reticent to visit their practice due to their conditions or they had to travel long distances to visit in</w:t>
      </w:r>
      <w:r w:rsidR="00A030FD">
        <w:rPr>
          <w:lang w:eastAsia="en-AU"/>
        </w:rPr>
        <w:t>-</w:t>
      </w:r>
      <w:r>
        <w:rPr>
          <w:lang w:eastAsia="en-AU"/>
        </w:rPr>
        <w:t>person</w:t>
      </w:r>
      <w:r w:rsidR="002253DE">
        <w:rPr>
          <w:lang w:eastAsia="en-AU"/>
        </w:rPr>
        <w:t>:</w:t>
      </w:r>
    </w:p>
    <w:p w14:paraId="4A718B49" w14:textId="77777777" w:rsidR="0002357B" w:rsidRDefault="0002357B" w:rsidP="00D410E9">
      <w:pPr>
        <w:ind w:left="567" w:right="521"/>
        <w:rPr>
          <w:lang w:eastAsia="en-AU"/>
        </w:rPr>
      </w:pPr>
      <w:r w:rsidRPr="006F332A">
        <w:rPr>
          <w:i/>
          <w:iCs/>
          <w:lang w:eastAsia="en-AU"/>
        </w:rPr>
        <w:t>“Because I’m on a couple of immunosuppressants, I wasn’t allowed to leave the house. But my GP was very supportive of that and had telehealth video appointments…</w:t>
      </w:r>
      <w:r w:rsidRPr="006F332A">
        <w:rPr>
          <w:i/>
          <w:iCs/>
        </w:rPr>
        <w:t xml:space="preserve"> </w:t>
      </w:r>
      <w:r w:rsidRPr="006F332A">
        <w:rPr>
          <w:i/>
          <w:iCs/>
          <w:lang w:eastAsia="en-AU"/>
        </w:rPr>
        <w:t>my GP got it up pretty quickly. Like I noticed some of my specialists, they took a little bit to get onto the bandwagon, but my GP was up and running very quickly, which was great.”</w:t>
      </w:r>
      <w:r>
        <w:rPr>
          <w:lang w:eastAsia="en-AU"/>
        </w:rPr>
        <w:t xml:space="preserve"> [Patient 1, Practice 22, R5]</w:t>
      </w:r>
    </w:p>
    <w:p w14:paraId="00F93AE7" w14:textId="77777777" w:rsidR="0002357B" w:rsidRDefault="0002357B" w:rsidP="00D410E9">
      <w:pPr>
        <w:ind w:left="567" w:right="521"/>
        <w:rPr>
          <w:lang w:eastAsia="en-AU"/>
        </w:rPr>
      </w:pPr>
      <w:r w:rsidRPr="005402A4">
        <w:rPr>
          <w:i/>
          <w:iCs/>
          <w:lang w:eastAsia="en-AU"/>
        </w:rPr>
        <w:lastRenderedPageBreak/>
        <w:t xml:space="preserve">“Yes, because of the pandemic, we’ve tried to avoid contact with anybody. My weakened immune system. And most of my communication is through the booking [telehealth] service at [General Practice 1], which is excellent, absolutely excellent.” </w:t>
      </w:r>
      <w:r>
        <w:rPr>
          <w:lang w:eastAsia="en-AU"/>
        </w:rPr>
        <w:t>[Practice 1, Patient 1, R5]</w:t>
      </w:r>
    </w:p>
    <w:p w14:paraId="7455590D" w14:textId="77777777" w:rsidR="0002357B" w:rsidRPr="00D227FF" w:rsidRDefault="0002357B" w:rsidP="00D410E9">
      <w:pPr>
        <w:ind w:left="567" w:right="521"/>
        <w:rPr>
          <w:lang w:eastAsia="en-AU"/>
        </w:rPr>
      </w:pPr>
      <w:r w:rsidRPr="00EF467D">
        <w:rPr>
          <w:i/>
          <w:iCs/>
          <w:lang w:eastAsia="en-AU"/>
        </w:rPr>
        <w:t xml:space="preserve">“We’ve been </w:t>
      </w:r>
      <w:proofErr w:type="spellStart"/>
      <w:r w:rsidRPr="00EF467D">
        <w:rPr>
          <w:i/>
          <w:iCs/>
          <w:lang w:eastAsia="en-AU"/>
        </w:rPr>
        <w:t>telehe</w:t>
      </w:r>
      <w:r>
        <w:rPr>
          <w:i/>
          <w:iCs/>
          <w:lang w:eastAsia="en-AU"/>
        </w:rPr>
        <w:t>a</w:t>
      </w:r>
      <w:r w:rsidRPr="00EF467D">
        <w:rPr>
          <w:i/>
          <w:iCs/>
          <w:lang w:eastAsia="en-AU"/>
        </w:rPr>
        <w:t>lthing</w:t>
      </w:r>
      <w:proofErr w:type="spellEnd"/>
      <w:r w:rsidRPr="00EF467D">
        <w:rPr>
          <w:i/>
          <w:iCs/>
          <w:lang w:eastAsia="en-AU"/>
        </w:rPr>
        <w:t>...We don’t have to sit in a doctor’s surgery, in waiting rooms. And especially through COVID, it’s been a blessing, we haven’t had to be sitting where he can catch something in that time. In general, it’s a fantastic way to be able to communicate.”</w:t>
      </w:r>
      <w:r>
        <w:rPr>
          <w:lang w:eastAsia="en-AU"/>
        </w:rPr>
        <w:t xml:space="preserve"> [Carer 2, Practice 5, R5]</w:t>
      </w:r>
    </w:p>
    <w:p w14:paraId="09463D37" w14:textId="3BBAC1A7" w:rsidR="0002357B" w:rsidRDefault="0002357B" w:rsidP="0002357B">
      <w:pPr>
        <w:spacing w:after="160" w:line="259" w:lineRule="auto"/>
        <w:rPr>
          <w:lang w:eastAsia="en-AU"/>
        </w:rPr>
      </w:pPr>
      <w:r>
        <w:rPr>
          <w:lang w:eastAsia="en-AU"/>
        </w:rPr>
        <w:t>Ultimately, many patients reported</w:t>
      </w:r>
      <w:r w:rsidRPr="0012194A">
        <w:rPr>
          <w:lang w:eastAsia="en-AU"/>
        </w:rPr>
        <w:t xml:space="preserve"> </w:t>
      </w:r>
      <w:r>
        <w:rPr>
          <w:lang w:eastAsia="en-AU"/>
        </w:rPr>
        <w:t xml:space="preserve">minimal </w:t>
      </w:r>
      <w:r w:rsidRPr="0012194A">
        <w:rPr>
          <w:lang w:eastAsia="en-AU"/>
        </w:rPr>
        <w:t>change</w:t>
      </w:r>
      <w:r>
        <w:rPr>
          <w:lang w:eastAsia="en-AU"/>
        </w:rPr>
        <w:t>s</w:t>
      </w:r>
      <w:r w:rsidRPr="0012194A">
        <w:rPr>
          <w:lang w:eastAsia="en-AU"/>
        </w:rPr>
        <w:t xml:space="preserve"> in their care </w:t>
      </w:r>
      <w:r>
        <w:rPr>
          <w:lang w:eastAsia="en-AU"/>
        </w:rPr>
        <w:t xml:space="preserve">throughout the duration of the </w:t>
      </w:r>
      <w:r w:rsidR="0002675D">
        <w:rPr>
          <w:lang w:eastAsia="en-AU"/>
        </w:rPr>
        <w:t>trial</w:t>
      </w:r>
      <w:r>
        <w:rPr>
          <w:lang w:eastAsia="en-AU"/>
        </w:rPr>
        <w:t>. The key changes patients discussed revolved around increased flexibility and access and enhanced chronic disease management and monitoring. Despite minimal changes in care, patients were largely satisfied with the care that they were receiving and recommended HCH</w:t>
      </w:r>
      <w:r w:rsidRPr="0012194A">
        <w:rPr>
          <w:lang w:eastAsia="en-AU"/>
        </w:rPr>
        <w:t>:</w:t>
      </w:r>
    </w:p>
    <w:p w14:paraId="66A71ECD" w14:textId="77777777" w:rsidR="0002357B" w:rsidRDefault="0002357B" w:rsidP="00D410E9">
      <w:pPr>
        <w:ind w:left="567" w:right="521"/>
        <w:rPr>
          <w:lang w:eastAsia="en-AU"/>
        </w:rPr>
      </w:pPr>
      <w:r w:rsidRPr="008972E4">
        <w:rPr>
          <w:i/>
          <w:iCs/>
          <w:lang w:eastAsia="en-AU"/>
        </w:rPr>
        <w:t>“It’s good, it hasn’t changed, because as I said, I’ve always been well looked after …”</w:t>
      </w:r>
      <w:r w:rsidRPr="008972E4">
        <w:rPr>
          <w:lang w:eastAsia="en-AU"/>
        </w:rPr>
        <w:t xml:space="preserve"> [Patient 1, Practice 7</w:t>
      </w:r>
      <w:r>
        <w:rPr>
          <w:lang w:eastAsia="en-AU"/>
        </w:rPr>
        <w:t>, R4</w:t>
      </w:r>
      <w:r w:rsidRPr="008972E4">
        <w:rPr>
          <w:lang w:eastAsia="en-AU"/>
        </w:rPr>
        <w:t>]</w:t>
      </w:r>
    </w:p>
    <w:p w14:paraId="345584AD" w14:textId="77777777" w:rsidR="0002357B" w:rsidRDefault="0002357B" w:rsidP="00D410E9">
      <w:pPr>
        <w:ind w:left="567" w:right="521"/>
        <w:rPr>
          <w:lang w:eastAsia="en-AU"/>
        </w:rPr>
      </w:pPr>
      <w:r w:rsidRPr="00297D58">
        <w:rPr>
          <w:i/>
          <w:iCs/>
          <w:lang w:eastAsia="en-AU"/>
        </w:rPr>
        <w:t>“Not really. They’re always good. I can’t always get my own doctor because she’s pretty busy. But the other doctors I see are just as wonderful too. They’re good too. I trust them too.”</w:t>
      </w:r>
      <w:r>
        <w:rPr>
          <w:lang w:eastAsia="en-AU"/>
        </w:rPr>
        <w:t xml:space="preserve"> [Patient 3, Practice 9, R5]</w:t>
      </w:r>
    </w:p>
    <w:p w14:paraId="4FCFB165" w14:textId="77777777" w:rsidR="0002357B" w:rsidRDefault="0002357B" w:rsidP="00D410E9">
      <w:pPr>
        <w:ind w:left="567" w:right="521"/>
        <w:rPr>
          <w:lang w:eastAsia="en-AU"/>
        </w:rPr>
      </w:pPr>
      <w:r>
        <w:rPr>
          <w:i/>
          <w:iCs/>
          <w:lang w:eastAsia="en-AU"/>
        </w:rPr>
        <w:t>“</w:t>
      </w:r>
      <w:r w:rsidRPr="00507F5D">
        <w:rPr>
          <w:i/>
          <w:iCs/>
          <w:lang w:eastAsia="en-AU"/>
        </w:rPr>
        <w:t>Not really. It’s always been good. I have no complaints whatsoever…</w:t>
      </w:r>
      <w:r w:rsidRPr="00507F5D">
        <w:rPr>
          <w:i/>
          <w:iCs/>
        </w:rPr>
        <w:t xml:space="preserve"> </w:t>
      </w:r>
      <w:r w:rsidRPr="00507F5D">
        <w:rPr>
          <w:i/>
          <w:iCs/>
          <w:lang w:eastAsia="en-AU"/>
        </w:rPr>
        <w:t>Our public system and the GP system here at [Practice 4] and the specialists I’ve seen have been really good and they’ve always given the follow-up to the doctor, the GP. So, I can’t fault them. I’m very thankful that I live in [State] and I have good care.”</w:t>
      </w:r>
      <w:r>
        <w:rPr>
          <w:lang w:eastAsia="en-AU"/>
        </w:rPr>
        <w:t xml:space="preserve"> [Patient 4, Practice 4, R5]</w:t>
      </w:r>
    </w:p>
    <w:p w14:paraId="6DD553A5" w14:textId="77777777" w:rsidR="0002357B" w:rsidRPr="001C417A" w:rsidRDefault="0002357B" w:rsidP="0002357B">
      <w:pPr>
        <w:spacing w:after="160" w:line="259" w:lineRule="auto"/>
        <w:rPr>
          <w:lang w:val="en-US" w:eastAsia="en-AU"/>
        </w:rPr>
      </w:pPr>
      <w:r>
        <w:rPr>
          <w:lang w:val="en-US" w:eastAsia="en-AU"/>
        </w:rPr>
        <w:t>The following sections on patient access and chronic disease management elaborate on the frequently highlighted benefits of HCH.</w:t>
      </w:r>
    </w:p>
    <w:p w14:paraId="2BF6C69F" w14:textId="77777777" w:rsidR="0002357B" w:rsidRDefault="0002357B" w:rsidP="0002357B">
      <w:pPr>
        <w:pStyle w:val="Heading3"/>
        <w:rPr>
          <w:lang w:eastAsia="en-AU"/>
        </w:rPr>
      </w:pPr>
      <w:r>
        <w:rPr>
          <w:lang w:eastAsia="en-AU"/>
        </w:rPr>
        <w:t>Patient access</w:t>
      </w:r>
    </w:p>
    <w:p w14:paraId="054E3719" w14:textId="5C22D8C1" w:rsidR="00814701" w:rsidRDefault="0051153E" w:rsidP="0051153E">
      <w:pPr>
        <w:rPr>
          <w:lang w:eastAsia="en-AU"/>
        </w:rPr>
      </w:pPr>
      <w:r>
        <w:rPr>
          <w:lang w:eastAsia="en-AU"/>
        </w:rPr>
        <w:t xml:space="preserve">In each </w:t>
      </w:r>
      <w:r w:rsidR="001B53E1">
        <w:rPr>
          <w:lang w:eastAsia="en-AU"/>
        </w:rPr>
        <w:t xml:space="preserve">patient </w:t>
      </w:r>
      <w:r>
        <w:rPr>
          <w:lang w:eastAsia="en-AU"/>
        </w:rPr>
        <w:t xml:space="preserve">survey </w:t>
      </w:r>
      <w:r w:rsidR="00414496">
        <w:rPr>
          <w:lang w:eastAsia="en-AU"/>
        </w:rPr>
        <w:t>w</w:t>
      </w:r>
      <w:r>
        <w:rPr>
          <w:lang w:eastAsia="en-AU"/>
        </w:rPr>
        <w:t>ave</w:t>
      </w:r>
      <w:r w:rsidR="00414496">
        <w:rPr>
          <w:lang w:eastAsia="en-AU"/>
        </w:rPr>
        <w:t>,</w:t>
      </w:r>
      <w:r>
        <w:rPr>
          <w:lang w:eastAsia="en-AU"/>
        </w:rPr>
        <w:t xml:space="preserve"> patients</w:t>
      </w:r>
      <w:r w:rsidRPr="004D27E1">
        <w:rPr>
          <w:lang w:eastAsia="en-AU"/>
        </w:rPr>
        <w:t xml:space="preserve"> were </w:t>
      </w:r>
      <w:r>
        <w:rPr>
          <w:lang w:eastAsia="en-AU"/>
        </w:rPr>
        <w:t xml:space="preserve">asked about </w:t>
      </w:r>
      <w:r w:rsidRPr="004D27E1">
        <w:rPr>
          <w:lang w:eastAsia="en-AU"/>
        </w:rPr>
        <w:t>how often they</w:t>
      </w:r>
      <w:r>
        <w:rPr>
          <w:lang w:eastAsia="en-AU"/>
        </w:rPr>
        <w:t xml:space="preserve"> </w:t>
      </w:r>
      <w:r w:rsidRPr="004D27E1">
        <w:rPr>
          <w:lang w:eastAsia="en-AU"/>
        </w:rPr>
        <w:t>attended the</w:t>
      </w:r>
      <w:r>
        <w:rPr>
          <w:lang w:eastAsia="en-AU"/>
        </w:rPr>
        <w:t>ir</w:t>
      </w:r>
      <w:r w:rsidRPr="004D27E1">
        <w:rPr>
          <w:lang w:eastAsia="en-AU"/>
        </w:rPr>
        <w:t xml:space="preserve"> practice </w:t>
      </w:r>
      <w:r>
        <w:rPr>
          <w:lang w:eastAsia="en-AU"/>
        </w:rPr>
        <w:t>with</w:t>
      </w:r>
      <w:r w:rsidRPr="004D27E1">
        <w:rPr>
          <w:lang w:eastAsia="en-AU"/>
        </w:rPr>
        <w:t>in the last six months</w:t>
      </w:r>
      <w:r>
        <w:rPr>
          <w:lang w:eastAsia="en-AU"/>
        </w:rPr>
        <w:t xml:space="preserve"> and their ability to access their practice for urgent and routine care. </w:t>
      </w:r>
      <w:r w:rsidR="000F7D48">
        <w:rPr>
          <w:lang w:eastAsia="en-AU"/>
        </w:rPr>
        <w:t xml:space="preserve">In </w:t>
      </w:r>
      <w:r w:rsidR="00376EBA">
        <w:rPr>
          <w:lang w:eastAsia="en-AU"/>
        </w:rPr>
        <w:t>wave</w:t>
      </w:r>
      <w:r w:rsidR="000F7D48">
        <w:rPr>
          <w:lang w:eastAsia="en-AU"/>
        </w:rPr>
        <w:t xml:space="preserve"> 1</w:t>
      </w:r>
      <w:r w:rsidR="005D7FD5">
        <w:rPr>
          <w:lang w:eastAsia="en-AU"/>
        </w:rPr>
        <w:t>,</w:t>
      </w:r>
      <w:r w:rsidR="000F7D48">
        <w:rPr>
          <w:lang w:eastAsia="en-AU"/>
        </w:rPr>
        <w:t xml:space="preserve"> </w:t>
      </w:r>
      <w:r w:rsidRPr="000C3B60">
        <w:rPr>
          <w:lang w:eastAsia="en-AU"/>
        </w:rPr>
        <w:t xml:space="preserve">28.1% </w:t>
      </w:r>
      <w:r w:rsidR="000F7D48">
        <w:rPr>
          <w:lang w:eastAsia="en-AU"/>
        </w:rPr>
        <w:t xml:space="preserve">of patients reported </w:t>
      </w:r>
      <w:r w:rsidRPr="000C3B60">
        <w:rPr>
          <w:lang w:eastAsia="en-AU"/>
        </w:rPr>
        <w:t>attend</w:t>
      </w:r>
      <w:r w:rsidR="000F7D48">
        <w:rPr>
          <w:lang w:eastAsia="en-AU"/>
        </w:rPr>
        <w:t xml:space="preserve">ing </w:t>
      </w:r>
      <w:r w:rsidRPr="000C3B60">
        <w:rPr>
          <w:lang w:eastAsia="en-AU"/>
        </w:rPr>
        <w:t>10 or more times</w:t>
      </w:r>
      <w:r>
        <w:rPr>
          <w:lang w:eastAsia="en-AU"/>
        </w:rPr>
        <w:t xml:space="preserve">, </w:t>
      </w:r>
      <w:r w:rsidRPr="000C3B60">
        <w:rPr>
          <w:lang w:eastAsia="en-AU"/>
        </w:rPr>
        <w:t>29.</w:t>
      </w:r>
      <w:r>
        <w:rPr>
          <w:lang w:eastAsia="en-AU"/>
        </w:rPr>
        <w:t>9</w:t>
      </w:r>
      <w:r w:rsidRPr="000C3B60">
        <w:rPr>
          <w:lang w:eastAsia="en-AU"/>
        </w:rPr>
        <w:t>% between five and nine times</w:t>
      </w:r>
      <w:r>
        <w:rPr>
          <w:lang w:eastAsia="en-AU"/>
        </w:rPr>
        <w:t xml:space="preserve"> and just under 50% reported </w:t>
      </w:r>
      <w:r w:rsidRPr="000C3B60">
        <w:rPr>
          <w:lang w:eastAsia="en-AU"/>
        </w:rPr>
        <w:t>less than five times in the last six months</w:t>
      </w:r>
      <w:r w:rsidR="00FA5E3D">
        <w:rPr>
          <w:lang w:eastAsia="en-AU"/>
        </w:rPr>
        <w:t>.</w:t>
      </w:r>
      <w:r w:rsidR="00B64620" w:rsidRPr="00FA5E3D">
        <w:rPr>
          <w:rStyle w:val="FootnoteReference"/>
          <w:color w:val="408BCA"/>
          <w:lang w:eastAsia="en-AU"/>
        </w:rPr>
        <w:footnoteReference w:id="77"/>
      </w:r>
      <w:r w:rsidR="000F7D48">
        <w:rPr>
          <w:lang w:eastAsia="en-AU"/>
        </w:rPr>
        <w:t xml:space="preserve"> </w:t>
      </w:r>
      <w:r w:rsidR="00CF34DF">
        <w:rPr>
          <w:lang w:eastAsia="en-AU"/>
        </w:rPr>
        <w:t xml:space="preserve">In </w:t>
      </w:r>
      <w:r w:rsidR="00376EBA">
        <w:rPr>
          <w:lang w:eastAsia="en-AU"/>
        </w:rPr>
        <w:t>wave</w:t>
      </w:r>
      <w:r w:rsidR="00CF34DF">
        <w:rPr>
          <w:lang w:eastAsia="en-AU"/>
        </w:rPr>
        <w:t xml:space="preserve"> 2, this pattern was </w:t>
      </w:r>
      <w:r w:rsidR="00C12E34">
        <w:rPr>
          <w:lang w:eastAsia="en-AU"/>
        </w:rPr>
        <w:t>broader</w:t>
      </w:r>
      <w:r w:rsidR="00CF34DF">
        <w:rPr>
          <w:lang w:eastAsia="en-AU"/>
        </w:rPr>
        <w:t xml:space="preserve"> similar, with </w:t>
      </w:r>
      <w:r w:rsidR="00105A75">
        <w:rPr>
          <w:lang w:eastAsia="en-AU"/>
        </w:rPr>
        <w:t xml:space="preserve">a slightly lower proportion reporting attending 10 or more times </w:t>
      </w:r>
      <w:r w:rsidR="00C12E34">
        <w:rPr>
          <w:lang w:eastAsia="en-AU"/>
        </w:rPr>
        <w:t xml:space="preserve">(16.6%) and a higher proportion </w:t>
      </w:r>
      <w:r w:rsidR="00105A75">
        <w:rPr>
          <w:lang w:eastAsia="en-AU"/>
        </w:rPr>
        <w:t>5</w:t>
      </w:r>
      <w:r w:rsidR="00FA5E3D">
        <w:rPr>
          <w:lang w:eastAsia="en-AU"/>
        </w:rPr>
        <w:t>–</w:t>
      </w:r>
      <w:r w:rsidR="00105A75">
        <w:rPr>
          <w:lang w:eastAsia="en-AU"/>
        </w:rPr>
        <w:t xml:space="preserve">9 times </w:t>
      </w:r>
      <w:r w:rsidR="00C12E34">
        <w:rPr>
          <w:lang w:eastAsia="en-AU"/>
        </w:rPr>
        <w:t xml:space="preserve">(32.3%). In the third wave, </w:t>
      </w:r>
      <w:r w:rsidR="004A5232">
        <w:rPr>
          <w:lang w:eastAsia="en-AU"/>
        </w:rPr>
        <w:t>which was impacted by the COVID-19 pandemic, patient</w:t>
      </w:r>
      <w:r w:rsidR="005D7FD5">
        <w:rPr>
          <w:lang w:eastAsia="en-AU"/>
        </w:rPr>
        <w:t>s</w:t>
      </w:r>
      <w:r w:rsidR="004A5232">
        <w:rPr>
          <w:lang w:eastAsia="en-AU"/>
        </w:rPr>
        <w:t xml:space="preserve"> reported attending the practice les</w:t>
      </w:r>
      <w:r w:rsidR="00ED35DE">
        <w:rPr>
          <w:lang w:eastAsia="en-AU"/>
        </w:rPr>
        <w:t>s</w:t>
      </w:r>
      <w:r w:rsidR="004A5232">
        <w:rPr>
          <w:lang w:eastAsia="en-AU"/>
        </w:rPr>
        <w:t xml:space="preserve"> frequently (11.2% 10 or more ti</w:t>
      </w:r>
      <w:r w:rsidR="001A2242">
        <w:rPr>
          <w:lang w:eastAsia="en-AU"/>
        </w:rPr>
        <w:t>mes and 27.1% 5</w:t>
      </w:r>
      <w:r w:rsidR="00FA5E3D">
        <w:rPr>
          <w:lang w:eastAsia="en-AU"/>
        </w:rPr>
        <w:t>–</w:t>
      </w:r>
      <w:r w:rsidR="001A2242">
        <w:rPr>
          <w:lang w:eastAsia="en-AU"/>
        </w:rPr>
        <w:t xml:space="preserve">9 times). </w:t>
      </w:r>
      <w:r w:rsidR="00814701">
        <w:rPr>
          <w:lang w:eastAsia="en-AU"/>
        </w:rPr>
        <w:t>This was partially offset by</w:t>
      </w:r>
      <w:r w:rsidR="005735CC">
        <w:rPr>
          <w:lang w:eastAsia="en-AU"/>
        </w:rPr>
        <w:t xml:space="preserve"> patients who report</w:t>
      </w:r>
      <w:r w:rsidR="00ED35DE">
        <w:rPr>
          <w:lang w:eastAsia="en-AU"/>
        </w:rPr>
        <w:t>ed</w:t>
      </w:r>
      <w:r w:rsidR="005735CC">
        <w:rPr>
          <w:lang w:eastAsia="en-AU"/>
        </w:rPr>
        <w:t xml:space="preserve"> that they had a telephone or video consultations in the last </w:t>
      </w:r>
      <w:r w:rsidR="00ED35DE">
        <w:rPr>
          <w:lang w:eastAsia="en-AU"/>
        </w:rPr>
        <w:t>six</w:t>
      </w:r>
      <w:r w:rsidR="005735CC">
        <w:rPr>
          <w:lang w:eastAsia="en-AU"/>
        </w:rPr>
        <w:t xml:space="preserve"> months</w:t>
      </w:r>
      <w:r w:rsidR="005D7FD5">
        <w:rPr>
          <w:lang w:eastAsia="en-AU"/>
        </w:rPr>
        <w:t>.</w:t>
      </w:r>
    </w:p>
    <w:p w14:paraId="49B08E91" w14:textId="733F2208" w:rsidR="0051153E" w:rsidRPr="00AF0973" w:rsidRDefault="005D7FD5" w:rsidP="0051153E">
      <w:pPr>
        <w:rPr>
          <w:lang w:eastAsia="en-AU"/>
        </w:rPr>
      </w:pPr>
      <w:r>
        <w:rPr>
          <w:lang w:eastAsia="en-AU"/>
        </w:rPr>
        <w:lastRenderedPageBreak/>
        <w:t>Most patients surveyed (</w:t>
      </w:r>
      <w:r w:rsidR="0051153E">
        <w:rPr>
          <w:lang w:eastAsia="en-AU"/>
        </w:rPr>
        <w:t>83.8%</w:t>
      </w:r>
      <w:r>
        <w:rPr>
          <w:lang w:eastAsia="en-AU"/>
        </w:rPr>
        <w:t>)</w:t>
      </w:r>
      <w:r w:rsidR="0051153E">
        <w:rPr>
          <w:lang w:eastAsia="en-AU"/>
        </w:rPr>
        <w:t xml:space="preserve"> reported being able to get an appointment for urgent care when they needed it </w:t>
      </w:r>
      <w:r w:rsidR="00CA495C">
        <w:rPr>
          <w:lang w:eastAsia="en-AU"/>
        </w:rPr>
        <w:t>“</w:t>
      </w:r>
      <w:r w:rsidR="0051153E">
        <w:rPr>
          <w:lang w:eastAsia="en-AU"/>
        </w:rPr>
        <w:t>most of the time</w:t>
      </w:r>
      <w:r w:rsidR="00CA495C">
        <w:rPr>
          <w:lang w:eastAsia="en-AU"/>
        </w:rPr>
        <w:t>”</w:t>
      </w:r>
      <w:r w:rsidR="0051153E">
        <w:rPr>
          <w:lang w:eastAsia="en-AU"/>
        </w:rPr>
        <w:t xml:space="preserve"> or </w:t>
      </w:r>
      <w:r w:rsidR="00CA495C">
        <w:rPr>
          <w:lang w:eastAsia="en-AU"/>
        </w:rPr>
        <w:t>“</w:t>
      </w:r>
      <w:r w:rsidR="0051153E">
        <w:rPr>
          <w:lang w:eastAsia="en-AU"/>
        </w:rPr>
        <w:t>always.</w:t>
      </w:r>
      <w:r w:rsidR="00CA495C">
        <w:rPr>
          <w:lang w:eastAsia="en-AU"/>
        </w:rPr>
        <w:t>”</w:t>
      </w:r>
      <w:r w:rsidR="0051153E">
        <w:rPr>
          <w:lang w:eastAsia="en-AU"/>
        </w:rPr>
        <w:t xml:space="preserve"> For more routine care, 85% reported being able to get an appointment when they needed it </w:t>
      </w:r>
      <w:r w:rsidR="00CA495C">
        <w:rPr>
          <w:lang w:eastAsia="en-AU"/>
        </w:rPr>
        <w:t>“</w:t>
      </w:r>
      <w:r w:rsidR="0051153E">
        <w:rPr>
          <w:lang w:eastAsia="en-AU"/>
        </w:rPr>
        <w:t>most of the time</w:t>
      </w:r>
      <w:r w:rsidR="00CA495C">
        <w:rPr>
          <w:lang w:eastAsia="en-AU"/>
        </w:rPr>
        <w:t>”</w:t>
      </w:r>
      <w:r w:rsidR="0051153E">
        <w:rPr>
          <w:lang w:eastAsia="en-AU"/>
        </w:rPr>
        <w:t xml:space="preserve"> or </w:t>
      </w:r>
      <w:r w:rsidR="00CA495C">
        <w:rPr>
          <w:lang w:eastAsia="en-AU"/>
        </w:rPr>
        <w:t>“</w:t>
      </w:r>
      <w:r w:rsidR="0051153E">
        <w:rPr>
          <w:lang w:eastAsia="en-AU"/>
        </w:rPr>
        <w:t>always.</w:t>
      </w:r>
      <w:r w:rsidR="00CA495C">
        <w:rPr>
          <w:lang w:eastAsia="en-AU"/>
        </w:rPr>
        <w:t>”</w:t>
      </w:r>
      <w:r w:rsidR="0051153E">
        <w:rPr>
          <w:lang w:eastAsia="en-AU"/>
        </w:rPr>
        <w:t xml:space="preserve"> </w:t>
      </w:r>
      <w:r w:rsidR="0051153E" w:rsidRPr="00D840D2">
        <w:rPr>
          <w:lang w:eastAsia="en-AU"/>
        </w:rPr>
        <w:t xml:space="preserve">Across all attendances, 83.8% of patients reported being able to get an appointment with their personal GP </w:t>
      </w:r>
      <w:r w:rsidR="00CA495C">
        <w:rPr>
          <w:lang w:eastAsia="en-AU"/>
        </w:rPr>
        <w:t>“</w:t>
      </w:r>
      <w:r w:rsidR="0051153E" w:rsidRPr="00D840D2">
        <w:rPr>
          <w:lang w:eastAsia="en-AU"/>
        </w:rPr>
        <w:t>most of the time</w:t>
      </w:r>
      <w:r w:rsidR="00CA495C">
        <w:rPr>
          <w:lang w:eastAsia="en-AU"/>
        </w:rPr>
        <w:t>”</w:t>
      </w:r>
      <w:r w:rsidR="0051153E" w:rsidRPr="00D840D2">
        <w:rPr>
          <w:lang w:eastAsia="en-AU"/>
        </w:rPr>
        <w:t xml:space="preserve"> or </w:t>
      </w:r>
      <w:r w:rsidR="00CA495C">
        <w:rPr>
          <w:lang w:eastAsia="en-AU"/>
        </w:rPr>
        <w:t>“</w:t>
      </w:r>
      <w:r w:rsidR="0051153E" w:rsidRPr="00D840D2">
        <w:rPr>
          <w:lang w:eastAsia="en-AU"/>
        </w:rPr>
        <w:t>always</w:t>
      </w:r>
      <w:r w:rsidR="00CA495C">
        <w:rPr>
          <w:lang w:eastAsia="en-AU"/>
        </w:rPr>
        <w:t>”</w:t>
      </w:r>
      <w:r w:rsidR="0051153E" w:rsidRPr="00D840D2">
        <w:rPr>
          <w:lang w:eastAsia="en-AU"/>
        </w:rPr>
        <w:t>.</w:t>
      </w:r>
      <w:r w:rsidR="0051153E">
        <w:rPr>
          <w:lang w:eastAsia="en-AU"/>
        </w:rPr>
        <w:t xml:space="preserve"> </w:t>
      </w:r>
      <w:r w:rsidR="0051153E" w:rsidRPr="006524FD">
        <w:rPr>
          <w:rFonts w:eastAsia="Calibri" w:cs="Times New Roman"/>
          <w:color w:val="1D2455"/>
          <w:szCs w:val="16"/>
          <w:lang w:eastAsia="en-AU"/>
        </w:rPr>
        <w:fldChar w:fldCharType="begin"/>
      </w:r>
      <w:r w:rsidR="0051153E" w:rsidRPr="006524FD">
        <w:rPr>
          <w:rFonts w:eastAsia="Calibri" w:cs="Times New Roman"/>
          <w:color w:val="1D2455"/>
          <w:szCs w:val="16"/>
          <w:lang w:eastAsia="en-AU"/>
        </w:rPr>
        <w:instrText xml:space="preserve"> REF _Ref21172870 \h  \* MERGEFORMAT </w:instrText>
      </w:r>
      <w:r w:rsidR="0051153E" w:rsidRPr="006524FD">
        <w:rPr>
          <w:rFonts w:eastAsia="Calibri" w:cs="Times New Roman"/>
          <w:color w:val="1D2455"/>
          <w:szCs w:val="16"/>
          <w:lang w:eastAsia="en-AU"/>
        </w:rPr>
      </w:r>
      <w:r w:rsidR="0051153E" w:rsidRPr="006524FD">
        <w:rPr>
          <w:rFonts w:eastAsia="Calibri" w:cs="Times New Roman"/>
          <w:color w:val="1D2455"/>
          <w:szCs w:val="16"/>
          <w:lang w:eastAsia="en-AU"/>
        </w:rPr>
        <w:fldChar w:fldCharType="separate"/>
      </w:r>
      <w:r w:rsidR="003C4BC2" w:rsidRPr="003C4BC2">
        <w:rPr>
          <w:rFonts w:eastAsia="Calibri" w:cs="Times New Roman"/>
          <w:color w:val="1D2455"/>
          <w:szCs w:val="16"/>
          <w:lang w:eastAsia="en-AU"/>
        </w:rPr>
        <w:t>Table 40</w:t>
      </w:r>
      <w:r w:rsidR="0051153E" w:rsidRPr="006524FD">
        <w:rPr>
          <w:rFonts w:eastAsia="Calibri" w:cs="Times New Roman"/>
          <w:color w:val="1D2455"/>
          <w:szCs w:val="16"/>
          <w:lang w:eastAsia="en-AU"/>
        </w:rPr>
        <w:fldChar w:fldCharType="end"/>
      </w:r>
      <w:r w:rsidR="0051153E">
        <w:rPr>
          <w:lang w:eastAsia="en-AU"/>
        </w:rPr>
        <w:t xml:space="preserve"> shows patient survey responses that were collected at the initial stages of the evaluation.</w:t>
      </w:r>
    </w:p>
    <w:p w14:paraId="155A262C" w14:textId="4321A006" w:rsidR="0051153E" w:rsidRPr="002B7D39" w:rsidRDefault="0051153E" w:rsidP="0051153E">
      <w:pPr>
        <w:pStyle w:val="tabletitle"/>
      </w:pPr>
      <w:bookmarkStart w:id="327" w:name="_Ref21172870"/>
      <w:bookmarkStart w:id="328" w:name="_Ref21172865"/>
      <w:r w:rsidRPr="002B7D39">
        <w:t xml:space="preserve">Table </w:t>
      </w:r>
      <w:r w:rsidR="00A61B29">
        <w:fldChar w:fldCharType="begin"/>
      </w:r>
      <w:r w:rsidR="00A61B29">
        <w:instrText xml:space="preserve"> SEQ Table \* ARABIC </w:instrText>
      </w:r>
      <w:r w:rsidR="00A61B29">
        <w:fldChar w:fldCharType="separate"/>
      </w:r>
      <w:r w:rsidR="003C4BC2">
        <w:rPr>
          <w:noProof/>
        </w:rPr>
        <w:t>40</w:t>
      </w:r>
      <w:r w:rsidR="00A61B29">
        <w:rPr>
          <w:noProof/>
        </w:rPr>
        <w:fldChar w:fldCharType="end"/>
      </w:r>
      <w:bookmarkEnd w:id="327"/>
      <w:r>
        <w:t xml:space="preserve">: </w:t>
      </w:r>
      <w:r w:rsidRPr="002B7D39">
        <w:rPr>
          <w:lang w:eastAsia="en-AU"/>
        </w:rPr>
        <w:t>Appointments over last six months</w:t>
      </w:r>
      <w:bookmarkEnd w:id="328"/>
      <w:r w:rsidRPr="002B7D39">
        <w:rPr>
          <w:lang w:eastAsia="en-AU"/>
        </w:rPr>
        <w:t xml:space="preserve"> and ease of access</w:t>
      </w:r>
    </w:p>
    <w:tbl>
      <w:tblPr>
        <w:tblW w:w="9497" w:type="dxa"/>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2265"/>
        <w:gridCol w:w="2837"/>
        <w:gridCol w:w="2836"/>
        <w:gridCol w:w="1559"/>
      </w:tblGrid>
      <w:tr w:rsidR="0051153E" w:rsidRPr="007876B8" w14:paraId="5BA0D860" w14:textId="77777777" w:rsidTr="007876B8">
        <w:trPr>
          <w:trHeight w:val="328"/>
          <w:tblHeader/>
        </w:trPr>
        <w:tc>
          <w:tcPr>
            <w:tcW w:w="2265" w:type="dxa"/>
            <w:shd w:val="clear" w:color="auto" w:fill="408BCA"/>
            <w:hideMark/>
          </w:tcPr>
          <w:p w14:paraId="3E772320" w14:textId="77777777" w:rsidR="0051153E" w:rsidRPr="007876B8" w:rsidRDefault="0051153E" w:rsidP="005D7FD5">
            <w:pPr>
              <w:spacing w:after="0"/>
              <w:jc w:val="center"/>
              <w:rPr>
                <w:rFonts w:cstheme="minorHAnsi"/>
                <w:b/>
                <w:bCs/>
              </w:rPr>
            </w:pPr>
            <w:r w:rsidRPr="007876B8">
              <w:rPr>
                <w:rFonts w:cstheme="minorHAnsi"/>
                <w:b/>
                <w:bCs/>
                <w:color w:val="FFFFFF"/>
                <w:sz w:val="18"/>
                <w:szCs w:val="18"/>
              </w:rPr>
              <w:t>Questions</w:t>
            </w:r>
          </w:p>
        </w:tc>
        <w:tc>
          <w:tcPr>
            <w:tcW w:w="2837" w:type="dxa"/>
            <w:shd w:val="clear" w:color="auto" w:fill="408BCA"/>
            <w:hideMark/>
          </w:tcPr>
          <w:p w14:paraId="7B8B64DA" w14:textId="28DC5F93" w:rsidR="0051153E" w:rsidRPr="007876B8" w:rsidRDefault="0051153E" w:rsidP="005D7FD5">
            <w:pPr>
              <w:spacing w:after="0"/>
              <w:jc w:val="center"/>
              <w:rPr>
                <w:rFonts w:cstheme="minorHAnsi"/>
                <w:b/>
                <w:bCs/>
              </w:rPr>
            </w:pPr>
            <w:r w:rsidRPr="007876B8">
              <w:rPr>
                <w:rFonts w:cstheme="minorHAnsi"/>
                <w:b/>
                <w:bCs/>
                <w:color w:val="FFFFFF"/>
                <w:sz w:val="18"/>
                <w:szCs w:val="18"/>
              </w:rPr>
              <w:t>Appointment for urgent care (</w:t>
            </w:r>
            <w:r w:rsidR="00CA495C">
              <w:rPr>
                <w:rFonts w:cstheme="minorHAnsi"/>
                <w:b/>
                <w:bCs/>
                <w:color w:val="FFFFFF"/>
                <w:sz w:val="18"/>
                <w:szCs w:val="18"/>
              </w:rPr>
              <w:t>“</w:t>
            </w:r>
            <w:r w:rsidRPr="007876B8">
              <w:rPr>
                <w:rFonts w:cstheme="minorHAnsi"/>
                <w:b/>
                <w:bCs/>
                <w:color w:val="FFFFFF"/>
                <w:sz w:val="18"/>
                <w:szCs w:val="18"/>
              </w:rPr>
              <w:t>care needed right away</w:t>
            </w:r>
            <w:r w:rsidR="00CA495C">
              <w:rPr>
                <w:rFonts w:cstheme="minorHAnsi"/>
                <w:b/>
                <w:bCs/>
                <w:color w:val="FFFFFF"/>
                <w:sz w:val="18"/>
                <w:szCs w:val="18"/>
              </w:rPr>
              <w:t>”</w:t>
            </w:r>
            <w:r w:rsidRPr="007876B8">
              <w:rPr>
                <w:rFonts w:cstheme="minorHAnsi"/>
                <w:b/>
                <w:bCs/>
                <w:color w:val="FFFFFF"/>
                <w:sz w:val="18"/>
                <w:szCs w:val="18"/>
              </w:rPr>
              <w:t>)</w:t>
            </w:r>
          </w:p>
        </w:tc>
        <w:tc>
          <w:tcPr>
            <w:tcW w:w="2836" w:type="dxa"/>
            <w:shd w:val="clear" w:color="auto" w:fill="408BCA"/>
            <w:hideMark/>
          </w:tcPr>
          <w:p w14:paraId="2DA9046B" w14:textId="77777777" w:rsidR="0051153E" w:rsidRPr="007876B8" w:rsidRDefault="0051153E" w:rsidP="005D7FD5">
            <w:pPr>
              <w:spacing w:after="0"/>
              <w:jc w:val="center"/>
              <w:rPr>
                <w:rFonts w:cstheme="minorHAnsi"/>
                <w:b/>
                <w:bCs/>
              </w:rPr>
            </w:pPr>
            <w:r w:rsidRPr="007876B8">
              <w:rPr>
                <w:rFonts w:cstheme="minorHAnsi"/>
                <w:b/>
                <w:bCs/>
                <w:color w:val="FFFFFF"/>
                <w:sz w:val="18"/>
                <w:szCs w:val="18"/>
              </w:rPr>
              <w:t>Appointments for a check-up or routine care</w:t>
            </w:r>
          </w:p>
        </w:tc>
        <w:tc>
          <w:tcPr>
            <w:tcW w:w="1559" w:type="dxa"/>
            <w:shd w:val="clear" w:color="auto" w:fill="408BCA"/>
          </w:tcPr>
          <w:p w14:paraId="481B5536" w14:textId="77777777" w:rsidR="0051153E" w:rsidRPr="007876B8" w:rsidRDefault="0051153E" w:rsidP="005D7FD5">
            <w:pPr>
              <w:spacing w:after="0"/>
              <w:jc w:val="center"/>
              <w:rPr>
                <w:rFonts w:cstheme="minorHAnsi"/>
                <w:b/>
                <w:bCs/>
              </w:rPr>
            </w:pPr>
            <w:r w:rsidRPr="007876B8">
              <w:rPr>
                <w:rFonts w:cstheme="minorHAnsi"/>
                <w:b/>
                <w:bCs/>
                <w:color w:val="FFFFFF"/>
                <w:sz w:val="18"/>
                <w:szCs w:val="18"/>
              </w:rPr>
              <w:t>All attendances</w:t>
            </w:r>
          </w:p>
        </w:tc>
      </w:tr>
      <w:tr w:rsidR="0051153E" w:rsidRPr="007B6DF7" w14:paraId="587FD919" w14:textId="77777777" w:rsidTr="0028384A">
        <w:trPr>
          <w:trHeight w:val="288"/>
        </w:trPr>
        <w:tc>
          <w:tcPr>
            <w:tcW w:w="9497" w:type="dxa"/>
            <w:gridSpan w:val="4"/>
            <w:tcBorders>
              <w:top w:val="single" w:sz="4" w:space="0" w:color="408BCA"/>
            </w:tcBorders>
          </w:tcPr>
          <w:p w14:paraId="4499B9F6" w14:textId="77777777" w:rsidR="0051153E" w:rsidRPr="007B6DF7" w:rsidRDefault="0051153E" w:rsidP="005D7FD5">
            <w:pPr>
              <w:spacing w:beforeLines="20" w:before="48" w:afterLines="20" w:after="48"/>
              <w:ind w:left="40" w:right="40"/>
              <w:rPr>
                <w:rFonts w:cstheme="minorHAnsi"/>
                <w:color w:val="000000"/>
                <w:sz w:val="18"/>
                <w:szCs w:val="18"/>
              </w:rPr>
            </w:pPr>
            <w:r w:rsidRPr="007B6DF7">
              <w:rPr>
                <w:rFonts w:cstheme="minorHAnsi"/>
                <w:b/>
                <w:color w:val="000000"/>
                <w:sz w:val="18"/>
                <w:szCs w:val="18"/>
              </w:rPr>
              <w:t>Needed this type of appointment over the last 6 months</w:t>
            </w:r>
          </w:p>
        </w:tc>
      </w:tr>
      <w:tr w:rsidR="0051153E" w:rsidRPr="007B6DF7" w14:paraId="2069E8EE" w14:textId="77777777" w:rsidTr="0028384A">
        <w:trPr>
          <w:trHeight w:val="288"/>
        </w:trPr>
        <w:tc>
          <w:tcPr>
            <w:tcW w:w="2265" w:type="dxa"/>
          </w:tcPr>
          <w:p w14:paraId="3BB87FE8" w14:textId="77777777" w:rsidR="0051153E" w:rsidRPr="007B6DF7" w:rsidRDefault="0051153E" w:rsidP="005D7FD5">
            <w:pPr>
              <w:spacing w:beforeLines="20" w:before="48" w:afterLines="20" w:after="48"/>
              <w:ind w:left="411" w:right="40"/>
              <w:rPr>
                <w:rFonts w:cstheme="minorHAnsi"/>
                <w:color w:val="000000"/>
                <w:sz w:val="18"/>
                <w:szCs w:val="18"/>
              </w:rPr>
            </w:pPr>
            <w:r w:rsidRPr="007B6DF7">
              <w:rPr>
                <w:rFonts w:cstheme="minorHAnsi"/>
                <w:color w:val="000000"/>
                <w:sz w:val="18"/>
                <w:szCs w:val="18"/>
              </w:rPr>
              <w:t>Yes</w:t>
            </w:r>
          </w:p>
        </w:tc>
        <w:tc>
          <w:tcPr>
            <w:tcW w:w="2837" w:type="dxa"/>
          </w:tcPr>
          <w:p w14:paraId="300FA95F"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973 (48.2%)</w:t>
            </w:r>
          </w:p>
        </w:tc>
        <w:tc>
          <w:tcPr>
            <w:tcW w:w="2836" w:type="dxa"/>
          </w:tcPr>
          <w:p w14:paraId="63E15CEE"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1,521 (75.4%)</w:t>
            </w:r>
          </w:p>
        </w:tc>
        <w:tc>
          <w:tcPr>
            <w:tcW w:w="1559" w:type="dxa"/>
          </w:tcPr>
          <w:p w14:paraId="57B6F1DF" w14:textId="3A613757" w:rsidR="0051153E" w:rsidRPr="007B6DF7" w:rsidRDefault="0051153E" w:rsidP="005D7FD5">
            <w:pPr>
              <w:spacing w:beforeLines="20" w:before="48" w:afterLines="20" w:after="48"/>
              <w:ind w:left="40" w:right="40"/>
              <w:jc w:val="center"/>
              <w:rPr>
                <w:rFonts w:cstheme="minorHAnsi"/>
                <w:color w:val="000000"/>
                <w:sz w:val="18"/>
                <w:szCs w:val="18"/>
              </w:rPr>
            </w:pPr>
            <w:proofErr w:type="spellStart"/>
            <w:r w:rsidRPr="007B6DF7">
              <w:rPr>
                <w:rFonts w:cstheme="minorHAnsi"/>
                <w:color w:val="000000"/>
                <w:sz w:val="18"/>
                <w:szCs w:val="18"/>
              </w:rPr>
              <w:t>n</w:t>
            </w:r>
            <w:r w:rsidR="00057F54">
              <w:rPr>
                <w:rFonts w:cstheme="minorHAnsi"/>
                <w:color w:val="000000"/>
                <w:sz w:val="18"/>
                <w:szCs w:val="18"/>
              </w:rPr>
              <w:t>.</w:t>
            </w:r>
            <w:r w:rsidRPr="007B6DF7">
              <w:rPr>
                <w:rFonts w:cstheme="minorHAnsi"/>
                <w:color w:val="000000"/>
                <w:sz w:val="18"/>
                <w:szCs w:val="18"/>
              </w:rPr>
              <w:t>a</w:t>
            </w:r>
            <w:r w:rsidR="00057F54">
              <w:rPr>
                <w:rFonts w:cstheme="minorHAnsi"/>
                <w:color w:val="000000"/>
                <w:sz w:val="18"/>
                <w:szCs w:val="18"/>
              </w:rPr>
              <w:t>.</w:t>
            </w:r>
            <w:proofErr w:type="spellEnd"/>
          </w:p>
        </w:tc>
      </w:tr>
      <w:tr w:rsidR="0051153E" w:rsidRPr="007B6DF7" w14:paraId="2CA3D303" w14:textId="77777777" w:rsidTr="0028384A">
        <w:trPr>
          <w:trHeight w:val="288"/>
        </w:trPr>
        <w:tc>
          <w:tcPr>
            <w:tcW w:w="2265" w:type="dxa"/>
          </w:tcPr>
          <w:p w14:paraId="1A19C20A" w14:textId="77777777" w:rsidR="0051153E" w:rsidRPr="007B6DF7" w:rsidRDefault="0051153E" w:rsidP="005D7FD5">
            <w:pPr>
              <w:spacing w:beforeLines="20" w:before="48" w:afterLines="20" w:after="48"/>
              <w:ind w:left="411" w:right="40"/>
              <w:rPr>
                <w:rFonts w:cstheme="minorHAnsi"/>
                <w:color w:val="000000"/>
                <w:sz w:val="18"/>
                <w:szCs w:val="18"/>
              </w:rPr>
            </w:pPr>
            <w:r w:rsidRPr="007B6DF7">
              <w:rPr>
                <w:rFonts w:cstheme="minorHAnsi"/>
                <w:color w:val="000000"/>
                <w:sz w:val="18"/>
                <w:szCs w:val="18"/>
              </w:rPr>
              <w:t>No</w:t>
            </w:r>
          </w:p>
        </w:tc>
        <w:tc>
          <w:tcPr>
            <w:tcW w:w="2837" w:type="dxa"/>
          </w:tcPr>
          <w:p w14:paraId="6935A95C"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1,022 (50.6%)</w:t>
            </w:r>
          </w:p>
        </w:tc>
        <w:tc>
          <w:tcPr>
            <w:tcW w:w="2836" w:type="dxa"/>
          </w:tcPr>
          <w:p w14:paraId="4AAF234F"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460 (22.8%)</w:t>
            </w:r>
          </w:p>
        </w:tc>
        <w:tc>
          <w:tcPr>
            <w:tcW w:w="1559" w:type="dxa"/>
          </w:tcPr>
          <w:p w14:paraId="3BEA7553" w14:textId="2BC3E578" w:rsidR="0051153E" w:rsidRPr="007B6DF7" w:rsidRDefault="00057F54" w:rsidP="005D7FD5">
            <w:pPr>
              <w:spacing w:beforeLines="20" w:before="48" w:afterLines="20" w:after="48"/>
              <w:ind w:left="40" w:right="40"/>
              <w:jc w:val="center"/>
              <w:rPr>
                <w:rFonts w:cstheme="minorHAnsi"/>
                <w:color w:val="000000"/>
                <w:sz w:val="18"/>
                <w:szCs w:val="18"/>
              </w:rPr>
            </w:pPr>
            <w:proofErr w:type="spellStart"/>
            <w:r w:rsidRPr="007B6DF7">
              <w:rPr>
                <w:rFonts w:cstheme="minorHAnsi"/>
                <w:color w:val="000000"/>
                <w:sz w:val="18"/>
                <w:szCs w:val="18"/>
              </w:rPr>
              <w:t>n</w:t>
            </w:r>
            <w:r>
              <w:rPr>
                <w:rFonts w:cstheme="minorHAnsi"/>
                <w:color w:val="000000"/>
                <w:sz w:val="18"/>
                <w:szCs w:val="18"/>
              </w:rPr>
              <w:t>.</w:t>
            </w:r>
            <w:r w:rsidRPr="007B6DF7">
              <w:rPr>
                <w:rFonts w:cstheme="minorHAnsi"/>
                <w:color w:val="000000"/>
                <w:sz w:val="18"/>
                <w:szCs w:val="18"/>
              </w:rPr>
              <w:t>a</w:t>
            </w:r>
            <w:r>
              <w:rPr>
                <w:rFonts w:cstheme="minorHAnsi"/>
                <w:color w:val="000000"/>
                <w:sz w:val="18"/>
                <w:szCs w:val="18"/>
              </w:rPr>
              <w:t>.</w:t>
            </w:r>
            <w:proofErr w:type="spellEnd"/>
          </w:p>
        </w:tc>
      </w:tr>
      <w:tr w:rsidR="0051153E" w:rsidRPr="007B6DF7" w14:paraId="33736125" w14:textId="77777777" w:rsidTr="0028384A">
        <w:trPr>
          <w:trHeight w:val="288"/>
        </w:trPr>
        <w:tc>
          <w:tcPr>
            <w:tcW w:w="2265" w:type="dxa"/>
          </w:tcPr>
          <w:p w14:paraId="23E2D61C" w14:textId="77777777" w:rsidR="0051153E" w:rsidRPr="007B6DF7" w:rsidRDefault="0051153E" w:rsidP="005D7FD5">
            <w:pPr>
              <w:spacing w:beforeLines="20" w:before="48" w:afterLines="20" w:after="48"/>
              <w:ind w:left="411" w:right="40"/>
              <w:rPr>
                <w:rFonts w:cstheme="minorHAnsi"/>
                <w:color w:val="000000"/>
                <w:sz w:val="18"/>
                <w:szCs w:val="18"/>
              </w:rPr>
            </w:pPr>
            <w:r w:rsidRPr="007B6DF7">
              <w:rPr>
                <w:rFonts w:cstheme="minorHAnsi"/>
                <w:color w:val="000000"/>
                <w:sz w:val="18"/>
                <w:szCs w:val="18"/>
              </w:rPr>
              <w:t>Don't know</w:t>
            </w:r>
          </w:p>
        </w:tc>
        <w:tc>
          <w:tcPr>
            <w:tcW w:w="2837" w:type="dxa"/>
          </w:tcPr>
          <w:p w14:paraId="503CB69B"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23 (1.1%)</w:t>
            </w:r>
          </w:p>
        </w:tc>
        <w:tc>
          <w:tcPr>
            <w:tcW w:w="2836" w:type="dxa"/>
          </w:tcPr>
          <w:p w14:paraId="44362842"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37 (1.8%)</w:t>
            </w:r>
          </w:p>
        </w:tc>
        <w:tc>
          <w:tcPr>
            <w:tcW w:w="1559" w:type="dxa"/>
          </w:tcPr>
          <w:p w14:paraId="6CB33E8C" w14:textId="5EC65967" w:rsidR="0051153E" w:rsidRPr="007B6DF7" w:rsidRDefault="00057F54" w:rsidP="005D7FD5">
            <w:pPr>
              <w:spacing w:beforeLines="20" w:before="48" w:afterLines="20" w:after="48"/>
              <w:ind w:left="40" w:right="40"/>
              <w:jc w:val="center"/>
              <w:rPr>
                <w:rFonts w:cstheme="minorHAnsi"/>
                <w:color w:val="000000"/>
                <w:sz w:val="18"/>
                <w:szCs w:val="18"/>
              </w:rPr>
            </w:pPr>
            <w:proofErr w:type="spellStart"/>
            <w:r w:rsidRPr="007B6DF7">
              <w:rPr>
                <w:rFonts w:cstheme="minorHAnsi"/>
                <w:color w:val="000000"/>
                <w:sz w:val="18"/>
                <w:szCs w:val="18"/>
              </w:rPr>
              <w:t>n</w:t>
            </w:r>
            <w:r>
              <w:rPr>
                <w:rFonts w:cstheme="minorHAnsi"/>
                <w:color w:val="000000"/>
                <w:sz w:val="18"/>
                <w:szCs w:val="18"/>
              </w:rPr>
              <w:t>.</w:t>
            </w:r>
            <w:r w:rsidRPr="007B6DF7">
              <w:rPr>
                <w:rFonts w:cstheme="minorHAnsi"/>
                <w:color w:val="000000"/>
                <w:sz w:val="18"/>
                <w:szCs w:val="18"/>
              </w:rPr>
              <w:t>a</w:t>
            </w:r>
            <w:r>
              <w:rPr>
                <w:rFonts w:cstheme="minorHAnsi"/>
                <w:color w:val="000000"/>
                <w:sz w:val="18"/>
                <w:szCs w:val="18"/>
              </w:rPr>
              <w:t>.</w:t>
            </w:r>
            <w:proofErr w:type="spellEnd"/>
          </w:p>
        </w:tc>
      </w:tr>
      <w:tr w:rsidR="0051153E" w:rsidRPr="007B6DF7" w14:paraId="25BC346D" w14:textId="77777777" w:rsidTr="0028384A">
        <w:trPr>
          <w:trHeight w:val="288"/>
        </w:trPr>
        <w:tc>
          <w:tcPr>
            <w:tcW w:w="5102" w:type="dxa"/>
            <w:gridSpan w:val="2"/>
          </w:tcPr>
          <w:p w14:paraId="6C628BA6" w14:textId="77777777" w:rsidR="0051153E" w:rsidRPr="007B6DF7" w:rsidRDefault="0051153E" w:rsidP="005D7FD5">
            <w:pPr>
              <w:spacing w:beforeLines="20" w:before="48" w:afterLines="20" w:after="48"/>
              <w:ind w:left="127" w:right="40"/>
              <w:rPr>
                <w:rFonts w:cstheme="minorHAnsi"/>
                <w:color w:val="000000"/>
                <w:sz w:val="18"/>
                <w:szCs w:val="18"/>
              </w:rPr>
            </w:pPr>
            <w:r w:rsidRPr="007B6DF7">
              <w:rPr>
                <w:rFonts w:cstheme="minorHAnsi"/>
                <w:b/>
                <w:color w:val="000000"/>
                <w:sz w:val="18"/>
                <w:szCs w:val="18"/>
              </w:rPr>
              <w:t>How often did the patient get the appointment as when needed? (Patients who needed this type of appointment over the last 6 months):</w:t>
            </w:r>
          </w:p>
        </w:tc>
        <w:tc>
          <w:tcPr>
            <w:tcW w:w="4395" w:type="dxa"/>
            <w:gridSpan w:val="2"/>
          </w:tcPr>
          <w:p w14:paraId="1B945CE3" w14:textId="77777777" w:rsidR="0051153E" w:rsidRPr="007B6DF7" w:rsidRDefault="0051153E" w:rsidP="005D7FD5">
            <w:pPr>
              <w:spacing w:beforeLines="20" w:before="48" w:afterLines="20" w:after="48"/>
              <w:ind w:left="40" w:right="40"/>
              <w:jc w:val="center"/>
              <w:rPr>
                <w:rFonts w:cstheme="minorHAnsi"/>
                <w:b/>
                <w:color w:val="000000"/>
                <w:sz w:val="18"/>
                <w:szCs w:val="18"/>
              </w:rPr>
            </w:pPr>
            <w:r w:rsidRPr="007B6DF7">
              <w:rPr>
                <w:rFonts w:cstheme="minorHAnsi"/>
                <w:b/>
                <w:color w:val="000000"/>
                <w:sz w:val="18"/>
                <w:szCs w:val="18"/>
              </w:rPr>
              <w:t>How often was the consultation with their personal GP?:</w:t>
            </w:r>
          </w:p>
        </w:tc>
      </w:tr>
      <w:tr w:rsidR="0051153E" w:rsidRPr="007B6DF7" w14:paraId="4D9DB689" w14:textId="77777777" w:rsidTr="0028384A">
        <w:trPr>
          <w:trHeight w:val="288"/>
        </w:trPr>
        <w:tc>
          <w:tcPr>
            <w:tcW w:w="2265" w:type="dxa"/>
          </w:tcPr>
          <w:p w14:paraId="403409C5" w14:textId="77777777" w:rsidR="0051153E" w:rsidRPr="007B6DF7" w:rsidRDefault="0051153E" w:rsidP="005D7FD5">
            <w:pPr>
              <w:spacing w:beforeLines="20" w:before="48" w:afterLines="20" w:after="48"/>
              <w:ind w:left="411" w:right="40"/>
              <w:rPr>
                <w:rFonts w:cstheme="minorHAnsi"/>
                <w:color w:val="000000"/>
                <w:sz w:val="18"/>
                <w:szCs w:val="18"/>
              </w:rPr>
            </w:pPr>
            <w:r w:rsidRPr="007B6DF7">
              <w:rPr>
                <w:rFonts w:cstheme="minorHAnsi"/>
                <w:color w:val="000000"/>
                <w:sz w:val="18"/>
                <w:szCs w:val="18"/>
              </w:rPr>
              <w:t>None of the time</w:t>
            </w:r>
          </w:p>
        </w:tc>
        <w:tc>
          <w:tcPr>
            <w:tcW w:w="2837" w:type="dxa"/>
          </w:tcPr>
          <w:p w14:paraId="2767B20B"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19 (2.0%)</w:t>
            </w:r>
          </w:p>
        </w:tc>
        <w:tc>
          <w:tcPr>
            <w:tcW w:w="2836" w:type="dxa"/>
          </w:tcPr>
          <w:p w14:paraId="502623EA"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20 (1.3%)</w:t>
            </w:r>
          </w:p>
        </w:tc>
        <w:tc>
          <w:tcPr>
            <w:tcW w:w="1559" w:type="dxa"/>
          </w:tcPr>
          <w:p w14:paraId="623CB2A1"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21 (1.0%)</w:t>
            </w:r>
          </w:p>
        </w:tc>
      </w:tr>
      <w:tr w:rsidR="0051153E" w:rsidRPr="007B6DF7" w14:paraId="3B244909" w14:textId="77777777" w:rsidTr="0028384A">
        <w:trPr>
          <w:trHeight w:val="288"/>
        </w:trPr>
        <w:tc>
          <w:tcPr>
            <w:tcW w:w="2265" w:type="dxa"/>
          </w:tcPr>
          <w:p w14:paraId="36707CC3" w14:textId="77777777" w:rsidR="0051153E" w:rsidRPr="007B6DF7" w:rsidRDefault="0051153E" w:rsidP="005D7FD5">
            <w:pPr>
              <w:spacing w:beforeLines="20" w:before="48" w:afterLines="20" w:after="48"/>
              <w:ind w:left="411" w:right="40"/>
              <w:rPr>
                <w:rFonts w:cstheme="minorHAnsi"/>
                <w:color w:val="000000"/>
                <w:sz w:val="18"/>
                <w:szCs w:val="18"/>
              </w:rPr>
            </w:pPr>
            <w:r w:rsidRPr="007B6DF7">
              <w:rPr>
                <w:rFonts w:cstheme="minorHAnsi"/>
                <w:color w:val="000000"/>
                <w:sz w:val="18"/>
                <w:szCs w:val="18"/>
              </w:rPr>
              <w:t>A little of the time</w:t>
            </w:r>
          </w:p>
        </w:tc>
        <w:tc>
          <w:tcPr>
            <w:tcW w:w="2837" w:type="dxa"/>
          </w:tcPr>
          <w:p w14:paraId="146F1A43"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37 (3.8%)</w:t>
            </w:r>
          </w:p>
        </w:tc>
        <w:tc>
          <w:tcPr>
            <w:tcW w:w="2836" w:type="dxa"/>
          </w:tcPr>
          <w:p w14:paraId="054F3284"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42 (2.8%)</w:t>
            </w:r>
          </w:p>
        </w:tc>
        <w:tc>
          <w:tcPr>
            <w:tcW w:w="1559" w:type="dxa"/>
          </w:tcPr>
          <w:p w14:paraId="4A51B1F1"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52 (2.6%)</w:t>
            </w:r>
          </w:p>
        </w:tc>
      </w:tr>
      <w:tr w:rsidR="0051153E" w:rsidRPr="007B6DF7" w14:paraId="172B53AD" w14:textId="77777777" w:rsidTr="0028384A">
        <w:trPr>
          <w:trHeight w:val="288"/>
        </w:trPr>
        <w:tc>
          <w:tcPr>
            <w:tcW w:w="2265" w:type="dxa"/>
          </w:tcPr>
          <w:p w14:paraId="7A12B9FB" w14:textId="77777777" w:rsidR="0051153E" w:rsidRPr="007B6DF7" w:rsidRDefault="0051153E" w:rsidP="005D7FD5">
            <w:pPr>
              <w:spacing w:beforeLines="20" w:before="48" w:afterLines="20" w:after="48"/>
              <w:ind w:left="411" w:right="40"/>
              <w:rPr>
                <w:rFonts w:cstheme="minorHAnsi"/>
                <w:color w:val="000000"/>
                <w:sz w:val="18"/>
                <w:szCs w:val="18"/>
              </w:rPr>
            </w:pPr>
            <w:r w:rsidRPr="007B6DF7">
              <w:rPr>
                <w:rFonts w:cstheme="minorHAnsi"/>
                <w:color w:val="000000"/>
                <w:sz w:val="18"/>
                <w:szCs w:val="18"/>
              </w:rPr>
              <w:t>Some of the time</w:t>
            </w:r>
          </w:p>
        </w:tc>
        <w:tc>
          <w:tcPr>
            <w:tcW w:w="2837" w:type="dxa"/>
          </w:tcPr>
          <w:p w14:paraId="3B75B89C"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85 (8.7%)</w:t>
            </w:r>
          </w:p>
        </w:tc>
        <w:tc>
          <w:tcPr>
            <w:tcW w:w="2836" w:type="dxa"/>
          </w:tcPr>
          <w:p w14:paraId="2E381E33"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143 (9.4%)</w:t>
            </w:r>
          </w:p>
        </w:tc>
        <w:tc>
          <w:tcPr>
            <w:tcW w:w="1559" w:type="dxa"/>
          </w:tcPr>
          <w:p w14:paraId="39EB6916"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106 (5.3%)</w:t>
            </w:r>
          </w:p>
        </w:tc>
      </w:tr>
      <w:tr w:rsidR="0051153E" w:rsidRPr="007B6DF7" w14:paraId="5A93E90C" w14:textId="77777777" w:rsidTr="0028384A">
        <w:trPr>
          <w:trHeight w:val="288"/>
        </w:trPr>
        <w:tc>
          <w:tcPr>
            <w:tcW w:w="2265" w:type="dxa"/>
          </w:tcPr>
          <w:p w14:paraId="7435CFCA" w14:textId="77777777" w:rsidR="0051153E" w:rsidRPr="007B6DF7" w:rsidRDefault="0051153E" w:rsidP="005D7FD5">
            <w:pPr>
              <w:spacing w:beforeLines="20" w:before="48" w:afterLines="20" w:after="48"/>
              <w:ind w:left="411" w:right="40"/>
              <w:rPr>
                <w:rFonts w:cstheme="minorHAnsi"/>
                <w:color w:val="000000"/>
                <w:sz w:val="18"/>
                <w:szCs w:val="18"/>
              </w:rPr>
            </w:pPr>
            <w:r w:rsidRPr="007B6DF7">
              <w:rPr>
                <w:rFonts w:cstheme="minorHAnsi"/>
                <w:color w:val="000000"/>
                <w:sz w:val="18"/>
                <w:szCs w:val="18"/>
              </w:rPr>
              <w:t>Most of the time</w:t>
            </w:r>
          </w:p>
        </w:tc>
        <w:tc>
          <w:tcPr>
            <w:tcW w:w="2837" w:type="dxa"/>
          </w:tcPr>
          <w:p w14:paraId="4F715E36"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300 (30.8%)</w:t>
            </w:r>
          </w:p>
        </w:tc>
        <w:tc>
          <w:tcPr>
            <w:tcW w:w="2836" w:type="dxa"/>
          </w:tcPr>
          <w:p w14:paraId="4B3811C3"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550 (36.2%)</w:t>
            </w:r>
          </w:p>
        </w:tc>
        <w:tc>
          <w:tcPr>
            <w:tcW w:w="1559" w:type="dxa"/>
          </w:tcPr>
          <w:p w14:paraId="410E3F01"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633 (31.4%)</w:t>
            </w:r>
          </w:p>
        </w:tc>
      </w:tr>
      <w:tr w:rsidR="0051153E" w:rsidRPr="007B6DF7" w14:paraId="71E648BC" w14:textId="77777777" w:rsidTr="0028384A">
        <w:trPr>
          <w:trHeight w:val="288"/>
        </w:trPr>
        <w:tc>
          <w:tcPr>
            <w:tcW w:w="2265" w:type="dxa"/>
          </w:tcPr>
          <w:p w14:paraId="77604979" w14:textId="77777777" w:rsidR="0051153E" w:rsidRPr="007B6DF7" w:rsidRDefault="0051153E" w:rsidP="005D7FD5">
            <w:pPr>
              <w:spacing w:beforeLines="20" w:before="48" w:afterLines="20" w:after="48"/>
              <w:ind w:left="411" w:right="40"/>
              <w:rPr>
                <w:rFonts w:cstheme="minorHAnsi"/>
                <w:color w:val="000000"/>
                <w:sz w:val="18"/>
                <w:szCs w:val="18"/>
              </w:rPr>
            </w:pPr>
            <w:r w:rsidRPr="007B6DF7">
              <w:rPr>
                <w:rFonts w:cstheme="minorHAnsi"/>
                <w:color w:val="000000"/>
                <w:sz w:val="18"/>
                <w:szCs w:val="18"/>
              </w:rPr>
              <w:t>Always</w:t>
            </w:r>
          </w:p>
        </w:tc>
        <w:tc>
          <w:tcPr>
            <w:tcW w:w="2837" w:type="dxa"/>
          </w:tcPr>
          <w:p w14:paraId="43EF982C"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516 (53.0%)</w:t>
            </w:r>
          </w:p>
        </w:tc>
        <w:tc>
          <w:tcPr>
            <w:tcW w:w="2836" w:type="dxa"/>
          </w:tcPr>
          <w:p w14:paraId="59ADBB81"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742 (48.8%)</w:t>
            </w:r>
          </w:p>
        </w:tc>
        <w:tc>
          <w:tcPr>
            <w:tcW w:w="1559" w:type="dxa"/>
          </w:tcPr>
          <w:p w14:paraId="78FF36CD"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1,182 (58.6%)</w:t>
            </w:r>
          </w:p>
        </w:tc>
      </w:tr>
      <w:tr w:rsidR="0051153E" w:rsidRPr="007B6DF7" w14:paraId="3D77CA24" w14:textId="77777777" w:rsidTr="0028384A">
        <w:trPr>
          <w:trHeight w:val="288"/>
        </w:trPr>
        <w:tc>
          <w:tcPr>
            <w:tcW w:w="2265" w:type="dxa"/>
          </w:tcPr>
          <w:p w14:paraId="2A8154A7" w14:textId="77777777" w:rsidR="0051153E" w:rsidRPr="007B6DF7" w:rsidRDefault="0051153E" w:rsidP="005D7FD5">
            <w:pPr>
              <w:spacing w:beforeLines="20" w:before="48" w:afterLines="20" w:after="48"/>
              <w:ind w:left="411" w:right="40"/>
              <w:rPr>
                <w:rFonts w:cstheme="minorHAnsi"/>
                <w:color w:val="000000"/>
                <w:sz w:val="18"/>
                <w:szCs w:val="18"/>
              </w:rPr>
            </w:pPr>
            <w:r w:rsidRPr="007B6DF7">
              <w:rPr>
                <w:rFonts w:cstheme="minorHAnsi"/>
                <w:color w:val="000000"/>
                <w:sz w:val="18"/>
                <w:szCs w:val="18"/>
              </w:rPr>
              <w:t>Don't know</w:t>
            </w:r>
          </w:p>
        </w:tc>
        <w:tc>
          <w:tcPr>
            <w:tcW w:w="2837" w:type="dxa"/>
          </w:tcPr>
          <w:p w14:paraId="3E9943FD"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16 (1.6%)</w:t>
            </w:r>
          </w:p>
        </w:tc>
        <w:tc>
          <w:tcPr>
            <w:tcW w:w="2836" w:type="dxa"/>
          </w:tcPr>
          <w:p w14:paraId="18D21907"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24 (1.6%)</w:t>
            </w:r>
          </w:p>
        </w:tc>
        <w:tc>
          <w:tcPr>
            <w:tcW w:w="1559" w:type="dxa"/>
          </w:tcPr>
          <w:p w14:paraId="4F16EC65" w14:textId="77777777" w:rsidR="0051153E" w:rsidRPr="007B6DF7" w:rsidRDefault="0051153E" w:rsidP="005D7FD5">
            <w:pPr>
              <w:spacing w:beforeLines="20" w:before="48" w:afterLines="20" w:after="48"/>
              <w:ind w:left="40" w:right="40"/>
              <w:jc w:val="center"/>
              <w:rPr>
                <w:rFonts w:cstheme="minorHAnsi"/>
                <w:color w:val="000000"/>
                <w:sz w:val="18"/>
                <w:szCs w:val="18"/>
              </w:rPr>
            </w:pPr>
            <w:r w:rsidRPr="007B6DF7">
              <w:rPr>
                <w:rFonts w:cstheme="minorHAnsi"/>
                <w:color w:val="000000"/>
                <w:sz w:val="18"/>
                <w:szCs w:val="18"/>
              </w:rPr>
              <w:t>24 (1.2%)</w:t>
            </w:r>
          </w:p>
        </w:tc>
      </w:tr>
    </w:tbl>
    <w:p w14:paraId="723D8DF7" w14:textId="32316E6D" w:rsidR="00E364DA" w:rsidRPr="005E433C" w:rsidRDefault="00E364DA" w:rsidP="0051153E">
      <w:pPr>
        <w:jc w:val="center"/>
        <w:rPr>
          <w:i/>
          <w:sz w:val="16"/>
          <w:szCs w:val="16"/>
          <w:lang w:eastAsia="en-AU"/>
        </w:rPr>
      </w:pPr>
      <w:r w:rsidRPr="004F63E7">
        <w:rPr>
          <w:rFonts w:eastAsia="Calibri" w:cs="Times New Roman"/>
          <w:i/>
          <w:sz w:val="16"/>
          <w:szCs w:val="18"/>
        </w:rPr>
        <w:t xml:space="preserve">Source: </w:t>
      </w:r>
      <w:r>
        <w:rPr>
          <w:rFonts w:eastAsia="Calibri" w:cs="Times New Roman"/>
          <w:i/>
          <w:sz w:val="16"/>
          <w:szCs w:val="18"/>
        </w:rPr>
        <w:t>Patient</w:t>
      </w:r>
      <w:r w:rsidRPr="004F63E7">
        <w:rPr>
          <w:rFonts w:eastAsia="Calibri" w:cs="Times New Roman"/>
          <w:i/>
          <w:sz w:val="16"/>
          <w:szCs w:val="18"/>
        </w:rPr>
        <w:t xml:space="preserve"> survey </w:t>
      </w:r>
      <w:r>
        <w:rPr>
          <w:rFonts w:eastAsia="Calibri" w:cs="Times New Roman"/>
          <w:i/>
          <w:sz w:val="16"/>
          <w:szCs w:val="18"/>
        </w:rPr>
        <w:t>Wave 1</w:t>
      </w:r>
      <w:r w:rsidRPr="004F63E7">
        <w:rPr>
          <w:rFonts w:eastAsia="Calibri" w:cs="Times New Roman"/>
          <w:i/>
          <w:sz w:val="16"/>
          <w:szCs w:val="18"/>
        </w:rPr>
        <w:t xml:space="preserve">, </w:t>
      </w:r>
      <w:r w:rsidRPr="00DB6C01">
        <w:rPr>
          <w:rFonts w:eastAsia="Calibri" w:cs="Times New Roman"/>
          <w:i/>
          <w:sz w:val="16"/>
          <w:szCs w:val="18"/>
        </w:rPr>
        <w:t>Dec 2017–Mar 2019</w:t>
      </w:r>
      <w:r>
        <w:rPr>
          <w:rFonts w:eastAsia="Calibri" w:cs="Times New Roman"/>
          <w:i/>
          <w:sz w:val="16"/>
          <w:szCs w:val="18"/>
        </w:rPr>
        <w:t>.</w:t>
      </w:r>
    </w:p>
    <w:p w14:paraId="0C2C0BF7" w14:textId="77777777" w:rsidR="0051153E" w:rsidRDefault="0051153E" w:rsidP="0051153E">
      <w:pPr>
        <w:rPr>
          <w:lang w:eastAsia="en-AU"/>
        </w:rPr>
      </w:pPr>
      <w:r>
        <w:rPr>
          <w:lang w:eastAsia="en-AU"/>
        </w:rPr>
        <w:t>Patient interviews revealed that the frequency of their visits often aligned with the severity of their condition(s). Interviewees reported attending their practice as little as once a year to as frequently as every few weeks. Several interviewees cited visiting more frequently for routine blood testing, INR testing, weight management services, diabetes checks and prescription refills:</w:t>
      </w:r>
    </w:p>
    <w:p w14:paraId="10D3B5E9" w14:textId="77777777" w:rsidR="0051153E" w:rsidRPr="004375B8" w:rsidRDefault="0051153E" w:rsidP="0051153E">
      <w:pPr>
        <w:ind w:left="567" w:right="521"/>
        <w:rPr>
          <w:lang w:eastAsia="en-AU"/>
        </w:rPr>
      </w:pPr>
      <w:r w:rsidRPr="003614D6">
        <w:rPr>
          <w:i/>
          <w:iCs/>
          <w:lang w:eastAsia="en-AU"/>
        </w:rPr>
        <w:t>“Twelve months…Every twelve months.”</w:t>
      </w:r>
      <w:r w:rsidRPr="004375B8">
        <w:rPr>
          <w:lang w:eastAsia="en-AU"/>
        </w:rPr>
        <w:t xml:space="preserve"> [Patient 7, Practice 16, R2]</w:t>
      </w:r>
    </w:p>
    <w:p w14:paraId="24F66172" w14:textId="77777777" w:rsidR="0051153E" w:rsidRDefault="0051153E" w:rsidP="0051153E">
      <w:pPr>
        <w:ind w:left="567" w:right="521"/>
        <w:rPr>
          <w:lang w:eastAsia="en-AU"/>
        </w:rPr>
      </w:pPr>
      <w:r w:rsidRPr="002C2751">
        <w:rPr>
          <w:i/>
          <w:iCs/>
          <w:lang w:eastAsia="en-AU"/>
        </w:rPr>
        <w:t>“Well because of the INR, it’s once a month. So, I’m there once a month, but if there’s a couple of times there, it might be two or three times a month, just depending on what was going on with me.”</w:t>
      </w:r>
      <w:r>
        <w:rPr>
          <w:lang w:eastAsia="en-AU"/>
        </w:rPr>
        <w:t xml:space="preserve"> [Patient 1, Practice 9, R2]</w:t>
      </w:r>
    </w:p>
    <w:p w14:paraId="1B0515ED" w14:textId="77777777" w:rsidR="0051153E" w:rsidRDefault="0051153E" w:rsidP="0051153E">
      <w:pPr>
        <w:rPr>
          <w:lang w:eastAsia="en-AU"/>
        </w:rPr>
      </w:pPr>
      <w:r>
        <w:rPr>
          <w:lang w:eastAsia="en-AU"/>
        </w:rPr>
        <w:t>Some patients reported short waiting times and little to no trouble scheduling an appointment at their practices:</w:t>
      </w:r>
    </w:p>
    <w:p w14:paraId="2D26F1D3" w14:textId="77777777" w:rsidR="0051153E" w:rsidRPr="009D5A6C" w:rsidRDefault="0051153E" w:rsidP="0051153E">
      <w:pPr>
        <w:ind w:left="567" w:right="521"/>
        <w:rPr>
          <w:lang w:eastAsia="en-AU"/>
        </w:rPr>
      </w:pPr>
      <w:r w:rsidRPr="009D5A6C">
        <w:rPr>
          <w:i/>
          <w:iCs/>
          <w:lang w:eastAsia="en-AU"/>
        </w:rPr>
        <w:t>“They've got good service. They ring up the day before you have got an appointment.” </w:t>
      </w:r>
      <w:r w:rsidRPr="009D5A6C">
        <w:rPr>
          <w:lang w:eastAsia="en-AU"/>
        </w:rPr>
        <w:t>[Patient 2, Practice 1, R2] </w:t>
      </w:r>
    </w:p>
    <w:p w14:paraId="4A18057E" w14:textId="77777777" w:rsidR="0051153E" w:rsidRPr="00D51015" w:rsidRDefault="0051153E" w:rsidP="0051153E">
      <w:r>
        <w:rPr>
          <w:lang w:eastAsia="en-AU"/>
        </w:rPr>
        <w:t>Others reported issues with long waiting times before consultations or difficulties</w:t>
      </w:r>
      <w:r>
        <w:t xml:space="preserve"> seeing their GP on short notice. </w:t>
      </w:r>
      <w:r w:rsidRPr="002758C2">
        <w:t>S</w:t>
      </w:r>
      <w:r>
        <w:t>ome</w:t>
      </w:r>
      <w:r w:rsidRPr="002758C2">
        <w:t xml:space="preserve"> patients often felt reflected their doctor’s attentiveness and diligence in caring for their patients, but other</w:t>
      </w:r>
      <w:r>
        <w:t xml:space="preserve">s </w:t>
      </w:r>
      <w:r w:rsidRPr="002758C2">
        <w:t>described this as a drawback in attending their practice: </w:t>
      </w:r>
    </w:p>
    <w:p w14:paraId="16978473" w14:textId="77777777" w:rsidR="0051153E" w:rsidRPr="00524FCF" w:rsidRDefault="0051153E" w:rsidP="0051153E">
      <w:pPr>
        <w:ind w:left="567" w:right="521"/>
        <w:rPr>
          <w:lang w:eastAsia="en-AU"/>
        </w:rPr>
      </w:pPr>
      <w:r w:rsidRPr="00D87D90">
        <w:rPr>
          <w:i/>
          <w:iCs/>
          <w:lang w:eastAsia="en-AU"/>
        </w:rPr>
        <w:lastRenderedPageBreak/>
        <w:t>“…you can sit there for three or four hours sometimes waiting to get in to see the doctor. Seems to be a long time just to wait to see a doctor. You’ve got to make an appointment say 3 o’ clock, you don’t need to make 3:45 pm, 5 o’ clock sometimes…Very annoying.”</w:t>
      </w:r>
      <w:r w:rsidRPr="00D87D90">
        <w:rPr>
          <w:lang w:eastAsia="en-AU"/>
        </w:rPr>
        <w:t> [Patient 2, Practice 3, R2] </w:t>
      </w:r>
    </w:p>
    <w:p w14:paraId="352E87F8" w14:textId="1AC0E046" w:rsidR="0002357B" w:rsidRDefault="0002357B" w:rsidP="0002357B">
      <w:pPr>
        <w:rPr>
          <w:lang w:eastAsia="en-AU"/>
        </w:rPr>
      </w:pPr>
      <w:r w:rsidRPr="00784E54">
        <w:rPr>
          <w:lang w:eastAsia="en-AU"/>
        </w:rPr>
        <w:t>Patients frequently cited increased access to the practice via telephone or email as one of the ma</w:t>
      </w:r>
      <w:r>
        <w:rPr>
          <w:lang w:eastAsia="en-AU"/>
        </w:rPr>
        <w:t>in</w:t>
      </w:r>
      <w:r w:rsidRPr="00784E54">
        <w:rPr>
          <w:lang w:eastAsia="en-AU"/>
        </w:rPr>
        <w:t xml:space="preserve"> benefits of HCH. Some patients stated this was the only change they noticed with being enrolled in HCH. Increased access often included the ability to request routine prescriptions or referrals over the phone without having to make an appointment with their GP. Some patients also reported being able to ring the practice nurse, HCH coordinator or doctor if they had any questions or concerns, which put them at ease and helped them manage their condition more effectively</w:t>
      </w:r>
      <w:r>
        <w:rPr>
          <w:lang w:eastAsia="en-AU"/>
        </w:rPr>
        <w:t xml:space="preserve">. Others stated that being </w:t>
      </w:r>
      <w:r w:rsidR="00DB1BD7">
        <w:rPr>
          <w:lang w:eastAsia="en-AU"/>
        </w:rPr>
        <w:t>a HCH</w:t>
      </w:r>
      <w:r>
        <w:rPr>
          <w:lang w:eastAsia="en-AU"/>
        </w:rPr>
        <w:t xml:space="preserve"> patient meant that they were prioritised for appointments</w:t>
      </w:r>
      <w:r w:rsidRPr="00784E54">
        <w:rPr>
          <w:lang w:eastAsia="en-AU"/>
        </w:rPr>
        <w:t>:</w:t>
      </w:r>
    </w:p>
    <w:p w14:paraId="24DE09D6" w14:textId="2B70FBE9" w:rsidR="00D410E9" w:rsidRDefault="00D410E9" w:rsidP="00D410E9">
      <w:pPr>
        <w:ind w:left="567" w:right="521"/>
        <w:rPr>
          <w:i/>
          <w:iCs/>
          <w:lang w:eastAsia="en-AU"/>
        </w:rPr>
      </w:pPr>
      <w:r>
        <w:rPr>
          <w:i/>
          <w:iCs/>
          <w:lang w:eastAsia="en-AU"/>
        </w:rPr>
        <w:t>“</w:t>
      </w:r>
      <w:r w:rsidRPr="00D410E9">
        <w:rPr>
          <w:i/>
          <w:iCs/>
          <w:lang w:eastAsia="en-AU"/>
        </w:rPr>
        <w:t xml:space="preserve">…it was helpful because it was reassuring. So, it's reassuring, and reassurance is a big part of it all.” </w:t>
      </w:r>
      <w:r w:rsidRPr="002528F7">
        <w:rPr>
          <w:lang w:eastAsia="en-AU"/>
        </w:rPr>
        <w:t>[Patient 1, Practice 6, R5]</w:t>
      </w:r>
      <w:r w:rsidRPr="00D410E9">
        <w:rPr>
          <w:i/>
          <w:iCs/>
          <w:lang w:eastAsia="en-AU"/>
        </w:rPr>
        <w:t xml:space="preserve"> </w:t>
      </w:r>
    </w:p>
    <w:p w14:paraId="55231680" w14:textId="39058C24" w:rsidR="0002357B" w:rsidRDefault="0002357B" w:rsidP="00D410E9">
      <w:pPr>
        <w:ind w:left="567" w:right="521"/>
        <w:rPr>
          <w:lang w:eastAsia="en-AU"/>
        </w:rPr>
      </w:pPr>
      <w:r w:rsidRPr="00824978">
        <w:rPr>
          <w:i/>
          <w:iCs/>
          <w:lang w:eastAsia="en-AU"/>
        </w:rPr>
        <w:t>“I've just rung them and, you know, just to like, oh, you know, well this is where we are with [him] and he's getting close to his transplant, things like that. So</w:t>
      </w:r>
      <w:r>
        <w:rPr>
          <w:i/>
          <w:iCs/>
          <w:lang w:eastAsia="en-AU"/>
        </w:rPr>
        <w:t>,</w:t>
      </w:r>
      <w:r w:rsidRPr="00824978">
        <w:rPr>
          <w:i/>
          <w:iCs/>
          <w:lang w:eastAsia="en-AU"/>
        </w:rPr>
        <w:t xml:space="preserve"> quite often I don't even have to go in now. I can just ring them on the phone and speak to them.”</w:t>
      </w:r>
      <w:r w:rsidRPr="00E04316">
        <w:rPr>
          <w:lang w:eastAsia="en-AU"/>
        </w:rPr>
        <w:t xml:space="preserve"> [Carer, Practice 4, R2]</w:t>
      </w:r>
    </w:p>
    <w:p w14:paraId="3E230B6F" w14:textId="77777777" w:rsidR="0002357B" w:rsidRDefault="0002357B" w:rsidP="00D410E9">
      <w:pPr>
        <w:ind w:left="567" w:right="521"/>
        <w:rPr>
          <w:lang w:eastAsia="en-AU"/>
        </w:rPr>
      </w:pPr>
      <w:r w:rsidRPr="00824978">
        <w:rPr>
          <w:i/>
          <w:iCs/>
          <w:lang w:eastAsia="en-AU"/>
        </w:rPr>
        <w:t>“… the beauty of what this Homes Health, however you say it, is that I can just ring up, it’s very hard to get in to our doctors, you might wait two or three weeks to get in to a doctor, because it’s pretty full on out there, and I ring up [nurse] who coordinates all that and she just says, yes, you need to see the doctor or they will come and see you. It’s been really helpful to me and my wife.”</w:t>
      </w:r>
      <w:r w:rsidRPr="00824978">
        <w:rPr>
          <w:lang w:eastAsia="en-AU"/>
        </w:rPr>
        <w:t xml:space="preserve"> [Patient 1, Practice </w:t>
      </w:r>
      <w:r>
        <w:rPr>
          <w:lang w:eastAsia="en-AU"/>
        </w:rPr>
        <w:t>24, R4</w:t>
      </w:r>
      <w:r w:rsidRPr="00824978">
        <w:rPr>
          <w:lang w:eastAsia="en-AU"/>
        </w:rPr>
        <w:t xml:space="preserve">] </w:t>
      </w:r>
    </w:p>
    <w:p w14:paraId="617A807B" w14:textId="77777777" w:rsidR="0002357B" w:rsidRDefault="0002357B" w:rsidP="00D410E9">
      <w:pPr>
        <w:ind w:left="567" w:right="521"/>
        <w:rPr>
          <w:lang w:eastAsia="en-AU"/>
        </w:rPr>
      </w:pPr>
      <w:r w:rsidRPr="00C63F3B">
        <w:rPr>
          <w:i/>
          <w:iCs/>
          <w:lang w:eastAsia="en-AU"/>
        </w:rPr>
        <w:t>“…just being able to contact them at any given moment. If I'm urgently requiring a script, I'll have the script within the case of an afternoon. If there's a problem, they'll fax it straight over to my chemist. So I've just got to go straight to the chemist and pick it up. Anything that I've asked them to do, they are quite willing to do it.”</w:t>
      </w:r>
      <w:r>
        <w:rPr>
          <w:lang w:eastAsia="en-AU"/>
        </w:rPr>
        <w:t xml:space="preserve"> [Patient 1, Practice 6, R5]</w:t>
      </w:r>
    </w:p>
    <w:p w14:paraId="75D98B08" w14:textId="77777777" w:rsidR="00987B4B" w:rsidRDefault="00987B4B">
      <w:pPr>
        <w:spacing w:after="160" w:line="259" w:lineRule="auto"/>
        <w:rPr>
          <w:rFonts w:ascii="Roboto Slab" w:eastAsiaTheme="majorEastAsia" w:hAnsi="Roboto Slab" w:cstheme="majorBidi"/>
          <w:color w:val="408BCA"/>
          <w:sz w:val="24"/>
          <w:szCs w:val="24"/>
          <w:lang w:eastAsia="en-AU"/>
        </w:rPr>
      </w:pPr>
      <w:r>
        <w:rPr>
          <w:lang w:eastAsia="en-AU"/>
        </w:rPr>
        <w:br w:type="page"/>
      </w:r>
    </w:p>
    <w:p w14:paraId="1A8283C8" w14:textId="6BD2176C" w:rsidR="006A1EAB" w:rsidRDefault="006A1EAB" w:rsidP="00F26477">
      <w:pPr>
        <w:pStyle w:val="Heading3"/>
        <w:rPr>
          <w:lang w:eastAsia="en-AU"/>
        </w:rPr>
      </w:pPr>
      <w:r>
        <w:rPr>
          <w:lang w:eastAsia="en-AU"/>
        </w:rPr>
        <w:lastRenderedPageBreak/>
        <w:t>Chronic disease management</w:t>
      </w:r>
    </w:p>
    <w:p w14:paraId="7F7E0817" w14:textId="724832D5" w:rsidR="00F26477" w:rsidRDefault="00F26477" w:rsidP="00F26477">
      <w:pPr>
        <w:pStyle w:val="Heading4"/>
        <w:rPr>
          <w:lang w:eastAsia="en-AU"/>
        </w:rPr>
      </w:pPr>
      <w:r>
        <w:rPr>
          <w:lang w:eastAsia="en-AU"/>
        </w:rPr>
        <w:t>Patient survey results</w:t>
      </w:r>
    </w:p>
    <w:p w14:paraId="413606D1" w14:textId="7D9EF3EC" w:rsidR="005A60E1" w:rsidRDefault="006A1EAB" w:rsidP="002D02AE">
      <w:r w:rsidRPr="00D34C6F">
        <w:rPr>
          <w:lang w:eastAsia="en-AU"/>
        </w:rPr>
        <w:t>In the</w:t>
      </w:r>
      <w:r>
        <w:rPr>
          <w:lang w:eastAsia="en-AU"/>
        </w:rPr>
        <w:t xml:space="preserve"> </w:t>
      </w:r>
      <w:r w:rsidR="002D02AE">
        <w:rPr>
          <w:lang w:eastAsia="en-AU"/>
        </w:rPr>
        <w:t>w</w:t>
      </w:r>
      <w:r w:rsidR="007F5A70">
        <w:rPr>
          <w:lang w:eastAsia="en-AU"/>
        </w:rPr>
        <w:t xml:space="preserve">ave 1 </w:t>
      </w:r>
      <w:r>
        <w:rPr>
          <w:lang w:eastAsia="en-AU"/>
        </w:rPr>
        <w:t xml:space="preserve">patient </w:t>
      </w:r>
      <w:r w:rsidRPr="00D34C6F">
        <w:rPr>
          <w:lang w:eastAsia="en-AU"/>
        </w:rPr>
        <w:t xml:space="preserve">survey, </w:t>
      </w:r>
      <w:r w:rsidR="00376EBA">
        <w:rPr>
          <w:lang w:eastAsia="en-AU"/>
        </w:rPr>
        <w:t>patients</w:t>
      </w:r>
      <w:r>
        <w:rPr>
          <w:lang w:eastAsia="en-AU"/>
        </w:rPr>
        <w:t xml:space="preserve"> </w:t>
      </w:r>
      <w:r w:rsidRPr="00D34C6F">
        <w:rPr>
          <w:lang w:eastAsia="en-AU"/>
        </w:rPr>
        <w:t xml:space="preserve">were also asked questions </w:t>
      </w:r>
      <w:r w:rsidR="002D02AE">
        <w:rPr>
          <w:lang w:eastAsia="en-AU"/>
        </w:rPr>
        <w:t>from</w:t>
      </w:r>
      <w:r w:rsidRPr="00D34C6F">
        <w:rPr>
          <w:lang w:eastAsia="en-AU"/>
        </w:rPr>
        <w:t xml:space="preserve"> the Patient </w:t>
      </w:r>
      <w:r w:rsidR="002D02AE" w:rsidRPr="00D34C6F">
        <w:rPr>
          <w:lang w:eastAsia="en-AU"/>
        </w:rPr>
        <w:t xml:space="preserve">Assessment </w:t>
      </w:r>
      <w:r w:rsidR="002D02AE">
        <w:rPr>
          <w:lang w:eastAsia="en-AU"/>
        </w:rPr>
        <w:t>o</w:t>
      </w:r>
      <w:r w:rsidR="002D02AE" w:rsidRPr="00D34C6F">
        <w:rPr>
          <w:lang w:eastAsia="en-AU"/>
        </w:rPr>
        <w:t xml:space="preserve">f Chronic Illness Care </w:t>
      </w:r>
      <w:r w:rsidRPr="00D34C6F">
        <w:rPr>
          <w:lang w:eastAsia="en-AU"/>
        </w:rPr>
        <w:t>(PACIC) instrument</w:t>
      </w:r>
      <w:r w:rsidR="00182559">
        <w:rPr>
          <w:lang w:eastAsia="en-AU"/>
        </w:rPr>
        <w:t xml:space="preserve">. </w:t>
      </w:r>
      <w:r w:rsidR="00182559">
        <w:t xml:space="preserve">The PACIC </w:t>
      </w:r>
      <w:r w:rsidR="00376EBA">
        <w:t>i</w:t>
      </w:r>
      <w:r w:rsidR="00182559">
        <w:t>s designed to assess the implementation of the chronic care model from the patient perspective</w:t>
      </w:r>
      <w:r w:rsidR="002D02AE">
        <w:t>.</w:t>
      </w:r>
      <w:r w:rsidRPr="002D02AE">
        <w:rPr>
          <w:rStyle w:val="FootnoteReference"/>
          <w:color w:val="408BCA"/>
          <w:lang w:eastAsia="en-AU"/>
        </w:rPr>
        <w:footnoteReference w:id="78"/>
      </w:r>
      <w:r w:rsidRPr="002D02AE">
        <w:rPr>
          <w:color w:val="408BCA"/>
          <w:vertAlign w:val="superscript"/>
          <w:lang w:eastAsia="en-AU"/>
        </w:rPr>
        <w:t>,</w:t>
      </w:r>
      <w:r w:rsidRPr="002D02AE">
        <w:rPr>
          <w:rStyle w:val="FootnoteReference"/>
          <w:color w:val="408BCA"/>
          <w:lang w:eastAsia="en-AU"/>
        </w:rPr>
        <w:footnoteReference w:id="79"/>
      </w:r>
      <w:r w:rsidRPr="002D02AE">
        <w:rPr>
          <w:color w:val="408BCA"/>
          <w:vertAlign w:val="superscript"/>
          <w:lang w:eastAsia="en-AU"/>
        </w:rPr>
        <w:t>,</w:t>
      </w:r>
      <w:r w:rsidRPr="002D02AE">
        <w:rPr>
          <w:rStyle w:val="FootnoteReference"/>
          <w:color w:val="408BCA"/>
          <w:lang w:eastAsia="en-AU"/>
        </w:rPr>
        <w:footnoteReference w:id="80"/>
      </w:r>
      <w:r w:rsidRPr="00D34C6F">
        <w:rPr>
          <w:lang w:eastAsia="en-AU"/>
        </w:rPr>
        <w:t xml:space="preserve"> </w:t>
      </w:r>
      <w:r w:rsidR="005A60E1">
        <w:t xml:space="preserve">It focuses on the </w:t>
      </w:r>
      <w:bookmarkStart w:id="329" w:name="_Hlk99204351"/>
      <w:r w:rsidR="005A60E1">
        <w:t xml:space="preserve">patient’s perspective of the receipt of patient-centred care and </w:t>
      </w:r>
      <w:bookmarkEnd w:id="329"/>
      <w:r w:rsidR="00D31510" w:rsidRPr="00D31510">
        <w:t>cultivation of self-management behaviours</w:t>
      </w:r>
      <w:r w:rsidR="00D31510">
        <w:t xml:space="preserve"> across </w:t>
      </w:r>
      <w:r w:rsidR="00DC4F4B">
        <w:t>five domains</w:t>
      </w:r>
      <w:r w:rsidR="005A60E1">
        <w:t>:</w:t>
      </w:r>
    </w:p>
    <w:p w14:paraId="50B06959" w14:textId="77777777" w:rsidR="005A60E1" w:rsidRPr="00B11503" w:rsidRDefault="005A60E1" w:rsidP="00BB7C8D">
      <w:pPr>
        <w:pStyle w:val="ListParagraph"/>
        <w:numPr>
          <w:ilvl w:val="0"/>
          <w:numId w:val="55"/>
        </w:numPr>
      </w:pPr>
      <w:r>
        <w:t>p</w:t>
      </w:r>
      <w:r w:rsidRPr="00B11503">
        <w:t xml:space="preserve">atient activation score </w:t>
      </w:r>
    </w:p>
    <w:p w14:paraId="1AC66AFA" w14:textId="77777777" w:rsidR="005A60E1" w:rsidRPr="00B11503" w:rsidRDefault="005A60E1" w:rsidP="00BB7C8D">
      <w:pPr>
        <w:pStyle w:val="ListParagraph"/>
        <w:numPr>
          <w:ilvl w:val="0"/>
          <w:numId w:val="55"/>
        </w:numPr>
      </w:pPr>
      <w:r>
        <w:t>d</w:t>
      </w:r>
      <w:r w:rsidRPr="00B11503">
        <w:t>ecision support score</w:t>
      </w:r>
    </w:p>
    <w:p w14:paraId="4902C506" w14:textId="77777777" w:rsidR="005A60E1" w:rsidRPr="00B11503" w:rsidRDefault="005A60E1" w:rsidP="00BB7C8D">
      <w:pPr>
        <w:pStyle w:val="ListParagraph"/>
        <w:numPr>
          <w:ilvl w:val="0"/>
          <w:numId w:val="55"/>
        </w:numPr>
      </w:pPr>
      <w:r>
        <w:t>g</w:t>
      </w:r>
      <w:r w:rsidRPr="00B11503">
        <w:t>oal setting score</w:t>
      </w:r>
    </w:p>
    <w:p w14:paraId="0A4D469B" w14:textId="77777777" w:rsidR="005A60E1" w:rsidRPr="00B11503" w:rsidRDefault="005A60E1" w:rsidP="00BB7C8D">
      <w:pPr>
        <w:pStyle w:val="ListParagraph"/>
        <w:numPr>
          <w:ilvl w:val="0"/>
          <w:numId w:val="55"/>
        </w:numPr>
      </w:pPr>
      <w:r>
        <w:t>p</w:t>
      </w:r>
      <w:r w:rsidRPr="00B11503">
        <w:t>roblem solving score</w:t>
      </w:r>
    </w:p>
    <w:p w14:paraId="00A29DD9" w14:textId="6F55A7A3" w:rsidR="00EF213A" w:rsidRDefault="005A60E1" w:rsidP="00BB7C8D">
      <w:pPr>
        <w:pStyle w:val="ListParagraph"/>
        <w:numPr>
          <w:ilvl w:val="0"/>
          <w:numId w:val="55"/>
        </w:numPr>
        <w:ind w:left="714" w:hanging="357"/>
        <w:contextualSpacing w:val="0"/>
      </w:pPr>
      <w:r>
        <w:t>f</w:t>
      </w:r>
      <w:r w:rsidRPr="00B11503">
        <w:t>ollow-up/ co-ordination score</w:t>
      </w:r>
    </w:p>
    <w:p w14:paraId="2911430C" w14:textId="56ADC1C5" w:rsidR="009D3AD2" w:rsidRDefault="00D31510" w:rsidP="002D02AE">
      <w:r>
        <w:t xml:space="preserve">The 12-item version of the tool was used in the evaluation. </w:t>
      </w:r>
      <w:r w:rsidR="00936EC4">
        <w:t xml:space="preserve">Responses for each question </w:t>
      </w:r>
      <w:r w:rsidR="005860F8">
        <w:t>are on a five-point scale from 1 (none of the time) to 5 (always)</w:t>
      </w:r>
      <w:r w:rsidR="001E4891">
        <w:t>. For this analysis these were treated as numerical values and</w:t>
      </w:r>
      <w:r w:rsidR="00771BC2">
        <w:t xml:space="preserve"> averaged across question</w:t>
      </w:r>
      <w:r w:rsidR="00ED35DE">
        <w:t>s</w:t>
      </w:r>
      <w:r w:rsidR="00771BC2">
        <w:t xml:space="preserve"> to generate a</w:t>
      </w:r>
      <w:r w:rsidR="00EC2657">
        <w:t xml:space="preserve"> score for each dimension</w:t>
      </w:r>
      <w:r w:rsidR="00936EC4">
        <w:t xml:space="preserve">. </w:t>
      </w:r>
      <w:r w:rsidR="00150096">
        <w:t xml:space="preserve">Details tables describing responses </w:t>
      </w:r>
      <w:r w:rsidR="00C97D64">
        <w:t xml:space="preserve">to each item in the PACIC are </w:t>
      </w:r>
      <w:r w:rsidR="00112D2F">
        <w:t>available in Volume 3</w:t>
      </w:r>
      <w:r w:rsidR="00A150B9">
        <w:t xml:space="preserve"> </w:t>
      </w:r>
      <w:r w:rsidR="009C2747">
        <w:t>Appendix</w:t>
      </w:r>
      <w:r w:rsidR="00A150B9">
        <w:t xml:space="preserve"> 7</w:t>
      </w:r>
      <w:r w:rsidR="009C2747">
        <w:t>.</w:t>
      </w:r>
      <w:r w:rsidR="00936EC4">
        <w:t xml:space="preserve"> </w:t>
      </w:r>
    </w:p>
    <w:p w14:paraId="613DEAF6" w14:textId="4D63A20D" w:rsidR="006A1EAB" w:rsidRPr="00D34C6F" w:rsidRDefault="006A1EAB" w:rsidP="002D02AE">
      <w:pPr>
        <w:rPr>
          <w:lang w:eastAsia="en-AU"/>
        </w:rPr>
      </w:pPr>
      <w:r w:rsidRPr="00D34C6F">
        <w:rPr>
          <w:lang w:eastAsia="en-AU"/>
        </w:rPr>
        <w:t>The responses to the</w:t>
      </w:r>
      <w:r w:rsidR="00704670">
        <w:rPr>
          <w:lang w:eastAsia="en-AU"/>
        </w:rPr>
        <w:t xml:space="preserve"> PACI</w:t>
      </w:r>
      <w:r w:rsidR="008E3EE6">
        <w:rPr>
          <w:lang w:eastAsia="en-AU"/>
        </w:rPr>
        <w:t>C</w:t>
      </w:r>
      <w:r w:rsidR="00704670">
        <w:rPr>
          <w:lang w:eastAsia="en-AU"/>
        </w:rPr>
        <w:t xml:space="preserve"> items for the </w:t>
      </w:r>
      <w:r w:rsidR="00227B09">
        <w:rPr>
          <w:lang w:eastAsia="en-AU"/>
        </w:rPr>
        <w:t>w</w:t>
      </w:r>
      <w:r w:rsidR="00704670">
        <w:rPr>
          <w:lang w:eastAsia="en-AU"/>
        </w:rPr>
        <w:t xml:space="preserve">ave 3 respondents </w:t>
      </w:r>
      <w:r w:rsidRPr="00D34C6F">
        <w:rPr>
          <w:lang w:eastAsia="en-AU"/>
        </w:rPr>
        <w:t xml:space="preserve">are summarised in </w:t>
      </w:r>
      <w:r w:rsidRPr="006524FD">
        <w:rPr>
          <w:rFonts w:eastAsia="Calibri" w:cs="Times New Roman"/>
          <w:color w:val="1D2455"/>
          <w:szCs w:val="16"/>
        </w:rPr>
        <w:fldChar w:fldCharType="begin"/>
      </w:r>
      <w:r w:rsidRPr="006524FD">
        <w:rPr>
          <w:rFonts w:eastAsia="Calibri" w:cs="Times New Roman"/>
          <w:color w:val="1D2455"/>
          <w:szCs w:val="16"/>
        </w:rPr>
        <w:instrText xml:space="preserve"> REF _Ref77941590 \h  \* MERGEFORMAT </w:instrText>
      </w:r>
      <w:r w:rsidRPr="006524FD">
        <w:rPr>
          <w:rFonts w:eastAsia="Calibri" w:cs="Times New Roman"/>
          <w:color w:val="1D2455"/>
          <w:szCs w:val="16"/>
        </w:rPr>
      </w:r>
      <w:r w:rsidRPr="006524FD">
        <w:rPr>
          <w:rFonts w:eastAsia="Calibri" w:cs="Times New Roman"/>
          <w:color w:val="1D2455"/>
          <w:szCs w:val="16"/>
        </w:rPr>
        <w:fldChar w:fldCharType="separate"/>
      </w:r>
      <w:r w:rsidR="003C4BC2" w:rsidRPr="003C4BC2">
        <w:rPr>
          <w:rFonts w:eastAsia="Calibri" w:cs="Times New Roman"/>
          <w:color w:val="1D2455"/>
          <w:szCs w:val="16"/>
        </w:rPr>
        <w:t>Figure 46</w:t>
      </w:r>
      <w:r w:rsidRPr="006524FD">
        <w:rPr>
          <w:rFonts w:eastAsia="Calibri" w:cs="Times New Roman"/>
          <w:color w:val="1D2455"/>
          <w:szCs w:val="16"/>
        </w:rPr>
        <w:fldChar w:fldCharType="end"/>
      </w:r>
      <w:r w:rsidRPr="00D34C6F">
        <w:rPr>
          <w:lang w:eastAsia="en-AU"/>
        </w:rPr>
        <w:t xml:space="preserve">. HCH patients reported that features of care that most commonly occurred </w:t>
      </w:r>
      <w:r w:rsidR="00CA495C">
        <w:rPr>
          <w:lang w:eastAsia="en-AU"/>
        </w:rPr>
        <w:t>“</w:t>
      </w:r>
      <w:r w:rsidRPr="00D34C6F">
        <w:rPr>
          <w:lang w:eastAsia="en-AU"/>
        </w:rPr>
        <w:t>always</w:t>
      </w:r>
      <w:r w:rsidR="00CA495C">
        <w:rPr>
          <w:lang w:eastAsia="en-AU"/>
        </w:rPr>
        <w:t>”</w:t>
      </w:r>
      <w:r w:rsidRPr="00D34C6F">
        <w:rPr>
          <w:lang w:eastAsia="en-AU"/>
        </w:rPr>
        <w:t xml:space="preserve"> or </w:t>
      </w:r>
      <w:r w:rsidR="00CA495C">
        <w:rPr>
          <w:lang w:eastAsia="en-AU"/>
        </w:rPr>
        <w:t>“</w:t>
      </w:r>
      <w:r w:rsidRPr="00D34C6F">
        <w:rPr>
          <w:lang w:eastAsia="en-AU"/>
        </w:rPr>
        <w:t>most of the time</w:t>
      </w:r>
      <w:r w:rsidR="00CA495C">
        <w:rPr>
          <w:lang w:eastAsia="en-AU"/>
        </w:rPr>
        <w:t>”</w:t>
      </w:r>
      <w:r w:rsidRPr="00D34C6F">
        <w:rPr>
          <w:lang w:eastAsia="en-AU"/>
        </w:rPr>
        <w:t xml:space="preserve"> were that the patient was:</w:t>
      </w:r>
    </w:p>
    <w:p w14:paraId="69614365" w14:textId="43D659C7" w:rsidR="00386ED6" w:rsidRPr="00D34C6F" w:rsidRDefault="00CA495C" w:rsidP="002D02AE">
      <w:pPr>
        <w:pStyle w:val="ListParagraph"/>
        <w:numPr>
          <w:ilvl w:val="0"/>
          <w:numId w:val="24"/>
        </w:numPr>
        <w:rPr>
          <w:lang w:eastAsia="en-AU"/>
        </w:rPr>
      </w:pPr>
      <w:bookmarkStart w:id="330" w:name="_Hlk99203966"/>
      <w:r>
        <w:rPr>
          <w:lang w:eastAsia="en-AU"/>
        </w:rPr>
        <w:t>“</w:t>
      </w:r>
      <w:r w:rsidR="00386ED6" w:rsidRPr="00D34C6F">
        <w:rPr>
          <w:lang w:eastAsia="en-AU"/>
        </w:rPr>
        <w:t>Satisfied that my care was well organised</w:t>
      </w:r>
      <w:r>
        <w:rPr>
          <w:lang w:eastAsia="en-AU"/>
        </w:rPr>
        <w:t>”</w:t>
      </w:r>
      <w:r w:rsidR="00386ED6">
        <w:rPr>
          <w:lang w:eastAsia="en-AU"/>
        </w:rPr>
        <w:t xml:space="preserve"> (mean score: 4.4; proportion responding </w:t>
      </w:r>
      <w:r w:rsidR="00386ED6" w:rsidRPr="00652EDD">
        <w:rPr>
          <w:i/>
          <w:iCs/>
          <w:lang w:eastAsia="en-AU"/>
        </w:rPr>
        <w:t>Always or Most of the time</w:t>
      </w:r>
      <w:r w:rsidR="00386ED6">
        <w:rPr>
          <w:lang w:eastAsia="en-AU"/>
        </w:rPr>
        <w:t>: 86.1%)</w:t>
      </w:r>
    </w:p>
    <w:p w14:paraId="1F6BD6CE" w14:textId="608B38EE" w:rsidR="006A1EAB" w:rsidRPr="00D34C6F" w:rsidRDefault="00CA495C" w:rsidP="002D02AE">
      <w:pPr>
        <w:pStyle w:val="ListParagraph"/>
        <w:numPr>
          <w:ilvl w:val="0"/>
          <w:numId w:val="24"/>
        </w:numPr>
        <w:rPr>
          <w:lang w:eastAsia="en-AU"/>
        </w:rPr>
      </w:pPr>
      <w:r>
        <w:rPr>
          <w:lang w:eastAsia="en-AU"/>
        </w:rPr>
        <w:t>“</w:t>
      </w:r>
      <w:r w:rsidR="006A1EAB" w:rsidRPr="00D34C6F">
        <w:rPr>
          <w:lang w:eastAsia="en-AU"/>
        </w:rPr>
        <w:t>Sure that my doctor or nurse thought about my values, beliefs, and traditions when they recommended treatments to me</w:t>
      </w:r>
      <w:r>
        <w:rPr>
          <w:lang w:eastAsia="en-AU"/>
        </w:rPr>
        <w:t>”</w:t>
      </w:r>
      <w:r w:rsidR="00A561EE">
        <w:rPr>
          <w:lang w:eastAsia="en-AU"/>
        </w:rPr>
        <w:t xml:space="preserve"> </w:t>
      </w:r>
      <w:r w:rsidR="006F09B5">
        <w:rPr>
          <w:lang w:eastAsia="en-AU"/>
        </w:rPr>
        <w:t xml:space="preserve">(mean score: 3.8; proportion responding </w:t>
      </w:r>
      <w:r w:rsidR="006F09B5" w:rsidRPr="00652EDD">
        <w:rPr>
          <w:i/>
          <w:iCs/>
          <w:lang w:eastAsia="en-AU"/>
        </w:rPr>
        <w:t>Always or Most of the time</w:t>
      </w:r>
      <w:r w:rsidR="006F09B5">
        <w:rPr>
          <w:lang w:eastAsia="en-AU"/>
        </w:rPr>
        <w:t xml:space="preserve">: 77.4%) </w:t>
      </w:r>
    </w:p>
    <w:p w14:paraId="071C64D9" w14:textId="091BB46D" w:rsidR="006A1EAB" w:rsidRDefault="00CA495C" w:rsidP="002D02AE">
      <w:pPr>
        <w:pStyle w:val="ListParagraph"/>
        <w:numPr>
          <w:ilvl w:val="0"/>
          <w:numId w:val="24"/>
        </w:numPr>
        <w:rPr>
          <w:lang w:eastAsia="en-AU"/>
        </w:rPr>
      </w:pPr>
      <w:r>
        <w:rPr>
          <w:lang w:eastAsia="en-AU"/>
        </w:rPr>
        <w:t>“</w:t>
      </w:r>
      <w:r w:rsidR="006A1EAB" w:rsidRPr="00D34C6F">
        <w:rPr>
          <w:lang w:eastAsia="en-AU"/>
        </w:rPr>
        <w:t>Shown how what I did to care for myself influenced my condition</w:t>
      </w:r>
      <w:r>
        <w:rPr>
          <w:lang w:eastAsia="en-AU"/>
        </w:rPr>
        <w:t>”</w:t>
      </w:r>
      <w:r w:rsidR="006F09B5">
        <w:rPr>
          <w:lang w:eastAsia="en-AU"/>
        </w:rPr>
        <w:t xml:space="preserve"> (mean score: 4.1; proportion responding </w:t>
      </w:r>
      <w:r w:rsidR="006F09B5" w:rsidRPr="00652EDD">
        <w:rPr>
          <w:i/>
          <w:iCs/>
          <w:lang w:eastAsia="en-AU"/>
        </w:rPr>
        <w:t>Always or Most of the time</w:t>
      </w:r>
      <w:r w:rsidR="006F09B5">
        <w:rPr>
          <w:lang w:eastAsia="en-AU"/>
        </w:rPr>
        <w:t>: 70.4%)</w:t>
      </w:r>
      <w:r w:rsidR="00987B4B">
        <w:rPr>
          <w:lang w:eastAsia="en-AU"/>
        </w:rPr>
        <w:t>.</w:t>
      </w:r>
    </w:p>
    <w:p w14:paraId="7A903B2B" w14:textId="572B4EAB" w:rsidR="00987B4B" w:rsidRDefault="00987B4B">
      <w:pPr>
        <w:spacing w:after="160" w:line="259" w:lineRule="auto"/>
        <w:rPr>
          <w:lang w:eastAsia="en-AU"/>
        </w:rPr>
      </w:pPr>
      <w:r>
        <w:rPr>
          <w:lang w:eastAsia="en-AU"/>
        </w:rPr>
        <w:br w:type="page"/>
      </w:r>
    </w:p>
    <w:p w14:paraId="7AD288E5" w14:textId="44E55A15" w:rsidR="006A1EAB" w:rsidRPr="007B6DF7" w:rsidRDefault="006A1EAB" w:rsidP="002D02AE">
      <w:pPr>
        <w:pStyle w:val="tabletitle"/>
        <w:spacing w:after="200"/>
      </w:pPr>
      <w:bookmarkStart w:id="331" w:name="_Ref77941590"/>
      <w:bookmarkEnd w:id="330"/>
      <w:r w:rsidRPr="002C2C68">
        <w:lastRenderedPageBreak/>
        <w:t xml:space="preserve">Figure </w:t>
      </w:r>
      <w:r w:rsidRPr="002C2C68">
        <w:rPr>
          <w:rFonts w:cs="Arial"/>
          <w:color w:val="000000" w:themeColor="text1"/>
        </w:rPr>
        <w:fldChar w:fldCharType="begin"/>
      </w:r>
      <w:r w:rsidRPr="00D74945">
        <w:rPr>
          <w:rFonts w:cs="Arial"/>
          <w:color w:val="000000" w:themeColor="text1"/>
        </w:rPr>
        <w:instrText xml:space="preserve"> SEQ Figure \* ARABIC </w:instrText>
      </w:r>
      <w:r w:rsidRPr="002C2C68">
        <w:rPr>
          <w:rFonts w:cs="Arial"/>
          <w:color w:val="000000" w:themeColor="text1"/>
        </w:rPr>
        <w:fldChar w:fldCharType="separate"/>
      </w:r>
      <w:r w:rsidR="003C4BC2">
        <w:rPr>
          <w:rFonts w:cs="Arial"/>
          <w:noProof/>
          <w:color w:val="000000" w:themeColor="text1"/>
        </w:rPr>
        <w:t>46</w:t>
      </w:r>
      <w:r w:rsidRPr="002C2C68">
        <w:rPr>
          <w:rFonts w:cs="Arial"/>
          <w:color w:val="000000" w:themeColor="text1"/>
        </w:rPr>
        <w:fldChar w:fldCharType="end"/>
      </w:r>
      <w:bookmarkEnd w:id="331"/>
      <w:r w:rsidRPr="002C2C68">
        <w:t xml:space="preserve">: Patient </w:t>
      </w:r>
      <w:r w:rsidR="00C25D95">
        <w:t>ratings of</w:t>
      </w:r>
      <w:r w:rsidRPr="002C2C68">
        <w:t xml:space="preserve"> PACIC </w:t>
      </w:r>
      <w:r w:rsidR="00C25D95">
        <w:t>items</w:t>
      </w:r>
      <w:r w:rsidR="00376EBA">
        <w:t>, w</w:t>
      </w:r>
      <w:r w:rsidR="00D76D52">
        <w:t>ave 3</w:t>
      </w:r>
    </w:p>
    <w:p w14:paraId="5751E613" w14:textId="1C100210" w:rsidR="006A1EAB" w:rsidRDefault="00B26559" w:rsidP="002D02AE">
      <w:pPr>
        <w:pStyle w:val="Chartortablefootnote"/>
      </w:pPr>
      <w:r>
        <w:rPr>
          <w:noProof/>
        </w:rPr>
        <w:drawing>
          <wp:inline distT="0" distB="0" distL="0" distR="0" wp14:anchorId="36FD779C" wp14:editId="48EB779D">
            <wp:extent cx="5731510" cy="5118100"/>
            <wp:effectExtent l="0" t="0" r="0" b="0"/>
            <wp:docPr id="14" name="Picture 1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10;&#10;Description automatically generated with medium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1510" cy="5118100"/>
                    </a:xfrm>
                    <a:prstGeom prst="rect">
                      <a:avLst/>
                    </a:prstGeom>
                    <a:noFill/>
                    <a:ln>
                      <a:noFill/>
                    </a:ln>
                  </pic:spPr>
                </pic:pic>
              </a:graphicData>
            </a:graphic>
          </wp:inline>
        </w:drawing>
      </w:r>
    </w:p>
    <w:p w14:paraId="767ED311" w14:textId="37C487FC" w:rsidR="00E364DA" w:rsidRDefault="00E364DA" w:rsidP="002D02AE">
      <w:pPr>
        <w:pStyle w:val="Chartortablefootnote"/>
      </w:pPr>
      <w:r w:rsidRPr="004F63E7">
        <w:rPr>
          <w:i w:val="0"/>
        </w:rPr>
        <w:t xml:space="preserve">Source: </w:t>
      </w:r>
      <w:r>
        <w:rPr>
          <w:i w:val="0"/>
        </w:rPr>
        <w:t>Patient</w:t>
      </w:r>
      <w:r w:rsidRPr="004F63E7">
        <w:rPr>
          <w:i w:val="0"/>
        </w:rPr>
        <w:t xml:space="preserve"> survey </w:t>
      </w:r>
      <w:r>
        <w:rPr>
          <w:i w:val="0"/>
        </w:rPr>
        <w:t>Wave 3</w:t>
      </w:r>
      <w:r w:rsidRPr="004F63E7">
        <w:rPr>
          <w:i w:val="0"/>
        </w:rPr>
        <w:t xml:space="preserve">, </w:t>
      </w:r>
      <w:r>
        <w:t>Mar–Apr</w:t>
      </w:r>
      <w:r w:rsidRPr="00DB6C01">
        <w:t xml:space="preserve"> 20</w:t>
      </w:r>
      <w:r>
        <w:t>21</w:t>
      </w:r>
      <w:r w:rsidR="005B2DC8">
        <w:t>.</w:t>
      </w:r>
    </w:p>
    <w:p w14:paraId="0AB5DB44" w14:textId="77777777" w:rsidR="0042768D" w:rsidRPr="00D34C6F" w:rsidRDefault="0042768D" w:rsidP="002D02AE">
      <w:pPr>
        <w:rPr>
          <w:lang w:eastAsia="en-AU"/>
        </w:rPr>
      </w:pPr>
      <w:bookmarkStart w:id="332" w:name="_Hlk99204211"/>
      <w:r w:rsidRPr="00D34C6F">
        <w:rPr>
          <w:lang w:eastAsia="en-AU"/>
        </w:rPr>
        <w:t xml:space="preserve">Features of care that were reported to occur </w:t>
      </w:r>
      <w:r>
        <w:rPr>
          <w:lang w:eastAsia="en-AU"/>
        </w:rPr>
        <w:t xml:space="preserve">less </w:t>
      </w:r>
      <w:r w:rsidRPr="00D34C6F">
        <w:rPr>
          <w:lang w:eastAsia="en-AU"/>
        </w:rPr>
        <w:t>commonly included that the patient was:</w:t>
      </w:r>
    </w:p>
    <w:p w14:paraId="7DA984B5" w14:textId="08614532" w:rsidR="0042768D" w:rsidRPr="00D34C6F" w:rsidRDefault="00CA495C" w:rsidP="002D02AE">
      <w:pPr>
        <w:pStyle w:val="ListParagraph"/>
        <w:numPr>
          <w:ilvl w:val="0"/>
          <w:numId w:val="24"/>
        </w:numPr>
        <w:rPr>
          <w:lang w:eastAsia="en-AU"/>
        </w:rPr>
      </w:pPr>
      <w:r>
        <w:rPr>
          <w:lang w:eastAsia="en-AU"/>
        </w:rPr>
        <w:t>“</w:t>
      </w:r>
      <w:r w:rsidR="0042768D" w:rsidRPr="00D34C6F">
        <w:rPr>
          <w:lang w:eastAsia="en-AU"/>
        </w:rPr>
        <w:t>Encouraged to attend programs in the community that could help me</w:t>
      </w:r>
      <w:r>
        <w:rPr>
          <w:lang w:eastAsia="en-AU"/>
        </w:rPr>
        <w:t>”</w:t>
      </w:r>
      <w:r w:rsidR="00A561EE">
        <w:rPr>
          <w:lang w:eastAsia="en-AU"/>
        </w:rPr>
        <w:t xml:space="preserve"> </w:t>
      </w:r>
      <w:r w:rsidR="0042768D">
        <w:rPr>
          <w:lang w:eastAsia="en-AU"/>
        </w:rPr>
        <w:t xml:space="preserve">(mean score: 2.3; proportion responding </w:t>
      </w:r>
      <w:r w:rsidR="0042768D" w:rsidRPr="00652EDD">
        <w:rPr>
          <w:i/>
          <w:iCs/>
          <w:lang w:eastAsia="en-AU"/>
        </w:rPr>
        <w:t>Always or Most of the time</w:t>
      </w:r>
      <w:r w:rsidR="0042768D">
        <w:rPr>
          <w:lang w:eastAsia="en-AU"/>
        </w:rPr>
        <w:t>: 21.9%)</w:t>
      </w:r>
      <w:r w:rsidR="00FA5E3D">
        <w:rPr>
          <w:lang w:eastAsia="en-AU"/>
        </w:rPr>
        <w:t>.</w:t>
      </w:r>
    </w:p>
    <w:p w14:paraId="6B551F1E" w14:textId="40D106D0" w:rsidR="0042768D" w:rsidRPr="00D34C6F" w:rsidRDefault="00CA495C" w:rsidP="002D02AE">
      <w:pPr>
        <w:pStyle w:val="ListParagraph"/>
        <w:numPr>
          <w:ilvl w:val="0"/>
          <w:numId w:val="24"/>
        </w:numPr>
        <w:rPr>
          <w:lang w:eastAsia="en-AU"/>
        </w:rPr>
      </w:pPr>
      <w:r>
        <w:rPr>
          <w:lang w:eastAsia="en-AU"/>
        </w:rPr>
        <w:t>“</w:t>
      </w:r>
      <w:r w:rsidR="0042768D" w:rsidRPr="00D34C6F">
        <w:rPr>
          <w:lang w:eastAsia="en-AU"/>
        </w:rPr>
        <w:t>Given a written list of things I should do to improve my health</w:t>
      </w:r>
      <w:r>
        <w:rPr>
          <w:lang w:eastAsia="en-AU"/>
        </w:rPr>
        <w:t>”</w:t>
      </w:r>
      <w:r w:rsidR="00A561EE">
        <w:rPr>
          <w:lang w:eastAsia="en-AU"/>
        </w:rPr>
        <w:t xml:space="preserve"> </w:t>
      </w:r>
      <w:r w:rsidR="0042768D">
        <w:rPr>
          <w:lang w:eastAsia="en-AU"/>
        </w:rPr>
        <w:t xml:space="preserve">(mean score: 2.3; proportion responding </w:t>
      </w:r>
      <w:r w:rsidR="0042768D" w:rsidRPr="00652EDD">
        <w:rPr>
          <w:i/>
          <w:iCs/>
          <w:lang w:eastAsia="en-AU"/>
        </w:rPr>
        <w:t>Always or Most of the time</w:t>
      </w:r>
      <w:r w:rsidR="0042768D">
        <w:rPr>
          <w:lang w:eastAsia="en-AU"/>
        </w:rPr>
        <w:t>: 24.1%)</w:t>
      </w:r>
      <w:r w:rsidR="00FA5E3D">
        <w:rPr>
          <w:lang w:eastAsia="en-AU"/>
        </w:rPr>
        <w:t>.</w:t>
      </w:r>
    </w:p>
    <w:p w14:paraId="3B97BC68" w14:textId="1D5E397B" w:rsidR="0042768D" w:rsidRPr="00D34C6F" w:rsidRDefault="00CA495C" w:rsidP="002D02AE">
      <w:pPr>
        <w:pStyle w:val="ListParagraph"/>
        <w:numPr>
          <w:ilvl w:val="0"/>
          <w:numId w:val="24"/>
        </w:numPr>
        <w:rPr>
          <w:lang w:eastAsia="en-AU"/>
        </w:rPr>
      </w:pPr>
      <w:r>
        <w:rPr>
          <w:lang w:eastAsia="en-AU"/>
        </w:rPr>
        <w:t>“</w:t>
      </w:r>
      <w:r w:rsidR="0042768D" w:rsidRPr="00D34C6F">
        <w:rPr>
          <w:lang w:eastAsia="en-AU"/>
        </w:rPr>
        <w:t>Contacted after a visit to see how things were going</w:t>
      </w:r>
      <w:r>
        <w:rPr>
          <w:lang w:eastAsia="en-AU"/>
        </w:rPr>
        <w:t>”</w:t>
      </w:r>
      <w:r w:rsidR="00A561EE">
        <w:rPr>
          <w:lang w:eastAsia="en-AU"/>
        </w:rPr>
        <w:t xml:space="preserve"> </w:t>
      </w:r>
      <w:r w:rsidR="0042768D">
        <w:rPr>
          <w:lang w:eastAsia="en-AU"/>
        </w:rPr>
        <w:t xml:space="preserve">(mean score: 2.5; proportion responding </w:t>
      </w:r>
      <w:r w:rsidR="0042768D" w:rsidRPr="00652EDD">
        <w:rPr>
          <w:i/>
          <w:iCs/>
          <w:lang w:eastAsia="en-AU"/>
        </w:rPr>
        <w:t>Always or Most of the time</w:t>
      </w:r>
      <w:r w:rsidR="0042768D">
        <w:rPr>
          <w:lang w:eastAsia="en-AU"/>
        </w:rPr>
        <w:t>: 25.5%)</w:t>
      </w:r>
      <w:r w:rsidR="00FA5E3D">
        <w:rPr>
          <w:lang w:eastAsia="en-AU"/>
        </w:rPr>
        <w:t>.</w:t>
      </w:r>
    </w:p>
    <w:p w14:paraId="4723BB05" w14:textId="1CB46403" w:rsidR="0042768D" w:rsidRPr="00D34C6F" w:rsidRDefault="00CA495C" w:rsidP="002D02AE">
      <w:pPr>
        <w:pStyle w:val="ListParagraph"/>
        <w:numPr>
          <w:ilvl w:val="0"/>
          <w:numId w:val="24"/>
        </w:numPr>
        <w:rPr>
          <w:lang w:eastAsia="en-AU"/>
        </w:rPr>
      </w:pPr>
      <w:r>
        <w:rPr>
          <w:lang w:eastAsia="en-AU"/>
        </w:rPr>
        <w:t>“</w:t>
      </w:r>
      <w:r w:rsidR="0042768D" w:rsidRPr="00D34C6F">
        <w:rPr>
          <w:lang w:eastAsia="en-AU"/>
        </w:rPr>
        <w:t>Asked how my visits with other doctors were going</w:t>
      </w:r>
      <w:r>
        <w:rPr>
          <w:lang w:eastAsia="en-AU"/>
        </w:rPr>
        <w:t>”</w:t>
      </w:r>
      <w:r w:rsidR="0042768D">
        <w:rPr>
          <w:lang w:eastAsia="en-AU"/>
        </w:rPr>
        <w:t xml:space="preserve"> (mean score: 2.8; proportion responding </w:t>
      </w:r>
      <w:r w:rsidR="0042768D" w:rsidRPr="00652EDD">
        <w:rPr>
          <w:i/>
          <w:iCs/>
          <w:lang w:eastAsia="en-AU"/>
        </w:rPr>
        <w:t>Always or Most of the time</w:t>
      </w:r>
      <w:r w:rsidR="0042768D">
        <w:rPr>
          <w:lang w:eastAsia="en-AU"/>
        </w:rPr>
        <w:t>: 37.8%)</w:t>
      </w:r>
      <w:r w:rsidR="00FA5E3D">
        <w:rPr>
          <w:lang w:eastAsia="en-AU"/>
        </w:rPr>
        <w:t>.</w:t>
      </w:r>
    </w:p>
    <w:bookmarkEnd w:id="332"/>
    <w:p w14:paraId="40CA9578" w14:textId="77777777" w:rsidR="0042768D" w:rsidRDefault="0042768D" w:rsidP="002D02AE">
      <w:pPr>
        <w:rPr>
          <w:lang w:eastAsia="en-AU"/>
        </w:rPr>
      </w:pPr>
      <w:r>
        <w:rPr>
          <w:lang w:eastAsia="en-AU"/>
        </w:rPr>
        <w:t xml:space="preserve">The dimensions for which mean scores were highest were </w:t>
      </w:r>
      <w:r w:rsidRPr="001C1E25">
        <w:rPr>
          <w:i/>
          <w:iCs/>
          <w:lang w:eastAsia="en-AU"/>
        </w:rPr>
        <w:t>Problem solving</w:t>
      </w:r>
      <w:r>
        <w:rPr>
          <w:lang w:eastAsia="en-AU"/>
        </w:rPr>
        <w:t xml:space="preserve"> (mean score 4.2) and </w:t>
      </w:r>
      <w:r w:rsidRPr="001C1E25">
        <w:rPr>
          <w:i/>
          <w:iCs/>
          <w:lang w:eastAsia="en-AU"/>
        </w:rPr>
        <w:t>Decision support</w:t>
      </w:r>
      <w:r w:rsidRPr="001C1E25">
        <w:rPr>
          <w:lang w:eastAsia="en-AU"/>
        </w:rPr>
        <w:t> (</w:t>
      </w:r>
      <w:r>
        <w:rPr>
          <w:lang w:eastAsia="en-AU"/>
        </w:rPr>
        <w:t xml:space="preserve">mean score </w:t>
      </w:r>
      <w:r w:rsidRPr="001C1E25">
        <w:rPr>
          <w:lang w:eastAsia="en-AU"/>
        </w:rPr>
        <w:t xml:space="preserve">3.7). The dimension for which mean scores were lowest was </w:t>
      </w:r>
      <w:r w:rsidRPr="001C1E25">
        <w:rPr>
          <w:i/>
          <w:iCs/>
          <w:lang w:eastAsia="en-AU"/>
        </w:rPr>
        <w:t>Follow-up/ co-ordination</w:t>
      </w:r>
      <w:r w:rsidRPr="001C1E25">
        <w:rPr>
          <w:lang w:eastAsia="en-AU"/>
        </w:rPr>
        <w:t> (</w:t>
      </w:r>
      <w:r>
        <w:rPr>
          <w:lang w:eastAsia="en-AU"/>
        </w:rPr>
        <w:t xml:space="preserve">mean score </w:t>
      </w:r>
      <w:r w:rsidRPr="001C1E25">
        <w:rPr>
          <w:lang w:eastAsia="en-AU"/>
        </w:rPr>
        <w:t>2.5)</w:t>
      </w:r>
      <w:r>
        <w:rPr>
          <w:lang w:eastAsia="en-AU"/>
        </w:rPr>
        <w:t xml:space="preserve">. </w:t>
      </w:r>
    </w:p>
    <w:p w14:paraId="36D4F097" w14:textId="77777777" w:rsidR="0042768D" w:rsidRDefault="0042768D" w:rsidP="002D02AE">
      <w:r w:rsidRPr="00645EB9">
        <w:t>There was no statistically significant difference in the dimensions between tiers.</w:t>
      </w:r>
    </w:p>
    <w:p w14:paraId="3D77424E" w14:textId="010B5B9C" w:rsidR="008F3E71" w:rsidRDefault="008B2A58" w:rsidP="002D02AE">
      <w:bookmarkStart w:id="333" w:name="_Hlk99203852"/>
      <w:r>
        <w:lastRenderedPageBreak/>
        <w:t>C</w:t>
      </w:r>
      <w:r w:rsidR="00547BA9">
        <w:t>hange</w:t>
      </w:r>
      <w:r w:rsidR="00D76D52">
        <w:t>s</w:t>
      </w:r>
      <w:r w:rsidR="00547BA9">
        <w:t xml:space="preserve"> in PACIC </w:t>
      </w:r>
      <w:r>
        <w:t xml:space="preserve">responses across the </w:t>
      </w:r>
      <w:r w:rsidR="006A2E37">
        <w:t xml:space="preserve">survey waves </w:t>
      </w:r>
      <w:r w:rsidR="00D76D52">
        <w:t xml:space="preserve">were </w:t>
      </w:r>
      <w:r>
        <w:t>analysed</w:t>
      </w:r>
      <w:r w:rsidR="00CD310B">
        <w:t>.</w:t>
      </w:r>
      <w:r w:rsidR="00A561EE">
        <w:t xml:space="preserve"> </w:t>
      </w:r>
      <w:r w:rsidR="006211DF">
        <w:t>T</w:t>
      </w:r>
      <w:r w:rsidR="00B02AC1">
        <w:t>here was no significant change between wave 1 and wave 2</w:t>
      </w:r>
      <w:r w:rsidR="008A4C18">
        <w:t xml:space="preserve"> in mean scores</w:t>
      </w:r>
      <w:r w:rsidR="00F63D6B">
        <w:t>, but a small but statistically significant reduction between wave 1 and wave 3</w:t>
      </w:r>
      <w:r w:rsidR="008A4C18">
        <w:t xml:space="preserve"> </w:t>
      </w:r>
      <w:r w:rsidR="00EC412A">
        <w:t>(</w:t>
      </w:r>
      <w:r w:rsidR="00F5053B" w:rsidRPr="002D02AE">
        <w:rPr>
          <w:rFonts w:eastAsia="Yu Mincho" w:cs="Arial"/>
          <w:bCs/>
          <w:noProof/>
          <w:color w:val="1D2455"/>
          <w:szCs w:val="16"/>
          <w:lang w:eastAsia="en-AU"/>
        </w:rPr>
        <w:fldChar w:fldCharType="begin"/>
      </w:r>
      <w:r w:rsidR="00F5053B" w:rsidRPr="002D02AE">
        <w:rPr>
          <w:rFonts w:eastAsia="Yu Mincho" w:cs="Arial"/>
          <w:bCs/>
          <w:noProof/>
          <w:color w:val="1D2455"/>
          <w:szCs w:val="16"/>
          <w:lang w:eastAsia="en-AU"/>
        </w:rPr>
        <w:instrText xml:space="preserve"> REF _Ref99026842 \h </w:instrText>
      </w:r>
      <w:r w:rsidR="002D02AE">
        <w:rPr>
          <w:rFonts w:eastAsia="Yu Mincho" w:cs="Arial"/>
          <w:bCs/>
          <w:noProof/>
          <w:color w:val="1D2455"/>
          <w:szCs w:val="16"/>
          <w:lang w:eastAsia="en-AU"/>
        </w:rPr>
        <w:instrText xml:space="preserve"> \* MERGEFORMAT </w:instrText>
      </w:r>
      <w:r w:rsidR="00F5053B" w:rsidRPr="002D02AE">
        <w:rPr>
          <w:rFonts w:eastAsia="Yu Mincho" w:cs="Arial"/>
          <w:bCs/>
          <w:noProof/>
          <w:color w:val="1D2455"/>
          <w:szCs w:val="16"/>
          <w:lang w:eastAsia="en-AU"/>
        </w:rPr>
      </w:r>
      <w:r w:rsidR="00F5053B" w:rsidRPr="002D02AE">
        <w:rPr>
          <w:rFonts w:eastAsia="Yu Mincho" w:cs="Arial"/>
          <w:bCs/>
          <w:noProof/>
          <w:color w:val="1D2455"/>
          <w:szCs w:val="16"/>
          <w:lang w:eastAsia="en-AU"/>
        </w:rPr>
        <w:fldChar w:fldCharType="separate"/>
      </w:r>
      <w:r w:rsidR="003C4BC2" w:rsidRPr="003C4BC2">
        <w:rPr>
          <w:rFonts w:eastAsia="Yu Mincho" w:cs="Arial"/>
          <w:bCs/>
          <w:noProof/>
          <w:color w:val="1D2455"/>
          <w:szCs w:val="16"/>
          <w:lang w:eastAsia="en-AU"/>
        </w:rPr>
        <w:t>Table 41</w:t>
      </w:r>
      <w:r w:rsidR="00F5053B" w:rsidRPr="002D02AE">
        <w:rPr>
          <w:rFonts w:eastAsia="Yu Mincho" w:cs="Arial"/>
          <w:bCs/>
          <w:noProof/>
          <w:color w:val="1D2455"/>
          <w:szCs w:val="16"/>
          <w:lang w:eastAsia="en-AU"/>
        </w:rPr>
        <w:fldChar w:fldCharType="end"/>
      </w:r>
      <w:r w:rsidR="00EC412A">
        <w:t>)</w:t>
      </w:r>
      <w:r w:rsidR="00A461EB">
        <w:t>.</w:t>
      </w:r>
      <w:r w:rsidR="004B0D3B">
        <w:t xml:space="preserve"> </w:t>
      </w:r>
      <w:r w:rsidR="00AB5948">
        <w:t xml:space="preserve">There were also </w:t>
      </w:r>
      <w:r w:rsidR="003E69DF">
        <w:t xml:space="preserve">statistically significant </w:t>
      </w:r>
      <w:r w:rsidR="00AB5948">
        <w:t>reductions in the prop</w:t>
      </w:r>
      <w:r w:rsidR="003E69DF">
        <w:t xml:space="preserve">ortion of </w:t>
      </w:r>
      <w:r w:rsidR="001066FB">
        <w:t xml:space="preserve">respondents responding </w:t>
      </w:r>
      <w:r w:rsidR="001066FB" w:rsidRPr="00652EDD">
        <w:rPr>
          <w:i/>
          <w:iCs/>
          <w:lang w:eastAsia="en-AU"/>
        </w:rPr>
        <w:t>Always or Most of the time</w:t>
      </w:r>
      <w:r w:rsidR="001066FB">
        <w:rPr>
          <w:i/>
          <w:iCs/>
          <w:lang w:eastAsia="en-AU"/>
        </w:rPr>
        <w:t xml:space="preserve"> </w:t>
      </w:r>
      <w:r w:rsidR="00973F52">
        <w:t xml:space="preserve">in wave 3 compared with wave 1 </w:t>
      </w:r>
      <w:r w:rsidR="001066FB" w:rsidRPr="00D45ECC">
        <w:rPr>
          <w:lang w:eastAsia="en-AU"/>
        </w:rPr>
        <w:t>across the items and dimensions</w:t>
      </w:r>
      <w:r w:rsidR="001066FB">
        <w:rPr>
          <w:i/>
          <w:iCs/>
          <w:lang w:eastAsia="en-AU"/>
        </w:rPr>
        <w:t xml:space="preserve"> </w:t>
      </w:r>
      <w:r w:rsidR="00D45ECC" w:rsidRPr="00D45ECC">
        <w:rPr>
          <w:lang w:eastAsia="en-AU"/>
        </w:rPr>
        <w:t>(</w:t>
      </w:r>
      <w:r w:rsidR="00D45ECC" w:rsidRPr="00D45ECC">
        <w:rPr>
          <w:lang w:eastAsia="en-AU"/>
        </w:rPr>
        <w:fldChar w:fldCharType="begin"/>
      </w:r>
      <w:r w:rsidR="00D45ECC" w:rsidRPr="00D45ECC">
        <w:rPr>
          <w:lang w:eastAsia="en-AU"/>
        </w:rPr>
        <w:instrText xml:space="preserve"> REF _Ref98319723 \h </w:instrText>
      </w:r>
      <w:r w:rsidR="00D45ECC">
        <w:rPr>
          <w:lang w:eastAsia="en-AU"/>
        </w:rPr>
        <w:instrText xml:space="preserve"> \* MERGEFORMAT </w:instrText>
      </w:r>
      <w:r w:rsidR="00D45ECC" w:rsidRPr="00D45ECC">
        <w:rPr>
          <w:lang w:eastAsia="en-AU"/>
        </w:rPr>
      </w:r>
      <w:r w:rsidR="00D45ECC" w:rsidRPr="00D45ECC">
        <w:rPr>
          <w:lang w:eastAsia="en-AU"/>
        </w:rPr>
        <w:fldChar w:fldCharType="separate"/>
      </w:r>
      <w:r w:rsidR="003C4BC2" w:rsidRPr="003C4BC2">
        <w:rPr>
          <w:rFonts w:eastAsia="Yu Mincho" w:cs="Arial"/>
          <w:bCs/>
          <w:color w:val="1D2455"/>
          <w:szCs w:val="16"/>
          <w:lang w:eastAsia="en-AU"/>
        </w:rPr>
        <w:t xml:space="preserve">Table </w:t>
      </w:r>
      <w:r w:rsidR="003C4BC2" w:rsidRPr="003C4BC2">
        <w:rPr>
          <w:rFonts w:eastAsia="Yu Mincho" w:cs="Arial"/>
          <w:bCs/>
          <w:noProof/>
          <w:color w:val="1D2455"/>
          <w:szCs w:val="16"/>
          <w:lang w:eastAsia="en-AU"/>
        </w:rPr>
        <w:t>42</w:t>
      </w:r>
      <w:r w:rsidR="00D45ECC" w:rsidRPr="00D45ECC">
        <w:rPr>
          <w:lang w:eastAsia="en-AU"/>
        </w:rPr>
        <w:fldChar w:fldCharType="end"/>
      </w:r>
      <w:r w:rsidR="00D45ECC" w:rsidRPr="00D45ECC">
        <w:rPr>
          <w:lang w:eastAsia="en-AU"/>
        </w:rPr>
        <w:t>).</w:t>
      </w:r>
    </w:p>
    <w:p w14:paraId="501FBC17" w14:textId="57C96894" w:rsidR="009B3442" w:rsidRPr="001F38A6" w:rsidRDefault="009B3442" w:rsidP="002D02AE">
      <w:pPr>
        <w:pStyle w:val="TableorFigurecaptionHPA"/>
        <w:rPr>
          <w:rFonts w:eastAsia="Yu Mincho" w:cs="Arial"/>
          <w:bCs/>
          <w:szCs w:val="16"/>
        </w:rPr>
      </w:pPr>
      <w:bookmarkStart w:id="334" w:name="_Ref99026842"/>
      <w:bookmarkStart w:id="335" w:name="_Ref99026758"/>
      <w:bookmarkEnd w:id="333"/>
      <w:r w:rsidRPr="001F38A6">
        <w:rPr>
          <w:rFonts w:eastAsia="Yu Mincho" w:cs="Arial"/>
          <w:bCs/>
          <w:szCs w:val="16"/>
        </w:rPr>
        <w:t xml:space="preserve">Table </w:t>
      </w:r>
      <w:r w:rsidRPr="002D02AE">
        <w:rPr>
          <w:rFonts w:eastAsia="Yu Mincho" w:cs="Arial"/>
          <w:bCs/>
          <w:szCs w:val="16"/>
        </w:rPr>
        <w:fldChar w:fldCharType="begin"/>
      </w:r>
      <w:r w:rsidRPr="002D02AE">
        <w:rPr>
          <w:rFonts w:eastAsia="Yu Mincho" w:cs="Arial"/>
          <w:bCs/>
          <w:szCs w:val="16"/>
        </w:rPr>
        <w:instrText>SEQ Table \* ARABIC</w:instrText>
      </w:r>
      <w:r w:rsidRPr="002D02AE">
        <w:rPr>
          <w:rFonts w:eastAsia="Yu Mincho" w:cs="Arial"/>
          <w:bCs/>
          <w:szCs w:val="16"/>
        </w:rPr>
        <w:fldChar w:fldCharType="separate"/>
      </w:r>
      <w:r w:rsidR="003C4BC2">
        <w:rPr>
          <w:rFonts w:eastAsia="Yu Mincho" w:cs="Arial"/>
          <w:bCs/>
          <w:noProof/>
          <w:szCs w:val="16"/>
        </w:rPr>
        <w:t>41</w:t>
      </w:r>
      <w:r w:rsidRPr="002D02AE">
        <w:rPr>
          <w:rFonts w:eastAsia="Yu Mincho" w:cs="Arial"/>
          <w:bCs/>
          <w:szCs w:val="16"/>
        </w:rPr>
        <w:fldChar w:fldCharType="end"/>
      </w:r>
      <w:bookmarkEnd w:id="334"/>
      <w:r w:rsidRPr="001F38A6">
        <w:rPr>
          <w:rFonts w:eastAsia="Yu Mincho" w:cs="Arial"/>
          <w:szCs w:val="16"/>
        </w:rPr>
        <w:t>:</w:t>
      </w:r>
      <w:r w:rsidRPr="001F38A6">
        <w:rPr>
          <w:rFonts w:eastAsia="Yu Mincho" w:cs="Arial"/>
          <w:bCs/>
          <w:szCs w:val="16"/>
        </w:rPr>
        <w:t xml:space="preserve"> </w:t>
      </w:r>
      <w:bookmarkStart w:id="336" w:name="_Ref99026801"/>
      <w:r>
        <w:rPr>
          <w:rFonts w:eastAsia="Yu Mincho" w:cs="Arial"/>
          <w:bCs/>
          <w:szCs w:val="16"/>
        </w:rPr>
        <w:t>E</w:t>
      </w:r>
      <w:r>
        <w:t xml:space="preserve">stimated change in </w:t>
      </w:r>
      <w:r w:rsidR="00BC01DE">
        <w:t xml:space="preserve">PACIC </w:t>
      </w:r>
      <w:r>
        <w:t xml:space="preserve">mean scores </w:t>
      </w:r>
      <w:r w:rsidR="000B09E0">
        <w:t xml:space="preserve">(95% confidence intervals) </w:t>
      </w:r>
      <w:r>
        <w:t>from wave 1</w:t>
      </w:r>
      <w:bookmarkEnd w:id="335"/>
      <w:bookmarkEnd w:id="336"/>
    </w:p>
    <w:tbl>
      <w:tblPr>
        <w:tblW w:w="5000"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3601"/>
        <w:gridCol w:w="1637"/>
        <w:gridCol w:w="1889"/>
        <w:gridCol w:w="1889"/>
      </w:tblGrid>
      <w:tr w:rsidR="00FF073E" w14:paraId="0275AD77" w14:textId="77777777" w:rsidTr="00FF073E">
        <w:trPr>
          <w:cantSplit/>
          <w:tblHeader/>
          <w:jc w:val="center"/>
        </w:trPr>
        <w:tc>
          <w:tcPr>
            <w:tcW w:w="3630" w:type="dxa"/>
            <w:vMerge w:val="restart"/>
            <w:shd w:val="clear" w:color="auto" w:fill="408BCA"/>
            <w:tcMar>
              <w:top w:w="0" w:type="dxa"/>
              <w:left w:w="57" w:type="dxa"/>
              <w:bottom w:w="0" w:type="dxa"/>
              <w:right w:w="0" w:type="dxa"/>
            </w:tcMar>
            <w:vAlign w:val="center"/>
          </w:tcPr>
          <w:p w14:paraId="6C7FA169" w14:textId="6286DC82" w:rsidR="00FF073E" w:rsidRDefault="00FF073E" w:rsidP="00AB42A6">
            <w:pPr>
              <w:spacing w:after="0"/>
            </w:pPr>
            <w:r w:rsidRPr="00AB42A6">
              <w:rPr>
                <w:rFonts w:eastAsia="Century Gothic" w:cs="Century Gothic"/>
                <w:b/>
                <w:color w:val="FFFFFF"/>
                <w:sz w:val="18"/>
                <w:szCs w:val="18"/>
              </w:rPr>
              <w:t>Overall score and subcategories</w:t>
            </w:r>
          </w:p>
        </w:tc>
        <w:tc>
          <w:tcPr>
            <w:tcW w:w="1650" w:type="dxa"/>
            <w:shd w:val="clear" w:color="auto" w:fill="408BCA"/>
            <w:tcMar>
              <w:top w:w="0" w:type="dxa"/>
              <w:left w:w="0" w:type="dxa"/>
              <w:bottom w:w="0" w:type="dxa"/>
              <w:right w:w="0" w:type="dxa"/>
            </w:tcMar>
            <w:vAlign w:val="center"/>
          </w:tcPr>
          <w:p w14:paraId="776017ED" w14:textId="77777777" w:rsidR="00FF073E" w:rsidRDefault="00FF073E" w:rsidP="002D02AE">
            <w:pPr>
              <w:spacing w:after="0"/>
              <w:jc w:val="center"/>
            </w:pPr>
            <w:r>
              <w:rPr>
                <w:rFonts w:eastAsia="Century Gothic" w:cs="Century Gothic"/>
                <w:b/>
                <w:color w:val="FFFFFF"/>
                <w:sz w:val="18"/>
                <w:szCs w:val="18"/>
              </w:rPr>
              <w:t>Wave 1</w:t>
            </w:r>
          </w:p>
        </w:tc>
        <w:tc>
          <w:tcPr>
            <w:tcW w:w="3808" w:type="dxa"/>
            <w:gridSpan w:val="2"/>
            <w:shd w:val="clear" w:color="auto" w:fill="408BCA"/>
            <w:tcMar>
              <w:top w:w="0" w:type="dxa"/>
              <w:left w:w="0" w:type="dxa"/>
              <w:bottom w:w="0" w:type="dxa"/>
              <w:right w:w="0" w:type="dxa"/>
            </w:tcMar>
            <w:vAlign w:val="center"/>
          </w:tcPr>
          <w:p w14:paraId="3C82D6C2" w14:textId="645E9251" w:rsidR="00FF073E" w:rsidRDefault="00FF073E" w:rsidP="002D02AE">
            <w:pPr>
              <w:spacing w:after="0"/>
              <w:jc w:val="center"/>
            </w:pPr>
            <w:r>
              <w:rPr>
                <w:rFonts w:eastAsia="Century Gothic" w:cs="Century Gothic"/>
                <w:b/>
                <w:color w:val="FFFFFF"/>
                <w:sz w:val="18"/>
                <w:szCs w:val="18"/>
              </w:rPr>
              <w:t xml:space="preserve">Change from wave 1 (95% CI) </w:t>
            </w:r>
            <w:r>
              <w:rPr>
                <w:rFonts w:eastAsia="Century Gothic" w:cs="Century Gothic"/>
                <w:b/>
                <w:color w:val="FFFFFF"/>
                <w:sz w:val="18"/>
                <w:szCs w:val="18"/>
                <w:vertAlign w:val="superscript"/>
              </w:rPr>
              <w:t>1</w:t>
            </w:r>
          </w:p>
        </w:tc>
      </w:tr>
      <w:tr w:rsidR="00FF073E" w14:paraId="00A41480" w14:textId="77777777" w:rsidTr="00FF073E">
        <w:trPr>
          <w:cantSplit/>
          <w:tblHeader/>
          <w:jc w:val="center"/>
        </w:trPr>
        <w:tc>
          <w:tcPr>
            <w:tcW w:w="3630" w:type="dxa"/>
            <w:vMerge/>
            <w:shd w:val="clear" w:color="auto" w:fill="408BCA"/>
            <w:tcMar>
              <w:top w:w="0" w:type="dxa"/>
              <w:left w:w="0" w:type="dxa"/>
              <w:bottom w:w="0" w:type="dxa"/>
              <w:right w:w="0" w:type="dxa"/>
            </w:tcMar>
            <w:vAlign w:val="center"/>
          </w:tcPr>
          <w:p w14:paraId="778C71AA" w14:textId="77777777" w:rsidR="00FF073E" w:rsidRDefault="00FF073E" w:rsidP="002D02AE">
            <w:pPr>
              <w:spacing w:after="0"/>
              <w:jc w:val="center"/>
            </w:pPr>
          </w:p>
        </w:tc>
        <w:tc>
          <w:tcPr>
            <w:tcW w:w="1650" w:type="dxa"/>
            <w:shd w:val="clear" w:color="auto" w:fill="408BCA"/>
            <w:tcMar>
              <w:top w:w="0" w:type="dxa"/>
              <w:left w:w="0" w:type="dxa"/>
              <w:bottom w:w="0" w:type="dxa"/>
              <w:right w:w="0" w:type="dxa"/>
            </w:tcMar>
            <w:vAlign w:val="center"/>
          </w:tcPr>
          <w:p w14:paraId="61F172E1" w14:textId="77777777" w:rsidR="00FF073E" w:rsidRDefault="00FF073E" w:rsidP="002D02AE">
            <w:pPr>
              <w:spacing w:after="0"/>
              <w:jc w:val="center"/>
            </w:pPr>
            <w:r>
              <w:rPr>
                <w:rFonts w:eastAsia="Century Gothic" w:cs="Century Gothic"/>
                <w:b/>
                <w:color w:val="FFFFFF"/>
                <w:sz w:val="18"/>
                <w:szCs w:val="18"/>
              </w:rPr>
              <w:t>Mean (median)</w:t>
            </w:r>
          </w:p>
        </w:tc>
        <w:tc>
          <w:tcPr>
            <w:tcW w:w="1904" w:type="dxa"/>
            <w:shd w:val="clear" w:color="auto" w:fill="408BCA"/>
            <w:tcMar>
              <w:top w:w="0" w:type="dxa"/>
              <w:left w:w="0" w:type="dxa"/>
              <w:bottom w:w="0" w:type="dxa"/>
              <w:right w:w="0" w:type="dxa"/>
            </w:tcMar>
            <w:vAlign w:val="center"/>
          </w:tcPr>
          <w:p w14:paraId="06D116B5" w14:textId="77777777" w:rsidR="00FF073E" w:rsidRDefault="00FF073E" w:rsidP="002D02AE">
            <w:pPr>
              <w:spacing w:after="0"/>
              <w:jc w:val="center"/>
            </w:pPr>
            <w:r>
              <w:rPr>
                <w:rFonts w:eastAsia="Century Gothic" w:cs="Century Gothic"/>
                <w:b/>
                <w:color w:val="FFFFFF"/>
                <w:sz w:val="18"/>
                <w:szCs w:val="18"/>
              </w:rPr>
              <w:t>Wave 2</w:t>
            </w:r>
          </w:p>
        </w:tc>
        <w:tc>
          <w:tcPr>
            <w:tcW w:w="1904" w:type="dxa"/>
            <w:shd w:val="clear" w:color="auto" w:fill="408BCA"/>
            <w:tcMar>
              <w:top w:w="0" w:type="dxa"/>
              <w:left w:w="0" w:type="dxa"/>
              <w:bottom w:w="0" w:type="dxa"/>
              <w:right w:w="0" w:type="dxa"/>
            </w:tcMar>
            <w:vAlign w:val="center"/>
          </w:tcPr>
          <w:p w14:paraId="1E60BFA0" w14:textId="77777777" w:rsidR="00FF073E" w:rsidRDefault="00FF073E" w:rsidP="002D02AE">
            <w:pPr>
              <w:spacing w:after="0"/>
              <w:jc w:val="center"/>
            </w:pPr>
            <w:r>
              <w:rPr>
                <w:rFonts w:eastAsia="Century Gothic" w:cs="Century Gothic"/>
                <w:b/>
                <w:color w:val="FFFFFF"/>
                <w:sz w:val="18"/>
                <w:szCs w:val="18"/>
              </w:rPr>
              <w:t>Wave 3</w:t>
            </w:r>
          </w:p>
        </w:tc>
      </w:tr>
      <w:tr w:rsidR="00C0723B" w:rsidRPr="00C0723B" w14:paraId="7054B6ED" w14:textId="77777777" w:rsidTr="00FF073E">
        <w:trPr>
          <w:cantSplit/>
          <w:jc w:val="center"/>
        </w:trPr>
        <w:tc>
          <w:tcPr>
            <w:tcW w:w="3630" w:type="dxa"/>
            <w:shd w:val="clear" w:color="auto" w:fill="FFFFFF"/>
            <w:tcMar>
              <w:top w:w="0" w:type="dxa"/>
              <w:left w:w="0" w:type="dxa"/>
              <w:bottom w:w="0" w:type="dxa"/>
              <w:right w:w="0" w:type="dxa"/>
            </w:tcMar>
            <w:vAlign w:val="center"/>
          </w:tcPr>
          <w:p w14:paraId="286FBBDC" w14:textId="3CA80594" w:rsidR="00C0723B" w:rsidRPr="00C0723B" w:rsidRDefault="00C0723B" w:rsidP="002D02AE">
            <w:pPr>
              <w:spacing w:before="20" w:after="20"/>
              <w:ind w:left="102" w:right="102"/>
              <w:rPr>
                <w:b/>
                <w:bCs/>
              </w:rPr>
            </w:pPr>
            <w:r w:rsidRPr="00C0723B">
              <w:rPr>
                <w:rFonts w:eastAsia="Century Gothic" w:cs="Century Gothic"/>
                <w:b/>
                <w:bCs/>
                <w:color w:val="000000"/>
                <w:sz w:val="18"/>
                <w:szCs w:val="18"/>
              </w:rPr>
              <w:t>Total </w:t>
            </w:r>
            <w:r w:rsidR="008B0C77" w:rsidRPr="00C0723B">
              <w:rPr>
                <w:rFonts w:eastAsia="Century Gothic" w:cs="Century Gothic"/>
                <w:b/>
                <w:bCs/>
                <w:color w:val="000000"/>
                <w:sz w:val="18"/>
                <w:szCs w:val="18"/>
              </w:rPr>
              <w:t xml:space="preserve">PACIC </w:t>
            </w:r>
            <w:r w:rsidRPr="00C0723B">
              <w:rPr>
                <w:rFonts w:eastAsia="Century Gothic" w:cs="Century Gothic"/>
                <w:b/>
                <w:bCs/>
                <w:color w:val="000000"/>
                <w:sz w:val="18"/>
                <w:szCs w:val="18"/>
              </w:rPr>
              <w:t>score</w:t>
            </w:r>
          </w:p>
        </w:tc>
        <w:tc>
          <w:tcPr>
            <w:tcW w:w="1650" w:type="dxa"/>
            <w:shd w:val="clear" w:color="auto" w:fill="FFFFFF"/>
            <w:tcMar>
              <w:top w:w="0" w:type="dxa"/>
              <w:left w:w="0" w:type="dxa"/>
              <w:bottom w:w="0" w:type="dxa"/>
              <w:right w:w="0" w:type="dxa"/>
            </w:tcMar>
            <w:vAlign w:val="center"/>
          </w:tcPr>
          <w:p w14:paraId="6186A8EF" w14:textId="77777777" w:rsidR="00C0723B" w:rsidRPr="00C0723B" w:rsidRDefault="00C0723B" w:rsidP="002D02AE">
            <w:pPr>
              <w:spacing w:before="20" w:after="20"/>
              <w:ind w:left="102" w:right="102"/>
              <w:jc w:val="center"/>
              <w:rPr>
                <w:b/>
                <w:bCs/>
              </w:rPr>
            </w:pPr>
            <w:r w:rsidRPr="00C0723B">
              <w:rPr>
                <w:rFonts w:eastAsia="Century Gothic" w:cs="Century Gothic"/>
                <w:b/>
                <w:bCs/>
                <w:color w:val="000000"/>
                <w:sz w:val="18"/>
                <w:szCs w:val="18"/>
              </w:rPr>
              <w:t>3.4 (3.5)</w:t>
            </w:r>
          </w:p>
        </w:tc>
        <w:tc>
          <w:tcPr>
            <w:tcW w:w="1904" w:type="dxa"/>
            <w:shd w:val="clear" w:color="auto" w:fill="FFFFFF"/>
            <w:tcMar>
              <w:top w:w="0" w:type="dxa"/>
              <w:left w:w="0" w:type="dxa"/>
              <w:bottom w:w="0" w:type="dxa"/>
              <w:right w:w="0" w:type="dxa"/>
            </w:tcMar>
            <w:vAlign w:val="center"/>
          </w:tcPr>
          <w:p w14:paraId="060BB3A4" w14:textId="77777777" w:rsidR="00C0723B" w:rsidRPr="00C0723B" w:rsidRDefault="00C0723B" w:rsidP="002D02AE">
            <w:pPr>
              <w:spacing w:before="20" w:after="20"/>
              <w:ind w:left="102" w:right="102"/>
              <w:jc w:val="center"/>
              <w:rPr>
                <w:b/>
                <w:bCs/>
              </w:rPr>
            </w:pPr>
            <w:r w:rsidRPr="00C0723B">
              <w:rPr>
                <w:rFonts w:eastAsia="Century Gothic" w:cs="Century Gothic"/>
                <w:b/>
                <w:bCs/>
                <w:color w:val="000000"/>
                <w:sz w:val="18"/>
                <w:szCs w:val="18"/>
              </w:rPr>
              <w:t>-0.02 (-0.06, 0.02)</w:t>
            </w:r>
          </w:p>
        </w:tc>
        <w:tc>
          <w:tcPr>
            <w:tcW w:w="1904" w:type="dxa"/>
            <w:shd w:val="clear" w:color="auto" w:fill="FFFFFF"/>
            <w:tcMar>
              <w:top w:w="0" w:type="dxa"/>
              <w:left w:w="0" w:type="dxa"/>
              <w:bottom w:w="0" w:type="dxa"/>
              <w:right w:w="0" w:type="dxa"/>
            </w:tcMar>
            <w:vAlign w:val="center"/>
          </w:tcPr>
          <w:p w14:paraId="09F753C1" w14:textId="77777777" w:rsidR="00C0723B" w:rsidRPr="00C0723B" w:rsidRDefault="00C0723B" w:rsidP="002D02AE">
            <w:pPr>
              <w:spacing w:before="20" w:after="20"/>
              <w:ind w:left="102" w:right="102"/>
              <w:jc w:val="center"/>
              <w:rPr>
                <w:b/>
                <w:bCs/>
              </w:rPr>
            </w:pPr>
            <w:r w:rsidRPr="00C0723B">
              <w:rPr>
                <w:rFonts w:eastAsia="Century Gothic" w:cs="Century Gothic"/>
                <w:b/>
                <w:bCs/>
                <w:color w:val="000000"/>
                <w:sz w:val="18"/>
                <w:szCs w:val="18"/>
              </w:rPr>
              <w:t>-0.13 (-0.18, -0.09)</w:t>
            </w:r>
          </w:p>
        </w:tc>
      </w:tr>
      <w:tr w:rsidR="009B3442" w14:paraId="281910FE" w14:textId="77777777" w:rsidTr="00FF073E">
        <w:trPr>
          <w:cantSplit/>
          <w:jc w:val="center"/>
        </w:trPr>
        <w:tc>
          <w:tcPr>
            <w:tcW w:w="3630" w:type="dxa"/>
            <w:shd w:val="clear" w:color="auto" w:fill="FFFFFF"/>
            <w:tcMar>
              <w:top w:w="0" w:type="dxa"/>
              <w:left w:w="0" w:type="dxa"/>
              <w:bottom w:w="0" w:type="dxa"/>
              <w:right w:w="0" w:type="dxa"/>
            </w:tcMar>
            <w:vAlign w:val="center"/>
          </w:tcPr>
          <w:p w14:paraId="31B32EE5" w14:textId="53C25615" w:rsidR="009B3442" w:rsidRDefault="009B3442" w:rsidP="002D02AE">
            <w:pPr>
              <w:spacing w:before="20" w:after="20"/>
              <w:ind w:left="102" w:right="102"/>
            </w:pPr>
            <w:r>
              <w:rPr>
                <w:rFonts w:eastAsia="Century Gothic" w:cs="Century Gothic"/>
                <w:color w:val="000000"/>
                <w:sz w:val="18"/>
                <w:szCs w:val="18"/>
              </w:rPr>
              <w:t>Patient activation score</w:t>
            </w:r>
          </w:p>
        </w:tc>
        <w:tc>
          <w:tcPr>
            <w:tcW w:w="1650" w:type="dxa"/>
            <w:shd w:val="clear" w:color="auto" w:fill="FFFFFF"/>
            <w:tcMar>
              <w:top w:w="0" w:type="dxa"/>
              <w:left w:w="0" w:type="dxa"/>
              <w:bottom w:w="0" w:type="dxa"/>
              <w:right w:w="0" w:type="dxa"/>
            </w:tcMar>
            <w:vAlign w:val="center"/>
          </w:tcPr>
          <w:p w14:paraId="421ACA1B" w14:textId="77777777" w:rsidR="009B3442" w:rsidRDefault="009B3442" w:rsidP="002D02AE">
            <w:pPr>
              <w:spacing w:before="20" w:after="20"/>
              <w:ind w:left="102" w:right="102"/>
              <w:jc w:val="center"/>
            </w:pPr>
            <w:r>
              <w:rPr>
                <w:rFonts w:eastAsia="Century Gothic" w:cs="Century Gothic"/>
                <w:color w:val="000000"/>
                <w:sz w:val="18"/>
                <w:szCs w:val="18"/>
              </w:rPr>
              <w:t>3.4 (3.5)</w:t>
            </w:r>
          </w:p>
        </w:tc>
        <w:tc>
          <w:tcPr>
            <w:tcW w:w="1904" w:type="dxa"/>
            <w:shd w:val="clear" w:color="auto" w:fill="FFFFFF"/>
            <w:tcMar>
              <w:top w:w="0" w:type="dxa"/>
              <w:left w:w="0" w:type="dxa"/>
              <w:bottom w:w="0" w:type="dxa"/>
              <w:right w:w="0" w:type="dxa"/>
            </w:tcMar>
            <w:vAlign w:val="center"/>
          </w:tcPr>
          <w:p w14:paraId="18C834A8" w14:textId="77777777" w:rsidR="009B3442" w:rsidRDefault="009B3442" w:rsidP="002D02AE">
            <w:pPr>
              <w:spacing w:before="20" w:after="20"/>
              <w:ind w:left="102" w:right="102"/>
              <w:jc w:val="center"/>
            </w:pPr>
            <w:r>
              <w:rPr>
                <w:rFonts w:eastAsia="Century Gothic" w:cs="Century Gothic"/>
                <w:color w:val="000000"/>
                <w:sz w:val="18"/>
                <w:szCs w:val="18"/>
              </w:rPr>
              <w:t>-0.02 (-0.08, 0.05)</w:t>
            </w:r>
          </w:p>
        </w:tc>
        <w:tc>
          <w:tcPr>
            <w:tcW w:w="1904" w:type="dxa"/>
            <w:shd w:val="clear" w:color="auto" w:fill="FFFFFF"/>
            <w:tcMar>
              <w:top w:w="0" w:type="dxa"/>
              <w:left w:w="0" w:type="dxa"/>
              <w:bottom w:w="0" w:type="dxa"/>
              <w:right w:w="0" w:type="dxa"/>
            </w:tcMar>
            <w:vAlign w:val="center"/>
          </w:tcPr>
          <w:p w14:paraId="5398CDB9" w14:textId="77777777" w:rsidR="009B3442" w:rsidRDefault="009B3442" w:rsidP="002D02AE">
            <w:pPr>
              <w:spacing w:before="20" w:after="20"/>
              <w:ind w:left="102" w:right="102"/>
              <w:jc w:val="center"/>
            </w:pPr>
            <w:r>
              <w:rPr>
                <w:rFonts w:eastAsia="Century Gothic" w:cs="Century Gothic"/>
                <w:color w:val="000000"/>
                <w:sz w:val="18"/>
                <w:szCs w:val="18"/>
              </w:rPr>
              <w:t>-0.10 (-0.18, -0.03)</w:t>
            </w:r>
          </w:p>
        </w:tc>
      </w:tr>
      <w:tr w:rsidR="009B3442" w14:paraId="47EFEBAE" w14:textId="77777777" w:rsidTr="00FF073E">
        <w:trPr>
          <w:cantSplit/>
          <w:jc w:val="center"/>
        </w:trPr>
        <w:tc>
          <w:tcPr>
            <w:tcW w:w="3630" w:type="dxa"/>
            <w:shd w:val="clear" w:color="auto" w:fill="FFFFFF"/>
            <w:tcMar>
              <w:top w:w="0" w:type="dxa"/>
              <w:left w:w="0" w:type="dxa"/>
              <w:bottom w:w="0" w:type="dxa"/>
              <w:right w:w="0" w:type="dxa"/>
            </w:tcMar>
            <w:vAlign w:val="center"/>
          </w:tcPr>
          <w:p w14:paraId="64ADB17E" w14:textId="616D4FF9" w:rsidR="009B3442" w:rsidRDefault="009B3442" w:rsidP="002D02AE">
            <w:pPr>
              <w:spacing w:before="20" w:after="20"/>
              <w:ind w:left="102" w:right="102"/>
            </w:pPr>
            <w:r>
              <w:rPr>
                <w:rFonts w:eastAsia="Century Gothic" w:cs="Century Gothic"/>
                <w:color w:val="000000"/>
                <w:sz w:val="18"/>
                <w:szCs w:val="18"/>
              </w:rPr>
              <w:t>Decision support score</w:t>
            </w:r>
          </w:p>
        </w:tc>
        <w:tc>
          <w:tcPr>
            <w:tcW w:w="1650" w:type="dxa"/>
            <w:shd w:val="clear" w:color="auto" w:fill="FFFFFF"/>
            <w:tcMar>
              <w:top w:w="0" w:type="dxa"/>
              <w:left w:w="0" w:type="dxa"/>
              <w:bottom w:w="0" w:type="dxa"/>
              <w:right w:w="0" w:type="dxa"/>
            </w:tcMar>
            <w:vAlign w:val="center"/>
          </w:tcPr>
          <w:p w14:paraId="767F2B14" w14:textId="77777777" w:rsidR="009B3442" w:rsidRDefault="009B3442" w:rsidP="002D02AE">
            <w:pPr>
              <w:spacing w:before="20" w:after="20"/>
              <w:ind w:left="102" w:right="102"/>
              <w:jc w:val="center"/>
            </w:pPr>
            <w:r>
              <w:rPr>
                <w:rFonts w:eastAsia="Century Gothic" w:cs="Century Gothic"/>
                <w:color w:val="000000"/>
                <w:sz w:val="18"/>
                <w:szCs w:val="18"/>
              </w:rPr>
              <w:t>3.7 (3.7)</w:t>
            </w:r>
          </w:p>
        </w:tc>
        <w:tc>
          <w:tcPr>
            <w:tcW w:w="1904" w:type="dxa"/>
            <w:shd w:val="clear" w:color="auto" w:fill="FFFFFF"/>
            <w:tcMar>
              <w:top w:w="0" w:type="dxa"/>
              <w:left w:w="0" w:type="dxa"/>
              <w:bottom w:w="0" w:type="dxa"/>
              <w:right w:w="0" w:type="dxa"/>
            </w:tcMar>
            <w:vAlign w:val="center"/>
          </w:tcPr>
          <w:p w14:paraId="07A48539" w14:textId="77777777" w:rsidR="009B3442" w:rsidRDefault="009B3442" w:rsidP="002D02AE">
            <w:pPr>
              <w:spacing w:before="20" w:after="20"/>
              <w:ind w:left="102" w:right="102"/>
              <w:jc w:val="center"/>
            </w:pPr>
            <w:r>
              <w:rPr>
                <w:rFonts w:eastAsia="Century Gothic" w:cs="Century Gothic"/>
                <w:color w:val="000000"/>
                <w:sz w:val="18"/>
                <w:szCs w:val="18"/>
              </w:rPr>
              <w:t>-0.06 (-0.11, -0.02)</w:t>
            </w:r>
          </w:p>
        </w:tc>
        <w:tc>
          <w:tcPr>
            <w:tcW w:w="1904" w:type="dxa"/>
            <w:shd w:val="clear" w:color="auto" w:fill="FFFFFF"/>
            <w:tcMar>
              <w:top w:w="0" w:type="dxa"/>
              <w:left w:w="0" w:type="dxa"/>
              <w:bottom w:w="0" w:type="dxa"/>
              <w:right w:w="0" w:type="dxa"/>
            </w:tcMar>
            <w:vAlign w:val="center"/>
          </w:tcPr>
          <w:p w14:paraId="4D977EFF" w14:textId="77777777" w:rsidR="009B3442" w:rsidRDefault="009B3442" w:rsidP="002D02AE">
            <w:pPr>
              <w:spacing w:before="20" w:after="20"/>
              <w:ind w:left="102" w:right="102"/>
              <w:jc w:val="center"/>
            </w:pPr>
            <w:r>
              <w:rPr>
                <w:rFonts w:eastAsia="Century Gothic" w:cs="Century Gothic"/>
                <w:color w:val="000000"/>
                <w:sz w:val="18"/>
                <w:szCs w:val="18"/>
              </w:rPr>
              <w:t>-0.21 (-0.26, -0.16)</w:t>
            </w:r>
          </w:p>
        </w:tc>
      </w:tr>
      <w:tr w:rsidR="009B3442" w14:paraId="61DF1279" w14:textId="77777777" w:rsidTr="00FF073E">
        <w:trPr>
          <w:cantSplit/>
          <w:jc w:val="center"/>
        </w:trPr>
        <w:tc>
          <w:tcPr>
            <w:tcW w:w="3630" w:type="dxa"/>
            <w:shd w:val="clear" w:color="auto" w:fill="FFFFFF"/>
            <w:tcMar>
              <w:top w:w="0" w:type="dxa"/>
              <w:left w:w="0" w:type="dxa"/>
              <w:bottom w:w="0" w:type="dxa"/>
              <w:right w:w="0" w:type="dxa"/>
            </w:tcMar>
            <w:vAlign w:val="center"/>
          </w:tcPr>
          <w:p w14:paraId="5A315364" w14:textId="39A1F653" w:rsidR="009B3442" w:rsidRDefault="009B3442" w:rsidP="002D02AE">
            <w:pPr>
              <w:spacing w:before="20" w:after="20"/>
              <w:ind w:left="102" w:right="102"/>
            </w:pPr>
            <w:r>
              <w:rPr>
                <w:rFonts w:eastAsia="Century Gothic" w:cs="Century Gothic"/>
                <w:color w:val="000000"/>
                <w:sz w:val="18"/>
                <w:szCs w:val="18"/>
              </w:rPr>
              <w:t>Goal setting score</w:t>
            </w:r>
          </w:p>
        </w:tc>
        <w:tc>
          <w:tcPr>
            <w:tcW w:w="1650" w:type="dxa"/>
            <w:shd w:val="clear" w:color="auto" w:fill="FFFFFF"/>
            <w:tcMar>
              <w:top w:w="0" w:type="dxa"/>
              <w:left w:w="0" w:type="dxa"/>
              <w:bottom w:w="0" w:type="dxa"/>
              <w:right w:w="0" w:type="dxa"/>
            </w:tcMar>
            <w:vAlign w:val="center"/>
          </w:tcPr>
          <w:p w14:paraId="315913B9" w14:textId="77777777" w:rsidR="009B3442" w:rsidRDefault="009B3442" w:rsidP="002D02AE">
            <w:pPr>
              <w:spacing w:before="20" w:after="20"/>
              <w:ind w:left="102" w:right="102"/>
              <w:jc w:val="center"/>
            </w:pPr>
            <w:r>
              <w:rPr>
                <w:rFonts w:eastAsia="Century Gothic" w:cs="Century Gothic"/>
                <w:color w:val="000000"/>
                <w:sz w:val="18"/>
                <w:szCs w:val="18"/>
              </w:rPr>
              <w:t>3.4 (3.7)</w:t>
            </w:r>
          </w:p>
        </w:tc>
        <w:tc>
          <w:tcPr>
            <w:tcW w:w="1904" w:type="dxa"/>
            <w:shd w:val="clear" w:color="auto" w:fill="FFFFFF"/>
            <w:tcMar>
              <w:top w:w="0" w:type="dxa"/>
              <w:left w:w="0" w:type="dxa"/>
              <w:bottom w:w="0" w:type="dxa"/>
              <w:right w:w="0" w:type="dxa"/>
            </w:tcMar>
            <w:vAlign w:val="center"/>
          </w:tcPr>
          <w:p w14:paraId="4156655E" w14:textId="77777777" w:rsidR="009B3442" w:rsidRDefault="009B3442" w:rsidP="002D02AE">
            <w:pPr>
              <w:spacing w:before="20" w:after="20"/>
              <w:ind w:left="102" w:right="102"/>
              <w:jc w:val="center"/>
            </w:pPr>
            <w:r>
              <w:rPr>
                <w:rFonts w:eastAsia="Century Gothic" w:cs="Century Gothic"/>
                <w:color w:val="000000"/>
                <w:sz w:val="18"/>
                <w:szCs w:val="18"/>
              </w:rPr>
              <w:t>-0.02 (-0.07, 0.04)</w:t>
            </w:r>
          </w:p>
        </w:tc>
        <w:tc>
          <w:tcPr>
            <w:tcW w:w="1904" w:type="dxa"/>
            <w:shd w:val="clear" w:color="auto" w:fill="FFFFFF"/>
            <w:tcMar>
              <w:top w:w="0" w:type="dxa"/>
              <w:left w:w="0" w:type="dxa"/>
              <w:bottom w:w="0" w:type="dxa"/>
              <w:right w:w="0" w:type="dxa"/>
            </w:tcMar>
            <w:vAlign w:val="center"/>
          </w:tcPr>
          <w:p w14:paraId="2A7B93BA" w14:textId="77777777" w:rsidR="009B3442" w:rsidRDefault="009B3442" w:rsidP="002D02AE">
            <w:pPr>
              <w:spacing w:before="20" w:after="20"/>
              <w:ind w:left="102" w:right="102"/>
              <w:jc w:val="center"/>
            </w:pPr>
            <w:r>
              <w:rPr>
                <w:rFonts w:eastAsia="Century Gothic" w:cs="Century Gothic"/>
                <w:color w:val="000000"/>
                <w:sz w:val="18"/>
                <w:szCs w:val="18"/>
              </w:rPr>
              <w:t>-0.10 (-0.17, -0.04)</w:t>
            </w:r>
          </w:p>
        </w:tc>
      </w:tr>
      <w:tr w:rsidR="009B3442" w14:paraId="6ACB759D" w14:textId="77777777" w:rsidTr="00FF073E">
        <w:trPr>
          <w:cantSplit/>
          <w:jc w:val="center"/>
        </w:trPr>
        <w:tc>
          <w:tcPr>
            <w:tcW w:w="3630" w:type="dxa"/>
            <w:shd w:val="clear" w:color="auto" w:fill="FFFFFF"/>
            <w:tcMar>
              <w:top w:w="0" w:type="dxa"/>
              <w:left w:w="0" w:type="dxa"/>
              <w:bottom w:w="0" w:type="dxa"/>
              <w:right w:w="0" w:type="dxa"/>
            </w:tcMar>
            <w:vAlign w:val="center"/>
          </w:tcPr>
          <w:p w14:paraId="45D485DF" w14:textId="15739317" w:rsidR="009B3442" w:rsidRDefault="009B3442" w:rsidP="002D02AE">
            <w:pPr>
              <w:spacing w:before="20" w:after="20"/>
              <w:ind w:left="102" w:right="102"/>
            </w:pPr>
            <w:r>
              <w:rPr>
                <w:rFonts w:eastAsia="Century Gothic" w:cs="Century Gothic"/>
                <w:color w:val="000000"/>
                <w:sz w:val="18"/>
                <w:szCs w:val="18"/>
              </w:rPr>
              <w:t>Problem solving score</w:t>
            </w:r>
          </w:p>
        </w:tc>
        <w:tc>
          <w:tcPr>
            <w:tcW w:w="1650" w:type="dxa"/>
            <w:shd w:val="clear" w:color="auto" w:fill="FFFFFF"/>
            <w:tcMar>
              <w:top w:w="0" w:type="dxa"/>
              <w:left w:w="0" w:type="dxa"/>
              <w:bottom w:w="0" w:type="dxa"/>
              <w:right w:w="0" w:type="dxa"/>
            </w:tcMar>
            <w:vAlign w:val="center"/>
          </w:tcPr>
          <w:p w14:paraId="052094A8" w14:textId="77777777" w:rsidR="009B3442" w:rsidRDefault="009B3442" w:rsidP="002D02AE">
            <w:pPr>
              <w:spacing w:before="20" w:after="20"/>
              <w:ind w:left="102" w:right="102"/>
              <w:jc w:val="center"/>
            </w:pPr>
            <w:r>
              <w:rPr>
                <w:rFonts w:eastAsia="Century Gothic" w:cs="Century Gothic"/>
                <w:color w:val="000000"/>
                <w:sz w:val="18"/>
                <w:szCs w:val="18"/>
              </w:rPr>
              <w:t>4.2 (5.0)</w:t>
            </w:r>
          </w:p>
        </w:tc>
        <w:tc>
          <w:tcPr>
            <w:tcW w:w="1904" w:type="dxa"/>
            <w:shd w:val="clear" w:color="auto" w:fill="FFFFFF"/>
            <w:tcMar>
              <w:top w:w="0" w:type="dxa"/>
              <w:left w:w="0" w:type="dxa"/>
              <w:bottom w:w="0" w:type="dxa"/>
              <w:right w:w="0" w:type="dxa"/>
            </w:tcMar>
            <w:vAlign w:val="center"/>
          </w:tcPr>
          <w:p w14:paraId="4DF39FF0" w14:textId="77777777" w:rsidR="009B3442" w:rsidRDefault="009B3442" w:rsidP="002D02AE">
            <w:pPr>
              <w:spacing w:before="20" w:after="20"/>
              <w:ind w:left="102" w:right="102"/>
              <w:jc w:val="center"/>
            </w:pPr>
            <w:r>
              <w:rPr>
                <w:rFonts w:eastAsia="Century Gothic" w:cs="Century Gothic"/>
                <w:color w:val="000000"/>
                <w:sz w:val="18"/>
                <w:szCs w:val="18"/>
              </w:rPr>
              <w:t>-0.09 (-0.16, -0.02)</w:t>
            </w:r>
          </w:p>
        </w:tc>
        <w:tc>
          <w:tcPr>
            <w:tcW w:w="1904" w:type="dxa"/>
            <w:shd w:val="clear" w:color="auto" w:fill="FFFFFF"/>
            <w:tcMar>
              <w:top w:w="0" w:type="dxa"/>
              <w:left w:w="0" w:type="dxa"/>
              <w:bottom w:w="0" w:type="dxa"/>
              <w:right w:w="0" w:type="dxa"/>
            </w:tcMar>
            <w:vAlign w:val="center"/>
          </w:tcPr>
          <w:p w14:paraId="164B88CA" w14:textId="77777777" w:rsidR="009B3442" w:rsidRDefault="009B3442" w:rsidP="002D02AE">
            <w:pPr>
              <w:spacing w:before="20" w:after="20"/>
              <w:ind w:left="102" w:right="102"/>
              <w:jc w:val="center"/>
            </w:pPr>
            <w:r>
              <w:rPr>
                <w:rFonts w:eastAsia="Century Gothic" w:cs="Century Gothic"/>
                <w:color w:val="000000"/>
                <w:sz w:val="18"/>
                <w:szCs w:val="18"/>
              </w:rPr>
              <w:t>-0.13 (-0.21, -0.05)</w:t>
            </w:r>
          </w:p>
        </w:tc>
      </w:tr>
      <w:tr w:rsidR="009B3442" w14:paraId="2240E5F7" w14:textId="77777777" w:rsidTr="00FF073E">
        <w:trPr>
          <w:cantSplit/>
          <w:jc w:val="center"/>
        </w:trPr>
        <w:tc>
          <w:tcPr>
            <w:tcW w:w="3630" w:type="dxa"/>
            <w:shd w:val="clear" w:color="auto" w:fill="FFFFFF"/>
            <w:tcMar>
              <w:top w:w="0" w:type="dxa"/>
              <w:left w:w="0" w:type="dxa"/>
              <w:bottom w:w="0" w:type="dxa"/>
              <w:right w:w="0" w:type="dxa"/>
            </w:tcMar>
            <w:vAlign w:val="center"/>
          </w:tcPr>
          <w:p w14:paraId="1A6BE5C6" w14:textId="7C4B6B46" w:rsidR="009B3442" w:rsidRDefault="009B3442" w:rsidP="002D02AE">
            <w:pPr>
              <w:spacing w:before="20" w:after="20"/>
              <w:ind w:left="102" w:right="102"/>
            </w:pPr>
            <w:r>
              <w:rPr>
                <w:rFonts w:eastAsia="Century Gothic" w:cs="Century Gothic"/>
                <w:color w:val="000000"/>
                <w:sz w:val="18"/>
                <w:szCs w:val="18"/>
              </w:rPr>
              <w:t>Follow-up/ coordination score</w:t>
            </w:r>
          </w:p>
        </w:tc>
        <w:tc>
          <w:tcPr>
            <w:tcW w:w="1650" w:type="dxa"/>
            <w:shd w:val="clear" w:color="auto" w:fill="FFFFFF"/>
            <w:tcMar>
              <w:top w:w="0" w:type="dxa"/>
              <w:left w:w="0" w:type="dxa"/>
              <w:bottom w:w="0" w:type="dxa"/>
              <w:right w:w="0" w:type="dxa"/>
            </w:tcMar>
            <w:vAlign w:val="center"/>
          </w:tcPr>
          <w:p w14:paraId="385A9966" w14:textId="77777777" w:rsidR="009B3442" w:rsidRDefault="009B3442" w:rsidP="002D02AE">
            <w:pPr>
              <w:spacing w:before="20" w:after="20"/>
              <w:ind w:left="102" w:right="102"/>
              <w:jc w:val="center"/>
            </w:pPr>
            <w:r>
              <w:rPr>
                <w:rFonts w:eastAsia="Century Gothic" w:cs="Century Gothic"/>
                <w:color w:val="000000"/>
                <w:sz w:val="18"/>
                <w:szCs w:val="18"/>
              </w:rPr>
              <w:t>2.6 (2.7)</w:t>
            </w:r>
          </w:p>
        </w:tc>
        <w:tc>
          <w:tcPr>
            <w:tcW w:w="1904" w:type="dxa"/>
            <w:shd w:val="clear" w:color="auto" w:fill="FFFFFF"/>
            <w:tcMar>
              <w:top w:w="0" w:type="dxa"/>
              <w:left w:w="0" w:type="dxa"/>
              <w:bottom w:w="0" w:type="dxa"/>
              <w:right w:w="0" w:type="dxa"/>
            </w:tcMar>
            <w:vAlign w:val="center"/>
          </w:tcPr>
          <w:p w14:paraId="06BBA7F0" w14:textId="77777777" w:rsidR="009B3442" w:rsidRDefault="009B3442" w:rsidP="002D02AE">
            <w:pPr>
              <w:spacing w:before="20" w:after="20"/>
              <w:ind w:left="102" w:right="102"/>
              <w:jc w:val="center"/>
            </w:pPr>
            <w:r>
              <w:rPr>
                <w:rFonts w:eastAsia="Century Gothic" w:cs="Century Gothic"/>
                <w:color w:val="000000"/>
                <w:sz w:val="18"/>
                <w:szCs w:val="18"/>
              </w:rPr>
              <w:t>0.04 (-0.02, 0.09)</w:t>
            </w:r>
          </w:p>
        </w:tc>
        <w:tc>
          <w:tcPr>
            <w:tcW w:w="1904" w:type="dxa"/>
            <w:shd w:val="clear" w:color="auto" w:fill="FFFFFF"/>
            <w:tcMar>
              <w:top w:w="0" w:type="dxa"/>
              <w:left w:w="0" w:type="dxa"/>
              <w:bottom w:w="0" w:type="dxa"/>
              <w:right w:w="0" w:type="dxa"/>
            </w:tcMar>
            <w:vAlign w:val="center"/>
          </w:tcPr>
          <w:p w14:paraId="68265968" w14:textId="77777777" w:rsidR="009B3442" w:rsidRDefault="009B3442" w:rsidP="002D02AE">
            <w:pPr>
              <w:spacing w:before="20" w:after="20"/>
              <w:ind w:left="102" w:right="102"/>
              <w:jc w:val="center"/>
            </w:pPr>
            <w:r>
              <w:rPr>
                <w:rFonts w:eastAsia="Century Gothic" w:cs="Century Gothic"/>
                <w:color w:val="000000"/>
                <w:sz w:val="18"/>
                <w:szCs w:val="18"/>
              </w:rPr>
              <w:t>-0.10 (-0.17, -0.04)</w:t>
            </w:r>
          </w:p>
        </w:tc>
      </w:tr>
    </w:tbl>
    <w:p w14:paraId="08F99428" w14:textId="5F846B9B" w:rsidR="00EB4539" w:rsidRDefault="00EB4539" w:rsidP="00EB4539">
      <w:pPr>
        <w:pStyle w:val="Chartortablefootnote"/>
        <w:spacing w:after="0"/>
      </w:pPr>
      <w:r w:rsidRPr="00442207">
        <w:t xml:space="preserve">Notes: </w:t>
      </w:r>
      <w:r w:rsidR="00442207" w:rsidRPr="00EB1DF2">
        <w:rPr>
          <w:vertAlign w:val="superscript"/>
        </w:rPr>
        <w:t>1</w:t>
      </w:r>
      <w:r w:rsidR="00442207" w:rsidRPr="00442207">
        <w:t xml:space="preserve"> Change is estimated from an analysis involving all patients who completed at least one survey using generalised linear mixed model with random intercept terms for patient and practice. Very similar results were obtained from the same analysis using only those patients who completed all three surveys</w:t>
      </w:r>
      <w:r w:rsidR="00442207">
        <w:t>.</w:t>
      </w:r>
    </w:p>
    <w:p w14:paraId="5EC9540A" w14:textId="5E2D3FE8" w:rsidR="00E364DA" w:rsidRPr="00E364DA" w:rsidRDefault="00E364DA" w:rsidP="00E364DA">
      <w:pPr>
        <w:pStyle w:val="Chartortablefootnote"/>
      </w:pPr>
      <w:r w:rsidRPr="00E364DA">
        <w:t>Source: Patient surveys Wave 1 Dec 2017–Mar 2019; Wave 2 Dec 2019–Mar 2020; Wave 3 Mar–Apr 2021.</w:t>
      </w:r>
    </w:p>
    <w:p w14:paraId="24CCDD2B" w14:textId="24ADC1DF" w:rsidR="00EE7FD4" w:rsidRDefault="00EE7FD4" w:rsidP="002D02AE">
      <w:pPr>
        <w:pStyle w:val="TableorFigurecaptionHPA"/>
      </w:pPr>
      <w:bookmarkStart w:id="337" w:name="_Ref98319723"/>
      <w:r w:rsidRPr="005808A9">
        <w:t xml:space="preserve">Table </w:t>
      </w:r>
      <w:r w:rsidRPr="005808A9">
        <w:fldChar w:fldCharType="begin"/>
      </w:r>
      <w:r w:rsidRPr="005808A9">
        <w:instrText>SEQ Table \* ARABIC</w:instrText>
      </w:r>
      <w:r w:rsidRPr="005808A9">
        <w:fldChar w:fldCharType="separate"/>
      </w:r>
      <w:r w:rsidR="003C4BC2">
        <w:rPr>
          <w:noProof/>
        </w:rPr>
        <w:t>42</w:t>
      </w:r>
      <w:r w:rsidRPr="005808A9">
        <w:fldChar w:fldCharType="end"/>
      </w:r>
      <w:bookmarkEnd w:id="337"/>
      <w:r w:rsidRPr="005808A9">
        <w:t xml:space="preserve">: Odds </w:t>
      </w:r>
      <w:r w:rsidR="00CB5829">
        <w:t xml:space="preserve">ratio </w:t>
      </w:r>
      <w:r w:rsidR="005F642C">
        <w:t>of</w:t>
      </w:r>
      <w:r w:rsidR="0022257E">
        <w:t xml:space="preserve"> the proportion </w:t>
      </w:r>
      <w:r w:rsidRPr="005808A9">
        <w:t xml:space="preserve">of </w:t>
      </w:r>
      <w:r w:rsidR="0022257E">
        <w:t xml:space="preserve">respondents </w:t>
      </w:r>
      <w:r w:rsidR="005B0677">
        <w:t xml:space="preserve">reporting </w:t>
      </w:r>
      <w:r w:rsidR="005B0677" w:rsidRPr="00A072B6">
        <w:rPr>
          <w:i/>
          <w:iCs/>
        </w:rPr>
        <w:t>Always or Most</w:t>
      </w:r>
      <w:r w:rsidR="00562FE5" w:rsidRPr="00A072B6">
        <w:rPr>
          <w:i/>
        </w:rPr>
        <w:t xml:space="preserve"> of </w:t>
      </w:r>
      <w:r w:rsidR="005B0677" w:rsidRPr="00A072B6">
        <w:rPr>
          <w:i/>
          <w:iCs/>
        </w:rPr>
        <w:t>the time</w:t>
      </w:r>
      <w:r w:rsidRPr="00A072B6">
        <w:rPr>
          <w:i/>
        </w:rPr>
        <w:t xml:space="preserve"> in</w:t>
      </w:r>
      <w:r>
        <w:t xml:space="preserve"> waves 2 and 3 relative to wave 1</w:t>
      </w:r>
    </w:p>
    <w:tbl>
      <w:tblPr>
        <w:tblW w:w="8640"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4294"/>
        <w:gridCol w:w="2147"/>
        <w:gridCol w:w="2147"/>
        <w:gridCol w:w="52"/>
      </w:tblGrid>
      <w:tr w:rsidR="00FF073E" w14:paraId="1AE63CC0" w14:textId="77777777" w:rsidTr="00FF073E">
        <w:trPr>
          <w:gridAfter w:val="1"/>
          <w:wAfter w:w="52" w:type="dxa"/>
          <w:cantSplit/>
          <w:tblHeader/>
          <w:jc w:val="center"/>
        </w:trPr>
        <w:tc>
          <w:tcPr>
            <w:tcW w:w="4294" w:type="dxa"/>
            <w:vMerge w:val="restart"/>
            <w:shd w:val="clear" w:color="auto" w:fill="408BCA"/>
            <w:tcMar>
              <w:top w:w="0" w:type="dxa"/>
              <w:left w:w="57" w:type="dxa"/>
              <w:bottom w:w="0" w:type="dxa"/>
              <w:right w:w="0" w:type="dxa"/>
            </w:tcMar>
            <w:vAlign w:val="center"/>
          </w:tcPr>
          <w:p w14:paraId="624D81CD" w14:textId="5D3BF253" w:rsidR="00FF073E" w:rsidRDefault="00FF073E" w:rsidP="00AB42A6">
            <w:pPr>
              <w:spacing w:after="0"/>
            </w:pPr>
            <w:r>
              <w:rPr>
                <w:rFonts w:eastAsia="Century Gothic" w:cs="Century Gothic"/>
                <w:b/>
                <w:color w:val="FFFFFF"/>
                <w:sz w:val="18"/>
                <w:szCs w:val="18"/>
              </w:rPr>
              <w:t>PACIC subcategory</w:t>
            </w:r>
          </w:p>
        </w:tc>
        <w:tc>
          <w:tcPr>
            <w:tcW w:w="4294" w:type="dxa"/>
            <w:gridSpan w:val="2"/>
            <w:shd w:val="clear" w:color="auto" w:fill="408BCA"/>
            <w:tcMar>
              <w:top w:w="0" w:type="dxa"/>
              <w:left w:w="0" w:type="dxa"/>
              <w:bottom w:w="0" w:type="dxa"/>
              <w:right w:w="0" w:type="dxa"/>
            </w:tcMar>
            <w:vAlign w:val="center"/>
          </w:tcPr>
          <w:p w14:paraId="527984BE" w14:textId="650C6227" w:rsidR="00FF073E" w:rsidRDefault="00FF073E" w:rsidP="002D02AE">
            <w:pPr>
              <w:spacing w:after="0"/>
              <w:jc w:val="center"/>
            </w:pPr>
            <w:r>
              <w:rPr>
                <w:rFonts w:eastAsia="Century Gothic" w:cs="Century Gothic"/>
                <w:b/>
                <w:color w:val="FFFFFF"/>
                <w:sz w:val="18"/>
                <w:szCs w:val="18"/>
              </w:rPr>
              <w:t xml:space="preserve">Odds ratio (95% CI) relative to wave 1 </w:t>
            </w:r>
            <w:r w:rsidRPr="00442207">
              <w:rPr>
                <w:rFonts w:eastAsia="Century Gothic" w:cs="Century Gothic"/>
                <w:b/>
                <w:color w:val="FFFFFF"/>
                <w:sz w:val="18"/>
                <w:szCs w:val="18"/>
                <w:vertAlign w:val="superscript"/>
              </w:rPr>
              <w:t>2</w:t>
            </w:r>
          </w:p>
        </w:tc>
      </w:tr>
      <w:tr w:rsidR="00FF073E" w14:paraId="40258162" w14:textId="77777777" w:rsidTr="00FF073E">
        <w:trPr>
          <w:cantSplit/>
          <w:tblHeader/>
          <w:jc w:val="center"/>
        </w:trPr>
        <w:tc>
          <w:tcPr>
            <w:tcW w:w="4294" w:type="dxa"/>
            <w:vMerge/>
            <w:shd w:val="clear" w:color="auto" w:fill="408BCA"/>
            <w:tcMar>
              <w:top w:w="0" w:type="dxa"/>
              <w:left w:w="0" w:type="dxa"/>
              <w:bottom w:w="0" w:type="dxa"/>
              <w:right w:w="0" w:type="dxa"/>
            </w:tcMar>
            <w:vAlign w:val="center"/>
          </w:tcPr>
          <w:p w14:paraId="0DB54F6B" w14:textId="77777777" w:rsidR="00FF073E" w:rsidRDefault="00FF073E" w:rsidP="002D02AE">
            <w:pPr>
              <w:spacing w:after="0"/>
              <w:jc w:val="center"/>
            </w:pPr>
          </w:p>
        </w:tc>
        <w:tc>
          <w:tcPr>
            <w:tcW w:w="2147" w:type="dxa"/>
            <w:shd w:val="clear" w:color="auto" w:fill="408BCA"/>
            <w:tcMar>
              <w:top w:w="0" w:type="dxa"/>
              <w:left w:w="0" w:type="dxa"/>
              <w:bottom w:w="0" w:type="dxa"/>
              <w:right w:w="0" w:type="dxa"/>
            </w:tcMar>
            <w:vAlign w:val="center"/>
          </w:tcPr>
          <w:p w14:paraId="7FB48226" w14:textId="77777777" w:rsidR="00FF073E" w:rsidRDefault="00FF073E" w:rsidP="002D02AE">
            <w:pPr>
              <w:spacing w:after="0"/>
              <w:jc w:val="center"/>
            </w:pPr>
            <w:r>
              <w:rPr>
                <w:rFonts w:eastAsia="Century Gothic" w:cs="Century Gothic"/>
                <w:b/>
                <w:color w:val="FFFFFF"/>
                <w:sz w:val="18"/>
                <w:szCs w:val="18"/>
              </w:rPr>
              <w:t>Wave 2</w:t>
            </w:r>
          </w:p>
        </w:tc>
        <w:tc>
          <w:tcPr>
            <w:tcW w:w="2199" w:type="dxa"/>
            <w:gridSpan w:val="2"/>
            <w:shd w:val="clear" w:color="auto" w:fill="408BCA"/>
            <w:tcMar>
              <w:top w:w="0" w:type="dxa"/>
              <w:left w:w="0" w:type="dxa"/>
              <w:bottom w:w="0" w:type="dxa"/>
              <w:right w:w="0" w:type="dxa"/>
            </w:tcMar>
            <w:vAlign w:val="center"/>
          </w:tcPr>
          <w:p w14:paraId="4AF1FA8B" w14:textId="77777777" w:rsidR="00FF073E" w:rsidRDefault="00FF073E" w:rsidP="002D02AE">
            <w:pPr>
              <w:spacing w:after="0"/>
              <w:jc w:val="center"/>
            </w:pPr>
            <w:r>
              <w:rPr>
                <w:rFonts w:eastAsia="Century Gothic" w:cs="Century Gothic"/>
                <w:b/>
                <w:color w:val="FFFFFF"/>
                <w:sz w:val="18"/>
                <w:szCs w:val="18"/>
              </w:rPr>
              <w:t>Wave 3</w:t>
            </w:r>
          </w:p>
        </w:tc>
      </w:tr>
      <w:tr w:rsidR="00EE7FD4" w:rsidRPr="00330442" w14:paraId="382355F2" w14:textId="77777777" w:rsidTr="00FF073E">
        <w:trPr>
          <w:cantSplit/>
          <w:jc w:val="center"/>
        </w:trPr>
        <w:tc>
          <w:tcPr>
            <w:tcW w:w="4294" w:type="dxa"/>
            <w:shd w:val="clear" w:color="auto" w:fill="FFFFFF"/>
            <w:tcMar>
              <w:top w:w="0" w:type="dxa"/>
              <w:left w:w="0" w:type="dxa"/>
              <w:bottom w:w="0" w:type="dxa"/>
              <w:right w:w="0" w:type="dxa"/>
            </w:tcMar>
            <w:vAlign w:val="center"/>
          </w:tcPr>
          <w:p w14:paraId="79E1731A" w14:textId="5FCC3DA8" w:rsidR="00EE7FD4" w:rsidRPr="00ED35DE" w:rsidRDefault="00EE7FD4" w:rsidP="002D02AE">
            <w:pPr>
              <w:spacing w:before="20" w:after="20"/>
              <w:ind w:left="102" w:right="102"/>
            </w:pPr>
            <w:r w:rsidRPr="00ED35DE">
              <w:rPr>
                <w:rFonts w:eastAsia="Century Gothic" w:cs="Century Gothic"/>
                <w:color w:val="000000"/>
                <w:sz w:val="18"/>
                <w:szCs w:val="18"/>
              </w:rPr>
              <w:t>Patient activation score</w:t>
            </w:r>
          </w:p>
        </w:tc>
        <w:tc>
          <w:tcPr>
            <w:tcW w:w="2147" w:type="dxa"/>
            <w:shd w:val="clear" w:color="auto" w:fill="FFFFFF"/>
            <w:tcMar>
              <w:top w:w="0" w:type="dxa"/>
              <w:left w:w="0" w:type="dxa"/>
              <w:bottom w:w="0" w:type="dxa"/>
              <w:right w:w="0" w:type="dxa"/>
            </w:tcMar>
            <w:vAlign w:val="center"/>
          </w:tcPr>
          <w:p w14:paraId="590998DE" w14:textId="77777777" w:rsidR="00EE7FD4" w:rsidRPr="00ED35DE" w:rsidRDefault="00EE7FD4" w:rsidP="002D02AE">
            <w:pPr>
              <w:spacing w:before="20" w:after="20"/>
              <w:ind w:left="102" w:right="102"/>
              <w:jc w:val="center"/>
            </w:pPr>
            <w:r w:rsidRPr="00ED35DE">
              <w:rPr>
                <w:rFonts w:eastAsia="Century Gothic" w:cs="Century Gothic"/>
                <w:color w:val="000000"/>
                <w:sz w:val="18"/>
                <w:szCs w:val="18"/>
              </w:rPr>
              <w:t>0.96 (0.85, 1.08)</w:t>
            </w:r>
          </w:p>
        </w:tc>
        <w:tc>
          <w:tcPr>
            <w:tcW w:w="2199" w:type="dxa"/>
            <w:gridSpan w:val="2"/>
            <w:shd w:val="clear" w:color="auto" w:fill="FFFFFF"/>
            <w:tcMar>
              <w:top w:w="0" w:type="dxa"/>
              <w:left w:w="0" w:type="dxa"/>
              <w:bottom w:w="0" w:type="dxa"/>
              <w:right w:w="0" w:type="dxa"/>
            </w:tcMar>
            <w:vAlign w:val="center"/>
          </w:tcPr>
          <w:p w14:paraId="603A5031" w14:textId="77777777" w:rsidR="00EE7FD4" w:rsidRPr="00ED35DE" w:rsidRDefault="00EE7FD4" w:rsidP="002D02AE">
            <w:pPr>
              <w:spacing w:before="20" w:after="20"/>
              <w:ind w:left="102" w:right="102"/>
              <w:jc w:val="center"/>
            </w:pPr>
            <w:r w:rsidRPr="00ED35DE">
              <w:rPr>
                <w:rFonts w:eastAsia="Century Gothic" w:cs="Century Gothic"/>
                <w:color w:val="000000"/>
                <w:sz w:val="18"/>
                <w:szCs w:val="18"/>
              </w:rPr>
              <w:t>0.84 (0.74, 0.95)</w:t>
            </w:r>
          </w:p>
        </w:tc>
      </w:tr>
      <w:tr w:rsidR="00EE7FD4" w14:paraId="0F49DE97" w14:textId="77777777" w:rsidTr="00FF073E">
        <w:trPr>
          <w:cantSplit/>
          <w:jc w:val="center"/>
        </w:trPr>
        <w:tc>
          <w:tcPr>
            <w:tcW w:w="4294" w:type="dxa"/>
            <w:shd w:val="clear" w:color="auto" w:fill="FFFFFF"/>
            <w:tcMar>
              <w:top w:w="0" w:type="dxa"/>
              <w:left w:w="0" w:type="dxa"/>
              <w:bottom w:w="0" w:type="dxa"/>
              <w:right w:w="0" w:type="dxa"/>
            </w:tcMar>
            <w:vAlign w:val="center"/>
          </w:tcPr>
          <w:p w14:paraId="3EA4FF34" w14:textId="39663843" w:rsidR="00EE7FD4" w:rsidRDefault="00EE7FD4" w:rsidP="002D02AE">
            <w:pPr>
              <w:spacing w:before="20" w:after="20"/>
              <w:ind w:left="102" w:right="102"/>
            </w:pPr>
            <w:r>
              <w:rPr>
                <w:rFonts w:eastAsia="Century Gothic" w:cs="Century Gothic"/>
                <w:color w:val="000000"/>
                <w:sz w:val="18"/>
                <w:szCs w:val="18"/>
              </w:rPr>
              <w:t>Decision support score</w:t>
            </w:r>
          </w:p>
        </w:tc>
        <w:tc>
          <w:tcPr>
            <w:tcW w:w="2147" w:type="dxa"/>
            <w:shd w:val="clear" w:color="auto" w:fill="FFFFFF"/>
            <w:tcMar>
              <w:top w:w="0" w:type="dxa"/>
              <w:left w:w="0" w:type="dxa"/>
              <w:bottom w:w="0" w:type="dxa"/>
              <w:right w:w="0" w:type="dxa"/>
            </w:tcMar>
            <w:vAlign w:val="center"/>
          </w:tcPr>
          <w:p w14:paraId="5ADF4302" w14:textId="77777777" w:rsidR="00EE7FD4" w:rsidRDefault="00EE7FD4" w:rsidP="002D02AE">
            <w:pPr>
              <w:spacing w:before="20" w:after="20"/>
              <w:ind w:left="102" w:right="102"/>
              <w:jc w:val="center"/>
            </w:pPr>
            <w:r>
              <w:rPr>
                <w:rFonts w:eastAsia="Century Gothic" w:cs="Century Gothic"/>
                <w:color w:val="000000"/>
                <w:sz w:val="18"/>
                <w:szCs w:val="18"/>
              </w:rPr>
              <w:t>0.82 (0.73, 0.92)</w:t>
            </w:r>
          </w:p>
        </w:tc>
        <w:tc>
          <w:tcPr>
            <w:tcW w:w="2199" w:type="dxa"/>
            <w:gridSpan w:val="2"/>
            <w:shd w:val="clear" w:color="auto" w:fill="FFFFFF"/>
            <w:tcMar>
              <w:top w:w="0" w:type="dxa"/>
              <w:left w:w="0" w:type="dxa"/>
              <w:bottom w:w="0" w:type="dxa"/>
              <w:right w:w="0" w:type="dxa"/>
            </w:tcMar>
            <w:vAlign w:val="center"/>
          </w:tcPr>
          <w:p w14:paraId="421A8AC1" w14:textId="77777777" w:rsidR="00EE7FD4" w:rsidRDefault="00EE7FD4" w:rsidP="002D02AE">
            <w:pPr>
              <w:spacing w:before="20" w:after="20"/>
              <w:ind w:left="102" w:right="102"/>
              <w:jc w:val="center"/>
            </w:pPr>
            <w:r>
              <w:rPr>
                <w:rFonts w:eastAsia="Century Gothic" w:cs="Century Gothic"/>
                <w:color w:val="000000"/>
                <w:sz w:val="18"/>
                <w:szCs w:val="18"/>
              </w:rPr>
              <w:t>0.62 (0.55, 0.70)</w:t>
            </w:r>
          </w:p>
        </w:tc>
      </w:tr>
      <w:tr w:rsidR="00EE7FD4" w14:paraId="73F4AFC6" w14:textId="77777777" w:rsidTr="00FF073E">
        <w:trPr>
          <w:cantSplit/>
          <w:jc w:val="center"/>
        </w:trPr>
        <w:tc>
          <w:tcPr>
            <w:tcW w:w="4294" w:type="dxa"/>
            <w:shd w:val="clear" w:color="auto" w:fill="FFFFFF"/>
            <w:tcMar>
              <w:top w:w="0" w:type="dxa"/>
              <w:left w:w="0" w:type="dxa"/>
              <w:bottom w:w="0" w:type="dxa"/>
              <w:right w:w="0" w:type="dxa"/>
            </w:tcMar>
            <w:vAlign w:val="center"/>
          </w:tcPr>
          <w:p w14:paraId="1FECFD7B" w14:textId="21894134" w:rsidR="00EE7FD4" w:rsidRDefault="00EE7FD4" w:rsidP="002D02AE">
            <w:pPr>
              <w:spacing w:before="20" w:after="20"/>
              <w:ind w:left="102" w:right="102"/>
            </w:pPr>
            <w:r>
              <w:rPr>
                <w:rFonts w:eastAsia="Century Gothic" w:cs="Century Gothic"/>
                <w:color w:val="000000"/>
                <w:sz w:val="18"/>
                <w:szCs w:val="18"/>
              </w:rPr>
              <w:t>Goal setting score</w:t>
            </w:r>
          </w:p>
        </w:tc>
        <w:tc>
          <w:tcPr>
            <w:tcW w:w="2147" w:type="dxa"/>
            <w:shd w:val="clear" w:color="auto" w:fill="FFFFFF"/>
            <w:tcMar>
              <w:top w:w="0" w:type="dxa"/>
              <w:left w:w="0" w:type="dxa"/>
              <w:bottom w:w="0" w:type="dxa"/>
              <w:right w:w="0" w:type="dxa"/>
            </w:tcMar>
            <w:vAlign w:val="center"/>
          </w:tcPr>
          <w:p w14:paraId="61C51B1E" w14:textId="77777777" w:rsidR="00EE7FD4" w:rsidRDefault="00EE7FD4" w:rsidP="002D02AE">
            <w:pPr>
              <w:spacing w:before="20" w:after="20"/>
              <w:ind w:left="102" w:right="102"/>
              <w:jc w:val="center"/>
            </w:pPr>
            <w:r>
              <w:rPr>
                <w:rFonts w:eastAsia="Century Gothic" w:cs="Century Gothic"/>
                <w:color w:val="000000"/>
                <w:sz w:val="18"/>
                <w:szCs w:val="18"/>
              </w:rPr>
              <w:t>0.95 (0.85, 1.06)</w:t>
            </w:r>
          </w:p>
        </w:tc>
        <w:tc>
          <w:tcPr>
            <w:tcW w:w="2199" w:type="dxa"/>
            <w:gridSpan w:val="2"/>
            <w:shd w:val="clear" w:color="auto" w:fill="FFFFFF"/>
            <w:tcMar>
              <w:top w:w="0" w:type="dxa"/>
              <w:left w:w="0" w:type="dxa"/>
              <w:bottom w:w="0" w:type="dxa"/>
              <w:right w:w="0" w:type="dxa"/>
            </w:tcMar>
            <w:vAlign w:val="center"/>
          </w:tcPr>
          <w:p w14:paraId="61AE3A05" w14:textId="77777777" w:rsidR="00EE7FD4" w:rsidRDefault="00EE7FD4" w:rsidP="002D02AE">
            <w:pPr>
              <w:spacing w:before="20" w:after="20"/>
              <w:ind w:left="102" w:right="102"/>
              <w:jc w:val="center"/>
            </w:pPr>
            <w:r>
              <w:rPr>
                <w:rFonts w:eastAsia="Century Gothic" w:cs="Century Gothic"/>
                <w:color w:val="000000"/>
                <w:sz w:val="18"/>
                <w:szCs w:val="18"/>
              </w:rPr>
              <w:t>0.80 (0.71, 0.90)</w:t>
            </w:r>
          </w:p>
        </w:tc>
      </w:tr>
      <w:tr w:rsidR="00EE7FD4" w14:paraId="1FF9BA0B" w14:textId="77777777" w:rsidTr="00FF073E">
        <w:trPr>
          <w:cantSplit/>
          <w:jc w:val="center"/>
        </w:trPr>
        <w:tc>
          <w:tcPr>
            <w:tcW w:w="4294" w:type="dxa"/>
            <w:shd w:val="clear" w:color="auto" w:fill="FFFFFF"/>
            <w:tcMar>
              <w:top w:w="0" w:type="dxa"/>
              <w:left w:w="0" w:type="dxa"/>
              <w:bottom w:w="0" w:type="dxa"/>
              <w:right w:w="0" w:type="dxa"/>
            </w:tcMar>
            <w:vAlign w:val="center"/>
          </w:tcPr>
          <w:p w14:paraId="0D083698" w14:textId="299719B8" w:rsidR="00EE7FD4" w:rsidRDefault="00EE7FD4" w:rsidP="002D02AE">
            <w:pPr>
              <w:spacing w:before="20" w:after="20"/>
              <w:ind w:left="102" w:right="102"/>
            </w:pPr>
            <w:r>
              <w:rPr>
                <w:rFonts w:eastAsia="Century Gothic" w:cs="Century Gothic"/>
                <w:color w:val="000000"/>
                <w:sz w:val="18"/>
                <w:szCs w:val="18"/>
              </w:rPr>
              <w:t>Problem solving score</w:t>
            </w:r>
          </w:p>
        </w:tc>
        <w:tc>
          <w:tcPr>
            <w:tcW w:w="2147" w:type="dxa"/>
            <w:shd w:val="clear" w:color="auto" w:fill="FFFFFF"/>
            <w:tcMar>
              <w:top w:w="0" w:type="dxa"/>
              <w:left w:w="0" w:type="dxa"/>
              <w:bottom w:w="0" w:type="dxa"/>
              <w:right w:w="0" w:type="dxa"/>
            </w:tcMar>
            <w:vAlign w:val="center"/>
          </w:tcPr>
          <w:p w14:paraId="0F231BD8" w14:textId="77777777" w:rsidR="00EE7FD4" w:rsidRDefault="00EE7FD4" w:rsidP="002D02AE">
            <w:pPr>
              <w:spacing w:before="20" w:after="20"/>
              <w:ind w:left="102" w:right="102"/>
              <w:jc w:val="center"/>
            </w:pPr>
            <w:r>
              <w:rPr>
                <w:rFonts w:eastAsia="Century Gothic" w:cs="Century Gothic"/>
                <w:color w:val="000000"/>
                <w:sz w:val="18"/>
                <w:szCs w:val="18"/>
              </w:rPr>
              <w:t>0.82 (0.70, 0.94)</w:t>
            </w:r>
          </w:p>
        </w:tc>
        <w:tc>
          <w:tcPr>
            <w:tcW w:w="2199" w:type="dxa"/>
            <w:gridSpan w:val="2"/>
            <w:shd w:val="clear" w:color="auto" w:fill="FFFFFF"/>
            <w:tcMar>
              <w:top w:w="0" w:type="dxa"/>
              <w:left w:w="0" w:type="dxa"/>
              <w:bottom w:w="0" w:type="dxa"/>
              <w:right w:w="0" w:type="dxa"/>
            </w:tcMar>
            <w:vAlign w:val="center"/>
          </w:tcPr>
          <w:p w14:paraId="50EFF0E7" w14:textId="77777777" w:rsidR="00EE7FD4" w:rsidRDefault="00EE7FD4" w:rsidP="002D02AE">
            <w:pPr>
              <w:spacing w:before="20" w:after="20"/>
              <w:ind w:left="102" w:right="102"/>
              <w:jc w:val="center"/>
            </w:pPr>
            <w:r>
              <w:rPr>
                <w:rFonts w:eastAsia="Century Gothic" w:cs="Century Gothic"/>
                <w:color w:val="000000"/>
                <w:sz w:val="18"/>
                <w:szCs w:val="18"/>
              </w:rPr>
              <w:t>0.79 (0.67, 0.93)</w:t>
            </w:r>
          </w:p>
        </w:tc>
      </w:tr>
      <w:tr w:rsidR="00EE7FD4" w14:paraId="0832981F" w14:textId="77777777" w:rsidTr="00FF073E">
        <w:trPr>
          <w:cantSplit/>
          <w:jc w:val="center"/>
        </w:trPr>
        <w:tc>
          <w:tcPr>
            <w:tcW w:w="4294" w:type="dxa"/>
            <w:shd w:val="clear" w:color="auto" w:fill="FFFFFF"/>
            <w:tcMar>
              <w:top w:w="0" w:type="dxa"/>
              <w:left w:w="0" w:type="dxa"/>
              <w:bottom w:w="0" w:type="dxa"/>
              <w:right w:w="0" w:type="dxa"/>
            </w:tcMar>
            <w:vAlign w:val="center"/>
          </w:tcPr>
          <w:p w14:paraId="4A62EF98" w14:textId="322CD09A" w:rsidR="00EE7FD4" w:rsidRDefault="00EE7FD4" w:rsidP="002D02AE">
            <w:pPr>
              <w:spacing w:before="20" w:after="20"/>
              <w:ind w:left="102" w:right="102"/>
            </w:pPr>
            <w:r>
              <w:rPr>
                <w:rFonts w:eastAsia="Century Gothic" w:cs="Century Gothic"/>
                <w:color w:val="000000"/>
                <w:sz w:val="18"/>
                <w:szCs w:val="18"/>
              </w:rPr>
              <w:t>Follow-up/ coordination score</w:t>
            </w:r>
          </w:p>
        </w:tc>
        <w:tc>
          <w:tcPr>
            <w:tcW w:w="2147" w:type="dxa"/>
            <w:shd w:val="clear" w:color="auto" w:fill="FFFFFF"/>
            <w:tcMar>
              <w:top w:w="0" w:type="dxa"/>
              <w:left w:w="0" w:type="dxa"/>
              <w:bottom w:w="0" w:type="dxa"/>
              <w:right w:w="0" w:type="dxa"/>
            </w:tcMar>
            <w:vAlign w:val="center"/>
          </w:tcPr>
          <w:p w14:paraId="508E6B84" w14:textId="77777777" w:rsidR="00EE7FD4" w:rsidRDefault="00EE7FD4" w:rsidP="002D02AE">
            <w:pPr>
              <w:spacing w:before="20" w:after="20"/>
              <w:ind w:left="102" w:right="102"/>
              <w:jc w:val="center"/>
            </w:pPr>
            <w:r>
              <w:rPr>
                <w:rFonts w:eastAsia="Century Gothic" w:cs="Century Gothic"/>
                <w:color w:val="000000"/>
                <w:sz w:val="18"/>
                <w:szCs w:val="18"/>
              </w:rPr>
              <w:t>1.04 (0.89, 1.22)</w:t>
            </w:r>
          </w:p>
        </w:tc>
        <w:tc>
          <w:tcPr>
            <w:tcW w:w="2199" w:type="dxa"/>
            <w:gridSpan w:val="2"/>
            <w:shd w:val="clear" w:color="auto" w:fill="FFFFFF"/>
            <w:tcMar>
              <w:top w:w="0" w:type="dxa"/>
              <w:left w:w="0" w:type="dxa"/>
              <w:bottom w:w="0" w:type="dxa"/>
              <w:right w:w="0" w:type="dxa"/>
            </w:tcMar>
            <w:vAlign w:val="center"/>
          </w:tcPr>
          <w:p w14:paraId="02BF83DE" w14:textId="77777777" w:rsidR="00EE7FD4" w:rsidRDefault="00EE7FD4" w:rsidP="002D02AE">
            <w:pPr>
              <w:spacing w:before="20" w:after="20"/>
              <w:ind w:left="102" w:right="102"/>
              <w:jc w:val="center"/>
            </w:pPr>
            <w:r>
              <w:rPr>
                <w:rFonts w:eastAsia="Century Gothic" w:cs="Century Gothic"/>
                <w:color w:val="000000"/>
                <w:sz w:val="18"/>
                <w:szCs w:val="18"/>
              </w:rPr>
              <w:t>0.79 (0.66, 0.95)</w:t>
            </w:r>
          </w:p>
        </w:tc>
      </w:tr>
    </w:tbl>
    <w:p w14:paraId="325CA23A" w14:textId="54C13744" w:rsidR="00EB4539" w:rsidRDefault="00EB4539" w:rsidP="00EB4539">
      <w:pPr>
        <w:pStyle w:val="Chartortablefootnote"/>
        <w:spacing w:after="0"/>
      </w:pPr>
      <w:r w:rsidRPr="00EB1DF2">
        <w:t xml:space="preserve">Notes: </w:t>
      </w:r>
      <w:r w:rsidR="00EB1DF2" w:rsidRPr="00EB1DF2">
        <w:rPr>
          <w:vertAlign w:val="superscript"/>
        </w:rPr>
        <w:t>1</w:t>
      </w:r>
      <w:r w:rsidR="00EB1DF2" w:rsidRPr="00EB1DF2">
        <w:t xml:space="preserve"> Odds ratios were estimated from an analysis involving all patients using a generalised estimating equation with patient as the repeated measure</w:t>
      </w:r>
      <w:r w:rsidR="00EB1DF2">
        <w:t>.</w:t>
      </w:r>
    </w:p>
    <w:p w14:paraId="0586F0B4" w14:textId="22A86CA4" w:rsidR="00EE7FD4" w:rsidRPr="00AC5996" w:rsidRDefault="00E364DA" w:rsidP="00E364DA">
      <w:pPr>
        <w:pStyle w:val="Chartortablefootnote"/>
      </w:pPr>
      <w:r w:rsidRPr="00E364DA">
        <w:t>Source: Patient surveys Wave 1 Dec 2017–Mar 2019; Wave 2 Dec 2019–Mar 2020; Wave 3 Mar–Apr 2021.</w:t>
      </w:r>
    </w:p>
    <w:p w14:paraId="339FE2C0" w14:textId="4C3358AC" w:rsidR="0002357B" w:rsidRDefault="00F26477" w:rsidP="00F26477">
      <w:pPr>
        <w:pStyle w:val="Heading4"/>
      </w:pPr>
      <w:r>
        <w:t>Qualitative analysis</w:t>
      </w:r>
    </w:p>
    <w:p w14:paraId="17CAA117" w14:textId="56C69F9F" w:rsidR="0002357B" w:rsidRDefault="0002357B" w:rsidP="0002357B">
      <w:r>
        <w:t>Some HCH patients felt their practices’ management of their chronic disease(s) was enhanced due to better follow-up, more frequent contact and closer monitoring of their conditions</w:t>
      </w:r>
      <w:r w:rsidR="008B2342">
        <w:t>:</w:t>
      </w:r>
      <w:r>
        <w:t xml:space="preserve"> </w:t>
      </w:r>
    </w:p>
    <w:p w14:paraId="5392B1D1" w14:textId="77777777" w:rsidR="0002357B" w:rsidRDefault="0002357B" w:rsidP="00D410E9">
      <w:pPr>
        <w:ind w:left="567" w:right="521"/>
      </w:pPr>
      <w:r w:rsidRPr="001F4EFF">
        <w:rPr>
          <w:i/>
          <w:iCs/>
        </w:rPr>
        <w:t>“…it’s got better, actually. Since the situation with the Health Home Care Plan Reviews and that, I was seeing him on a regular basis, and they were helping me along with my progress and stuff...It wasn</w:t>
      </w:r>
      <w:r w:rsidRPr="001F4EFF">
        <w:rPr>
          <w:rFonts w:cs="Century Gothic"/>
          <w:i/>
          <w:iCs/>
        </w:rPr>
        <w:t>’</w:t>
      </w:r>
      <w:r w:rsidRPr="001F4EFF">
        <w:rPr>
          <w:i/>
          <w:iCs/>
        </w:rPr>
        <w:t xml:space="preserve">t me ringing up for an appointment to actually see the doctor, it was them following me up and following my progress and stuff.” </w:t>
      </w:r>
      <w:r>
        <w:t>[Patient 6, Practice 4, R5]</w:t>
      </w:r>
    </w:p>
    <w:p w14:paraId="3DBC7D30" w14:textId="77777777" w:rsidR="0002357B" w:rsidRDefault="0002357B" w:rsidP="00D410E9">
      <w:pPr>
        <w:ind w:left="567" w:right="521"/>
      </w:pPr>
      <w:r w:rsidRPr="00311320">
        <w:rPr>
          <w:i/>
          <w:iCs/>
        </w:rPr>
        <w:t>“</w:t>
      </w:r>
      <w:r w:rsidRPr="00A947B4">
        <w:rPr>
          <w:i/>
          <w:iCs/>
        </w:rPr>
        <w:t>I think they look at the bigger picture, and they action things probably more quickly. And I'm not saying they weren’t amazing before, but they become and advocate for you when times are a bit tough.</w:t>
      </w:r>
      <w:r w:rsidRPr="00311320">
        <w:rPr>
          <w:i/>
          <w:iCs/>
        </w:rPr>
        <w:t>.”</w:t>
      </w:r>
      <w:r>
        <w:t xml:space="preserve"> [Patient 1, Practice 12, R5]</w:t>
      </w:r>
    </w:p>
    <w:p w14:paraId="031B6140" w14:textId="77777777" w:rsidR="0002357B" w:rsidRDefault="0002357B" w:rsidP="00D410E9">
      <w:pPr>
        <w:ind w:left="567" w:right="521"/>
      </w:pPr>
      <w:r w:rsidRPr="007A0EE7">
        <w:rPr>
          <w:i/>
          <w:iCs/>
        </w:rPr>
        <w:lastRenderedPageBreak/>
        <w:t>“Yes, it’s gone up a little bit. They spend a little more face time and ask a few more detailed questions like how am I going, how is my psyche going and all that stuff.</w:t>
      </w:r>
      <w:r w:rsidRPr="007A0EE7">
        <w:rPr>
          <w:rFonts w:ascii="Tahoma" w:hAnsi="Tahoma" w:cs="Tahoma"/>
          <w:i/>
          <w:iCs/>
        </w:rPr>
        <w:t xml:space="preserve"> </w:t>
      </w:r>
      <w:r w:rsidRPr="007A0EE7">
        <w:rPr>
          <w:i/>
          <w:iCs/>
        </w:rPr>
        <w:t>So, they</w:t>
      </w:r>
      <w:r w:rsidRPr="007A0EE7">
        <w:rPr>
          <w:rFonts w:cs="Century Gothic"/>
          <w:i/>
          <w:iCs/>
        </w:rPr>
        <w:t>’</w:t>
      </w:r>
      <w:r w:rsidRPr="007A0EE7">
        <w:rPr>
          <w:i/>
          <w:iCs/>
        </w:rPr>
        <w:t>re being way more invested.”</w:t>
      </w:r>
      <w:r>
        <w:t xml:space="preserve"> [Patient 2, Practice 10, R5]</w:t>
      </w:r>
    </w:p>
    <w:p w14:paraId="4C6E7A50" w14:textId="77777777" w:rsidR="0002357B" w:rsidRDefault="0002357B" w:rsidP="00D410E9">
      <w:pPr>
        <w:ind w:left="567" w:right="521"/>
      </w:pPr>
      <w:r w:rsidRPr="00EE1D67">
        <w:rPr>
          <w:i/>
          <w:iCs/>
        </w:rPr>
        <w:t xml:space="preserve">“I find I get the regular contact, they review my case. And if I haven’t gone back in for a check-up, they’ll remind me like, hey, you’ve got a </w:t>
      </w:r>
      <w:proofErr w:type="spellStart"/>
      <w:r w:rsidRPr="00EE1D67">
        <w:rPr>
          <w:i/>
          <w:iCs/>
        </w:rPr>
        <w:t>check up</w:t>
      </w:r>
      <w:proofErr w:type="spellEnd"/>
      <w:r w:rsidRPr="00EE1D67">
        <w:rPr>
          <w:i/>
          <w:iCs/>
        </w:rPr>
        <w:t xml:space="preserve"> coming up next month, please book in for the nurse to come and have this…I feel like they’ve been more proactive from that point of view to help me manage my health better…That was after I joined. That wasn</w:t>
      </w:r>
      <w:r w:rsidRPr="00EE1D67">
        <w:rPr>
          <w:rFonts w:cs="Century Gothic"/>
          <w:i/>
          <w:iCs/>
        </w:rPr>
        <w:t>’</w:t>
      </w:r>
      <w:r w:rsidRPr="00EE1D67">
        <w:rPr>
          <w:i/>
          <w:iCs/>
        </w:rPr>
        <w:t>t necessarily what was happening prior. At that practice, and at previous practices, I guess, it</w:t>
      </w:r>
      <w:r w:rsidRPr="00EE1D67">
        <w:rPr>
          <w:rFonts w:cs="Century Gothic"/>
          <w:i/>
          <w:iCs/>
        </w:rPr>
        <w:t>’</w:t>
      </w:r>
      <w:r w:rsidRPr="00EE1D67">
        <w:rPr>
          <w:i/>
          <w:iCs/>
        </w:rPr>
        <w:t>s always been, I need to make an appointment because I need to go and see someone about something.</w:t>
      </w:r>
      <w:r>
        <w:t>” [Patient 2, Practice 5, R5]</w:t>
      </w:r>
    </w:p>
    <w:p w14:paraId="20C43F7C" w14:textId="553C20F9" w:rsidR="008B2342" w:rsidRDefault="008B2342" w:rsidP="008B2342">
      <w:pPr>
        <w:rPr>
          <w:lang w:eastAsia="en-AU"/>
        </w:rPr>
      </w:pPr>
      <w:r>
        <w:rPr>
          <w:lang w:eastAsia="en-AU"/>
        </w:rPr>
        <w:t xml:space="preserve">Only a small number of practices reported establishing groups for their HCH patients and these largely stopped running due to the pandemic. </w:t>
      </w:r>
      <w:r w:rsidR="004B282B">
        <w:rPr>
          <w:lang w:eastAsia="en-AU"/>
        </w:rPr>
        <w:t>Patients</w:t>
      </w:r>
      <w:r>
        <w:rPr>
          <w:lang w:eastAsia="en-AU"/>
        </w:rPr>
        <w:t xml:space="preserve"> </w:t>
      </w:r>
      <w:r w:rsidRPr="00CF3857">
        <w:rPr>
          <w:lang w:eastAsia="en-AU"/>
        </w:rPr>
        <w:t xml:space="preserve">were very positive about </w:t>
      </w:r>
      <w:r w:rsidR="004B282B">
        <w:rPr>
          <w:lang w:eastAsia="en-AU"/>
        </w:rPr>
        <w:t>a</w:t>
      </w:r>
      <w:r>
        <w:rPr>
          <w:lang w:eastAsia="en-AU"/>
        </w:rPr>
        <w:t xml:space="preserve"> dietician</w:t>
      </w:r>
      <w:r w:rsidRPr="00CF3857">
        <w:rPr>
          <w:lang w:eastAsia="en-AU"/>
        </w:rPr>
        <w:t xml:space="preserve"> group</w:t>
      </w:r>
      <w:r w:rsidR="004B282B">
        <w:rPr>
          <w:lang w:eastAsia="en-AU"/>
        </w:rPr>
        <w:t xml:space="preserve"> that one practice established</w:t>
      </w:r>
      <w:r w:rsidRPr="00CF3857">
        <w:rPr>
          <w:lang w:eastAsia="en-AU"/>
        </w:rPr>
        <w:t>:</w:t>
      </w:r>
    </w:p>
    <w:p w14:paraId="23C441DA" w14:textId="77777777" w:rsidR="008B2342" w:rsidRPr="00DA7340" w:rsidRDefault="008B2342" w:rsidP="008B2342">
      <w:pPr>
        <w:ind w:left="567" w:right="521"/>
        <w:rPr>
          <w:szCs w:val="20"/>
        </w:rPr>
      </w:pPr>
      <w:r w:rsidRPr="00DA7340">
        <w:rPr>
          <w:szCs w:val="20"/>
        </w:rPr>
        <w:t>“</w:t>
      </w:r>
      <w:r w:rsidRPr="00DA7340">
        <w:rPr>
          <w:i/>
          <w:iCs/>
          <w:szCs w:val="20"/>
        </w:rPr>
        <w:t>I think the group sessions are good, because when you’re first diagnosed, you think, diabetes, what am I going to do? How have I got to change my life and stuff like that? And it’s good because you do come down and interact. Everyone has their story. Someone's doing this and someone's doing that. You get to pick up some good hints.”</w:t>
      </w:r>
      <w:r w:rsidRPr="00DA7340">
        <w:rPr>
          <w:szCs w:val="20"/>
        </w:rPr>
        <w:t xml:space="preserve"> [Patient 2, Practice 18, R4]</w:t>
      </w:r>
    </w:p>
    <w:p w14:paraId="3B1F1ED0" w14:textId="77777777" w:rsidR="008B2342" w:rsidRPr="00DA7340" w:rsidRDefault="008B2342" w:rsidP="008B2342">
      <w:pPr>
        <w:ind w:left="567" w:right="521"/>
        <w:rPr>
          <w:lang w:eastAsia="en-AU"/>
        </w:rPr>
      </w:pPr>
      <w:r w:rsidRPr="00DA7340">
        <w:rPr>
          <w:i/>
          <w:iCs/>
          <w:lang w:eastAsia="en-AU"/>
        </w:rPr>
        <w:t xml:space="preserve">“… </w:t>
      </w:r>
      <w:r w:rsidRPr="00DA7340">
        <w:rPr>
          <w:i/>
          <w:iCs/>
          <w:szCs w:val="20"/>
        </w:rPr>
        <w:t>when</w:t>
      </w:r>
      <w:r w:rsidRPr="00DA7340">
        <w:rPr>
          <w:i/>
          <w:iCs/>
          <w:lang w:eastAsia="en-AU"/>
        </w:rPr>
        <w:t xml:space="preserve"> I was first diagnosed over at the hospital, they virtually said well, this is how you’ve got to do it. The diet, the diabetes plate. That, to me, the way I was growing up, was putting petrol on fire. With this dietician now, we can ask her anything. She individualises, I suppose, our needs and she says well, try it this way. If it doesn’t work, try something else</w:t>
      </w:r>
      <w:r w:rsidRPr="00DA7340">
        <w:rPr>
          <w:lang w:eastAsia="en-AU"/>
        </w:rPr>
        <w:t>.” [Patient 3, Practice 18, R4]</w:t>
      </w:r>
    </w:p>
    <w:p w14:paraId="45573365" w14:textId="4BC562CF" w:rsidR="0002357B" w:rsidRDefault="0002357B" w:rsidP="0002357B">
      <w:r>
        <w:t>Some patients mentioned other services and benefits their practices provided them or helped them receive. In most instances, these services were not part of HCH. The</w:t>
      </w:r>
      <w:r w:rsidR="00A14692">
        <w:t>y</w:t>
      </w:r>
      <w:r>
        <w:t xml:space="preserve"> included </w:t>
      </w:r>
      <w:r w:rsidR="00A14692">
        <w:t>practices helping patients access</w:t>
      </w:r>
      <w:r>
        <w:t xml:space="preserve"> additional supports such as home care, consults with internal and external providers and transport.</w:t>
      </w:r>
    </w:p>
    <w:tbl>
      <w:tblPr>
        <w:tblW w:w="0" w:type="auto"/>
        <w:tblBorders>
          <w:top w:val="single" w:sz="8" w:space="0" w:color="408BCA"/>
          <w:left w:val="single" w:sz="8" w:space="0" w:color="408BCA"/>
          <w:bottom w:val="single" w:sz="8" w:space="0" w:color="408BCA"/>
          <w:right w:val="single" w:sz="8" w:space="0" w:color="408BCA"/>
        </w:tblBorders>
        <w:tblLook w:val="04A0" w:firstRow="1" w:lastRow="0" w:firstColumn="1" w:lastColumn="0" w:noHBand="0" w:noVBand="1"/>
      </w:tblPr>
      <w:tblGrid>
        <w:gridCol w:w="9006"/>
      </w:tblGrid>
      <w:tr w:rsidR="002528F7" w:rsidRPr="002528F7" w14:paraId="39293293" w14:textId="77777777" w:rsidTr="00970F9B">
        <w:tc>
          <w:tcPr>
            <w:tcW w:w="9242" w:type="dxa"/>
            <w:shd w:val="clear" w:color="auto" w:fill="408BCA"/>
            <w:vAlign w:val="center"/>
          </w:tcPr>
          <w:p w14:paraId="1A6BEB29" w14:textId="2404E418" w:rsidR="002528F7" w:rsidRPr="002528F7" w:rsidRDefault="002528F7" w:rsidP="002528F7">
            <w:pPr>
              <w:spacing w:after="0"/>
              <w:jc w:val="center"/>
              <w:rPr>
                <w:b/>
                <w:bCs/>
                <w:color w:val="FFFFFF" w:themeColor="background1"/>
                <w:szCs w:val="20"/>
              </w:rPr>
            </w:pPr>
            <w:r w:rsidRPr="002528F7">
              <w:rPr>
                <w:b/>
                <w:bCs/>
                <w:color w:val="FFFFFF" w:themeColor="background1"/>
                <w:szCs w:val="20"/>
              </w:rPr>
              <w:t>Case study</w:t>
            </w:r>
          </w:p>
        </w:tc>
      </w:tr>
      <w:tr w:rsidR="002528F7" w14:paraId="13676120" w14:textId="77777777" w:rsidTr="00970F9B">
        <w:tc>
          <w:tcPr>
            <w:tcW w:w="9242" w:type="dxa"/>
          </w:tcPr>
          <w:p w14:paraId="2826FE93" w14:textId="59FD36B4" w:rsidR="002528F7" w:rsidRDefault="00FA19E2" w:rsidP="002528F7">
            <w:pPr>
              <w:spacing w:before="200"/>
              <w:rPr>
                <w:sz w:val="18"/>
                <w:szCs w:val="18"/>
              </w:rPr>
            </w:pPr>
            <w:r>
              <w:rPr>
                <w:sz w:val="18"/>
                <w:szCs w:val="18"/>
              </w:rPr>
              <w:t>Andre</w:t>
            </w:r>
            <w:r w:rsidR="003D2911">
              <w:rPr>
                <w:sz w:val="18"/>
                <w:szCs w:val="18"/>
              </w:rPr>
              <w:t>*</w:t>
            </w:r>
            <w:r w:rsidR="002528F7">
              <w:rPr>
                <w:sz w:val="18"/>
                <w:szCs w:val="18"/>
              </w:rPr>
              <w:t xml:space="preserve"> has diabetes, ulcerative colitis, cardiac and kidney issues. He lives with his wife, who is his </w:t>
            </w:r>
            <w:proofErr w:type="spellStart"/>
            <w:r w:rsidR="002528F7">
              <w:rPr>
                <w:sz w:val="18"/>
                <w:szCs w:val="18"/>
              </w:rPr>
              <w:t>carer</w:t>
            </w:r>
            <w:proofErr w:type="spellEnd"/>
            <w:r w:rsidR="002528F7">
              <w:rPr>
                <w:sz w:val="18"/>
                <w:szCs w:val="18"/>
              </w:rPr>
              <w:t xml:space="preserve">, and helps him manage his conditions. </w:t>
            </w:r>
            <w:r w:rsidR="006E767D">
              <w:rPr>
                <w:sz w:val="18"/>
                <w:szCs w:val="18"/>
              </w:rPr>
              <w:t>Andre</w:t>
            </w:r>
            <w:r w:rsidR="002528F7">
              <w:rPr>
                <w:sz w:val="18"/>
                <w:szCs w:val="18"/>
              </w:rPr>
              <w:t xml:space="preserve"> and </w:t>
            </w:r>
            <w:r w:rsidR="00FD6193">
              <w:rPr>
                <w:sz w:val="18"/>
                <w:szCs w:val="18"/>
              </w:rPr>
              <w:t xml:space="preserve">his </w:t>
            </w:r>
            <w:r w:rsidR="008A0C49">
              <w:rPr>
                <w:sz w:val="18"/>
                <w:szCs w:val="18"/>
              </w:rPr>
              <w:t>wife</w:t>
            </w:r>
            <w:r w:rsidR="002528F7">
              <w:rPr>
                <w:sz w:val="18"/>
                <w:szCs w:val="18"/>
              </w:rPr>
              <w:t xml:space="preserve"> moved an hour away from the practice a few years ago, but, due to their long-standing relationship with the GP and the </w:t>
            </w:r>
            <w:r w:rsidR="00F02A68">
              <w:rPr>
                <w:sz w:val="18"/>
                <w:szCs w:val="18"/>
              </w:rPr>
              <w:t>high-quality</w:t>
            </w:r>
            <w:r w:rsidR="002528F7">
              <w:rPr>
                <w:sz w:val="18"/>
                <w:szCs w:val="18"/>
              </w:rPr>
              <w:t xml:space="preserve"> care, they continue </w:t>
            </w:r>
            <w:r w:rsidR="008A0C49">
              <w:rPr>
                <w:sz w:val="18"/>
                <w:szCs w:val="18"/>
              </w:rPr>
              <w:t>to attend</w:t>
            </w:r>
            <w:r w:rsidR="002528F7">
              <w:rPr>
                <w:sz w:val="18"/>
                <w:szCs w:val="18"/>
              </w:rPr>
              <w:t xml:space="preserve"> the practice. </w:t>
            </w:r>
            <w:r>
              <w:rPr>
                <w:sz w:val="18"/>
                <w:szCs w:val="18"/>
              </w:rPr>
              <w:t>Andre</w:t>
            </w:r>
            <w:r w:rsidR="00ED593D">
              <w:rPr>
                <w:sz w:val="18"/>
                <w:szCs w:val="18"/>
              </w:rPr>
              <w:t xml:space="preserve">’s </w:t>
            </w:r>
            <w:r w:rsidR="008A0C49">
              <w:rPr>
                <w:sz w:val="18"/>
                <w:szCs w:val="18"/>
              </w:rPr>
              <w:t>wife</w:t>
            </w:r>
            <w:r w:rsidR="002528F7">
              <w:rPr>
                <w:sz w:val="18"/>
                <w:szCs w:val="18"/>
              </w:rPr>
              <w:t xml:space="preserve"> described HCH as a </w:t>
            </w:r>
            <w:r w:rsidR="00CA495C">
              <w:rPr>
                <w:sz w:val="18"/>
                <w:szCs w:val="18"/>
              </w:rPr>
              <w:t>“</w:t>
            </w:r>
            <w:r w:rsidR="002528F7">
              <w:rPr>
                <w:sz w:val="18"/>
                <w:szCs w:val="18"/>
              </w:rPr>
              <w:t>blessing</w:t>
            </w:r>
            <w:r w:rsidR="00CA495C">
              <w:rPr>
                <w:sz w:val="18"/>
                <w:szCs w:val="18"/>
              </w:rPr>
              <w:t>”</w:t>
            </w:r>
            <w:r w:rsidR="002528F7">
              <w:rPr>
                <w:sz w:val="18"/>
                <w:szCs w:val="18"/>
              </w:rPr>
              <w:t xml:space="preserve"> for them because </w:t>
            </w:r>
            <w:r>
              <w:rPr>
                <w:sz w:val="18"/>
                <w:szCs w:val="18"/>
              </w:rPr>
              <w:t>Andre</w:t>
            </w:r>
            <w:r w:rsidR="002528F7">
              <w:rPr>
                <w:sz w:val="18"/>
                <w:szCs w:val="18"/>
              </w:rPr>
              <w:t xml:space="preserve"> </w:t>
            </w:r>
            <w:r w:rsidR="003D2911">
              <w:rPr>
                <w:sz w:val="18"/>
                <w:szCs w:val="18"/>
              </w:rPr>
              <w:t>can</w:t>
            </w:r>
            <w:r w:rsidR="002528F7">
              <w:rPr>
                <w:sz w:val="18"/>
                <w:szCs w:val="18"/>
              </w:rPr>
              <w:t xml:space="preserve"> have telehealth consultations and communicate with the practice via phone. </w:t>
            </w:r>
            <w:r w:rsidR="002528F7" w:rsidRPr="00B10A0A">
              <w:rPr>
                <w:sz w:val="18"/>
                <w:szCs w:val="18"/>
              </w:rPr>
              <w:t xml:space="preserve">This </w:t>
            </w:r>
            <w:r w:rsidR="001D0F94">
              <w:rPr>
                <w:sz w:val="18"/>
                <w:szCs w:val="18"/>
              </w:rPr>
              <w:t>was</w:t>
            </w:r>
            <w:r w:rsidR="002528F7" w:rsidRPr="00B10A0A">
              <w:rPr>
                <w:sz w:val="18"/>
                <w:szCs w:val="18"/>
              </w:rPr>
              <w:t xml:space="preserve"> especially beneficial during COVID-19 when </w:t>
            </w:r>
            <w:r>
              <w:rPr>
                <w:sz w:val="18"/>
                <w:szCs w:val="18"/>
              </w:rPr>
              <w:t>Andre</w:t>
            </w:r>
            <w:r w:rsidR="002528F7" w:rsidRPr="00B10A0A">
              <w:rPr>
                <w:sz w:val="18"/>
                <w:szCs w:val="18"/>
              </w:rPr>
              <w:t xml:space="preserve"> and </w:t>
            </w:r>
            <w:r w:rsidR="008A0C49">
              <w:rPr>
                <w:sz w:val="18"/>
                <w:szCs w:val="18"/>
              </w:rPr>
              <w:t>his wife</w:t>
            </w:r>
            <w:r w:rsidR="002528F7" w:rsidRPr="00B10A0A">
              <w:rPr>
                <w:sz w:val="18"/>
                <w:szCs w:val="18"/>
              </w:rPr>
              <w:t xml:space="preserve"> were concerned about going </w:t>
            </w:r>
            <w:r w:rsidR="008A0C49">
              <w:rPr>
                <w:sz w:val="18"/>
                <w:szCs w:val="18"/>
              </w:rPr>
              <w:t>in</w:t>
            </w:r>
            <w:r w:rsidR="002528F7" w:rsidRPr="00B10A0A">
              <w:rPr>
                <w:sz w:val="18"/>
                <w:szCs w:val="18"/>
              </w:rPr>
              <w:t>to the practice.</w:t>
            </w:r>
            <w:r w:rsidR="00D225A5">
              <w:rPr>
                <w:sz w:val="18"/>
                <w:szCs w:val="18"/>
              </w:rPr>
              <w:t xml:space="preserve"> </w:t>
            </w:r>
            <w:r w:rsidR="002528F7">
              <w:rPr>
                <w:sz w:val="18"/>
                <w:szCs w:val="18"/>
              </w:rPr>
              <w:t xml:space="preserve">The </w:t>
            </w:r>
            <w:r w:rsidR="003D2911">
              <w:rPr>
                <w:sz w:val="18"/>
                <w:szCs w:val="18"/>
              </w:rPr>
              <w:t>model</w:t>
            </w:r>
            <w:r w:rsidR="002528F7">
              <w:rPr>
                <w:sz w:val="18"/>
                <w:szCs w:val="18"/>
              </w:rPr>
              <w:t xml:space="preserve"> has also allowed</w:t>
            </w:r>
            <w:r w:rsidR="00A671E6">
              <w:rPr>
                <w:sz w:val="18"/>
                <w:szCs w:val="18"/>
              </w:rPr>
              <w:t xml:space="preserve"> </w:t>
            </w:r>
            <w:r>
              <w:rPr>
                <w:sz w:val="18"/>
                <w:szCs w:val="18"/>
              </w:rPr>
              <w:t>Andre</w:t>
            </w:r>
            <w:r w:rsidR="002528F7">
              <w:rPr>
                <w:sz w:val="18"/>
                <w:szCs w:val="18"/>
              </w:rPr>
              <w:t xml:space="preserve"> increased access and communication with the practice through the nursing staff who frequently call </w:t>
            </w:r>
            <w:r w:rsidR="00A671E6">
              <w:rPr>
                <w:sz w:val="18"/>
                <w:szCs w:val="18"/>
              </w:rPr>
              <w:t>him</w:t>
            </w:r>
            <w:r w:rsidR="002528F7">
              <w:rPr>
                <w:sz w:val="18"/>
                <w:szCs w:val="18"/>
              </w:rPr>
              <w:t xml:space="preserve"> to check in and help liaise with </w:t>
            </w:r>
            <w:r>
              <w:rPr>
                <w:sz w:val="18"/>
                <w:szCs w:val="18"/>
              </w:rPr>
              <w:t>Andre</w:t>
            </w:r>
            <w:r w:rsidR="002528F7">
              <w:rPr>
                <w:sz w:val="18"/>
                <w:szCs w:val="18"/>
              </w:rPr>
              <w:t xml:space="preserve">’s multiple specialists. In addition, </w:t>
            </w:r>
            <w:r>
              <w:rPr>
                <w:sz w:val="18"/>
                <w:szCs w:val="18"/>
              </w:rPr>
              <w:t>Andre</w:t>
            </w:r>
            <w:r w:rsidR="002528F7">
              <w:rPr>
                <w:sz w:val="18"/>
                <w:szCs w:val="18"/>
              </w:rPr>
              <w:t xml:space="preserve"> uses a tool implemented by the practice that allows him and practice staff to actively monitor his vital statistics remotely. </w:t>
            </w:r>
            <w:r w:rsidR="008A0C49">
              <w:rPr>
                <w:sz w:val="18"/>
                <w:szCs w:val="18"/>
              </w:rPr>
              <w:t>His wife</w:t>
            </w:r>
            <w:r w:rsidR="002528F7">
              <w:rPr>
                <w:sz w:val="18"/>
                <w:szCs w:val="18"/>
              </w:rPr>
              <w:t xml:space="preserve"> stated that the </w:t>
            </w:r>
            <w:r w:rsidR="00A671E6">
              <w:rPr>
                <w:sz w:val="18"/>
                <w:szCs w:val="18"/>
              </w:rPr>
              <w:t>model</w:t>
            </w:r>
            <w:r w:rsidR="002528F7">
              <w:rPr>
                <w:sz w:val="18"/>
                <w:szCs w:val="18"/>
              </w:rPr>
              <w:t xml:space="preserve"> and the extra support provided by the practice has given her more confidence in her ability to help manage and support her husband </w:t>
            </w:r>
            <w:r w:rsidR="00A671E6">
              <w:rPr>
                <w:sz w:val="18"/>
                <w:szCs w:val="18"/>
              </w:rPr>
              <w:t>with</w:t>
            </w:r>
            <w:r w:rsidR="002528F7">
              <w:rPr>
                <w:sz w:val="18"/>
                <w:szCs w:val="18"/>
              </w:rPr>
              <w:t xml:space="preserve"> his multiple conditions.</w:t>
            </w:r>
          </w:p>
          <w:p w14:paraId="74B308D9" w14:textId="7B0104C5" w:rsidR="003D2911" w:rsidRDefault="003D2911" w:rsidP="002528F7">
            <w:pPr>
              <w:spacing w:before="200"/>
            </w:pPr>
            <w:r w:rsidRPr="003D2911">
              <w:rPr>
                <w:i/>
                <w:iCs/>
                <w:sz w:val="18"/>
                <w:szCs w:val="18"/>
              </w:rPr>
              <w:t xml:space="preserve">* </w:t>
            </w:r>
            <w:r>
              <w:rPr>
                <w:i/>
                <w:iCs/>
                <w:sz w:val="18"/>
                <w:szCs w:val="18"/>
              </w:rPr>
              <w:t>N</w:t>
            </w:r>
            <w:r w:rsidRPr="003D2911">
              <w:rPr>
                <w:i/>
                <w:iCs/>
                <w:sz w:val="18"/>
                <w:szCs w:val="18"/>
              </w:rPr>
              <w:t>ame</w:t>
            </w:r>
            <w:r>
              <w:rPr>
                <w:i/>
                <w:iCs/>
                <w:sz w:val="18"/>
                <w:szCs w:val="18"/>
              </w:rPr>
              <w:t xml:space="preserve"> changed to protect privacy.</w:t>
            </w:r>
          </w:p>
        </w:tc>
      </w:tr>
    </w:tbl>
    <w:p w14:paraId="37E0B71B" w14:textId="77777777" w:rsidR="00CD3E59" w:rsidRPr="006539E0" w:rsidRDefault="00CD3E59" w:rsidP="00ED35DE">
      <w:pPr>
        <w:spacing w:after="0"/>
        <w:rPr>
          <w:lang w:eastAsia="en-AU"/>
        </w:rPr>
      </w:pPr>
    </w:p>
    <w:p w14:paraId="2A63D98F" w14:textId="2F5E1AC6" w:rsidR="00D56123" w:rsidRPr="00E359A7" w:rsidRDefault="00E1741B" w:rsidP="00D56123">
      <w:pPr>
        <w:pStyle w:val="Heading3"/>
        <w:rPr>
          <w:lang w:eastAsia="en-AU"/>
        </w:rPr>
      </w:pPr>
      <w:r>
        <w:rPr>
          <w:lang w:eastAsia="en-AU"/>
        </w:rPr>
        <w:t>E</w:t>
      </w:r>
      <w:r w:rsidR="00D56123" w:rsidRPr="00F0651A">
        <w:rPr>
          <w:lang w:eastAsia="en-AU"/>
        </w:rPr>
        <w:t xml:space="preserve">xperience </w:t>
      </w:r>
      <w:r>
        <w:rPr>
          <w:lang w:eastAsia="en-AU"/>
        </w:rPr>
        <w:t>with the care team</w:t>
      </w:r>
      <w:r w:rsidR="00D56123" w:rsidRPr="00F0651A">
        <w:rPr>
          <w:lang w:eastAsia="en-AU"/>
        </w:rPr>
        <w:t> </w:t>
      </w:r>
    </w:p>
    <w:p w14:paraId="1ACB9A46" w14:textId="401B411E" w:rsidR="0002357B" w:rsidRDefault="0002357B" w:rsidP="008F757F">
      <w:pPr>
        <w:pStyle w:val="Heading4"/>
      </w:pPr>
      <w:r>
        <w:rPr>
          <w:lang w:eastAsia="en-AU"/>
        </w:rPr>
        <w:t>Shared care planning</w:t>
      </w:r>
    </w:p>
    <w:p w14:paraId="23034007" w14:textId="018007A4" w:rsidR="00D27ACF" w:rsidRDefault="0002357B" w:rsidP="00987B4B">
      <w:bookmarkStart w:id="338" w:name="_Hlk21173788"/>
      <w:r>
        <w:t>In initial patient surveys, respondents</w:t>
      </w:r>
      <w:r w:rsidRPr="00585D01">
        <w:t xml:space="preserve"> were asked about </w:t>
      </w:r>
      <w:r w:rsidR="001D3EF9" w:rsidRPr="002B1A4A">
        <w:t xml:space="preserve">whether they had </w:t>
      </w:r>
      <w:r w:rsidRPr="00585D01">
        <w:t>a treatment</w:t>
      </w:r>
      <w:r w:rsidR="001D3EF9" w:rsidRPr="002B1A4A">
        <w:t>/</w:t>
      </w:r>
      <w:r w:rsidRPr="00585D01">
        <w:t xml:space="preserve"> shared care plan </w:t>
      </w:r>
      <w:r w:rsidR="001D3EF9" w:rsidRPr="002B1A4A">
        <w:t>developed by the GP or practice</w:t>
      </w:r>
      <w:r w:rsidRPr="002B1A4A">
        <w:t xml:space="preserve">, </w:t>
      </w:r>
      <w:r w:rsidR="00746438" w:rsidRPr="002B1A4A">
        <w:t xml:space="preserve">and is so, </w:t>
      </w:r>
      <w:r w:rsidRPr="002B1A4A">
        <w:t xml:space="preserve">whether they </w:t>
      </w:r>
      <w:r w:rsidRPr="00585D01">
        <w:t>received a copy of the plan in the last six months (</w:t>
      </w:r>
      <w:r w:rsidRPr="006524FD">
        <w:rPr>
          <w:rFonts w:eastAsiaTheme="minorEastAsia"/>
          <w:bCs/>
          <w:color w:val="1D2455"/>
          <w:szCs w:val="20"/>
          <w:lang w:eastAsia="en-AU"/>
        </w:rPr>
        <w:fldChar w:fldCharType="begin"/>
      </w:r>
      <w:r w:rsidRPr="006524FD">
        <w:rPr>
          <w:rFonts w:eastAsiaTheme="minorEastAsia"/>
          <w:bCs/>
          <w:color w:val="1D2455"/>
          <w:szCs w:val="20"/>
          <w:lang w:eastAsia="en-AU"/>
        </w:rPr>
        <w:instrText xml:space="preserve"> REF _Ref20832774 \h  \* MERGEFORMAT </w:instrText>
      </w:r>
      <w:r w:rsidRPr="006524FD">
        <w:rPr>
          <w:rFonts w:eastAsiaTheme="minorEastAsia"/>
          <w:bCs/>
          <w:color w:val="1D2455"/>
          <w:szCs w:val="20"/>
          <w:lang w:eastAsia="en-AU"/>
        </w:rPr>
      </w:r>
      <w:r w:rsidRPr="006524FD">
        <w:rPr>
          <w:rFonts w:eastAsiaTheme="minorEastAsia"/>
          <w:bCs/>
          <w:color w:val="1D2455"/>
          <w:szCs w:val="20"/>
          <w:lang w:eastAsia="en-AU"/>
        </w:rPr>
        <w:fldChar w:fldCharType="separate"/>
      </w:r>
      <w:r w:rsidR="003C4BC2" w:rsidRPr="003C4BC2">
        <w:rPr>
          <w:rFonts w:eastAsiaTheme="minorEastAsia"/>
          <w:bCs/>
          <w:color w:val="1D2455"/>
          <w:szCs w:val="20"/>
          <w:lang w:eastAsia="en-AU"/>
        </w:rPr>
        <w:t>Table 43</w:t>
      </w:r>
      <w:r w:rsidRPr="006524FD">
        <w:rPr>
          <w:rFonts w:eastAsiaTheme="minorEastAsia"/>
          <w:bCs/>
          <w:color w:val="1D2455"/>
          <w:szCs w:val="20"/>
          <w:lang w:eastAsia="en-AU"/>
        </w:rPr>
        <w:fldChar w:fldCharType="end"/>
      </w:r>
      <w:r w:rsidRPr="00585D01">
        <w:t xml:space="preserve">). </w:t>
      </w:r>
      <w:bookmarkStart w:id="339" w:name="_Hlk99203154"/>
      <w:r w:rsidR="00F4281B" w:rsidRPr="002B1A4A">
        <w:t>Fifty-seven per cent</w:t>
      </w:r>
      <w:r w:rsidRPr="002528F7">
        <w:t xml:space="preserve"> of patients reported being aware of a treatment or shared care plan. </w:t>
      </w:r>
      <w:bookmarkStart w:id="340" w:name="_Hlk99203115"/>
      <w:bookmarkEnd w:id="338"/>
      <w:bookmarkEnd w:id="339"/>
      <w:r w:rsidRPr="002528F7">
        <w:t xml:space="preserve">This could be expected, as the development of a share care plan </w:t>
      </w:r>
      <w:r w:rsidR="00E973C8" w:rsidRPr="002B1A4A">
        <w:t>was</w:t>
      </w:r>
      <w:r w:rsidRPr="002528F7">
        <w:t xml:space="preserve"> a requirement for the HCH program</w:t>
      </w:r>
      <w:r w:rsidR="002528F7" w:rsidRPr="002528F7">
        <w:t>.</w:t>
      </w:r>
      <w:r w:rsidRPr="00FF05CA">
        <w:rPr>
          <w:color w:val="408BCA"/>
          <w:vertAlign w:val="superscript"/>
        </w:rPr>
        <w:footnoteReference w:id="81"/>
      </w:r>
      <w:r w:rsidRPr="002528F7">
        <w:t xml:space="preserve"> </w:t>
      </w:r>
      <w:r w:rsidR="002528F7" w:rsidRPr="002528F7">
        <w:t xml:space="preserve">Of those, 42% reported that the plan was discussed with the GP or other practice staff at most consultations, and 43% reported that it was sometimes discussed </w:t>
      </w:r>
      <w:bookmarkEnd w:id="340"/>
      <w:r w:rsidR="002528F7" w:rsidRPr="002528F7">
        <w:t>(</w:t>
      </w:r>
      <w:r w:rsidR="00B176DD" w:rsidRPr="002E37EF">
        <w:rPr>
          <w:rFonts w:eastAsiaTheme="minorEastAsia"/>
          <w:bCs/>
          <w:color w:val="1D2455"/>
          <w:szCs w:val="20"/>
          <w:lang w:eastAsia="en-AU"/>
        </w:rPr>
        <w:fldChar w:fldCharType="begin"/>
      </w:r>
      <w:r w:rsidR="00B176DD" w:rsidRPr="002E37EF">
        <w:rPr>
          <w:rFonts w:eastAsiaTheme="minorEastAsia"/>
          <w:bCs/>
          <w:color w:val="1D2455"/>
          <w:szCs w:val="20"/>
          <w:lang w:eastAsia="en-AU"/>
        </w:rPr>
        <w:instrText xml:space="preserve"> REF _Ref108864096 \h  \* MERGEFORMAT </w:instrText>
      </w:r>
      <w:r w:rsidR="00B176DD" w:rsidRPr="002E37EF">
        <w:rPr>
          <w:rFonts w:eastAsiaTheme="minorEastAsia"/>
          <w:bCs/>
          <w:color w:val="1D2455"/>
          <w:szCs w:val="20"/>
          <w:lang w:eastAsia="en-AU"/>
        </w:rPr>
      </w:r>
      <w:r w:rsidR="00B176DD" w:rsidRPr="002E37EF">
        <w:rPr>
          <w:rFonts w:eastAsiaTheme="minorEastAsia"/>
          <w:bCs/>
          <w:color w:val="1D2455"/>
          <w:szCs w:val="20"/>
          <w:lang w:eastAsia="en-AU"/>
        </w:rPr>
        <w:fldChar w:fldCharType="separate"/>
      </w:r>
      <w:r w:rsidR="003C4BC2" w:rsidRPr="003C4BC2">
        <w:rPr>
          <w:rFonts w:eastAsiaTheme="minorEastAsia"/>
          <w:bCs/>
          <w:color w:val="1D2455"/>
          <w:szCs w:val="20"/>
          <w:lang w:eastAsia="en-AU"/>
        </w:rPr>
        <w:t>Table 44</w:t>
      </w:r>
      <w:r w:rsidR="00B176DD" w:rsidRPr="002E37EF">
        <w:rPr>
          <w:rFonts w:eastAsiaTheme="minorEastAsia"/>
          <w:bCs/>
          <w:color w:val="1D2455"/>
          <w:szCs w:val="20"/>
          <w:lang w:eastAsia="en-AU"/>
        </w:rPr>
        <w:fldChar w:fldCharType="end"/>
      </w:r>
      <w:r w:rsidR="002528F7" w:rsidRPr="002B1A4A">
        <w:t>).</w:t>
      </w:r>
      <w:r w:rsidR="002528F7">
        <w:t xml:space="preserve"> </w:t>
      </w:r>
    </w:p>
    <w:p w14:paraId="26D67299" w14:textId="0C72C51B" w:rsidR="0002357B" w:rsidRPr="00D410E9" w:rsidRDefault="0002357B" w:rsidP="00D410E9">
      <w:pPr>
        <w:pStyle w:val="TableFigureheading"/>
      </w:pPr>
      <w:bookmarkStart w:id="341" w:name="_Ref20832774"/>
      <w:r w:rsidRPr="00D410E9">
        <w:t xml:space="preserve">Table </w:t>
      </w:r>
      <w:r w:rsidRPr="00D410E9">
        <w:fldChar w:fldCharType="begin"/>
      </w:r>
      <w:r w:rsidRPr="00D410E9">
        <w:instrText>SEQ Table \* ARABIC</w:instrText>
      </w:r>
      <w:r w:rsidRPr="00D410E9">
        <w:fldChar w:fldCharType="separate"/>
      </w:r>
      <w:r w:rsidR="003C4BC2">
        <w:rPr>
          <w:noProof/>
        </w:rPr>
        <w:t>43</w:t>
      </w:r>
      <w:r w:rsidRPr="00D410E9">
        <w:fldChar w:fldCharType="end"/>
      </w:r>
      <w:bookmarkEnd w:id="341"/>
      <w:r w:rsidR="00D410E9" w:rsidRPr="00EE4188">
        <w:t xml:space="preserve">: </w:t>
      </w:r>
      <w:r w:rsidR="00C07B42" w:rsidRPr="00EE4188">
        <w:t>T</w:t>
      </w:r>
      <w:r w:rsidRPr="00EE4188">
        <w:t xml:space="preserve">reatment/ shared care </w:t>
      </w:r>
      <w:r w:rsidR="00640970" w:rsidRPr="00EE4188">
        <w:t>plan</w:t>
      </w:r>
      <w:r w:rsidR="00101779">
        <w:t xml:space="preserve"> status</w:t>
      </w:r>
    </w:p>
    <w:tbl>
      <w:tblPr>
        <w:tblW w:w="5000"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7296"/>
        <w:gridCol w:w="1720"/>
      </w:tblGrid>
      <w:tr w:rsidR="00970F9B" w:rsidRPr="00970F9B" w14:paraId="13D0F7FC" w14:textId="77777777" w:rsidTr="00D926C7">
        <w:trPr>
          <w:trHeight w:val="423"/>
          <w:jc w:val="center"/>
        </w:trPr>
        <w:tc>
          <w:tcPr>
            <w:tcW w:w="4046" w:type="pct"/>
            <w:shd w:val="clear" w:color="auto" w:fill="408BCA"/>
            <w:vAlign w:val="center"/>
          </w:tcPr>
          <w:p w14:paraId="73570B65" w14:textId="438A31DC" w:rsidR="00411687" w:rsidRDefault="00411687" w:rsidP="00B43DBC">
            <w:pPr>
              <w:spacing w:after="0"/>
              <w:rPr>
                <w:rFonts w:cstheme="minorHAnsi"/>
                <w:b/>
                <w:bCs/>
                <w:color w:val="FFFFFF" w:themeColor="background1"/>
                <w:sz w:val="18"/>
                <w:szCs w:val="18"/>
              </w:rPr>
            </w:pPr>
            <w:r>
              <w:rPr>
                <w:rFonts w:cstheme="minorHAnsi"/>
                <w:b/>
                <w:bCs/>
                <w:color w:val="FFFFFF" w:themeColor="background1"/>
                <w:sz w:val="18"/>
                <w:szCs w:val="18"/>
              </w:rPr>
              <w:t xml:space="preserve">Response </w:t>
            </w:r>
          </w:p>
        </w:tc>
        <w:tc>
          <w:tcPr>
            <w:tcW w:w="954" w:type="pct"/>
            <w:shd w:val="clear" w:color="auto" w:fill="408BCA"/>
            <w:vAlign w:val="center"/>
          </w:tcPr>
          <w:p w14:paraId="44251EDE" w14:textId="1C0EC20A" w:rsidR="0002357B" w:rsidRPr="00970F9B" w:rsidRDefault="00C40CB0" w:rsidP="00970F9B">
            <w:pPr>
              <w:spacing w:after="0"/>
              <w:jc w:val="center"/>
              <w:rPr>
                <w:rFonts w:cstheme="minorHAnsi"/>
                <w:b/>
                <w:bCs/>
                <w:color w:val="FFFFFF" w:themeColor="background1"/>
                <w:sz w:val="18"/>
                <w:szCs w:val="18"/>
              </w:rPr>
            </w:pPr>
            <w:r>
              <w:rPr>
                <w:rFonts w:cstheme="minorHAnsi"/>
                <w:b/>
                <w:bCs/>
                <w:color w:val="FFFFFF" w:themeColor="background1"/>
                <w:sz w:val="18"/>
                <w:szCs w:val="18"/>
              </w:rPr>
              <w:t>Number of patients (%)</w:t>
            </w:r>
          </w:p>
        </w:tc>
      </w:tr>
      <w:tr w:rsidR="00C40CB0" w:rsidRPr="00585D01" w14:paraId="4EE23D9E" w14:textId="77777777" w:rsidTr="00D926C7">
        <w:trPr>
          <w:trHeight w:val="288"/>
          <w:jc w:val="center"/>
        </w:trPr>
        <w:tc>
          <w:tcPr>
            <w:tcW w:w="4046" w:type="pct"/>
          </w:tcPr>
          <w:p w14:paraId="2DCBA03F" w14:textId="603DC82C" w:rsidR="00C40CB0" w:rsidRPr="00411687" w:rsidRDefault="00411687" w:rsidP="00F65F7B">
            <w:pPr>
              <w:spacing w:before="40" w:after="40"/>
              <w:ind w:left="40" w:right="40"/>
              <w:rPr>
                <w:rFonts w:cstheme="minorHAnsi"/>
                <w:color w:val="000000"/>
                <w:sz w:val="18"/>
                <w:szCs w:val="18"/>
              </w:rPr>
            </w:pPr>
            <w:r>
              <w:rPr>
                <w:rFonts w:cstheme="minorHAnsi"/>
                <w:color w:val="000000"/>
                <w:sz w:val="18"/>
                <w:szCs w:val="18"/>
              </w:rPr>
              <w:t xml:space="preserve">Patient </w:t>
            </w:r>
            <w:r w:rsidR="00D926C7" w:rsidRPr="00D926C7">
              <w:rPr>
                <w:rFonts w:cstheme="minorHAnsi"/>
                <w:color w:val="000000"/>
                <w:sz w:val="18"/>
                <w:szCs w:val="18"/>
                <w:u w:val="single"/>
              </w:rPr>
              <w:t>had</w:t>
            </w:r>
            <w:r w:rsidR="001A3338">
              <w:rPr>
                <w:rFonts w:cstheme="minorHAnsi"/>
                <w:color w:val="000000"/>
                <w:sz w:val="18"/>
                <w:szCs w:val="18"/>
              </w:rPr>
              <w:t xml:space="preserve"> a </w:t>
            </w:r>
            <w:r w:rsidR="001A3338" w:rsidRPr="001A3338">
              <w:rPr>
                <w:rFonts w:cstheme="minorHAnsi"/>
                <w:color w:val="000000"/>
                <w:sz w:val="18"/>
                <w:szCs w:val="18"/>
              </w:rPr>
              <w:t>treatment/ shared care plan developed</w:t>
            </w:r>
          </w:p>
        </w:tc>
        <w:tc>
          <w:tcPr>
            <w:tcW w:w="954" w:type="pct"/>
          </w:tcPr>
          <w:p w14:paraId="77CF5033" w14:textId="54F663C7" w:rsidR="00C40CB0" w:rsidRPr="00CF0AE4" w:rsidRDefault="00C40CB0" w:rsidP="00256EF9">
            <w:pPr>
              <w:spacing w:before="40" w:after="40"/>
              <w:ind w:left="40" w:right="40"/>
              <w:jc w:val="center"/>
              <w:rPr>
                <w:rFonts w:cstheme="minorHAnsi"/>
                <w:b/>
                <w:bCs/>
                <w:color w:val="000000"/>
                <w:sz w:val="18"/>
                <w:szCs w:val="18"/>
              </w:rPr>
            </w:pPr>
            <w:r w:rsidRPr="00CF0AE4">
              <w:rPr>
                <w:rFonts w:cstheme="minorHAnsi"/>
                <w:b/>
                <w:bCs/>
                <w:color w:val="000000"/>
                <w:sz w:val="18"/>
                <w:szCs w:val="18"/>
              </w:rPr>
              <w:t>1,159 (57.4%)</w:t>
            </w:r>
          </w:p>
        </w:tc>
      </w:tr>
      <w:tr w:rsidR="0002357B" w:rsidRPr="00585D01" w14:paraId="6131E06C" w14:textId="77777777" w:rsidTr="00D926C7">
        <w:trPr>
          <w:trHeight w:val="288"/>
          <w:jc w:val="center"/>
        </w:trPr>
        <w:tc>
          <w:tcPr>
            <w:tcW w:w="4046" w:type="pct"/>
          </w:tcPr>
          <w:p w14:paraId="0404EB01" w14:textId="46848F37" w:rsidR="00C40CB0" w:rsidRPr="00C40CB0" w:rsidRDefault="00C40CB0" w:rsidP="0075365E">
            <w:pPr>
              <w:spacing w:before="40" w:after="40"/>
              <w:ind w:left="426" w:right="40"/>
              <w:rPr>
                <w:rFonts w:cstheme="minorHAnsi"/>
                <w:i/>
                <w:iCs/>
                <w:color w:val="000000"/>
                <w:sz w:val="18"/>
                <w:szCs w:val="18"/>
              </w:rPr>
            </w:pPr>
            <w:r w:rsidRPr="00C40CB0">
              <w:rPr>
                <w:rFonts w:cstheme="minorHAnsi"/>
                <w:i/>
                <w:iCs/>
                <w:color w:val="000000"/>
                <w:sz w:val="18"/>
                <w:szCs w:val="18"/>
              </w:rPr>
              <w:t>Patient was given a copy in the last 6 months</w:t>
            </w:r>
          </w:p>
        </w:tc>
        <w:tc>
          <w:tcPr>
            <w:tcW w:w="954" w:type="pct"/>
          </w:tcPr>
          <w:p w14:paraId="7715C062" w14:textId="1DF96784" w:rsidR="0002357B" w:rsidRPr="00C40CB0" w:rsidRDefault="0002357B" w:rsidP="00256EF9">
            <w:pPr>
              <w:spacing w:before="40" w:after="40"/>
              <w:ind w:left="40" w:right="40"/>
              <w:jc w:val="center"/>
              <w:rPr>
                <w:rFonts w:cstheme="minorHAnsi"/>
                <w:i/>
                <w:color w:val="000000"/>
                <w:sz w:val="18"/>
                <w:szCs w:val="18"/>
              </w:rPr>
            </w:pPr>
            <w:r w:rsidRPr="00C40CB0">
              <w:rPr>
                <w:rFonts w:cstheme="minorHAnsi"/>
                <w:i/>
                <w:color w:val="000000"/>
                <w:sz w:val="18"/>
                <w:szCs w:val="18"/>
              </w:rPr>
              <w:t>850 (73.3%)</w:t>
            </w:r>
          </w:p>
        </w:tc>
      </w:tr>
      <w:tr w:rsidR="00C40CB0" w:rsidRPr="00585D01" w14:paraId="1CB3BF03" w14:textId="77777777" w:rsidTr="00D926C7">
        <w:trPr>
          <w:trHeight w:val="288"/>
          <w:jc w:val="center"/>
        </w:trPr>
        <w:tc>
          <w:tcPr>
            <w:tcW w:w="4046" w:type="pct"/>
          </w:tcPr>
          <w:p w14:paraId="4A1E0216" w14:textId="3E21934C" w:rsidR="00C40CB0" w:rsidRPr="00C40CB0" w:rsidRDefault="00C40CB0" w:rsidP="0075365E">
            <w:pPr>
              <w:spacing w:before="40" w:after="40"/>
              <w:ind w:left="426" w:right="40"/>
              <w:rPr>
                <w:rFonts w:cstheme="minorHAnsi"/>
                <w:i/>
                <w:iCs/>
                <w:color w:val="000000"/>
                <w:sz w:val="18"/>
                <w:szCs w:val="18"/>
              </w:rPr>
            </w:pPr>
            <w:r w:rsidRPr="00C40CB0">
              <w:rPr>
                <w:rFonts w:cstheme="minorHAnsi"/>
                <w:i/>
                <w:iCs/>
                <w:color w:val="000000"/>
                <w:sz w:val="18"/>
                <w:szCs w:val="18"/>
              </w:rPr>
              <w:t xml:space="preserve">Patient was not given a copy in the last </w:t>
            </w:r>
            <w:r>
              <w:rPr>
                <w:rFonts w:cstheme="minorHAnsi"/>
                <w:i/>
                <w:iCs/>
                <w:color w:val="000000"/>
                <w:sz w:val="18"/>
                <w:szCs w:val="18"/>
              </w:rPr>
              <w:t xml:space="preserve">6 </w:t>
            </w:r>
            <w:r w:rsidRPr="00C40CB0">
              <w:rPr>
                <w:rFonts w:cstheme="minorHAnsi"/>
                <w:i/>
                <w:iCs/>
                <w:color w:val="000000"/>
                <w:sz w:val="18"/>
                <w:szCs w:val="18"/>
              </w:rPr>
              <w:t>months</w:t>
            </w:r>
          </w:p>
        </w:tc>
        <w:tc>
          <w:tcPr>
            <w:tcW w:w="954" w:type="pct"/>
          </w:tcPr>
          <w:p w14:paraId="282B0222" w14:textId="35835AC2" w:rsidR="00C40CB0" w:rsidRPr="00EE4188" w:rsidRDefault="00C40CB0" w:rsidP="00256EF9">
            <w:pPr>
              <w:spacing w:before="40" w:after="40"/>
              <w:ind w:left="40" w:right="40"/>
              <w:jc w:val="center"/>
              <w:rPr>
                <w:rFonts w:cstheme="minorHAnsi"/>
                <w:i/>
                <w:iCs/>
                <w:color w:val="000000"/>
                <w:sz w:val="18"/>
                <w:szCs w:val="18"/>
              </w:rPr>
            </w:pPr>
            <w:r w:rsidRPr="00EE4188">
              <w:rPr>
                <w:rFonts w:cstheme="minorHAnsi"/>
                <w:i/>
                <w:iCs/>
                <w:color w:val="000000"/>
                <w:sz w:val="18"/>
                <w:szCs w:val="18"/>
              </w:rPr>
              <w:t>260 (22.4%)</w:t>
            </w:r>
          </w:p>
        </w:tc>
      </w:tr>
      <w:tr w:rsidR="00C40CB0" w:rsidRPr="00585D01" w14:paraId="1F65D44D" w14:textId="77777777" w:rsidTr="00D926C7">
        <w:trPr>
          <w:trHeight w:val="288"/>
          <w:jc w:val="center"/>
        </w:trPr>
        <w:tc>
          <w:tcPr>
            <w:tcW w:w="4046" w:type="pct"/>
          </w:tcPr>
          <w:p w14:paraId="5A90F883" w14:textId="49450111" w:rsidR="00C40CB0" w:rsidRPr="00C40CB0" w:rsidRDefault="00C40CB0" w:rsidP="0075365E">
            <w:pPr>
              <w:spacing w:before="40" w:after="40"/>
              <w:ind w:left="426" w:right="40"/>
              <w:rPr>
                <w:rFonts w:cstheme="minorHAnsi"/>
                <w:i/>
                <w:iCs/>
                <w:color w:val="000000"/>
                <w:sz w:val="18"/>
                <w:szCs w:val="18"/>
              </w:rPr>
            </w:pPr>
            <w:r w:rsidRPr="00C40CB0">
              <w:rPr>
                <w:rFonts w:cstheme="minorHAnsi"/>
                <w:i/>
                <w:iCs/>
                <w:color w:val="000000"/>
                <w:sz w:val="18"/>
                <w:szCs w:val="18"/>
              </w:rPr>
              <w:t xml:space="preserve">Patient doesn’t know whether they </w:t>
            </w:r>
            <w:r w:rsidR="00307A6B">
              <w:rPr>
                <w:rFonts w:cstheme="minorHAnsi"/>
                <w:i/>
                <w:iCs/>
                <w:color w:val="000000"/>
                <w:sz w:val="18"/>
                <w:szCs w:val="18"/>
              </w:rPr>
              <w:t>were given</w:t>
            </w:r>
            <w:r w:rsidRPr="00C40CB0">
              <w:rPr>
                <w:rFonts w:cstheme="minorHAnsi"/>
                <w:i/>
                <w:iCs/>
                <w:color w:val="000000"/>
                <w:sz w:val="18"/>
                <w:szCs w:val="18"/>
              </w:rPr>
              <w:t xml:space="preserve"> a copy in the last 6 months</w:t>
            </w:r>
          </w:p>
        </w:tc>
        <w:tc>
          <w:tcPr>
            <w:tcW w:w="954" w:type="pct"/>
          </w:tcPr>
          <w:p w14:paraId="049721D1" w14:textId="0CAA9182" w:rsidR="00C40CB0" w:rsidRPr="00EE4188" w:rsidRDefault="00C40CB0" w:rsidP="00256EF9">
            <w:pPr>
              <w:spacing w:before="40" w:after="40"/>
              <w:ind w:left="40" w:right="40"/>
              <w:jc w:val="center"/>
              <w:rPr>
                <w:rFonts w:cstheme="minorHAnsi"/>
                <w:i/>
                <w:iCs/>
                <w:color w:val="000000"/>
                <w:sz w:val="18"/>
                <w:szCs w:val="18"/>
              </w:rPr>
            </w:pPr>
            <w:r w:rsidRPr="00EE4188">
              <w:rPr>
                <w:rFonts w:cstheme="minorHAnsi"/>
                <w:i/>
                <w:iCs/>
                <w:color w:val="000000"/>
                <w:sz w:val="18"/>
                <w:szCs w:val="18"/>
              </w:rPr>
              <w:t>49 (4.2%)</w:t>
            </w:r>
          </w:p>
        </w:tc>
      </w:tr>
      <w:tr w:rsidR="00C40CB0" w:rsidRPr="00585D01" w14:paraId="12F335FB" w14:textId="77777777" w:rsidTr="00D926C7">
        <w:trPr>
          <w:trHeight w:val="288"/>
          <w:jc w:val="center"/>
        </w:trPr>
        <w:tc>
          <w:tcPr>
            <w:tcW w:w="4046" w:type="pct"/>
          </w:tcPr>
          <w:p w14:paraId="77B42D01" w14:textId="681F03A1" w:rsidR="00C40CB0" w:rsidRPr="001A3338" w:rsidRDefault="001A3338" w:rsidP="00B02FB1">
            <w:pPr>
              <w:spacing w:before="40" w:after="40"/>
              <w:ind w:left="40" w:right="40"/>
              <w:rPr>
                <w:rFonts w:cstheme="minorHAnsi"/>
                <w:color w:val="000000"/>
                <w:sz w:val="18"/>
                <w:szCs w:val="18"/>
              </w:rPr>
            </w:pPr>
            <w:r>
              <w:rPr>
                <w:rFonts w:cstheme="minorHAnsi"/>
                <w:color w:val="000000"/>
                <w:sz w:val="18"/>
                <w:szCs w:val="18"/>
              </w:rPr>
              <w:t xml:space="preserve">Patient </w:t>
            </w:r>
            <w:r w:rsidR="00D926C7" w:rsidRPr="00D926C7">
              <w:rPr>
                <w:rFonts w:cstheme="minorHAnsi"/>
                <w:color w:val="000000"/>
                <w:sz w:val="18"/>
                <w:szCs w:val="18"/>
                <w:u w:val="single"/>
              </w:rPr>
              <w:t>did not have</w:t>
            </w:r>
            <w:r>
              <w:rPr>
                <w:rFonts w:cstheme="minorHAnsi"/>
                <w:color w:val="000000"/>
                <w:sz w:val="18"/>
                <w:szCs w:val="18"/>
              </w:rPr>
              <w:t xml:space="preserve"> a </w:t>
            </w:r>
            <w:r w:rsidRPr="001A3338">
              <w:rPr>
                <w:rFonts w:cstheme="minorHAnsi"/>
                <w:color w:val="000000"/>
                <w:sz w:val="18"/>
                <w:szCs w:val="18"/>
              </w:rPr>
              <w:t>treatment/ shared care plan developed</w:t>
            </w:r>
          </w:p>
        </w:tc>
        <w:tc>
          <w:tcPr>
            <w:tcW w:w="954" w:type="pct"/>
          </w:tcPr>
          <w:p w14:paraId="562F6E42" w14:textId="01E90473" w:rsidR="00C40CB0" w:rsidRPr="00CF0AE4" w:rsidRDefault="00C40CB0" w:rsidP="00B02FB1">
            <w:pPr>
              <w:spacing w:before="40" w:after="40"/>
              <w:ind w:left="40" w:right="40"/>
              <w:jc w:val="center"/>
              <w:rPr>
                <w:rFonts w:cstheme="minorHAnsi"/>
                <w:b/>
                <w:bCs/>
                <w:color w:val="000000"/>
                <w:sz w:val="18"/>
                <w:szCs w:val="18"/>
                <w:highlight w:val="yellow"/>
              </w:rPr>
            </w:pPr>
            <w:r w:rsidRPr="00CF0AE4">
              <w:rPr>
                <w:rFonts w:cstheme="minorHAnsi"/>
                <w:b/>
                <w:bCs/>
                <w:color w:val="000000"/>
                <w:sz w:val="18"/>
                <w:szCs w:val="18"/>
              </w:rPr>
              <w:t>747 (37.0%)</w:t>
            </w:r>
          </w:p>
        </w:tc>
      </w:tr>
      <w:tr w:rsidR="00C40CB0" w:rsidRPr="00585D01" w14:paraId="1FBF667B" w14:textId="77777777" w:rsidTr="00D926C7">
        <w:trPr>
          <w:trHeight w:val="288"/>
          <w:jc w:val="center"/>
        </w:trPr>
        <w:tc>
          <w:tcPr>
            <w:tcW w:w="4046" w:type="pct"/>
          </w:tcPr>
          <w:p w14:paraId="6EB8211A" w14:textId="6CEE9EB7" w:rsidR="00C40CB0" w:rsidRPr="00D926C7" w:rsidRDefault="00D926C7" w:rsidP="00B02FB1">
            <w:pPr>
              <w:spacing w:before="40" w:after="40"/>
              <w:ind w:left="40" w:right="40"/>
              <w:rPr>
                <w:rFonts w:cstheme="minorHAnsi"/>
                <w:color w:val="000000"/>
                <w:sz w:val="18"/>
                <w:szCs w:val="18"/>
              </w:rPr>
            </w:pPr>
            <w:r w:rsidRPr="00D926C7">
              <w:rPr>
                <w:rFonts w:cstheme="minorHAnsi"/>
                <w:color w:val="000000"/>
                <w:sz w:val="18"/>
                <w:szCs w:val="18"/>
              </w:rPr>
              <w:t>Patient does not know whether</w:t>
            </w:r>
            <w:r>
              <w:rPr>
                <w:rFonts w:cstheme="minorHAnsi"/>
                <w:color w:val="000000"/>
                <w:sz w:val="18"/>
                <w:szCs w:val="18"/>
              </w:rPr>
              <w:t xml:space="preserve"> they had a </w:t>
            </w:r>
            <w:r w:rsidRPr="001A3338">
              <w:rPr>
                <w:rFonts w:cstheme="minorHAnsi"/>
                <w:color w:val="000000"/>
                <w:sz w:val="18"/>
                <w:szCs w:val="18"/>
              </w:rPr>
              <w:t>treatment/ shared care plan developed</w:t>
            </w:r>
          </w:p>
        </w:tc>
        <w:tc>
          <w:tcPr>
            <w:tcW w:w="954" w:type="pct"/>
          </w:tcPr>
          <w:p w14:paraId="28DAE486" w14:textId="635C6918" w:rsidR="00C40CB0" w:rsidRPr="00CF0AE4" w:rsidRDefault="00C40CB0" w:rsidP="00B02FB1">
            <w:pPr>
              <w:spacing w:before="40" w:after="40"/>
              <w:ind w:left="40" w:right="40"/>
              <w:jc w:val="center"/>
              <w:rPr>
                <w:rFonts w:cstheme="minorHAnsi"/>
                <w:b/>
                <w:bCs/>
                <w:color w:val="000000"/>
                <w:sz w:val="18"/>
                <w:szCs w:val="18"/>
                <w:highlight w:val="yellow"/>
              </w:rPr>
            </w:pPr>
            <w:r w:rsidRPr="00CF0AE4">
              <w:rPr>
                <w:rFonts w:cstheme="minorHAnsi"/>
                <w:b/>
                <w:bCs/>
                <w:color w:val="000000"/>
                <w:sz w:val="18"/>
                <w:szCs w:val="18"/>
              </w:rPr>
              <w:t>112 (5.6%)</w:t>
            </w:r>
          </w:p>
        </w:tc>
      </w:tr>
    </w:tbl>
    <w:p w14:paraId="45B86384" w14:textId="4DCE8A68" w:rsidR="00E364DA" w:rsidRDefault="00E364DA" w:rsidP="00E364DA">
      <w:pPr>
        <w:pStyle w:val="Chartortablefootnote"/>
      </w:pPr>
      <w:r w:rsidRPr="00E364DA">
        <w:t>Source: Patient surveys Wave 1 Dec 2017–Mar 2019.</w:t>
      </w:r>
    </w:p>
    <w:p w14:paraId="55FFCE42" w14:textId="20DA728F" w:rsidR="009F2184" w:rsidRPr="00585D01" w:rsidRDefault="0002357B" w:rsidP="009F2184">
      <w:pPr>
        <w:pStyle w:val="TableFigureheading"/>
      </w:pPr>
      <w:bookmarkStart w:id="342" w:name="_Ref20832927"/>
      <w:bookmarkStart w:id="343" w:name="_Ref108864096"/>
      <w:r w:rsidRPr="00585D01">
        <w:t xml:space="preserve">Table </w:t>
      </w:r>
      <w:r w:rsidRPr="00585D01">
        <w:fldChar w:fldCharType="begin"/>
      </w:r>
      <w:r w:rsidRPr="00585D01">
        <w:instrText>SEQ Table \* ARABIC</w:instrText>
      </w:r>
      <w:r w:rsidRPr="00585D01">
        <w:fldChar w:fldCharType="separate"/>
      </w:r>
      <w:r w:rsidR="003C4BC2">
        <w:rPr>
          <w:noProof/>
        </w:rPr>
        <w:t>44</w:t>
      </w:r>
      <w:r w:rsidRPr="00585D01">
        <w:fldChar w:fldCharType="end"/>
      </w:r>
      <w:bookmarkEnd w:id="342"/>
      <w:bookmarkEnd w:id="343"/>
      <w:r w:rsidR="009F2184">
        <w:t xml:space="preserve">: </w:t>
      </w:r>
      <w:r w:rsidR="009F2184" w:rsidRPr="00585D01">
        <w:t>Frequency with which the GP or practice staff discussed</w:t>
      </w:r>
      <w:r w:rsidR="009F2184">
        <w:t xml:space="preserve"> the</w:t>
      </w:r>
      <w:r w:rsidR="009F2184" w:rsidRPr="00585D01">
        <w:t xml:space="preserve"> treatment /shared care plan </w:t>
      </w:r>
      <w:r w:rsidR="009F2184">
        <w:t>with the patient</w:t>
      </w:r>
      <w:r w:rsidR="009F2184" w:rsidRPr="00585D01">
        <w:t xml:space="preserve"> with over the last six months</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732"/>
        <w:gridCol w:w="1480"/>
        <w:gridCol w:w="1302"/>
        <w:gridCol w:w="1302"/>
        <w:gridCol w:w="1302"/>
        <w:gridCol w:w="898"/>
      </w:tblGrid>
      <w:tr w:rsidR="009F2184" w:rsidRPr="00585D01" w14:paraId="76B4C0B0" w14:textId="77777777" w:rsidTr="004762F8">
        <w:trPr>
          <w:trHeight w:val="297"/>
        </w:trPr>
        <w:tc>
          <w:tcPr>
            <w:tcW w:w="1515" w:type="pct"/>
            <w:vMerge w:val="restart"/>
            <w:shd w:val="clear" w:color="auto" w:fill="408BCA"/>
            <w:vAlign w:val="center"/>
            <w:hideMark/>
          </w:tcPr>
          <w:p w14:paraId="5198AF2A" w14:textId="5F9F8DA4" w:rsidR="009F2184" w:rsidRPr="00970F9B" w:rsidRDefault="009F2184" w:rsidP="000A58A6">
            <w:pPr>
              <w:spacing w:after="0"/>
              <w:jc w:val="center"/>
              <w:rPr>
                <w:rFonts w:cstheme="minorHAnsi"/>
                <w:b/>
                <w:bCs/>
                <w:sz w:val="18"/>
                <w:szCs w:val="18"/>
              </w:rPr>
            </w:pPr>
            <w:r>
              <w:rPr>
                <w:rFonts w:cstheme="minorHAnsi"/>
                <w:b/>
                <w:bCs/>
                <w:color w:val="FFFFFF"/>
                <w:sz w:val="18"/>
                <w:szCs w:val="18"/>
              </w:rPr>
              <w:t xml:space="preserve">Frequency </w:t>
            </w:r>
            <w:r w:rsidRPr="00970F9B">
              <w:rPr>
                <w:rFonts w:cstheme="minorHAnsi"/>
                <w:b/>
                <w:bCs/>
                <w:color w:val="FFFFFF"/>
                <w:sz w:val="18"/>
                <w:szCs w:val="18"/>
                <w:vertAlign w:val="superscript"/>
              </w:rPr>
              <w:t>1</w:t>
            </w:r>
          </w:p>
        </w:tc>
        <w:tc>
          <w:tcPr>
            <w:tcW w:w="821" w:type="pct"/>
            <w:vMerge w:val="restart"/>
            <w:shd w:val="clear" w:color="auto" w:fill="408BCA"/>
            <w:vAlign w:val="center"/>
            <w:hideMark/>
          </w:tcPr>
          <w:p w14:paraId="6984BB64" w14:textId="77777777" w:rsidR="009F2184" w:rsidRPr="00970F9B" w:rsidRDefault="009F2184" w:rsidP="000A58A6">
            <w:pPr>
              <w:spacing w:after="0"/>
              <w:jc w:val="center"/>
              <w:rPr>
                <w:rFonts w:cstheme="minorHAnsi"/>
                <w:b/>
                <w:bCs/>
                <w:sz w:val="18"/>
                <w:szCs w:val="18"/>
              </w:rPr>
            </w:pPr>
            <w:r w:rsidRPr="00970F9B">
              <w:rPr>
                <w:rFonts w:cstheme="minorHAnsi"/>
                <w:b/>
                <w:bCs/>
                <w:color w:val="FFFFFF"/>
                <w:sz w:val="18"/>
                <w:szCs w:val="18"/>
              </w:rPr>
              <w:t>Total</w:t>
            </w:r>
          </w:p>
        </w:tc>
        <w:tc>
          <w:tcPr>
            <w:tcW w:w="2664" w:type="pct"/>
            <w:gridSpan w:val="4"/>
            <w:shd w:val="clear" w:color="auto" w:fill="408BCA"/>
            <w:vAlign w:val="center"/>
            <w:hideMark/>
          </w:tcPr>
          <w:p w14:paraId="2415E311" w14:textId="77777777" w:rsidR="009F2184" w:rsidRPr="00970F9B" w:rsidRDefault="009F2184" w:rsidP="000A58A6">
            <w:pPr>
              <w:spacing w:after="0"/>
              <w:jc w:val="center"/>
              <w:rPr>
                <w:rFonts w:cstheme="minorHAnsi"/>
                <w:b/>
                <w:bCs/>
                <w:sz w:val="18"/>
                <w:szCs w:val="18"/>
              </w:rPr>
            </w:pPr>
            <w:r w:rsidRPr="00970F9B">
              <w:rPr>
                <w:rFonts w:cstheme="minorHAnsi"/>
                <w:b/>
                <w:bCs/>
                <w:color w:val="FFFFFF"/>
                <w:sz w:val="18"/>
                <w:szCs w:val="18"/>
              </w:rPr>
              <w:t>HCH tier</w:t>
            </w:r>
          </w:p>
        </w:tc>
      </w:tr>
      <w:tr w:rsidR="009F2184" w:rsidRPr="00585D01" w14:paraId="261B9FB2" w14:textId="77777777" w:rsidTr="004762F8">
        <w:trPr>
          <w:trHeight w:val="330"/>
        </w:trPr>
        <w:tc>
          <w:tcPr>
            <w:tcW w:w="1515" w:type="pct"/>
            <w:vMerge/>
            <w:shd w:val="clear" w:color="auto" w:fill="408BCA"/>
            <w:vAlign w:val="center"/>
            <w:hideMark/>
          </w:tcPr>
          <w:p w14:paraId="0F512503" w14:textId="77777777" w:rsidR="009F2184" w:rsidRPr="00970F9B" w:rsidRDefault="009F2184" w:rsidP="000A58A6">
            <w:pPr>
              <w:spacing w:after="0"/>
              <w:jc w:val="center"/>
              <w:rPr>
                <w:rFonts w:cstheme="minorHAnsi"/>
                <w:b/>
                <w:bCs/>
                <w:sz w:val="18"/>
                <w:szCs w:val="18"/>
              </w:rPr>
            </w:pPr>
          </w:p>
        </w:tc>
        <w:tc>
          <w:tcPr>
            <w:tcW w:w="821" w:type="pct"/>
            <w:vMerge/>
            <w:shd w:val="clear" w:color="auto" w:fill="408BCA"/>
            <w:vAlign w:val="center"/>
            <w:hideMark/>
          </w:tcPr>
          <w:p w14:paraId="3705AE58" w14:textId="77777777" w:rsidR="009F2184" w:rsidRPr="00970F9B" w:rsidRDefault="009F2184" w:rsidP="000A58A6">
            <w:pPr>
              <w:spacing w:after="0"/>
              <w:jc w:val="center"/>
              <w:rPr>
                <w:rFonts w:cstheme="minorHAnsi"/>
                <w:b/>
                <w:bCs/>
                <w:sz w:val="18"/>
                <w:szCs w:val="18"/>
              </w:rPr>
            </w:pPr>
          </w:p>
        </w:tc>
        <w:tc>
          <w:tcPr>
            <w:tcW w:w="722" w:type="pct"/>
            <w:shd w:val="clear" w:color="auto" w:fill="408BCA"/>
            <w:vAlign w:val="center"/>
            <w:hideMark/>
          </w:tcPr>
          <w:p w14:paraId="6FFE4008" w14:textId="77777777" w:rsidR="009F2184" w:rsidRPr="00970F9B" w:rsidRDefault="009F2184" w:rsidP="000A58A6">
            <w:pPr>
              <w:spacing w:after="0"/>
              <w:jc w:val="center"/>
              <w:rPr>
                <w:rFonts w:cstheme="minorHAnsi"/>
                <w:b/>
                <w:bCs/>
                <w:sz w:val="18"/>
                <w:szCs w:val="18"/>
              </w:rPr>
            </w:pPr>
            <w:r w:rsidRPr="00970F9B">
              <w:rPr>
                <w:rFonts w:cstheme="minorHAnsi"/>
                <w:b/>
                <w:bCs/>
                <w:color w:val="FFFFFF"/>
                <w:sz w:val="18"/>
                <w:szCs w:val="18"/>
              </w:rPr>
              <w:t>1</w:t>
            </w:r>
          </w:p>
        </w:tc>
        <w:tc>
          <w:tcPr>
            <w:tcW w:w="722" w:type="pct"/>
            <w:shd w:val="clear" w:color="auto" w:fill="408BCA"/>
            <w:vAlign w:val="center"/>
            <w:hideMark/>
          </w:tcPr>
          <w:p w14:paraId="07EB597D" w14:textId="77777777" w:rsidR="009F2184" w:rsidRPr="00970F9B" w:rsidRDefault="009F2184" w:rsidP="000A58A6">
            <w:pPr>
              <w:spacing w:after="0"/>
              <w:jc w:val="center"/>
              <w:rPr>
                <w:rFonts w:cstheme="minorHAnsi"/>
                <w:b/>
                <w:bCs/>
                <w:sz w:val="18"/>
                <w:szCs w:val="18"/>
              </w:rPr>
            </w:pPr>
            <w:r w:rsidRPr="00970F9B">
              <w:rPr>
                <w:rFonts w:cstheme="minorHAnsi"/>
                <w:b/>
                <w:bCs/>
                <w:color w:val="FFFFFF"/>
                <w:sz w:val="18"/>
                <w:szCs w:val="18"/>
              </w:rPr>
              <w:t>2</w:t>
            </w:r>
          </w:p>
        </w:tc>
        <w:tc>
          <w:tcPr>
            <w:tcW w:w="722" w:type="pct"/>
            <w:shd w:val="clear" w:color="auto" w:fill="408BCA"/>
            <w:vAlign w:val="center"/>
            <w:hideMark/>
          </w:tcPr>
          <w:p w14:paraId="6AD4B725" w14:textId="77777777" w:rsidR="009F2184" w:rsidRPr="00970F9B" w:rsidRDefault="009F2184" w:rsidP="000A58A6">
            <w:pPr>
              <w:spacing w:after="0"/>
              <w:jc w:val="center"/>
              <w:rPr>
                <w:rFonts w:cstheme="minorHAnsi"/>
                <w:b/>
                <w:bCs/>
                <w:sz w:val="18"/>
                <w:szCs w:val="18"/>
              </w:rPr>
            </w:pPr>
            <w:r w:rsidRPr="00970F9B">
              <w:rPr>
                <w:rFonts w:cstheme="minorHAnsi"/>
                <w:b/>
                <w:bCs/>
                <w:color w:val="FFFFFF"/>
                <w:sz w:val="18"/>
                <w:szCs w:val="18"/>
              </w:rPr>
              <w:t>3</w:t>
            </w:r>
          </w:p>
        </w:tc>
        <w:tc>
          <w:tcPr>
            <w:tcW w:w="498" w:type="pct"/>
            <w:shd w:val="clear" w:color="auto" w:fill="408BCA"/>
            <w:vAlign w:val="center"/>
          </w:tcPr>
          <w:p w14:paraId="7D83031E" w14:textId="77777777" w:rsidR="009F2184" w:rsidRPr="00970F9B" w:rsidRDefault="009F2184" w:rsidP="000A58A6">
            <w:pPr>
              <w:spacing w:after="0"/>
              <w:jc w:val="center"/>
              <w:rPr>
                <w:rFonts w:cstheme="minorHAnsi"/>
                <w:b/>
                <w:bCs/>
                <w:sz w:val="18"/>
                <w:szCs w:val="18"/>
              </w:rPr>
            </w:pPr>
            <w:r w:rsidRPr="00970F9B">
              <w:rPr>
                <w:rFonts w:eastAsia="Century Gothic" w:cs="Century Gothic"/>
                <w:b/>
                <w:bCs/>
                <w:color w:val="FFFFFF"/>
                <w:sz w:val="18"/>
                <w:szCs w:val="18"/>
              </w:rPr>
              <w:t>p</w:t>
            </w:r>
            <w:r w:rsidRPr="00970F9B">
              <w:rPr>
                <w:rFonts w:eastAsia="Century Gothic" w:cs="Century Gothic"/>
                <w:b/>
                <w:bCs/>
                <w:color w:val="FFFFFF"/>
                <w:sz w:val="18"/>
                <w:szCs w:val="18"/>
              </w:rPr>
              <w:br/>
              <w:t>value</w:t>
            </w:r>
          </w:p>
        </w:tc>
      </w:tr>
      <w:tr w:rsidR="009F2184" w:rsidRPr="00585D01" w14:paraId="3770B9DA" w14:textId="77777777" w:rsidTr="004762F8">
        <w:trPr>
          <w:trHeight w:val="288"/>
        </w:trPr>
        <w:tc>
          <w:tcPr>
            <w:tcW w:w="1515" w:type="pct"/>
            <w:hideMark/>
          </w:tcPr>
          <w:p w14:paraId="0CCA24A4" w14:textId="77777777" w:rsidR="009F2184" w:rsidRPr="00585D01" w:rsidRDefault="009F2184" w:rsidP="000A58A6">
            <w:pPr>
              <w:spacing w:before="40" w:after="40"/>
              <w:ind w:right="40"/>
              <w:rPr>
                <w:rFonts w:cstheme="minorHAnsi"/>
                <w:color w:val="000000"/>
                <w:sz w:val="18"/>
                <w:szCs w:val="18"/>
              </w:rPr>
            </w:pPr>
            <w:r w:rsidRPr="00585D01">
              <w:rPr>
                <w:rFonts w:cstheme="minorHAnsi"/>
                <w:color w:val="000000"/>
                <w:sz w:val="18"/>
                <w:szCs w:val="18"/>
              </w:rPr>
              <w:t>At most or all consultations</w:t>
            </w:r>
          </w:p>
        </w:tc>
        <w:tc>
          <w:tcPr>
            <w:tcW w:w="821" w:type="pct"/>
            <w:hideMark/>
          </w:tcPr>
          <w:p w14:paraId="41EC6B2A" w14:textId="77777777" w:rsidR="009F2184" w:rsidRPr="00585D01" w:rsidRDefault="009F2184" w:rsidP="000A58A6">
            <w:pPr>
              <w:spacing w:before="40" w:after="40"/>
              <w:ind w:left="40" w:right="40"/>
              <w:jc w:val="center"/>
              <w:rPr>
                <w:rFonts w:cstheme="minorHAnsi"/>
                <w:sz w:val="18"/>
                <w:szCs w:val="18"/>
              </w:rPr>
            </w:pPr>
            <w:r w:rsidRPr="00585D01">
              <w:rPr>
                <w:rFonts w:cstheme="minorHAnsi"/>
                <w:color w:val="000000"/>
                <w:sz w:val="18"/>
                <w:szCs w:val="18"/>
              </w:rPr>
              <w:t>485 (41.8%)</w:t>
            </w:r>
          </w:p>
        </w:tc>
        <w:tc>
          <w:tcPr>
            <w:tcW w:w="722" w:type="pct"/>
            <w:hideMark/>
          </w:tcPr>
          <w:p w14:paraId="25D7FDF4" w14:textId="77777777" w:rsidR="009F2184" w:rsidRPr="00585D01" w:rsidRDefault="009F2184" w:rsidP="000A58A6">
            <w:pPr>
              <w:spacing w:before="40" w:after="40"/>
              <w:ind w:left="40" w:right="40"/>
              <w:jc w:val="center"/>
              <w:rPr>
                <w:rFonts w:cstheme="minorHAnsi"/>
                <w:sz w:val="18"/>
                <w:szCs w:val="18"/>
              </w:rPr>
            </w:pPr>
            <w:r w:rsidRPr="00585D01">
              <w:rPr>
                <w:rFonts w:eastAsia="Century Gothic" w:cs="Century Gothic"/>
                <w:color w:val="000000"/>
                <w:sz w:val="18"/>
                <w:szCs w:val="18"/>
              </w:rPr>
              <w:t>90 (41.7%)</w:t>
            </w:r>
          </w:p>
        </w:tc>
        <w:tc>
          <w:tcPr>
            <w:tcW w:w="722" w:type="pct"/>
            <w:hideMark/>
          </w:tcPr>
          <w:p w14:paraId="6A364F5B" w14:textId="77777777" w:rsidR="009F2184" w:rsidRPr="00585D01" w:rsidRDefault="009F2184" w:rsidP="000A58A6">
            <w:pPr>
              <w:spacing w:before="40" w:after="40"/>
              <w:ind w:left="40" w:right="40"/>
              <w:jc w:val="center"/>
              <w:rPr>
                <w:rFonts w:cstheme="minorHAnsi"/>
                <w:sz w:val="18"/>
                <w:szCs w:val="18"/>
              </w:rPr>
            </w:pPr>
            <w:r w:rsidRPr="00585D01">
              <w:rPr>
                <w:rFonts w:eastAsia="Century Gothic" w:cs="Century Gothic"/>
                <w:color w:val="000000"/>
                <w:sz w:val="18"/>
                <w:szCs w:val="18"/>
              </w:rPr>
              <w:t>244 (43.3%)</w:t>
            </w:r>
          </w:p>
        </w:tc>
        <w:tc>
          <w:tcPr>
            <w:tcW w:w="722" w:type="pct"/>
            <w:hideMark/>
          </w:tcPr>
          <w:p w14:paraId="408F4E78" w14:textId="77777777" w:rsidR="009F2184" w:rsidRPr="00585D01" w:rsidRDefault="009F2184" w:rsidP="000A58A6">
            <w:pPr>
              <w:spacing w:before="40" w:after="40"/>
              <w:ind w:left="40" w:right="40"/>
              <w:jc w:val="center"/>
              <w:rPr>
                <w:rFonts w:cstheme="minorHAnsi"/>
                <w:sz w:val="18"/>
                <w:szCs w:val="18"/>
              </w:rPr>
            </w:pPr>
            <w:r w:rsidRPr="00585D01">
              <w:rPr>
                <w:rFonts w:eastAsia="Century Gothic" w:cs="Century Gothic"/>
                <w:color w:val="000000"/>
                <w:sz w:val="18"/>
                <w:szCs w:val="18"/>
              </w:rPr>
              <w:t>130 (53.3%)</w:t>
            </w:r>
          </w:p>
        </w:tc>
        <w:tc>
          <w:tcPr>
            <w:tcW w:w="498" w:type="pct"/>
            <w:vMerge w:val="restart"/>
          </w:tcPr>
          <w:p w14:paraId="54C22776" w14:textId="77777777" w:rsidR="009F2184" w:rsidRPr="00585D01" w:rsidRDefault="009F2184" w:rsidP="000A58A6">
            <w:pPr>
              <w:spacing w:before="40" w:after="40"/>
              <w:ind w:left="40" w:right="40"/>
              <w:jc w:val="center"/>
              <w:rPr>
                <w:rFonts w:cstheme="minorHAnsi"/>
                <w:sz w:val="18"/>
                <w:szCs w:val="18"/>
              </w:rPr>
            </w:pPr>
            <w:r w:rsidRPr="00585D01">
              <w:rPr>
                <w:rFonts w:eastAsia="Century Gothic" w:cs="Century Gothic"/>
                <w:color w:val="000000"/>
                <w:sz w:val="18"/>
                <w:szCs w:val="18"/>
              </w:rPr>
              <w:t>0.030</w:t>
            </w:r>
          </w:p>
        </w:tc>
      </w:tr>
      <w:tr w:rsidR="009F2184" w:rsidRPr="00585D01" w14:paraId="36027F89" w14:textId="77777777" w:rsidTr="004762F8">
        <w:trPr>
          <w:trHeight w:val="288"/>
        </w:trPr>
        <w:tc>
          <w:tcPr>
            <w:tcW w:w="1515" w:type="pct"/>
            <w:hideMark/>
          </w:tcPr>
          <w:p w14:paraId="7A96ADD1" w14:textId="77777777" w:rsidR="009F2184" w:rsidRPr="00585D01" w:rsidRDefault="009F2184" w:rsidP="000A58A6">
            <w:pPr>
              <w:spacing w:before="40" w:after="40"/>
              <w:ind w:right="40"/>
              <w:rPr>
                <w:rFonts w:cstheme="minorHAnsi"/>
                <w:color w:val="000000"/>
                <w:sz w:val="18"/>
                <w:szCs w:val="18"/>
              </w:rPr>
            </w:pPr>
            <w:r w:rsidRPr="00585D01">
              <w:rPr>
                <w:rFonts w:cstheme="minorHAnsi"/>
                <w:color w:val="000000"/>
                <w:sz w:val="18"/>
                <w:szCs w:val="18"/>
              </w:rPr>
              <w:t>It was sometimes discussed</w:t>
            </w:r>
          </w:p>
        </w:tc>
        <w:tc>
          <w:tcPr>
            <w:tcW w:w="821" w:type="pct"/>
            <w:hideMark/>
          </w:tcPr>
          <w:p w14:paraId="01973207" w14:textId="77777777" w:rsidR="009F2184" w:rsidRPr="00585D01" w:rsidRDefault="009F2184" w:rsidP="000A58A6">
            <w:pPr>
              <w:spacing w:before="40" w:after="40"/>
              <w:ind w:left="40" w:right="40"/>
              <w:jc w:val="center"/>
              <w:rPr>
                <w:rFonts w:cstheme="minorHAnsi"/>
                <w:sz w:val="18"/>
                <w:szCs w:val="18"/>
              </w:rPr>
            </w:pPr>
            <w:r w:rsidRPr="00585D01">
              <w:rPr>
                <w:rFonts w:cstheme="minorHAnsi"/>
                <w:color w:val="000000"/>
                <w:sz w:val="18"/>
                <w:szCs w:val="18"/>
              </w:rPr>
              <w:t>500 (43.1%)</w:t>
            </w:r>
          </w:p>
        </w:tc>
        <w:tc>
          <w:tcPr>
            <w:tcW w:w="722" w:type="pct"/>
            <w:hideMark/>
          </w:tcPr>
          <w:p w14:paraId="2066D6D7" w14:textId="77777777" w:rsidR="009F2184" w:rsidRPr="00585D01" w:rsidRDefault="009F2184" w:rsidP="000A58A6">
            <w:pPr>
              <w:spacing w:before="40" w:after="40"/>
              <w:ind w:left="40" w:right="40"/>
              <w:jc w:val="center"/>
              <w:rPr>
                <w:rFonts w:cstheme="minorHAnsi"/>
                <w:sz w:val="18"/>
                <w:szCs w:val="18"/>
              </w:rPr>
            </w:pPr>
            <w:r w:rsidRPr="00585D01">
              <w:rPr>
                <w:rFonts w:eastAsia="Century Gothic" w:cs="Century Gothic"/>
                <w:color w:val="000000"/>
                <w:sz w:val="18"/>
                <w:szCs w:val="18"/>
              </w:rPr>
              <w:t>105 (48.6%)</w:t>
            </w:r>
          </w:p>
        </w:tc>
        <w:tc>
          <w:tcPr>
            <w:tcW w:w="722" w:type="pct"/>
            <w:hideMark/>
          </w:tcPr>
          <w:p w14:paraId="244CB499" w14:textId="77777777" w:rsidR="009F2184" w:rsidRPr="00585D01" w:rsidRDefault="009F2184" w:rsidP="000A58A6">
            <w:pPr>
              <w:spacing w:before="40" w:after="40"/>
              <w:ind w:left="40" w:right="40"/>
              <w:jc w:val="center"/>
              <w:rPr>
                <w:rFonts w:cstheme="minorHAnsi"/>
                <w:sz w:val="18"/>
                <w:szCs w:val="18"/>
              </w:rPr>
            </w:pPr>
            <w:r w:rsidRPr="00585D01">
              <w:rPr>
                <w:rFonts w:eastAsia="Century Gothic" w:cs="Century Gothic"/>
                <w:color w:val="000000"/>
                <w:sz w:val="18"/>
                <w:szCs w:val="18"/>
              </w:rPr>
              <w:t>274 (48.6%)</w:t>
            </w:r>
          </w:p>
        </w:tc>
        <w:tc>
          <w:tcPr>
            <w:tcW w:w="722" w:type="pct"/>
            <w:hideMark/>
          </w:tcPr>
          <w:p w14:paraId="2DB9234B" w14:textId="77777777" w:rsidR="009F2184" w:rsidRPr="00585D01" w:rsidRDefault="009F2184" w:rsidP="000A58A6">
            <w:pPr>
              <w:spacing w:before="40" w:after="40"/>
              <w:ind w:left="40" w:right="40"/>
              <w:jc w:val="center"/>
              <w:rPr>
                <w:rFonts w:cstheme="minorHAnsi"/>
                <w:sz w:val="18"/>
                <w:szCs w:val="18"/>
              </w:rPr>
            </w:pPr>
            <w:r w:rsidRPr="00585D01">
              <w:rPr>
                <w:rFonts w:eastAsia="Century Gothic" w:cs="Century Gothic"/>
                <w:color w:val="000000"/>
                <w:sz w:val="18"/>
                <w:szCs w:val="18"/>
              </w:rPr>
              <w:t>103 (42.2%)</w:t>
            </w:r>
          </w:p>
        </w:tc>
        <w:tc>
          <w:tcPr>
            <w:tcW w:w="498" w:type="pct"/>
            <w:vMerge/>
          </w:tcPr>
          <w:p w14:paraId="328BBDF0" w14:textId="77777777" w:rsidR="009F2184" w:rsidRPr="00585D01" w:rsidRDefault="009F2184" w:rsidP="000A58A6">
            <w:pPr>
              <w:spacing w:before="40" w:after="40"/>
              <w:ind w:left="40" w:right="40"/>
              <w:jc w:val="center"/>
              <w:rPr>
                <w:rFonts w:cstheme="minorHAnsi"/>
                <w:sz w:val="18"/>
                <w:szCs w:val="18"/>
              </w:rPr>
            </w:pPr>
          </w:p>
        </w:tc>
      </w:tr>
      <w:tr w:rsidR="009F2184" w:rsidRPr="00585D01" w14:paraId="57195D86" w14:textId="77777777" w:rsidTr="004762F8">
        <w:trPr>
          <w:trHeight w:val="288"/>
        </w:trPr>
        <w:tc>
          <w:tcPr>
            <w:tcW w:w="1515" w:type="pct"/>
          </w:tcPr>
          <w:p w14:paraId="18E376B6" w14:textId="77777777" w:rsidR="009F2184" w:rsidRPr="00585D01" w:rsidRDefault="009F2184" w:rsidP="000A58A6">
            <w:pPr>
              <w:spacing w:before="40" w:after="40"/>
              <w:ind w:right="40"/>
              <w:rPr>
                <w:rFonts w:cstheme="minorHAnsi"/>
                <w:color w:val="000000"/>
                <w:sz w:val="18"/>
                <w:szCs w:val="18"/>
              </w:rPr>
            </w:pPr>
            <w:r w:rsidRPr="00585D01">
              <w:rPr>
                <w:rFonts w:cstheme="minorHAnsi"/>
                <w:color w:val="000000"/>
                <w:sz w:val="18"/>
                <w:szCs w:val="18"/>
              </w:rPr>
              <w:t>It was never discussed</w:t>
            </w:r>
          </w:p>
        </w:tc>
        <w:tc>
          <w:tcPr>
            <w:tcW w:w="821" w:type="pct"/>
          </w:tcPr>
          <w:p w14:paraId="694DEE4B" w14:textId="77777777" w:rsidR="009F2184" w:rsidRPr="00585D01" w:rsidRDefault="009F2184" w:rsidP="000A58A6">
            <w:pPr>
              <w:spacing w:before="40" w:after="40"/>
              <w:ind w:left="40" w:right="40"/>
              <w:jc w:val="center"/>
              <w:rPr>
                <w:rFonts w:cstheme="minorHAnsi"/>
                <w:color w:val="000000"/>
                <w:sz w:val="18"/>
                <w:szCs w:val="18"/>
              </w:rPr>
            </w:pPr>
            <w:r w:rsidRPr="00585D01">
              <w:rPr>
                <w:rFonts w:cstheme="minorHAnsi"/>
                <w:color w:val="000000"/>
                <w:sz w:val="18"/>
                <w:szCs w:val="18"/>
              </w:rPr>
              <w:t>79 (6.8%)</w:t>
            </w:r>
          </w:p>
        </w:tc>
        <w:tc>
          <w:tcPr>
            <w:tcW w:w="722" w:type="pct"/>
          </w:tcPr>
          <w:p w14:paraId="6DBBACB4" w14:textId="77777777" w:rsidR="009F2184" w:rsidRPr="00585D01" w:rsidRDefault="009F2184" w:rsidP="000A58A6">
            <w:pPr>
              <w:spacing w:before="40" w:after="40"/>
              <w:ind w:left="40" w:right="40"/>
              <w:jc w:val="center"/>
              <w:rPr>
                <w:rFonts w:cstheme="minorHAnsi"/>
                <w:color w:val="000000"/>
                <w:sz w:val="18"/>
                <w:szCs w:val="18"/>
              </w:rPr>
            </w:pPr>
            <w:r w:rsidRPr="00585D01">
              <w:rPr>
                <w:rFonts w:eastAsia="Century Gothic" w:cs="Century Gothic"/>
                <w:color w:val="000000"/>
                <w:sz w:val="18"/>
                <w:szCs w:val="18"/>
              </w:rPr>
              <w:t>21 (9.7%)</w:t>
            </w:r>
          </w:p>
        </w:tc>
        <w:tc>
          <w:tcPr>
            <w:tcW w:w="722" w:type="pct"/>
          </w:tcPr>
          <w:p w14:paraId="53DD6016" w14:textId="77777777" w:rsidR="009F2184" w:rsidRPr="00585D01" w:rsidRDefault="009F2184" w:rsidP="000A58A6">
            <w:pPr>
              <w:spacing w:before="40" w:after="40"/>
              <w:ind w:left="40" w:right="40"/>
              <w:jc w:val="center"/>
              <w:rPr>
                <w:rFonts w:cstheme="minorHAnsi"/>
                <w:color w:val="000000"/>
                <w:sz w:val="18"/>
                <w:szCs w:val="18"/>
              </w:rPr>
            </w:pPr>
            <w:r w:rsidRPr="00585D01">
              <w:rPr>
                <w:rFonts w:eastAsia="Century Gothic" w:cs="Century Gothic"/>
                <w:color w:val="000000"/>
                <w:sz w:val="18"/>
                <w:szCs w:val="18"/>
              </w:rPr>
              <w:t>46 (8.2%)</w:t>
            </w:r>
          </w:p>
        </w:tc>
        <w:tc>
          <w:tcPr>
            <w:tcW w:w="722" w:type="pct"/>
          </w:tcPr>
          <w:p w14:paraId="6EBC1F01" w14:textId="77777777" w:rsidR="009F2184" w:rsidRPr="00585D01" w:rsidRDefault="009F2184" w:rsidP="000A58A6">
            <w:pPr>
              <w:spacing w:before="40" w:after="40"/>
              <w:ind w:left="40" w:right="40"/>
              <w:jc w:val="center"/>
              <w:rPr>
                <w:rFonts w:cstheme="minorHAnsi"/>
                <w:color w:val="000000"/>
                <w:sz w:val="18"/>
                <w:szCs w:val="18"/>
              </w:rPr>
            </w:pPr>
            <w:r w:rsidRPr="00585D01">
              <w:rPr>
                <w:rFonts w:eastAsia="Century Gothic" w:cs="Century Gothic"/>
                <w:color w:val="000000"/>
                <w:sz w:val="18"/>
                <w:szCs w:val="18"/>
              </w:rPr>
              <w:t>11 (4.5%)</w:t>
            </w:r>
          </w:p>
        </w:tc>
        <w:tc>
          <w:tcPr>
            <w:tcW w:w="498" w:type="pct"/>
            <w:vMerge/>
          </w:tcPr>
          <w:p w14:paraId="41FE6299" w14:textId="77777777" w:rsidR="009F2184" w:rsidRPr="00585D01" w:rsidRDefault="009F2184" w:rsidP="000A58A6">
            <w:pPr>
              <w:spacing w:before="40" w:after="40"/>
              <w:ind w:left="40" w:right="40"/>
              <w:jc w:val="center"/>
              <w:rPr>
                <w:rFonts w:cstheme="minorHAnsi"/>
                <w:color w:val="000000"/>
                <w:sz w:val="18"/>
                <w:szCs w:val="18"/>
              </w:rPr>
            </w:pPr>
          </w:p>
        </w:tc>
      </w:tr>
      <w:tr w:rsidR="009F2184" w:rsidRPr="00585D01" w14:paraId="0B6A8D84" w14:textId="77777777" w:rsidTr="004762F8">
        <w:trPr>
          <w:trHeight w:val="288"/>
        </w:trPr>
        <w:tc>
          <w:tcPr>
            <w:tcW w:w="1515" w:type="pct"/>
          </w:tcPr>
          <w:p w14:paraId="0325C4A3" w14:textId="77777777" w:rsidR="009F2184" w:rsidRPr="00585D01" w:rsidRDefault="009F2184" w:rsidP="000A58A6">
            <w:pPr>
              <w:spacing w:before="40" w:after="40"/>
              <w:ind w:right="40"/>
              <w:rPr>
                <w:rFonts w:cstheme="minorHAnsi"/>
                <w:color w:val="000000"/>
                <w:sz w:val="18"/>
                <w:szCs w:val="18"/>
              </w:rPr>
            </w:pPr>
            <w:r w:rsidRPr="00585D01">
              <w:rPr>
                <w:rFonts w:cstheme="minorHAnsi"/>
                <w:color w:val="000000"/>
                <w:sz w:val="18"/>
                <w:szCs w:val="18"/>
              </w:rPr>
              <w:t>Don't know</w:t>
            </w:r>
          </w:p>
        </w:tc>
        <w:tc>
          <w:tcPr>
            <w:tcW w:w="821" w:type="pct"/>
          </w:tcPr>
          <w:p w14:paraId="5AF5445B" w14:textId="77777777" w:rsidR="009F2184" w:rsidRPr="00585D01" w:rsidRDefault="009F2184" w:rsidP="000A58A6">
            <w:pPr>
              <w:spacing w:before="40" w:after="40"/>
              <w:ind w:left="40" w:right="40"/>
              <w:jc w:val="center"/>
              <w:rPr>
                <w:rFonts w:cstheme="minorHAnsi"/>
                <w:color w:val="000000"/>
                <w:sz w:val="18"/>
                <w:szCs w:val="18"/>
              </w:rPr>
            </w:pPr>
            <w:r w:rsidRPr="00585D01">
              <w:rPr>
                <w:rFonts w:cstheme="minorHAnsi"/>
                <w:color w:val="000000"/>
                <w:sz w:val="18"/>
                <w:szCs w:val="18"/>
              </w:rPr>
              <w:t>95 (8.2%)</w:t>
            </w:r>
          </w:p>
        </w:tc>
        <w:tc>
          <w:tcPr>
            <w:tcW w:w="722" w:type="pct"/>
          </w:tcPr>
          <w:p w14:paraId="0E4C382C" w14:textId="77777777" w:rsidR="009F2184" w:rsidRPr="00585D01" w:rsidRDefault="009F2184" w:rsidP="000A58A6">
            <w:pPr>
              <w:spacing w:before="40" w:after="40"/>
              <w:ind w:left="40" w:right="40"/>
              <w:jc w:val="center"/>
              <w:rPr>
                <w:rFonts w:cstheme="minorHAnsi"/>
                <w:color w:val="000000"/>
                <w:sz w:val="18"/>
                <w:szCs w:val="18"/>
              </w:rPr>
            </w:pPr>
          </w:p>
        </w:tc>
        <w:tc>
          <w:tcPr>
            <w:tcW w:w="722" w:type="pct"/>
          </w:tcPr>
          <w:p w14:paraId="1D13A3B0" w14:textId="77777777" w:rsidR="009F2184" w:rsidRPr="00585D01" w:rsidRDefault="009F2184" w:rsidP="000A58A6">
            <w:pPr>
              <w:spacing w:before="40" w:after="40"/>
              <w:ind w:left="40" w:right="40"/>
              <w:jc w:val="center"/>
              <w:rPr>
                <w:rFonts w:cstheme="minorHAnsi"/>
                <w:color w:val="000000"/>
                <w:sz w:val="18"/>
                <w:szCs w:val="18"/>
              </w:rPr>
            </w:pPr>
          </w:p>
        </w:tc>
        <w:tc>
          <w:tcPr>
            <w:tcW w:w="722" w:type="pct"/>
          </w:tcPr>
          <w:p w14:paraId="157B5727" w14:textId="77777777" w:rsidR="009F2184" w:rsidRPr="00585D01" w:rsidRDefault="009F2184" w:rsidP="000A58A6">
            <w:pPr>
              <w:spacing w:before="40" w:after="40"/>
              <w:ind w:left="40" w:right="40"/>
              <w:jc w:val="center"/>
              <w:rPr>
                <w:rFonts w:cstheme="minorHAnsi"/>
                <w:color w:val="000000"/>
                <w:sz w:val="18"/>
                <w:szCs w:val="18"/>
              </w:rPr>
            </w:pPr>
          </w:p>
        </w:tc>
        <w:tc>
          <w:tcPr>
            <w:tcW w:w="498" w:type="pct"/>
            <w:vMerge/>
          </w:tcPr>
          <w:p w14:paraId="37CB4032" w14:textId="77777777" w:rsidR="009F2184" w:rsidRPr="00585D01" w:rsidRDefault="009F2184" w:rsidP="000A58A6">
            <w:pPr>
              <w:spacing w:before="40" w:after="40"/>
              <w:ind w:left="40" w:right="40"/>
              <w:jc w:val="center"/>
              <w:rPr>
                <w:rFonts w:cstheme="minorHAnsi"/>
                <w:color w:val="000000"/>
                <w:sz w:val="18"/>
                <w:szCs w:val="18"/>
              </w:rPr>
            </w:pPr>
          </w:p>
        </w:tc>
      </w:tr>
    </w:tbl>
    <w:p w14:paraId="11C3C225" w14:textId="2B0C8ED4" w:rsidR="009F2184" w:rsidRDefault="009F2184" w:rsidP="009F2184">
      <w:pPr>
        <w:spacing w:after="0"/>
        <w:jc w:val="center"/>
        <w:rPr>
          <w:i/>
          <w:sz w:val="16"/>
          <w:szCs w:val="18"/>
        </w:rPr>
      </w:pPr>
      <w:r>
        <w:rPr>
          <w:i/>
          <w:sz w:val="16"/>
          <w:szCs w:val="18"/>
        </w:rPr>
        <w:t xml:space="preserve">Notes: </w:t>
      </w:r>
      <w:r w:rsidRPr="00585D01">
        <w:rPr>
          <w:i/>
          <w:sz w:val="16"/>
          <w:szCs w:val="18"/>
          <w:vertAlign w:val="superscript"/>
        </w:rPr>
        <w:t>1</w:t>
      </w:r>
      <w:r>
        <w:rPr>
          <w:i/>
          <w:sz w:val="16"/>
          <w:szCs w:val="18"/>
          <w:vertAlign w:val="superscript"/>
        </w:rPr>
        <w:t> </w:t>
      </w:r>
      <w:r w:rsidR="004762F8" w:rsidRPr="004762F8">
        <w:rPr>
          <w:i/>
          <w:sz w:val="16"/>
          <w:szCs w:val="18"/>
        </w:rPr>
        <w:t>Only r</w:t>
      </w:r>
      <w:r w:rsidRPr="004762F8">
        <w:rPr>
          <w:i/>
          <w:sz w:val="16"/>
          <w:szCs w:val="18"/>
        </w:rPr>
        <w:t>e</w:t>
      </w:r>
      <w:r w:rsidRPr="009E380C">
        <w:rPr>
          <w:i/>
          <w:sz w:val="16"/>
          <w:szCs w:val="18"/>
        </w:rPr>
        <w:t>ported for patients who answered that they have</w:t>
      </w:r>
      <w:r w:rsidRPr="00585D01">
        <w:rPr>
          <w:i/>
          <w:sz w:val="16"/>
          <w:szCs w:val="18"/>
        </w:rPr>
        <w:t xml:space="preserve"> a treatment plan/shared care plan.</w:t>
      </w:r>
    </w:p>
    <w:p w14:paraId="1DFBB9F8" w14:textId="77777777" w:rsidR="009F2184" w:rsidRPr="00E364DA" w:rsidRDefault="009F2184" w:rsidP="009F2184">
      <w:pPr>
        <w:pStyle w:val="Chartortablefootnote"/>
      </w:pPr>
      <w:r w:rsidRPr="00E364DA">
        <w:t>Source: Patient surveys Wave 1 Dec 2017–Mar 2019.</w:t>
      </w:r>
    </w:p>
    <w:p w14:paraId="37F51997" w14:textId="469A24F1" w:rsidR="004762F8" w:rsidRDefault="0001004A">
      <w:pPr>
        <w:spacing w:after="160" w:line="259" w:lineRule="auto"/>
      </w:pPr>
      <w:r>
        <w:t>Most patients were registered with My Health Record</w:t>
      </w:r>
      <w:r w:rsidR="001168CD">
        <w:t xml:space="preserve"> (</w:t>
      </w:r>
      <w:r w:rsidR="005A38F2" w:rsidRPr="002E37EF">
        <w:rPr>
          <w:rFonts w:eastAsiaTheme="minorEastAsia"/>
          <w:bCs/>
          <w:color w:val="1D2455"/>
          <w:szCs w:val="20"/>
          <w:lang w:eastAsia="en-AU"/>
        </w:rPr>
        <w:fldChar w:fldCharType="begin"/>
      </w:r>
      <w:r w:rsidR="005A38F2" w:rsidRPr="002E37EF">
        <w:rPr>
          <w:rFonts w:eastAsiaTheme="minorEastAsia"/>
          <w:bCs/>
          <w:color w:val="1D2455"/>
          <w:szCs w:val="20"/>
          <w:lang w:eastAsia="en-AU"/>
        </w:rPr>
        <w:instrText xml:space="preserve"> REF _Ref108873890 \h </w:instrText>
      </w:r>
      <w:r w:rsidR="002E37EF">
        <w:rPr>
          <w:rFonts w:eastAsiaTheme="minorEastAsia"/>
          <w:bCs/>
          <w:color w:val="1D2455"/>
          <w:szCs w:val="20"/>
          <w:lang w:eastAsia="en-AU"/>
        </w:rPr>
        <w:instrText xml:space="preserve"> \* MERGEFORMAT </w:instrText>
      </w:r>
      <w:r w:rsidR="005A38F2" w:rsidRPr="002E37EF">
        <w:rPr>
          <w:rFonts w:eastAsiaTheme="minorEastAsia"/>
          <w:bCs/>
          <w:color w:val="1D2455"/>
          <w:szCs w:val="20"/>
          <w:lang w:eastAsia="en-AU"/>
        </w:rPr>
      </w:r>
      <w:r w:rsidR="005A38F2" w:rsidRPr="002E37EF">
        <w:rPr>
          <w:rFonts w:eastAsiaTheme="minorEastAsia"/>
          <w:bCs/>
          <w:color w:val="1D2455"/>
          <w:szCs w:val="20"/>
          <w:lang w:eastAsia="en-AU"/>
        </w:rPr>
        <w:fldChar w:fldCharType="separate"/>
      </w:r>
      <w:r w:rsidR="003C4BC2" w:rsidRPr="003C4BC2">
        <w:rPr>
          <w:rFonts w:eastAsiaTheme="minorEastAsia"/>
          <w:bCs/>
          <w:color w:val="1D2455"/>
          <w:szCs w:val="20"/>
          <w:lang w:eastAsia="en-AU"/>
        </w:rPr>
        <w:t>Table 45</w:t>
      </w:r>
      <w:r w:rsidR="005A38F2" w:rsidRPr="002E37EF">
        <w:rPr>
          <w:rFonts w:eastAsiaTheme="minorEastAsia"/>
          <w:bCs/>
          <w:color w:val="1D2455"/>
          <w:szCs w:val="20"/>
          <w:lang w:eastAsia="en-AU"/>
        </w:rPr>
        <w:fldChar w:fldCharType="end"/>
      </w:r>
      <w:r w:rsidR="001168CD">
        <w:t xml:space="preserve">). Of those that had </w:t>
      </w:r>
      <w:r w:rsidR="001514A5">
        <w:t xml:space="preserve">registered and had a </w:t>
      </w:r>
      <w:r w:rsidR="001514A5" w:rsidRPr="001514A5">
        <w:t>treatment/ shared care plan developed</w:t>
      </w:r>
      <w:r w:rsidR="001514A5">
        <w:t xml:space="preserve">, </w:t>
      </w:r>
      <w:r w:rsidR="001168CD">
        <w:t xml:space="preserve">less than half </w:t>
      </w:r>
      <w:r w:rsidR="001514A5">
        <w:t>reported a copy being uploaded to their My Health Record.</w:t>
      </w:r>
      <w:r w:rsidR="001168CD">
        <w:t xml:space="preserve"> </w:t>
      </w:r>
    </w:p>
    <w:p w14:paraId="00D0EE7B" w14:textId="77777777" w:rsidR="004762F8" w:rsidRDefault="004762F8">
      <w:pPr>
        <w:spacing w:after="160" w:line="259" w:lineRule="auto"/>
      </w:pPr>
      <w:r>
        <w:br w:type="page"/>
      </w:r>
    </w:p>
    <w:p w14:paraId="0A79EB37" w14:textId="493FC9FC" w:rsidR="0061016E" w:rsidRDefault="0061016E" w:rsidP="0061016E">
      <w:pPr>
        <w:pStyle w:val="TableFigureheading"/>
      </w:pPr>
      <w:bookmarkStart w:id="344" w:name="_Ref108873890"/>
      <w:r w:rsidRPr="001D3EF9">
        <w:lastRenderedPageBreak/>
        <w:t xml:space="preserve">Table </w:t>
      </w:r>
      <w:r w:rsidRPr="001D3EF9">
        <w:fldChar w:fldCharType="begin"/>
      </w:r>
      <w:r w:rsidRPr="001D3EF9">
        <w:instrText>SEQ Table \* ARABIC</w:instrText>
      </w:r>
      <w:r w:rsidRPr="001D3EF9">
        <w:fldChar w:fldCharType="separate"/>
      </w:r>
      <w:r w:rsidR="003C4BC2">
        <w:rPr>
          <w:noProof/>
        </w:rPr>
        <w:t>45</w:t>
      </w:r>
      <w:r w:rsidRPr="001D3EF9">
        <w:fldChar w:fldCharType="end"/>
      </w:r>
      <w:bookmarkEnd w:id="344"/>
      <w:r w:rsidRPr="001D3EF9">
        <w:t xml:space="preserve">: </w:t>
      </w:r>
      <w:r w:rsidR="002B5504">
        <w:t>R</w:t>
      </w:r>
      <w:r w:rsidRPr="001D3EF9">
        <w:t>egist</w:t>
      </w:r>
      <w:r w:rsidR="00657C4B">
        <w:t>ration</w:t>
      </w:r>
      <w:r w:rsidRPr="001D3EF9">
        <w:t xml:space="preserve"> for My Health Record</w:t>
      </w:r>
      <w:r w:rsidR="00657C4B">
        <w:t xml:space="preserve"> and status of treatment plan</w:t>
      </w:r>
    </w:p>
    <w:tbl>
      <w:tblPr>
        <w:tblW w:w="5000"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7159"/>
        <w:gridCol w:w="1857"/>
      </w:tblGrid>
      <w:tr w:rsidR="000B44BB" w:rsidRPr="00970F9B" w14:paraId="52910DEE" w14:textId="77777777" w:rsidTr="00D926C7">
        <w:trPr>
          <w:trHeight w:val="341"/>
          <w:jc w:val="center"/>
        </w:trPr>
        <w:tc>
          <w:tcPr>
            <w:tcW w:w="3970" w:type="pct"/>
            <w:shd w:val="clear" w:color="auto" w:fill="408BCA"/>
            <w:vAlign w:val="center"/>
          </w:tcPr>
          <w:p w14:paraId="69E2C9FA" w14:textId="5B010971" w:rsidR="000B44BB" w:rsidRPr="00970F9B" w:rsidRDefault="00411687" w:rsidP="007B7108">
            <w:pPr>
              <w:spacing w:after="0"/>
              <w:rPr>
                <w:rFonts w:cstheme="minorHAnsi"/>
                <w:b/>
                <w:bCs/>
                <w:color w:val="FFFFFF" w:themeColor="background1"/>
                <w:sz w:val="18"/>
                <w:szCs w:val="18"/>
              </w:rPr>
            </w:pPr>
            <w:r>
              <w:rPr>
                <w:rFonts w:cstheme="minorHAnsi"/>
                <w:b/>
                <w:bCs/>
                <w:color w:val="FFFFFF" w:themeColor="background1"/>
                <w:sz w:val="18"/>
                <w:szCs w:val="18"/>
              </w:rPr>
              <w:t>Response</w:t>
            </w:r>
            <w:r w:rsidR="00D847C6">
              <w:rPr>
                <w:rFonts w:cstheme="minorHAnsi"/>
                <w:b/>
                <w:bCs/>
                <w:color w:val="FFFFFF" w:themeColor="background1"/>
                <w:sz w:val="18"/>
                <w:szCs w:val="18"/>
              </w:rPr>
              <w:t xml:space="preserve"> </w:t>
            </w:r>
          </w:p>
        </w:tc>
        <w:tc>
          <w:tcPr>
            <w:tcW w:w="1030" w:type="pct"/>
            <w:shd w:val="clear" w:color="auto" w:fill="408BCA"/>
            <w:vAlign w:val="center"/>
          </w:tcPr>
          <w:p w14:paraId="3C16D25D" w14:textId="08C69D35" w:rsidR="000B44BB" w:rsidRPr="00970F9B" w:rsidRDefault="00E07A72" w:rsidP="000B44BB">
            <w:pPr>
              <w:spacing w:after="0"/>
              <w:jc w:val="center"/>
              <w:rPr>
                <w:rFonts w:cstheme="minorHAnsi"/>
                <w:b/>
                <w:bCs/>
                <w:color w:val="FFFFFF" w:themeColor="background1"/>
                <w:sz w:val="18"/>
                <w:szCs w:val="18"/>
              </w:rPr>
            </w:pPr>
            <w:r>
              <w:rPr>
                <w:rFonts w:cstheme="minorHAnsi"/>
                <w:b/>
                <w:bCs/>
                <w:color w:val="FFFFFF" w:themeColor="background1"/>
                <w:sz w:val="18"/>
                <w:szCs w:val="18"/>
              </w:rPr>
              <w:t>Number of patients</w:t>
            </w:r>
            <w:r w:rsidR="0061016E">
              <w:rPr>
                <w:rFonts w:cstheme="minorHAnsi"/>
                <w:b/>
                <w:bCs/>
                <w:color w:val="FFFFFF" w:themeColor="background1"/>
                <w:sz w:val="18"/>
                <w:szCs w:val="18"/>
              </w:rPr>
              <w:t xml:space="preserve"> (%)</w:t>
            </w:r>
          </w:p>
        </w:tc>
      </w:tr>
      <w:tr w:rsidR="000B44BB" w:rsidRPr="00585D01" w14:paraId="4CB2A5CF" w14:textId="77777777" w:rsidTr="00D926C7">
        <w:trPr>
          <w:trHeight w:val="288"/>
          <w:jc w:val="center"/>
        </w:trPr>
        <w:tc>
          <w:tcPr>
            <w:tcW w:w="3970" w:type="pct"/>
          </w:tcPr>
          <w:p w14:paraId="082D80FE" w14:textId="277D4C59" w:rsidR="000B44BB" w:rsidRPr="00585D01" w:rsidRDefault="006F4D29" w:rsidP="006B5A2A">
            <w:pPr>
              <w:spacing w:before="40" w:after="40"/>
              <w:ind w:left="40" w:right="40"/>
              <w:rPr>
                <w:sz w:val="18"/>
                <w:szCs w:val="18"/>
              </w:rPr>
            </w:pPr>
            <w:r>
              <w:rPr>
                <w:rFonts w:cstheme="minorHAnsi"/>
                <w:color w:val="000000"/>
                <w:sz w:val="18"/>
                <w:szCs w:val="18"/>
              </w:rPr>
              <w:t xml:space="preserve">Patient </w:t>
            </w:r>
            <w:r w:rsidRPr="006F4D29">
              <w:rPr>
                <w:rFonts w:cstheme="minorHAnsi"/>
                <w:color w:val="000000"/>
                <w:sz w:val="18"/>
                <w:szCs w:val="18"/>
                <w:u w:val="single"/>
              </w:rPr>
              <w:t>registered</w:t>
            </w:r>
            <w:r>
              <w:rPr>
                <w:rFonts w:cstheme="minorHAnsi"/>
                <w:color w:val="000000"/>
                <w:sz w:val="18"/>
                <w:szCs w:val="18"/>
              </w:rPr>
              <w:t xml:space="preserve"> for My Health Record</w:t>
            </w:r>
          </w:p>
        </w:tc>
        <w:tc>
          <w:tcPr>
            <w:tcW w:w="1030" w:type="pct"/>
          </w:tcPr>
          <w:p w14:paraId="21D03CA1" w14:textId="00BA5A79" w:rsidR="000B44BB" w:rsidRPr="00585D01" w:rsidRDefault="000B44BB" w:rsidP="000B44BB">
            <w:pPr>
              <w:spacing w:before="40" w:after="40"/>
              <w:ind w:left="40" w:right="40"/>
              <w:jc w:val="center"/>
              <w:rPr>
                <w:rFonts w:cstheme="minorHAnsi"/>
                <w:color w:val="000000"/>
                <w:sz w:val="18"/>
                <w:szCs w:val="18"/>
              </w:rPr>
            </w:pPr>
            <w:r w:rsidRPr="00585D01">
              <w:rPr>
                <w:sz w:val="18"/>
                <w:szCs w:val="18"/>
              </w:rPr>
              <w:t>1,449 (71.8%)</w:t>
            </w:r>
          </w:p>
        </w:tc>
      </w:tr>
      <w:tr w:rsidR="000E1E44" w:rsidRPr="00585D01" w14:paraId="04BBF550" w14:textId="77777777" w:rsidTr="00D926C7">
        <w:trPr>
          <w:trHeight w:val="288"/>
          <w:jc w:val="center"/>
        </w:trPr>
        <w:tc>
          <w:tcPr>
            <w:tcW w:w="3970" w:type="pct"/>
          </w:tcPr>
          <w:p w14:paraId="2A07FCBE" w14:textId="1AE64E57" w:rsidR="000E1E44" w:rsidRPr="00C40CB0" w:rsidRDefault="00CD2E7E" w:rsidP="000E1E44">
            <w:pPr>
              <w:spacing w:before="40" w:after="40"/>
              <w:ind w:left="426" w:right="40"/>
              <w:rPr>
                <w:rFonts w:cstheme="minorHAnsi"/>
                <w:i/>
                <w:iCs/>
                <w:color w:val="000000"/>
                <w:sz w:val="18"/>
                <w:szCs w:val="18"/>
              </w:rPr>
            </w:pPr>
            <w:r>
              <w:rPr>
                <w:rFonts w:cstheme="minorHAnsi"/>
                <w:i/>
                <w:iCs/>
                <w:color w:val="000000"/>
                <w:sz w:val="18"/>
                <w:szCs w:val="18"/>
              </w:rPr>
              <w:t>Patient ha</w:t>
            </w:r>
            <w:r w:rsidR="004C7A84">
              <w:rPr>
                <w:rFonts w:cstheme="minorHAnsi"/>
                <w:i/>
                <w:iCs/>
                <w:color w:val="000000"/>
                <w:sz w:val="18"/>
                <w:szCs w:val="18"/>
              </w:rPr>
              <w:t>s</w:t>
            </w:r>
            <w:r w:rsidR="00657C4B">
              <w:rPr>
                <w:rFonts w:cstheme="minorHAnsi"/>
                <w:i/>
                <w:iCs/>
                <w:color w:val="000000"/>
                <w:sz w:val="18"/>
                <w:szCs w:val="18"/>
              </w:rPr>
              <w:t xml:space="preserve"> a</w:t>
            </w:r>
            <w:r w:rsidR="000E1E44" w:rsidRPr="00C40CB0">
              <w:rPr>
                <w:rFonts w:cstheme="minorHAnsi"/>
                <w:i/>
                <w:iCs/>
                <w:color w:val="000000"/>
                <w:sz w:val="18"/>
                <w:szCs w:val="18"/>
              </w:rPr>
              <w:t xml:space="preserve"> treatment/ shared care plan</w:t>
            </w:r>
            <w:r w:rsidR="00B5077D">
              <w:rPr>
                <w:rFonts w:cstheme="minorHAnsi"/>
                <w:i/>
                <w:iCs/>
                <w:color w:val="000000"/>
                <w:sz w:val="18"/>
                <w:szCs w:val="18"/>
              </w:rPr>
              <w:t xml:space="preserve"> and </w:t>
            </w:r>
            <w:r w:rsidR="00B5077D" w:rsidRPr="004C7A84">
              <w:rPr>
                <w:rFonts w:cstheme="minorHAnsi"/>
                <w:i/>
                <w:iCs/>
                <w:color w:val="000000"/>
                <w:sz w:val="18"/>
                <w:szCs w:val="18"/>
                <w:u w:val="single"/>
              </w:rPr>
              <w:t>a copy was</w:t>
            </w:r>
            <w:r w:rsidR="000E1E44" w:rsidRPr="00DE4DE9">
              <w:rPr>
                <w:rFonts w:cstheme="minorHAnsi"/>
                <w:i/>
                <w:iCs/>
                <w:color w:val="000000"/>
                <w:sz w:val="18"/>
                <w:szCs w:val="18"/>
                <w:u w:val="single"/>
              </w:rPr>
              <w:t xml:space="preserve"> uploaded</w:t>
            </w:r>
            <w:r w:rsidR="000E1E44" w:rsidRPr="00C40CB0">
              <w:rPr>
                <w:rFonts w:cstheme="minorHAnsi"/>
                <w:i/>
                <w:iCs/>
                <w:color w:val="000000"/>
                <w:sz w:val="18"/>
                <w:szCs w:val="18"/>
              </w:rPr>
              <w:t xml:space="preserve"> to My Health Record</w:t>
            </w:r>
            <w:r w:rsidR="00E4509F">
              <w:rPr>
                <w:rFonts w:cstheme="minorHAnsi"/>
                <w:i/>
                <w:iCs/>
                <w:color w:val="000000"/>
                <w:sz w:val="18"/>
                <w:szCs w:val="18"/>
              </w:rPr>
              <w:t xml:space="preserve"> </w:t>
            </w:r>
          </w:p>
        </w:tc>
        <w:tc>
          <w:tcPr>
            <w:tcW w:w="1030" w:type="pct"/>
          </w:tcPr>
          <w:p w14:paraId="0F77DF3E" w14:textId="6F2ADCD6" w:rsidR="000E1E44" w:rsidRPr="00C40CB0" w:rsidRDefault="000E1E44" w:rsidP="000E1E44">
            <w:pPr>
              <w:spacing w:before="40" w:after="40"/>
              <w:ind w:left="40" w:right="40"/>
              <w:jc w:val="center"/>
              <w:rPr>
                <w:i/>
                <w:iCs/>
                <w:sz w:val="18"/>
                <w:szCs w:val="18"/>
              </w:rPr>
            </w:pPr>
            <w:r w:rsidRPr="00C40CB0">
              <w:rPr>
                <w:i/>
                <w:iCs/>
                <w:sz w:val="18"/>
                <w:szCs w:val="18"/>
              </w:rPr>
              <w:t>420 (47.4%)</w:t>
            </w:r>
          </w:p>
        </w:tc>
      </w:tr>
      <w:tr w:rsidR="000E1E44" w:rsidRPr="00585D01" w14:paraId="3904E817" w14:textId="77777777" w:rsidTr="00D926C7">
        <w:trPr>
          <w:trHeight w:val="288"/>
          <w:jc w:val="center"/>
        </w:trPr>
        <w:tc>
          <w:tcPr>
            <w:tcW w:w="3970" w:type="pct"/>
          </w:tcPr>
          <w:p w14:paraId="3E240CCA" w14:textId="1EC6D3F5" w:rsidR="000E1E44" w:rsidRPr="00C40CB0" w:rsidRDefault="00CD2E7E" w:rsidP="000E1E44">
            <w:pPr>
              <w:spacing w:before="40" w:after="40"/>
              <w:ind w:left="426" w:right="40"/>
              <w:rPr>
                <w:rFonts w:cstheme="minorHAnsi"/>
                <w:i/>
                <w:iCs/>
                <w:color w:val="000000"/>
                <w:sz w:val="18"/>
                <w:szCs w:val="18"/>
              </w:rPr>
            </w:pPr>
            <w:r>
              <w:rPr>
                <w:rFonts w:cstheme="minorHAnsi"/>
                <w:i/>
                <w:iCs/>
                <w:color w:val="000000"/>
                <w:sz w:val="18"/>
                <w:szCs w:val="18"/>
              </w:rPr>
              <w:t>Patient ha</w:t>
            </w:r>
            <w:r w:rsidR="004C7A84">
              <w:rPr>
                <w:rFonts w:cstheme="minorHAnsi"/>
                <w:i/>
                <w:iCs/>
                <w:color w:val="000000"/>
                <w:sz w:val="18"/>
                <w:szCs w:val="18"/>
              </w:rPr>
              <w:t>s</w:t>
            </w:r>
            <w:r w:rsidR="00DE4DE9">
              <w:rPr>
                <w:rFonts w:cstheme="minorHAnsi"/>
                <w:i/>
                <w:iCs/>
                <w:color w:val="000000"/>
                <w:sz w:val="18"/>
                <w:szCs w:val="18"/>
              </w:rPr>
              <w:t xml:space="preserve"> a</w:t>
            </w:r>
            <w:r w:rsidR="00B5077D" w:rsidRPr="00C40CB0">
              <w:rPr>
                <w:rFonts w:cstheme="minorHAnsi"/>
                <w:i/>
                <w:iCs/>
                <w:color w:val="000000"/>
                <w:sz w:val="18"/>
                <w:szCs w:val="18"/>
              </w:rPr>
              <w:t xml:space="preserve"> treatment/ shared care plan</w:t>
            </w:r>
            <w:r w:rsidR="00B5077D">
              <w:rPr>
                <w:rFonts w:cstheme="minorHAnsi"/>
                <w:i/>
                <w:iCs/>
                <w:color w:val="000000"/>
                <w:sz w:val="18"/>
                <w:szCs w:val="18"/>
              </w:rPr>
              <w:t xml:space="preserve"> and </w:t>
            </w:r>
            <w:r w:rsidR="00B5077D" w:rsidRPr="004C7A84">
              <w:rPr>
                <w:rFonts w:cstheme="minorHAnsi"/>
                <w:i/>
                <w:iCs/>
                <w:color w:val="000000"/>
                <w:sz w:val="18"/>
                <w:szCs w:val="18"/>
                <w:u w:val="single"/>
              </w:rPr>
              <w:t xml:space="preserve">a copy </w:t>
            </w:r>
            <w:r w:rsidR="004C7A84">
              <w:rPr>
                <w:rFonts w:cstheme="minorHAnsi"/>
                <w:i/>
                <w:iCs/>
                <w:color w:val="000000"/>
                <w:sz w:val="18"/>
                <w:szCs w:val="18"/>
                <w:u w:val="single"/>
              </w:rPr>
              <w:t xml:space="preserve">was </w:t>
            </w:r>
            <w:r w:rsidR="000E1E44" w:rsidRPr="004C7A84">
              <w:rPr>
                <w:rFonts w:cstheme="minorHAnsi"/>
                <w:i/>
                <w:iCs/>
                <w:color w:val="000000"/>
                <w:sz w:val="18"/>
                <w:szCs w:val="18"/>
                <w:u w:val="single"/>
              </w:rPr>
              <w:t>not</w:t>
            </w:r>
            <w:r w:rsidR="000E1E44" w:rsidRPr="00DE4DE9">
              <w:rPr>
                <w:rFonts w:cstheme="minorHAnsi"/>
                <w:i/>
                <w:iCs/>
                <w:color w:val="000000"/>
                <w:sz w:val="18"/>
                <w:szCs w:val="18"/>
                <w:u w:val="single"/>
              </w:rPr>
              <w:t xml:space="preserve"> uploaded</w:t>
            </w:r>
            <w:r w:rsidR="000E1E44" w:rsidRPr="00C40CB0">
              <w:rPr>
                <w:rFonts w:cstheme="minorHAnsi"/>
                <w:i/>
                <w:iCs/>
                <w:color w:val="000000"/>
                <w:sz w:val="18"/>
                <w:szCs w:val="18"/>
              </w:rPr>
              <w:t xml:space="preserve"> to My Health Record</w:t>
            </w:r>
          </w:p>
        </w:tc>
        <w:tc>
          <w:tcPr>
            <w:tcW w:w="1030" w:type="pct"/>
          </w:tcPr>
          <w:p w14:paraId="080B6A97" w14:textId="5A66FF38" w:rsidR="000E1E44" w:rsidRPr="00C40CB0" w:rsidRDefault="000E1E44" w:rsidP="000E1E44">
            <w:pPr>
              <w:spacing w:before="40" w:after="40"/>
              <w:ind w:left="40" w:right="40"/>
              <w:jc w:val="center"/>
              <w:rPr>
                <w:i/>
                <w:iCs/>
                <w:sz w:val="18"/>
                <w:szCs w:val="18"/>
              </w:rPr>
            </w:pPr>
            <w:r w:rsidRPr="00C40CB0">
              <w:rPr>
                <w:i/>
                <w:iCs/>
                <w:sz w:val="18"/>
                <w:szCs w:val="18"/>
              </w:rPr>
              <w:t>59 (6.7%)</w:t>
            </w:r>
          </w:p>
        </w:tc>
      </w:tr>
      <w:tr w:rsidR="000E1E44" w:rsidRPr="00585D01" w14:paraId="5FD41C99" w14:textId="77777777" w:rsidTr="00D926C7">
        <w:trPr>
          <w:trHeight w:val="288"/>
          <w:jc w:val="center"/>
        </w:trPr>
        <w:tc>
          <w:tcPr>
            <w:tcW w:w="3970" w:type="pct"/>
          </w:tcPr>
          <w:p w14:paraId="1F2060F9" w14:textId="2FC8DF1C" w:rsidR="000E1E44" w:rsidRPr="00C40CB0" w:rsidRDefault="00DE4DE9" w:rsidP="000E1E44">
            <w:pPr>
              <w:spacing w:before="40" w:after="40"/>
              <w:ind w:left="426" w:right="40"/>
              <w:rPr>
                <w:rFonts w:cstheme="minorHAnsi"/>
                <w:i/>
                <w:iCs/>
                <w:color w:val="000000"/>
                <w:sz w:val="18"/>
                <w:szCs w:val="18"/>
              </w:rPr>
            </w:pPr>
            <w:r>
              <w:rPr>
                <w:rFonts w:cstheme="minorHAnsi"/>
                <w:i/>
                <w:iCs/>
                <w:color w:val="000000"/>
                <w:sz w:val="18"/>
                <w:szCs w:val="18"/>
              </w:rPr>
              <w:t>Patient ha</w:t>
            </w:r>
            <w:r w:rsidR="004C7A84">
              <w:rPr>
                <w:rFonts w:cstheme="minorHAnsi"/>
                <w:i/>
                <w:iCs/>
                <w:color w:val="000000"/>
                <w:sz w:val="18"/>
                <w:szCs w:val="18"/>
              </w:rPr>
              <w:t>s</w:t>
            </w:r>
            <w:r w:rsidR="00B5077D">
              <w:rPr>
                <w:rFonts w:cstheme="minorHAnsi"/>
                <w:i/>
                <w:iCs/>
                <w:color w:val="000000"/>
                <w:sz w:val="18"/>
                <w:szCs w:val="18"/>
              </w:rPr>
              <w:t xml:space="preserve"> a</w:t>
            </w:r>
            <w:r w:rsidR="00B5077D" w:rsidRPr="00C40CB0">
              <w:rPr>
                <w:rFonts w:cstheme="minorHAnsi"/>
                <w:i/>
                <w:iCs/>
                <w:color w:val="000000"/>
                <w:sz w:val="18"/>
                <w:szCs w:val="18"/>
              </w:rPr>
              <w:t xml:space="preserve"> treatment/ shared care plan</w:t>
            </w:r>
            <w:r w:rsidR="00B5077D">
              <w:rPr>
                <w:rFonts w:cstheme="minorHAnsi"/>
                <w:i/>
                <w:iCs/>
                <w:color w:val="000000"/>
                <w:sz w:val="18"/>
                <w:szCs w:val="18"/>
              </w:rPr>
              <w:t xml:space="preserve"> </w:t>
            </w:r>
            <w:r w:rsidR="004C7A84">
              <w:rPr>
                <w:rFonts w:cstheme="minorHAnsi"/>
                <w:i/>
                <w:iCs/>
                <w:color w:val="000000"/>
                <w:sz w:val="18"/>
                <w:szCs w:val="18"/>
              </w:rPr>
              <w:t>and</w:t>
            </w:r>
            <w:r>
              <w:rPr>
                <w:rFonts w:cstheme="minorHAnsi"/>
                <w:i/>
                <w:iCs/>
                <w:color w:val="000000"/>
                <w:sz w:val="18"/>
                <w:szCs w:val="18"/>
                <w:u w:val="single"/>
              </w:rPr>
              <w:t xml:space="preserve"> does not</w:t>
            </w:r>
            <w:r w:rsidR="000E1E44" w:rsidRPr="00CD39F4">
              <w:rPr>
                <w:rFonts w:cstheme="minorHAnsi"/>
                <w:i/>
                <w:iCs/>
                <w:color w:val="000000"/>
                <w:sz w:val="18"/>
                <w:szCs w:val="18"/>
                <w:u w:val="single"/>
              </w:rPr>
              <w:t xml:space="preserve"> know whether a copy was uploaded</w:t>
            </w:r>
            <w:r w:rsidR="000E1E44" w:rsidRPr="00C40CB0">
              <w:rPr>
                <w:rFonts w:cstheme="minorHAnsi"/>
                <w:i/>
                <w:iCs/>
                <w:color w:val="000000"/>
                <w:sz w:val="18"/>
                <w:szCs w:val="18"/>
              </w:rPr>
              <w:t xml:space="preserve"> to My Health Record</w:t>
            </w:r>
          </w:p>
        </w:tc>
        <w:tc>
          <w:tcPr>
            <w:tcW w:w="1030" w:type="pct"/>
          </w:tcPr>
          <w:p w14:paraId="3834E223" w14:textId="3C59DC63" w:rsidR="000E1E44" w:rsidRPr="00C40CB0" w:rsidRDefault="000E1E44" w:rsidP="000E1E44">
            <w:pPr>
              <w:spacing w:before="40" w:after="40"/>
              <w:ind w:left="40" w:right="40"/>
              <w:jc w:val="center"/>
              <w:rPr>
                <w:i/>
                <w:iCs/>
                <w:sz w:val="18"/>
                <w:szCs w:val="18"/>
              </w:rPr>
            </w:pPr>
            <w:r w:rsidRPr="00C40CB0">
              <w:rPr>
                <w:i/>
                <w:iCs/>
                <w:sz w:val="18"/>
                <w:szCs w:val="18"/>
              </w:rPr>
              <w:t>408 (46.0%)</w:t>
            </w:r>
          </w:p>
        </w:tc>
      </w:tr>
      <w:tr w:rsidR="000B44BB" w:rsidRPr="00585D01" w14:paraId="3E2F339E" w14:textId="77777777" w:rsidTr="00D926C7">
        <w:trPr>
          <w:trHeight w:val="288"/>
          <w:jc w:val="center"/>
        </w:trPr>
        <w:tc>
          <w:tcPr>
            <w:tcW w:w="3970" w:type="pct"/>
          </w:tcPr>
          <w:p w14:paraId="37649AF7" w14:textId="63A13601" w:rsidR="000B44BB" w:rsidRPr="00585D01" w:rsidRDefault="006F4D29" w:rsidP="006B5A2A">
            <w:pPr>
              <w:spacing w:before="40" w:after="40"/>
              <w:ind w:left="40" w:right="40"/>
              <w:rPr>
                <w:sz w:val="18"/>
                <w:szCs w:val="18"/>
              </w:rPr>
            </w:pPr>
            <w:r>
              <w:rPr>
                <w:rFonts w:cstheme="minorHAnsi"/>
                <w:color w:val="000000"/>
                <w:sz w:val="18"/>
                <w:szCs w:val="18"/>
              </w:rPr>
              <w:t xml:space="preserve">Patient </w:t>
            </w:r>
            <w:r w:rsidRPr="00CD39F4">
              <w:rPr>
                <w:rFonts w:cstheme="minorHAnsi"/>
                <w:color w:val="000000"/>
                <w:sz w:val="18"/>
                <w:szCs w:val="18"/>
                <w:u w:val="single"/>
              </w:rPr>
              <w:t>not registered</w:t>
            </w:r>
            <w:r>
              <w:rPr>
                <w:rFonts w:cstheme="minorHAnsi"/>
                <w:color w:val="000000"/>
                <w:sz w:val="18"/>
                <w:szCs w:val="18"/>
              </w:rPr>
              <w:t xml:space="preserve"> for My Health Record</w:t>
            </w:r>
          </w:p>
        </w:tc>
        <w:tc>
          <w:tcPr>
            <w:tcW w:w="1030" w:type="pct"/>
          </w:tcPr>
          <w:p w14:paraId="7A843D43" w14:textId="0B93926A" w:rsidR="000B44BB" w:rsidRPr="00585D01" w:rsidRDefault="000B44BB" w:rsidP="000B44BB">
            <w:pPr>
              <w:spacing w:before="40" w:after="40"/>
              <w:ind w:left="40" w:right="40"/>
              <w:jc w:val="center"/>
              <w:rPr>
                <w:rFonts w:cstheme="minorHAnsi"/>
                <w:color w:val="000000"/>
                <w:sz w:val="18"/>
                <w:szCs w:val="18"/>
              </w:rPr>
            </w:pPr>
            <w:r w:rsidRPr="00585D01">
              <w:rPr>
                <w:sz w:val="18"/>
                <w:szCs w:val="18"/>
              </w:rPr>
              <w:t>338 (16.7%)</w:t>
            </w:r>
          </w:p>
        </w:tc>
      </w:tr>
      <w:tr w:rsidR="000B44BB" w:rsidRPr="00585D01" w14:paraId="1BED0DE7" w14:textId="77777777" w:rsidTr="00D926C7">
        <w:trPr>
          <w:trHeight w:val="288"/>
          <w:jc w:val="center"/>
        </w:trPr>
        <w:tc>
          <w:tcPr>
            <w:tcW w:w="3970" w:type="pct"/>
          </w:tcPr>
          <w:p w14:paraId="3740F1B6" w14:textId="4B146EE8" w:rsidR="000B44BB" w:rsidRPr="00585D01" w:rsidRDefault="006F4D29" w:rsidP="000E1E44">
            <w:pPr>
              <w:spacing w:before="40" w:after="40"/>
              <w:ind w:left="40" w:right="40"/>
              <w:rPr>
                <w:sz w:val="18"/>
                <w:szCs w:val="18"/>
              </w:rPr>
            </w:pPr>
            <w:r>
              <w:rPr>
                <w:rFonts w:cstheme="minorHAnsi"/>
                <w:color w:val="000000"/>
                <w:sz w:val="18"/>
                <w:szCs w:val="18"/>
              </w:rPr>
              <w:t xml:space="preserve">Patient </w:t>
            </w:r>
            <w:r w:rsidRPr="006F4D29">
              <w:rPr>
                <w:rFonts w:cstheme="minorHAnsi"/>
                <w:color w:val="000000"/>
                <w:sz w:val="18"/>
                <w:szCs w:val="18"/>
                <w:u w:val="single"/>
              </w:rPr>
              <w:t>does not know</w:t>
            </w:r>
            <w:r w:rsidRPr="00CD39F4">
              <w:rPr>
                <w:rFonts w:cstheme="minorHAnsi"/>
                <w:color w:val="000000"/>
                <w:sz w:val="18"/>
                <w:szCs w:val="18"/>
                <w:u w:val="single"/>
              </w:rPr>
              <w:t xml:space="preserve"> whether registered</w:t>
            </w:r>
            <w:r>
              <w:rPr>
                <w:rFonts w:cstheme="minorHAnsi"/>
                <w:color w:val="000000"/>
                <w:sz w:val="18"/>
                <w:szCs w:val="18"/>
              </w:rPr>
              <w:t xml:space="preserve"> for My Health Record</w:t>
            </w:r>
          </w:p>
        </w:tc>
        <w:tc>
          <w:tcPr>
            <w:tcW w:w="1030" w:type="pct"/>
          </w:tcPr>
          <w:p w14:paraId="33DC0D0A" w14:textId="57DC3DEF" w:rsidR="000B44BB" w:rsidRPr="00585D01" w:rsidRDefault="000B44BB" w:rsidP="000B44BB">
            <w:pPr>
              <w:spacing w:before="40" w:after="40"/>
              <w:ind w:left="40" w:right="40"/>
              <w:jc w:val="center"/>
              <w:rPr>
                <w:rFonts w:cstheme="minorHAnsi"/>
                <w:color w:val="000000"/>
                <w:sz w:val="18"/>
                <w:szCs w:val="18"/>
              </w:rPr>
            </w:pPr>
            <w:r w:rsidRPr="00585D01">
              <w:rPr>
                <w:sz w:val="18"/>
                <w:szCs w:val="18"/>
              </w:rPr>
              <w:t>231 (11.4%)</w:t>
            </w:r>
          </w:p>
        </w:tc>
      </w:tr>
    </w:tbl>
    <w:p w14:paraId="529B14B9" w14:textId="746A97A7" w:rsidR="001D3EF9" w:rsidRDefault="00237C56" w:rsidP="002B1A4A">
      <w:pPr>
        <w:pStyle w:val="Chartortablefootnote"/>
        <w:rPr>
          <w:i w:val="0"/>
        </w:rPr>
      </w:pPr>
      <w:r w:rsidRPr="00E364DA">
        <w:t>Source: Patient survey Wave 1 Dec 2017–Mar 2019.</w:t>
      </w:r>
    </w:p>
    <w:p w14:paraId="68DF7110" w14:textId="2CC431E8" w:rsidR="0002357B" w:rsidRDefault="00613B49" w:rsidP="0002357B">
      <w:pPr>
        <w:rPr>
          <w:lang w:eastAsia="en-AU"/>
        </w:rPr>
      </w:pPr>
      <w:r>
        <w:rPr>
          <w:lang w:eastAsia="en-AU"/>
        </w:rPr>
        <w:t xml:space="preserve">The interviews with patients were consistent with the survey data. </w:t>
      </w:r>
      <w:r w:rsidR="0002357B">
        <w:rPr>
          <w:lang w:eastAsia="en-AU"/>
        </w:rPr>
        <w:t>Early patient interviews indicated that patient involvement in care planning was variable. Some patients were not aware of having a care plan while others were actively engaged in creating and updating their care plan:</w:t>
      </w:r>
    </w:p>
    <w:p w14:paraId="5F015BA3" w14:textId="77777777" w:rsidR="0002357B" w:rsidRDefault="0002357B" w:rsidP="00D410E9">
      <w:pPr>
        <w:ind w:left="567" w:right="521"/>
        <w:rPr>
          <w:lang w:eastAsia="en-AU"/>
        </w:rPr>
      </w:pPr>
      <w:r w:rsidRPr="009B14BE">
        <w:rPr>
          <w:i/>
          <w:iCs/>
          <w:lang w:eastAsia="en-AU"/>
        </w:rPr>
        <w:t>“I'm not aware of [a care plan]…If there is anything like that happening I'm not aware of it.”</w:t>
      </w:r>
      <w:r w:rsidRPr="009B14BE">
        <w:rPr>
          <w:lang w:eastAsia="en-AU"/>
        </w:rPr>
        <w:t xml:space="preserve"> [Patient 1, Practice 8, R2]</w:t>
      </w:r>
    </w:p>
    <w:p w14:paraId="52255A79" w14:textId="77777777" w:rsidR="0002357B" w:rsidRDefault="0002357B" w:rsidP="00D410E9">
      <w:pPr>
        <w:ind w:left="567" w:right="521"/>
        <w:rPr>
          <w:lang w:eastAsia="en-AU"/>
        </w:rPr>
      </w:pPr>
      <w:r w:rsidRPr="00FC469A">
        <w:rPr>
          <w:i/>
          <w:iCs/>
          <w:lang w:val="en-GB" w:eastAsia="en-AU"/>
        </w:rPr>
        <w:t>“I’ve got all that, that’s all up on the site as well, that’s all written up there, all the plans, all the care teams written up, they’ve all got access to that. They all put input in even the cardiologist and the podiatrist is in there as well. It’s a full plan...So, it’s all up there, and I’m quite happy with that. All my medications are on there, everything that we’ve done, all my history...so it’s all on the system, which is brilliant.”</w:t>
      </w:r>
      <w:r w:rsidRPr="00FC469A">
        <w:rPr>
          <w:lang w:val="en-GB" w:eastAsia="en-AU"/>
        </w:rPr>
        <w:t> [Patient 1, Practice 9, R2]</w:t>
      </w:r>
      <w:r w:rsidRPr="00FC469A">
        <w:rPr>
          <w:lang w:eastAsia="en-AU"/>
        </w:rPr>
        <w:t> </w:t>
      </w:r>
    </w:p>
    <w:p w14:paraId="7E0CC120" w14:textId="2CF4975A" w:rsidR="0002357B" w:rsidRDefault="0002357B" w:rsidP="0002357B">
      <w:pPr>
        <w:rPr>
          <w:lang w:eastAsia="en-AU"/>
        </w:rPr>
      </w:pPr>
      <w:r>
        <w:rPr>
          <w:lang w:eastAsia="en-AU"/>
        </w:rPr>
        <w:t xml:space="preserve">Patients </w:t>
      </w:r>
      <w:r w:rsidR="000F5826">
        <w:rPr>
          <w:lang w:eastAsia="en-AU"/>
        </w:rPr>
        <w:t>who</w:t>
      </w:r>
      <w:r>
        <w:rPr>
          <w:lang w:eastAsia="en-AU"/>
        </w:rPr>
        <w:t xml:space="preserve"> were aware that they had a care plan mentioned discussing topics such as their medical history, functional status at home, diet, activity, emotional support, hobbies and personal health goals with their GP or a practice nurse when the plan was developed. Most stated that they received a paper copy of it once it was completed or were confident that they could request one from their practice</w:t>
      </w:r>
      <w:r w:rsidR="00C52150">
        <w:rPr>
          <w:lang w:eastAsia="en-AU"/>
        </w:rPr>
        <w:t>.</w:t>
      </w:r>
    </w:p>
    <w:p w14:paraId="5640D4E6" w14:textId="06170A31" w:rsidR="0002357B" w:rsidRPr="00B034FC" w:rsidRDefault="00BC520A" w:rsidP="0002357B">
      <w:pPr>
        <w:rPr>
          <w:szCs w:val="20"/>
        </w:rPr>
      </w:pPr>
      <w:r>
        <w:rPr>
          <w:lang w:eastAsia="en-AU"/>
        </w:rPr>
        <w:t>A</w:t>
      </w:r>
      <w:r w:rsidR="0002357B">
        <w:rPr>
          <w:lang w:eastAsia="en-AU"/>
        </w:rPr>
        <w:t xml:space="preserve"> small number of patients reported accessing their plan online, </w:t>
      </w:r>
      <w:r>
        <w:rPr>
          <w:lang w:eastAsia="en-AU"/>
        </w:rPr>
        <w:t xml:space="preserve">but </w:t>
      </w:r>
      <w:r w:rsidR="0002357B">
        <w:rPr>
          <w:lang w:eastAsia="en-AU"/>
        </w:rPr>
        <w:t xml:space="preserve">many stated that they were unaware of or not interested in accessing their care plan online. Many </w:t>
      </w:r>
      <w:r w:rsidR="0002357B">
        <w:rPr>
          <w:szCs w:val="20"/>
        </w:rPr>
        <w:t>patients had limited awareness of electronic sharing of information from their shared care plan among their providers. Where they were aware, sometimes they engaged with it themselves:</w:t>
      </w:r>
    </w:p>
    <w:p w14:paraId="10345399" w14:textId="6324A20A" w:rsidR="0002357B" w:rsidRDefault="0002357B" w:rsidP="00D410E9">
      <w:pPr>
        <w:ind w:left="567" w:right="521"/>
        <w:rPr>
          <w:szCs w:val="20"/>
        </w:rPr>
      </w:pPr>
      <w:r>
        <w:rPr>
          <w:i/>
          <w:iCs/>
          <w:szCs w:val="20"/>
        </w:rPr>
        <w:t>“… with the BSLs or BGLs, because I do them three times a day. Every time before I inject, I will do a reading and then I put that on [the shared care planning tool] … I do it all on my iPad. Straight into the [shared care planning software] … [The specialists] can see what each other is doing … And my doctor can see …</w:t>
      </w:r>
      <w:r w:rsidR="00D225A5">
        <w:rPr>
          <w:i/>
          <w:iCs/>
          <w:szCs w:val="20"/>
        </w:rPr>
        <w:t xml:space="preserve"> </w:t>
      </w:r>
      <w:r>
        <w:rPr>
          <w:i/>
          <w:iCs/>
          <w:szCs w:val="20"/>
        </w:rPr>
        <w:t xml:space="preserve">what’s happened, if there is anything. What appointments I’ve attended, any scripts that I need, so that [the doctor]’s got all that information before I even walk in. I also upload sleep patterns … that’s the other one. I’ve got sleep apnoea and restless </w:t>
      </w:r>
      <w:r>
        <w:rPr>
          <w:i/>
          <w:iCs/>
          <w:szCs w:val="20"/>
        </w:rPr>
        <w:lastRenderedPageBreak/>
        <w:t xml:space="preserve">legs. So, I’ve got a sleep app. So, I upload all of that to give [the doctor] a copy of that so that she’s got that on file.” </w:t>
      </w:r>
      <w:r>
        <w:rPr>
          <w:szCs w:val="20"/>
        </w:rPr>
        <w:t>[Patient 1, Practice 9, R4]</w:t>
      </w:r>
    </w:p>
    <w:p w14:paraId="15D86B68" w14:textId="1953E6BB" w:rsidR="0002357B" w:rsidRDefault="006E04F7" w:rsidP="00412F12">
      <w:pPr>
        <w:rPr>
          <w:lang w:eastAsia="en-AU"/>
        </w:rPr>
      </w:pPr>
      <w:r>
        <w:rPr>
          <w:lang w:eastAsia="en-AU"/>
        </w:rPr>
        <w:t>I</w:t>
      </w:r>
      <w:r w:rsidR="0002357B">
        <w:rPr>
          <w:lang w:eastAsia="en-AU"/>
        </w:rPr>
        <w:t>nterviews</w:t>
      </w:r>
      <w:r>
        <w:rPr>
          <w:lang w:eastAsia="en-AU"/>
        </w:rPr>
        <w:t xml:space="preserve"> in </w:t>
      </w:r>
      <w:r w:rsidR="0002357B">
        <w:rPr>
          <w:lang w:eastAsia="en-AU"/>
        </w:rPr>
        <w:t xml:space="preserve">the </w:t>
      </w:r>
      <w:r>
        <w:rPr>
          <w:lang w:eastAsia="en-AU"/>
        </w:rPr>
        <w:t xml:space="preserve">latter half of </w:t>
      </w:r>
      <w:r w:rsidR="0002357B">
        <w:rPr>
          <w:lang w:eastAsia="en-AU"/>
        </w:rPr>
        <w:t xml:space="preserve">the </w:t>
      </w:r>
      <w:r>
        <w:rPr>
          <w:lang w:eastAsia="en-AU"/>
        </w:rPr>
        <w:t>trial</w:t>
      </w:r>
      <w:r w:rsidR="0002357B">
        <w:rPr>
          <w:lang w:eastAsia="en-AU"/>
        </w:rPr>
        <w:t xml:space="preserve"> yielded similar findings </w:t>
      </w:r>
      <w:r>
        <w:rPr>
          <w:lang w:eastAsia="en-AU"/>
        </w:rPr>
        <w:t>about</w:t>
      </w:r>
      <w:r w:rsidR="00613B49">
        <w:rPr>
          <w:lang w:eastAsia="en-AU"/>
        </w:rPr>
        <w:t xml:space="preserve"> </w:t>
      </w:r>
      <w:r w:rsidR="0002357B">
        <w:rPr>
          <w:lang w:eastAsia="en-AU"/>
        </w:rPr>
        <w:t>patient awareness of their care plan</w:t>
      </w:r>
      <w:r>
        <w:rPr>
          <w:lang w:eastAsia="en-AU"/>
        </w:rPr>
        <w:t xml:space="preserve"> as earlier interviews</w:t>
      </w:r>
      <w:r w:rsidR="0002357B">
        <w:rPr>
          <w:lang w:eastAsia="en-AU"/>
        </w:rPr>
        <w:t xml:space="preserve">. Some patients stated they had a care plan for many years; others said they received a care plan </w:t>
      </w:r>
      <w:r>
        <w:rPr>
          <w:lang w:eastAsia="en-AU"/>
        </w:rPr>
        <w:t>when they enrolled</w:t>
      </w:r>
      <w:r w:rsidR="0002357B">
        <w:rPr>
          <w:lang w:eastAsia="en-AU"/>
        </w:rPr>
        <w:t xml:space="preserve"> in HCH and a few reported they were not familiar with a care plan and could not recall creating one</w:t>
      </w:r>
      <w:r w:rsidR="00412F12">
        <w:rPr>
          <w:lang w:eastAsia="en-AU"/>
        </w:rPr>
        <w:t>.</w:t>
      </w:r>
    </w:p>
    <w:p w14:paraId="6950D81D" w14:textId="7C7ABC8C" w:rsidR="0002357B" w:rsidRDefault="0002357B" w:rsidP="0087407E">
      <w:pPr>
        <w:rPr>
          <w:lang w:eastAsia="en-AU"/>
        </w:rPr>
      </w:pPr>
      <w:r>
        <w:rPr>
          <w:lang w:eastAsia="en-AU"/>
        </w:rPr>
        <w:t>The frequency of care plan reviews</w:t>
      </w:r>
      <w:r w:rsidR="0087407E">
        <w:rPr>
          <w:lang w:eastAsia="en-AU"/>
        </w:rPr>
        <w:t xml:space="preserve"> mentioned by patients</w:t>
      </w:r>
      <w:r>
        <w:rPr>
          <w:lang w:eastAsia="en-AU"/>
        </w:rPr>
        <w:t xml:space="preserve"> ranged from</w:t>
      </w:r>
      <w:r w:rsidRPr="00853B60">
        <w:rPr>
          <w:lang w:eastAsia="en-AU"/>
        </w:rPr>
        <w:t xml:space="preserve"> every</w:t>
      </w:r>
      <w:r>
        <w:rPr>
          <w:lang w:eastAsia="en-AU"/>
        </w:rPr>
        <w:t xml:space="preserve"> time the patient visited the practice,</w:t>
      </w:r>
      <w:r w:rsidRPr="00853B60">
        <w:rPr>
          <w:lang w:eastAsia="en-AU"/>
        </w:rPr>
        <w:t xml:space="preserve"> six months</w:t>
      </w:r>
      <w:r>
        <w:rPr>
          <w:lang w:eastAsia="en-AU"/>
        </w:rPr>
        <w:t xml:space="preserve"> or annually</w:t>
      </w:r>
      <w:r w:rsidR="0087407E">
        <w:rPr>
          <w:lang w:eastAsia="en-AU"/>
        </w:rPr>
        <w:t>.</w:t>
      </w:r>
    </w:p>
    <w:p w14:paraId="5D7FBA56" w14:textId="77777777" w:rsidR="0002357B" w:rsidRDefault="0002357B" w:rsidP="0002357B">
      <w:pPr>
        <w:rPr>
          <w:lang w:eastAsia="en-AU"/>
        </w:rPr>
      </w:pPr>
      <w:r>
        <w:rPr>
          <w:lang w:eastAsia="en-AU"/>
        </w:rPr>
        <w:t>Patients reported that a few services they were receiving started when they enrolled in HCH, mostly prompted by having a care plan developed. They reported positive experiences with these additional services:</w:t>
      </w:r>
    </w:p>
    <w:p w14:paraId="081C5202" w14:textId="53330BC1" w:rsidR="0002357B" w:rsidRDefault="0002357B" w:rsidP="00D410E9">
      <w:pPr>
        <w:ind w:left="567" w:right="521"/>
        <w:rPr>
          <w:lang w:eastAsia="en-AU"/>
        </w:rPr>
      </w:pPr>
      <w:r w:rsidRPr="00095617">
        <w:rPr>
          <w:i/>
          <w:iCs/>
          <w:lang w:eastAsia="en-AU"/>
        </w:rPr>
        <w:t>“The physio has definitely made a difference to me as far as mobility is concerned and strength. It’s helped reduce the arthritis pain because of the strengthening of the muscles around certain joints, and things like that … I was going to the chiropractor and they hadn’t picked up on certain things that were happening muscular wise. And when I went to the physio they picked things up straight away that had been an issue for a long time. So, I stopped going to the chiropractor, and just went to the physio instead.”</w:t>
      </w:r>
      <w:r>
        <w:rPr>
          <w:lang w:eastAsia="en-AU"/>
        </w:rPr>
        <w:t xml:space="preserve"> [Patient 2,</w:t>
      </w:r>
      <w:r w:rsidR="00D225A5">
        <w:rPr>
          <w:lang w:eastAsia="en-AU"/>
        </w:rPr>
        <w:t xml:space="preserve"> </w:t>
      </w:r>
      <w:r>
        <w:rPr>
          <w:lang w:eastAsia="en-AU"/>
        </w:rPr>
        <w:t>Practice 6, R4]</w:t>
      </w:r>
    </w:p>
    <w:p w14:paraId="4182C542" w14:textId="77777777" w:rsidR="0002357B" w:rsidRDefault="0002357B" w:rsidP="00D410E9">
      <w:pPr>
        <w:ind w:left="567" w:right="521"/>
        <w:rPr>
          <w:lang w:eastAsia="en-AU"/>
        </w:rPr>
      </w:pPr>
      <w:r w:rsidRPr="00095617">
        <w:rPr>
          <w:i/>
          <w:iCs/>
          <w:lang w:eastAsia="en-AU"/>
        </w:rPr>
        <w:t>“I got to see a dietician … I had several visits with that, and that actually was quite helpful … So, that’s all worked out.”</w:t>
      </w:r>
      <w:r>
        <w:rPr>
          <w:lang w:eastAsia="en-AU"/>
        </w:rPr>
        <w:t xml:space="preserve"> [Patient 5, Practice 4, R4]</w:t>
      </w:r>
    </w:p>
    <w:p w14:paraId="6F70289C" w14:textId="002EA2B8" w:rsidR="002528F7" w:rsidRDefault="0002357B" w:rsidP="002528F7">
      <w:pPr>
        <w:ind w:left="567" w:right="521"/>
        <w:rPr>
          <w:lang w:eastAsia="en-AU"/>
        </w:rPr>
      </w:pPr>
      <w:r w:rsidRPr="00921AAF">
        <w:rPr>
          <w:i/>
          <w:iCs/>
          <w:lang w:eastAsia="en-AU"/>
        </w:rPr>
        <w:t>“…I think also when I review, it’s also about reviewing my mental state. Even though that’s not my main condition, it can obviously be very taxing to have so many illnesses, and connecting me with a psychologist and organising a care plan for the psychology visits. So, that forms part of the review to check in with how I’m feeling emotionally.”</w:t>
      </w:r>
      <w:r>
        <w:rPr>
          <w:lang w:eastAsia="en-AU"/>
        </w:rPr>
        <w:t xml:space="preserve"> [Patient 1, Practice 22, R5]</w:t>
      </w:r>
    </w:p>
    <w:tbl>
      <w:tblPr>
        <w:tblW w:w="0" w:type="auto"/>
        <w:tblBorders>
          <w:top w:val="single" w:sz="8" w:space="0" w:color="408BCA"/>
          <w:left w:val="single" w:sz="8" w:space="0" w:color="408BCA"/>
          <w:bottom w:val="single" w:sz="8" w:space="0" w:color="408BCA"/>
          <w:right w:val="single" w:sz="8" w:space="0" w:color="408BCA"/>
        </w:tblBorders>
        <w:tblLook w:val="04A0" w:firstRow="1" w:lastRow="0" w:firstColumn="1" w:lastColumn="0" w:noHBand="0" w:noVBand="1"/>
      </w:tblPr>
      <w:tblGrid>
        <w:gridCol w:w="9006"/>
      </w:tblGrid>
      <w:tr w:rsidR="002528F7" w:rsidRPr="002528F7" w14:paraId="78EF67B8" w14:textId="77777777" w:rsidTr="00970F9B">
        <w:tc>
          <w:tcPr>
            <w:tcW w:w="9242" w:type="dxa"/>
            <w:shd w:val="clear" w:color="auto" w:fill="408BCA"/>
            <w:vAlign w:val="center"/>
          </w:tcPr>
          <w:p w14:paraId="733CA769" w14:textId="77777777" w:rsidR="002528F7" w:rsidRPr="002528F7" w:rsidRDefault="002528F7" w:rsidP="00256EF9">
            <w:pPr>
              <w:spacing w:after="0"/>
              <w:jc w:val="center"/>
              <w:rPr>
                <w:b/>
                <w:bCs/>
                <w:color w:val="FFFFFF" w:themeColor="background1"/>
                <w:sz w:val="22"/>
              </w:rPr>
            </w:pPr>
            <w:r w:rsidRPr="002528F7">
              <w:rPr>
                <w:b/>
                <w:bCs/>
                <w:color w:val="FFFFFF" w:themeColor="background1"/>
                <w:sz w:val="22"/>
              </w:rPr>
              <w:t>Case study</w:t>
            </w:r>
          </w:p>
        </w:tc>
      </w:tr>
      <w:tr w:rsidR="002528F7" w14:paraId="08E07849" w14:textId="77777777" w:rsidTr="00970F9B">
        <w:tc>
          <w:tcPr>
            <w:tcW w:w="9242" w:type="dxa"/>
          </w:tcPr>
          <w:p w14:paraId="5DF5C7D2" w14:textId="52165035" w:rsidR="002528F7" w:rsidRDefault="00430B83" w:rsidP="00C745B2">
            <w:pPr>
              <w:spacing w:before="200"/>
              <w:rPr>
                <w:sz w:val="18"/>
                <w:szCs w:val="18"/>
              </w:rPr>
            </w:pPr>
            <w:r>
              <w:rPr>
                <w:sz w:val="18"/>
                <w:szCs w:val="18"/>
              </w:rPr>
              <w:t>Jason</w:t>
            </w:r>
            <w:r w:rsidR="00C745B2">
              <w:rPr>
                <w:sz w:val="18"/>
                <w:szCs w:val="18"/>
              </w:rPr>
              <w:t>*</w:t>
            </w:r>
            <w:r w:rsidR="002528F7">
              <w:rPr>
                <w:sz w:val="18"/>
                <w:szCs w:val="18"/>
              </w:rPr>
              <w:t xml:space="preserve"> has diabetes, asthma and lumbar spondylosis. He has a long-standing relationship with his practice and contacts the practice frequently for his conditions. </w:t>
            </w:r>
            <w:r>
              <w:rPr>
                <w:sz w:val="18"/>
                <w:szCs w:val="18"/>
              </w:rPr>
              <w:t>Jason</w:t>
            </w:r>
            <w:r w:rsidR="002528F7">
              <w:rPr>
                <w:sz w:val="18"/>
                <w:szCs w:val="18"/>
              </w:rPr>
              <w:t xml:space="preserve"> is very active on the patient portal of the practice’s shared care planning system. He feels that the portal and the HCH </w:t>
            </w:r>
            <w:r w:rsidR="00C745B2">
              <w:rPr>
                <w:sz w:val="18"/>
                <w:szCs w:val="18"/>
              </w:rPr>
              <w:t>model</w:t>
            </w:r>
            <w:r w:rsidR="002528F7">
              <w:rPr>
                <w:sz w:val="18"/>
                <w:szCs w:val="18"/>
              </w:rPr>
              <w:t xml:space="preserve"> ha</w:t>
            </w:r>
            <w:r w:rsidR="00C745B2">
              <w:rPr>
                <w:sz w:val="18"/>
                <w:szCs w:val="18"/>
              </w:rPr>
              <w:t>ve</w:t>
            </w:r>
            <w:r w:rsidR="002528F7">
              <w:rPr>
                <w:sz w:val="18"/>
                <w:szCs w:val="18"/>
              </w:rPr>
              <w:t xml:space="preserve"> </w:t>
            </w:r>
            <w:r w:rsidR="00A671E6">
              <w:rPr>
                <w:sz w:val="18"/>
                <w:szCs w:val="18"/>
              </w:rPr>
              <w:t>led to better coordination of</w:t>
            </w:r>
            <w:r w:rsidR="002528F7">
              <w:rPr>
                <w:sz w:val="18"/>
                <w:szCs w:val="18"/>
              </w:rPr>
              <w:t xml:space="preserve"> </w:t>
            </w:r>
            <w:r w:rsidR="0000209A">
              <w:rPr>
                <w:sz w:val="18"/>
                <w:szCs w:val="18"/>
              </w:rPr>
              <w:t xml:space="preserve">his </w:t>
            </w:r>
            <w:r w:rsidR="002528F7">
              <w:rPr>
                <w:sz w:val="18"/>
                <w:szCs w:val="18"/>
              </w:rPr>
              <w:t xml:space="preserve">care and allowed him increased access to the practice. Due to his engagement and knowledge of the </w:t>
            </w:r>
            <w:r w:rsidR="00A754F3">
              <w:rPr>
                <w:sz w:val="18"/>
                <w:szCs w:val="18"/>
              </w:rPr>
              <w:t>patient portal</w:t>
            </w:r>
            <w:r w:rsidR="002528F7">
              <w:rPr>
                <w:sz w:val="18"/>
                <w:szCs w:val="18"/>
              </w:rPr>
              <w:t xml:space="preserve">, he is working with staff to organise workshops at the practice to teach other HCH patients how to use the </w:t>
            </w:r>
            <w:r w:rsidR="00A754F3">
              <w:rPr>
                <w:sz w:val="18"/>
                <w:szCs w:val="18"/>
              </w:rPr>
              <w:t>portal</w:t>
            </w:r>
            <w:r w:rsidR="002528F7">
              <w:rPr>
                <w:sz w:val="18"/>
                <w:szCs w:val="18"/>
              </w:rPr>
              <w:t xml:space="preserve"> to become more activated and better manage their chronic conditions.</w:t>
            </w:r>
          </w:p>
          <w:p w14:paraId="136AF25C" w14:textId="312BDDAC" w:rsidR="00C745B2" w:rsidRPr="003D2911" w:rsidRDefault="00C745B2" w:rsidP="00C745B2">
            <w:pPr>
              <w:rPr>
                <w:i/>
                <w:iCs/>
                <w:sz w:val="18"/>
                <w:szCs w:val="18"/>
              </w:rPr>
            </w:pPr>
            <w:r w:rsidRPr="003D2911">
              <w:rPr>
                <w:i/>
                <w:iCs/>
                <w:sz w:val="18"/>
                <w:szCs w:val="18"/>
              </w:rPr>
              <w:t xml:space="preserve">* </w:t>
            </w:r>
            <w:r w:rsidR="003D2911">
              <w:rPr>
                <w:i/>
                <w:iCs/>
                <w:sz w:val="18"/>
                <w:szCs w:val="18"/>
              </w:rPr>
              <w:t>N</w:t>
            </w:r>
            <w:r w:rsidR="003D2911" w:rsidRPr="003D2911">
              <w:rPr>
                <w:i/>
                <w:iCs/>
                <w:sz w:val="18"/>
                <w:szCs w:val="18"/>
              </w:rPr>
              <w:t>ame</w:t>
            </w:r>
            <w:r w:rsidR="003D2911">
              <w:rPr>
                <w:i/>
                <w:iCs/>
                <w:sz w:val="18"/>
                <w:szCs w:val="18"/>
              </w:rPr>
              <w:t xml:space="preserve"> changed to protect privacy.</w:t>
            </w:r>
          </w:p>
        </w:tc>
      </w:tr>
    </w:tbl>
    <w:p w14:paraId="182512C3" w14:textId="77777777" w:rsidR="002528F7" w:rsidRDefault="002528F7" w:rsidP="002528F7">
      <w:pPr>
        <w:spacing w:after="0"/>
        <w:ind w:right="522"/>
        <w:rPr>
          <w:lang w:eastAsia="en-AU"/>
        </w:rPr>
      </w:pPr>
    </w:p>
    <w:p w14:paraId="08EA1753" w14:textId="6AD55700" w:rsidR="0002357B" w:rsidRPr="002528F7" w:rsidRDefault="0002357B" w:rsidP="002528F7">
      <w:pPr>
        <w:pStyle w:val="Heading4"/>
      </w:pPr>
      <w:r w:rsidRPr="002528F7">
        <w:t>My Health Record</w:t>
      </w:r>
    </w:p>
    <w:p w14:paraId="67A0516B" w14:textId="1B730F0F" w:rsidR="00A02E4B" w:rsidRPr="00630092" w:rsidRDefault="0002357B" w:rsidP="0002357B">
      <w:pPr>
        <w:rPr>
          <w:lang w:eastAsia="en-AU"/>
        </w:rPr>
      </w:pPr>
      <w:r>
        <w:rPr>
          <w:lang w:eastAsia="en-AU"/>
        </w:rPr>
        <w:t xml:space="preserve">At the beginning of the trial, HCH patients were still required to have a My Health Record to join HCH. </w:t>
      </w:r>
      <w:r w:rsidR="009B53F3" w:rsidRPr="00630092">
        <w:rPr>
          <w:lang w:eastAsia="en-AU"/>
        </w:rPr>
        <w:t xml:space="preserve">Practices </w:t>
      </w:r>
      <w:r>
        <w:rPr>
          <w:lang w:eastAsia="en-AU"/>
        </w:rPr>
        <w:t xml:space="preserve">reported that </w:t>
      </w:r>
      <w:r w:rsidR="009B53F3" w:rsidRPr="00630092">
        <w:rPr>
          <w:lang w:eastAsia="en-AU"/>
        </w:rPr>
        <w:t xml:space="preserve">some of their patients </w:t>
      </w:r>
      <w:r>
        <w:rPr>
          <w:lang w:eastAsia="en-AU"/>
        </w:rPr>
        <w:t xml:space="preserve">were </w:t>
      </w:r>
      <w:r w:rsidR="009B53F3" w:rsidRPr="00630092">
        <w:rPr>
          <w:lang w:eastAsia="en-AU"/>
        </w:rPr>
        <w:t>concerned</w:t>
      </w:r>
      <w:r>
        <w:rPr>
          <w:lang w:eastAsia="en-AU"/>
        </w:rPr>
        <w:t xml:space="preserve"> about the security of their information, and this deterred </w:t>
      </w:r>
      <w:r w:rsidR="009B53F3" w:rsidRPr="00630092">
        <w:rPr>
          <w:lang w:eastAsia="en-AU"/>
        </w:rPr>
        <w:t xml:space="preserve">them </w:t>
      </w:r>
      <w:r>
        <w:rPr>
          <w:lang w:eastAsia="en-AU"/>
        </w:rPr>
        <w:t xml:space="preserve">from enrolling in the program. </w:t>
      </w:r>
      <w:r w:rsidRPr="00630092">
        <w:rPr>
          <w:lang w:eastAsia="en-AU"/>
        </w:rPr>
        <w:t>Th</w:t>
      </w:r>
      <w:r w:rsidR="009B53F3" w:rsidRPr="00630092">
        <w:rPr>
          <w:lang w:eastAsia="en-AU"/>
        </w:rPr>
        <w:t>e</w:t>
      </w:r>
      <w:r w:rsidRPr="00630092">
        <w:rPr>
          <w:lang w:eastAsia="en-AU"/>
        </w:rPr>
        <w:t xml:space="preserve"> requirement</w:t>
      </w:r>
      <w:r w:rsidR="009B53F3" w:rsidRPr="00630092">
        <w:rPr>
          <w:lang w:eastAsia="en-AU"/>
        </w:rPr>
        <w:t xml:space="preserve"> for a My Health Record</w:t>
      </w:r>
      <w:r w:rsidRPr="00630092">
        <w:rPr>
          <w:lang w:eastAsia="en-AU"/>
        </w:rPr>
        <w:t xml:space="preserve"> was subsequently lifted</w:t>
      </w:r>
      <w:r w:rsidR="001554F6" w:rsidRPr="00630092">
        <w:rPr>
          <w:lang w:eastAsia="en-AU"/>
        </w:rPr>
        <w:t xml:space="preserve"> to </w:t>
      </w:r>
      <w:r w:rsidR="009B53F3" w:rsidRPr="00630092">
        <w:rPr>
          <w:lang w:eastAsia="en-AU"/>
        </w:rPr>
        <w:t>allow</w:t>
      </w:r>
      <w:r w:rsidR="001554F6" w:rsidRPr="00630092">
        <w:rPr>
          <w:lang w:eastAsia="en-AU"/>
        </w:rPr>
        <w:t xml:space="preserve"> HCH patients </w:t>
      </w:r>
      <w:r w:rsidR="00A02E4B" w:rsidRPr="00630092">
        <w:rPr>
          <w:lang w:eastAsia="en-AU"/>
        </w:rPr>
        <w:t xml:space="preserve">to opt out of My Health Record </w:t>
      </w:r>
      <w:r w:rsidR="007351AC" w:rsidRPr="00630092">
        <w:rPr>
          <w:lang w:eastAsia="en-AU"/>
        </w:rPr>
        <w:t>when new legislation was passed in November 2018 to allow this</w:t>
      </w:r>
      <w:r w:rsidR="009B53F3" w:rsidRPr="00630092">
        <w:rPr>
          <w:lang w:eastAsia="en-AU"/>
        </w:rPr>
        <w:t xml:space="preserve"> for all Australians</w:t>
      </w:r>
      <w:r w:rsidR="007351AC" w:rsidRPr="00630092">
        <w:rPr>
          <w:lang w:eastAsia="en-AU"/>
        </w:rPr>
        <w:t>.</w:t>
      </w:r>
    </w:p>
    <w:p w14:paraId="2C810D9E" w14:textId="5E8A995C" w:rsidR="00630092" w:rsidRPr="00630092" w:rsidRDefault="00630092" w:rsidP="0002357B">
      <w:pPr>
        <w:rPr>
          <w:lang w:eastAsia="en-AU"/>
        </w:rPr>
      </w:pPr>
      <w:r w:rsidRPr="00630092">
        <w:lastRenderedPageBreak/>
        <w:t xml:space="preserve">Most of the </w:t>
      </w:r>
      <w:r w:rsidR="0002357B" w:rsidRPr="00630092">
        <w:t xml:space="preserve">patients </w:t>
      </w:r>
      <w:r w:rsidRPr="00630092">
        <w:t>surveyed reported that were registered with My Health Record (</w:t>
      </w:r>
      <w:r w:rsidRPr="00630092">
        <w:rPr>
          <w:rFonts w:eastAsiaTheme="minorEastAsia"/>
          <w:bCs/>
          <w:color w:val="1D2455"/>
          <w:szCs w:val="20"/>
          <w:lang w:eastAsia="en-AU"/>
        </w:rPr>
        <w:fldChar w:fldCharType="begin"/>
      </w:r>
      <w:r w:rsidRPr="00630092">
        <w:rPr>
          <w:rFonts w:eastAsiaTheme="minorEastAsia"/>
          <w:bCs/>
          <w:color w:val="1D2455"/>
          <w:szCs w:val="20"/>
          <w:lang w:eastAsia="en-AU"/>
        </w:rPr>
        <w:instrText xml:space="preserve"> REF _Ref108873890 \h  \* MERGEFORMAT </w:instrText>
      </w:r>
      <w:r w:rsidRPr="00630092">
        <w:rPr>
          <w:rFonts w:eastAsiaTheme="minorEastAsia"/>
          <w:bCs/>
          <w:color w:val="1D2455"/>
          <w:szCs w:val="20"/>
          <w:lang w:eastAsia="en-AU"/>
        </w:rPr>
      </w:r>
      <w:r w:rsidRPr="00630092">
        <w:rPr>
          <w:rFonts w:eastAsiaTheme="minorEastAsia"/>
          <w:bCs/>
          <w:color w:val="1D2455"/>
          <w:szCs w:val="20"/>
          <w:lang w:eastAsia="en-AU"/>
        </w:rPr>
        <w:fldChar w:fldCharType="separate"/>
      </w:r>
      <w:r w:rsidR="003C4BC2" w:rsidRPr="003C4BC2">
        <w:rPr>
          <w:rFonts w:eastAsiaTheme="minorEastAsia"/>
          <w:bCs/>
          <w:color w:val="1D2455"/>
          <w:szCs w:val="20"/>
          <w:lang w:eastAsia="en-AU"/>
        </w:rPr>
        <w:t>Table 45</w:t>
      </w:r>
      <w:r w:rsidRPr="00630092">
        <w:rPr>
          <w:rFonts w:eastAsiaTheme="minorEastAsia"/>
          <w:bCs/>
          <w:color w:val="1D2455"/>
          <w:szCs w:val="20"/>
          <w:lang w:eastAsia="en-AU"/>
        </w:rPr>
        <w:fldChar w:fldCharType="end"/>
      </w:r>
      <w:r w:rsidRPr="00630092">
        <w:t>).</w:t>
      </w:r>
    </w:p>
    <w:p w14:paraId="178D7D22" w14:textId="11BEAD96" w:rsidR="0002357B" w:rsidRDefault="002F07DE" w:rsidP="0002357B">
      <w:pPr>
        <w:rPr>
          <w:szCs w:val="20"/>
        </w:rPr>
      </w:pPr>
      <w:r>
        <w:rPr>
          <w:lang w:eastAsia="en-AU"/>
        </w:rPr>
        <w:t xml:space="preserve">Of the patients that enrolled in HCH and interviewed, while some </w:t>
      </w:r>
      <w:r w:rsidR="0002357B">
        <w:rPr>
          <w:lang w:eastAsia="en-AU"/>
        </w:rPr>
        <w:t xml:space="preserve">were unaware of My Health Record or how to access it, </w:t>
      </w:r>
      <w:r>
        <w:rPr>
          <w:lang w:eastAsia="en-AU"/>
        </w:rPr>
        <w:t>others had</w:t>
      </w:r>
      <w:r w:rsidR="0002357B">
        <w:rPr>
          <w:lang w:eastAsia="en-AU"/>
        </w:rPr>
        <w:t xml:space="preserve"> privacy and security concerns. </w:t>
      </w:r>
      <w:r w:rsidR="0002357B">
        <w:rPr>
          <w:szCs w:val="20"/>
        </w:rPr>
        <w:t xml:space="preserve">For example, one patient explained why </w:t>
      </w:r>
      <w:r w:rsidR="00BA68CC">
        <w:rPr>
          <w:szCs w:val="20"/>
        </w:rPr>
        <w:t>they</w:t>
      </w:r>
      <w:r w:rsidR="0002357B">
        <w:rPr>
          <w:szCs w:val="20"/>
        </w:rPr>
        <w:t xml:space="preserve"> decided to opt out of My Health Record when enrolling in HCH:</w:t>
      </w:r>
    </w:p>
    <w:p w14:paraId="2A063AC0" w14:textId="77777777" w:rsidR="0002357B" w:rsidRPr="00D3503A" w:rsidRDefault="0002357B" w:rsidP="0002357B">
      <w:pPr>
        <w:ind w:left="567" w:right="521"/>
        <w:rPr>
          <w:szCs w:val="20"/>
        </w:rPr>
      </w:pPr>
      <w:r>
        <w:rPr>
          <w:i/>
          <w:iCs/>
          <w:szCs w:val="20"/>
        </w:rPr>
        <w:t xml:space="preserve">“I just feel that my health conditions aren’t that complex, it’s pretty easy to say I've got asthma and arthritis … And I just thought it was another level of privacy that I didn’t have to have be involved in. I know it’s crazy these days, everything is online, everything is accessible one way or another, but I just felt like I didn’t want to make it.” </w:t>
      </w:r>
      <w:r>
        <w:rPr>
          <w:szCs w:val="20"/>
        </w:rPr>
        <w:t>[Patient 3, Practice 6, R4]</w:t>
      </w:r>
    </w:p>
    <w:p w14:paraId="4C089078" w14:textId="765E320A" w:rsidR="0002357B" w:rsidRDefault="009D7D18" w:rsidP="0002357B">
      <w:pPr>
        <w:rPr>
          <w:lang w:eastAsia="en-AU"/>
        </w:rPr>
      </w:pPr>
      <w:r>
        <w:rPr>
          <w:lang w:eastAsia="en-AU"/>
        </w:rPr>
        <w:t>A</w:t>
      </w:r>
      <w:r w:rsidR="0002357B">
        <w:rPr>
          <w:lang w:eastAsia="en-AU"/>
        </w:rPr>
        <w:t xml:space="preserve"> few patients </w:t>
      </w:r>
      <w:r w:rsidR="00BA68CC">
        <w:rPr>
          <w:lang w:eastAsia="en-AU"/>
        </w:rPr>
        <w:t>felt</w:t>
      </w:r>
      <w:r w:rsidR="0002357B">
        <w:rPr>
          <w:lang w:eastAsia="en-AU"/>
        </w:rPr>
        <w:t xml:space="preserve"> that the requirement to have a My Health Record was positive as it allows clinicians involved in their care to have access to their information when they need</w:t>
      </w:r>
      <w:r w:rsidR="002F07DE">
        <w:rPr>
          <w:lang w:eastAsia="en-AU"/>
        </w:rPr>
        <w:t>ed</w:t>
      </w:r>
      <w:r w:rsidR="0002357B">
        <w:rPr>
          <w:lang w:eastAsia="en-AU"/>
        </w:rPr>
        <w:t xml:space="preserve"> it: </w:t>
      </w:r>
    </w:p>
    <w:p w14:paraId="7F9B38B0" w14:textId="77777777" w:rsidR="0002357B" w:rsidRDefault="0002357B" w:rsidP="00D410E9">
      <w:pPr>
        <w:ind w:left="567" w:right="521"/>
        <w:rPr>
          <w:lang w:eastAsia="en-AU"/>
        </w:rPr>
      </w:pPr>
      <w:r w:rsidRPr="00D5344E">
        <w:rPr>
          <w:i/>
          <w:iCs/>
          <w:lang w:eastAsia="en-AU"/>
        </w:rPr>
        <w:t xml:space="preserve">“When I'm having a heart attack, I mean it's the more pertinent information people have right at the time, I mean, because you're operating on short periods of time…the more access that everybody's got to who you are…the better.” </w:t>
      </w:r>
      <w:r w:rsidRPr="00D5344E">
        <w:rPr>
          <w:lang w:eastAsia="en-AU"/>
        </w:rPr>
        <w:t>[Patient 1, Practice 1, R2]</w:t>
      </w:r>
    </w:p>
    <w:p w14:paraId="00DAA3C3" w14:textId="77777777" w:rsidR="0002357B" w:rsidRPr="00A60A75" w:rsidRDefault="0002357B" w:rsidP="00D410E9">
      <w:pPr>
        <w:ind w:left="567" w:right="521"/>
        <w:rPr>
          <w:lang w:eastAsia="en-AU"/>
        </w:rPr>
      </w:pPr>
      <w:r w:rsidRPr="00103246">
        <w:rPr>
          <w:i/>
          <w:iCs/>
          <w:lang w:eastAsia="en-AU"/>
        </w:rPr>
        <w:t>“I really think that [My Health Record is] just a tremendous thing … Like you go and see a strange doctor somewhere and you can tell them you’re part of My Health [Record] … And this happened at the [Hospital] when I was up there. And you know, they found it very helpful … I had this blooming turn up there where I woke up at three o’clock in the morning, thought I was dying, and … we got an ambulance and then I was in intensive care for three days because I got this confounded cellulitis … at the time, I couldn’t recall what sort of trouble I was in in regard to what sort of medication I took or anything. But they could soon find all that out just by getting onto My Health [Record].”</w:t>
      </w:r>
      <w:r w:rsidRPr="00103246">
        <w:rPr>
          <w:lang w:eastAsia="en-AU"/>
        </w:rPr>
        <w:t xml:space="preserve"> [Patient 3, Practice 4</w:t>
      </w:r>
      <w:r>
        <w:rPr>
          <w:lang w:eastAsia="en-AU"/>
        </w:rPr>
        <w:t>, R4</w:t>
      </w:r>
      <w:r w:rsidRPr="00103246">
        <w:rPr>
          <w:lang w:eastAsia="en-AU"/>
        </w:rPr>
        <w:t>]</w:t>
      </w:r>
    </w:p>
    <w:p w14:paraId="26ED34E7" w14:textId="77777777" w:rsidR="0002357B" w:rsidRDefault="0002357B" w:rsidP="00FB76C5">
      <w:pPr>
        <w:pStyle w:val="Heading3"/>
      </w:pPr>
      <w:r>
        <w:t>Coordination with other providers</w:t>
      </w:r>
    </w:p>
    <w:p w14:paraId="75134068" w14:textId="0A4E29BE" w:rsidR="0002357B" w:rsidRPr="002E6FC1" w:rsidRDefault="0002357B" w:rsidP="0002357B">
      <w:pPr>
        <w:rPr>
          <w:lang w:eastAsia="en-AU"/>
        </w:rPr>
      </w:pPr>
      <w:bookmarkStart w:id="345" w:name="_Hlk21189117"/>
      <w:bookmarkStart w:id="346" w:name="_Hlk60664630"/>
      <w:r w:rsidRPr="002E6FC1">
        <w:rPr>
          <w:lang w:eastAsia="en-AU"/>
        </w:rPr>
        <w:t>An objective of the HCH program was to promote and improve coordination between practices and other health care providers</w:t>
      </w:r>
      <w:bookmarkEnd w:id="345"/>
      <w:r w:rsidRPr="002E6FC1">
        <w:rPr>
          <w:lang w:eastAsia="en-AU"/>
        </w:rPr>
        <w:t xml:space="preserve">. </w:t>
      </w:r>
    </w:p>
    <w:bookmarkEnd w:id="346"/>
    <w:p w14:paraId="2665CD64" w14:textId="7BD2D9F8" w:rsidR="0002357B" w:rsidRPr="005654AB" w:rsidRDefault="0002357B" w:rsidP="0002357B">
      <w:pPr>
        <w:rPr>
          <w:szCs w:val="20"/>
          <w:lang w:eastAsia="en-AU"/>
        </w:rPr>
      </w:pPr>
      <w:r>
        <w:rPr>
          <w:lang w:eastAsia="en-AU"/>
        </w:rPr>
        <w:t xml:space="preserve">Most patients felt there was good communication between their practice and other providers. In some instances, patients felt they had additional advocacy and support to </w:t>
      </w:r>
      <w:r w:rsidRPr="005654AB">
        <w:rPr>
          <w:szCs w:val="20"/>
          <w:lang w:eastAsia="en-AU"/>
        </w:rPr>
        <w:t>navigate the health system and liaise with external providers</w:t>
      </w:r>
      <w:r w:rsidR="00EA1ACE">
        <w:rPr>
          <w:szCs w:val="20"/>
          <w:lang w:eastAsia="en-AU"/>
        </w:rPr>
        <w:t>:</w:t>
      </w:r>
    </w:p>
    <w:p w14:paraId="2A8536AB" w14:textId="77777777" w:rsidR="0002357B" w:rsidRPr="005654AB" w:rsidRDefault="0002357B" w:rsidP="00D410E9">
      <w:pPr>
        <w:ind w:left="567" w:right="521"/>
        <w:rPr>
          <w:rFonts w:cs="Arial"/>
          <w:color w:val="000000"/>
          <w:szCs w:val="20"/>
          <w:lang w:val="en-GB"/>
        </w:rPr>
      </w:pPr>
      <w:r w:rsidRPr="005654AB">
        <w:rPr>
          <w:i/>
          <w:iCs/>
          <w:szCs w:val="20"/>
          <w:lang w:val="en-US"/>
        </w:rPr>
        <w:t>“…referrals can take forever when you're doing it…It took a lot longer for me to do than it did with the nurses.</w:t>
      </w:r>
      <w:r>
        <w:rPr>
          <w:rFonts w:cs="Arial"/>
          <w:i/>
          <w:iCs/>
          <w:color w:val="000000"/>
          <w:szCs w:val="20"/>
          <w:lang w:val="en-GB"/>
        </w:rPr>
        <w:t xml:space="preserve">” </w:t>
      </w:r>
      <w:r>
        <w:rPr>
          <w:rFonts w:cs="Arial"/>
          <w:color w:val="000000"/>
          <w:szCs w:val="20"/>
          <w:lang w:val="en-GB"/>
        </w:rPr>
        <w:t>[Patient 1, Practice 4, R5]</w:t>
      </w:r>
    </w:p>
    <w:p w14:paraId="538F0095" w14:textId="77777777" w:rsidR="0002357B" w:rsidRDefault="0002357B" w:rsidP="00D410E9">
      <w:pPr>
        <w:ind w:left="567" w:right="521"/>
        <w:rPr>
          <w:rFonts w:cs="Arial"/>
          <w:color w:val="000000"/>
          <w:szCs w:val="20"/>
          <w:lang w:val="en-GB"/>
        </w:rPr>
      </w:pPr>
      <w:r>
        <w:rPr>
          <w:rFonts w:cs="Arial"/>
          <w:i/>
          <w:iCs/>
          <w:color w:val="000000"/>
          <w:szCs w:val="20"/>
          <w:lang w:val="en-GB"/>
        </w:rPr>
        <w:t xml:space="preserve">“Yes, [the communication is good] … I always ask. When I’ve seen the specialist and I go to my GP I say have you got my last visit report from whoever. Yes, they have.” </w:t>
      </w:r>
      <w:r>
        <w:rPr>
          <w:rFonts w:cs="Arial"/>
          <w:color w:val="000000"/>
          <w:szCs w:val="20"/>
          <w:lang w:val="en-GB"/>
        </w:rPr>
        <w:t>[Patient 1, Practice 6, R4]</w:t>
      </w:r>
    </w:p>
    <w:p w14:paraId="30163264" w14:textId="77777777" w:rsidR="0002357B" w:rsidRDefault="0002357B" w:rsidP="00D410E9">
      <w:pPr>
        <w:ind w:left="567" w:right="521"/>
        <w:rPr>
          <w:rFonts w:cs="Arial"/>
          <w:color w:val="000000"/>
          <w:szCs w:val="20"/>
          <w:lang w:val="en-GB"/>
        </w:rPr>
      </w:pPr>
      <w:r>
        <w:rPr>
          <w:rFonts w:cs="Arial"/>
          <w:i/>
          <w:iCs/>
          <w:color w:val="000000"/>
          <w:szCs w:val="20"/>
          <w:lang w:val="en-GB"/>
        </w:rPr>
        <w:t>“… before I go to the hospital I think [my practice and the hospital] communicate. On their data they have the details of my health.”</w:t>
      </w:r>
      <w:r>
        <w:rPr>
          <w:rFonts w:cs="Arial"/>
          <w:color w:val="000000"/>
          <w:szCs w:val="20"/>
          <w:lang w:val="en-GB"/>
        </w:rPr>
        <w:t xml:space="preserve"> [Patient 1, Practice 3. R4]</w:t>
      </w:r>
    </w:p>
    <w:p w14:paraId="5E97ED22" w14:textId="36800D41" w:rsidR="0002357B" w:rsidRDefault="0002357B" w:rsidP="0002357B">
      <w:pPr>
        <w:rPr>
          <w:rFonts w:cs="Arial"/>
          <w:color w:val="000000"/>
          <w:szCs w:val="20"/>
          <w:lang w:val="en-GB"/>
        </w:rPr>
      </w:pPr>
      <w:r>
        <w:rPr>
          <w:rFonts w:cs="Arial"/>
          <w:color w:val="000000"/>
          <w:szCs w:val="20"/>
          <w:lang w:val="en-GB"/>
        </w:rPr>
        <w:lastRenderedPageBreak/>
        <w:t>A few, however, felt that the communication between their GP and external providers was left up to them or was minimal</w:t>
      </w:r>
      <w:r w:rsidR="00EA1ACE">
        <w:rPr>
          <w:rFonts w:cs="Arial"/>
          <w:color w:val="000000"/>
          <w:szCs w:val="20"/>
          <w:lang w:val="en-GB"/>
        </w:rPr>
        <w:t>:</w:t>
      </w:r>
      <w:r>
        <w:rPr>
          <w:rFonts w:cs="Arial"/>
          <w:color w:val="000000"/>
          <w:szCs w:val="20"/>
          <w:lang w:val="en-GB"/>
        </w:rPr>
        <w:t xml:space="preserve"> </w:t>
      </w:r>
    </w:p>
    <w:p w14:paraId="05712425" w14:textId="77777777" w:rsidR="0002357B" w:rsidRDefault="0002357B" w:rsidP="0002357B">
      <w:pPr>
        <w:ind w:left="284"/>
        <w:rPr>
          <w:szCs w:val="20"/>
          <w:lang w:val="en-US"/>
        </w:rPr>
      </w:pPr>
      <w:r w:rsidRPr="0054481A">
        <w:rPr>
          <w:i/>
          <w:iCs/>
          <w:szCs w:val="20"/>
          <w:lang w:val="en-US"/>
        </w:rPr>
        <w:t>“No, I don</w:t>
      </w:r>
      <w:r w:rsidRPr="0054481A">
        <w:rPr>
          <w:rFonts w:cs="Calibri"/>
          <w:i/>
          <w:iCs/>
          <w:szCs w:val="20"/>
          <w:lang w:val="en-US"/>
        </w:rPr>
        <w:t>’</w:t>
      </w:r>
      <w:r w:rsidRPr="0054481A">
        <w:rPr>
          <w:i/>
          <w:iCs/>
          <w:szCs w:val="20"/>
          <w:lang w:val="en-US"/>
        </w:rPr>
        <w:t>t think he does, not with the skin specialist anyway. They might get onto him if it’s affecting my health or something. But I don’t think he gets a call back at all about what they do. He asks me about it.”</w:t>
      </w:r>
      <w:r w:rsidRPr="0054481A">
        <w:rPr>
          <w:szCs w:val="20"/>
          <w:lang w:val="en-US"/>
        </w:rPr>
        <w:t xml:space="preserve"> [Patient 2, Practice 6, R5]</w:t>
      </w:r>
    </w:p>
    <w:p w14:paraId="60845D68" w14:textId="4E767147" w:rsidR="0002357B" w:rsidRPr="005D3F1C" w:rsidRDefault="0002357B" w:rsidP="0002357B">
      <w:pPr>
        <w:spacing w:after="160" w:line="259" w:lineRule="auto"/>
        <w:ind w:left="284"/>
        <w:rPr>
          <w:szCs w:val="20"/>
          <w:lang w:val="en-US"/>
        </w:rPr>
      </w:pPr>
      <w:r w:rsidRPr="003254AC">
        <w:rPr>
          <w:i/>
          <w:iCs/>
          <w:szCs w:val="20"/>
          <w:lang w:val="en-US"/>
        </w:rPr>
        <w:t xml:space="preserve">“I guess my expectation of the </w:t>
      </w:r>
      <w:r w:rsidR="0002675D">
        <w:rPr>
          <w:i/>
          <w:iCs/>
          <w:szCs w:val="20"/>
          <w:lang w:val="en-US"/>
        </w:rPr>
        <w:t>program</w:t>
      </w:r>
      <w:r w:rsidRPr="003254AC">
        <w:rPr>
          <w:i/>
          <w:iCs/>
          <w:szCs w:val="20"/>
          <w:lang w:val="en-US"/>
        </w:rPr>
        <w:t xml:space="preserve"> before it started, was that there would be a bit more, maybe my GP speaking to my specialist when the plan’s not working so well to say… Or, because I’ve got multiple conditions is getting multiple specialists across, because it’s a holistic problem. So, I think more needs to be done there that would enhance the </w:t>
      </w:r>
      <w:r w:rsidR="0002675D">
        <w:rPr>
          <w:i/>
          <w:iCs/>
          <w:szCs w:val="20"/>
          <w:lang w:val="en-US"/>
        </w:rPr>
        <w:t>program</w:t>
      </w:r>
      <w:r w:rsidRPr="003254AC">
        <w:rPr>
          <w:i/>
          <w:iCs/>
          <w:szCs w:val="20"/>
          <w:lang w:val="en-US"/>
        </w:rPr>
        <w:t xml:space="preserve"> to have the GP and then other specialists review that together and go is this the right approach. Because it still feels very segmented, like each specialist is separate and then they just write letters to the GP and the GP writes letters to them.”</w:t>
      </w:r>
      <w:r w:rsidRPr="003254AC">
        <w:rPr>
          <w:szCs w:val="20"/>
          <w:lang w:val="en-US"/>
        </w:rPr>
        <w:t xml:space="preserve"> [Patient 1, Practice 22, R5]</w:t>
      </w:r>
    </w:p>
    <w:p w14:paraId="510040F0" w14:textId="77777777" w:rsidR="0002357B" w:rsidRPr="002528F7" w:rsidRDefault="0002357B" w:rsidP="002528F7">
      <w:pPr>
        <w:pStyle w:val="Heading4"/>
      </w:pPr>
      <w:r w:rsidRPr="002528F7">
        <w:t>Pharmacists</w:t>
      </w:r>
    </w:p>
    <w:p w14:paraId="11C80F15" w14:textId="1F805433" w:rsidR="0002357B" w:rsidRPr="00227F5B" w:rsidRDefault="0002357B" w:rsidP="0002357B">
      <w:pPr>
        <w:rPr>
          <w:lang w:eastAsia="en-AU"/>
        </w:rPr>
      </w:pPr>
      <w:r>
        <w:rPr>
          <w:lang w:eastAsia="en-AU"/>
        </w:rPr>
        <w:t xml:space="preserve">Patient experiences with community pharmacists </w:t>
      </w:r>
      <w:r w:rsidR="004C315B">
        <w:rPr>
          <w:lang w:eastAsia="en-AU"/>
        </w:rPr>
        <w:t>are</w:t>
      </w:r>
      <w:r>
        <w:rPr>
          <w:lang w:eastAsia="en-AU"/>
        </w:rPr>
        <w:t xml:space="preserve"> discussed in </w:t>
      </w:r>
      <w:r w:rsidR="00EA1ACE">
        <w:rPr>
          <w:lang w:eastAsia="en-AU"/>
        </w:rPr>
        <w:t>Chapter 22</w:t>
      </w:r>
      <w:r w:rsidR="004C315B">
        <w:rPr>
          <w:lang w:eastAsia="en-AU"/>
        </w:rPr>
        <w:t xml:space="preserve"> (p. </w:t>
      </w:r>
      <w:r w:rsidR="004C315B">
        <w:rPr>
          <w:lang w:eastAsia="en-AU"/>
        </w:rPr>
        <w:fldChar w:fldCharType="begin"/>
      </w:r>
      <w:r w:rsidR="004C315B">
        <w:rPr>
          <w:lang w:eastAsia="en-AU"/>
        </w:rPr>
        <w:instrText xml:space="preserve"> PAGEREF _Ref85108754 \h </w:instrText>
      </w:r>
      <w:r w:rsidR="004C315B">
        <w:rPr>
          <w:lang w:eastAsia="en-AU"/>
        </w:rPr>
      </w:r>
      <w:r w:rsidR="004C315B">
        <w:rPr>
          <w:lang w:eastAsia="en-AU"/>
        </w:rPr>
        <w:fldChar w:fldCharType="separate"/>
      </w:r>
      <w:r w:rsidR="003C4BC2">
        <w:rPr>
          <w:noProof/>
          <w:lang w:eastAsia="en-AU"/>
        </w:rPr>
        <w:t>290</w:t>
      </w:r>
      <w:r w:rsidR="004C315B">
        <w:rPr>
          <w:lang w:eastAsia="en-AU"/>
        </w:rPr>
        <w:fldChar w:fldCharType="end"/>
      </w:r>
      <w:r w:rsidR="004C315B">
        <w:rPr>
          <w:lang w:eastAsia="en-AU"/>
        </w:rPr>
        <w:t>)</w:t>
      </w:r>
      <w:r w:rsidR="00EA1ACE">
        <w:rPr>
          <w:lang w:eastAsia="en-AU"/>
        </w:rPr>
        <w:t>.</w:t>
      </w:r>
    </w:p>
    <w:p w14:paraId="42F74E94" w14:textId="77777777" w:rsidR="0002357B" w:rsidRPr="002F0339" w:rsidRDefault="0002357B" w:rsidP="002528F7">
      <w:pPr>
        <w:pStyle w:val="Heading4"/>
        <w:rPr>
          <w:lang w:eastAsia="en-AU"/>
        </w:rPr>
      </w:pPr>
      <w:r>
        <w:rPr>
          <w:lang w:eastAsia="en-AU"/>
        </w:rPr>
        <w:t>Allied health</w:t>
      </w:r>
    </w:p>
    <w:p w14:paraId="248E5537" w14:textId="77777777" w:rsidR="0002357B" w:rsidRPr="007B6DF7" w:rsidRDefault="0002357B" w:rsidP="0002357B">
      <w:pPr>
        <w:textAlignment w:val="baseline"/>
        <w:rPr>
          <w:rFonts w:eastAsia="Times New Roman"/>
          <w:szCs w:val="20"/>
          <w:lang w:eastAsia="en-AU"/>
        </w:rPr>
      </w:pPr>
      <w:r>
        <w:rPr>
          <w:rFonts w:eastAsia="Times New Roman"/>
          <w:szCs w:val="20"/>
          <w:lang w:eastAsia="en-AU"/>
        </w:rPr>
        <w:t>S</w:t>
      </w:r>
      <w:r w:rsidRPr="007B6DF7">
        <w:rPr>
          <w:rFonts w:eastAsia="Times New Roman"/>
          <w:szCs w:val="20"/>
          <w:lang w:eastAsia="en-AU"/>
        </w:rPr>
        <w:t>ome patients discussed additional external allied health services that their GPs connected them with</w:t>
      </w:r>
      <w:r>
        <w:rPr>
          <w:rFonts w:eastAsia="Times New Roman"/>
          <w:szCs w:val="20"/>
          <w:lang w:eastAsia="en-AU"/>
        </w:rPr>
        <w:t xml:space="preserve"> since enrolling in HCH</w:t>
      </w:r>
      <w:r w:rsidRPr="007B6DF7">
        <w:rPr>
          <w:rFonts w:eastAsia="Times New Roman"/>
          <w:szCs w:val="20"/>
          <w:lang w:eastAsia="en-AU"/>
        </w:rPr>
        <w:t>. They described these additional services as very helpful in helping to managing their conditions:</w:t>
      </w:r>
    </w:p>
    <w:p w14:paraId="0367E378" w14:textId="77777777" w:rsidR="0002357B" w:rsidRPr="007B6DF7" w:rsidRDefault="0002357B" w:rsidP="00D410E9">
      <w:pPr>
        <w:ind w:left="567" w:right="521"/>
        <w:rPr>
          <w:rFonts w:eastAsia="Times New Roman"/>
          <w:szCs w:val="20"/>
          <w:lang w:eastAsia="en-AU"/>
        </w:rPr>
      </w:pPr>
      <w:r w:rsidRPr="007B6DF7">
        <w:rPr>
          <w:rFonts w:eastAsia="Times New Roman"/>
          <w:i/>
          <w:szCs w:val="20"/>
          <w:lang w:eastAsia="en-AU"/>
        </w:rPr>
        <w:t xml:space="preserve"> “I’m doing the exercises at </w:t>
      </w:r>
      <w:r w:rsidRPr="00942EE4">
        <w:rPr>
          <w:rFonts w:eastAsia="Times New Roman"/>
          <w:szCs w:val="20"/>
          <w:lang w:eastAsia="en-AU"/>
        </w:rPr>
        <w:t>[centre]</w:t>
      </w:r>
      <w:r w:rsidRPr="007B6DF7">
        <w:rPr>
          <w:rFonts w:eastAsia="Times New Roman"/>
          <w:i/>
          <w:szCs w:val="20"/>
          <w:lang w:eastAsia="en-AU"/>
        </w:rPr>
        <w:t xml:space="preserve">. The one for the heart I’m finished. That’s with all the equipment. I did that for eight weeks. Now I’m doing one for the lungs and the exercises are very similar. It was the doctor that recommended that and </w:t>
      </w:r>
      <w:r w:rsidRPr="009B75E1">
        <w:rPr>
          <w:rFonts w:eastAsia="Times New Roman"/>
          <w:szCs w:val="20"/>
          <w:lang w:eastAsia="en-AU"/>
        </w:rPr>
        <w:t>[the GP]</w:t>
      </w:r>
      <w:r w:rsidRPr="007B6DF7">
        <w:rPr>
          <w:rFonts w:eastAsia="Times New Roman"/>
          <w:i/>
          <w:szCs w:val="20"/>
          <w:lang w:eastAsia="en-AU"/>
        </w:rPr>
        <w:t xml:space="preserve"> recommended that so it was good. Then when I went for the first one, they looked after me over there and they suggested I do the second lot, the COPD exercise. So that’s what I’m doing now, that’s twice a week. Yesterday and Thursday.”</w:t>
      </w:r>
      <w:r w:rsidRPr="007B6DF7">
        <w:rPr>
          <w:rFonts w:eastAsia="Times New Roman"/>
          <w:szCs w:val="20"/>
          <w:lang w:eastAsia="en-AU"/>
        </w:rPr>
        <w:t xml:space="preserve"> [Patient 3, Practice 4</w:t>
      </w:r>
      <w:r>
        <w:rPr>
          <w:rFonts w:eastAsia="Times New Roman"/>
          <w:szCs w:val="20"/>
          <w:lang w:eastAsia="en-AU"/>
        </w:rPr>
        <w:t>, R2]</w:t>
      </w:r>
    </w:p>
    <w:p w14:paraId="438E26D2" w14:textId="77777777" w:rsidR="0002357B" w:rsidRPr="007B6DF7" w:rsidRDefault="0002357B" w:rsidP="00D410E9">
      <w:pPr>
        <w:ind w:left="567" w:right="521"/>
        <w:rPr>
          <w:rFonts w:eastAsia="Times New Roman"/>
          <w:szCs w:val="20"/>
          <w:lang w:eastAsia="en-AU"/>
        </w:rPr>
      </w:pPr>
      <w:r w:rsidRPr="007B6DF7">
        <w:rPr>
          <w:rFonts w:eastAsia="Times New Roman"/>
          <w:i/>
          <w:szCs w:val="20"/>
          <w:lang w:eastAsia="en-AU"/>
        </w:rPr>
        <w:t xml:space="preserve">“…there’s certain things I can have, I think it’s five visits from podiatrists a year. So that’s all going linked </w:t>
      </w:r>
      <w:r w:rsidRPr="009B75E1">
        <w:rPr>
          <w:rFonts w:eastAsia="Times New Roman"/>
          <w:szCs w:val="20"/>
          <w:lang w:eastAsia="en-AU"/>
        </w:rPr>
        <w:t>[to the podiatrist]</w:t>
      </w:r>
      <w:r w:rsidRPr="007B6DF7">
        <w:rPr>
          <w:rFonts w:eastAsia="Times New Roman"/>
          <w:i/>
          <w:szCs w:val="20"/>
          <w:lang w:eastAsia="en-AU"/>
        </w:rPr>
        <w:t xml:space="preserve"> so that she can just go backwards and forwards on the thing, you don’t have to send forms with me or get more referrals. She just asks in the system, </w:t>
      </w:r>
      <w:r w:rsidRPr="009B75E1">
        <w:rPr>
          <w:rFonts w:eastAsia="Times New Roman"/>
          <w:szCs w:val="20"/>
          <w:lang w:eastAsia="en-AU"/>
        </w:rPr>
        <w:t>[the GP]</w:t>
      </w:r>
      <w:r w:rsidRPr="007B6DF7">
        <w:rPr>
          <w:rFonts w:eastAsia="Times New Roman"/>
          <w:i/>
          <w:szCs w:val="20"/>
          <w:lang w:eastAsia="en-AU"/>
        </w:rPr>
        <w:t xml:space="preserve"> puts and sends it back to her. So, you know that covers all that, so there’s a working relationship there.”</w:t>
      </w:r>
      <w:r w:rsidRPr="007B6DF7">
        <w:rPr>
          <w:rFonts w:eastAsia="Times New Roman"/>
          <w:szCs w:val="20"/>
          <w:lang w:eastAsia="en-AU"/>
        </w:rPr>
        <w:t xml:space="preserve"> [Patient 1, Practice 9</w:t>
      </w:r>
      <w:r>
        <w:rPr>
          <w:rFonts w:eastAsia="Times New Roman"/>
          <w:szCs w:val="20"/>
          <w:lang w:eastAsia="en-AU"/>
        </w:rPr>
        <w:t>, R2]</w:t>
      </w:r>
    </w:p>
    <w:p w14:paraId="3F7410EB" w14:textId="77777777" w:rsidR="0002357B" w:rsidRDefault="0002357B" w:rsidP="00D410E9">
      <w:pPr>
        <w:ind w:left="567" w:right="521"/>
        <w:rPr>
          <w:rFonts w:eastAsia="Times New Roman"/>
          <w:szCs w:val="20"/>
          <w:lang w:eastAsia="en-AU"/>
        </w:rPr>
      </w:pPr>
      <w:r w:rsidRPr="007B6DF7">
        <w:rPr>
          <w:rFonts w:eastAsia="Times New Roman"/>
          <w:i/>
          <w:szCs w:val="20"/>
          <w:lang w:eastAsia="en-AU"/>
        </w:rPr>
        <w:t xml:space="preserve">“Well, I had an initial contact with the nurse there, the clinical nurse, and then my GP, and then a joint interview…my doctor made sure that she accessed a lot of services for me in relation to my Parkinson’s… there was a very good </w:t>
      </w:r>
      <w:r>
        <w:rPr>
          <w:rFonts w:eastAsia="Times New Roman"/>
          <w:i/>
          <w:szCs w:val="20"/>
          <w:lang w:eastAsia="en-AU"/>
        </w:rPr>
        <w:t>program</w:t>
      </w:r>
      <w:r w:rsidRPr="007B6DF7">
        <w:rPr>
          <w:rFonts w:eastAsia="Times New Roman"/>
          <w:i/>
          <w:szCs w:val="20"/>
          <w:lang w:eastAsia="en-AU"/>
        </w:rPr>
        <w:t xml:space="preserve"> for people with Parkinson’s with physiotherapy at another, at a hospital…and then they contacted me…and I was able to access the therapist.”</w:t>
      </w:r>
      <w:r w:rsidRPr="007B6DF7">
        <w:rPr>
          <w:rFonts w:eastAsia="Times New Roman"/>
          <w:szCs w:val="20"/>
          <w:lang w:eastAsia="en-AU"/>
        </w:rPr>
        <w:t xml:space="preserve"> [Patient 4, Practice 5</w:t>
      </w:r>
      <w:r>
        <w:rPr>
          <w:rFonts w:eastAsia="Times New Roman"/>
          <w:szCs w:val="20"/>
          <w:lang w:eastAsia="en-AU"/>
        </w:rPr>
        <w:t>, R2]</w:t>
      </w:r>
    </w:p>
    <w:p w14:paraId="62B9DDE9" w14:textId="7DCF4401" w:rsidR="0002357B" w:rsidRDefault="0002357B" w:rsidP="00D410E9">
      <w:pPr>
        <w:ind w:left="567" w:right="521"/>
        <w:rPr>
          <w:szCs w:val="20"/>
          <w:lang w:val="en-US"/>
        </w:rPr>
      </w:pPr>
      <w:r w:rsidRPr="006135E6">
        <w:rPr>
          <w:i/>
          <w:iCs/>
          <w:szCs w:val="20"/>
          <w:lang w:val="en-US"/>
        </w:rPr>
        <w:t>“Well since I joined it, like I said I can go to a podiatrist now and that sort of thing. Where before I didn’t know any of that.”</w:t>
      </w:r>
      <w:r w:rsidRPr="006135E6">
        <w:rPr>
          <w:szCs w:val="20"/>
          <w:lang w:val="en-US"/>
        </w:rPr>
        <w:t xml:space="preserve"> [Patient 3, Practice 24, R5]</w:t>
      </w:r>
    </w:p>
    <w:p w14:paraId="1370DFE3" w14:textId="678953B3" w:rsidR="00EA1ACE" w:rsidRPr="006135E6" w:rsidRDefault="00EA1ACE" w:rsidP="00EA1ACE">
      <w:pPr>
        <w:ind w:left="567" w:right="521"/>
        <w:rPr>
          <w:rFonts w:eastAsia="Times New Roman"/>
          <w:szCs w:val="20"/>
          <w:lang w:eastAsia="en-AU"/>
        </w:rPr>
      </w:pPr>
      <w:r w:rsidRPr="00EA1ACE">
        <w:rPr>
          <w:i/>
          <w:lang w:eastAsia="en-AU"/>
        </w:rPr>
        <w:lastRenderedPageBreak/>
        <w:t xml:space="preserve">“I think in 2018…when first the diabetes thing came up, I got referred to a dietician and to a diabetics counsellor. And went through a course with them for...probably about six/seven months…And managed to…get my sugar levels back to normal. And managed to get my weight down substantially. And really haven’t had need of the service since. They gave me guidelines which I stick fairly closely with.” </w:t>
      </w:r>
      <w:r w:rsidRPr="00EA1ACE">
        <w:rPr>
          <w:lang w:eastAsia="en-AU"/>
        </w:rPr>
        <w:t>[Patient 1, Practice 1, R4]</w:t>
      </w:r>
    </w:p>
    <w:p w14:paraId="3872DFB9" w14:textId="45D792A8" w:rsidR="0002357B" w:rsidRDefault="00E1741B" w:rsidP="0002357B">
      <w:pPr>
        <w:pStyle w:val="Heading3"/>
        <w:rPr>
          <w:lang w:eastAsia="en-AU"/>
        </w:rPr>
      </w:pPr>
      <w:r>
        <w:rPr>
          <w:lang w:eastAsia="en-AU"/>
        </w:rPr>
        <w:t>Experience of c</w:t>
      </w:r>
      <w:r w:rsidR="0002357B">
        <w:rPr>
          <w:lang w:eastAsia="en-AU"/>
        </w:rPr>
        <w:t>arers and family members</w:t>
      </w:r>
    </w:p>
    <w:p w14:paraId="29FD9838" w14:textId="576D8DD0" w:rsidR="0002357B" w:rsidRDefault="0002357B" w:rsidP="0002357B">
      <w:pPr>
        <w:rPr>
          <w:lang w:eastAsia="en-AU"/>
        </w:rPr>
      </w:pPr>
      <w:r>
        <w:rPr>
          <w:lang w:eastAsia="en-AU"/>
        </w:rPr>
        <w:t>Throughout patient interviews, carers and family members shared the struggles they face in their roles and the lack of services and supports available to them. These challenges often included the responsibility of managing the HCH patients’ health conditions by keeping track of their medications, taking them to appointments, navigating the health system to ensure they receive the support that they need and general patient advocacy</w:t>
      </w:r>
      <w:r w:rsidR="00BA68CC">
        <w:rPr>
          <w:lang w:eastAsia="en-AU"/>
        </w:rPr>
        <w:t>:</w:t>
      </w:r>
    </w:p>
    <w:p w14:paraId="00C57849" w14:textId="77777777" w:rsidR="0002357B" w:rsidRDefault="0002357B" w:rsidP="00D410E9">
      <w:pPr>
        <w:ind w:left="567" w:right="521"/>
        <w:rPr>
          <w:lang w:eastAsia="en-AU"/>
        </w:rPr>
      </w:pPr>
      <w:r w:rsidRPr="00484A38">
        <w:rPr>
          <w:i/>
          <w:iCs/>
          <w:lang w:eastAsia="en-AU"/>
        </w:rPr>
        <w:t>“But if you’ve got a person who doesn’t speak English or who themselves has an intellectual disability, they can’t fight the corner that you have to fight to make sure the kids get the help they need. So, it really depends on your level of advocacy skills and your stubbornness to make sure that they’re serviced correctly.”</w:t>
      </w:r>
      <w:r>
        <w:rPr>
          <w:lang w:eastAsia="en-AU"/>
        </w:rPr>
        <w:t xml:space="preserve"> [Carer 1, Practice 5, R2]</w:t>
      </w:r>
    </w:p>
    <w:p w14:paraId="32A43720" w14:textId="77777777" w:rsidR="0002357B" w:rsidRDefault="0002357B" w:rsidP="00D410E9">
      <w:pPr>
        <w:ind w:left="567" w:right="521"/>
        <w:rPr>
          <w:lang w:eastAsia="en-AU"/>
        </w:rPr>
      </w:pPr>
      <w:r w:rsidRPr="00484A38">
        <w:rPr>
          <w:i/>
          <w:iCs/>
          <w:lang w:eastAsia="en-AU"/>
        </w:rPr>
        <w:t>“Well, all my health care was written down in a book …because he has got so much</w:t>
      </w:r>
      <w:r>
        <w:rPr>
          <w:i/>
          <w:iCs/>
          <w:lang w:eastAsia="en-AU"/>
        </w:rPr>
        <w:t>,</w:t>
      </w:r>
      <w:r w:rsidRPr="00484A38">
        <w:rPr>
          <w:i/>
          <w:iCs/>
          <w:lang w:eastAsia="en-AU"/>
        </w:rPr>
        <w:t xml:space="preserve"> and I have got so much. I’ve got to remember his as well as my own.”</w:t>
      </w:r>
      <w:r>
        <w:rPr>
          <w:lang w:eastAsia="en-AU"/>
        </w:rPr>
        <w:t xml:space="preserve"> [Carer &amp; Patient 3, Practice 4, R2]</w:t>
      </w:r>
    </w:p>
    <w:p w14:paraId="60E39FB7" w14:textId="77777777" w:rsidR="0002357B" w:rsidRDefault="0002357B" w:rsidP="0002357B">
      <w:pPr>
        <w:rPr>
          <w:lang w:eastAsia="en-AU"/>
        </w:rPr>
      </w:pPr>
      <w:r>
        <w:rPr>
          <w:lang w:eastAsia="en-AU"/>
        </w:rPr>
        <w:t xml:space="preserve">Carers and family members reported benefits of HCH which included better coordination of care and additional advocacy and support for the person that they are caring for. </w:t>
      </w:r>
      <w:r w:rsidRPr="0044420E">
        <w:rPr>
          <w:lang w:eastAsia="en-AU"/>
        </w:rPr>
        <w:t xml:space="preserve">Carers </w:t>
      </w:r>
      <w:r>
        <w:rPr>
          <w:lang w:eastAsia="en-AU"/>
        </w:rPr>
        <w:t xml:space="preserve">specifically </w:t>
      </w:r>
      <w:r w:rsidRPr="0044420E">
        <w:rPr>
          <w:lang w:eastAsia="en-AU"/>
        </w:rPr>
        <w:t xml:space="preserve">mentioned the ability to request prescriptions and referrals over the phone and having the nurse or coordinator as a clinical resource </w:t>
      </w:r>
      <w:r>
        <w:rPr>
          <w:lang w:eastAsia="en-AU"/>
        </w:rPr>
        <w:t>as very beneficial:</w:t>
      </w:r>
    </w:p>
    <w:p w14:paraId="177313B3" w14:textId="77777777" w:rsidR="0002357B" w:rsidRPr="00B74080" w:rsidRDefault="0002357B" w:rsidP="00D410E9">
      <w:pPr>
        <w:ind w:left="567" w:right="521"/>
        <w:rPr>
          <w:i/>
          <w:iCs/>
          <w:lang w:eastAsia="en-AU"/>
        </w:rPr>
      </w:pPr>
      <w:r w:rsidRPr="00B74080">
        <w:rPr>
          <w:i/>
          <w:iCs/>
          <w:lang w:eastAsia="en-AU"/>
        </w:rPr>
        <w:t>“…the nurse is supposed to liaise with us, we can call for a prescription if we need it on his chronic, long-term meds. Which is huge, because getting him into the practice is very hard. He got a bite on his hand and it had tracked up to his arm within an hour and they just moved him straight in…it becomes a priority, that kind of stuff, which is important</w:t>
      </w:r>
      <w:r>
        <w:rPr>
          <w:i/>
          <w:iCs/>
          <w:lang w:eastAsia="en-AU"/>
        </w:rPr>
        <w:t>..</w:t>
      </w:r>
      <w:r w:rsidRPr="00B74080">
        <w:rPr>
          <w:i/>
          <w:iCs/>
          <w:lang w:eastAsia="en-AU"/>
        </w:rPr>
        <w:t>.</w:t>
      </w:r>
      <w:r>
        <w:rPr>
          <w:lang w:eastAsia="en-AU"/>
        </w:rPr>
        <w:t>”</w:t>
      </w:r>
      <w:r>
        <w:rPr>
          <w:i/>
          <w:iCs/>
          <w:lang w:eastAsia="en-AU"/>
        </w:rPr>
        <w:t xml:space="preserve"> </w:t>
      </w:r>
      <w:r>
        <w:rPr>
          <w:lang w:eastAsia="en-AU"/>
        </w:rPr>
        <w:t>[Carer, Practice 5, R2]</w:t>
      </w:r>
    </w:p>
    <w:p w14:paraId="34C77E83" w14:textId="77777777" w:rsidR="0002357B" w:rsidRDefault="0002357B" w:rsidP="00D410E9">
      <w:pPr>
        <w:ind w:left="567" w:right="521"/>
        <w:rPr>
          <w:lang w:eastAsia="en-AU"/>
        </w:rPr>
      </w:pPr>
      <w:r>
        <w:rPr>
          <w:i/>
          <w:iCs/>
          <w:lang w:eastAsia="en-AU"/>
        </w:rPr>
        <w:t>“</w:t>
      </w:r>
      <w:r w:rsidRPr="00B74080">
        <w:rPr>
          <w:i/>
          <w:iCs/>
          <w:lang w:eastAsia="en-AU"/>
        </w:rPr>
        <w:t>[Patient 4] hates coming to the doctors. She plays up like anything, screams and yells and then she goes through a good period … So, it’s good for us in that she doesn’t have to come back here all the time … It’s good in that I don’t necessarily have to bring [Patient 4] out here unless she really needs to see a doctor. If we’re concerned about giving her, say, Nurofen, I can ring someone up and ask them … And … In time [they’ll] ask the doctor and get back to me …”</w:t>
      </w:r>
      <w:r w:rsidRPr="00BF5F31">
        <w:rPr>
          <w:lang w:eastAsia="en-AU"/>
        </w:rPr>
        <w:t xml:space="preserve"> [Carer,</w:t>
      </w:r>
      <w:r>
        <w:rPr>
          <w:lang w:eastAsia="en-AU"/>
        </w:rPr>
        <w:t xml:space="preserve"> </w:t>
      </w:r>
      <w:r w:rsidRPr="00BF5F31">
        <w:rPr>
          <w:lang w:eastAsia="en-AU"/>
        </w:rPr>
        <w:t>Practice 18</w:t>
      </w:r>
      <w:r>
        <w:rPr>
          <w:lang w:eastAsia="en-AU"/>
        </w:rPr>
        <w:t>, R4</w:t>
      </w:r>
      <w:r w:rsidRPr="00BF5F31">
        <w:rPr>
          <w:lang w:eastAsia="en-AU"/>
        </w:rPr>
        <w:t>]</w:t>
      </w:r>
    </w:p>
    <w:p w14:paraId="366941E3" w14:textId="4BD86609" w:rsidR="001151ED" w:rsidRDefault="0002357B" w:rsidP="006211DF">
      <w:pPr>
        <w:ind w:left="567" w:right="521"/>
        <w:rPr>
          <w:szCs w:val="20"/>
        </w:rPr>
      </w:pPr>
      <w:r w:rsidRPr="005333BA">
        <w:rPr>
          <w:i/>
          <w:iCs/>
          <w:lang w:eastAsia="en-AU"/>
        </w:rPr>
        <w:t xml:space="preserve">“For me it’s been very reassuring. I don’t have a medical background but most of my family are registered nurses. We’ve got a bit of medical background, a bit of expertise there and just anecdotal things. I’m not trained, but it’s definitely reassuring to be able to use the Health Care Homes program and [external shared </w:t>
      </w:r>
      <w:r w:rsidRPr="005333BA">
        <w:rPr>
          <w:i/>
          <w:iCs/>
          <w:lang w:eastAsia="en-AU"/>
        </w:rPr>
        <w:lastRenderedPageBreak/>
        <w:t>care app]…it gives me confidence to manage his medication, that sort of thing too.”</w:t>
      </w:r>
      <w:r w:rsidRPr="005333BA">
        <w:rPr>
          <w:lang w:eastAsia="en-AU"/>
        </w:rPr>
        <w:t xml:space="preserve"> [Carer 1, Practice 5, R5]</w:t>
      </w:r>
      <w:r w:rsidR="00FA41D6">
        <w:rPr>
          <w:szCs w:val="20"/>
        </w:rPr>
        <w:tab/>
      </w:r>
    </w:p>
    <w:p w14:paraId="727C18BA" w14:textId="77777777" w:rsidR="0002357B" w:rsidRDefault="0002357B" w:rsidP="0002357B">
      <w:pPr>
        <w:pStyle w:val="Heading2"/>
      </w:pPr>
      <w:bookmarkStart w:id="347" w:name="_Toc109996728"/>
      <w:r>
        <w:t>Patient suggestions for HCH</w:t>
      </w:r>
      <w:bookmarkEnd w:id="347"/>
    </w:p>
    <w:p w14:paraId="6EC68C67" w14:textId="77777777" w:rsidR="0002357B" w:rsidRDefault="0002357B" w:rsidP="0002357B">
      <w:pPr>
        <w:rPr>
          <w:szCs w:val="20"/>
        </w:rPr>
      </w:pPr>
      <w:r>
        <w:rPr>
          <w:szCs w:val="20"/>
        </w:rPr>
        <w:t>Many patients recommended HCH, reported that they were largely satisfied with their care and did not want or need anything further from the model or their practice:</w:t>
      </w:r>
    </w:p>
    <w:p w14:paraId="520550F0" w14:textId="77777777" w:rsidR="0002357B" w:rsidRPr="00BE14BC" w:rsidRDefault="0002357B" w:rsidP="00300C94">
      <w:pPr>
        <w:ind w:left="567" w:right="521"/>
        <w:rPr>
          <w:i/>
          <w:lang w:eastAsia="en-AU"/>
        </w:rPr>
      </w:pPr>
      <w:r w:rsidRPr="00BE14BC">
        <w:rPr>
          <w:i/>
          <w:lang w:eastAsia="en-AU"/>
        </w:rPr>
        <w:t xml:space="preserve">“I’m just happy with the way things are going. Very happy.” </w:t>
      </w:r>
      <w:r w:rsidRPr="00BE14BC">
        <w:rPr>
          <w:iCs/>
          <w:lang w:eastAsia="en-AU"/>
        </w:rPr>
        <w:t>[Patient 5, Practice 16, R2]</w:t>
      </w:r>
    </w:p>
    <w:p w14:paraId="30FEFB67" w14:textId="77777777" w:rsidR="0002357B" w:rsidRPr="00D46515" w:rsidRDefault="0002357B" w:rsidP="00300C94">
      <w:pPr>
        <w:ind w:left="567" w:right="521"/>
        <w:rPr>
          <w:i/>
          <w:lang w:eastAsia="en-AU"/>
        </w:rPr>
      </w:pPr>
      <w:r w:rsidRPr="00D46515">
        <w:rPr>
          <w:i/>
          <w:lang w:eastAsia="en-AU"/>
        </w:rPr>
        <w:t>“Oh, I don’t think they can improve it, to be honest. No, to be honest… I’m getting excellent care and I keep getting surprised, you know, by how much is there...”</w:t>
      </w:r>
      <w:r w:rsidRPr="00D46515">
        <w:rPr>
          <w:iCs/>
          <w:lang w:eastAsia="en-AU"/>
        </w:rPr>
        <w:t xml:space="preserve"> [Patient 3, Practice 5, R2]</w:t>
      </w:r>
    </w:p>
    <w:p w14:paraId="40FF6DB1" w14:textId="77777777" w:rsidR="0002357B" w:rsidRDefault="0002357B" w:rsidP="00300C94">
      <w:pPr>
        <w:ind w:left="567" w:right="521"/>
        <w:rPr>
          <w:szCs w:val="20"/>
        </w:rPr>
      </w:pPr>
      <w:r>
        <w:rPr>
          <w:i/>
          <w:iCs/>
          <w:szCs w:val="20"/>
        </w:rPr>
        <w:t>“I think I’m very happy with the way I’ve been treated … I’m very happy with [GP], it’s been really good.”</w:t>
      </w:r>
      <w:r>
        <w:rPr>
          <w:szCs w:val="20"/>
        </w:rPr>
        <w:t xml:space="preserve"> [Patient 4, Practice 18, R4]</w:t>
      </w:r>
    </w:p>
    <w:p w14:paraId="221FFFE3" w14:textId="77777777" w:rsidR="0002357B" w:rsidRDefault="0002357B" w:rsidP="00300C94">
      <w:pPr>
        <w:ind w:left="567" w:right="521"/>
        <w:rPr>
          <w:szCs w:val="20"/>
          <w:lang w:val="en-US"/>
        </w:rPr>
      </w:pPr>
      <w:r w:rsidRPr="001E0B00">
        <w:rPr>
          <w:i/>
          <w:iCs/>
          <w:szCs w:val="20"/>
          <w:lang w:val="en-US"/>
        </w:rPr>
        <w:t>“It’s been an absolute game changer in terms of managing my illness. I hope that it continues, because it’s made such a difference to my life. And sometimes I’ll tell people about, you know, this is the way that my GP works, and they're just amazed that that’s accessible for patients with chronic illness, because it’s a really innovative way to treat patients...So, I’ve told family members about it, and even my husband’s enrolled as well. But, yes, it’s just changed so much in terms of being able to access health care quickly and easily and not waste energy on travelling into the doctor.”</w:t>
      </w:r>
      <w:r w:rsidRPr="001E0B00">
        <w:rPr>
          <w:szCs w:val="20"/>
          <w:lang w:val="en-US"/>
        </w:rPr>
        <w:t xml:space="preserve"> [Patient 1, Practice 22, R5]</w:t>
      </w:r>
    </w:p>
    <w:p w14:paraId="40A8601C" w14:textId="7486414A" w:rsidR="0002357B" w:rsidRPr="00E51C85" w:rsidRDefault="0002357B" w:rsidP="0002357B">
      <w:pPr>
        <w:spacing w:after="160" w:line="259" w:lineRule="auto"/>
        <w:rPr>
          <w:szCs w:val="20"/>
          <w:lang w:val="en-US"/>
        </w:rPr>
      </w:pPr>
      <w:r>
        <w:rPr>
          <w:szCs w:val="20"/>
          <w:lang w:val="en-US"/>
        </w:rPr>
        <w:t>Some patients recommended HCH for individuals with more complex health issues who might need additional support to help manage their condition</w:t>
      </w:r>
      <w:r w:rsidR="00550EEC">
        <w:rPr>
          <w:szCs w:val="20"/>
          <w:lang w:val="en-US"/>
        </w:rPr>
        <w:t>s:</w:t>
      </w:r>
    </w:p>
    <w:p w14:paraId="167BF84D" w14:textId="77777777" w:rsidR="0002357B" w:rsidRDefault="0002357B" w:rsidP="00300C94">
      <w:pPr>
        <w:ind w:left="567" w:right="521"/>
        <w:rPr>
          <w:szCs w:val="20"/>
          <w:lang w:val="en-US"/>
        </w:rPr>
      </w:pPr>
      <w:r w:rsidRPr="002052F5">
        <w:rPr>
          <w:i/>
          <w:iCs/>
          <w:szCs w:val="20"/>
          <w:lang w:val="en-US"/>
        </w:rPr>
        <w:t xml:space="preserve">“…overall, it is working for me, and I think I’ll say if the people are medically complicated people, this program will </w:t>
      </w:r>
      <w:r w:rsidRPr="00A174F7">
        <w:rPr>
          <w:i/>
          <w:iCs/>
          <w:szCs w:val="20"/>
          <w:lang w:val="en-US"/>
        </w:rPr>
        <w:t>definitely help.”</w:t>
      </w:r>
      <w:r w:rsidRPr="00A174F7">
        <w:rPr>
          <w:szCs w:val="20"/>
          <w:lang w:val="en-US"/>
        </w:rPr>
        <w:t xml:space="preserve"> [Patient 3, Practice 1, R5]</w:t>
      </w:r>
    </w:p>
    <w:p w14:paraId="2CF16B8E" w14:textId="77777777" w:rsidR="0002357B" w:rsidRDefault="0002357B" w:rsidP="00300C94">
      <w:pPr>
        <w:ind w:left="567" w:right="521"/>
        <w:rPr>
          <w:szCs w:val="20"/>
          <w:lang w:val="en-US"/>
        </w:rPr>
      </w:pPr>
      <w:r w:rsidRPr="00374DE3">
        <w:rPr>
          <w:i/>
          <w:iCs/>
          <w:szCs w:val="20"/>
          <w:lang w:val="en-US"/>
        </w:rPr>
        <w:t>“Particularly for people with a lot of illnesses and, you know, juggling specialists and doctors and things like that. It’s just been brilliant for me.”</w:t>
      </w:r>
      <w:r>
        <w:rPr>
          <w:szCs w:val="20"/>
          <w:lang w:val="en-US"/>
        </w:rPr>
        <w:t xml:space="preserve"> [Patient 2, Practice 4, R5]</w:t>
      </w:r>
    </w:p>
    <w:p w14:paraId="44B7E84C" w14:textId="77777777" w:rsidR="0002357B" w:rsidRPr="00E97E8D" w:rsidRDefault="0002357B" w:rsidP="00300C94">
      <w:pPr>
        <w:ind w:left="567" w:right="521"/>
        <w:rPr>
          <w:szCs w:val="20"/>
          <w:lang w:val="en-GB"/>
        </w:rPr>
      </w:pPr>
      <w:r w:rsidRPr="006E419A">
        <w:rPr>
          <w:i/>
          <w:iCs/>
          <w:szCs w:val="20"/>
          <w:lang w:val="en-US"/>
        </w:rPr>
        <w:t>“I think I would, yes. It</w:t>
      </w:r>
      <w:r w:rsidRPr="006E419A">
        <w:rPr>
          <w:rFonts w:cs="Calibri"/>
          <w:i/>
          <w:iCs/>
          <w:szCs w:val="20"/>
          <w:lang w:val="en-US"/>
        </w:rPr>
        <w:t>’</w:t>
      </w:r>
      <w:r w:rsidRPr="006E419A">
        <w:rPr>
          <w:i/>
          <w:iCs/>
          <w:szCs w:val="20"/>
          <w:lang w:val="en-US"/>
        </w:rPr>
        <w:t>s going to help certain people. Yes, I would…some people don</w:t>
      </w:r>
      <w:r w:rsidRPr="006E419A">
        <w:rPr>
          <w:rFonts w:cs="Calibri"/>
          <w:i/>
          <w:iCs/>
          <w:szCs w:val="20"/>
          <w:lang w:val="en-US"/>
        </w:rPr>
        <w:t>’</w:t>
      </w:r>
      <w:r w:rsidRPr="006E419A">
        <w:rPr>
          <w:i/>
          <w:iCs/>
          <w:szCs w:val="20"/>
          <w:lang w:val="en-US"/>
        </w:rPr>
        <w:t>t have the mobility of looking after themselves, they sort of need other people to help them.”</w:t>
      </w:r>
      <w:r w:rsidRPr="006E419A">
        <w:rPr>
          <w:szCs w:val="20"/>
          <w:lang w:val="en-US"/>
        </w:rPr>
        <w:t xml:space="preserve"> [Patient 1, Practice 15, R5]</w:t>
      </w:r>
    </w:p>
    <w:p w14:paraId="5E5790E9" w14:textId="255AC15F" w:rsidR="0002357B" w:rsidRDefault="0002357B" w:rsidP="0002357B">
      <w:pPr>
        <w:rPr>
          <w:szCs w:val="20"/>
        </w:rPr>
      </w:pPr>
      <w:r>
        <w:rPr>
          <w:szCs w:val="20"/>
        </w:rPr>
        <w:t>Since HCH services and support varied by practice, a few patients suggested providing additional supports and access in the form of check-in calls, follow-up emails and reminders</w:t>
      </w:r>
      <w:r w:rsidR="00BA68CC">
        <w:rPr>
          <w:szCs w:val="20"/>
        </w:rPr>
        <w:t>:</w:t>
      </w:r>
      <w:r>
        <w:rPr>
          <w:szCs w:val="20"/>
        </w:rPr>
        <w:t xml:space="preserve"> </w:t>
      </w:r>
    </w:p>
    <w:p w14:paraId="605F2AA9" w14:textId="77777777" w:rsidR="0002357B" w:rsidRPr="000E4042" w:rsidRDefault="0002357B" w:rsidP="00300C94">
      <w:pPr>
        <w:ind w:left="567" w:right="521"/>
        <w:rPr>
          <w:szCs w:val="20"/>
          <w:lang w:val="en-GB"/>
        </w:rPr>
      </w:pPr>
      <w:r w:rsidRPr="000E4042">
        <w:rPr>
          <w:i/>
          <w:szCs w:val="20"/>
        </w:rPr>
        <w:t>“Probably a follow-up call, like you were saying, probably wouldn’t be too bad…Yes,</w:t>
      </w:r>
      <w:r w:rsidRPr="000E4042">
        <w:rPr>
          <w:i/>
          <w:iCs/>
          <w:szCs w:val="20"/>
          <w:lang w:val="en-GB"/>
        </w:rPr>
        <w:t xml:space="preserve"> because some people put it aside and forget or…It might be just looked at as a reminder. I know the doctors probably wouldn’t have the time to do it but the nurse… The practice nurse or someone might.” </w:t>
      </w:r>
      <w:r w:rsidRPr="000E4042">
        <w:rPr>
          <w:szCs w:val="20"/>
          <w:lang w:val="en-GB"/>
        </w:rPr>
        <w:t>[Patient 1, Practice 18, R2]</w:t>
      </w:r>
    </w:p>
    <w:p w14:paraId="3DF48470" w14:textId="77777777" w:rsidR="0002357B" w:rsidRDefault="0002357B" w:rsidP="00300C94">
      <w:pPr>
        <w:ind w:left="567" w:right="521"/>
        <w:rPr>
          <w:szCs w:val="20"/>
          <w:lang w:val="en-GB"/>
        </w:rPr>
      </w:pPr>
      <w:r w:rsidRPr="00613BEF">
        <w:rPr>
          <w:i/>
          <w:iCs/>
          <w:szCs w:val="20"/>
          <w:lang w:val="en-GB"/>
        </w:rPr>
        <w:t xml:space="preserve">“Possible improvement?...maybe the nurse could maybe ring you once a month and say, hey guy, have you got any issues…You might not think of something or </w:t>
      </w:r>
      <w:r w:rsidRPr="00613BEF">
        <w:rPr>
          <w:i/>
          <w:iCs/>
          <w:szCs w:val="20"/>
          <w:lang w:val="en-GB"/>
        </w:rPr>
        <w:lastRenderedPageBreak/>
        <w:t xml:space="preserve">you might think of something, and think, well I'll ask him that next time I go, and then don’t, you forget. But maybe once a month, or once every six weeks…To just keep in contact so that you know that they're there for you.” </w:t>
      </w:r>
      <w:r w:rsidRPr="00613BEF">
        <w:rPr>
          <w:szCs w:val="20"/>
          <w:lang w:val="en-GB"/>
        </w:rPr>
        <w:t>[Patient 6, Practice 4, R2</w:t>
      </w:r>
      <w:r>
        <w:rPr>
          <w:szCs w:val="20"/>
          <w:lang w:val="en-GB"/>
        </w:rPr>
        <w:t>]</w:t>
      </w:r>
    </w:p>
    <w:p w14:paraId="68899DDE" w14:textId="77777777" w:rsidR="0002357B" w:rsidRDefault="0002357B" w:rsidP="00300C94">
      <w:pPr>
        <w:ind w:left="567" w:right="521"/>
        <w:rPr>
          <w:szCs w:val="20"/>
          <w:lang w:val="en-US"/>
        </w:rPr>
      </w:pPr>
      <w:r w:rsidRPr="00A10267">
        <w:rPr>
          <w:i/>
          <w:iCs/>
          <w:szCs w:val="20"/>
          <w:lang w:val="en-US"/>
        </w:rPr>
        <w:t>“</w:t>
      </w:r>
      <w:r w:rsidRPr="00E51C85">
        <w:rPr>
          <w:i/>
          <w:iCs/>
          <w:szCs w:val="20"/>
          <w:lang w:val="en-US"/>
        </w:rPr>
        <w:t>Well, I did expect a little bit more emotional support, or something like that. Even if the nurse spent time to talk</w:t>
      </w:r>
      <w:r>
        <w:rPr>
          <w:i/>
          <w:iCs/>
          <w:szCs w:val="20"/>
          <w:lang w:val="en-US"/>
        </w:rPr>
        <w:t>…</w:t>
      </w:r>
      <w:r w:rsidRPr="000B285D">
        <w:rPr>
          <w:i/>
          <w:iCs/>
          <w:szCs w:val="20"/>
          <w:lang w:val="en-US"/>
        </w:rPr>
        <w:t>all it needs is a phone call to see</w:t>
      </w:r>
      <w:r>
        <w:rPr>
          <w:i/>
          <w:iCs/>
          <w:szCs w:val="20"/>
          <w:lang w:val="en-US"/>
        </w:rPr>
        <w:t>…</w:t>
      </w:r>
      <w:r w:rsidRPr="000B285D">
        <w:rPr>
          <w:i/>
          <w:iCs/>
          <w:szCs w:val="20"/>
          <w:lang w:val="en-US"/>
        </w:rPr>
        <w:t>what you’re doing and how you’re going</w:t>
      </w:r>
      <w:r>
        <w:rPr>
          <w:i/>
          <w:iCs/>
          <w:szCs w:val="20"/>
          <w:lang w:val="en-US"/>
        </w:rPr>
        <w:t>…</w:t>
      </w:r>
      <w:r w:rsidRPr="000B285D">
        <w:rPr>
          <w:i/>
          <w:iCs/>
          <w:szCs w:val="20"/>
          <w:lang w:val="en-US"/>
        </w:rPr>
        <w:t>At the moment, I’m on my own. And it’s very hard. My walking has actually gotten worse. So, I just struggle.</w:t>
      </w:r>
      <w:r w:rsidRPr="00A10267">
        <w:rPr>
          <w:i/>
          <w:iCs/>
          <w:szCs w:val="20"/>
          <w:lang w:val="en-US"/>
        </w:rPr>
        <w:t>”</w:t>
      </w:r>
      <w:r>
        <w:rPr>
          <w:szCs w:val="20"/>
          <w:lang w:val="en-US"/>
        </w:rPr>
        <w:t xml:space="preserve"> [Patient 1, Practice 23, R5]</w:t>
      </w:r>
    </w:p>
    <w:p w14:paraId="4F7BF034" w14:textId="7656027C" w:rsidR="004F1CEB" w:rsidRDefault="0002357B" w:rsidP="006211DF">
      <w:pPr>
        <w:rPr>
          <w:szCs w:val="20"/>
          <w:lang w:val="en-US"/>
        </w:rPr>
      </w:pPr>
      <w:r w:rsidRPr="006524FD">
        <w:rPr>
          <w:color w:val="002060"/>
          <w:szCs w:val="20"/>
        </w:rPr>
        <w:fldChar w:fldCharType="begin"/>
      </w:r>
      <w:r w:rsidRPr="006524FD">
        <w:rPr>
          <w:color w:val="002060"/>
          <w:szCs w:val="20"/>
        </w:rPr>
        <w:instrText xml:space="preserve"> REF _Ref77941803 \h  \* MERGEFORMAT </w:instrText>
      </w:r>
      <w:r w:rsidRPr="006524FD">
        <w:rPr>
          <w:color w:val="002060"/>
          <w:szCs w:val="20"/>
        </w:rPr>
      </w:r>
      <w:r w:rsidRPr="006524FD">
        <w:rPr>
          <w:color w:val="002060"/>
          <w:szCs w:val="20"/>
        </w:rPr>
        <w:fldChar w:fldCharType="separate"/>
      </w:r>
      <w:r w:rsidR="003C4BC2" w:rsidRPr="003C4BC2">
        <w:rPr>
          <w:color w:val="002060"/>
          <w:szCs w:val="20"/>
        </w:rPr>
        <w:t>Figure 47</w:t>
      </w:r>
      <w:r w:rsidRPr="006524FD">
        <w:rPr>
          <w:color w:val="002060"/>
          <w:szCs w:val="20"/>
        </w:rPr>
        <w:fldChar w:fldCharType="end"/>
      </w:r>
      <w:r w:rsidRPr="0002357B">
        <w:rPr>
          <w:color w:val="44546A" w:themeColor="text2"/>
          <w:szCs w:val="20"/>
        </w:rPr>
        <w:t xml:space="preserve"> </w:t>
      </w:r>
      <w:r>
        <w:rPr>
          <w:szCs w:val="20"/>
          <w:lang w:val="en-US"/>
        </w:rPr>
        <w:t>highlights commonly cited patient suggestions to help improve the HCH model or care enhancements they would like their practices incorporate in the future.</w:t>
      </w:r>
    </w:p>
    <w:p w14:paraId="25F346B1" w14:textId="66918A04" w:rsidR="0002357B" w:rsidRPr="0002357B" w:rsidRDefault="0002357B" w:rsidP="00FB12E3">
      <w:pPr>
        <w:pStyle w:val="tabletitle"/>
        <w:rPr>
          <w:noProof/>
        </w:rPr>
      </w:pPr>
      <w:bookmarkStart w:id="348" w:name="_Ref77941803"/>
      <w:r w:rsidRPr="0002357B">
        <w:t xml:space="preserve">Figure </w:t>
      </w:r>
      <w:r w:rsidR="00A61B29">
        <w:fldChar w:fldCharType="begin"/>
      </w:r>
      <w:r w:rsidR="00A61B29">
        <w:instrText xml:space="preserve"> SEQ Figure \* ARABIC </w:instrText>
      </w:r>
      <w:r w:rsidR="00A61B29">
        <w:fldChar w:fldCharType="separate"/>
      </w:r>
      <w:r w:rsidR="003C4BC2">
        <w:rPr>
          <w:noProof/>
        </w:rPr>
        <w:t>47</w:t>
      </w:r>
      <w:r w:rsidR="00A61B29">
        <w:rPr>
          <w:noProof/>
        </w:rPr>
        <w:fldChar w:fldCharType="end"/>
      </w:r>
      <w:bookmarkEnd w:id="348"/>
      <w:r>
        <w:rPr>
          <w:i/>
          <w:iCs/>
        </w:rPr>
        <w:t xml:space="preserve">: </w:t>
      </w:r>
      <w:r w:rsidRPr="0002357B">
        <w:t>Patient</w:t>
      </w:r>
      <w:r>
        <w:rPr>
          <w:i/>
          <w:iCs/>
        </w:rPr>
        <w:t>s</w:t>
      </w:r>
      <w:r w:rsidR="004F1CEB" w:rsidRPr="004F1CEB">
        <w:t>’</w:t>
      </w:r>
      <w:r w:rsidRPr="0002357B">
        <w:t xml:space="preserve"> suggestions </w:t>
      </w:r>
      <w:r w:rsidR="007F34D9">
        <w:t>for</w:t>
      </w:r>
      <w:r w:rsidRPr="0002357B">
        <w:t xml:space="preserve"> improv</w:t>
      </w:r>
      <w:r>
        <w:rPr>
          <w:i/>
          <w:iCs/>
        </w:rPr>
        <w:t>ing</w:t>
      </w:r>
      <w:r w:rsidRPr="0002357B">
        <w:t xml:space="preserve"> HCH</w:t>
      </w:r>
    </w:p>
    <w:p w14:paraId="60D4B2A7" w14:textId="64F49485" w:rsidR="0002357B" w:rsidRDefault="0002357B" w:rsidP="0002357B">
      <w:pPr>
        <w:jc w:val="center"/>
      </w:pPr>
      <w:r w:rsidRPr="0002357B">
        <w:rPr>
          <w:noProof/>
        </w:rPr>
        <w:drawing>
          <wp:inline distT="0" distB="0" distL="0" distR="0" wp14:anchorId="15F2AA6E" wp14:editId="5584F468">
            <wp:extent cx="5066667" cy="5400000"/>
            <wp:effectExtent l="0" t="0" r="635" b="0"/>
            <wp:docPr id="1" name="Picture 1"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 timeline&#10;&#10;Description automatically generated"/>
                    <pic:cNvPicPr/>
                  </pic:nvPicPr>
                  <pic:blipFill>
                    <a:blip r:embed="rId75"/>
                    <a:stretch>
                      <a:fillRect/>
                    </a:stretch>
                  </pic:blipFill>
                  <pic:spPr>
                    <a:xfrm>
                      <a:off x="0" y="0"/>
                      <a:ext cx="5066667" cy="5400000"/>
                    </a:xfrm>
                    <a:prstGeom prst="rect">
                      <a:avLst/>
                    </a:prstGeom>
                  </pic:spPr>
                </pic:pic>
              </a:graphicData>
            </a:graphic>
          </wp:inline>
        </w:drawing>
      </w:r>
    </w:p>
    <w:p w14:paraId="6BF521AC" w14:textId="09B1598C" w:rsidR="0002357B" w:rsidRPr="00E364DA" w:rsidRDefault="00E364DA" w:rsidP="0002357B">
      <w:pPr>
        <w:jc w:val="center"/>
        <w:rPr>
          <w:rFonts w:eastAsiaTheme="minorEastAsia"/>
          <w:i/>
          <w:sz w:val="16"/>
          <w:szCs w:val="16"/>
          <w:lang w:eastAsia="en-AU"/>
        </w:rPr>
        <w:sectPr w:rsidR="0002357B" w:rsidRPr="00E364DA">
          <w:pgSz w:w="11906" w:h="16838"/>
          <w:pgMar w:top="1440" w:right="1440" w:bottom="1440" w:left="1440" w:header="708" w:footer="708" w:gutter="0"/>
          <w:cols w:space="708"/>
          <w:docGrid w:linePitch="360"/>
        </w:sectPr>
      </w:pPr>
      <w:r w:rsidRPr="004F63E7">
        <w:rPr>
          <w:rFonts w:eastAsiaTheme="minorEastAsia"/>
          <w:bCs/>
          <w:i/>
          <w:sz w:val="16"/>
          <w:szCs w:val="16"/>
          <w:lang w:eastAsia="en-AU"/>
        </w:rPr>
        <w:t xml:space="preserve">Source: </w:t>
      </w:r>
      <w:r>
        <w:rPr>
          <w:rFonts w:eastAsiaTheme="minorEastAsia"/>
          <w:bCs/>
          <w:i/>
          <w:sz w:val="16"/>
          <w:szCs w:val="16"/>
          <w:lang w:eastAsia="en-AU"/>
        </w:rPr>
        <w:t>Case study interviews,</w:t>
      </w:r>
      <w:r w:rsidRPr="00000B7C">
        <w:rPr>
          <w:rFonts w:eastAsiaTheme="minorEastAsia"/>
          <w:bCs/>
          <w:i/>
          <w:sz w:val="16"/>
          <w:szCs w:val="16"/>
          <w:lang w:eastAsia="en-AU"/>
        </w:rPr>
        <w:t xml:space="preserve"> R</w:t>
      </w:r>
      <w:r>
        <w:rPr>
          <w:rFonts w:eastAsiaTheme="minorEastAsia"/>
          <w:bCs/>
          <w:i/>
          <w:sz w:val="16"/>
          <w:szCs w:val="16"/>
          <w:lang w:eastAsia="en-AU"/>
        </w:rPr>
        <w:t xml:space="preserve">2 </w:t>
      </w:r>
      <w:r w:rsidRPr="00C351C4">
        <w:rPr>
          <w:rFonts w:eastAsiaTheme="minorEastAsia"/>
          <w:bCs/>
          <w:i/>
          <w:sz w:val="16"/>
          <w:szCs w:val="16"/>
          <w:lang w:eastAsia="en-AU"/>
        </w:rPr>
        <w:t>Sept–Oct 2018</w:t>
      </w:r>
      <w:r>
        <w:rPr>
          <w:rFonts w:eastAsiaTheme="minorEastAsia"/>
          <w:bCs/>
          <w:i/>
          <w:sz w:val="16"/>
          <w:szCs w:val="16"/>
          <w:lang w:eastAsia="en-AU"/>
        </w:rPr>
        <w:t>, R4</w:t>
      </w:r>
      <w:r w:rsidRPr="00000B7C">
        <w:rPr>
          <w:rFonts w:eastAsiaTheme="minorEastAsia"/>
          <w:bCs/>
          <w:i/>
          <w:sz w:val="16"/>
          <w:szCs w:val="16"/>
          <w:lang w:eastAsia="en-AU"/>
        </w:rPr>
        <w:t xml:space="preserve"> </w:t>
      </w:r>
      <w:r w:rsidRPr="00D97971">
        <w:rPr>
          <w:rFonts w:eastAsiaTheme="minorEastAsia"/>
          <w:bCs/>
          <w:i/>
          <w:sz w:val="16"/>
          <w:szCs w:val="16"/>
          <w:lang w:eastAsia="en-AU"/>
        </w:rPr>
        <w:t>Nov 2019–Mar 2020</w:t>
      </w:r>
      <w:r>
        <w:rPr>
          <w:rFonts w:eastAsiaTheme="minorEastAsia"/>
          <w:bCs/>
          <w:i/>
          <w:sz w:val="16"/>
          <w:szCs w:val="16"/>
          <w:lang w:eastAsia="en-AU"/>
        </w:rPr>
        <w:t>, R5 Mar–May 2021.</w:t>
      </w:r>
      <w:r>
        <w:t xml:space="preserve"> </w:t>
      </w:r>
    </w:p>
    <w:p w14:paraId="3619A9B0" w14:textId="51DA0D14" w:rsidR="005B6744" w:rsidRPr="0094369A" w:rsidRDefault="001151ED" w:rsidP="005B6744">
      <w:pPr>
        <w:pStyle w:val="ChapterNumber"/>
      </w:pPr>
      <w:r>
        <w:lastRenderedPageBreak/>
        <w:fldChar w:fldCharType="begin"/>
      </w:r>
      <w:r>
        <w:instrText xml:space="preserve"> REF _Ref103765870 \r \h </w:instrText>
      </w:r>
      <w:r>
        <w:fldChar w:fldCharType="separate"/>
      </w:r>
      <w:r w:rsidR="003C4BC2">
        <w:t>17</w:t>
      </w:r>
      <w:r>
        <w:fldChar w:fldCharType="end"/>
      </w:r>
    </w:p>
    <w:p w14:paraId="118F957D" w14:textId="746F8BC4" w:rsidR="005B6744" w:rsidRPr="00AF4FC7" w:rsidRDefault="00AA7FDB" w:rsidP="004E2144">
      <w:pPr>
        <w:pStyle w:val="Heading1withnumber"/>
        <w:ind w:left="0" w:hanging="993"/>
      </w:pPr>
      <w:bookmarkStart w:id="349" w:name="_Ref103765870"/>
      <w:bookmarkStart w:id="350" w:name="_Ref103771717"/>
      <w:bookmarkStart w:id="351" w:name="_Ref103771753"/>
      <w:bookmarkStart w:id="352" w:name="_Toc109996729"/>
      <w:r w:rsidRPr="00AF4FC7">
        <w:t>P</w:t>
      </w:r>
      <w:r w:rsidR="005B6744" w:rsidRPr="00AF4FC7">
        <w:t>atient</w:t>
      </w:r>
      <w:r w:rsidR="00000B7C">
        <w:t>-</w:t>
      </w:r>
      <w:r w:rsidR="009E7BAC" w:rsidRPr="00AF4FC7">
        <w:t xml:space="preserve">reported </w:t>
      </w:r>
      <w:r w:rsidR="00351D2D" w:rsidRPr="00AF4FC7">
        <w:t>outcomes</w:t>
      </w:r>
      <w:bookmarkEnd w:id="349"/>
      <w:bookmarkEnd w:id="350"/>
      <w:bookmarkEnd w:id="351"/>
      <w:bookmarkEnd w:id="352"/>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B90A66" w:rsidRPr="0048466A" w14:paraId="3DA518F9" w14:textId="77777777" w:rsidTr="0032660B">
        <w:tc>
          <w:tcPr>
            <w:tcW w:w="8996" w:type="dxa"/>
            <w:shd w:val="clear" w:color="auto" w:fill="auto"/>
          </w:tcPr>
          <w:p w14:paraId="5EDF6F0F" w14:textId="7236B23C" w:rsidR="00B90A66" w:rsidRPr="006201AB" w:rsidRDefault="00B90A66" w:rsidP="00AF15A5">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24</w:t>
            </w:r>
            <w:r w:rsidRPr="006201AB">
              <w:rPr>
                <w:bCs/>
                <w:noProof/>
              </w:rPr>
              <w:fldChar w:fldCharType="end"/>
            </w:r>
            <w:r w:rsidRPr="006201AB">
              <w:rPr>
                <w:bCs/>
                <w:szCs w:val="20"/>
              </w:rPr>
              <w:t>: Chapter summary</w:t>
            </w:r>
          </w:p>
          <w:p w14:paraId="73518608" w14:textId="5BFA9AFF" w:rsidR="00B90A66" w:rsidRPr="007D130E" w:rsidRDefault="00B90A66" w:rsidP="007D130E">
            <w:pPr>
              <w:spacing w:after="120"/>
              <w:rPr>
                <w:rFonts w:eastAsia="Muli" w:cs="Muli"/>
                <w:color w:val="000000" w:themeColor="text1"/>
                <w:sz w:val="18"/>
                <w:szCs w:val="18"/>
              </w:rPr>
            </w:pPr>
            <w:r w:rsidRPr="007D130E">
              <w:rPr>
                <w:rFonts w:eastAsia="Muli" w:cs="Muli"/>
                <w:color w:val="000000" w:themeColor="text1"/>
                <w:sz w:val="18"/>
                <w:szCs w:val="18"/>
              </w:rPr>
              <w:t xml:space="preserve">This </w:t>
            </w:r>
            <w:r w:rsidR="00EB4E3A">
              <w:rPr>
                <w:rFonts w:eastAsia="Muli" w:cs="Muli"/>
                <w:color w:val="000000" w:themeColor="text1"/>
                <w:sz w:val="18"/>
                <w:szCs w:val="18"/>
              </w:rPr>
              <w:t>c</w:t>
            </w:r>
            <w:r w:rsidRPr="007D130E">
              <w:rPr>
                <w:rFonts w:eastAsia="Muli" w:cs="Muli"/>
                <w:color w:val="000000" w:themeColor="text1"/>
                <w:sz w:val="18"/>
                <w:szCs w:val="18"/>
              </w:rPr>
              <w:t xml:space="preserve">hapter </w:t>
            </w:r>
            <w:r w:rsidR="004B100F" w:rsidRPr="007D130E">
              <w:rPr>
                <w:rFonts w:eastAsia="Muli" w:cs="Muli"/>
                <w:color w:val="000000" w:themeColor="text1"/>
                <w:sz w:val="18"/>
                <w:szCs w:val="18"/>
              </w:rPr>
              <w:t xml:space="preserve">summarises changes in </w:t>
            </w:r>
            <w:r w:rsidR="003F03B3" w:rsidRPr="007D130E">
              <w:rPr>
                <w:rFonts w:eastAsia="Muli" w:cs="Muli"/>
                <w:color w:val="000000" w:themeColor="text1"/>
                <w:sz w:val="18"/>
                <w:szCs w:val="18"/>
              </w:rPr>
              <w:t>patient outcomes using the survey data.</w:t>
            </w:r>
          </w:p>
          <w:p w14:paraId="6B98D934" w14:textId="14BD21DB" w:rsidR="009B214E" w:rsidRDefault="002E7D4F" w:rsidP="00000B7C">
            <w:pPr>
              <w:spacing w:after="120"/>
              <w:rPr>
                <w:rFonts w:eastAsia="Muli" w:cs="Muli"/>
                <w:color w:val="000000" w:themeColor="text1"/>
                <w:sz w:val="18"/>
                <w:szCs w:val="18"/>
              </w:rPr>
            </w:pPr>
            <w:r w:rsidRPr="002E7D4F">
              <w:rPr>
                <w:rFonts w:eastAsia="Muli" w:cs="Muli"/>
                <w:color w:val="000000" w:themeColor="text1"/>
                <w:sz w:val="18"/>
                <w:szCs w:val="18"/>
              </w:rPr>
              <w:t>The proportion of patients who rated their health as very good or excellent increased in wave 2 and wave 3 compared with wave 1 but</w:t>
            </w:r>
            <w:r>
              <w:rPr>
                <w:rFonts w:eastAsia="Muli" w:cs="Muli"/>
                <w:color w:val="000000" w:themeColor="text1"/>
                <w:sz w:val="18"/>
                <w:szCs w:val="18"/>
              </w:rPr>
              <w:t xml:space="preserve"> was </w:t>
            </w:r>
            <w:r w:rsidRPr="002E7D4F">
              <w:rPr>
                <w:rFonts w:eastAsia="Muli" w:cs="Muli"/>
                <w:color w:val="000000" w:themeColor="text1"/>
                <w:sz w:val="18"/>
                <w:szCs w:val="18"/>
              </w:rPr>
              <w:t>only statistically significant at wave 2.</w:t>
            </w:r>
          </w:p>
          <w:p w14:paraId="472FABF6" w14:textId="1AB4FC99" w:rsidR="009B214E" w:rsidRPr="009B214E" w:rsidRDefault="009B214E" w:rsidP="00000B7C">
            <w:pPr>
              <w:spacing w:after="120"/>
              <w:rPr>
                <w:rFonts w:eastAsia="Muli" w:cs="Muli"/>
                <w:color w:val="000000" w:themeColor="text1"/>
                <w:sz w:val="18"/>
                <w:szCs w:val="18"/>
              </w:rPr>
            </w:pPr>
            <w:r w:rsidRPr="009B214E">
              <w:rPr>
                <w:rFonts w:eastAsia="Muli" w:cs="Muli"/>
                <w:color w:val="000000" w:themeColor="text1"/>
                <w:sz w:val="18"/>
                <w:szCs w:val="18"/>
              </w:rPr>
              <w:t>The proportion of patients who rated their mental and emotional health as very good or excellent decreased in wave 2 and wave 3 compared with wave 1</w:t>
            </w:r>
            <w:r w:rsidR="00000B7C" w:rsidRPr="00000B7C">
              <w:rPr>
                <w:rFonts w:eastAsia="Muli" w:cs="Muli"/>
                <w:color w:val="000000" w:themeColor="text1"/>
                <w:sz w:val="18"/>
                <w:szCs w:val="18"/>
              </w:rPr>
              <w:t>. B</w:t>
            </w:r>
            <w:r w:rsidRPr="00000B7C">
              <w:rPr>
                <w:rFonts w:eastAsia="Muli" w:cs="Muli"/>
                <w:color w:val="000000" w:themeColor="text1"/>
                <w:sz w:val="18"/>
                <w:szCs w:val="18"/>
              </w:rPr>
              <w:t>oth</w:t>
            </w:r>
            <w:r w:rsidRPr="009B214E">
              <w:rPr>
                <w:rFonts w:eastAsia="Muli" w:cs="Muli"/>
                <w:color w:val="000000" w:themeColor="text1"/>
                <w:sz w:val="18"/>
                <w:szCs w:val="18"/>
              </w:rPr>
              <w:t xml:space="preserve"> were not statistically significant reductions.</w:t>
            </w:r>
          </w:p>
          <w:p w14:paraId="6DF0BD3F" w14:textId="77777777" w:rsidR="00B90A66" w:rsidRDefault="00AC6933" w:rsidP="00000B7C">
            <w:pPr>
              <w:spacing w:after="120"/>
              <w:rPr>
                <w:rFonts w:eastAsia="Muli" w:cs="Muli"/>
                <w:color w:val="000000" w:themeColor="text1"/>
                <w:sz w:val="18"/>
                <w:szCs w:val="18"/>
              </w:rPr>
            </w:pPr>
            <w:r w:rsidRPr="007D130E">
              <w:rPr>
                <w:rFonts w:eastAsia="Muli" w:cs="Muli"/>
                <w:color w:val="000000" w:themeColor="text1"/>
                <w:sz w:val="18"/>
                <w:szCs w:val="18"/>
              </w:rPr>
              <w:t xml:space="preserve">Measures of </w:t>
            </w:r>
            <w:r w:rsidR="00646410" w:rsidRPr="007D130E">
              <w:rPr>
                <w:rFonts w:eastAsia="Muli" w:cs="Muli"/>
                <w:color w:val="000000" w:themeColor="text1"/>
                <w:sz w:val="18"/>
                <w:szCs w:val="18"/>
              </w:rPr>
              <w:t>health-related</w:t>
            </w:r>
            <w:r w:rsidRPr="007D130E">
              <w:rPr>
                <w:rFonts w:eastAsia="Muli" w:cs="Muli"/>
                <w:color w:val="000000" w:themeColor="text1"/>
                <w:sz w:val="18"/>
                <w:szCs w:val="18"/>
              </w:rPr>
              <w:t xml:space="preserve"> quality of life did not change </w:t>
            </w:r>
            <w:r w:rsidR="0078408F" w:rsidRPr="007D130E">
              <w:rPr>
                <w:rFonts w:eastAsia="Muli" w:cs="Muli"/>
                <w:color w:val="000000" w:themeColor="text1"/>
                <w:sz w:val="18"/>
                <w:szCs w:val="18"/>
              </w:rPr>
              <w:t>between the survey waves</w:t>
            </w:r>
            <w:r w:rsidR="00461ECC" w:rsidRPr="007D130E">
              <w:rPr>
                <w:rFonts w:eastAsia="Muli" w:cs="Muli"/>
                <w:color w:val="000000" w:themeColor="text1"/>
                <w:sz w:val="18"/>
                <w:szCs w:val="18"/>
              </w:rPr>
              <w:t>.</w:t>
            </w:r>
            <w:r w:rsidR="003F03B3">
              <w:rPr>
                <w:rFonts w:eastAsia="Muli" w:cs="Muli"/>
                <w:color w:val="000000" w:themeColor="text1"/>
                <w:sz w:val="18"/>
                <w:szCs w:val="18"/>
              </w:rPr>
              <w:t xml:space="preserve"> </w:t>
            </w:r>
          </w:p>
          <w:p w14:paraId="01D9F804" w14:textId="69DCAB94" w:rsidR="00000B7C" w:rsidRDefault="00000B7C" w:rsidP="00000B7C">
            <w:pPr>
              <w:spacing w:after="120"/>
              <w:rPr>
                <w:rFonts w:eastAsia="Muli" w:cs="Muli"/>
                <w:color w:val="000000" w:themeColor="text1"/>
                <w:sz w:val="18"/>
                <w:szCs w:val="18"/>
              </w:rPr>
            </w:pPr>
            <w:r>
              <w:rPr>
                <w:rFonts w:eastAsia="Muli" w:cs="Muli"/>
                <w:color w:val="000000" w:themeColor="text1"/>
                <w:sz w:val="18"/>
                <w:szCs w:val="18"/>
              </w:rPr>
              <w:t>P</w:t>
            </w:r>
            <w:r w:rsidRPr="00000B7C">
              <w:rPr>
                <w:rFonts w:eastAsia="Muli" w:cs="Muli"/>
                <w:color w:val="000000" w:themeColor="text1"/>
                <w:sz w:val="18"/>
                <w:szCs w:val="18"/>
              </w:rPr>
              <w:t>atients reported a reduction in emergency department attendance</w:t>
            </w:r>
            <w:r>
              <w:rPr>
                <w:rFonts w:eastAsia="Muli" w:cs="Muli"/>
                <w:color w:val="000000" w:themeColor="text1"/>
                <w:sz w:val="18"/>
                <w:szCs w:val="18"/>
              </w:rPr>
              <w:t>s</w:t>
            </w:r>
            <w:r w:rsidRPr="00000B7C">
              <w:rPr>
                <w:rFonts w:eastAsia="Muli" w:cs="Muli"/>
                <w:color w:val="000000" w:themeColor="text1"/>
                <w:sz w:val="18"/>
                <w:szCs w:val="18"/>
              </w:rPr>
              <w:t xml:space="preserve"> in the previous 12 months.</w:t>
            </w:r>
            <w:r>
              <w:rPr>
                <w:rFonts w:eastAsia="Muli" w:cs="Muli"/>
                <w:color w:val="000000" w:themeColor="text1"/>
                <w:sz w:val="18"/>
                <w:szCs w:val="18"/>
              </w:rPr>
              <w:t xml:space="preserve"> The reduction was corroborated by the linked data analysis reported in Chapter 18, although the level of emergency department attendances reported in the survey is </w:t>
            </w:r>
            <w:r w:rsidRPr="00000B7C">
              <w:rPr>
                <w:rFonts w:eastAsia="Muli" w:cs="Muli"/>
                <w:color w:val="000000" w:themeColor="text1"/>
                <w:sz w:val="18"/>
                <w:szCs w:val="18"/>
              </w:rPr>
              <w:t>slightly higher than the results from the linked data</w:t>
            </w:r>
            <w:r>
              <w:rPr>
                <w:rFonts w:eastAsia="Muli" w:cs="Muli"/>
                <w:color w:val="000000" w:themeColor="text1"/>
                <w:sz w:val="18"/>
                <w:szCs w:val="18"/>
              </w:rPr>
              <w:t>.</w:t>
            </w:r>
          </w:p>
          <w:p w14:paraId="4BB2293D" w14:textId="69CF38CD" w:rsidR="00000B7C" w:rsidRDefault="00000B7C" w:rsidP="00000B7C">
            <w:pPr>
              <w:spacing w:after="120"/>
              <w:rPr>
                <w:rFonts w:eastAsia="Muli" w:cs="Muli"/>
                <w:color w:val="000000" w:themeColor="text1"/>
                <w:sz w:val="18"/>
                <w:szCs w:val="18"/>
              </w:rPr>
            </w:pPr>
            <w:r>
              <w:rPr>
                <w:rFonts w:eastAsia="Muli" w:cs="Muli"/>
                <w:color w:val="000000" w:themeColor="text1"/>
                <w:sz w:val="18"/>
                <w:szCs w:val="18"/>
              </w:rPr>
              <w:t xml:space="preserve">Patients also reported a reduction in overnight hospitalisations in the </w:t>
            </w:r>
            <w:r w:rsidRPr="00000B7C">
              <w:rPr>
                <w:rFonts w:eastAsia="Muli" w:cs="Muli"/>
                <w:color w:val="000000" w:themeColor="text1"/>
                <w:sz w:val="18"/>
                <w:szCs w:val="18"/>
              </w:rPr>
              <w:t>previous 12 months</w:t>
            </w:r>
            <w:r>
              <w:rPr>
                <w:rFonts w:eastAsia="Muli" w:cs="Muli"/>
                <w:color w:val="000000" w:themeColor="text1"/>
                <w:sz w:val="18"/>
                <w:szCs w:val="18"/>
              </w:rPr>
              <w:t xml:space="preserve">. The level of hospitalisations was different to that from the linked data, and the reduction was not corroborated by the linked data. </w:t>
            </w:r>
            <w:r w:rsidRPr="00000B7C">
              <w:rPr>
                <w:rFonts w:eastAsia="Muli" w:cs="Muli"/>
                <w:color w:val="000000" w:themeColor="text1"/>
                <w:sz w:val="18"/>
                <w:szCs w:val="18"/>
              </w:rPr>
              <w:t xml:space="preserve">This </w:t>
            </w:r>
            <w:r>
              <w:rPr>
                <w:rFonts w:eastAsia="Muli" w:cs="Muli"/>
                <w:color w:val="000000" w:themeColor="text1"/>
                <w:sz w:val="18"/>
                <w:szCs w:val="18"/>
              </w:rPr>
              <w:t>will have</w:t>
            </w:r>
            <w:r w:rsidRPr="00000B7C">
              <w:rPr>
                <w:rFonts w:eastAsia="Muli" w:cs="Muli"/>
                <w:color w:val="000000" w:themeColor="text1"/>
                <w:sz w:val="18"/>
                <w:szCs w:val="18"/>
              </w:rPr>
              <w:t xml:space="preserve"> be</w:t>
            </w:r>
            <w:r>
              <w:rPr>
                <w:rFonts w:eastAsia="Muli" w:cs="Muli"/>
                <w:color w:val="000000" w:themeColor="text1"/>
                <w:sz w:val="18"/>
                <w:szCs w:val="18"/>
              </w:rPr>
              <w:t>en</w:t>
            </w:r>
            <w:r w:rsidRPr="00000B7C">
              <w:rPr>
                <w:rFonts w:eastAsia="Muli" w:cs="Muli"/>
                <w:color w:val="000000" w:themeColor="text1"/>
                <w:sz w:val="18"/>
                <w:szCs w:val="18"/>
              </w:rPr>
              <w:t xml:space="preserve"> influenced by the linked data measure including both same day and overnight hospitalisations.</w:t>
            </w:r>
          </w:p>
          <w:p w14:paraId="198FD32D" w14:textId="0A40F183" w:rsidR="00B90A66" w:rsidRPr="00DF38D9" w:rsidRDefault="00000B7C" w:rsidP="00000B7C">
            <w:pPr>
              <w:spacing w:after="120"/>
              <w:rPr>
                <w:rFonts w:eastAsia="Muli" w:cs="Muli"/>
                <w:color w:val="000000" w:themeColor="text1"/>
                <w:sz w:val="18"/>
                <w:szCs w:val="18"/>
              </w:rPr>
            </w:pPr>
            <w:r w:rsidRPr="00000B7C">
              <w:rPr>
                <w:rFonts w:eastAsia="Muli" w:cs="Muli"/>
                <w:color w:val="000000" w:themeColor="text1"/>
                <w:sz w:val="18"/>
                <w:szCs w:val="18"/>
              </w:rPr>
              <w:t>There are many possible reasons for the differences between the patient-reported</w:t>
            </w:r>
            <w:r>
              <w:rPr>
                <w:rFonts w:eastAsia="Muli" w:cs="Muli"/>
                <w:color w:val="000000" w:themeColor="text1"/>
                <w:sz w:val="18"/>
                <w:szCs w:val="18"/>
              </w:rPr>
              <w:t xml:space="preserve"> emergency department and hospital utilisation figures</w:t>
            </w:r>
            <w:r w:rsidRPr="00000B7C">
              <w:rPr>
                <w:rFonts w:eastAsia="Muli" w:cs="Muli"/>
                <w:color w:val="000000" w:themeColor="text1"/>
                <w:sz w:val="18"/>
                <w:szCs w:val="18"/>
              </w:rPr>
              <w:t xml:space="preserve"> and</w:t>
            </w:r>
            <w:r>
              <w:rPr>
                <w:rFonts w:eastAsia="Muli" w:cs="Muli"/>
                <w:color w:val="000000" w:themeColor="text1"/>
                <w:sz w:val="18"/>
                <w:szCs w:val="18"/>
              </w:rPr>
              <w:t xml:space="preserve"> those obtained from the</w:t>
            </w:r>
            <w:r w:rsidRPr="00000B7C">
              <w:rPr>
                <w:rFonts w:eastAsia="Muli" w:cs="Muli"/>
                <w:color w:val="000000" w:themeColor="text1"/>
                <w:sz w:val="18"/>
                <w:szCs w:val="18"/>
              </w:rPr>
              <w:t xml:space="preserve"> linked data</w:t>
            </w:r>
            <w:r>
              <w:rPr>
                <w:rFonts w:eastAsia="Muli" w:cs="Muli"/>
                <w:color w:val="000000" w:themeColor="text1"/>
                <w:sz w:val="18"/>
                <w:szCs w:val="18"/>
              </w:rPr>
              <w:t xml:space="preserve">. These </w:t>
            </w:r>
            <w:r w:rsidRPr="00000B7C">
              <w:rPr>
                <w:rFonts w:eastAsia="Muli" w:cs="Muli"/>
                <w:color w:val="000000" w:themeColor="text1"/>
                <w:sz w:val="18"/>
                <w:szCs w:val="18"/>
              </w:rPr>
              <w:t>includ</w:t>
            </w:r>
            <w:r>
              <w:rPr>
                <w:rFonts w:eastAsia="Muli" w:cs="Muli"/>
                <w:color w:val="000000" w:themeColor="text1"/>
                <w:sz w:val="18"/>
                <w:szCs w:val="18"/>
              </w:rPr>
              <w:t>e</w:t>
            </w:r>
            <w:r w:rsidRPr="00000B7C">
              <w:rPr>
                <w:rFonts w:eastAsia="Muli" w:cs="Muli"/>
                <w:color w:val="000000" w:themeColor="text1"/>
                <w:sz w:val="18"/>
                <w:szCs w:val="18"/>
              </w:rPr>
              <w:t xml:space="preserve"> recall bias and survivor bias impacting the patient survey, as well as potential weaknesses in record linkage affecting the linked data.</w:t>
            </w:r>
          </w:p>
        </w:tc>
      </w:tr>
    </w:tbl>
    <w:p w14:paraId="01BBE812" w14:textId="77777777" w:rsidR="00B90A66" w:rsidRDefault="00B90A66" w:rsidP="00B90A66">
      <w:pPr>
        <w:spacing w:after="0"/>
        <w:rPr>
          <w:rFonts w:eastAsia="Muli" w:cs="Muli"/>
          <w:color w:val="000000" w:themeColor="text1"/>
          <w:szCs w:val="20"/>
        </w:rPr>
      </w:pPr>
    </w:p>
    <w:p w14:paraId="69B7B4A9" w14:textId="6A91B971" w:rsidR="009F50F3" w:rsidRDefault="0018698D" w:rsidP="007D130E">
      <w:r>
        <w:t xml:space="preserve">Several outcome measures were tracked </w:t>
      </w:r>
      <w:r w:rsidR="00655970">
        <w:t xml:space="preserve">using the responses </w:t>
      </w:r>
      <w:r w:rsidR="000E7956">
        <w:t>to the three waves of the patient surveys.</w:t>
      </w:r>
      <w:r w:rsidR="00A561EE">
        <w:t xml:space="preserve"> </w:t>
      </w:r>
      <w:r w:rsidR="002D58B7">
        <w:t>C</w:t>
      </w:r>
      <w:r w:rsidR="000E7956">
        <w:t xml:space="preserve">hanges </w:t>
      </w:r>
      <w:r w:rsidR="00F87C69">
        <w:t xml:space="preserve">were estimated for </w:t>
      </w:r>
      <w:r w:rsidR="002D58B7">
        <w:t xml:space="preserve">these measures </w:t>
      </w:r>
      <w:r w:rsidR="000E7956">
        <w:t>between the first waves and subsequent survey waves, allowing a basic form of “before and after” analysis.</w:t>
      </w:r>
      <w:r w:rsidR="00A561EE">
        <w:t xml:space="preserve"> </w:t>
      </w:r>
      <w:r w:rsidR="00EC6B7B">
        <w:t xml:space="preserve">Limitations to this </w:t>
      </w:r>
      <w:r w:rsidR="004F5572">
        <w:t xml:space="preserve">analysis include: </w:t>
      </w:r>
    </w:p>
    <w:p w14:paraId="27B454D0" w14:textId="42A30FD2" w:rsidR="00C43600" w:rsidRDefault="004F5572" w:rsidP="00BB7C8D">
      <w:pPr>
        <w:pStyle w:val="ListParagraph"/>
        <w:numPr>
          <w:ilvl w:val="0"/>
          <w:numId w:val="56"/>
        </w:numPr>
        <w:ind w:left="714" w:hanging="357"/>
        <w:contextualSpacing w:val="0"/>
      </w:pPr>
      <w:r>
        <w:t xml:space="preserve">The wave 1 survey was conducted </w:t>
      </w:r>
      <w:r w:rsidR="00F87C69">
        <w:t>shortly</w:t>
      </w:r>
      <w:r>
        <w:t xml:space="preserve"> after enrolment</w:t>
      </w:r>
      <w:r w:rsidR="009F50F3">
        <w:t xml:space="preserve">, and consequently </w:t>
      </w:r>
      <w:r w:rsidR="00000B7C">
        <w:t>doesn</w:t>
      </w:r>
      <w:r w:rsidR="009F50F3">
        <w:t xml:space="preserve">’t strictly reflect pre-enrolment </w:t>
      </w:r>
      <w:r w:rsidR="00000B7C">
        <w:t>status</w:t>
      </w:r>
      <w:r w:rsidR="00524EE6">
        <w:t>.</w:t>
      </w:r>
    </w:p>
    <w:p w14:paraId="20C2A553" w14:textId="45CF759E" w:rsidR="00B90A66" w:rsidRPr="00B90A66" w:rsidRDefault="00C43600" w:rsidP="00BB7C8D">
      <w:pPr>
        <w:pStyle w:val="ListParagraph"/>
        <w:numPr>
          <w:ilvl w:val="0"/>
          <w:numId w:val="56"/>
        </w:numPr>
      </w:pPr>
      <w:r>
        <w:t xml:space="preserve">There is no comparator group. Changes observed </w:t>
      </w:r>
      <w:r w:rsidR="00742558">
        <w:t xml:space="preserve">in the intervention </w:t>
      </w:r>
      <w:r>
        <w:t>may have occurred</w:t>
      </w:r>
      <w:r w:rsidR="00742558">
        <w:t xml:space="preserve"> without the intervention</w:t>
      </w:r>
      <w:r w:rsidR="004B4B3B">
        <w:t>, for example as a “regression to the mean”</w:t>
      </w:r>
      <w:r w:rsidR="008A3B83">
        <w:t xml:space="preserve"> process, or alternatively as a result of </w:t>
      </w:r>
      <w:r w:rsidR="004B4B3B">
        <w:t xml:space="preserve">factors not related to the intervention </w:t>
      </w:r>
      <w:r w:rsidR="008A3B83">
        <w:t>(</w:t>
      </w:r>
      <w:r w:rsidR="0010747B">
        <w:t>for example,</w:t>
      </w:r>
      <w:r w:rsidR="008A3B83">
        <w:t xml:space="preserve"> the COVID-19 pandemic).</w:t>
      </w:r>
    </w:p>
    <w:p w14:paraId="4F43EFF1" w14:textId="77777777" w:rsidR="00000B7C" w:rsidRDefault="00000B7C">
      <w:pPr>
        <w:spacing w:after="160" w:line="259" w:lineRule="auto"/>
        <w:rPr>
          <w:rFonts w:ascii="Roboto Slab" w:eastAsia="Times New Roman" w:hAnsi="Roboto Slab" w:cs="Times New Roman"/>
          <w:bCs/>
          <w:color w:val="408BCA"/>
          <w:sz w:val="32"/>
          <w:szCs w:val="36"/>
          <w:lang w:eastAsia="en-AU"/>
        </w:rPr>
      </w:pPr>
      <w:r>
        <w:br w:type="page"/>
      </w:r>
    </w:p>
    <w:p w14:paraId="720A04D3" w14:textId="4DC30FDA" w:rsidR="00000B7C" w:rsidRPr="00000B7C" w:rsidRDefault="00000B7C" w:rsidP="00000B7C">
      <w:pPr>
        <w:pStyle w:val="Heading2"/>
      </w:pPr>
      <w:bookmarkStart w:id="353" w:name="_Toc109996730"/>
      <w:r>
        <w:lastRenderedPageBreak/>
        <w:t xml:space="preserve">General rating of </w:t>
      </w:r>
      <w:r w:rsidRPr="00000B7C">
        <w:t>patient’s overall health</w:t>
      </w:r>
      <w:bookmarkEnd w:id="353"/>
    </w:p>
    <w:p w14:paraId="6139D1DA" w14:textId="37334641" w:rsidR="00000B7C" w:rsidRDefault="00000B7C" w:rsidP="00000B7C">
      <w:r>
        <w:t>The patient survey asked: “</w:t>
      </w:r>
      <w:r w:rsidR="00234A61">
        <w:t>In general, how would you rate your overall health?</w:t>
      </w:r>
      <w:r>
        <w:t>” Possible responses were:</w:t>
      </w:r>
      <w:r w:rsidR="00234A61">
        <w:t xml:space="preserve"> </w:t>
      </w:r>
      <w:r>
        <w:t>excellent, very good, good, fair, or poor</w:t>
      </w:r>
      <w:r w:rsidR="00234A61">
        <w:t>.</w:t>
      </w:r>
      <w:r w:rsidR="00377CB5">
        <w:t xml:space="preserve"> </w:t>
      </w:r>
      <w:r w:rsidR="00377CB5" w:rsidRPr="0053737F">
        <w:rPr>
          <w:rFonts w:eastAsia="Yu Mincho" w:cs="Arial"/>
          <w:bCs/>
          <w:color w:val="1D2455"/>
          <w:szCs w:val="20"/>
          <w:lang w:eastAsia="en-AU"/>
        </w:rPr>
        <w:fldChar w:fldCharType="begin"/>
      </w:r>
      <w:r w:rsidR="00377CB5" w:rsidRPr="0053737F">
        <w:rPr>
          <w:rFonts w:eastAsia="Yu Mincho" w:cs="Arial"/>
          <w:bCs/>
          <w:color w:val="1D2455"/>
          <w:szCs w:val="20"/>
          <w:lang w:eastAsia="en-AU"/>
        </w:rPr>
        <w:instrText xml:space="preserve"> REF _Ref98316239 \h  \* MERGEFORMAT </w:instrText>
      </w:r>
      <w:r w:rsidR="00377CB5" w:rsidRPr="0053737F">
        <w:rPr>
          <w:rFonts w:eastAsia="Yu Mincho" w:cs="Arial"/>
          <w:bCs/>
          <w:color w:val="1D2455"/>
          <w:szCs w:val="20"/>
          <w:lang w:eastAsia="en-AU"/>
        </w:rPr>
      </w:r>
      <w:r w:rsidR="00377CB5" w:rsidRPr="0053737F">
        <w:rPr>
          <w:rFonts w:eastAsia="Yu Mincho" w:cs="Arial"/>
          <w:bCs/>
          <w:color w:val="1D2455"/>
          <w:szCs w:val="20"/>
          <w:lang w:eastAsia="en-AU"/>
        </w:rPr>
        <w:fldChar w:fldCharType="separate"/>
      </w:r>
      <w:r w:rsidR="003C4BC2" w:rsidRPr="003C4BC2">
        <w:rPr>
          <w:rFonts w:eastAsia="Yu Mincho" w:cs="Arial"/>
          <w:bCs/>
          <w:color w:val="1D2455"/>
          <w:szCs w:val="20"/>
          <w:lang w:eastAsia="en-AU"/>
        </w:rPr>
        <w:t>Figure 48</w:t>
      </w:r>
      <w:r w:rsidR="00377CB5" w:rsidRPr="0053737F">
        <w:rPr>
          <w:rFonts w:eastAsia="Yu Mincho" w:cs="Arial"/>
          <w:bCs/>
          <w:color w:val="1D2455"/>
          <w:szCs w:val="20"/>
          <w:lang w:eastAsia="en-AU"/>
        </w:rPr>
        <w:fldChar w:fldCharType="end"/>
      </w:r>
      <w:r w:rsidR="00377CB5">
        <w:t xml:space="preserve"> summarise</w:t>
      </w:r>
      <w:r w:rsidR="00076D75">
        <w:t>s</w:t>
      </w:r>
      <w:r w:rsidR="00377CB5">
        <w:t xml:space="preserve"> the overall responses to this question across the three survey waves.</w:t>
      </w:r>
      <w:r w:rsidR="00B03277">
        <w:t xml:space="preserve"> </w:t>
      </w:r>
    </w:p>
    <w:p w14:paraId="4CC8B371" w14:textId="4EF62AE8" w:rsidR="00000B7C" w:rsidRDefault="00B03277" w:rsidP="00804164">
      <w:r>
        <w:t xml:space="preserve">In a model adjusted for </w:t>
      </w:r>
      <w:r w:rsidRPr="002300B6">
        <w:t>age</w:t>
      </w:r>
      <w:r>
        <w:t>, patient</w:t>
      </w:r>
      <w:r w:rsidRPr="002300B6">
        <w:t xml:space="preserve"> </w:t>
      </w:r>
      <w:r>
        <w:t>t</w:t>
      </w:r>
      <w:r w:rsidRPr="002300B6">
        <w:t>ier</w:t>
      </w:r>
      <w:r>
        <w:t>, and the practice characteristics of s</w:t>
      </w:r>
      <w:r w:rsidRPr="002300B6">
        <w:t>ize</w:t>
      </w:r>
      <w:r>
        <w:t>, l</w:t>
      </w:r>
      <w:r w:rsidRPr="002300B6">
        <w:t xml:space="preserve">ocation </w:t>
      </w:r>
      <w:r>
        <w:t>and o</w:t>
      </w:r>
      <w:r w:rsidRPr="002300B6">
        <w:t>wnership</w:t>
      </w:r>
      <w:r>
        <w:t xml:space="preserve">, </w:t>
      </w:r>
      <w:r w:rsidR="00684240" w:rsidRPr="00684240">
        <w:t xml:space="preserve">the odds of a patient rating their overall health as very good or excellent at wave 2 was 1.13 (95% CI 1.00 to 1.28) </w:t>
      </w:r>
      <w:r w:rsidR="00E602FD">
        <w:t>compared with</w:t>
      </w:r>
      <w:r w:rsidR="00684240" w:rsidRPr="00684240">
        <w:t xml:space="preserve"> wave 1</w:t>
      </w:r>
      <w:r w:rsidR="00B673B5">
        <w:t>, which is statistically significant</w:t>
      </w:r>
      <w:r w:rsidR="00A67F30">
        <w:t xml:space="preserve">. At wave </w:t>
      </w:r>
      <w:r w:rsidR="00684240" w:rsidRPr="00684240">
        <w:t xml:space="preserve">3 </w:t>
      </w:r>
      <w:r w:rsidR="00161307">
        <w:t>the odd</w:t>
      </w:r>
      <w:r w:rsidR="00000B7C">
        <w:t>s</w:t>
      </w:r>
      <w:r w:rsidR="00161307">
        <w:t xml:space="preserve"> ratio was </w:t>
      </w:r>
      <w:r w:rsidR="00684240" w:rsidRPr="00684240">
        <w:t>1.06 (95% CI 0.93 to 1.21)</w:t>
      </w:r>
      <w:r w:rsidR="00E3478C">
        <w:t>, which is not statistically significant</w:t>
      </w:r>
      <w:r w:rsidR="00425A3B">
        <w:t>.</w:t>
      </w:r>
    </w:p>
    <w:p w14:paraId="7E05BC3B" w14:textId="2B9317DC" w:rsidR="00F21DBA" w:rsidRPr="007D130E" w:rsidRDefault="00F21DBA" w:rsidP="007D130E">
      <w:pPr>
        <w:pStyle w:val="TableorFigurecaptionHPA"/>
        <w:rPr>
          <w:rFonts w:eastAsia="Yu Mincho" w:cs="Arial"/>
          <w:bCs/>
        </w:rPr>
      </w:pPr>
      <w:bookmarkStart w:id="354" w:name="_Ref98316239"/>
      <w:r w:rsidRPr="007D130E">
        <w:rPr>
          <w:rFonts w:eastAsia="Yu Mincho" w:cs="Arial"/>
          <w:bCs/>
        </w:rPr>
        <w:t xml:space="preserve">Figure </w:t>
      </w:r>
      <w:r w:rsidRPr="007D130E">
        <w:rPr>
          <w:rFonts w:eastAsia="Yu Mincho" w:cs="Arial"/>
          <w:bCs/>
        </w:rPr>
        <w:fldChar w:fldCharType="begin"/>
      </w:r>
      <w:r w:rsidRPr="007D130E">
        <w:rPr>
          <w:rFonts w:eastAsia="Yu Mincho" w:cs="Arial"/>
          <w:bCs/>
        </w:rPr>
        <w:instrText xml:space="preserve"> SEQ Figure \* ARABIC </w:instrText>
      </w:r>
      <w:r w:rsidRPr="007D130E">
        <w:rPr>
          <w:rFonts w:eastAsia="Yu Mincho" w:cs="Arial"/>
          <w:bCs/>
        </w:rPr>
        <w:fldChar w:fldCharType="separate"/>
      </w:r>
      <w:r w:rsidR="003C4BC2">
        <w:rPr>
          <w:rFonts w:eastAsia="Yu Mincho" w:cs="Arial"/>
          <w:bCs/>
          <w:noProof/>
        </w:rPr>
        <w:t>48</w:t>
      </w:r>
      <w:r w:rsidRPr="007D130E">
        <w:rPr>
          <w:rFonts w:eastAsia="Yu Mincho" w:cs="Arial"/>
          <w:bCs/>
        </w:rPr>
        <w:fldChar w:fldCharType="end"/>
      </w:r>
      <w:bookmarkEnd w:id="354"/>
      <w:r w:rsidRPr="007D130E">
        <w:rPr>
          <w:rFonts w:eastAsia="Yu Mincho" w:cs="Arial"/>
          <w:bCs/>
        </w:rPr>
        <w:t xml:space="preserve">: </w:t>
      </w:r>
      <w:r w:rsidR="00CC7CDD" w:rsidRPr="007D130E">
        <w:rPr>
          <w:rFonts w:eastAsia="Yu Mincho" w:cs="Arial"/>
          <w:bCs/>
        </w:rPr>
        <w:t xml:space="preserve">Patient ratings of </w:t>
      </w:r>
      <w:r w:rsidRPr="007D130E">
        <w:rPr>
          <w:rFonts w:eastAsia="Yu Mincho" w:cs="Arial"/>
          <w:bCs/>
        </w:rPr>
        <w:t xml:space="preserve">overall health by </w:t>
      </w:r>
      <w:r w:rsidR="00CC7CDD" w:rsidRPr="007D130E">
        <w:rPr>
          <w:rFonts w:eastAsia="Yu Mincho" w:cs="Arial"/>
          <w:bCs/>
        </w:rPr>
        <w:t xml:space="preserve">survey </w:t>
      </w:r>
      <w:r w:rsidRPr="007D130E">
        <w:rPr>
          <w:rFonts w:eastAsia="Yu Mincho" w:cs="Arial"/>
          <w:bCs/>
        </w:rPr>
        <w:t>wave</w:t>
      </w:r>
    </w:p>
    <w:p w14:paraId="3D133013" w14:textId="73C4F578" w:rsidR="00F21DBA" w:rsidRDefault="00A642D8" w:rsidP="00000B7C">
      <w:pPr>
        <w:jc w:val="center"/>
      </w:pPr>
      <w:r>
        <w:rPr>
          <w:noProof/>
        </w:rPr>
        <w:drawing>
          <wp:inline distT="0" distB="0" distL="0" distR="0" wp14:anchorId="677A82AA" wp14:editId="47C3DF90">
            <wp:extent cx="4870800" cy="2682000"/>
            <wp:effectExtent l="0" t="0" r="0" b="0"/>
            <wp:docPr id="42" name="Picture 4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hart&#10;&#10;Description automatically generated"/>
                    <pic:cNvPicPr/>
                  </pic:nvPicPr>
                  <pic:blipFill>
                    <a:blip r:embed="rId76"/>
                    <a:stretch>
                      <a:fillRect/>
                    </a:stretch>
                  </pic:blipFill>
                  <pic:spPr>
                    <a:xfrm>
                      <a:off x="0" y="0"/>
                      <a:ext cx="4870800" cy="2682000"/>
                    </a:xfrm>
                    <a:prstGeom prst="rect">
                      <a:avLst/>
                    </a:prstGeom>
                  </pic:spPr>
                </pic:pic>
              </a:graphicData>
            </a:graphic>
          </wp:inline>
        </w:drawing>
      </w:r>
    </w:p>
    <w:p w14:paraId="660A03D6" w14:textId="762842A6" w:rsidR="00E364DA" w:rsidRDefault="00E364DA" w:rsidP="00E364DA">
      <w:pPr>
        <w:pStyle w:val="Chartortablefootnote"/>
      </w:pPr>
      <w:r w:rsidRPr="00E364DA">
        <w:t>Source: Patient surveys Wave 1 Dec 2017–Mar 2019; Wave 2 Dec 2019–Mar 2020; Wave 3 Mar–Apr 2021.</w:t>
      </w:r>
    </w:p>
    <w:p w14:paraId="4F32131E" w14:textId="77777777" w:rsidR="00000B7C" w:rsidRPr="00000B7C" w:rsidRDefault="00000B7C" w:rsidP="00000B7C">
      <w:pPr>
        <w:pStyle w:val="Heading2"/>
      </w:pPr>
      <w:bookmarkStart w:id="355" w:name="_Toc109996731"/>
      <w:r>
        <w:t xml:space="preserve">General rating of </w:t>
      </w:r>
      <w:r w:rsidRPr="00000B7C">
        <w:t>patient’s mental and emotional health</w:t>
      </w:r>
      <w:bookmarkEnd w:id="355"/>
    </w:p>
    <w:p w14:paraId="0CDDCE22" w14:textId="4C7D0F8D" w:rsidR="00000B7C" w:rsidRDefault="00000B7C" w:rsidP="00000B7C">
      <w:r>
        <w:t>Patients were asked: “</w:t>
      </w:r>
      <w:r w:rsidRPr="00D32858">
        <w:t>In general, how would you rate your overall mental or emotional health</w:t>
      </w:r>
      <w:r>
        <w:t xml:space="preserve">?”. </w:t>
      </w:r>
      <w:r w:rsidRPr="00D32858">
        <w:t xml:space="preserve"> </w:t>
      </w:r>
      <w:r>
        <w:t>Possible responses again were: excellent, very good, good, fair, or poor.</w:t>
      </w:r>
      <w:r w:rsidRPr="00D32858">
        <w:t xml:space="preserve"> </w:t>
      </w:r>
      <w:r w:rsidRPr="00000B7C">
        <w:rPr>
          <w:rFonts w:eastAsia="Yu Mincho" w:cs="Arial"/>
          <w:bCs/>
          <w:color w:val="1D2455"/>
          <w:szCs w:val="20"/>
          <w:lang w:eastAsia="en-AU"/>
        </w:rPr>
        <w:fldChar w:fldCharType="begin"/>
      </w:r>
      <w:r w:rsidRPr="00000B7C">
        <w:rPr>
          <w:rFonts w:eastAsia="Yu Mincho" w:cs="Arial"/>
          <w:bCs/>
          <w:color w:val="1D2455"/>
          <w:szCs w:val="20"/>
          <w:lang w:eastAsia="en-AU"/>
        </w:rPr>
        <w:instrText xml:space="preserve"> REF _Ref98316248 \h  \* MERGEFORMAT </w:instrText>
      </w:r>
      <w:r w:rsidRPr="00000B7C">
        <w:rPr>
          <w:rFonts w:eastAsia="Yu Mincho" w:cs="Arial"/>
          <w:bCs/>
          <w:color w:val="1D2455"/>
          <w:szCs w:val="20"/>
          <w:lang w:eastAsia="en-AU"/>
        </w:rPr>
      </w:r>
      <w:r w:rsidRPr="00000B7C">
        <w:rPr>
          <w:rFonts w:eastAsia="Yu Mincho" w:cs="Arial"/>
          <w:bCs/>
          <w:color w:val="1D2455"/>
          <w:szCs w:val="20"/>
          <w:lang w:eastAsia="en-AU"/>
        </w:rPr>
        <w:fldChar w:fldCharType="separate"/>
      </w:r>
      <w:r w:rsidR="003C4BC2" w:rsidRPr="003C4BC2">
        <w:rPr>
          <w:rFonts w:eastAsia="Yu Mincho" w:cs="Arial"/>
          <w:bCs/>
          <w:color w:val="1D2455"/>
          <w:szCs w:val="20"/>
          <w:lang w:eastAsia="en-AU"/>
        </w:rPr>
        <w:t>Figure 49</w:t>
      </w:r>
      <w:r w:rsidRPr="00000B7C">
        <w:rPr>
          <w:rFonts w:eastAsia="Yu Mincho" w:cs="Arial"/>
          <w:bCs/>
          <w:color w:val="1D2455"/>
          <w:szCs w:val="20"/>
          <w:lang w:eastAsia="en-AU"/>
        </w:rPr>
        <w:fldChar w:fldCharType="end"/>
      </w:r>
      <w:r w:rsidRPr="00D32858">
        <w:t xml:space="preserve"> summarise</w:t>
      </w:r>
      <w:r>
        <w:t>s</w:t>
      </w:r>
      <w:r w:rsidRPr="00D32858">
        <w:t xml:space="preserve"> the overall responses to this question across the three survey waves. </w:t>
      </w:r>
    </w:p>
    <w:p w14:paraId="4F144821" w14:textId="57714415" w:rsidR="00804164" w:rsidRDefault="00000B7C" w:rsidP="00000B7C">
      <w:r w:rsidRPr="00D32858">
        <w:t xml:space="preserve">In a model adjusted for age, patient tier, and the practice characteristics of size, location and ownership, </w:t>
      </w:r>
      <w:r w:rsidRPr="00950F1A">
        <w:t xml:space="preserve">the odds of a patient rating their </w:t>
      </w:r>
      <w:r>
        <w:t xml:space="preserve">mental and emotional </w:t>
      </w:r>
      <w:r w:rsidRPr="00950F1A">
        <w:t xml:space="preserve">health as very good or excellent at wave 2 was </w:t>
      </w:r>
      <w:r w:rsidRPr="00CB4D8B">
        <w:t xml:space="preserve">0.97 (0.87 to 1.08) </w:t>
      </w:r>
      <w:r>
        <w:t>compared with</w:t>
      </w:r>
      <w:r w:rsidRPr="00950F1A">
        <w:t xml:space="preserve"> wave 1</w:t>
      </w:r>
      <w:r>
        <w:t xml:space="preserve">, and at </w:t>
      </w:r>
      <w:r w:rsidRPr="00950F1A">
        <w:t xml:space="preserve">wave 3 the odd ratio was </w:t>
      </w:r>
      <w:r w:rsidRPr="00C62174">
        <w:t>0.93 (0.82 to 1.04)</w:t>
      </w:r>
      <w:r w:rsidRPr="00950F1A">
        <w:t xml:space="preserve">, </w:t>
      </w:r>
      <w:r>
        <w:t>both of which are</w:t>
      </w:r>
      <w:r w:rsidRPr="00950F1A">
        <w:t xml:space="preserve"> not statistically significant</w:t>
      </w:r>
      <w:r>
        <w:t>.</w:t>
      </w:r>
    </w:p>
    <w:p w14:paraId="2F4DB4AB" w14:textId="77777777" w:rsidR="00804164" w:rsidRDefault="00804164">
      <w:pPr>
        <w:spacing w:after="160" w:line="259" w:lineRule="auto"/>
      </w:pPr>
      <w:r>
        <w:br w:type="page"/>
      </w:r>
    </w:p>
    <w:p w14:paraId="2428207F" w14:textId="17D36F2E" w:rsidR="00F21DBA" w:rsidRPr="007D130E" w:rsidRDefault="00F21DBA" w:rsidP="007D130E">
      <w:pPr>
        <w:pStyle w:val="TableorFigurecaptionHPA"/>
        <w:rPr>
          <w:rFonts w:eastAsia="Yu Mincho" w:cs="Arial"/>
          <w:bCs/>
        </w:rPr>
      </w:pPr>
      <w:bookmarkStart w:id="356" w:name="_Ref98316248"/>
      <w:r w:rsidRPr="007D130E">
        <w:rPr>
          <w:rFonts w:eastAsia="Yu Mincho" w:cs="Arial"/>
          <w:bCs/>
        </w:rPr>
        <w:lastRenderedPageBreak/>
        <w:t xml:space="preserve">Figure </w:t>
      </w:r>
      <w:r w:rsidRPr="007D130E">
        <w:rPr>
          <w:rFonts w:eastAsia="Yu Mincho" w:cs="Arial"/>
          <w:bCs/>
        </w:rPr>
        <w:fldChar w:fldCharType="begin"/>
      </w:r>
      <w:r w:rsidRPr="007D130E">
        <w:rPr>
          <w:rFonts w:eastAsia="Yu Mincho" w:cs="Arial"/>
          <w:bCs/>
        </w:rPr>
        <w:instrText xml:space="preserve"> SEQ Figure \* ARABIC </w:instrText>
      </w:r>
      <w:r w:rsidRPr="007D130E">
        <w:rPr>
          <w:rFonts w:eastAsia="Yu Mincho" w:cs="Arial"/>
          <w:bCs/>
        </w:rPr>
        <w:fldChar w:fldCharType="separate"/>
      </w:r>
      <w:r w:rsidR="003C4BC2">
        <w:rPr>
          <w:rFonts w:eastAsia="Yu Mincho" w:cs="Arial"/>
          <w:bCs/>
          <w:noProof/>
        </w:rPr>
        <w:t>49</w:t>
      </w:r>
      <w:r w:rsidRPr="007D130E">
        <w:rPr>
          <w:rFonts w:eastAsia="Yu Mincho" w:cs="Arial"/>
          <w:bCs/>
        </w:rPr>
        <w:fldChar w:fldCharType="end"/>
      </w:r>
      <w:bookmarkEnd w:id="356"/>
      <w:r w:rsidRPr="007D130E">
        <w:rPr>
          <w:rFonts w:eastAsia="Yu Mincho" w:cs="Arial"/>
          <w:bCs/>
        </w:rPr>
        <w:t xml:space="preserve">: </w:t>
      </w:r>
      <w:r w:rsidR="00CC7CDD" w:rsidRPr="007D130E">
        <w:rPr>
          <w:rFonts w:eastAsia="Yu Mincho" w:cs="Arial"/>
          <w:bCs/>
        </w:rPr>
        <w:t>Patient ratings of overall mental or emotional health by survey wave</w:t>
      </w:r>
    </w:p>
    <w:p w14:paraId="32736894" w14:textId="544775A9" w:rsidR="00F21DBA" w:rsidRDefault="00A642D8" w:rsidP="00000B7C">
      <w:pPr>
        <w:jc w:val="center"/>
      </w:pPr>
      <w:r>
        <w:rPr>
          <w:noProof/>
        </w:rPr>
        <w:drawing>
          <wp:inline distT="0" distB="0" distL="0" distR="0" wp14:anchorId="380F530D" wp14:editId="4064605F">
            <wp:extent cx="4870800" cy="2682000"/>
            <wp:effectExtent l="0" t="0" r="0" b="0"/>
            <wp:docPr id="44" name="Picture 44"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Chart, treemap chart&#10;&#10;Description automatically generated"/>
                    <pic:cNvPicPr/>
                  </pic:nvPicPr>
                  <pic:blipFill>
                    <a:blip r:embed="rId77"/>
                    <a:stretch>
                      <a:fillRect/>
                    </a:stretch>
                  </pic:blipFill>
                  <pic:spPr>
                    <a:xfrm>
                      <a:off x="0" y="0"/>
                      <a:ext cx="4870800" cy="2682000"/>
                    </a:xfrm>
                    <a:prstGeom prst="rect">
                      <a:avLst/>
                    </a:prstGeom>
                  </pic:spPr>
                </pic:pic>
              </a:graphicData>
            </a:graphic>
          </wp:inline>
        </w:drawing>
      </w:r>
    </w:p>
    <w:p w14:paraId="5479BEF1" w14:textId="50FD3BFE" w:rsidR="00E364DA" w:rsidRDefault="00E364DA" w:rsidP="00E364DA">
      <w:pPr>
        <w:pStyle w:val="Chartortablefootnote"/>
      </w:pPr>
      <w:r w:rsidRPr="00E364DA">
        <w:t>Source: Patient surveys Wave 1 Dec 2017–Mar 2019; Wave 2 Dec 2019–Mar 2020; Wave 3 Mar–Apr 2021.</w:t>
      </w:r>
    </w:p>
    <w:p w14:paraId="355BFA03" w14:textId="05C448B9" w:rsidR="00000B7C" w:rsidRPr="00000B7C" w:rsidRDefault="00000B7C" w:rsidP="00000B7C">
      <w:pPr>
        <w:pStyle w:val="Heading2"/>
      </w:pPr>
      <w:bookmarkStart w:id="357" w:name="_Toc109996732"/>
      <w:r w:rsidRPr="00000B7C">
        <w:t>Health-related quality of life</w:t>
      </w:r>
      <w:bookmarkEnd w:id="357"/>
    </w:p>
    <w:p w14:paraId="1280E612" w14:textId="77777777" w:rsidR="00000B7C" w:rsidRDefault="005F1C7C" w:rsidP="00000B7C">
      <w:r w:rsidRPr="00000B7C">
        <w:t>The EQ-5D-5L instrument</w:t>
      </w:r>
      <w:r w:rsidR="00000B7C">
        <w:t xml:space="preserve"> was used to measure</w:t>
      </w:r>
      <w:r w:rsidRPr="00424299">
        <w:t xml:space="preserve"> health-related quality of life</w:t>
      </w:r>
      <w:r w:rsidR="00000B7C">
        <w:t>.</w:t>
      </w:r>
      <w:r w:rsidRPr="007D130E">
        <w:rPr>
          <w:rStyle w:val="FootnoteReference"/>
          <w:color w:val="408BCA"/>
        </w:rPr>
        <w:footnoteReference w:id="82"/>
      </w:r>
      <w:r w:rsidR="00AE27CE" w:rsidRPr="00000B7C">
        <w:rPr>
          <w:color w:val="408BCA"/>
          <w:vertAlign w:val="superscript"/>
        </w:rPr>
        <w:t>,</w:t>
      </w:r>
      <w:r w:rsidR="00AE27CE" w:rsidRPr="00AE27CE">
        <w:rPr>
          <w:rStyle w:val="FootnoteReference"/>
          <w:color w:val="408BCA"/>
        </w:rPr>
        <w:footnoteReference w:id="83"/>
      </w:r>
      <w:r w:rsidRPr="00000B7C">
        <w:rPr>
          <w:color w:val="408BCA"/>
        </w:rPr>
        <w:t xml:space="preserve"> </w:t>
      </w:r>
      <w:r w:rsidR="00000B7C" w:rsidRPr="00000B7C">
        <w:t>The instrument</w:t>
      </w:r>
      <w:r>
        <w:t xml:space="preserve"> yields a score of between 0 and 100, where 100 is the best health</w:t>
      </w:r>
      <w:r w:rsidR="00000B7C">
        <w:t>-</w:t>
      </w:r>
      <w:r>
        <w:t>related quality of life</w:t>
      </w:r>
      <w:r w:rsidRPr="00424299">
        <w:t>.</w:t>
      </w:r>
      <w:r w:rsidR="00A561EE">
        <w:t xml:space="preserve"> </w:t>
      </w:r>
      <w:r>
        <w:t xml:space="preserve">The instrument includes specific questions </w:t>
      </w:r>
      <w:r w:rsidR="00786AE8">
        <w:t>on</w:t>
      </w:r>
      <w:r>
        <w:t xml:space="preserve"> mobility, self-care, usual activities, pain and discomfort, and anxiety </w:t>
      </w:r>
      <w:r w:rsidRPr="002D02AE">
        <w:t>and depression.</w:t>
      </w:r>
      <w:r w:rsidR="00DC2321" w:rsidRPr="002D02AE">
        <w:t xml:space="preserve"> </w:t>
      </w:r>
    </w:p>
    <w:p w14:paraId="4AC22696" w14:textId="45ACC8C4" w:rsidR="00F21234" w:rsidRDefault="00000B7C" w:rsidP="00000B7C">
      <w:pPr>
        <w:rPr>
          <w:shd w:val="clear" w:color="auto" w:fill="FFFFFF"/>
          <w:lang w:val="en-GB"/>
        </w:rPr>
      </w:pPr>
      <w:r>
        <w:t>A s</w:t>
      </w:r>
      <w:r w:rsidR="00877DE6" w:rsidRPr="00000B7C">
        <w:rPr>
          <w:shd w:val="clear" w:color="auto" w:fill="FFFFFF"/>
        </w:rPr>
        <w:t>ummary</w:t>
      </w:r>
      <w:r w:rsidR="00877DE6" w:rsidRPr="002D02AE">
        <w:rPr>
          <w:shd w:val="clear" w:color="auto" w:fill="FFFFFF"/>
        </w:rPr>
        <w:t xml:space="preserve"> of the total scores on</w:t>
      </w:r>
      <w:r w:rsidR="00877DE6" w:rsidRPr="002D02AE">
        <w:t xml:space="preserve"> </w:t>
      </w:r>
      <w:r w:rsidR="00877DE6" w:rsidRPr="002D02AE">
        <w:rPr>
          <w:shd w:val="clear" w:color="auto" w:fill="FFFFFF"/>
        </w:rPr>
        <w:t xml:space="preserve">EQ-5D-5L </w:t>
      </w:r>
      <w:r>
        <w:rPr>
          <w:shd w:val="clear" w:color="auto" w:fill="FFFFFF"/>
        </w:rPr>
        <w:t>is</w:t>
      </w:r>
      <w:r w:rsidR="00DC2321" w:rsidRPr="002D02AE">
        <w:rPr>
          <w:shd w:val="clear" w:color="auto" w:fill="FFFFFF"/>
        </w:rPr>
        <w:t xml:space="preserve"> </w:t>
      </w:r>
      <w:r w:rsidR="00877DE6" w:rsidRPr="002D02AE">
        <w:rPr>
          <w:shd w:val="clear" w:color="auto" w:fill="FFFFFF"/>
        </w:rPr>
        <w:t xml:space="preserve">in Volume 3 </w:t>
      </w:r>
      <w:r w:rsidR="00DC2321" w:rsidRPr="002D02AE">
        <w:rPr>
          <w:shd w:val="clear" w:color="auto" w:fill="FFFFFF"/>
        </w:rPr>
        <w:t xml:space="preserve">Appendix </w:t>
      </w:r>
      <w:r w:rsidR="00030844" w:rsidRPr="002D02AE">
        <w:rPr>
          <w:shd w:val="clear" w:color="auto" w:fill="FFFFFF"/>
        </w:rPr>
        <w:t>7</w:t>
      </w:r>
      <w:r w:rsidR="00877DE6" w:rsidRPr="002D02AE">
        <w:rPr>
          <w:shd w:val="clear" w:color="auto" w:fill="FFFFFF"/>
        </w:rPr>
        <w:t>.</w:t>
      </w:r>
      <w:r w:rsidR="00877DE6" w:rsidRPr="00D620F1">
        <w:rPr>
          <w:shd w:val="clear" w:color="auto" w:fill="FFFFFF"/>
        </w:rPr>
        <w:t xml:space="preserve"> Analysis </w:t>
      </w:r>
      <w:r w:rsidR="00877DE6" w:rsidRPr="00D620F1">
        <w:rPr>
          <w:shd w:val="clear" w:color="auto" w:fill="FFFFFF"/>
          <w:lang w:val="en-GB"/>
        </w:rPr>
        <w:t>of the data from the first wave suggests that patients’ scores on the</w:t>
      </w:r>
      <w:r w:rsidR="00877DE6" w:rsidRPr="005B0B3A">
        <w:t xml:space="preserve"> </w:t>
      </w:r>
      <w:r w:rsidR="00877DE6" w:rsidRPr="00D620F1">
        <w:rPr>
          <w:shd w:val="clear" w:color="auto" w:fill="FFFFFF"/>
          <w:lang w:val="en-GB"/>
        </w:rPr>
        <w:t xml:space="preserve">EQ-5D-5L are associated with their tier, age and possibly gender. </w:t>
      </w:r>
      <w:r w:rsidR="00D620F1">
        <w:rPr>
          <w:lang w:val="en-US"/>
        </w:rPr>
        <w:t>L</w:t>
      </w:r>
      <w:r w:rsidR="00877DE6" w:rsidRPr="00D620F1">
        <w:rPr>
          <w:lang w:val="en-US"/>
        </w:rPr>
        <w:t xml:space="preserve">ongitudinal analysis shows there was no </w:t>
      </w:r>
      <w:r w:rsidR="00D3280E">
        <w:rPr>
          <w:lang w:val="en-US"/>
        </w:rPr>
        <w:t xml:space="preserve">statistical </w:t>
      </w:r>
      <w:r w:rsidR="00877DE6" w:rsidRPr="00D620F1">
        <w:rPr>
          <w:lang w:val="en-US"/>
        </w:rPr>
        <w:t xml:space="preserve">difference in the distribution of EQ-5D-5L scores at second wave </w:t>
      </w:r>
      <w:r w:rsidR="00D3280E">
        <w:rPr>
          <w:lang w:val="en-US"/>
        </w:rPr>
        <w:t xml:space="preserve">and third waves </w:t>
      </w:r>
      <w:r w:rsidR="00877DE6" w:rsidRPr="00D620F1">
        <w:rPr>
          <w:lang w:val="en-US"/>
        </w:rPr>
        <w:t xml:space="preserve">compared </w:t>
      </w:r>
      <w:r w:rsidR="00D3280E">
        <w:rPr>
          <w:lang w:val="en-US"/>
        </w:rPr>
        <w:t xml:space="preserve">with </w:t>
      </w:r>
      <w:r w:rsidR="00877DE6" w:rsidRPr="00D620F1">
        <w:rPr>
          <w:shd w:val="clear" w:color="auto" w:fill="FFFFFF"/>
          <w:lang w:val="en-GB"/>
        </w:rPr>
        <w:t>the first wave</w:t>
      </w:r>
      <w:r w:rsidR="00D3280E">
        <w:rPr>
          <w:shd w:val="clear" w:color="auto" w:fill="FFFFFF"/>
          <w:lang w:val="en-GB"/>
        </w:rPr>
        <w:t xml:space="preserve"> (</w:t>
      </w:r>
      <w:r w:rsidR="00493C1D" w:rsidRPr="007D130E">
        <w:rPr>
          <w:shd w:val="clear" w:color="auto" w:fill="FFFFFF"/>
          <w:lang w:val="en-GB"/>
        </w:rPr>
        <w:fldChar w:fldCharType="begin"/>
      </w:r>
      <w:r w:rsidR="00493C1D" w:rsidRPr="007D130E">
        <w:rPr>
          <w:shd w:val="clear" w:color="auto" w:fill="FFFFFF"/>
          <w:lang w:val="en-GB"/>
        </w:rPr>
        <w:instrText xml:space="preserve"> REF _Ref99033740 \h </w:instrText>
      </w:r>
      <w:r w:rsidR="007D130E" w:rsidRPr="007D130E">
        <w:rPr>
          <w:shd w:val="clear" w:color="auto" w:fill="FFFFFF"/>
          <w:lang w:val="en-GB"/>
        </w:rPr>
        <w:instrText xml:space="preserve"> \* MERGEFORMAT </w:instrText>
      </w:r>
      <w:r w:rsidR="00493C1D" w:rsidRPr="007D130E">
        <w:rPr>
          <w:shd w:val="clear" w:color="auto" w:fill="FFFFFF"/>
          <w:lang w:val="en-GB"/>
        </w:rPr>
      </w:r>
      <w:r w:rsidR="00493C1D" w:rsidRPr="007D130E">
        <w:rPr>
          <w:shd w:val="clear" w:color="auto" w:fill="FFFFFF"/>
          <w:lang w:val="en-GB"/>
        </w:rPr>
        <w:fldChar w:fldCharType="separate"/>
      </w:r>
      <w:r w:rsidR="003C4BC2" w:rsidRPr="003C4BC2">
        <w:rPr>
          <w:rFonts w:eastAsia="Yu Mincho" w:cs="Arial"/>
          <w:color w:val="1D2455"/>
          <w:szCs w:val="16"/>
          <w:lang w:eastAsia="en-AU"/>
        </w:rPr>
        <w:t xml:space="preserve">Table </w:t>
      </w:r>
      <w:r w:rsidR="003C4BC2" w:rsidRPr="003C4BC2">
        <w:rPr>
          <w:rFonts w:eastAsia="Yu Mincho" w:cs="Arial"/>
          <w:noProof/>
          <w:color w:val="1D2455"/>
          <w:szCs w:val="16"/>
          <w:lang w:eastAsia="en-AU"/>
        </w:rPr>
        <w:t>46</w:t>
      </w:r>
      <w:r w:rsidR="00493C1D" w:rsidRPr="007D130E">
        <w:rPr>
          <w:shd w:val="clear" w:color="auto" w:fill="FFFFFF"/>
          <w:lang w:val="en-GB"/>
        </w:rPr>
        <w:fldChar w:fldCharType="end"/>
      </w:r>
      <w:r w:rsidR="00D3280E">
        <w:rPr>
          <w:shd w:val="clear" w:color="auto" w:fill="FFFFFF"/>
          <w:lang w:val="en-GB"/>
        </w:rPr>
        <w:t>)</w:t>
      </w:r>
      <w:r w:rsidR="00877DE6" w:rsidRPr="00D620F1">
        <w:rPr>
          <w:shd w:val="clear" w:color="auto" w:fill="FFFFFF"/>
          <w:lang w:val="en-GB"/>
        </w:rPr>
        <w:t>.</w:t>
      </w:r>
      <w:r w:rsidR="00A561EE">
        <w:rPr>
          <w:shd w:val="clear" w:color="auto" w:fill="FFFFFF"/>
          <w:lang w:val="en-GB"/>
        </w:rPr>
        <w:t xml:space="preserve"> </w:t>
      </w:r>
    </w:p>
    <w:p w14:paraId="5909EE45" w14:textId="26CED502" w:rsidR="001A5A7B" w:rsidRPr="007D130E" w:rsidRDefault="001A5A7B" w:rsidP="007D130E">
      <w:pPr>
        <w:pStyle w:val="TableorFigurecaptionHPA"/>
        <w:rPr>
          <w:rFonts w:eastAsia="Yu Mincho" w:cs="Arial"/>
          <w:bCs/>
          <w:szCs w:val="16"/>
        </w:rPr>
      </w:pPr>
      <w:bookmarkStart w:id="358" w:name="_Ref99033740"/>
      <w:r w:rsidRPr="007D130E">
        <w:rPr>
          <w:rFonts w:eastAsia="Yu Mincho" w:cs="Arial"/>
          <w:bCs/>
          <w:szCs w:val="16"/>
        </w:rPr>
        <w:t xml:space="preserve">Table </w:t>
      </w:r>
      <w:r w:rsidRPr="007D130E">
        <w:rPr>
          <w:rFonts w:eastAsia="Yu Mincho" w:cs="Arial"/>
          <w:bCs/>
          <w:szCs w:val="16"/>
        </w:rPr>
        <w:fldChar w:fldCharType="begin"/>
      </w:r>
      <w:r w:rsidRPr="007D130E">
        <w:rPr>
          <w:rFonts w:eastAsia="Yu Mincho" w:cs="Arial"/>
          <w:bCs/>
          <w:szCs w:val="16"/>
        </w:rPr>
        <w:instrText>SEQ Table \* ARABIC</w:instrText>
      </w:r>
      <w:r w:rsidRPr="007D130E">
        <w:rPr>
          <w:rFonts w:eastAsia="Yu Mincho" w:cs="Arial"/>
          <w:bCs/>
          <w:szCs w:val="16"/>
        </w:rPr>
        <w:fldChar w:fldCharType="separate"/>
      </w:r>
      <w:r w:rsidR="003C4BC2">
        <w:rPr>
          <w:rFonts w:eastAsia="Yu Mincho" w:cs="Arial"/>
          <w:bCs/>
          <w:noProof/>
          <w:szCs w:val="16"/>
        </w:rPr>
        <w:t>46</w:t>
      </w:r>
      <w:r w:rsidRPr="007D130E">
        <w:rPr>
          <w:rFonts w:eastAsia="Yu Mincho" w:cs="Arial"/>
          <w:bCs/>
          <w:szCs w:val="16"/>
        </w:rPr>
        <w:fldChar w:fldCharType="end"/>
      </w:r>
      <w:bookmarkEnd w:id="358"/>
      <w:r w:rsidRPr="007D130E">
        <w:rPr>
          <w:rFonts w:eastAsia="Yu Mincho" w:cs="Arial"/>
          <w:bCs/>
          <w:szCs w:val="16"/>
        </w:rPr>
        <w:t xml:space="preserve">: </w:t>
      </w:r>
      <w:r w:rsidR="00493C1D" w:rsidRPr="007D130E">
        <w:rPr>
          <w:rFonts w:eastAsia="Yu Mincho" w:cs="Arial"/>
          <w:bCs/>
          <w:szCs w:val="16"/>
        </w:rPr>
        <w:t>EQ</w:t>
      </w:r>
      <w:r w:rsidR="009738BB">
        <w:rPr>
          <w:rFonts w:eastAsia="Yu Mincho" w:cs="Arial"/>
          <w:bCs/>
          <w:szCs w:val="16"/>
        </w:rPr>
        <w:t>-</w:t>
      </w:r>
      <w:r w:rsidR="00493C1D" w:rsidRPr="007D130E">
        <w:rPr>
          <w:rFonts w:eastAsia="Yu Mincho" w:cs="Arial"/>
          <w:bCs/>
          <w:szCs w:val="16"/>
        </w:rPr>
        <w:t>5D</w:t>
      </w:r>
      <w:r w:rsidR="009738BB">
        <w:rPr>
          <w:rFonts w:eastAsia="Yu Mincho" w:cs="Arial"/>
          <w:bCs/>
          <w:szCs w:val="16"/>
        </w:rPr>
        <w:t>-</w:t>
      </w:r>
      <w:r w:rsidR="00493C1D" w:rsidRPr="007D130E">
        <w:rPr>
          <w:rFonts w:eastAsia="Yu Mincho" w:cs="Arial"/>
          <w:bCs/>
          <w:szCs w:val="16"/>
        </w:rPr>
        <w:t xml:space="preserve">5L </w:t>
      </w:r>
      <w:r w:rsidR="009738BB">
        <w:rPr>
          <w:rFonts w:eastAsia="Yu Mincho" w:cs="Arial"/>
          <w:bCs/>
          <w:szCs w:val="16"/>
        </w:rPr>
        <w:t>e</w:t>
      </w:r>
      <w:r w:rsidRPr="007D130E">
        <w:rPr>
          <w:bCs/>
        </w:rPr>
        <w:t xml:space="preserve">stimated change </w:t>
      </w:r>
      <w:r w:rsidR="00493C1D" w:rsidRPr="007D130E">
        <w:rPr>
          <w:bCs/>
        </w:rPr>
        <w:t xml:space="preserve">(95% confidence intervals) </w:t>
      </w:r>
      <w:r w:rsidRPr="007D130E">
        <w:rPr>
          <w:bCs/>
        </w:rPr>
        <w:t>in mean scores from wave 1</w:t>
      </w:r>
    </w:p>
    <w:tbl>
      <w:tblPr>
        <w:tblW w:w="5000"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3601"/>
        <w:gridCol w:w="1805"/>
        <w:gridCol w:w="1805"/>
        <w:gridCol w:w="1805"/>
      </w:tblGrid>
      <w:tr w:rsidR="001A5A7B" w14:paraId="43229858" w14:textId="77777777" w:rsidTr="007D130E">
        <w:trPr>
          <w:cantSplit/>
          <w:tblHeader/>
          <w:jc w:val="center"/>
        </w:trPr>
        <w:tc>
          <w:tcPr>
            <w:tcW w:w="3613" w:type="dxa"/>
            <w:vMerge w:val="restart"/>
            <w:shd w:val="clear" w:color="auto" w:fill="408BCA"/>
            <w:tcMar>
              <w:top w:w="0" w:type="dxa"/>
              <w:left w:w="0" w:type="dxa"/>
              <w:bottom w:w="0" w:type="dxa"/>
              <w:right w:w="0" w:type="dxa"/>
            </w:tcMar>
            <w:vAlign w:val="center"/>
          </w:tcPr>
          <w:p w14:paraId="6D06AAB9" w14:textId="77777777" w:rsidR="001A5A7B" w:rsidRDefault="001A5A7B" w:rsidP="007D130E">
            <w:pPr>
              <w:spacing w:after="0"/>
              <w:jc w:val="center"/>
            </w:pPr>
            <w:r>
              <w:rPr>
                <w:rFonts w:eastAsia="Century Gothic" w:cs="Century Gothic"/>
                <w:b/>
                <w:color w:val="FFFFFF"/>
                <w:sz w:val="18"/>
                <w:szCs w:val="18"/>
              </w:rPr>
              <w:t>Outcome</w:t>
            </w:r>
          </w:p>
        </w:tc>
        <w:tc>
          <w:tcPr>
            <w:tcW w:w="1811" w:type="dxa"/>
            <w:shd w:val="clear" w:color="auto" w:fill="408BCA"/>
            <w:tcMar>
              <w:top w:w="0" w:type="dxa"/>
              <w:left w:w="0" w:type="dxa"/>
              <w:bottom w:w="0" w:type="dxa"/>
              <w:right w:w="0" w:type="dxa"/>
            </w:tcMar>
            <w:vAlign w:val="center"/>
          </w:tcPr>
          <w:p w14:paraId="33D07D5C" w14:textId="77777777" w:rsidR="001A5A7B" w:rsidRDefault="001A5A7B" w:rsidP="007D130E">
            <w:pPr>
              <w:spacing w:after="0"/>
              <w:jc w:val="center"/>
            </w:pPr>
            <w:r>
              <w:rPr>
                <w:rFonts w:eastAsia="Century Gothic" w:cs="Century Gothic"/>
                <w:b/>
                <w:color w:val="FFFFFF"/>
                <w:sz w:val="18"/>
                <w:szCs w:val="18"/>
              </w:rPr>
              <w:t>Wave 1</w:t>
            </w:r>
          </w:p>
        </w:tc>
        <w:tc>
          <w:tcPr>
            <w:tcW w:w="3622" w:type="dxa"/>
            <w:gridSpan w:val="2"/>
            <w:shd w:val="clear" w:color="auto" w:fill="408BCA"/>
            <w:tcMar>
              <w:top w:w="0" w:type="dxa"/>
              <w:left w:w="0" w:type="dxa"/>
              <w:bottom w:w="0" w:type="dxa"/>
              <w:right w:w="0" w:type="dxa"/>
            </w:tcMar>
            <w:vAlign w:val="center"/>
          </w:tcPr>
          <w:p w14:paraId="6065F987" w14:textId="1A9A3CA0" w:rsidR="001A5A7B" w:rsidRDefault="001A5A7B" w:rsidP="007D130E">
            <w:pPr>
              <w:spacing w:after="0"/>
              <w:jc w:val="center"/>
            </w:pPr>
            <w:r>
              <w:rPr>
                <w:rFonts w:eastAsia="Century Gothic" w:cs="Century Gothic"/>
                <w:b/>
                <w:color w:val="FFFFFF"/>
                <w:sz w:val="18"/>
                <w:szCs w:val="18"/>
              </w:rPr>
              <w:t>Change from wave 1</w:t>
            </w:r>
            <w:r w:rsidR="00E364DA" w:rsidRPr="00E364DA">
              <w:rPr>
                <w:rFonts w:eastAsia="Century Gothic" w:cs="Century Gothic"/>
                <w:b/>
                <w:color w:val="FFFFFF"/>
                <w:sz w:val="18"/>
                <w:szCs w:val="18"/>
                <w:vertAlign w:val="superscript"/>
              </w:rPr>
              <w:t>1</w:t>
            </w:r>
          </w:p>
        </w:tc>
      </w:tr>
      <w:tr w:rsidR="001A5A7B" w14:paraId="104EE40C" w14:textId="77777777" w:rsidTr="007D130E">
        <w:trPr>
          <w:cantSplit/>
          <w:tblHeader/>
          <w:jc w:val="center"/>
        </w:trPr>
        <w:tc>
          <w:tcPr>
            <w:tcW w:w="3613" w:type="dxa"/>
            <w:vMerge/>
            <w:shd w:val="clear" w:color="auto" w:fill="408BCA"/>
            <w:tcMar>
              <w:top w:w="0" w:type="dxa"/>
              <w:left w:w="0" w:type="dxa"/>
              <w:bottom w:w="0" w:type="dxa"/>
              <w:right w:w="0" w:type="dxa"/>
            </w:tcMar>
            <w:vAlign w:val="center"/>
          </w:tcPr>
          <w:p w14:paraId="213B3BD1" w14:textId="77777777" w:rsidR="001A5A7B" w:rsidRDefault="001A5A7B" w:rsidP="007D130E">
            <w:pPr>
              <w:spacing w:after="0"/>
              <w:jc w:val="center"/>
            </w:pPr>
          </w:p>
        </w:tc>
        <w:tc>
          <w:tcPr>
            <w:tcW w:w="1811" w:type="dxa"/>
            <w:shd w:val="clear" w:color="auto" w:fill="408BCA"/>
            <w:tcMar>
              <w:top w:w="0" w:type="dxa"/>
              <w:left w:w="0" w:type="dxa"/>
              <w:bottom w:w="0" w:type="dxa"/>
              <w:right w:w="0" w:type="dxa"/>
            </w:tcMar>
            <w:vAlign w:val="center"/>
          </w:tcPr>
          <w:p w14:paraId="78727E37" w14:textId="77777777" w:rsidR="001A5A7B" w:rsidRDefault="001A5A7B" w:rsidP="007D130E">
            <w:pPr>
              <w:spacing w:after="0"/>
              <w:jc w:val="center"/>
            </w:pPr>
            <w:r>
              <w:rPr>
                <w:rFonts w:eastAsia="Century Gothic" w:cs="Century Gothic"/>
                <w:b/>
                <w:color w:val="FFFFFF"/>
                <w:sz w:val="18"/>
                <w:szCs w:val="18"/>
              </w:rPr>
              <w:t>Mean (median)</w:t>
            </w:r>
          </w:p>
        </w:tc>
        <w:tc>
          <w:tcPr>
            <w:tcW w:w="1811" w:type="dxa"/>
            <w:shd w:val="clear" w:color="auto" w:fill="408BCA"/>
            <w:tcMar>
              <w:top w:w="0" w:type="dxa"/>
              <w:left w:w="0" w:type="dxa"/>
              <w:bottom w:w="0" w:type="dxa"/>
              <w:right w:w="0" w:type="dxa"/>
            </w:tcMar>
            <w:vAlign w:val="center"/>
          </w:tcPr>
          <w:p w14:paraId="5B60F426" w14:textId="77777777" w:rsidR="001A5A7B" w:rsidRDefault="001A5A7B" w:rsidP="007D130E">
            <w:pPr>
              <w:spacing w:after="0"/>
              <w:jc w:val="center"/>
            </w:pPr>
            <w:r>
              <w:rPr>
                <w:rFonts w:eastAsia="Century Gothic" w:cs="Century Gothic"/>
                <w:b/>
                <w:color w:val="FFFFFF"/>
                <w:sz w:val="18"/>
                <w:szCs w:val="18"/>
              </w:rPr>
              <w:t>Wave 2</w:t>
            </w:r>
          </w:p>
        </w:tc>
        <w:tc>
          <w:tcPr>
            <w:tcW w:w="1811" w:type="dxa"/>
            <w:shd w:val="clear" w:color="auto" w:fill="408BCA"/>
            <w:tcMar>
              <w:top w:w="0" w:type="dxa"/>
              <w:left w:w="0" w:type="dxa"/>
              <w:bottom w:w="0" w:type="dxa"/>
              <w:right w:w="0" w:type="dxa"/>
            </w:tcMar>
            <w:vAlign w:val="center"/>
          </w:tcPr>
          <w:p w14:paraId="31832C7F" w14:textId="77777777" w:rsidR="001A5A7B" w:rsidRDefault="001A5A7B" w:rsidP="007D130E">
            <w:pPr>
              <w:spacing w:after="0"/>
              <w:jc w:val="center"/>
            </w:pPr>
            <w:r>
              <w:rPr>
                <w:rFonts w:eastAsia="Century Gothic" w:cs="Century Gothic"/>
                <w:b/>
                <w:color w:val="FFFFFF"/>
                <w:sz w:val="18"/>
                <w:szCs w:val="18"/>
              </w:rPr>
              <w:t>Wave 3</w:t>
            </w:r>
          </w:p>
        </w:tc>
      </w:tr>
      <w:tr w:rsidR="001A5A7B" w14:paraId="2D5ACF61" w14:textId="77777777" w:rsidTr="007D130E">
        <w:trPr>
          <w:cantSplit/>
          <w:jc w:val="center"/>
        </w:trPr>
        <w:tc>
          <w:tcPr>
            <w:tcW w:w="3613" w:type="dxa"/>
            <w:shd w:val="clear" w:color="auto" w:fill="FFFFFF"/>
            <w:tcMar>
              <w:top w:w="0" w:type="dxa"/>
              <w:left w:w="0" w:type="dxa"/>
              <w:bottom w:w="0" w:type="dxa"/>
              <w:right w:w="0" w:type="dxa"/>
            </w:tcMar>
            <w:vAlign w:val="center"/>
          </w:tcPr>
          <w:p w14:paraId="01357D1C" w14:textId="3E326EF3" w:rsidR="001A5A7B" w:rsidRDefault="001A5A7B" w:rsidP="008165C2">
            <w:pPr>
              <w:spacing w:before="40" w:after="40"/>
              <w:ind w:left="100" w:right="100"/>
            </w:pPr>
            <w:r>
              <w:rPr>
                <w:rFonts w:eastAsia="Century Gothic" w:cs="Century Gothic"/>
                <w:color w:val="000000"/>
                <w:sz w:val="18"/>
                <w:szCs w:val="18"/>
              </w:rPr>
              <w:t>Total score (EQ-5D-5L)</w:t>
            </w:r>
          </w:p>
        </w:tc>
        <w:tc>
          <w:tcPr>
            <w:tcW w:w="1811" w:type="dxa"/>
            <w:shd w:val="clear" w:color="auto" w:fill="FFFFFF"/>
            <w:tcMar>
              <w:top w:w="0" w:type="dxa"/>
              <w:left w:w="0" w:type="dxa"/>
              <w:bottom w:w="0" w:type="dxa"/>
              <w:right w:w="0" w:type="dxa"/>
            </w:tcMar>
            <w:vAlign w:val="center"/>
          </w:tcPr>
          <w:p w14:paraId="7C0D4E1F" w14:textId="77777777" w:rsidR="001A5A7B" w:rsidRDefault="001A5A7B" w:rsidP="008165C2">
            <w:pPr>
              <w:spacing w:before="40" w:after="40"/>
              <w:ind w:left="100" w:right="100"/>
              <w:jc w:val="center"/>
            </w:pPr>
            <w:r>
              <w:rPr>
                <w:rFonts w:eastAsia="Century Gothic" w:cs="Century Gothic"/>
                <w:color w:val="000000"/>
                <w:sz w:val="18"/>
                <w:szCs w:val="18"/>
              </w:rPr>
              <w:t>0.7 (0.7)</w:t>
            </w:r>
          </w:p>
        </w:tc>
        <w:tc>
          <w:tcPr>
            <w:tcW w:w="1811" w:type="dxa"/>
            <w:shd w:val="clear" w:color="auto" w:fill="FFFFFF"/>
            <w:tcMar>
              <w:top w:w="0" w:type="dxa"/>
              <w:left w:w="0" w:type="dxa"/>
              <w:bottom w:w="0" w:type="dxa"/>
              <w:right w:w="0" w:type="dxa"/>
            </w:tcMar>
            <w:vAlign w:val="center"/>
          </w:tcPr>
          <w:p w14:paraId="257AE8E3" w14:textId="77777777" w:rsidR="001A5A7B" w:rsidRDefault="001A5A7B" w:rsidP="008165C2">
            <w:pPr>
              <w:spacing w:before="40" w:after="40"/>
              <w:ind w:left="100" w:right="100"/>
              <w:jc w:val="center"/>
            </w:pPr>
            <w:r>
              <w:rPr>
                <w:rFonts w:eastAsia="Century Gothic" w:cs="Century Gothic"/>
                <w:color w:val="000000"/>
                <w:sz w:val="18"/>
                <w:szCs w:val="18"/>
              </w:rPr>
              <w:t>0.00 (-0.01, 0.01)</w:t>
            </w:r>
          </w:p>
        </w:tc>
        <w:tc>
          <w:tcPr>
            <w:tcW w:w="1811" w:type="dxa"/>
            <w:shd w:val="clear" w:color="auto" w:fill="FFFFFF"/>
            <w:tcMar>
              <w:top w:w="0" w:type="dxa"/>
              <w:left w:w="0" w:type="dxa"/>
              <w:bottom w:w="0" w:type="dxa"/>
              <w:right w:w="0" w:type="dxa"/>
            </w:tcMar>
            <w:vAlign w:val="center"/>
          </w:tcPr>
          <w:p w14:paraId="77450196" w14:textId="77777777" w:rsidR="001A5A7B" w:rsidRDefault="001A5A7B" w:rsidP="008165C2">
            <w:pPr>
              <w:spacing w:before="40" w:after="40"/>
              <w:ind w:left="100" w:right="100"/>
              <w:jc w:val="center"/>
            </w:pPr>
            <w:r>
              <w:rPr>
                <w:rFonts w:eastAsia="Century Gothic" w:cs="Century Gothic"/>
                <w:color w:val="000000"/>
                <w:sz w:val="18"/>
                <w:szCs w:val="18"/>
              </w:rPr>
              <w:t>-0.01 (-0.02, 0.00)</w:t>
            </w:r>
          </w:p>
        </w:tc>
      </w:tr>
    </w:tbl>
    <w:p w14:paraId="1D1B3CA9" w14:textId="5E2E48F1" w:rsidR="002E559B" w:rsidRDefault="00E364DA" w:rsidP="00012402">
      <w:pPr>
        <w:pStyle w:val="Source"/>
        <w:spacing w:after="0"/>
      </w:pPr>
      <w:r>
        <w:t xml:space="preserve">Notes: </w:t>
      </w:r>
      <w:r w:rsidRPr="00E364DA">
        <w:rPr>
          <w:vertAlign w:val="superscript"/>
        </w:rPr>
        <w:t>1</w:t>
      </w:r>
      <w:r w:rsidR="001A5A7B" w:rsidRPr="001A5A7B">
        <w:t xml:space="preserve"> Change is estimated from an analysis involving all patients who completed at least one survey using generalised linear mixed model with random intercept terms for patient and practice. Very similar results were obtained from the same analysis using only those patients who completed all 3 surveys.</w:t>
      </w:r>
    </w:p>
    <w:p w14:paraId="75716C08" w14:textId="3589B47A" w:rsidR="00E364DA" w:rsidRDefault="00E364DA" w:rsidP="00E364DA">
      <w:pPr>
        <w:pStyle w:val="Chartortablefootnote"/>
      </w:pPr>
      <w:r w:rsidRPr="00E364DA">
        <w:t>Source: Patient surveys Wave 1 Dec 2017–Mar 2019; Wave 2 Dec 2019–Mar 2020; Wave 3 Mar–Apr 2021.</w:t>
      </w:r>
    </w:p>
    <w:p w14:paraId="2F82FDE1" w14:textId="77777777" w:rsidR="00804164" w:rsidRDefault="00804164">
      <w:pPr>
        <w:spacing w:after="160" w:line="259" w:lineRule="auto"/>
        <w:rPr>
          <w:rFonts w:eastAsiaTheme="minorEastAsia"/>
          <w:bCs/>
          <w:i/>
          <w:sz w:val="16"/>
          <w:szCs w:val="16"/>
          <w:lang w:eastAsia="en-AU"/>
        </w:rPr>
      </w:pPr>
      <w:r>
        <w:br w:type="page"/>
      </w:r>
    </w:p>
    <w:p w14:paraId="2668BF8A" w14:textId="42D9CF37" w:rsidR="00000B7C" w:rsidRPr="00000B7C" w:rsidRDefault="00000B7C" w:rsidP="00000B7C">
      <w:pPr>
        <w:pStyle w:val="Heading2"/>
      </w:pPr>
      <w:bookmarkStart w:id="359" w:name="_Toc109996733"/>
      <w:r w:rsidRPr="00000B7C">
        <w:lastRenderedPageBreak/>
        <w:t xml:space="preserve">Self-reported emergency department </w:t>
      </w:r>
      <w:r w:rsidR="007C500B" w:rsidRPr="00000B7C">
        <w:t>and hospital utilisation</w:t>
      </w:r>
      <w:bookmarkEnd w:id="359"/>
    </w:p>
    <w:p w14:paraId="5C6B4EDA" w14:textId="77777777" w:rsidR="00000B7C" w:rsidRDefault="00000B7C" w:rsidP="00000B7C">
      <w:pPr>
        <w:rPr>
          <w:b/>
          <w:bCs/>
        </w:rPr>
      </w:pPr>
      <w:r>
        <w:t>In</w:t>
      </w:r>
      <w:r w:rsidR="001437D9" w:rsidRPr="001437D9">
        <w:t xml:space="preserve"> the </w:t>
      </w:r>
      <w:r>
        <w:t xml:space="preserve">patient </w:t>
      </w:r>
      <w:r w:rsidR="001437D9" w:rsidRPr="001437D9">
        <w:t>survey</w:t>
      </w:r>
      <w:r>
        <w:t>, patients</w:t>
      </w:r>
      <w:r w:rsidR="001437D9" w:rsidRPr="001437D9">
        <w:t xml:space="preserve"> reported a reduction in</w:t>
      </w:r>
      <w:r w:rsidR="001437D9" w:rsidRPr="00BE5232">
        <w:t xml:space="preserve"> emergency department </w:t>
      </w:r>
      <w:r w:rsidR="000C1540" w:rsidRPr="00BE5232">
        <w:t>attendance</w:t>
      </w:r>
      <w:r>
        <w:t>s</w:t>
      </w:r>
      <w:r w:rsidR="001437D9" w:rsidRPr="00BE5232">
        <w:t xml:space="preserve"> </w:t>
      </w:r>
      <w:r w:rsidR="000C1540" w:rsidRPr="00BE5232">
        <w:t xml:space="preserve">in the previous 12 months, </w:t>
      </w:r>
      <w:r w:rsidR="00F332B5" w:rsidRPr="00BE5232">
        <w:t>and</w:t>
      </w:r>
      <w:r w:rsidR="000C1540" w:rsidRPr="00BE5232">
        <w:t xml:space="preserve"> </w:t>
      </w:r>
      <w:r w:rsidR="00F332B5">
        <w:t>in</w:t>
      </w:r>
      <w:r w:rsidR="000C1540" w:rsidRPr="00BE5232">
        <w:t xml:space="preserve"> at least one overnight hospital stay.</w:t>
      </w:r>
      <w:r w:rsidR="006765D7">
        <w:rPr>
          <w:b/>
          <w:bCs/>
        </w:rPr>
        <w:t xml:space="preserve"> </w:t>
      </w:r>
    </w:p>
    <w:p w14:paraId="7A2502EC" w14:textId="5597B400" w:rsidR="0055353A" w:rsidRDefault="0055353A" w:rsidP="00000B7C">
      <w:r w:rsidRPr="00CB1CFD">
        <w:t xml:space="preserve">The </w:t>
      </w:r>
      <w:r>
        <w:t xml:space="preserve">proportion of </w:t>
      </w:r>
      <w:r w:rsidRPr="00CB1CFD">
        <w:t>patient</w:t>
      </w:r>
      <w:r>
        <w:t>s</w:t>
      </w:r>
      <w:r w:rsidRPr="00CB1CFD">
        <w:t xml:space="preserve"> report</w:t>
      </w:r>
      <w:r>
        <w:t xml:space="preserve">ing at least one </w:t>
      </w:r>
      <w:r w:rsidRPr="00CB1CFD">
        <w:t xml:space="preserve">emergency department attendance in the last 12 months (36% in wave 1) is slightly higher than the results from the linked data (27.9% in the </w:t>
      </w:r>
      <w:r w:rsidR="006532DA">
        <w:t>p</w:t>
      </w:r>
      <w:r w:rsidRPr="00CB1CFD">
        <w:t>re</w:t>
      </w:r>
      <w:r w:rsidR="006532DA">
        <w:t>-</w:t>
      </w:r>
      <w:r w:rsidRPr="00FA1A68">
        <w:t xml:space="preserve">enrolment period </w:t>
      </w:r>
      <w:r w:rsidR="006C69F4" w:rsidRPr="00FA1A68">
        <w:t>–</w:t>
      </w:r>
      <w:r w:rsidRPr="00FA1A68">
        <w:t xml:space="preserve"> see</w:t>
      </w:r>
      <w:r w:rsidR="006C69F4" w:rsidRPr="00FA1A68">
        <w:t xml:space="preserve"> </w:t>
      </w:r>
      <w:r w:rsidR="00FA1A68" w:rsidRPr="00FA1A68">
        <w:rPr>
          <w:rFonts w:eastAsia="Yu Mincho" w:cs="Arial"/>
          <w:color w:val="1D2455"/>
          <w:szCs w:val="20"/>
          <w:lang w:eastAsia="en-AU"/>
        </w:rPr>
        <w:fldChar w:fldCharType="begin"/>
      </w:r>
      <w:r w:rsidR="00FA1A68" w:rsidRPr="00FA1A68">
        <w:rPr>
          <w:rFonts w:eastAsia="Yu Mincho" w:cs="Arial"/>
          <w:color w:val="1D2455"/>
          <w:szCs w:val="20"/>
          <w:lang w:eastAsia="en-AU"/>
        </w:rPr>
        <w:instrText xml:space="preserve"> REF _Ref96892252 \h  \* MERGEFORMAT </w:instrText>
      </w:r>
      <w:r w:rsidR="00FA1A68" w:rsidRPr="00FA1A68">
        <w:rPr>
          <w:rFonts w:eastAsia="Yu Mincho" w:cs="Arial"/>
          <w:color w:val="1D2455"/>
          <w:szCs w:val="20"/>
          <w:lang w:eastAsia="en-AU"/>
        </w:rPr>
      </w:r>
      <w:r w:rsidR="00FA1A68" w:rsidRPr="00FA1A68">
        <w:rPr>
          <w:rFonts w:eastAsia="Yu Mincho" w:cs="Arial"/>
          <w:color w:val="1D2455"/>
          <w:szCs w:val="20"/>
          <w:lang w:eastAsia="en-AU"/>
        </w:rPr>
        <w:fldChar w:fldCharType="separate"/>
      </w:r>
      <w:r w:rsidR="003C4BC2" w:rsidRPr="003C4BC2">
        <w:rPr>
          <w:rFonts w:eastAsia="Yu Mincho" w:cs="Arial"/>
          <w:color w:val="1D2455"/>
          <w:szCs w:val="20"/>
          <w:lang w:eastAsia="en-AU"/>
        </w:rPr>
        <w:t>Figure 69</w:t>
      </w:r>
      <w:r w:rsidR="00FA1A68" w:rsidRPr="00FA1A68">
        <w:rPr>
          <w:rFonts w:eastAsia="Yu Mincho" w:cs="Arial"/>
          <w:color w:val="1D2455"/>
          <w:szCs w:val="20"/>
          <w:lang w:eastAsia="en-AU"/>
        </w:rPr>
        <w:fldChar w:fldCharType="end"/>
      </w:r>
      <w:r w:rsidR="00FA1A68" w:rsidRPr="00FA1A68">
        <w:t xml:space="preserve">, p. </w:t>
      </w:r>
      <w:r w:rsidR="00FA1A68" w:rsidRPr="00FA1A68">
        <w:fldChar w:fldCharType="begin"/>
      </w:r>
      <w:r w:rsidR="00FA1A68" w:rsidRPr="00FA1A68">
        <w:instrText xml:space="preserve"> PAGEREF _Ref99214275 \h </w:instrText>
      </w:r>
      <w:r w:rsidR="00FA1A68" w:rsidRPr="00FA1A68">
        <w:fldChar w:fldCharType="separate"/>
      </w:r>
      <w:r w:rsidR="003C4BC2">
        <w:rPr>
          <w:noProof/>
        </w:rPr>
        <w:t>244</w:t>
      </w:r>
      <w:r w:rsidR="00FA1A68" w:rsidRPr="00FA1A68">
        <w:fldChar w:fldCharType="end"/>
      </w:r>
      <w:r w:rsidRPr="00FA1A68">
        <w:t>), although</w:t>
      </w:r>
      <w:r w:rsidRPr="00CB1CFD">
        <w:t xml:space="preserve"> there is a decline for both measures.</w:t>
      </w:r>
    </w:p>
    <w:p w14:paraId="78EE23A0" w14:textId="42836A68" w:rsidR="0055353A" w:rsidRDefault="0055353A" w:rsidP="00000B7C">
      <w:r w:rsidRPr="00CB1CFD">
        <w:t xml:space="preserve">The proportion of patients reporting at least one overnight hospital </w:t>
      </w:r>
      <w:r w:rsidR="00C40D3E">
        <w:t>stay</w:t>
      </w:r>
      <w:r w:rsidRPr="00CB1CFD">
        <w:t xml:space="preserve"> in the last 12 months </w:t>
      </w:r>
      <w:r w:rsidR="00263A32">
        <w:t xml:space="preserve">was </w:t>
      </w:r>
      <w:r w:rsidRPr="00CB1CFD">
        <w:t>31% in wave 1</w:t>
      </w:r>
      <w:r w:rsidR="00263A32">
        <w:t xml:space="preserve">, and </w:t>
      </w:r>
      <w:r w:rsidRPr="00CB1CFD">
        <w:t xml:space="preserve">is also higher than </w:t>
      </w:r>
      <w:r w:rsidR="001E4FB4">
        <w:t xml:space="preserve">the </w:t>
      </w:r>
      <w:r w:rsidRPr="00CB1CFD">
        <w:t>proportion generated from the linked data (</w:t>
      </w:r>
      <w:r>
        <w:t>2</w:t>
      </w:r>
      <w:r w:rsidRPr="00CB1CFD">
        <w:t>7.2% for the pre-enrolment period</w:t>
      </w:r>
      <w:r w:rsidR="00FA1A68">
        <w:t xml:space="preserve"> – see </w:t>
      </w:r>
      <w:r w:rsidR="00FA1A68" w:rsidRPr="00FA1A68">
        <w:rPr>
          <w:rFonts w:eastAsia="Yu Mincho" w:cs="Arial"/>
          <w:color w:val="1D2455"/>
          <w:szCs w:val="20"/>
          <w:lang w:eastAsia="en-AU"/>
        </w:rPr>
        <w:fldChar w:fldCharType="begin"/>
      </w:r>
      <w:r w:rsidR="00FA1A68" w:rsidRPr="00FA1A68">
        <w:rPr>
          <w:rFonts w:eastAsia="Yu Mincho" w:cs="Arial"/>
          <w:color w:val="1D2455"/>
          <w:szCs w:val="20"/>
          <w:lang w:eastAsia="en-AU"/>
        </w:rPr>
        <w:instrText xml:space="preserve"> REF _Ref96871856 \h </w:instrText>
      </w:r>
      <w:r w:rsidR="00FA1A68">
        <w:rPr>
          <w:rFonts w:eastAsia="Yu Mincho" w:cs="Arial"/>
          <w:color w:val="1D2455"/>
          <w:szCs w:val="20"/>
          <w:lang w:eastAsia="en-AU"/>
        </w:rPr>
        <w:instrText xml:space="preserve"> \* MERGEFORMAT </w:instrText>
      </w:r>
      <w:r w:rsidR="00FA1A68" w:rsidRPr="00FA1A68">
        <w:rPr>
          <w:rFonts w:eastAsia="Yu Mincho" w:cs="Arial"/>
          <w:color w:val="1D2455"/>
          <w:szCs w:val="20"/>
          <w:lang w:eastAsia="en-AU"/>
        </w:rPr>
      </w:r>
      <w:r w:rsidR="00FA1A68" w:rsidRPr="00FA1A68">
        <w:rPr>
          <w:rFonts w:eastAsia="Yu Mincho" w:cs="Arial"/>
          <w:color w:val="1D2455"/>
          <w:szCs w:val="20"/>
          <w:lang w:eastAsia="en-AU"/>
        </w:rPr>
        <w:fldChar w:fldCharType="separate"/>
      </w:r>
      <w:r w:rsidR="003C4BC2" w:rsidRPr="003C4BC2">
        <w:rPr>
          <w:rFonts w:eastAsia="Yu Mincho" w:cs="Arial"/>
          <w:color w:val="1D2455"/>
          <w:szCs w:val="20"/>
          <w:lang w:eastAsia="en-AU"/>
        </w:rPr>
        <w:t>Figure 66</w:t>
      </w:r>
      <w:r w:rsidR="00FA1A68" w:rsidRPr="00FA1A68">
        <w:rPr>
          <w:rFonts w:eastAsia="Yu Mincho" w:cs="Arial"/>
          <w:color w:val="1D2455"/>
          <w:szCs w:val="20"/>
          <w:lang w:eastAsia="en-AU"/>
        </w:rPr>
        <w:fldChar w:fldCharType="end"/>
      </w:r>
      <w:r w:rsidR="00FA1A68">
        <w:t xml:space="preserve">, p. </w:t>
      </w:r>
      <w:r w:rsidR="00FA1A68">
        <w:fldChar w:fldCharType="begin"/>
      </w:r>
      <w:r w:rsidR="00FA1A68">
        <w:instrText xml:space="preserve"> PAGEREF _Ref99214328 \h </w:instrText>
      </w:r>
      <w:r w:rsidR="00FA1A68">
        <w:fldChar w:fldCharType="separate"/>
      </w:r>
      <w:r w:rsidR="003C4BC2">
        <w:rPr>
          <w:noProof/>
        </w:rPr>
        <w:t>240</w:t>
      </w:r>
      <w:r w:rsidR="00FA1A68">
        <w:fldChar w:fldCharType="end"/>
      </w:r>
      <w:r w:rsidRPr="00CB1CFD">
        <w:t>)</w:t>
      </w:r>
      <w:r>
        <w:t>. This will be influence</w:t>
      </w:r>
      <w:r w:rsidR="006765D7">
        <w:t>d</w:t>
      </w:r>
      <w:r>
        <w:t xml:space="preserve"> by the linked data measure includ</w:t>
      </w:r>
      <w:r w:rsidR="0066162D">
        <w:t>ing</w:t>
      </w:r>
      <w:r>
        <w:t xml:space="preserve"> both same day and overnight hospitalisations.</w:t>
      </w:r>
      <w:r w:rsidR="006765D7">
        <w:t xml:space="preserve"> </w:t>
      </w:r>
      <w:r>
        <w:t>Whereas the patient</w:t>
      </w:r>
      <w:r w:rsidR="00000B7C">
        <w:t>-</w:t>
      </w:r>
      <w:r>
        <w:t>reported measure shows a decline, the linked data</w:t>
      </w:r>
      <w:r w:rsidR="00000B7C">
        <w:t xml:space="preserve"> does not.</w:t>
      </w:r>
    </w:p>
    <w:p w14:paraId="14F14714" w14:textId="1488047A" w:rsidR="00EA37B5" w:rsidRDefault="0055353A" w:rsidP="00000B7C">
      <w:r>
        <w:t>There are many possible reasons for the differences between the patient</w:t>
      </w:r>
      <w:r w:rsidR="00000B7C">
        <w:t>-</w:t>
      </w:r>
      <w:r>
        <w:t>reported and linked data, including recall bias and survivor bias impacting the patient survey</w:t>
      </w:r>
      <w:r w:rsidR="00C640A9">
        <w:t xml:space="preserve">, as well as </w:t>
      </w:r>
      <w:r w:rsidR="00000B7C">
        <w:t>potential</w:t>
      </w:r>
      <w:r w:rsidR="00C640A9">
        <w:t xml:space="preserve"> </w:t>
      </w:r>
      <w:r>
        <w:t>weakness</w:t>
      </w:r>
      <w:r w:rsidR="00000B7C">
        <w:t>es</w:t>
      </w:r>
      <w:r>
        <w:t xml:space="preserve"> in record linkage </w:t>
      </w:r>
      <w:r w:rsidR="00000B7C">
        <w:t>affecting</w:t>
      </w:r>
      <w:r>
        <w:t xml:space="preserve"> the linked data.</w:t>
      </w:r>
    </w:p>
    <w:p w14:paraId="788FFA4B" w14:textId="556608EC" w:rsidR="007C500B" w:rsidRPr="007D130E" w:rsidRDefault="007C500B" w:rsidP="001437D9">
      <w:pPr>
        <w:pStyle w:val="TableorFigurecaptionHPA"/>
        <w:ind w:left="720"/>
        <w:rPr>
          <w:rFonts w:eastAsia="Yu Mincho" w:cs="Arial"/>
        </w:rPr>
      </w:pPr>
      <w:r w:rsidRPr="007D130E">
        <w:rPr>
          <w:rFonts w:eastAsia="Yu Mincho" w:cs="Arial"/>
        </w:rPr>
        <w:t xml:space="preserve">Figure </w:t>
      </w:r>
      <w:r w:rsidRPr="007D130E">
        <w:rPr>
          <w:rFonts w:eastAsia="Yu Mincho" w:cs="Arial"/>
        </w:rPr>
        <w:fldChar w:fldCharType="begin"/>
      </w:r>
      <w:r w:rsidRPr="007D130E">
        <w:rPr>
          <w:rFonts w:eastAsia="Yu Mincho" w:cs="Arial"/>
        </w:rPr>
        <w:instrText xml:space="preserve"> SEQ Figure \* ARABIC </w:instrText>
      </w:r>
      <w:r w:rsidRPr="007D130E">
        <w:rPr>
          <w:rFonts w:eastAsia="Yu Mincho" w:cs="Arial"/>
        </w:rPr>
        <w:fldChar w:fldCharType="separate"/>
      </w:r>
      <w:r w:rsidR="003C4BC2">
        <w:rPr>
          <w:rFonts w:eastAsia="Yu Mincho" w:cs="Arial"/>
          <w:noProof/>
        </w:rPr>
        <w:t>50</w:t>
      </w:r>
      <w:r w:rsidRPr="007D130E">
        <w:rPr>
          <w:rFonts w:eastAsia="Yu Mincho" w:cs="Arial"/>
        </w:rPr>
        <w:fldChar w:fldCharType="end"/>
      </w:r>
      <w:r w:rsidRPr="007D130E">
        <w:rPr>
          <w:rFonts w:eastAsia="Yu Mincho" w:cs="Arial"/>
        </w:rPr>
        <w:t>: Patient</w:t>
      </w:r>
      <w:r w:rsidR="00000B7C">
        <w:rPr>
          <w:rFonts w:eastAsia="Yu Mincho" w:cs="Arial"/>
        </w:rPr>
        <w:t>-</w:t>
      </w:r>
      <w:r w:rsidR="001437D9">
        <w:rPr>
          <w:rFonts w:eastAsia="Yu Mincho" w:cs="Arial"/>
        </w:rPr>
        <w:t xml:space="preserve">reported </w:t>
      </w:r>
      <w:r w:rsidR="00184F8D">
        <w:rPr>
          <w:rFonts w:eastAsia="Yu Mincho" w:cs="Arial"/>
        </w:rPr>
        <w:t xml:space="preserve">emergency department and </w:t>
      </w:r>
      <w:r w:rsidR="001437D9">
        <w:rPr>
          <w:rFonts w:eastAsia="Yu Mincho" w:cs="Arial"/>
        </w:rPr>
        <w:t>hospital utilisation by survey wave</w:t>
      </w:r>
    </w:p>
    <w:p w14:paraId="5B648F12" w14:textId="1DF35226" w:rsidR="002E559B" w:rsidRPr="001A5A7B" w:rsidRDefault="007C500B" w:rsidP="00000B7C">
      <w:pPr>
        <w:ind w:left="357"/>
        <w:jc w:val="center"/>
        <w:rPr>
          <w:sz w:val="16"/>
          <w:szCs w:val="16"/>
        </w:rPr>
      </w:pPr>
      <w:r>
        <w:rPr>
          <w:noProof/>
        </w:rPr>
        <w:drawing>
          <wp:inline distT="0" distB="0" distL="0" distR="0" wp14:anchorId="3671A0A2" wp14:editId="65D1EACF">
            <wp:extent cx="4586400" cy="3020400"/>
            <wp:effectExtent l="0" t="0" r="0" b="0"/>
            <wp:docPr id="41" name="Picture 4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Chart, bar chart&#10;&#10;Description automatically generated"/>
                    <pic:cNvPicPr/>
                  </pic:nvPicPr>
                  <pic:blipFill>
                    <a:blip r:embed="rId78"/>
                    <a:stretch>
                      <a:fillRect/>
                    </a:stretch>
                  </pic:blipFill>
                  <pic:spPr>
                    <a:xfrm>
                      <a:off x="0" y="0"/>
                      <a:ext cx="4586400" cy="3020400"/>
                    </a:xfrm>
                    <a:prstGeom prst="rect">
                      <a:avLst/>
                    </a:prstGeom>
                  </pic:spPr>
                </pic:pic>
              </a:graphicData>
            </a:graphic>
          </wp:inline>
        </w:drawing>
      </w:r>
    </w:p>
    <w:p w14:paraId="1AA32B3D" w14:textId="6EA67E0D" w:rsidR="00E364DA" w:rsidRPr="00E364DA" w:rsidRDefault="00E364DA" w:rsidP="00E364DA">
      <w:pPr>
        <w:pStyle w:val="Chartortablefootnote"/>
      </w:pPr>
      <w:r w:rsidRPr="00E364DA">
        <w:t>Source: Patient surveys Wave 1 Dec 2017–Mar 2019; Wave 2 Dec 2019–Mar 2020; Wave 3 Mar–Apr 2021.</w:t>
      </w:r>
    </w:p>
    <w:p w14:paraId="7535C8A8" w14:textId="13A825A0" w:rsidR="00363632" w:rsidRDefault="00363632">
      <w:pPr>
        <w:spacing w:after="160" w:line="259" w:lineRule="auto"/>
        <w:rPr>
          <w:rFonts w:cs="Calibri (Body)"/>
          <w:color w:val="000000"/>
          <w:lang w:val="en-GB"/>
        </w:rPr>
      </w:pPr>
      <w:r>
        <w:rPr>
          <w:rFonts w:cs="Calibri (Body)"/>
          <w:color w:val="000000"/>
          <w:lang w:val="en-GB"/>
        </w:rPr>
        <w:br w:type="page"/>
      </w:r>
    </w:p>
    <w:p w14:paraId="71E92419" w14:textId="7DC3B156" w:rsidR="005B6744" w:rsidRPr="0094369A" w:rsidRDefault="005B6744" w:rsidP="005B6744">
      <w:pPr>
        <w:pStyle w:val="ChapterNumber"/>
      </w:pPr>
      <w:r>
        <w:lastRenderedPageBreak/>
        <w:fldChar w:fldCharType="begin"/>
      </w:r>
      <w:r>
        <w:instrText xml:space="preserve"> REF _Ref82530174 \r \h </w:instrText>
      </w:r>
      <w:r>
        <w:fldChar w:fldCharType="separate"/>
      </w:r>
      <w:r w:rsidR="003C4BC2">
        <w:t>18</w:t>
      </w:r>
      <w:r>
        <w:fldChar w:fldCharType="end"/>
      </w:r>
    </w:p>
    <w:p w14:paraId="181AD29D" w14:textId="719E1ACD" w:rsidR="005B6744" w:rsidRDefault="00AA7FDB" w:rsidP="005B6744">
      <w:pPr>
        <w:pStyle w:val="Heading1withnumber"/>
        <w:ind w:left="0" w:hanging="1134"/>
      </w:pPr>
      <w:bookmarkStart w:id="360" w:name="_Ref82530174"/>
      <w:bookmarkStart w:id="361" w:name="_Ref103765343"/>
      <w:bookmarkStart w:id="362" w:name="_Ref103765952"/>
      <w:bookmarkStart w:id="363" w:name="_Ref103771720"/>
      <w:bookmarkStart w:id="364" w:name="_Toc109996734"/>
      <w:r>
        <w:t>P</w:t>
      </w:r>
      <w:r w:rsidR="005B6744">
        <w:t>atient outcomes</w:t>
      </w:r>
      <w:bookmarkEnd w:id="360"/>
      <w:r w:rsidR="008E70F5">
        <w:t>: Linked data</w:t>
      </w:r>
      <w:bookmarkEnd w:id="361"/>
      <w:bookmarkEnd w:id="362"/>
      <w:bookmarkEnd w:id="363"/>
      <w:bookmarkEnd w:id="364"/>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B90A66" w:rsidRPr="0048466A" w14:paraId="392FC61F" w14:textId="77777777" w:rsidTr="0032660B">
        <w:tc>
          <w:tcPr>
            <w:tcW w:w="8996" w:type="dxa"/>
            <w:shd w:val="clear" w:color="auto" w:fill="auto"/>
          </w:tcPr>
          <w:p w14:paraId="0D16C59E" w14:textId="6957D554" w:rsidR="00B90A66" w:rsidRPr="006201AB" w:rsidRDefault="00B90A66" w:rsidP="00AF15A5">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25</w:t>
            </w:r>
            <w:r w:rsidRPr="006201AB">
              <w:rPr>
                <w:bCs/>
                <w:noProof/>
              </w:rPr>
              <w:fldChar w:fldCharType="end"/>
            </w:r>
            <w:r w:rsidRPr="006201AB">
              <w:rPr>
                <w:bCs/>
                <w:szCs w:val="20"/>
              </w:rPr>
              <w:t>: Chapter summary</w:t>
            </w:r>
          </w:p>
          <w:p w14:paraId="4D77CC35" w14:textId="4483E669" w:rsidR="004F5CEF" w:rsidRDefault="004F5CEF" w:rsidP="004F5CEF">
            <w:pPr>
              <w:rPr>
                <w:rFonts w:eastAsia="Muli" w:cs="Muli"/>
                <w:color w:val="000000" w:themeColor="text1"/>
                <w:sz w:val="18"/>
                <w:szCs w:val="18"/>
              </w:rPr>
            </w:pPr>
            <w:r w:rsidRPr="1CCBCD4B">
              <w:rPr>
                <w:rFonts w:eastAsia="Muli" w:cs="Muli"/>
                <w:color w:val="000000" w:themeColor="text1"/>
                <w:sz w:val="18"/>
                <w:szCs w:val="18"/>
              </w:rPr>
              <w:t xml:space="preserve">This </w:t>
            </w:r>
            <w:r w:rsidR="00EB4E3A">
              <w:rPr>
                <w:rFonts w:eastAsia="Muli" w:cs="Muli"/>
                <w:color w:val="000000" w:themeColor="text1"/>
                <w:sz w:val="18"/>
                <w:szCs w:val="18"/>
              </w:rPr>
              <w:t>c</w:t>
            </w:r>
            <w:r w:rsidRPr="1CCBCD4B">
              <w:rPr>
                <w:rFonts w:eastAsia="Muli" w:cs="Muli"/>
                <w:color w:val="000000" w:themeColor="text1"/>
                <w:sz w:val="18"/>
                <w:szCs w:val="18"/>
              </w:rPr>
              <w:t xml:space="preserve">hapter </w:t>
            </w:r>
            <w:r w:rsidR="0078408F">
              <w:rPr>
                <w:rFonts w:eastAsia="Muli" w:cs="Muli"/>
                <w:color w:val="000000" w:themeColor="text1"/>
                <w:sz w:val="18"/>
                <w:szCs w:val="18"/>
              </w:rPr>
              <w:t>reports on analysis</w:t>
            </w:r>
            <w:r w:rsidRPr="1CCBCD4B">
              <w:rPr>
                <w:rFonts w:eastAsia="Muli" w:cs="Muli"/>
                <w:color w:val="000000" w:themeColor="text1"/>
                <w:sz w:val="18"/>
                <w:szCs w:val="18"/>
              </w:rPr>
              <w:t xml:space="preserve"> linked</w:t>
            </w:r>
            <w:r w:rsidRPr="061AFE12">
              <w:rPr>
                <w:rFonts w:eastAsia="Muli" w:cs="Muli"/>
                <w:color w:val="000000" w:themeColor="text1"/>
                <w:sz w:val="18"/>
                <w:szCs w:val="18"/>
              </w:rPr>
              <w:t xml:space="preserve"> routinely collected</w:t>
            </w:r>
            <w:r w:rsidRPr="1CCBCD4B">
              <w:rPr>
                <w:rFonts w:eastAsia="Muli" w:cs="Muli"/>
                <w:color w:val="000000" w:themeColor="text1"/>
                <w:sz w:val="18"/>
                <w:szCs w:val="18"/>
              </w:rPr>
              <w:t xml:space="preserve"> data to examine changes in patient utilisation of primary care, secondary care and community-based services. Medicare claims for primary care services, including non-referred GP consultations and GP management plan and team care, could be made for patients enrolled in HCH where the services were unrelated to the management or treatment of their chronic conditions. This </w:t>
            </w:r>
            <w:r w:rsidR="00EB4E3A">
              <w:rPr>
                <w:rFonts w:eastAsia="Muli" w:cs="Muli"/>
                <w:color w:val="000000" w:themeColor="text1"/>
                <w:sz w:val="18"/>
                <w:szCs w:val="18"/>
              </w:rPr>
              <w:t>c</w:t>
            </w:r>
            <w:r w:rsidRPr="1CCBCD4B">
              <w:rPr>
                <w:rFonts w:eastAsia="Muli" w:cs="Muli"/>
                <w:color w:val="000000" w:themeColor="text1"/>
                <w:sz w:val="18"/>
                <w:szCs w:val="18"/>
              </w:rPr>
              <w:t xml:space="preserve">hapter also examines changes in patient outcomes including </w:t>
            </w:r>
            <w:r w:rsidRPr="061AFE12">
              <w:rPr>
                <w:rFonts w:eastAsia="Muli" w:cs="Muli"/>
                <w:color w:val="000000" w:themeColor="text1"/>
                <w:sz w:val="18"/>
                <w:szCs w:val="18"/>
              </w:rPr>
              <w:t>prescribed medicine use</w:t>
            </w:r>
            <w:r w:rsidRPr="1CCBCD4B">
              <w:rPr>
                <w:rFonts w:eastAsia="Muli" w:cs="Muli"/>
                <w:color w:val="000000" w:themeColor="text1"/>
                <w:sz w:val="18"/>
                <w:szCs w:val="18"/>
              </w:rPr>
              <w:t xml:space="preserve">, admission to hospital, presentation to a hospital emergency department, admission to an aged care facility, cardiovascular events and mortality. These changes in HCH patients were </w:t>
            </w:r>
            <w:r w:rsidR="00E602FD">
              <w:rPr>
                <w:rFonts w:eastAsia="Muli" w:cs="Muli"/>
                <w:color w:val="000000" w:themeColor="text1"/>
                <w:sz w:val="18"/>
                <w:szCs w:val="18"/>
              </w:rPr>
              <w:t>compared with</w:t>
            </w:r>
            <w:r w:rsidRPr="1CCBCD4B">
              <w:rPr>
                <w:rFonts w:eastAsia="Muli" w:cs="Muli"/>
                <w:color w:val="000000" w:themeColor="text1"/>
                <w:sz w:val="18"/>
                <w:szCs w:val="18"/>
              </w:rPr>
              <w:t xml:space="preserve"> those in </w:t>
            </w:r>
            <w:r w:rsidR="006E3D0D">
              <w:rPr>
                <w:rFonts w:eastAsia="Muli" w:cs="Muli"/>
                <w:color w:val="000000" w:themeColor="text1"/>
                <w:sz w:val="18"/>
                <w:szCs w:val="18"/>
              </w:rPr>
              <w:t>“</w:t>
            </w:r>
            <w:r w:rsidR="000E16C4">
              <w:rPr>
                <w:rFonts w:eastAsia="Muli" w:cs="Muli"/>
                <w:color w:val="000000" w:themeColor="text1"/>
                <w:sz w:val="18"/>
                <w:szCs w:val="18"/>
              </w:rPr>
              <w:t>comparator</w:t>
            </w:r>
            <w:r w:rsidR="006E3D0D">
              <w:rPr>
                <w:rFonts w:eastAsia="Muli" w:cs="Muli"/>
                <w:color w:val="000000" w:themeColor="text1"/>
                <w:sz w:val="18"/>
                <w:szCs w:val="18"/>
              </w:rPr>
              <w:t>”</w:t>
            </w:r>
            <w:r w:rsidRPr="1CCBCD4B">
              <w:rPr>
                <w:rFonts w:eastAsia="Muli" w:cs="Muli"/>
                <w:color w:val="000000" w:themeColor="text1"/>
                <w:sz w:val="18"/>
                <w:szCs w:val="18"/>
              </w:rPr>
              <w:t xml:space="preserve"> patients, who were not participating in the HCH program but were matched to HCH patients</w:t>
            </w:r>
            <w:r w:rsidR="00F64528">
              <w:rPr>
                <w:rFonts w:eastAsia="Muli" w:cs="Muli"/>
                <w:color w:val="000000" w:themeColor="text1"/>
                <w:sz w:val="18"/>
                <w:szCs w:val="18"/>
              </w:rPr>
              <w:t>,</w:t>
            </w:r>
            <w:r w:rsidRPr="1CCBCD4B">
              <w:rPr>
                <w:rFonts w:eastAsia="Muli" w:cs="Muli"/>
                <w:color w:val="000000" w:themeColor="text1"/>
                <w:sz w:val="18"/>
                <w:szCs w:val="18"/>
              </w:rPr>
              <w:t xml:space="preserve"> so they had similar pre-enrolment demographic characteristics and patterns of health service use.</w:t>
            </w:r>
            <w:r w:rsidR="008C5DF4">
              <w:rPr>
                <w:rFonts w:eastAsia="Muli" w:cs="Muli"/>
                <w:color w:val="000000" w:themeColor="text1"/>
                <w:sz w:val="18"/>
                <w:szCs w:val="18"/>
              </w:rPr>
              <w:t xml:space="preserve"> Note that the comparators for</w:t>
            </w:r>
            <w:r w:rsidR="00411649">
              <w:rPr>
                <w:rFonts w:eastAsia="Muli" w:cs="Muli"/>
                <w:color w:val="000000" w:themeColor="text1"/>
                <w:sz w:val="18"/>
                <w:szCs w:val="18"/>
              </w:rPr>
              <w:t xml:space="preserve"> the analysis in this </w:t>
            </w:r>
            <w:r w:rsidR="00EB4E3A">
              <w:rPr>
                <w:rFonts w:eastAsia="Muli" w:cs="Muli"/>
                <w:color w:val="000000" w:themeColor="text1"/>
                <w:sz w:val="18"/>
                <w:szCs w:val="18"/>
              </w:rPr>
              <w:t>c</w:t>
            </w:r>
            <w:r w:rsidR="00411649">
              <w:rPr>
                <w:rFonts w:eastAsia="Muli" w:cs="Muli"/>
                <w:color w:val="000000" w:themeColor="text1"/>
                <w:sz w:val="18"/>
                <w:szCs w:val="18"/>
              </w:rPr>
              <w:t xml:space="preserve">hapter were drawn from </w:t>
            </w:r>
            <w:r w:rsidR="00411EDF">
              <w:rPr>
                <w:rFonts w:eastAsia="Muli" w:cs="Muli"/>
                <w:color w:val="000000" w:themeColor="text1"/>
                <w:sz w:val="18"/>
                <w:szCs w:val="18"/>
              </w:rPr>
              <w:t xml:space="preserve">linked </w:t>
            </w:r>
            <w:r w:rsidR="00860B21">
              <w:rPr>
                <w:rFonts w:eastAsia="Muli" w:cs="Muli"/>
                <w:color w:val="000000" w:themeColor="text1"/>
                <w:sz w:val="18"/>
                <w:szCs w:val="18"/>
              </w:rPr>
              <w:t>hospital, emergency department, MBS/PBS and other data</w:t>
            </w:r>
            <w:r w:rsidR="000236CA">
              <w:rPr>
                <w:rFonts w:eastAsia="Muli" w:cs="Muli"/>
                <w:color w:val="000000" w:themeColor="text1"/>
                <w:sz w:val="18"/>
                <w:szCs w:val="18"/>
              </w:rPr>
              <w:t xml:space="preserve"> (not practice data as in Chapter 15).</w:t>
            </w:r>
            <w:r w:rsidR="00411649">
              <w:rPr>
                <w:rFonts w:eastAsia="Muli" w:cs="Muli"/>
                <w:color w:val="000000" w:themeColor="text1"/>
                <w:sz w:val="18"/>
                <w:szCs w:val="18"/>
              </w:rPr>
              <w:t xml:space="preserve"> </w:t>
            </w:r>
          </w:p>
          <w:p w14:paraId="07E1F2C9" w14:textId="5903356B" w:rsidR="00B90A66" w:rsidRDefault="00844332" w:rsidP="004F5CEF">
            <w:pPr>
              <w:rPr>
                <w:rFonts w:eastAsia="Muli" w:cs="Muli"/>
                <w:color w:val="000000" w:themeColor="text1"/>
                <w:sz w:val="18"/>
                <w:szCs w:val="18"/>
              </w:rPr>
            </w:pPr>
            <w:r>
              <w:rPr>
                <w:rFonts w:eastAsia="Muli" w:cs="Muli"/>
                <w:color w:val="000000" w:themeColor="text1"/>
                <w:sz w:val="18"/>
                <w:szCs w:val="18"/>
              </w:rPr>
              <w:t>The</w:t>
            </w:r>
            <w:r w:rsidR="00B90A66" w:rsidRPr="001129DB">
              <w:rPr>
                <w:rFonts w:eastAsia="Muli" w:cs="Muli"/>
                <w:color w:val="000000" w:themeColor="text1"/>
                <w:sz w:val="18"/>
                <w:szCs w:val="18"/>
              </w:rPr>
              <w:t xml:space="preserve"> main findings are:</w:t>
            </w:r>
          </w:p>
          <w:p w14:paraId="022BC138" w14:textId="62B5D73F" w:rsidR="004F5CEF" w:rsidRPr="00E754E4" w:rsidRDefault="004F5CEF" w:rsidP="00BB7C8D">
            <w:pPr>
              <w:pStyle w:val="ListParagraph"/>
              <w:numPr>
                <w:ilvl w:val="0"/>
                <w:numId w:val="47"/>
              </w:numPr>
              <w:rPr>
                <w:rFonts w:asciiTheme="minorHAnsi" w:eastAsiaTheme="minorEastAsia" w:hAnsiTheme="minorHAnsi"/>
                <w:color w:val="000000" w:themeColor="text1"/>
                <w:sz w:val="18"/>
                <w:szCs w:val="18"/>
              </w:rPr>
            </w:pPr>
            <w:r w:rsidRPr="00E754E4">
              <w:rPr>
                <w:rFonts w:eastAsia="Muli" w:cs="Muli"/>
                <w:color w:val="000000" w:themeColor="text1"/>
                <w:sz w:val="18"/>
                <w:szCs w:val="18"/>
              </w:rPr>
              <w:t xml:space="preserve">Following enrolment, HCH patients had fewer claims for unreferred GP consultations than </w:t>
            </w:r>
            <w:r w:rsidR="000E16C4">
              <w:rPr>
                <w:rFonts w:eastAsia="Muli" w:cs="Muli"/>
                <w:color w:val="000000" w:themeColor="text1"/>
                <w:sz w:val="18"/>
                <w:szCs w:val="18"/>
              </w:rPr>
              <w:t>comparator</w:t>
            </w:r>
            <w:r w:rsidRPr="00E754E4">
              <w:rPr>
                <w:rFonts w:eastAsia="Muli" w:cs="Muli"/>
                <w:color w:val="000000" w:themeColor="text1"/>
                <w:sz w:val="18"/>
                <w:szCs w:val="18"/>
              </w:rPr>
              <w:t xml:space="preserve"> patients. </w:t>
            </w:r>
          </w:p>
          <w:p w14:paraId="63A03DA9" w14:textId="5D4F1275" w:rsidR="004F5CEF" w:rsidRPr="00E754E4" w:rsidRDefault="004F5CEF" w:rsidP="00BB7C8D">
            <w:pPr>
              <w:pStyle w:val="ListParagraph"/>
              <w:numPr>
                <w:ilvl w:val="0"/>
                <w:numId w:val="47"/>
              </w:numPr>
              <w:rPr>
                <w:rFonts w:asciiTheme="minorHAnsi" w:eastAsiaTheme="minorEastAsia" w:hAnsiTheme="minorHAnsi"/>
                <w:color w:val="000000" w:themeColor="text1"/>
                <w:sz w:val="18"/>
                <w:szCs w:val="18"/>
              </w:rPr>
            </w:pPr>
            <w:r w:rsidRPr="1EFB871D">
              <w:rPr>
                <w:rFonts w:eastAsia="Muli" w:cs="Muli"/>
                <w:color w:val="000000" w:themeColor="text1"/>
                <w:sz w:val="18"/>
                <w:szCs w:val="18"/>
              </w:rPr>
              <w:t xml:space="preserve">In the pre-enrolment period, greater proportions of HCH patients had a claim for </w:t>
            </w:r>
            <w:r w:rsidR="00A219B0">
              <w:rPr>
                <w:rFonts w:eastAsia="Muli" w:cs="Muli"/>
                <w:color w:val="000000" w:themeColor="text1"/>
                <w:sz w:val="18"/>
                <w:szCs w:val="18"/>
              </w:rPr>
              <w:t xml:space="preserve">the </w:t>
            </w:r>
            <w:r w:rsidRPr="1EFB871D">
              <w:rPr>
                <w:rFonts w:eastAsia="Muli" w:cs="Muli"/>
                <w:color w:val="000000" w:themeColor="text1"/>
                <w:sz w:val="18"/>
                <w:szCs w:val="18"/>
              </w:rPr>
              <w:t xml:space="preserve">development of GP Management Plan, development of Team Care Arrangement and review of these care plans than </w:t>
            </w:r>
            <w:r w:rsidR="000E16C4">
              <w:rPr>
                <w:rFonts w:eastAsia="Muli" w:cs="Muli"/>
                <w:color w:val="000000" w:themeColor="text1"/>
                <w:sz w:val="18"/>
                <w:szCs w:val="18"/>
              </w:rPr>
              <w:t>comparator</w:t>
            </w:r>
            <w:r w:rsidRPr="1EFB871D">
              <w:rPr>
                <w:rFonts w:eastAsia="Muli" w:cs="Muli"/>
                <w:color w:val="000000" w:themeColor="text1"/>
                <w:sz w:val="18"/>
                <w:szCs w:val="18"/>
              </w:rPr>
              <w:t>s. Following enrolment, claims for these items by HCH patients significantly decreased.</w:t>
            </w:r>
          </w:p>
          <w:p w14:paraId="156A5EB5" w14:textId="2442D39A" w:rsidR="004F5CEF" w:rsidRDefault="004F5CEF" w:rsidP="00BB7C8D">
            <w:pPr>
              <w:pStyle w:val="ListParagraph"/>
              <w:numPr>
                <w:ilvl w:val="0"/>
                <w:numId w:val="47"/>
              </w:numPr>
              <w:rPr>
                <w:rFonts w:eastAsia="Muli" w:cs="Muli"/>
                <w:color w:val="000000" w:themeColor="text1"/>
                <w:sz w:val="18"/>
                <w:szCs w:val="18"/>
              </w:rPr>
            </w:pPr>
            <w:r w:rsidRPr="1EFB871D">
              <w:rPr>
                <w:rFonts w:eastAsia="Muli" w:cs="Muli"/>
                <w:color w:val="000000" w:themeColor="text1"/>
                <w:sz w:val="18"/>
                <w:szCs w:val="18"/>
              </w:rPr>
              <w:t xml:space="preserve">HCH patients had similar numbers of claims for </w:t>
            </w:r>
            <w:r w:rsidR="004C3272">
              <w:rPr>
                <w:rFonts w:eastAsia="Muli" w:cs="Muli"/>
                <w:color w:val="000000" w:themeColor="text1"/>
                <w:sz w:val="18"/>
                <w:szCs w:val="18"/>
              </w:rPr>
              <w:t xml:space="preserve">specialist </w:t>
            </w:r>
            <w:r w:rsidRPr="1EFB871D">
              <w:rPr>
                <w:rFonts w:eastAsia="Muli" w:cs="Muli"/>
                <w:color w:val="000000" w:themeColor="text1"/>
                <w:sz w:val="18"/>
                <w:szCs w:val="18"/>
              </w:rPr>
              <w:t xml:space="preserve">consultations </w:t>
            </w:r>
            <w:r w:rsidR="003C02C9">
              <w:rPr>
                <w:rFonts w:eastAsia="Muli" w:cs="Muli"/>
                <w:color w:val="000000" w:themeColor="text1"/>
                <w:sz w:val="18"/>
                <w:szCs w:val="18"/>
              </w:rPr>
              <w:t>and imaging services</w:t>
            </w:r>
            <w:r w:rsidRPr="1EFB871D">
              <w:rPr>
                <w:rFonts w:eastAsia="Muli" w:cs="Muli"/>
                <w:color w:val="000000" w:themeColor="text1"/>
                <w:sz w:val="18"/>
                <w:szCs w:val="18"/>
              </w:rPr>
              <w:t xml:space="preserve"> to </w:t>
            </w:r>
            <w:r w:rsidR="000E16C4">
              <w:rPr>
                <w:rFonts w:eastAsia="Muli" w:cs="Muli"/>
                <w:color w:val="000000" w:themeColor="text1"/>
                <w:sz w:val="18"/>
                <w:szCs w:val="18"/>
              </w:rPr>
              <w:t>comparator</w:t>
            </w:r>
            <w:r w:rsidRPr="1EFB871D">
              <w:rPr>
                <w:rFonts w:eastAsia="Muli" w:cs="Muli"/>
                <w:color w:val="000000" w:themeColor="text1"/>
                <w:sz w:val="18"/>
                <w:szCs w:val="18"/>
              </w:rPr>
              <w:t xml:space="preserve"> patients i</w:t>
            </w:r>
            <w:r>
              <w:rPr>
                <w:rFonts w:eastAsia="Muli" w:cs="Muli"/>
                <w:color w:val="000000" w:themeColor="text1"/>
                <w:sz w:val="18"/>
                <w:szCs w:val="18"/>
              </w:rPr>
              <w:t xml:space="preserve">n </w:t>
            </w:r>
            <w:r w:rsidRPr="1EFB871D">
              <w:rPr>
                <w:rFonts w:eastAsia="Muli" w:cs="Muli"/>
                <w:color w:val="000000" w:themeColor="text1"/>
                <w:sz w:val="18"/>
                <w:szCs w:val="18"/>
              </w:rPr>
              <w:t xml:space="preserve">both pre- and post-enrolment, but greater numbers of claims for allied health services for chronic conditions in </w:t>
            </w:r>
            <w:r>
              <w:rPr>
                <w:rFonts w:eastAsia="Muli" w:cs="Muli"/>
                <w:color w:val="000000" w:themeColor="text1"/>
                <w:sz w:val="18"/>
                <w:szCs w:val="18"/>
              </w:rPr>
              <w:t xml:space="preserve">the </w:t>
            </w:r>
            <w:r w:rsidR="000F6748">
              <w:rPr>
                <w:rFonts w:eastAsia="Muli" w:cs="Muli"/>
                <w:color w:val="000000" w:themeColor="text1"/>
                <w:sz w:val="18"/>
                <w:szCs w:val="18"/>
              </w:rPr>
              <w:t>first</w:t>
            </w:r>
            <w:r w:rsidRPr="1EFB871D">
              <w:rPr>
                <w:rFonts w:eastAsia="Muli" w:cs="Muli"/>
                <w:color w:val="000000" w:themeColor="text1"/>
                <w:sz w:val="18"/>
                <w:szCs w:val="18"/>
              </w:rPr>
              <w:t xml:space="preserve"> year</w:t>
            </w:r>
            <w:r w:rsidR="005F783C">
              <w:rPr>
                <w:rFonts w:eastAsia="Muli" w:cs="Muli"/>
                <w:color w:val="000000" w:themeColor="text1"/>
                <w:sz w:val="18"/>
                <w:szCs w:val="18"/>
              </w:rPr>
              <w:t xml:space="preserve"> following enrolment</w:t>
            </w:r>
            <w:r w:rsidRPr="1EFB871D">
              <w:rPr>
                <w:rFonts w:eastAsia="Muli" w:cs="Muli"/>
                <w:color w:val="000000" w:themeColor="text1"/>
                <w:sz w:val="18"/>
                <w:szCs w:val="18"/>
              </w:rPr>
              <w:t>.</w:t>
            </w:r>
          </w:p>
          <w:p w14:paraId="2CBFF5DC" w14:textId="4468D608" w:rsidR="004F5CEF" w:rsidRPr="00A36D0B" w:rsidRDefault="004F5CEF" w:rsidP="00BB7C8D">
            <w:pPr>
              <w:pStyle w:val="ListParagraph"/>
              <w:numPr>
                <w:ilvl w:val="0"/>
                <w:numId w:val="47"/>
              </w:numPr>
              <w:rPr>
                <w:rFonts w:eastAsia="Muli" w:cs="Muli"/>
                <w:color w:val="000000" w:themeColor="text1"/>
                <w:sz w:val="18"/>
                <w:szCs w:val="18"/>
              </w:rPr>
            </w:pPr>
            <w:r w:rsidRPr="1EFB871D">
              <w:rPr>
                <w:rFonts w:eastAsia="Muli" w:cs="Muli"/>
                <w:color w:val="000000" w:themeColor="text1"/>
                <w:sz w:val="18"/>
                <w:szCs w:val="18"/>
              </w:rPr>
              <w:t>In the period following enrolment, HCH patients had slightly greater numbers of claims for any pathology</w:t>
            </w:r>
            <w:r>
              <w:rPr>
                <w:rFonts w:eastAsia="Muli" w:cs="Muli"/>
                <w:color w:val="000000" w:themeColor="text1"/>
                <w:sz w:val="18"/>
                <w:szCs w:val="18"/>
              </w:rPr>
              <w:t xml:space="preserve"> test</w:t>
            </w:r>
            <w:r w:rsidRPr="1EFB871D">
              <w:rPr>
                <w:rFonts w:eastAsia="Muli" w:cs="Muli"/>
                <w:color w:val="000000" w:themeColor="text1"/>
                <w:sz w:val="18"/>
                <w:szCs w:val="18"/>
              </w:rPr>
              <w:t xml:space="preserve"> and significantly higher number of claims for HbA1c tests than </w:t>
            </w:r>
            <w:r w:rsidR="000E16C4">
              <w:rPr>
                <w:rFonts w:eastAsia="Muli" w:cs="Muli"/>
                <w:color w:val="000000" w:themeColor="text1"/>
                <w:sz w:val="18"/>
                <w:szCs w:val="18"/>
              </w:rPr>
              <w:t>comparator</w:t>
            </w:r>
            <w:r w:rsidRPr="1EFB871D">
              <w:rPr>
                <w:rFonts w:eastAsia="Muli" w:cs="Muli"/>
                <w:color w:val="000000" w:themeColor="text1"/>
                <w:sz w:val="18"/>
                <w:szCs w:val="18"/>
              </w:rPr>
              <w:t xml:space="preserve"> patients</w:t>
            </w:r>
            <w:r w:rsidR="003B0E0C">
              <w:rPr>
                <w:rFonts w:eastAsia="Muli" w:cs="Muli"/>
                <w:color w:val="000000" w:themeColor="text1"/>
                <w:sz w:val="18"/>
                <w:szCs w:val="18"/>
              </w:rPr>
              <w:t>.</w:t>
            </w:r>
          </w:p>
          <w:p w14:paraId="5B47C3EC" w14:textId="2EF3C8B9" w:rsidR="004F5CEF" w:rsidRPr="00C2475A" w:rsidRDefault="004F5CEF" w:rsidP="00BB7C8D">
            <w:pPr>
              <w:pStyle w:val="ListParagraph"/>
              <w:numPr>
                <w:ilvl w:val="0"/>
                <w:numId w:val="47"/>
              </w:numPr>
              <w:rPr>
                <w:rFonts w:asciiTheme="minorHAnsi" w:eastAsiaTheme="minorEastAsia" w:hAnsiTheme="minorHAnsi"/>
                <w:color w:val="000000" w:themeColor="text1"/>
                <w:sz w:val="18"/>
                <w:szCs w:val="18"/>
              </w:rPr>
            </w:pPr>
            <w:r w:rsidRPr="1EFB871D">
              <w:rPr>
                <w:rFonts w:eastAsia="Muli" w:cs="Muli"/>
                <w:color w:val="000000" w:themeColor="text1"/>
                <w:sz w:val="18"/>
                <w:szCs w:val="18"/>
              </w:rPr>
              <w:t>Mo</w:t>
            </w:r>
            <w:r>
              <w:rPr>
                <w:rFonts w:eastAsia="Muli" w:cs="Muli"/>
                <w:color w:val="000000" w:themeColor="text1"/>
                <w:sz w:val="18"/>
                <w:szCs w:val="18"/>
              </w:rPr>
              <w:t xml:space="preserve">re than half of </w:t>
            </w:r>
            <w:r w:rsidRPr="1EFB871D">
              <w:rPr>
                <w:rFonts w:eastAsia="Muli" w:cs="Muli"/>
                <w:color w:val="000000" w:themeColor="text1"/>
                <w:sz w:val="18"/>
                <w:szCs w:val="18"/>
              </w:rPr>
              <w:t xml:space="preserve">HCH patients used five or more unique medicines </w:t>
            </w:r>
            <w:r w:rsidR="0002675D">
              <w:rPr>
                <w:rFonts w:eastAsia="Muli" w:cs="Muli"/>
                <w:color w:val="000000" w:themeColor="text1"/>
                <w:sz w:val="18"/>
                <w:szCs w:val="18"/>
              </w:rPr>
              <w:t>before</w:t>
            </w:r>
            <w:r w:rsidRPr="1EFB871D">
              <w:rPr>
                <w:rFonts w:eastAsia="Muli" w:cs="Muli"/>
                <w:color w:val="000000" w:themeColor="text1"/>
                <w:sz w:val="18"/>
                <w:szCs w:val="18"/>
              </w:rPr>
              <w:t xml:space="preserve"> enrolment</w:t>
            </w:r>
            <w:r>
              <w:rPr>
                <w:rFonts w:eastAsia="Muli" w:cs="Muli"/>
                <w:color w:val="000000" w:themeColor="text1"/>
                <w:sz w:val="18"/>
                <w:szCs w:val="18"/>
              </w:rPr>
              <w:t xml:space="preserve">. This remained consistent, and similar to </w:t>
            </w:r>
            <w:r w:rsidR="000E16C4">
              <w:rPr>
                <w:rFonts w:eastAsia="Muli" w:cs="Muli"/>
                <w:color w:val="000000" w:themeColor="text1"/>
                <w:sz w:val="18"/>
                <w:szCs w:val="18"/>
              </w:rPr>
              <w:t>comparator</w:t>
            </w:r>
            <w:r>
              <w:rPr>
                <w:rFonts w:eastAsia="Muli" w:cs="Muli"/>
                <w:color w:val="000000" w:themeColor="text1"/>
                <w:sz w:val="18"/>
                <w:szCs w:val="18"/>
              </w:rPr>
              <w:t xml:space="preserve"> patients,</w:t>
            </w:r>
            <w:r w:rsidRPr="1EFB871D">
              <w:rPr>
                <w:rFonts w:eastAsia="Muli" w:cs="Muli"/>
                <w:color w:val="000000" w:themeColor="text1"/>
                <w:sz w:val="18"/>
                <w:szCs w:val="18"/>
              </w:rPr>
              <w:t xml:space="preserve"> following enrolment. </w:t>
            </w:r>
          </w:p>
          <w:p w14:paraId="6B342E1E" w14:textId="0F43864F" w:rsidR="004F5CEF" w:rsidRPr="00F609DF" w:rsidRDefault="004F5CEF" w:rsidP="00BB7C8D">
            <w:pPr>
              <w:pStyle w:val="ListParagraph"/>
              <w:numPr>
                <w:ilvl w:val="0"/>
                <w:numId w:val="47"/>
              </w:numPr>
              <w:rPr>
                <w:rFonts w:asciiTheme="minorHAnsi" w:eastAsiaTheme="minorEastAsia" w:hAnsiTheme="minorHAnsi"/>
                <w:color w:val="000000" w:themeColor="text1"/>
                <w:sz w:val="18"/>
                <w:szCs w:val="18"/>
              </w:rPr>
            </w:pPr>
            <w:r w:rsidRPr="1EFB871D">
              <w:rPr>
                <w:rFonts w:eastAsia="Muli" w:cs="Muli"/>
                <w:color w:val="000000" w:themeColor="text1"/>
                <w:sz w:val="18"/>
                <w:szCs w:val="18"/>
              </w:rPr>
              <w:t xml:space="preserve">Meanwhile, very small proportions of both HCH and </w:t>
            </w:r>
            <w:r w:rsidR="000E16C4">
              <w:rPr>
                <w:rFonts w:eastAsia="Muli" w:cs="Muli"/>
                <w:color w:val="000000" w:themeColor="text1"/>
                <w:sz w:val="18"/>
                <w:szCs w:val="18"/>
              </w:rPr>
              <w:t>comparator</w:t>
            </w:r>
            <w:r w:rsidRPr="1EFB871D">
              <w:rPr>
                <w:rFonts w:eastAsia="Muli" w:cs="Muli"/>
                <w:color w:val="000000" w:themeColor="text1"/>
                <w:sz w:val="18"/>
                <w:szCs w:val="18"/>
              </w:rPr>
              <w:t xml:space="preserve"> patients had a claim for Home Medicine Review, both pre- and post-enrolment.</w:t>
            </w:r>
          </w:p>
          <w:p w14:paraId="4BDA18A1" w14:textId="1EE683AC" w:rsidR="004F5CEF" w:rsidRPr="008179AC" w:rsidRDefault="004F5CEF" w:rsidP="00BB7C8D">
            <w:pPr>
              <w:pStyle w:val="ListParagraph"/>
              <w:numPr>
                <w:ilvl w:val="0"/>
                <w:numId w:val="47"/>
              </w:numPr>
              <w:rPr>
                <w:rFonts w:eastAsia="Muli" w:cs="Muli"/>
                <w:color w:val="000000" w:themeColor="text1"/>
                <w:sz w:val="18"/>
                <w:szCs w:val="18"/>
              </w:rPr>
            </w:pPr>
            <w:r w:rsidRPr="1EFB871D">
              <w:rPr>
                <w:rFonts w:eastAsia="Muli" w:cs="Muli"/>
                <w:sz w:val="18"/>
                <w:szCs w:val="18"/>
              </w:rPr>
              <w:t xml:space="preserve">Similar patterns of hospital and </w:t>
            </w:r>
            <w:r w:rsidR="00001DEB">
              <w:rPr>
                <w:rFonts w:eastAsia="Muli" w:cs="Muli"/>
                <w:sz w:val="18"/>
                <w:szCs w:val="18"/>
              </w:rPr>
              <w:t>emergency department</w:t>
            </w:r>
            <w:r w:rsidRPr="1EFB871D">
              <w:rPr>
                <w:rFonts w:eastAsia="Muli" w:cs="Muli"/>
                <w:sz w:val="18"/>
                <w:szCs w:val="18"/>
              </w:rPr>
              <w:t xml:space="preserve"> use were seen in HCH and </w:t>
            </w:r>
            <w:r w:rsidR="000E16C4">
              <w:rPr>
                <w:rFonts w:eastAsia="Muli" w:cs="Muli"/>
                <w:sz w:val="18"/>
                <w:szCs w:val="18"/>
              </w:rPr>
              <w:t>comparator</w:t>
            </w:r>
            <w:r w:rsidRPr="1EFB871D">
              <w:rPr>
                <w:rFonts w:eastAsia="Muli" w:cs="Muli"/>
                <w:sz w:val="18"/>
                <w:szCs w:val="18"/>
              </w:rPr>
              <w:t xml:space="preserve"> patients in both pre-and post-enrolment periods, in terms of proportions </w:t>
            </w:r>
            <w:r w:rsidR="003911BE" w:rsidRPr="1EFB871D">
              <w:rPr>
                <w:rFonts w:eastAsia="Muli" w:cs="Muli"/>
                <w:sz w:val="18"/>
                <w:szCs w:val="18"/>
              </w:rPr>
              <w:t xml:space="preserve">presenting to </w:t>
            </w:r>
            <w:r w:rsidR="00001DEB">
              <w:rPr>
                <w:rFonts w:eastAsia="Muli" w:cs="Muli"/>
                <w:sz w:val="18"/>
                <w:szCs w:val="18"/>
              </w:rPr>
              <w:t>an emergency department</w:t>
            </w:r>
            <w:r w:rsidR="003911BE">
              <w:rPr>
                <w:rFonts w:eastAsia="Muli" w:cs="Muli"/>
                <w:sz w:val="18"/>
                <w:szCs w:val="18"/>
              </w:rPr>
              <w:t xml:space="preserve">, </w:t>
            </w:r>
            <w:r w:rsidRPr="1EFB871D">
              <w:rPr>
                <w:rFonts w:eastAsia="Muli" w:cs="Muli"/>
                <w:sz w:val="18"/>
                <w:szCs w:val="18"/>
              </w:rPr>
              <w:t xml:space="preserve">admitted to hospital </w:t>
            </w:r>
            <w:r w:rsidR="003911BE">
              <w:rPr>
                <w:rFonts w:eastAsia="Muli" w:cs="Muli"/>
                <w:sz w:val="18"/>
                <w:szCs w:val="18"/>
              </w:rPr>
              <w:t>(all-cause</w:t>
            </w:r>
            <w:r w:rsidR="004F7096">
              <w:rPr>
                <w:rFonts w:eastAsia="Muli" w:cs="Muli"/>
                <w:sz w:val="18"/>
                <w:szCs w:val="18"/>
              </w:rPr>
              <w:t xml:space="preserve"> admission, emergency</w:t>
            </w:r>
            <w:r w:rsidR="00FE4037">
              <w:rPr>
                <w:rFonts w:eastAsia="Muli" w:cs="Muli"/>
                <w:sz w:val="18"/>
                <w:szCs w:val="18"/>
              </w:rPr>
              <w:t xml:space="preserve"> admission</w:t>
            </w:r>
            <w:r w:rsidR="004F7096">
              <w:rPr>
                <w:rFonts w:eastAsia="Muli" w:cs="Muli"/>
                <w:sz w:val="18"/>
                <w:szCs w:val="18"/>
              </w:rPr>
              <w:t xml:space="preserve">, </w:t>
            </w:r>
            <w:r w:rsidR="004F7096" w:rsidRPr="1EFB871D">
              <w:rPr>
                <w:rFonts w:eastAsia="Muli" w:cs="Muli"/>
                <w:sz w:val="18"/>
                <w:szCs w:val="18"/>
              </w:rPr>
              <w:t>potentially preventable hospitalisations</w:t>
            </w:r>
            <w:r w:rsidR="00FE4037">
              <w:rPr>
                <w:rFonts w:eastAsia="Muli" w:cs="Muli"/>
                <w:sz w:val="18"/>
                <w:szCs w:val="18"/>
              </w:rPr>
              <w:t>)</w:t>
            </w:r>
            <w:r w:rsidRPr="1EFB871D">
              <w:rPr>
                <w:rFonts w:eastAsia="Muli" w:cs="Muli"/>
                <w:sz w:val="18"/>
                <w:szCs w:val="18"/>
              </w:rPr>
              <w:t>, total number of bed</w:t>
            </w:r>
            <w:r>
              <w:rPr>
                <w:rFonts w:eastAsia="Muli" w:cs="Muli"/>
                <w:sz w:val="18"/>
                <w:szCs w:val="18"/>
              </w:rPr>
              <w:t>-</w:t>
            </w:r>
            <w:r w:rsidRPr="1EFB871D">
              <w:rPr>
                <w:rFonts w:eastAsia="Muli" w:cs="Muli"/>
                <w:sz w:val="18"/>
                <w:szCs w:val="18"/>
              </w:rPr>
              <w:t xml:space="preserve">days, </w:t>
            </w:r>
            <w:r w:rsidR="00FE4037">
              <w:rPr>
                <w:rFonts w:eastAsia="Muli" w:cs="Muli"/>
                <w:sz w:val="18"/>
                <w:szCs w:val="18"/>
              </w:rPr>
              <w:t xml:space="preserve">and </w:t>
            </w:r>
            <w:r w:rsidRPr="1EFB871D">
              <w:rPr>
                <w:rFonts w:eastAsia="Muli" w:cs="Muli"/>
                <w:sz w:val="18"/>
                <w:szCs w:val="18"/>
              </w:rPr>
              <w:t>weighted intensity of admission episodes (</w:t>
            </w:r>
            <w:r w:rsidR="0010747B">
              <w:rPr>
                <w:rFonts w:eastAsia="Muli" w:cs="Muli"/>
                <w:sz w:val="18"/>
                <w:szCs w:val="18"/>
              </w:rPr>
              <w:t>that is,</w:t>
            </w:r>
            <w:r w:rsidRPr="1EFB871D">
              <w:rPr>
                <w:rFonts w:eastAsia="Muli" w:cs="Muli"/>
                <w:sz w:val="18"/>
                <w:szCs w:val="18"/>
              </w:rPr>
              <w:t xml:space="preserve"> total National Weighted Activity Units).</w:t>
            </w:r>
          </w:p>
          <w:p w14:paraId="605FF208" w14:textId="77777777" w:rsidR="00C73E10" w:rsidRDefault="004F5CEF" w:rsidP="00BB7C8D">
            <w:pPr>
              <w:pStyle w:val="ListParagraph"/>
              <w:numPr>
                <w:ilvl w:val="0"/>
                <w:numId w:val="47"/>
              </w:numPr>
              <w:rPr>
                <w:rFonts w:eastAsia="Muli" w:cs="Muli"/>
                <w:color w:val="000000" w:themeColor="text1"/>
                <w:sz w:val="18"/>
                <w:szCs w:val="18"/>
              </w:rPr>
            </w:pPr>
            <w:r w:rsidRPr="1EFB871D">
              <w:rPr>
                <w:rFonts w:eastAsia="Muli" w:cs="Muli"/>
                <w:color w:val="000000" w:themeColor="text1"/>
                <w:sz w:val="18"/>
                <w:szCs w:val="18"/>
              </w:rPr>
              <w:t xml:space="preserve">Among patients who had not used residential aged care services </w:t>
            </w:r>
            <w:r w:rsidR="0002675D">
              <w:rPr>
                <w:rFonts w:eastAsia="Muli" w:cs="Muli"/>
                <w:color w:val="000000" w:themeColor="text1"/>
                <w:sz w:val="18"/>
                <w:szCs w:val="18"/>
              </w:rPr>
              <w:t>before</w:t>
            </w:r>
            <w:r w:rsidRPr="1EFB871D">
              <w:rPr>
                <w:rFonts w:eastAsia="Muli" w:cs="Muli"/>
                <w:color w:val="000000" w:themeColor="text1"/>
                <w:sz w:val="18"/>
                <w:szCs w:val="18"/>
              </w:rPr>
              <w:t xml:space="preserve"> enrolment, </w:t>
            </w:r>
            <w:r w:rsidRPr="43EA0028">
              <w:rPr>
                <w:rFonts w:eastAsia="Muli" w:cs="Muli"/>
                <w:color w:val="000000" w:themeColor="text1"/>
                <w:sz w:val="18"/>
                <w:szCs w:val="18"/>
              </w:rPr>
              <w:t>small</w:t>
            </w:r>
            <w:r w:rsidRPr="1EFB871D">
              <w:rPr>
                <w:rFonts w:eastAsia="Muli" w:cs="Muli"/>
                <w:color w:val="000000" w:themeColor="text1"/>
                <w:sz w:val="18"/>
                <w:szCs w:val="18"/>
              </w:rPr>
              <w:t xml:space="preserve"> and </w:t>
            </w:r>
            <w:r w:rsidRPr="43EA0028">
              <w:rPr>
                <w:rFonts w:eastAsia="Muli" w:cs="Muli"/>
                <w:color w:val="000000" w:themeColor="text1"/>
                <w:sz w:val="18"/>
                <w:szCs w:val="18"/>
              </w:rPr>
              <w:t>similar</w:t>
            </w:r>
            <w:r w:rsidRPr="1EFB871D">
              <w:rPr>
                <w:rFonts w:eastAsia="Muli" w:cs="Muli"/>
                <w:color w:val="000000" w:themeColor="text1"/>
                <w:sz w:val="18"/>
                <w:szCs w:val="18"/>
              </w:rPr>
              <w:t xml:space="preserve"> proportions of both HCH and </w:t>
            </w:r>
            <w:r w:rsidR="000E16C4">
              <w:rPr>
                <w:rFonts w:eastAsia="Muli" w:cs="Muli"/>
                <w:color w:val="000000" w:themeColor="text1"/>
                <w:sz w:val="18"/>
                <w:szCs w:val="18"/>
              </w:rPr>
              <w:t>comparator</w:t>
            </w:r>
            <w:r w:rsidRPr="1EFB871D">
              <w:rPr>
                <w:rFonts w:eastAsia="Muli" w:cs="Muli"/>
                <w:color w:val="000000" w:themeColor="text1"/>
                <w:sz w:val="18"/>
                <w:szCs w:val="18"/>
              </w:rPr>
              <w:t xml:space="preserve"> patients </w:t>
            </w:r>
            <w:r w:rsidR="00C73E10">
              <w:rPr>
                <w:rFonts w:eastAsia="Muli" w:cs="Muli"/>
                <w:color w:val="000000" w:themeColor="text1"/>
                <w:sz w:val="18"/>
                <w:szCs w:val="18"/>
              </w:rPr>
              <w:t>had an entry</w:t>
            </w:r>
            <w:r w:rsidRPr="1EFB871D">
              <w:rPr>
                <w:rFonts w:eastAsia="Muli" w:cs="Muli"/>
                <w:color w:val="000000" w:themeColor="text1"/>
                <w:sz w:val="18"/>
                <w:szCs w:val="18"/>
              </w:rPr>
              <w:t xml:space="preserve"> to an aged care facility in the follow-up period.</w:t>
            </w:r>
          </w:p>
          <w:p w14:paraId="50F3EF4A" w14:textId="2A2623B3" w:rsidR="00B90A66" w:rsidRPr="00DF38D9" w:rsidRDefault="004F5CEF" w:rsidP="00BB7C8D">
            <w:pPr>
              <w:pStyle w:val="ListParagraph"/>
              <w:numPr>
                <w:ilvl w:val="0"/>
                <w:numId w:val="47"/>
              </w:numPr>
              <w:rPr>
                <w:rFonts w:eastAsia="Muli" w:cs="Muli"/>
                <w:color w:val="000000" w:themeColor="text1"/>
                <w:sz w:val="18"/>
                <w:szCs w:val="18"/>
              </w:rPr>
            </w:pPr>
            <w:r w:rsidRPr="1EFB871D">
              <w:rPr>
                <w:rFonts w:eastAsia="Muli" w:cs="Muli"/>
                <w:color w:val="000000" w:themeColor="text1"/>
                <w:sz w:val="18"/>
                <w:szCs w:val="18"/>
              </w:rPr>
              <w:t xml:space="preserve">Patterns of serious cardiovascular events </w:t>
            </w:r>
            <w:r w:rsidR="00CF0B61">
              <w:rPr>
                <w:rFonts w:eastAsia="Muli" w:cs="Muli"/>
                <w:color w:val="000000" w:themeColor="text1"/>
                <w:sz w:val="18"/>
                <w:szCs w:val="18"/>
              </w:rPr>
              <w:t>or</w:t>
            </w:r>
            <w:r w:rsidR="00CF0B61" w:rsidRPr="1EFB871D">
              <w:rPr>
                <w:rFonts w:eastAsia="Muli" w:cs="Muli"/>
                <w:color w:val="000000" w:themeColor="text1"/>
                <w:sz w:val="18"/>
                <w:szCs w:val="18"/>
              </w:rPr>
              <w:t xml:space="preserve"> </w:t>
            </w:r>
            <w:r w:rsidRPr="1EFB871D">
              <w:rPr>
                <w:rFonts w:eastAsia="Muli" w:cs="Muli"/>
                <w:color w:val="000000" w:themeColor="text1"/>
                <w:sz w:val="18"/>
                <w:szCs w:val="18"/>
              </w:rPr>
              <w:t xml:space="preserve">mortality in both HCH and </w:t>
            </w:r>
            <w:r w:rsidR="000E16C4">
              <w:rPr>
                <w:rFonts w:eastAsia="Muli" w:cs="Muli"/>
                <w:color w:val="000000" w:themeColor="text1"/>
                <w:sz w:val="18"/>
                <w:szCs w:val="18"/>
              </w:rPr>
              <w:t>comparator</w:t>
            </w:r>
            <w:r w:rsidRPr="1EFB871D">
              <w:rPr>
                <w:rFonts w:eastAsia="Muli" w:cs="Muli"/>
                <w:color w:val="000000" w:themeColor="text1"/>
                <w:sz w:val="18"/>
                <w:szCs w:val="18"/>
              </w:rPr>
              <w:t xml:space="preserve"> patients were comparable, in both the proportions and length of time from enrolment to the event.</w:t>
            </w:r>
          </w:p>
        </w:tc>
      </w:tr>
    </w:tbl>
    <w:p w14:paraId="78D05DBD" w14:textId="77777777" w:rsidR="00B90A66" w:rsidRDefault="00B90A66" w:rsidP="00B90A66">
      <w:pPr>
        <w:spacing w:after="0"/>
        <w:rPr>
          <w:rFonts w:eastAsia="Muli" w:cs="Muli"/>
          <w:color w:val="000000" w:themeColor="text1"/>
          <w:szCs w:val="20"/>
        </w:rPr>
      </w:pPr>
    </w:p>
    <w:p w14:paraId="141A347B" w14:textId="77777777" w:rsidR="00B034A8" w:rsidRDefault="00B034A8" w:rsidP="00B90A66">
      <w:pPr>
        <w:spacing w:after="0"/>
        <w:rPr>
          <w:rFonts w:eastAsia="Muli" w:cs="Muli"/>
          <w:color w:val="000000" w:themeColor="text1"/>
          <w:szCs w:val="20"/>
        </w:rPr>
      </w:pPr>
    </w:p>
    <w:p w14:paraId="0895AC48" w14:textId="5C048CDE" w:rsidR="00A26BD5" w:rsidRDefault="00A26BD5" w:rsidP="00A26BD5">
      <w:pPr>
        <w:pStyle w:val="Heading2"/>
        <w:rPr>
          <w:rFonts w:eastAsia="Muli"/>
        </w:rPr>
      </w:pPr>
      <w:bookmarkStart w:id="365" w:name="_Toc109996735"/>
      <w:r>
        <w:rPr>
          <w:rFonts w:eastAsia="Muli"/>
        </w:rPr>
        <w:t>Measuring changes in patient outcomes</w:t>
      </w:r>
      <w:r w:rsidR="004B1692">
        <w:rPr>
          <w:rFonts w:eastAsia="Muli"/>
        </w:rPr>
        <w:t xml:space="preserve"> using linked data</w:t>
      </w:r>
      <w:bookmarkEnd w:id="365"/>
    </w:p>
    <w:p w14:paraId="02F504CB" w14:textId="20380549" w:rsidR="005C3DFF" w:rsidRDefault="007D448F" w:rsidP="001F0ECA">
      <w:r>
        <w:rPr>
          <w:rFonts w:eastAsia="Muli" w:cs="Muli"/>
          <w:color w:val="000000" w:themeColor="text1"/>
        </w:rPr>
        <w:t>T</w:t>
      </w:r>
      <w:r w:rsidR="00A26BD5" w:rsidRPr="1EFB871D">
        <w:rPr>
          <w:rFonts w:eastAsia="Muli" w:cs="Muli"/>
          <w:color w:val="000000" w:themeColor="text1"/>
        </w:rPr>
        <w:t xml:space="preserve">o measure changes in patient outcomes, Commonwealth and </w:t>
      </w:r>
      <w:r w:rsidR="00816DA3">
        <w:rPr>
          <w:rFonts w:eastAsia="Muli" w:cs="Muli"/>
          <w:color w:val="000000" w:themeColor="text1"/>
        </w:rPr>
        <w:t>s</w:t>
      </w:r>
      <w:r w:rsidR="00A26BD5" w:rsidRPr="1EFB871D">
        <w:rPr>
          <w:rFonts w:eastAsia="Muli" w:cs="Muli"/>
          <w:color w:val="000000" w:themeColor="text1"/>
        </w:rPr>
        <w:t xml:space="preserve">tate-based routine data collections were linked to HCH enrolment data. Routine data collections included the Medicare Enrolment database, National Death Index, </w:t>
      </w:r>
      <w:r w:rsidR="00A26BD5">
        <w:t>Medicare Benefit Schedules (MBS), Pharmaceutical Benefit Scheme (PBS), Admitted Patient Care</w:t>
      </w:r>
      <w:r>
        <w:t xml:space="preserve"> (APC)</w:t>
      </w:r>
      <w:r w:rsidR="00A26BD5">
        <w:t xml:space="preserve">, Non-admitted </w:t>
      </w:r>
      <w:r w:rsidR="00F5070E">
        <w:t xml:space="preserve">Patient </w:t>
      </w:r>
      <w:r w:rsidR="00A26BD5">
        <w:t xml:space="preserve">Emergency Department </w:t>
      </w:r>
      <w:r w:rsidR="001F70A5">
        <w:t>Care</w:t>
      </w:r>
      <w:r w:rsidR="00A26BD5">
        <w:t xml:space="preserve"> (</w:t>
      </w:r>
      <w:r w:rsidR="00F5070E">
        <w:t>NAP</w:t>
      </w:r>
      <w:r w:rsidR="00A26BD5">
        <w:t>ED</w:t>
      </w:r>
      <w:r w:rsidR="001F70A5">
        <w:t>C</w:t>
      </w:r>
      <w:r w:rsidR="00A26BD5">
        <w:t xml:space="preserve">), </w:t>
      </w:r>
      <w:r w:rsidR="00A26BD5" w:rsidRPr="00AC30E8">
        <w:t>Non-</w:t>
      </w:r>
      <w:r w:rsidR="00AC30E8" w:rsidRPr="00AC30E8">
        <w:t>admitted patient</w:t>
      </w:r>
      <w:r w:rsidR="00E4383F">
        <w:t xml:space="preserve"> (NAP</w:t>
      </w:r>
      <w:r w:rsidR="00A26BD5">
        <w:t xml:space="preserve">), and National Aged Care Data Clearing House (NACDCH). Individuals aged 16 years and over and not participating in the HCH program were selected from the Medicare Enrolment database, and their records were linked in the same way as records of HCH participants. </w:t>
      </w:r>
      <w:r w:rsidR="005C3DFF">
        <w:t>These data are further described in Chapter 2 of Volume 3 of the evaluation report.</w:t>
      </w:r>
    </w:p>
    <w:p w14:paraId="0EB062E3" w14:textId="582C0A5C" w:rsidR="00A26BD5" w:rsidRDefault="00A26BD5" w:rsidP="001F0ECA">
      <w:pPr>
        <w:rPr>
          <w:rFonts w:eastAsia="Muli" w:cs="Muli"/>
          <w:color w:val="000000" w:themeColor="text1"/>
          <w:szCs w:val="20"/>
        </w:rPr>
      </w:pPr>
      <w:r w:rsidRPr="1EFB871D">
        <w:rPr>
          <w:rFonts w:eastAsia="Muli" w:cs="Muli"/>
          <w:color w:val="000000" w:themeColor="text1"/>
        </w:rPr>
        <w:t xml:space="preserve">To </w:t>
      </w:r>
      <w:r w:rsidR="006A2EE0">
        <w:rPr>
          <w:rFonts w:eastAsia="Muli" w:cs="Muli"/>
          <w:color w:val="000000" w:themeColor="text1"/>
        </w:rPr>
        <w:t xml:space="preserve">estimate </w:t>
      </w:r>
      <w:r w:rsidRPr="1EFB871D">
        <w:rPr>
          <w:rFonts w:eastAsia="Muli" w:cs="Muli"/>
          <w:color w:val="000000" w:themeColor="text1"/>
        </w:rPr>
        <w:t xml:space="preserve">changes in patient outcomes </w:t>
      </w:r>
      <w:r w:rsidR="00996A55">
        <w:rPr>
          <w:rFonts w:eastAsia="Muli" w:cs="Muli"/>
          <w:color w:val="000000" w:themeColor="text1"/>
        </w:rPr>
        <w:t xml:space="preserve">that </w:t>
      </w:r>
      <w:r w:rsidRPr="1EFB871D">
        <w:rPr>
          <w:rFonts w:eastAsia="Muli" w:cs="Muli"/>
          <w:color w:val="000000" w:themeColor="text1"/>
        </w:rPr>
        <w:t>could be attributed to participation in HCH,</w:t>
      </w:r>
      <w:r w:rsidR="006A2EE0">
        <w:rPr>
          <w:rFonts w:eastAsia="Muli" w:cs="Muli"/>
          <w:color w:val="000000" w:themeColor="text1"/>
        </w:rPr>
        <w:t xml:space="preserve"> </w:t>
      </w:r>
      <w:r w:rsidR="00E3104A">
        <w:rPr>
          <w:rFonts w:eastAsia="Muli" w:cs="Muli"/>
          <w:color w:val="000000" w:themeColor="text1"/>
        </w:rPr>
        <w:t xml:space="preserve">patients enrolled in HCH were compared with </w:t>
      </w:r>
      <w:r w:rsidR="006E3D0D">
        <w:rPr>
          <w:rFonts w:eastAsia="Muli" w:cs="Muli"/>
          <w:color w:val="000000" w:themeColor="text1"/>
        </w:rPr>
        <w:t>“</w:t>
      </w:r>
      <w:r w:rsidR="000E16C4">
        <w:rPr>
          <w:rFonts w:eastAsia="Muli" w:cs="Muli"/>
          <w:color w:val="000000" w:themeColor="text1"/>
        </w:rPr>
        <w:t>comparator</w:t>
      </w:r>
      <w:r w:rsidR="006E3D0D">
        <w:rPr>
          <w:rFonts w:eastAsia="Muli" w:cs="Muli"/>
          <w:color w:val="000000" w:themeColor="text1"/>
        </w:rPr>
        <w:t>”</w:t>
      </w:r>
      <w:r w:rsidRPr="1EFB871D">
        <w:rPr>
          <w:rFonts w:eastAsia="Muli" w:cs="Muli"/>
          <w:color w:val="000000" w:themeColor="text1"/>
        </w:rPr>
        <w:t xml:space="preserve"> patients </w:t>
      </w:r>
      <w:r w:rsidR="00F11772">
        <w:rPr>
          <w:rFonts w:eastAsia="Muli" w:cs="Muli"/>
          <w:color w:val="000000" w:themeColor="text1"/>
        </w:rPr>
        <w:t xml:space="preserve">– </w:t>
      </w:r>
      <w:r w:rsidRPr="1EFB871D">
        <w:rPr>
          <w:rFonts w:eastAsia="Muli" w:cs="Muli"/>
          <w:color w:val="000000" w:themeColor="text1"/>
        </w:rPr>
        <w:t xml:space="preserve">individuals not enrolled in the HCH. </w:t>
      </w:r>
      <w:r w:rsidR="00536E2D">
        <w:rPr>
          <w:rFonts w:eastAsia="Muli" w:cs="Muli"/>
          <w:color w:val="000000" w:themeColor="text1"/>
        </w:rPr>
        <w:t xml:space="preserve">Comparator patients </w:t>
      </w:r>
      <w:r w:rsidRPr="1EFB871D">
        <w:rPr>
          <w:rFonts w:eastAsia="Muli" w:cs="Muli"/>
          <w:color w:val="000000" w:themeColor="text1"/>
        </w:rPr>
        <w:t xml:space="preserve">were matched to HCH patients so they had similar characteristics in the 12 months </w:t>
      </w:r>
      <w:r w:rsidR="0002675D">
        <w:rPr>
          <w:rFonts w:eastAsia="Muli" w:cs="Muli"/>
          <w:color w:val="000000" w:themeColor="text1"/>
        </w:rPr>
        <w:t>before</w:t>
      </w:r>
      <w:r w:rsidRPr="1EFB871D">
        <w:rPr>
          <w:rFonts w:eastAsia="Muli" w:cs="Muli"/>
          <w:color w:val="000000" w:themeColor="text1"/>
        </w:rPr>
        <w:t xml:space="preserve"> enrolment in terms of demography (age, sex, </w:t>
      </w:r>
      <w:r>
        <w:rPr>
          <w:rFonts w:eastAsia="Muli" w:cs="Muli"/>
          <w:color w:val="000000" w:themeColor="text1"/>
        </w:rPr>
        <w:t xml:space="preserve">PBS beneficiary </w:t>
      </w:r>
      <w:r w:rsidRPr="005936DF">
        <w:rPr>
          <w:rFonts w:eastAsia="Muli" w:cs="Muli"/>
          <w:color w:val="000000" w:themeColor="text1"/>
        </w:rPr>
        <w:t>status</w:t>
      </w:r>
      <w:r>
        <w:rPr>
          <w:rFonts w:eastAsia="Muli" w:cs="Muli"/>
          <w:color w:val="000000" w:themeColor="text1"/>
        </w:rPr>
        <w:t>, remoteness and socio-economic disadvantage quintile of residential location</w:t>
      </w:r>
      <w:r w:rsidRPr="1EFB871D">
        <w:rPr>
          <w:rFonts w:eastAsia="Muli" w:cs="Muli"/>
          <w:color w:val="000000" w:themeColor="text1"/>
        </w:rPr>
        <w:t>), health status (morbidities, use of medicines), use of primary care (number of GP consultations and continuity of care with usual provider), use of secondary care (number of consultations with specialists and allied health providers, number of claims for pathology and imaging services), use of aged care services (community and residential), and patterns of hospital admissions (number of admissions, urgency of admission</w:t>
      </w:r>
      <w:r w:rsidRPr="001D0404">
        <w:rPr>
          <w:rFonts w:eastAsia="Muli" w:cs="Muli"/>
          <w:color w:val="000000" w:themeColor="text1"/>
        </w:rPr>
        <w:t xml:space="preserve">, preventable hospitalisation, total bed-days, and total </w:t>
      </w:r>
      <w:r w:rsidR="00C93104">
        <w:rPr>
          <w:rFonts w:eastAsia="Muli" w:cs="Muli"/>
          <w:color w:val="000000" w:themeColor="text1"/>
        </w:rPr>
        <w:t>national weighted activity units</w:t>
      </w:r>
      <w:r w:rsidRPr="001D0404">
        <w:rPr>
          <w:rFonts w:eastAsia="Muli" w:cs="Muli"/>
          <w:color w:val="000000" w:themeColor="text1"/>
        </w:rPr>
        <w:t xml:space="preserve">). Full details of the data sources and methods for HCH and </w:t>
      </w:r>
      <w:r w:rsidR="000E16C4" w:rsidRPr="001D0404">
        <w:rPr>
          <w:rFonts w:eastAsia="Muli" w:cs="Muli"/>
          <w:color w:val="000000" w:themeColor="text1"/>
        </w:rPr>
        <w:t>comparator</w:t>
      </w:r>
      <w:r w:rsidRPr="001D0404">
        <w:rPr>
          <w:rFonts w:eastAsia="Muli" w:cs="Muli"/>
          <w:color w:val="000000" w:themeColor="text1"/>
        </w:rPr>
        <w:t xml:space="preserve"> patients are reported in </w:t>
      </w:r>
      <w:r w:rsidR="007276C0">
        <w:t>Chapter 3 of Volume 3 of the evaluation report</w:t>
      </w:r>
      <w:r w:rsidR="00557ABD">
        <w:t>. Volume 3</w:t>
      </w:r>
      <w:r w:rsidR="001F0ECA">
        <w:t xml:space="preserve"> Appendix 6</w:t>
      </w:r>
      <w:r w:rsidR="00557ABD">
        <w:t xml:space="preserve"> presents detailed tables </w:t>
      </w:r>
      <w:r w:rsidR="00990B87">
        <w:t xml:space="preserve">of </w:t>
      </w:r>
      <w:r w:rsidR="00557ABD">
        <w:t>change</w:t>
      </w:r>
      <w:r w:rsidR="00990B87">
        <w:t>s</w:t>
      </w:r>
      <w:r w:rsidR="00557ABD">
        <w:t xml:space="preserve"> in patient outcomes</w:t>
      </w:r>
      <w:r w:rsidR="00990B87">
        <w:t>.</w:t>
      </w:r>
    </w:p>
    <w:p w14:paraId="1FCE4907" w14:textId="2D0CA983" w:rsidR="00A26BD5" w:rsidRDefault="00A26BD5" w:rsidP="00A26BD5">
      <w:pPr>
        <w:rPr>
          <w:rFonts w:eastAsia="Muli" w:cs="Muli"/>
          <w:color w:val="000000" w:themeColor="text1"/>
        </w:rPr>
      </w:pPr>
      <w:r>
        <w:t>The HCH practices received a bundled payment for services relating to care for the chronic conditions for which a patient was enrolled</w:t>
      </w:r>
      <w:r w:rsidR="00FD6D34">
        <w:t xml:space="preserve">. </w:t>
      </w:r>
      <w:r w:rsidR="00CB309A">
        <w:t xml:space="preserve">A core list of MBS items was identified for which claims were restricted for HCH </w:t>
      </w:r>
      <w:r w:rsidR="00D86BD0">
        <w:t>patients. They included</w:t>
      </w:r>
      <w:r>
        <w:t xml:space="preserve"> MBS Group A15 </w:t>
      </w:r>
      <w:r w:rsidR="00D86BD0">
        <w:t xml:space="preserve">– </w:t>
      </w:r>
      <w:r>
        <w:t xml:space="preserve">Chronic Disease Management Items, MBS Group A17 – Domiciliary and Residential Medication Management Review items. However, HCH practices </w:t>
      </w:r>
      <w:r w:rsidR="006766B3">
        <w:t>could</w:t>
      </w:r>
      <w:r>
        <w:t xml:space="preserve"> make MBS claims for HCH patients for consultations or clinical services not relating to HCH core services</w:t>
      </w:r>
      <w:r w:rsidR="00B370BF">
        <w:t xml:space="preserve">, which included standard GP consultations. </w:t>
      </w:r>
      <w:r>
        <w:t xml:space="preserve">As such, marked differences in MBS claim-based measures of utilisation of GP and GP-coordinated services in the post-enrolment period between HCH patients and </w:t>
      </w:r>
      <w:r w:rsidR="000E16C4">
        <w:t>comparator</w:t>
      </w:r>
      <w:r>
        <w:t xml:space="preserve">s are likely to be attributable </w:t>
      </w:r>
      <w:r w:rsidR="00B370BF">
        <w:t>restrictions to services related</w:t>
      </w:r>
      <w:r>
        <w:t xml:space="preserve"> to </w:t>
      </w:r>
      <w:r w:rsidR="00B370BF">
        <w:t>chronic disease care</w:t>
      </w:r>
      <w:r>
        <w:t xml:space="preserve">, rather than participation in HCH. </w:t>
      </w:r>
    </w:p>
    <w:p w14:paraId="47D44B9D" w14:textId="77777777" w:rsidR="00A26BD5" w:rsidRDefault="00A26BD5" w:rsidP="00A26BD5">
      <w:pPr>
        <w:pStyle w:val="Heading2"/>
        <w:rPr>
          <w:rFonts w:eastAsia="Muli"/>
        </w:rPr>
      </w:pPr>
      <w:bookmarkStart w:id="366" w:name="_Toc109996736"/>
      <w:r>
        <w:rPr>
          <w:rFonts w:eastAsia="Muli"/>
        </w:rPr>
        <w:t>Utilisation of primary care services</w:t>
      </w:r>
      <w:bookmarkEnd w:id="366"/>
    </w:p>
    <w:p w14:paraId="3665971C" w14:textId="35AB460D" w:rsidR="00A26BD5" w:rsidRDefault="00A26BD5" w:rsidP="00A26BD5">
      <w:pPr>
        <w:rPr>
          <w:lang w:val="en-GB"/>
        </w:rPr>
      </w:pPr>
      <w:r w:rsidRPr="00E13843">
        <w:rPr>
          <w:lang w:val="en-GB"/>
        </w:rPr>
        <w:t xml:space="preserve">Utilisation of primary care services was examined for three years following enrolment, using linked records of MBS claims. Measures included changes in the number of claims for unreferred GP consultations, development and review of chronic disease care plans, and medication management reviews, noting that these services largely relate to HCH core services, funded through the bundled payment and </w:t>
      </w:r>
      <w:r w:rsidR="000C3977">
        <w:rPr>
          <w:lang w:val="en-GB"/>
        </w:rPr>
        <w:t>restricted</w:t>
      </w:r>
      <w:r>
        <w:rPr>
          <w:lang w:val="en-GB"/>
        </w:rPr>
        <w:t xml:space="preserve"> for </w:t>
      </w:r>
      <w:r w:rsidR="000C3977">
        <w:rPr>
          <w:lang w:val="en-GB"/>
        </w:rPr>
        <w:t>HCH patients</w:t>
      </w:r>
      <w:r>
        <w:rPr>
          <w:lang w:val="en-GB"/>
        </w:rPr>
        <w:t>.</w:t>
      </w:r>
    </w:p>
    <w:p w14:paraId="7262D52D" w14:textId="6D4C9EC9" w:rsidR="00A26BD5" w:rsidRDefault="00A26BD5" w:rsidP="00A26BD5">
      <w:pPr>
        <w:rPr>
          <w:lang w:val="en-GB"/>
        </w:rPr>
      </w:pPr>
      <w:r w:rsidRPr="43EA0028">
        <w:rPr>
          <w:lang w:val="en-GB"/>
        </w:rPr>
        <w:lastRenderedPageBreak/>
        <w:t>Annual numbers</w:t>
      </w:r>
      <w:r>
        <w:rPr>
          <w:lang w:val="en-GB"/>
        </w:rPr>
        <w:t xml:space="preserve"> of claims for </w:t>
      </w:r>
      <w:r w:rsidRPr="00637D0C">
        <w:rPr>
          <w:lang w:val="en-GB"/>
        </w:rPr>
        <w:t xml:space="preserve">unreferred GP </w:t>
      </w:r>
      <w:r>
        <w:rPr>
          <w:lang w:val="en-GB"/>
        </w:rPr>
        <w:t xml:space="preserve">visits </w:t>
      </w:r>
      <w:r w:rsidRPr="43EA0028">
        <w:rPr>
          <w:lang w:val="en-GB"/>
        </w:rPr>
        <w:t xml:space="preserve">among </w:t>
      </w:r>
      <w:r w:rsidRPr="00637D0C">
        <w:rPr>
          <w:lang w:val="en-GB"/>
        </w:rPr>
        <w:t>HCH</w:t>
      </w:r>
      <w:r>
        <w:rPr>
          <w:lang w:val="en-GB"/>
        </w:rPr>
        <w:t xml:space="preserve"> patients decreased </w:t>
      </w:r>
      <w:r w:rsidR="00305DF4">
        <w:rPr>
          <w:lang w:val="en-GB"/>
        </w:rPr>
        <w:t xml:space="preserve">by </w:t>
      </w:r>
      <w:r w:rsidR="0016598C">
        <w:rPr>
          <w:lang w:val="en-GB"/>
        </w:rPr>
        <w:t xml:space="preserve">36% </w:t>
      </w:r>
      <w:r>
        <w:rPr>
          <w:lang w:val="en-GB"/>
        </w:rPr>
        <w:t xml:space="preserve">from </w:t>
      </w:r>
      <w:r w:rsidRPr="43EA0028">
        <w:rPr>
          <w:lang w:val="en-GB"/>
        </w:rPr>
        <w:t xml:space="preserve">a mean of </w:t>
      </w:r>
      <w:r w:rsidR="00AB434B">
        <w:rPr>
          <w:lang w:val="en-GB"/>
        </w:rPr>
        <w:t>11.0</w:t>
      </w:r>
      <w:r>
        <w:rPr>
          <w:lang w:val="en-GB"/>
        </w:rPr>
        <w:t xml:space="preserve"> </w:t>
      </w:r>
      <w:r w:rsidRPr="43EA0028">
        <w:rPr>
          <w:lang w:val="en-GB"/>
        </w:rPr>
        <w:t xml:space="preserve">claims </w:t>
      </w:r>
      <w:r>
        <w:rPr>
          <w:lang w:val="en-GB"/>
        </w:rPr>
        <w:t xml:space="preserve">before enrolment to </w:t>
      </w:r>
      <w:r w:rsidRPr="43EA0028">
        <w:rPr>
          <w:lang w:val="en-GB"/>
        </w:rPr>
        <w:t xml:space="preserve">approximately </w:t>
      </w:r>
      <w:r w:rsidR="00AB434B">
        <w:rPr>
          <w:lang w:val="en-GB"/>
        </w:rPr>
        <w:t>7</w:t>
      </w:r>
      <w:r w:rsidR="00305DF4">
        <w:rPr>
          <w:lang w:val="en-GB"/>
        </w:rPr>
        <w:t>.0</w:t>
      </w:r>
      <w:r w:rsidRPr="43EA0028">
        <w:rPr>
          <w:lang w:val="en-GB"/>
        </w:rPr>
        <w:t xml:space="preserve"> claims following enrolment.</w:t>
      </w:r>
      <w:r>
        <w:rPr>
          <w:lang w:val="en-GB"/>
        </w:rPr>
        <w:t xml:space="preserve"> A reduction in claims for unreferred GP visits among </w:t>
      </w:r>
      <w:r w:rsidR="000E16C4">
        <w:rPr>
          <w:lang w:val="en-GB"/>
        </w:rPr>
        <w:t>comparator</w:t>
      </w:r>
      <w:r>
        <w:rPr>
          <w:lang w:val="en-GB"/>
        </w:rPr>
        <w:t>s w</w:t>
      </w:r>
      <w:r w:rsidRPr="43EA0028">
        <w:rPr>
          <w:lang w:val="en-GB"/>
        </w:rPr>
        <w:t>as</w:t>
      </w:r>
      <w:r>
        <w:rPr>
          <w:lang w:val="en-GB"/>
        </w:rPr>
        <w:t xml:space="preserve"> also observed, but to a lesser extent than in HCH patients (mean </w:t>
      </w:r>
      <w:r w:rsidR="000205D6">
        <w:rPr>
          <w:lang w:val="en-GB"/>
        </w:rPr>
        <w:t>11</w:t>
      </w:r>
      <w:r>
        <w:rPr>
          <w:lang w:val="en-GB"/>
        </w:rPr>
        <w:t xml:space="preserve">.4 before enrolment to </w:t>
      </w:r>
      <w:r w:rsidRPr="43EA0028">
        <w:rPr>
          <w:lang w:val="en-GB"/>
        </w:rPr>
        <w:t>approximately 1</w:t>
      </w:r>
      <w:r w:rsidR="00904D27">
        <w:rPr>
          <w:lang w:val="en-GB"/>
        </w:rPr>
        <w:t>0</w:t>
      </w:r>
      <w:r w:rsidR="0056720F">
        <w:rPr>
          <w:lang w:val="en-GB"/>
        </w:rPr>
        <w:t>.0</w:t>
      </w:r>
      <w:r w:rsidRPr="0003174B">
        <w:rPr>
          <w:lang w:val="en-GB"/>
        </w:rPr>
        <w:t xml:space="preserve"> </w:t>
      </w:r>
      <w:r>
        <w:rPr>
          <w:lang w:val="en-GB"/>
        </w:rPr>
        <w:t>i</w:t>
      </w:r>
      <w:r w:rsidRPr="00637D0C">
        <w:rPr>
          <w:lang w:val="en-GB"/>
        </w:rPr>
        <w:t xml:space="preserve">n the </w:t>
      </w:r>
      <w:r>
        <w:rPr>
          <w:lang w:val="en-GB"/>
        </w:rPr>
        <w:t>post</w:t>
      </w:r>
      <w:r w:rsidRPr="00637D0C">
        <w:rPr>
          <w:lang w:val="en-GB"/>
        </w:rPr>
        <w:t>-enrolment period</w:t>
      </w:r>
      <w:r>
        <w:rPr>
          <w:lang w:val="en-GB"/>
        </w:rPr>
        <w:t>).</w:t>
      </w:r>
    </w:p>
    <w:p w14:paraId="54990E8A" w14:textId="073F2624" w:rsidR="00A26BD5" w:rsidRPr="00637D0C" w:rsidRDefault="00A26BD5" w:rsidP="00A26BD5">
      <w:pPr>
        <w:rPr>
          <w:lang w:val="en-GB"/>
        </w:rPr>
      </w:pPr>
      <w:r>
        <w:rPr>
          <w:lang w:val="en-GB"/>
        </w:rPr>
        <w:t xml:space="preserve">In </w:t>
      </w:r>
      <w:r w:rsidRPr="43EA0028">
        <w:rPr>
          <w:lang w:val="en-GB"/>
        </w:rPr>
        <w:t xml:space="preserve">the period </w:t>
      </w:r>
      <w:r w:rsidR="0002675D">
        <w:rPr>
          <w:lang w:val="en-GB"/>
        </w:rPr>
        <w:t>before</w:t>
      </w:r>
      <w:r>
        <w:rPr>
          <w:lang w:val="en-GB"/>
        </w:rPr>
        <w:t xml:space="preserve"> enrolment, </w:t>
      </w:r>
      <w:r w:rsidRPr="00637D0C">
        <w:rPr>
          <w:lang w:val="en-GB"/>
        </w:rPr>
        <w:t xml:space="preserve">greater proportions of HCH </w:t>
      </w:r>
      <w:r w:rsidRPr="43EA0028">
        <w:rPr>
          <w:lang w:val="en-GB"/>
        </w:rPr>
        <w:t xml:space="preserve">than </w:t>
      </w:r>
      <w:r w:rsidR="000E16C4">
        <w:rPr>
          <w:lang w:val="en-GB"/>
        </w:rPr>
        <w:t>comparator</w:t>
      </w:r>
      <w:r w:rsidRPr="43EA0028">
        <w:rPr>
          <w:lang w:val="en-GB"/>
        </w:rPr>
        <w:t xml:space="preserve"> </w:t>
      </w:r>
      <w:r w:rsidRPr="00637D0C">
        <w:rPr>
          <w:lang w:val="en-GB"/>
        </w:rPr>
        <w:t xml:space="preserve">patients had </w:t>
      </w:r>
      <w:r w:rsidRPr="43EA0028">
        <w:rPr>
          <w:lang w:val="en-GB"/>
        </w:rPr>
        <w:t xml:space="preserve">claims </w:t>
      </w:r>
      <w:r w:rsidRPr="00637D0C">
        <w:rPr>
          <w:lang w:val="en-GB"/>
        </w:rPr>
        <w:t xml:space="preserve">for development </w:t>
      </w:r>
      <w:r w:rsidRPr="43EA0028">
        <w:rPr>
          <w:lang w:val="en-GB"/>
        </w:rPr>
        <w:t>or review of a</w:t>
      </w:r>
      <w:r w:rsidRPr="00637D0C">
        <w:rPr>
          <w:lang w:val="en-GB"/>
        </w:rPr>
        <w:t xml:space="preserve"> GP Management Plan, development </w:t>
      </w:r>
      <w:r w:rsidRPr="43EA0028">
        <w:rPr>
          <w:lang w:val="en-GB"/>
        </w:rPr>
        <w:t>or review of a</w:t>
      </w:r>
      <w:r w:rsidRPr="00637D0C">
        <w:rPr>
          <w:lang w:val="en-GB"/>
        </w:rPr>
        <w:t xml:space="preserve"> Team Care Arrangement </w:t>
      </w:r>
      <w:r w:rsidRPr="43EA0028">
        <w:rPr>
          <w:lang w:val="en-GB"/>
        </w:rPr>
        <w:t>and performance of a Medication Management Review.</w:t>
      </w:r>
      <w:r>
        <w:rPr>
          <w:lang w:val="en-GB"/>
        </w:rPr>
        <w:t xml:space="preserve"> </w:t>
      </w:r>
      <w:r w:rsidRPr="00637D0C">
        <w:rPr>
          <w:lang w:val="en-GB"/>
        </w:rPr>
        <w:t xml:space="preserve">Following enrolment, claims </w:t>
      </w:r>
      <w:r w:rsidRPr="43EA0028">
        <w:rPr>
          <w:lang w:val="en-GB"/>
        </w:rPr>
        <w:t xml:space="preserve">for </w:t>
      </w:r>
      <w:r w:rsidRPr="00637D0C">
        <w:rPr>
          <w:lang w:val="en-GB"/>
        </w:rPr>
        <w:t xml:space="preserve">these items </w:t>
      </w:r>
      <w:r w:rsidRPr="43EA0028">
        <w:rPr>
          <w:lang w:val="en-GB"/>
        </w:rPr>
        <w:t>among</w:t>
      </w:r>
      <w:r w:rsidRPr="00637D0C">
        <w:rPr>
          <w:lang w:val="en-GB"/>
        </w:rPr>
        <w:t xml:space="preserve"> HCH patients decreased</w:t>
      </w:r>
      <w:r w:rsidRPr="43EA0028">
        <w:rPr>
          <w:lang w:val="en-GB"/>
        </w:rPr>
        <w:t xml:space="preserve"> significantly</w:t>
      </w:r>
      <w:r w:rsidRPr="00637D0C">
        <w:rPr>
          <w:lang w:val="en-GB"/>
        </w:rPr>
        <w:t>.</w:t>
      </w:r>
    </w:p>
    <w:p w14:paraId="0ECFB341" w14:textId="77777777" w:rsidR="00A26BD5" w:rsidRDefault="00A26BD5" w:rsidP="00A26BD5">
      <w:pPr>
        <w:pStyle w:val="Heading3"/>
        <w:rPr>
          <w:lang w:val="en-GB"/>
        </w:rPr>
      </w:pPr>
      <w:r>
        <w:rPr>
          <w:lang w:val="en-GB"/>
        </w:rPr>
        <w:t>N</w:t>
      </w:r>
      <w:r w:rsidRPr="00D646C9">
        <w:rPr>
          <w:lang w:val="en-GB"/>
        </w:rPr>
        <w:t>on-referred GP consul</w:t>
      </w:r>
      <w:r>
        <w:rPr>
          <w:lang w:val="en-GB"/>
        </w:rPr>
        <w:t>t</w:t>
      </w:r>
      <w:r w:rsidRPr="00D646C9">
        <w:rPr>
          <w:lang w:val="en-GB"/>
        </w:rPr>
        <w:t>ations</w:t>
      </w:r>
    </w:p>
    <w:p w14:paraId="511C8666" w14:textId="5A3CB064" w:rsidR="00A26BD5" w:rsidRDefault="00A26BD5" w:rsidP="00A26BD5">
      <w:pPr>
        <w:rPr>
          <w:lang w:val="en-GB"/>
        </w:rPr>
      </w:pPr>
      <w:r>
        <w:rPr>
          <w:lang w:val="en-GB"/>
        </w:rPr>
        <w:t xml:space="preserve">While the bundled payment was intended to cover </w:t>
      </w:r>
      <w:r w:rsidRPr="00BD3B34">
        <w:rPr>
          <w:lang w:val="en-GB"/>
        </w:rPr>
        <w:t>standard consultations related to an enrolled patient’s chronic and complex conditions</w:t>
      </w:r>
      <w:r>
        <w:rPr>
          <w:lang w:val="en-GB"/>
        </w:rPr>
        <w:t xml:space="preserve">, </w:t>
      </w:r>
      <w:r w:rsidR="00E23ECA">
        <w:rPr>
          <w:lang w:val="en-GB"/>
        </w:rPr>
        <w:t xml:space="preserve">participating GPs in </w:t>
      </w:r>
      <w:r w:rsidRPr="00064624">
        <w:rPr>
          <w:lang w:val="en-GB"/>
        </w:rPr>
        <w:t>HCH practices could still claim for consultations not relating to patients’ chronic conditions.</w:t>
      </w:r>
      <w:r>
        <w:rPr>
          <w:lang w:val="en-GB"/>
        </w:rPr>
        <w:t xml:space="preserve"> I</w:t>
      </w:r>
      <w:r w:rsidRPr="00775BD2">
        <w:rPr>
          <w:lang w:val="en-GB"/>
        </w:rPr>
        <w:t xml:space="preserve">n the year </w:t>
      </w:r>
      <w:r w:rsidR="0002675D">
        <w:rPr>
          <w:lang w:val="en-GB"/>
        </w:rPr>
        <w:t>before</w:t>
      </w:r>
      <w:r>
        <w:rPr>
          <w:lang w:val="en-GB"/>
        </w:rPr>
        <w:t xml:space="preserve"> </w:t>
      </w:r>
      <w:r w:rsidRPr="00775BD2">
        <w:rPr>
          <w:lang w:val="en-GB"/>
        </w:rPr>
        <w:t>enrolment</w:t>
      </w:r>
      <w:r>
        <w:rPr>
          <w:lang w:val="en-GB"/>
        </w:rPr>
        <w:t xml:space="preserve">, almost all </w:t>
      </w:r>
      <w:r w:rsidRPr="00775BD2">
        <w:rPr>
          <w:lang w:val="en-GB"/>
        </w:rPr>
        <w:t xml:space="preserve">HCH patients </w:t>
      </w:r>
      <w:r>
        <w:rPr>
          <w:lang w:val="en-GB"/>
        </w:rPr>
        <w:t xml:space="preserve">had seen a GP, with an average of </w:t>
      </w:r>
      <w:r w:rsidR="00A87553">
        <w:rPr>
          <w:lang w:val="en-GB"/>
        </w:rPr>
        <w:t>11.0</w:t>
      </w:r>
      <w:r>
        <w:rPr>
          <w:lang w:val="en-GB"/>
        </w:rPr>
        <w:t xml:space="preserve"> (</w:t>
      </w:r>
      <w:r w:rsidRPr="00775BD2">
        <w:rPr>
          <w:lang w:val="en-GB"/>
        </w:rPr>
        <w:t xml:space="preserve">std </w:t>
      </w:r>
      <w:r w:rsidR="00A87553">
        <w:rPr>
          <w:lang w:val="en-GB"/>
        </w:rPr>
        <w:t>8.2</w:t>
      </w:r>
      <w:r>
        <w:rPr>
          <w:lang w:val="en-GB"/>
        </w:rPr>
        <w:t>)</w:t>
      </w:r>
      <w:r w:rsidRPr="00775BD2">
        <w:rPr>
          <w:lang w:val="en-GB"/>
        </w:rPr>
        <w:t xml:space="preserve"> </w:t>
      </w:r>
      <w:r w:rsidRPr="43EA0028">
        <w:rPr>
          <w:lang w:val="en-GB"/>
        </w:rPr>
        <w:t>GP consultations</w:t>
      </w:r>
      <w:r>
        <w:rPr>
          <w:lang w:val="en-GB"/>
        </w:rPr>
        <w:t>. One third (30.4%) of HCH patients had up to six GP visits; one quarter (24.2%) had 10 to 14 consultations, and one quarter (24.3%) had 15 or more consultations (</w:t>
      </w:r>
      <w:r w:rsidR="00BF0DDC" w:rsidRPr="00F40C34">
        <w:rPr>
          <w:rFonts w:eastAsiaTheme="minorEastAsia"/>
          <w:bCs/>
          <w:color w:val="1D2455"/>
          <w:szCs w:val="20"/>
          <w:lang w:eastAsia="en-AU"/>
        </w:rPr>
        <w:fldChar w:fldCharType="begin"/>
      </w:r>
      <w:r w:rsidR="00BF0DDC" w:rsidRPr="00F40C34">
        <w:rPr>
          <w:rFonts w:eastAsiaTheme="minorEastAsia"/>
          <w:bCs/>
          <w:color w:val="1D2455"/>
          <w:szCs w:val="20"/>
          <w:lang w:eastAsia="en-AU"/>
        </w:rPr>
        <w:instrText xml:space="preserve"> REF _Ref98882079 \h </w:instrText>
      </w:r>
      <w:r w:rsidR="00F40C34">
        <w:rPr>
          <w:rFonts w:eastAsiaTheme="minorEastAsia"/>
          <w:bCs/>
          <w:color w:val="1D2455"/>
          <w:szCs w:val="20"/>
          <w:lang w:eastAsia="en-AU"/>
        </w:rPr>
        <w:instrText xml:space="preserve"> \* MERGEFORMAT </w:instrText>
      </w:r>
      <w:r w:rsidR="00BF0DDC" w:rsidRPr="00F40C34">
        <w:rPr>
          <w:rFonts w:eastAsiaTheme="minorEastAsia"/>
          <w:bCs/>
          <w:color w:val="1D2455"/>
          <w:szCs w:val="20"/>
          <w:lang w:eastAsia="en-AU"/>
        </w:rPr>
      </w:r>
      <w:r w:rsidR="00BF0DDC" w:rsidRPr="00F40C34">
        <w:rPr>
          <w:rFonts w:eastAsiaTheme="minorEastAsia"/>
          <w:bCs/>
          <w:color w:val="1D2455"/>
          <w:szCs w:val="20"/>
          <w:lang w:eastAsia="en-AU"/>
        </w:rPr>
        <w:fldChar w:fldCharType="separate"/>
      </w:r>
      <w:r w:rsidR="003C4BC2" w:rsidRPr="003C4BC2">
        <w:rPr>
          <w:rFonts w:eastAsiaTheme="minorEastAsia"/>
          <w:bCs/>
          <w:color w:val="1D2455"/>
          <w:szCs w:val="20"/>
          <w:lang w:eastAsia="en-AU"/>
        </w:rPr>
        <w:t>Figure 51</w:t>
      </w:r>
      <w:r w:rsidR="00BF0DDC" w:rsidRPr="00F40C34">
        <w:rPr>
          <w:rFonts w:eastAsiaTheme="minorEastAsia"/>
          <w:bCs/>
          <w:color w:val="1D2455"/>
          <w:szCs w:val="20"/>
          <w:lang w:eastAsia="en-AU"/>
        </w:rPr>
        <w:fldChar w:fldCharType="end"/>
      </w:r>
      <w:r>
        <w:rPr>
          <w:lang w:val="en-GB"/>
        </w:rPr>
        <w:t xml:space="preserve">). These findings are consistent with the number of GP encounters within the same practice in the pre-enrolment period as measured through practice data extracts, as shown in </w:t>
      </w:r>
      <w:r w:rsidR="001151ED">
        <w:rPr>
          <w:lang w:val="en-GB"/>
        </w:rPr>
        <w:fldChar w:fldCharType="begin"/>
      </w:r>
      <w:r w:rsidR="001151ED">
        <w:rPr>
          <w:lang w:val="en-GB"/>
        </w:rPr>
        <w:instrText xml:space="preserve"> REF _Ref108628411 \h </w:instrText>
      </w:r>
      <w:r w:rsidR="001151ED">
        <w:rPr>
          <w:lang w:val="en-GB"/>
        </w:rPr>
      </w:r>
      <w:r w:rsidR="001151ED">
        <w:rPr>
          <w:lang w:val="en-GB"/>
        </w:rPr>
        <w:fldChar w:fldCharType="separate"/>
      </w:r>
      <w:r w:rsidR="003C4BC2">
        <w:t xml:space="preserve">Figure </w:t>
      </w:r>
      <w:r w:rsidR="003C4BC2">
        <w:rPr>
          <w:bCs/>
          <w:noProof/>
        </w:rPr>
        <w:t>28</w:t>
      </w:r>
      <w:r w:rsidR="001151ED">
        <w:rPr>
          <w:lang w:val="en-GB"/>
        </w:rPr>
        <w:fldChar w:fldCharType="end"/>
      </w:r>
      <w:r w:rsidR="001151ED">
        <w:rPr>
          <w:lang w:val="en-GB"/>
        </w:rPr>
        <w:t xml:space="preserve"> (p. </w:t>
      </w:r>
      <w:r w:rsidR="001151ED">
        <w:rPr>
          <w:lang w:val="en-GB"/>
        </w:rPr>
        <w:fldChar w:fldCharType="begin"/>
      </w:r>
      <w:r w:rsidR="001151ED">
        <w:rPr>
          <w:lang w:val="en-GB"/>
        </w:rPr>
        <w:instrText xml:space="preserve"> PAGEREF _Ref108628539 \h </w:instrText>
      </w:r>
      <w:r w:rsidR="001151ED">
        <w:rPr>
          <w:lang w:val="en-GB"/>
        </w:rPr>
      </w:r>
      <w:r w:rsidR="001151ED">
        <w:rPr>
          <w:lang w:val="en-GB"/>
        </w:rPr>
        <w:fldChar w:fldCharType="separate"/>
      </w:r>
      <w:r w:rsidR="003C4BC2">
        <w:rPr>
          <w:noProof/>
          <w:lang w:val="en-GB"/>
        </w:rPr>
        <w:t>177</w:t>
      </w:r>
      <w:r w:rsidR="001151ED">
        <w:rPr>
          <w:lang w:val="en-GB"/>
        </w:rPr>
        <w:fldChar w:fldCharType="end"/>
      </w:r>
      <w:r w:rsidR="001151ED">
        <w:rPr>
          <w:lang w:val="en-GB"/>
        </w:rPr>
        <w:t>)</w:t>
      </w:r>
      <w:r>
        <w:rPr>
          <w:lang w:val="en-GB"/>
        </w:rPr>
        <w:t xml:space="preserve">, suggesting that patients largely sought care within the practice. </w:t>
      </w:r>
    </w:p>
    <w:p w14:paraId="61E49169" w14:textId="22EE52EA" w:rsidR="00CD4287" w:rsidRDefault="00CD4287" w:rsidP="00CD4287">
      <w:pPr>
        <w:pStyle w:val="TableFigureheading"/>
      </w:pPr>
      <w:bookmarkStart w:id="367" w:name="_Ref98882079"/>
      <w:r w:rsidRPr="00F877C0">
        <w:t xml:space="preserve">Figure </w:t>
      </w:r>
      <w:r>
        <w:fldChar w:fldCharType="begin"/>
      </w:r>
      <w:r>
        <w:instrText>SEQ Figure \* ARABIC</w:instrText>
      </w:r>
      <w:r>
        <w:fldChar w:fldCharType="separate"/>
      </w:r>
      <w:r w:rsidR="003C4BC2">
        <w:rPr>
          <w:noProof/>
        </w:rPr>
        <w:t>51</w:t>
      </w:r>
      <w:r>
        <w:fldChar w:fldCharType="end"/>
      </w:r>
      <w:bookmarkEnd w:id="367"/>
      <w:r>
        <w:t xml:space="preserve">: Claims for unreferred GP consultations among HCH </w:t>
      </w:r>
      <w:r w:rsidR="00C94943">
        <w:rPr>
          <w:bCs w:val="0"/>
        </w:rPr>
        <w:t xml:space="preserve">and comparator </w:t>
      </w:r>
      <w:r>
        <w:t>patients</w:t>
      </w:r>
    </w:p>
    <w:p w14:paraId="18AB49CE" w14:textId="77777777" w:rsidR="00CD4287" w:rsidRDefault="00CD4287" w:rsidP="003359FC">
      <w:pPr>
        <w:spacing w:after="0"/>
        <w:jc w:val="center"/>
      </w:pPr>
      <w:r>
        <w:rPr>
          <w:noProof/>
        </w:rPr>
        <w:drawing>
          <wp:inline distT="0" distB="0" distL="0" distR="0" wp14:anchorId="3DCBD4C9" wp14:editId="1C3835B2">
            <wp:extent cx="5606780" cy="3924000"/>
            <wp:effectExtent l="0" t="0" r="0" b="0"/>
            <wp:docPr id="6288" name="Picture 628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Chart, bar chart&#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606780" cy="3924000"/>
                    </a:xfrm>
                    <a:prstGeom prst="rect">
                      <a:avLst/>
                    </a:prstGeom>
                  </pic:spPr>
                </pic:pic>
              </a:graphicData>
            </a:graphic>
          </wp:inline>
        </w:drawing>
      </w:r>
    </w:p>
    <w:p w14:paraId="7E3B2372" w14:textId="096DF2A9" w:rsidR="00CD4287" w:rsidRPr="009645D4" w:rsidRDefault="00E364DA" w:rsidP="00E364DA">
      <w:pPr>
        <w:pStyle w:val="Chartortablefootnote"/>
        <w:spacing w:after="0"/>
        <w:ind w:left="720" w:right="663"/>
        <w:rPr>
          <w:lang w:val="en-GB"/>
        </w:rPr>
      </w:pPr>
      <w:r>
        <w:rPr>
          <w:lang w:val="en-GB"/>
        </w:rPr>
        <w:t>Notes:</w:t>
      </w:r>
      <w:r w:rsidR="00CD4287">
        <w:rPr>
          <w:lang w:val="en-GB"/>
        </w:rPr>
        <w:t xml:space="preserve"> People with length of follow-up shorter than respective yearly anniversar</w:t>
      </w:r>
      <w:r w:rsidR="00BF0DDC">
        <w:rPr>
          <w:lang w:val="en-GB"/>
        </w:rPr>
        <w:t>y</w:t>
      </w:r>
      <w:r w:rsidR="00CD4287">
        <w:rPr>
          <w:lang w:val="en-GB"/>
        </w:rPr>
        <w:t xml:space="preserve"> were excluded from analyses. </w:t>
      </w:r>
    </w:p>
    <w:p w14:paraId="0D685792" w14:textId="76F42E76" w:rsidR="00E364DA" w:rsidRPr="009645D4" w:rsidRDefault="00E364DA" w:rsidP="00CD4287">
      <w:pPr>
        <w:pStyle w:val="Chartortablefootnote"/>
        <w:ind w:left="720" w:right="662"/>
        <w:rPr>
          <w:lang w:val="en-GB"/>
        </w:rPr>
      </w:pPr>
      <w:r w:rsidRPr="009645D4">
        <w:rPr>
          <w:lang w:val="en-GB"/>
        </w:rPr>
        <w:t>Source: MBS</w:t>
      </w:r>
      <w:r>
        <w:rPr>
          <w:lang w:val="en-GB"/>
        </w:rPr>
        <w:t xml:space="preserve"> claims of items in G</w:t>
      </w:r>
      <w:r w:rsidRPr="009645D4">
        <w:rPr>
          <w:lang w:val="en-GB"/>
        </w:rPr>
        <w:t>roup</w:t>
      </w:r>
      <w:r>
        <w:rPr>
          <w:lang w:val="en-GB"/>
        </w:rPr>
        <w:t>s</w:t>
      </w:r>
      <w:r w:rsidRPr="009645D4">
        <w:rPr>
          <w:lang w:val="en-GB"/>
        </w:rPr>
        <w:t xml:space="preserve"> A1 &amp; A2</w:t>
      </w:r>
      <w:r>
        <w:rPr>
          <w:lang w:val="en-GB"/>
        </w:rPr>
        <w:t>.</w:t>
      </w:r>
    </w:p>
    <w:p w14:paraId="5AFFEF9D" w14:textId="77777777" w:rsidR="00A26BD5" w:rsidRDefault="00A26BD5" w:rsidP="00A26BD5">
      <w:pPr>
        <w:rPr>
          <w:lang w:val="en-GB"/>
        </w:rPr>
      </w:pPr>
      <w:r>
        <w:rPr>
          <w:lang w:val="en-GB"/>
        </w:rPr>
        <w:lastRenderedPageBreak/>
        <w:t xml:space="preserve">Following enrolment, the proportion of HCH patients with one or more GP consultation claims decreased to 93.7% the first year (mean number of claims </w:t>
      </w:r>
      <w:r w:rsidR="005E1F5F">
        <w:rPr>
          <w:lang w:val="en-GB"/>
        </w:rPr>
        <w:t>7.0</w:t>
      </w:r>
      <w:r>
        <w:rPr>
          <w:lang w:val="en-GB"/>
        </w:rPr>
        <w:t xml:space="preserve">) and further dropped to 91% in subsequent years (mean </w:t>
      </w:r>
      <w:r w:rsidR="005E1F5F">
        <w:rPr>
          <w:lang w:val="en-GB"/>
        </w:rPr>
        <w:t>6.6</w:t>
      </w:r>
      <w:r>
        <w:rPr>
          <w:lang w:val="en-GB"/>
        </w:rPr>
        <w:t xml:space="preserve"> at year two and </w:t>
      </w:r>
      <w:r w:rsidR="005E1F5F">
        <w:rPr>
          <w:lang w:val="en-GB"/>
        </w:rPr>
        <w:t>year three).</w:t>
      </w:r>
      <w:r>
        <w:rPr>
          <w:lang w:val="en-GB"/>
        </w:rPr>
        <w:t xml:space="preserve"> There was a significant reduction in the proportion of patients with 10 or more claims.</w:t>
      </w:r>
    </w:p>
    <w:p w14:paraId="5C89D30C" w14:textId="288598CC" w:rsidR="00A26BD5" w:rsidRDefault="00A26BD5" w:rsidP="00A26BD5">
      <w:pPr>
        <w:rPr>
          <w:lang w:val="en-GB"/>
        </w:rPr>
      </w:pPr>
      <w:r>
        <w:rPr>
          <w:lang w:val="en-GB"/>
        </w:rPr>
        <w:t xml:space="preserve">Comparator patients matched with HCH patients at baseline also had fewer GP consultation claims in subsequent years, but to a lesser extent. The mean number of claims was </w:t>
      </w:r>
      <w:r w:rsidR="005E1F5F">
        <w:rPr>
          <w:lang w:val="en-GB"/>
        </w:rPr>
        <w:t>10.6</w:t>
      </w:r>
      <w:r>
        <w:rPr>
          <w:lang w:val="en-GB"/>
        </w:rPr>
        <w:t xml:space="preserve"> in the first year, 9</w:t>
      </w:r>
      <w:r w:rsidR="005E1F5F">
        <w:rPr>
          <w:lang w:val="en-GB"/>
        </w:rPr>
        <w:t>.4</w:t>
      </w:r>
      <w:r>
        <w:rPr>
          <w:lang w:val="en-GB"/>
        </w:rPr>
        <w:t xml:space="preserve"> in the second year and </w:t>
      </w:r>
      <w:r w:rsidR="005E1F5F">
        <w:rPr>
          <w:lang w:val="en-GB"/>
        </w:rPr>
        <w:t>8.8</w:t>
      </w:r>
      <w:r>
        <w:rPr>
          <w:lang w:val="en-GB"/>
        </w:rPr>
        <w:t xml:space="preserve"> in the third year. There was a large reduction in the proportion of </w:t>
      </w:r>
      <w:r w:rsidR="007D130E">
        <w:rPr>
          <w:lang w:val="en-GB"/>
        </w:rPr>
        <w:t>comparator</w:t>
      </w:r>
      <w:r>
        <w:rPr>
          <w:lang w:val="en-GB"/>
        </w:rPr>
        <w:t xml:space="preserve"> patients with 10 or more claims (</w:t>
      </w:r>
      <w:r w:rsidR="005E1F5F" w:rsidRPr="000550DE">
        <w:rPr>
          <w:rFonts w:eastAsiaTheme="minorEastAsia"/>
          <w:bCs/>
          <w:color w:val="1D2455"/>
          <w:szCs w:val="20"/>
          <w:lang w:eastAsia="en-AU"/>
        </w:rPr>
        <w:fldChar w:fldCharType="begin"/>
      </w:r>
      <w:r w:rsidR="005E1F5F" w:rsidRPr="000550DE">
        <w:rPr>
          <w:rFonts w:eastAsiaTheme="minorEastAsia"/>
          <w:bCs/>
          <w:color w:val="1D2455"/>
          <w:szCs w:val="20"/>
          <w:lang w:eastAsia="en-AU"/>
        </w:rPr>
        <w:instrText xml:space="preserve"> REF _Ref98882079 \h </w:instrText>
      </w:r>
      <w:r w:rsidR="000550DE">
        <w:rPr>
          <w:rFonts w:eastAsiaTheme="minorEastAsia"/>
          <w:bCs/>
          <w:color w:val="1D2455"/>
          <w:szCs w:val="20"/>
          <w:lang w:eastAsia="en-AU"/>
        </w:rPr>
        <w:instrText xml:space="preserve"> \* MERGEFORMAT </w:instrText>
      </w:r>
      <w:r w:rsidR="005E1F5F" w:rsidRPr="000550DE">
        <w:rPr>
          <w:rFonts w:eastAsiaTheme="minorEastAsia"/>
          <w:bCs/>
          <w:color w:val="1D2455"/>
          <w:szCs w:val="20"/>
          <w:lang w:eastAsia="en-AU"/>
        </w:rPr>
      </w:r>
      <w:r w:rsidR="005E1F5F" w:rsidRPr="000550DE">
        <w:rPr>
          <w:rFonts w:eastAsiaTheme="minorEastAsia"/>
          <w:bCs/>
          <w:color w:val="1D2455"/>
          <w:szCs w:val="20"/>
          <w:lang w:eastAsia="en-AU"/>
        </w:rPr>
        <w:fldChar w:fldCharType="separate"/>
      </w:r>
      <w:r w:rsidR="003C4BC2" w:rsidRPr="003C4BC2">
        <w:rPr>
          <w:rFonts w:eastAsiaTheme="minorEastAsia"/>
          <w:bCs/>
          <w:color w:val="1D2455"/>
          <w:szCs w:val="20"/>
          <w:lang w:eastAsia="en-AU"/>
        </w:rPr>
        <w:t>Figure 51</w:t>
      </w:r>
      <w:r w:rsidR="005E1F5F" w:rsidRPr="000550DE">
        <w:rPr>
          <w:rFonts w:eastAsiaTheme="minorEastAsia"/>
          <w:bCs/>
          <w:color w:val="1D2455"/>
          <w:szCs w:val="20"/>
          <w:lang w:eastAsia="en-AU"/>
        </w:rPr>
        <w:fldChar w:fldCharType="end"/>
      </w:r>
      <w:r>
        <w:rPr>
          <w:lang w:val="en-GB"/>
        </w:rPr>
        <w:t>)</w:t>
      </w:r>
      <w:r w:rsidR="00ED24EB">
        <w:rPr>
          <w:lang w:val="en-GB"/>
        </w:rPr>
        <w:t xml:space="preserve">, but this was </w:t>
      </w:r>
      <w:r w:rsidR="007415B6">
        <w:rPr>
          <w:lang w:val="en-GB"/>
        </w:rPr>
        <w:t>not as large as the reduction for HCH patients, particularly in the 12 months following enrolment.</w:t>
      </w:r>
    </w:p>
    <w:p w14:paraId="2E7262C7" w14:textId="36D80896" w:rsidR="00A26BD5" w:rsidRDefault="00A26BD5" w:rsidP="00A26BD5">
      <w:pPr>
        <w:rPr>
          <w:lang w:val="en-GB"/>
        </w:rPr>
      </w:pPr>
      <w:r>
        <w:rPr>
          <w:lang w:val="en-GB"/>
        </w:rPr>
        <w:t xml:space="preserve">The observed reductions in GP consultation claims amongst HCH patients in the post-enrolment periods </w:t>
      </w:r>
      <w:r w:rsidRPr="43EA0028">
        <w:rPr>
          <w:lang w:val="en-GB"/>
        </w:rPr>
        <w:t xml:space="preserve">are likely to </w:t>
      </w:r>
      <w:r>
        <w:rPr>
          <w:lang w:val="en-GB"/>
        </w:rPr>
        <w:t xml:space="preserve">reflect </w:t>
      </w:r>
      <w:r w:rsidRPr="43EA0028">
        <w:rPr>
          <w:lang w:val="en-GB"/>
        </w:rPr>
        <w:t>the role</w:t>
      </w:r>
      <w:r>
        <w:rPr>
          <w:lang w:val="en-GB"/>
        </w:rPr>
        <w:t xml:space="preserve"> of </w:t>
      </w:r>
      <w:r w:rsidRPr="43EA0028">
        <w:rPr>
          <w:lang w:val="en-GB"/>
        </w:rPr>
        <w:t xml:space="preserve">the bundled payment. However, the presence of some </w:t>
      </w:r>
      <w:r>
        <w:rPr>
          <w:lang w:val="en-GB"/>
        </w:rPr>
        <w:t xml:space="preserve">GP claims in </w:t>
      </w:r>
      <w:r w:rsidRPr="43EA0028">
        <w:rPr>
          <w:lang w:val="en-GB"/>
        </w:rPr>
        <w:t xml:space="preserve">the </w:t>
      </w:r>
      <w:r>
        <w:rPr>
          <w:lang w:val="en-GB"/>
        </w:rPr>
        <w:t xml:space="preserve">post-enrolment periods </w:t>
      </w:r>
      <w:r w:rsidRPr="43EA0028">
        <w:rPr>
          <w:lang w:val="en-GB"/>
        </w:rPr>
        <w:t xml:space="preserve">also </w:t>
      </w:r>
      <w:r>
        <w:rPr>
          <w:lang w:val="en-GB"/>
        </w:rPr>
        <w:t>suggests that HCH patients sought care for health issues</w:t>
      </w:r>
      <w:r w:rsidRPr="43EA0028">
        <w:rPr>
          <w:lang w:val="en-GB"/>
        </w:rPr>
        <w:t xml:space="preserve"> other than their chronic conditions</w:t>
      </w:r>
      <w:r w:rsidR="00A82308">
        <w:rPr>
          <w:lang w:val="en-GB"/>
        </w:rPr>
        <w:t>, and received care from GP</w:t>
      </w:r>
      <w:r w:rsidR="000550DE">
        <w:rPr>
          <w:lang w:val="en-GB"/>
        </w:rPr>
        <w:t>s</w:t>
      </w:r>
      <w:r w:rsidR="00A82308">
        <w:rPr>
          <w:lang w:val="en-GB"/>
        </w:rPr>
        <w:t xml:space="preserve"> who were not participating in the HCH trial</w:t>
      </w:r>
      <w:r w:rsidR="00C177E7">
        <w:rPr>
          <w:lang w:val="en-GB"/>
        </w:rPr>
        <w:t>, both within HCH practices and in other practices.</w:t>
      </w:r>
    </w:p>
    <w:p w14:paraId="058A047B" w14:textId="77777777" w:rsidR="00A26BD5" w:rsidRDefault="00A26BD5" w:rsidP="00A26BD5">
      <w:pPr>
        <w:pStyle w:val="Heading3"/>
        <w:rPr>
          <w:lang w:val="en-GB"/>
        </w:rPr>
      </w:pPr>
      <w:r w:rsidRPr="001A6B07">
        <w:rPr>
          <w:lang w:val="en-GB"/>
        </w:rPr>
        <w:t xml:space="preserve">Continuity of care with </w:t>
      </w:r>
      <w:r>
        <w:rPr>
          <w:lang w:val="en-GB"/>
        </w:rPr>
        <w:t xml:space="preserve">usual </w:t>
      </w:r>
      <w:r w:rsidRPr="001A6B07">
        <w:rPr>
          <w:lang w:val="en-GB"/>
        </w:rPr>
        <w:t>GP providers</w:t>
      </w:r>
    </w:p>
    <w:p w14:paraId="57518D8A" w14:textId="77777777" w:rsidR="001930B2" w:rsidRDefault="00A26BD5" w:rsidP="00A26BD5">
      <w:r w:rsidRPr="43EA0028">
        <w:rPr>
          <w:lang w:val="en-GB"/>
        </w:rPr>
        <w:t>The usual provider of care index (UPC) is commonly used to</w:t>
      </w:r>
      <w:r>
        <w:rPr>
          <w:lang w:val="en-GB"/>
        </w:rPr>
        <w:t xml:space="preserve"> measure continuity of care with </w:t>
      </w:r>
      <w:r w:rsidRPr="43EA0028">
        <w:rPr>
          <w:lang w:val="en-GB"/>
        </w:rPr>
        <w:t xml:space="preserve">a </w:t>
      </w:r>
      <w:r>
        <w:rPr>
          <w:lang w:val="en-GB"/>
        </w:rPr>
        <w:t xml:space="preserve">usual GP provider. </w:t>
      </w:r>
      <w:r w:rsidRPr="43EA0028">
        <w:rPr>
          <w:lang w:val="en-GB"/>
        </w:rPr>
        <w:t>For patients who had four or more unreferred GP claims, t</w:t>
      </w:r>
      <w:r>
        <w:rPr>
          <w:lang w:val="en-GB"/>
        </w:rPr>
        <w:t xml:space="preserve">he UPC score was </w:t>
      </w:r>
      <w:r w:rsidRPr="43EA0028">
        <w:rPr>
          <w:lang w:val="en-GB"/>
        </w:rPr>
        <w:t xml:space="preserve">calculated as </w:t>
      </w:r>
      <w:r>
        <w:rPr>
          <w:lang w:val="en-GB"/>
        </w:rPr>
        <w:t xml:space="preserve">the </w:t>
      </w:r>
      <w:r>
        <w:t xml:space="preserve">number of claims for visits to the GP with the highest number of visits (“usual provider”) divided by the total number of claims for GP visits. </w:t>
      </w:r>
    </w:p>
    <w:p w14:paraId="1ADA902B" w14:textId="5B61AB0B" w:rsidR="00A26BD5" w:rsidRDefault="00A26BD5" w:rsidP="00A26BD5">
      <w:r>
        <w:t>Among HCH patients</w:t>
      </w:r>
      <w:r w:rsidRPr="00684989">
        <w:t xml:space="preserve"> </w:t>
      </w:r>
      <w:r>
        <w:t>with four or more GP visits in the year leading to enrolment, 16.3% had perfect continuity of care with their GP provider (UPC score=1), indicating all visits were with a single provider throughout the year. A third (29.</w:t>
      </w:r>
      <w:r w:rsidR="00AB29A2">
        <w:t>8</w:t>
      </w:r>
      <w:r>
        <w:t>%) had a high level of continuity of care (0.75≤UPC score &lt;1) while slightly more than half (53.9%) had a low level of continuity of care (UPC score &lt;0.75) with their usual GP provider</w:t>
      </w:r>
      <w:r w:rsidR="00602F6E">
        <w:t xml:space="preserve"> (</w:t>
      </w:r>
      <w:r w:rsidR="00496E21" w:rsidRPr="00247580">
        <w:rPr>
          <w:color w:val="1D2455"/>
        </w:rPr>
        <w:fldChar w:fldCharType="begin"/>
      </w:r>
      <w:r w:rsidR="00496E21" w:rsidRPr="00247580">
        <w:rPr>
          <w:color w:val="1D2455"/>
        </w:rPr>
        <w:instrText xml:space="preserve"> REF _Ref97027125 \h </w:instrText>
      </w:r>
      <w:r w:rsidR="00247580">
        <w:rPr>
          <w:color w:val="1D2455"/>
        </w:rPr>
        <w:instrText xml:space="preserve"> \* MERGEFORMAT </w:instrText>
      </w:r>
      <w:r w:rsidR="00496E21" w:rsidRPr="00247580">
        <w:rPr>
          <w:color w:val="1D2455"/>
        </w:rPr>
      </w:r>
      <w:r w:rsidR="00496E21" w:rsidRPr="00247580">
        <w:rPr>
          <w:color w:val="1D2455"/>
        </w:rPr>
        <w:fldChar w:fldCharType="separate"/>
      </w:r>
      <w:r w:rsidR="003C4BC2" w:rsidRPr="003C4BC2">
        <w:rPr>
          <w:color w:val="1D2455"/>
        </w:rPr>
        <w:t>Figure 52</w:t>
      </w:r>
      <w:r w:rsidR="00496E21" w:rsidRPr="00247580">
        <w:rPr>
          <w:color w:val="1D2455"/>
        </w:rPr>
        <w:fldChar w:fldCharType="end"/>
      </w:r>
      <w:r w:rsidR="00602F6E">
        <w:t>)</w:t>
      </w:r>
      <w:r>
        <w:t>.</w:t>
      </w:r>
    </w:p>
    <w:p w14:paraId="125BF2F1" w14:textId="1CD31F1C" w:rsidR="008B212C" w:rsidRDefault="008B212C" w:rsidP="008B212C">
      <w:r>
        <w:t>Due to the expected reduction in the number of claims for GP visits made by HCH patients, it is not possible to directly compare levels of continuity of care amongst HCH patients between the pre- and post-enrolment periods. In the first year following enrolment, in patients with four or more GP claims, 13.2% had perfect a perfect level of continuity of care and 26.</w:t>
      </w:r>
      <w:r w:rsidR="009721D6">
        <w:t>6</w:t>
      </w:r>
      <w:r>
        <w:t>% had a high level of continuity of care with usual provider. In the second years, these proportions increased slightly, to 14.5% and 27.5% respectively.</w:t>
      </w:r>
    </w:p>
    <w:p w14:paraId="6C83CF41" w14:textId="562D04FA" w:rsidR="004F1CEB" w:rsidRDefault="008B212C" w:rsidP="008B212C">
      <w:r>
        <w:t xml:space="preserve">Accordingly, it is also not possible to directly compare levels of continuity of care between HCH and </w:t>
      </w:r>
      <w:r w:rsidR="000E16C4">
        <w:t>comparator</w:t>
      </w:r>
      <w:r>
        <w:t xml:space="preserve"> patients in the post-enrolment period. </w:t>
      </w:r>
      <w:r>
        <w:rPr>
          <w:lang w:val="en-GB"/>
        </w:rPr>
        <w:t xml:space="preserve">Among </w:t>
      </w:r>
      <w:r w:rsidR="000E16C4">
        <w:rPr>
          <w:lang w:val="en-GB"/>
        </w:rPr>
        <w:t>comparator</w:t>
      </w:r>
      <w:r>
        <w:rPr>
          <w:lang w:val="en-GB"/>
        </w:rPr>
        <w:t xml:space="preserve"> patients, w</w:t>
      </w:r>
      <w:r w:rsidRPr="13210AEC">
        <w:rPr>
          <w:lang w:val="en-GB"/>
        </w:rPr>
        <w:t xml:space="preserve">hile similar to HCH patients at baseline, </w:t>
      </w:r>
      <w:r w:rsidRPr="43EA0028">
        <w:rPr>
          <w:lang w:val="en-GB"/>
        </w:rPr>
        <w:t xml:space="preserve">the </w:t>
      </w:r>
      <w:r>
        <w:rPr>
          <w:lang w:val="en-GB"/>
        </w:rPr>
        <w:t>proportions of patients with perfect levels of continuity of care increased over time, from 16.8% in the pre-enrolment period to 18.6% in year one, 19.9% in year two and 21.4% in year three of follow-up</w:t>
      </w:r>
      <w:r w:rsidR="001930B2">
        <w:rPr>
          <w:lang w:val="en-GB"/>
        </w:rPr>
        <w:t xml:space="preserve"> </w:t>
      </w:r>
      <w:r w:rsidR="001930B2">
        <w:t>(</w:t>
      </w:r>
      <w:r w:rsidR="001930B2" w:rsidRPr="006524FD">
        <w:rPr>
          <w:color w:val="1D2455"/>
        </w:rPr>
        <w:fldChar w:fldCharType="begin"/>
      </w:r>
      <w:r w:rsidR="001930B2" w:rsidRPr="006524FD">
        <w:rPr>
          <w:color w:val="1D2455"/>
        </w:rPr>
        <w:instrText xml:space="preserve"> REF _Ref97027125 \h </w:instrText>
      </w:r>
      <w:r w:rsidR="006524FD">
        <w:rPr>
          <w:color w:val="1D2455"/>
        </w:rPr>
        <w:instrText xml:space="preserve"> \* MERGEFORMAT </w:instrText>
      </w:r>
      <w:r w:rsidR="001930B2" w:rsidRPr="006524FD">
        <w:rPr>
          <w:color w:val="1D2455"/>
        </w:rPr>
      </w:r>
      <w:r w:rsidR="001930B2" w:rsidRPr="006524FD">
        <w:rPr>
          <w:color w:val="1D2455"/>
        </w:rPr>
        <w:fldChar w:fldCharType="separate"/>
      </w:r>
      <w:r w:rsidR="003C4BC2" w:rsidRPr="003C4BC2">
        <w:rPr>
          <w:color w:val="1D2455"/>
        </w:rPr>
        <w:t xml:space="preserve">Figure </w:t>
      </w:r>
      <w:r w:rsidR="003C4BC2" w:rsidRPr="003C4BC2">
        <w:rPr>
          <w:noProof/>
          <w:color w:val="1D2455"/>
        </w:rPr>
        <w:t>52</w:t>
      </w:r>
      <w:r w:rsidR="001930B2" w:rsidRPr="006524FD">
        <w:rPr>
          <w:color w:val="1D2455"/>
        </w:rPr>
        <w:fldChar w:fldCharType="end"/>
      </w:r>
      <w:r w:rsidR="001930B2">
        <w:t>).</w:t>
      </w:r>
    </w:p>
    <w:p w14:paraId="2CEF0DF0" w14:textId="77777777" w:rsidR="004F1CEB" w:rsidRDefault="004F1CEB">
      <w:pPr>
        <w:spacing w:after="160" w:line="259" w:lineRule="auto"/>
      </w:pPr>
      <w:r>
        <w:br w:type="page"/>
      </w:r>
    </w:p>
    <w:p w14:paraId="49B4222E" w14:textId="78518753" w:rsidR="00A26BD5" w:rsidRDefault="00A26BD5" w:rsidP="00A26BD5">
      <w:pPr>
        <w:pStyle w:val="TableFigureheading"/>
      </w:pPr>
      <w:bookmarkStart w:id="368" w:name="_Ref97027125"/>
      <w:r w:rsidRPr="00F877C0">
        <w:lastRenderedPageBreak/>
        <w:t xml:space="preserve">Figure </w:t>
      </w:r>
      <w:r>
        <w:fldChar w:fldCharType="begin"/>
      </w:r>
      <w:r>
        <w:instrText>SEQ Figure \* ARABIC</w:instrText>
      </w:r>
      <w:r>
        <w:fldChar w:fldCharType="separate"/>
      </w:r>
      <w:r w:rsidR="003C4BC2">
        <w:rPr>
          <w:noProof/>
        </w:rPr>
        <w:t>52</w:t>
      </w:r>
      <w:r>
        <w:fldChar w:fldCharType="end"/>
      </w:r>
      <w:bookmarkEnd w:id="368"/>
      <w:r>
        <w:t xml:space="preserve">: Usual provider of care (UPC) index </w:t>
      </w:r>
      <w:r w:rsidR="001F0D2D">
        <w:t xml:space="preserve">score for </w:t>
      </w:r>
      <w:r>
        <w:t>continuity of care (</w:t>
      </w:r>
      <w:proofErr w:type="spellStart"/>
      <w:r>
        <w:t>CoC</w:t>
      </w:r>
      <w:proofErr w:type="spellEnd"/>
      <w:r>
        <w:t xml:space="preserve">) among HCH </w:t>
      </w:r>
      <w:r w:rsidR="00C94943">
        <w:rPr>
          <w:bCs w:val="0"/>
        </w:rPr>
        <w:t>and comparator patients</w:t>
      </w:r>
      <w:r>
        <w:t xml:space="preserve"> who had four or more GP claims</w:t>
      </w:r>
    </w:p>
    <w:p w14:paraId="4DD22830" w14:textId="77777777" w:rsidR="00A26BD5" w:rsidRDefault="00244D00" w:rsidP="00A26BD5">
      <w:pPr>
        <w:jc w:val="center"/>
      </w:pPr>
      <w:r>
        <w:rPr>
          <w:noProof/>
        </w:rPr>
        <w:drawing>
          <wp:inline distT="0" distB="0" distL="0" distR="0" wp14:anchorId="125C95FA" wp14:editId="04F257D0">
            <wp:extent cx="5331125" cy="3728716"/>
            <wp:effectExtent l="0" t="0" r="0" b="0"/>
            <wp:docPr id="6302" name="Picture 630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hart, bar chart&#10;&#10;Description automatically generated"/>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333346" cy="3730269"/>
                    </a:xfrm>
                    <a:prstGeom prst="rect">
                      <a:avLst/>
                    </a:prstGeom>
                    <a:noFill/>
                    <a:ln>
                      <a:noFill/>
                    </a:ln>
                  </pic:spPr>
                </pic:pic>
              </a:graphicData>
            </a:graphic>
          </wp:inline>
        </w:drawing>
      </w:r>
    </w:p>
    <w:p w14:paraId="18E82C73" w14:textId="76C54187" w:rsidR="00A26BD5" w:rsidRDefault="00E364DA" w:rsidP="00E364DA">
      <w:pPr>
        <w:pStyle w:val="Chartortablefootnote"/>
        <w:spacing w:after="0"/>
        <w:ind w:left="720" w:right="663"/>
        <w:rPr>
          <w:lang w:val="en-GB"/>
        </w:rPr>
      </w:pPr>
      <w:r>
        <w:rPr>
          <w:lang w:val="en-GB"/>
        </w:rPr>
        <w:t>Notes:</w:t>
      </w:r>
      <w:r w:rsidR="00A26BD5">
        <w:rPr>
          <w:lang w:val="en-GB"/>
        </w:rPr>
        <w:t xml:space="preserve"> People with duration of follow-up shorter than yearly anniversaries were excluded from analyses. </w:t>
      </w:r>
      <w:r w:rsidR="006E3D0D">
        <w:rPr>
          <w:lang w:val="en-GB"/>
        </w:rPr>
        <w:t>“</w:t>
      </w:r>
      <w:r w:rsidR="00A26BD5">
        <w:rPr>
          <w:lang w:val="en-GB"/>
        </w:rPr>
        <w:t xml:space="preserve">Low </w:t>
      </w:r>
      <w:proofErr w:type="spellStart"/>
      <w:r w:rsidR="00A26BD5">
        <w:rPr>
          <w:lang w:val="en-GB"/>
        </w:rPr>
        <w:t>CoC</w:t>
      </w:r>
      <w:proofErr w:type="spellEnd"/>
      <w:r w:rsidR="006E3D0D">
        <w:rPr>
          <w:lang w:val="en-GB"/>
        </w:rPr>
        <w:t>”</w:t>
      </w:r>
      <w:r w:rsidR="00A26BD5">
        <w:rPr>
          <w:lang w:val="en-GB"/>
        </w:rPr>
        <w:t xml:space="preserve"> indicates a </w:t>
      </w:r>
      <w:r w:rsidR="00A26BD5">
        <w:t xml:space="preserve">UPC score &lt;0.75. </w:t>
      </w:r>
      <w:r w:rsidR="006E3D0D">
        <w:t>“</w:t>
      </w:r>
      <w:r w:rsidR="00A26BD5">
        <w:t xml:space="preserve">High </w:t>
      </w:r>
      <w:proofErr w:type="spellStart"/>
      <w:r w:rsidR="00A26BD5">
        <w:t>CoC</w:t>
      </w:r>
      <w:proofErr w:type="spellEnd"/>
      <w:r w:rsidR="006E3D0D">
        <w:t>”</w:t>
      </w:r>
      <w:r w:rsidR="00A26BD5">
        <w:t xml:space="preserve"> indicates a UPC score between 0.75 and 1.</w:t>
      </w:r>
      <w:r w:rsidR="00A26BD5">
        <w:rPr>
          <w:lang w:val="en-GB"/>
        </w:rPr>
        <w:t xml:space="preserve"> </w:t>
      </w:r>
      <w:r w:rsidR="006E3D0D">
        <w:rPr>
          <w:lang w:val="en-GB"/>
        </w:rPr>
        <w:t>“</w:t>
      </w:r>
      <w:r w:rsidR="00A26BD5">
        <w:rPr>
          <w:lang w:val="en-GB"/>
        </w:rPr>
        <w:t xml:space="preserve">Perfect </w:t>
      </w:r>
      <w:proofErr w:type="spellStart"/>
      <w:r w:rsidR="00A26BD5">
        <w:rPr>
          <w:lang w:val="en-GB"/>
        </w:rPr>
        <w:t>CoC</w:t>
      </w:r>
      <w:proofErr w:type="spellEnd"/>
      <w:r w:rsidR="006E3D0D">
        <w:rPr>
          <w:lang w:val="en-GB"/>
        </w:rPr>
        <w:t>”</w:t>
      </w:r>
      <w:r w:rsidR="00A26BD5">
        <w:rPr>
          <w:lang w:val="en-GB"/>
        </w:rPr>
        <w:t xml:space="preserve"> indicates a UPC score of 1. </w:t>
      </w:r>
    </w:p>
    <w:p w14:paraId="086FD507" w14:textId="454C201F" w:rsidR="00E364DA" w:rsidRDefault="00E364DA" w:rsidP="00A26BD5">
      <w:pPr>
        <w:pStyle w:val="Chartortablefootnote"/>
        <w:ind w:left="720" w:right="662"/>
        <w:rPr>
          <w:lang w:val="en-GB"/>
        </w:rPr>
      </w:pPr>
      <w:r w:rsidRPr="009645D4">
        <w:rPr>
          <w:lang w:val="en-GB"/>
        </w:rPr>
        <w:t>Source: MBS</w:t>
      </w:r>
      <w:r>
        <w:rPr>
          <w:lang w:val="en-GB"/>
        </w:rPr>
        <w:t xml:space="preserve"> claims of items in G</w:t>
      </w:r>
      <w:r w:rsidRPr="009645D4">
        <w:rPr>
          <w:lang w:val="en-GB"/>
        </w:rPr>
        <w:t>roup</w:t>
      </w:r>
      <w:r>
        <w:rPr>
          <w:lang w:val="en-GB"/>
        </w:rPr>
        <w:t>s</w:t>
      </w:r>
      <w:r w:rsidRPr="009645D4">
        <w:rPr>
          <w:lang w:val="en-GB"/>
        </w:rPr>
        <w:t xml:space="preserve"> A1 &amp; A</w:t>
      </w:r>
      <w:r>
        <w:rPr>
          <w:lang w:val="en-GB"/>
        </w:rPr>
        <w:t>2.</w:t>
      </w:r>
    </w:p>
    <w:p w14:paraId="32CF1BEC" w14:textId="77777777" w:rsidR="00A26BD5" w:rsidRDefault="00A26BD5" w:rsidP="00A26BD5">
      <w:pPr>
        <w:pStyle w:val="Heading3"/>
        <w:rPr>
          <w:lang w:val="en-GB"/>
        </w:rPr>
      </w:pPr>
      <w:r>
        <w:rPr>
          <w:lang w:val="en-GB"/>
        </w:rPr>
        <w:t>Chronic disease management care plan</w:t>
      </w:r>
    </w:p>
    <w:p w14:paraId="4E6EFC62" w14:textId="77777777" w:rsidR="00A26BD5" w:rsidRDefault="00A26BD5" w:rsidP="00A26BD5">
      <w:pPr>
        <w:rPr>
          <w:lang w:val="en-GB"/>
        </w:rPr>
      </w:pPr>
      <w:r w:rsidRPr="43EA0028">
        <w:rPr>
          <w:lang w:val="en-GB"/>
        </w:rPr>
        <w:t xml:space="preserve">Development or review of chronic disease management care plans, including GP Management Plan (GPMP), Team Care Arrangement (TCA), Multidisciplinary Care Plan was required for patient enrolment into the HCH program. These activities are funded through the bundled payment, hence HCH practices could not claim for these activities. </w:t>
      </w:r>
    </w:p>
    <w:p w14:paraId="12D518AA" w14:textId="03B901B2" w:rsidR="00A26BD5" w:rsidRDefault="00A26BD5" w:rsidP="00A26BD5">
      <w:pPr>
        <w:rPr>
          <w:lang w:val="en-GB"/>
        </w:rPr>
      </w:pPr>
      <w:r>
        <w:rPr>
          <w:lang w:val="en-GB"/>
        </w:rPr>
        <w:t xml:space="preserve">In the two-year period before enrolment, </w:t>
      </w:r>
      <w:r w:rsidR="00C76630">
        <w:rPr>
          <w:lang w:val="en-GB"/>
        </w:rPr>
        <w:t xml:space="preserve">76.0% </w:t>
      </w:r>
      <w:r>
        <w:rPr>
          <w:lang w:val="en-GB"/>
        </w:rPr>
        <w:t xml:space="preserve">of HCH patients had a claim for GPMP development, while only 19.3% had a claim for GPMP development in the two years after enrolment. In the year </w:t>
      </w:r>
      <w:r w:rsidR="0002675D">
        <w:rPr>
          <w:lang w:val="en-GB"/>
        </w:rPr>
        <w:t>before</w:t>
      </w:r>
      <w:r>
        <w:rPr>
          <w:lang w:val="en-GB"/>
        </w:rPr>
        <w:t xml:space="preserve"> enrolment, 55.8% of HCH patients had a GPMP claim; in subsequent years this proportion dropped to 8.6% at year one before increasing to 12.7% at year two and 17.3% at year three (</w:t>
      </w:r>
      <w:r w:rsidRPr="006524FD">
        <w:rPr>
          <w:color w:val="1D2455"/>
          <w:lang w:val="en-GB"/>
        </w:rPr>
        <w:fldChar w:fldCharType="begin"/>
      </w:r>
      <w:r w:rsidRPr="006524FD">
        <w:rPr>
          <w:color w:val="1D2455"/>
          <w:lang w:val="en-GB"/>
        </w:rPr>
        <w:instrText xml:space="preserve"> REF _Ref96782322 \h </w:instrText>
      </w:r>
      <w:r w:rsidR="006524FD">
        <w:rPr>
          <w:color w:val="1D2455"/>
          <w:lang w:val="en-GB"/>
        </w:rPr>
        <w:instrText xml:space="preserve"> \* MERGEFORMAT </w:instrText>
      </w:r>
      <w:r w:rsidRPr="006524FD">
        <w:rPr>
          <w:color w:val="1D2455"/>
          <w:lang w:val="en-GB"/>
        </w:rPr>
      </w:r>
      <w:r w:rsidRPr="006524FD">
        <w:rPr>
          <w:color w:val="1D2455"/>
          <w:lang w:val="en-GB"/>
        </w:rPr>
        <w:fldChar w:fldCharType="separate"/>
      </w:r>
      <w:r w:rsidR="003C4BC2" w:rsidRPr="003C4BC2">
        <w:rPr>
          <w:color w:val="1D2455"/>
        </w:rPr>
        <w:t xml:space="preserve">Figure </w:t>
      </w:r>
      <w:r w:rsidR="003C4BC2" w:rsidRPr="003C4BC2">
        <w:rPr>
          <w:noProof/>
          <w:color w:val="1D2455"/>
        </w:rPr>
        <w:t>53</w:t>
      </w:r>
      <w:r w:rsidRPr="006524FD">
        <w:rPr>
          <w:color w:val="1D2455"/>
          <w:lang w:val="en-GB"/>
        </w:rPr>
        <w:fldChar w:fldCharType="end"/>
      </w:r>
      <w:r>
        <w:rPr>
          <w:lang w:val="en-GB"/>
        </w:rPr>
        <w:t>).</w:t>
      </w:r>
    </w:p>
    <w:p w14:paraId="2BD96863" w14:textId="4D35334A" w:rsidR="001930B2" w:rsidRDefault="00A26BD5" w:rsidP="00A26BD5">
      <w:pPr>
        <w:rPr>
          <w:lang w:val="en-GB"/>
        </w:rPr>
      </w:pPr>
      <w:r>
        <w:rPr>
          <w:lang w:val="en-GB"/>
        </w:rPr>
        <w:t xml:space="preserve">Comparator patients were not matched to HCH patients on the presence of claims for GPMP care plan </w:t>
      </w:r>
      <w:r w:rsidR="0002675D">
        <w:rPr>
          <w:lang w:val="en-GB"/>
        </w:rPr>
        <w:t>before</w:t>
      </w:r>
      <w:r>
        <w:rPr>
          <w:lang w:val="en-GB"/>
        </w:rPr>
        <w:t xml:space="preserve"> enrolment. In the two years </w:t>
      </w:r>
      <w:r w:rsidR="0002675D">
        <w:rPr>
          <w:lang w:val="en-GB"/>
        </w:rPr>
        <w:t>before</w:t>
      </w:r>
      <w:r>
        <w:rPr>
          <w:lang w:val="en-GB"/>
        </w:rPr>
        <w:t xml:space="preserve"> enrolment, a lower proportion of </w:t>
      </w:r>
      <w:r w:rsidR="000E16C4">
        <w:rPr>
          <w:lang w:val="en-GB"/>
        </w:rPr>
        <w:t>comparator</w:t>
      </w:r>
      <w:r>
        <w:rPr>
          <w:lang w:val="en-GB"/>
        </w:rPr>
        <w:t xml:space="preserve">s (59.7%) had a claim for development of a GPMP and this proportion </w:t>
      </w:r>
      <w:r w:rsidRPr="00237113">
        <w:rPr>
          <w:lang w:val="en-GB"/>
        </w:rPr>
        <w:t>decreased to 54.6%</w:t>
      </w:r>
      <w:r>
        <w:rPr>
          <w:lang w:val="en-GB"/>
        </w:rPr>
        <w:t xml:space="preserve"> in 24 months following enrolment</w:t>
      </w:r>
      <w:r w:rsidRPr="00237113">
        <w:rPr>
          <w:lang w:val="en-GB"/>
        </w:rPr>
        <w:t xml:space="preserve">. Yearly </w:t>
      </w:r>
      <w:r>
        <w:rPr>
          <w:lang w:val="en-GB"/>
        </w:rPr>
        <w:t xml:space="preserve">claims for GPMP item 721 </w:t>
      </w:r>
      <w:r w:rsidRPr="00237113">
        <w:rPr>
          <w:lang w:val="en-GB"/>
        </w:rPr>
        <w:t>dec</w:t>
      </w:r>
      <w:r>
        <w:rPr>
          <w:lang w:val="en-GB"/>
        </w:rPr>
        <w:t xml:space="preserve">lined </w:t>
      </w:r>
      <w:r w:rsidRPr="00237113">
        <w:rPr>
          <w:lang w:val="en-GB"/>
        </w:rPr>
        <w:t>over</w:t>
      </w:r>
      <w:r>
        <w:rPr>
          <w:lang w:val="en-GB"/>
        </w:rPr>
        <w:t xml:space="preserve"> time, from 41.2% pre-enrolment to 30.5% in year three (</w:t>
      </w:r>
      <w:r w:rsidRPr="006524FD">
        <w:rPr>
          <w:color w:val="1D2455"/>
          <w:lang w:val="en-GB"/>
        </w:rPr>
        <w:fldChar w:fldCharType="begin"/>
      </w:r>
      <w:r w:rsidRPr="006524FD">
        <w:rPr>
          <w:color w:val="1D2455"/>
          <w:lang w:val="en-GB"/>
        </w:rPr>
        <w:instrText xml:space="preserve"> REF _Ref96782322 \h </w:instrText>
      </w:r>
      <w:r w:rsidR="006524FD">
        <w:rPr>
          <w:color w:val="1D2455"/>
          <w:lang w:val="en-GB"/>
        </w:rPr>
        <w:instrText xml:space="preserve"> \* MERGEFORMAT </w:instrText>
      </w:r>
      <w:r w:rsidRPr="006524FD">
        <w:rPr>
          <w:color w:val="1D2455"/>
          <w:lang w:val="en-GB"/>
        </w:rPr>
      </w:r>
      <w:r w:rsidRPr="006524FD">
        <w:rPr>
          <w:color w:val="1D2455"/>
          <w:lang w:val="en-GB"/>
        </w:rPr>
        <w:fldChar w:fldCharType="separate"/>
      </w:r>
      <w:r w:rsidR="003C4BC2" w:rsidRPr="003C4BC2">
        <w:rPr>
          <w:color w:val="1D2455"/>
        </w:rPr>
        <w:t xml:space="preserve">Figure </w:t>
      </w:r>
      <w:r w:rsidR="003C4BC2" w:rsidRPr="003C4BC2">
        <w:rPr>
          <w:noProof/>
          <w:color w:val="1D2455"/>
        </w:rPr>
        <w:t>53</w:t>
      </w:r>
      <w:r w:rsidRPr="006524FD">
        <w:rPr>
          <w:color w:val="1D2455"/>
          <w:lang w:val="en-GB"/>
        </w:rPr>
        <w:fldChar w:fldCharType="end"/>
      </w:r>
      <w:r>
        <w:rPr>
          <w:lang w:val="en-GB"/>
        </w:rPr>
        <w:t>).</w:t>
      </w:r>
    </w:p>
    <w:p w14:paraId="69AAB373" w14:textId="62950C9F" w:rsidR="004F1CEB" w:rsidRDefault="004F1CEB">
      <w:pPr>
        <w:spacing w:after="160" w:line="259" w:lineRule="auto"/>
        <w:rPr>
          <w:lang w:val="en-GB"/>
        </w:rPr>
      </w:pPr>
      <w:r>
        <w:rPr>
          <w:lang w:val="en-GB"/>
        </w:rPr>
        <w:br w:type="page"/>
      </w:r>
    </w:p>
    <w:p w14:paraId="330B6787" w14:textId="6E9A4851" w:rsidR="00A26BD5" w:rsidRPr="00252BE3" w:rsidRDefault="00C94943" w:rsidP="00C94943">
      <w:pPr>
        <w:pStyle w:val="TableFigureheading"/>
        <w:rPr>
          <w:i/>
          <w:lang w:val="en-GB"/>
        </w:rPr>
      </w:pPr>
      <w:bookmarkStart w:id="369" w:name="_Ref96782322"/>
      <w:r>
        <w:rPr>
          <w:i/>
          <w:iCs/>
          <w:noProof/>
          <w:lang w:val="en-GB"/>
        </w:rPr>
        <w:lastRenderedPageBreak/>
        <w:drawing>
          <wp:anchor distT="0" distB="0" distL="114300" distR="114300" simplePos="0" relativeHeight="251658243" behindDoc="0" locked="0" layoutInCell="1" allowOverlap="1" wp14:anchorId="39177A24" wp14:editId="4D82AAB6">
            <wp:simplePos x="0" y="0"/>
            <wp:positionH relativeFrom="column">
              <wp:posOffset>771525</wp:posOffset>
            </wp:positionH>
            <wp:positionV relativeFrom="paragraph">
              <wp:posOffset>447675</wp:posOffset>
            </wp:positionV>
            <wp:extent cx="4732020" cy="3311525"/>
            <wp:effectExtent l="0" t="0" r="0" b="0"/>
            <wp:wrapTopAndBottom/>
            <wp:docPr id="6274" name="Picture 627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4" name="Picture 6274" descr="Chart, line chart&#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4732020" cy="3311525"/>
                    </a:xfrm>
                    <a:prstGeom prst="rect">
                      <a:avLst/>
                    </a:prstGeom>
                  </pic:spPr>
                </pic:pic>
              </a:graphicData>
            </a:graphic>
          </wp:anchor>
        </w:drawing>
      </w:r>
      <w:r w:rsidR="00A26BD5" w:rsidRPr="00F877C0">
        <w:t xml:space="preserve">Figure </w:t>
      </w:r>
      <w:r w:rsidR="00A26BD5">
        <w:fldChar w:fldCharType="begin"/>
      </w:r>
      <w:r w:rsidR="00A26BD5">
        <w:instrText>SEQ Figure \* ARABIC</w:instrText>
      </w:r>
      <w:r w:rsidR="00A26BD5">
        <w:fldChar w:fldCharType="separate"/>
      </w:r>
      <w:r w:rsidR="003C4BC2">
        <w:rPr>
          <w:noProof/>
        </w:rPr>
        <w:t>53</w:t>
      </w:r>
      <w:r w:rsidR="00A26BD5">
        <w:fldChar w:fldCharType="end"/>
      </w:r>
      <w:bookmarkEnd w:id="369"/>
      <w:r w:rsidR="00A26BD5">
        <w:t xml:space="preserve">: </w:t>
      </w:r>
      <w:r w:rsidR="00A26BD5">
        <w:rPr>
          <w:lang w:val="en-GB"/>
        </w:rPr>
        <w:t xml:space="preserve">Claims for </w:t>
      </w:r>
      <w:r w:rsidR="00A26BD5" w:rsidRPr="00490B50">
        <w:rPr>
          <w:lang w:val="en-GB"/>
        </w:rPr>
        <w:t xml:space="preserve">development of a GP </w:t>
      </w:r>
      <w:r w:rsidR="00A26BD5">
        <w:rPr>
          <w:lang w:val="en-GB"/>
        </w:rPr>
        <w:t>M</w:t>
      </w:r>
      <w:r w:rsidR="00A26BD5" w:rsidRPr="00490B50">
        <w:rPr>
          <w:lang w:val="en-GB"/>
        </w:rPr>
        <w:t xml:space="preserve">anagement </w:t>
      </w:r>
      <w:r w:rsidR="00A26BD5">
        <w:rPr>
          <w:lang w:val="en-GB"/>
        </w:rPr>
        <w:t>P</w:t>
      </w:r>
      <w:r w:rsidR="00A26BD5" w:rsidRPr="00490B50">
        <w:rPr>
          <w:lang w:val="en-GB"/>
        </w:rPr>
        <w:t>lan</w:t>
      </w:r>
      <w:r w:rsidR="00A26BD5">
        <w:rPr>
          <w:lang w:val="en-GB"/>
        </w:rPr>
        <w:t xml:space="preserve"> among </w:t>
      </w:r>
      <w:r w:rsidR="00A26BD5">
        <w:t xml:space="preserve">HCH </w:t>
      </w:r>
      <w:r>
        <w:rPr>
          <w:bCs w:val="0"/>
        </w:rPr>
        <w:t xml:space="preserve">and comparator </w:t>
      </w:r>
      <w:r w:rsidR="00A26BD5">
        <w:t>patients</w:t>
      </w:r>
      <w:r w:rsidR="00A26BD5">
        <w:rPr>
          <w:i/>
          <w:lang w:val="en-GB"/>
        </w:rPr>
        <w:t xml:space="preserve"> </w:t>
      </w:r>
    </w:p>
    <w:p w14:paraId="578F73D1" w14:textId="34624E60" w:rsidR="00A26BD5" w:rsidRDefault="00E364DA" w:rsidP="00E364DA">
      <w:pPr>
        <w:pStyle w:val="Chartortablefootnote"/>
        <w:spacing w:after="0"/>
        <w:ind w:left="720" w:right="663"/>
        <w:rPr>
          <w:lang w:val="en-GB"/>
        </w:rPr>
      </w:pPr>
      <w:r>
        <w:rPr>
          <w:lang w:val="en-GB"/>
        </w:rPr>
        <w:t>Notes:</w:t>
      </w:r>
      <w:r w:rsidR="00A26BD5">
        <w:rPr>
          <w:lang w:val="en-GB"/>
        </w:rPr>
        <w:t xml:space="preserve"> People with duration of follow-up shorter than biennially or yearly anniversa</w:t>
      </w:r>
      <w:r w:rsidR="003F128A">
        <w:rPr>
          <w:lang w:val="en-GB"/>
        </w:rPr>
        <w:t>ry</w:t>
      </w:r>
      <w:r w:rsidR="00A26BD5">
        <w:rPr>
          <w:lang w:val="en-GB"/>
        </w:rPr>
        <w:t xml:space="preserve"> were excluded from analyses.</w:t>
      </w:r>
    </w:p>
    <w:p w14:paraId="536B508E" w14:textId="56FE46A2" w:rsidR="00E364DA" w:rsidRDefault="00E364DA" w:rsidP="00A26BD5">
      <w:pPr>
        <w:pStyle w:val="Chartortablefootnote"/>
        <w:ind w:left="720" w:right="662"/>
        <w:rPr>
          <w:lang w:val="en-GB"/>
        </w:rPr>
      </w:pPr>
      <w:r w:rsidRPr="009645D4">
        <w:rPr>
          <w:lang w:val="en-GB"/>
        </w:rPr>
        <w:t>Source: MBS</w:t>
      </w:r>
      <w:r>
        <w:rPr>
          <w:lang w:val="en-GB"/>
        </w:rPr>
        <w:t xml:space="preserve"> claims of item 721.</w:t>
      </w:r>
    </w:p>
    <w:p w14:paraId="5B0B0128" w14:textId="7A939E21" w:rsidR="00BC7FFA" w:rsidRDefault="00BC7FFA" w:rsidP="00BC7FFA">
      <w:pPr>
        <w:rPr>
          <w:lang w:val="en-GB"/>
        </w:rPr>
      </w:pPr>
      <w:r>
        <w:rPr>
          <w:lang w:val="en-GB"/>
        </w:rPr>
        <w:t>Patterns of claims for TCA development (item 723) in HCH patients (</w:t>
      </w:r>
      <w:r>
        <w:rPr>
          <w:lang w:val="en-GB"/>
        </w:rPr>
        <w:fldChar w:fldCharType="begin"/>
      </w:r>
      <w:r>
        <w:rPr>
          <w:lang w:val="en-GB"/>
        </w:rPr>
        <w:instrText xml:space="preserve"> REF _Ref97028395 \h </w:instrText>
      </w:r>
      <w:r>
        <w:rPr>
          <w:lang w:val="en-GB"/>
        </w:rPr>
      </w:r>
      <w:r>
        <w:rPr>
          <w:lang w:val="en-GB"/>
        </w:rPr>
        <w:fldChar w:fldCharType="separate"/>
      </w:r>
      <w:r w:rsidR="003C4BC2" w:rsidRPr="00F877C0">
        <w:t xml:space="preserve">Figure </w:t>
      </w:r>
      <w:r w:rsidR="003C4BC2">
        <w:rPr>
          <w:noProof/>
        </w:rPr>
        <w:t>54</w:t>
      </w:r>
      <w:r>
        <w:rPr>
          <w:lang w:val="en-GB"/>
        </w:rPr>
        <w:fldChar w:fldCharType="end"/>
      </w:r>
      <w:r>
        <w:rPr>
          <w:lang w:val="en-GB"/>
        </w:rPr>
        <w:t>) mirrored the pattern for GPMP development. In the two years before enrolment, two thirds (68.6%) of HCH patients had a claim for TCA development, and this dropped to 17.7% by the biennial anniversary. In the year before enrolment, 49.3% had a claim for TCA development, while the proportions having a claim dropped to 8.0% at year one before increasing to 11.5% and 16.4% by the end of years two and year three, respectively.</w:t>
      </w:r>
    </w:p>
    <w:p w14:paraId="503831B3" w14:textId="6C449702" w:rsidR="004F1CEB" w:rsidRDefault="00BC7FFA" w:rsidP="00BC7FFA">
      <w:pPr>
        <w:rPr>
          <w:lang w:val="en-GB"/>
        </w:rPr>
      </w:pPr>
      <w:r>
        <w:rPr>
          <w:lang w:val="en-GB"/>
        </w:rPr>
        <w:t>Comparator patients were not matched with HCH patients on claims for TCA development at baseline. A lower proportion of comparator patients had a claim for TCA development in the two-year period pre-</w:t>
      </w:r>
      <w:r w:rsidRPr="00FB4695">
        <w:rPr>
          <w:lang w:val="en-GB"/>
        </w:rPr>
        <w:t xml:space="preserve">enrolment </w:t>
      </w:r>
      <w:r>
        <w:rPr>
          <w:lang w:val="en-GB"/>
        </w:rPr>
        <w:t>(</w:t>
      </w:r>
      <w:r w:rsidRPr="00FB4695">
        <w:rPr>
          <w:lang w:val="en-GB"/>
        </w:rPr>
        <w:t>55.2%</w:t>
      </w:r>
      <w:r>
        <w:rPr>
          <w:lang w:val="en-GB"/>
        </w:rPr>
        <w:t>), and this proportion</w:t>
      </w:r>
      <w:r w:rsidRPr="00FB4695">
        <w:rPr>
          <w:lang w:val="en-GB"/>
        </w:rPr>
        <w:t xml:space="preserve"> then decreased to 49.9% over the next two years. Yearly claims for this item also showed a</w:t>
      </w:r>
      <w:r>
        <w:rPr>
          <w:lang w:val="en-GB"/>
        </w:rPr>
        <w:t xml:space="preserve"> decline over time, from 37.8% pre-enrolment to 27.3% at year three (</w:t>
      </w:r>
      <w:r>
        <w:rPr>
          <w:lang w:val="en-GB"/>
        </w:rPr>
        <w:fldChar w:fldCharType="begin"/>
      </w:r>
      <w:r>
        <w:rPr>
          <w:lang w:val="en-GB"/>
        </w:rPr>
        <w:instrText xml:space="preserve"> REF _Ref97028395 \h </w:instrText>
      </w:r>
      <w:r>
        <w:rPr>
          <w:lang w:val="en-GB"/>
        </w:rPr>
      </w:r>
      <w:r>
        <w:rPr>
          <w:lang w:val="en-GB"/>
        </w:rPr>
        <w:fldChar w:fldCharType="separate"/>
      </w:r>
      <w:r w:rsidR="003C4BC2" w:rsidRPr="00F877C0">
        <w:t xml:space="preserve">Figure </w:t>
      </w:r>
      <w:r w:rsidR="003C4BC2">
        <w:rPr>
          <w:noProof/>
        </w:rPr>
        <w:t>54</w:t>
      </w:r>
      <w:r>
        <w:rPr>
          <w:lang w:val="en-GB"/>
        </w:rPr>
        <w:fldChar w:fldCharType="end"/>
      </w:r>
      <w:r>
        <w:rPr>
          <w:lang w:val="en-GB"/>
        </w:rPr>
        <w:t xml:space="preserve">). </w:t>
      </w:r>
    </w:p>
    <w:p w14:paraId="421871BB" w14:textId="77777777" w:rsidR="004F1CEB" w:rsidRDefault="004F1CEB">
      <w:pPr>
        <w:spacing w:after="160" w:line="259" w:lineRule="auto"/>
        <w:rPr>
          <w:lang w:val="en-GB"/>
        </w:rPr>
      </w:pPr>
      <w:r>
        <w:rPr>
          <w:lang w:val="en-GB"/>
        </w:rPr>
        <w:br w:type="page"/>
      </w:r>
    </w:p>
    <w:p w14:paraId="0366E7C1" w14:textId="5694A0BD" w:rsidR="001E110B" w:rsidRPr="00EE37D1" w:rsidRDefault="001E110B" w:rsidP="001E110B">
      <w:pPr>
        <w:pStyle w:val="TableFigureheading"/>
      </w:pPr>
      <w:bookmarkStart w:id="370" w:name="_Ref97028395"/>
      <w:r w:rsidRPr="00F877C0">
        <w:lastRenderedPageBreak/>
        <w:t xml:space="preserve">Figure </w:t>
      </w:r>
      <w:r>
        <w:fldChar w:fldCharType="begin"/>
      </w:r>
      <w:r>
        <w:instrText>SEQ Figure \* ARABIC</w:instrText>
      </w:r>
      <w:r>
        <w:fldChar w:fldCharType="separate"/>
      </w:r>
      <w:r w:rsidR="003C4BC2">
        <w:rPr>
          <w:noProof/>
        </w:rPr>
        <w:t>54</w:t>
      </w:r>
      <w:r>
        <w:fldChar w:fldCharType="end"/>
      </w:r>
      <w:bookmarkEnd w:id="370"/>
      <w:r>
        <w:t xml:space="preserve">: </w:t>
      </w:r>
      <w:r>
        <w:rPr>
          <w:lang w:val="en-GB"/>
        </w:rPr>
        <w:t xml:space="preserve">Claims for Team Care Arrangement development or review among </w:t>
      </w:r>
      <w:r>
        <w:t xml:space="preserve">HCH </w:t>
      </w:r>
      <w:r w:rsidR="00C94943">
        <w:rPr>
          <w:bCs w:val="0"/>
        </w:rPr>
        <w:t>and comparator patients</w:t>
      </w:r>
    </w:p>
    <w:p w14:paraId="1DD58426" w14:textId="77777777" w:rsidR="001E110B" w:rsidRPr="006E1A66" w:rsidRDefault="001E110B" w:rsidP="001E110B">
      <w:pPr>
        <w:pStyle w:val="TableFigureheading"/>
      </w:pPr>
      <w:r>
        <w:rPr>
          <w:noProof/>
        </w:rPr>
        <w:drawing>
          <wp:inline distT="0" distB="0" distL="0" distR="0" wp14:anchorId="37D145D6" wp14:editId="5A4CAA81">
            <wp:extent cx="4732327" cy="3312000"/>
            <wp:effectExtent l="0" t="0" r="0" b="0"/>
            <wp:docPr id="6289" name="Picture 628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1" name="Picture 6291" descr="Chart, line chart&#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732327" cy="3312000"/>
                    </a:xfrm>
                    <a:prstGeom prst="rect">
                      <a:avLst/>
                    </a:prstGeom>
                  </pic:spPr>
                </pic:pic>
              </a:graphicData>
            </a:graphic>
          </wp:inline>
        </w:drawing>
      </w:r>
    </w:p>
    <w:p w14:paraId="233B5FA7" w14:textId="32387DFF" w:rsidR="001E110B" w:rsidRPr="009645D4" w:rsidRDefault="00E364DA" w:rsidP="00E364DA">
      <w:pPr>
        <w:pStyle w:val="Chartortablefootnote"/>
        <w:spacing w:after="0"/>
        <w:ind w:left="720" w:right="663"/>
        <w:rPr>
          <w:lang w:val="en-GB"/>
        </w:rPr>
      </w:pPr>
      <w:r>
        <w:rPr>
          <w:lang w:val="en-GB"/>
        </w:rPr>
        <w:t>Notes:</w:t>
      </w:r>
      <w:r w:rsidR="001E110B">
        <w:rPr>
          <w:lang w:val="en-GB"/>
        </w:rPr>
        <w:t xml:space="preserve"> People with duration of follow-up shorter than biennially or yearly anniversaries were excluded from analyses.</w:t>
      </w:r>
    </w:p>
    <w:p w14:paraId="3C4677AE" w14:textId="766A1218" w:rsidR="00E364DA" w:rsidRPr="009645D4" w:rsidRDefault="00E364DA" w:rsidP="001E110B">
      <w:pPr>
        <w:pStyle w:val="Chartortablefootnote"/>
        <w:ind w:left="720" w:right="662"/>
        <w:rPr>
          <w:lang w:val="en-GB"/>
        </w:rPr>
      </w:pPr>
      <w:r w:rsidRPr="009645D4">
        <w:rPr>
          <w:lang w:val="en-GB"/>
        </w:rPr>
        <w:t>Source: MBS</w:t>
      </w:r>
      <w:r>
        <w:rPr>
          <w:lang w:val="en-GB"/>
        </w:rPr>
        <w:t xml:space="preserve"> claims of item 723.</w:t>
      </w:r>
    </w:p>
    <w:p w14:paraId="7B8B5037" w14:textId="41DE6F5B" w:rsidR="00BC7FFA" w:rsidRDefault="00BC7FFA" w:rsidP="00BC7FFA">
      <w:pPr>
        <w:rPr>
          <w:lang w:val="en-GB"/>
        </w:rPr>
      </w:pPr>
      <w:r>
        <w:rPr>
          <w:lang w:val="en-GB"/>
        </w:rPr>
        <w:t>Claims for a r</w:t>
      </w:r>
      <w:r w:rsidRPr="00D11F22">
        <w:rPr>
          <w:lang w:val="en-GB"/>
        </w:rPr>
        <w:t>eview of GP</w:t>
      </w:r>
      <w:r>
        <w:rPr>
          <w:lang w:val="en-GB"/>
        </w:rPr>
        <w:t xml:space="preserve">MP and/or TCA </w:t>
      </w:r>
      <w:r>
        <w:t>(</w:t>
      </w:r>
      <w:r>
        <w:rPr>
          <w:lang w:val="en-GB"/>
        </w:rPr>
        <w:t>i</w:t>
      </w:r>
      <w:r w:rsidRPr="00D11F22">
        <w:rPr>
          <w:lang w:val="en-GB"/>
        </w:rPr>
        <w:t>tem</w:t>
      </w:r>
      <w:r>
        <w:rPr>
          <w:lang w:val="en-GB"/>
        </w:rPr>
        <w:t>s</w:t>
      </w:r>
      <w:r w:rsidRPr="00D11F22">
        <w:rPr>
          <w:lang w:val="en-GB"/>
        </w:rPr>
        <w:t xml:space="preserve"> </w:t>
      </w:r>
      <w:r>
        <w:rPr>
          <w:lang w:val="en-GB"/>
        </w:rPr>
        <w:t xml:space="preserve">731, </w:t>
      </w:r>
      <w:r w:rsidRPr="00D11F22">
        <w:rPr>
          <w:lang w:val="en-GB"/>
        </w:rPr>
        <w:t>732</w:t>
      </w:r>
      <w:r>
        <w:rPr>
          <w:lang w:val="en-GB"/>
        </w:rPr>
        <w:t>, 729</w:t>
      </w:r>
      <w:r w:rsidRPr="00D11F22">
        <w:rPr>
          <w:lang w:val="en-GB"/>
        </w:rPr>
        <w:t>)</w:t>
      </w:r>
      <w:r>
        <w:rPr>
          <w:lang w:val="en-GB"/>
        </w:rPr>
        <w:t xml:space="preserve"> also showed similar patterns. In the two years before enrolment, more than half </w:t>
      </w:r>
      <w:r w:rsidR="00604389">
        <w:rPr>
          <w:lang w:val="en-GB"/>
        </w:rPr>
        <w:t xml:space="preserve">(57.9%) of HCH patients had their chronic disease management plans reviewed; and at the biennial anniversary this proportion was 14.2%. In the year </w:t>
      </w:r>
      <w:r w:rsidR="00AB1577">
        <w:rPr>
          <w:lang w:val="en-GB"/>
        </w:rPr>
        <w:t>before</w:t>
      </w:r>
      <w:r w:rsidR="00604389">
        <w:rPr>
          <w:lang w:val="en-GB"/>
        </w:rPr>
        <w:t xml:space="preserve"> enrolment, 44.9% had a review. In the first year following enrolment 7.7% had a claim for a review, then these proportions increased to 9.0% and 14.0% in the second and third year </w:t>
      </w:r>
      <w:r>
        <w:rPr>
          <w:lang w:val="en-GB"/>
        </w:rPr>
        <w:t>(</w:t>
      </w:r>
      <w:r>
        <w:rPr>
          <w:lang w:val="en-GB"/>
        </w:rPr>
        <w:fldChar w:fldCharType="begin"/>
      </w:r>
      <w:r>
        <w:rPr>
          <w:lang w:val="en-GB"/>
        </w:rPr>
        <w:instrText xml:space="preserve"> REF _Ref96783442 \h </w:instrText>
      </w:r>
      <w:r>
        <w:rPr>
          <w:lang w:val="en-GB"/>
        </w:rPr>
      </w:r>
      <w:r>
        <w:rPr>
          <w:lang w:val="en-GB"/>
        </w:rPr>
        <w:fldChar w:fldCharType="separate"/>
      </w:r>
      <w:r w:rsidR="003C4BC2" w:rsidRPr="00F877C0">
        <w:t xml:space="preserve">Figure </w:t>
      </w:r>
      <w:r w:rsidR="003C4BC2">
        <w:rPr>
          <w:noProof/>
        </w:rPr>
        <w:t>55</w:t>
      </w:r>
      <w:r>
        <w:rPr>
          <w:lang w:val="en-GB"/>
        </w:rPr>
        <w:fldChar w:fldCharType="end"/>
      </w:r>
      <w:r>
        <w:rPr>
          <w:lang w:val="en-GB"/>
        </w:rPr>
        <w:t>).</w:t>
      </w:r>
    </w:p>
    <w:p w14:paraId="2A914C76" w14:textId="4AC54EC5" w:rsidR="00BC7FFA" w:rsidRDefault="00BC7FFA" w:rsidP="00BC7FFA">
      <w:pPr>
        <w:rPr>
          <w:lang w:val="en-GB"/>
        </w:rPr>
      </w:pPr>
      <w:r>
        <w:rPr>
          <w:lang w:val="en-GB"/>
        </w:rPr>
        <w:t>Comparator patients were not matched with HCH patients on the review of care plans in the pre-enrolment period. Comparator patients had lower proportions having a GPMP/TAC reviewed in the 24 months pre-enrolment (</w:t>
      </w:r>
      <w:r w:rsidR="004C6D1E" w:rsidRPr="00DE1E22">
        <w:rPr>
          <w:lang w:val="en-GB"/>
        </w:rPr>
        <w:t>40.</w:t>
      </w:r>
      <w:r w:rsidR="004C6D1E">
        <w:rPr>
          <w:lang w:val="en-GB"/>
        </w:rPr>
        <w:t>2</w:t>
      </w:r>
      <w:r w:rsidR="004C6D1E" w:rsidRPr="00DE1E22">
        <w:rPr>
          <w:lang w:val="en-GB"/>
        </w:rPr>
        <w:t>%</w:t>
      </w:r>
      <w:r w:rsidR="004C6D1E">
        <w:rPr>
          <w:lang w:val="en-GB"/>
        </w:rPr>
        <w:t>)</w:t>
      </w:r>
      <w:r w:rsidR="004C6D1E" w:rsidRPr="00DE1E22">
        <w:rPr>
          <w:lang w:val="en-GB"/>
        </w:rPr>
        <w:t xml:space="preserve"> and at biennial anniversary</w:t>
      </w:r>
      <w:r w:rsidR="004C6D1E">
        <w:rPr>
          <w:lang w:val="en-GB"/>
        </w:rPr>
        <w:t xml:space="preserve"> (</w:t>
      </w:r>
      <w:r w:rsidR="004C6D1E" w:rsidRPr="00DE1E22">
        <w:rPr>
          <w:lang w:val="en-GB"/>
        </w:rPr>
        <w:t>4</w:t>
      </w:r>
      <w:r w:rsidR="004C6D1E">
        <w:rPr>
          <w:lang w:val="en-GB"/>
        </w:rPr>
        <w:t>0.7</w:t>
      </w:r>
      <w:r w:rsidR="004C6D1E" w:rsidRPr="00DE1E22">
        <w:rPr>
          <w:lang w:val="en-GB"/>
        </w:rPr>
        <w:t>%</w:t>
      </w:r>
      <w:r w:rsidR="004C6D1E">
        <w:rPr>
          <w:lang w:val="en-GB"/>
        </w:rPr>
        <w:t>)</w:t>
      </w:r>
      <w:r w:rsidR="004C6D1E" w:rsidRPr="00DE1E22">
        <w:rPr>
          <w:lang w:val="en-GB"/>
        </w:rPr>
        <w:t>. Yearly claims for care plan review declined</w:t>
      </w:r>
      <w:r w:rsidR="004C6D1E">
        <w:rPr>
          <w:lang w:val="en-GB"/>
        </w:rPr>
        <w:t xml:space="preserve"> slightly over time, from 31.3% pre-enrolment to 26.1% at year three </w:t>
      </w:r>
      <w:r>
        <w:rPr>
          <w:lang w:val="en-GB"/>
        </w:rPr>
        <w:t>(</w:t>
      </w:r>
      <w:r>
        <w:rPr>
          <w:lang w:val="en-GB"/>
        </w:rPr>
        <w:fldChar w:fldCharType="begin"/>
      </w:r>
      <w:r>
        <w:rPr>
          <w:lang w:val="en-GB"/>
        </w:rPr>
        <w:instrText xml:space="preserve"> REF _Ref96783442 \h </w:instrText>
      </w:r>
      <w:r>
        <w:rPr>
          <w:lang w:val="en-GB"/>
        </w:rPr>
      </w:r>
      <w:r>
        <w:rPr>
          <w:lang w:val="en-GB"/>
        </w:rPr>
        <w:fldChar w:fldCharType="separate"/>
      </w:r>
      <w:r w:rsidR="003C4BC2" w:rsidRPr="00F877C0">
        <w:t xml:space="preserve">Figure </w:t>
      </w:r>
      <w:r w:rsidR="003C4BC2">
        <w:rPr>
          <w:noProof/>
        </w:rPr>
        <w:t>55</w:t>
      </w:r>
      <w:r>
        <w:rPr>
          <w:lang w:val="en-GB"/>
        </w:rPr>
        <w:fldChar w:fldCharType="end"/>
      </w:r>
      <w:r>
        <w:rPr>
          <w:lang w:val="en-GB"/>
        </w:rPr>
        <w:t>).</w:t>
      </w:r>
    </w:p>
    <w:p w14:paraId="70698B77" w14:textId="0962E775" w:rsidR="004F1CEB" w:rsidRDefault="004F1CEB">
      <w:pPr>
        <w:spacing w:after="160" w:line="259" w:lineRule="auto"/>
        <w:rPr>
          <w:lang w:val="en-GB"/>
        </w:rPr>
      </w:pPr>
      <w:r>
        <w:rPr>
          <w:lang w:val="en-GB"/>
        </w:rPr>
        <w:br w:type="page"/>
      </w:r>
    </w:p>
    <w:p w14:paraId="7691C2EA" w14:textId="768DD876" w:rsidR="00874045" w:rsidRDefault="00874045" w:rsidP="00874045">
      <w:pPr>
        <w:pStyle w:val="TableFigureheading"/>
        <w:rPr>
          <w:lang w:val="en-GB"/>
        </w:rPr>
      </w:pPr>
      <w:bookmarkStart w:id="371" w:name="_Ref96783442"/>
      <w:r w:rsidRPr="00F877C0">
        <w:lastRenderedPageBreak/>
        <w:t xml:space="preserve">Figure </w:t>
      </w:r>
      <w:r>
        <w:fldChar w:fldCharType="begin"/>
      </w:r>
      <w:r>
        <w:instrText>SEQ Figure \* ARABIC</w:instrText>
      </w:r>
      <w:r>
        <w:fldChar w:fldCharType="separate"/>
      </w:r>
      <w:r w:rsidR="003C4BC2">
        <w:rPr>
          <w:noProof/>
        </w:rPr>
        <w:t>55</w:t>
      </w:r>
      <w:r>
        <w:fldChar w:fldCharType="end"/>
      </w:r>
      <w:bookmarkEnd w:id="371"/>
      <w:r>
        <w:t xml:space="preserve">: </w:t>
      </w:r>
      <w:r>
        <w:rPr>
          <w:lang w:val="en-GB"/>
        </w:rPr>
        <w:t xml:space="preserve">Claims for review of chronic disease management plans among </w:t>
      </w:r>
      <w:r>
        <w:t xml:space="preserve">HCH </w:t>
      </w:r>
      <w:r w:rsidR="00C94943">
        <w:rPr>
          <w:bCs w:val="0"/>
        </w:rPr>
        <w:t>and comparator patients</w:t>
      </w:r>
    </w:p>
    <w:p w14:paraId="50EF916E" w14:textId="77777777" w:rsidR="00874045" w:rsidRPr="00394AD8" w:rsidRDefault="00874045" w:rsidP="00874045">
      <w:pPr>
        <w:pStyle w:val="TableFigureheading"/>
        <w:rPr>
          <w:rFonts w:eastAsiaTheme="minorHAnsi"/>
          <w:bCs w:val="0"/>
          <w:color w:val="auto"/>
          <w:szCs w:val="22"/>
          <w:lang w:val="en-GB" w:eastAsia="en-US"/>
        </w:rPr>
      </w:pPr>
      <w:r>
        <w:rPr>
          <w:rFonts w:eastAsiaTheme="minorHAnsi"/>
          <w:bCs w:val="0"/>
          <w:noProof/>
          <w:color w:val="auto"/>
          <w:szCs w:val="22"/>
          <w:lang w:val="en-GB" w:eastAsia="en-US"/>
        </w:rPr>
        <w:drawing>
          <wp:inline distT="0" distB="0" distL="0" distR="0" wp14:anchorId="67D3CCF0" wp14:editId="4369F844">
            <wp:extent cx="4411065" cy="3087159"/>
            <wp:effectExtent l="0" t="0" r="8890" b="0"/>
            <wp:docPr id="6292" name="Picture 629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2" name="Picture 6292" descr="Chart, line chart&#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423765" cy="3096047"/>
                    </a:xfrm>
                    <a:prstGeom prst="rect">
                      <a:avLst/>
                    </a:prstGeom>
                  </pic:spPr>
                </pic:pic>
              </a:graphicData>
            </a:graphic>
          </wp:inline>
        </w:drawing>
      </w:r>
    </w:p>
    <w:p w14:paraId="11AAFDB5" w14:textId="37ADFF0D" w:rsidR="00874045" w:rsidRDefault="00E364DA" w:rsidP="00E364DA">
      <w:pPr>
        <w:pStyle w:val="Chartortablefootnote"/>
        <w:spacing w:after="0"/>
        <w:ind w:left="720" w:right="663"/>
        <w:rPr>
          <w:lang w:val="en-GB"/>
        </w:rPr>
      </w:pPr>
      <w:r>
        <w:rPr>
          <w:lang w:val="en-GB"/>
        </w:rPr>
        <w:t>Notes:</w:t>
      </w:r>
      <w:r w:rsidR="00874045">
        <w:rPr>
          <w:lang w:val="en-GB"/>
        </w:rPr>
        <w:t xml:space="preserve"> People with duration of follow-up shorter than biennially or yearly anniversar</w:t>
      </w:r>
      <w:r w:rsidR="00BC7FFA">
        <w:rPr>
          <w:lang w:val="en-GB"/>
        </w:rPr>
        <w:t>y</w:t>
      </w:r>
      <w:r w:rsidR="00874045">
        <w:rPr>
          <w:lang w:val="en-GB"/>
        </w:rPr>
        <w:t xml:space="preserve"> were excluded from analyses.</w:t>
      </w:r>
    </w:p>
    <w:p w14:paraId="291E64B3" w14:textId="0E09EBBD" w:rsidR="00E364DA" w:rsidRDefault="00E364DA" w:rsidP="00874045">
      <w:pPr>
        <w:pStyle w:val="Chartortablefootnote"/>
        <w:ind w:left="720" w:right="662"/>
        <w:rPr>
          <w:lang w:val="en-GB"/>
        </w:rPr>
      </w:pPr>
      <w:r w:rsidRPr="009645D4">
        <w:rPr>
          <w:lang w:val="en-GB"/>
        </w:rPr>
        <w:t>Source: MBS</w:t>
      </w:r>
      <w:r>
        <w:rPr>
          <w:lang w:val="en-GB"/>
        </w:rPr>
        <w:t xml:space="preserve"> claims of items 731, 732 and 729.</w:t>
      </w:r>
    </w:p>
    <w:p w14:paraId="75C060A9" w14:textId="77777777" w:rsidR="00A26BD5" w:rsidRDefault="00A26BD5" w:rsidP="00A26BD5">
      <w:pPr>
        <w:pStyle w:val="Heading3"/>
        <w:rPr>
          <w:lang w:val="en-GB"/>
        </w:rPr>
      </w:pPr>
      <w:r>
        <w:rPr>
          <w:lang w:val="en-GB"/>
        </w:rPr>
        <w:t xml:space="preserve">Claims for Health Assessment </w:t>
      </w:r>
      <w:r w:rsidRPr="002D782C">
        <w:rPr>
          <w:lang w:val="en-GB"/>
        </w:rPr>
        <w:t>for Aboriginal and Torres Strait Islander People</w:t>
      </w:r>
    </w:p>
    <w:p w14:paraId="704917B9" w14:textId="71C76444" w:rsidR="00A26BD5" w:rsidRDefault="00A26BD5" w:rsidP="00A26BD5">
      <w:pPr>
        <w:rPr>
          <w:lang w:val="en-GB"/>
        </w:rPr>
      </w:pPr>
      <w:r w:rsidRPr="009B0C32">
        <w:rPr>
          <w:lang w:val="en-GB"/>
        </w:rPr>
        <w:t>Health Assessments for</w:t>
      </w:r>
      <w:r>
        <w:rPr>
          <w:lang w:val="en-GB"/>
        </w:rPr>
        <w:t xml:space="preserve"> people of</w:t>
      </w:r>
      <w:r w:rsidRPr="009B0C32">
        <w:rPr>
          <w:lang w:val="en-GB"/>
        </w:rPr>
        <w:t xml:space="preserve"> Aboriginal and Torres Strait Islander </w:t>
      </w:r>
      <w:r>
        <w:rPr>
          <w:lang w:val="en-GB"/>
        </w:rPr>
        <w:t xml:space="preserve">descent (item 715) were not considered as a core HCH service. Information on the Aboriginal and Torres Strait islander status of HCH or </w:t>
      </w:r>
      <w:r w:rsidR="000E16C4">
        <w:rPr>
          <w:lang w:val="en-GB"/>
        </w:rPr>
        <w:t>comparator</w:t>
      </w:r>
      <w:r>
        <w:rPr>
          <w:lang w:val="en-GB"/>
        </w:rPr>
        <w:t xml:space="preserve"> patients was not available.</w:t>
      </w:r>
    </w:p>
    <w:p w14:paraId="3F1FF670" w14:textId="35B63388" w:rsidR="00A26BD5" w:rsidRDefault="00A26BD5" w:rsidP="00A26BD5">
      <w:pPr>
        <w:rPr>
          <w:lang w:val="en-GB"/>
        </w:rPr>
      </w:pPr>
      <w:r>
        <w:rPr>
          <w:lang w:val="en-GB"/>
        </w:rPr>
        <w:t xml:space="preserve">Among HCH patients, 9.3% had a claim for item 715 in two years before enrolment and 8.4% had a claim for this item in the next two years. These proportions were greater than in </w:t>
      </w:r>
      <w:r w:rsidR="000E16C4">
        <w:rPr>
          <w:lang w:val="en-GB"/>
        </w:rPr>
        <w:t>comparator</w:t>
      </w:r>
      <w:r>
        <w:rPr>
          <w:lang w:val="en-GB"/>
        </w:rPr>
        <w:t xml:space="preserve"> patients (</w:t>
      </w:r>
      <w:r w:rsidR="003501D7">
        <w:rPr>
          <w:lang w:val="en-GB"/>
        </w:rPr>
        <w:t>5.</w:t>
      </w:r>
      <w:r>
        <w:rPr>
          <w:lang w:val="en-GB"/>
        </w:rPr>
        <w:t>4% pre-enrolment and 5.0% post-enrolment), which likely reflects the active participations of ACCHS and their patients in the HCH program (</w:t>
      </w:r>
      <w:r w:rsidRPr="006524FD">
        <w:rPr>
          <w:color w:val="1D2455"/>
          <w:lang w:val="en-GB"/>
        </w:rPr>
        <w:fldChar w:fldCharType="begin"/>
      </w:r>
      <w:r w:rsidRPr="006524FD">
        <w:rPr>
          <w:color w:val="1D2455"/>
          <w:lang w:val="en-GB"/>
        </w:rPr>
        <w:instrText xml:space="preserve"> REF _Ref96860866 \h </w:instrText>
      </w:r>
      <w:r w:rsidR="006524FD">
        <w:rPr>
          <w:color w:val="1D2455"/>
          <w:lang w:val="en-GB"/>
        </w:rPr>
        <w:instrText xml:space="preserve"> \* MERGEFORMAT </w:instrText>
      </w:r>
      <w:r w:rsidRPr="006524FD">
        <w:rPr>
          <w:color w:val="1D2455"/>
          <w:lang w:val="en-GB"/>
        </w:rPr>
      </w:r>
      <w:r w:rsidRPr="006524FD">
        <w:rPr>
          <w:color w:val="1D2455"/>
          <w:lang w:val="en-GB"/>
        </w:rPr>
        <w:fldChar w:fldCharType="separate"/>
      </w:r>
      <w:r w:rsidR="003C4BC2" w:rsidRPr="003C4BC2">
        <w:rPr>
          <w:color w:val="1D2455"/>
        </w:rPr>
        <w:t xml:space="preserve">Figure </w:t>
      </w:r>
      <w:r w:rsidR="003C4BC2" w:rsidRPr="003C4BC2">
        <w:rPr>
          <w:noProof/>
          <w:color w:val="1D2455"/>
        </w:rPr>
        <w:t>56</w:t>
      </w:r>
      <w:r w:rsidRPr="006524FD">
        <w:rPr>
          <w:color w:val="1D2455"/>
          <w:lang w:val="en-GB"/>
        </w:rPr>
        <w:fldChar w:fldCharType="end"/>
      </w:r>
      <w:r>
        <w:rPr>
          <w:lang w:val="en-GB"/>
        </w:rPr>
        <w:t>).</w:t>
      </w:r>
    </w:p>
    <w:p w14:paraId="62E4D74A" w14:textId="271C3449" w:rsidR="00CB1E47" w:rsidRDefault="00CB1E47">
      <w:pPr>
        <w:spacing w:after="160" w:line="259" w:lineRule="auto"/>
        <w:rPr>
          <w:lang w:val="en-GB"/>
        </w:rPr>
      </w:pPr>
      <w:r>
        <w:rPr>
          <w:lang w:val="en-GB"/>
        </w:rPr>
        <w:br w:type="page"/>
      </w:r>
    </w:p>
    <w:p w14:paraId="483E059F" w14:textId="29CE3DC9" w:rsidR="00A26BD5" w:rsidRDefault="00A26BD5" w:rsidP="00A26BD5">
      <w:pPr>
        <w:pStyle w:val="TableFigureheading"/>
      </w:pPr>
      <w:bookmarkStart w:id="372" w:name="_Ref96860866"/>
      <w:r w:rsidRPr="00F877C0">
        <w:lastRenderedPageBreak/>
        <w:t xml:space="preserve">Figure </w:t>
      </w:r>
      <w:r>
        <w:fldChar w:fldCharType="begin"/>
      </w:r>
      <w:r>
        <w:instrText>SEQ Figure \* ARABIC</w:instrText>
      </w:r>
      <w:r>
        <w:fldChar w:fldCharType="separate"/>
      </w:r>
      <w:r w:rsidR="003C4BC2">
        <w:rPr>
          <w:noProof/>
        </w:rPr>
        <w:t>56</w:t>
      </w:r>
      <w:r>
        <w:fldChar w:fldCharType="end"/>
      </w:r>
      <w:bookmarkEnd w:id="372"/>
      <w:r>
        <w:t xml:space="preserve">: Claims for </w:t>
      </w:r>
      <w:r w:rsidRPr="00F95C7B">
        <w:t xml:space="preserve">Health Assessment for Aboriginal and Torres Strait Islander People </w:t>
      </w:r>
      <w:r>
        <w:t xml:space="preserve">among HCH </w:t>
      </w:r>
      <w:r w:rsidR="00C94943">
        <w:rPr>
          <w:bCs w:val="0"/>
        </w:rPr>
        <w:t>and comparator patients</w:t>
      </w:r>
    </w:p>
    <w:p w14:paraId="0E6A83ED" w14:textId="77777777" w:rsidR="00A26BD5" w:rsidRDefault="00A26BD5" w:rsidP="00A26BD5">
      <w:pPr>
        <w:jc w:val="center"/>
        <w:rPr>
          <w:lang w:val="en-GB"/>
        </w:rPr>
      </w:pPr>
      <w:r>
        <w:rPr>
          <w:noProof/>
          <w:lang w:val="en-GB"/>
        </w:rPr>
        <w:drawing>
          <wp:inline distT="0" distB="0" distL="0" distR="0" wp14:anchorId="1A9426D3" wp14:editId="40A22586">
            <wp:extent cx="4905954" cy="3433515"/>
            <wp:effectExtent l="0" t="0" r="0" b="0"/>
            <wp:docPr id="37" name="Picture 3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line chart&#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913437" cy="3438752"/>
                    </a:xfrm>
                    <a:prstGeom prst="rect">
                      <a:avLst/>
                    </a:prstGeom>
                  </pic:spPr>
                </pic:pic>
              </a:graphicData>
            </a:graphic>
          </wp:inline>
        </w:drawing>
      </w:r>
    </w:p>
    <w:p w14:paraId="53570406" w14:textId="3A1E3A7F" w:rsidR="00A26BD5" w:rsidRDefault="00E364DA" w:rsidP="00E364DA">
      <w:pPr>
        <w:pStyle w:val="Chartortablefootnote"/>
        <w:spacing w:after="0"/>
        <w:ind w:left="720" w:right="663"/>
        <w:rPr>
          <w:lang w:val="en-GB"/>
        </w:rPr>
      </w:pPr>
      <w:r>
        <w:rPr>
          <w:lang w:val="en-GB"/>
        </w:rPr>
        <w:t>Notes:</w:t>
      </w:r>
      <w:r w:rsidR="00A26BD5">
        <w:rPr>
          <w:lang w:val="en-GB"/>
        </w:rPr>
        <w:t xml:space="preserve"> People with length of follow-up shorter than respective biennial and yearly anniversaries were excluded from analyses.</w:t>
      </w:r>
    </w:p>
    <w:p w14:paraId="34B6E90A" w14:textId="6816E25F" w:rsidR="00E364DA" w:rsidRDefault="00E364DA" w:rsidP="00A15F78">
      <w:pPr>
        <w:pStyle w:val="Chartortablefootnote"/>
        <w:ind w:left="720" w:right="662"/>
        <w:rPr>
          <w:lang w:val="en-GB"/>
        </w:rPr>
      </w:pPr>
      <w:r w:rsidRPr="009645D4">
        <w:rPr>
          <w:lang w:val="en-GB"/>
        </w:rPr>
        <w:t>Source: MBS</w:t>
      </w:r>
      <w:r>
        <w:rPr>
          <w:lang w:val="en-GB"/>
        </w:rPr>
        <w:t xml:space="preserve"> claims for item 715.</w:t>
      </w:r>
    </w:p>
    <w:p w14:paraId="4C424301" w14:textId="77777777" w:rsidR="00A26BD5" w:rsidRDefault="00A26BD5" w:rsidP="00A26BD5">
      <w:pPr>
        <w:pStyle w:val="Heading3"/>
        <w:rPr>
          <w:lang w:val="en-GB"/>
        </w:rPr>
      </w:pPr>
      <w:r>
        <w:rPr>
          <w:lang w:val="en-GB"/>
        </w:rPr>
        <w:t>Claims for medication management review</w:t>
      </w:r>
    </w:p>
    <w:p w14:paraId="25115BA0" w14:textId="033EE061" w:rsidR="00A26BD5" w:rsidRDefault="00A26BD5" w:rsidP="00A26BD5">
      <w:pPr>
        <w:rPr>
          <w:lang w:val="en-GB"/>
        </w:rPr>
      </w:pPr>
      <w:r w:rsidRPr="523B84EF">
        <w:rPr>
          <w:lang w:val="en-GB"/>
        </w:rPr>
        <w:t xml:space="preserve">Medication </w:t>
      </w:r>
      <w:r>
        <w:rPr>
          <w:lang w:val="en-GB"/>
        </w:rPr>
        <w:t xml:space="preserve">management </w:t>
      </w:r>
      <w:r w:rsidRPr="523B84EF">
        <w:rPr>
          <w:lang w:val="en-GB"/>
        </w:rPr>
        <w:t>review</w:t>
      </w:r>
      <w:r>
        <w:rPr>
          <w:lang w:val="en-GB"/>
        </w:rPr>
        <w:t xml:space="preserve"> was considered a core HCH service and was </w:t>
      </w:r>
      <w:r w:rsidRPr="43EA0028">
        <w:rPr>
          <w:lang w:val="en-GB"/>
        </w:rPr>
        <w:t>f</w:t>
      </w:r>
      <w:r>
        <w:rPr>
          <w:lang w:val="en-GB"/>
        </w:rPr>
        <w:t>unded through the bundled payment, thus HCH practices were not eligible to claim for D</w:t>
      </w:r>
      <w:r w:rsidRPr="00EC2803">
        <w:rPr>
          <w:lang w:val="en-GB"/>
        </w:rPr>
        <w:t xml:space="preserve">omiciliary </w:t>
      </w:r>
      <w:r>
        <w:rPr>
          <w:lang w:val="en-GB"/>
        </w:rPr>
        <w:t>and R</w:t>
      </w:r>
      <w:r w:rsidRPr="00EC2803">
        <w:rPr>
          <w:lang w:val="en-GB"/>
        </w:rPr>
        <w:t>esidential M</w:t>
      </w:r>
      <w:r>
        <w:rPr>
          <w:lang w:val="en-GB"/>
        </w:rPr>
        <w:t>edication M</w:t>
      </w:r>
      <w:r w:rsidRPr="00EC2803">
        <w:rPr>
          <w:lang w:val="en-GB"/>
        </w:rPr>
        <w:t>anagement Reviews</w:t>
      </w:r>
      <w:r>
        <w:rPr>
          <w:lang w:val="en-GB"/>
        </w:rPr>
        <w:t xml:space="preserve"> (items 900 and 903). In the two years before enrolment, </w:t>
      </w:r>
      <w:r w:rsidRPr="523B84EF">
        <w:rPr>
          <w:lang w:val="en-GB"/>
        </w:rPr>
        <w:t>8.4%</w:t>
      </w:r>
      <w:r>
        <w:rPr>
          <w:lang w:val="en-GB"/>
        </w:rPr>
        <w:t xml:space="preserve"> of </w:t>
      </w:r>
      <w:r w:rsidRPr="523B84EF">
        <w:rPr>
          <w:lang w:val="en-GB"/>
        </w:rPr>
        <w:t>HCH patients had a</w:t>
      </w:r>
      <w:r>
        <w:rPr>
          <w:lang w:val="en-GB"/>
        </w:rPr>
        <w:t xml:space="preserve"> </w:t>
      </w:r>
      <w:r w:rsidRPr="43EA0028">
        <w:rPr>
          <w:lang w:val="en-GB"/>
        </w:rPr>
        <w:t xml:space="preserve">claim for </w:t>
      </w:r>
      <w:r>
        <w:rPr>
          <w:lang w:val="en-GB"/>
        </w:rPr>
        <w:t xml:space="preserve">medication </w:t>
      </w:r>
      <w:r w:rsidRPr="523B84EF">
        <w:rPr>
          <w:lang w:val="en-GB"/>
        </w:rPr>
        <w:t xml:space="preserve">management </w:t>
      </w:r>
      <w:r>
        <w:rPr>
          <w:lang w:val="en-GB"/>
        </w:rPr>
        <w:t>review</w:t>
      </w:r>
      <w:r w:rsidRPr="523B84EF">
        <w:rPr>
          <w:lang w:val="en-GB"/>
        </w:rPr>
        <w:t>, dropping</w:t>
      </w:r>
      <w:r>
        <w:rPr>
          <w:lang w:val="en-GB"/>
        </w:rPr>
        <w:t xml:space="preserve"> to 3.8% by the first biennial anniversary (</w:t>
      </w:r>
      <w:r>
        <w:rPr>
          <w:lang w:val="en-GB"/>
        </w:rPr>
        <w:fldChar w:fldCharType="begin"/>
      </w:r>
      <w:r>
        <w:rPr>
          <w:lang w:val="en-GB"/>
        </w:rPr>
        <w:instrText xml:space="preserve"> REF _Ref96783822 \h </w:instrText>
      </w:r>
      <w:r>
        <w:rPr>
          <w:lang w:val="en-GB"/>
        </w:rPr>
      </w:r>
      <w:r>
        <w:rPr>
          <w:lang w:val="en-GB"/>
        </w:rPr>
        <w:fldChar w:fldCharType="separate"/>
      </w:r>
      <w:r w:rsidR="003C4BC2" w:rsidRPr="00F877C0">
        <w:t xml:space="preserve">Figure </w:t>
      </w:r>
      <w:r w:rsidR="003C4BC2">
        <w:rPr>
          <w:noProof/>
        </w:rPr>
        <w:t>57</w:t>
      </w:r>
      <w:r>
        <w:rPr>
          <w:lang w:val="en-GB"/>
        </w:rPr>
        <w:fldChar w:fldCharType="end"/>
      </w:r>
      <w:r>
        <w:rPr>
          <w:lang w:val="en-GB"/>
        </w:rPr>
        <w:t xml:space="preserve">). </w:t>
      </w:r>
    </w:p>
    <w:p w14:paraId="25F4CFEF" w14:textId="6C03A56F" w:rsidR="00A26BD5" w:rsidRDefault="00A26BD5" w:rsidP="00A26BD5">
      <w:pPr>
        <w:rPr>
          <w:lang w:val="en-GB"/>
        </w:rPr>
      </w:pPr>
      <w:r w:rsidRPr="523B84EF">
        <w:rPr>
          <w:lang w:val="en-GB"/>
        </w:rPr>
        <w:t>In</w:t>
      </w:r>
      <w:r>
        <w:rPr>
          <w:lang w:val="en-GB"/>
        </w:rPr>
        <w:t xml:space="preserve"> </w:t>
      </w:r>
      <w:r w:rsidR="000E16C4">
        <w:rPr>
          <w:lang w:val="en-GB"/>
        </w:rPr>
        <w:t>comparator</w:t>
      </w:r>
      <w:r>
        <w:rPr>
          <w:lang w:val="en-GB"/>
        </w:rPr>
        <w:t xml:space="preserve"> patients, who</w:t>
      </w:r>
      <w:r w:rsidRPr="43EA0028">
        <w:rPr>
          <w:lang w:val="en-GB"/>
        </w:rPr>
        <w:t xml:space="preserve"> were not matched with HCH patients on presence of a claim for medication review</w:t>
      </w:r>
      <w:r w:rsidRPr="523B84EF">
        <w:rPr>
          <w:lang w:val="en-GB"/>
        </w:rPr>
        <w:t>,</w:t>
      </w:r>
      <w:r>
        <w:rPr>
          <w:lang w:val="en-GB"/>
        </w:rPr>
        <w:t xml:space="preserve"> these proportions were 4.0% and 4.7%, </w:t>
      </w:r>
      <w:r w:rsidRPr="523B84EF">
        <w:rPr>
          <w:lang w:val="en-GB"/>
        </w:rPr>
        <w:t>respectively</w:t>
      </w:r>
      <w:r>
        <w:rPr>
          <w:lang w:val="en-GB"/>
        </w:rPr>
        <w:t xml:space="preserve"> (</w:t>
      </w:r>
      <w:r>
        <w:rPr>
          <w:lang w:val="en-GB"/>
        </w:rPr>
        <w:fldChar w:fldCharType="begin"/>
      </w:r>
      <w:r>
        <w:rPr>
          <w:lang w:val="en-GB"/>
        </w:rPr>
        <w:instrText xml:space="preserve"> REF _Ref96783822 \h </w:instrText>
      </w:r>
      <w:r>
        <w:rPr>
          <w:lang w:val="en-GB"/>
        </w:rPr>
      </w:r>
      <w:r>
        <w:rPr>
          <w:lang w:val="en-GB"/>
        </w:rPr>
        <w:fldChar w:fldCharType="separate"/>
      </w:r>
      <w:r w:rsidR="003C4BC2" w:rsidRPr="00F877C0">
        <w:t xml:space="preserve">Figure </w:t>
      </w:r>
      <w:r w:rsidR="003C4BC2">
        <w:rPr>
          <w:noProof/>
        </w:rPr>
        <w:t>57</w:t>
      </w:r>
      <w:r>
        <w:rPr>
          <w:lang w:val="en-GB"/>
        </w:rPr>
        <w:fldChar w:fldCharType="end"/>
      </w:r>
      <w:r>
        <w:rPr>
          <w:lang w:val="en-GB"/>
        </w:rPr>
        <w:t>).</w:t>
      </w:r>
    </w:p>
    <w:p w14:paraId="5ACFA87D" w14:textId="0C74D349" w:rsidR="00CB1E47" w:rsidRDefault="00CB1E47">
      <w:pPr>
        <w:spacing w:after="160" w:line="259" w:lineRule="auto"/>
        <w:rPr>
          <w:lang w:val="en-GB"/>
        </w:rPr>
      </w:pPr>
      <w:r>
        <w:rPr>
          <w:lang w:val="en-GB"/>
        </w:rPr>
        <w:br w:type="page"/>
      </w:r>
    </w:p>
    <w:p w14:paraId="3BD9D040" w14:textId="159C1E64" w:rsidR="00A26BD5" w:rsidRDefault="00A26BD5" w:rsidP="00A26BD5">
      <w:pPr>
        <w:pStyle w:val="TableFigureheading"/>
      </w:pPr>
      <w:bookmarkStart w:id="373" w:name="_Ref96783822"/>
      <w:r w:rsidRPr="00F877C0">
        <w:lastRenderedPageBreak/>
        <w:t xml:space="preserve">Figure </w:t>
      </w:r>
      <w:r>
        <w:fldChar w:fldCharType="begin"/>
      </w:r>
      <w:r>
        <w:instrText>SEQ Figure \* ARABIC</w:instrText>
      </w:r>
      <w:r>
        <w:fldChar w:fldCharType="separate"/>
      </w:r>
      <w:r w:rsidR="003C4BC2">
        <w:rPr>
          <w:noProof/>
        </w:rPr>
        <w:t>57</w:t>
      </w:r>
      <w:r>
        <w:fldChar w:fldCharType="end"/>
      </w:r>
      <w:bookmarkEnd w:id="373"/>
      <w:r>
        <w:t xml:space="preserve">: Claims for </w:t>
      </w:r>
      <w:r>
        <w:rPr>
          <w:lang w:val="en-GB"/>
        </w:rPr>
        <w:t>medication management review</w:t>
      </w:r>
      <w:r>
        <w:t xml:space="preserve"> among HCH </w:t>
      </w:r>
      <w:r w:rsidR="003C39A0">
        <w:rPr>
          <w:bCs w:val="0"/>
        </w:rPr>
        <w:t xml:space="preserve">and comparator </w:t>
      </w:r>
      <w:r>
        <w:t>patients</w:t>
      </w:r>
    </w:p>
    <w:p w14:paraId="2E170B95" w14:textId="77777777" w:rsidR="00A26BD5" w:rsidRPr="00740B34" w:rsidRDefault="00A26BD5" w:rsidP="00A26BD5">
      <w:pPr>
        <w:jc w:val="center"/>
        <w:rPr>
          <w:lang w:val="en-GB"/>
        </w:rPr>
      </w:pPr>
      <w:r>
        <w:rPr>
          <w:noProof/>
          <w:lang w:val="en-GB"/>
        </w:rPr>
        <w:drawing>
          <wp:inline distT="0" distB="0" distL="0" distR="0" wp14:anchorId="27865A5A" wp14:editId="6844EBE9">
            <wp:extent cx="4793256" cy="3354642"/>
            <wp:effectExtent l="0" t="0" r="0" b="0"/>
            <wp:docPr id="54" name="Picture 5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Chart, line chart&#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4797103" cy="3357334"/>
                    </a:xfrm>
                    <a:prstGeom prst="rect">
                      <a:avLst/>
                    </a:prstGeom>
                  </pic:spPr>
                </pic:pic>
              </a:graphicData>
            </a:graphic>
          </wp:inline>
        </w:drawing>
      </w:r>
    </w:p>
    <w:p w14:paraId="45240EEC" w14:textId="6D5B27DC" w:rsidR="00A26BD5" w:rsidRPr="009645D4" w:rsidRDefault="00E364DA" w:rsidP="00E364DA">
      <w:pPr>
        <w:pStyle w:val="Chartortablefootnote"/>
        <w:spacing w:after="0"/>
        <w:ind w:left="720" w:right="663"/>
        <w:rPr>
          <w:lang w:val="en-GB"/>
        </w:rPr>
      </w:pPr>
      <w:r>
        <w:rPr>
          <w:lang w:val="en-GB"/>
        </w:rPr>
        <w:t>Notes:</w:t>
      </w:r>
      <w:r w:rsidR="00A26BD5">
        <w:rPr>
          <w:lang w:val="en-GB"/>
        </w:rPr>
        <w:t xml:space="preserve"> People with length of follow-up shorter than respective </w:t>
      </w:r>
      <w:r w:rsidR="001C7E54">
        <w:rPr>
          <w:lang w:val="en-GB"/>
        </w:rPr>
        <w:t xml:space="preserve">biennial and </w:t>
      </w:r>
      <w:r w:rsidR="00A26BD5">
        <w:rPr>
          <w:lang w:val="en-GB"/>
        </w:rPr>
        <w:t>yearly anniversar</w:t>
      </w:r>
      <w:r w:rsidR="006761F0">
        <w:rPr>
          <w:lang w:val="en-GB"/>
        </w:rPr>
        <w:t>y</w:t>
      </w:r>
      <w:r w:rsidR="00A26BD5">
        <w:rPr>
          <w:lang w:val="en-GB"/>
        </w:rPr>
        <w:t xml:space="preserve"> were excluded from analyses.</w:t>
      </w:r>
    </w:p>
    <w:p w14:paraId="5D15237F" w14:textId="2EE57C3E" w:rsidR="00E364DA" w:rsidRPr="009645D4" w:rsidRDefault="00E364DA" w:rsidP="00A26BD5">
      <w:pPr>
        <w:pStyle w:val="Chartortablefootnote"/>
        <w:ind w:left="720" w:right="662"/>
        <w:rPr>
          <w:lang w:val="en-GB"/>
        </w:rPr>
      </w:pPr>
      <w:r w:rsidRPr="009645D4">
        <w:rPr>
          <w:lang w:val="en-GB"/>
        </w:rPr>
        <w:t>Source: MBS</w:t>
      </w:r>
      <w:r>
        <w:rPr>
          <w:lang w:val="en-GB"/>
        </w:rPr>
        <w:t xml:space="preserve"> claims of items 900 and 903.</w:t>
      </w:r>
    </w:p>
    <w:p w14:paraId="78E23B22" w14:textId="5750B13A" w:rsidR="00A26BD5" w:rsidRDefault="00A26BD5" w:rsidP="00A26BD5">
      <w:pPr>
        <w:pStyle w:val="Heading2"/>
        <w:rPr>
          <w:rFonts w:eastAsia="Muli"/>
        </w:rPr>
      </w:pPr>
      <w:bookmarkStart w:id="374" w:name="_Toc109996737"/>
      <w:r>
        <w:rPr>
          <w:rFonts w:eastAsia="Muli"/>
        </w:rPr>
        <w:t xml:space="preserve">Utilisation of </w:t>
      </w:r>
      <w:r w:rsidRPr="43EA0028">
        <w:rPr>
          <w:rFonts w:eastAsia="Muli"/>
        </w:rPr>
        <w:t xml:space="preserve">other Medicare-funded </w:t>
      </w:r>
      <w:r>
        <w:rPr>
          <w:rFonts w:eastAsia="Muli"/>
        </w:rPr>
        <w:t>services</w:t>
      </w:r>
      <w:bookmarkEnd w:id="374"/>
    </w:p>
    <w:p w14:paraId="1A037247" w14:textId="77777777" w:rsidR="00A26BD5" w:rsidRDefault="00A26BD5" w:rsidP="00A26BD5">
      <w:pPr>
        <w:rPr>
          <w:lang w:val="en-GB"/>
        </w:rPr>
      </w:pPr>
      <w:r w:rsidRPr="43EA0028">
        <w:rPr>
          <w:lang w:val="en-GB"/>
        </w:rPr>
        <w:t>Utilisation of other Medicare-funded services was examined for three years following enrolment in the HCH program, using linked records of MBS claims. Measures included changes in the number of consultations with specialist providers, allied health services for chronic disease, pathology services (any test, lipid and HbA1c tests), and imaging services.</w:t>
      </w:r>
    </w:p>
    <w:p w14:paraId="1143C910" w14:textId="256629EA" w:rsidR="00A26BD5" w:rsidRDefault="00A26BD5" w:rsidP="00A26BD5">
      <w:pPr>
        <w:rPr>
          <w:lang w:val="en-GB"/>
        </w:rPr>
      </w:pPr>
      <w:r w:rsidRPr="43EA0028">
        <w:rPr>
          <w:lang w:val="en-GB"/>
        </w:rPr>
        <w:t xml:space="preserve">Specialist consultations were not funded through the bundled payment and could be billed as per usual via the MBS along with episodic care unrelated to a patient’s chronic condition. Overall, about 60% of both HCH and </w:t>
      </w:r>
      <w:r w:rsidR="000E16C4">
        <w:rPr>
          <w:lang w:val="en-GB"/>
        </w:rPr>
        <w:t>comparator</w:t>
      </w:r>
      <w:r w:rsidRPr="43EA0028">
        <w:rPr>
          <w:lang w:val="en-GB"/>
        </w:rPr>
        <w:t xml:space="preserve"> patients had one or more visits to specialist providers in the year pre-enrolment (mean 3.4 and 3.3 respectively). Following enrolment, numbers of specialist consultations decreased slightly in both HCH and </w:t>
      </w:r>
      <w:r w:rsidR="000E16C4">
        <w:rPr>
          <w:lang w:val="en-GB"/>
        </w:rPr>
        <w:t>comparator</w:t>
      </w:r>
      <w:r w:rsidRPr="43EA0028">
        <w:rPr>
          <w:lang w:val="en-GB"/>
        </w:rPr>
        <w:t xml:space="preserve"> patients. </w:t>
      </w:r>
    </w:p>
    <w:p w14:paraId="70853849" w14:textId="223A99AD" w:rsidR="00A26BD5" w:rsidRDefault="00A26BD5" w:rsidP="00A26BD5">
      <w:pPr>
        <w:rPr>
          <w:lang w:val="en-GB"/>
        </w:rPr>
      </w:pPr>
      <w:r>
        <w:rPr>
          <w:lang w:val="en-GB"/>
        </w:rPr>
        <w:t>In addition to e</w:t>
      </w:r>
      <w:r w:rsidRPr="43EA0028">
        <w:rPr>
          <w:lang w:val="en-GB"/>
        </w:rPr>
        <w:t xml:space="preserve">ligibility for MBS-funded allied health services </w:t>
      </w:r>
      <w:r>
        <w:rPr>
          <w:lang w:val="en-GB"/>
        </w:rPr>
        <w:t xml:space="preserve">as per usual, HCH patients who had </w:t>
      </w:r>
      <w:r w:rsidRPr="43EA0028">
        <w:rPr>
          <w:lang w:val="en-GB"/>
        </w:rPr>
        <w:t>a HCH shared care plan</w:t>
      </w:r>
      <w:r>
        <w:rPr>
          <w:lang w:val="en-GB"/>
        </w:rPr>
        <w:t xml:space="preserve"> developed were eligible for</w:t>
      </w:r>
      <w:r w:rsidRPr="009A2231">
        <w:rPr>
          <w:lang w:val="en-GB"/>
        </w:rPr>
        <w:t xml:space="preserve"> </w:t>
      </w:r>
      <w:r>
        <w:rPr>
          <w:lang w:val="en-GB"/>
        </w:rPr>
        <w:t xml:space="preserve">group </w:t>
      </w:r>
      <w:r w:rsidRPr="00A67B0C">
        <w:rPr>
          <w:lang w:val="en-GB"/>
        </w:rPr>
        <w:t>allied health services</w:t>
      </w:r>
      <w:r w:rsidRPr="004A3DC6">
        <w:rPr>
          <w:lang w:val="en-GB"/>
        </w:rPr>
        <w:t xml:space="preserve"> </w:t>
      </w:r>
      <w:r w:rsidRPr="43EA0028">
        <w:rPr>
          <w:lang w:val="en-GB"/>
        </w:rPr>
        <w:t xml:space="preserve">provided </w:t>
      </w:r>
      <w:r w:rsidRPr="00A67B0C">
        <w:rPr>
          <w:lang w:val="en-GB"/>
        </w:rPr>
        <w:t>by eligible diabetes educators, exercise physiologists and dietitians</w:t>
      </w:r>
      <w:r w:rsidRPr="43EA0028">
        <w:rPr>
          <w:lang w:val="en-GB"/>
        </w:rPr>
        <w:t xml:space="preserve">. HCH patients tended to use more allied health services for chronic disease conditions, especially in year one following enrolment, where 52.5% had at least one allied health session (mean 2.0) </w:t>
      </w:r>
      <w:r w:rsidR="00E602FD">
        <w:rPr>
          <w:lang w:val="en-GB"/>
        </w:rPr>
        <w:t>compared with</w:t>
      </w:r>
      <w:r w:rsidRPr="43EA0028">
        <w:rPr>
          <w:lang w:val="en-GB"/>
        </w:rPr>
        <w:t xml:space="preserve"> 38.7% (mean </w:t>
      </w:r>
      <w:r w:rsidR="00563F40">
        <w:rPr>
          <w:lang w:val="en-GB"/>
        </w:rPr>
        <w:t>1.5</w:t>
      </w:r>
      <w:r w:rsidRPr="43EA0028">
        <w:rPr>
          <w:lang w:val="en-GB"/>
        </w:rPr>
        <w:t xml:space="preserve">) among </w:t>
      </w:r>
      <w:r w:rsidR="000E16C4">
        <w:rPr>
          <w:lang w:val="en-GB"/>
        </w:rPr>
        <w:t>comparator</w:t>
      </w:r>
      <w:r w:rsidRPr="43EA0028">
        <w:rPr>
          <w:lang w:val="en-GB"/>
        </w:rPr>
        <w:t xml:space="preserve"> patients. </w:t>
      </w:r>
    </w:p>
    <w:p w14:paraId="41CD41AE" w14:textId="3A596232" w:rsidR="00A26BD5" w:rsidRDefault="00A26BD5" w:rsidP="00A26BD5">
      <w:pPr>
        <w:rPr>
          <w:lang w:val="en-GB"/>
        </w:rPr>
      </w:pPr>
      <w:r w:rsidRPr="43EA0028">
        <w:rPr>
          <w:lang w:val="en-GB"/>
        </w:rPr>
        <w:t xml:space="preserve">Pathology services were not funded through the HCH bundled payment. Utilisation of pathology services should be interpreted in the context of “MBS coning rules” for pathology episode services. According to these rules, when more than three items are requested in an episode by a GP for an out-of-hospital service, Medicare only pays for the three most expensive items. As such, findings regarding use of </w:t>
      </w:r>
      <w:r w:rsidRPr="00D91B86">
        <w:rPr>
          <w:b/>
          <w:bCs/>
          <w:lang w:val="en-GB"/>
        </w:rPr>
        <w:t>any</w:t>
      </w:r>
      <w:r w:rsidRPr="43EA0028">
        <w:rPr>
          <w:lang w:val="en-GB"/>
        </w:rPr>
        <w:t xml:space="preserve"> pathology services are unlikely to be </w:t>
      </w:r>
      <w:r w:rsidRPr="43EA0028">
        <w:rPr>
          <w:lang w:val="en-GB"/>
        </w:rPr>
        <w:lastRenderedPageBreak/>
        <w:t xml:space="preserve">affected by the coning rules, but findings regarding a particular service, such as lipid and HbA1c tests, may be. Nevertheless, the coning rules are unlikely to impact differences in pathology service utilisation between HCH and </w:t>
      </w:r>
      <w:r w:rsidR="000E16C4">
        <w:rPr>
          <w:lang w:val="en-GB"/>
        </w:rPr>
        <w:t>comparator</w:t>
      </w:r>
      <w:r w:rsidRPr="43EA0028">
        <w:rPr>
          <w:lang w:val="en-GB"/>
        </w:rPr>
        <w:t xml:space="preserve"> patients, unless one group is more likely to have large numbers of pathology services requested in an episode. </w:t>
      </w:r>
    </w:p>
    <w:p w14:paraId="7A5D7F1B" w14:textId="560453FF" w:rsidR="00A26BD5" w:rsidRDefault="00A26BD5" w:rsidP="00A26BD5">
      <w:pPr>
        <w:rPr>
          <w:lang w:val="en-GB"/>
        </w:rPr>
      </w:pPr>
      <w:r w:rsidRPr="43EA0028">
        <w:rPr>
          <w:lang w:val="en-GB"/>
        </w:rPr>
        <w:t xml:space="preserve">Almost all HCH and </w:t>
      </w:r>
      <w:r w:rsidR="000E16C4">
        <w:rPr>
          <w:lang w:val="en-GB"/>
        </w:rPr>
        <w:t>comparator</w:t>
      </w:r>
      <w:r w:rsidRPr="43EA0028">
        <w:rPr>
          <w:lang w:val="en-GB"/>
        </w:rPr>
        <w:t xml:space="preserve"> patients (90% or more) had a claim for any pathology test in the year </w:t>
      </w:r>
      <w:r w:rsidR="0002675D">
        <w:rPr>
          <w:lang w:val="en-GB"/>
        </w:rPr>
        <w:t>before</w:t>
      </w:r>
      <w:r w:rsidRPr="43EA0028">
        <w:rPr>
          <w:lang w:val="en-GB"/>
        </w:rPr>
        <w:t xml:space="preserve"> enrolment. During the post-enrolment period, the proportions remained stable among HCH patients, while there was a minor reduction in </w:t>
      </w:r>
      <w:r w:rsidR="000E16C4">
        <w:rPr>
          <w:lang w:val="en-GB"/>
        </w:rPr>
        <w:t>comparator</w:t>
      </w:r>
      <w:r w:rsidRPr="43EA0028">
        <w:rPr>
          <w:lang w:val="en-GB"/>
        </w:rPr>
        <w:t xml:space="preserve"> patients. A quarter of HCH and </w:t>
      </w:r>
      <w:r w:rsidR="000E16C4">
        <w:rPr>
          <w:lang w:val="en-GB"/>
        </w:rPr>
        <w:t>comparator</w:t>
      </w:r>
      <w:r w:rsidRPr="43EA0028">
        <w:rPr>
          <w:lang w:val="en-GB"/>
        </w:rPr>
        <w:t xml:space="preserve"> patients had a record of lipid tests, and slightly more than half of patients had a record for HbA1c tests in the year </w:t>
      </w:r>
      <w:r w:rsidR="0002675D">
        <w:rPr>
          <w:lang w:val="en-GB"/>
        </w:rPr>
        <w:t>before</w:t>
      </w:r>
      <w:r w:rsidRPr="43EA0028">
        <w:rPr>
          <w:lang w:val="en-GB"/>
        </w:rPr>
        <w:t xml:space="preserve"> enrolment. Following enrolment, although there was a decrease in proportions of patients having these tests in both groups, the number of claims for lipid and HbA1c were higher in HCH patients. </w:t>
      </w:r>
    </w:p>
    <w:p w14:paraId="6FE23946" w14:textId="6E34788A" w:rsidR="00A26BD5" w:rsidRDefault="00A26BD5" w:rsidP="00A26BD5">
      <w:pPr>
        <w:rPr>
          <w:lang w:val="en-GB"/>
        </w:rPr>
      </w:pPr>
      <w:r w:rsidRPr="43EA0028">
        <w:rPr>
          <w:lang w:val="en-GB"/>
        </w:rPr>
        <w:t xml:space="preserve">Diagnostic imaging services delivered outside the HCH practice could be billed as per usual via the MBS </w:t>
      </w:r>
      <w:r w:rsidRPr="43EA0028">
        <w:rPr>
          <w:rStyle w:val="markedcontent"/>
        </w:rPr>
        <w:t xml:space="preserve">along with episodic care unrelated to a patient’s chronic condition. </w:t>
      </w:r>
      <w:r w:rsidRPr="43EA0028">
        <w:rPr>
          <w:lang w:val="en-GB"/>
        </w:rPr>
        <w:t xml:space="preserve">Meanwhile, diagnostic services provided in-house by a HCH practice as part of the monitoring and management of an enrolled patient's chronic and complex conditions were funded through the bundled payment. </w:t>
      </w:r>
      <w:r>
        <w:rPr>
          <w:lang w:val="en-GB"/>
        </w:rPr>
        <w:t xml:space="preserve">Overall, in </w:t>
      </w:r>
      <w:r w:rsidRPr="43EA0028">
        <w:rPr>
          <w:lang w:val="en-GB"/>
        </w:rPr>
        <w:t>the</w:t>
      </w:r>
      <w:r>
        <w:rPr>
          <w:lang w:val="en-GB"/>
        </w:rPr>
        <w:t xml:space="preserve"> year before enrolment, two thirds of HCH and </w:t>
      </w:r>
      <w:r w:rsidR="000E16C4">
        <w:rPr>
          <w:lang w:val="en-GB"/>
        </w:rPr>
        <w:t>comparator</w:t>
      </w:r>
      <w:r>
        <w:rPr>
          <w:lang w:val="en-GB"/>
        </w:rPr>
        <w:t xml:space="preserve"> patients (66%) ha</w:t>
      </w:r>
      <w:r w:rsidRPr="43EA0028">
        <w:rPr>
          <w:lang w:val="en-GB"/>
        </w:rPr>
        <w:t>d</w:t>
      </w:r>
      <w:r>
        <w:rPr>
          <w:lang w:val="en-GB"/>
        </w:rPr>
        <w:t xml:space="preserve"> a claim for any imaging test. During the post-enrolment period, the proportions remained stable among HCH patients while there was a minor reduction in </w:t>
      </w:r>
      <w:r w:rsidR="000E16C4">
        <w:rPr>
          <w:lang w:val="en-GB"/>
        </w:rPr>
        <w:t>comparator</w:t>
      </w:r>
      <w:r>
        <w:rPr>
          <w:lang w:val="en-GB"/>
        </w:rPr>
        <w:t xml:space="preserve"> patients</w:t>
      </w:r>
      <w:r w:rsidR="009C592B">
        <w:rPr>
          <w:lang w:val="en-GB"/>
        </w:rPr>
        <w:t>.</w:t>
      </w:r>
    </w:p>
    <w:p w14:paraId="54BC260B" w14:textId="253760A0" w:rsidR="00A26BD5" w:rsidRDefault="00A26BD5" w:rsidP="00A26BD5">
      <w:pPr>
        <w:pStyle w:val="Heading3"/>
        <w:rPr>
          <w:lang w:val="en-GB"/>
        </w:rPr>
      </w:pPr>
      <w:r>
        <w:rPr>
          <w:lang w:val="en-GB"/>
        </w:rPr>
        <w:t>Specialist</w:t>
      </w:r>
      <w:r w:rsidRPr="00D646C9">
        <w:rPr>
          <w:lang w:val="en-GB"/>
        </w:rPr>
        <w:t xml:space="preserve"> consul</w:t>
      </w:r>
      <w:r>
        <w:rPr>
          <w:lang w:val="en-GB"/>
        </w:rPr>
        <w:t>t</w:t>
      </w:r>
      <w:r w:rsidRPr="00D646C9">
        <w:rPr>
          <w:lang w:val="en-GB"/>
        </w:rPr>
        <w:t>ations</w:t>
      </w:r>
    </w:p>
    <w:p w14:paraId="510C5853" w14:textId="77777777" w:rsidR="00A26BD5" w:rsidRDefault="00A26BD5" w:rsidP="00A26BD5">
      <w:pPr>
        <w:rPr>
          <w:lang w:val="en-GB"/>
        </w:rPr>
      </w:pPr>
      <w:r w:rsidRPr="43EA0028">
        <w:rPr>
          <w:lang w:val="en-GB"/>
        </w:rPr>
        <w:t>Claims</w:t>
      </w:r>
      <w:r w:rsidRPr="001035ED">
        <w:rPr>
          <w:lang w:val="en-GB"/>
        </w:rPr>
        <w:t xml:space="preserve"> for </w:t>
      </w:r>
      <w:r w:rsidRPr="43EA0028">
        <w:rPr>
          <w:lang w:val="en-GB"/>
        </w:rPr>
        <w:t xml:space="preserve">MBS-funded </w:t>
      </w:r>
      <w:r w:rsidRPr="001035ED">
        <w:rPr>
          <w:lang w:val="en-GB"/>
        </w:rPr>
        <w:t xml:space="preserve">consultations with specialist providers </w:t>
      </w:r>
      <w:r w:rsidRPr="43EA0028">
        <w:rPr>
          <w:lang w:val="en-GB"/>
        </w:rPr>
        <w:t xml:space="preserve">for </w:t>
      </w:r>
      <w:r>
        <w:rPr>
          <w:lang w:val="en-GB"/>
        </w:rPr>
        <w:t xml:space="preserve">HCH patients </w:t>
      </w:r>
      <w:r w:rsidRPr="43EA0028">
        <w:rPr>
          <w:lang w:val="en-GB"/>
        </w:rPr>
        <w:t xml:space="preserve">could be billed </w:t>
      </w:r>
      <w:r>
        <w:rPr>
          <w:lang w:val="en-GB"/>
        </w:rPr>
        <w:t xml:space="preserve">as </w:t>
      </w:r>
      <w:r w:rsidRPr="43EA0028">
        <w:rPr>
          <w:lang w:val="en-GB"/>
        </w:rPr>
        <w:t xml:space="preserve">per usual. </w:t>
      </w:r>
    </w:p>
    <w:p w14:paraId="61A54A4F" w14:textId="20785B33" w:rsidR="00A26BD5" w:rsidRDefault="00A26BD5" w:rsidP="00A26BD5">
      <w:pPr>
        <w:rPr>
          <w:lang w:val="en-GB"/>
        </w:rPr>
      </w:pPr>
      <w:r w:rsidRPr="43EA0028">
        <w:rPr>
          <w:lang w:val="en-GB"/>
        </w:rPr>
        <w:t>Among</w:t>
      </w:r>
      <w:r>
        <w:rPr>
          <w:lang w:val="en-GB"/>
        </w:rPr>
        <w:t xml:space="preserve"> HCH patients</w:t>
      </w:r>
      <w:r w:rsidRPr="43EA0028">
        <w:rPr>
          <w:lang w:val="en-GB"/>
        </w:rPr>
        <w:t>, nearly two thirds (61.2%)</w:t>
      </w:r>
      <w:r>
        <w:rPr>
          <w:lang w:val="en-GB"/>
        </w:rPr>
        <w:t xml:space="preserve"> had one or more claims for specialist visit</w:t>
      </w:r>
      <w:r w:rsidRPr="43EA0028">
        <w:rPr>
          <w:lang w:val="en-GB"/>
        </w:rPr>
        <w:t xml:space="preserve"> in the year </w:t>
      </w:r>
      <w:r w:rsidR="0002675D">
        <w:rPr>
          <w:lang w:val="en-GB"/>
        </w:rPr>
        <w:t>before</w:t>
      </w:r>
      <w:r w:rsidRPr="43EA0028">
        <w:rPr>
          <w:lang w:val="en-GB"/>
        </w:rPr>
        <w:t xml:space="preserve"> enrolment, with a mean of 3.4 claims (std 6.8, median 1).</w:t>
      </w:r>
      <w:r>
        <w:rPr>
          <w:lang w:val="en-GB"/>
        </w:rPr>
        <w:t xml:space="preserve"> About a third had one to three visits and 14% had four to six visits</w:t>
      </w:r>
      <w:r w:rsidRPr="43EA0028">
        <w:rPr>
          <w:lang w:val="en-GB"/>
        </w:rPr>
        <w:t>. Following enrolment, there was no change in the numbers of specialist consultation claims in year one (mean 3.4) while there was a minor reduction in year two (mean 2.9) and year three (mean 2.8).</w:t>
      </w:r>
    </w:p>
    <w:p w14:paraId="1D209098" w14:textId="070399FE" w:rsidR="00A26BD5" w:rsidRDefault="00A26BD5" w:rsidP="00A26BD5">
      <w:pPr>
        <w:rPr>
          <w:lang w:val="en-GB"/>
        </w:rPr>
      </w:pPr>
      <w:r>
        <w:rPr>
          <w:lang w:val="en-GB"/>
        </w:rPr>
        <w:t>Comparator patients, who were matched with HCH patients on number of specialists claims in the pre-enrolment period, had similar patterns of claims for consultations with specialists in the follow-up period. The mean number of specialist visits decreased slightly, from 3.3 pre-enrolment to 2.8 in both year two and year three (</w:t>
      </w:r>
      <w:r>
        <w:rPr>
          <w:lang w:val="en-GB"/>
        </w:rPr>
        <w:fldChar w:fldCharType="begin"/>
      </w:r>
      <w:r>
        <w:rPr>
          <w:lang w:val="en-GB"/>
        </w:rPr>
        <w:instrText xml:space="preserve"> REF _Ref96894591 \h </w:instrText>
      </w:r>
      <w:r>
        <w:rPr>
          <w:lang w:val="en-GB"/>
        </w:rPr>
      </w:r>
      <w:r>
        <w:rPr>
          <w:lang w:val="en-GB"/>
        </w:rPr>
        <w:fldChar w:fldCharType="separate"/>
      </w:r>
      <w:r w:rsidR="003C4BC2" w:rsidRPr="00F877C0">
        <w:t xml:space="preserve">Figure </w:t>
      </w:r>
      <w:r w:rsidR="003C4BC2">
        <w:rPr>
          <w:noProof/>
        </w:rPr>
        <w:t>58</w:t>
      </w:r>
      <w:r>
        <w:rPr>
          <w:lang w:val="en-GB"/>
        </w:rPr>
        <w:fldChar w:fldCharType="end"/>
      </w:r>
      <w:r>
        <w:rPr>
          <w:lang w:val="en-GB"/>
        </w:rPr>
        <w:t xml:space="preserve">). </w:t>
      </w:r>
    </w:p>
    <w:p w14:paraId="73121FAA" w14:textId="1572167C" w:rsidR="00CB1E47" w:rsidRDefault="00CB1E47">
      <w:pPr>
        <w:spacing w:after="160" w:line="259" w:lineRule="auto"/>
        <w:rPr>
          <w:lang w:val="en-GB"/>
        </w:rPr>
      </w:pPr>
      <w:r>
        <w:rPr>
          <w:lang w:val="en-GB"/>
        </w:rPr>
        <w:br w:type="page"/>
      </w:r>
    </w:p>
    <w:p w14:paraId="0557CD2C" w14:textId="4C6DE8D5" w:rsidR="00A26BD5" w:rsidRDefault="00A26BD5" w:rsidP="00A26BD5">
      <w:pPr>
        <w:pStyle w:val="TableFigureheading"/>
      </w:pPr>
      <w:bookmarkStart w:id="375" w:name="_Ref96894591"/>
      <w:r w:rsidRPr="00F877C0">
        <w:lastRenderedPageBreak/>
        <w:t xml:space="preserve">Figure </w:t>
      </w:r>
      <w:r>
        <w:fldChar w:fldCharType="begin"/>
      </w:r>
      <w:r>
        <w:instrText>SEQ Figure \* ARABIC</w:instrText>
      </w:r>
      <w:r>
        <w:fldChar w:fldCharType="separate"/>
      </w:r>
      <w:r w:rsidR="003C4BC2">
        <w:rPr>
          <w:noProof/>
        </w:rPr>
        <w:t>58</w:t>
      </w:r>
      <w:r>
        <w:fldChar w:fldCharType="end"/>
      </w:r>
      <w:bookmarkEnd w:id="375"/>
      <w:r>
        <w:t xml:space="preserve">: Claims for specialist consultations among HCH </w:t>
      </w:r>
      <w:r w:rsidR="003C39A0">
        <w:rPr>
          <w:bCs w:val="0"/>
        </w:rPr>
        <w:t xml:space="preserve">and comparator </w:t>
      </w:r>
      <w:r>
        <w:t>patients</w:t>
      </w:r>
    </w:p>
    <w:p w14:paraId="1466BC12" w14:textId="77777777" w:rsidR="00A26BD5" w:rsidRDefault="00A26BD5" w:rsidP="00A26BD5">
      <w:pPr>
        <w:pStyle w:val="TableFigureheading"/>
      </w:pPr>
      <w:r>
        <w:rPr>
          <w:noProof/>
        </w:rPr>
        <w:drawing>
          <wp:inline distT="0" distB="0" distL="0" distR="0" wp14:anchorId="371B32D8" wp14:editId="297A6335">
            <wp:extent cx="5731510" cy="4011295"/>
            <wp:effectExtent l="0" t="0" r="0" b="0"/>
            <wp:docPr id="38" name="Picture 38"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hart, bar chart&#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31510" cy="4011295"/>
                    </a:xfrm>
                    <a:prstGeom prst="rect">
                      <a:avLst/>
                    </a:prstGeom>
                  </pic:spPr>
                </pic:pic>
              </a:graphicData>
            </a:graphic>
          </wp:inline>
        </w:drawing>
      </w:r>
    </w:p>
    <w:p w14:paraId="4449C306" w14:textId="1AE55980" w:rsidR="00A26BD5" w:rsidRPr="009645D4" w:rsidRDefault="00E364DA" w:rsidP="00E364DA">
      <w:pPr>
        <w:pStyle w:val="Chartortablefootnote"/>
        <w:spacing w:after="0"/>
        <w:ind w:left="720" w:right="663"/>
        <w:rPr>
          <w:lang w:val="en-GB"/>
        </w:rPr>
      </w:pPr>
      <w:r>
        <w:rPr>
          <w:lang w:val="en-GB"/>
        </w:rPr>
        <w:t xml:space="preserve">Notes: </w:t>
      </w:r>
      <w:r w:rsidR="00A26BD5">
        <w:rPr>
          <w:lang w:val="en-GB"/>
        </w:rPr>
        <w:t>People with length of follow-up shorter than respective yearly anniversar</w:t>
      </w:r>
      <w:r w:rsidR="005110CF">
        <w:rPr>
          <w:lang w:val="en-GB"/>
        </w:rPr>
        <w:t>y</w:t>
      </w:r>
      <w:r w:rsidR="00A26BD5">
        <w:rPr>
          <w:lang w:val="en-GB"/>
        </w:rPr>
        <w:t xml:space="preserve"> were excluded from analyses. </w:t>
      </w:r>
    </w:p>
    <w:p w14:paraId="6BA74B47" w14:textId="0BFFE373" w:rsidR="00E364DA" w:rsidRPr="009645D4" w:rsidRDefault="00E364DA" w:rsidP="00A26BD5">
      <w:pPr>
        <w:pStyle w:val="Chartortablefootnote"/>
        <w:ind w:left="720" w:right="662"/>
        <w:rPr>
          <w:lang w:val="en-GB"/>
        </w:rPr>
      </w:pPr>
      <w:r w:rsidRPr="009645D4">
        <w:rPr>
          <w:lang w:val="en-GB"/>
        </w:rPr>
        <w:t>Source: MBS</w:t>
      </w:r>
      <w:r>
        <w:rPr>
          <w:lang w:val="en-GB"/>
        </w:rPr>
        <w:t xml:space="preserve"> claims for items in Groups A3, A4, A8, A9, A12, A13, A16, A21, A24, A26, A28, A29, A31, A32, subgroup A15-02 (items 820 to 880) and subgroup T06-01.</w:t>
      </w:r>
    </w:p>
    <w:p w14:paraId="098A2B33" w14:textId="77777777" w:rsidR="00A26BD5" w:rsidRDefault="00A26BD5" w:rsidP="00A26BD5">
      <w:pPr>
        <w:pStyle w:val="Heading3"/>
        <w:rPr>
          <w:lang w:val="en-GB"/>
        </w:rPr>
      </w:pPr>
      <w:r>
        <w:rPr>
          <w:lang w:val="en-GB"/>
        </w:rPr>
        <w:t>Allied health services for chronic disease</w:t>
      </w:r>
    </w:p>
    <w:p w14:paraId="14A7F3B6" w14:textId="36417747" w:rsidR="00A26BD5" w:rsidRDefault="00A26BD5" w:rsidP="00A26BD5">
      <w:r w:rsidRPr="43EA0028">
        <w:rPr>
          <w:lang w:val="en-GB"/>
        </w:rPr>
        <w:t>Under Medicare benefits, patients with chronic conditions and complex care needs who had a GPMP and TCA prepared by their GP can access a maximum of five individual services each calendar provided by eligible allied health providers (MBS items 10950 to 10970). These services can be provided by Aboriginal Health Workers or Aboriginal and Torres Strait Islander Health Practitioners, audiologists, diabetes educators, dieticians, chiropractors, exercise physiologists, mental health workers, occupational therapists, osteopaths, physiotherapists, podiatrists, psychologists and speech pathologists. When patients enrolled in the HCH program, t</w:t>
      </w:r>
      <w:r w:rsidRPr="43EA0028">
        <w:rPr>
          <w:rStyle w:val="markedcontent"/>
        </w:rPr>
        <w:t xml:space="preserve">he number of MBS-funded allied health services that an enrolled patient may access each calendar year remains the same as is currently available under the MBS, </w:t>
      </w:r>
      <w:r w:rsidR="0010747B">
        <w:rPr>
          <w:rStyle w:val="markedcontent"/>
        </w:rPr>
        <w:t>that is,</w:t>
      </w:r>
      <w:r w:rsidRPr="43EA0028">
        <w:rPr>
          <w:rStyle w:val="markedcontent"/>
        </w:rPr>
        <w:t xml:space="preserve"> no more than five per calendar year.</w:t>
      </w:r>
    </w:p>
    <w:p w14:paraId="0A3D38BB" w14:textId="77777777" w:rsidR="00A26BD5" w:rsidRDefault="00A26BD5" w:rsidP="00A26BD5">
      <w:r>
        <w:rPr>
          <w:lang w:val="en-GB"/>
        </w:rPr>
        <w:t xml:space="preserve">In addition to individual services, </w:t>
      </w:r>
      <w:r w:rsidRPr="00A67B0C">
        <w:rPr>
          <w:lang w:val="en-GB"/>
        </w:rPr>
        <w:t>on referral from a GP or medical practitioner</w:t>
      </w:r>
      <w:r>
        <w:rPr>
          <w:lang w:val="en-GB"/>
        </w:rPr>
        <w:t>,</w:t>
      </w:r>
      <w:r w:rsidRPr="00A67B0C">
        <w:rPr>
          <w:lang w:val="en-GB"/>
        </w:rPr>
        <w:t xml:space="preserve"> patients with type 2 diabetes</w:t>
      </w:r>
      <w:r>
        <w:rPr>
          <w:lang w:val="en-GB"/>
        </w:rPr>
        <w:t xml:space="preserve"> who had a GPMP or </w:t>
      </w:r>
      <w:r w:rsidRPr="00A67B0C">
        <w:rPr>
          <w:lang w:val="en-GB"/>
        </w:rPr>
        <w:t>a Health Care Home shared care plan</w:t>
      </w:r>
      <w:r>
        <w:rPr>
          <w:lang w:val="en-GB"/>
        </w:rPr>
        <w:t xml:space="preserve"> can access group </w:t>
      </w:r>
      <w:r w:rsidRPr="00A67B0C">
        <w:rPr>
          <w:lang w:val="en-GB"/>
        </w:rPr>
        <w:t>allied health services</w:t>
      </w:r>
      <w:r w:rsidRPr="004A3DC6">
        <w:rPr>
          <w:lang w:val="en-GB"/>
        </w:rPr>
        <w:t xml:space="preserve"> </w:t>
      </w:r>
      <w:r w:rsidRPr="43EA0028">
        <w:rPr>
          <w:lang w:val="en-GB"/>
        </w:rPr>
        <w:t xml:space="preserve">provided </w:t>
      </w:r>
      <w:r w:rsidRPr="00A67B0C">
        <w:rPr>
          <w:lang w:val="en-GB"/>
        </w:rPr>
        <w:t>by eligible diabetes educators, exercise physiologists and dietitians</w:t>
      </w:r>
      <w:r>
        <w:rPr>
          <w:lang w:val="en-GB"/>
        </w:rPr>
        <w:t xml:space="preserve"> (</w:t>
      </w:r>
      <w:r>
        <w:t>MBS items 81100 to 81125).</w:t>
      </w:r>
    </w:p>
    <w:p w14:paraId="69B60678" w14:textId="01CE786A" w:rsidR="00A26BD5" w:rsidRDefault="00A26BD5" w:rsidP="00A26BD5">
      <w:pPr>
        <w:rPr>
          <w:lang w:val="en-GB"/>
        </w:rPr>
      </w:pPr>
      <w:r w:rsidRPr="43EA0028">
        <w:rPr>
          <w:lang w:val="en-GB"/>
        </w:rPr>
        <w:t>In the</w:t>
      </w:r>
      <w:r>
        <w:rPr>
          <w:lang w:val="en-GB"/>
        </w:rPr>
        <w:t xml:space="preserve"> year </w:t>
      </w:r>
      <w:r w:rsidR="0002675D">
        <w:rPr>
          <w:lang w:val="en-GB"/>
        </w:rPr>
        <w:t>before</w:t>
      </w:r>
      <w:r>
        <w:rPr>
          <w:lang w:val="en-GB"/>
        </w:rPr>
        <w:t xml:space="preserve"> enrolment, slightly less than half of HCH patients (46.7%) received one or more allied health services for chronic disease </w:t>
      </w:r>
      <w:r w:rsidR="006C763E">
        <w:rPr>
          <w:lang w:val="en-GB"/>
        </w:rPr>
        <w:t>manag</w:t>
      </w:r>
      <w:r w:rsidR="008602BE">
        <w:rPr>
          <w:lang w:val="en-GB"/>
        </w:rPr>
        <w:t xml:space="preserve">ement </w:t>
      </w:r>
      <w:r>
        <w:rPr>
          <w:lang w:val="en-GB"/>
        </w:rPr>
        <w:t xml:space="preserve">(mean 1.7, std 2.3). In </w:t>
      </w:r>
      <w:r w:rsidRPr="43EA0028">
        <w:rPr>
          <w:lang w:val="en-GB"/>
        </w:rPr>
        <w:t>the</w:t>
      </w:r>
      <w:r>
        <w:rPr>
          <w:lang w:val="en-GB"/>
        </w:rPr>
        <w:t xml:space="preserve"> year </w:t>
      </w:r>
      <w:r>
        <w:rPr>
          <w:lang w:val="en-GB"/>
        </w:rPr>
        <w:lastRenderedPageBreak/>
        <w:t xml:space="preserve">following enrolment, this increased to 52.5% (mean 2.0, std 2.4) and remained at 46.3% (mean 1.7, std 2.2) at year two and 48.3% (mean 1.8, std 2.3) at year three </w:t>
      </w:r>
      <w:r w:rsidRPr="43EA0028">
        <w:rPr>
          <w:lang w:val="en-GB"/>
        </w:rPr>
        <w:t>of</w:t>
      </w:r>
      <w:r>
        <w:rPr>
          <w:lang w:val="en-GB"/>
        </w:rPr>
        <w:t xml:space="preserve"> follow-up. </w:t>
      </w:r>
    </w:p>
    <w:p w14:paraId="07230DB4" w14:textId="26746995" w:rsidR="00A26BD5" w:rsidRDefault="00A26BD5" w:rsidP="00A26BD5">
      <w:pPr>
        <w:rPr>
          <w:lang w:val="en-GB"/>
        </w:rPr>
      </w:pPr>
      <w:r>
        <w:rPr>
          <w:lang w:val="en-GB"/>
        </w:rPr>
        <w:t xml:space="preserve">Comparator patients were not matched on </w:t>
      </w:r>
      <w:r w:rsidR="008602BE">
        <w:rPr>
          <w:lang w:val="en-GB"/>
        </w:rPr>
        <w:t xml:space="preserve">the </w:t>
      </w:r>
      <w:r>
        <w:rPr>
          <w:lang w:val="en-GB"/>
        </w:rPr>
        <w:t xml:space="preserve">use of allied health for chronic disease </w:t>
      </w:r>
      <w:r w:rsidR="001E0076">
        <w:rPr>
          <w:lang w:val="en-GB"/>
        </w:rPr>
        <w:t xml:space="preserve">management </w:t>
      </w:r>
      <w:r>
        <w:rPr>
          <w:lang w:val="en-GB"/>
        </w:rPr>
        <w:t xml:space="preserve">in the pre-enrolment </w:t>
      </w:r>
      <w:r w:rsidR="00A14EB9">
        <w:rPr>
          <w:lang w:val="en-GB"/>
        </w:rPr>
        <w:t>period but</w:t>
      </w:r>
      <w:r w:rsidR="009A052E">
        <w:rPr>
          <w:lang w:val="en-GB"/>
        </w:rPr>
        <w:t xml:space="preserve"> were matched on the use of any allied health services.</w:t>
      </w:r>
      <w:r>
        <w:rPr>
          <w:lang w:val="en-GB"/>
        </w:rPr>
        <w:t xml:space="preserve"> The proportion of </w:t>
      </w:r>
      <w:r w:rsidR="000E16C4">
        <w:rPr>
          <w:lang w:val="en-GB"/>
        </w:rPr>
        <w:t>comparator</w:t>
      </w:r>
      <w:r>
        <w:rPr>
          <w:lang w:val="en-GB"/>
        </w:rPr>
        <w:t xml:space="preserve"> patients with one visit or more was 41.9% in the pre-enrolment period (mean 1.5, std 2.2), and this declined to 38.7% at year one (mean 1.5, std 2.2), 37.0% at year two (mean 1.4, std 2.1), and 38.4% at year three (mean 1.4, std 2.1) (</w:t>
      </w:r>
      <w:r>
        <w:rPr>
          <w:lang w:val="en-GB"/>
        </w:rPr>
        <w:fldChar w:fldCharType="begin"/>
      </w:r>
      <w:r>
        <w:rPr>
          <w:lang w:val="en-GB"/>
        </w:rPr>
        <w:instrText xml:space="preserve"> REF _Ref96865398 \h </w:instrText>
      </w:r>
      <w:r>
        <w:rPr>
          <w:lang w:val="en-GB"/>
        </w:rPr>
      </w:r>
      <w:r>
        <w:rPr>
          <w:lang w:val="en-GB"/>
        </w:rPr>
        <w:fldChar w:fldCharType="separate"/>
      </w:r>
      <w:r w:rsidR="003C4BC2" w:rsidRPr="00F877C0">
        <w:t xml:space="preserve">Figure </w:t>
      </w:r>
      <w:r w:rsidR="003C4BC2">
        <w:rPr>
          <w:noProof/>
        </w:rPr>
        <w:t>59</w:t>
      </w:r>
      <w:r>
        <w:rPr>
          <w:lang w:val="en-GB"/>
        </w:rPr>
        <w:fldChar w:fldCharType="end"/>
      </w:r>
      <w:r>
        <w:rPr>
          <w:lang w:val="en-GB"/>
        </w:rPr>
        <w:t>).</w:t>
      </w:r>
    </w:p>
    <w:p w14:paraId="66D15947" w14:textId="00C3554A" w:rsidR="00A26BD5" w:rsidRDefault="00A26BD5" w:rsidP="00A26BD5">
      <w:pPr>
        <w:pStyle w:val="TableFigureheading"/>
      </w:pPr>
      <w:bookmarkStart w:id="376" w:name="_Ref96865398"/>
      <w:r w:rsidRPr="00F877C0">
        <w:t xml:space="preserve">Figure </w:t>
      </w:r>
      <w:r>
        <w:fldChar w:fldCharType="begin"/>
      </w:r>
      <w:r>
        <w:instrText>SEQ Figure \* ARABIC</w:instrText>
      </w:r>
      <w:r>
        <w:fldChar w:fldCharType="separate"/>
      </w:r>
      <w:r w:rsidR="003C4BC2">
        <w:rPr>
          <w:noProof/>
        </w:rPr>
        <w:t>59</w:t>
      </w:r>
      <w:r>
        <w:fldChar w:fldCharType="end"/>
      </w:r>
      <w:bookmarkEnd w:id="376"/>
      <w:r>
        <w:t xml:space="preserve">: Claims for allied health services for chronic disease management among HCH </w:t>
      </w:r>
      <w:r w:rsidR="003C39A0">
        <w:rPr>
          <w:bCs w:val="0"/>
        </w:rPr>
        <w:t>and comparator patients</w:t>
      </w:r>
    </w:p>
    <w:p w14:paraId="085ADD0D" w14:textId="77777777" w:rsidR="00A26BD5" w:rsidRDefault="00A26BD5" w:rsidP="00A26BD5">
      <w:pPr>
        <w:pStyle w:val="Chartortablefootnote"/>
        <w:ind w:right="95"/>
        <w:rPr>
          <w:lang w:val="en-GB"/>
        </w:rPr>
      </w:pPr>
      <w:r>
        <w:rPr>
          <w:noProof/>
          <w:lang w:val="en-GB"/>
        </w:rPr>
        <w:drawing>
          <wp:inline distT="0" distB="0" distL="0" distR="0" wp14:anchorId="573CC0D1" wp14:editId="207F348C">
            <wp:extent cx="5349588" cy="3744000"/>
            <wp:effectExtent l="0" t="0" r="0" b="0"/>
            <wp:docPr id="6287" name="Picture 628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1" name="Picture 6291" descr="Chart, bar chart&#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349588" cy="3744000"/>
                    </a:xfrm>
                    <a:prstGeom prst="rect">
                      <a:avLst/>
                    </a:prstGeom>
                  </pic:spPr>
                </pic:pic>
              </a:graphicData>
            </a:graphic>
          </wp:inline>
        </w:drawing>
      </w:r>
    </w:p>
    <w:p w14:paraId="20DEF08D" w14:textId="692E7DE7" w:rsidR="00A26BD5" w:rsidRPr="009645D4" w:rsidRDefault="00E364DA" w:rsidP="00E364DA">
      <w:pPr>
        <w:pStyle w:val="Chartortablefootnote"/>
        <w:spacing w:after="0"/>
        <w:ind w:right="96"/>
        <w:rPr>
          <w:lang w:val="en-GB"/>
        </w:rPr>
      </w:pPr>
      <w:r>
        <w:rPr>
          <w:lang w:val="en-GB"/>
        </w:rPr>
        <w:t>Notes:</w:t>
      </w:r>
      <w:r w:rsidR="00A26BD5">
        <w:rPr>
          <w:lang w:val="en-GB"/>
        </w:rPr>
        <w:t xml:space="preserve"> People with length of follow-up shorter than respective yearly anniversar</w:t>
      </w:r>
      <w:r w:rsidR="009A052E">
        <w:rPr>
          <w:lang w:val="en-GB"/>
        </w:rPr>
        <w:t>y</w:t>
      </w:r>
      <w:r w:rsidR="00A26BD5">
        <w:rPr>
          <w:lang w:val="en-GB"/>
        </w:rPr>
        <w:t xml:space="preserve"> were excluded from analyses</w:t>
      </w:r>
      <w:r>
        <w:rPr>
          <w:lang w:val="en-GB"/>
        </w:rPr>
        <w:t>.</w:t>
      </w:r>
    </w:p>
    <w:p w14:paraId="37A10506" w14:textId="374A858E" w:rsidR="00E364DA" w:rsidRPr="009645D4" w:rsidRDefault="00E364DA" w:rsidP="00A26BD5">
      <w:pPr>
        <w:pStyle w:val="Chartortablefootnote"/>
        <w:ind w:right="95"/>
        <w:rPr>
          <w:lang w:val="en-GB"/>
        </w:rPr>
      </w:pPr>
      <w:r w:rsidRPr="009645D4">
        <w:rPr>
          <w:lang w:val="en-GB"/>
        </w:rPr>
        <w:t>Source: MBS</w:t>
      </w:r>
      <w:r>
        <w:rPr>
          <w:lang w:val="en-GB"/>
        </w:rPr>
        <w:t xml:space="preserve"> claims of i</w:t>
      </w:r>
      <w:r w:rsidRPr="00207408">
        <w:rPr>
          <w:lang w:val="en-GB"/>
        </w:rPr>
        <w:t>tems 10950-10970; 81100</w:t>
      </w:r>
      <w:r>
        <w:rPr>
          <w:lang w:val="en-GB"/>
        </w:rPr>
        <w:t xml:space="preserve">– </w:t>
      </w:r>
      <w:r w:rsidRPr="00207408">
        <w:rPr>
          <w:lang w:val="en-GB"/>
        </w:rPr>
        <w:t>81125</w:t>
      </w:r>
      <w:r>
        <w:rPr>
          <w:lang w:val="en-GB"/>
        </w:rPr>
        <w:t>.</w:t>
      </w:r>
    </w:p>
    <w:p w14:paraId="727774F2" w14:textId="77777777" w:rsidR="00A26BD5" w:rsidRDefault="00A26BD5" w:rsidP="00A26BD5">
      <w:pPr>
        <w:pStyle w:val="Heading3"/>
        <w:rPr>
          <w:lang w:val="en-GB"/>
        </w:rPr>
      </w:pPr>
      <w:r w:rsidRPr="00231115">
        <w:rPr>
          <w:lang w:val="en-GB"/>
        </w:rPr>
        <w:t>Use of pathology services</w:t>
      </w:r>
    </w:p>
    <w:p w14:paraId="6BCE633E" w14:textId="7B4DF867" w:rsidR="00A26BD5" w:rsidRPr="00C50D42" w:rsidRDefault="00A26BD5" w:rsidP="00A26BD5">
      <w:pPr>
        <w:rPr>
          <w:lang w:val="en-GB"/>
        </w:rPr>
      </w:pPr>
      <w:r w:rsidRPr="43EA0028">
        <w:rPr>
          <w:rStyle w:val="markedcontent"/>
        </w:rPr>
        <w:t xml:space="preserve">Pathology services were not included in the HCH bundled </w:t>
      </w:r>
      <w:r w:rsidR="00F64528" w:rsidRPr="43EA0028">
        <w:rPr>
          <w:rStyle w:val="markedcontent"/>
        </w:rPr>
        <w:t>payment and</w:t>
      </w:r>
      <w:r w:rsidRPr="43EA0028">
        <w:rPr>
          <w:rStyle w:val="markedcontent"/>
        </w:rPr>
        <w:t xml:space="preserve"> continued to be funded through the MBS.</w:t>
      </w:r>
    </w:p>
    <w:p w14:paraId="67C24120" w14:textId="77777777" w:rsidR="00A26BD5" w:rsidRPr="006308F7" w:rsidRDefault="00A26BD5" w:rsidP="00A26BD5">
      <w:pPr>
        <w:pStyle w:val="Heading4"/>
        <w:rPr>
          <w:lang w:val="en-GB"/>
        </w:rPr>
      </w:pPr>
      <w:r w:rsidRPr="43EA0028">
        <w:rPr>
          <w:lang w:val="en-GB"/>
        </w:rPr>
        <w:t>Claims for any</w:t>
      </w:r>
      <w:r w:rsidRPr="006308F7">
        <w:rPr>
          <w:lang w:val="en-GB"/>
        </w:rPr>
        <w:t xml:space="preserve"> pathology </w:t>
      </w:r>
      <w:r w:rsidRPr="43EA0028">
        <w:rPr>
          <w:lang w:val="en-GB"/>
        </w:rPr>
        <w:t>test</w:t>
      </w:r>
    </w:p>
    <w:p w14:paraId="22494F5B" w14:textId="77777777" w:rsidR="00A26BD5" w:rsidRDefault="00A26BD5" w:rsidP="00A26BD5">
      <w:pPr>
        <w:rPr>
          <w:lang w:val="en-GB"/>
        </w:rPr>
      </w:pPr>
      <w:r w:rsidRPr="43EA0028">
        <w:rPr>
          <w:lang w:val="en-GB"/>
        </w:rPr>
        <w:t>Almost</w:t>
      </w:r>
      <w:r>
        <w:rPr>
          <w:lang w:val="en-GB"/>
        </w:rPr>
        <w:t xml:space="preserve"> all </w:t>
      </w:r>
      <w:r w:rsidRPr="43EA0028">
        <w:rPr>
          <w:lang w:val="en-GB"/>
        </w:rPr>
        <w:t xml:space="preserve">HCH </w:t>
      </w:r>
      <w:r>
        <w:rPr>
          <w:lang w:val="en-GB"/>
        </w:rPr>
        <w:t xml:space="preserve">patients (93.3%) had one or more claim for any pathology test in </w:t>
      </w:r>
      <w:r w:rsidRPr="43EA0028">
        <w:rPr>
          <w:lang w:val="en-GB"/>
        </w:rPr>
        <w:t>the</w:t>
      </w:r>
      <w:r>
        <w:rPr>
          <w:lang w:val="en-GB"/>
        </w:rPr>
        <w:t xml:space="preserve"> year pre-enrolment</w:t>
      </w:r>
      <w:r w:rsidRPr="43EA0028">
        <w:rPr>
          <w:lang w:val="en-GB"/>
        </w:rPr>
        <w:t>, with a mean of 11.0 claims (std 13.1, median 8).</w:t>
      </w:r>
      <w:r>
        <w:rPr>
          <w:lang w:val="en-GB"/>
        </w:rPr>
        <w:t xml:space="preserve"> In the periods following enrolment, </w:t>
      </w:r>
      <w:r w:rsidRPr="43EA0028">
        <w:rPr>
          <w:lang w:val="en-GB"/>
        </w:rPr>
        <w:t xml:space="preserve">the </w:t>
      </w:r>
      <w:r>
        <w:rPr>
          <w:lang w:val="en-GB"/>
        </w:rPr>
        <w:t xml:space="preserve">proportion of HCH patients with one or more claims remained stable at </w:t>
      </w:r>
      <w:r w:rsidRPr="43EA0028">
        <w:rPr>
          <w:lang w:val="en-GB"/>
        </w:rPr>
        <w:t>approximately 92%.</w:t>
      </w:r>
    </w:p>
    <w:p w14:paraId="71760AA8" w14:textId="54ECA756" w:rsidR="00A26BD5" w:rsidRDefault="00A26BD5" w:rsidP="00A26BD5">
      <w:pPr>
        <w:rPr>
          <w:lang w:val="en-GB"/>
        </w:rPr>
      </w:pPr>
      <w:r>
        <w:rPr>
          <w:lang w:val="en-GB"/>
        </w:rPr>
        <w:t xml:space="preserve">In </w:t>
      </w:r>
      <w:r w:rsidR="000E16C4">
        <w:rPr>
          <w:lang w:val="en-GB"/>
        </w:rPr>
        <w:t>comparator</w:t>
      </w:r>
      <w:r>
        <w:rPr>
          <w:lang w:val="en-GB"/>
        </w:rPr>
        <w:t xml:space="preserve"> patients, who were matched to HCH patients on the number of claims for any pathology test at baseline, there was a reduction in the proportion with one or more claims, </w:t>
      </w:r>
      <w:r>
        <w:rPr>
          <w:lang w:val="en-GB"/>
        </w:rPr>
        <w:lastRenderedPageBreak/>
        <w:t>from 93.4% pre-enrolment to 89.7% at year one, 89.5% at year two and 89.1% at year three of the follow-up period (</w:t>
      </w:r>
      <w:r>
        <w:rPr>
          <w:lang w:val="en-GB"/>
        </w:rPr>
        <w:fldChar w:fldCharType="begin"/>
      </w:r>
      <w:r>
        <w:rPr>
          <w:lang w:val="en-GB"/>
        </w:rPr>
        <w:instrText xml:space="preserve"> REF _Ref96865414 \h </w:instrText>
      </w:r>
      <w:r>
        <w:rPr>
          <w:lang w:val="en-GB"/>
        </w:rPr>
      </w:r>
      <w:r>
        <w:rPr>
          <w:lang w:val="en-GB"/>
        </w:rPr>
        <w:fldChar w:fldCharType="separate"/>
      </w:r>
      <w:r w:rsidR="003C4BC2" w:rsidRPr="00F877C0">
        <w:t xml:space="preserve">Figure </w:t>
      </w:r>
      <w:r w:rsidR="003C4BC2">
        <w:rPr>
          <w:noProof/>
        </w:rPr>
        <w:t>60</w:t>
      </w:r>
      <w:r>
        <w:rPr>
          <w:lang w:val="en-GB"/>
        </w:rPr>
        <w:fldChar w:fldCharType="end"/>
      </w:r>
      <w:r>
        <w:rPr>
          <w:lang w:val="en-GB"/>
        </w:rPr>
        <w:t>).</w:t>
      </w:r>
    </w:p>
    <w:p w14:paraId="5883BC80" w14:textId="7958A758" w:rsidR="00A26BD5" w:rsidRDefault="00A26BD5" w:rsidP="00A26BD5">
      <w:pPr>
        <w:pStyle w:val="TableFigureheading"/>
      </w:pPr>
      <w:bookmarkStart w:id="377" w:name="_Ref96865414"/>
      <w:r w:rsidRPr="00F877C0">
        <w:t xml:space="preserve">Figure </w:t>
      </w:r>
      <w:r>
        <w:fldChar w:fldCharType="begin"/>
      </w:r>
      <w:r>
        <w:instrText>SEQ Figure \* ARABIC</w:instrText>
      </w:r>
      <w:r>
        <w:fldChar w:fldCharType="separate"/>
      </w:r>
      <w:r w:rsidR="003C4BC2">
        <w:rPr>
          <w:noProof/>
        </w:rPr>
        <w:t>60</w:t>
      </w:r>
      <w:r>
        <w:fldChar w:fldCharType="end"/>
      </w:r>
      <w:bookmarkEnd w:id="377"/>
      <w:r w:rsidR="006524FD">
        <w:t>:</w:t>
      </w:r>
      <w:r>
        <w:t xml:space="preserve"> Claims for any pathology tests among HCH </w:t>
      </w:r>
      <w:r w:rsidR="003C39A0">
        <w:rPr>
          <w:bCs w:val="0"/>
        </w:rPr>
        <w:t xml:space="preserve">and comparator </w:t>
      </w:r>
      <w:r>
        <w:t>patients</w:t>
      </w:r>
    </w:p>
    <w:p w14:paraId="50E362E0" w14:textId="77777777" w:rsidR="00A26BD5" w:rsidRDefault="00A26BD5" w:rsidP="00A26BD5">
      <w:pPr>
        <w:jc w:val="center"/>
        <w:rPr>
          <w:highlight w:val="yellow"/>
        </w:rPr>
      </w:pPr>
      <w:r>
        <w:rPr>
          <w:noProof/>
        </w:rPr>
        <w:drawing>
          <wp:inline distT="0" distB="0" distL="0" distR="0" wp14:anchorId="250FA194" wp14:editId="67DBDA04">
            <wp:extent cx="5401026" cy="3780000"/>
            <wp:effectExtent l="0" t="0" r="0" b="0"/>
            <wp:docPr id="6300" name="Picture 630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0" name="Picture 6300" descr="Chart, bar chart&#10;&#10;Description automatically generated"/>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401026" cy="3780000"/>
                    </a:xfrm>
                    <a:prstGeom prst="rect">
                      <a:avLst/>
                    </a:prstGeom>
                  </pic:spPr>
                </pic:pic>
              </a:graphicData>
            </a:graphic>
          </wp:inline>
        </w:drawing>
      </w:r>
    </w:p>
    <w:p w14:paraId="3E550630" w14:textId="0361368D" w:rsidR="00A26BD5" w:rsidRPr="009645D4" w:rsidRDefault="00E364DA" w:rsidP="00E364DA">
      <w:pPr>
        <w:pStyle w:val="Chartortablefootnote"/>
        <w:spacing w:after="0"/>
        <w:ind w:left="720" w:right="663"/>
        <w:rPr>
          <w:lang w:val="en-GB"/>
        </w:rPr>
      </w:pPr>
      <w:r>
        <w:rPr>
          <w:lang w:val="en-GB"/>
        </w:rPr>
        <w:t>Notes:</w:t>
      </w:r>
      <w:r w:rsidR="00A26BD5">
        <w:rPr>
          <w:lang w:val="en-GB"/>
        </w:rPr>
        <w:t xml:space="preserve"> People with length of follow-up shorter than respective yearly anniversar</w:t>
      </w:r>
      <w:r w:rsidR="00BF2C93">
        <w:rPr>
          <w:lang w:val="en-GB"/>
        </w:rPr>
        <w:t>y</w:t>
      </w:r>
      <w:r w:rsidR="00A26BD5">
        <w:rPr>
          <w:lang w:val="en-GB"/>
        </w:rPr>
        <w:t xml:space="preserve"> were excluded from analyses.</w:t>
      </w:r>
    </w:p>
    <w:p w14:paraId="43767CD0" w14:textId="339F1D3E" w:rsidR="00E364DA" w:rsidRPr="009645D4" w:rsidRDefault="00E364DA" w:rsidP="00A26BD5">
      <w:pPr>
        <w:pStyle w:val="Chartortablefootnote"/>
        <w:ind w:left="720" w:right="662"/>
        <w:rPr>
          <w:lang w:val="en-GB"/>
        </w:rPr>
      </w:pPr>
      <w:r w:rsidRPr="009645D4">
        <w:rPr>
          <w:lang w:val="en-GB"/>
        </w:rPr>
        <w:t>Source: MBS</w:t>
      </w:r>
      <w:r>
        <w:rPr>
          <w:lang w:val="en-GB"/>
        </w:rPr>
        <w:t xml:space="preserve"> claims of items in Groups P01 to P09.</w:t>
      </w:r>
    </w:p>
    <w:p w14:paraId="1C0BA0A3" w14:textId="77777777" w:rsidR="00A26BD5" w:rsidRPr="006308F7" w:rsidRDefault="00A26BD5" w:rsidP="00A26BD5">
      <w:pPr>
        <w:pStyle w:val="Heading4"/>
        <w:rPr>
          <w:lang w:val="en-GB"/>
        </w:rPr>
      </w:pPr>
      <w:r w:rsidRPr="43EA0028">
        <w:rPr>
          <w:lang w:val="en-GB"/>
        </w:rPr>
        <w:t>Claims</w:t>
      </w:r>
      <w:r>
        <w:rPr>
          <w:lang w:val="en-GB"/>
        </w:rPr>
        <w:t xml:space="preserve"> for </w:t>
      </w:r>
      <w:r w:rsidRPr="43EA0028">
        <w:rPr>
          <w:lang w:val="en-GB"/>
        </w:rPr>
        <w:t>lipid</w:t>
      </w:r>
      <w:r w:rsidRPr="006308F7">
        <w:rPr>
          <w:lang w:val="en-GB"/>
        </w:rPr>
        <w:t xml:space="preserve"> test</w:t>
      </w:r>
      <w:r>
        <w:rPr>
          <w:lang w:val="en-GB"/>
        </w:rPr>
        <w:t>s</w:t>
      </w:r>
    </w:p>
    <w:p w14:paraId="051E6050" w14:textId="299A8F1D" w:rsidR="00A26BD5" w:rsidRDefault="00A26BD5" w:rsidP="00A26BD5">
      <w:pPr>
        <w:rPr>
          <w:lang w:val="en-GB"/>
        </w:rPr>
      </w:pPr>
      <w:r>
        <w:rPr>
          <w:lang w:val="en-GB"/>
        </w:rPr>
        <w:t xml:space="preserve">One in four HCH patients (24.9%) had one or more records of claims for lipid tests in the year </w:t>
      </w:r>
      <w:r w:rsidR="0002675D">
        <w:rPr>
          <w:lang w:val="en-GB"/>
        </w:rPr>
        <w:t>before</w:t>
      </w:r>
      <w:r>
        <w:rPr>
          <w:lang w:val="en-GB"/>
        </w:rPr>
        <w:t xml:space="preserve"> enrolment and 15.2% had a record in the six months </w:t>
      </w:r>
      <w:r w:rsidR="0002675D">
        <w:rPr>
          <w:lang w:val="en-GB"/>
        </w:rPr>
        <w:t>before</w:t>
      </w:r>
      <w:r>
        <w:rPr>
          <w:lang w:val="en-GB"/>
        </w:rPr>
        <w:t xml:space="preserve"> enrolment. Following enrolment, the proportions having a lipid test in the last 12 months reduced slightly to </w:t>
      </w:r>
      <w:r w:rsidRPr="0052366D">
        <w:rPr>
          <w:lang w:val="en-GB"/>
        </w:rPr>
        <w:t>23.1</w:t>
      </w:r>
      <w:r>
        <w:rPr>
          <w:lang w:val="en-GB"/>
        </w:rPr>
        <w:t xml:space="preserve">% at year one, </w:t>
      </w:r>
      <w:r w:rsidRPr="0052366D">
        <w:rPr>
          <w:lang w:val="en-GB"/>
        </w:rPr>
        <w:t>20.3</w:t>
      </w:r>
      <w:r>
        <w:rPr>
          <w:lang w:val="en-GB"/>
        </w:rPr>
        <w:t xml:space="preserve">% at year two and </w:t>
      </w:r>
      <w:r w:rsidRPr="0052366D">
        <w:rPr>
          <w:lang w:val="en-GB"/>
        </w:rPr>
        <w:t>19.8</w:t>
      </w:r>
      <w:r>
        <w:rPr>
          <w:lang w:val="en-GB"/>
        </w:rPr>
        <w:t>% at year three (</w:t>
      </w:r>
      <w:r>
        <w:rPr>
          <w:lang w:val="en-GB"/>
        </w:rPr>
        <w:fldChar w:fldCharType="begin"/>
      </w:r>
      <w:r>
        <w:rPr>
          <w:lang w:val="en-GB"/>
        </w:rPr>
        <w:instrText xml:space="preserve"> REF _Ref96865422 \h </w:instrText>
      </w:r>
      <w:r>
        <w:rPr>
          <w:lang w:val="en-GB"/>
        </w:rPr>
      </w:r>
      <w:r>
        <w:rPr>
          <w:lang w:val="en-GB"/>
        </w:rPr>
        <w:fldChar w:fldCharType="separate"/>
      </w:r>
      <w:r w:rsidR="003C4BC2" w:rsidRPr="00F877C0">
        <w:t xml:space="preserve">Figure </w:t>
      </w:r>
      <w:r w:rsidR="003C4BC2">
        <w:rPr>
          <w:noProof/>
        </w:rPr>
        <w:t>61</w:t>
      </w:r>
      <w:r>
        <w:rPr>
          <w:lang w:val="en-GB"/>
        </w:rPr>
        <w:fldChar w:fldCharType="end"/>
      </w:r>
      <w:r>
        <w:rPr>
          <w:lang w:val="en-GB"/>
        </w:rPr>
        <w:t xml:space="preserve">). </w:t>
      </w:r>
    </w:p>
    <w:p w14:paraId="7961A165" w14:textId="6938B95B" w:rsidR="00A26BD5" w:rsidRDefault="00A26BD5" w:rsidP="00A26BD5">
      <w:pPr>
        <w:rPr>
          <w:lang w:val="en-GB"/>
        </w:rPr>
      </w:pPr>
      <w:r>
        <w:rPr>
          <w:lang w:val="en-GB"/>
        </w:rPr>
        <w:t xml:space="preserve">Although </w:t>
      </w:r>
      <w:r w:rsidR="000E16C4">
        <w:rPr>
          <w:lang w:val="en-GB"/>
        </w:rPr>
        <w:t>comparator</w:t>
      </w:r>
      <w:r>
        <w:rPr>
          <w:lang w:val="en-GB"/>
        </w:rPr>
        <w:t xml:space="preserve"> patients were not matched with HCH patients on </w:t>
      </w:r>
      <w:r w:rsidR="00CB5DB9">
        <w:rPr>
          <w:lang w:val="en-GB"/>
        </w:rPr>
        <w:t xml:space="preserve">whether they had a </w:t>
      </w:r>
      <w:r>
        <w:rPr>
          <w:lang w:val="en-GB"/>
        </w:rPr>
        <w:t>claim for lipid tests in the pre-enrolment period, they were matched on the number of claims for any pathology test. The p</w:t>
      </w:r>
      <w:r w:rsidRPr="28A5D326">
        <w:rPr>
          <w:lang w:val="en-GB"/>
        </w:rPr>
        <w:t>roportion</w:t>
      </w:r>
      <w:r w:rsidRPr="475865F8">
        <w:rPr>
          <w:lang w:val="en-GB"/>
        </w:rPr>
        <w:t xml:space="preserve"> of </w:t>
      </w:r>
      <w:r w:rsidR="000E16C4">
        <w:rPr>
          <w:lang w:val="en-GB"/>
        </w:rPr>
        <w:t>comparator</w:t>
      </w:r>
      <w:r w:rsidRPr="475865F8">
        <w:rPr>
          <w:lang w:val="en-GB"/>
        </w:rPr>
        <w:t xml:space="preserve"> patients </w:t>
      </w:r>
      <w:r>
        <w:rPr>
          <w:lang w:val="en-GB"/>
        </w:rPr>
        <w:t xml:space="preserve">with a claim for lipid tests in the year pre-enrolment (24.3%) was similar to HCH patients, but it was </w:t>
      </w:r>
      <w:r w:rsidRPr="475865F8">
        <w:rPr>
          <w:lang w:val="en-GB"/>
        </w:rPr>
        <w:t xml:space="preserve">lower </w:t>
      </w:r>
      <w:r>
        <w:rPr>
          <w:lang w:val="en-GB"/>
        </w:rPr>
        <w:t>at year one</w:t>
      </w:r>
      <w:r w:rsidRPr="475865F8">
        <w:rPr>
          <w:lang w:val="en-GB"/>
        </w:rPr>
        <w:t xml:space="preserve"> (</w:t>
      </w:r>
      <w:r>
        <w:rPr>
          <w:lang w:val="en-GB"/>
        </w:rPr>
        <w:t>21.2</w:t>
      </w:r>
      <w:r w:rsidRPr="475865F8">
        <w:rPr>
          <w:lang w:val="en-GB"/>
        </w:rPr>
        <w:t xml:space="preserve">%) and </w:t>
      </w:r>
      <w:r>
        <w:rPr>
          <w:lang w:val="en-GB"/>
        </w:rPr>
        <w:t>year two (18.6</w:t>
      </w:r>
      <w:r w:rsidRPr="475865F8">
        <w:rPr>
          <w:lang w:val="en-GB"/>
        </w:rPr>
        <w:t xml:space="preserve">%) following </w:t>
      </w:r>
      <w:r w:rsidRPr="4DB20BEF">
        <w:rPr>
          <w:lang w:val="en-GB"/>
        </w:rPr>
        <w:t>enrolment.</w:t>
      </w:r>
      <w:r>
        <w:rPr>
          <w:lang w:val="en-GB"/>
        </w:rPr>
        <w:t xml:space="preserve"> Claims for lipid test </w:t>
      </w:r>
      <w:r w:rsidRPr="4410098E">
        <w:rPr>
          <w:lang w:val="en-GB"/>
        </w:rPr>
        <w:t xml:space="preserve">at </w:t>
      </w:r>
      <w:r>
        <w:rPr>
          <w:lang w:val="en-GB"/>
        </w:rPr>
        <w:t>six</w:t>
      </w:r>
      <w:r w:rsidRPr="4410098E">
        <w:rPr>
          <w:lang w:val="en-GB"/>
        </w:rPr>
        <w:t xml:space="preserve"> monthly intervals </w:t>
      </w:r>
      <w:r>
        <w:rPr>
          <w:lang w:val="en-GB"/>
        </w:rPr>
        <w:t xml:space="preserve">were similarly higher in HCH patients than </w:t>
      </w:r>
      <w:r w:rsidR="000E16C4">
        <w:rPr>
          <w:lang w:val="en-GB"/>
        </w:rPr>
        <w:t>comparator</w:t>
      </w:r>
      <w:r>
        <w:rPr>
          <w:lang w:val="en-GB"/>
        </w:rPr>
        <w:t xml:space="preserve"> patients for most of the follow-up (</w:t>
      </w:r>
      <w:r w:rsidRPr="006524FD">
        <w:rPr>
          <w:color w:val="1D2455"/>
          <w:lang w:val="en-GB"/>
        </w:rPr>
        <w:fldChar w:fldCharType="begin"/>
      </w:r>
      <w:r w:rsidRPr="006524FD">
        <w:rPr>
          <w:color w:val="1D2455"/>
          <w:lang w:val="en-GB"/>
        </w:rPr>
        <w:instrText xml:space="preserve"> REF _Ref96865422 \h </w:instrText>
      </w:r>
      <w:r w:rsidR="006524FD">
        <w:rPr>
          <w:color w:val="1D2455"/>
          <w:lang w:val="en-GB"/>
        </w:rPr>
        <w:instrText xml:space="preserve"> \* MERGEFORMAT </w:instrText>
      </w:r>
      <w:r w:rsidRPr="006524FD">
        <w:rPr>
          <w:color w:val="1D2455"/>
          <w:lang w:val="en-GB"/>
        </w:rPr>
      </w:r>
      <w:r w:rsidRPr="006524FD">
        <w:rPr>
          <w:color w:val="1D2455"/>
          <w:lang w:val="en-GB"/>
        </w:rPr>
        <w:fldChar w:fldCharType="separate"/>
      </w:r>
      <w:r w:rsidR="003C4BC2" w:rsidRPr="003C4BC2">
        <w:rPr>
          <w:color w:val="1D2455"/>
        </w:rPr>
        <w:t xml:space="preserve">Figure </w:t>
      </w:r>
      <w:r w:rsidR="003C4BC2" w:rsidRPr="003C4BC2">
        <w:rPr>
          <w:noProof/>
          <w:color w:val="1D2455"/>
        </w:rPr>
        <w:t>61</w:t>
      </w:r>
      <w:r w:rsidRPr="006524FD">
        <w:rPr>
          <w:color w:val="1D2455"/>
          <w:lang w:val="en-GB"/>
        </w:rPr>
        <w:fldChar w:fldCharType="end"/>
      </w:r>
      <w:r>
        <w:rPr>
          <w:lang w:val="en-GB"/>
        </w:rPr>
        <w:t xml:space="preserve">). </w:t>
      </w:r>
    </w:p>
    <w:p w14:paraId="317992B5" w14:textId="72473D22" w:rsidR="00CB1E47" w:rsidRDefault="00A26BD5" w:rsidP="00A26BD5">
      <w:pPr>
        <w:rPr>
          <w:lang w:val="en-GB"/>
        </w:rPr>
      </w:pPr>
      <w:r>
        <w:rPr>
          <w:lang w:val="en-GB"/>
        </w:rPr>
        <w:t xml:space="preserve">The proportions of HCH and </w:t>
      </w:r>
      <w:r w:rsidR="000E16C4">
        <w:rPr>
          <w:lang w:val="en-GB"/>
        </w:rPr>
        <w:t>comparator</w:t>
      </w:r>
      <w:r>
        <w:rPr>
          <w:lang w:val="en-GB"/>
        </w:rPr>
        <w:t xml:space="preserve"> patients who had lipid tests recorded in practice extract data (</w:t>
      </w:r>
      <w:r w:rsidR="006524FD" w:rsidRPr="006524FD">
        <w:rPr>
          <w:color w:val="1D2455"/>
          <w:lang w:val="en-GB"/>
        </w:rPr>
        <w:fldChar w:fldCharType="begin"/>
      </w:r>
      <w:r w:rsidR="006524FD" w:rsidRPr="006524FD">
        <w:rPr>
          <w:color w:val="1D2455"/>
          <w:lang w:val="en-GB"/>
        </w:rPr>
        <w:instrText xml:space="preserve"> REF _Ref96723027 \h </w:instrText>
      </w:r>
      <w:r w:rsidR="006524FD">
        <w:rPr>
          <w:color w:val="1D2455"/>
          <w:lang w:val="en-GB"/>
        </w:rPr>
        <w:instrText xml:space="preserve"> \* MERGEFORMAT </w:instrText>
      </w:r>
      <w:r w:rsidR="006524FD" w:rsidRPr="006524FD">
        <w:rPr>
          <w:color w:val="1D2455"/>
          <w:lang w:val="en-GB"/>
        </w:rPr>
      </w:r>
      <w:r w:rsidR="006524FD" w:rsidRPr="006524FD">
        <w:rPr>
          <w:color w:val="1D2455"/>
          <w:lang w:val="en-GB"/>
        </w:rPr>
        <w:fldChar w:fldCharType="separate"/>
      </w:r>
      <w:r w:rsidR="003C4BC2" w:rsidRPr="003C4BC2">
        <w:rPr>
          <w:color w:val="1D2455"/>
        </w:rPr>
        <w:t xml:space="preserve">Figure </w:t>
      </w:r>
      <w:r w:rsidR="003C4BC2" w:rsidRPr="003C4BC2">
        <w:rPr>
          <w:noProof/>
          <w:color w:val="1D2455"/>
        </w:rPr>
        <w:t>32</w:t>
      </w:r>
      <w:r w:rsidR="006524FD" w:rsidRPr="006524FD">
        <w:rPr>
          <w:color w:val="1D2455"/>
          <w:lang w:val="en-GB"/>
        </w:rPr>
        <w:fldChar w:fldCharType="end"/>
      </w:r>
      <w:r w:rsidR="006524FD">
        <w:rPr>
          <w:lang w:val="en-GB"/>
        </w:rPr>
        <w:t xml:space="preserve">, p. </w:t>
      </w:r>
      <w:r w:rsidR="006524FD">
        <w:rPr>
          <w:lang w:val="en-GB"/>
        </w:rPr>
        <w:fldChar w:fldCharType="begin"/>
      </w:r>
      <w:r w:rsidR="006524FD">
        <w:rPr>
          <w:lang w:val="en-GB"/>
        </w:rPr>
        <w:instrText xml:space="preserve"> PAGEREF _Ref98505371 \h </w:instrText>
      </w:r>
      <w:r w:rsidR="006524FD">
        <w:rPr>
          <w:lang w:val="en-GB"/>
        </w:rPr>
      </w:r>
      <w:r w:rsidR="006524FD">
        <w:rPr>
          <w:lang w:val="en-GB"/>
        </w:rPr>
        <w:fldChar w:fldCharType="separate"/>
      </w:r>
      <w:r w:rsidR="003C4BC2">
        <w:rPr>
          <w:noProof/>
          <w:lang w:val="en-GB"/>
        </w:rPr>
        <w:t>181</w:t>
      </w:r>
      <w:r w:rsidR="006524FD">
        <w:rPr>
          <w:lang w:val="en-GB"/>
        </w:rPr>
        <w:fldChar w:fldCharType="end"/>
      </w:r>
      <w:r>
        <w:rPr>
          <w:lang w:val="en-GB"/>
        </w:rPr>
        <w:t xml:space="preserve">), were higher than the proportions who had MBS claims recorded for these tests. This highlights that having a lipid test done was under-ascertained in MBS claim records, potentially as a result of the MBS pathology coning rules. Nevertheless, both data sources showed similar trends in blood lipid measurement in HCH and </w:t>
      </w:r>
      <w:r w:rsidR="000E16C4">
        <w:rPr>
          <w:lang w:val="en-GB"/>
        </w:rPr>
        <w:t>comparator</w:t>
      </w:r>
      <w:r>
        <w:rPr>
          <w:lang w:val="en-GB"/>
        </w:rPr>
        <w:t xml:space="preserve"> </w:t>
      </w:r>
      <w:r>
        <w:rPr>
          <w:lang w:val="en-GB"/>
        </w:rPr>
        <w:lastRenderedPageBreak/>
        <w:t>patients and suggested that HCH patients had greater levels of blood lipid measurement in the first two years following enrolment.</w:t>
      </w:r>
    </w:p>
    <w:p w14:paraId="1FFDFCB4" w14:textId="529C85E8" w:rsidR="00A26BD5" w:rsidRDefault="00A26BD5" w:rsidP="00A26BD5">
      <w:pPr>
        <w:pStyle w:val="TableFigureheading"/>
      </w:pPr>
      <w:bookmarkStart w:id="378" w:name="_Ref96865422"/>
      <w:r w:rsidRPr="00F877C0">
        <w:t xml:space="preserve">Figure </w:t>
      </w:r>
      <w:r>
        <w:fldChar w:fldCharType="begin"/>
      </w:r>
      <w:r>
        <w:instrText>SEQ Figure \* ARABIC</w:instrText>
      </w:r>
      <w:r>
        <w:fldChar w:fldCharType="separate"/>
      </w:r>
      <w:r w:rsidR="003C4BC2">
        <w:rPr>
          <w:noProof/>
        </w:rPr>
        <w:t>61</w:t>
      </w:r>
      <w:r>
        <w:fldChar w:fldCharType="end"/>
      </w:r>
      <w:bookmarkEnd w:id="378"/>
      <w:r w:rsidR="006524FD">
        <w:t>:</w:t>
      </w:r>
      <w:r w:rsidRPr="00F877C0">
        <w:t xml:space="preserve"> </w:t>
      </w:r>
      <w:r>
        <w:t xml:space="preserve">Claims for lipid tests among HCH </w:t>
      </w:r>
      <w:r w:rsidR="003C39A0">
        <w:rPr>
          <w:bCs w:val="0"/>
        </w:rPr>
        <w:t xml:space="preserve">and comparator </w:t>
      </w:r>
      <w:r>
        <w:t>patients</w:t>
      </w:r>
    </w:p>
    <w:p w14:paraId="6DD43BC9" w14:textId="77777777" w:rsidR="00A26BD5" w:rsidRDefault="00A26BD5" w:rsidP="00A26BD5">
      <w:pPr>
        <w:pStyle w:val="Chartortablefootnote"/>
        <w:ind w:right="95"/>
        <w:rPr>
          <w:lang w:val="en-GB"/>
        </w:rPr>
      </w:pPr>
      <w:r>
        <w:rPr>
          <w:noProof/>
        </w:rPr>
        <w:drawing>
          <wp:inline distT="0" distB="0" distL="0" distR="0" wp14:anchorId="69581F04" wp14:editId="74AAD3D0">
            <wp:extent cx="5184475" cy="3628443"/>
            <wp:effectExtent l="0" t="0" r="0" b="0"/>
            <wp:docPr id="6275" name="Picture 627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5" name="Picture 6275" descr="Chart, line chart&#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190938" cy="3632967"/>
                    </a:xfrm>
                    <a:prstGeom prst="rect">
                      <a:avLst/>
                    </a:prstGeom>
                  </pic:spPr>
                </pic:pic>
              </a:graphicData>
            </a:graphic>
          </wp:inline>
        </w:drawing>
      </w:r>
    </w:p>
    <w:p w14:paraId="4FCD3AFD" w14:textId="60822C4B" w:rsidR="00A26BD5" w:rsidRPr="00A15F78" w:rsidRDefault="00E364DA" w:rsidP="00E364DA">
      <w:pPr>
        <w:pStyle w:val="Chartortablefootnote"/>
        <w:spacing w:after="0"/>
        <w:ind w:right="96"/>
        <w:rPr>
          <w:lang w:val="en-GB"/>
        </w:rPr>
      </w:pPr>
      <w:r>
        <w:rPr>
          <w:lang w:val="en-GB"/>
        </w:rPr>
        <w:t>Notes:</w:t>
      </w:r>
      <w:r w:rsidR="00A26BD5">
        <w:rPr>
          <w:lang w:val="en-GB"/>
        </w:rPr>
        <w:t xml:space="preserve"> People with length of follow-up shorter than respective yearly </w:t>
      </w:r>
      <w:r w:rsidR="00067D7A">
        <w:rPr>
          <w:lang w:val="en-GB"/>
        </w:rPr>
        <w:t>and six-monthly measurement period</w:t>
      </w:r>
      <w:r w:rsidR="00A26BD5">
        <w:rPr>
          <w:lang w:val="en-GB"/>
        </w:rPr>
        <w:t xml:space="preserve"> were excluded from analyses.</w:t>
      </w:r>
    </w:p>
    <w:p w14:paraId="7CEA2391" w14:textId="3D636836" w:rsidR="00E364DA" w:rsidRPr="00A15F78" w:rsidRDefault="00E364DA" w:rsidP="00A15F78">
      <w:pPr>
        <w:pStyle w:val="Chartortablefootnote"/>
        <w:ind w:right="95"/>
        <w:rPr>
          <w:lang w:val="en-GB"/>
        </w:rPr>
      </w:pPr>
      <w:r w:rsidRPr="009645D4">
        <w:rPr>
          <w:lang w:val="en-GB"/>
        </w:rPr>
        <w:t>Source: MBS</w:t>
      </w:r>
      <w:r>
        <w:rPr>
          <w:lang w:val="en-GB"/>
        </w:rPr>
        <w:t xml:space="preserve"> claims of items 66500, 66503, 66536 and 66539.</w:t>
      </w:r>
    </w:p>
    <w:p w14:paraId="0F5CDFB8" w14:textId="77777777" w:rsidR="00A26BD5" w:rsidRPr="006308F7" w:rsidRDefault="00A26BD5" w:rsidP="00A26BD5">
      <w:pPr>
        <w:pStyle w:val="Heading4"/>
        <w:rPr>
          <w:lang w:val="en-GB"/>
        </w:rPr>
      </w:pPr>
      <w:r w:rsidRPr="43EA0028">
        <w:rPr>
          <w:lang w:val="en-GB"/>
        </w:rPr>
        <w:t>Claims</w:t>
      </w:r>
      <w:r>
        <w:rPr>
          <w:lang w:val="en-GB"/>
        </w:rPr>
        <w:t xml:space="preserve"> for </w:t>
      </w:r>
      <w:r w:rsidRPr="006308F7">
        <w:rPr>
          <w:lang w:val="en-GB"/>
        </w:rPr>
        <w:t>HbA1c</w:t>
      </w:r>
      <w:r>
        <w:rPr>
          <w:lang w:val="en-GB"/>
        </w:rPr>
        <w:t xml:space="preserve"> </w:t>
      </w:r>
      <w:r w:rsidRPr="43EA0028">
        <w:rPr>
          <w:lang w:val="en-GB"/>
        </w:rPr>
        <w:t>tests</w:t>
      </w:r>
    </w:p>
    <w:p w14:paraId="78FF5E39" w14:textId="5598D3B5" w:rsidR="00A26BD5" w:rsidRDefault="00A26BD5" w:rsidP="00A26BD5">
      <w:pPr>
        <w:rPr>
          <w:lang w:val="en-GB"/>
        </w:rPr>
      </w:pPr>
      <w:r w:rsidRPr="43EA0028">
        <w:rPr>
          <w:lang w:val="en-GB"/>
        </w:rPr>
        <w:t xml:space="preserve">Over half (54.2%) of HCH </w:t>
      </w:r>
      <w:r>
        <w:rPr>
          <w:lang w:val="en-GB"/>
        </w:rPr>
        <w:t xml:space="preserve">patients with diabetes had one or more records of </w:t>
      </w:r>
      <w:r w:rsidRPr="43EA0028">
        <w:rPr>
          <w:lang w:val="en-GB"/>
        </w:rPr>
        <w:t>claims</w:t>
      </w:r>
      <w:r>
        <w:rPr>
          <w:lang w:val="en-GB"/>
        </w:rPr>
        <w:t xml:space="preserve"> for HbA1c tests in </w:t>
      </w:r>
      <w:r w:rsidRPr="43EA0028">
        <w:rPr>
          <w:lang w:val="en-GB"/>
        </w:rPr>
        <w:t>the</w:t>
      </w:r>
      <w:r>
        <w:rPr>
          <w:lang w:val="en-GB"/>
        </w:rPr>
        <w:t xml:space="preserve"> year </w:t>
      </w:r>
      <w:r w:rsidR="0002675D">
        <w:rPr>
          <w:lang w:val="en-GB"/>
        </w:rPr>
        <w:t>before</w:t>
      </w:r>
      <w:r>
        <w:rPr>
          <w:lang w:val="en-GB"/>
        </w:rPr>
        <w:t xml:space="preserve"> enrolment and 37.6% had a record in the six months </w:t>
      </w:r>
      <w:r w:rsidR="0002675D">
        <w:rPr>
          <w:lang w:val="en-GB"/>
        </w:rPr>
        <w:t>before</w:t>
      </w:r>
      <w:r w:rsidRPr="43EA0028">
        <w:rPr>
          <w:lang w:val="en-GB"/>
        </w:rPr>
        <w:t xml:space="preserve"> enrolment.</w:t>
      </w:r>
      <w:r>
        <w:rPr>
          <w:lang w:val="en-GB"/>
        </w:rPr>
        <w:t xml:space="preserve"> Following enrolment, </w:t>
      </w:r>
      <w:r w:rsidRPr="43EA0028">
        <w:rPr>
          <w:lang w:val="en-GB"/>
        </w:rPr>
        <w:t>these</w:t>
      </w:r>
      <w:r>
        <w:rPr>
          <w:lang w:val="en-GB"/>
        </w:rPr>
        <w:t xml:space="preserve"> proportions slightly reduced to 5</w:t>
      </w:r>
      <w:r w:rsidRPr="0052366D">
        <w:rPr>
          <w:lang w:val="en-GB"/>
        </w:rPr>
        <w:t>2.</w:t>
      </w:r>
      <w:r>
        <w:rPr>
          <w:lang w:val="en-GB"/>
        </w:rPr>
        <w:t>6% at year one, 50</w:t>
      </w:r>
      <w:r w:rsidRPr="0052366D">
        <w:rPr>
          <w:lang w:val="en-GB"/>
        </w:rPr>
        <w:t>.</w:t>
      </w:r>
      <w:r>
        <w:rPr>
          <w:lang w:val="en-GB"/>
        </w:rPr>
        <w:t xml:space="preserve">2% at year two and 48.6% at year three. </w:t>
      </w:r>
    </w:p>
    <w:p w14:paraId="77CE9C60" w14:textId="43A7DF3D" w:rsidR="00A26BD5" w:rsidRPr="008A32B8" w:rsidRDefault="00A26BD5" w:rsidP="00A26BD5">
      <w:pPr>
        <w:rPr>
          <w:lang w:val="en-GB"/>
        </w:rPr>
      </w:pPr>
      <w:r>
        <w:rPr>
          <w:lang w:val="en-GB"/>
        </w:rPr>
        <w:t xml:space="preserve">Comparator patients with type 2 diabetes were matched with HCH patients </w:t>
      </w:r>
      <w:r w:rsidR="003D5D2E">
        <w:rPr>
          <w:lang w:val="en-GB"/>
        </w:rPr>
        <w:t>with type 2 diabetes</w:t>
      </w:r>
      <w:r w:rsidR="00441870">
        <w:rPr>
          <w:lang w:val="en-GB"/>
        </w:rPr>
        <w:t xml:space="preserve"> </w:t>
      </w:r>
      <w:r>
        <w:rPr>
          <w:lang w:val="en-GB"/>
        </w:rPr>
        <w:t xml:space="preserve">on </w:t>
      </w:r>
      <w:r w:rsidR="00441870">
        <w:rPr>
          <w:lang w:val="en-GB"/>
        </w:rPr>
        <w:t>whether they had a claim for</w:t>
      </w:r>
      <w:r w:rsidR="00255E38">
        <w:rPr>
          <w:lang w:val="en-GB"/>
        </w:rPr>
        <w:t xml:space="preserve"> </w:t>
      </w:r>
      <w:r>
        <w:rPr>
          <w:lang w:val="en-GB"/>
        </w:rPr>
        <w:t>HbA1c tests in the pre-enrolment period</w:t>
      </w:r>
      <w:r w:rsidR="003D5D2E">
        <w:rPr>
          <w:lang w:val="en-GB"/>
        </w:rPr>
        <w:t>.</w:t>
      </w:r>
      <w:r>
        <w:rPr>
          <w:lang w:val="en-GB"/>
        </w:rPr>
        <w:t xml:space="preserve"> The p</w:t>
      </w:r>
      <w:r w:rsidRPr="28A5D326">
        <w:rPr>
          <w:lang w:val="en-GB"/>
        </w:rPr>
        <w:t>roportions</w:t>
      </w:r>
      <w:r w:rsidRPr="475865F8">
        <w:rPr>
          <w:lang w:val="en-GB"/>
        </w:rPr>
        <w:t xml:space="preserve"> of </w:t>
      </w:r>
      <w:r w:rsidR="000E16C4">
        <w:rPr>
          <w:lang w:val="en-GB"/>
        </w:rPr>
        <w:t>comparator</w:t>
      </w:r>
      <w:r w:rsidRPr="475865F8">
        <w:rPr>
          <w:lang w:val="en-GB"/>
        </w:rPr>
        <w:t xml:space="preserve"> patients </w:t>
      </w:r>
      <w:r>
        <w:rPr>
          <w:lang w:val="en-GB"/>
        </w:rPr>
        <w:t xml:space="preserve">with a claim for a HbA1c test was </w:t>
      </w:r>
      <w:r w:rsidRPr="475865F8">
        <w:rPr>
          <w:lang w:val="en-GB"/>
        </w:rPr>
        <w:t xml:space="preserve">lower </w:t>
      </w:r>
      <w:r w:rsidR="00441870">
        <w:rPr>
          <w:lang w:val="en-GB"/>
        </w:rPr>
        <w:t xml:space="preserve">than HCH patients </w:t>
      </w:r>
      <w:r>
        <w:rPr>
          <w:lang w:val="en-GB"/>
        </w:rPr>
        <w:t>at year one</w:t>
      </w:r>
      <w:r w:rsidRPr="475865F8">
        <w:rPr>
          <w:lang w:val="en-GB"/>
        </w:rPr>
        <w:t xml:space="preserve"> (</w:t>
      </w:r>
      <w:r>
        <w:rPr>
          <w:lang w:val="en-GB"/>
        </w:rPr>
        <w:t>48.2</w:t>
      </w:r>
      <w:r w:rsidRPr="475865F8">
        <w:rPr>
          <w:lang w:val="en-GB"/>
        </w:rPr>
        <w:t xml:space="preserve">%) and </w:t>
      </w:r>
      <w:r>
        <w:rPr>
          <w:lang w:val="en-GB"/>
        </w:rPr>
        <w:t>year two (45.2</w:t>
      </w:r>
      <w:r w:rsidRPr="475865F8">
        <w:rPr>
          <w:lang w:val="en-GB"/>
        </w:rPr>
        <w:t xml:space="preserve">%) following </w:t>
      </w:r>
      <w:r w:rsidRPr="4DB20BEF">
        <w:rPr>
          <w:lang w:val="en-GB"/>
        </w:rPr>
        <w:t>enrolment.</w:t>
      </w:r>
      <w:r>
        <w:rPr>
          <w:lang w:val="en-GB"/>
        </w:rPr>
        <w:t xml:space="preserve"> Claims for HbA1c tests </w:t>
      </w:r>
      <w:r w:rsidRPr="4410098E">
        <w:rPr>
          <w:lang w:val="en-GB"/>
        </w:rPr>
        <w:t xml:space="preserve">at </w:t>
      </w:r>
      <w:r>
        <w:rPr>
          <w:lang w:val="en-GB"/>
        </w:rPr>
        <w:t>six</w:t>
      </w:r>
      <w:r w:rsidRPr="4410098E">
        <w:rPr>
          <w:lang w:val="en-GB"/>
        </w:rPr>
        <w:t xml:space="preserve"> monthly intervals </w:t>
      </w:r>
      <w:r>
        <w:rPr>
          <w:lang w:val="en-GB"/>
        </w:rPr>
        <w:t xml:space="preserve">were similarly higher in HCH patients than </w:t>
      </w:r>
      <w:r w:rsidR="000E16C4">
        <w:rPr>
          <w:lang w:val="en-GB"/>
        </w:rPr>
        <w:t>comparator</w:t>
      </w:r>
      <w:r>
        <w:rPr>
          <w:lang w:val="en-GB"/>
        </w:rPr>
        <w:t xml:space="preserve"> patients for most of the follow-up (</w:t>
      </w:r>
      <w:r>
        <w:rPr>
          <w:lang w:val="en-GB"/>
        </w:rPr>
        <w:fldChar w:fldCharType="begin"/>
      </w:r>
      <w:r>
        <w:rPr>
          <w:lang w:val="en-GB"/>
        </w:rPr>
        <w:instrText xml:space="preserve"> REF _Ref96865443 \h </w:instrText>
      </w:r>
      <w:r>
        <w:rPr>
          <w:lang w:val="en-GB"/>
        </w:rPr>
      </w:r>
      <w:r>
        <w:rPr>
          <w:lang w:val="en-GB"/>
        </w:rPr>
        <w:fldChar w:fldCharType="separate"/>
      </w:r>
      <w:r w:rsidR="003C4BC2" w:rsidRPr="00F877C0">
        <w:t xml:space="preserve">Figure </w:t>
      </w:r>
      <w:r w:rsidR="003C4BC2">
        <w:rPr>
          <w:noProof/>
        </w:rPr>
        <w:t>62</w:t>
      </w:r>
      <w:r>
        <w:rPr>
          <w:lang w:val="en-GB"/>
        </w:rPr>
        <w:fldChar w:fldCharType="end"/>
      </w:r>
      <w:r>
        <w:rPr>
          <w:lang w:val="en-GB"/>
        </w:rPr>
        <w:t>).</w:t>
      </w:r>
    </w:p>
    <w:p w14:paraId="00515FFF" w14:textId="5F46695C" w:rsidR="00CB1E47" w:rsidRDefault="00A26BD5" w:rsidP="00E364DA">
      <w:pPr>
        <w:rPr>
          <w:lang w:val="en-GB"/>
        </w:rPr>
      </w:pPr>
      <w:r>
        <w:rPr>
          <w:lang w:val="en-GB"/>
        </w:rPr>
        <w:t>T</w:t>
      </w:r>
      <w:r w:rsidRPr="43EA0028">
        <w:rPr>
          <w:lang w:val="en-GB"/>
        </w:rPr>
        <w:t xml:space="preserve">he proportions of HCH and </w:t>
      </w:r>
      <w:r w:rsidR="000E16C4">
        <w:rPr>
          <w:lang w:val="en-GB"/>
        </w:rPr>
        <w:t>comparator</w:t>
      </w:r>
      <w:r w:rsidRPr="43EA0028">
        <w:rPr>
          <w:lang w:val="en-GB"/>
        </w:rPr>
        <w:t xml:space="preserve"> patients who had HbA1c tests recorded in practice extract data (</w:t>
      </w:r>
      <w:r w:rsidR="006524FD" w:rsidRPr="006524FD">
        <w:rPr>
          <w:color w:val="1D2455"/>
          <w:lang w:val="en-GB"/>
        </w:rPr>
        <w:fldChar w:fldCharType="begin"/>
      </w:r>
      <w:r w:rsidR="006524FD" w:rsidRPr="006524FD">
        <w:rPr>
          <w:color w:val="1D2455"/>
          <w:lang w:val="en-GB"/>
        </w:rPr>
        <w:instrText xml:space="preserve"> REF _Ref96723027 \h </w:instrText>
      </w:r>
      <w:r w:rsidR="006524FD">
        <w:rPr>
          <w:color w:val="1D2455"/>
          <w:lang w:val="en-GB"/>
        </w:rPr>
        <w:instrText xml:space="preserve"> \* MERGEFORMAT </w:instrText>
      </w:r>
      <w:r w:rsidR="006524FD" w:rsidRPr="006524FD">
        <w:rPr>
          <w:color w:val="1D2455"/>
          <w:lang w:val="en-GB"/>
        </w:rPr>
      </w:r>
      <w:r w:rsidR="006524FD" w:rsidRPr="006524FD">
        <w:rPr>
          <w:color w:val="1D2455"/>
          <w:lang w:val="en-GB"/>
        </w:rPr>
        <w:fldChar w:fldCharType="separate"/>
      </w:r>
      <w:r w:rsidR="003C4BC2" w:rsidRPr="003C4BC2">
        <w:rPr>
          <w:color w:val="1D2455"/>
        </w:rPr>
        <w:t xml:space="preserve">Figure </w:t>
      </w:r>
      <w:r w:rsidR="003C4BC2" w:rsidRPr="003C4BC2">
        <w:rPr>
          <w:noProof/>
          <w:color w:val="1D2455"/>
        </w:rPr>
        <w:t>32</w:t>
      </w:r>
      <w:r w:rsidR="006524FD" w:rsidRPr="006524FD">
        <w:rPr>
          <w:color w:val="1D2455"/>
          <w:lang w:val="en-GB"/>
        </w:rPr>
        <w:fldChar w:fldCharType="end"/>
      </w:r>
      <w:r w:rsidR="006524FD">
        <w:rPr>
          <w:lang w:val="en-GB"/>
        </w:rPr>
        <w:t xml:space="preserve">, p. </w:t>
      </w:r>
      <w:r w:rsidR="006524FD">
        <w:rPr>
          <w:lang w:val="en-GB"/>
        </w:rPr>
        <w:fldChar w:fldCharType="begin"/>
      </w:r>
      <w:r w:rsidR="006524FD">
        <w:rPr>
          <w:lang w:val="en-GB"/>
        </w:rPr>
        <w:instrText xml:space="preserve"> PAGEREF _Ref98505371 \h </w:instrText>
      </w:r>
      <w:r w:rsidR="006524FD">
        <w:rPr>
          <w:lang w:val="en-GB"/>
        </w:rPr>
      </w:r>
      <w:r w:rsidR="006524FD">
        <w:rPr>
          <w:lang w:val="en-GB"/>
        </w:rPr>
        <w:fldChar w:fldCharType="separate"/>
      </w:r>
      <w:r w:rsidR="003C4BC2">
        <w:rPr>
          <w:noProof/>
          <w:lang w:val="en-GB"/>
        </w:rPr>
        <w:t>181</w:t>
      </w:r>
      <w:r w:rsidR="006524FD">
        <w:rPr>
          <w:lang w:val="en-GB"/>
        </w:rPr>
        <w:fldChar w:fldCharType="end"/>
      </w:r>
      <w:r w:rsidRPr="43EA0028">
        <w:rPr>
          <w:lang w:val="en-GB"/>
        </w:rPr>
        <w:t>), were higher than the proportions who had MBS claims recorded for these tests</w:t>
      </w:r>
      <w:r w:rsidR="003D5D2E">
        <w:rPr>
          <w:lang w:val="en-GB"/>
        </w:rPr>
        <w:t xml:space="preserve"> </w:t>
      </w:r>
      <w:r w:rsidR="00441870">
        <w:rPr>
          <w:lang w:val="en-GB"/>
        </w:rPr>
        <w:t>(</w:t>
      </w:r>
      <w:r w:rsidR="008C6E53">
        <w:rPr>
          <w:lang w:val="en-GB"/>
        </w:rPr>
        <w:fldChar w:fldCharType="begin"/>
      </w:r>
      <w:r w:rsidR="008C6E53">
        <w:rPr>
          <w:lang w:val="en-GB"/>
        </w:rPr>
        <w:instrText xml:space="preserve"> REF _Ref96865443 \h </w:instrText>
      </w:r>
      <w:r w:rsidR="008C6E53">
        <w:rPr>
          <w:lang w:val="en-GB"/>
        </w:rPr>
      </w:r>
      <w:r w:rsidR="008C6E53">
        <w:rPr>
          <w:lang w:val="en-GB"/>
        </w:rPr>
        <w:fldChar w:fldCharType="separate"/>
      </w:r>
      <w:r w:rsidR="003C4BC2" w:rsidRPr="00F877C0">
        <w:t xml:space="preserve">Figure </w:t>
      </w:r>
      <w:r w:rsidR="003C4BC2">
        <w:rPr>
          <w:noProof/>
        </w:rPr>
        <w:t>62</w:t>
      </w:r>
      <w:r w:rsidR="008C6E53">
        <w:rPr>
          <w:lang w:val="en-GB"/>
        </w:rPr>
        <w:fldChar w:fldCharType="end"/>
      </w:r>
      <w:r w:rsidR="008C6E53">
        <w:rPr>
          <w:lang w:val="en-GB"/>
        </w:rPr>
        <w:t>)</w:t>
      </w:r>
      <w:r>
        <w:rPr>
          <w:lang w:val="en-GB"/>
        </w:rPr>
        <w:t>. This highlights that having a HbA1c done was under-ascertained in MBS claim records, potentially as a result of MBS pathology coning rules. Nevertheless, both data sources showed similar trends in HbA1c measurement in HCH and Comparator patients and suggested that HCH patients had greater levels of HbA1c monitoring in the first two years following enrolment.</w:t>
      </w:r>
      <w:r w:rsidR="00CB1E47">
        <w:rPr>
          <w:lang w:val="en-GB"/>
        </w:rPr>
        <w:br w:type="page"/>
      </w:r>
    </w:p>
    <w:p w14:paraId="033602B9" w14:textId="5344E3E7" w:rsidR="00A26BD5" w:rsidRDefault="00A26BD5" w:rsidP="00A26BD5">
      <w:pPr>
        <w:pStyle w:val="TableFigureheading"/>
      </w:pPr>
      <w:bookmarkStart w:id="379" w:name="_Ref96865443"/>
      <w:r w:rsidRPr="00F877C0">
        <w:lastRenderedPageBreak/>
        <w:t xml:space="preserve">Figure </w:t>
      </w:r>
      <w:r>
        <w:fldChar w:fldCharType="begin"/>
      </w:r>
      <w:r>
        <w:instrText>SEQ Figure \* ARABIC</w:instrText>
      </w:r>
      <w:r>
        <w:fldChar w:fldCharType="separate"/>
      </w:r>
      <w:r w:rsidR="003C4BC2">
        <w:rPr>
          <w:noProof/>
        </w:rPr>
        <w:t>62</w:t>
      </w:r>
      <w:r>
        <w:fldChar w:fldCharType="end"/>
      </w:r>
      <w:bookmarkEnd w:id="379"/>
      <w:r>
        <w:t xml:space="preserve">: Claims for HbA1c tests among HCH </w:t>
      </w:r>
      <w:r w:rsidR="003C39A0">
        <w:rPr>
          <w:bCs w:val="0"/>
        </w:rPr>
        <w:t xml:space="preserve">and comparator </w:t>
      </w:r>
      <w:r>
        <w:t xml:space="preserve">patients </w:t>
      </w:r>
      <w:r w:rsidR="00096327">
        <w:t>with type 2 diabetes</w:t>
      </w:r>
    </w:p>
    <w:p w14:paraId="4A132A5B" w14:textId="77777777" w:rsidR="00A26BD5" w:rsidRDefault="00A26BD5" w:rsidP="00A26BD5">
      <w:pPr>
        <w:jc w:val="center"/>
        <w:rPr>
          <w:highlight w:val="yellow"/>
        </w:rPr>
      </w:pPr>
      <w:r>
        <w:rPr>
          <w:noProof/>
        </w:rPr>
        <w:drawing>
          <wp:inline distT="0" distB="0" distL="0" distR="0" wp14:anchorId="588CB9F6" wp14:editId="477731D5">
            <wp:extent cx="5401026" cy="3780000"/>
            <wp:effectExtent l="0" t="0" r="0" b="0"/>
            <wp:docPr id="6279" name="Picture 627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01026" cy="3780000"/>
                    </a:xfrm>
                    <a:prstGeom prst="rect">
                      <a:avLst/>
                    </a:prstGeom>
                  </pic:spPr>
                </pic:pic>
              </a:graphicData>
            </a:graphic>
          </wp:inline>
        </w:drawing>
      </w:r>
    </w:p>
    <w:p w14:paraId="05787AED" w14:textId="7C585E90" w:rsidR="00A26BD5" w:rsidRPr="00A15F78" w:rsidRDefault="00E364DA" w:rsidP="00E364DA">
      <w:pPr>
        <w:pStyle w:val="Chartortablefootnote"/>
        <w:spacing w:after="0"/>
        <w:ind w:left="720" w:right="663"/>
        <w:rPr>
          <w:lang w:val="en-GB"/>
        </w:rPr>
      </w:pPr>
      <w:r>
        <w:rPr>
          <w:lang w:val="en-GB"/>
        </w:rPr>
        <w:t>Notes:</w:t>
      </w:r>
      <w:r w:rsidR="00A26BD5">
        <w:rPr>
          <w:lang w:val="en-GB"/>
        </w:rPr>
        <w:t xml:space="preserve"> People with length of follow-up shorter than respective yearly </w:t>
      </w:r>
      <w:r w:rsidR="00C1087E">
        <w:rPr>
          <w:lang w:val="en-GB"/>
        </w:rPr>
        <w:t>and six-monthly measurement period</w:t>
      </w:r>
      <w:r w:rsidR="00A26BD5">
        <w:rPr>
          <w:lang w:val="en-GB"/>
        </w:rPr>
        <w:t xml:space="preserve"> were excluded from analyses.</w:t>
      </w:r>
    </w:p>
    <w:p w14:paraId="6530A65B" w14:textId="166AEE91" w:rsidR="00E364DA" w:rsidRPr="00A15F78" w:rsidRDefault="00E364DA" w:rsidP="00A15F78">
      <w:pPr>
        <w:pStyle w:val="Chartortablefootnote"/>
        <w:ind w:left="720" w:right="662"/>
        <w:rPr>
          <w:lang w:val="en-GB"/>
        </w:rPr>
      </w:pPr>
      <w:r w:rsidRPr="009645D4">
        <w:rPr>
          <w:lang w:val="en-GB"/>
        </w:rPr>
        <w:t>Source: MBS</w:t>
      </w:r>
      <w:r>
        <w:rPr>
          <w:lang w:val="en-GB"/>
        </w:rPr>
        <w:t xml:space="preserve"> claims of items 66551 and 73840.</w:t>
      </w:r>
    </w:p>
    <w:p w14:paraId="7A10873F" w14:textId="77777777" w:rsidR="00A26BD5" w:rsidRDefault="00A26BD5" w:rsidP="00A26BD5">
      <w:pPr>
        <w:pStyle w:val="Heading3"/>
        <w:rPr>
          <w:lang w:val="en-GB"/>
        </w:rPr>
      </w:pPr>
      <w:r w:rsidRPr="00231115">
        <w:rPr>
          <w:lang w:val="en-GB"/>
        </w:rPr>
        <w:t>Use of imaging services</w:t>
      </w:r>
    </w:p>
    <w:p w14:paraId="67218215" w14:textId="77777777" w:rsidR="00A26BD5" w:rsidRDefault="00A26BD5" w:rsidP="00A26BD5">
      <w:pPr>
        <w:rPr>
          <w:lang w:val="en-GB"/>
        </w:rPr>
      </w:pPr>
      <w:r>
        <w:rPr>
          <w:lang w:val="en-GB"/>
        </w:rPr>
        <w:t>D</w:t>
      </w:r>
      <w:r w:rsidRPr="00970160">
        <w:rPr>
          <w:lang w:val="en-GB"/>
        </w:rPr>
        <w:t xml:space="preserve">iagnostic imaging </w:t>
      </w:r>
      <w:r>
        <w:rPr>
          <w:lang w:val="en-GB"/>
        </w:rPr>
        <w:t xml:space="preserve">services </w:t>
      </w:r>
      <w:r w:rsidRPr="00970160">
        <w:rPr>
          <w:lang w:val="en-GB"/>
        </w:rPr>
        <w:t xml:space="preserve">delivered outside the </w:t>
      </w:r>
      <w:r>
        <w:rPr>
          <w:lang w:val="en-GB"/>
        </w:rPr>
        <w:t>HCH practice</w:t>
      </w:r>
      <w:r w:rsidRPr="00970160">
        <w:rPr>
          <w:lang w:val="en-GB"/>
        </w:rPr>
        <w:t xml:space="preserve"> </w:t>
      </w:r>
      <w:r>
        <w:rPr>
          <w:lang w:val="en-GB"/>
        </w:rPr>
        <w:t xml:space="preserve">were billed as per usual via the MBS </w:t>
      </w:r>
      <w:r>
        <w:rPr>
          <w:rStyle w:val="markedcontent"/>
        </w:rPr>
        <w:t>along with episodic care unrelated to a patient’s chronic condition, whereas</w:t>
      </w:r>
      <w:r>
        <w:rPr>
          <w:lang w:val="en-GB"/>
        </w:rPr>
        <w:t xml:space="preserve"> d</w:t>
      </w:r>
      <w:r w:rsidRPr="00970160">
        <w:rPr>
          <w:lang w:val="en-GB"/>
        </w:rPr>
        <w:t>iagnostic services provided</w:t>
      </w:r>
      <w:r>
        <w:rPr>
          <w:lang w:val="en-GB"/>
        </w:rPr>
        <w:t xml:space="preserve"> in</w:t>
      </w:r>
      <w:r w:rsidRPr="00970160">
        <w:rPr>
          <w:lang w:val="en-GB"/>
        </w:rPr>
        <w:t>-house by a H</w:t>
      </w:r>
      <w:r>
        <w:rPr>
          <w:lang w:val="en-GB"/>
        </w:rPr>
        <w:t xml:space="preserve">CH practice </w:t>
      </w:r>
      <w:r w:rsidRPr="00970160">
        <w:rPr>
          <w:lang w:val="en-GB"/>
        </w:rPr>
        <w:t>as part of the</w:t>
      </w:r>
      <w:r>
        <w:rPr>
          <w:lang w:val="en-GB"/>
        </w:rPr>
        <w:t xml:space="preserve"> </w:t>
      </w:r>
      <w:r w:rsidRPr="00970160">
        <w:rPr>
          <w:lang w:val="en-GB"/>
        </w:rPr>
        <w:t>monitoring and management of an enrolled patient's chronic and complex conditions</w:t>
      </w:r>
      <w:r>
        <w:rPr>
          <w:lang w:val="en-GB"/>
        </w:rPr>
        <w:t xml:space="preserve"> were</w:t>
      </w:r>
      <w:r w:rsidRPr="00970160">
        <w:rPr>
          <w:lang w:val="en-GB"/>
        </w:rPr>
        <w:t xml:space="preserve"> funded through the bundled payment.</w:t>
      </w:r>
    </w:p>
    <w:p w14:paraId="0B8845C2" w14:textId="119E19CC" w:rsidR="00A26BD5" w:rsidRDefault="00A26BD5" w:rsidP="00A26BD5">
      <w:pPr>
        <w:rPr>
          <w:lang w:val="en-GB"/>
        </w:rPr>
      </w:pPr>
      <w:r>
        <w:rPr>
          <w:lang w:val="en-GB"/>
        </w:rPr>
        <w:t xml:space="preserve">Among HCH patients, two thirds of patients (67.0%) had one or more claim for any imaging services in the year pre-enrolment, with a mean of 2.6 claims (std 3.5). In periods following enrolment, there was little change in the proportions of HCH patients with one or more claims, </w:t>
      </w:r>
      <w:r w:rsidR="0010747B">
        <w:rPr>
          <w:lang w:val="en-GB"/>
        </w:rPr>
        <w:t>that is,</w:t>
      </w:r>
      <w:r>
        <w:rPr>
          <w:lang w:val="en-GB"/>
        </w:rPr>
        <w:t xml:space="preserve"> 66.3% at year one, 64.2% at year two, and 66.3% at year three (</w:t>
      </w:r>
      <w:r>
        <w:rPr>
          <w:lang w:val="en-GB"/>
        </w:rPr>
        <w:fldChar w:fldCharType="begin"/>
      </w:r>
      <w:r>
        <w:rPr>
          <w:lang w:val="en-GB"/>
        </w:rPr>
        <w:instrText xml:space="preserve"> REF _Ref96865518 \h </w:instrText>
      </w:r>
      <w:r>
        <w:rPr>
          <w:lang w:val="en-GB"/>
        </w:rPr>
      </w:r>
      <w:r>
        <w:rPr>
          <w:lang w:val="en-GB"/>
        </w:rPr>
        <w:fldChar w:fldCharType="separate"/>
      </w:r>
      <w:r w:rsidR="003C4BC2" w:rsidRPr="00F877C0">
        <w:t xml:space="preserve">Figure </w:t>
      </w:r>
      <w:r w:rsidR="003C4BC2">
        <w:rPr>
          <w:noProof/>
        </w:rPr>
        <w:t>63</w:t>
      </w:r>
      <w:r>
        <w:rPr>
          <w:lang w:val="en-GB"/>
        </w:rPr>
        <w:fldChar w:fldCharType="end"/>
      </w:r>
      <w:r>
        <w:rPr>
          <w:lang w:val="en-GB"/>
        </w:rPr>
        <w:t>).</w:t>
      </w:r>
    </w:p>
    <w:p w14:paraId="5D108474" w14:textId="754706EF" w:rsidR="00EB387D" w:rsidRDefault="00A26BD5" w:rsidP="00A26BD5">
      <w:pPr>
        <w:rPr>
          <w:lang w:val="en-GB"/>
        </w:rPr>
      </w:pPr>
      <w:r>
        <w:rPr>
          <w:lang w:val="en-GB"/>
        </w:rPr>
        <w:t xml:space="preserve">Comparator patients were matched with HCH patients on the number of claims for imaging services in the pre-enrolment period (mean 2.6, std 3.5). In periods following enrolment, there was a minor reduction in proportions having a claim </w:t>
      </w:r>
      <w:r w:rsidR="0010747B">
        <w:rPr>
          <w:lang w:val="en-GB"/>
        </w:rPr>
        <w:t>that is,</w:t>
      </w:r>
      <w:r>
        <w:rPr>
          <w:lang w:val="en-GB"/>
        </w:rPr>
        <w:t xml:space="preserve"> 66.7% pre-enrolment declining to 64.8% at year one, 64.0% at year two and 65.5% at year three (</w:t>
      </w:r>
      <w:r>
        <w:rPr>
          <w:lang w:val="en-GB"/>
        </w:rPr>
        <w:fldChar w:fldCharType="begin"/>
      </w:r>
      <w:r>
        <w:rPr>
          <w:lang w:val="en-GB"/>
        </w:rPr>
        <w:instrText xml:space="preserve"> REF _Ref96865518 \h </w:instrText>
      </w:r>
      <w:r>
        <w:rPr>
          <w:lang w:val="en-GB"/>
        </w:rPr>
      </w:r>
      <w:r>
        <w:rPr>
          <w:lang w:val="en-GB"/>
        </w:rPr>
        <w:fldChar w:fldCharType="separate"/>
      </w:r>
      <w:r w:rsidR="003C4BC2" w:rsidRPr="00F877C0">
        <w:t xml:space="preserve">Figure </w:t>
      </w:r>
      <w:r w:rsidR="003C4BC2">
        <w:rPr>
          <w:noProof/>
        </w:rPr>
        <w:t>63</w:t>
      </w:r>
      <w:r>
        <w:rPr>
          <w:lang w:val="en-GB"/>
        </w:rPr>
        <w:fldChar w:fldCharType="end"/>
      </w:r>
      <w:r>
        <w:rPr>
          <w:lang w:val="en-GB"/>
        </w:rPr>
        <w:t>).</w:t>
      </w:r>
    </w:p>
    <w:p w14:paraId="2C0831FA" w14:textId="0A2A32D9" w:rsidR="00CB1E47" w:rsidRDefault="00CB1E47">
      <w:pPr>
        <w:spacing w:after="160" w:line="259" w:lineRule="auto"/>
        <w:rPr>
          <w:lang w:val="en-GB"/>
        </w:rPr>
      </w:pPr>
      <w:r>
        <w:rPr>
          <w:lang w:val="en-GB"/>
        </w:rPr>
        <w:br w:type="page"/>
      </w:r>
    </w:p>
    <w:p w14:paraId="53DB1A29" w14:textId="23343C2D" w:rsidR="00A26BD5" w:rsidRDefault="00A26BD5" w:rsidP="00A26BD5">
      <w:pPr>
        <w:pStyle w:val="TableFigureheading"/>
      </w:pPr>
      <w:bookmarkStart w:id="380" w:name="_Ref96865518"/>
      <w:r w:rsidRPr="00F877C0">
        <w:lastRenderedPageBreak/>
        <w:t xml:space="preserve">Figure </w:t>
      </w:r>
      <w:r>
        <w:fldChar w:fldCharType="begin"/>
      </w:r>
      <w:r>
        <w:instrText>SEQ Figure \* ARABIC</w:instrText>
      </w:r>
      <w:r>
        <w:fldChar w:fldCharType="separate"/>
      </w:r>
      <w:r w:rsidR="003C4BC2">
        <w:rPr>
          <w:noProof/>
        </w:rPr>
        <w:t>63</w:t>
      </w:r>
      <w:r>
        <w:fldChar w:fldCharType="end"/>
      </w:r>
      <w:bookmarkEnd w:id="380"/>
      <w:r>
        <w:t xml:space="preserve">: Claims for imaging services among HCH </w:t>
      </w:r>
      <w:r w:rsidR="003C39A0">
        <w:rPr>
          <w:bCs w:val="0"/>
        </w:rPr>
        <w:t xml:space="preserve">and comparator </w:t>
      </w:r>
      <w:r>
        <w:t>patients</w:t>
      </w:r>
    </w:p>
    <w:p w14:paraId="17877C33" w14:textId="77777777" w:rsidR="00A26BD5" w:rsidRPr="00261D4F" w:rsidRDefault="00A26BD5" w:rsidP="00A26BD5">
      <w:pPr>
        <w:pStyle w:val="Chartortablefootnote"/>
        <w:ind w:right="-46"/>
        <w:rPr>
          <w:i w:val="0"/>
          <w:iCs/>
          <w:sz w:val="20"/>
          <w:szCs w:val="21"/>
          <w:lang w:val="en-GB"/>
        </w:rPr>
      </w:pPr>
      <w:r w:rsidRPr="00261D4F">
        <w:rPr>
          <w:i w:val="0"/>
          <w:iCs/>
          <w:noProof/>
          <w:sz w:val="20"/>
          <w:szCs w:val="21"/>
          <w:lang w:val="en-GB"/>
        </w:rPr>
        <w:drawing>
          <wp:inline distT="0" distB="0" distL="0" distR="0" wp14:anchorId="5331D2F4" wp14:editId="3976C650">
            <wp:extent cx="5487443" cy="3840480"/>
            <wp:effectExtent l="0" t="0" r="0" b="0"/>
            <wp:docPr id="40" name="Picture 4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hart, bar chart&#10;&#10;Description automatically generated"/>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500595" cy="3849685"/>
                    </a:xfrm>
                    <a:prstGeom prst="rect">
                      <a:avLst/>
                    </a:prstGeom>
                  </pic:spPr>
                </pic:pic>
              </a:graphicData>
            </a:graphic>
          </wp:inline>
        </w:drawing>
      </w:r>
    </w:p>
    <w:p w14:paraId="43B47A2F" w14:textId="784B68E3" w:rsidR="00A26BD5" w:rsidRPr="009645D4" w:rsidRDefault="00E364DA" w:rsidP="00E364DA">
      <w:pPr>
        <w:pStyle w:val="Chartortablefootnote"/>
        <w:spacing w:after="0"/>
        <w:ind w:left="720" w:right="663"/>
        <w:rPr>
          <w:lang w:val="en-GB"/>
        </w:rPr>
      </w:pPr>
      <w:r>
        <w:rPr>
          <w:lang w:val="en-GB"/>
        </w:rPr>
        <w:t>Notes:</w:t>
      </w:r>
      <w:r w:rsidR="00A26BD5">
        <w:rPr>
          <w:lang w:val="en-GB"/>
        </w:rPr>
        <w:t xml:space="preserve"> People with length of follow-up shorter than respective yearly anniversar</w:t>
      </w:r>
      <w:r w:rsidR="00C1087E">
        <w:rPr>
          <w:lang w:val="en-GB"/>
        </w:rPr>
        <w:t>y</w:t>
      </w:r>
      <w:r w:rsidR="00A26BD5">
        <w:rPr>
          <w:lang w:val="en-GB"/>
        </w:rPr>
        <w:t xml:space="preserve"> were excluded from analyses.</w:t>
      </w:r>
    </w:p>
    <w:p w14:paraId="0003B452" w14:textId="292957FA" w:rsidR="00E364DA" w:rsidRPr="009645D4" w:rsidRDefault="00E364DA" w:rsidP="00A26BD5">
      <w:pPr>
        <w:pStyle w:val="Chartortablefootnote"/>
        <w:ind w:left="720" w:right="662"/>
        <w:rPr>
          <w:lang w:val="en-GB"/>
        </w:rPr>
      </w:pPr>
      <w:r w:rsidRPr="009645D4">
        <w:rPr>
          <w:lang w:val="en-GB"/>
        </w:rPr>
        <w:t>Source: MBS</w:t>
      </w:r>
      <w:r>
        <w:rPr>
          <w:lang w:val="en-GB"/>
        </w:rPr>
        <w:t xml:space="preserve"> claims of items in Groups I01 to I05.</w:t>
      </w:r>
    </w:p>
    <w:p w14:paraId="4F753E4B" w14:textId="77777777" w:rsidR="00A26BD5" w:rsidRDefault="00A26BD5" w:rsidP="00A26BD5">
      <w:pPr>
        <w:pStyle w:val="Heading2"/>
        <w:rPr>
          <w:rFonts w:eastAsia="Muli"/>
        </w:rPr>
      </w:pPr>
      <w:bookmarkStart w:id="381" w:name="_Toc109996738"/>
      <w:r>
        <w:rPr>
          <w:rFonts w:eastAsia="Muli"/>
        </w:rPr>
        <w:t>Utilisation of medicines</w:t>
      </w:r>
      <w:bookmarkEnd w:id="381"/>
    </w:p>
    <w:p w14:paraId="5FE3B3B6" w14:textId="067E0F49" w:rsidR="00A26BD5" w:rsidRDefault="00A26BD5" w:rsidP="00A26BD5">
      <w:pPr>
        <w:rPr>
          <w:lang w:val="en-GB"/>
        </w:rPr>
      </w:pPr>
      <w:r>
        <w:rPr>
          <w:lang w:val="en-GB"/>
        </w:rPr>
        <w:t xml:space="preserve">People with chronic illness often take several </w:t>
      </w:r>
      <w:r w:rsidRPr="682DDD0A">
        <w:rPr>
          <w:lang w:val="en-GB"/>
        </w:rPr>
        <w:t xml:space="preserve">medicines </w:t>
      </w:r>
      <w:r>
        <w:rPr>
          <w:lang w:val="en-GB"/>
        </w:rPr>
        <w:t>to control symptoms and reduce the risk of complications. Utilisation of PBS listed medicines w</w:t>
      </w:r>
      <w:r w:rsidRPr="401AF66A">
        <w:rPr>
          <w:lang w:val="en-GB"/>
        </w:rPr>
        <w:t>as</w:t>
      </w:r>
      <w:r>
        <w:rPr>
          <w:lang w:val="en-GB"/>
        </w:rPr>
        <w:t xml:space="preserve"> examined for three years following enrolment</w:t>
      </w:r>
      <w:r w:rsidRPr="7D680D59">
        <w:rPr>
          <w:lang w:val="en-GB"/>
        </w:rPr>
        <w:t xml:space="preserve"> in the HCH program</w:t>
      </w:r>
      <w:r>
        <w:rPr>
          <w:lang w:val="en-GB"/>
        </w:rPr>
        <w:t xml:space="preserve">, using linked records of PBS </w:t>
      </w:r>
      <w:proofErr w:type="spellStart"/>
      <w:r>
        <w:rPr>
          <w:lang w:val="en-GB"/>
        </w:rPr>
        <w:t>dispensings</w:t>
      </w:r>
      <w:proofErr w:type="spellEnd"/>
      <w:r>
        <w:rPr>
          <w:lang w:val="en-GB"/>
        </w:rPr>
        <w:t>. All dispensed items recorded in the PBS data were included in the analyses except topical and non-therapeutic agents (</w:t>
      </w:r>
      <w:r w:rsidR="0010747B">
        <w:rPr>
          <w:lang w:val="en-GB"/>
        </w:rPr>
        <w:t>for example,</w:t>
      </w:r>
      <w:r>
        <w:rPr>
          <w:lang w:val="en-GB"/>
        </w:rPr>
        <w:t xml:space="preserve"> plaster and creams) and medicines in Anatomic Therapeutic Chemical (ATC) classification V (</w:t>
      </w:r>
      <w:r w:rsidR="0010747B">
        <w:rPr>
          <w:lang w:val="en-GB"/>
        </w:rPr>
        <w:t>for example,</w:t>
      </w:r>
      <w:r>
        <w:rPr>
          <w:lang w:val="en-GB"/>
        </w:rPr>
        <w:t xml:space="preserve"> allergen extracts). Evaluation measures included changes in the </w:t>
      </w:r>
      <w:r w:rsidRPr="00E4415A">
        <w:rPr>
          <w:lang w:val="en-GB"/>
        </w:rPr>
        <w:t xml:space="preserve">number of </w:t>
      </w:r>
      <w:proofErr w:type="spellStart"/>
      <w:r w:rsidRPr="00E4415A">
        <w:rPr>
          <w:lang w:val="en-GB"/>
        </w:rPr>
        <w:t>dispensings</w:t>
      </w:r>
      <w:proofErr w:type="spellEnd"/>
      <w:r w:rsidRPr="00E4415A">
        <w:rPr>
          <w:lang w:val="en-GB"/>
        </w:rPr>
        <w:t xml:space="preserve"> for </w:t>
      </w:r>
      <w:r>
        <w:rPr>
          <w:lang w:val="en-GB"/>
        </w:rPr>
        <w:t>medicines</w:t>
      </w:r>
      <w:r w:rsidRPr="00E4415A">
        <w:rPr>
          <w:lang w:val="en-GB"/>
        </w:rPr>
        <w:t>, numbers</w:t>
      </w:r>
      <w:r>
        <w:rPr>
          <w:lang w:val="en-GB"/>
        </w:rPr>
        <w:t xml:space="preserve"> of unique medicines, and concurrent </w:t>
      </w:r>
      <w:r w:rsidRPr="682DDD0A">
        <w:rPr>
          <w:lang w:val="en-GB"/>
        </w:rPr>
        <w:t xml:space="preserve">medicine </w:t>
      </w:r>
      <w:r>
        <w:rPr>
          <w:lang w:val="en-GB"/>
        </w:rPr>
        <w:t>use</w:t>
      </w:r>
      <w:r w:rsidRPr="682DDD0A">
        <w:rPr>
          <w:lang w:val="en-GB"/>
        </w:rPr>
        <w:t>.</w:t>
      </w:r>
      <w:r w:rsidRPr="00B74970">
        <w:rPr>
          <w:lang w:val="en-GB"/>
        </w:rPr>
        <w:t xml:space="preserve"> </w:t>
      </w:r>
    </w:p>
    <w:p w14:paraId="3D723F9C" w14:textId="520BD8A9" w:rsidR="00A26BD5" w:rsidRDefault="00A26BD5" w:rsidP="00A26BD5">
      <w:pPr>
        <w:rPr>
          <w:lang w:val="en-GB"/>
        </w:rPr>
      </w:pPr>
      <w:r>
        <w:rPr>
          <w:lang w:val="en-GB"/>
        </w:rPr>
        <w:t>Unique medicines were identified according to the fifth level of their ATC code, which represents the chemical substance of the medicine (</w:t>
      </w:r>
      <w:r w:rsidR="0010747B">
        <w:rPr>
          <w:lang w:val="en-GB"/>
        </w:rPr>
        <w:t>for example,</w:t>
      </w:r>
      <w:r>
        <w:rPr>
          <w:lang w:val="en-GB"/>
        </w:rPr>
        <w:t xml:space="preserve"> </w:t>
      </w:r>
      <w:r w:rsidRPr="006C0ADC">
        <w:rPr>
          <w:lang w:val="en-GB"/>
        </w:rPr>
        <w:t>A10AB04</w:t>
      </w:r>
      <w:r>
        <w:rPr>
          <w:lang w:val="en-GB"/>
        </w:rPr>
        <w:t xml:space="preserve"> is for insulin lispro, </w:t>
      </w:r>
      <w:r w:rsidRPr="006C0ADC">
        <w:rPr>
          <w:lang w:val="en-GB"/>
        </w:rPr>
        <w:t>A10AB06</w:t>
      </w:r>
      <w:r>
        <w:rPr>
          <w:lang w:val="en-GB"/>
        </w:rPr>
        <w:t xml:space="preserve"> is for insulin </w:t>
      </w:r>
      <w:proofErr w:type="spellStart"/>
      <w:r>
        <w:rPr>
          <w:lang w:val="en-GB"/>
        </w:rPr>
        <w:t>glulisine</w:t>
      </w:r>
      <w:proofErr w:type="spellEnd"/>
      <w:r w:rsidRPr="523B84EF">
        <w:rPr>
          <w:lang w:val="en-GB"/>
        </w:rPr>
        <w:t xml:space="preserve">). Each active component of </w:t>
      </w:r>
      <w:r>
        <w:rPr>
          <w:lang w:val="en-GB"/>
        </w:rPr>
        <w:t xml:space="preserve">combination </w:t>
      </w:r>
      <w:r w:rsidRPr="523B84EF">
        <w:rPr>
          <w:lang w:val="en-GB"/>
        </w:rPr>
        <w:t>therapy</w:t>
      </w:r>
      <w:r>
        <w:rPr>
          <w:lang w:val="en-GB"/>
        </w:rPr>
        <w:t xml:space="preserve"> was </w:t>
      </w:r>
      <w:r w:rsidRPr="523B84EF">
        <w:rPr>
          <w:lang w:val="en-GB"/>
        </w:rPr>
        <w:t xml:space="preserve">counted </w:t>
      </w:r>
      <w:r>
        <w:rPr>
          <w:lang w:val="en-GB"/>
        </w:rPr>
        <w:t>separately</w:t>
      </w:r>
      <w:r w:rsidRPr="523B84EF">
        <w:rPr>
          <w:lang w:val="en-GB"/>
        </w:rPr>
        <w:t>.</w:t>
      </w:r>
      <w:r w:rsidR="004307BA" w:rsidRPr="00377B87">
        <w:rPr>
          <w:rStyle w:val="FootnoteReference"/>
          <w:color w:val="408BCA"/>
          <w:lang w:val="en-GB"/>
        </w:rPr>
        <w:footnoteReference w:id="84"/>
      </w:r>
    </w:p>
    <w:p w14:paraId="62FF0C20" w14:textId="77777777" w:rsidR="00A26BD5" w:rsidRDefault="00A26BD5" w:rsidP="00A26BD5">
      <w:pPr>
        <w:pStyle w:val="Heading3"/>
        <w:rPr>
          <w:lang w:val="en-GB"/>
        </w:rPr>
      </w:pPr>
      <w:r>
        <w:rPr>
          <w:lang w:val="en-GB"/>
        </w:rPr>
        <w:lastRenderedPageBreak/>
        <w:t xml:space="preserve">Number of medicines </w:t>
      </w:r>
      <w:proofErr w:type="spellStart"/>
      <w:r>
        <w:rPr>
          <w:lang w:val="en-GB"/>
        </w:rPr>
        <w:t>dispensings</w:t>
      </w:r>
      <w:proofErr w:type="spellEnd"/>
      <w:r>
        <w:rPr>
          <w:lang w:val="en-GB"/>
        </w:rPr>
        <w:t xml:space="preserve"> </w:t>
      </w:r>
    </w:p>
    <w:p w14:paraId="6D811A43" w14:textId="4C469D00" w:rsidR="00A26BD5" w:rsidRDefault="00A26BD5" w:rsidP="00A26BD5">
      <w:pPr>
        <w:rPr>
          <w:lang w:val="en-GB"/>
        </w:rPr>
      </w:pPr>
      <w:r>
        <w:rPr>
          <w:lang w:val="en-GB"/>
        </w:rPr>
        <w:t xml:space="preserve">Almost all HCH patients (93.6%) filled a prescription in </w:t>
      </w:r>
      <w:r w:rsidRPr="682DDD0A">
        <w:rPr>
          <w:lang w:val="en-GB"/>
        </w:rPr>
        <w:t>the</w:t>
      </w:r>
      <w:r>
        <w:rPr>
          <w:lang w:val="en-GB"/>
        </w:rPr>
        <w:t xml:space="preserve"> year </w:t>
      </w:r>
      <w:r w:rsidR="0002675D">
        <w:rPr>
          <w:lang w:val="en-GB"/>
        </w:rPr>
        <w:t>before</w:t>
      </w:r>
      <w:r>
        <w:rPr>
          <w:lang w:val="en-GB"/>
        </w:rPr>
        <w:t xml:space="preserve"> enrolment, </w:t>
      </w:r>
      <w:r w:rsidRPr="00864B91">
        <w:rPr>
          <w:lang w:val="en-GB"/>
        </w:rPr>
        <w:t>with a mean of 52.9</w:t>
      </w:r>
      <w:r>
        <w:rPr>
          <w:lang w:val="en-GB"/>
        </w:rPr>
        <w:t xml:space="preserve"> </w:t>
      </w:r>
      <w:proofErr w:type="spellStart"/>
      <w:r>
        <w:rPr>
          <w:lang w:val="en-GB"/>
        </w:rPr>
        <w:t>dispensings</w:t>
      </w:r>
      <w:proofErr w:type="spellEnd"/>
      <w:r>
        <w:rPr>
          <w:lang w:val="en-GB"/>
        </w:rPr>
        <w:t xml:space="preserve"> (std 43.7, median 45). A third of patients (28.8%) had 30 to 59 </w:t>
      </w:r>
      <w:proofErr w:type="spellStart"/>
      <w:r>
        <w:rPr>
          <w:lang w:val="en-GB"/>
        </w:rPr>
        <w:t>dispensings</w:t>
      </w:r>
      <w:proofErr w:type="spellEnd"/>
      <w:r>
        <w:rPr>
          <w:lang w:val="en-GB"/>
        </w:rPr>
        <w:t>, 19% ha</w:t>
      </w:r>
      <w:r w:rsidRPr="406994A1">
        <w:rPr>
          <w:lang w:val="en-GB"/>
        </w:rPr>
        <w:t>d</w:t>
      </w:r>
      <w:r>
        <w:rPr>
          <w:lang w:val="en-GB"/>
        </w:rPr>
        <w:t xml:space="preserve"> 60 to 89 dispensing and 17.8% ha</w:t>
      </w:r>
      <w:r w:rsidRPr="406994A1">
        <w:rPr>
          <w:lang w:val="en-GB"/>
        </w:rPr>
        <w:t>d</w:t>
      </w:r>
      <w:r>
        <w:rPr>
          <w:lang w:val="en-GB"/>
        </w:rPr>
        <w:t xml:space="preserve"> 90 or more </w:t>
      </w:r>
      <w:r w:rsidRPr="682DDD0A">
        <w:rPr>
          <w:lang w:val="en-GB"/>
        </w:rPr>
        <w:t>dispensed</w:t>
      </w:r>
      <w:r>
        <w:rPr>
          <w:lang w:val="en-GB"/>
        </w:rPr>
        <w:t xml:space="preserve"> in 12 months. The mean numbers of </w:t>
      </w:r>
      <w:proofErr w:type="spellStart"/>
      <w:r>
        <w:rPr>
          <w:lang w:val="en-GB"/>
        </w:rPr>
        <w:t>dispensings</w:t>
      </w:r>
      <w:proofErr w:type="spellEnd"/>
      <w:r>
        <w:rPr>
          <w:lang w:val="en-GB"/>
        </w:rPr>
        <w:t xml:space="preserve"> remained almost unchanged in the first year following enrolment (53.9) and second year (53.4) </w:t>
      </w:r>
      <w:r w:rsidRPr="682DDD0A">
        <w:rPr>
          <w:lang w:val="en-GB"/>
        </w:rPr>
        <w:t>but</w:t>
      </w:r>
      <w:r>
        <w:rPr>
          <w:lang w:val="en-GB"/>
        </w:rPr>
        <w:t xml:space="preserve"> increased slightly in the third year (57.1) (</w:t>
      </w:r>
      <w:r>
        <w:rPr>
          <w:lang w:val="en-GB"/>
        </w:rPr>
        <w:fldChar w:fldCharType="begin"/>
      </w:r>
      <w:r>
        <w:rPr>
          <w:lang w:val="en-GB"/>
        </w:rPr>
        <w:instrText xml:space="preserve"> REF _Ref96870020 \h </w:instrText>
      </w:r>
      <w:r>
        <w:rPr>
          <w:lang w:val="en-GB"/>
        </w:rPr>
      </w:r>
      <w:r>
        <w:rPr>
          <w:lang w:val="en-GB"/>
        </w:rPr>
        <w:fldChar w:fldCharType="separate"/>
      </w:r>
      <w:r w:rsidR="003C4BC2" w:rsidRPr="00F877C0">
        <w:t xml:space="preserve">Figure </w:t>
      </w:r>
      <w:r w:rsidR="003C4BC2">
        <w:rPr>
          <w:noProof/>
        </w:rPr>
        <w:t>64</w:t>
      </w:r>
      <w:r>
        <w:rPr>
          <w:lang w:val="en-GB"/>
        </w:rPr>
        <w:fldChar w:fldCharType="end"/>
      </w:r>
      <w:r>
        <w:rPr>
          <w:lang w:val="en-GB"/>
        </w:rPr>
        <w:t>).</w:t>
      </w:r>
    </w:p>
    <w:p w14:paraId="0CD97919" w14:textId="78D38B83" w:rsidR="00A26BD5" w:rsidRDefault="00A26BD5" w:rsidP="00A26BD5">
      <w:pPr>
        <w:rPr>
          <w:lang w:val="en-GB"/>
        </w:rPr>
      </w:pPr>
      <w:r w:rsidRPr="523B84EF">
        <w:rPr>
          <w:lang w:val="en-GB"/>
        </w:rPr>
        <w:t xml:space="preserve">Comparator </w:t>
      </w:r>
      <w:r>
        <w:rPr>
          <w:lang w:val="en-GB"/>
        </w:rPr>
        <w:t xml:space="preserve">patients were not matched to HCH patients on the number of </w:t>
      </w:r>
      <w:proofErr w:type="spellStart"/>
      <w:r>
        <w:rPr>
          <w:lang w:val="en-GB"/>
        </w:rPr>
        <w:t>dispensings</w:t>
      </w:r>
      <w:proofErr w:type="spellEnd"/>
      <w:r>
        <w:rPr>
          <w:lang w:val="en-GB"/>
        </w:rPr>
        <w:t xml:space="preserve"> at baseline</w:t>
      </w:r>
      <w:r w:rsidRPr="26DAECD9">
        <w:rPr>
          <w:lang w:val="en-GB"/>
        </w:rPr>
        <w:t>,</w:t>
      </w:r>
      <w:r>
        <w:rPr>
          <w:lang w:val="en-GB"/>
        </w:rPr>
        <w:t xml:space="preserve"> but were matched on the number of unique medicines dispensed </w:t>
      </w:r>
      <w:r w:rsidR="0002675D">
        <w:rPr>
          <w:lang w:val="en-GB"/>
        </w:rPr>
        <w:t>before</w:t>
      </w:r>
      <w:r>
        <w:rPr>
          <w:lang w:val="en-GB"/>
        </w:rPr>
        <w:t xml:space="preserve"> enrolment. Comparator patients experienced similar pattern of prescription filling</w:t>
      </w:r>
      <w:r w:rsidRPr="682DDD0A">
        <w:rPr>
          <w:lang w:val="en-GB"/>
        </w:rPr>
        <w:t xml:space="preserve"> as the HCH patients.</w:t>
      </w:r>
      <w:r>
        <w:rPr>
          <w:lang w:val="en-GB"/>
        </w:rPr>
        <w:t xml:space="preserve"> On average, </w:t>
      </w:r>
      <w:r w:rsidR="000E16C4">
        <w:rPr>
          <w:lang w:val="en-GB"/>
        </w:rPr>
        <w:t>comparator</w:t>
      </w:r>
      <w:r>
        <w:rPr>
          <w:lang w:val="en-GB"/>
        </w:rPr>
        <w:t xml:space="preserve"> patients had 51.2 </w:t>
      </w:r>
      <w:proofErr w:type="spellStart"/>
      <w:r>
        <w:rPr>
          <w:lang w:val="en-GB"/>
        </w:rPr>
        <w:t>dispensings</w:t>
      </w:r>
      <w:proofErr w:type="spellEnd"/>
      <w:r>
        <w:rPr>
          <w:lang w:val="en-GB"/>
        </w:rPr>
        <w:t xml:space="preserve"> in </w:t>
      </w:r>
      <w:r w:rsidRPr="682DDD0A">
        <w:rPr>
          <w:lang w:val="en-GB"/>
        </w:rPr>
        <w:t>the</w:t>
      </w:r>
      <w:r>
        <w:rPr>
          <w:lang w:val="en-GB"/>
        </w:rPr>
        <w:t xml:space="preserve"> year </w:t>
      </w:r>
      <w:r w:rsidR="0002675D">
        <w:rPr>
          <w:lang w:val="en-GB"/>
        </w:rPr>
        <w:t>before</w:t>
      </w:r>
      <w:r>
        <w:rPr>
          <w:lang w:val="en-GB"/>
        </w:rPr>
        <w:t xml:space="preserve"> enrolment. There was little change in </w:t>
      </w:r>
      <w:r w:rsidRPr="26DAECD9">
        <w:rPr>
          <w:lang w:val="en-GB"/>
        </w:rPr>
        <w:t xml:space="preserve">mean </w:t>
      </w:r>
      <w:proofErr w:type="spellStart"/>
      <w:r w:rsidRPr="26DAECD9">
        <w:rPr>
          <w:lang w:val="en-GB"/>
        </w:rPr>
        <w:t>dispensings</w:t>
      </w:r>
      <w:proofErr w:type="spellEnd"/>
      <w:r w:rsidRPr="26DAECD9">
        <w:rPr>
          <w:lang w:val="en-GB"/>
        </w:rPr>
        <w:t xml:space="preserve"> </w:t>
      </w:r>
      <w:r>
        <w:rPr>
          <w:lang w:val="en-GB"/>
        </w:rPr>
        <w:t>the first year (51.6) and second year (50.</w:t>
      </w:r>
      <w:r w:rsidR="00C902E8">
        <w:rPr>
          <w:lang w:val="en-GB"/>
        </w:rPr>
        <w:t>9</w:t>
      </w:r>
      <w:r>
        <w:rPr>
          <w:lang w:val="en-GB"/>
        </w:rPr>
        <w:t>) before an increase in year three following enrolment (55.9) (</w:t>
      </w:r>
      <w:r>
        <w:rPr>
          <w:lang w:val="en-GB"/>
        </w:rPr>
        <w:fldChar w:fldCharType="begin"/>
      </w:r>
      <w:r>
        <w:rPr>
          <w:lang w:val="en-GB"/>
        </w:rPr>
        <w:instrText xml:space="preserve"> REF _Ref96870020 \h </w:instrText>
      </w:r>
      <w:r>
        <w:rPr>
          <w:lang w:val="en-GB"/>
        </w:rPr>
      </w:r>
      <w:r>
        <w:rPr>
          <w:lang w:val="en-GB"/>
        </w:rPr>
        <w:fldChar w:fldCharType="separate"/>
      </w:r>
      <w:r w:rsidR="003C4BC2" w:rsidRPr="00F877C0">
        <w:t xml:space="preserve">Figure </w:t>
      </w:r>
      <w:r w:rsidR="003C4BC2">
        <w:rPr>
          <w:noProof/>
        </w:rPr>
        <w:t>64</w:t>
      </w:r>
      <w:r>
        <w:rPr>
          <w:lang w:val="en-GB"/>
        </w:rPr>
        <w:fldChar w:fldCharType="end"/>
      </w:r>
      <w:r>
        <w:rPr>
          <w:lang w:val="en-GB"/>
        </w:rPr>
        <w:t>).</w:t>
      </w:r>
    </w:p>
    <w:p w14:paraId="0E077832" w14:textId="441E3418" w:rsidR="00A26BD5" w:rsidRDefault="00A26BD5" w:rsidP="00A26BD5">
      <w:pPr>
        <w:pStyle w:val="TableFigureheading"/>
      </w:pPr>
      <w:bookmarkStart w:id="382" w:name="_Ref96870020"/>
      <w:r w:rsidRPr="00F877C0">
        <w:t xml:space="preserve">Figure </w:t>
      </w:r>
      <w:r>
        <w:fldChar w:fldCharType="begin"/>
      </w:r>
      <w:r>
        <w:instrText>SEQ Figure \* ARABIC</w:instrText>
      </w:r>
      <w:r>
        <w:fldChar w:fldCharType="separate"/>
      </w:r>
      <w:r w:rsidR="003C4BC2">
        <w:rPr>
          <w:noProof/>
        </w:rPr>
        <w:t>64</w:t>
      </w:r>
      <w:r>
        <w:fldChar w:fldCharType="end"/>
      </w:r>
      <w:bookmarkEnd w:id="382"/>
      <w:r>
        <w:t xml:space="preserve">: Number of </w:t>
      </w:r>
      <w:r w:rsidR="00055DF7">
        <w:t xml:space="preserve">medicines </w:t>
      </w:r>
      <w:proofErr w:type="spellStart"/>
      <w:r w:rsidRPr="00CF609F">
        <w:t>dispensings</w:t>
      </w:r>
      <w:proofErr w:type="spellEnd"/>
      <w:r w:rsidRPr="00CF609F">
        <w:t xml:space="preserve"> </w:t>
      </w:r>
      <w:r>
        <w:t xml:space="preserve">among HCH </w:t>
      </w:r>
      <w:r w:rsidR="003C39A0">
        <w:rPr>
          <w:bCs w:val="0"/>
        </w:rPr>
        <w:t xml:space="preserve">and comparator </w:t>
      </w:r>
      <w:r>
        <w:t>patients</w:t>
      </w:r>
    </w:p>
    <w:p w14:paraId="4F9ACDE9" w14:textId="77777777" w:rsidR="00A26BD5" w:rsidRDefault="00A26BD5" w:rsidP="00A26BD5">
      <w:pPr>
        <w:pStyle w:val="TableFigureheading"/>
      </w:pPr>
      <w:r>
        <w:rPr>
          <w:noProof/>
        </w:rPr>
        <w:drawing>
          <wp:inline distT="0" distB="0" distL="0" distR="0" wp14:anchorId="1CA2C594" wp14:editId="2B82826D">
            <wp:extent cx="5731510" cy="4011295"/>
            <wp:effectExtent l="0" t="0" r="0" b="0"/>
            <wp:docPr id="6273" name="Picture 627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Chart, bar chart&#10;&#10;Description automatically generated"/>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731510" cy="4011295"/>
                    </a:xfrm>
                    <a:prstGeom prst="rect">
                      <a:avLst/>
                    </a:prstGeom>
                  </pic:spPr>
                </pic:pic>
              </a:graphicData>
            </a:graphic>
          </wp:inline>
        </w:drawing>
      </w:r>
    </w:p>
    <w:p w14:paraId="00DA42E2" w14:textId="06EDC87A" w:rsidR="00A26BD5" w:rsidRDefault="00E364DA" w:rsidP="00E364DA">
      <w:pPr>
        <w:pStyle w:val="Chartortablefootnote"/>
        <w:spacing w:after="0"/>
        <w:ind w:left="720" w:right="663"/>
        <w:rPr>
          <w:lang w:val="en-GB"/>
        </w:rPr>
      </w:pPr>
      <w:r>
        <w:rPr>
          <w:lang w:val="en-GB"/>
        </w:rPr>
        <w:t>Notes:</w:t>
      </w:r>
      <w:r w:rsidR="00A26BD5">
        <w:rPr>
          <w:lang w:val="en-GB"/>
        </w:rPr>
        <w:t xml:space="preserve"> People with length of follow-up shorter than respective yearly anniversar</w:t>
      </w:r>
      <w:r w:rsidR="00C902E8">
        <w:rPr>
          <w:lang w:val="en-GB"/>
        </w:rPr>
        <w:t>y</w:t>
      </w:r>
      <w:r w:rsidR="00A26BD5">
        <w:rPr>
          <w:lang w:val="en-GB"/>
        </w:rPr>
        <w:t xml:space="preserve"> were excluded from analyses.</w:t>
      </w:r>
    </w:p>
    <w:p w14:paraId="6B30AC56" w14:textId="773785B2" w:rsidR="00E364DA" w:rsidRDefault="00E364DA" w:rsidP="00A26BD5">
      <w:pPr>
        <w:pStyle w:val="Chartortablefootnote"/>
        <w:ind w:left="720" w:right="662"/>
        <w:rPr>
          <w:lang w:val="en-GB"/>
        </w:rPr>
      </w:pPr>
      <w:r w:rsidRPr="009645D4">
        <w:rPr>
          <w:lang w:val="en-GB"/>
        </w:rPr>
        <w:t xml:space="preserve">Source: </w:t>
      </w:r>
      <w:r>
        <w:rPr>
          <w:lang w:val="en-GB"/>
        </w:rPr>
        <w:t>P</w:t>
      </w:r>
      <w:r w:rsidRPr="009645D4">
        <w:rPr>
          <w:lang w:val="en-GB"/>
        </w:rPr>
        <w:t>BS</w:t>
      </w:r>
      <w:r>
        <w:rPr>
          <w:lang w:val="en-GB"/>
        </w:rPr>
        <w:t xml:space="preserve"> dispensing of all items except topical and non-therapeutic agents and medicines in ATC classification V.</w:t>
      </w:r>
    </w:p>
    <w:p w14:paraId="6FE5275C" w14:textId="77777777" w:rsidR="00A26BD5" w:rsidRDefault="00A26BD5" w:rsidP="00A26BD5">
      <w:pPr>
        <w:pStyle w:val="Heading3"/>
        <w:rPr>
          <w:lang w:val="en-GB"/>
        </w:rPr>
      </w:pPr>
      <w:r>
        <w:rPr>
          <w:lang w:val="en-GB"/>
        </w:rPr>
        <w:lastRenderedPageBreak/>
        <w:t xml:space="preserve">Number of unique medicines </w:t>
      </w:r>
    </w:p>
    <w:p w14:paraId="4523E916" w14:textId="42BDF19F" w:rsidR="00A26BD5" w:rsidRDefault="00A26BD5" w:rsidP="00A26BD5">
      <w:pPr>
        <w:rPr>
          <w:lang w:val="en-GB"/>
        </w:rPr>
      </w:pPr>
      <w:r>
        <w:rPr>
          <w:lang w:val="en-GB"/>
        </w:rPr>
        <w:t xml:space="preserve">The total number of unique medicines dispensed </w:t>
      </w:r>
      <w:r w:rsidR="00321D36">
        <w:rPr>
          <w:lang w:val="en-GB"/>
        </w:rPr>
        <w:t xml:space="preserve">in three months </w:t>
      </w:r>
      <w:r>
        <w:rPr>
          <w:lang w:val="en-GB"/>
        </w:rPr>
        <w:t xml:space="preserve">was counted as an estimate </w:t>
      </w:r>
      <w:r w:rsidR="00321D36">
        <w:rPr>
          <w:lang w:val="en-GB"/>
        </w:rPr>
        <w:t>for</w:t>
      </w:r>
      <w:r>
        <w:rPr>
          <w:lang w:val="en-GB"/>
        </w:rPr>
        <w:t xml:space="preserve"> the number</w:t>
      </w:r>
      <w:r w:rsidR="00321D36">
        <w:rPr>
          <w:lang w:val="en-GB"/>
        </w:rPr>
        <w:t xml:space="preserve"> of</w:t>
      </w:r>
      <w:r>
        <w:rPr>
          <w:lang w:val="en-GB"/>
        </w:rPr>
        <w:t xml:space="preserve"> concurrent treatments at a given point in time</w:t>
      </w:r>
      <w:r w:rsidR="00855319">
        <w:rPr>
          <w:lang w:val="en-GB"/>
        </w:rPr>
        <w:t>.</w:t>
      </w:r>
      <w:r w:rsidR="00855319" w:rsidRPr="00377B87">
        <w:rPr>
          <w:rStyle w:val="FootnoteReference"/>
          <w:color w:val="408BCA"/>
          <w:lang w:val="en-GB"/>
        </w:rPr>
        <w:footnoteReference w:id="85"/>
      </w:r>
      <w:r>
        <w:rPr>
          <w:lang w:val="en-GB"/>
        </w:rPr>
        <w:t xml:space="preserve"> Almost all HCH patients (89.</w:t>
      </w:r>
      <w:r w:rsidR="00321D36">
        <w:rPr>
          <w:lang w:val="en-GB"/>
        </w:rPr>
        <w:t>3</w:t>
      </w:r>
      <w:r>
        <w:rPr>
          <w:lang w:val="en-GB"/>
        </w:rPr>
        <w:t xml:space="preserve">%) were </w:t>
      </w:r>
      <w:r w:rsidRPr="523B84EF">
        <w:rPr>
          <w:lang w:val="en-GB"/>
        </w:rPr>
        <w:t>dispensed</w:t>
      </w:r>
      <w:r>
        <w:rPr>
          <w:lang w:val="en-GB"/>
        </w:rPr>
        <w:t xml:space="preserve"> at least one medicine in </w:t>
      </w:r>
      <w:r w:rsidRPr="523B84EF">
        <w:rPr>
          <w:lang w:val="en-GB"/>
        </w:rPr>
        <w:t xml:space="preserve">the </w:t>
      </w:r>
      <w:r>
        <w:rPr>
          <w:lang w:val="en-GB"/>
        </w:rPr>
        <w:t xml:space="preserve">three months </w:t>
      </w:r>
      <w:r w:rsidR="0002675D">
        <w:rPr>
          <w:lang w:val="en-GB"/>
        </w:rPr>
        <w:t>before</w:t>
      </w:r>
      <w:r>
        <w:rPr>
          <w:lang w:val="en-GB"/>
        </w:rPr>
        <w:t xml:space="preserve"> enrolment, </w:t>
      </w:r>
      <w:r w:rsidRPr="005F196A">
        <w:rPr>
          <w:lang w:val="en-GB"/>
        </w:rPr>
        <w:t xml:space="preserve">with a mean </w:t>
      </w:r>
      <w:r>
        <w:rPr>
          <w:lang w:val="en-GB"/>
        </w:rPr>
        <w:t xml:space="preserve">number </w:t>
      </w:r>
      <w:r w:rsidRPr="005F196A">
        <w:rPr>
          <w:lang w:val="en-GB"/>
        </w:rPr>
        <w:t>of 5.</w:t>
      </w:r>
      <w:r>
        <w:rPr>
          <w:lang w:val="en-GB"/>
        </w:rPr>
        <w:t>9</w:t>
      </w:r>
      <w:r w:rsidRPr="005F196A">
        <w:rPr>
          <w:lang w:val="en-GB"/>
        </w:rPr>
        <w:t xml:space="preserve"> (std 4.4, median 5</w:t>
      </w:r>
      <w:r>
        <w:rPr>
          <w:lang w:val="en-GB"/>
        </w:rPr>
        <w:t>) unique medicines per patient. More than half of HCH patients (5</w:t>
      </w:r>
      <w:r w:rsidR="00321D36">
        <w:rPr>
          <w:lang w:val="en-GB"/>
        </w:rPr>
        <w:t>6.3</w:t>
      </w:r>
      <w:r>
        <w:rPr>
          <w:lang w:val="en-GB"/>
        </w:rPr>
        <w:t>%) had dispensed five or more unique medicines (polypharmacy)</w:t>
      </w:r>
      <w:r w:rsidRPr="2351A340">
        <w:rPr>
          <w:lang w:val="en-GB"/>
        </w:rPr>
        <w:t>,</w:t>
      </w:r>
      <w:r>
        <w:rPr>
          <w:lang w:val="en-GB"/>
        </w:rPr>
        <w:t xml:space="preserve"> while one in five (18.</w:t>
      </w:r>
      <w:r w:rsidR="00321D36">
        <w:rPr>
          <w:lang w:val="en-GB"/>
        </w:rPr>
        <w:t>4</w:t>
      </w:r>
      <w:r>
        <w:rPr>
          <w:lang w:val="en-GB"/>
        </w:rPr>
        <w:t xml:space="preserve">%) had dispensed ten or more unique medicines (hyper-polypharmacy). This remained stable during </w:t>
      </w:r>
      <w:r w:rsidRPr="523B84EF">
        <w:rPr>
          <w:lang w:val="en-GB"/>
        </w:rPr>
        <w:t>the post-</w:t>
      </w:r>
      <w:r>
        <w:rPr>
          <w:lang w:val="en-GB"/>
        </w:rPr>
        <w:t>enrolment</w:t>
      </w:r>
      <w:r w:rsidRPr="523B84EF">
        <w:rPr>
          <w:lang w:val="en-GB"/>
        </w:rPr>
        <w:t xml:space="preserve"> period</w:t>
      </w:r>
      <w:r>
        <w:rPr>
          <w:lang w:val="en-GB"/>
        </w:rPr>
        <w:t>, with a mean number of 5.9 medicines at 12 months, 5.8 at 24 months, and 6.0 at 36 months following enrolment.</w:t>
      </w:r>
    </w:p>
    <w:p w14:paraId="0DB1C3CB" w14:textId="5B802D00" w:rsidR="00A26BD5" w:rsidRPr="0035251A" w:rsidRDefault="00A26BD5" w:rsidP="00A26BD5">
      <w:pPr>
        <w:rPr>
          <w:lang w:val="en-GB"/>
        </w:rPr>
      </w:pPr>
      <w:r w:rsidRPr="523B84EF">
        <w:rPr>
          <w:lang w:val="en-GB"/>
        </w:rPr>
        <w:t xml:space="preserve">The </w:t>
      </w:r>
      <w:r w:rsidR="000E16C4">
        <w:rPr>
          <w:lang w:val="en-GB"/>
        </w:rPr>
        <w:t>comparator</w:t>
      </w:r>
      <w:r w:rsidRPr="523B84EF">
        <w:rPr>
          <w:lang w:val="en-GB"/>
        </w:rPr>
        <w:t xml:space="preserve"> group</w:t>
      </w:r>
      <w:r>
        <w:rPr>
          <w:lang w:val="en-GB"/>
        </w:rPr>
        <w:t xml:space="preserve"> was matched with HCH patients on the number of unique medicines dispensed in the three months, the six and 12 months </w:t>
      </w:r>
      <w:r w:rsidR="0002675D">
        <w:rPr>
          <w:lang w:val="en-GB"/>
        </w:rPr>
        <w:t>before</w:t>
      </w:r>
      <w:r>
        <w:rPr>
          <w:lang w:val="en-GB"/>
        </w:rPr>
        <w:t xml:space="preserve"> enrolment (to account for seasonal fluctuations in medicine dispensing). Comparator patients experienced similar patterns of the number of unique medicines dispensed</w:t>
      </w:r>
      <w:r w:rsidRPr="682DDD0A">
        <w:rPr>
          <w:lang w:val="en-GB"/>
        </w:rPr>
        <w:t xml:space="preserve"> as the HCH patients</w:t>
      </w:r>
      <w:r>
        <w:rPr>
          <w:lang w:val="en-GB"/>
        </w:rPr>
        <w:t>, with a mean number of 5.7</w:t>
      </w:r>
      <w:r w:rsidR="00105B54">
        <w:rPr>
          <w:lang w:val="en-GB"/>
        </w:rPr>
        <w:t xml:space="preserve"> </w:t>
      </w:r>
      <w:r>
        <w:rPr>
          <w:lang w:val="en-GB"/>
        </w:rPr>
        <w:t xml:space="preserve">unique medicines in the three months </w:t>
      </w:r>
      <w:r w:rsidR="0002675D">
        <w:rPr>
          <w:lang w:val="en-GB"/>
        </w:rPr>
        <w:t>before</w:t>
      </w:r>
      <w:r>
        <w:rPr>
          <w:lang w:val="en-GB"/>
        </w:rPr>
        <w:t xml:space="preserve"> enrolment, which remained relatively stable during the follow-up period (5.6, 5.4 and 5.9 </w:t>
      </w:r>
      <w:r w:rsidRPr="00FF1C69">
        <w:rPr>
          <w:lang w:val="en-GB"/>
        </w:rPr>
        <w:t xml:space="preserve">at </w:t>
      </w:r>
      <w:r w:rsidRPr="00ED0F01">
        <w:rPr>
          <w:noProof/>
          <w:szCs w:val="21"/>
          <w:lang w:val="en-GB"/>
        </w:rPr>
        <w:t>12, 24 and 36 months respectively</w:t>
      </w:r>
      <w:r>
        <w:rPr>
          <w:lang w:val="en-GB"/>
        </w:rPr>
        <w:t xml:space="preserve">). A </w:t>
      </w:r>
      <w:r w:rsidRPr="3980A3F7">
        <w:rPr>
          <w:lang w:val="en-GB"/>
        </w:rPr>
        <w:t xml:space="preserve">slightly lower proportions of </w:t>
      </w:r>
      <w:r w:rsidR="000E16C4">
        <w:rPr>
          <w:lang w:val="en-GB"/>
        </w:rPr>
        <w:t>comparator</w:t>
      </w:r>
      <w:r>
        <w:rPr>
          <w:lang w:val="en-GB"/>
        </w:rPr>
        <w:t xml:space="preserve"> patients than HCH </w:t>
      </w:r>
      <w:r w:rsidRPr="523B84EF">
        <w:rPr>
          <w:lang w:val="en-GB"/>
        </w:rPr>
        <w:t>patients experienced</w:t>
      </w:r>
      <w:r>
        <w:rPr>
          <w:lang w:val="en-GB"/>
        </w:rPr>
        <w:t xml:space="preserve"> polypharmacy and hyper-polypharmacy in the follow-up period (</w:t>
      </w:r>
      <w:r>
        <w:rPr>
          <w:lang w:val="en-GB"/>
        </w:rPr>
        <w:fldChar w:fldCharType="begin"/>
      </w:r>
      <w:r>
        <w:rPr>
          <w:lang w:val="en-GB"/>
        </w:rPr>
        <w:instrText xml:space="preserve"> REF _Ref96869757 \h </w:instrText>
      </w:r>
      <w:r>
        <w:rPr>
          <w:lang w:val="en-GB"/>
        </w:rPr>
      </w:r>
      <w:r>
        <w:rPr>
          <w:lang w:val="en-GB"/>
        </w:rPr>
        <w:fldChar w:fldCharType="separate"/>
      </w:r>
      <w:r w:rsidR="003C4BC2" w:rsidRPr="00F877C0">
        <w:t xml:space="preserve">Figure </w:t>
      </w:r>
      <w:r w:rsidR="003C4BC2">
        <w:rPr>
          <w:noProof/>
        </w:rPr>
        <w:t>65</w:t>
      </w:r>
      <w:r>
        <w:rPr>
          <w:lang w:val="en-GB"/>
        </w:rPr>
        <w:fldChar w:fldCharType="end"/>
      </w:r>
      <w:r>
        <w:rPr>
          <w:lang w:val="en-GB"/>
        </w:rPr>
        <w:t>).</w:t>
      </w:r>
    </w:p>
    <w:p w14:paraId="77B0EB34" w14:textId="75EBC147" w:rsidR="00A26BD5" w:rsidRDefault="00A26BD5" w:rsidP="00A26BD5">
      <w:pPr>
        <w:pStyle w:val="TableFigureheading"/>
      </w:pPr>
      <w:bookmarkStart w:id="383" w:name="_Ref96869757"/>
      <w:r w:rsidRPr="00F877C0">
        <w:t xml:space="preserve">Figure </w:t>
      </w:r>
      <w:r>
        <w:fldChar w:fldCharType="begin"/>
      </w:r>
      <w:r>
        <w:instrText>SEQ Figure \* ARABIC</w:instrText>
      </w:r>
      <w:r>
        <w:fldChar w:fldCharType="separate"/>
      </w:r>
      <w:r w:rsidR="003C4BC2">
        <w:rPr>
          <w:noProof/>
        </w:rPr>
        <w:t>65</w:t>
      </w:r>
      <w:r>
        <w:fldChar w:fldCharType="end"/>
      </w:r>
      <w:bookmarkEnd w:id="383"/>
      <w:r>
        <w:t xml:space="preserve">: Number of unique medicines among HCH </w:t>
      </w:r>
      <w:r w:rsidR="003C39A0">
        <w:rPr>
          <w:bCs w:val="0"/>
        </w:rPr>
        <w:t xml:space="preserve">and comparator </w:t>
      </w:r>
      <w:r>
        <w:t>patients</w:t>
      </w:r>
    </w:p>
    <w:p w14:paraId="51F50655" w14:textId="77777777" w:rsidR="00A26BD5" w:rsidRDefault="00EE37A4" w:rsidP="00EE37A4">
      <w:pPr>
        <w:pStyle w:val="TableFigureheading"/>
      </w:pPr>
      <w:r>
        <w:rPr>
          <w:noProof/>
        </w:rPr>
        <w:drawing>
          <wp:inline distT="0" distB="0" distL="0" distR="0" wp14:anchorId="4000CC83" wp14:editId="53CFD55C">
            <wp:extent cx="5036400" cy="3524400"/>
            <wp:effectExtent l="0" t="0" r="0" b="0"/>
            <wp:docPr id="35" name="Picture 35"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1" name="Picture 6301" descr="Chart, bar chart&#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036400" cy="3524400"/>
                    </a:xfrm>
                    <a:prstGeom prst="rect">
                      <a:avLst/>
                    </a:prstGeom>
                  </pic:spPr>
                </pic:pic>
              </a:graphicData>
            </a:graphic>
          </wp:inline>
        </w:drawing>
      </w:r>
    </w:p>
    <w:p w14:paraId="74A626C6" w14:textId="20E96DE4" w:rsidR="00A26BD5" w:rsidRDefault="005C25A4" w:rsidP="005C25A4">
      <w:pPr>
        <w:pStyle w:val="Chartortablefootnote"/>
        <w:spacing w:after="0"/>
        <w:ind w:left="720" w:right="663"/>
        <w:rPr>
          <w:lang w:val="en-GB"/>
        </w:rPr>
      </w:pPr>
      <w:r>
        <w:rPr>
          <w:lang w:val="en-GB"/>
        </w:rPr>
        <w:t>Notes:</w:t>
      </w:r>
      <w:r w:rsidR="00A26BD5">
        <w:rPr>
          <w:lang w:val="en-GB"/>
        </w:rPr>
        <w:t xml:space="preserve"> People with length of follow-up shorter than respective yearly anniversar</w:t>
      </w:r>
      <w:r w:rsidR="004F24D1">
        <w:rPr>
          <w:lang w:val="en-GB"/>
        </w:rPr>
        <w:t>y</w:t>
      </w:r>
      <w:r w:rsidR="00A26BD5">
        <w:rPr>
          <w:lang w:val="en-GB"/>
        </w:rPr>
        <w:t xml:space="preserve"> were excluded from analyses.</w:t>
      </w:r>
    </w:p>
    <w:p w14:paraId="7998EC50" w14:textId="50CE2018" w:rsidR="003874B9" w:rsidRDefault="005C25A4" w:rsidP="005C25A4">
      <w:pPr>
        <w:pStyle w:val="Chartortablefootnote"/>
        <w:ind w:left="720" w:right="662"/>
        <w:rPr>
          <w:rFonts w:ascii="Roboto Slab" w:eastAsia="Muli" w:hAnsi="Roboto Slab"/>
          <w:color w:val="408BCA"/>
          <w:sz w:val="32"/>
          <w:szCs w:val="36"/>
          <w:lang w:eastAsia="en-AU"/>
        </w:rPr>
      </w:pPr>
      <w:r w:rsidRPr="009645D4">
        <w:rPr>
          <w:lang w:val="en-GB"/>
        </w:rPr>
        <w:t xml:space="preserve">Source: </w:t>
      </w:r>
      <w:r>
        <w:rPr>
          <w:lang w:val="en-GB"/>
        </w:rPr>
        <w:t>P</w:t>
      </w:r>
      <w:r w:rsidRPr="009645D4">
        <w:rPr>
          <w:lang w:val="en-GB"/>
        </w:rPr>
        <w:t>BS</w:t>
      </w:r>
      <w:r>
        <w:rPr>
          <w:lang w:val="en-GB"/>
        </w:rPr>
        <w:t xml:space="preserve"> dispensing of all items except topical and non-therapeutic agents and medicines in ATC classification V.</w:t>
      </w:r>
      <w:r w:rsidR="003874B9">
        <w:rPr>
          <w:rFonts w:eastAsia="Muli"/>
        </w:rPr>
        <w:br w:type="page"/>
      </w:r>
    </w:p>
    <w:p w14:paraId="66690107" w14:textId="361FB614" w:rsidR="00A26BD5" w:rsidRDefault="00FA3A44" w:rsidP="00A26BD5">
      <w:pPr>
        <w:pStyle w:val="Heading2"/>
        <w:rPr>
          <w:rFonts w:eastAsia="Muli"/>
        </w:rPr>
      </w:pPr>
      <w:bookmarkStart w:id="384" w:name="_Ref103766031"/>
      <w:bookmarkStart w:id="385" w:name="_Ref103766038"/>
      <w:bookmarkStart w:id="386" w:name="_Toc109996739"/>
      <w:r>
        <w:rPr>
          <w:rFonts w:eastAsia="Muli"/>
        </w:rPr>
        <w:lastRenderedPageBreak/>
        <w:t xml:space="preserve">Utilisation of </w:t>
      </w:r>
      <w:r w:rsidR="00A26BD5">
        <w:rPr>
          <w:rFonts w:eastAsia="Muli"/>
        </w:rPr>
        <w:t>hospital</w:t>
      </w:r>
      <w:r>
        <w:rPr>
          <w:rFonts w:eastAsia="Muli"/>
        </w:rPr>
        <w:t xml:space="preserve"> services</w:t>
      </w:r>
      <w:bookmarkEnd w:id="384"/>
      <w:bookmarkEnd w:id="385"/>
      <w:bookmarkEnd w:id="386"/>
    </w:p>
    <w:p w14:paraId="2C404731" w14:textId="1EE91FDD" w:rsidR="00E77E7C" w:rsidRDefault="00865314" w:rsidP="00E77E7C">
      <w:r>
        <w:rPr>
          <w:lang w:val="en-GB"/>
        </w:rPr>
        <w:t>Admitted patient data and non-admitted patient</w:t>
      </w:r>
      <w:r w:rsidR="00A26BD5" w:rsidRPr="00FC26DC">
        <w:rPr>
          <w:lang w:val="en-GB"/>
        </w:rPr>
        <w:t xml:space="preserve"> data were </w:t>
      </w:r>
      <w:r w:rsidR="00A26BD5">
        <w:rPr>
          <w:lang w:val="en-GB"/>
        </w:rPr>
        <w:t xml:space="preserve">available for patients </w:t>
      </w:r>
      <w:r w:rsidR="00A26BD5" w:rsidRPr="00FC26DC">
        <w:rPr>
          <w:lang w:val="en-GB"/>
        </w:rPr>
        <w:t>in five states: N</w:t>
      </w:r>
      <w:r w:rsidR="00A26BD5">
        <w:rPr>
          <w:lang w:val="en-GB"/>
        </w:rPr>
        <w:t xml:space="preserve">ew </w:t>
      </w:r>
      <w:r w:rsidR="00A26BD5" w:rsidRPr="00FC26DC">
        <w:rPr>
          <w:lang w:val="en-GB"/>
        </w:rPr>
        <w:t>S</w:t>
      </w:r>
      <w:r w:rsidR="00A26BD5">
        <w:rPr>
          <w:lang w:val="en-GB"/>
        </w:rPr>
        <w:t xml:space="preserve">outh </w:t>
      </w:r>
      <w:r w:rsidR="00A26BD5" w:rsidRPr="00FC26DC">
        <w:rPr>
          <w:lang w:val="en-GB"/>
        </w:rPr>
        <w:t>W</w:t>
      </w:r>
      <w:r w:rsidR="00A26BD5">
        <w:rPr>
          <w:lang w:val="en-GB"/>
        </w:rPr>
        <w:t>ales</w:t>
      </w:r>
      <w:r w:rsidR="00A26BD5" w:rsidRPr="00FC26DC">
        <w:rPr>
          <w:lang w:val="en-GB"/>
        </w:rPr>
        <w:t>, Victoria, Queensland, South Australia and Tasmania</w:t>
      </w:r>
      <w:r w:rsidR="00A26BD5">
        <w:rPr>
          <w:lang w:val="en-GB"/>
        </w:rPr>
        <w:t>. Hospital admission outcomes included the number of admissions to hospitals</w:t>
      </w:r>
      <w:r>
        <w:rPr>
          <w:lang w:val="en-GB"/>
        </w:rPr>
        <w:t xml:space="preserve"> (all-cause, emergency and potentially preventable),</w:t>
      </w:r>
      <w:r w:rsidR="00A26BD5">
        <w:rPr>
          <w:lang w:val="en-GB"/>
        </w:rPr>
        <w:t xml:space="preserve"> total number of bed-days, and </w:t>
      </w:r>
      <w:r w:rsidR="00A26BD5" w:rsidRPr="00FC26DC">
        <w:rPr>
          <w:lang w:val="en-GB"/>
        </w:rPr>
        <w:t>National Weighted Activity Unit (NWAU</w:t>
      </w:r>
      <w:r w:rsidR="00A26BD5">
        <w:rPr>
          <w:lang w:val="en-GB"/>
        </w:rPr>
        <w:t xml:space="preserve"> – a proxy for weighted intensity of hospital stay). </w:t>
      </w:r>
      <w:r w:rsidR="00A26BD5" w:rsidRPr="00F927FB">
        <w:rPr>
          <w:lang w:val="en-GB"/>
        </w:rPr>
        <w:t>Preventable hospitalisation was derived according to</w:t>
      </w:r>
      <w:r w:rsidR="00A26BD5" w:rsidRPr="48402120">
        <w:rPr>
          <w:lang w:val="en-GB"/>
        </w:rPr>
        <w:t xml:space="preserve"> the definition used in</w:t>
      </w:r>
      <w:r w:rsidR="00A26BD5" w:rsidRPr="00F927FB">
        <w:rPr>
          <w:lang w:val="en-GB"/>
        </w:rPr>
        <w:t xml:space="preserve"> the </w:t>
      </w:r>
      <w:r w:rsidR="00A26BD5">
        <w:rPr>
          <w:lang w:val="en-GB"/>
        </w:rPr>
        <w:t xml:space="preserve">2019 </w:t>
      </w:r>
      <w:r w:rsidR="00A26BD5" w:rsidRPr="00F927FB">
        <w:rPr>
          <w:lang w:val="en-GB"/>
        </w:rPr>
        <w:t>National Healthcare Agreement</w:t>
      </w:r>
      <w:r w:rsidR="00A26BD5">
        <w:rPr>
          <w:lang w:val="en-GB"/>
        </w:rPr>
        <w:t>.</w:t>
      </w:r>
      <w:r w:rsidR="00672FBE" w:rsidRPr="00AE43A8">
        <w:rPr>
          <w:rStyle w:val="FootnoteReference"/>
          <w:color w:val="408BCA"/>
          <w:lang w:val="en-GB"/>
        </w:rPr>
        <w:footnoteReference w:id="86"/>
      </w:r>
      <w:r w:rsidR="00A26BD5">
        <w:rPr>
          <w:lang w:val="en-GB"/>
        </w:rPr>
        <w:t xml:space="preserve"> NWAU was calculated using the </w:t>
      </w:r>
      <w:r w:rsidR="00A26BD5">
        <w:t>calculator for 2018</w:t>
      </w:r>
      <w:r w:rsidR="00AE43A8">
        <w:t>–</w:t>
      </w:r>
      <w:r w:rsidR="00A26BD5">
        <w:t>2019 developed by the Independent Hospital Pricing Authority.</w:t>
      </w:r>
      <w:r w:rsidR="00AE43A8" w:rsidRPr="00AE43A8">
        <w:rPr>
          <w:rStyle w:val="FootnoteReference"/>
          <w:color w:val="408BCA"/>
        </w:rPr>
        <w:footnoteReference w:id="87"/>
      </w:r>
      <w:r w:rsidR="00E77E7C" w:rsidRPr="00E77E7C">
        <w:t xml:space="preserve"> </w:t>
      </w:r>
      <w:r w:rsidR="00E77E7C">
        <w:t xml:space="preserve">The number of presentations to an </w:t>
      </w:r>
      <w:r w:rsidR="00001DEB">
        <w:t>emergency department</w:t>
      </w:r>
      <w:r w:rsidR="00E77E7C">
        <w:t xml:space="preserve"> was also calculated.</w:t>
      </w:r>
    </w:p>
    <w:p w14:paraId="65596878" w14:textId="1DD3983F" w:rsidR="00A26BD5" w:rsidRDefault="00E77E7C" w:rsidP="00A26BD5">
      <w:r>
        <w:rPr>
          <w:lang w:val="en-GB"/>
        </w:rPr>
        <w:t xml:space="preserve">In the year </w:t>
      </w:r>
      <w:r w:rsidR="00AB1577">
        <w:rPr>
          <w:lang w:val="en-GB"/>
        </w:rPr>
        <w:t>before</w:t>
      </w:r>
      <w:r>
        <w:rPr>
          <w:lang w:val="en-GB"/>
        </w:rPr>
        <w:t xml:space="preserve"> enrolment, o</w:t>
      </w:r>
      <w:r w:rsidRPr="00FC26DC">
        <w:rPr>
          <w:lang w:val="en-GB"/>
        </w:rPr>
        <w:t xml:space="preserve">verall, </w:t>
      </w:r>
      <w:r w:rsidR="00BA6C4D">
        <w:rPr>
          <w:lang w:val="en-GB"/>
        </w:rPr>
        <w:t>about</w:t>
      </w:r>
      <w:r w:rsidRPr="00FC26DC">
        <w:rPr>
          <w:lang w:val="en-GB"/>
        </w:rPr>
        <w:t xml:space="preserve"> one quarter </w:t>
      </w:r>
      <w:r>
        <w:rPr>
          <w:lang w:val="en-GB"/>
        </w:rPr>
        <w:t xml:space="preserve">of HCH patients were </w:t>
      </w:r>
      <w:r w:rsidRPr="00FC26DC">
        <w:rPr>
          <w:lang w:val="en-GB"/>
        </w:rPr>
        <w:t>admitted to hospital (27.2%)</w:t>
      </w:r>
      <w:r>
        <w:rPr>
          <w:lang w:val="en-GB"/>
        </w:rPr>
        <w:t xml:space="preserve"> with m</w:t>
      </w:r>
      <w:r w:rsidRPr="00FC26DC">
        <w:rPr>
          <w:lang w:val="en-GB"/>
        </w:rPr>
        <w:t xml:space="preserve">ost of these hospital admissions were emergency admissions, </w:t>
      </w:r>
      <w:r>
        <w:rPr>
          <w:lang w:val="en-GB"/>
        </w:rPr>
        <w:t xml:space="preserve">and </w:t>
      </w:r>
      <w:r w:rsidRPr="00FC26DC">
        <w:rPr>
          <w:lang w:val="en-GB"/>
        </w:rPr>
        <w:t xml:space="preserve">one in five for conditions considered to be a potentially preventable hospitalisation. </w:t>
      </w:r>
      <w:r>
        <w:rPr>
          <w:lang w:val="en-GB"/>
        </w:rPr>
        <w:t xml:space="preserve">For all HCH patients, </w:t>
      </w:r>
      <w:r w:rsidRPr="7CEE5E33">
        <w:rPr>
          <w:lang w:val="en-GB"/>
        </w:rPr>
        <w:t>the</w:t>
      </w:r>
      <w:r>
        <w:rPr>
          <w:lang w:val="en-GB"/>
        </w:rPr>
        <w:t xml:space="preserve"> mean total number of bed-days per patient was 2.2 days and mean total NWAU was 0.77 </w:t>
      </w:r>
      <w:r w:rsidRPr="7CEE5E33">
        <w:rPr>
          <w:lang w:val="en-GB"/>
        </w:rPr>
        <w:t>units</w:t>
      </w:r>
      <w:r>
        <w:rPr>
          <w:lang w:val="en-GB"/>
        </w:rPr>
        <w:t xml:space="preserve">. Among admitted patients, </w:t>
      </w:r>
      <w:r w:rsidRPr="7CEE5E33">
        <w:rPr>
          <w:lang w:val="en-GB"/>
        </w:rPr>
        <w:t xml:space="preserve">the </w:t>
      </w:r>
      <w:r>
        <w:rPr>
          <w:lang w:val="en-GB"/>
        </w:rPr>
        <w:t>total number of bed-days was 8.2 days and total NWAU was 2.82 units. In the follow-up period, t</w:t>
      </w:r>
      <w:r w:rsidRPr="00FC26DC">
        <w:rPr>
          <w:lang w:val="en-GB"/>
        </w:rPr>
        <w:t xml:space="preserve">here was very little change </w:t>
      </w:r>
      <w:r>
        <w:rPr>
          <w:lang w:val="en-GB"/>
        </w:rPr>
        <w:t xml:space="preserve">in the numbers of hospital admissions (all-cause, emergency admission and </w:t>
      </w:r>
      <w:r w:rsidRPr="00FC26DC">
        <w:rPr>
          <w:lang w:val="en-GB"/>
        </w:rPr>
        <w:t>potentially preventable hospitalisations</w:t>
      </w:r>
      <w:r>
        <w:rPr>
          <w:lang w:val="en-GB"/>
        </w:rPr>
        <w:t>), the total numbers of bed-days and total NWAU</w:t>
      </w:r>
      <w:r w:rsidR="00E7565B">
        <w:rPr>
          <w:lang w:val="en-GB"/>
        </w:rPr>
        <w:t>.</w:t>
      </w:r>
    </w:p>
    <w:p w14:paraId="39EE8EB3" w14:textId="77777777" w:rsidR="00A26BD5" w:rsidRDefault="00A26BD5" w:rsidP="00A26BD5">
      <w:pPr>
        <w:rPr>
          <w:lang w:val="en-GB"/>
        </w:rPr>
      </w:pPr>
      <w:r>
        <w:rPr>
          <w:lang w:val="en-GB"/>
        </w:rPr>
        <w:t xml:space="preserve">Comparator patients were matched with HCH patients on these measures. In the follow-up period, there was </w:t>
      </w:r>
      <w:r w:rsidRPr="00FC26DC">
        <w:rPr>
          <w:lang w:val="en-GB"/>
        </w:rPr>
        <w:t xml:space="preserve">little change in </w:t>
      </w:r>
      <w:r>
        <w:rPr>
          <w:lang w:val="en-GB"/>
        </w:rPr>
        <w:t xml:space="preserve">terms of admissions to </w:t>
      </w:r>
      <w:r w:rsidRPr="00FC26DC">
        <w:rPr>
          <w:lang w:val="en-GB"/>
        </w:rPr>
        <w:t>hospital</w:t>
      </w:r>
      <w:r>
        <w:rPr>
          <w:lang w:val="en-GB"/>
        </w:rPr>
        <w:t xml:space="preserve"> for any reason, for emergency admission and </w:t>
      </w:r>
      <w:r w:rsidRPr="00FC26DC">
        <w:rPr>
          <w:lang w:val="en-GB"/>
        </w:rPr>
        <w:t>potentially preventable hospitalisations</w:t>
      </w:r>
      <w:r>
        <w:rPr>
          <w:lang w:val="en-GB"/>
        </w:rPr>
        <w:t xml:space="preserve">. The was also little change in total numbers of </w:t>
      </w:r>
      <w:r w:rsidRPr="00FC26DC">
        <w:rPr>
          <w:lang w:val="en-GB"/>
        </w:rPr>
        <w:t>bed</w:t>
      </w:r>
      <w:r>
        <w:rPr>
          <w:lang w:val="en-GB"/>
        </w:rPr>
        <w:t>-</w:t>
      </w:r>
      <w:r w:rsidRPr="00FC26DC">
        <w:rPr>
          <w:lang w:val="en-GB"/>
        </w:rPr>
        <w:t>days</w:t>
      </w:r>
      <w:r>
        <w:rPr>
          <w:lang w:val="en-GB"/>
        </w:rPr>
        <w:t xml:space="preserve"> and</w:t>
      </w:r>
      <w:r w:rsidRPr="00FC26DC">
        <w:rPr>
          <w:lang w:val="en-GB"/>
        </w:rPr>
        <w:t xml:space="preserve"> </w:t>
      </w:r>
      <w:r>
        <w:rPr>
          <w:lang w:val="en-GB"/>
        </w:rPr>
        <w:t xml:space="preserve">total </w:t>
      </w:r>
      <w:r w:rsidRPr="00FC26DC">
        <w:rPr>
          <w:lang w:val="en-GB"/>
        </w:rPr>
        <w:t>NWAU.</w:t>
      </w:r>
    </w:p>
    <w:p w14:paraId="0FE530E3" w14:textId="77777777" w:rsidR="00A26BD5" w:rsidRDefault="00A26BD5" w:rsidP="00A26BD5">
      <w:pPr>
        <w:pStyle w:val="Heading3"/>
        <w:rPr>
          <w:lang w:val="en-GB"/>
        </w:rPr>
      </w:pPr>
      <w:r>
        <w:rPr>
          <w:lang w:val="en-GB"/>
        </w:rPr>
        <w:t>All-cause admissions</w:t>
      </w:r>
    </w:p>
    <w:p w14:paraId="66912F5B" w14:textId="10364BE5" w:rsidR="00A26BD5" w:rsidRDefault="00BA6C4D" w:rsidP="00A26BD5">
      <w:r>
        <w:t>About</w:t>
      </w:r>
      <w:r w:rsidR="00A26BD5" w:rsidRPr="00D50E35">
        <w:t xml:space="preserve"> one quarter (27.2%) of HCH patients had been admitted to hospital </w:t>
      </w:r>
      <w:r w:rsidR="00A26BD5">
        <w:t xml:space="preserve">for any cause </w:t>
      </w:r>
      <w:r w:rsidR="00A26BD5" w:rsidRPr="00D50E35">
        <w:t xml:space="preserve">in the year </w:t>
      </w:r>
      <w:r w:rsidR="0002675D">
        <w:t>before</w:t>
      </w:r>
      <w:r w:rsidR="00A26BD5">
        <w:t xml:space="preserve"> enrolment, with 16.4% being admitted once, 5.9% being admitted twice, and 5.0% being admitted three or more times. This was equivalent to a mean of 2</w:t>
      </w:r>
      <w:r w:rsidR="00A26BD5" w:rsidRPr="00BB1608">
        <w:t>.</w:t>
      </w:r>
      <w:r w:rsidR="00A26BD5">
        <w:t>2</w:t>
      </w:r>
      <w:r w:rsidR="00A26BD5" w:rsidRPr="00BB1608">
        <w:t xml:space="preserve"> </w:t>
      </w:r>
      <w:r w:rsidR="00A26BD5">
        <w:t xml:space="preserve">total bed-days </w:t>
      </w:r>
      <w:r w:rsidR="00A26BD5" w:rsidRPr="00BB1608">
        <w:t>(</w:t>
      </w:r>
      <w:r w:rsidR="00A26BD5">
        <w:t>std 9</w:t>
      </w:r>
      <w:r w:rsidR="00A26BD5" w:rsidRPr="00BB1608">
        <w:t>.</w:t>
      </w:r>
      <w:r w:rsidR="00A26BD5">
        <w:t>1</w:t>
      </w:r>
      <w:r w:rsidR="00A26BD5" w:rsidRPr="00BB1608">
        <w:t xml:space="preserve">) </w:t>
      </w:r>
      <w:r w:rsidR="00A26BD5">
        <w:t>over the year per patient, with 21.4% of HCH patients having 1</w:t>
      </w:r>
      <w:r w:rsidR="00816DA3">
        <w:t>–</w:t>
      </w:r>
      <w:r w:rsidR="00A26BD5">
        <w:t>9 bed-days, 3.0% having 10</w:t>
      </w:r>
      <w:r w:rsidR="00816DA3">
        <w:t>–</w:t>
      </w:r>
      <w:r w:rsidR="00A26BD5">
        <w:t xml:space="preserve">19 bed-days, and 2.8% having 20 or more bed-days. There was little change in the number of hospital admissions following enrolment, with 27.6% having an admission in the first year and 27.3% having an admission in the second year following enrolment. There was little change in the mean total number of bed-days, which were </w:t>
      </w:r>
      <w:r w:rsidR="00A26BD5" w:rsidRPr="008569DE">
        <w:t>2.</w:t>
      </w:r>
      <w:r w:rsidR="00A26BD5">
        <w:t>3</w:t>
      </w:r>
      <w:r w:rsidR="00A26BD5" w:rsidRPr="008569DE">
        <w:t xml:space="preserve"> (</w:t>
      </w:r>
      <w:r w:rsidR="00A26BD5">
        <w:t xml:space="preserve">std </w:t>
      </w:r>
      <w:r w:rsidR="00A26BD5" w:rsidRPr="008569DE">
        <w:t>9.</w:t>
      </w:r>
      <w:r w:rsidR="00A26BD5">
        <w:t>5</w:t>
      </w:r>
      <w:r w:rsidR="00A26BD5" w:rsidRPr="008569DE">
        <w:t xml:space="preserve">) </w:t>
      </w:r>
      <w:r w:rsidR="00A26BD5">
        <w:t xml:space="preserve">in the first year and </w:t>
      </w:r>
      <w:r w:rsidR="00A26BD5" w:rsidRPr="008569DE">
        <w:t>2.</w:t>
      </w:r>
      <w:r w:rsidR="00A26BD5">
        <w:t>5</w:t>
      </w:r>
      <w:r w:rsidR="00A26BD5" w:rsidRPr="008569DE">
        <w:t xml:space="preserve"> (</w:t>
      </w:r>
      <w:r w:rsidR="00A26BD5">
        <w:t xml:space="preserve">std </w:t>
      </w:r>
      <w:r w:rsidR="00A26BD5" w:rsidRPr="008569DE">
        <w:t xml:space="preserve">10.9) </w:t>
      </w:r>
      <w:r w:rsidR="00A26BD5">
        <w:t>in the second year following enrolment (</w:t>
      </w:r>
      <w:r w:rsidR="00A26BD5">
        <w:fldChar w:fldCharType="begin"/>
      </w:r>
      <w:r w:rsidR="00A26BD5">
        <w:instrText xml:space="preserve"> REF _Ref96871856 \h </w:instrText>
      </w:r>
      <w:r w:rsidR="00A26BD5">
        <w:fldChar w:fldCharType="separate"/>
      </w:r>
      <w:r w:rsidR="003C4BC2" w:rsidRPr="00F877C0">
        <w:t xml:space="preserve">Figure </w:t>
      </w:r>
      <w:r w:rsidR="003C4BC2">
        <w:rPr>
          <w:noProof/>
        </w:rPr>
        <w:t>66</w:t>
      </w:r>
      <w:r w:rsidR="00A26BD5">
        <w:fldChar w:fldCharType="end"/>
      </w:r>
      <w:r w:rsidR="00A26BD5">
        <w:t>).</w:t>
      </w:r>
    </w:p>
    <w:p w14:paraId="26B43D66" w14:textId="21B167E1" w:rsidR="00CB1E47" w:rsidRDefault="00A26BD5" w:rsidP="003874B9">
      <w:r>
        <w:t xml:space="preserve">Comparator patients were matched to HCH patients on the number of admissions for any reason in the pre-enrolment period. During the follow-up period, a slightly lower proportion of </w:t>
      </w:r>
      <w:r w:rsidR="000E16C4">
        <w:t>comparator</w:t>
      </w:r>
      <w:r>
        <w:t xml:space="preserve"> patients (25.5%) than HCH patients had an admission during the first year. </w:t>
      </w:r>
      <w:r>
        <w:lastRenderedPageBreak/>
        <w:t xml:space="preserve">Nevertheless, total numbers of bed-days in </w:t>
      </w:r>
      <w:r w:rsidR="000E16C4">
        <w:t>comparator</w:t>
      </w:r>
      <w:r>
        <w:t xml:space="preserve"> patients were the same as HCH patients, with a mean of 2.3 days in first year and 2.5 days in the second year (</w:t>
      </w:r>
      <w:r>
        <w:fldChar w:fldCharType="begin"/>
      </w:r>
      <w:r>
        <w:instrText xml:space="preserve"> REF _Ref96871856 \h </w:instrText>
      </w:r>
      <w:r>
        <w:fldChar w:fldCharType="separate"/>
      </w:r>
      <w:r w:rsidR="003C4BC2" w:rsidRPr="00F877C0">
        <w:t xml:space="preserve">Figure </w:t>
      </w:r>
      <w:r w:rsidR="003C4BC2">
        <w:rPr>
          <w:noProof/>
        </w:rPr>
        <w:t>66</w:t>
      </w:r>
      <w:r>
        <w:fldChar w:fldCharType="end"/>
      </w:r>
      <w:r>
        <w:t>).</w:t>
      </w:r>
    </w:p>
    <w:p w14:paraId="2F53C946" w14:textId="699F20AB" w:rsidR="00A26BD5" w:rsidRDefault="00A26BD5" w:rsidP="00A26BD5">
      <w:pPr>
        <w:pStyle w:val="TableFigureheading"/>
      </w:pPr>
      <w:bookmarkStart w:id="387" w:name="_Ref96871856"/>
      <w:bookmarkStart w:id="388" w:name="_Ref99214328"/>
      <w:r w:rsidRPr="00F877C0">
        <w:t xml:space="preserve">Figure </w:t>
      </w:r>
      <w:r>
        <w:fldChar w:fldCharType="begin"/>
      </w:r>
      <w:r>
        <w:instrText>SEQ Figure \* ARABIC</w:instrText>
      </w:r>
      <w:r>
        <w:fldChar w:fldCharType="separate"/>
      </w:r>
      <w:r w:rsidR="003C4BC2">
        <w:rPr>
          <w:noProof/>
        </w:rPr>
        <w:t>66</w:t>
      </w:r>
      <w:r>
        <w:fldChar w:fldCharType="end"/>
      </w:r>
      <w:bookmarkEnd w:id="387"/>
      <w:r>
        <w:t xml:space="preserve">: Hospital admissions for any cause among HCH </w:t>
      </w:r>
      <w:r w:rsidR="003C39A0">
        <w:rPr>
          <w:bCs w:val="0"/>
        </w:rPr>
        <w:t xml:space="preserve">and comparator </w:t>
      </w:r>
      <w:r>
        <w:t>patients</w:t>
      </w:r>
      <w:bookmarkEnd w:id="388"/>
    </w:p>
    <w:p w14:paraId="3C5D4F62" w14:textId="6B6904A4" w:rsidR="00A26BD5" w:rsidRPr="005C25A4" w:rsidRDefault="00A26BD5" w:rsidP="005C25A4">
      <w:pPr>
        <w:pStyle w:val="Chartortablefootnote"/>
        <w:spacing w:after="0"/>
        <w:rPr>
          <w:rStyle w:val="SourceChar"/>
          <w:rFonts w:eastAsia="Calibri"/>
          <w:i/>
          <w:szCs w:val="18"/>
          <w:lang w:eastAsia="en-US"/>
        </w:rPr>
      </w:pPr>
      <w:r>
        <w:rPr>
          <w:noProof/>
          <w:lang w:val="en-GB"/>
        </w:rPr>
        <w:drawing>
          <wp:inline distT="0" distB="0" distL="0" distR="0" wp14:anchorId="7277929B" wp14:editId="70403D04">
            <wp:extent cx="5731510" cy="4011295"/>
            <wp:effectExtent l="0" t="0" r="0" b="0"/>
            <wp:docPr id="6276" name="Picture 627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bar chart&#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731510" cy="4011295"/>
                    </a:xfrm>
                    <a:prstGeom prst="rect">
                      <a:avLst/>
                    </a:prstGeom>
                  </pic:spPr>
                </pic:pic>
              </a:graphicData>
            </a:graphic>
          </wp:inline>
        </w:drawing>
      </w:r>
      <w:r w:rsidRPr="006003C1">
        <w:rPr>
          <w:rStyle w:val="SourceChar"/>
        </w:rPr>
        <w:t xml:space="preserve"> </w:t>
      </w:r>
      <w:r w:rsidR="005C25A4" w:rsidRPr="005C25A4">
        <w:rPr>
          <w:rStyle w:val="SourceChar"/>
          <w:rFonts w:eastAsia="Calibri"/>
          <w:bCs w:val="0"/>
          <w:i/>
          <w:szCs w:val="18"/>
          <w:lang w:eastAsia="en-US"/>
        </w:rPr>
        <w:t>Notes:</w:t>
      </w:r>
      <w:r w:rsidRPr="005C25A4">
        <w:rPr>
          <w:rStyle w:val="SourceChar"/>
          <w:rFonts w:eastAsia="Calibri"/>
          <w:i/>
          <w:szCs w:val="18"/>
          <w:lang w:eastAsia="en-US"/>
        </w:rPr>
        <w:t xml:space="preserve"> People with length of follow-up shorter than respective yearly anniversaries were excluded from analyses.</w:t>
      </w:r>
    </w:p>
    <w:p w14:paraId="36E3ECCF" w14:textId="1504F149" w:rsidR="005C25A4" w:rsidRPr="005C25A4" w:rsidRDefault="005C25A4" w:rsidP="005C25A4">
      <w:pPr>
        <w:pStyle w:val="Chartortablefootnote"/>
      </w:pPr>
      <w:r w:rsidRPr="005C25A4">
        <w:rPr>
          <w:rStyle w:val="SourceChar"/>
          <w:rFonts w:eastAsia="Calibri"/>
          <w:bCs w:val="0"/>
          <w:i/>
          <w:szCs w:val="18"/>
          <w:lang w:eastAsia="en-US"/>
        </w:rPr>
        <w:t>Source: Admitted Patient Care data for patients in five states (NSW, Vic, Qld, SA and Tas).</w:t>
      </w:r>
    </w:p>
    <w:p w14:paraId="416CCADB" w14:textId="2625CAC4" w:rsidR="00A26BD5" w:rsidRDefault="00A26BD5" w:rsidP="00A26BD5">
      <w:r>
        <w:t xml:space="preserve">Among HCH patients who were admitted to hospital, the mean number of bed-days was 8.2 (std 16.1) in the year </w:t>
      </w:r>
      <w:r w:rsidR="0002675D">
        <w:t>before</w:t>
      </w:r>
      <w:r>
        <w:t xml:space="preserve"> enrolment, 8.3 (std 16.6) in the first year and 9.1 (std 19.</w:t>
      </w:r>
      <w:r w:rsidR="00AA08AE">
        <w:t>5</w:t>
      </w:r>
      <w:r>
        <w:t xml:space="preserve">) in the second year following enrolment. Comparator patients who were admitted to hospital had slightly shorter hospital stay (mean 7.6 days, std 14.3) in the year </w:t>
      </w:r>
      <w:r w:rsidR="0002675D">
        <w:t>before</w:t>
      </w:r>
      <w:r>
        <w:t xml:space="preserve"> enrolment, slightly longer stay in the first year (mean 8.9 days, std 20.1) and similar length of hospital stay in the second year (mean 9.0 days, std 18.2).</w:t>
      </w:r>
    </w:p>
    <w:p w14:paraId="05AF0E13" w14:textId="77777777" w:rsidR="00A26BD5" w:rsidRDefault="00A26BD5" w:rsidP="00A26BD5">
      <w:pPr>
        <w:pStyle w:val="Heading3"/>
        <w:rPr>
          <w:lang w:val="en-GB"/>
        </w:rPr>
      </w:pPr>
      <w:r>
        <w:rPr>
          <w:lang w:val="en-GB"/>
        </w:rPr>
        <w:t>Emergency hospital admissions</w:t>
      </w:r>
    </w:p>
    <w:p w14:paraId="27BBB290" w14:textId="7DAB5BC4" w:rsidR="00A26BD5" w:rsidRPr="00E635C5" w:rsidRDefault="00A26BD5" w:rsidP="00A26BD5">
      <w:r>
        <w:t xml:space="preserve">One in five HCH patients </w:t>
      </w:r>
      <w:r w:rsidRPr="004070CD">
        <w:t xml:space="preserve">(18.3%) had been admitted to </w:t>
      </w:r>
      <w:r w:rsidRPr="00E635C5">
        <w:t>hospital for an emergency admission in the year prior, with 11.8% being admitted once, 3.7% being admitted twice, and 2.8% being admitted three or more times. This was equivalent to a mean number of 1.7 (std 7.9) total bed</w:t>
      </w:r>
      <w:r>
        <w:t>-</w:t>
      </w:r>
      <w:r w:rsidRPr="00E635C5">
        <w:t>days for emergency admissions per patient over the year, with 7.9% of HCH patients having one or two bed</w:t>
      </w:r>
      <w:r>
        <w:t>-</w:t>
      </w:r>
      <w:r w:rsidRPr="00E635C5">
        <w:t>days and 10.3% having three or more bed</w:t>
      </w:r>
      <w:r>
        <w:t>-</w:t>
      </w:r>
      <w:r w:rsidRPr="00E635C5">
        <w:t xml:space="preserve">days. </w:t>
      </w:r>
      <w:r>
        <w:t>The p</w:t>
      </w:r>
      <w:r w:rsidRPr="00E635C5">
        <w:t xml:space="preserve">roportion of HCH patients </w:t>
      </w:r>
      <w:r>
        <w:t xml:space="preserve">with </w:t>
      </w:r>
      <w:r w:rsidRPr="00E635C5">
        <w:t xml:space="preserve">an emergency admission </w:t>
      </w:r>
      <w:r>
        <w:t xml:space="preserve">remained at 18.1% in the first year </w:t>
      </w:r>
      <w:r w:rsidRPr="00E635C5">
        <w:t xml:space="preserve">following enrolment </w:t>
      </w:r>
      <w:r>
        <w:t xml:space="preserve">and decreased </w:t>
      </w:r>
      <w:r w:rsidRPr="00E635C5">
        <w:t>slight</w:t>
      </w:r>
      <w:r>
        <w:t>ly</w:t>
      </w:r>
      <w:r w:rsidRPr="00E635C5">
        <w:t xml:space="preserve"> in the second year (17.0%)</w:t>
      </w:r>
      <w:r>
        <w:t xml:space="preserve"> (</w:t>
      </w:r>
      <w:r>
        <w:fldChar w:fldCharType="begin"/>
      </w:r>
      <w:r>
        <w:instrText xml:space="preserve"> REF _Ref96890868 \h </w:instrText>
      </w:r>
      <w:r>
        <w:fldChar w:fldCharType="separate"/>
      </w:r>
      <w:r w:rsidR="003C4BC2" w:rsidRPr="00F46518">
        <w:t xml:space="preserve">Figure </w:t>
      </w:r>
      <w:r w:rsidR="003C4BC2">
        <w:rPr>
          <w:noProof/>
        </w:rPr>
        <w:t>67</w:t>
      </w:r>
      <w:r>
        <w:fldChar w:fldCharType="end"/>
      </w:r>
      <w:r>
        <w:t>)</w:t>
      </w:r>
      <w:r w:rsidRPr="00E635C5">
        <w:t>. There was little change in the total number</w:t>
      </w:r>
      <w:r>
        <w:t>s</w:t>
      </w:r>
      <w:r w:rsidRPr="00E635C5">
        <w:t xml:space="preserve"> of bed</w:t>
      </w:r>
      <w:r>
        <w:t>-</w:t>
      </w:r>
      <w:r w:rsidRPr="00E635C5">
        <w:t>days, which were 1.7 (std 8.2) in the first year and 1.8 (std 9.8) in the second year following enrolment.</w:t>
      </w:r>
    </w:p>
    <w:p w14:paraId="66BE18F9" w14:textId="67E8B768" w:rsidR="00A26BD5" w:rsidRPr="00E635C5" w:rsidRDefault="00A26BD5" w:rsidP="00A26BD5">
      <w:r>
        <w:lastRenderedPageBreak/>
        <w:t xml:space="preserve">Comparator patients, who were matched with </w:t>
      </w:r>
      <w:r w:rsidRPr="00E635C5">
        <w:t xml:space="preserve">HCH patients </w:t>
      </w:r>
      <w:r>
        <w:t>on number of emergency admission in the pre-enrolment period</w:t>
      </w:r>
      <w:r w:rsidRPr="00E635C5">
        <w:t xml:space="preserve">, </w:t>
      </w:r>
      <w:r>
        <w:t xml:space="preserve">experienced similar patterns of </w:t>
      </w:r>
      <w:r w:rsidRPr="00E635C5">
        <w:t>emergency admissions</w:t>
      </w:r>
      <w:r>
        <w:t xml:space="preserve">, with </w:t>
      </w:r>
      <w:r w:rsidRPr="00E635C5">
        <w:t>16.6%</w:t>
      </w:r>
      <w:r>
        <w:t xml:space="preserve"> having an emergency admission</w:t>
      </w:r>
      <w:r w:rsidRPr="00E635C5">
        <w:t xml:space="preserve"> in the first year following enrolment and </w:t>
      </w:r>
      <w:r>
        <w:t>18.7%</w:t>
      </w:r>
      <w:r w:rsidRPr="00E635C5">
        <w:t xml:space="preserve"> in the second year</w:t>
      </w:r>
      <w:r>
        <w:t xml:space="preserve"> (</w:t>
      </w:r>
      <w:r>
        <w:fldChar w:fldCharType="begin"/>
      </w:r>
      <w:r>
        <w:instrText xml:space="preserve"> REF _Ref96890868 \h </w:instrText>
      </w:r>
      <w:r>
        <w:fldChar w:fldCharType="separate"/>
      </w:r>
      <w:r w:rsidR="003C4BC2" w:rsidRPr="00F46518">
        <w:t xml:space="preserve">Figure </w:t>
      </w:r>
      <w:r w:rsidR="003C4BC2">
        <w:rPr>
          <w:noProof/>
        </w:rPr>
        <w:t>67</w:t>
      </w:r>
      <w:r>
        <w:fldChar w:fldCharType="end"/>
      </w:r>
      <w:r>
        <w:t>)</w:t>
      </w:r>
      <w:r w:rsidRPr="00E635C5">
        <w:t>.</w:t>
      </w:r>
      <w:r>
        <w:t xml:space="preserve"> On average, numbers of bed-days were </w:t>
      </w:r>
      <w:r w:rsidRPr="00E635C5">
        <w:t>1.</w:t>
      </w:r>
      <w:r w:rsidR="00AA08AE">
        <w:t>6</w:t>
      </w:r>
      <w:r w:rsidRPr="00E635C5">
        <w:t xml:space="preserve"> days (std </w:t>
      </w:r>
      <w:r w:rsidR="00AA08AE">
        <w:t>9.2</w:t>
      </w:r>
      <w:r w:rsidRPr="00E635C5">
        <w:t xml:space="preserve">) and 1.7 days (std 8.0) </w:t>
      </w:r>
      <w:r>
        <w:t xml:space="preserve">in the first year and second year </w:t>
      </w:r>
      <w:r w:rsidRPr="00E635C5">
        <w:t>respectively</w:t>
      </w:r>
      <w:r>
        <w:t>.</w:t>
      </w:r>
    </w:p>
    <w:p w14:paraId="25D1006B" w14:textId="0F24EE08" w:rsidR="00A26BD5" w:rsidRPr="00F46518" w:rsidRDefault="00A26BD5" w:rsidP="00A26BD5">
      <w:pPr>
        <w:pStyle w:val="TableFigureheading"/>
      </w:pPr>
      <w:bookmarkStart w:id="389" w:name="_Ref96890868"/>
      <w:r w:rsidRPr="00F46518">
        <w:t xml:space="preserve">Figure </w:t>
      </w:r>
      <w:r w:rsidRPr="00F46518">
        <w:fldChar w:fldCharType="begin"/>
      </w:r>
      <w:r w:rsidRPr="00F46518">
        <w:instrText>SEQ Figure \* ARABIC</w:instrText>
      </w:r>
      <w:r w:rsidRPr="00F46518">
        <w:fldChar w:fldCharType="separate"/>
      </w:r>
      <w:r w:rsidR="003C4BC2">
        <w:rPr>
          <w:noProof/>
        </w:rPr>
        <w:t>67</w:t>
      </w:r>
      <w:r w:rsidRPr="00F46518">
        <w:fldChar w:fldCharType="end"/>
      </w:r>
      <w:bookmarkEnd w:id="389"/>
      <w:r>
        <w:t>:</w:t>
      </w:r>
      <w:r w:rsidRPr="00F46518">
        <w:t xml:space="preserve"> </w:t>
      </w:r>
      <w:r>
        <w:t>Em</w:t>
      </w:r>
      <w:r w:rsidRPr="00F46518">
        <w:t>ergency hospital admission</w:t>
      </w:r>
      <w:r>
        <w:t>s</w:t>
      </w:r>
      <w:r w:rsidRPr="00F46518">
        <w:t xml:space="preserve"> among HCH </w:t>
      </w:r>
      <w:r w:rsidR="003C39A0">
        <w:rPr>
          <w:bCs w:val="0"/>
        </w:rPr>
        <w:t xml:space="preserve">and comparator </w:t>
      </w:r>
      <w:r w:rsidRPr="00F46518">
        <w:t>patients</w:t>
      </w:r>
    </w:p>
    <w:p w14:paraId="5E09DB4A" w14:textId="77777777" w:rsidR="00A26BD5" w:rsidRDefault="00A26BD5" w:rsidP="00AE43A8">
      <w:pPr>
        <w:spacing w:after="0"/>
        <w:rPr>
          <w:lang w:val="en-GB"/>
        </w:rPr>
      </w:pPr>
      <w:r>
        <w:rPr>
          <w:noProof/>
          <w:lang w:val="en-GB"/>
        </w:rPr>
        <w:drawing>
          <wp:inline distT="0" distB="0" distL="0" distR="0" wp14:anchorId="6B71B444" wp14:editId="041D919D">
            <wp:extent cx="5731510" cy="4011295"/>
            <wp:effectExtent l="0" t="0" r="0" b="0"/>
            <wp:docPr id="6284" name="Picture 628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hart, bar chart&#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5731510" cy="4011295"/>
                    </a:xfrm>
                    <a:prstGeom prst="rect">
                      <a:avLst/>
                    </a:prstGeom>
                  </pic:spPr>
                </pic:pic>
              </a:graphicData>
            </a:graphic>
          </wp:inline>
        </w:drawing>
      </w:r>
    </w:p>
    <w:p w14:paraId="3B2E9E98" w14:textId="067A1EE9" w:rsidR="00A26BD5" w:rsidRDefault="005C25A4" w:rsidP="005C25A4">
      <w:pPr>
        <w:pStyle w:val="Chartortablefootnote"/>
        <w:spacing w:after="0"/>
        <w:ind w:right="95"/>
        <w:rPr>
          <w:lang w:val="en-GB"/>
        </w:rPr>
      </w:pPr>
      <w:r>
        <w:rPr>
          <w:lang w:val="en-GB"/>
        </w:rPr>
        <w:t>Notes:</w:t>
      </w:r>
      <w:r w:rsidR="00A26BD5">
        <w:rPr>
          <w:lang w:val="en-GB"/>
        </w:rPr>
        <w:t xml:space="preserve"> People with length of follow-up shorter than respective yearly anniversaries were excluded from analyses.</w:t>
      </w:r>
    </w:p>
    <w:p w14:paraId="1600736A" w14:textId="012D09B9" w:rsidR="005C25A4" w:rsidRDefault="005C25A4" w:rsidP="005C25A4">
      <w:pPr>
        <w:pStyle w:val="Chartortablefootnote"/>
        <w:ind w:right="-46"/>
        <w:rPr>
          <w:lang w:val="en-GB"/>
        </w:rPr>
      </w:pPr>
      <w:r w:rsidRPr="005C25A4">
        <w:rPr>
          <w:rStyle w:val="SourceChar"/>
          <w:rFonts w:eastAsia="Calibri"/>
          <w:bCs w:val="0"/>
          <w:i/>
          <w:szCs w:val="18"/>
          <w:lang w:eastAsia="en-US"/>
        </w:rPr>
        <w:t>Source: Admitted Patient Care data for patients in five states (NSW, Vic, Qld, SA and Tas)</w:t>
      </w:r>
      <w:r>
        <w:rPr>
          <w:rStyle w:val="SourceChar"/>
          <w:rFonts w:eastAsia="Calibri"/>
          <w:bCs w:val="0"/>
          <w:i/>
          <w:szCs w:val="18"/>
          <w:lang w:eastAsia="en-US"/>
        </w:rPr>
        <w:t>.</w:t>
      </w:r>
    </w:p>
    <w:p w14:paraId="13AB95A4" w14:textId="4C44BECB" w:rsidR="00646410" w:rsidRDefault="00634272" w:rsidP="00634272">
      <w:r>
        <w:t>Among</w:t>
      </w:r>
      <w:r w:rsidRPr="00E635C5">
        <w:t xml:space="preserve"> HCH patients who had emergency admissions to hospital, </w:t>
      </w:r>
      <w:r>
        <w:t xml:space="preserve">the </w:t>
      </w:r>
      <w:r w:rsidRPr="00E635C5">
        <w:t xml:space="preserve">mean number of </w:t>
      </w:r>
      <w:r>
        <w:t xml:space="preserve">total </w:t>
      </w:r>
      <w:r w:rsidRPr="00E635C5">
        <w:t>bed-days</w:t>
      </w:r>
      <w:r>
        <w:t xml:space="preserve"> for these admissions</w:t>
      </w:r>
      <w:r w:rsidRPr="00E635C5">
        <w:t xml:space="preserve"> was </w:t>
      </w:r>
      <w:r>
        <w:t>9</w:t>
      </w:r>
      <w:r w:rsidRPr="00E635C5">
        <w:t>.0 (std 1</w:t>
      </w:r>
      <w:r>
        <w:t>6</w:t>
      </w:r>
      <w:r w:rsidRPr="00E635C5">
        <w:t>.</w:t>
      </w:r>
      <w:r>
        <w:t>7</w:t>
      </w:r>
      <w:r w:rsidRPr="00E635C5">
        <w:t xml:space="preserve">) in </w:t>
      </w:r>
      <w:r>
        <w:t>the</w:t>
      </w:r>
      <w:r w:rsidRPr="00E635C5">
        <w:t xml:space="preserve"> year </w:t>
      </w:r>
      <w:r w:rsidR="00AB1577">
        <w:t>before</w:t>
      </w:r>
      <w:r w:rsidRPr="00E635C5">
        <w:t xml:space="preserve"> enrolment, </w:t>
      </w:r>
      <w:r>
        <w:t>9.3</w:t>
      </w:r>
      <w:r w:rsidRPr="00E635C5">
        <w:t xml:space="preserve"> (std 1</w:t>
      </w:r>
      <w:r>
        <w:t>7</w:t>
      </w:r>
      <w:r w:rsidRPr="00E635C5">
        <w:t>.</w:t>
      </w:r>
      <w:r>
        <w:t>3</w:t>
      </w:r>
      <w:r w:rsidRPr="00E635C5">
        <w:t xml:space="preserve">) in the first year and </w:t>
      </w:r>
      <w:r>
        <w:t>10.5</w:t>
      </w:r>
      <w:r w:rsidRPr="00E635C5">
        <w:t xml:space="preserve"> (std </w:t>
      </w:r>
      <w:r>
        <w:t>21.6</w:t>
      </w:r>
      <w:r w:rsidRPr="00E635C5">
        <w:t xml:space="preserve">) in the second year following enrolment. Comparator patients </w:t>
      </w:r>
      <w:r>
        <w:t>who had</w:t>
      </w:r>
      <w:r w:rsidRPr="00E635C5">
        <w:t xml:space="preserve"> emergency admissions had </w:t>
      </w:r>
      <w:r>
        <w:t>fewer</w:t>
      </w:r>
      <w:r w:rsidRPr="00E635C5">
        <w:t xml:space="preserve"> </w:t>
      </w:r>
      <w:r>
        <w:t>total bed-days for emergency admissions</w:t>
      </w:r>
      <w:r w:rsidRPr="00E635C5">
        <w:t xml:space="preserve"> (mean </w:t>
      </w:r>
      <w:r>
        <w:t>8.0</w:t>
      </w:r>
      <w:r w:rsidRPr="00E635C5">
        <w:t xml:space="preserve"> days, std </w:t>
      </w:r>
      <w:r>
        <w:t>14.3</w:t>
      </w:r>
      <w:r w:rsidRPr="00E635C5">
        <w:t xml:space="preserve">) in </w:t>
      </w:r>
      <w:r>
        <w:t>the</w:t>
      </w:r>
      <w:r w:rsidRPr="00E635C5">
        <w:t xml:space="preserve"> year </w:t>
      </w:r>
      <w:r w:rsidR="00AB1577">
        <w:t>before</w:t>
      </w:r>
      <w:r w:rsidRPr="00E635C5">
        <w:t xml:space="preserve"> enrolment, slightly l</w:t>
      </w:r>
      <w:r>
        <w:t>arger total</w:t>
      </w:r>
      <w:r w:rsidRPr="00E635C5">
        <w:t xml:space="preserve"> </w:t>
      </w:r>
      <w:r>
        <w:t>bed-days</w:t>
      </w:r>
      <w:r w:rsidRPr="00E635C5">
        <w:t xml:space="preserve"> in the first year (mean </w:t>
      </w:r>
      <w:r>
        <w:t>9.8</w:t>
      </w:r>
      <w:r w:rsidRPr="00E635C5">
        <w:t xml:space="preserve"> days, std </w:t>
      </w:r>
      <w:r>
        <w:t>20.6</w:t>
      </w:r>
      <w:r w:rsidRPr="00E635C5">
        <w:t xml:space="preserve">) </w:t>
      </w:r>
      <w:r>
        <w:t>and</w:t>
      </w:r>
      <w:r w:rsidRPr="00E635C5">
        <w:t xml:space="preserve"> in the second year (mean </w:t>
      </w:r>
      <w:r>
        <w:t>9.3</w:t>
      </w:r>
      <w:r w:rsidRPr="00E635C5">
        <w:t xml:space="preserve"> days, std </w:t>
      </w:r>
      <w:r>
        <w:t>16.5</w:t>
      </w:r>
      <w:r w:rsidRPr="00E635C5">
        <w:t>).</w:t>
      </w:r>
    </w:p>
    <w:p w14:paraId="04584E10" w14:textId="77777777" w:rsidR="00646410" w:rsidRDefault="00646410">
      <w:pPr>
        <w:spacing w:after="160" w:line="259" w:lineRule="auto"/>
      </w:pPr>
      <w:r>
        <w:br w:type="page"/>
      </w:r>
    </w:p>
    <w:p w14:paraId="122A55C2" w14:textId="77777777" w:rsidR="00A26BD5" w:rsidRDefault="00A26BD5" w:rsidP="00A26BD5">
      <w:pPr>
        <w:pStyle w:val="Heading3"/>
        <w:rPr>
          <w:lang w:val="en-GB"/>
        </w:rPr>
      </w:pPr>
      <w:r>
        <w:rPr>
          <w:lang w:val="en-GB"/>
        </w:rPr>
        <w:lastRenderedPageBreak/>
        <w:t>Potentially preventable hospital admissions</w:t>
      </w:r>
    </w:p>
    <w:p w14:paraId="7D289FC2" w14:textId="00AD2A1D" w:rsidR="00A26BD5" w:rsidRPr="002A561B" w:rsidRDefault="00A26BD5" w:rsidP="00A26BD5">
      <w:r>
        <w:rPr>
          <w:rStyle w:val="sytadelpagecell"/>
        </w:rPr>
        <w:t xml:space="preserve">Admission to hospital for a condition where the hospitalisation could have potentially been prevented was based on the </w:t>
      </w:r>
      <w:r w:rsidRPr="56425DF9">
        <w:rPr>
          <w:rStyle w:val="sytadelpagecell"/>
        </w:rPr>
        <w:t xml:space="preserve">definition used in the </w:t>
      </w:r>
      <w:r>
        <w:rPr>
          <w:rStyle w:val="sytadelpagecell"/>
        </w:rPr>
        <w:t xml:space="preserve">2019 </w:t>
      </w:r>
      <w:r w:rsidRPr="0096184F">
        <w:t>National Healthcare Agreement</w:t>
      </w:r>
      <w:r>
        <w:t>.</w:t>
      </w:r>
      <w:r w:rsidR="00AE43A8" w:rsidRPr="00AE43A8">
        <w:rPr>
          <w:rStyle w:val="FootnoteReference"/>
          <w:color w:val="408BCA"/>
        </w:rPr>
        <w:footnoteReference w:id="88"/>
      </w:r>
      <w:r w:rsidRPr="00AE43A8">
        <w:rPr>
          <w:color w:val="408BCA"/>
        </w:rPr>
        <w:t xml:space="preserve"> </w:t>
      </w:r>
      <w:r>
        <w:t>A</w:t>
      </w:r>
      <w:r w:rsidRPr="0096184F">
        <w:t xml:space="preserve"> small proportion (5.</w:t>
      </w:r>
      <w:r w:rsidR="00F63A84">
        <w:t>5</w:t>
      </w:r>
      <w:r w:rsidRPr="0096184F">
        <w:t xml:space="preserve">%) of HCH patients had </w:t>
      </w:r>
      <w:r>
        <w:t xml:space="preserve">a </w:t>
      </w:r>
      <w:r w:rsidRPr="0096184F">
        <w:t xml:space="preserve">potentially preventable hospitalisation in the year </w:t>
      </w:r>
      <w:r w:rsidR="0002675D">
        <w:t>before</w:t>
      </w:r>
      <w:r>
        <w:t xml:space="preserve"> enrolment.</w:t>
      </w:r>
      <w:r w:rsidRPr="005216C9">
        <w:t xml:space="preserve"> When measured in bed</w:t>
      </w:r>
      <w:r>
        <w:t>-</w:t>
      </w:r>
      <w:r w:rsidRPr="005216C9">
        <w:t>days, 2.4% of HCH patients had one or two bed-days for a potentially preventable hospitalisation, and 3.0% had three or more bed-days.</w:t>
      </w:r>
      <w:r>
        <w:t xml:space="preserve"> Admissions to hospital for </w:t>
      </w:r>
      <w:r w:rsidRPr="002A561B">
        <w:t xml:space="preserve">potentially preventable conditions remained </w:t>
      </w:r>
      <w:r>
        <w:t xml:space="preserve">stable </w:t>
      </w:r>
      <w:r w:rsidRPr="002A561B">
        <w:t>in the first year following enrolment (5.4% having an admission, 2.8% with three or more bed-days) while decreased in the second year following enrolment (4.9% having an admission, 3.0% with three or more bed-days).</w:t>
      </w:r>
    </w:p>
    <w:p w14:paraId="1A85D3BC" w14:textId="2212EAF1" w:rsidR="00A26BD5" w:rsidRPr="002A561B" w:rsidRDefault="00A26BD5" w:rsidP="00A26BD5">
      <w:r w:rsidRPr="002A561B">
        <w:t xml:space="preserve">Comparator patients </w:t>
      </w:r>
      <w:r>
        <w:t xml:space="preserve">were matched with HCH patients on the number of potentially preventable hospitalisations in the pre-enrolment period. </w:t>
      </w:r>
      <w:r w:rsidR="00E602FD">
        <w:t>Compared with</w:t>
      </w:r>
      <w:r w:rsidRPr="002A561B">
        <w:t xml:space="preserve"> HCH patients</w:t>
      </w:r>
      <w:r>
        <w:t>, the</w:t>
      </w:r>
      <w:r w:rsidRPr="002A561B">
        <w:t xml:space="preserve"> proportions of </w:t>
      </w:r>
      <w:r w:rsidR="000E16C4">
        <w:t>comparator</w:t>
      </w:r>
      <w:r>
        <w:t xml:space="preserve"> patients who had</w:t>
      </w:r>
      <w:r w:rsidRPr="002A561B">
        <w:t xml:space="preserve"> hospitalisations for potentially preventable conditions were slightly lower (5.0%) in the first year following enrolment and slightly higher (5.6%) in the second year following enrolment</w:t>
      </w:r>
      <w:r>
        <w:t xml:space="preserve"> (</w:t>
      </w:r>
      <w:r>
        <w:fldChar w:fldCharType="begin"/>
      </w:r>
      <w:r>
        <w:instrText xml:space="preserve"> REF _Ref96894755 \h </w:instrText>
      </w:r>
      <w:r>
        <w:fldChar w:fldCharType="separate"/>
      </w:r>
      <w:r w:rsidR="003C4BC2" w:rsidRPr="00F877C0">
        <w:t xml:space="preserve">Figure </w:t>
      </w:r>
      <w:r w:rsidR="003C4BC2">
        <w:rPr>
          <w:noProof/>
        </w:rPr>
        <w:t>68</w:t>
      </w:r>
      <w:r>
        <w:fldChar w:fldCharType="end"/>
      </w:r>
      <w:r>
        <w:t>)</w:t>
      </w:r>
      <w:r w:rsidRPr="002A561B">
        <w:t xml:space="preserve">. </w:t>
      </w:r>
    </w:p>
    <w:p w14:paraId="1B188953" w14:textId="0276D276" w:rsidR="00A26BD5" w:rsidRDefault="00A26BD5" w:rsidP="00A26BD5">
      <w:pPr>
        <w:pStyle w:val="TableFigureheading"/>
      </w:pPr>
      <w:bookmarkStart w:id="390" w:name="_Ref96894755"/>
      <w:r w:rsidRPr="00F877C0">
        <w:t xml:space="preserve">Figure </w:t>
      </w:r>
      <w:r>
        <w:fldChar w:fldCharType="begin"/>
      </w:r>
      <w:r>
        <w:instrText>SEQ Figure \* ARABIC</w:instrText>
      </w:r>
      <w:r>
        <w:fldChar w:fldCharType="separate"/>
      </w:r>
      <w:r w:rsidR="003C4BC2">
        <w:rPr>
          <w:noProof/>
        </w:rPr>
        <w:t>68</w:t>
      </w:r>
      <w:r>
        <w:fldChar w:fldCharType="end"/>
      </w:r>
      <w:bookmarkEnd w:id="390"/>
      <w:r>
        <w:t xml:space="preserve">: Potentially preventable hospitalisations among HCH </w:t>
      </w:r>
      <w:r w:rsidR="003C39A0">
        <w:rPr>
          <w:bCs w:val="0"/>
        </w:rPr>
        <w:t xml:space="preserve">and comparator </w:t>
      </w:r>
      <w:r>
        <w:t>patients</w:t>
      </w:r>
    </w:p>
    <w:p w14:paraId="1758E735" w14:textId="77777777" w:rsidR="00A26BD5" w:rsidRDefault="00A26BD5" w:rsidP="00A26BD5">
      <w:pPr>
        <w:jc w:val="center"/>
        <w:rPr>
          <w:lang w:val="en-GB"/>
        </w:rPr>
      </w:pPr>
      <w:r>
        <w:rPr>
          <w:noProof/>
          <w:lang w:val="en-GB"/>
        </w:rPr>
        <w:drawing>
          <wp:inline distT="0" distB="0" distL="0" distR="0" wp14:anchorId="7D67DFB7" wp14:editId="14FE6BB7">
            <wp:extent cx="5076428" cy="3552825"/>
            <wp:effectExtent l="0" t="0" r="0" b="0"/>
            <wp:docPr id="6281" name="Picture 628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1" name="Picture 6281" descr="Chart, line chart&#10;&#10;Description automatically generated"/>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081628" cy="3556464"/>
                    </a:xfrm>
                    <a:prstGeom prst="rect">
                      <a:avLst/>
                    </a:prstGeom>
                  </pic:spPr>
                </pic:pic>
              </a:graphicData>
            </a:graphic>
          </wp:inline>
        </w:drawing>
      </w:r>
    </w:p>
    <w:p w14:paraId="5447345C" w14:textId="1115D7DA" w:rsidR="00A26BD5" w:rsidRDefault="005C25A4" w:rsidP="005C25A4">
      <w:pPr>
        <w:pStyle w:val="Chartortablefootnote"/>
        <w:spacing w:after="0"/>
        <w:ind w:right="-45"/>
        <w:rPr>
          <w:lang w:val="en-GB"/>
        </w:rPr>
      </w:pPr>
      <w:r>
        <w:rPr>
          <w:lang w:val="en-GB"/>
        </w:rPr>
        <w:t>Notes:</w:t>
      </w:r>
      <w:r w:rsidR="00A26BD5">
        <w:rPr>
          <w:lang w:val="en-GB"/>
        </w:rPr>
        <w:t xml:space="preserve"> People with length of follow-up shorter than respective yearly anniversaries were excluded from analyses.</w:t>
      </w:r>
    </w:p>
    <w:p w14:paraId="5CD85F98" w14:textId="6FC3007B" w:rsidR="005C25A4" w:rsidRDefault="005C25A4" w:rsidP="005C25A4">
      <w:pPr>
        <w:pStyle w:val="Chartortablefootnote"/>
        <w:ind w:right="95"/>
        <w:rPr>
          <w:lang w:val="en-GB"/>
        </w:rPr>
      </w:pPr>
      <w:r w:rsidRPr="005C25A4">
        <w:rPr>
          <w:rStyle w:val="SourceChar"/>
          <w:rFonts w:eastAsia="Calibri"/>
          <w:bCs w:val="0"/>
          <w:i/>
          <w:szCs w:val="18"/>
          <w:lang w:eastAsia="en-US"/>
        </w:rPr>
        <w:t>Source: Admitted Patient Care data for patients in five states (NSW, Vic, Qld, SA and Tas)</w:t>
      </w:r>
      <w:r>
        <w:rPr>
          <w:rStyle w:val="SourceChar"/>
          <w:rFonts w:eastAsia="Calibri"/>
          <w:bCs w:val="0"/>
          <w:i/>
          <w:szCs w:val="18"/>
          <w:lang w:eastAsia="en-US"/>
        </w:rPr>
        <w:t>.</w:t>
      </w:r>
    </w:p>
    <w:p w14:paraId="4AB09AE4" w14:textId="3C0CE913" w:rsidR="00A26BD5" w:rsidRDefault="00A26BD5" w:rsidP="00A26BD5">
      <w:pPr>
        <w:pStyle w:val="Heading3"/>
        <w:rPr>
          <w:lang w:val="en-GB"/>
        </w:rPr>
      </w:pPr>
      <w:r w:rsidRPr="004253D2">
        <w:rPr>
          <w:lang w:val="en-GB"/>
        </w:rPr>
        <w:lastRenderedPageBreak/>
        <w:t xml:space="preserve">National Weighted Activity </w:t>
      </w:r>
      <w:r w:rsidRPr="56425DF9">
        <w:rPr>
          <w:lang w:val="en-GB"/>
        </w:rPr>
        <w:t>Units</w:t>
      </w:r>
      <w:r w:rsidR="00646410">
        <w:rPr>
          <w:lang w:val="en-GB"/>
        </w:rPr>
        <w:t xml:space="preserve"> (NWAUs)</w:t>
      </w:r>
    </w:p>
    <w:p w14:paraId="74330520" w14:textId="1322B057" w:rsidR="00A26BD5" w:rsidRDefault="00A26BD5" w:rsidP="00A26BD5">
      <w:r w:rsidRPr="00FC26DC">
        <w:rPr>
          <w:lang w:val="en-GB"/>
        </w:rPr>
        <w:t>NWAU</w:t>
      </w:r>
      <w:r>
        <w:rPr>
          <w:lang w:val="en-GB"/>
        </w:rPr>
        <w:t xml:space="preserve"> over 12 months was quantified as a proxy measure for weighted intensity of hospital episodes, using a </w:t>
      </w:r>
      <w:r>
        <w:t>calculator developed by the Independent Hospital Pricing Authority for financial year 2018</w:t>
      </w:r>
      <w:r w:rsidR="006003C1">
        <w:t>–</w:t>
      </w:r>
      <w:r>
        <w:t>2019.</w:t>
      </w:r>
      <w:r w:rsidR="006003C1" w:rsidRPr="006003C1">
        <w:rPr>
          <w:rStyle w:val="FootnoteReference"/>
          <w:color w:val="408BCA"/>
        </w:rPr>
        <w:footnoteReference w:id="89"/>
      </w:r>
    </w:p>
    <w:p w14:paraId="645896D5" w14:textId="73E7B078" w:rsidR="00A26BD5" w:rsidRDefault="00A26BD5" w:rsidP="00A26BD5">
      <w:pPr>
        <w:rPr>
          <w:lang w:val="en-GB"/>
        </w:rPr>
      </w:pPr>
      <w:r>
        <w:rPr>
          <w:lang w:val="en-GB"/>
        </w:rPr>
        <w:t xml:space="preserve">Among all HCH patients, </w:t>
      </w:r>
      <w:r w:rsidR="00DD573F">
        <w:rPr>
          <w:lang w:val="en-GB"/>
        </w:rPr>
        <w:t>the mean</w:t>
      </w:r>
      <w:r>
        <w:rPr>
          <w:lang w:val="en-GB"/>
        </w:rPr>
        <w:t xml:space="preserve"> NWAU was 0.77 units in the year </w:t>
      </w:r>
      <w:r w:rsidR="0002675D">
        <w:rPr>
          <w:lang w:val="en-GB"/>
        </w:rPr>
        <w:t>before</w:t>
      </w:r>
      <w:r>
        <w:rPr>
          <w:lang w:val="en-GB"/>
        </w:rPr>
        <w:t xml:space="preserve"> enrolment, and this remained almost unchanged in the first and second years after enrolment. </w:t>
      </w:r>
      <w:r w:rsidR="00DD573F">
        <w:rPr>
          <w:lang w:val="en-GB"/>
        </w:rPr>
        <w:t>Mean</w:t>
      </w:r>
      <w:r>
        <w:rPr>
          <w:lang w:val="en-GB"/>
        </w:rPr>
        <w:t xml:space="preserve"> NWAU among all </w:t>
      </w:r>
      <w:r w:rsidR="000E16C4">
        <w:rPr>
          <w:lang w:val="en-GB"/>
        </w:rPr>
        <w:t>comparator</w:t>
      </w:r>
      <w:r>
        <w:rPr>
          <w:lang w:val="en-GB"/>
        </w:rPr>
        <w:t xml:space="preserve"> patients </w:t>
      </w:r>
      <w:r w:rsidR="00F11772">
        <w:rPr>
          <w:lang w:val="en-GB"/>
        </w:rPr>
        <w:t xml:space="preserve">– </w:t>
      </w:r>
      <w:r>
        <w:rPr>
          <w:lang w:val="en-GB"/>
        </w:rPr>
        <w:t>matched with HCH patients at baseline – was also stable in the follow-up period (</w:t>
      </w:r>
      <w:r>
        <w:rPr>
          <w:lang w:val="en-GB"/>
        </w:rPr>
        <w:fldChar w:fldCharType="begin"/>
      </w:r>
      <w:r>
        <w:rPr>
          <w:lang w:val="en-GB"/>
        </w:rPr>
        <w:instrText xml:space="preserve"> REF _Ref96891297 \h </w:instrText>
      </w:r>
      <w:r>
        <w:rPr>
          <w:lang w:val="en-GB"/>
        </w:rPr>
      </w:r>
      <w:r>
        <w:rPr>
          <w:lang w:val="en-GB"/>
        </w:rPr>
        <w:fldChar w:fldCharType="separate"/>
      </w:r>
      <w:r w:rsidR="003C4BC2" w:rsidRPr="00A970A9">
        <w:t xml:space="preserve">Table </w:t>
      </w:r>
      <w:r w:rsidR="003C4BC2">
        <w:rPr>
          <w:bCs/>
          <w:noProof/>
        </w:rPr>
        <w:t>47</w:t>
      </w:r>
      <w:r>
        <w:rPr>
          <w:lang w:val="en-GB"/>
        </w:rPr>
        <w:fldChar w:fldCharType="end"/>
      </w:r>
      <w:r>
        <w:rPr>
          <w:lang w:val="en-GB"/>
        </w:rPr>
        <w:t>).</w:t>
      </w:r>
    </w:p>
    <w:p w14:paraId="359F4D1C" w14:textId="4796D761" w:rsidR="00A26BD5" w:rsidRDefault="00A26BD5" w:rsidP="00A26BD5">
      <w:pPr>
        <w:rPr>
          <w:lang w:val="en-GB"/>
        </w:rPr>
      </w:pPr>
      <w:r>
        <w:rPr>
          <w:lang w:val="en-GB"/>
        </w:rPr>
        <w:t xml:space="preserve">In HCH patients who were admitted to hospital for any reason, the </w:t>
      </w:r>
      <w:r w:rsidR="006779EA">
        <w:rPr>
          <w:lang w:val="en-GB"/>
        </w:rPr>
        <w:t>mean</w:t>
      </w:r>
      <w:r>
        <w:rPr>
          <w:lang w:val="en-GB"/>
        </w:rPr>
        <w:t xml:space="preserve"> NWAU </w:t>
      </w:r>
      <w:r w:rsidR="0002675D">
        <w:rPr>
          <w:lang w:val="en-GB"/>
        </w:rPr>
        <w:t>before</w:t>
      </w:r>
      <w:r>
        <w:rPr>
          <w:lang w:val="en-GB"/>
        </w:rPr>
        <w:t xml:space="preserve"> enrolment was 2.82 units (std 4.22). This amount decreased slightly to 2.66 units (std 4.26) in the first year following enrolment then increased slightly to 2.84 units (std 5.10) in the second year following enrolment. In </w:t>
      </w:r>
      <w:r w:rsidR="000E16C4">
        <w:rPr>
          <w:lang w:val="en-GB"/>
        </w:rPr>
        <w:t>comparator</w:t>
      </w:r>
      <w:r>
        <w:rPr>
          <w:lang w:val="en-GB"/>
        </w:rPr>
        <w:t xml:space="preserve"> patients who also had an admission, the </w:t>
      </w:r>
      <w:r w:rsidR="00BC3BA1">
        <w:rPr>
          <w:lang w:val="en-GB"/>
        </w:rPr>
        <w:t>mean</w:t>
      </w:r>
      <w:r>
        <w:rPr>
          <w:lang w:val="en-GB"/>
        </w:rPr>
        <w:t xml:space="preserve"> NWAU before enrolment was 2.66 units (std 4.08), then increased to 2.80 units (std 5.00) in the first year following enrolment and 2.77 units (std 4.55) in the second year following enrolment</w:t>
      </w:r>
      <w:r w:rsidRPr="00FA61B7">
        <w:rPr>
          <w:lang w:val="en-GB"/>
        </w:rPr>
        <w:t xml:space="preserve"> </w:t>
      </w:r>
      <w:r>
        <w:rPr>
          <w:lang w:val="en-GB"/>
        </w:rPr>
        <w:t>(</w:t>
      </w:r>
      <w:r w:rsidRPr="00CB1E47">
        <w:rPr>
          <w:rFonts w:eastAsiaTheme="minorEastAsia"/>
          <w:bCs/>
          <w:color w:val="1D2455"/>
          <w:szCs w:val="20"/>
          <w:lang w:val="en-GB" w:eastAsia="en-AU"/>
        </w:rPr>
        <w:fldChar w:fldCharType="begin"/>
      </w:r>
      <w:r w:rsidRPr="00CB1E47">
        <w:rPr>
          <w:rFonts w:eastAsiaTheme="minorEastAsia"/>
          <w:bCs/>
          <w:color w:val="1D2455"/>
          <w:szCs w:val="20"/>
          <w:lang w:val="en-GB" w:eastAsia="en-AU"/>
        </w:rPr>
        <w:instrText xml:space="preserve"> REF _Ref96891297 \h </w:instrText>
      </w:r>
      <w:r w:rsidR="00CB1E47">
        <w:rPr>
          <w:rFonts w:eastAsiaTheme="minorEastAsia"/>
          <w:bCs/>
          <w:color w:val="1D2455"/>
          <w:szCs w:val="20"/>
          <w:lang w:val="en-GB" w:eastAsia="en-AU"/>
        </w:rPr>
        <w:instrText xml:space="preserve"> \* MERGEFORMAT </w:instrText>
      </w:r>
      <w:r w:rsidRPr="00CB1E47">
        <w:rPr>
          <w:rFonts w:eastAsiaTheme="minorEastAsia"/>
          <w:bCs/>
          <w:color w:val="1D2455"/>
          <w:szCs w:val="20"/>
          <w:lang w:val="en-GB" w:eastAsia="en-AU"/>
        </w:rPr>
      </w:r>
      <w:r w:rsidRPr="00CB1E47">
        <w:rPr>
          <w:rFonts w:eastAsiaTheme="minorEastAsia"/>
          <w:bCs/>
          <w:color w:val="1D2455"/>
          <w:szCs w:val="20"/>
          <w:lang w:val="en-GB" w:eastAsia="en-AU"/>
        </w:rPr>
        <w:fldChar w:fldCharType="separate"/>
      </w:r>
      <w:r w:rsidR="003C4BC2" w:rsidRPr="003C4BC2">
        <w:rPr>
          <w:rFonts w:eastAsiaTheme="minorEastAsia"/>
          <w:bCs/>
          <w:color w:val="1D2455"/>
          <w:szCs w:val="20"/>
          <w:lang w:val="en-GB" w:eastAsia="en-AU"/>
        </w:rPr>
        <w:t>Table 47</w:t>
      </w:r>
      <w:r w:rsidRPr="00CB1E47">
        <w:rPr>
          <w:rFonts w:eastAsiaTheme="minorEastAsia"/>
          <w:bCs/>
          <w:color w:val="1D2455"/>
          <w:szCs w:val="20"/>
          <w:lang w:val="en-GB" w:eastAsia="en-AU"/>
        </w:rPr>
        <w:fldChar w:fldCharType="end"/>
      </w:r>
      <w:r>
        <w:rPr>
          <w:lang w:val="en-GB"/>
        </w:rPr>
        <w:t>).</w:t>
      </w:r>
    </w:p>
    <w:p w14:paraId="3B5DFBF2" w14:textId="37D5B8DC" w:rsidR="00A26BD5" w:rsidRDefault="00A26BD5" w:rsidP="00A26BD5">
      <w:pPr>
        <w:pStyle w:val="TableFigureheading"/>
        <w:rPr>
          <w:bCs w:val="0"/>
        </w:rPr>
      </w:pPr>
      <w:bookmarkStart w:id="391" w:name="_Ref96891297"/>
      <w:r w:rsidRPr="00A970A9">
        <w:rPr>
          <w:bCs w:val="0"/>
        </w:rPr>
        <w:t xml:space="preserve">Table </w:t>
      </w:r>
      <w:r w:rsidRPr="00A970A9">
        <w:rPr>
          <w:bCs w:val="0"/>
        </w:rPr>
        <w:fldChar w:fldCharType="begin"/>
      </w:r>
      <w:r w:rsidRPr="00A970A9">
        <w:rPr>
          <w:bCs w:val="0"/>
        </w:rPr>
        <w:instrText xml:space="preserve"> SEQ Table \* ARABIC </w:instrText>
      </w:r>
      <w:r w:rsidRPr="00A970A9">
        <w:rPr>
          <w:bCs w:val="0"/>
        </w:rPr>
        <w:fldChar w:fldCharType="separate"/>
      </w:r>
      <w:r w:rsidR="003C4BC2">
        <w:rPr>
          <w:bCs w:val="0"/>
          <w:noProof/>
        </w:rPr>
        <w:t>47</w:t>
      </w:r>
      <w:r w:rsidRPr="00A970A9">
        <w:rPr>
          <w:bCs w:val="0"/>
        </w:rPr>
        <w:fldChar w:fldCharType="end"/>
      </w:r>
      <w:bookmarkEnd w:id="391"/>
      <w:r w:rsidRPr="00A970A9">
        <w:rPr>
          <w:bCs w:val="0"/>
        </w:rPr>
        <w:t>:</w:t>
      </w:r>
      <w:r>
        <w:rPr>
          <w:bCs w:val="0"/>
        </w:rPr>
        <w:t xml:space="preserve"> </w:t>
      </w:r>
      <w:r w:rsidRPr="004253D2">
        <w:rPr>
          <w:lang w:val="en-GB"/>
        </w:rPr>
        <w:t>National Weighted Activity Unit</w:t>
      </w:r>
      <w:r w:rsidR="003C39A0">
        <w:rPr>
          <w:lang w:val="en-GB"/>
        </w:rPr>
        <w:t>s</w:t>
      </w:r>
      <w:r>
        <w:rPr>
          <w:lang w:val="en-GB"/>
        </w:rPr>
        <w:t xml:space="preserve"> among </w:t>
      </w:r>
      <w:r>
        <w:t xml:space="preserve">HCH </w:t>
      </w:r>
      <w:r w:rsidR="003C39A0">
        <w:rPr>
          <w:bCs w:val="0"/>
        </w:rPr>
        <w:t xml:space="preserve">and comparator </w:t>
      </w:r>
      <w:r>
        <w:t>patients</w:t>
      </w:r>
    </w:p>
    <w:tbl>
      <w:tblPr>
        <w:tblW w:w="4804"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20" w:firstRow="1" w:lastRow="0" w:firstColumn="0" w:lastColumn="0" w:noHBand="0" w:noVBand="1"/>
      </w:tblPr>
      <w:tblGrid>
        <w:gridCol w:w="2007"/>
        <w:gridCol w:w="1474"/>
        <w:gridCol w:w="1861"/>
        <w:gridCol w:w="1500"/>
        <w:gridCol w:w="1821"/>
      </w:tblGrid>
      <w:tr w:rsidR="00816DA3" w:rsidRPr="004C70C6" w14:paraId="33F4CF80" w14:textId="77777777" w:rsidTr="00D00219">
        <w:trPr>
          <w:tblHeader/>
          <w:jc w:val="center"/>
        </w:trPr>
        <w:tc>
          <w:tcPr>
            <w:tcW w:w="1158" w:type="pct"/>
            <w:vMerge w:val="restart"/>
            <w:shd w:val="clear" w:color="auto" w:fill="408BCA"/>
            <w:vAlign w:val="center"/>
          </w:tcPr>
          <w:p w14:paraId="1F97456A" w14:textId="65A89B0B" w:rsidR="00816DA3" w:rsidRPr="00D00219" w:rsidRDefault="00816DA3" w:rsidP="00DB2B85">
            <w:pPr>
              <w:spacing w:after="0"/>
              <w:ind w:left="102" w:right="102"/>
              <w:rPr>
                <w:rFonts w:eastAsia="Century Gothic" w:cs="Century Gothic"/>
                <w:b/>
                <w:bCs/>
                <w:color w:val="FFFFFF" w:themeColor="background1"/>
                <w:sz w:val="18"/>
                <w:szCs w:val="18"/>
              </w:rPr>
            </w:pPr>
            <w:r w:rsidRPr="00D00219">
              <w:rPr>
                <w:rFonts w:eastAsia="Century Gothic" w:cs="Century Gothic"/>
                <w:b/>
                <w:bCs/>
                <w:color w:val="FFFFFF" w:themeColor="background1"/>
                <w:sz w:val="18"/>
                <w:szCs w:val="18"/>
              </w:rPr>
              <w:t>Patients/ period</w:t>
            </w:r>
          </w:p>
        </w:tc>
        <w:tc>
          <w:tcPr>
            <w:tcW w:w="1925" w:type="pct"/>
            <w:gridSpan w:val="2"/>
            <w:shd w:val="clear" w:color="auto" w:fill="408BCA"/>
          </w:tcPr>
          <w:p w14:paraId="094EA676" w14:textId="77777777" w:rsidR="00816DA3" w:rsidRPr="00D00219" w:rsidRDefault="00816DA3" w:rsidP="00DB2B85">
            <w:pPr>
              <w:spacing w:after="0"/>
              <w:ind w:left="102" w:right="102"/>
              <w:jc w:val="center"/>
              <w:rPr>
                <w:rFonts w:eastAsia="Century Gothic" w:cs="Century Gothic"/>
                <w:b/>
                <w:bCs/>
                <w:color w:val="FFFFFF" w:themeColor="background1"/>
                <w:sz w:val="18"/>
                <w:szCs w:val="18"/>
              </w:rPr>
            </w:pPr>
            <w:r w:rsidRPr="00D00219">
              <w:rPr>
                <w:rFonts w:eastAsia="Century Gothic" w:cs="Century Gothic"/>
                <w:b/>
                <w:bCs/>
                <w:color w:val="FFFFFF" w:themeColor="background1"/>
                <w:sz w:val="18"/>
                <w:szCs w:val="18"/>
              </w:rPr>
              <w:t>HCH patients</w:t>
            </w:r>
          </w:p>
        </w:tc>
        <w:tc>
          <w:tcPr>
            <w:tcW w:w="1917" w:type="pct"/>
            <w:gridSpan w:val="2"/>
            <w:shd w:val="clear" w:color="auto" w:fill="408BCA"/>
          </w:tcPr>
          <w:p w14:paraId="2954C420" w14:textId="77777777" w:rsidR="00816DA3" w:rsidRPr="00D00219" w:rsidRDefault="00816DA3" w:rsidP="00DB2B85">
            <w:pPr>
              <w:spacing w:after="0"/>
              <w:ind w:left="102" w:right="102"/>
              <w:jc w:val="center"/>
              <w:rPr>
                <w:rFonts w:eastAsia="Century Gothic" w:cs="Century Gothic"/>
                <w:b/>
                <w:bCs/>
                <w:color w:val="FFFFFF" w:themeColor="background1"/>
                <w:sz w:val="18"/>
                <w:szCs w:val="18"/>
              </w:rPr>
            </w:pPr>
            <w:r w:rsidRPr="00D00219">
              <w:rPr>
                <w:rFonts w:eastAsia="Century Gothic" w:cs="Century Gothic"/>
                <w:b/>
                <w:bCs/>
                <w:color w:val="FFFFFF" w:themeColor="background1"/>
                <w:sz w:val="18"/>
                <w:szCs w:val="18"/>
              </w:rPr>
              <w:t>Comparators</w:t>
            </w:r>
          </w:p>
        </w:tc>
      </w:tr>
      <w:tr w:rsidR="005134A0" w:rsidRPr="004C70C6" w14:paraId="0C782054" w14:textId="77777777" w:rsidTr="00D00219">
        <w:trPr>
          <w:tblHeader/>
          <w:jc w:val="center"/>
        </w:trPr>
        <w:tc>
          <w:tcPr>
            <w:tcW w:w="1158" w:type="pct"/>
            <w:vMerge/>
            <w:shd w:val="clear" w:color="auto" w:fill="408BCA"/>
            <w:vAlign w:val="center"/>
          </w:tcPr>
          <w:p w14:paraId="51C92D1A" w14:textId="77777777" w:rsidR="00816DA3" w:rsidRPr="00D00219" w:rsidRDefault="00816DA3" w:rsidP="00DB2B85">
            <w:pPr>
              <w:spacing w:after="0"/>
              <w:ind w:left="102" w:right="102"/>
              <w:rPr>
                <w:rFonts w:eastAsia="Century Gothic" w:cs="Century Gothic"/>
                <w:b/>
                <w:bCs/>
                <w:color w:val="FFFFFF" w:themeColor="background1"/>
                <w:sz w:val="18"/>
                <w:szCs w:val="18"/>
              </w:rPr>
            </w:pPr>
          </w:p>
        </w:tc>
        <w:tc>
          <w:tcPr>
            <w:tcW w:w="851" w:type="pct"/>
            <w:shd w:val="clear" w:color="auto" w:fill="408BCA"/>
          </w:tcPr>
          <w:p w14:paraId="2DD422DA" w14:textId="77777777" w:rsidR="00816DA3" w:rsidRPr="00D00219" w:rsidRDefault="00816DA3" w:rsidP="00DB2B85">
            <w:pPr>
              <w:spacing w:after="0"/>
              <w:ind w:left="102" w:right="102"/>
              <w:jc w:val="right"/>
              <w:rPr>
                <w:rFonts w:eastAsia="Century Gothic" w:cs="Century Gothic"/>
                <w:b/>
                <w:bCs/>
                <w:color w:val="FFFFFF" w:themeColor="background1"/>
                <w:sz w:val="18"/>
                <w:szCs w:val="18"/>
              </w:rPr>
            </w:pPr>
            <w:r w:rsidRPr="00D00219">
              <w:rPr>
                <w:rFonts w:eastAsia="Century Gothic" w:cs="Century Gothic"/>
                <w:b/>
                <w:bCs/>
                <w:color w:val="FFFFFF" w:themeColor="background1"/>
                <w:sz w:val="18"/>
                <w:szCs w:val="18"/>
              </w:rPr>
              <w:t>Mean (std)</w:t>
            </w:r>
          </w:p>
        </w:tc>
        <w:tc>
          <w:tcPr>
            <w:tcW w:w="1074" w:type="pct"/>
            <w:shd w:val="clear" w:color="auto" w:fill="408BCA"/>
          </w:tcPr>
          <w:p w14:paraId="3E49C7F5" w14:textId="77777777" w:rsidR="00816DA3" w:rsidRPr="00D00219" w:rsidRDefault="00816DA3" w:rsidP="00DB2B85">
            <w:pPr>
              <w:spacing w:after="0"/>
              <w:ind w:right="102" w:hanging="132"/>
              <w:jc w:val="right"/>
              <w:rPr>
                <w:rFonts w:eastAsia="Century Gothic" w:cs="Century Gothic"/>
                <w:b/>
                <w:bCs/>
                <w:color w:val="FFFFFF" w:themeColor="background1"/>
                <w:sz w:val="18"/>
                <w:szCs w:val="18"/>
              </w:rPr>
            </w:pPr>
            <w:r w:rsidRPr="00D00219">
              <w:rPr>
                <w:rFonts w:eastAsia="Century Gothic" w:cs="Century Gothic"/>
                <w:b/>
                <w:bCs/>
                <w:color w:val="FFFFFF" w:themeColor="background1"/>
                <w:sz w:val="18"/>
                <w:szCs w:val="18"/>
              </w:rPr>
              <w:t>Median (IQR)</w:t>
            </w:r>
          </w:p>
        </w:tc>
        <w:tc>
          <w:tcPr>
            <w:tcW w:w="866" w:type="pct"/>
            <w:shd w:val="clear" w:color="auto" w:fill="408BCA"/>
          </w:tcPr>
          <w:p w14:paraId="2F88D5C6" w14:textId="77777777" w:rsidR="00816DA3" w:rsidRPr="00D00219" w:rsidRDefault="00816DA3" w:rsidP="00DB2B85">
            <w:pPr>
              <w:spacing w:after="0"/>
              <w:ind w:left="102" w:right="102"/>
              <w:jc w:val="right"/>
              <w:rPr>
                <w:rFonts w:eastAsia="Century Gothic" w:cs="Century Gothic"/>
                <w:b/>
                <w:bCs/>
                <w:color w:val="FFFFFF" w:themeColor="background1"/>
                <w:sz w:val="18"/>
                <w:szCs w:val="18"/>
              </w:rPr>
            </w:pPr>
            <w:r w:rsidRPr="00D00219">
              <w:rPr>
                <w:rFonts w:eastAsia="Century Gothic" w:cs="Century Gothic"/>
                <w:b/>
                <w:bCs/>
                <w:color w:val="FFFFFF" w:themeColor="background1"/>
                <w:sz w:val="18"/>
                <w:szCs w:val="18"/>
              </w:rPr>
              <w:t>Mean (std)</w:t>
            </w:r>
          </w:p>
        </w:tc>
        <w:tc>
          <w:tcPr>
            <w:tcW w:w="1051" w:type="pct"/>
            <w:shd w:val="clear" w:color="auto" w:fill="408BCA"/>
          </w:tcPr>
          <w:p w14:paraId="2F7DE99E" w14:textId="77777777" w:rsidR="00816DA3" w:rsidRPr="00D00219" w:rsidRDefault="00816DA3" w:rsidP="00DB2B85">
            <w:pPr>
              <w:spacing w:after="0"/>
              <w:ind w:left="102" w:right="102"/>
              <w:jc w:val="right"/>
              <w:rPr>
                <w:rFonts w:eastAsia="Century Gothic" w:cs="Century Gothic"/>
                <w:b/>
                <w:bCs/>
                <w:color w:val="FFFFFF" w:themeColor="background1"/>
                <w:sz w:val="18"/>
                <w:szCs w:val="18"/>
              </w:rPr>
            </w:pPr>
            <w:r w:rsidRPr="00D00219">
              <w:rPr>
                <w:rFonts w:eastAsia="Century Gothic" w:cs="Century Gothic"/>
                <w:b/>
                <w:bCs/>
                <w:color w:val="FFFFFF" w:themeColor="background1"/>
                <w:sz w:val="18"/>
                <w:szCs w:val="18"/>
              </w:rPr>
              <w:t>Median (IQR)</w:t>
            </w:r>
          </w:p>
        </w:tc>
      </w:tr>
      <w:tr w:rsidR="00A26BD5" w:rsidRPr="00A144BD" w14:paraId="33E7320D" w14:textId="77777777" w:rsidTr="00816DA3">
        <w:trPr>
          <w:trHeight w:val="340"/>
          <w:jc w:val="center"/>
        </w:trPr>
        <w:tc>
          <w:tcPr>
            <w:tcW w:w="1158" w:type="pct"/>
            <w:vAlign w:val="center"/>
          </w:tcPr>
          <w:p w14:paraId="777CE664" w14:textId="77777777" w:rsidR="00A26BD5" w:rsidRPr="00624F0F" w:rsidRDefault="00A26BD5" w:rsidP="00DF529A">
            <w:pPr>
              <w:spacing w:after="0"/>
              <w:ind w:right="102"/>
              <w:rPr>
                <w:rFonts w:eastAsia="Century Gothic" w:cs="Century Gothic"/>
                <w:b/>
                <w:bCs/>
                <w:color w:val="000000"/>
                <w:sz w:val="18"/>
                <w:szCs w:val="18"/>
              </w:rPr>
            </w:pPr>
            <w:r w:rsidRPr="00624F0F">
              <w:rPr>
                <w:rFonts w:eastAsia="Century Gothic" w:cs="Century Gothic"/>
                <w:b/>
                <w:bCs/>
                <w:color w:val="000000"/>
                <w:sz w:val="18"/>
                <w:szCs w:val="18"/>
              </w:rPr>
              <w:t>In all patients</w:t>
            </w:r>
          </w:p>
        </w:tc>
        <w:tc>
          <w:tcPr>
            <w:tcW w:w="851" w:type="pct"/>
          </w:tcPr>
          <w:p w14:paraId="0D9F8D28" w14:textId="77777777" w:rsidR="00A26BD5" w:rsidRPr="00CB04C3" w:rsidRDefault="00A26BD5" w:rsidP="00DB2B85">
            <w:pPr>
              <w:spacing w:after="0"/>
              <w:ind w:left="102" w:right="102"/>
              <w:jc w:val="right"/>
              <w:rPr>
                <w:rFonts w:eastAsia="Century Gothic" w:cs="Century Gothic"/>
                <w:color w:val="000000"/>
                <w:sz w:val="18"/>
                <w:szCs w:val="18"/>
              </w:rPr>
            </w:pPr>
          </w:p>
        </w:tc>
        <w:tc>
          <w:tcPr>
            <w:tcW w:w="1074" w:type="pct"/>
          </w:tcPr>
          <w:p w14:paraId="3CF6F0B4" w14:textId="77777777" w:rsidR="00A26BD5" w:rsidRPr="00CB04C3" w:rsidRDefault="00A26BD5" w:rsidP="00DB2B85">
            <w:pPr>
              <w:spacing w:after="0"/>
              <w:ind w:right="102" w:hanging="132"/>
              <w:jc w:val="right"/>
              <w:rPr>
                <w:sz w:val="18"/>
                <w:szCs w:val="18"/>
              </w:rPr>
            </w:pPr>
          </w:p>
        </w:tc>
        <w:tc>
          <w:tcPr>
            <w:tcW w:w="866" w:type="pct"/>
            <w:vAlign w:val="center"/>
          </w:tcPr>
          <w:p w14:paraId="687CF391" w14:textId="77777777" w:rsidR="00A26BD5" w:rsidRPr="00CB04C3" w:rsidRDefault="00A26BD5" w:rsidP="00DB2B85">
            <w:pPr>
              <w:spacing w:after="0"/>
              <w:ind w:left="102" w:right="102"/>
              <w:jc w:val="right"/>
              <w:rPr>
                <w:sz w:val="18"/>
                <w:szCs w:val="18"/>
              </w:rPr>
            </w:pPr>
          </w:p>
        </w:tc>
        <w:tc>
          <w:tcPr>
            <w:tcW w:w="1051" w:type="pct"/>
          </w:tcPr>
          <w:p w14:paraId="1C98FB23" w14:textId="77777777" w:rsidR="00A26BD5" w:rsidRPr="00CB04C3" w:rsidRDefault="00A26BD5" w:rsidP="00DB2B85">
            <w:pPr>
              <w:spacing w:after="0"/>
              <w:ind w:left="102" w:right="102"/>
              <w:jc w:val="right"/>
              <w:rPr>
                <w:sz w:val="18"/>
                <w:szCs w:val="18"/>
              </w:rPr>
            </w:pPr>
          </w:p>
        </w:tc>
      </w:tr>
      <w:tr w:rsidR="00A26BD5" w:rsidRPr="00A144BD" w14:paraId="000EF8CA" w14:textId="77777777" w:rsidTr="00816DA3">
        <w:trPr>
          <w:trHeight w:val="340"/>
          <w:jc w:val="center"/>
        </w:trPr>
        <w:tc>
          <w:tcPr>
            <w:tcW w:w="1158" w:type="pct"/>
            <w:vAlign w:val="center"/>
          </w:tcPr>
          <w:p w14:paraId="4777E960" w14:textId="77777777" w:rsidR="00A26BD5" w:rsidRPr="00624F0F" w:rsidRDefault="00A26BD5" w:rsidP="00DF529A">
            <w:pPr>
              <w:spacing w:after="0"/>
              <w:ind w:right="102" w:firstLine="361"/>
              <w:rPr>
                <w:rFonts w:eastAsia="Century Gothic" w:cs="Century Gothic"/>
                <w:bCs/>
                <w:color w:val="000000"/>
                <w:sz w:val="18"/>
                <w:szCs w:val="18"/>
              </w:rPr>
            </w:pPr>
            <w:r w:rsidRPr="00624F0F">
              <w:rPr>
                <w:rFonts w:eastAsia="Century Gothic" w:cs="Century Gothic"/>
                <w:bCs/>
                <w:color w:val="000000"/>
                <w:sz w:val="18"/>
                <w:szCs w:val="18"/>
              </w:rPr>
              <w:t>Pre-enrolment</w:t>
            </w:r>
          </w:p>
        </w:tc>
        <w:tc>
          <w:tcPr>
            <w:tcW w:w="851" w:type="pct"/>
          </w:tcPr>
          <w:p w14:paraId="5E40DABF" w14:textId="77777777" w:rsidR="00A26BD5" w:rsidRPr="00CB04C3" w:rsidRDefault="00A26BD5" w:rsidP="00DB2B85">
            <w:pPr>
              <w:spacing w:after="0"/>
              <w:ind w:left="102" w:right="102"/>
              <w:jc w:val="right"/>
              <w:rPr>
                <w:rFonts w:eastAsia="Century Gothic" w:cs="Century Gothic"/>
                <w:color w:val="000000"/>
                <w:sz w:val="18"/>
                <w:szCs w:val="18"/>
              </w:rPr>
            </w:pPr>
            <w:r>
              <w:rPr>
                <w:rFonts w:eastAsia="Century Gothic" w:cs="Century Gothic"/>
                <w:color w:val="000000"/>
                <w:sz w:val="18"/>
                <w:szCs w:val="18"/>
              </w:rPr>
              <w:t>0.77 (2.53)</w:t>
            </w:r>
          </w:p>
        </w:tc>
        <w:tc>
          <w:tcPr>
            <w:tcW w:w="1074" w:type="pct"/>
          </w:tcPr>
          <w:p w14:paraId="7914A72D" w14:textId="0836DE2A" w:rsidR="00A26BD5" w:rsidRDefault="00A26BD5" w:rsidP="00DB2B85">
            <w:pPr>
              <w:spacing w:after="0"/>
              <w:ind w:right="102" w:hanging="132"/>
              <w:jc w:val="right"/>
              <w:rPr>
                <w:sz w:val="18"/>
                <w:szCs w:val="18"/>
              </w:rPr>
            </w:pPr>
            <w:r>
              <w:rPr>
                <w:rFonts w:eastAsia="Century Gothic" w:cs="Century Gothic"/>
                <w:color w:val="000000"/>
                <w:sz w:val="18"/>
                <w:szCs w:val="18"/>
              </w:rPr>
              <w:t>0 (0</w:t>
            </w:r>
            <w:r w:rsidR="00816DA3">
              <w:rPr>
                <w:rFonts w:eastAsia="Century Gothic" w:cs="Century Gothic"/>
                <w:color w:val="000000"/>
                <w:sz w:val="18"/>
                <w:szCs w:val="18"/>
              </w:rPr>
              <w:t>–</w:t>
            </w:r>
            <w:r>
              <w:rPr>
                <w:rFonts w:eastAsia="Century Gothic" w:cs="Century Gothic"/>
                <w:color w:val="000000"/>
                <w:sz w:val="18"/>
                <w:szCs w:val="18"/>
              </w:rPr>
              <w:t>0.23)</w:t>
            </w:r>
          </w:p>
        </w:tc>
        <w:tc>
          <w:tcPr>
            <w:tcW w:w="866" w:type="pct"/>
            <w:vAlign w:val="center"/>
          </w:tcPr>
          <w:p w14:paraId="285E68BA" w14:textId="77777777" w:rsidR="00A26BD5" w:rsidRPr="00CB04C3" w:rsidRDefault="00A26BD5" w:rsidP="00DB2B85">
            <w:pPr>
              <w:spacing w:after="0"/>
              <w:ind w:left="102" w:right="102"/>
              <w:jc w:val="right"/>
              <w:rPr>
                <w:sz w:val="18"/>
                <w:szCs w:val="18"/>
              </w:rPr>
            </w:pPr>
            <w:r>
              <w:rPr>
                <w:sz w:val="18"/>
                <w:szCs w:val="18"/>
              </w:rPr>
              <w:t>0.73 (2.44)</w:t>
            </w:r>
          </w:p>
        </w:tc>
        <w:tc>
          <w:tcPr>
            <w:tcW w:w="1051" w:type="pct"/>
          </w:tcPr>
          <w:p w14:paraId="48E47951" w14:textId="5B97DCA1" w:rsidR="00A26BD5" w:rsidRDefault="00A26BD5" w:rsidP="00DB2B85">
            <w:pPr>
              <w:spacing w:after="0"/>
              <w:ind w:left="102" w:right="102"/>
              <w:jc w:val="right"/>
              <w:rPr>
                <w:sz w:val="18"/>
                <w:szCs w:val="18"/>
              </w:rPr>
            </w:pPr>
            <w:r>
              <w:rPr>
                <w:sz w:val="18"/>
                <w:szCs w:val="18"/>
              </w:rPr>
              <w:t>0 (0</w:t>
            </w:r>
            <w:r w:rsidR="00816DA3">
              <w:rPr>
                <w:sz w:val="18"/>
                <w:szCs w:val="18"/>
              </w:rPr>
              <w:t>–</w:t>
            </w:r>
            <w:r>
              <w:rPr>
                <w:sz w:val="18"/>
                <w:szCs w:val="18"/>
              </w:rPr>
              <w:t>0.24)</w:t>
            </w:r>
          </w:p>
        </w:tc>
      </w:tr>
      <w:tr w:rsidR="00A26BD5" w:rsidRPr="00A144BD" w14:paraId="7A08B894" w14:textId="77777777" w:rsidTr="00816DA3">
        <w:trPr>
          <w:trHeight w:val="340"/>
          <w:jc w:val="center"/>
        </w:trPr>
        <w:tc>
          <w:tcPr>
            <w:tcW w:w="1158" w:type="pct"/>
            <w:vAlign w:val="center"/>
          </w:tcPr>
          <w:p w14:paraId="596B011F" w14:textId="77777777" w:rsidR="00A26BD5" w:rsidRPr="00624F0F" w:rsidRDefault="00A26BD5" w:rsidP="00DF529A">
            <w:pPr>
              <w:spacing w:after="0"/>
              <w:ind w:right="102" w:firstLine="361"/>
              <w:rPr>
                <w:rFonts w:eastAsia="Century Gothic" w:cs="Century Gothic"/>
                <w:bCs/>
                <w:color w:val="000000"/>
                <w:sz w:val="18"/>
                <w:szCs w:val="18"/>
              </w:rPr>
            </w:pPr>
            <w:r w:rsidRPr="00624F0F">
              <w:rPr>
                <w:rFonts w:eastAsia="Century Gothic" w:cs="Century Gothic"/>
                <w:bCs/>
                <w:color w:val="000000"/>
                <w:sz w:val="18"/>
                <w:szCs w:val="18"/>
              </w:rPr>
              <w:t>First year</w:t>
            </w:r>
          </w:p>
        </w:tc>
        <w:tc>
          <w:tcPr>
            <w:tcW w:w="851" w:type="pct"/>
          </w:tcPr>
          <w:p w14:paraId="7916F4C0" w14:textId="77777777" w:rsidR="00A26BD5" w:rsidRPr="00CB04C3" w:rsidRDefault="00A26BD5" w:rsidP="00DB2B85">
            <w:pPr>
              <w:spacing w:after="0"/>
              <w:ind w:left="102" w:right="102"/>
              <w:jc w:val="right"/>
              <w:rPr>
                <w:rFonts w:eastAsia="Century Gothic" w:cs="Century Gothic"/>
                <w:color w:val="000000"/>
                <w:sz w:val="18"/>
                <w:szCs w:val="18"/>
              </w:rPr>
            </w:pPr>
            <w:r>
              <w:rPr>
                <w:rFonts w:eastAsia="Century Gothic" w:cs="Century Gothic"/>
                <w:color w:val="000000"/>
                <w:sz w:val="18"/>
                <w:szCs w:val="18"/>
              </w:rPr>
              <w:t>0.74 (2.54)</w:t>
            </w:r>
          </w:p>
        </w:tc>
        <w:tc>
          <w:tcPr>
            <w:tcW w:w="1074" w:type="pct"/>
          </w:tcPr>
          <w:p w14:paraId="00B86636" w14:textId="21D004BB" w:rsidR="00A26BD5" w:rsidRDefault="00A26BD5" w:rsidP="00DB2B85">
            <w:pPr>
              <w:spacing w:after="0"/>
              <w:ind w:right="102" w:hanging="132"/>
              <w:jc w:val="right"/>
              <w:rPr>
                <w:sz w:val="18"/>
                <w:szCs w:val="18"/>
              </w:rPr>
            </w:pPr>
            <w:r>
              <w:rPr>
                <w:rFonts w:eastAsia="Century Gothic" w:cs="Century Gothic"/>
                <w:color w:val="000000"/>
                <w:sz w:val="18"/>
                <w:szCs w:val="18"/>
              </w:rPr>
              <w:t>0 (0</w:t>
            </w:r>
            <w:r w:rsidR="00816DA3">
              <w:rPr>
                <w:rFonts w:eastAsia="Century Gothic" w:cs="Century Gothic"/>
                <w:color w:val="000000"/>
                <w:sz w:val="18"/>
                <w:szCs w:val="18"/>
              </w:rPr>
              <w:t>–</w:t>
            </w:r>
            <w:r>
              <w:rPr>
                <w:rFonts w:eastAsia="Century Gothic" w:cs="Century Gothic"/>
                <w:color w:val="000000"/>
                <w:sz w:val="18"/>
                <w:szCs w:val="18"/>
              </w:rPr>
              <w:t>0.23)</w:t>
            </w:r>
          </w:p>
        </w:tc>
        <w:tc>
          <w:tcPr>
            <w:tcW w:w="866" w:type="pct"/>
            <w:vAlign w:val="center"/>
          </w:tcPr>
          <w:p w14:paraId="3D35CDDB" w14:textId="77777777" w:rsidR="00A26BD5" w:rsidRPr="00CB04C3" w:rsidRDefault="00A26BD5" w:rsidP="00DB2B85">
            <w:pPr>
              <w:spacing w:after="0"/>
              <w:ind w:left="102" w:right="102"/>
              <w:jc w:val="right"/>
              <w:rPr>
                <w:sz w:val="18"/>
                <w:szCs w:val="18"/>
              </w:rPr>
            </w:pPr>
            <w:r>
              <w:rPr>
                <w:sz w:val="18"/>
                <w:szCs w:val="18"/>
              </w:rPr>
              <w:t>0.71 (2.81)</w:t>
            </w:r>
          </w:p>
        </w:tc>
        <w:tc>
          <w:tcPr>
            <w:tcW w:w="1051" w:type="pct"/>
          </w:tcPr>
          <w:p w14:paraId="542712CA" w14:textId="2273867D" w:rsidR="00A26BD5" w:rsidRDefault="00A26BD5" w:rsidP="00DB2B85">
            <w:pPr>
              <w:spacing w:after="0"/>
              <w:ind w:left="102" w:right="102"/>
              <w:jc w:val="right"/>
              <w:rPr>
                <w:sz w:val="18"/>
                <w:szCs w:val="18"/>
              </w:rPr>
            </w:pPr>
            <w:r>
              <w:rPr>
                <w:sz w:val="18"/>
                <w:szCs w:val="18"/>
              </w:rPr>
              <w:t>0 (0</w:t>
            </w:r>
            <w:r w:rsidR="00816DA3">
              <w:rPr>
                <w:sz w:val="18"/>
                <w:szCs w:val="18"/>
              </w:rPr>
              <w:t>–</w:t>
            </w:r>
            <w:r>
              <w:rPr>
                <w:sz w:val="18"/>
                <w:szCs w:val="18"/>
              </w:rPr>
              <w:t>0.12)</w:t>
            </w:r>
          </w:p>
        </w:tc>
      </w:tr>
      <w:tr w:rsidR="00A26BD5" w:rsidRPr="00A144BD" w14:paraId="0D0595D9" w14:textId="77777777" w:rsidTr="00816DA3">
        <w:trPr>
          <w:trHeight w:val="340"/>
          <w:jc w:val="center"/>
        </w:trPr>
        <w:tc>
          <w:tcPr>
            <w:tcW w:w="1158" w:type="pct"/>
            <w:vAlign w:val="center"/>
          </w:tcPr>
          <w:p w14:paraId="3B9E06DE" w14:textId="77777777" w:rsidR="00A26BD5" w:rsidRPr="00624F0F" w:rsidRDefault="00A26BD5" w:rsidP="00DF529A">
            <w:pPr>
              <w:spacing w:after="0"/>
              <w:ind w:right="102" w:firstLine="361"/>
              <w:rPr>
                <w:rFonts w:eastAsia="Century Gothic" w:cs="Century Gothic"/>
                <w:bCs/>
                <w:color w:val="000000"/>
                <w:sz w:val="18"/>
                <w:szCs w:val="18"/>
              </w:rPr>
            </w:pPr>
            <w:r w:rsidRPr="00624F0F">
              <w:rPr>
                <w:rFonts w:eastAsia="Century Gothic" w:cs="Century Gothic"/>
                <w:bCs/>
                <w:color w:val="000000"/>
                <w:sz w:val="18"/>
                <w:szCs w:val="18"/>
              </w:rPr>
              <w:t>Second year</w:t>
            </w:r>
          </w:p>
        </w:tc>
        <w:tc>
          <w:tcPr>
            <w:tcW w:w="851" w:type="pct"/>
          </w:tcPr>
          <w:p w14:paraId="387A4B4A" w14:textId="77777777" w:rsidR="00A26BD5" w:rsidRPr="00CB04C3" w:rsidRDefault="00A26BD5" w:rsidP="00DB2B85">
            <w:pPr>
              <w:spacing w:after="0"/>
              <w:ind w:left="102" w:right="102"/>
              <w:jc w:val="right"/>
              <w:rPr>
                <w:rFonts w:eastAsia="Century Gothic" w:cs="Century Gothic"/>
                <w:color w:val="000000"/>
                <w:sz w:val="18"/>
                <w:szCs w:val="18"/>
              </w:rPr>
            </w:pPr>
            <w:r>
              <w:rPr>
                <w:rFonts w:eastAsia="Century Gothic" w:cs="Century Gothic"/>
                <w:color w:val="000000"/>
                <w:sz w:val="18"/>
                <w:szCs w:val="18"/>
              </w:rPr>
              <w:t>0.77 (2.95)</w:t>
            </w:r>
          </w:p>
        </w:tc>
        <w:tc>
          <w:tcPr>
            <w:tcW w:w="1074" w:type="pct"/>
          </w:tcPr>
          <w:p w14:paraId="46A72B27" w14:textId="71537957" w:rsidR="00A26BD5" w:rsidRDefault="00A26BD5" w:rsidP="00DB2B85">
            <w:pPr>
              <w:spacing w:after="0"/>
              <w:ind w:right="102" w:hanging="132"/>
              <w:jc w:val="right"/>
              <w:rPr>
                <w:sz w:val="18"/>
                <w:szCs w:val="18"/>
              </w:rPr>
            </w:pPr>
            <w:r>
              <w:rPr>
                <w:rFonts w:eastAsia="Century Gothic" w:cs="Century Gothic"/>
                <w:color w:val="000000"/>
                <w:sz w:val="18"/>
                <w:szCs w:val="18"/>
              </w:rPr>
              <w:t>0 (0</w:t>
            </w:r>
            <w:r w:rsidR="00816DA3">
              <w:rPr>
                <w:rFonts w:eastAsia="Century Gothic" w:cs="Century Gothic"/>
                <w:color w:val="000000"/>
                <w:sz w:val="18"/>
                <w:szCs w:val="18"/>
              </w:rPr>
              <w:t>–</w:t>
            </w:r>
            <w:r>
              <w:rPr>
                <w:rFonts w:eastAsia="Century Gothic" w:cs="Century Gothic"/>
                <w:color w:val="000000"/>
                <w:sz w:val="18"/>
                <w:szCs w:val="18"/>
              </w:rPr>
              <w:t>0.21)</w:t>
            </w:r>
          </w:p>
        </w:tc>
        <w:tc>
          <w:tcPr>
            <w:tcW w:w="866" w:type="pct"/>
            <w:vAlign w:val="center"/>
          </w:tcPr>
          <w:p w14:paraId="162F45C5" w14:textId="77777777" w:rsidR="00A26BD5" w:rsidRPr="00CB04C3" w:rsidRDefault="00A26BD5" w:rsidP="00DB2B85">
            <w:pPr>
              <w:spacing w:after="0"/>
              <w:ind w:left="102" w:right="102"/>
              <w:jc w:val="right"/>
              <w:rPr>
                <w:sz w:val="18"/>
                <w:szCs w:val="18"/>
              </w:rPr>
            </w:pPr>
            <w:r>
              <w:rPr>
                <w:sz w:val="18"/>
                <w:szCs w:val="18"/>
              </w:rPr>
              <w:t>0.77 (2.70)</w:t>
            </w:r>
          </w:p>
        </w:tc>
        <w:tc>
          <w:tcPr>
            <w:tcW w:w="1051" w:type="pct"/>
          </w:tcPr>
          <w:p w14:paraId="2E945ECC" w14:textId="310471E6" w:rsidR="00A26BD5" w:rsidRDefault="00A26BD5" w:rsidP="00DB2B85">
            <w:pPr>
              <w:spacing w:after="0"/>
              <w:ind w:left="102" w:right="102"/>
              <w:jc w:val="right"/>
              <w:rPr>
                <w:sz w:val="18"/>
                <w:szCs w:val="18"/>
              </w:rPr>
            </w:pPr>
            <w:r>
              <w:rPr>
                <w:sz w:val="18"/>
                <w:szCs w:val="18"/>
              </w:rPr>
              <w:t>0 (0</w:t>
            </w:r>
            <w:r w:rsidR="00816DA3">
              <w:rPr>
                <w:sz w:val="18"/>
                <w:szCs w:val="18"/>
              </w:rPr>
              <w:t>–</w:t>
            </w:r>
            <w:r>
              <w:rPr>
                <w:sz w:val="18"/>
                <w:szCs w:val="18"/>
              </w:rPr>
              <w:t>0.20)</w:t>
            </w:r>
          </w:p>
        </w:tc>
      </w:tr>
      <w:tr w:rsidR="00A26BD5" w:rsidRPr="00A144BD" w14:paraId="6F69C101" w14:textId="77777777" w:rsidTr="00CB1E47">
        <w:trPr>
          <w:trHeight w:val="340"/>
          <w:jc w:val="center"/>
        </w:trPr>
        <w:tc>
          <w:tcPr>
            <w:tcW w:w="5000" w:type="pct"/>
            <w:gridSpan w:val="5"/>
            <w:vAlign w:val="center"/>
          </w:tcPr>
          <w:p w14:paraId="1DA21E1B" w14:textId="6F3D91E4" w:rsidR="00A26BD5" w:rsidRPr="00CB04C3" w:rsidRDefault="00DF529A" w:rsidP="00DF529A">
            <w:pPr>
              <w:spacing w:after="0"/>
              <w:ind w:right="102"/>
              <w:rPr>
                <w:sz w:val="18"/>
                <w:szCs w:val="18"/>
              </w:rPr>
            </w:pPr>
            <w:r w:rsidRPr="00624F0F">
              <w:rPr>
                <w:rFonts w:eastAsia="Century Gothic" w:cs="Century Gothic"/>
                <w:b/>
                <w:bCs/>
                <w:color w:val="000000"/>
                <w:sz w:val="18"/>
                <w:szCs w:val="18"/>
              </w:rPr>
              <w:t>Amongst admitted patients</w:t>
            </w:r>
          </w:p>
        </w:tc>
      </w:tr>
      <w:tr w:rsidR="00A26BD5" w:rsidRPr="00A144BD" w14:paraId="2EE9E92D" w14:textId="77777777" w:rsidTr="00816DA3">
        <w:trPr>
          <w:trHeight w:val="340"/>
          <w:jc w:val="center"/>
        </w:trPr>
        <w:tc>
          <w:tcPr>
            <w:tcW w:w="1158" w:type="pct"/>
            <w:vAlign w:val="center"/>
          </w:tcPr>
          <w:p w14:paraId="471E4357" w14:textId="77777777" w:rsidR="00A26BD5" w:rsidRPr="008575A7" w:rsidRDefault="00A26BD5" w:rsidP="00DF529A">
            <w:pPr>
              <w:spacing w:after="0"/>
              <w:ind w:right="102" w:firstLine="361"/>
              <w:rPr>
                <w:rFonts w:eastAsia="Century Gothic" w:cs="Century Gothic"/>
                <w:color w:val="000000"/>
                <w:sz w:val="18"/>
                <w:szCs w:val="18"/>
              </w:rPr>
            </w:pPr>
            <w:r w:rsidRPr="00624F0F">
              <w:rPr>
                <w:rFonts w:eastAsia="Century Gothic" w:cs="Century Gothic"/>
                <w:bCs/>
                <w:color w:val="000000"/>
                <w:sz w:val="18"/>
                <w:szCs w:val="18"/>
              </w:rPr>
              <w:t>Pre-enrolment</w:t>
            </w:r>
          </w:p>
        </w:tc>
        <w:tc>
          <w:tcPr>
            <w:tcW w:w="851" w:type="pct"/>
          </w:tcPr>
          <w:p w14:paraId="6F0A43BC" w14:textId="77777777" w:rsidR="00A26BD5" w:rsidRPr="00CB04C3" w:rsidRDefault="00A26BD5" w:rsidP="00DB2B85">
            <w:pPr>
              <w:spacing w:after="0"/>
              <w:ind w:left="102" w:right="102"/>
              <w:jc w:val="right"/>
              <w:rPr>
                <w:rFonts w:eastAsia="Century Gothic" w:cs="Century Gothic"/>
                <w:color w:val="000000"/>
                <w:sz w:val="18"/>
                <w:szCs w:val="18"/>
              </w:rPr>
            </w:pPr>
            <w:r>
              <w:rPr>
                <w:rFonts w:eastAsia="Century Gothic" w:cs="Century Gothic"/>
                <w:color w:val="000000"/>
                <w:sz w:val="18"/>
                <w:szCs w:val="18"/>
              </w:rPr>
              <w:t>2.82 (4.22)</w:t>
            </w:r>
          </w:p>
        </w:tc>
        <w:tc>
          <w:tcPr>
            <w:tcW w:w="1074" w:type="pct"/>
          </w:tcPr>
          <w:p w14:paraId="77D5690C" w14:textId="11C696B0" w:rsidR="00A26BD5" w:rsidRDefault="00A26BD5" w:rsidP="00DB2B85">
            <w:pPr>
              <w:spacing w:after="0"/>
              <w:ind w:right="102" w:hanging="132"/>
              <w:jc w:val="right"/>
              <w:rPr>
                <w:sz w:val="18"/>
                <w:szCs w:val="18"/>
              </w:rPr>
            </w:pPr>
            <w:r>
              <w:rPr>
                <w:rFonts w:eastAsia="Century Gothic" w:cs="Century Gothic"/>
                <w:color w:val="000000"/>
                <w:sz w:val="18"/>
                <w:szCs w:val="18"/>
              </w:rPr>
              <w:t>1.26 (0.53</w:t>
            </w:r>
            <w:r w:rsidR="00816DA3">
              <w:rPr>
                <w:rFonts w:eastAsia="Century Gothic" w:cs="Century Gothic"/>
                <w:color w:val="000000"/>
                <w:sz w:val="18"/>
                <w:szCs w:val="18"/>
              </w:rPr>
              <w:t>–</w:t>
            </w:r>
            <w:r>
              <w:rPr>
                <w:rFonts w:eastAsia="Century Gothic" w:cs="Century Gothic"/>
                <w:color w:val="000000"/>
                <w:sz w:val="18"/>
                <w:szCs w:val="18"/>
              </w:rPr>
              <w:t>3.34)</w:t>
            </w:r>
          </w:p>
        </w:tc>
        <w:tc>
          <w:tcPr>
            <w:tcW w:w="866" w:type="pct"/>
            <w:vAlign w:val="center"/>
          </w:tcPr>
          <w:p w14:paraId="512BE4F9" w14:textId="77777777" w:rsidR="00A26BD5" w:rsidRPr="00CB04C3" w:rsidRDefault="00A26BD5" w:rsidP="00DB2B85">
            <w:pPr>
              <w:spacing w:after="0"/>
              <w:ind w:left="102" w:right="102"/>
              <w:jc w:val="right"/>
              <w:rPr>
                <w:sz w:val="18"/>
                <w:szCs w:val="18"/>
              </w:rPr>
            </w:pPr>
            <w:r>
              <w:rPr>
                <w:sz w:val="18"/>
                <w:szCs w:val="18"/>
              </w:rPr>
              <w:t>2.66 (4.08)</w:t>
            </w:r>
          </w:p>
        </w:tc>
        <w:tc>
          <w:tcPr>
            <w:tcW w:w="1051" w:type="pct"/>
          </w:tcPr>
          <w:p w14:paraId="1BFC08CA" w14:textId="43BE5F2B" w:rsidR="00A26BD5" w:rsidRDefault="00A26BD5" w:rsidP="00DB2B85">
            <w:pPr>
              <w:spacing w:after="0"/>
              <w:ind w:left="102" w:right="102"/>
              <w:jc w:val="right"/>
              <w:rPr>
                <w:sz w:val="18"/>
                <w:szCs w:val="18"/>
              </w:rPr>
            </w:pPr>
            <w:r>
              <w:rPr>
                <w:sz w:val="18"/>
                <w:szCs w:val="18"/>
              </w:rPr>
              <w:t>1.28 (0.53</w:t>
            </w:r>
            <w:r w:rsidR="00816DA3">
              <w:rPr>
                <w:sz w:val="18"/>
                <w:szCs w:val="18"/>
              </w:rPr>
              <w:t>–</w:t>
            </w:r>
            <w:r>
              <w:rPr>
                <w:sz w:val="18"/>
                <w:szCs w:val="18"/>
              </w:rPr>
              <w:t>3.08)</w:t>
            </w:r>
          </w:p>
        </w:tc>
      </w:tr>
      <w:tr w:rsidR="00A26BD5" w:rsidRPr="00A144BD" w14:paraId="47A80EE0" w14:textId="77777777" w:rsidTr="00816DA3">
        <w:trPr>
          <w:trHeight w:val="340"/>
          <w:jc w:val="center"/>
        </w:trPr>
        <w:tc>
          <w:tcPr>
            <w:tcW w:w="1158" w:type="pct"/>
            <w:vAlign w:val="center"/>
          </w:tcPr>
          <w:p w14:paraId="5EA33B3D" w14:textId="77777777" w:rsidR="00A26BD5" w:rsidRPr="008575A7" w:rsidRDefault="00A26BD5" w:rsidP="00DF529A">
            <w:pPr>
              <w:spacing w:after="0"/>
              <w:ind w:right="102" w:firstLine="361"/>
              <w:rPr>
                <w:rFonts w:eastAsia="Century Gothic" w:cs="Century Gothic"/>
                <w:color w:val="000000"/>
                <w:sz w:val="18"/>
                <w:szCs w:val="18"/>
              </w:rPr>
            </w:pPr>
            <w:r w:rsidRPr="00624F0F">
              <w:rPr>
                <w:rFonts w:eastAsia="Century Gothic" w:cs="Century Gothic"/>
                <w:bCs/>
                <w:color w:val="000000"/>
                <w:sz w:val="18"/>
                <w:szCs w:val="18"/>
              </w:rPr>
              <w:t>First year</w:t>
            </w:r>
          </w:p>
        </w:tc>
        <w:tc>
          <w:tcPr>
            <w:tcW w:w="851" w:type="pct"/>
          </w:tcPr>
          <w:p w14:paraId="37246F79" w14:textId="77777777" w:rsidR="00A26BD5" w:rsidRPr="00CB04C3" w:rsidRDefault="00A26BD5" w:rsidP="00DB2B85">
            <w:pPr>
              <w:spacing w:after="0"/>
              <w:ind w:left="102" w:right="102"/>
              <w:jc w:val="right"/>
              <w:rPr>
                <w:rFonts w:eastAsia="Century Gothic" w:cs="Century Gothic"/>
                <w:color w:val="000000"/>
                <w:sz w:val="18"/>
                <w:szCs w:val="18"/>
              </w:rPr>
            </w:pPr>
            <w:r>
              <w:rPr>
                <w:rFonts w:eastAsia="Century Gothic" w:cs="Century Gothic"/>
                <w:color w:val="000000"/>
                <w:sz w:val="18"/>
                <w:szCs w:val="18"/>
              </w:rPr>
              <w:t>2.66 (4.26)</w:t>
            </w:r>
          </w:p>
        </w:tc>
        <w:tc>
          <w:tcPr>
            <w:tcW w:w="1074" w:type="pct"/>
          </w:tcPr>
          <w:p w14:paraId="0BD54668" w14:textId="6A5A47FF" w:rsidR="00A26BD5" w:rsidRDefault="00A26BD5" w:rsidP="00DB2B85">
            <w:pPr>
              <w:spacing w:after="0"/>
              <w:ind w:right="102" w:hanging="132"/>
              <w:jc w:val="right"/>
              <w:rPr>
                <w:sz w:val="18"/>
                <w:szCs w:val="18"/>
              </w:rPr>
            </w:pPr>
            <w:r>
              <w:rPr>
                <w:rFonts w:eastAsia="Century Gothic" w:cs="Century Gothic"/>
                <w:color w:val="000000"/>
                <w:sz w:val="18"/>
                <w:szCs w:val="18"/>
              </w:rPr>
              <w:t>1.17 (0.48</w:t>
            </w:r>
            <w:r w:rsidR="00816DA3">
              <w:rPr>
                <w:rFonts w:eastAsia="Century Gothic" w:cs="Century Gothic"/>
                <w:color w:val="000000"/>
                <w:sz w:val="18"/>
                <w:szCs w:val="18"/>
              </w:rPr>
              <w:t>–</w:t>
            </w:r>
            <w:r>
              <w:rPr>
                <w:rFonts w:eastAsia="Century Gothic" w:cs="Century Gothic"/>
                <w:color w:val="000000"/>
                <w:sz w:val="18"/>
                <w:szCs w:val="18"/>
              </w:rPr>
              <w:t>2.84)</w:t>
            </w:r>
          </w:p>
        </w:tc>
        <w:tc>
          <w:tcPr>
            <w:tcW w:w="866" w:type="pct"/>
            <w:vAlign w:val="center"/>
          </w:tcPr>
          <w:p w14:paraId="0FFAC845" w14:textId="77777777" w:rsidR="00A26BD5" w:rsidRPr="00CB04C3" w:rsidRDefault="00A26BD5" w:rsidP="00DB2B85">
            <w:pPr>
              <w:spacing w:after="0"/>
              <w:ind w:left="102" w:right="102"/>
              <w:jc w:val="right"/>
              <w:rPr>
                <w:sz w:val="18"/>
                <w:szCs w:val="18"/>
              </w:rPr>
            </w:pPr>
            <w:r>
              <w:rPr>
                <w:sz w:val="18"/>
                <w:szCs w:val="18"/>
              </w:rPr>
              <w:t>2.80 (5.00)</w:t>
            </w:r>
          </w:p>
        </w:tc>
        <w:tc>
          <w:tcPr>
            <w:tcW w:w="1051" w:type="pct"/>
          </w:tcPr>
          <w:p w14:paraId="22E1B34B" w14:textId="342D0867" w:rsidR="00A26BD5" w:rsidRDefault="00A26BD5" w:rsidP="00DB2B85">
            <w:pPr>
              <w:spacing w:after="0"/>
              <w:ind w:left="102" w:right="102"/>
              <w:jc w:val="right"/>
              <w:rPr>
                <w:sz w:val="18"/>
                <w:szCs w:val="18"/>
              </w:rPr>
            </w:pPr>
            <w:r>
              <w:rPr>
                <w:sz w:val="18"/>
                <w:szCs w:val="18"/>
              </w:rPr>
              <w:t>1.19 (0.44</w:t>
            </w:r>
            <w:r w:rsidR="00816DA3">
              <w:rPr>
                <w:sz w:val="18"/>
                <w:szCs w:val="18"/>
              </w:rPr>
              <w:t>–</w:t>
            </w:r>
            <w:r>
              <w:rPr>
                <w:sz w:val="18"/>
                <w:szCs w:val="18"/>
              </w:rPr>
              <w:t>3.19)</w:t>
            </w:r>
          </w:p>
        </w:tc>
      </w:tr>
      <w:tr w:rsidR="00A26BD5" w:rsidRPr="00A144BD" w14:paraId="53A9790A" w14:textId="77777777" w:rsidTr="00816DA3">
        <w:trPr>
          <w:trHeight w:val="340"/>
          <w:jc w:val="center"/>
        </w:trPr>
        <w:tc>
          <w:tcPr>
            <w:tcW w:w="1158" w:type="pct"/>
            <w:vAlign w:val="center"/>
          </w:tcPr>
          <w:p w14:paraId="154F7DEC" w14:textId="77777777" w:rsidR="00A26BD5" w:rsidRPr="008575A7" w:rsidRDefault="00A26BD5" w:rsidP="00DF529A">
            <w:pPr>
              <w:spacing w:after="0"/>
              <w:ind w:right="102" w:firstLine="361"/>
              <w:rPr>
                <w:rFonts w:eastAsia="Century Gothic" w:cs="Century Gothic"/>
                <w:color w:val="000000"/>
                <w:sz w:val="18"/>
                <w:szCs w:val="18"/>
              </w:rPr>
            </w:pPr>
            <w:r w:rsidRPr="00624F0F">
              <w:rPr>
                <w:rFonts w:eastAsia="Century Gothic" w:cs="Century Gothic"/>
                <w:bCs/>
                <w:color w:val="000000"/>
                <w:sz w:val="18"/>
                <w:szCs w:val="18"/>
              </w:rPr>
              <w:t>Second year</w:t>
            </w:r>
          </w:p>
        </w:tc>
        <w:tc>
          <w:tcPr>
            <w:tcW w:w="851" w:type="pct"/>
          </w:tcPr>
          <w:p w14:paraId="259E7258" w14:textId="77777777" w:rsidR="00A26BD5" w:rsidRPr="00CB04C3" w:rsidRDefault="00A26BD5" w:rsidP="00DB2B85">
            <w:pPr>
              <w:spacing w:after="0"/>
              <w:ind w:left="102" w:right="102"/>
              <w:jc w:val="right"/>
              <w:rPr>
                <w:rFonts w:eastAsia="Century Gothic" w:cs="Century Gothic"/>
                <w:color w:val="000000"/>
                <w:sz w:val="18"/>
                <w:szCs w:val="18"/>
              </w:rPr>
            </w:pPr>
            <w:r>
              <w:rPr>
                <w:rFonts w:eastAsia="Century Gothic" w:cs="Century Gothic"/>
                <w:color w:val="000000"/>
                <w:sz w:val="18"/>
                <w:szCs w:val="18"/>
              </w:rPr>
              <w:t>2.84 (5.10)</w:t>
            </w:r>
          </w:p>
        </w:tc>
        <w:tc>
          <w:tcPr>
            <w:tcW w:w="1074" w:type="pct"/>
          </w:tcPr>
          <w:p w14:paraId="4A9568DE" w14:textId="54FDC814" w:rsidR="00A26BD5" w:rsidRDefault="00A26BD5" w:rsidP="00DB2B85">
            <w:pPr>
              <w:spacing w:after="0"/>
              <w:ind w:right="102" w:hanging="132"/>
              <w:jc w:val="right"/>
              <w:rPr>
                <w:sz w:val="18"/>
                <w:szCs w:val="18"/>
              </w:rPr>
            </w:pPr>
            <w:r>
              <w:rPr>
                <w:rFonts w:eastAsia="Century Gothic" w:cs="Century Gothic"/>
                <w:color w:val="000000"/>
                <w:sz w:val="18"/>
                <w:szCs w:val="18"/>
              </w:rPr>
              <w:t>1.15 (0.48</w:t>
            </w:r>
            <w:r w:rsidR="00816DA3">
              <w:rPr>
                <w:rFonts w:eastAsia="Century Gothic" w:cs="Century Gothic"/>
                <w:color w:val="000000"/>
                <w:sz w:val="18"/>
                <w:szCs w:val="18"/>
              </w:rPr>
              <w:t>–</w:t>
            </w:r>
            <w:r>
              <w:rPr>
                <w:rFonts w:eastAsia="Century Gothic" w:cs="Century Gothic"/>
                <w:color w:val="000000"/>
                <w:sz w:val="18"/>
                <w:szCs w:val="18"/>
              </w:rPr>
              <w:t>3.38)</w:t>
            </w:r>
          </w:p>
        </w:tc>
        <w:tc>
          <w:tcPr>
            <w:tcW w:w="866" w:type="pct"/>
            <w:vAlign w:val="center"/>
          </w:tcPr>
          <w:p w14:paraId="60E4F0C0" w14:textId="77777777" w:rsidR="00A26BD5" w:rsidRPr="00CB04C3" w:rsidRDefault="00A26BD5" w:rsidP="00DB2B85">
            <w:pPr>
              <w:spacing w:after="0"/>
              <w:ind w:left="102" w:right="102"/>
              <w:jc w:val="right"/>
              <w:rPr>
                <w:sz w:val="18"/>
                <w:szCs w:val="18"/>
              </w:rPr>
            </w:pPr>
            <w:r>
              <w:rPr>
                <w:sz w:val="18"/>
                <w:szCs w:val="18"/>
              </w:rPr>
              <w:t>2.77 (4.55)</w:t>
            </w:r>
          </w:p>
        </w:tc>
        <w:tc>
          <w:tcPr>
            <w:tcW w:w="1051" w:type="pct"/>
          </w:tcPr>
          <w:p w14:paraId="49F4E95D" w14:textId="1CD29960" w:rsidR="00A26BD5" w:rsidRDefault="00A26BD5" w:rsidP="00DB2B85">
            <w:pPr>
              <w:spacing w:after="0"/>
              <w:ind w:left="102" w:right="102"/>
              <w:jc w:val="right"/>
              <w:rPr>
                <w:sz w:val="18"/>
                <w:szCs w:val="18"/>
              </w:rPr>
            </w:pPr>
            <w:r>
              <w:rPr>
                <w:sz w:val="18"/>
                <w:szCs w:val="18"/>
              </w:rPr>
              <w:t>1.19 (0.43</w:t>
            </w:r>
            <w:r w:rsidR="00816DA3">
              <w:rPr>
                <w:sz w:val="18"/>
                <w:szCs w:val="18"/>
              </w:rPr>
              <w:t>–</w:t>
            </w:r>
            <w:r>
              <w:rPr>
                <w:sz w:val="18"/>
                <w:szCs w:val="18"/>
              </w:rPr>
              <w:t>3.09)</w:t>
            </w:r>
          </w:p>
        </w:tc>
      </w:tr>
    </w:tbl>
    <w:p w14:paraId="27954FD3" w14:textId="6BD6C049" w:rsidR="00A26BD5" w:rsidRDefault="005C25A4" w:rsidP="005C25A4">
      <w:pPr>
        <w:pStyle w:val="Chartortablefootnote"/>
        <w:spacing w:after="0"/>
        <w:ind w:right="-45"/>
        <w:rPr>
          <w:lang w:val="en-GB"/>
        </w:rPr>
      </w:pPr>
      <w:r>
        <w:rPr>
          <w:lang w:val="en-GB"/>
        </w:rPr>
        <w:t>Notes:</w:t>
      </w:r>
      <w:r w:rsidR="00A26BD5">
        <w:rPr>
          <w:lang w:val="en-GB"/>
        </w:rPr>
        <w:t xml:space="preserve"> People with length of follow-up shorter than respective yearly anniversaries were excluded from analyses.</w:t>
      </w:r>
    </w:p>
    <w:p w14:paraId="289BACC1" w14:textId="773F21E1" w:rsidR="005C25A4" w:rsidRDefault="005C25A4" w:rsidP="005C25A4">
      <w:pPr>
        <w:pStyle w:val="Chartortablefootnote"/>
        <w:ind w:right="-46"/>
        <w:rPr>
          <w:lang w:val="en-GB"/>
        </w:rPr>
      </w:pPr>
      <w:r w:rsidRPr="005C25A4">
        <w:rPr>
          <w:rStyle w:val="SourceChar"/>
          <w:rFonts w:eastAsia="Calibri"/>
          <w:bCs w:val="0"/>
          <w:i/>
          <w:szCs w:val="18"/>
          <w:lang w:eastAsia="en-US"/>
        </w:rPr>
        <w:t>Source: Admitted Patient Care data for patients in five states (NSW, Vic, Qld, SA and Tas)</w:t>
      </w:r>
      <w:r>
        <w:rPr>
          <w:rStyle w:val="SourceChar"/>
          <w:rFonts w:eastAsia="Calibri"/>
          <w:bCs w:val="0"/>
          <w:i/>
          <w:szCs w:val="18"/>
          <w:lang w:eastAsia="en-US"/>
        </w:rPr>
        <w:t>.</w:t>
      </w:r>
    </w:p>
    <w:p w14:paraId="4F38F0E9" w14:textId="1BE824F0" w:rsidR="00A26BD5" w:rsidRDefault="00646410" w:rsidP="00A26BD5">
      <w:pPr>
        <w:pStyle w:val="Heading3"/>
        <w:rPr>
          <w:lang w:val="en-GB"/>
        </w:rPr>
      </w:pPr>
      <w:r>
        <w:rPr>
          <w:lang w:val="en-GB"/>
        </w:rPr>
        <w:t>H</w:t>
      </w:r>
      <w:r w:rsidR="00A26BD5">
        <w:rPr>
          <w:lang w:val="en-GB"/>
        </w:rPr>
        <w:t>ospital e</w:t>
      </w:r>
      <w:r w:rsidR="00A26BD5" w:rsidRPr="0029699B">
        <w:rPr>
          <w:lang w:val="en-GB"/>
        </w:rPr>
        <w:t xml:space="preserve">mergency </w:t>
      </w:r>
      <w:r w:rsidR="00A26BD5" w:rsidRPr="56425DF9">
        <w:rPr>
          <w:lang w:val="en-GB"/>
        </w:rPr>
        <w:t>department</w:t>
      </w:r>
      <w:r>
        <w:rPr>
          <w:lang w:val="en-GB"/>
        </w:rPr>
        <w:t xml:space="preserve"> presentati</w:t>
      </w:r>
      <w:r w:rsidR="00FE42F7">
        <w:rPr>
          <w:lang w:val="en-GB"/>
        </w:rPr>
        <w:t>ons</w:t>
      </w:r>
    </w:p>
    <w:p w14:paraId="567EEF9D" w14:textId="0306BB1A" w:rsidR="00A26BD5" w:rsidRPr="008B4363" w:rsidRDefault="00A26BD5" w:rsidP="00A26BD5">
      <w:r>
        <w:t xml:space="preserve">One in four HCH patients </w:t>
      </w:r>
      <w:r w:rsidRPr="00735CEF">
        <w:t>(27.9%) had</w:t>
      </w:r>
      <w:r>
        <w:t xml:space="preserve"> presented a hospital emergency department </w:t>
      </w:r>
      <w:r w:rsidRPr="00735CEF">
        <w:t xml:space="preserve">in the year </w:t>
      </w:r>
      <w:r w:rsidR="0002675D">
        <w:t>before</w:t>
      </w:r>
      <w:r>
        <w:t xml:space="preserve"> enrolment</w:t>
      </w:r>
      <w:r w:rsidRPr="00735CEF">
        <w:t xml:space="preserve">, with 16.0% </w:t>
      </w:r>
      <w:r>
        <w:t xml:space="preserve">attending </w:t>
      </w:r>
      <w:r w:rsidRPr="00735CEF">
        <w:t xml:space="preserve">once, 6.1% </w:t>
      </w:r>
      <w:r>
        <w:t xml:space="preserve">attending </w:t>
      </w:r>
      <w:r w:rsidRPr="00735CEF">
        <w:t xml:space="preserve">twice, and 5.8% </w:t>
      </w:r>
      <w:r>
        <w:t xml:space="preserve">attending </w:t>
      </w:r>
      <w:r w:rsidRPr="00735CEF">
        <w:t>three or more times.</w:t>
      </w:r>
      <w:r>
        <w:t xml:space="preserve"> </w:t>
      </w:r>
      <w:r w:rsidRPr="005B08DD">
        <w:t xml:space="preserve">There was little change in the number of </w:t>
      </w:r>
      <w:r w:rsidR="00001DEB">
        <w:t>emergency department</w:t>
      </w:r>
      <w:r>
        <w:t xml:space="preserve"> presentations </w:t>
      </w:r>
      <w:r w:rsidRPr="005B08DD">
        <w:t xml:space="preserve">following enrolment, with a similar proportion of HCH patients </w:t>
      </w:r>
      <w:r>
        <w:t xml:space="preserve">attending an </w:t>
      </w:r>
      <w:r w:rsidR="00001DEB">
        <w:t>emergency department</w:t>
      </w:r>
      <w:r>
        <w:t xml:space="preserve"> in </w:t>
      </w:r>
      <w:r w:rsidRPr="005B08DD">
        <w:t xml:space="preserve">the year following enrolment (27.8%), </w:t>
      </w:r>
      <w:r>
        <w:t xml:space="preserve">followed by a </w:t>
      </w:r>
      <w:r w:rsidRPr="005B08DD">
        <w:t>slight</w:t>
      </w:r>
      <w:r>
        <w:t xml:space="preserve"> decline</w:t>
      </w:r>
      <w:r w:rsidRPr="005B08DD">
        <w:t xml:space="preserve"> in the second year (26.0%)</w:t>
      </w:r>
      <w:r w:rsidRPr="00691E09">
        <w:rPr>
          <w:color w:val="FF0000"/>
        </w:rPr>
        <w:t xml:space="preserve"> </w:t>
      </w:r>
      <w:r>
        <w:t>(</w:t>
      </w:r>
      <w:r w:rsidRPr="006524FD">
        <w:rPr>
          <w:color w:val="1D2455"/>
        </w:rPr>
        <w:fldChar w:fldCharType="begin"/>
      </w:r>
      <w:r w:rsidRPr="006524FD">
        <w:rPr>
          <w:color w:val="1D2455"/>
        </w:rPr>
        <w:instrText xml:space="preserve"> REF _Ref96892252 \h </w:instrText>
      </w:r>
      <w:r w:rsidR="006524FD">
        <w:rPr>
          <w:color w:val="1D2455"/>
        </w:rPr>
        <w:instrText xml:space="preserve"> \* MERGEFORMAT </w:instrText>
      </w:r>
      <w:r w:rsidRPr="006524FD">
        <w:rPr>
          <w:color w:val="1D2455"/>
        </w:rPr>
      </w:r>
      <w:r w:rsidRPr="006524FD">
        <w:rPr>
          <w:color w:val="1D2455"/>
        </w:rPr>
        <w:fldChar w:fldCharType="separate"/>
      </w:r>
      <w:r w:rsidR="003C4BC2" w:rsidRPr="003C4BC2">
        <w:rPr>
          <w:color w:val="1D2455"/>
        </w:rPr>
        <w:t xml:space="preserve">Figure </w:t>
      </w:r>
      <w:r w:rsidR="003C4BC2" w:rsidRPr="003C4BC2">
        <w:rPr>
          <w:noProof/>
          <w:color w:val="1D2455"/>
        </w:rPr>
        <w:t>69</w:t>
      </w:r>
      <w:r w:rsidRPr="006524FD">
        <w:rPr>
          <w:color w:val="1D2455"/>
        </w:rPr>
        <w:fldChar w:fldCharType="end"/>
      </w:r>
      <w:r>
        <w:t>).</w:t>
      </w:r>
      <w:r w:rsidRPr="008B4363">
        <w:t xml:space="preserve"> </w:t>
      </w:r>
    </w:p>
    <w:p w14:paraId="58B0F4F2" w14:textId="158EF414" w:rsidR="00CB1E47" w:rsidRDefault="00A26BD5" w:rsidP="005F3E2F">
      <w:r w:rsidRPr="003E427D">
        <w:t>Comparator patients</w:t>
      </w:r>
      <w:r>
        <w:t xml:space="preserve">, who were matched with HCH patients on the number of </w:t>
      </w:r>
      <w:r w:rsidR="00001DEB">
        <w:t>emergency department</w:t>
      </w:r>
      <w:r>
        <w:t xml:space="preserve"> presentations in the pre-enrolment period, </w:t>
      </w:r>
      <w:r w:rsidRPr="003E427D">
        <w:t xml:space="preserve">had broadly consistent patterns of </w:t>
      </w:r>
      <w:r w:rsidR="00001DEB">
        <w:lastRenderedPageBreak/>
        <w:t>emergency department</w:t>
      </w:r>
      <w:r>
        <w:t xml:space="preserve"> </w:t>
      </w:r>
      <w:r w:rsidRPr="003E427D">
        <w:t xml:space="preserve">presentations to HCH patients. </w:t>
      </w:r>
      <w:r w:rsidR="00BA6C4D">
        <w:t>About</w:t>
      </w:r>
      <w:r w:rsidRPr="003E427D">
        <w:t xml:space="preserve"> one quarter (28.6%) of </w:t>
      </w:r>
      <w:r w:rsidR="000E16C4">
        <w:t>comparator</w:t>
      </w:r>
      <w:r w:rsidRPr="003E427D">
        <w:t xml:space="preserve"> patients had an </w:t>
      </w:r>
      <w:r w:rsidR="00001DEB">
        <w:t>emergency department</w:t>
      </w:r>
      <w:r w:rsidRPr="003E427D">
        <w:t xml:space="preserve"> presentation in the pre-enrolment period</w:t>
      </w:r>
      <w:r>
        <w:t>, 26.7% in</w:t>
      </w:r>
      <w:r w:rsidRPr="003E427D">
        <w:t xml:space="preserve"> the first year and </w:t>
      </w:r>
      <w:r>
        <w:t xml:space="preserve">17.9% in the </w:t>
      </w:r>
      <w:r w:rsidRPr="003E427D">
        <w:t xml:space="preserve">second year </w:t>
      </w:r>
      <w:r>
        <w:t>following enrolment (</w:t>
      </w:r>
      <w:r w:rsidRPr="006524FD">
        <w:rPr>
          <w:color w:val="1D2455"/>
        </w:rPr>
        <w:fldChar w:fldCharType="begin"/>
      </w:r>
      <w:r w:rsidRPr="006524FD">
        <w:rPr>
          <w:color w:val="1D2455"/>
        </w:rPr>
        <w:instrText xml:space="preserve"> REF _Ref96892252 \h </w:instrText>
      </w:r>
      <w:r w:rsidR="006524FD">
        <w:rPr>
          <w:color w:val="1D2455"/>
        </w:rPr>
        <w:instrText xml:space="preserve"> \* MERGEFORMAT </w:instrText>
      </w:r>
      <w:r w:rsidRPr="006524FD">
        <w:rPr>
          <w:color w:val="1D2455"/>
        </w:rPr>
      </w:r>
      <w:r w:rsidRPr="006524FD">
        <w:rPr>
          <w:color w:val="1D2455"/>
        </w:rPr>
        <w:fldChar w:fldCharType="separate"/>
      </w:r>
      <w:r w:rsidR="003C4BC2" w:rsidRPr="003C4BC2">
        <w:rPr>
          <w:color w:val="1D2455"/>
        </w:rPr>
        <w:t xml:space="preserve">Figure </w:t>
      </w:r>
      <w:r w:rsidR="003C4BC2" w:rsidRPr="003C4BC2">
        <w:rPr>
          <w:noProof/>
          <w:color w:val="1D2455"/>
        </w:rPr>
        <w:t>69</w:t>
      </w:r>
      <w:r w:rsidRPr="006524FD">
        <w:rPr>
          <w:color w:val="1D2455"/>
        </w:rPr>
        <w:fldChar w:fldCharType="end"/>
      </w:r>
      <w:r>
        <w:t>).</w:t>
      </w:r>
    </w:p>
    <w:p w14:paraId="4EA52B57" w14:textId="26DFB838" w:rsidR="00A26BD5" w:rsidRPr="00691E09" w:rsidRDefault="00A26BD5" w:rsidP="00A26BD5">
      <w:pPr>
        <w:pStyle w:val="TableFigureheading"/>
      </w:pPr>
      <w:bookmarkStart w:id="392" w:name="_Ref96892252"/>
      <w:bookmarkStart w:id="393" w:name="_Ref99214275"/>
      <w:r w:rsidRPr="00F877C0">
        <w:t xml:space="preserve">Figure </w:t>
      </w:r>
      <w:r>
        <w:fldChar w:fldCharType="begin"/>
      </w:r>
      <w:r>
        <w:instrText>SEQ Figure \* ARABIC</w:instrText>
      </w:r>
      <w:r>
        <w:fldChar w:fldCharType="separate"/>
      </w:r>
      <w:r w:rsidR="003C4BC2">
        <w:rPr>
          <w:noProof/>
        </w:rPr>
        <w:t>69</w:t>
      </w:r>
      <w:r>
        <w:fldChar w:fldCharType="end"/>
      </w:r>
      <w:bookmarkEnd w:id="392"/>
      <w:r>
        <w:t xml:space="preserve">: Presentations at emergency department among HCH </w:t>
      </w:r>
      <w:r w:rsidR="00724131">
        <w:rPr>
          <w:bCs w:val="0"/>
        </w:rPr>
        <w:t xml:space="preserve">and comparator </w:t>
      </w:r>
      <w:r>
        <w:t>patients</w:t>
      </w:r>
      <w:bookmarkEnd w:id="393"/>
    </w:p>
    <w:p w14:paraId="317C84D8" w14:textId="77777777" w:rsidR="00A26BD5" w:rsidRDefault="00A26BD5" w:rsidP="00A26BD5">
      <w:pPr>
        <w:rPr>
          <w:lang w:val="en-GB"/>
        </w:rPr>
      </w:pPr>
      <w:r>
        <w:rPr>
          <w:noProof/>
          <w:lang w:val="en-GB"/>
        </w:rPr>
        <w:drawing>
          <wp:inline distT="0" distB="0" distL="0" distR="0" wp14:anchorId="7F77053F" wp14:editId="141143D1">
            <wp:extent cx="5731510" cy="4011295"/>
            <wp:effectExtent l="0" t="0" r="0" b="0"/>
            <wp:docPr id="6286" name="Picture 628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6" name="Picture 6286" descr="Chart, bar chart&#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731510" cy="4011295"/>
                    </a:xfrm>
                    <a:prstGeom prst="rect">
                      <a:avLst/>
                    </a:prstGeom>
                  </pic:spPr>
                </pic:pic>
              </a:graphicData>
            </a:graphic>
          </wp:inline>
        </w:drawing>
      </w:r>
    </w:p>
    <w:p w14:paraId="11011CF3" w14:textId="4EC9E461" w:rsidR="00A26BD5" w:rsidRDefault="005C25A4" w:rsidP="005C25A4">
      <w:pPr>
        <w:pStyle w:val="Chartortablefootnote"/>
        <w:spacing w:after="0"/>
        <w:ind w:right="96"/>
        <w:rPr>
          <w:lang w:val="en-GB"/>
        </w:rPr>
      </w:pPr>
      <w:r>
        <w:rPr>
          <w:lang w:val="en-GB"/>
        </w:rPr>
        <w:t xml:space="preserve">Notes: </w:t>
      </w:r>
      <w:r w:rsidR="00A26BD5">
        <w:rPr>
          <w:lang w:val="en-GB"/>
        </w:rPr>
        <w:t xml:space="preserve"> People with length of follow-up shorter than respective yearly anniversaries were excluded from analyses.</w:t>
      </w:r>
    </w:p>
    <w:p w14:paraId="5596ADB7" w14:textId="5B64708B" w:rsidR="005C25A4" w:rsidRDefault="005C25A4" w:rsidP="005C25A4">
      <w:pPr>
        <w:pStyle w:val="Chartortablefootnote"/>
        <w:ind w:right="95"/>
        <w:rPr>
          <w:lang w:val="en-GB"/>
        </w:rPr>
      </w:pPr>
      <w:r w:rsidRPr="005C25A4">
        <w:rPr>
          <w:rStyle w:val="SourceChar"/>
          <w:rFonts w:eastAsia="Calibri"/>
          <w:bCs w:val="0"/>
          <w:i/>
          <w:szCs w:val="18"/>
          <w:lang w:eastAsia="en-US"/>
        </w:rPr>
        <w:t xml:space="preserve">Source: </w:t>
      </w:r>
      <w:r w:rsidR="00521170" w:rsidRPr="00521170">
        <w:rPr>
          <w:rStyle w:val="SourceChar"/>
          <w:rFonts w:eastAsia="Calibri"/>
          <w:bCs w:val="0"/>
          <w:i/>
          <w:szCs w:val="18"/>
          <w:lang w:eastAsia="en-US"/>
        </w:rPr>
        <w:t>Non-admitted Emergency Department Patient Care</w:t>
      </w:r>
      <w:r w:rsidR="00521170">
        <w:rPr>
          <w:rStyle w:val="SourceChar"/>
          <w:rFonts w:eastAsia="Calibri"/>
          <w:bCs w:val="0"/>
          <w:i/>
          <w:szCs w:val="18"/>
          <w:lang w:eastAsia="en-US"/>
        </w:rPr>
        <w:t xml:space="preserve"> </w:t>
      </w:r>
      <w:r w:rsidR="00515564">
        <w:rPr>
          <w:rStyle w:val="SourceChar"/>
          <w:rFonts w:eastAsia="Calibri"/>
          <w:bCs w:val="0"/>
          <w:i/>
          <w:szCs w:val="18"/>
          <w:lang w:eastAsia="en-US"/>
        </w:rPr>
        <w:t xml:space="preserve">data </w:t>
      </w:r>
      <w:r w:rsidRPr="005C25A4">
        <w:rPr>
          <w:rStyle w:val="SourceChar"/>
          <w:rFonts w:eastAsia="Calibri"/>
          <w:bCs w:val="0"/>
          <w:i/>
          <w:szCs w:val="18"/>
          <w:lang w:eastAsia="en-US"/>
        </w:rPr>
        <w:t>for patients in five states (NSW, Vic, Qld, SA and Tas)</w:t>
      </w:r>
      <w:r>
        <w:rPr>
          <w:rStyle w:val="SourceChar"/>
          <w:rFonts w:eastAsia="Calibri"/>
          <w:bCs w:val="0"/>
          <w:i/>
          <w:szCs w:val="18"/>
          <w:lang w:eastAsia="en-US"/>
        </w:rPr>
        <w:t>.</w:t>
      </w:r>
    </w:p>
    <w:p w14:paraId="71529B33" w14:textId="77777777" w:rsidR="000448BA" w:rsidRDefault="000448BA" w:rsidP="000448BA">
      <w:pPr>
        <w:pStyle w:val="Heading2"/>
        <w:rPr>
          <w:rFonts w:eastAsia="Muli"/>
        </w:rPr>
      </w:pPr>
      <w:bookmarkStart w:id="394" w:name="_Ref103766096"/>
      <w:bookmarkStart w:id="395" w:name="_Toc109996740"/>
      <w:r>
        <w:rPr>
          <w:rFonts w:eastAsia="Muli"/>
        </w:rPr>
        <w:t>Entry to residential aged care facilities</w:t>
      </w:r>
      <w:bookmarkEnd w:id="394"/>
      <w:bookmarkEnd w:id="395"/>
    </w:p>
    <w:p w14:paraId="0918E4AC" w14:textId="77777777" w:rsidR="000448BA" w:rsidRDefault="000448BA" w:rsidP="000448BA">
      <w:pPr>
        <w:rPr>
          <w:lang w:val="en-GB"/>
        </w:rPr>
      </w:pPr>
      <w:r>
        <w:rPr>
          <w:lang w:val="en-GB"/>
        </w:rPr>
        <w:t xml:space="preserve">For the HCH evaluation, data on the use of aged care services were </w:t>
      </w:r>
      <w:r w:rsidRPr="56425DF9">
        <w:rPr>
          <w:lang w:val="en-GB"/>
        </w:rPr>
        <w:t>obtained</w:t>
      </w:r>
      <w:r>
        <w:rPr>
          <w:lang w:val="en-GB"/>
        </w:rPr>
        <w:t xml:space="preserve"> from the </w:t>
      </w:r>
      <w:r>
        <w:t xml:space="preserve">National Aged Care Data Clearing House (NACDCH). </w:t>
      </w:r>
      <w:r>
        <w:rPr>
          <w:lang w:val="en-GB"/>
        </w:rPr>
        <w:t xml:space="preserve">Admission to a residential aged care facility was determined by presence of a record in the Residential Aged Care (RAC) Episode of care data collection, where </w:t>
      </w:r>
      <w:r w:rsidRPr="56425DF9">
        <w:rPr>
          <w:lang w:val="en-GB"/>
        </w:rPr>
        <w:t xml:space="preserve">the </w:t>
      </w:r>
      <w:r>
        <w:rPr>
          <w:lang w:val="en-GB"/>
        </w:rPr>
        <w:t xml:space="preserve">date of entry was subsequent to </w:t>
      </w:r>
      <w:r w:rsidRPr="56425DF9">
        <w:rPr>
          <w:lang w:val="en-GB"/>
        </w:rPr>
        <w:t xml:space="preserve">the </w:t>
      </w:r>
      <w:r>
        <w:rPr>
          <w:lang w:val="en-GB"/>
        </w:rPr>
        <w:t xml:space="preserve">date of </w:t>
      </w:r>
      <w:r w:rsidRPr="56425DF9">
        <w:rPr>
          <w:lang w:val="en-GB"/>
        </w:rPr>
        <w:t xml:space="preserve">HCH </w:t>
      </w:r>
      <w:r>
        <w:rPr>
          <w:lang w:val="en-GB"/>
        </w:rPr>
        <w:t>enrolment. Comparator patients were matched with HCH patients on the use of community-based and facility-based aged care services in two years before enrolment.</w:t>
      </w:r>
    </w:p>
    <w:p w14:paraId="1B0958C1" w14:textId="3F827CC0" w:rsidR="000448BA" w:rsidRDefault="000448BA" w:rsidP="000448BA">
      <w:pPr>
        <w:rPr>
          <w:lang w:val="en-GB"/>
        </w:rPr>
      </w:pPr>
      <w:r>
        <w:rPr>
          <w:lang w:val="en-GB"/>
        </w:rPr>
        <w:t>In the follow-up period (up until 30 June 2020), 339 (3.2%) HCH patients were admitted to a residential aged care facility (</w:t>
      </w:r>
      <w:r w:rsidR="00A726E5">
        <w:rPr>
          <w:lang w:val="en-GB"/>
        </w:rPr>
        <w:fldChar w:fldCharType="begin"/>
      </w:r>
      <w:r w:rsidR="00A726E5">
        <w:rPr>
          <w:lang w:val="en-GB"/>
        </w:rPr>
        <w:instrText xml:space="preserve"> REF _Ref98971295 \h </w:instrText>
      </w:r>
      <w:r w:rsidR="00A726E5">
        <w:rPr>
          <w:lang w:val="en-GB"/>
        </w:rPr>
      </w:r>
      <w:r w:rsidR="00A726E5">
        <w:rPr>
          <w:lang w:val="en-GB"/>
        </w:rPr>
        <w:fldChar w:fldCharType="separate"/>
      </w:r>
      <w:r w:rsidR="003C4BC2" w:rsidRPr="00A970A9">
        <w:t xml:space="preserve">Table </w:t>
      </w:r>
      <w:r w:rsidR="003C4BC2">
        <w:rPr>
          <w:bCs/>
          <w:noProof/>
        </w:rPr>
        <w:t>48</w:t>
      </w:r>
      <w:r w:rsidR="00A726E5">
        <w:rPr>
          <w:lang w:val="en-GB"/>
        </w:rPr>
        <w:fldChar w:fldCharType="end"/>
      </w:r>
      <w:r>
        <w:rPr>
          <w:lang w:val="en-GB"/>
        </w:rPr>
        <w:t>), while 292 (2.7%) comparator patients were admitted. Amongst HCH patients who had an admission, the mean length of time from enrolment to admission was 9.8 months (std 9.6), and median was 9 months (IQR: 5</w:t>
      </w:r>
      <w:r w:rsidR="00816DA3">
        <w:rPr>
          <w:lang w:val="en-GB"/>
        </w:rPr>
        <w:t>–</w:t>
      </w:r>
      <w:r>
        <w:rPr>
          <w:lang w:val="en-GB"/>
        </w:rPr>
        <w:t>14). Amongst comparator patients who had admission, mean time-to-aged care admission was 11.2 months (std 6.9), and median was 11 months (IQR: 5</w:t>
      </w:r>
      <w:r w:rsidR="00816DA3">
        <w:rPr>
          <w:lang w:val="en-GB"/>
        </w:rPr>
        <w:t>–</w:t>
      </w:r>
      <w:r>
        <w:rPr>
          <w:lang w:val="en-GB"/>
        </w:rPr>
        <w:t>16).</w:t>
      </w:r>
    </w:p>
    <w:p w14:paraId="509E956A" w14:textId="77777777" w:rsidR="000448BA" w:rsidRDefault="000448BA" w:rsidP="000448BA">
      <w:pPr>
        <w:rPr>
          <w:lang w:val="en-GB"/>
        </w:rPr>
      </w:pPr>
      <w:r w:rsidRPr="56425DF9">
        <w:rPr>
          <w:lang w:val="en-GB"/>
        </w:rPr>
        <w:lastRenderedPageBreak/>
        <w:t xml:space="preserve">Only </w:t>
      </w:r>
      <w:r>
        <w:rPr>
          <w:lang w:val="en-GB"/>
        </w:rPr>
        <w:t xml:space="preserve">a small proportion </w:t>
      </w:r>
      <w:r w:rsidRPr="56425DF9">
        <w:rPr>
          <w:lang w:val="en-GB"/>
        </w:rPr>
        <w:t xml:space="preserve">of HCH and </w:t>
      </w:r>
      <w:r>
        <w:rPr>
          <w:lang w:val="en-GB"/>
        </w:rPr>
        <w:t>comparator</w:t>
      </w:r>
      <w:r w:rsidRPr="56425DF9">
        <w:rPr>
          <w:lang w:val="en-GB"/>
        </w:rPr>
        <w:t xml:space="preserve"> patients </w:t>
      </w:r>
      <w:r>
        <w:rPr>
          <w:lang w:val="en-GB"/>
        </w:rPr>
        <w:t>had a record of RAC admission within 24 months before</w:t>
      </w:r>
      <w:r w:rsidRPr="56425DF9">
        <w:rPr>
          <w:lang w:val="en-GB"/>
        </w:rPr>
        <w:t xml:space="preserve"> enrolment. Among those</w:t>
      </w:r>
      <w:r>
        <w:rPr>
          <w:lang w:val="en-GB"/>
        </w:rPr>
        <w:t xml:space="preserve"> patients who did not have a prior RAC admission, 281 HCH patients (2.7%) and 270 comparator patients (2.5%) had an admission to a </w:t>
      </w:r>
      <w:r w:rsidRPr="56425DF9">
        <w:rPr>
          <w:lang w:val="en-GB"/>
        </w:rPr>
        <w:t>resident</w:t>
      </w:r>
      <w:r>
        <w:rPr>
          <w:lang w:val="en-GB"/>
        </w:rPr>
        <w:t>i</w:t>
      </w:r>
      <w:r w:rsidRPr="56425DF9">
        <w:rPr>
          <w:lang w:val="en-GB"/>
        </w:rPr>
        <w:t>al aged care facility</w:t>
      </w:r>
      <w:r>
        <w:rPr>
          <w:lang w:val="en-GB"/>
        </w:rPr>
        <w:t xml:space="preserve"> following enrolment. </w:t>
      </w:r>
    </w:p>
    <w:p w14:paraId="1BFEDB82" w14:textId="02C9C5AE" w:rsidR="00E64C70" w:rsidRDefault="00D100FF" w:rsidP="00E64C70">
      <w:r>
        <w:t xml:space="preserve">After adjusting for </w:t>
      </w:r>
      <w:r w:rsidR="004165EA">
        <w:t>pre-enrolment use of aged care services, h</w:t>
      </w:r>
      <w:r w:rsidR="00E64C70">
        <w:t xml:space="preserve">azard ratio for having </w:t>
      </w:r>
      <w:r>
        <w:t xml:space="preserve">an admission to aged care facility </w:t>
      </w:r>
      <w:r w:rsidR="00E64C70">
        <w:t xml:space="preserve">among HCH patients is </w:t>
      </w:r>
      <w:r w:rsidR="00E64C70" w:rsidRPr="008F2E70">
        <w:t>1</w:t>
      </w:r>
      <w:r w:rsidR="00E64C70" w:rsidRPr="004A3502">
        <w:t>.</w:t>
      </w:r>
      <w:r w:rsidR="004165EA">
        <w:t>16</w:t>
      </w:r>
      <w:r w:rsidR="00E64C70" w:rsidRPr="004A3502">
        <w:t xml:space="preserve"> (</w:t>
      </w:r>
      <w:r w:rsidR="00E64C70">
        <w:t xml:space="preserve">95%CI </w:t>
      </w:r>
      <w:r w:rsidR="00E64C70" w:rsidRPr="004A3502">
        <w:t>0.9</w:t>
      </w:r>
      <w:r w:rsidR="004165EA">
        <w:t>7</w:t>
      </w:r>
      <w:r w:rsidR="00816DA3">
        <w:t>–</w:t>
      </w:r>
      <w:r w:rsidR="00E64C70" w:rsidRPr="004A3502">
        <w:t>1.</w:t>
      </w:r>
      <w:r w:rsidR="004165EA">
        <w:t>39</w:t>
      </w:r>
      <w:r w:rsidR="00E64C70" w:rsidRPr="004A3502">
        <w:t>)</w:t>
      </w:r>
      <w:r w:rsidR="00E64C70">
        <w:t xml:space="preserve">, relative to </w:t>
      </w:r>
      <w:r w:rsidR="007D130E">
        <w:t>c</w:t>
      </w:r>
      <w:r w:rsidR="00E64C70">
        <w:t>omparator patient</w:t>
      </w:r>
      <w:r w:rsidR="007D130E">
        <w:t>s</w:t>
      </w:r>
      <w:r w:rsidR="00E64C70">
        <w:t>.</w:t>
      </w:r>
    </w:p>
    <w:p w14:paraId="6ED6F146" w14:textId="6A17916D" w:rsidR="000448BA" w:rsidRDefault="00A26BD5" w:rsidP="000448BA">
      <w:pPr>
        <w:pStyle w:val="TableFigureheading"/>
        <w:rPr>
          <w:bCs w:val="0"/>
        </w:rPr>
      </w:pPr>
      <w:bookmarkStart w:id="396" w:name="_Ref98971295"/>
      <w:r w:rsidRPr="00A970A9">
        <w:rPr>
          <w:bCs w:val="0"/>
        </w:rPr>
        <w:t xml:space="preserve">Table </w:t>
      </w:r>
      <w:r w:rsidRPr="00A970A9">
        <w:rPr>
          <w:bCs w:val="0"/>
        </w:rPr>
        <w:fldChar w:fldCharType="begin"/>
      </w:r>
      <w:r w:rsidRPr="00A970A9">
        <w:rPr>
          <w:bCs w:val="0"/>
        </w:rPr>
        <w:instrText xml:space="preserve"> SEQ Table \* ARABIC </w:instrText>
      </w:r>
      <w:r w:rsidRPr="00A970A9">
        <w:rPr>
          <w:bCs w:val="0"/>
        </w:rPr>
        <w:fldChar w:fldCharType="separate"/>
      </w:r>
      <w:r w:rsidR="003C4BC2">
        <w:rPr>
          <w:bCs w:val="0"/>
          <w:noProof/>
        </w:rPr>
        <w:t>48</w:t>
      </w:r>
      <w:r w:rsidRPr="00A970A9">
        <w:rPr>
          <w:bCs w:val="0"/>
        </w:rPr>
        <w:fldChar w:fldCharType="end"/>
      </w:r>
      <w:bookmarkEnd w:id="396"/>
      <w:r w:rsidR="000448BA" w:rsidRPr="00A970A9">
        <w:rPr>
          <w:bCs w:val="0"/>
        </w:rPr>
        <w:t xml:space="preserve">: </w:t>
      </w:r>
      <w:r w:rsidR="000448BA">
        <w:rPr>
          <w:bCs w:val="0"/>
        </w:rPr>
        <w:t xml:space="preserve">Admission to aged care facility by 30 June 2020 among HCH </w:t>
      </w:r>
      <w:r w:rsidR="00724131">
        <w:rPr>
          <w:bCs w:val="0"/>
        </w:rPr>
        <w:t xml:space="preserve">and comparator </w:t>
      </w:r>
      <w:r w:rsidR="000448BA">
        <w:rPr>
          <w:bCs w:val="0"/>
        </w:rPr>
        <w:t>patients</w:t>
      </w:r>
    </w:p>
    <w:tbl>
      <w:tblPr>
        <w:tblW w:w="5000"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072"/>
        <w:gridCol w:w="1973"/>
        <w:gridCol w:w="1971"/>
      </w:tblGrid>
      <w:tr w:rsidR="000448BA" w:rsidRPr="004C70C6" w14:paraId="238D9BAA" w14:textId="77777777" w:rsidTr="00515564">
        <w:trPr>
          <w:trHeight w:val="340"/>
          <w:jc w:val="center"/>
        </w:trPr>
        <w:tc>
          <w:tcPr>
            <w:tcW w:w="2813" w:type="pct"/>
            <w:shd w:val="clear" w:color="auto" w:fill="408BCA"/>
          </w:tcPr>
          <w:p w14:paraId="46F30E9A" w14:textId="53C5730D" w:rsidR="000448BA" w:rsidRPr="008A6DCB" w:rsidRDefault="009F2CD3" w:rsidP="00604E0F">
            <w:pPr>
              <w:spacing w:after="0"/>
              <w:ind w:left="102" w:right="102"/>
              <w:rPr>
                <w:rFonts w:eastAsia="Century Gothic" w:cs="Century Gothic"/>
                <w:b/>
                <w:color w:val="FFFFFF" w:themeColor="background1"/>
                <w:sz w:val="18"/>
                <w:szCs w:val="18"/>
              </w:rPr>
            </w:pPr>
            <w:r w:rsidRPr="009F2CD3">
              <w:rPr>
                <w:b/>
                <w:color w:val="FFFFFF" w:themeColor="background1"/>
                <w:sz w:val="18"/>
                <w:szCs w:val="18"/>
              </w:rPr>
              <w:t xml:space="preserve">Admission </w:t>
            </w:r>
            <w:r w:rsidR="00971521" w:rsidRPr="008A6DCB">
              <w:rPr>
                <w:b/>
                <w:color w:val="FFFFFF" w:themeColor="background1"/>
                <w:sz w:val="18"/>
                <w:szCs w:val="18"/>
              </w:rPr>
              <w:t>to aged care facility</w:t>
            </w:r>
          </w:p>
        </w:tc>
        <w:tc>
          <w:tcPr>
            <w:tcW w:w="1094" w:type="pct"/>
            <w:shd w:val="clear" w:color="auto" w:fill="408BCA"/>
          </w:tcPr>
          <w:p w14:paraId="758413AB" w14:textId="77777777" w:rsidR="000448BA" w:rsidRPr="00395E9A" w:rsidRDefault="000448BA" w:rsidP="00604E0F">
            <w:pPr>
              <w:spacing w:after="0"/>
              <w:ind w:left="102" w:right="102"/>
              <w:jc w:val="right"/>
              <w:rPr>
                <w:rFonts w:eastAsia="Century Gothic" w:cs="Century Gothic"/>
                <w:b/>
                <w:color w:val="FFFFFF"/>
                <w:sz w:val="18"/>
                <w:szCs w:val="18"/>
              </w:rPr>
            </w:pPr>
            <w:r w:rsidRPr="00395E9A">
              <w:rPr>
                <w:rFonts w:eastAsia="Century Gothic" w:cs="Century Gothic"/>
                <w:b/>
                <w:color w:val="FFFFFF"/>
                <w:sz w:val="18"/>
                <w:szCs w:val="18"/>
              </w:rPr>
              <w:t>HCH patients</w:t>
            </w:r>
          </w:p>
        </w:tc>
        <w:tc>
          <w:tcPr>
            <w:tcW w:w="1093" w:type="pct"/>
            <w:shd w:val="clear" w:color="auto" w:fill="408BCA"/>
          </w:tcPr>
          <w:p w14:paraId="66F36C46" w14:textId="77777777" w:rsidR="000448BA" w:rsidRPr="00395E9A" w:rsidRDefault="000448BA" w:rsidP="00604E0F">
            <w:pPr>
              <w:spacing w:after="0"/>
              <w:ind w:left="102" w:right="102"/>
              <w:jc w:val="right"/>
              <w:rPr>
                <w:rFonts w:eastAsia="Century Gothic" w:cs="Century Gothic"/>
                <w:b/>
                <w:color w:val="000000"/>
                <w:sz w:val="18"/>
                <w:szCs w:val="18"/>
              </w:rPr>
            </w:pPr>
            <w:r w:rsidRPr="00395E9A">
              <w:rPr>
                <w:rFonts w:eastAsia="Century Gothic" w:cs="Century Gothic"/>
                <w:b/>
                <w:color w:val="FFFFFF"/>
                <w:sz w:val="18"/>
                <w:szCs w:val="18"/>
              </w:rPr>
              <w:t>Comparators</w:t>
            </w:r>
          </w:p>
        </w:tc>
      </w:tr>
      <w:tr w:rsidR="000448BA" w:rsidRPr="00A144BD" w14:paraId="043B8B49" w14:textId="77777777" w:rsidTr="00515564">
        <w:trPr>
          <w:trHeight w:val="340"/>
          <w:jc w:val="center"/>
        </w:trPr>
        <w:tc>
          <w:tcPr>
            <w:tcW w:w="2813" w:type="pct"/>
          </w:tcPr>
          <w:p w14:paraId="32411AA9" w14:textId="570CC531" w:rsidR="000448BA" w:rsidRPr="006F5CDF" w:rsidRDefault="00971521" w:rsidP="00971521">
            <w:pPr>
              <w:spacing w:after="0"/>
              <w:ind w:right="102"/>
              <w:rPr>
                <w:b/>
                <w:bCs/>
                <w:sz w:val="18"/>
                <w:szCs w:val="18"/>
              </w:rPr>
            </w:pPr>
            <w:r w:rsidRPr="002037B9">
              <w:rPr>
                <w:b/>
                <w:bCs/>
                <w:sz w:val="18"/>
                <w:szCs w:val="18"/>
              </w:rPr>
              <w:t>In all patients</w:t>
            </w:r>
          </w:p>
        </w:tc>
        <w:tc>
          <w:tcPr>
            <w:tcW w:w="1094" w:type="pct"/>
          </w:tcPr>
          <w:p w14:paraId="06A8865C" w14:textId="77777777" w:rsidR="000448BA" w:rsidRPr="00CB04C3" w:rsidRDefault="000448BA" w:rsidP="00604E0F">
            <w:pPr>
              <w:spacing w:after="0"/>
              <w:ind w:left="102" w:right="102"/>
              <w:jc w:val="right"/>
              <w:rPr>
                <w:rFonts w:eastAsia="Century Gothic" w:cs="Century Gothic"/>
                <w:color w:val="000000"/>
                <w:sz w:val="18"/>
                <w:szCs w:val="18"/>
              </w:rPr>
            </w:pPr>
          </w:p>
        </w:tc>
        <w:tc>
          <w:tcPr>
            <w:tcW w:w="1093" w:type="pct"/>
          </w:tcPr>
          <w:p w14:paraId="0A373D69" w14:textId="77777777" w:rsidR="000448BA" w:rsidRPr="00CB04C3" w:rsidRDefault="000448BA" w:rsidP="00604E0F">
            <w:pPr>
              <w:spacing w:after="0"/>
              <w:ind w:left="102" w:right="102"/>
              <w:jc w:val="right"/>
              <w:rPr>
                <w:sz w:val="18"/>
                <w:szCs w:val="18"/>
              </w:rPr>
            </w:pPr>
          </w:p>
        </w:tc>
      </w:tr>
      <w:tr w:rsidR="000448BA" w:rsidRPr="00A144BD" w14:paraId="3EF101C5" w14:textId="77777777" w:rsidTr="00515564">
        <w:trPr>
          <w:trHeight w:val="340"/>
          <w:jc w:val="center"/>
        </w:trPr>
        <w:tc>
          <w:tcPr>
            <w:tcW w:w="2813" w:type="pct"/>
          </w:tcPr>
          <w:p w14:paraId="7B5B3473" w14:textId="02783682" w:rsidR="000448BA" w:rsidRPr="00CB04C3" w:rsidRDefault="00F621AC" w:rsidP="00604E0F">
            <w:pPr>
              <w:spacing w:after="0"/>
              <w:ind w:left="339" w:right="102"/>
              <w:rPr>
                <w:sz w:val="18"/>
                <w:szCs w:val="18"/>
              </w:rPr>
            </w:pPr>
            <w:r w:rsidRPr="009F2CD3">
              <w:rPr>
                <w:b/>
                <w:sz w:val="18"/>
                <w:szCs w:val="18"/>
              </w:rPr>
              <w:t>Admission to aged care facility</w:t>
            </w:r>
            <w:r w:rsidR="00971521" w:rsidRPr="009F2CD3">
              <w:rPr>
                <w:rFonts w:eastAsia="Century Gothic" w:cs="Century Gothic"/>
                <w:color w:val="000000"/>
                <w:sz w:val="18"/>
                <w:szCs w:val="18"/>
              </w:rPr>
              <w:t>, number (%)</w:t>
            </w:r>
          </w:p>
        </w:tc>
        <w:tc>
          <w:tcPr>
            <w:tcW w:w="1094" w:type="pct"/>
          </w:tcPr>
          <w:p w14:paraId="74F8242C" w14:textId="77777777" w:rsidR="000448BA" w:rsidRPr="00CB04C3" w:rsidRDefault="000448BA" w:rsidP="00604E0F">
            <w:pPr>
              <w:spacing w:after="0"/>
              <w:ind w:left="102" w:right="102"/>
              <w:jc w:val="right"/>
              <w:rPr>
                <w:rFonts w:eastAsia="Century Gothic" w:cs="Century Gothic"/>
                <w:color w:val="000000"/>
                <w:sz w:val="18"/>
                <w:szCs w:val="18"/>
              </w:rPr>
            </w:pPr>
            <w:r>
              <w:rPr>
                <w:rFonts w:eastAsia="Century Gothic" w:cs="Century Gothic"/>
                <w:color w:val="000000"/>
                <w:sz w:val="18"/>
                <w:szCs w:val="18"/>
              </w:rPr>
              <w:t>339 (3.2%)</w:t>
            </w:r>
          </w:p>
        </w:tc>
        <w:tc>
          <w:tcPr>
            <w:tcW w:w="1093" w:type="pct"/>
          </w:tcPr>
          <w:p w14:paraId="6E90AAB0" w14:textId="77777777" w:rsidR="000448BA" w:rsidRPr="00CB04C3" w:rsidRDefault="000448BA" w:rsidP="00604E0F">
            <w:pPr>
              <w:spacing w:after="0"/>
              <w:ind w:left="102" w:right="102"/>
              <w:jc w:val="right"/>
              <w:rPr>
                <w:sz w:val="18"/>
                <w:szCs w:val="18"/>
              </w:rPr>
            </w:pPr>
            <w:r>
              <w:rPr>
                <w:rFonts w:eastAsia="Century Gothic" w:cs="Century Gothic"/>
                <w:color w:val="000000"/>
                <w:sz w:val="18"/>
                <w:szCs w:val="18"/>
              </w:rPr>
              <w:t>292 (2.7%)</w:t>
            </w:r>
          </w:p>
        </w:tc>
      </w:tr>
      <w:tr w:rsidR="000448BA" w:rsidRPr="00A144BD" w14:paraId="1CFD5E6B" w14:textId="77777777" w:rsidTr="00515564">
        <w:trPr>
          <w:trHeight w:val="340"/>
          <w:jc w:val="center"/>
        </w:trPr>
        <w:tc>
          <w:tcPr>
            <w:tcW w:w="2813" w:type="pct"/>
          </w:tcPr>
          <w:p w14:paraId="422138AD" w14:textId="77777777" w:rsidR="000448BA" w:rsidRPr="0092461A" w:rsidRDefault="000448BA" w:rsidP="00604E0F">
            <w:pPr>
              <w:spacing w:after="0"/>
              <w:ind w:left="339" w:right="102"/>
              <w:rPr>
                <w:b/>
                <w:bCs/>
                <w:sz w:val="18"/>
                <w:szCs w:val="18"/>
              </w:rPr>
            </w:pPr>
            <w:r w:rsidRPr="0092461A">
              <w:rPr>
                <w:b/>
                <w:bCs/>
                <w:sz w:val="18"/>
                <w:szCs w:val="18"/>
              </w:rPr>
              <w:t>Time-to-admission (months)</w:t>
            </w:r>
          </w:p>
        </w:tc>
        <w:tc>
          <w:tcPr>
            <w:tcW w:w="1094" w:type="pct"/>
          </w:tcPr>
          <w:p w14:paraId="0F88116D" w14:textId="77777777" w:rsidR="000448BA" w:rsidRPr="00CB04C3" w:rsidRDefault="000448BA" w:rsidP="00604E0F">
            <w:pPr>
              <w:spacing w:after="0"/>
              <w:ind w:left="102" w:right="102"/>
              <w:jc w:val="right"/>
              <w:rPr>
                <w:rFonts w:eastAsia="Century Gothic" w:cs="Century Gothic"/>
                <w:color w:val="000000"/>
                <w:sz w:val="18"/>
                <w:szCs w:val="18"/>
              </w:rPr>
            </w:pPr>
          </w:p>
        </w:tc>
        <w:tc>
          <w:tcPr>
            <w:tcW w:w="1093" w:type="pct"/>
          </w:tcPr>
          <w:p w14:paraId="72114E7F" w14:textId="77777777" w:rsidR="000448BA" w:rsidRPr="00CB04C3" w:rsidRDefault="000448BA" w:rsidP="00604E0F">
            <w:pPr>
              <w:spacing w:after="0"/>
              <w:ind w:left="102" w:right="102"/>
              <w:jc w:val="right"/>
              <w:rPr>
                <w:sz w:val="18"/>
                <w:szCs w:val="18"/>
              </w:rPr>
            </w:pPr>
          </w:p>
        </w:tc>
      </w:tr>
      <w:tr w:rsidR="000448BA" w:rsidRPr="00A144BD" w14:paraId="61242C18" w14:textId="77777777" w:rsidTr="00515564">
        <w:trPr>
          <w:trHeight w:val="340"/>
          <w:jc w:val="center"/>
        </w:trPr>
        <w:tc>
          <w:tcPr>
            <w:tcW w:w="2813" w:type="pct"/>
          </w:tcPr>
          <w:p w14:paraId="3F1BE126" w14:textId="77777777" w:rsidR="000448BA" w:rsidRDefault="000448BA" w:rsidP="00AE5F80">
            <w:pPr>
              <w:spacing w:after="0"/>
              <w:ind w:left="567" w:right="102"/>
              <w:rPr>
                <w:sz w:val="18"/>
                <w:szCs w:val="18"/>
              </w:rPr>
            </w:pPr>
            <w:r>
              <w:rPr>
                <w:sz w:val="18"/>
                <w:szCs w:val="18"/>
              </w:rPr>
              <w:t>Mean (std)</w:t>
            </w:r>
          </w:p>
        </w:tc>
        <w:tc>
          <w:tcPr>
            <w:tcW w:w="1094" w:type="pct"/>
          </w:tcPr>
          <w:p w14:paraId="2B994413" w14:textId="77777777" w:rsidR="000448BA" w:rsidRPr="00CB04C3" w:rsidRDefault="000448BA" w:rsidP="00604E0F">
            <w:pPr>
              <w:spacing w:after="0"/>
              <w:ind w:left="102" w:right="102"/>
              <w:jc w:val="right"/>
              <w:rPr>
                <w:rFonts w:eastAsia="Century Gothic" w:cs="Century Gothic"/>
                <w:color w:val="000000"/>
                <w:sz w:val="18"/>
                <w:szCs w:val="18"/>
              </w:rPr>
            </w:pPr>
            <w:r>
              <w:rPr>
                <w:rFonts w:eastAsia="Century Gothic" w:cs="Century Gothic"/>
                <w:color w:val="000000"/>
                <w:sz w:val="18"/>
                <w:szCs w:val="18"/>
              </w:rPr>
              <w:t>9.8 (6.6)</w:t>
            </w:r>
          </w:p>
        </w:tc>
        <w:tc>
          <w:tcPr>
            <w:tcW w:w="1093" w:type="pct"/>
          </w:tcPr>
          <w:p w14:paraId="31D55B81" w14:textId="77777777" w:rsidR="000448BA" w:rsidRPr="00CB04C3" w:rsidRDefault="000448BA" w:rsidP="00604E0F">
            <w:pPr>
              <w:spacing w:after="0"/>
              <w:ind w:left="102" w:right="102"/>
              <w:jc w:val="right"/>
              <w:rPr>
                <w:sz w:val="18"/>
                <w:szCs w:val="18"/>
              </w:rPr>
            </w:pPr>
            <w:r>
              <w:rPr>
                <w:sz w:val="18"/>
                <w:szCs w:val="18"/>
              </w:rPr>
              <w:t>11.2 (6.9)</w:t>
            </w:r>
          </w:p>
        </w:tc>
      </w:tr>
      <w:tr w:rsidR="000448BA" w:rsidRPr="00A144BD" w14:paraId="5E9866EF" w14:textId="77777777" w:rsidTr="00515564">
        <w:trPr>
          <w:trHeight w:val="340"/>
          <w:jc w:val="center"/>
        </w:trPr>
        <w:tc>
          <w:tcPr>
            <w:tcW w:w="2813" w:type="pct"/>
          </w:tcPr>
          <w:p w14:paraId="43BC7274" w14:textId="77777777" w:rsidR="000448BA" w:rsidRDefault="000448BA" w:rsidP="00AE5F80">
            <w:pPr>
              <w:spacing w:after="0"/>
              <w:ind w:left="567" w:right="102"/>
              <w:rPr>
                <w:sz w:val="18"/>
                <w:szCs w:val="18"/>
              </w:rPr>
            </w:pPr>
            <w:r>
              <w:rPr>
                <w:sz w:val="18"/>
                <w:szCs w:val="18"/>
              </w:rPr>
              <w:t>Median (IQR)</w:t>
            </w:r>
          </w:p>
        </w:tc>
        <w:tc>
          <w:tcPr>
            <w:tcW w:w="1094" w:type="pct"/>
          </w:tcPr>
          <w:p w14:paraId="2F7FAEE6" w14:textId="5C8080F9" w:rsidR="000448BA" w:rsidRPr="00CB04C3" w:rsidRDefault="000448BA" w:rsidP="00604E0F">
            <w:pPr>
              <w:spacing w:after="0"/>
              <w:ind w:left="102" w:right="102"/>
              <w:jc w:val="right"/>
              <w:rPr>
                <w:rFonts w:eastAsia="Century Gothic" w:cs="Century Gothic"/>
                <w:color w:val="000000"/>
                <w:sz w:val="18"/>
                <w:szCs w:val="18"/>
              </w:rPr>
            </w:pPr>
            <w:r>
              <w:rPr>
                <w:rFonts w:eastAsia="Century Gothic" w:cs="Century Gothic"/>
                <w:color w:val="000000"/>
                <w:sz w:val="18"/>
                <w:szCs w:val="18"/>
              </w:rPr>
              <w:t>9 (5</w:t>
            </w:r>
            <w:r w:rsidR="00816DA3">
              <w:rPr>
                <w:rFonts w:eastAsia="Century Gothic" w:cs="Century Gothic"/>
                <w:color w:val="000000"/>
                <w:sz w:val="18"/>
                <w:szCs w:val="18"/>
              </w:rPr>
              <w:t>–</w:t>
            </w:r>
            <w:r>
              <w:rPr>
                <w:rFonts w:eastAsia="Century Gothic" w:cs="Century Gothic"/>
                <w:color w:val="000000"/>
                <w:sz w:val="18"/>
                <w:szCs w:val="18"/>
              </w:rPr>
              <w:t>14)</w:t>
            </w:r>
          </w:p>
        </w:tc>
        <w:tc>
          <w:tcPr>
            <w:tcW w:w="1093" w:type="pct"/>
          </w:tcPr>
          <w:p w14:paraId="50657077" w14:textId="6D7C1C95" w:rsidR="000448BA" w:rsidRPr="00CB04C3" w:rsidRDefault="000448BA" w:rsidP="00604E0F">
            <w:pPr>
              <w:spacing w:after="0"/>
              <w:ind w:left="102" w:right="102"/>
              <w:jc w:val="right"/>
              <w:rPr>
                <w:sz w:val="18"/>
                <w:szCs w:val="18"/>
              </w:rPr>
            </w:pPr>
            <w:r>
              <w:rPr>
                <w:sz w:val="18"/>
                <w:szCs w:val="18"/>
              </w:rPr>
              <w:t>11 (5</w:t>
            </w:r>
            <w:r w:rsidR="00816DA3">
              <w:rPr>
                <w:sz w:val="18"/>
                <w:szCs w:val="18"/>
              </w:rPr>
              <w:t>–</w:t>
            </w:r>
            <w:r>
              <w:rPr>
                <w:sz w:val="18"/>
                <w:szCs w:val="18"/>
              </w:rPr>
              <w:t>16)</w:t>
            </w:r>
          </w:p>
        </w:tc>
      </w:tr>
      <w:tr w:rsidR="000448BA" w:rsidRPr="00A144BD" w14:paraId="6DCFC14B" w14:textId="77777777" w:rsidTr="00515564">
        <w:trPr>
          <w:trHeight w:val="340"/>
          <w:jc w:val="center"/>
        </w:trPr>
        <w:tc>
          <w:tcPr>
            <w:tcW w:w="2813" w:type="pct"/>
          </w:tcPr>
          <w:p w14:paraId="47900C3E" w14:textId="70CB9E88" w:rsidR="000448BA" w:rsidRPr="006F5CDF" w:rsidRDefault="008A6DCB" w:rsidP="008A6DCB">
            <w:pPr>
              <w:spacing w:after="0"/>
              <w:ind w:right="102"/>
              <w:rPr>
                <w:b/>
                <w:bCs/>
                <w:sz w:val="18"/>
                <w:szCs w:val="18"/>
              </w:rPr>
            </w:pPr>
            <w:r w:rsidRPr="002037B9">
              <w:rPr>
                <w:b/>
                <w:bCs/>
                <w:sz w:val="18"/>
                <w:szCs w:val="18"/>
              </w:rPr>
              <w:t>In patients who did not use residential aged care services in 24 months before enrolment</w:t>
            </w:r>
          </w:p>
        </w:tc>
        <w:tc>
          <w:tcPr>
            <w:tcW w:w="1094" w:type="pct"/>
          </w:tcPr>
          <w:p w14:paraId="7C328022" w14:textId="77777777" w:rsidR="000448BA" w:rsidRPr="00CB04C3" w:rsidRDefault="000448BA" w:rsidP="00604E0F">
            <w:pPr>
              <w:spacing w:after="0"/>
              <w:ind w:left="102" w:right="102"/>
              <w:jc w:val="right"/>
              <w:rPr>
                <w:rFonts w:eastAsia="Century Gothic" w:cs="Century Gothic"/>
                <w:color w:val="000000"/>
                <w:sz w:val="18"/>
                <w:szCs w:val="18"/>
              </w:rPr>
            </w:pPr>
          </w:p>
        </w:tc>
        <w:tc>
          <w:tcPr>
            <w:tcW w:w="1093" w:type="pct"/>
          </w:tcPr>
          <w:p w14:paraId="386AA1D9" w14:textId="77777777" w:rsidR="000448BA" w:rsidRPr="00CB04C3" w:rsidRDefault="000448BA" w:rsidP="00604E0F">
            <w:pPr>
              <w:spacing w:after="0"/>
              <w:ind w:left="102" w:right="102"/>
              <w:jc w:val="right"/>
              <w:rPr>
                <w:sz w:val="18"/>
                <w:szCs w:val="18"/>
              </w:rPr>
            </w:pPr>
          </w:p>
        </w:tc>
      </w:tr>
      <w:tr w:rsidR="000448BA" w:rsidRPr="00A144BD" w14:paraId="134D8C05" w14:textId="77777777" w:rsidTr="00515564">
        <w:trPr>
          <w:trHeight w:val="340"/>
          <w:jc w:val="center"/>
        </w:trPr>
        <w:tc>
          <w:tcPr>
            <w:tcW w:w="2813" w:type="pct"/>
          </w:tcPr>
          <w:p w14:paraId="563754AE" w14:textId="4C2B2750" w:rsidR="000448BA" w:rsidRPr="00CB04C3" w:rsidRDefault="009F2CD3" w:rsidP="00604E0F">
            <w:pPr>
              <w:spacing w:after="0"/>
              <w:ind w:left="339" w:right="102"/>
              <w:rPr>
                <w:sz w:val="18"/>
                <w:szCs w:val="18"/>
              </w:rPr>
            </w:pPr>
            <w:r w:rsidRPr="009F2CD3">
              <w:rPr>
                <w:b/>
                <w:sz w:val="18"/>
                <w:szCs w:val="18"/>
              </w:rPr>
              <w:t>Admission to aged care facility</w:t>
            </w:r>
            <w:r w:rsidRPr="009F2CD3">
              <w:rPr>
                <w:rFonts w:eastAsia="Century Gothic" w:cs="Century Gothic"/>
                <w:color w:val="000000"/>
                <w:sz w:val="18"/>
                <w:szCs w:val="18"/>
              </w:rPr>
              <w:t>, number (%)</w:t>
            </w:r>
          </w:p>
        </w:tc>
        <w:tc>
          <w:tcPr>
            <w:tcW w:w="1094" w:type="pct"/>
          </w:tcPr>
          <w:p w14:paraId="23B8698F" w14:textId="77777777" w:rsidR="000448BA" w:rsidRPr="00CB04C3" w:rsidRDefault="000448BA" w:rsidP="00604E0F">
            <w:pPr>
              <w:spacing w:after="0"/>
              <w:ind w:left="102" w:right="102"/>
              <w:jc w:val="right"/>
              <w:rPr>
                <w:rFonts w:eastAsia="Century Gothic" w:cs="Century Gothic"/>
                <w:color w:val="000000"/>
                <w:sz w:val="18"/>
                <w:szCs w:val="18"/>
              </w:rPr>
            </w:pPr>
            <w:r>
              <w:rPr>
                <w:rFonts w:eastAsia="Century Gothic" w:cs="Century Gothic"/>
                <w:color w:val="000000"/>
                <w:sz w:val="18"/>
                <w:szCs w:val="18"/>
              </w:rPr>
              <w:t>281 (2.7%)</w:t>
            </w:r>
          </w:p>
        </w:tc>
        <w:tc>
          <w:tcPr>
            <w:tcW w:w="1093" w:type="pct"/>
          </w:tcPr>
          <w:p w14:paraId="74B65E53" w14:textId="77777777" w:rsidR="000448BA" w:rsidRPr="00CB04C3" w:rsidRDefault="000448BA" w:rsidP="00604E0F">
            <w:pPr>
              <w:spacing w:after="0"/>
              <w:ind w:left="102" w:right="102"/>
              <w:jc w:val="right"/>
              <w:rPr>
                <w:sz w:val="18"/>
                <w:szCs w:val="18"/>
              </w:rPr>
            </w:pPr>
            <w:r>
              <w:rPr>
                <w:rFonts w:eastAsia="Century Gothic" w:cs="Century Gothic"/>
                <w:color w:val="000000"/>
                <w:sz w:val="18"/>
                <w:szCs w:val="18"/>
              </w:rPr>
              <w:t>270 (2.5%)</w:t>
            </w:r>
          </w:p>
        </w:tc>
      </w:tr>
      <w:tr w:rsidR="000448BA" w:rsidRPr="00A144BD" w14:paraId="3CBDB54B" w14:textId="77777777" w:rsidTr="00515564">
        <w:trPr>
          <w:trHeight w:val="340"/>
          <w:jc w:val="center"/>
        </w:trPr>
        <w:tc>
          <w:tcPr>
            <w:tcW w:w="2813" w:type="pct"/>
          </w:tcPr>
          <w:p w14:paraId="70C2EB98" w14:textId="77777777" w:rsidR="000448BA" w:rsidRPr="0092461A" w:rsidRDefault="000448BA" w:rsidP="00604E0F">
            <w:pPr>
              <w:spacing w:after="0"/>
              <w:ind w:left="339" w:right="102"/>
              <w:rPr>
                <w:b/>
                <w:bCs/>
                <w:sz w:val="18"/>
                <w:szCs w:val="18"/>
              </w:rPr>
            </w:pPr>
            <w:r w:rsidRPr="0092461A">
              <w:rPr>
                <w:b/>
                <w:bCs/>
                <w:sz w:val="18"/>
                <w:szCs w:val="18"/>
              </w:rPr>
              <w:t>Time-to-admission (months)</w:t>
            </w:r>
          </w:p>
        </w:tc>
        <w:tc>
          <w:tcPr>
            <w:tcW w:w="1094" w:type="pct"/>
          </w:tcPr>
          <w:p w14:paraId="00D5253A" w14:textId="77777777" w:rsidR="000448BA" w:rsidRPr="00CB04C3" w:rsidRDefault="000448BA" w:rsidP="00604E0F">
            <w:pPr>
              <w:spacing w:after="0"/>
              <w:ind w:left="102" w:right="102"/>
              <w:jc w:val="right"/>
              <w:rPr>
                <w:rFonts w:eastAsia="Century Gothic" w:cs="Century Gothic"/>
                <w:color w:val="000000"/>
                <w:sz w:val="18"/>
                <w:szCs w:val="18"/>
              </w:rPr>
            </w:pPr>
          </w:p>
        </w:tc>
        <w:tc>
          <w:tcPr>
            <w:tcW w:w="1093" w:type="pct"/>
          </w:tcPr>
          <w:p w14:paraId="0C01D10E" w14:textId="77777777" w:rsidR="000448BA" w:rsidRPr="00CB04C3" w:rsidRDefault="000448BA" w:rsidP="00604E0F">
            <w:pPr>
              <w:spacing w:after="0"/>
              <w:ind w:left="102" w:right="102"/>
              <w:jc w:val="right"/>
              <w:rPr>
                <w:sz w:val="18"/>
                <w:szCs w:val="18"/>
              </w:rPr>
            </w:pPr>
          </w:p>
        </w:tc>
      </w:tr>
      <w:tr w:rsidR="000448BA" w:rsidRPr="00A144BD" w14:paraId="7E77154B" w14:textId="77777777" w:rsidTr="00515564">
        <w:trPr>
          <w:trHeight w:val="340"/>
          <w:jc w:val="center"/>
        </w:trPr>
        <w:tc>
          <w:tcPr>
            <w:tcW w:w="2813" w:type="pct"/>
          </w:tcPr>
          <w:p w14:paraId="54E0CDDB" w14:textId="77777777" w:rsidR="000448BA" w:rsidRDefault="000448BA" w:rsidP="00AE5F80">
            <w:pPr>
              <w:spacing w:after="0"/>
              <w:ind w:left="567" w:right="102"/>
              <w:rPr>
                <w:sz w:val="18"/>
                <w:szCs w:val="18"/>
              </w:rPr>
            </w:pPr>
            <w:r>
              <w:rPr>
                <w:sz w:val="18"/>
                <w:szCs w:val="18"/>
              </w:rPr>
              <w:t>Mean (std)</w:t>
            </w:r>
          </w:p>
        </w:tc>
        <w:tc>
          <w:tcPr>
            <w:tcW w:w="1094" w:type="pct"/>
          </w:tcPr>
          <w:p w14:paraId="4F46375B" w14:textId="77777777" w:rsidR="000448BA" w:rsidRPr="00CB04C3" w:rsidRDefault="000448BA" w:rsidP="00604E0F">
            <w:pPr>
              <w:spacing w:after="0"/>
              <w:ind w:left="102" w:right="102"/>
              <w:jc w:val="right"/>
              <w:rPr>
                <w:rFonts w:eastAsia="Century Gothic" w:cs="Century Gothic"/>
                <w:color w:val="000000"/>
                <w:sz w:val="18"/>
                <w:szCs w:val="18"/>
              </w:rPr>
            </w:pPr>
            <w:r>
              <w:rPr>
                <w:rFonts w:eastAsia="Century Gothic" w:cs="Century Gothic"/>
                <w:color w:val="000000"/>
                <w:sz w:val="18"/>
                <w:szCs w:val="18"/>
              </w:rPr>
              <w:t>10.7 (6.4)</w:t>
            </w:r>
          </w:p>
        </w:tc>
        <w:tc>
          <w:tcPr>
            <w:tcW w:w="1093" w:type="pct"/>
          </w:tcPr>
          <w:p w14:paraId="53C66E02" w14:textId="77777777" w:rsidR="000448BA" w:rsidRPr="00CB04C3" w:rsidRDefault="000448BA" w:rsidP="00604E0F">
            <w:pPr>
              <w:spacing w:after="0"/>
              <w:ind w:left="102" w:right="102"/>
              <w:jc w:val="right"/>
              <w:rPr>
                <w:sz w:val="18"/>
                <w:szCs w:val="18"/>
              </w:rPr>
            </w:pPr>
            <w:r>
              <w:rPr>
                <w:sz w:val="18"/>
                <w:szCs w:val="18"/>
              </w:rPr>
              <w:t>11.7 (6.8)</w:t>
            </w:r>
          </w:p>
        </w:tc>
      </w:tr>
      <w:tr w:rsidR="000448BA" w:rsidRPr="00A144BD" w14:paraId="2A05C72D" w14:textId="77777777" w:rsidTr="00515564">
        <w:trPr>
          <w:trHeight w:val="340"/>
          <w:jc w:val="center"/>
        </w:trPr>
        <w:tc>
          <w:tcPr>
            <w:tcW w:w="2813" w:type="pct"/>
          </w:tcPr>
          <w:p w14:paraId="3978E4E5" w14:textId="77777777" w:rsidR="000448BA" w:rsidRDefault="000448BA" w:rsidP="00AE5F80">
            <w:pPr>
              <w:spacing w:after="0"/>
              <w:ind w:left="567" w:right="102"/>
              <w:rPr>
                <w:sz w:val="18"/>
                <w:szCs w:val="18"/>
              </w:rPr>
            </w:pPr>
            <w:r>
              <w:rPr>
                <w:sz w:val="18"/>
                <w:szCs w:val="18"/>
              </w:rPr>
              <w:t>Median (IQR)</w:t>
            </w:r>
          </w:p>
        </w:tc>
        <w:tc>
          <w:tcPr>
            <w:tcW w:w="1094" w:type="pct"/>
          </w:tcPr>
          <w:p w14:paraId="6DF1E866" w14:textId="2D0716C6" w:rsidR="000448BA" w:rsidRPr="00CB04C3" w:rsidRDefault="000448BA" w:rsidP="00604E0F">
            <w:pPr>
              <w:spacing w:after="0"/>
              <w:ind w:left="102" w:right="102"/>
              <w:jc w:val="right"/>
              <w:rPr>
                <w:rFonts w:eastAsia="Century Gothic" w:cs="Century Gothic"/>
                <w:color w:val="000000"/>
                <w:sz w:val="18"/>
                <w:szCs w:val="18"/>
              </w:rPr>
            </w:pPr>
            <w:r>
              <w:rPr>
                <w:sz w:val="18"/>
                <w:szCs w:val="18"/>
              </w:rPr>
              <w:t>10 (6</w:t>
            </w:r>
            <w:r w:rsidR="00816DA3">
              <w:rPr>
                <w:sz w:val="18"/>
                <w:szCs w:val="18"/>
              </w:rPr>
              <w:t>–</w:t>
            </w:r>
            <w:r>
              <w:rPr>
                <w:sz w:val="18"/>
                <w:szCs w:val="18"/>
              </w:rPr>
              <w:t>15)</w:t>
            </w:r>
          </w:p>
        </w:tc>
        <w:tc>
          <w:tcPr>
            <w:tcW w:w="1093" w:type="pct"/>
          </w:tcPr>
          <w:p w14:paraId="746D8EA2" w14:textId="45B0B633" w:rsidR="000448BA" w:rsidRPr="00CB04C3" w:rsidRDefault="000448BA" w:rsidP="00604E0F">
            <w:pPr>
              <w:spacing w:after="0"/>
              <w:ind w:left="102" w:right="102"/>
              <w:jc w:val="right"/>
              <w:rPr>
                <w:sz w:val="18"/>
                <w:szCs w:val="18"/>
              </w:rPr>
            </w:pPr>
            <w:r>
              <w:rPr>
                <w:sz w:val="18"/>
                <w:szCs w:val="18"/>
              </w:rPr>
              <w:t>11 (6</w:t>
            </w:r>
            <w:r w:rsidR="00816DA3">
              <w:rPr>
                <w:sz w:val="18"/>
                <w:szCs w:val="18"/>
              </w:rPr>
              <w:t>–</w:t>
            </w:r>
            <w:r>
              <w:rPr>
                <w:sz w:val="18"/>
                <w:szCs w:val="18"/>
              </w:rPr>
              <w:t>17)</w:t>
            </w:r>
          </w:p>
        </w:tc>
      </w:tr>
    </w:tbl>
    <w:p w14:paraId="3AB6D999" w14:textId="54913082" w:rsidR="000448BA" w:rsidRDefault="000448BA" w:rsidP="00515564">
      <w:pPr>
        <w:pStyle w:val="Chartortablefootnote"/>
        <w:ind w:right="95"/>
        <w:rPr>
          <w:lang w:val="en-GB"/>
        </w:rPr>
      </w:pPr>
      <w:r w:rsidRPr="009645D4">
        <w:rPr>
          <w:lang w:val="en-GB"/>
        </w:rPr>
        <w:t xml:space="preserve">Source: </w:t>
      </w:r>
      <w:r>
        <w:t>National Death Index</w:t>
      </w:r>
      <w:r w:rsidRPr="001466C9">
        <w:t xml:space="preserve"> </w:t>
      </w:r>
      <w:r>
        <w:t>data collection</w:t>
      </w:r>
      <w:r>
        <w:rPr>
          <w:lang w:val="en-GB"/>
        </w:rPr>
        <w:t xml:space="preserve"> and </w:t>
      </w:r>
      <w:r>
        <w:t xml:space="preserve">National Aged Care Data Clearing House </w:t>
      </w:r>
      <w:r w:rsidR="00816DA3">
        <w:t>–</w:t>
      </w:r>
      <w:r>
        <w:t xml:space="preserve"> </w:t>
      </w:r>
      <w:r>
        <w:rPr>
          <w:lang w:val="en-GB"/>
        </w:rPr>
        <w:t>Residential Aged Care Episode of care.</w:t>
      </w:r>
    </w:p>
    <w:p w14:paraId="5E38BE6A" w14:textId="7D5BA49B" w:rsidR="00E11323" w:rsidRDefault="0088320D" w:rsidP="00E11323">
      <w:pPr>
        <w:pStyle w:val="Heading2"/>
        <w:rPr>
          <w:rFonts w:eastAsia="Muli"/>
        </w:rPr>
      </w:pPr>
      <w:bookmarkStart w:id="397" w:name="_Toc109996741"/>
      <w:r>
        <w:rPr>
          <w:rFonts w:eastAsia="Muli"/>
        </w:rPr>
        <w:t>Serious</w:t>
      </w:r>
      <w:r w:rsidR="00E11323">
        <w:rPr>
          <w:rFonts w:eastAsia="Muli"/>
        </w:rPr>
        <w:t xml:space="preserve"> cardiovascular events</w:t>
      </w:r>
      <w:r>
        <w:rPr>
          <w:rFonts w:eastAsia="Muli"/>
        </w:rPr>
        <w:t xml:space="preserve"> and </w:t>
      </w:r>
      <w:r w:rsidR="00F32022">
        <w:rPr>
          <w:rFonts w:eastAsia="Muli"/>
        </w:rPr>
        <w:t>m</w:t>
      </w:r>
      <w:r w:rsidR="00E11323">
        <w:rPr>
          <w:rFonts w:eastAsia="Muli"/>
        </w:rPr>
        <w:t>ortality</w:t>
      </w:r>
      <w:bookmarkEnd w:id="397"/>
    </w:p>
    <w:p w14:paraId="764D8CC4" w14:textId="77777777" w:rsidR="00A26BD5" w:rsidRPr="00483E85" w:rsidRDefault="00A26BD5" w:rsidP="00A26BD5">
      <w:pPr>
        <w:pStyle w:val="Heading3"/>
        <w:rPr>
          <w:lang w:val="en-GB"/>
        </w:rPr>
      </w:pPr>
      <w:r>
        <w:rPr>
          <w:lang w:val="en-GB"/>
        </w:rPr>
        <w:t>S</w:t>
      </w:r>
      <w:r w:rsidRPr="00483E85">
        <w:rPr>
          <w:lang w:val="en-GB"/>
        </w:rPr>
        <w:t xml:space="preserve">erious cardiovascular </w:t>
      </w:r>
      <w:r w:rsidRPr="56425DF9">
        <w:rPr>
          <w:lang w:val="en-GB"/>
        </w:rPr>
        <w:t>events</w:t>
      </w:r>
    </w:p>
    <w:p w14:paraId="181E3F61" w14:textId="6B45EDA4" w:rsidR="00A26BD5" w:rsidRDefault="00A26BD5" w:rsidP="00A26BD5">
      <w:r>
        <w:t xml:space="preserve">Experience of a serious cardiovascular (CVD) event was defined as a hospitalisation or a death due to major CVD diagnoses. This outcome was assessed among HCH and </w:t>
      </w:r>
      <w:r w:rsidR="000E16C4">
        <w:t>comparator</w:t>
      </w:r>
      <w:r>
        <w:t xml:space="preserve"> patients in five States (NSW, QLD, SA, Tas and VIC) for a duration up until 30 June 2020. Hospitalisations for CVDs were identified from hospital admission data where major atherosclerotic and arteriovenous thromboembolic diagnoses (</w:t>
      </w:r>
      <w:r w:rsidR="0010747B">
        <w:t>for example,</w:t>
      </w:r>
      <w:r>
        <w:t xml:space="preserve"> </w:t>
      </w:r>
      <w:r w:rsidR="00E11323">
        <w:t>ischemic heart disease</w:t>
      </w:r>
      <w:r>
        <w:t>, cerebrovascular disease, pulmonary heart disease) were recorded as principal reason of the admission.</w:t>
      </w:r>
      <w:r w:rsidR="006003C1" w:rsidRPr="006003C1">
        <w:rPr>
          <w:rStyle w:val="FootnoteReference"/>
          <w:color w:val="408BCA"/>
        </w:rPr>
        <w:footnoteReference w:id="90"/>
      </w:r>
      <w:r w:rsidRPr="006003C1">
        <w:rPr>
          <w:color w:val="408BCA"/>
        </w:rPr>
        <w:t xml:space="preserve"> </w:t>
      </w:r>
      <w:r>
        <w:t>Cardiovascular deaths were identified from the National Death Index</w:t>
      </w:r>
      <w:r w:rsidRPr="001466C9">
        <w:t xml:space="preserve"> </w:t>
      </w:r>
      <w:r>
        <w:t xml:space="preserve">data collection where diagnoses of </w:t>
      </w:r>
      <w:r w:rsidRPr="006C779F">
        <w:t>ischemic heart disease</w:t>
      </w:r>
      <w:r>
        <w:t xml:space="preserve"> or </w:t>
      </w:r>
      <w:r w:rsidRPr="006C779F">
        <w:t xml:space="preserve">cerebrovascular </w:t>
      </w:r>
      <w:r>
        <w:t>disease were recorded as underlying cause of death.</w:t>
      </w:r>
      <w:r w:rsidR="006003C1" w:rsidRPr="006003C1">
        <w:rPr>
          <w:rStyle w:val="FootnoteReference"/>
          <w:color w:val="408BCA"/>
        </w:rPr>
        <w:footnoteReference w:id="91"/>
      </w:r>
      <w:r>
        <w:t xml:space="preserve"> Duration of follow-up was censored at a serious CVD event or a death for another cause, which ever occurred first. Comparator patients were matched with HCH patients on medical diagnoses and use of medications in the pre-enrolment period.</w:t>
      </w:r>
    </w:p>
    <w:p w14:paraId="5B722F99" w14:textId="77777777" w:rsidR="00A26BD5" w:rsidRDefault="00A26BD5" w:rsidP="00A26BD5">
      <w:r>
        <w:lastRenderedPageBreak/>
        <w:t>Between enrolment and 30 June 2020, 621 (6.8%) HCH patients experienced a serious CVD event, of these 36 patients died of ischaemic heart disease or stroke. Among those experienced an event, on average, length of time from enrolment to the CVD hospitalisation or death was 9.3 months (std 6.7).</w:t>
      </w:r>
    </w:p>
    <w:p w14:paraId="4698E5BC" w14:textId="27D4EF46" w:rsidR="00A26BD5" w:rsidRPr="00693CA3" w:rsidRDefault="00A26BD5" w:rsidP="00A26BD5">
      <w:r>
        <w:t xml:space="preserve">In </w:t>
      </w:r>
      <w:r w:rsidR="000E16C4">
        <w:t>comparator</w:t>
      </w:r>
      <w:r>
        <w:t xml:space="preserve"> patients, 604 (6.6%) had a CVD event, with 40 patients died of ischaemic heart disease or stroke. Among </w:t>
      </w:r>
      <w:r w:rsidR="000E16C4">
        <w:t>comparator</w:t>
      </w:r>
      <w:r>
        <w:t xml:space="preserve"> patients who experienced an event, the mean length of time from enrolment to the CVD event was 10.3 months (std 7.0) (</w:t>
      </w:r>
      <w:r w:rsidR="006433AF" w:rsidRPr="00F11772">
        <w:rPr>
          <w:rFonts w:eastAsiaTheme="minorEastAsia"/>
          <w:color w:val="1D2455"/>
          <w:szCs w:val="20"/>
          <w:lang w:eastAsia="en-AU"/>
        </w:rPr>
        <w:fldChar w:fldCharType="begin"/>
      </w:r>
      <w:r w:rsidR="006433AF" w:rsidRPr="00F11772">
        <w:rPr>
          <w:rFonts w:eastAsiaTheme="minorEastAsia"/>
          <w:color w:val="1D2455"/>
          <w:szCs w:val="20"/>
          <w:lang w:eastAsia="en-AU"/>
        </w:rPr>
        <w:instrText xml:space="preserve"> REF _Ref98885516 \h </w:instrText>
      </w:r>
      <w:r w:rsidR="00F11772">
        <w:rPr>
          <w:rFonts w:eastAsiaTheme="minorEastAsia"/>
          <w:color w:val="1D2455"/>
          <w:szCs w:val="20"/>
          <w:lang w:eastAsia="en-AU"/>
        </w:rPr>
        <w:instrText xml:space="preserve"> \* MERGEFORMAT </w:instrText>
      </w:r>
      <w:r w:rsidR="006433AF" w:rsidRPr="00F11772">
        <w:rPr>
          <w:rFonts w:eastAsiaTheme="minorEastAsia"/>
          <w:color w:val="1D2455"/>
          <w:szCs w:val="20"/>
          <w:lang w:eastAsia="en-AU"/>
        </w:rPr>
      </w:r>
      <w:r w:rsidR="006433AF" w:rsidRPr="00F11772">
        <w:rPr>
          <w:rFonts w:eastAsiaTheme="minorEastAsia"/>
          <w:color w:val="1D2455"/>
          <w:szCs w:val="20"/>
          <w:lang w:eastAsia="en-AU"/>
        </w:rPr>
        <w:fldChar w:fldCharType="separate"/>
      </w:r>
      <w:r w:rsidR="003C4BC2" w:rsidRPr="003C4BC2">
        <w:rPr>
          <w:rFonts w:eastAsiaTheme="minorEastAsia"/>
          <w:color w:val="1D2455"/>
          <w:szCs w:val="20"/>
          <w:lang w:eastAsia="en-AU"/>
        </w:rPr>
        <w:t>Table 49</w:t>
      </w:r>
      <w:r w:rsidR="006433AF" w:rsidRPr="00F11772">
        <w:rPr>
          <w:rFonts w:eastAsiaTheme="minorEastAsia"/>
          <w:color w:val="1D2455"/>
          <w:szCs w:val="20"/>
          <w:lang w:eastAsia="en-AU"/>
        </w:rPr>
        <w:fldChar w:fldCharType="end"/>
      </w:r>
      <w:r w:rsidR="00E11323">
        <w:t>).</w:t>
      </w:r>
      <w:r>
        <w:t xml:space="preserve"> </w:t>
      </w:r>
    </w:p>
    <w:p w14:paraId="1CDAC2F2" w14:textId="2C5BC680" w:rsidR="00350022" w:rsidRDefault="00AE43DB" w:rsidP="00E11323">
      <w:r>
        <w:t>H</w:t>
      </w:r>
      <w:r w:rsidR="00ED0312">
        <w:t xml:space="preserve">azard ratio for </w:t>
      </w:r>
      <w:r w:rsidR="006672D4">
        <w:t xml:space="preserve">a </w:t>
      </w:r>
      <w:r w:rsidR="00ED0312">
        <w:t>CVD</w:t>
      </w:r>
      <w:r w:rsidR="006672D4">
        <w:t xml:space="preserve"> event</w:t>
      </w:r>
      <w:r w:rsidR="00ED0312">
        <w:t xml:space="preserve"> among HCH patients is </w:t>
      </w:r>
      <w:r w:rsidR="00ED0312" w:rsidRPr="008F2E70">
        <w:t>1</w:t>
      </w:r>
      <w:r w:rsidR="004A3502" w:rsidRPr="004A3502">
        <w:t>.04 (</w:t>
      </w:r>
      <w:r w:rsidR="004A3502">
        <w:t xml:space="preserve">95%CI </w:t>
      </w:r>
      <w:r w:rsidR="004A3502" w:rsidRPr="004A3502">
        <w:t>0.92</w:t>
      </w:r>
      <w:r w:rsidR="00816DA3">
        <w:t>–</w:t>
      </w:r>
      <w:r w:rsidR="004A3502" w:rsidRPr="004A3502">
        <w:t>1.16)</w:t>
      </w:r>
      <w:r>
        <w:t xml:space="preserve">, relative to </w:t>
      </w:r>
      <w:r w:rsidR="007D130E">
        <w:t>c</w:t>
      </w:r>
      <w:r>
        <w:t>omparator patient</w:t>
      </w:r>
      <w:r w:rsidR="007D130E">
        <w:t>s</w:t>
      </w:r>
      <w:r w:rsidR="00ED0312">
        <w:t>.</w:t>
      </w:r>
    </w:p>
    <w:p w14:paraId="72B23F60" w14:textId="3B35B05E" w:rsidR="00A26BD5" w:rsidRDefault="00A26BD5" w:rsidP="00A26BD5">
      <w:pPr>
        <w:pStyle w:val="TableFigureheading"/>
        <w:rPr>
          <w:bCs w:val="0"/>
        </w:rPr>
      </w:pPr>
      <w:bookmarkStart w:id="398" w:name="_Ref98885516"/>
      <w:r w:rsidRPr="00A970A9">
        <w:rPr>
          <w:bCs w:val="0"/>
        </w:rPr>
        <w:t xml:space="preserve">Table </w:t>
      </w:r>
      <w:r w:rsidRPr="00A970A9">
        <w:rPr>
          <w:bCs w:val="0"/>
        </w:rPr>
        <w:fldChar w:fldCharType="begin"/>
      </w:r>
      <w:r w:rsidRPr="00A970A9">
        <w:rPr>
          <w:bCs w:val="0"/>
        </w:rPr>
        <w:instrText xml:space="preserve"> SEQ Table \* ARABIC </w:instrText>
      </w:r>
      <w:r w:rsidRPr="00A970A9">
        <w:rPr>
          <w:bCs w:val="0"/>
        </w:rPr>
        <w:fldChar w:fldCharType="separate"/>
      </w:r>
      <w:r w:rsidR="003C4BC2">
        <w:rPr>
          <w:bCs w:val="0"/>
          <w:noProof/>
        </w:rPr>
        <w:t>49</w:t>
      </w:r>
      <w:r w:rsidRPr="00A970A9">
        <w:rPr>
          <w:bCs w:val="0"/>
        </w:rPr>
        <w:fldChar w:fldCharType="end"/>
      </w:r>
      <w:bookmarkEnd w:id="398"/>
      <w:r w:rsidRPr="00A970A9">
        <w:rPr>
          <w:bCs w:val="0"/>
        </w:rPr>
        <w:t xml:space="preserve">: </w:t>
      </w:r>
      <w:r>
        <w:rPr>
          <w:bCs w:val="0"/>
        </w:rPr>
        <w:t xml:space="preserve">Serious cardiovascular event by 30 June 2020 among HCH </w:t>
      </w:r>
      <w:r w:rsidR="00724131">
        <w:rPr>
          <w:bCs w:val="0"/>
        </w:rPr>
        <w:t xml:space="preserve">and comparator </w:t>
      </w:r>
      <w:r>
        <w:rPr>
          <w:bCs w:val="0"/>
        </w:rPr>
        <w:t>patients</w:t>
      </w:r>
    </w:p>
    <w:tbl>
      <w:tblPr>
        <w:tblW w:w="3906"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413"/>
        <w:gridCol w:w="1817"/>
        <w:gridCol w:w="1813"/>
      </w:tblGrid>
      <w:tr w:rsidR="00A26BD5" w:rsidRPr="00395E9A" w14:paraId="0EFEF1DD" w14:textId="77777777" w:rsidTr="00D03963">
        <w:trPr>
          <w:trHeight w:val="340"/>
          <w:jc w:val="center"/>
        </w:trPr>
        <w:tc>
          <w:tcPr>
            <w:tcW w:w="2423" w:type="pct"/>
            <w:shd w:val="clear" w:color="auto" w:fill="408BCA"/>
          </w:tcPr>
          <w:p w14:paraId="3B363D29" w14:textId="77777777" w:rsidR="00A26BD5" w:rsidRPr="00395E9A" w:rsidRDefault="00A26BD5" w:rsidP="00DB2B85">
            <w:pPr>
              <w:spacing w:after="0"/>
              <w:ind w:left="102" w:right="102"/>
              <w:rPr>
                <w:rFonts w:eastAsia="Century Gothic" w:cs="Century Gothic"/>
                <w:b/>
                <w:color w:val="000000"/>
                <w:sz w:val="18"/>
                <w:szCs w:val="18"/>
              </w:rPr>
            </w:pPr>
          </w:p>
        </w:tc>
        <w:tc>
          <w:tcPr>
            <w:tcW w:w="1290" w:type="pct"/>
            <w:shd w:val="clear" w:color="auto" w:fill="408BCA"/>
          </w:tcPr>
          <w:p w14:paraId="2AD52E54" w14:textId="77777777" w:rsidR="00A26BD5" w:rsidRPr="00395E9A" w:rsidRDefault="00A26BD5" w:rsidP="00DB2B85">
            <w:pPr>
              <w:spacing w:after="0"/>
              <w:ind w:left="102" w:right="102"/>
              <w:jc w:val="right"/>
              <w:rPr>
                <w:rFonts w:eastAsia="Century Gothic" w:cs="Century Gothic"/>
                <w:b/>
                <w:color w:val="FFFFFF"/>
                <w:sz w:val="18"/>
                <w:szCs w:val="18"/>
              </w:rPr>
            </w:pPr>
            <w:r w:rsidRPr="00395E9A">
              <w:rPr>
                <w:rFonts w:eastAsia="Century Gothic" w:cs="Century Gothic"/>
                <w:b/>
                <w:color w:val="FFFFFF"/>
                <w:sz w:val="18"/>
                <w:szCs w:val="18"/>
              </w:rPr>
              <w:t>HCH patients</w:t>
            </w:r>
          </w:p>
        </w:tc>
        <w:tc>
          <w:tcPr>
            <w:tcW w:w="1287" w:type="pct"/>
            <w:shd w:val="clear" w:color="auto" w:fill="408BCA"/>
          </w:tcPr>
          <w:p w14:paraId="4F5F1D96" w14:textId="77777777" w:rsidR="00A26BD5" w:rsidRPr="00395E9A" w:rsidRDefault="00A26BD5" w:rsidP="00DB2B85">
            <w:pPr>
              <w:spacing w:after="0"/>
              <w:ind w:left="102" w:right="102"/>
              <w:jc w:val="right"/>
              <w:rPr>
                <w:rFonts w:eastAsia="Century Gothic" w:cs="Century Gothic"/>
                <w:b/>
                <w:color w:val="000000"/>
                <w:sz w:val="18"/>
                <w:szCs w:val="18"/>
              </w:rPr>
            </w:pPr>
            <w:r w:rsidRPr="00395E9A">
              <w:rPr>
                <w:rFonts w:eastAsia="Century Gothic" w:cs="Century Gothic"/>
                <w:b/>
                <w:color w:val="FFFFFF"/>
                <w:sz w:val="18"/>
                <w:szCs w:val="18"/>
              </w:rPr>
              <w:t>Comparators</w:t>
            </w:r>
          </w:p>
        </w:tc>
      </w:tr>
      <w:tr w:rsidR="00A26BD5" w:rsidRPr="00A144BD" w14:paraId="4EBAB732" w14:textId="77777777" w:rsidTr="00D03963">
        <w:trPr>
          <w:trHeight w:val="340"/>
          <w:jc w:val="center"/>
        </w:trPr>
        <w:tc>
          <w:tcPr>
            <w:tcW w:w="2423" w:type="pct"/>
          </w:tcPr>
          <w:p w14:paraId="6591741D" w14:textId="51D0689F" w:rsidR="00A26BD5" w:rsidRPr="006F5CDF" w:rsidRDefault="00A26BD5" w:rsidP="00DB2B85">
            <w:pPr>
              <w:spacing w:after="0"/>
              <w:ind w:right="102"/>
              <w:rPr>
                <w:b/>
                <w:bCs/>
                <w:sz w:val="18"/>
                <w:szCs w:val="18"/>
              </w:rPr>
            </w:pPr>
            <w:r w:rsidRPr="56425DF9">
              <w:rPr>
                <w:b/>
                <w:bCs/>
                <w:sz w:val="18"/>
                <w:szCs w:val="18"/>
              </w:rPr>
              <w:t>Serious</w:t>
            </w:r>
            <w:r>
              <w:rPr>
                <w:b/>
                <w:bCs/>
                <w:sz w:val="18"/>
                <w:szCs w:val="18"/>
              </w:rPr>
              <w:t xml:space="preserve"> CVD event</w:t>
            </w:r>
            <w:r w:rsidR="00350022">
              <w:rPr>
                <w:b/>
                <w:bCs/>
                <w:sz w:val="18"/>
                <w:szCs w:val="18"/>
              </w:rPr>
              <w:t>,</w:t>
            </w:r>
            <w:r w:rsidR="00350022" w:rsidRPr="00350022">
              <w:rPr>
                <w:sz w:val="18"/>
                <w:szCs w:val="18"/>
              </w:rPr>
              <w:t xml:space="preserve"> number (%)</w:t>
            </w:r>
          </w:p>
        </w:tc>
        <w:tc>
          <w:tcPr>
            <w:tcW w:w="1290" w:type="pct"/>
          </w:tcPr>
          <w:p w14:paraId="18206BA8" w14:textId="78003A09" w:rsidR="00A26BD5" w:rsidRPr="00CB04C3" w:rsidRDefault="00350022" w:rsidP="00DB2B85">
            <w:pPr>
              <w:spacing w:after="0"/>
              <w:ind w:left="102" w:right="102"/>
              <w:jc w:val="right"/>
              <w:rPr>
                <w:rFonts w:eastAsia="Century Gothic" w:cs="Century Gothic"/>
                <w:color w:val="000000"/>
                <w:sz w:val="18"/>
                <w:szCs w:val="18"/>
              </w:rPr>
            </w:pPr>
            <w:r>
              <w:rPr>
                <w:rFonts w:eastAsia="Century Gothic" w:cs="Century Gothic"/>
                <w:color w:val="000000"/>
                <w:sz w:val="18"/>
                <w:szCs w:val="18"/>
              </w:rPr>
              <w:t>621 (6.8%)</w:t>
            </w:r>
          </w:p>
        </w:tc>
        <w:tc>
          <w:tcPr>
            <w:tcW w:w="1287" w:type="pct"/>
          </w:tcPr>
          <w:p w14:paraId="2ECECDD2" w14:textId="3BBF5B37" w:rsidR="00A26BD5" w:rsidRPr="00CB04C3" w:rsidRDefault="00350022" w:rsidP="00DB2B85">
            <w:pPr>
              <w:spacing w:after="0"/>
              <w:ind w:left="102" w:right="102"/>
              <w:jc w:val="right"/>
              <w:rPr>
                <w:sz w:val="18"/>
                <w:szCs w:val="18"/>
              </w:rPr>
            </w:pPr>
            <w:r>
              <w:rPr>
                <w:rFonts w:eastAsia="Century Gothic" w:cs="Century Gothic"/>
                <w:color w:val="000000"/>
                <w:sz w:val="18"/>
                <w:szCs w:val="18"/>
              </w:rPr>
              <w:t>604 (6.6%)</w:t>
            </w:r>
          </w:p>
        </w:tc>
      </w:tr>
      <w:tr w:rsidR="00A26BD5" w:rsidRPr="00A144BD" w14:paraId="2A9D54F4" w14:textId="77777777" w:rsidTr="00D03963">
        <w:trPr>
          <w:trHeight w:val="340"/>
          <w:jc w:val="center"/>
        </w:trPr>
        <w:tc>
          <w:tcPr>
            <w:tcW w:w="2423" w:type="pct"/>
          </w:tcPr>
          <w:p w14:paraId="5B21426D" w14:textId="77777777" w:rsidR="00A26BD5" w:rsidRPr="0092461A" w:rsidRDefault="00A26BD5" w:rsidP="00DB2B85">
            <w:pPr>
              <w:spacing w:after="0"/>
              <w:ind w:right="102"/>
              <w:rPr>
                <w:b/>
                <w:bCs/>
                <w:sz w:val="18"/>
                <w:szCs w:val="18"/>
              </w:rPr>
            </w:pPr>
            <w:r w:rsidRPr="0092461A">
              <w:rPr>
                <w:b/>
                <w:bCs/>
                <w:sz w:val="18"/>
                <w:szCs w:val="18"/>
              </w:rPr>
              <w:t>Time-to-</w:t>
            </w:r>
            <w:r>
              <w:rPr>
                <w:b/>
                <w:bCs/>
                <w:sz w:val="18"/>
                <w:szCs w:val="18"/>
              </w:rPr>
              <w:t>CVD event</w:t>
            </w:r>
            <w:r w:rsidRPr="0092461A">
              <w:rPr>
                <w:b/>
                <w:bCs/>
                <w:sz w:val="18"/>
                <w:szCs w:val="18"/>
              </w:rPr>
              <w:t xml:space="preserve"> (months)</w:t>
            </w:r>
          </w:p>
        </w:tc>
        <w:tc>
          <w:tcPr>
            <w:tcW w:w="1290" w:type="pct"/>
          </w:tcPr>
          <w:p w14:paraId="25FE25EB" w14:textId="77777777" w:rsidR="00A26BD5" w:rsidRPr="00CB04C3" w:rsidRDefault="00A26BD5" w:rsidP="00DB2B85">
            <w:pPr>
              <w:spacing w:after="0"/>
              <w:ind w:left="102" w:right="102"/>
              <w:jc w:val="right"/>
              <w:rPr>
                <w:rFonts w:eastAsia="Century Gothic" w:cs="Century Gothic"/>
                <w:color w:val="000000"/>
                <w:sz w:val="18"/>
                <w:szCs w:val="18"/>
              </w:rPr>
            </w:pPr>
          </w:p>
        </w:tc>
        <w:tc>
          <w:tcPr>
            <w:tcW w:w="1287" w:type="pct"/>
          </w:tcPr>
          <w:p w14:paraId="22016571" w14:textId="77777777" w:rsidR="00A26BD5" w:rsidRPr="00CB04C3" w:rsidRDefault="00A26BD5" w:rsidP="00DB2B85">
            <w:pPr>
              <w:spacing w:after="0"/>
              <w:ind w:left="102" w:right="102"/>
              <w:jc w:val="right"/>
              <w:rPr>
                <w:sz w:val="18"/>
                <w:szCs w:val="18"/>
              </w:rPr>
            </w:pPr>
          </w:p>
        </w:tc>
      </w:tr>
      <w:tr w:rsidR="00A26BD5" w:rsidRPr="00A144BD" w14:paraId="11B0CCED" w14:textId="77777777" w:rsidTr="00D03963">
        <w:trPr>
          <w:trHeight w:val="340"/>
          <w:jc w:val="center"/>
        </w:trPr>
        <w:tc>
          <w:tcPr>
            <w:tcW w:w="2423" w:type="pct"/>
          </w:tcPr>
          <w:p w14:paraId="70D0D141" w14:textId="77777777" w:rsidR="00A26BD5" w:rsidRDefault="00A26BD5" w:rsidP="00DB2B85">
            <w:pPr>
              <w:spacing w:after="0"/>
              <w:ind w:left="339" w:right="102"/>
              <w:rPr>
                <w:sz w:val="18"/>
                <w:szCs w:val="18"/>
              </w:rPr>
            </w:pPr>
            <w:r>
              <w:rPr>
                <w:sz w:val="18"/>
                <w:szCs w:val="18"/>
              </w:rPr>
              <w:t>Mean (std)</w:t>
            </w:r>
          </w:p>
        </w:tc>
        <w:tc>
          <w:tcPr>
            <w:tcW w:w="1290" w:type="pct"/>
          </w:tcPr>
          <w:p w14:paraId="15F8A8CC" w14:textId="77777777" w:rsidR="00A26BD5" w:rsidRPr="00CB04C3" w:rsidRDefault="00A26BD5" w:rsidP="00DB2B85">
            <w:pPr>
              <w:spacing w:after="0"/>
              <w:ind w:left="102" w:right="102"/>
              <w:jc w:val="right"/>
              <w:rPr>
                <w:rFonts w:eastAsia="Century Gothic" w:cs="Century Gothic"/>
                <w:color w:val="000000"/>
                <w:sz w:val="18"/>
                <w:szCs w:val="18"/>
              </w:rPr>
            </w:pPr>
            <w:r>
              <w:rPr>
                <w:rFonts w:eastAsia="Century Gothic" w:cs="Century Gothic"/>
                <w:color w:val="000000"/>
                <w:sz w:val="18"/>
                <w:szCs w:val="18"/>
              </w:rPr>
              <w:t>9.3 (6.7)</w:t>
            </w:r>
          </w:p>
        </w:tc>
        <w:tc>
          <w:tcPr>
            <w:tcW w:w="1287" w:type="pct"/>
          </w:tcPr>
          <w:p w14:paraId="7F704916" w14:textId="77777777" w:rsidR="00A26BD5" w:rsidRPr="00CB04C3" w:rsidRDefault="00A26BD5" w:rsidP="00DB2B85">
            <w:pPr>
              <w:spacing w:after="0"/>
              <w:ind w:left="102" w:right="102"/>
              <w:jc w:val="right"/>
              <w:rPr>
                <w:sz w:val="18"/>
                <w:szCs w:val="18"/>
              </w:rPr>
            </w:pPr>
            <w:r>
              <w:rPr>
                <w:sz w:val="18"/>
                <w:szCs w:val="18"/>
              </w:rPr>
              <w:t>10.3 (7.0)</w:t>
            </w:r>
          </w:p>
        </w:tc>
      </w:tr>
      <w:tr w:rsidR="002037B9" w:rsidRPr="00A144BD" w14:paraId="31E2E2E4" w14:textId="77777777" w:rsidTr="00D03963">
        <w:trPr>
          <w:trHeight w:val="340"/>
          <w:jc w:val="center"/>
        </w:trPr>
        <w:tc>
          <w:tcPr>
            <w:tcW w:w="2423" w:type="pct"/>
          </w:tcPr>
          <w:p w14:paraId="46B2645B" w14:textId="77777777" w:rsidR="002037B9" w:rsidRDefault="002037B9" w:rsidP="002037B9">
            <w:pPr>
              <w:spacing w:after="0"/>
              <w:ind w:left="339" w:right="102"/>
              <w:rPr>
                <w:sz w:val="18"/>
                <w:szCs w:val="18"/>
              </w:rPr>
            </w:pPr>
            <w:r>
              <w:rPr>
                <w:sz w:val="18"/>
                <w:szCs w:val="18"/>
              </w:rPr>
              <w:t>Median (IQR)</w:t>
            </w:r>
          </w:p>
        </w:tc>
        <w:tc>
          <w:tcPr>
            <w:tcW w:w="1290" w:type="pct"/>
          </w:tcPr>
          <w:p w14:paraId="44C0E31B" w14:textId="03211C33" w:rsidR="002037B9" w:rsidRPr="00CB04C3" w:rsidRDefault="002037B9" w:rsidP="002037B9">
            <w:pPr>
              <w:spacing w:after="0"/>
              <w:ind w:left="102" w:right="102"/>
              <w:jc w:val="right"/>
              <w:rPr>
                <w:rFonts w:eastAsia="Century Gothic" w:cs="Century Gothic"/>
                <w:color w:val="000000"/>
                <w:sz w:val="18"/>
                <w:szCs w:val="18"/>
              </w:rPr>
            </w:pPr>
            <w:r>
              <w:rPr>
                <w:rFonts w:eastAsia="Century Gothic" w:cs="Century Gothic"/>
                <w:color w:val="000000"/>
                <w:sz w:val="18"/>
                <w:szCs w:val="18"/>
              </w:rPr>
              <w:t>9 (4</w:t>
            </w:r>
            <w:r w:rsidR="00816DA3">
              <w:rPr>
                <w:rFonts w:eastAsia="Century Gothic" w:cs="Century Gothic"/>
                <w:color w:val="000000"/>
                <w:sz w:val="18"/>
                <w:szCs w:val="18"/>
              </w:rPr>
              <w:t>–</w:t>
            </w:r>
            <w:r>
              <w:rPr>
                <w:rFonts w:eastAsia="Century Gothic" w:cs="Century Gothic"/>
                <w:color w:val="000000"/>
                <w:sz w:val="18"/>
                <w:szCs w:val="18"/>
              </w:rPr>
              <w:t>15)</w:t>
            </w:r>
          </w:p>
        </w:tc>
        <w:tc>
          <w:tcPr>
            <w:tcW w:w="1287" w:type="pct"/>
          </w:tcPr>
          <w:p w14:paraId="36D559CD" w14:textId="41206C8E" w:rsidR="002037B9" w:rsidRPr="00CB04C3" w:rsidRDefault="002037B9" w:rsidP="002037B9">
            <w:pPr>
              <w:spacing w:after="0"/>
              <w:ind w:left="102" w:right="102"/>
              <w:jc w:val="right"/>
              <w:rPr>
                <w:sz w:val="18"/>
                <w:szCs w:val="18"/>
              </w:rPr>
            </w:pPr>
            <w:r>
              <w:rPr>
                <w:rFonts w:eastAsia="Century Gothic" w:cs="Century Gothic"/>
                <w:color w:val="000000"/>
                <w:sz w:val="18"/>
                <w:szCs w:val="18"/>
              </w:rPr>
              <w:t>9 (4</w:t>
            </w:r>
            <w:r w:rsidR="00816DA3">
              <w:rPr>
                <w:rFonts w:eastAsia="Century Gothic" w:cs="Century Gothic"/>
                <w:color w:val="000000"/>
                <w:sz w:val="18"/>
                <w:szCs w:val="18"/>
              </w:rPr>
              <w:t>–</w:t>
            </w:r>
            <w:r>
              <w:rPr>
                <w:rFonts w:eastAsia="Century Gothic" w:cs="Century Gothic"/>
                <w:color w:val="000000"/>
                <w:sz w:val="18"/>
                <w:szCs w:val="18"/>
              </w:rPr>
              <w:t>15)</w:t>
            </w:r>
          </w:p>
        </w:tc>
      </w:tr>
    </w:tbl>
    <w:p w14:paraId="26317495" w14:textId="77777777" w:rsidR="00D03963" w:rsidRDefault="00D03963" w:rsidP="00D03963">
      <w:pPr>
        <w:pStyle w:val="Chartortablefootnote"/>
        <w:spacing w:after="0"/>
      </w:pPr>
      <w:r>
        <w:t>Notes: Calculated for</w:t>
      </w:r>
      <w:r w:rsidRPr="004F20D8">
        <w:t xml:space="preserve"> patients </w:t>
      </w:r>
      <w:r>
        <w:t>living in five states (NSW, Vic, Qld, SA and Tas)</w:t>
      </w:r>
      <w:r w:rsidRPr="004F20D8">
        <w:t>.</w:t>
      </w:r>
    </w:p>
    <w:p w14:paraId="5F992FCB" w14:textId="4CC5B9C1" w:rsidR="005C25A4" w:rsidRDefault="00D03963" w:rsidP="00D03963">
      <w:pPr>
        <w:pStyle w:val="Chartortablefootnote"/>
        <w:ind w:left="567" w:right="946"/>
        <w:rPr>
          <w:lang w:val="en-GB"/>
        </w:rPr>
      </w:pPr>
      <w:r>
        <w:t>Source: National Death Index</w:t>
      </w:r>
      <w:r w:rsidRPr="001466C9">
        <w:t xml:space="preserve"> </w:t>
      </w:r>
      <w:r>
        <w:rPr>
          <w:lang w:val="en-GB"/>
        </w:rPr>
        <w:t xml:space="preserve">and </w:t>
      </w:r>
      <w:r w:rsidRPr="00561E80">
        <w:t>Admitted Patient Care</w:t>
      </w:r>
      <w:r>
        <w:rPr>
          <w:lang w:val="en-GB"/>
        </w:rPr>
        <w:t xml:space="preserve"> data.</w:t>
      </w:r>
    </w:p>
    <w:p w14:paraId="17D18D1A" w14:textId="77777777" w:rsidR="0088320D" w:rsidRPr="00483E85" w:rsidRDefault="0088320D" w:rsidP="0088320D">
      <w:pPr>
        <w:pStyle w:val="Heading3"/>
        <w:rPr>
          <w:lang w:val="en-GB"/>
        </w:rPr>
      </w:pPr>
      <w:r>
        <w:rPr>
          <w:lang w:val="en-GB"/>
        </w:rPr>
        <w:t>Mortality</w:t>
      </w:r>
    </w:p>
    <w:p w14:paraId="5D1EEE51" w14:textId="73E21223" w:rsidR="0088320D" w:rsidRPr="00693CA3" w:rsidRDefault="0088320D" w:rsidP="0088320D">
      <w:r>
        <w:t>Mortality was determined by presence of a record in the National Death Index</w:t>
      </w:r>
      <w:r w:rsidRPr="001466C9">
        <w:t xml:space="preserve"> </w:t>
      </w:r>
      <w:r>
        <w:t xml:space="preserve">data collection up until 30 June 2021. During the follow-up, 689 (6.5%) HCH patients and 646 (6.1%) </w:t>
      </w:r>
      <w:r w:rsidR="007D130E">
        <w:t>comparator</w:t>
      </w:r>
      <w:r>
        <w:t xml:space="preserve"> patients died (</w:t>
      </w:r>
      <w:r w:rsidR="00F11772" w:rsidRPr="00F11772">
        <w:rPr>
          <w:rFonts w:eastAsiaTheme="minorEastAsia"/>
          <w:color w:val="1D2455"/>
          <w:szCs w:val="20"/>
          <w:lang w:eastAsia="en-AU"/>
        </w:rPr>
        <w:fldChar w:fldCharType="begin"/>
      </w:r>
      <w:r w:rsidR="00F11772" w:rsidRPr="00F11772">
        <w:rPr>
          <w:rFonts w:eastAsiaTheme="minorEastAsia"/>
          <w:color w:val="1D2455"/>
          <w:szCs w:val="20"/>
          <w:lang w:eastAsia="en-AU"/>
        </w:rPr>
        <w:instrText xml:space="preserve"> REF _Ref99126732 \h </w:instrText>
      </w:r>
      <w:r w:rsidR="00F11772">
        <w:rPr>
          <w:rFonts w:eastAsiaTheme="minorEastAsia"/>
          <w:color w:val="1D2455"/>
          <w:szCs w:val="20"/>
          <w:lang w:eastAsia="en-AU"/>
        </w:rPr>
        <w:instrText xml:space="preserve"> \* MERGEFORMAT </w:instrText>
      </w:r>
      <w:r w:rsidR="00F11772" w:rsidRPr="00F11772">
        <w:rPr>
          <w:rFonts w:eastAsiaTheme="minorEastAsia"/>
          <w:color w:val="1D2455"/>
          <w:szCs w:val="20"/>
          <w:lang w:eastAsia="en-AU"/>
        </w:rPr>
      </w:r>
      <w:r w:rsidR="00F11772" w:rsidRPr="00F11772">
        <w:rPr>
          <w:rFonts w:eastAsiaTheme="minorEastAsia"/>
          <w:color w:val="1D2455"/>
          <w:szCs w:val="20"/>
          <w:lang w:eastAsia="en-AU"/>
        </w:rPr>
        <w:fldChar w:fldCharType="separate"/>
      </w:r>
      <w:r w:rsidR="003C4BC2" w:rsidRPr="003C4BC2">
        <w:rPr>
          <w:rFonts w:eastAsiaTheme="minorEastAsia"/>
          <w:color w:val="1D2455"/>
          <w:szCs w:val="20"/>
          <w:lang w:eastAsia="en-AU"/>
        </w:rPr>
        <w:t>Table 50</w:t>
      </w:r>
      <w:r w:rsidR="00F11772" w:rsidRPr="00F11772">
        <w:rPr>
          <w:rFonts w:eastAsiaTheme="minorEastAsia"/>
          <w:color w:val="1D2455"/>
          <w:szCs w:val="20"/>
          <w:lang w:eastAsia="en-AU"/>
        </w:rPr>
        <w:fldChar w:fldCharType="end"/>
      </w:r>
      <w:r>
        <w:t>). On average, the number of months between enrolment to death was 17.2 months (std 9.9) among HCH patients and 17.1 months (std 9.9) among comparator patients.</w:t>
      </w:r>
      <w:r w:rsidR="008F2E70">
        <w:t xml:space="preserve"> </w:t>
      </w:r>
      <w:r w:rsidR="002D4977">
        <w:t xml:space="preserve">Hazard ratio for mortality among HCH patients is </w:t>
      </w:r>
      <w:r w:rsidR="002D4977" w:rsidRPr="008F2E70">
        <w:t>1.07 (</w:t>
      </w:r>
      <w:r w:rsidR="002D4977">
        <w:t xml:space="preserve">95%CI </w:t>
      </w:r>
      <w:r w:rsidR="002D4977" w:rsidRPr="008F2E70">
        <w:t>0.96</w:t>
      </w:r>
      <w:r w:rsidR="00816DA3">
        <w:t>–</w:t>
      </w:r>
      <w:r w:rsidR="002D4977" w:rsidRPr="008F2E70">
        <w:t>1.20)</w:t>
      </w:r>
      <w:r w:rsidR="002D4977">
        <w:t xml:space="preserve">, relative to </w:t>
      </w:r>
      <w:r w:rsidR="007D130E">
        <w:t>comparator</w:t>
      </w:r>
      <w:r w:rsidR="002D4977">
        <w:t xml:space="preserve"> patient</w:t>
      </w:r>
      <w:r w:rsidR="00F11772">
        <w:t>s</w:t>
      </w:r>
      <w:r w:rsidR="002D4977">
        <w:t>.</w:t>
      </w:r>
      <w:r w:rsidR="00F974DF">
        <w:t xml:space="preserve"> </w:t>
      </w:r>
    </w:p>
    <w:p w14:paraId="06A98B65" w14:textId="5EB67E0C" w:rsidR="0088320D" w:rsidRDefault="0088320D" w:rsidP="0088320D">
      <w:pPr>
        <w:pStyle w:val="TableFigureheading"/>
        <w:rPr>
          <w:bCs w:val="0"/>
        </w:rPr>
      </w:pPr>
      <w:bookmarkStart w:id="399" w:name="_Ref99126732"/>
      <w:r w:rsidRPr="00A970A9">
        <w:rPr>
          <w:bCs w:val="0"/>
        </w:rPr>
        <w:t xml:space="preserve">Table </w:t>
      </w:r>
      <w:r w:rsidRPr="00A970A9">
        <w:rPr>
          <w:bCs w:val="0"/>
        </w:rPr>
        <w:fldChar w:fldCharType="begin"/>
      </w:r>
      <w:r w:rsidRPr="00A970A9">
        <w:rPr>
          <w:bCs w:val="0"/>
        </w:rPr>
        <w:instrText xml:space="preserve"> SEQ Table \* ARABIC </w:instrText>
      </w:r>
      <w:r w:rsidRPr="00A970A9">
        <w:rPr>
          <w:bCs w:val="0"/>
        </w:rPr>
        <w:fldChar w:fldCharType="separate"/>
      </w:r>
      <w:r w:rsidR="003C4BC2">
        <w:rPr>
          <w:bCs w:val="0"/>
          <w:noProof/>
        </w:rPr>
        <w:t>50</w:t>
      </w:r>
      <w:r w:rsidRPr="00A970A9">
        <w:rPr>
          <w:bCs w:val="0"/>
        </w:rPr>
        <w:fldChar w:fldCharType="end"/>
      </w:r>
      <w:bookmarkEnd w:id="399"/>
      <w:r w:rsidRPr="00A970A9">
        <w:rPr>
          <w:bCs w:val="0"/>
        </w:rPr>
        <w:t xml:space="preserve">: </w:t>
      </w:r>
      <w:r>
        <w:rPr>
          <w:bCs w:val="0"/>
        </w:rPr>
        <w:t xml:space="preserve">Mortality by 30 June 2021 among HCH </w:t>
      </w:r>
      <w:r w:rsidR="00724131">
        <w:rPr>
          <w:bCs w:val="0"/>
        </w:rPr>
        <w:t xml:space="preserve">and comparator </w:t>
      </w:r>
      <w:r>
        <w:rPr>
          <w:bCs w:val="0"/>
        </w:rPr>
        <w:t>patients</w:t>
      </w:r>
    </w:p>
    <w:tbl>
      <w:tblPr>
        <w:tblW w:w="3983"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550"/>
        <w:gridCol w:w="1816"/>
        <w:gridCol w:w="1816"/>
      </w:tblGrid>
      <w:tr w:rsidR="0088320D" w:rsidRPr="004C70C6" w14:paraId="7EDAAA07" w14:textId="77777777" w:rsidTr="00220E59">
        <w:trPr>
          <w:trHeight w:val="340"/>
          <w:jc w:val="center"/>
        </w:trPr>
        <w:tc>
          <w:tcPr>
            <w:tcW w:w="2472" w:type="pct"/>
            <w:shd w:val="clear" w:color="auto" w:fill="408BCA"/>
          </w:tcPr>
          <w:p w14:paraId="31555FBC" w14:textId="77777777" w:rsidR="0088320D" w:rsidRPr="00395E9A" w:rsidRDefault="0088320D" w:rsidP="00CA2A66">
            <w:pPr>
              <w:spacing w:after="0"/>
              <w:ind w:left="102" w:right="102"/>
              <w:rPr>
                <w:rFonts w:eastAsia="Century Gothic" w:cs="Century Gothic"/>
                <w:b/>
                <w:color w:val="000000"/>
                <w:sz w:val="18"/>
                <w:szCs w:val="18"/>
              </w:rPr>
            </w:pPr>
          </w:p>
        </w:tc>
        <w:tc>
          <w:tcPr>
            <w:tcW w:w="1264" w:type="pct"/>
            <w:shd w:val="clear" w:color="auto" w:fill="408BCA"/>
          </w:tcPr>
          <w:p w14:paraId="3346720F" w14:textId="77777777" w:rsidR="0088320D" w:rsidRPr="00395E9A" w:rsidRDefault="0088320D" w:rsidP="00CA2A66">
            <w:pPr>
              <w:spacing w:after="0"/>
              <w:ind w:left="102" w:right="102"/>
              <w:jc w:val="right"/>
              <w:rPr>
                <w:rFonts w:eastAsia="Century Gothic" w:cs="Century Gothic"/>
                <w:b/>
                <w:color w:val="FFFFFF"/>
                <w:sz w:val="18"/>
                <w:szCs w:val="18"/>
              </w:rPr>
            </w:pPr>
            <w:r w:rsidRPr="00395E9A">
              <w:rPr>
                <w:rFonts w:eastAsia="Century Gothic" w:cs="Century Gothic"/>
                <w:b/>
                <w:color w:val="FFFFFF"/>
                <w:sz w:val="18"/>
                <w:szCs w:val="18"/>
              </w:rPr>
              <w:t>HCH patients</w:t>
            </w:r>
          </w:p>
        </w:tc>
        <w:tc>
          <w:tcPr>
            <w:tcW w:w="1264" w:type="pct"/>
            <w:shd w:val="clear" w:color="auto" w:fill="408BCA"/>
          </w:tcPr>
          <w:p w14:paraId="30927D38" w14:textId="77777777" w:rsidR="0088320D" w:rsidRPr="00395E9A" w:rsidRDefault="0088320D" w:rsidP="00CA2A66">
            <w:pPr>
              <w:spacing w:after="0"/>
              <w:ind w:left="102" w:right="102"/>
              <w:jc w:val="right"/>
              <w:rPr>
                <w:rFonts w:eastAsia="Century Gothic" w:cs="Century Gothic"/>
                <w:b/>
                <w:color w:val="000000"/>
                <w:sz w:val="18"/>
                <w:szCs w:val="18"/>
              </w:rPr>
            </w:pPr>
            <w:r w:rsidRPr="00395E9A">
              <w:rPr>
                <w:rFonts w:eastAsia="Century Gothic" w:cs="Century Gothic"/>
                <w:b/>
                <w:color w:val="FFFFFF"/>
                <w:sz w:val="18"/>
                <w:szCs w:val="18"/>
              </w:rPr>
              <w:t>Comparators</w:t>
            </w:r>
          </w:p>
        </w:tc>
      </w:tr>
      <w:tr w:rsidR="00183690" w:rsidRPr="00A144BD" w14:paraId="0B5AAD18" w14:textId="77777777" w:rsidTr="00220E59">
        <w:trPr>
          <w:trHeight w:val="340"/>
          <w:jc w:val="center"/>
        </w:trPr>
        <w:tc>
          <w:tcPr>
            <w:tcW w:w="2472" w:type="pct"/>
          </w:tcPr>
          <w:p w14:paraId="25B9C2D5" w14:textId="12A6087B" w:rsidR="00183690" w:rsidRPr="00183690" w:rsidRDefault="00183690" w:rsidP="00183690">
            <w:pPr>
              <w:spacing w:after="0"/>
              <w:ind w:right="102"/>
              <w:rPr>
                <w:sz w:val="18"/>
                <w:szCs w:val="18"/>
              </w:rPr>
            </w:pPr>
            <w:r w:rsidRPr="00183690">
              <w:rPr>
                <w:b/>
                <w:bCs/>
                <w:sz w:val="18"/>
                <w:szCs w:val="18"/>
              </w:rPr>
              <w:t>Death</w:t>
            </w:r>
            <w:r w:rsidRPr="00183690">
              <w:rPr>
                <w:sz w:val="18"/>
                <w:szCs w:val="18"/>
              </w:rPr>
              <w:t>, number (%)</w:t>
            </w:r>
          </w:p>
        </w:tc>
        <w:tc>
          <w:tcPr>
            <w:tcW w:w="1264" w:type="pct"/>
          </w:tcPr>
          <w:p w14:paraId="62743B9F" w14:textId="7077305F" w:rsidR="00183690" w:rsidRPr="00CB04C3" w:rsidRDefault="00183690" w:rsidP="00183690">
            <w:pPr>
              <w:spacing w:after="0"/>
              <w:ind w:left="102" w:right="102"/>
              <w:jc w:val="right"/>
              <w:rPr>
                <w:rFonts w:eastAsia="Century Gothic" w:cs="Century Gothic"/>
                <w:color w:val="000000"/>
                <w:sz w:val="18"/>
                <w:szCs w:val="18"/>
              </w:rPr>
            </w:pPr>
            <w:r>
              <w:rPr>
                <w:rFonts w:eastAsia="Century Gothic" w:cs="Century Gothic"/>
                <w:color w:val="000000"/>
                <w:sz w:val="18"/>
                <w:szCs w:val="18"/>
              </w:rPr>
              <w:t>689 (6.5%)</w:t>
            </w:r>
          </w:p>
        </w:tc>
        <w:tc>
          <w:tcPr>
            <w:tcW w:w="1264" w:type="pct"/>
          </w:tcPr>
          <w:p w14:paraId="20201F3A" w14:textId="2787A1A0" w:rsidR="00183690" w:rsidRPr="00CB04C3" w:rsidRDefault="00183690" w:rsidP="00183690">
            <w:pPr>
              <w:spacing w:after="0"/>
              <w:ind w:left="102" w:right="102"/>
              <w:jc w:val="right"/>
              <w:rPr>
                <w:sz w:val="18"/>
                <w:szCs w:val="18"/>
              </w:rPr>
            </w:pPr>
            <w:r>
              <w:rPr>
                <w:rFonts w:eastAsia="Century Gothic" w:cs="Century Gothic"/>
                <w:color w:val="000000"/>
                <w:sz w:val="18"/>
                <w:szCs w:val="18"/>
              </w:rPr>
              <w:t>646 (6.1%)</w:t>
            </w:r>
          </w:p>
        </w:tc>
      </w:tr>
      <w:tr w:rsidR="0088320D" w:rsidRPr="00A144BD" w14:paraId="1B51E0A0" w14:textId="77777777" w:rsidTr="00220E59">
        <w:trPr>
          <w:trHeight w:val="340"/>
          <w:jc w:val="center"/>
        </w:trPr>
        <w:tc>
          <w:tcPr>
            <w:tcW w:w="2472" w:type="pct"/>
          </w:tcPr>
          <w:p w14:paraId="790B3695" w14:textId="77777777" w:rsidR="0088320D" w:rsidRPr="0092461A" w:rsidRDefault="0088320D" w:rsidP="00CA2A66">
            <w:pPr>
              <w:spacing w:after="0"/>
              <w:ind w:right="102"/>
              <w:rPr>
                <w:b/>
                <w:bCs/>
                <w:sz w:val="18"/>
                <w:szCs w:val="18"/>
              </w:rPr>
            </w:pPr>
            <w:r w:rsidRPr="0092461A">
              <w:rPr>
                <w:b/>
                <w:bCs/>
                <w:sz w:val="18"/>
                <w:szCs w:val="18"/>
              </w:rPr>
              <w:t>Time-to-</w:t>
            </w:r>
            <w:r>
              <w:rPr>
                <w:b/>
                <w:bCs/>
                <w:sz w:val="18"/>
                <w:szCs w:val="18"/>
              </w:rPr>
              <w:t xml:space="preserve">death </w:t>
            </w:r>
            <w:r w:rsidRPr="0092461A">
              <w:rPr>
                <w:b/>
                <w:bCs/>
                <w:sz w:val="18"/>
                <w:szCs w:val="18"/>
              </w:rPr>
              <w:t>(months)</w:t>
            </w:r>
          </w:p>
        </w:tc>
        <w:tc>
          <w:tcPr>
            <w:tcW w:w="1264" w:type="pct"/>
          </w:tcPr>
          <w:p w14:paraId="3E39E49F" w14:textId="77777777" w:rsidR="0088320D" w:rsidRPr="00CB04C3" w:rsidRDefault="0088320D" w:rsidP="00CA2A66">
            <w:pPr>
              <w:spacing w:after="0"/>
              <w:ind w:left="102" w:right="102"/>
              <w:jc w:val="right"/>
              <w:rPr>
                <w:rFonts w:eastAsia="Century Gothic" w:cs="Century Gothic"/>
                <w:color w:val="000000"/>
                <w:sz w:val="18"/>
                <w:szCs w:val="18"/>
              </w:rPr>
            </w:pPr>
          </w:p>
        </w:tc>
        <w:tc>
          <w:tcPr>
            <w:tcW w:w="1264" w:type="pct"/>
          </w:tcPr>
          <w:p w14:paraId="4E047038" w14:textId="77777777" w:rsidR="0088320D" w:rsidRPr="00CB04C3" w:rsidRDefault="0088320D" w:rsidP="00CA2A66">
            <w:pPr>
              <w:spacing w:after="0"/>
              <w:ind w:left="102" w:right="102"/>
              <w:jc w:val="right"/>
              <w:rPr>
                <w:sz w:val="18"/>
                <w:szCs w:val="18"/>
              </w:rPr>
            </w:pPr>
          </w:p>
        </w:tc>
      </w:tr>
      <w:tr w:rsidR="0088320D" w:rsidRPr="00A144BD" w14:paraId="7AB4665A" w14:textId="77777777" w:rsidTr="00220E59">
        <w:trPr>
          <w:trHeight w:val="340"/>
          <w:jc w:val="center"/>
        </w:trPr>
        <w:tc>
          <w:tcPr>
            <w:tcW w:w="2472" w:type="pct"/>
          </w:tcPr>
          <w:p w14:paraId="2F230A28" w14:textId="77777777" w:rsidR="0088320D" w:rsidRDefault="0088320D" w:rsidP="00CA2A66">
            <w:pPr>
              <w:spacing w:after="0"/>
              <w:ind w:left="339" w:right="102"/>
              <w:rPr>
                <w:sz w:val="18"/>
                <w:szCs w:val="18"/>
              </w:rPr>
            </w:pPr>
            <w:r>
              <w:rPr>
                <w:sz w:val="18"/>
                <w:szCs w:val="18"/>
              </w:rPr>
              <w:t>Mean (std)</w:t>
            </w:r>
          </w:p>
        </w:tc>
        <w:tc>
          <w:tcPr>
            <w:tcW w:w="1264" w:type="pct"/>
          </w:tcPr>
          <w:p w14:paraId="6E496490" w14:textId="77777777" w:rsidR="0088320D" w:rsidRPr="00CB04C3" w:rsidRDefault="0088320D" w:rsidP="00CA2A66">
            <w:pPr>
              <w:spacing w:after="0"/>
              <w:ind w:left="102" w:right="102"/>
              <w:jc w:val="right"/>
              <w:rPr>
                <w:rFonts w:eastAsia="Century Gothic" w:cs="Century Gothic"/>
                <w:color w:val="000000"/>
                <w:sz w:val="18"/>
                <w:szCs w:val="18"/>
              </w:rPr>
            </w:pPr>
            <w:r>
              <w:rPr>
                <w:rFonts w:eastAsia="Century Gothic" w:cs="Century Gothic"/>
                <w:color w:val="000000"/>
                <w:sz w:val="18"/>
                <w:szCs w:val="18"/>
              </w:rPr>
              <w:t>17.2 (9.9)</w:t>
            </w:r>
          </w:p>
        </w:tc>
        <w:tc>
          <w:tcPr>
            <w:tcW w:w="1264" w:type="pct"/>
          </w:tcPr>
          <w:p w14:paraId="10A3E5D2" w14:textId="77777777" w:rsidR="0088320D" w:rsidRPr="00CB04C3" w:rsidRDefault="0088320D" w:rsidP="00CA2A66">
            <w:pPr>
              <w:spacing w:after="0"/>
              <w:ind w:left="102" w:right="102"/>
              <w:jc w:val="right"/>
              <w:rPr>
                <w:sz w:val="18"/>
                <w:szCs w:val="18"/>
              </w:rPr>
            </w:pPr>
            <w:r>
              <w:rPr>
                <w:sz w:val="18"/>
                <w:szCs w:val="18"/>
              </w:rPr>
              <w:t>17.1 (9.9)</w:t>
            </w:r>
          </w:p>
        </w:tc>
      </w:tr>
      <w:tr w:rsidR="0088320D" w:rsidRPr="00A144BD" w14:paraId="66624998" w14:textId="77777777" w:rsidTr="00220E59">
        <w:trPr>
          <w:trHeight w:val="340"/>
          <w:jc w:val="center"/>
        </w:trPr>
        <w:tc>
          <w:tcPr>
            <w:tcW w:w="2472" w:type="pct"/>
          </w:tcPr>
          <w:p w14:paraId="75C78C51" w14:textId="77777777" w:rsidR="0088320D" w:rsidRDefault="0088320D" w:rsidP="00CA2A66">
            <w:pPr>
              <w:spacing w:after="0"/>
              <w:ind w:left="339" w:right="102"/>
              <w:rPr>
                <w:sz w:val="18"/>
                <w:szCs w:val="18"/>
              </w:rPr>
            </w:pPr>
            <w:r>
              <w:rPr>
                <w:sz w:val="18"/>
                <w:szCs w:val="18"/>
              </w:rPr>
              <w:t>Median (IQR)</w:t>
            </w:r>
          </w:p>
        </w:tc>
        <w:tc>
          <w:tcPr>
            <w:tcW w:w="1264" w:type="pct"/>
          </w:tcPr>
          <w:p w14:paraId="035F08EC" w14:textId="0567088F" w:rsidR="0088320D" w:rsidRPr="00CB04C3" w:rsidRDefault="0088320D" w:rsidP="00CA2A66">
            <w:pPr>
              <w:spacing w:after="0"/>
              <w:ind w:left="102" w:right="102"/>
              <w:jc w:val="right"/>
              <w:rPr>
                <w:rFonts w:eastAsia="Century Gothic" w:cs="Century Gothic"/>
                <w:color w:val="000000"/>
                <w:sz w:val="18"/>
                <w:szCs w:val="18"/>
              </w:rPr>
            </w:pPr>
            <w:r>
              <w:rPr>
                <w:rFonts w:eastAsia="Century Gothic" w:cs="Century Gothic"/>
                <w:color w:val="000000"/>
                <w:sz w:val="18"/>
                <w:szCs w:val="18"/>
              </w:rPr>
              <w:t>17 (9</w:t>
            </w:r>
            <w:r w:rsidR="00816DA3">
              <w:rPr>
                <w:rFonts w:eastAsia="Century Gothic" w:cs="Century Gothic"/>
                <w:color w:val="000000"/>
                <w:sz w:val="18"/>
                <w:szCs w:val="18"/>
              </w:rPr>
              <w:t>–</w:t>
            </w:r>
            <w:r>
              <w:rPr>
                <w:rFonts w:eastAsia="Century Gothic" w:cs="Century Gothic"/>
                <w:color w:val="000000"/>
                <w:sz w:val="18"/>
                <w:szCs w:val="18"/>
              </w:rPr>
              <w:t>25)</w:t>
            </w:r>
          </w:p>
        </w:tc>
        <w:tc>
          <w:tcPr>
            <w:tcW w:w="1264" w:type="pct"/>
          </w:tcPr>
          <w:p w14:paraId="6FE60532" w14:textId="4D19D913" w:rsidR="0088320D" w:rsidRPr="00CB04C3" w:rsidRDefault="0088320D" w:rsidP="00CA2A66">
            <w:pPr>
              <w:spacing w:after="0"/>
              <w:ind w:left="102" w:right="102"/>
              <w:jc w:val="right"/>
              <w:rPr>
                <w:sz w:val="18"/>
                <w:szCs w:val="18"/>
              </w:rPr>
            </w:pPr>
            <w:r>
              <w:rPr>
                <w:rFonts w:eastAsia="Century Gothic" w:cs="Century Gothic"/>
                <w:color w:val="000000"/>
                <w:sz w:val="18"/>
                <w:szCs w:val="18"/>
              </w:rPr>
              <w:t>17 (9</w:t>
            </w:r>
            <w:r w:rsidR="00816DA3">
              <w:rPr>
                <w:rFonts w:eastAsia="Century Gothic" w:cs="Century Gothic"/>
                <w:color w:val="000000"/>
                <w:sz w:val="18"/>
                <w:szCs w:val="18"/>
              </w:rPr>
              <w:t>–</w:t>
            </w:r>
            <w:r>
              <w:rPr>
                <w:rFonts w:eastAsia="Century Gothic" w:cs="Century Gothic"/>
                <w:color w:val="000000"/>
                <w:sz w:val="18"/>
                <w:szCs w:val="18"/>
              </w:rPr>
              <w:t>25)</w:t>
            </w:r>
          </w:p>
        </w:tc>
      </w:tr>
    </w:tbl>
    <w:p w14:paraId="3DD6242A" w14:textId="7D938A4B" w:rsidR="00096BBF" w:rsidRDefault="0088320D" w:rsidP="002E6C1F">
      <w:pPr>
        <w:pStyle w:val="Chartortablefootnote"/>
        <w:ind w:right="662"/>
        <w:rPr>
          <w:szCs w:val="20"/>
          <w:lang w:val="en-US"/>
        </w:rPr>
      </w:pPr>
      <w:r w:rsidRPr="009645D4">
        <w:rPr>
          <w:lang w:val="en-GB"/>
        </w:rPr>
        <w:t xml:space="preserve">Source: </w:t>
      </w:r>
      <w:r>
        <w:t>National Death Index</w:t>
      </w:r>
      <w:r w:rsidRPr="001466C9">
        <w:t xml:space="preserve"> </w:t>
      </w:r>
      <w:r>
        <w:t>data collection.</w:t>
      </w:r>
    </w:p>
    <w:p w14:paraId="5B362A42" w14:textId="77777777" w:rsidR="005B6744" w:rsidRDefault="005B6744" w:rsidP="00032A68">
      <w:pPr>
        <w:sectPr w:rsidR="005B6744">
          <w:headerReference w:type="default" r:id="rId98"/>
          <w:pgSz w:w="11906" w:h="16838"/>
          <w:pgMar w:top="1440" w:right="1440" w:bottom="1440" w:left="1440" w:header="708" w:footer="708" w:gutter="0"/>
          <w:cols w:space="708"/>
          <w:docGrid w:linePitch="360"/>
        </w:sectPr>
      </w:pP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2A4D96" w14:paraId="296CD8F1" w14:textId="77777777" w:rsidTr="00256EF9">
        <w:tc>
          <w:tcPr>
            <w:tcW w:w="9016" w:type="dxa"/>
          </w:tcPr>
          <w:p w14:paraId="48001F5C" w14:textId="77777777" w:rsidR="002A4D96" w:rsidRPr="00C71F42" w:rsidRDefault="002A4D96" w:rsidP="00E16CD3">
            <w:pPr>
              <w:pStyle w:val="Sectionheading"/>
            </w:pPr>
            <w:r>
              <w:lastRenderedPageBreak/>
              <w:br w:type="page"/>
            </w:r>
            <w:bookmarkStart w:id="400" w:name="_Toc109996742"/>
            <w:r w:rsidRPr="00C71F42">
              <w:t xml:space="preserve">Key evaluation question </w:t>
            </w:r>
            <w:r>
              <w:t>4</w:t>
            </w:r>
            <w:r w:rsidRPr="00C71F42">
              <w:t xml:space="preserve">: </w:t>
            </w:r>
            <w:r w:rsidRPr="002A4D96">
              <w:t>What are the financial effects of the HCH model on governments, providers and individuals</w:t>
            </w:r>
            <w:r w:rsidRPr="00C71F42">
              <w:t>?</w:t>
            </w:r>
            <w:bookmarkEnd w:id="400"/>
          </w:p>
          <w:p w14:paraId="47BFF027" w14:textId="77777777" w:rsidR="002A4D96" w:rsidRPr="008E10EF" w:rsidRDefault="002A4D96" w:rsidP="00256EF9">
            <w:r w:rsidRPr="002A4D96">
              <w:t>Th</w:t>
            </w:r>
            <w:r>
              <w:t xml:space="preserve">is </w:t>
            </w:r>
            <w:r w:rsidRPr="002A4D96">
              <w:t>question consider</w:t>
            </w:r>
            <w:r>
              <w:t>s</w:t>
            </w:r>
            <w:r w:rsidRPr="002A4D96">
              <w:t xml:space="preserve"> the financial impact of the HCH model. This includes the impact on patients, on HCH practices, on changes in the use of primary and secondary services outside the HCH practice, and the impact of changes in the use of acute health care services.</w:t>
            </w:r>
          </w:p>
        </w:tc>
      </w:tr>
    </w:tbl>
    <w:p w14:paraId="4FCB680C" w14:textId="77777777" w:rsidR="002A4D96" w:rsidRDefault="002A4D96" w:rsidP="00032A68">
      <w:pPr>
        <w:sectPr w:rsidR="002A4D96" w:rsidSect="003732C7">
          <w:headerReference w:type="default" r:id="rId99"/>
          <w:pgSz w:w="11906" w:h="16838"/>
          <w:pgMar w:top="1440" w:right="1440" w:bottom="1440" w:left="1440" w:header="709" w:footer="709" w:gutter="0"/>
          <w:cols w:space="708"/>
          <w:vAlign w:val="center"/>
          <w:docGrid w:linePitch="360"/>
        </w:sectPr>
      </w:pPr>
    </w:p>
    <w:p w14:paraId="49636DAC" w14:textId="2304A55E" w:rsidR="005B6744" w:rsidRPr="0094369A" w:rsidRDefault="00531538" w:rsidP="005B6744">
      <w:pPr>
        <w:pStyle w:val="ChapterNumber"/>
      </w:pPr>
      <w:r>
        <w:lastRenderedPageBreak/>
        <w:fldChar w:fldCharType="begin"/>
      </w:r>
      <w:r>
        <w:instrText xml:space="preserve"> REF _Ref98410423 \r \h </w:instrText>
      </w:r>
      <w:r>
        <w:fldChar w:fldCharType="separate"/>
      </w:r>
      <w:r w:rsidR="003C4BC2">
        <w:t>19</w:t>
      </w:r>
      <w:r>
        <w:fldChar w:fldCharType="end"/>
      </w:r>
    </w:p>
    <w:p w14:paraId="5AEE9E77" w14:textId="2B0844D5" w:rsidR="005B6744" w:rsidRDefault="000E04F2" w:rsidP="005B6744">
      <w:pPr>
        <w:pStyle w:val="Heading1withnumber"/>
        <w:ind w:left="0" w:hanging="851"/>
      </w:pPr>
      <w:bookmarkStart w:id="401" w:name="_Ref98410423"/>
      <w:bookmarkStart w:id="402" w:name="_Toc109996743"/>
      <w:r>
        <w:t>Financial impacts</w:t>
      </w:r>
      <w:r w:rsidR="00CC06BF">
        <w:t xml:space="preserve"> of HCH</w:t>
      </w:r>
      <w:bookmarkEnd w:id="401"/>
      <w:bookmarkEnd w:id="402"/>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3732C7" w:rsidRPr="0048466A" w14:paraId="3B891DCF" w14:textId="77777777" w:rsidTr="00256EF9">
        <w:tc>
          <w:tcPr>
            <w:tcW w:w="8996" w:type="dxa"/>
            <w:shd w:val="clear" w:color="auto" w:fill="auto"/>
          </w:tcPr>
          <w:p w14:paraId="663DC418" w14:textId="18D46002" w:rsidR="003732C7" w:rsidRPr="00E76EF4" w:rsidRDefault="00E76EF4" w:rsidP="00AF15A5">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26</w:t>
            </w:r>
            <w:r w:rsidRPr="006201AB">
              <w:rPr>
                <w:bCs/>
                <w:noProof/>
              </w:rPr>
              <w:fldChar w:fldCharType="end"/>
            </w:r>
            <w:r w:rsidRPr="006201AB">
              <w:rPr>
                <w:bCs/>
                <w:szCs w:val="20"/>
              </w:rPr>
              <w:t>: Chapter summary</w:t>
            </w:r>
          </w:p>
          <w:p w14:paraId="5C0690C6" w14:textId="02A36A35" w:rsidR="001759F6" w:rsidRPr="001759F6" w:rsidRDefault="001759F6" w:rsidP="001759F6">
            <w:pPr>
              <w:spacing w:after="120"/>
              <w:rPr>
                <w:rFonts w:eastAsia="Muli" w:cs="Muli"/>
                <w:color w:val="000000" w:themeColor="text1"/>
                <w:sz w:val="18"/>
                <w:szCs w:val="18"/>
              </w:rPr>
            </w:pPr>
            <w:r w:rsidRPr="001759F6">
              <w:rPr>
                <w:rFonts w:eastAsia="Muli" w:cs="Muli"/>
                <w:color w:val="000000" w:themeColor="text1"/>
                <w:sz w:val="18"/>
                <w:szCs w:val="18"/>
              </w:rPr>
              <w:t xml:space="preserve">For patients, </w:t>
            </w:r>
            <w:r w:rsidR="00921331">
              <w:rPr>
                <w:rFonts w:eastAsia="Muli" w:cs="Muli"/>
                <w:color w:val="000000" w:themeColor="text1"/>
                <w:sz w:val="18"/>
                <w:szCs w:val="18"/>
              </w:rPr>
              <w:t>there was</w:t>
            </w:r>
            <w:r w:rsidRPr="001759F6">
              <w:rPr>
                <w:rFonts w:eastAsia="Muli" w:cs="Muli"/>
                <w:color w:val="000000" w:themeColor="text1"/>
                <w:sz w:val="18"/>
                <w:szCs w:val="18"/>
              </w:rPr>
              <w:t xml:space="preserve"> little effect on out-of-pocket costs for either Medicare services or PBS medicines. It’s possible that as the patient cohort ages and requires more </w:t>
            </w:r>
            <w:r w:rsidR="00DA34EA">
              <w:rPr>
                <w:rFonts w:eastAsia="Muli" w:cs="Muli"/>
                <w:color w:val="000000" w:themeColor="text1"/>
                <w:sz w:val="18"/>
                <w:szCs w:val="18"/>
              </w:rPr>
              <w:t>health care</w:t>
            </w:r>
            <w:r w:rsidRPr="001759F6">
              <w:rPr>
                <w:rFonts w:eastAsia="Muli" w:cs="Muli"/>
                <w:color w:val="000000" w:themeColor="text1"/>
                <w:sz w:val="18"/>
                <w:szCs w:val="18"/>
              </w:rPr>
              <w:t xml:space="preserve">, the HCH model may have a protective effect against rising out-of-pocket costs. However, this was not observed during the limited follow up </w:t>
            </w:r>
            <w:r w:rsidR="007D130E" w:rsidRPr="001759F6">
              <w:rPr>
                <w:rFonts w:eastAsia="Muli" w:cs="Muli"/>
                <w:color w:val="000000" w:themeColor="text1"/>
                <w:sz w:val="18"/>
                <w:szCs w:val="18"/>
              </w:rPr>
              <w:t>period and</w:t>
            </w:r>
            <w:r w:rsidRPr="001759F6">
              <w:rPr>
                <w:rFonts w:eastAsia="Muli" w:cs="Muli"/>
                <w:color w:val="000000" w:themeColor="text1"/>
                <w:sz w:val="18"/>
                <w:szCs w:val="18"/>
              </w:rPr>
              <w:t xml:space="preserve"> would depend on future trends in out-of-pocket costs. </w:t>
            </w:r>
          </w:p>
          <w:p w14:paraId="02ECEA01" w14:textId="57EFD522" w:rsidR="001759F6" w:rsidRPr="001759F6" w:rsidRDefault="001759F6" w:rsidP="001759F6">
            <w:pPr>
              <w:spacing w:after="120"/>
              <w:rPr>
                <w:rFonts w:eastAsia="Muli" w:cs="Muli"/>
                <w:color w:val="000000" w:themeColor="text1"/>
                <w:sz w:val="18"/>
                <w:szCs w:val="18"/>
              </w:rPr>
            </w:pPr>
            <w:r w:rsidRPr="001759F6">
              <w:rPr>
                <w:rFonts w:eastAsia="Muli" w:cs="Muli"/>
                <w:color w:val="000000" w:themeColor="text1"/>
                <w:sz w:val="18"/>
                <w:szCs w:val="18"/>
              </w:rPr>
              <w:t>For providers, the data suggests that the shift from fee-for-service to bundled payments had a positive impact on their financial outcomes. This was driven by a significant fall in per-patient fee revenues under the conventional payment model, more than compensated by the value of the bundled payment. This result supports the financial sustainability from a provider point of view, notwithstanding the substantial administrative and implementation burdens described earlier in this report. This analysis however was limited by a lack of practice-level identifiers, which meant we could not evaluate more precise practice-level effects, for example, on outcomes for unenrolled versus enrolled patients at participating practices. Further, this finding applies only to those practices which joined and remained in the program</w:t>
            </w:r>
            <w:r w:rsidR="00BD1CDB">
              <w:rPr>
                <w:rFonts w:eastAsia="Muli" w:cs="Muli"/>
                <w:color w:val="000000" w:themeColor="text1"/>
                <w:sz w:val="18"/>
                <w:szCs w:val="18"/>
              </w:rPr>
              <w:t>,</w:t>
            </w:r>
            <w:r w:rsidRPr="001759F6">
              <w:rPr>
                <w:rFonts w:eastAsia="Muli" w:cs="Muli"/>
                <w:color w:val="000000" w:themeColor="text1"/>
                <w:sz w:val="18"/>
                <w:szCs w:val="18"/>
              </w:rPr>
              <w:t xml:space="preserve"> so may not be generalisable to all practices. This is a key area for future research.</w:t>
            </w:r>
          </w:p>
          <w:p w14:paraId="1D3CAB6C" w14:textId="53B88EFF" w:rsidR="003732C7" w:rsidRPr="008A27A3" w:rsidRDefault="001759F6" w:rsidP="00531538">
            <w:pPr>
              <w:spacing w:after="120"/>
              <w:rPr>
                <w:rFonts w:eastAsia="Muli" w:cs="Muli"/>
                <w:color w:val="000000" w:themeColor="text1"/>
                <w:sz w:val="18"/>
                <w:szCs w:val="18"/>
              </w:rPr>
            </w:pPr>
            <w:r w:rsidRPr="001759F6">
              <w:rPr>
                <w:rFonts w:eastAsia="Muli" w:cs="Muli"/>
                <w:color w:val="000000" w:themeColor="text1"/>
                <w:sz w:val="18"/>
                <w:szCs w:val="18"/>
              </w:rPr>
              <w:t xml:space="preserve">For the Commonwealth Government, the results indicate that expenditures for Medicare services were higher (but gradually falling over time) when </w:t>
            </w:r>
            <w:r w:rsidR="00E602FD">
              <w:rPr>
                <w:rFonts w:eastAsia="Muli" w:cs="Muli"/>
                <w:color w:val="000000" w:themeColor="text1"/>
                <w:sz w:val="18"/>
                <w:szCs w:val="18"/>
              </w:rPr>
              <w:t>compared with</w:t>
            </w:r>
            <w:r w:rsidRPr="001759F6">
              <w:rPr>
                <w:rFonts w:eastAsia="Muli" w:cs="Muli"/>
                <w:color w:val="000000" w:themeColor="text1"/>
                <w:sz w:val="18"/>
                <w:szCs w:val="18"/>
              </w:rPr>
              <w:t xml:space="preserve"> the conventional payment model on a per-patient basis. In the longer run, these falling expenditures might support ongoing value-for-money, however current levels of expenditure are well above those for </w:t>
            </w:r>
            <w:r w:rsidR="009443E6">
              <w:rPr>
                <w:rFonts w:eastAsia="Muli" w:cs="Muli"/>
                <w:color w:val="000000" w:themeColor="text1"/>
                <w:sz w:val="18"/>
                <w:szCs w:val="18"/>
              </w:rPr>
              <w:t xml:space="preserve">propensity score-matched </w:t>
            </w:r>
            <w:r w:rsidR="00057ECB">
              <w:rPr>
                <w:rFonts w:eastAsia="Muli" w:cs="Muli"/>
                <w:color w:val="000000" w:themeColor="text1"/>
                <w:sz w:val="18"/>
                <w:szCs w:val="18"/>
              </w:rPr>
              <w:t>comparator patients</w:t>
            </w:r>
            <w:r w:rsidR="00272AC9">
              <w:rPr>
                <w:rFonts w:eastAsia="Muli" w:cs="Muli"/>
                <w:color w:val="000000" w:themeColor="text1"/>
                <w:sz w:val="18"/>
                <w:szCs w:val="18"/>
              </w:rPr>
              <w:t xml:space="preserve"> </w:t>
            </w:r>
            <w:r w:rsidR="00D47890">
              <w:rPr>
                <w:rFonts w:eastAsia="Muli" w:cs="Muli"/>
                <w:color w:val="000000" w:themeColor="text1"/>
                <w:sz w:val="18"/>
                <w:szCs w:val="18"/>
              </w:rPr>
              <w:t>(</w:t>
            </w:r>
            <w:r w:rsidR="006E3D0D">
              <w:rPr>
                <w:rFonts w:eastAsia="Muli" w:cs="Muli"/>
                <w:color w:val="000000" w:themeColor="text1"/>
                <w:sz w:val="18"/>
                <w:szCs w:val="18"/>
              </w:rPr>
              <w:t>“</w:t>
            </w:r>
            <w:r w:rsidR="00272AC9">
              <w:rPr>
                <w:rFonts w:eastAsia="Muli" w:cs="Muli"/>
                <w:color w:val="000000" w:themeColor="text1"/>
                <w:sz w:val="18"/>
                <w:szCs w:val="18"/>
              </w:rPr>
              <w:t>control</w:t>
            </w:r>
            <w:r w:rsidR="006E3D0D">
              <w:rPr>
                <w:rFonts w:eastAsia="Muli" w:cs="Muli"/>
                <w:color w:val="000000" w:themeColor="text1"/>
                <w:sz w:val="18"/>
                <w:szCs w:val="18"/>
              </w:rPr>
              <w:t>”</w:t>
            </w:r>
            <w:r w:rsidR="00D47890">
              <w:rPr>
                <w:rFonts w:eastAsia="Muli" w:cs="Muli"/>
                <w:color w:val="000000" w:themeColor="text1"/>
                <w:sz w:val="18"/>
                <w:szCs w:val="18"/>
              </w:rPr>
              <w:t xml:space="preserve"> patients)</w:t>
            </w:r>
            <w:r w:rsidRPr="001759F6">
              <w:rPr>
                <w:rFonts w:eastAsia="Muli" w:cs="Muli"/>
                <w:color w:val="000000" w:themeColor="text1"/>
                <w:sz w:val="18"/>
                <w:szCs w:val="18"/>
              </w:rPr>
              <w:t xml:space="preserve">. In addition, the earlier chapters in this report indicate that there were few changes in </w:t>
            </w:r>
            <w:r w:rsidR="00DA34EA">
              <w:rPr>
                <w:rFonts w:eastAsia="Muli" w:cs="Muli"/>
                <w:color w:val="000000" w:themeColor="text1"/>
                <w:sz w:val="18"/>
                <w:szCs w:val="18"/>
              </w:rPr>
              <w:t>health care</w:t>
            </w:r>
            <w:r w:rsidRPr="001759F6">
              <w:rPr>
                <w:rFonts w:eastAsia="Muli" w:cs="Muli"/>
                <w:color w:val="000000" w:themeColor="text1"/>
                <w:sz w:val="18"/>
                <w:szCs w:val="18"/>
              </w:rPr>
              <w:t xml:space="preserve"> utilisation or health outcome arising from the HCH model.</w:t>
            </w:r>
            <w:r w:rsidR="004E1B62">
              <w:rPr>
                <w:rFonts w:eastAsia="Muli" w:cs="Muli"/>
                <w:color w:val="000000" w:themeColor="text1"/>
                <w:sz w:val="18"/>
                <w:szCs w:val="18"/>
              </w:rPr>
              <w:t xml:space="preserve"> </w:t>
            </w:r>
            <w:r w:rsidRPr="001759F6">
              <w:rPr>
                <w:rFonts w:eastAsia="Muli" w:cs="Muli"/>
                <w:color w:val="000000" w:themeColor="text1"/>
                <w:sz w:val="18"/>
                <w:szCs w:val="18"/>
              </w:rPr>
              <w:t xml:space="preserve">Given these findings, </w:t>
            </w:r>
            <w:r w:rsidR="009336BA" w:rsidRPr="009336BA">
              <w:rPr>
                <w:rFonts w:eastAsia="Muli" w:cs="Muli"/>
                <w:color w:val="000000" w:themeColor="text1"/>
                <w:sz w:val="18"/>
                <w:szCs w:val="18"/>
              </w:rPr>
              <w:t xml:space="preserve">we are unable to reach </w:t>
            </w:r>
            <w:r w:rsidR="00225753">
              <w:rPr>
                <w:rFonts w:eastAsia="Muli" w:cs="Muli"/>
                <w:color w:val="000000" w:themeColor="text1"/>
                <w:sz w:val="18"/>
                <w:szCs w:val="18"/>
              </w:rPr>
              <w:t>a</w:t>
            </w:r>
            <w:r w:rsidR="009336BA" w:rsidRPr="009336BA">
              <w:rPr>
                <w:rFonts w:eastAsia="Muli" w:cs="Muli"/>
                <w:color w:val="000000" w:themeColor="text1"/>
                <w:sz w:val="18"/>
                <w:szCs w:val="18"/>
              </w:rPr>
              <w:t xml:space="preserve"> conclusion about</w:t>
            </w:r>
            <w:r w:rsidRPr="001759F6">
              <w:rPr>
                <w:rFonts w:eastAsia="Muli" w:cs="Muli"/>
                <w:color w:val="000000" w:themeColor="text1"/>
                <w:sz w:val="18"/>
                <w:szCs w:val="18"/>
              </w:rPr>
              <w:t xml:space="preserve"> the </w:t>
            </w:r>
            <w:r w:rsidR="009336BA">
              <w:rPr>
                <w:rFonts w:eastAsia="Muli" w:cs="Muli"/>
                <w:color w:val="000000" w:themeColor="text1"/>
                <w:sz w:val="18"/>
                <w:szCs w:val="18"/>
              </w:rPr>
              <w:t>program’s</w:t>
            </w:r>
            <w:r w:rsidRPr="001759F6">
              <w:rPr>
                <w:rFonts w:eastAsia="Muli" w:cs="Muli"/>
                <w:color w:val="000000" w:themeColor="text1"/>
                <w:sz w:val="18"/>
                <w:szCs w:val="18"/>
              </w:rPr>
              <w:t xml:space="preserve"> value for money for the government and taxpayers.</w:t>
            </w:r>
          </w:p>
        </w:tc>
      </w:tr>
    </w:tbl>
    <w:p w14:paraId="372BC790" w14:textId="77777777" w:rsidR="003732C7" w:rsidRDefault="003732C7" w:rsidP="008A27A3">
      <w:pPr>
        <w:spacing w:after="0"/>
      </w:pPr>
    </w:p>
    <w:p w14:paraId="3584B510" w14:textId="77777777" w:rsidR="008A27A3" w:rsidRDefault="008A27A3" w:rsidP="008A27A3">
      <w:r>
        <w:t xml:space="preserve">The economic analysis focussed on the financial effects of the HCH model on governments, providers and individuals. </w:t>
      </w:r>
    </w:p>
    <w:p w14:paraId="260F8454" w14:textId="1F868492" w:rsidR="004E1B62" w:rsidRDefault="008A27A3" w:rsidP="008A27A3">
      <w:r>
        <w:t xml:space="preserve">Participation in HCH induced a range of financial incentives </w:t>
      </w:r>
      <w:r w:rsidR="00BC6691">
        <w:t>that</w:t>
      </w:r>
      <w:r>
        <w:t xml:space="preserve"> differ from those present under a fee-for-service model (for both practices and patients). These incentives may affect economic outcomes in ways that should be clearly understood in order to assess whether the program delivers value for money as well as improved outcomes (health and financial) for patients and providers. In this chapter we assess how the funding arrangements in practice aligned with the financial incentives for providers, patients and government that would be expected to promote the intended program outcomes.</w:t>
      </w:r>
    </w:p>
    <w:p w14:paraId="5A606824" w14:textId="77777777" w:rsidR="004E1B62" w:rsidRDefault="004E1B62">
      <w:pPr>
        <w:spacing w:after="160" w:line="259" w:lineRule="auto"/>
      </w:pPr>
      <w:r>
        <w:br w:type="page"/>
      </w:r>
    </w:p>
    <w:p w14:paraId="62191BDF" w14:textId="19EDCACC" w:rsidR="0063322B" w:rsidRDefault="0063322B" w:rsidP="00040EC6">
      <w:pPr>
        <w:pStyle w:val="Heading2"/>
      </w:pPr>
      <w:bookmarkStart w:id="403" w:name="_Ref103772195"/>
      <w:bookmarkStart w:id="404" w:name="_Toc109996744"/>
      <w:r>
        <w:lastRenderedPageBreak/>
        <w:t>Impact on practices</w:t>
      </w:r>
      <w:bookmarkEnd w:id="403"/>
      <w:bookmarkEnd w:id="404"/>
    </w:p>
    <w:p w14:paraId="784F36EA" w14:textId="1FC0F9EE" w:rsidR="0063322B" w:rsidRDefault="0063322B" w:rsidP="0063322B">
      <w:r>
        <w:t xml:space="preserve">Securing the ongoing participation of GP practices is key to the sustainability of programs like HCH. Already, both qualitative and quantitative evidence suggests that practices have reported substantial difficulties with </w:t>
      </w:r>
      <w:r w:rsidRPr="003B25BF">
        <w:t xml:space="preserve">implementation and management of the program, and in particular processing the bundled payment. Many practices, particularly smaller ones, withdrew from the </w:t>
      </w:r>
      <w:r w:rsidR="00011298">
        <w:t>trial</w:t>
      </w:r>
      <w:r w:rsidRPr="003B25BF">
        <w:t xml:space="preserve">, indicating that participation was not universally attractive. The qualitative evidence and practice surveys suggest that additional resources and infrastructure around implementation and administration were needed. Moreover, as enrolment of providers was at the individual GP level and not at the practice level, there were likely to be difficulties in enacting practice-level change, as well as continued fragmentation of care depending on whether an enrolled patient </w:t>
      </w:r>
      <w:r w:rsidR="003F7768">
        <w:t>sought care from the GP who they enrolled with</w:t>
      </w:r>
      <w:r w:rsidRPr="003B25BF">
        <w:t xml:space="preserve"> or another GP within the same </w:t>
      </w:r>
      <w:r w:rsidR="003F7768">
        <w:t>practice</w:t>
      </w:r>
      <w:r w:rsidRPr="003B25BF">
        <w:t xml:space="preserve"> or </w:t>
      </w:r>
      <w:r w:rsidR="003F7768">
        <w:t xml:space="preserve">an </w:t>
      </w:r>
      <w:r w:rsidRPr="003B25BF">
        <w:t>alternative practice.</w:t>
      </w:r>
    </w:p>
    <w:p w14:paraId="11FAA759" w14:textId="77777777" w:rsidR="0063322B" w:rsidRDefault="0063322B" w:rsidP="0063322B">
      <w:r>
        <w:t>In the rest of this section we assess the impact of HCH on practices with respect to fees charged and staffing levels.</w:t>
      </w:r>
    </w:p>
    <w:p w14:paraId="57F2AA04" w14:textId="77777777" w:rsidR="0063322B" w:rsidRDefault="0063322B" w:rsidP="003F7768">
      <w:pPr>
        <w:pStyle w:val="Heading3"/>
      </w:pPr>
      <w:r>
        <w:t>Fees charged</w:t>
      </w:r>
    </w:p>
    <w:p w14:paraId="13714D7F" w14:textId="580CADC7" w:rsidR="0063322B" w:rsidRDefault="0063322B" w:rsidP="0063322B">
      <w:r>
        <w:t xml:space="preserve">Under Australia’s fee-for-service Medicare system, providers </w:t>
      </w:r>
      <w:r w:rsidR="003F7768">
        <w:t>can</w:t>
      </w:r>
      <w:r>
        <w:t xml:space="preserve"> charge fees at their discretion, with patient out-of-pocket costs determined by the difference between the fee and Medicare rebate associated with each service. In this section, we examine total fees charged for Medicare services on a per-patient, per-period basis, and return to the issue of patient out-of-pocket costs later in th</w:t>
      </w:r>
      <w:r w:rsidR="003F7768">
        <w:t>e</w:t>
      </w:r>
      <w:r>
        <w:t xml:space="preserve"> chapter. Note that a key limitation of this analysis arises because</w:t>
      </w:r>
      <w:r w:rsidRPr="002F4A6C">
        <w:t xml:space="preserve"> </w:t>
      </w:r>
      <w:r>
        <w:t xml:space="preserve">patients </w:t>
      </w:r>
      <w:r w:rsidR="000E053B">
        <w:t>were</w:t>
      </w:r>
      <w:r>
        <w:t xml:space="preserve"> not restricted to attending the practice where they were enrolled, and practice-level identifiers</w:t>
      </w:r>
      <w:r w:rsidR="000E053B">
        <w:t xml:space="preserve"> were not available for analysis</w:t>
      </w:r>
      <w:r>
        <w:t xml:space="preserve">. Consequently, our analysis of fees charged to each patient reflects not only the practice participating in the HCH </w:t>
      </w:r>
      <w:r w:rsidR="000E053B">
        <w:t>trial</w:t>
      </w:r>
      <w:r>
        <w:t xml:space="preserve">, but also any other practices where the enrolled patient may </w:t>
      </w:r>
      <w:r w:rsidR="000E053B">
        <w:t>have been</w:t>
      </w:r>
      <w:r>
        <w:t xml:space="preserve"> receiving care.</w:t>
      </w:r>
    </w:p>
    <w:p w14:paraId="2184DD76" w14:textId="1FF94466" w:rsidR="00681666" w:rsidRDefault="002D3ABF" w:rsidP="0063322B">
      <w:r w:rsidRPr="002D3ABF">
        <w:rPr>
          <w:rFonts w:eastAsiaTheme="minorEastAsia"/>
          <w:color w:val="1D2455"/>
          <w:szCs w:val="20"/>
          <w:lang w:eastAsia="en-AU"/>
        </w:rPr>
        <w:fldChar w:fldCharType="begin"/>
      </w:r>
      <w:r w:rsidRPr="002D3ABF">
        <w:rPr>
          <w:rFonts w:eastAsiaTheme="minorEastAsia"/>
          <w:color w:val="1D2455"/>
          <w:szCs w:val="20"/>
          <w:lang w:eastAsia="en-AU"/>
        </w:rPr>
        <w:instrText xml:space="preserve"> REF _Ref98411944 \h </w:instrText>
      </w:r>
      <w:r>
        <w:rPr>
          <w:rFonts w:eastAsiaTheme="minorEastAsia"/>
          <w:color w:val="1D2455"/>
          <w:szCs w:val="20"/>
          <w:lang w:eastAsia="en-AU"/>
        </w:rPr>
        <w:instrText xml:space="preserve"> \* MERGEFORMAT </w:instrText>
      </w:r>
      <w:r w:rsidRPr="002D3ABF">
        <w:rPr>
          <w:rFonts w:eastAsiaTheme="minorEastAsia"/>
          <w:color w:val="1D2455"/>
          <w:szCs w:val="20"/>
          <w:lang w:eastAsia="en-AU"/>
        </w:rPr>
      </w:r>
      <w:r w:rsidRPr="002D3ABF">
        <w:rPr>
          <w:rFonts w:eastAsiaTheme="minorEastAsia"/>
          <w:color w:val="1D2455"/>
          <w:szCs w:val="20"/>
          <w:lang w:eastAsia="en-AU"/>
        </w:rPr>
        <w:fldChar w:fldCharType="separate"/>
      </w:r>
      <w:r w:rsidR="003C4BC2" w:rsidRPr="003C4BC2">
        <w:rPr>
          <w:rFonts w:eastAsiaTheme="minorEastAsia"/>
          <w:color w:val="1D2455"/>
          <w:szCs w:val="20"/>
          <w:lang w:eastAsia="en-AU"/>
        </w:rPr>
        <w:t>Figure 70</w:t>
      </w:r>
      <w:r w:rsidRPr="002D3ABF">
        <w:rPr>
          <w:rFonts w:eastAsiaTheme="minorEastAsia"/>
          <w:color w:val="1D2455"/>
          <w:szCs w:val="20"/>
          <w:lang w:eastAsia="en-AU"/>
        </w:rPr>
        <w:fldChar w:fldCharType="end"/>
      </w:r>
      <w:r>
        <w:t xml:space="preserve"> </w:t>
      </w:r>
      <w:r w:rsidR="0063322B">
        <w:t>shows the total MBS provider fees charged (on average) for GP services</w:t>
      </w:r>
      <w:r w:rsidR="00013607">
        <w:t>,</w:t>
      </w:r>
      <w:r w:rsidR="0063322B" w:rsidRPr="00013607">
        <w:rPr>
          <w:rStyle w:val="FootnoteReference"/>
          <w:color w:val="408BCA"/>
        </w:rPr>
        <w:footnoteReference w:id="92"/>
      </w:r>
      <w:r w:rsidR="0063322B">
        <w:t xml:space="preserve"> by six-monthly periods before and after enrolment. The results are shown for all HCH patients, patients in each HCH </w:t>
      </w:r>
      <w:r w:rsidR="00770301">
        <w:t>tier</w:t>
      </w:r>
      <w:r w:rsidR="0063322B">
        <w:t xml:space="preserve">, as well as for </w:t>
      </w:r>
      <w:r w:rsidR="009443E6" w:rsidRPr="009443E6">
        <w:t>propensity</w:t>
      </w:r>
      <w:r w:rsidR="009443E6">
        <w:t xml:space="preserve"> </w:t>
      </w:r>
      <w:r w:rsidR="009443E6" w:rsidRPr="009443E6">
        <w:t>score</w:t>
      </w:r>
      <w:r w:rsidR="009443E6">
        <w:t>-</w:t>
      </w:r>
      <w:r w:rsidR="009443E6" w:rsidRPr="009443E6">
        <w:t>matched comparator</w:t>
      </w:r>
      <w:r w:rsidR="0063322B">
        <w:t xml:space="preserve"> patients</w:t>
      </w:r>
      <w:r w:rsidR="00D47890">
        <w:t xml:space="preserve"> (</w:t>
      </w:r>
      <w:r w:rsidR="00681666">
        <w:t xml:space="preserve">labelled as </w:t>
      </w:r>
      <w:r w:rsidR="006E3D0D">
        <w:t>“</w:t>
      </w:r>
      <w:r w:rsidR="00D47890">
        <w:t>control</w:t>
      </w:r>
      <w:r w:rsidR="006E3D0D">
        <w:t>”</w:t>
      </w:r>
      <w:r w:rsidR="00D47890">
        <w:t xml:space="preserve"> patients</w:t>
      </w:r>
      <w:r w:rsidR="00681666">
        <w:t xml:space="preserve"> in the Figure</w:t>
      </w:r>
      <w:r w:rsidR="00D47890">
        <w:t>)</w:t>
      </w:r>
      <w:r w:rsidR="0063322B">
        <w:t>. Overall</w:t>
      </w:r>
      <w:r w:rsidR="00681666">
        <w:t>,</w:t>
      </w:r>
      <w:r w:rsidR="0063322B">
        <w:t xml:space="preserve"> we observe two distinctive features: </w:t>
      </w:r>
    </w:p>
    <w:p w14:paraId="4114853B" w14:textId="77777777" w:rsidR="00681666" w:rsidRDefault="00681666" w:rsidP="00681666">
      <w:pPr>
        <w:pStyle w:val="ListParagraph"/>
        <w:numPr>
          <w:ilvl w:val="0"/>
          <w:numId w:val="64"/>
        </w:numPr>
        <w:ind w:left="714" w:hanging="357"/>
        <w:contextualSpacing w:val="0"/>
      </w:pPr>
      <w:r>
        <w:t>T</w:t>
      </w:r>
      <w:r w:rsidR="00770301">
        <w:t>ier</w:t>
      </w:r>
      <w:r w:rsidR="0063322B">
        <w:t xml:space="preserve"> 3 patients were charged higher fees relative to </w:t>
      </w:r>
      <w:r w:rsidR="00770301">
        <w:t>tier</w:t>
      </w:r>
      <w:r w:rsidR="0063322B">
        <w:t xml:space="preserve"> 1 and 2 patients across all periods, likely reflecting both a greater volume of services as well as greater use of higher cost services (</w:t>
      </w:r>
      <w:r w:rsidR="0010747B">
        <w:t>for example,</w:t>
      </w:r>
      <w:r w:rsidR="0063322B">
        <w:t xml:space="preserve"> longer consultations)</w:t>
      </w:r>
    </w:p>
    <w:p w14:paraId="7CB6C624" w14:textId="3B89581C" w:rsidR="007962A4" w:rsidRDefault="00681666" w:rsidP="00681666">
      <w:pPr>
        <w:pStyle w:val="ListParagraph"/>
        <w:numPr>
          <w:ilvl w:val="0"/>
          <w:numId w:val="64"/>
        </w:numPr>
        <w:ind w:left="714" w:hanging="357"/>
        <w:contextualSpacing w:val="0"/>
      </w:pPr>
      <w:r>
        <w:t>F</w:t>
      </w:r>
      <w:r w:rsidR="0063322B">
        <w:t xml:space="preserve">ees charged for GP services </w:t>
      </w:r>
      <w:r>
        <w:t>fell</w:t>
      </w:r>
      <w:r w:rsidR="0063322B">
        <w:t xml:space="preserve"> for all HCH patients following enrolment in HCH </w:t>
      </w:r>
      <w:r w:rsidR="00E602FD">
        <w:t>compared with</w:t>
      </w:r>
      <w:r w:rsidR="0063322B">
        <w:t xml:space="preserve"> control group patients. The fall in total fees continued over the follow-up period.</w:t>
      </w:r>
    </w:p>
    <w:p w14:paraId="0416CAB5" w14:textId="77777777" w:rsidR="007962A4" w:rsidRDefault="007962A4">
      <w:pPr>
        <w:spacing w:after="160" w:line="259" w:lineRule="auto"/>
      </w:pPr>
      <w:r>
        <w:br w:type="page"/>
      </w:r>
    </w:p>
    <w:p w14:paraId="0ADC5E73" w14:textId="3A6FF977" w:rsidR="0063322B" w:rsidRDefault="0063322B" w:rsidP="00013607">
      <w:pPr>
        <w:pStyle w:val="TableorFigurecaptionHPA"/>
      </w:pPr>
      <w:bookmarkStart w:id="405" w:name="_Ref98411944"/>
      <w:r w:rsidRPr="00E52931">
        <w:lastRenderedPageBreak/>
        <w:t xml:space="preserve">Figure </w:t>
      </w:r>
      <w:r w:rsidR="00920128">
        <w:fldChar w:fldCharType="begin"/>
      </w:r>
      <w:r w:rsidR="00920128">
        <w:instrText>SEQ Figure \* ARABIC</w:instrText>
      </w:r>
      <w:r w:rsidR="00920128">
        <w:fldChar w:fldCharType="separate"/>
      </w:r>
      <w:r w:rsidR="003C4BC2">
        <w:rPr>
          <w:noProof/>
        </w:rPr>
        <w:t>70</w:t>
      </w:r>
      <w:r w:rsidR="00920128">
        <w:fldChar w:fldCharType="end"/>
      </w:r>
      <w:bookmarkEnd w:id="405"/>
      <w:r w:rsidR="00920128">
        <w:t>:</w:t>
      </w:r>
      <w:r w:rsidRPr="00E52931">
        <w:t xml:space="preserve"> </w:t>
      </w:r>
      <w:r>
        <w:t xml:space="preserve">Change in </w:t>
      </w:r>
      <w:r w:rsidRPr="00E52931">
        <w:t>fee</w:t>
      </w:r>
      <w:r>
        <w:t xml:space="preserve">s charged per patient per 6-month period, GP services </w:t>
      </w:r>
    </w:p>
    <w:p w14:paraId="43200F8F" w14:textId="78741451" w:rsidR="0063322B" w:rsidRPr="009D55DD" w:rsidRDefault="0063322B" w:rsidP="00EE04AF">
      <w:pPr>
        <w:spacing w:after="0"/>
        <w:jc w:val="center"/>
      </w:pPr>
      <w:r>
        <w:rPr>
          <w:noProof/>
        </w:rPr>
        <w:drawing>
          <wp:inline distT="0" distB="0" distL="0" distR="0" wp14:anchorId="36884D6C" wp14:editId="260EEC0C">
            <wp:extent cx="4725670" cy="2543175"/>
            <wp:effectExtent l="0" t="0" r="0" b="9525"/>
            <wp:docPr id="52" name="Picture 5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Chart, line chart&#10;&#10;Description automatically generated"/>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25670" cy="2543175"/>
                    </a:xfrm>
                    <a:prstGeom prst="rect">
                      <a:avLst/>
                    </a:prstGeom>
                    <a:noFill/>
                    <a:ln>
                      <a:noFill/>
                    </a:ln>
                  </pic:spPr>
                </pic:pic>
              </a:graphicData>
            </a:graphic>
          </wp:inline>
        </w:drawing>
      </w:r>
    </w:p>
    <w:p w14:paraId="4001BA1D" w14:textId="0E20700F" w:rsidR="0063322B" w:rsidRDefault="0063322B" w:rsidP="0063322B">
      <w:r>
        <w:t>These graphical results are borne out in the regression findings reported in</w:t>
      </w:r>
      <w:r w:rsidR="002B2797">
        <w:t xml:space="preserve"> </w:t>
      </w:r>
      <w:r w:rsidR="00EF7EFB" w:rsidRPr="00EF7EFB">
        <w:rPr>
          <w:rFonts w:eastAsiaTheme="minorEastAsia"/>
          <w:color w:val="1D2455"/>
          <w:szCs w:val="20"/>
          <w:lang w:eastAsia="en-AU"/>
        </w:rPr>
        <w:fldChar w:fldCharType="begin"/>
      </w:r>
      <w:r w:rsidR="00EF7EFB" w:rsidRPr="00EF7EFB">
        <w:rPr>
          <w:rFonts w:eastAsiaTheme="minorEastAsia"/>
          <w:color w:val="1D2455"/>
          <w:szCs w:val="20"/>
          <w:lang w:eastAsia="en-AU"/>
        </w:rPr>
        <w:instrText xml:space="preserve"> REF _Ref98411876 \h </w:instrText>
      </w:r>
      <w:r w:rsidR="00EF7EFB">
        <w:rPr>
          <w:rFonts w:eastAsiaTheme="minorEastAsia"/>
          <w:color w:val="1D2455"/>
          <w:szCs w:val="20"/>
          <w:lang w:eastAsia="en-AU"/>
        </w:rPr>
        <w:instrText xml:space="preserve"> \* MERGEFORMAT </w:instrText>
      </w:r>
      <w:r w:rsidR="00EF7EFB" w:rsidRPr="00EF7EFB">
        <w:rPr>
          <w:rFonts w:eastAsiaTheme="minorEastAsia"/>
          <w:color w:val="1D2455"/>
          <w:szCs w:val="20"/>
          <w:lang w:eastAsia="en-AU"/>
        </w:rPr>
      </w:r>
      <w:r w:rsidR="00EF7EFB" w:rsidRPr="00EF7EFB">
        <w:rPr>
          <w:rFonts w:eastAsiaTheme="minorEastAsia"/>
          <w:color w:val="1D2455"/>
          <w:szCs w:val="20"/>
          <w:lang w:eastAsia="en-AU"/>
        </w:rPr>
        <w:fldChar w:fldCharType="separate"/>
      </w:r>
      <w:r w:rsidR="003C4BC2" w:rsidRPr="003C4BC2">
        <w:rPr>
          <w:rFonts w:eastAsiaTheme="minorEastAsia"/>
          <w:color w:val="1D2455"/>
          <w:szCs w:val="20"/>
          <w:lang w:eastAsia="en-AU"/>
        </w:rPr>
        <w:t>Table 51</w:t>
      </w:r>
      <w:r w:rsidR="00EF7EFB" w:rsidRPr="00EF7EFB">
        <w:rPr>
          <w:rFonts w:eastAsiaTheme="minorEastAsia"/>
          <w:color w:val="1D2455"/>
          <w:szCs w:val="20"/>
          <w:lang w:eastAsia="en-AU"/>
        </w:rPr>
        <w:fldChar w:fldCharType="end"/>
      </w:r>
      <w:r>
        <w:t xml:space="preserve">, which presents separate results for fees charged on all Medicare services, and on GP services only. The results show that there were statistically significant reductions in total fees charged to HCH patients in each </w:t>
      </w:r>
      <w:r w:rsidR="00040E18">
        <w:t>six</w:t>
      </w:r>
      <w:r>
        <w:t>-month period following enrolment. The per-period per-patient decrease in fees across all services ranged from $138 to $159, driven by drops in fees charged for GP services, which fell between $62 and $90 each period.</w:t>
      </w:r>
    </w:p>
    <w:p w14:paraId="1D4DCA39" w14:textId="07F7ED1A" w:rsidR="0063322B" w:rsidRDefault="0063322B" w:rsidP="0063322B">
      <w:r w:rsidRPr="007E238D">
        <w:t xml:space="preserve">This fall in total fees charged was likely more than compensated for by the receipt of the bundled payment. These annual payments were: $591 for </w:t>
      </w:r>
      <w:r w:rsidR="00770301">
        <w:t>tier</w:t>
      </w:r>
      <w:r w:rsidRPr="007E238D">
        <w:t xml:space="preserve"> 1 patients (the least complex), $1</w:t>
      </w:r>
      <w:r w:rsidR="00395E9A">
        <w:t>,</w:t>
      </w:r>
      <w:r w:rsidRPr="007E238D">
        <w:t xml:space="preserve">267 for </w:t>
      </w:r>
      <w:r w:rsidR="00770301">
        <w:t>tier</w:t>
      </w:r>
      <w:r w:rsidRPr="007E238D">
        <w:t xml:space="preserve"> 2 patients, and $1</w:t>
      </w:r>
      <w:r w:rsidR="00395E9A">
        <w:t>,</w:t>
      </w:r>
      <w:r w:rsidRPr="007E238D">
        <w:t xml:space="preserve">795 for </w:t>
      </w:r>
      <w:r w:rsidR="00770301">
        <w:t>tier</w:t>
      </w:r>
      <w:r w:rsidRPr="007E238D">
        <w:t xml:space="preserve"> 3 (the most complex) patients. The value of these payments </w:t>
      </w:r>
      <w:r w:rsidR="00802F3D" w:rsidRPr="007E238D">
        <w:t>was</w:t>
      </w:r>
      <w:r w:rsidRPr="007E238D">
        <w:t xml:space="preserve"> in excess of the estimated falls reported in </w:t>
      </w:r>
      <w:r w:rsidR="006524FD" w:rsidRPr="00EF7EFB">
        <w:rPr>
          <w:rFonts w:eastAsiaTheme="minorEastAsia"/>
          <w:color w:val="1D2455"/>
          <w:szCs w:val="20"/>
          <w:lang w:eastAsia="en-AU"/>
        </w:rPr>
        <w:fldChar w:fldCharType="begin"/>
      </w:r>
      <w:r w:rsidR="006524FD" w:rsidRPr="00EF7EFB">
        <w:rPr>
          <w:rFonts w:eastAsiaTheme="minorEastAsia"/>
          <w:color w:val="1D2455"/>
          <w:szCs w:val="20"/>
          <w:lang w:eastAsia="en-AU"/>
        </w:rPr>
        <w:instrText xml:space="preserve"> REF _Ref98411876 \h </w:instrText>
      </w:r>
      <w:r w:rsidR="006524FD">
        <w:rPr>
          <w:rFonts w:eastAsiaTheme="minorEastAsia"/>
          <w:color w:val="1D2455"/>
          <w:szCs w:val="20"/>
          <w:lang w:eastAsia="en-AU"/>
        </w:rPr>
        <w:instrText xml:space="preserve"> \* MERGEFORMAT </w:instrText>
      </w:r>
      <w:r w:rsidR="006524FD" w:rsidRPr="00EF7EFB">
        <w:rPr>
          <w:rFonts w:eastAsiaTheme="minorEastAsia"/>
          <w:color w:val="1D2455"/>
          <w:szCs w:val="20"/>
          <w:lang w:eastAsia="en-AU"/>
        </w:rPr>
      </w:r>
      <w:r w:rsidR="006524FD" w:rsidRPr="00EF7EFB">
        <w:rPr>
          <w:rFonts w:eastAsiaTheme="minorEastAsia"/>
          <w:color w:val="1D2455"/>
          <w:szCs w:val="20"/>
          <w:lang w:eastAsia="en-AU"/>
        </w:rPr>
        <w:fldChar w:fldCharType="separate"/>
      </w:r>
      <w:r w:rsidR="003C4BC2" w:rsidRPr="003C4BC2">
        <w:rPr>
          <w:rFonts w:eastAsiaTheme="minorEastAsia"/>
          <w:color w:val="1D2455"/>
          <w:szCs w:val="20"/>
          <w:lang w:eastAsia="en-AU"/>
        </w:rPr>
        <w:t>Table 51</w:t>
      </w:r>
      <w:r w:rsidR="006524FD" w:rsidRPr="00EF7EFB">
        <w:rPr>
          <w:rFonts w:eastAsiaTheme="minorEastAsia"/>
          <w:color w:val="1D2455"/>
          <w:szCs w:val="20"/>
          <w:lang w:eastAsia="en-AU"/>
        </w:rPr>
        <w:fldChar w:fldCharType="end"/>
      </w:r>
      <w:r w:rsidRPr="007E238D">
        <w:t xml:space="preserve">, suggesting that the financial impact on practices on a per-patient basis may have been positive and sustainable. However, as practice-level identifiers </w:t>
      </w:r>
      <w:r w:rsidR="002F58E4">
        <w:t>were not available n</w:t>
      </w:r>
      <w:r w:rsidRPr="007E238D">
        <w:t>or estimates of additional overhead costs (</w:t>
      </w:r>
      <w:r w:rsidR="0010747B">
        <w:t>for example,</w:t>
      </w:r>
      <w:r w:rsidRPr="007E238D">
        <w:t xml:space="preserve"> the cost of hiring additional staff), we are unable to be more precise. Also, as noted above, many practices withdrew from the </w:t>
      </w:r>
      <w:r w:rsidR="00802F3D" w:rsidRPr="007E238D">
        <w:t>program,</w:t>
      </w:r>
      <w:r w:rsidRPr="007E238D">
        <w:t xml:space="preserve"> and this may reflect their assessment that the program was not financially sustainable for them.</w:t>
      </w:r>
    </w:p>
    <w:p w14:paraId="3EF2DFB9" w14:textId="11B63045" w:rsidR="0063322B" w:rsidRDefault="0063322B" w:rsidP="00EE04AF">
      <w:pPr>
        <w:pStyle w:val="TableorFigurecaptionHPA"/>
      </w:pPr>
      <w:bookmarkStart w:id="406" w:name="_Ref98411876"/>
      <w:r w:rsidRPr="00B528ED">
        <w:t xml:space="preserve">Table </w:t>
      </w:r>
      <w:r w:rsidR="00A61B29">
        <w:fldChar w:fldCharType="begin"/>
      </w:r>
      <w:r w:rsidR="00A61B29">
        <w:instrText xml:space="preserve"> SEQ Table \* </w:instrText>
      </w:r>
      <w:r w:rsidR="00A61B29">
        <w:instrText xml:space="preserve">ARABIC </w:instrText>
      </w:r>
      <w:r w:rsidR="00A61B29">
        <w:fldChar w:fldCharType="separate"/>
      </w:r>
      <w:r w:rsidR="003C4BC2">
        <w:rPr>
          <w:noProof/>
        </w:rPr>
        <w:t>51</w:t>
      </w:r>
      <w:r w:rsidR="00A61B29">
        <w:rPr>
          <w:noProof/>
        </w:rPr>
        <w:fldChar w:fldCharType="end"/>
      </w:r>
      <w:bookmarkEnd w:id="406"/>
      <w:r w:rsidR="00920128">
        <w:t>:</w:t>
      </w:r>
      <w:r w:rsidRPr="00B528ED">
        <w:t xml:space="preserve"> Impact of HCH on fees-charged</w:t>
      </w:r>
    </w:p>
    <w:tbl>
      <w:tblPr>
        <w:tblW w:w="7211"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2495"/>
        <w:gridCol w:w="1179"/>
        <w:gridCol w:w="1179"/>
        <w:gridCol w:w="1179"/>
        <w:gridCol w:w="1179"/>
      </w:tblGrid>
      <w:tr w:rsidR="00395E9A" w:rsidRPr="00395E9A" w14:paraId="3E2BC1AB" w14:textId="77777777" w:rsidTr="00395E9A">
        <w:trPr>
          <w:jc w:val="center"/>
        </w:trPr>
        <w:tc>
          <w:tcPr>
            <w:tcW w:w="2495" w:type="dxa"/>
            <w:shd w:val="clear" w:color="auto" w:fill="408BCA"/>
            <w:noWrap/>
            <w:vAlign w:val="bottom"/>
            <w:hideMark/>
          </w:tcPr>
          <w:p w14:paraId="067D814B" w14:textId="77777777" w:rsidR="0063322B" w:rsidRPr="00395E9A" w:rsidRDefault="0063322B" w:rsidP="00897452">
            <w:pPr>
              <w:spacing w:after="0"/>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 </w:t>
            </w:r>
          </w:p>
        </w:tc>
        <w:tc>
          <w:tcPr>
            <w:tcW w:w="2358" w:type="dxa"/>
            <w:gridSpan w:val="2"/>
            <w:shd w:val="clear" w:color="auto" w:fill="408BCA"/>
            <w:vAlign w:val="bottom"/>
            <w:hideMark/>
          </w:tcPr>
          <w:p w14:paraId="17D5DFDB" w14:textId="782A3764" w:rsidR="0063322B" w:rsidRPr="00395E9A" w:rsidRDefault="0063322B" w:rsidP="00897452">
            <w:pPr>
              <w:spacing w:after="0"/>
              <w:jc w:val="center"/>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 xml:space="preserve">Fees charged </w:t>
            </w:r>
            <w:r w:rsidR="00F11772">
              <w:rPr>
                <w:rFonts w:eastAsia="Times New Roman"/>
                <w:b/>
                <w:bCs/>
                <w:color w:val="FFFFFF" w:themeColor="background1"/>
                <w:sz w:val="18"/>
                <w:szCs w:val="18"/>
                <w:lang w:eastAsia="en-AU"/>
              </w:rPr>
              <w:t xml:space="preserve">– </w:t>
            </w:r>
            <w:r w:rsidRPr="00395E9A">
              <w:rPr>
                <w:rFonts w:eastAsia="Times New Roman"/>
                <w:b/>
                <w:bCs/>
                <w:color w:val="FFFFFF" w:themeColor="background1"/>
                <w:sz w:val="18"/>
                <w:szCs w:val="18"/>
                <w:lang w:eastAsia="en-AU"/>
              </w:rPr>
              <w:t>Medicare services</w:t>
            </w:r>
          </w:p>
        </w:tc>
        <w:tc>
          <w:tcPr>
            <w:tcW w:w="2358" w:type="dxa"/>
            <w:gridSpan w:val="2"/>
            <w:shd w:val="clear" w:color="auto" w:fill="408BCA"/>
            <w:vAlign w:val="bottom"/>
            <w:hideMark/>
          </w:tcPr>
          <w:p w14:paraId="02F9A496" w14:textId="25D62C5D" w:rsidR="0063322B" w:rsidRPr="00395E9A" w:rsidRDefault="0063322B" w:rsidP="00897452">
            <w:pPr>
              <w:spacing w:after="0"/>
              <w:jc w:val="center"/>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 xml:space="preserve">Fees charged </w:t>
            </w:r>
            <w:r w:rsidR="00F11772">
              <w:rPr>
                <w:rFonts w:eastAsia="Times New Roman"/>
                <w:b/>
                <w:bCs/>
                <w:color w:val="FFFFFF" w:themeColor="background1"/>
                <w:sz w:val="18"/>
                <w:szCs w:val="18"/>
                <w:lang w:eastAsia="en-AU"/>
              </w:rPr>
              <w:t xml:space="preserve">– </w:t>
            </w:r>
            <w:r w:rsidRPr="00395E9A">
              <w:rPr>
                <w:rFonts w:eastAsia="Times New Roman"/>
                <w:b/>
                <w:bCs/>
                <w:color w:val="FFFFFF" w:themeColor="background1"/>
                <w:sz w:val="18"/>
                <w:szCs w:val="18"/>
                <w:lang w:eastAsia="en-AU"/>
              </w:rPr>
              <w:t>GP services</w:t>
            </w:r>
          </w:p>
        </w:tc>
      </w:tr>
      <w:tr w:rsidR="0063322B" w:rsidRPr="00395E9A" w14:paraId="3819BF21" w14:textId="77777777" w:rsidTr="00395E9A">
        <w:trPr>
          <w:trHeight w:val="300"/>
          <w:jc w:val="center"/>
        </w:trPr>
        <w:tc>
          <w:tcPr>
            <w:tcW w:w="2495" w:type="dxa"/>
            <w:shd w:val="clear" w:color="auto" w:fill="auto"/>
            <w:noWrap/>
            <w:vAlign w:val="bottom"/>
            <w:hideMark/>
          </w:tcPr>
          <w:p w14:paraId="2FB19949" w14:textId="77777777" w:rsidR="0063322B" w:rsidRPr="00395E9A" w:rsidRDefault="0063322B" w:rsidP="00897452">
            <w:pPr>
              <w:spacing w:after="0"/>
              <w:rPr>
                <w:rFonts w:eastAsia="Times New Roman"/>
                <w:color w:val="000000"/>
                <w:sz w:val="18"/>
                <w:szCs w:val="18"/>
                <w:lang w:eastAsia="en-AU"/>
              </w:rPr>
            </w:pPr>
            <w:r w:rsidRPr="00395E9A">
              <w:rPr>
                <w:rFonts w:eastAsia="Times New Roman"/>
                <w:color w:val="000000"/>
                <w:sz w:val="18"/>
                <w:szCs w:val="18"/>
                <w:lang w:eastAsia="en-AU"/>
              </w:rPr>
              <w:t> </w:t>
            </w:r>
          </w:p>
        </w:tc>
        <w:tc>
          <w:tcPr>
            <w:tcW w:w="1179" w:type="dxa"/>
            <w:shd w:val="clear" w:color="auto" w:fill="auto"/>
            <w:noWrap/>
            <w:vAlign w:val="bottom"/>
            <w:hideMark/>
          </w:tcPr>
          <w:p w14:paraId="4B526008"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Est.</w:t>
            </w:r>
          </w:p>
        </w:tc>
        <w:tc>
          <w:tcPr>
            <w:tcW w:w="1179" w:type="dxa"/>
            <w:shd w:val="clear" w:color="auto" w:fill="auto"/>
            <w:noWrap/>
            <w:vAlign w:val="bottom"/>
            <w:hideMark/>
          </w:tcPr>
          <w:p w14:paraId="323AFCEE"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Std. Err.</w:t>
            </w:r>
          </w:p>
        </w:tc>
        <w:tc>
          <w:tcPr>
            <w:tcW w:w="1179" w:type="dxa"/>
            <w:shd w:val="clear" w:color="auto" w:fill="auto"/>
            <w:noWrap/>
            <w:vAlign w:val="bottom"/>
            <w:hideMark/>
          </w:tcPr>
          <w:p w14:paraId="1C061120"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Est.</w:t>
            </w:r>
          </w:p>
        </w:tc>
        <w:tc>
          <w:tcPr>
            <w:tcW w:w="1179" w:type="dxa"/>
            <w:shd w:val="clear" w:color="auto" w:fill="auto"/>
            <w:noWrap/>
            <w:vAlign w:val="bottom"/>
            <w:hideMark/>
          </w:tcPr>
          <w:p w14:paraId="2FCBCA39"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Std. Err.</w:t>
            </w:r>
          </w:p>
        </w:tc>
      </w:tr>
      <w:tr w:rsidR="0063322B" w:rsidRPr="00395E9A" w14:paraId="355EE83E" w14:textId="77777777" w:rsidTr="00395E9A">
        <w:trPr>
          <w:trHeight w:val="300"/>
          <w:jc w:val="center"/>
        </w:trPr>
        <w:tc>
          <w:tcPr>
            <w:tcW w:w="2495" w:type="dxa"/>
            <w:shd w:val="clear" w:color="auto" w:fill="auto"/>
            <w:noWrap/>
            <w:vAlign w:val="bottom"/>
            <w:hideMark/>
          </w:tcPr>
          <w:p w14:paraId="4EC62755" w14:textId="77777777" w:rsidR="0063322B" w:rsidRPr="00395E9A" w:rsidRDefault="0063322B" w:rsidP="00395E9A">
            <w:pPr>
              <w:spacing w:after="0"/>
              <w:rPr>
                <w:rFonts w:eastAsia="Times New Roman"/>
                <w:color w:val="000000"/>
                <w:sz w:val="18"/>
                <w:szCs w:val="18"/>
                <w:lang w:eastAsia="en-AU"/>
              </w:rPr>
            </w:pPr>
            <w:r w:rsidRPr="00395E9A">
              <w:rPr>
                <w:rFonts w:eastAsia="Times New Roman"/>
                <w:color w:val="000000"/>
                <w:sz w:val="18"/>
                <w:szCs w:val="18"/>
                <w:lang w:eastAsia="en-AU"/>
              </w:rPr>
              <w:t>Period from enrolment</w:t>
            </w:r>
          </w:p>
        </w:tc>
        <w:tc>
          <w:tcPr>
            <w:tcW w:w="1179" w:type="dxa"/>
            <w:shd w:val="clear" w:color="auto" w:fill="auto"/>
            <w:noWrap/>
            <w:vAlign w:val="bottom"/>
            <w:hideMark/>
          </w:tcPr>
          <w:p w14:paraId="22DFD99F" w14:textId="77777777" w:rsidR="0063322B" w:rsidRPr="00395E9A" w:rsidRDefault="0063322B" w:rsidP="00897452">
            <w:pPr>
              <w:spacing w:after="0"/>
              <w:ind w:firstLineChars="200" w:firstLine="360"/>
              <w:rPr>
                <w:rFonts w:eastAsia="Times New Roman"/>
                <w:color w:val="000000"/>
                <w:sz w:val="18"/>
                <w:szCs w:val="18"/>
                <w:lang w:eastAsia="en-AU"/>
              </w:rPr>
            </w:pPr>
          </w:p>
        </w:tc>
        <w:tc>
          <w:tcPr>
            <w:tcW w:w="1179" w:type="dxa"/>
            <w:shd w:val="clear" w:color="auto" w:fill="auto"/>
            <w:noWrap/>
            <w:vAlign w:val="bottom"/>
            <w:hideMark/>
          </w:tcPr>
          <w:p w14:paraId="00AC7844" w14:textId="77777777" w:rsidR="0063322B" w:rsidRPr="00395E9A" w:rsidRDefault="0063322B" w:rsidP="00897452">
            <w:pPr>
              <w:spacing w:after="0"/>
              <w:rPr>
                <w:rFonts w:eastAsia="Times New Roman"/>
                <w:sz w:val="18"/>
                <w:szCs w:val="18"/>
                <w:lang w:eastAsia="en-AU"/>
              </w:rPr>
            </w:pPr>
          </w:p>
        </w:tc>
        <w:tc>
          <w:tcPr>
            <w:tcW w:w="1179" w:type="dxa"/>
            <w:shd w:val="clear" w:color="auto" w:fill="auto"/>
            <w:noWrap/>
            <w:vAlign w:val="bottom"/>
            <w:hideMark/>
          </w:tcPr>
          <w:p w14:paraId="738E7176" w14:textId="77777777" w:rsidR="0063322B" w:rsidRPr="00395E9A" w:rsidRDefault="0063322B" w:rsidP="00897452">
            <w:pPr>
              <w:spacing w:after="0"/>
              <w:rPr>
                <w:rFonts w:eastAsia="Times New Roman"/>
                <w:sz w:val="18"/>
                <w:szCs w:val="18"/>
                <w:lang w:eastAsia="en-AU"/>
              </w:rPr>
            </w:pPr>
          </w:p>
        </w:tc>
        <w:tc>
          <w:tcPr>
            <w:tcW w:w="1179" w:type="dxa"/>
            <w:shd w:val="clear" w:color="auto" w:fill="auto"/>
            <w:noWrap/>
            <w:vAlign w:val="bottom"/>
            <w:hideMark/>
          </w:tcPr>
          <w:p w14:paraId="3AA3B4E1" w14:textId="77777777" w:rsidR="0063322B" w:rsidRPr="00395E9A" w:rsidRDefault="0063322B" w:rsidP="00897452">
            <w:pPr>
              <w:spacing w:after="0"/>
              <w:rPr>
                <w:rFonts w:eastAsia="Times New Roman"/>
                <w:sz w:val="18"/>
                <w:szCs w:val="18"/>
                <w:lang w:eastAsia="en-AU"/>
              </w:rPr>
            </w:pPr>
          </w:p>
        </w:tc>
      </w:tr>
      <w:tr w:rsidR="0063322B" w:rsidRPr="00395E9A" w14:paraId="7B17A834" w14:textId="77777777" w:rsidTr="00395E9A">
        <w:trPr>
          <w:trHeight w:val="300"/>
          <w:jc w:val="center"/>
        </w:trPr>
        <w:tc>
          <w:tcPr>
            <w:tcW w:w="2495" w:type="dxa"/>
            <w:shd w:val="clear" w:color="auto" w:fill="auto"/>
            <w:noWrap/>
            <w:vAlign w:val="bottom"/>
            <w:hideMark/>
          </w:tcPr>
          <w:p w14:paraId="15005776" w14:textId="479E8EA8" w:rsidR="0063322B" w:rsidRPr="00395E9A" w:rsidRDefault="0063322B" w:rsidP="00395E9A">
            <w:pPr>
              <w:spacing w:after="0"/>
              <w:ind w:left="256"/>
              <w:rPr>
                <w:rFonts w:eastAsia="Times New Roman"/>
                <w:color w:val="000000"/>
                <w:sz w:val="18"/>
                <w:szCs w:val="18"/>
                <w:lang w:eastAsia="en-AU"/>
              </w:rPr>
            </w:pPr>
            <w:r w:rsidRPr="00395E9A">
              <w:rPr>
                <w:rFonts w:eastAsia="Times New Roman"/>
                <w:color w:val="000000"/>
                <w:sz w:val="18"/>
                <w:szCs w:val="18"/>
                <w:lang w:eastAsia="en-AU"/>
              </w:rPr>
              <w:t>Months 1</w:t>
            </w:r>
            <w:r w:rsidR="00816DA3">
              <w:rPr>
                <w:rFonts w:eastAsia="Times New Roman"/>
                <w:color w:val="000000"/>
                <w:sz w:val="18"/>
                <w:szCs w:val="18"/>
                <w:lang w:eastAsia="en-AU"/>
              </w:rPr>
              <w:t>–</w:t>
            </w:r>
            <w:r w:rsidRPr="00395E9A">
              <w:rPr>
                <w:rFonts w:eastAsia="Times New Roman"/>
                <w:color w:val="000000"/>
                <w:sz w:val="18"/>
                <w:szCs w:val="18"/>
                <w:lang w:eastAsia="en-AU"/>
              </w:rPr>
              <w:t>6</w:t>
            </w:r>
          </w:p>
        </w:tc>
        <w:tc>
          <w:tcPr>
            <w:tcW w:w="1179" w:type="dxa"/>
            <w:shd w:val="clear" w:color="auto" w:fill="auto"/>
            <w:noWrap/>
            <w:vAlign w:val="bottom"/>
            <w:hideMark/>
          </w:tcPr>
          <w:p w14:paraId="4928018A"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-54.54</w:t>
            </w:r>
          </w:p>
        </w:tc>
        <w:tc>
          <w:tcPr>
            <w:tcW w:w="1179" w:type="dxa"/>
            <w:shd w:val="clear" w:color="auto" w:fill="auto"/>
            <w:noWrap/>
            <w:vAlign w:val="bottom"/>
            <w:hideMark/>
          </w:tcPr>
          <w:p w14:paraId="1ECFE367"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(48.06)</w:t>
            </w:r>
          </w:p>
        </w:tc>
        <w:tc>
          <w:tcPr>
            <w:tcW w:w="1179" w:type="dxa"/>
            <w:shd w:val="clear" w:color="auto" w:fill="auto"/>
            <w:noWrap/>
            <w:vAlign w:val="bottom"/>
            <w:hideMark/>
          </w:tcPr>
          <w:p w14:paraId="285398D9"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-62.11***</w:t>
            </w:r>
          </w:p>
        </w:tc>
        <w:tc>
          <w:tcPr>
            <w:tcW w:w="1179" w:type="dxa"/>
            <w:shd w:val="clear" w:color="auto" w:fill="auto"/>
            <w:noWrap/>
            <w:vAlign w:val="bottom"/>
            <w:hideMark/>
          </w:tcPr>
          <w:p w14:paraId="2A1B79AD"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(8.78)</w:t>
            </w:r>
          </w:p>
        </w:tc>
      </w:tr>
      <w:tr w:rsidR="0063322B" w:rsidRPr="00395E9A" w14:paraId="24CEB6CC" w14:textId="77777777" w:rsidTr="00395E9A">
        <w:trPr>
          <w:trHeight w:val="300"/>
          <w:jc w:val="center"/>
        </w:trPr>
        <w:tc>
          <w:tcPr>
            <w:tcW w:w="2495" w:type="dxa"/>
            <w:shd w:val="clear" w:color="auto" w:fill="auto"/>
            <w:noWrap/>
            <w:vAlign w:val="bottom"/>
            <w:hideMark/>
          </w:tcPr>
          <w:p w14:paraId="559CC23C" w14:textId="579DBB0C" w:rsidR="0063322B" w:rsidRPr="00395E9A" w:rsidRDefault="0063322B" w:rsidP="00395E9A">
            <w:pPr>
              <w:spacing w:after="0"/>
              <w:ind w:left="256"/>
              <w:rPr>
                <w:rFonts w:eastAsia="Times New Roman"/>
                <w:color w:val="000000"/>
                <w:sz w:val="18"/>
                <w:szCs w:val="18"/>
                <w:lang w:eastAsia="en-AU"/>
              </w:rPr>
            </w:pPr>
            <w:r w:rsidRPr="00395E9A">
              <w:rPr>
                <w:rFonts w:eastAsia="Times New Roman"/>
                <w:color w:val="000000"/>
                <w:sz w:val="18"/>
                <w:szCs w:val="18"/>
                <w:lang w:eastAsia="en-AU"/>
              </w:rPr>
              <w:t>Months 7</w:t>
            </w:r>
            <w:r w:rsidR="00816DA3">
              <w:rPr>
                <w:rFonts w:eastAsia="Times New Roman"/>
                <w:color w:val="000000"/>
                <w:sz w:val="18"/>
                <w:szCs w:val="18"/>
                <w:lang w:eastAsia="en-AU"/>
              </w:rPr>
              <w:t>–</w:t>
            </w:r>
            <w:r w:rsidRPr="00395E9A">
              <w:rPr>
                <w:rFonts w:eastAsia="Times New Roman"/>
                <w:color w:val="000000"/>
                <w:sz w:val="18"/>
                <w:szCs w:val="18"/>
                <w:lang w:eastAsia="en-AU"/>
              </w:rPr>
              <w:t>12</w:t>
            </w:r>
          </w:p>
        </w:tc>
        <w:tc>
          <w:tcPr>
            <w:tcW w:w="1179" w:type="dxa"/>
            <w:shd w:val="clear" w:color="auto" w:fill="auto"/>
            <w:noWrap/>
            <w:vAlign w:val="bottom"/>
            <w:hideMark/>
          </w:tcPr>
          <w:p w14:paraId="79D44EA3"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-144.18**</w:t>
            </w:r>
          </w:p>
        </w:tc>
        <w:tc>
          <w:tcPr>
            <w:tcW w:w="1179" w:type="dxa"/>
            <w:shd w:val="clear" w:color="auto" w:fill="auto"/>
            <w:noWrap/>
            <w:vAlign w:val="bottom"/>
            <w:hideMark/>
          </w:tcPr>
          <w:p w14:paraId="60D9B10F"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(56.41)</w:t>
            </w:r>
          </w:p>
        </w:tc>
        <w:tc>
          <w:tcPr>
            <w:tcW w:w="1179" w:type="dxa"/>
            <w:shd w:val="clear" w:color="auto" w:fill="auto"/>
            <w:noWrap/>
            <w:vAlign w:val="bottom"/>
            <w:hideMark/>
          </w:tcPr>
          <w:p w14:paraId="1A6A7161"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-90.47***</w:t>
            </w:r>
          </w:p>
        </w:tc>
        <w:tc>
          <w:tcPr>
            <w:tcW w:w="1179" w:type="dxa"/>
            <w:shd w:val="clear" w:color="auto" w:fill="auto"/>
            <w:noWrap/>
            <w:vAlign w:val="bottom"/>
            <w:hideMark/>
          </w:tcPr>
          <w:p w14:paraId="008C636B"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(11.63)</w:t>
            </w:r>
          </w:p>
        </w:tc>
      </w:tr>
      <w:tr w:rsidR="0063322B" w:rsidRPr="00395E9A" w14:paraId="6623862E" w14:textId="77777777" w:rsidTr="00395E9A">
        <w:trPr>
          <w:trHeight w:val="300"/>
          <w:jc w:val="center"/>
        </w:trPr>
        <w:tc>
          <w:tcPr>
            <w:tcW w:w="2495" w:type="dxa"/>
            <w:shd w:val="clear" w:color="auto" w:fill="auto"/>
            <w:noWrap/>
            <w:vAlign w:val="bottom"/>
            <w:hideMark/>
          </w:tcPr>
          <w:p w14:paraId="2947690F" w14:textId="60560729" w:rsidR="0063322B" w:rsidRPr="00395E9A" w:rsidRDefault="0063322B" w:rsidP="00395E9A">
            <w:pPr>
              <w:spacing w:after="0"/>
              <w:ind w:left="256"/>
              <w:rPr>
                <w:rFonts w:eastAsia="Times New Roman"/>
                <w:color w:val="000000"/>
                <w:sz w:val="18"/>
                <w:szCs w:val="18"/>
                <w:lang w:eastAsia="en-AU"/>
              </w:rPr>
            </w:pPr>
            <w:r w:rsidRPr="00395E9A">
              <w:rPr>
                <w:rFonts w:eastAsia="Times New Roman"/>
                <w:color w:val="000000"/>
                <w:sz w:val="18"/>
                <w:szCs w:val="18"/>
                <w:lang w:eastAsia="en-AU"/>
              </w:rPr>
              <w:t>Months 13</w:t>
            </w:r>
            <w:r w:rsidR="00816DA3">
              <w:rPr>
                <w:rFonts w:eastAsia="Times New Roman"/>
                <w:color w:val="000000"/>
                <w:sz w:val="18"/>
                <w:szCs w:val="18"/>
                <w:lang w:eastAsia="en-AU"/>
              </w:rPr>
              <w:t>–</w:t>
            </w:r>
            <w:r w:rsidRPr="00395E9A">
              <w:rPr>
                <w:rFonts w:eastAsia="Times New Roman"/>
                <w:color w:val="000000"/>
                <w:sz w:val="18"/>
                <w:szCs w:val="18"/>
                <w:lang w:eastAsia="en-AU"/>
              </w:rPr>
              <w:t>18</w:t>
            </w:r>
          </w:p>
        </w:tc>
        <w:tc>
          <w:tcPr>
            <w:tcW w:w="1179" w:type="dxa"/>
            <w:shd w:val="clear" w:color="auto" w:fill="auto"/>
            <w:noWrap/>
            <w:vAlign w:val="bottom"/>
            <w:hideMark/>
          </w:tcPr>
          <w:p w14:paraId="3396253A"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-138.76**</w:t>
            </w:r>
          </w:p>
        </w:tc>
        <w:tc>
          <w:tcPr>
            <w:tcW w:w="1179" w:type="dxa"/>
            <w:shd w:val="clear" w:color="auto" w:fill="auto"/>
            <w:noWrap/>
            <w:vAlign w:val="bottom"/>
            <w:hideMark/>
          </w:tcPr>
          <w:p w14:paraId="221EE9D1"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(51.79)</w:t>
            </w:r>
          </w:p>
        </w:tc>
        <w:tc>
          <w:tcPr>
            <w:tcW w:w="1179" w:type="dxa"/>
            <w:shd w:val="clear" w:color="auto" w:fill="auto"/>
            <w:noWrap/>
            <w:vAlign w:val="bottom"/>
            <w:hideMark/>
          </w:tcPr>
          <w:p w14:paraId="16FCBA8D"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-83.54***</w:t>
            </w:r>
          </w:p>
        </w:tc>
        <w:tc>
          <w:tcPr>
            <w:tcW w:w="1179" w:type="dxa"/>
            <w:shd w:val="clear" w:color="auto" w:fill="auto"/>
            <w:noWrap/>
            <w:vAlign w:val="bottom"/>
            <w:hideMark/>
          </w:tcPr>
          <w:p w14:paraId="788D7738"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(11.77)</w:t>
            </w:r>
          </w:p>
        </w:tc>
      </w:tr>
      <w:tr w:rsidR="0063322B" w:rsidRPr="00395E9A" w14:paraId="3EED4D66" w14:textId="77777777" w:rsidTr="00395E9A">
        <w:trPr>
          <w:trHeight w:val="300"/>
          <w:jc w:val="center"/>
        </w:trPr>
        <w:tc>
          <w:tcPr>
            <w:tcW w:w="2495" w:type="dxa"/>
            <w:shd w:val="clear" w:color="auto" w:fill="auto"/>
            <w:noWrap/>
            <w:vAlign w:val="bottom"/>
            <w:hideMark/>
          </w:tcPr>
          <w:p w14:paraId="7BDF8B6B" w14:textId="2650D6BE" w:rsidR="0063322B" w:rsidRPr="00395E9A" w:rsidRDefault="0063322B" w:rsidP="00395E9A">
            <w:pPr>
              <w:spacing w:after="0"/>
              <w:ind w:left="256"/>
              <w:rPr>
                <w:rFonts w:eastAsia="Times New Roman"/>
                <w:color w:val="000000"/>
                <w:sz w:val="18"/>
                <w:szCs w:val="18"/>
                <w:lang w:eastAsia="en-AU"/>
              </w:rPr>
            </w:pPr>
            <w:r w:rsidRPr="00395E9A">
              <w:rPr>
                <w:rFonts w:eastAsia="Times New Roman"/>
                <w:color w:val="000000"/>
                <w:sz w:val="18"/>
                <w:szCs w:val="18"/>
                <w:lang w:eastAsia="en-AU"/>
              </w:rPr>
              <w:t>Months 19</w:t>
            </w:r>
            <w:r w:rsidR="00816DA3">
              <w:rPr>
                <w:rFonts w:eastAsia="Times New Roman"/>
                <w:color w:val="000000"/>
                <w:sz w:val="18"/>
                <w:szCs w:val="18"/>
                <w:lang w:eastAsia="en-AU"/>
              </w:rPr>
              <w:t>–</w:t>
            </w:r>
            <w:r w:rsidRPr="00395E9A">
              <w:rPr>
                <w:rFonts w:eastAsia="Times New Roman"/>
                <w:color w:val="000000"/>
                <w:sz w:val="18"/>
                <w:szCs w:val="18"/>
                <w:lang w:eastAsia="en-AU"/>
              </w:rPr>
              <w:t>24</w:t>
            </w:r>
          </w:p>
        </w:tc>
        <w:tc>
          <w:tcPr>
            <w:tcW w:w="1179" w:type="dxa"/>
            <w:shd w:val="clear" w:color="auto" w:fill="auto"/>
            <w:noWrap/>
            <w:vAlign w:val="bottom"/>
            <w:hideMark/>
          </w:tcPr>
          <w:p w14:paraId="49F4799D"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-159.13***</w:t>
            </w:r>
          </w:p>
        </w:tc>
        <w:tc>
          <w:tcPr>
            <w:tcW w:w="1179" w:type="dxa"/>
            <w:shd w:val="clear" w:color="auto" w:fill="auto"/>
            <w:noWrap/>
            <w:vAlign w:val="bottom"/>
            <w:hideMark/>
          </w:tcPr>
          <w:p w14:paraId="42EA4BAF"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(46.71)</w:t>
            </w:r>
          </w:p>
        </w:tc>
        <w:tc>
          <w:tcPr>
            <w:tcW w:w="1179" w:type="dxa"/>
            <w:shd w:val="clear" w:color="auto" w:fill="auto"/>
            <w:noWrap/>
            <w:vAlign w:val="bottom"/>
            <w:hideMark/>
          </w:tcPr>
          <w:p w14:paraId="316655A3"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-84.19***</w:t>
            </w:r>
          </w:p>
        </w:tc>
        <w:tc>
          <w:tcPr>
            <w:tcW w:w="1179" w:type="dxa"/>
            <w:shd w:val="clear" w:color="auto" w:fill="auto"/>
            <w:noWrap/>
            <w:vAlign w:val="bottom"/>
            <w:hideMark/>
          </w:tcPr>
          <w:p w14:paraId="3DF0189E"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(8.36)</w:t>
            </w:r>
          </w:p>
        </w:tc>
      </w:tr>
      <w:tr w:rsidR="0063322B" w:rsidRPr="00395E9A" w14:paraId="17557B3E" w14:textId="77777777" w:rsidTr="00395E9A">
        <w:trPr>
          <w:trHeight w:val="300"/>
          <w:jc w:val="center"/>
        </w:trPr>
        <w:tc>
          <w:tcPr>
            <w:tcW w:w="2495" w:type="dxa"/>
            <w:shd w:val="clear" w:color="auto" w:fill="auto"/>
            <w:noWrap/>
            <w:vAlign w:val="bottom"/>
            <w:hideMark/>
          </w:tcPr>
          <w:p w14:paraId="30BF2064" w14:textId="77777777" w:rsidR="0063322B" w:rsidRPr="00395E9A" w:rsidRDefault="0063322B" w:rsidP="00395E9A">
            <w:pPr>
              <w:spacing w:after="0"/>
              <w:rPr>
                <w:rFonts w:eastAsia="Times New Roman"/>
                <w:color w:val="000000"/>
                <w:sz w:val="18"/>
                <w:szCs w:val="18"/>
                <w:lang w:eastAsia="en-AU"/>
              </w:rPr>
            </w:pPr>
            <w:r w:rsidRPr="00395E9A">
              <w:rPr>
                <w:rFonts w:eastAsia="Times New Roman"/>
                <w:color w:val="000000"/>
                <w:sz w:val="18"/>
                <w:szCs w:val="18"/>
                <w:lang w:eastAsia="en-AU"/>
              </w:rPr>
              <w:t>Sample size</w:t>
            </w:r>
          </w:p>
        </w:tc>
        <w:tc>
          <w:tcPr>
            <w:tcW w:w="2358" w:type="dxa"/>
            <w:gridSpan w:val="2"/>
            <w:shd w:val="clear" w:color="auto" w:fill="auto"/>
            <w:noWrap/>
            <w:vAlign w:val="bottom"/>
            <w:hideMark/>
          </w:tcPr>
          <w:p w14:paraId="2F4A6A1B"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116,964</w:t>
            </w:r>
          </w:p>
        </w:tc>
        <w:tc>
          <w:tcPr>
            <w:tcW w:w="2358" w:type="dxa"/>
            <w:gridSpan w:val="2"/>
            <w:shd w:val="clear" w:color="auto" w:fill="auto"/>
            <w:noWrap/>
            <w:vAlign w:val="bottom"/>
            <w:hideMark/>
          </w:tcPr>
          <w:p w14:paraId="54D5561D"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116,964</w:t>
            </w:r>
          </w:p>
        </w:tc>
      </w:tr>
    </w:tbl>
    <w:p w14:paraId="4565B1CB" w14:textId="65E1D71E" w:rsidR="0063322B" w:rsidRDefault="00001DEB" w:rsidP="00395E9A">
      <w:pPr>
        <w:pStyle w:val="Tableandfigurenotes"/>
        <w:jc w:val="center"/>
      </w:pPr>
      <w:r>
        <w:t xml:space="preserve">Notes: </w:t>
      </w:r>
      <w:r w:rsidR="0063322B">
        <w:t xml:space="preserve">Results are based on a per-patient, per-period basis. </w:t>
      </w:r>
      <w:r w:rsidR="0063322B" w:rsidRPr="00EE4F95">
        <w:t>Clustered standard errors in parentheses.</w:t>
      </w:r>
      <w:r w:rsidR="0063322B">
        <w:t xml:space="preserve"> Statistically significant results denoted by:</w:t>
      </w:r>
      <w:r w:rsidR="00A561EE">
        <w:t xml:space="preserve"> </w:t>
      </w:r>
      <w:r w:rsidR="0063322B" w:rsidRPr="00EE4F95">
        <w:t>*** p&lt;0.01, ** p&lt;0.05, * p&lt;0.1</w:t>
      </w:r>
      <w:r w:rsidR="0063322B">
        <w:t>.</w:t>
      </w:r>
    </w:p>
    <w:p w14:paraId="2C57D4A0" w14:textId="66A4C7E0" w:rsidR="007962A4" w:rsidRDefault="007962A4">
      <w:pPr>
        <w:spacing w:after="160" w:line="259" w:lineRule="auto"/>
      </w:pPr>
      <w:r>
        <w:br w:type="page"/>
      </w:r>
    </w:p>
    <w:p w14:paraId="07FCDAE1" w14:textId="17EABAE3" w:rsidR="0063322B" w:rsidRDefault="0063322B" w:rsidP="003F7768">
      <w:pPr>
        <w:pStyle w:val="Heading3"/>
      </w:pPr>
      <w:r>
        <w:lastRenderedPageBreak/>
        <w:t>Staffing</w:t>
      </w:r>
    </w:p>
    <w:p w14:paraId="0A65A995" w14:textId="4EE35A7B" w:rsidR="0063322B" w:rsidRDefault="0063322B" w:rsidP="00D32CDA">
      <w:r>
        <w:t xml:space="preserve">These results are based on 67 practices </w:t>
      </w:r>
      <w:r w:rsidR="00475F04">
        <w:t>that</w:t>
      </w:r>
      <w:r>
        <w:t xml:space="preserve"> completed the staffing questions in both the first and final </w:t>
      </w:r>
      <w:r w:rsidR="00475F04">
        <w:t xml:space="preserve">practice </w:t>
      </w:r>
      <w:r>
        <w:t xml:space="preserve">surveys. There were 57 practices </w:t>
      </w:r>
      <w:r w:rsidR="00475F04">
        <w:t>that</w:t>
      </w:r>
      <w:r>
        <w:t xml:space="preserve"> withdrew from the program, and a further 55 </w:t>
      </w:r>
      <w:r w:rsidR="00475F04">
        <w:t>that</w:t>
      </w:r>
      <w:r>
        <w:t xml:space="preserve"> did not complete both surveys. The survey asked practices about their staffing levels across a range of occupational categories. In this section, we report changes in those staffing levels between </w:t>
      </w:r>
      <w:r w:rsidR="00000B7C">
        <w:t>March to June</w:t>
      </w:r>
      <w:r w:rsidR="00F20FCA" w:rsidRPr="00D32CDA">
        <w:t xml:space="preserve"> 2018</w:t>
      </w:r>
      <w:r w:rsidR="002F569C" w:rsidRPr="00D32CDA">
        <w:t xml:space="preserve"> </w:t>
      </w:r>
      <w:r w:rsidRPr="00D32CDA">
        <w:t>(</w:t>
      </w:r>
      <w:r w:rsidR="005D5B4F" w:rsidRPr="00D32CDA">
        <w:t>R1</w:t>
      </w:r>
      <w:r w:rsidRPr="00D32CDA">
        <w:t xml:space="preserve"> </w:t>
      </w:r>
      <w:r w:rsidR="005D5B4F" w:rsidRPr="00D32CDA">
        <w:t>survey</w:t>
      </w:r>
      <w:r w:rsidRPr="00D32CDA">
        <w:t xml:space="preserve">) and </w:t>
      </w:r>
      <w:r w:rsidR="00000B7C">
        <w:t>April to June</w:t>
      </w:r>
      <w:r w:rsidR="00D32CDA" w:rsidRPr="00D32CDA">
        <w:t xml:space="preserve"> 2021 </w:t>
      </w:r>
      <w:r w:rsidRPr="00D32CDA">
        <w:t>(</w:t>
      </w:r>
      <w:r w:rsidR="005D5B4F" w:rsidRPr="00D32CDA">
        <w:t>R5</w:t>
      </w:r>
      <w:r w:rsidRPr="00D32CDA">
        <w:t xml:space="preserve"> </w:t>
      </w:r>
      <w:r w:rsidR="005D5B4F" w:rsidRPr="00D32CDA">
        <w:t>survey</w:t>
      </w:r>
      <w:r w:rsidRPr="00D32CDA">
        <w:t>).</w:t>
      </w:r>
    </w:p>
    <w:p w14:paraId="7927634F" w14:textId="36E3929C" w:rsidR="0063322B" w:rsidRDefault="00923F68" w:rsidP="0063322B">
      <w:r w:rsidRPr="008E4560">
        <w:rPr>
          <w:rFonts w:eastAsiaTheme="minorEastAsia"/>
          <w:noProof/>
          <w:color w:val="1D2455"/>
          <w:szCs w:val="20"/>
          <w:lang w:eastAsia="en-AU"/>
        </w:rPr>
        <w:fldChar w:fldCharType="begin"/>
      </w:r>
      <w:r w:rsidRPr="008E4560">
        <w:rPr>
          <w:rFonts w:eastAsiaTheme="minorEastAsia"/>
          <w:noProof/>
          <w:color w:val="1D2455"/>
          <w:szCs w:val="20"/>
          <w:lang w:eastAsia="en-AU"/>
        </w:rPr>
        <w:instrText xml:space="preserve"> REF _Ref98412067 \h </w:instrText>
      </w:r>
      <w:r w:rsidR="008E4560">
        <w:rPr>
          <w:rFonts w:eastAsiaTheme="minorEastAsia"/>
          <w:noProof/>
          <w:color w:val="1D2455"/>
          <w:szCs w:val="20"/>
          <w:lang w:eastAsia="en-AU"/>
        </w:rPr>
        <w:instrText xml:space="preserve"> \* MERGEFORMAT </w:instrText>
      </w:r>
      <w:r w:rsidRPr="008E4560">
        <w:rPr>
          <w:rFonts w:eastAsiaTheme="minorEastAsia"/>
          <w:noProof/>
          <w:color w:val="1D2455"/>
          <w:szCs w:val="20"/>
          <w:lang w:eastAsia="en-AU"/>
        </w:rPr>
      </w:r>
      <w:r w:rsidRPr="008E4560">
        <w:rPr>
          <w:rFonts w:eastAsiaTheme="minorEastAsia"/>
          <w:noProof/>
          <w:color w:val="1D2455"/>
          <w:szCs w:val="20"/>
          <w:lang w:eastAsia="en-AU"/>
        </w:rPr>
        <w:fldChar w:fldCharType="separate"/>
      </w:r>
      <w:r w:rsidR="003C4BC2" w:rsidRPr="003C4BC2">
        <w:rPr>
          <w:rFonts w:eastAsiaTheme="minorEastAsia"/>
          <w:noProof/>
          <w:color w:val="1D2455"/>
          <w:szCs w:val="20"/>
          <w:lang w:eastAsia="en-AU"/>
        </w:rPr>
        <w:t>Table 52</w:t>
      </w:r>
      <w:r w:rsidRPr="008E4560">
        <w:rPr>
          <w:rFonts w:eastAsiaTheme="minorEastAsia"/>
          <w:noProof/>
          <w:color w:val="1D2455"/>
          <w:szCs w:val="20"/>
          <w:lang w:eastAsia="en-AU"/>
        </w:rPr>
        <w:fldChar w:fldCharType="end"/>
      </w:r>
      <w:r w:rsidR="0063322B">
        <w:t xml:space="preserve"> shows the change in FTE levels by staff category. At the time of the implementation, HCH practices employed 4.6 FTE GPs on average. On average, more than 1 in 2 (60%) of GPs participated in the HCH program within each practice. On average, each practice employed 2.6 FTE nursing staff, most commonly a registered practice nurse. HCH practices also employed 0.8 FTE allied health professionals, most commonly a psychologist or physiotherapist. In addition, about two thirds of practices had a practice manager, and on average each practice employed 2.8 FTE administrative staff. </w:t>
      </w:r>
    </w:p>
    <w:p w14:paraId="7719D804" w14:textId="5F33788E" w:rsidR="0063322B" w:rsidRDefault="0063322B" w:rsidP="0063322B">
      <w:r w:rsidRPr="00D32CDA">
        <w:t xml:space="preserve">At the final survey </w:t>
      </w:r>
      <w:r w:rsidR="00D32CDA">
        <w:t xml:space="preserve">(completed </w:t>
      </w:r>
      <w:r w:rsidR="00D2085C">
        <w:t>April</w:t>
      </w:r>
      <w:r w:rsidR="00D32CDA" w:rsidRPr="00D32CDA">
        <w:t xml:space="preserve"> to </w:t>
      </w:r>
      <w:r w:rsidR="00D2085C">
        <w:t>June</w:t>
      </w:r>
      <w:r w:rsidR="00D32CDA" w:rsidRPr="00D32CDA">
        <w:t xml:space="preserve"> 2021</w:t>
      </w:r>
      <w:r w:rsidR="00D32CDA">
        <w:t>)</w:t>
      </w:r>
      <w:r>
        <w:t xml:space="preserve">, practices had on average increased their GP head count by almost 1. Notably however, the proportion of GPs participating in the HCH program had fallen slightly to 50%. Changes in staffing in other categories were smaller, with a drop in administrative and managerial staff, and an increase in allied health staff. </w:t>
      </w:r>
    </w:p>
    <w:p w14:paraId="3580F748" w14:textId="54FC618C" w:rsidR="0063322B" w:rsidRDefault="0063322B" w:rsidP="0063322B">
      <w:r>
        <w:t xml:space="preserve">The withdrawn practices were on average smaller, with an average 1.6 GPs and 5.2 other staff (FTE basis), </w:t>
      </w:r>
      <w:r w:rsidR="00E602FD">
        <w:t>compared with</w:t>
      </w:r>
      <w:r>
        <w:t xml:space="preserve"> 4.7 GPs and 5.9 other staff for practices </w:t>
      </w:r>
      <w:r w:rsidR="009E5F7F">
        <w:t>that</w:t>
      </w:r>
      <w:r>
        <w:t xml:space="preserve"> remained in the program. Feedback from the practice surveys indicate that additional staff were recruited </w:t>
      </w:r>
      <w:r w:rsidR="009E5F7F">
        <w:t>by</w:t>
      </w:r>
      <w:r>
        <w:t xml:space="preserve"> one in four HCH practices, with the most common staffing being nursing and administrative staff.</w:t>
      </w:r>
    </w:p>
    <w:p w14:paraId="2F9B594D" w14:textId="4610EFDF" w:rsidR="0063322B" w:rsidRDefault="0063322B" w:rsidP="001F6550">
      <w:pPr>
        <w:pStyle w:val="TableorFigurecaptionHPA"/>
      </w:pPr>
      <w:bookmarkStart w:id="407" w:name="_Ref98412067"/>
      <w:r>
        <w:t xml:space="preserve">Table </w:t>
      </w:r>
      <w:r w:rsidR="00A61B29">
        <w:fldChar w:fldCharType="begin"/>
      </w:r>
      <w:r w:rsidR="00A61B29">
        <w:instrText xml:space="preserve"> SEQ Table \* ARABIC </w:instrText>
      </w:r>
      <w:r w:rsidR="00A61B29">
        <w:fldChar w:fldCharType="separate"/>
      </w:r>
      <w:r w:rsidR="003C4BC2">
        <w:rPr>
          <w:noProof/>
        </w:rPr>
        <w:t>52</w:t>
      </w:r>
      <w:r w:rsidR="00A61B29">
        <w:rPr>
          <w:noProof/>
        </w:rPr>
        <w:fldChar w:fldCharType="end"/>
      </w:r>
      <w:bookmarkEnd w:id="407"/>
      <w:r w:rsidR="00923F68">
        <w:t>:</w:t>
      </w:r>
      <w:r>
        <w:t xml:space="preserve"> Impact of HCH on full-time equivalent staffing levels</w:t>
      </w:r>
    </w:p>
    <w:tbl>
      <w:tblPr>
        <w:tblW w:w="4740"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945"/>
        <w:gridCol w:w="955"/>
        <w:gridCol w:w="955"/>
        <w:gridCol w:w="885"/>
      </w:tblGrid>
      <w:tr w:rsidR="00395E9A" w:rsidRPr="00395E9A" w14:paraId="4A32B814" w14:textId="77777777" w:rsidTr="00395E9A">
        <w:trPr>
          <w:trHeight w:val="510"/>
          <w:jc w:val="center"/>
        </w:trPr>
        <w:tc>
          <w:tcPr>
            <w:tcW w:w="1960" w:type="dxa"/>
            <w:shd w:val="clear" w:color="auto" w:fill="408BCA"/>
            <w:vAlign w:val="center"/>
            <w:hideMark/>
          </w:tcPr>
          <w:p w14:paraId="75BDB822" w14:textId="77777777" w:rsidR="0063322B" w:rsidRPr="00395E9A" w:rsidRDefault="0063322B" w:rsidP="00897452">
            <w:pPr>
              <w:spacing w:after="0"/>
              <w:rPr>
                <w:rFonts w:eastAsia="Times New Roman" w:cs="Calibri"/>
                <w:b/>
                <w:bCs/>
                <w:color w:val="FFFFFF" w:themeColor="background1"/>
                <w:sz w:val="18"/>
                <w:szCs w:val="18"/>
                <w:lang w:eastAsia="en-AU"/>
              </w:rPr>
            </w:pPr>
            <w:r w:rsidRPr="00395E9A">
              <w:rPr>
                <w:rFonts w:eastAsia="Times New Roman" w:cs="Calibri"/>
                <w:b/>
                <w:bCs/>
                <w:color w:val="FFFFFF" w:themeColor="background1"/>
                <w:sz w:val="18"/>
                <w:szCs w:val="18"/>
                <w:lang w:eastAsia="en-AU"/>
              </w:rPr>
              <w:t>Staff type</w:t>
            </w:r>
          </w:p>
        </w:tc>
        <w:tc>
          <w:tcPr>
            <w:tcW w:w="960" w:type="dxa"/>
            <w:shd w:val="clear" w:color="auto" w:fill="408BCA"/>
            <w:vAlign w:val="center"/>
            <w:hideMark/>
          </w:tcPr>
          <w:p w14:paraId="0A4DF667" w14:textId="08B28056" w:rsidR="0063322B" w:rsidRPr="00395E9A" w:rsidRDefault="00000B7C" w:rsidP="00897452">
            <w:pPr>
              <w:spacing w:after="0"/>
              <w:jc w:val="center"/>
              <w:rPr>
                <w:rFonts w:eastAsia="Times New Roman" w:cs="Calibri"/>
                <w:b/>
                <w:bCs/>
                <w:color w:val="FFFFFF" w:themeColor="background1"/>
                <w:sz w:val="18"/>
                <w:szCs w:val="18"/>
                <w:lang w:eastAsia="en-AU"/>
              </w:rPr>
            </w:pPr>
            <w:r>
              <w:rPr>
                <w:rFonts w:eastAsia="Times New Roman" w:cs="Calibri"/>
                <w:b/>
                <w:bCs/>
                <w:color w:val="FFFFFF" w:themeColor="background1"/>
                <w:sz w:val="18"/>
                <w:szCs w:val="18"/>
                <w:lang w:eastAsia="en-AU"/>
              </w:rPr>
              <w:t>R1 survey</w:t>
            </w:r>
          </w:p>
        </w:tc>
        <w:tc>
          <w:tcPr>
            <w:tcW w:w="960" w:type="dxa"/>
            <w:shd w:val="clear" w:color="auto" w:fill="408BCA"/>
            <w:vAlign w:val="center"/>
            <w:hideMark/>
          </w:tcPr>
          <w:p w14:paraId="6BF27F3E" w14:textId="0B1E1E3B" w:rsidR="0063322B" w:rsidRPr="00395E9A" w:rsidRDefault="00000B7C" w:rsidP="00897452">
            <w:pPr>
              <w:spacing w:after="0"/>
              <w:jc w:val="center"/>
              <w:rPr>
                <w:rFonts w:eastAsia="Times New Roman" w:cs="Calibri"/>
                <w:b/>
                <w:bCs/>
                <w:color w:val="FFFFFF" w:themeColor="background1"/>
                <w:sz w:val="18"/>
                <w:szCs w:val="18"/>
                <w:lang w:eastAsia="en-AU"/>
              </w:rPr>
            </w:pPr>
            <w:r>
              <w:rPr>
                <w:rFonts w:eastAsia="Times New Roman" w:cs="Calibri"/>
                <w:b/>
                <w:bCs/>
                <w:color w:val="FFFFFF" w:themeColor="background1"/>
                <w:sz w:val="18"/>
                <w:szCs w:val="18"/>
                <w:lang w:eastAsia="en-AU"/>
              </w:rPr>
              <w:t>R5 survey</w:t>
            </w:r>
          </w:p>
        </w:tc>
        <w:tc>
          <w:tcPr>
            <w:tcW w:w="860" w:type="dxa"/>
            <w:shd w:val="clear" w:color="auto" w:fill="408BCA"/>
            <w:vAlign w:val="center"/>
            <w:hideMark/>
          </w:tcPr>
          <w:p w14:paraId="510865B5" w14:textId="77777777" w:rsidR="0063322B" w:rsidRPr="00395E9A" w:rsidRDefault="0063322B" w:rsidP="00897452">
            <w:pPr>
              <w:spacing w:after="0"/>
              <w:jc w:val="center"/>
              <w:rPr>
                <w:rFonts w:eastAsia="Times New Roman" w:cs="Calibri"/>
                <w:b/>
                <w:bCs/>
                <w:color w:val="FFFFFF" w:themeColor="background1"/>
                <w:sz w:val="18"/>
                <w:szCs w:val="18"/>
                <w:lang w:eastAsia="en-AU"/>
              </w:rPr>
            </w:pPr>
            <w:r w:rsidRPr="00395E9A">
              <w:rPr>
                <w:rFonts w:eastAsia="Times New Roman" w:cs="Calibri"/>
                <w:b/>
                <w:bCs/>
                <w:color w:val="FFFFFF" w:themeColor="background1"/>
                <w:sz w:val="18"/>
                <w:szCs w:val="18"/>
                <w:lang w:eastAsia="en-AU"/>
              </w:rPr>
              <w:t>Change in FTE</w:t>
            </w:r>
          </w:p>
        </w:tc>
      </w:tr>
      <w:tr w:rsidR="0063322B" w:rsidRPr="00395E9A" w14:paraId="36C28EF5" w14:textId="77777777" w:rsidTr="00395E9A">
        <w:trPr>
          <w:cantSplit/>
          <w:trHeight w:hRule="exact" w:val="300"/>
          <w:jc w:val="center"/>
        </w:trPr>
        <w:tc>
          <w:tcPr>
            <w:tcW w:w="1960" w:type="dxa"/>
            <w:shd w:val="clear" w:color="auto" w:fill="auto"/>
            <w:vAlign w:val="center"/>
            <w:hideMark/>
          </w:tcPr>
          <w:p w14:paraId="16CCC39D" w14:textId="77777777" w:rsidR="0063322B" w:rsidRPr="00395E9A" w:rsidRDefault="0063322B" w:rsidP="00897452">
            <w:pPr>
              <w:spacing w:after="0"/>
              <w:rPr>
                <w:rFonts w:eastAsia="Times New Roman" w:cs="Calibri"/>
                <w:color w:val="000000"/>
                <w:sz w:val="18"/>
                <w:szCs w:val="18"/>
                <w:lang w:eastAsia="en-AU"/>
              </w:rPr>
            </w:pPr>
            <w:r w:rsidRPr="00395E9A">
              <w:rPr>
                <w:rFonts w:eastAsia="Times New Roman" w:cs="Calibri"/>
                <w:color w:val="000000"/>
                <w:sz w:val="18"/>
                <w:szCs w:val="18"/>
                <w:lang w:eastAsia="en-AU"/>
              </w:rPr>
              <w:t>GPs</w:t>
            </w:r>
          </w:p>
        </w:tc>
        <w:tc>
          <w:tcPr>
            <w:tcW w:w="960" w:type="dxa"/>
            <w:shd w:val="clear" w:color="auto" w:fill="auto"/>
            <w:vAlign w:val="center"/>
            <w:hideMark/>
          </w:tcPr>
          <w:p w14:paraId="48792A89"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4.7</w:t>
            </w:r>
          </w:p>
        </w:tc>
        <w:tc>
          <w:tcPr>
            <w:tcW w:w="960" w:type="dxa"/>
            <w:shd w:val="clear" w:color="auto" w:fill="auto"/>
            <w:vAlign w:val="center"/>
            <w:hideMark/>
          </w:tcPr>
          <w:p w14:paraId="6B61B511"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5.4</w:t>
            </w:r>
          </w:p>
        </w:tc>
        <w:tc>
          <w:tcPr>
            <w:tcW w:w="860" w:type="dxa"/>
            <w:shd w:val="clear" w:color="auto" w:fill="auto"/>
            <w:vAlign w:val="center"/>
            <w:hideMark/>
          </w:tcPr>
          <w:p w14:paraId="1E6C2B37"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0.7</w:t>
            </w:r>
          </w:p>
        </w:tc>
      </w:tr>
      <w:tr w:rsidR="0063322B" w:rsidRPr="00395E9A" w14:paraId="2E1A6332" w14:textId="77777777" w:rsidTr="00395E9A">
        <w:trPr>
          <w:cantSplit/>
          <w:trHeight w:hRule="exact" w:val="300"/>
          <w:jc w:val="center"/>
        </w:trPr>
        <w:tc>
          <w:tcPr>
            <w:tcW w:w="1960" w:type="dxa"/>
            <w:shd w:val="clear" w:color="auto" w:fill="auto"/>
            <w:vAlign w:val="center"/>
            <w:hideMark/>
          </w:tcPr>
          <w:p w14:paraId="60F32CC3" w14:textId="77777777" w:rsidR="0063322B" w:rsidRPr="00395E9A" w:rsidRDefault="0063322B" w:rsidP="00897452">
            <w:pPr>
              <w:spacing w:after="0"/>
              <w:rPr>
                <w:rFonts w:eastAsia="Times New Roman" w:cs="Calibri"/>
                <w:color w:val="000000"/>
                <w:sz w:val="18"/>
                <w:szCs w:val="18"/>
                <w:lang w:eastAsia="en-AU"/>
              </w:rPr>
            </w:pPr>
            <w:r w:rsidRPr="00395E9A">
              <w:rPr>
                <w:rFonts w:eastAsia="Times New Roman" w:cs="Calibri"/>
                <w:color w:val="000000"/>
                <w:sz w:val="18"/>
                <w:szCs w:val="18"/>
                <w:lang w:eastAsia="en-AU"/>
              </w:rPr>
              <w:t>Nursing staff</w:t>
            </w:r>
          </w:p>
        </w:tc>
        <w:tc>
          <w:tcPr>
            <w:tcW w:w="960" w:type="dxa"/>
            <w:shd w:val="clear" w:color="auto" w:fill="auto"/>
            <w:vAlign w:val="center"/>
            <w:hideMark/>
          </w:tcPr>
          <w:p w14:paraId="6C0913EC"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2</w:t>
            </w:r>
          </w:p>
        </w:tc>
        <w:tc>
          <w:tcPr>
            <w:tcW w:w="960" w:type="dxa"/>
            <w:shd w:val="clear" w:color="auto" w:fill="auto"/>
            <w:vAlign w:val="center"/>
            <w:hideMark/>
          </w:tcPr>
          <w:p w14:paraId="334E31D5"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2</w:t>
            </w:r>
          </w:p>
        </w:tc>
        <w:tc>
          <w:tcPr>
            <w:tcW w:w="860" w:type="dxa"/>
            <w:shd w:val="clear" w:color="auto" w:fill="auto"/>
            <w:vAlign w:val="center"/>
            <w:hideMark/>
          </w:tcPr>
          <w:p w14:paraId="59DA7DD6"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0</w:t>
            </w:r>
          </w:p>
        </w:tc>
      </w:tr>
      <w:tr w:rsidR="0063322B" w:rsidRPr="00395E9A" w14:paraId="5A078592" w14:textId="77777777" w:rsidTr="00395E9A">
        <w:trPr>
          <w:cantSplit/>
          <w:trHeight w:hRule="exact" w:val="300"/>
          <w:jc w:val="center"/>
        </w:trPr>
        <w:tc>
          <w:tcPr>
            <w:tcW w:w="1960" w:type="dxa"/>
            <w:shd w:val="clear" w:color="auto" w:fill="auto"/>
            <w:vAlign w:val="center"/>
            <w:hideMark/>
          </w:tcPr>
          <w:p w14:paraId="455C3095" w14:textId="60ED6F76" w:rsidR="0063322B" w:rsidRPr="00395E9A" w:rsidRDefault="0063322B" w:rsidP="00897452">
            <w:pPr>
              <w:spacing w:after="0"/>
              <w:rPr>
                <w:rFonts w:eastAsia="Times New Roman" w:cs="Calibri"/>
                <w:color w:val="000000"/>
                <w:sz w:val="18"/>
                <w:szCs w:val="18"/>
                <w:lang w:eastAsia="en-AU"/>
              </w:rPr>
            </w:pPr>
            <w:r w:rsidRPr="00395E9A">
              <w:rPr>
                <w:rFonts w:eastAsia="Times New Roman" w:cs="Calibri"/>
                <w:color w:val="000000"/>
                <w:sz w:val="18"/>
                <w:szCs w:val="18"/>
                <w:lang w:eastAsia="en-AU"/>
              </w:rPr>
              <w:t xml:space="preserve">Allied </w:t>
            </w:r>
            <w:r w:rsidR="00D41552">
              <w:rPr>
                <w:rFonts w:eastAsia="Times New Roman" w:cs="Calibri"/>
                <w:color w:val="000000"/>
                <w:sz w:val="18"/>
                <w:szCs w:val="18"/>
                <w:lang w:eastAsia="en-AU"/>
              </w:rPr>
              <w:t>h</w:t>
            </w:r>
            <w:r w:rsidRPr="00395E9A">
              <w:rPr>
                <w:rFonts w:eastAsia="Times New Roman" w:cs="Calibri"/>
                <w:color w:val="000000"/>
                <w:sz w:val="18"/>
                <w:szCs w:val="18"/>
                <w:lang w:eastAsia="en-AU"/>
              </w:rPr>
              <w:t>ealth</w:t>
            </w:r>
          </w:p>
        </w:tc>
        <w:tc>
          <w:tcPr>
            <w:tcW w:w="960" w:type="dxa"/>
            <w:shd w:val="clear" w:color="auto" w:fill="auto"/>
            <w:vAlign w:val="center"/>
            <w:hideMark/>
          </w:tcPr>
          <w:p w14:paraId="7CC09F8A"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0.5</w:t>
            </w:r>
          </w:p>
        </w:tc>
        <w:tc>
          <w:tcPr>
            <w:tcW w:w="960" w:type="dxa"/>
            <w:shd w:val="clear" w:color="auto" w:fill="auto"/>
            <w:vAlign w:val="center"/>
            <w:hideMark/>
          </w:tcPr>
          <w:p w14:paraId="04B5620E"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0.7</w:t>
            </w:r>
          </w:p>
        </w:tc>
        <w:tc>
          <w:tcPr>
            <w:tcW w:w="860" w:type="dxa"/>
            <w:shd w:val="clear" w:color="auto" w:fill="auto"/>
            <w:vAlign w:val="center"/>
            <w:hideMark/>
          </w:tcPr>
          <w:p w14:paraId="3D7F5C5F"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0.2</w:t>
            </w:r>
          </w:p>
        </w:tc>
      </w:tr>
      <w:tr w:rsidR="0063322B" w:rsidRPr="00395E9A" w14:paraId="5662F74D" w14:textId="77777777" w:rsidTr="00395E9A">
        <w:trPr>
          <w:cantSplit/>
          <w:trHeight w:hRule="exact" w:val="300"/>
          <w:jc w:val="center"/>
        </w:trPr>
        <w:tc>
          <w:tcPr>
            <w:tcW w:w="1960" w:type="dxa"/>
            <w:shd w:val="clear" w:color="auto" w:fill="auto"/>
            <w:vAlign w:val="center"/>
            <w:hideMark/>
          </w:tcPr>
          <w:p w14:paraId="6D9C22CE" w14:textId="77777777" w:rsidR="0063322B" w:rsidRPr="00395E9A" w:rsidRDefault="0063322B" w:rsidP="00897452">
            <w:pPr>
              <w:spacing w:after="0"/>
              <w:rPr>
                <w:rFonts w:eastAsia="Times New Roman" w:cs="Calibri"/>
                <w:color w:val="000000"/>
                <w:sz w:val="18"/>
                <w:szCs w:val="18"/>
                <w:lang w:eastAsia="en-AU"/>
              </w:rPr>
            </w:pPr>
            <w:r w:rsidRPr="00395E9A">
              <w:rPr>
                <w:rFonts w:eastAsia="Times New Roman" w:cs="Calibri"/>
                <w:color w:val="000000"/>
                <w:sz w:val="18"/>
                <w:szCs w:val="18"/>
                <w:lang w:eastAsia="en-AU"/>
              </w:rPr>
              <w:t>Practice manager</w:t>
            </w:r>
          </w:p>
        </w:tc>
        <w:tc>
          <w:tcPr>
            <w:tcW w:w="960" w:type="dxa"/>
            <w:shd w:val="clear" w:color="auto" w:fill="auto"/>
            <w:vAlign w:val="center"/>
            <w:hideMark/>
          </w:tcPr>
          <w:p w14:paraId="19F020D7"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0.6</w:t>
            </w:r>
          </w:p>
        </w:tc>
        <w:tc>
          <w:tcPr>
            <w:tcW w:w="960" w:type="dxa"/>
            <w:shd w:val="clear" w:color="auto" w:fill="auto"/>
            <w:vAlign w:val="center"/>
            <w:hideMark/>
          </w:tcPr>
          <w:p w14:paraId="2C289014"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0.5</w:t>
            </w:r>
          </w:p>
        </w:tc>
        <w:tc>
          <w:tcPr>
            <w:tcW w:w="860" w:type="dxa"/>
            <w:shd w:val="clear" w:color="auto" w:fill="auto"/>
            <w:vAlign w:val="center"/>
            <w:hideMark/>
          </w:tcPr>
          <w:p w14:paraId="2B2C1D0B"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-0.1</w:t>
            </w:r>
          </w:p>
        </w:tc>
      </w:tr>
      <w:tr w:rsidR="0063322B" w:rsidRPr="00395E9A" w14:paraId="3B832304" w14:textId="77777777" w:rsidTr="00395E9A">
        <w:trPr>
          <w:trHeight w:val="300"/>
          <w:jc w:val="center"/>
        </w:trPr>
        <w:tc>
          <w:tcPr>
            <w:tcW w:w="1960" w:type="dxa"/>
            <w:shd w:val="clear" w:color="auto" w:fill="auto"/>
            <w:vAlign w:val="center"/>
            <w:hideMark/>
          </w:tcPr>
          <w:p w14:paraId="2DB629AD" w14:textId="77777777" w:rsidR="0063322B" w:rsidRPr="00395E9A" w:rsidRDefault="0063322B" w:rsidP="00897452">
            <w:pPr>
              <w:spacing w:after="0"/>
              <w:rPr>
                <w:rFonts w:eastAsia="Times New Roman" w:cs="Calibri"/>
                <w:color w:val="000000"/>
                <w:sz w:val="18"/>
                <w:szCs w:val="18"/>
                <w:lang w:eastAsia="en-AU"/>
              </w:rPr>
            </w:pPr>
            <w:r w:rsidRPr="00395E9A">
              <w:rPr>
                <w:rFonts w:eastAsia="Times New Roman" w:cs="Calibri"/>
                <w:color w:val="000000"/>
                <w:sz w:val="18"/>
                <w:szCs w:val="18"/>
                <w:lang w:eastAsia="en-AU"/>
              </w:rPr>
              <w:t>Administrative staff</w:t>
            </w:r>
          </w:p>
        </w:tc>
        <w:tc>
          <w:tcPr>
            <w:tcW w:w="960" w:type="dxa"/>
            <w:shd w:val="clear" w:color="auto" w:fill="auto"/>
            <w:vAlign w:val="center"/>
            <w:hideMark/>
          </w:tcPr>
          <w:p w14:paraId="4069B07B"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2.8</w:t>
            </w:r>
          </w:p>
        </w:tc>
        <w:tc>
          <w:tcPr>
            <w:tcW w:w="960" w:type="dxa"/>
            <w:shd w:val="clear" w:color="auto" w:fill="auto"/>
            <w:vAlign w:val="center"/>
            <w:hideMark/>
          </w:tcPr>
          <w:p w14:paraId="31A44855"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2.4</w:t>
            </w:r>
          </w:p>
        </w:tc>
        <w:tc>
          <w:tcPr>
            <w:tcW w:w="860" w:type="dxa"/>
            <w:shd w:val="clear" w:color="auto" w:fill="auto"/>
            <w:vAlign w:val="center"/>
            <w:hideMark/>
          </w:tcPr>
          <w:p w14:paraId="0677C311" w14:textId="77777777" w:rsidR="0063322B" w:rsidRPr="00395E9A" w:rsidRDefault="0063322B" w:rsidP="00897452">
            <w:pPr>
              <w:spacing w:after="0"/>
              <w:jc w:val="center"/>
              <w:rPr>
                <w:rFonts w:eastAsia="Times New Roman" w:cs="Calibri"/>
                <w:color w:val="000000"/>
                <w:sz w:val="18"/>
                <w:szCs w:val="18"/>
                <w:lang w:eastAsia="en-AU"/>
              </w:rPr>
            </w:pPr>
            <w:r w:rsidRPr="00395E9A">
              <w:rPr>
                <w:rFonts w:eastAsia="Times New Roman" w:cs="Calibri"/>
                <w:color w:val="000000"/>
                <w:sz w:val="18"/>
                <w:szCs w:val="18"/>
                <w:lang w:eastAsia="en-AU"/>
              </w:rPr>
              <w:t>-0.4</w:t>
            </w:r>
          </w:p>
        </w:tc>
      </w:tr>
    </w:tbl>
    <w:p w14:paraId="30E32101" w14:textId="04EACC31" w:rsidR="0063322B" w:rsidRPr="00EE4F95" w:rsidRDefault="00000B7C" w:rsidP="00001DEB">
      <w:pPr>
        <w:pStyle w:val="Chartortablefootnote"/>
        <w:spacing w:after="0"/>
      </w:pPr>
      <w:r>
        <w:t xml:space="preserve">Notes: </w:t>
      </w:r>
      <w:r w:rsidR="0063322B" w:rsidRPr="00EE4F95">
        <w:t>Nursing staff include enrolled and registered nurses, nurse practitioners, Aboriginal Health Practitioners, practice nurses, remote area nurses and nursing assistants. Administrative staff includes receptionists, administrative assistants and medical practice assistants. Allied health staff include audiologists, dentists, dietitians, exercise physiologists, optometrists, pharmacists, physiotherapists, psychologists, social workers, and allied health assistants.</w:t>
      </w:r>
    </w:p>
    <w:p w14:paraId="75DAED59" w14:textId="3F41C37F" w:rsidR="00000B7C" w:rsidRPr="00EE4F95" w:rsidRDefault="00000B7C" w:rsidP="00040EC6">
      <w:pPr>
        <w:pStyle w:val="Chartortablefootnote"/>
      </w:pPr>
      <w:r w:rsidRPr="00000B7C">
        <w:t xml:space="preserve">Source: Practice surveys R1 </w:t>
      </w:r>
      <w:r>
        <w:t>(</w:t>
      </w:r>
      <w:r w:rsidRPr="00000B7C">
        <w:rPr>
          <w:szCs w:val="16"/>
        </w:rPr>
        <w:t>Mar–Jun 2018</w:t>
      </w:r>
      <w:r>
        <w:rPr>
          <w:szCs w:val="16"/>
        </w:rPr>
        <w:t>)</w:t>
      </w:r>
      <w:r w:rsidRPr="00000B7C">
        <w:rPr>
          <w:szCs w:val="16"/>
        </w:rPr>
        <w:t xml:space="preserve"> </w:t>
      </w:r>
      <w:r w:rsidRPr="00000B7C">
        <w:t xml:space="preserve">and R5 </w:t>
      </w:r>
      <w:r>
        <w:t>(</w:t>
      </w:r>
      <w:r w:rsidR="00BC2D7A">
        <w:t xml:space="preserve">Mar–May </w:t>
      </w:r>
      <w:r w:rsidRPr="00000B7C">
        <w:t>2021</w:t>
      </w:r>
      <w:r>
        <w:t>)</w:t>
      </w:r>
      <w:r w:rsidRPr="00000B7C">
        <w:t>.</w:t>
      </w:r>
    </w:p>
    <w:p w14:paraId="193C05A9" w14:textId="77777777" w:rsidR="004E1B62" w:rsidRDefault="004E1B62">
      <w:pPr>
        <w:spacing w:after="160" w:line="259" w:lineRule="auto"/>
        <w:rPr>
          <w:rFonts w:ascii="Roboto Slab" w:eastAsia="Times New Roman" w:hAnsi="Roboto Slab" w:cs="Times New Roman"/>
          <w:bCs/>
          <w:color w:val="408BCA"/>
          <w:sz w:val="32"/>
          <w:szCs w:val="36"/>
          <w:lang w:eastAsia="en-AU"/>
        </w:rPr>
      </w:pPr>
      <w:bookmarkStart w:id="408" w:name="_Ref103772072"/>
      <w:r>
        <w:br w:type="page"/>
      </w:r>
    </w:p>
    <w:p w14:paraId="0943D652" w14:textId="77777777" w:rsidR="0063322B" w:rsidRPr="00040EC6" w:rsidRDefault="0063322B" w:rsidP="00040EC6">
      <w:pPr>
        <w:pStyle w:val="Heading2"/>
      </w:pPr>
      <w:bookmarkStart w:id="409" w:name="_Toc109996745"/>
      <w:r w:rsidRPr="00040EC6">
        <w:lastRenderedPageBreak/>
        <w:t>Impact on government</w:t>
      </w:r>
      <w:bookmarkEnd w:id="408"/>
      <w:bookmarkEnd w:id="409"/>
    </w:p>
    <w:p w14:paraId="0A81CDED" w14:textId="77777777" w:rsidR="0063322B" w:rsidRDefault="0063322B" w:rsidP="0063322B">
      <w:r>
        <w:t xml:space="preserve">In this section we evaluate the impact of HCH on public expenditures, including those relating to the use of Medicare services, pharmaceuticals, and hospital admissions. </w:t>
      </w:r>
    </w:p>
    <w:p w14:paraId="30C5B12D" w14:textId="77777777" w:rsidR="0063322B" w:rsidRPr="00040EC6" w:rsidRDefault="0063322B" w:rsidP="00040EC6">
      <w:pPr>
        <w:pStyle w:val="Heading3"/>
      </w:pPr>
      <w:r w:rsidRPr="00040EC6">
        <w:t>Medicare expenditures</w:t>
      </w:r>
    </w:p>
    <w:p w14:paraId="2B2AC80B" w14:textId="12F4A4F2" w:rsidR="0063322B" w:rsidRDefault="0063322B" w:rsidP="0063322B">
      <w:r>
        <w:t xml:space="preserve">The impact on Medicare expenditures has been assessed on a per-patient basis in six-monthly periods before and after enrolment. </w:t>
      </w:r>
      <w:r w:rsidR="00923F68" w:rsidRPr="00923F68">
        <w:rPr>
          <w:rFonts w:eastAsiaTheme="minorEastAsia"/>
          <w:color w:val="1D2455"/>
          <w:szCs w:val="20"/>
          <w:lang w:eastAsia="en-AU"/>
        </w:rPr>
        <w:fldChar w:fldCharType="begin"/>
      </w:r>
      <w:r w:rsidR="00923F68" w:rsidRPr="00923F68">
        <w:rPr>
          <w:rFonts w:eastAsiaTheme="minorEastAsia"/>
          <w:color w:val="1D2455"/>
          <w:szCs w:val="20"/>
          <w:lang w:eastAsia="en-AU"/>
        </w:rPr>
        <w:instrText xml:space="preserve"> REF _Ref98412011 \h </w:instrText>
      </w:r>
      <w:r w:rsidR="00923F68">
        <w:rPr>
          <w:rFonts w:eastAsiaTheme="minorEastAsia"/>
          <w:color w:val="1D2455"/>
          <w:szCs w:val="20"/>
          <w:lang w:eastAsia="en-AU"/>
        </w:rPr>
        <w:instrText xml:space="preserve"> \* MERGEFORMAT </w:instrText>
      </w:r>
      <w:r w:rsidR="00923F68" w:rsidRPr="00923F68">
        <w:rPr>
          <w:rFonts w:eastAsiaTheme="minorEastAsia"/>
          <w:color w:val="1D2455"/>
          <w:szCs w:val="20"/>
          <w:lang w:eastAsia="en-AU"/>
        </w:rPr>
      </w:r>
      <w:r w:rsidR="00923F68" w:rsidRPr="00923F68">
        <w:rPr>
          <w:rFonts w:eastAsiaTheme="minorEastAsia"/>
          <w:color w:val="1D2455"/>
          <w:szCs w:val="20"/>
          <w:lang w:eastAsia="en-AU"/>
        </w:rPr>
        <w:fldChar w:fldCharType="separate"/>
      </w:r>
      <w:r w:rsidR="003C4BC2" w:rsidRPr="003C4BC2">
        <w:rPr>
          <w:rFonts w:eastAsiaTheme="minorEastAsia"/>
          <w:color w:val="1D2455"/>
          <w:szCs w:val="20"/>
          <w:lang w:eastAsia="en-AU"/>
        </w:rPr>
        <w:t>Figure 71</w:t>
      </w:r>
      <w:r w:rsidR="00923F68" w:rsidRPr="00923F68">
        <w:rPr>
          <w:rFonts w:eastAsiaTheme="minorEastAsia"/>
          <w:color w:val="1D2455"/>
          <w:szCs w:val="20"/>
          <w:lang w:eastAsia="en-AU"/>
        </w:rPr>
        <w:fldChar w:fldCharType="end"/>
      </w:r>
      <w:r w:rsidR="00923F68">
        <w:t xml:space="preserve"> </w:t>
      </w:r>
      <w:r>
        <w:t xml:space="preserve">shows the changes in Medicare expenditures </w:t>
      </w:r>
      <w:r w:rsidR="005E3DB1">
        <w:t>for</w:t>
      </w:r>
      <w:r>
        <w:t xml:space="preserve"> GP attendances for enrolled patients according to patient tier, as well as for control group patients. </w:t>
      </w:r>
    </w:p>
    <w:p w14:paraId="677D5BDC" w14:textId="630C3C74" w:rsidR="000E7A6F" w:rsidRDefault="0063322B" w:rsidP="00225753">
      <w:r>
        <w:t xml:space="preserve">The results show that Medicare expenditures rise in line with patient complexity, with </w:t>
      </w:r>
      <w:r w:rsidR="00770301">
        <w:t>tier</w:t>
      </w:r>
      <w:r>
        <w:t xml:space="preserve"> 3 patients having the highest Medicare spending in the pre-enrolment period. For all enrolled HCH patients, MBS expenditures for GP services fell following enrolment, excluding the value of the bundled payment. This is as expected, as the </w:t>
      </w:r>
      <w:r w:rsidR="000F0B68">
        <w:t>trial</w:t>
      </w:r>
      <w:r>
        <w:t xml:space="preserve"> aim</w:t>
      </w:r>
      <w:r w:rsidR="000F0B68">
        <w:t>ed</w:t>
      </w:r>
      <w:r>
        <w:t xml:space="preserve"> to move away from fee-for-service delivery, with a bundled payment for each patient in its place. </w:t>
      </w:r>
      <w:r w:rsidR="000F0B68">
        <w:t>This finding is also consistent with the Department of Health’s compliance audit of MBS</w:t>
      </w:r>
      <w:r w:rsidR="003146A5">
        <w:t xml:space="preserve"> billing of practices in the trial</w:t>
      </w:r>
      <w:r w:rsidR="00CD1EFB">
        <w:t xml:space="preserve">, </w:t>
      </w:r>
      <w:r w:rsidR="00CD1EFB" w:rsidRPr="00CD1EFB">
        <w:t>which demonstrated that MBS billing of chronic disease items for HCH patients reduced by over 77%</w:t>
      </w:r>
      <w:r w:rsidR="003146A5">
        <w:t xml:space="preserve">. </w:t>
      </w:r>
      <w:r>
        <w:t>By contrast, a slight decline in Medicare expenditures was observed amongst control group patients.</w:t>
      </w:r>
    </w:p>
    <w:p w14:paraId="479DB7D6" w14:textId="5DF54AB2" w:rsidR="0063322B" w:rsidRDefault="0063322B" w:rsidP="001F6550">
      <w:pPr>
        <w:pStyle w:val="TableorFigurecaptionHPA"/>
      </w:pPr>
      <w:bookmarkStart w:id="410" w:name="_Ref98412011"/>
      <w:r>
        <w:t xml:space="preserve">Figure </w:t>
      </w:r>
      <w:r w:rsidR="002D3ABF">
        <w:fldChar w:fldCharType="begin"/>
      </w:r>
      <w:r w:rsidR="002D3ABF">
        <w:instrText>SEQ Figure \* ARABIC</w:instrText>
      </w:r>
      <w:r w:rsidR="002D3ABF">
        <w:fldChar w:fldCharType="separate"/>
      </w:r>
      <w:r w:rsidR="003C4BC2">
        <w:rPr>
          <w:noProof/>
        </w:rPr>
        <w:t>71</w:t>
      </w:r>
      <w:r w:rsidR="002D3ABF">
        <w:fldChar w:fldCharType="end"/>
      </w:r>
      <w:bookmarkEnd w:id="410"/>
      <w:r w:rsidR="002D3ABF">
        <w:t>:</w:t>
      </w:r>
      <w:r w:rsidR="002D3ABF" w:rsidRPr="00E52931">
        <w:t xml:space="preserve"> </w:t>
      </w:r>
      <w:r>
        <w:t>Changes in per-patient Medicare expenditures for GP services</w:t>
      </w:r>
    </w:p>
    <w:p w14:paraId="08A26DDA" w14:textId="77777777" w:rsidR="0063322B" w:rsidRDefault="0063322B" w:rsidP="0063322B">
      <w:pPr>
        <w:pStyle w:val="Caption"/>
        <w:spacing w:after="0"/>
      </w:pPr>
    </w:p>
    <w:p w14:paraId="5A5D0741" w14:textId="77777777" w:rsidR="0063322B" w:rsidRDefault="0063322B" w:rsidP="0063322B">
      <w:pPr>
        <w:pStyle w:val="Caption"/>
        <w:spacing w:after="0"/>
      </w:pPr>
      <w:r>
        <w:rPr>
          <w:noProof/>
        </w:rPr>
        <w:drawing>
          <wp:inline distT="0" distB="0" distL="0" distR="0" wp14:anchorId="25824A99" wp14:editId="127498F1">
            <wp:extent cx="4561840" cy="2633980"/>
            <wp:effectExtent l="0" t="0" r="0" b="0"/>
            <wp:docPr id="55" name="Picture 5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Chart, line chart&#10;&#10;Description automatically generated"/>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61840" cy="2633980"/>
                    </a:xfrm>
                    <a:prstGeom prst="rect">
                      <a:avLst/>
                    </a:prstGeom>
                    <a:noFill/>
                    <a:ln>
                      <a:noFill/>
                    </a:ln>
                  </pic:spPr>
                </pic:pic>
              </a:graphicData>
            </a:graphic>
          </wp:inline>
        </w:drawing>
      </w:r>
    </w:p>
    <w:p w14:paraId="2A37082E" w14:textId="7D006D6F" w:rsidR="0063322B" w:rsidRDefault="0063322B" w:rsidP="0063322B">
      <w:r>
        <w:t>In</w:t>
      </w:r>
      <w:r w:rsidR="00995C90">
        <w:t xml:space="preserve"> </w:t>
      </w:r>
      <w:r w:rsidR="00995C90" w:rsidRPr="00995C90">
        <w:rPr>
          <w:rFonts w:eastAsiaTheme="minorEastAsia"/>
          <w:bCs/>
          <w:color w:val="1D2455"/>
          <w:szCs w:val="20"/>
          <w:lang w:eastAsia="en-AU"/>
        </w:rPr>
        <w:fldChar w:fldCharType="begin"/>
      </w:r>
      <w:r w:rsidR="00995C90" w:rsidRPr="00995C90">
        <w:rPr>
          <w:rFonts w:eastAsiaTheme="minorEastAsia"/>
          <w:bCs/>
          <w:color w:val="1D2455"/>
          <w:szCs w:val="20"/>
          <w:lang w:eastAsia="en-AU"/>
        </w:rPr>
        <w:instrText xml:space="preserve"> REF _Ref98412724 \h </w:instrText>
      </w:r>
      <w:r w:rsidR="00995C90">
        <w:rPr>
          <w:rFonts w:eastAsiaTheme="minorEastAsia"/>
          <w:bCs/>
          <w:color w:val="1D2455"/>
          <w:szCs w:val="20"/>
          <w:lang w:eastAsia="en-AU"/>
        </w:rPr>
        <w:instrText xml:space="preserve"> \* MERGEFORMAT </w:instrText>
      </w:r>
      <w:r w:rsidR="00995C90" w:rsidRPr="00995C90">
        <w:rPr>
          <w:rFonts w:eastAsiaTheme="minorEastAsia"/>
          <w:bCs/>
          <w:color w:val="1D2455"/>
          <w:szCs w:val="20"/>
          <w:lang w:eastAsia="en-AU"/>
        </w:rPr>
      </w:r>
      <w:r w:rsidR="00995C90" w:rsidRPr="00995C90">
        <w:rPr>
          <w:rFonts w:eastAsiaTheme="minorEastAsia"/>
          <w:bCs/>
          <w:color w:val="1D2455"/>
          <w:szCs w:val="20"/>
          <w:lang w:eastAsia="en-AU"/>
        </w:rPr>
        <w:fldChar w:fldCharType="separate"/>
      </w:r>
      <w:r w:rsidR="003C4BC2" w:rsidRPr="003C4BC2">
        <w:rPr>
          <w:rFonts w:eastAsiaTheme="minorEastAsia"/>
          <w:bCs/>
          <w:color w:val="1D2455"/>
          <w:szCs w:val="20"/>
          <w:lang w:eastAsia="en-AU"/>
        </w:rPr>
        <w:t>Figure 72</w:t>
      </w:r>
      <w:r w:rsidR="00995C90" w:rsidRPr="00995C90">
        <w:rPr>
          <w:rFonts w:eastAsiaTheme="minorEastAsia"/>
          <w:bCs/>
          <w:color w:val="1D2455"/>
          <w:szCs w:val="20"/>
          <w:lang w:eastAsia="en-AU"/>
        </w:rPr>
        <w:fldChar w:fldCharType="end"/>
      </w:r>
      <w:r>
        <w:t xml:space="preserve">, we present results for all out-of-hospital Medicare expenditures as well as the outlays associated with the bundled payment. In particular, we apportion half the annual bundled payment to each period’s expenditures for each HCH patient post-enrolment. These annual payments were: $591 for </w:t>
      </w:r>
      <w:r w:rsidR="00770301">
        <w:t>tier</w:t>
      </w:r>
      <w:r>
        <w:t xml:space="preserve"> 1 patients (the least complex), $1</w:t>
      </w:r>
      <w:r w:rsidR="00163B34">
        <w:t>,</w:t>
      </w:r>
      <w:r>
        <w:t xml:space="preserve">267 for </w:t>
      </w:r>
      <w:r w:rsidR="00770301">
        <w:t>tier</w:t>
      </w:r>
      <w:r>
        <w:t xml:space="preserve"> 2 patients, and $1</w:t>
      </w:r>
      <w:r w:rsidR="00163B34">
        <w:t>,</w:t>
      </w:r>
      <w:r>
        <w:t xml:space="preserve">795 for </w:t>
      </w:r>
      <w:r w:rsidR="00770301">
        <w:t>tier</w:t>
      </w:r>
      <w:r>
        <w:t xml:space="preserve"> 3 (the most complex) patients. </w:t>
      </w:r>
      <w:r w:rsidR="00133397" w:rsidRPr="00995C90">
        <w:rPr>
          <w:rFonts w:eastAsiaTheme="minorEastAsia"/>
          <w:bCs/>
          <w:color w:val="1D2455"/>
          <w:szCs w:val="20"/>
          <w:lang w:eastAsia="en-AU"/>
        </w:rPr>
        <w:fldChar w:fldCharType="begin"/>
      </w:r>
      <w:r w:rsidR="00133397" w:rsidRPr="00995C90">
        <w:rPr>
          <w:rFonts w:eastAsiaTheme="minorEastAsia"/>
          <w:bCs/>
          <w:color w:val="1D2455"/>
          <w:szCs w:val="20"/>
          <w:lang w:eastAsia="en-AU"/>
        </w:rPr>
        <w:instrText xml:space="preserve"> REF _Ref98412724 \h </w:instrText>
      </w:r>
      <w:r w:rsidR="00133397">
        <w:rPr>
          <w:rFonts w:eastAsiaTheme="minorEastAsia"/>
          <w:bCs/>
          <w:color w:val="1D2455"/>
          <w:szCs w:val="20"/>
          <w:lang w:eastAsia="en-AU"/>
        </w:rPr>
        <w:instrText xml:space="preserve"> \* MERGEFORMAT </w:instrText>
      </w:r>
      <w:r w:rsidR="00133397" w:rsidRPr="00995C90">
        <w:rPr>
          <w:rFonts w:eastAsiaTheme="minorEastAsia"/>
          <w:bCs/>
          <w:color w:val="1D2455"/>
          <w:szCs w:val="20"/>
          <w:lang w:eastAsia="en-AU"/>
        </w:rPr>
      </w:r>
      <w:r w:rsidR="00133397" w:rsidRPr="00995C90">
        <w:rPr>
          <w:rFonts w:eastAsiaTheme="minorEastAsia"/>
          <w:bCs/>
          <w:color w:val="1D2455"/>
          <w:szCs w:val="20"/>
          <w:lang w:eastAsia="en-AU"/>
        </w:rPr>
        <w:fldChar w:fldCharType="separate"/>
      </w:r>
      <w:r w:rsidR="003C4BC2" w:rsidRPr="003C4BC2">
        <w:rPr>
          <w:rFonts w:eastAsiaTheme="minorEastAsia"/>
          <w:bCs/>
          <w:color w:val="1D2455"/>
          <w:szCs w:val="20"/>
          <w:lang w:eastAsia="en-AU"/>
        </w:rPr>
        <w:t>Figure 72</w:t>
      </w:r>
      <w:r w:rsidR="00133397" w:rsidRPr="00995C90">
        <w:rPr>
          <w:rFonts w:eastAsiaTheme="minorEastAsia"/>
          <w:bCs/>
          <w:color w:val="1D2455"/>
          <w:szCs w:val="20"/>
          <w:lang w:eastAsia="en-AU"/>
        </w:rPr>
        <w:fldChar w:fldCharType="end"/>
      </w:r>
      <w:r>
        <w:t xml:space="preserve"> shows that the inclusion of the bundled payment results in an increase in overall MBS expenditures in the period immediately following enrolment, with expenditures proportionately higher in line with patient complexity. However, no further increase was observed over the two-year follow-up period, with expenditures remaining stable. </w:t>
      </w:r>
    </w:p>
    <w:p w14:paraId="1C0FB2E0" w14:textId="2546B33F" w:rsidR="0063322B" w:rsidRDefault="0063322B" w:rsidP="001F6550">
      <w:pPr>
        <w:pStyle w:val="TableFigureheading"/>
      </w:pPr>
      <w:bookmarkStart w:id="411" w:name="_Ref98412724"/>
      <w:r>
        <w:lastRenderedPageBreak/>
        <w:t xml:space="preserve">Figure </w:t>
      </w:r>
      <w:r w:rsidR="00970AA2">
        <w:fldChar w:fldCharType="begin"/>
      </w:r>
      <w:r w:rsidR="00970AA2">
        <w:instrText>SEQ Figure \* ARABIC</w:instrText>
      </w:r>
      <w:r w:rsidR="00970AA2">
        <w:fldChar w:fldCharType="separate"/>
      </w:r>
      <w:r w:rsidR="003C4BC2">
        <w:rPr>
          <w:noProof/>
        </w:rPr>
        <w:t>72</w:t>
      </w:r>
      <w:r w:rsidR="00970AA2">
        <w:fldChar w:fldCharType="end"/>
      </w:r>
      <w:bookmarkEnd w:id="411"/>
      <w:r w:rsidR="00970AA2">
        <w:t>:</w:t>
      </w:r>
      <w:r>
        <w:t xml:space="preserve"> Changes in total Medicare expenditures, including bundled payment</w:t>
      </w:r>
    </w:p>
    <w:p w14:paraId="214DEBC8" w14:textId="77777777" w:rsidR="0063322B" w:rsidRDefault="0063322B" w:rsidP="00995C90">
      <w:pPr>
        <w:pStyle w:val="Caption"/>
        <w:spacing w:after="0"/>
        <w:jc w:val="center"/>
      </w:pPr>
      <w:r>
        <w:rPr>
          <w:noProof/>
        </w:rPr>
        <w:drawing>
          <wp:inline distT="0" distB="0" distL="0" distR="0" wp14:anchorId="1E1C025C" wp14:editId="33934EBA">
            <wp:extent cx="4512310" cy="2822575"/>
            <wp:effectExtent l="0" t="0" r="2540" b="0"/>
            <wp:docPr id="56" name="Picture 5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Chart, line chart&#10;&#10;Description automatically generated"/>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512310" cy="2822575"/>
                    </a:xfrm>
                    <a:prstGeom prst="rect">
                      <a:avLst/>
                    </a:prstGeom>
                    <a:noFill/>
                    <a:ln>
                      <a:noFill/>
                    </a:ln>
                  </pic:spPr>
                </pic:pic>
              </a:graphicData>
            </a:graphic>
          </wp:inline>
        </w:drawing>
      </w:r>
    </w:p>
    <w:p w14:paraId="455B182B" w14:textId="2514C398" w:rsidR="0063322B" w:rsidRDefault="0063322B" w:rsidP="0063322B">
      <w:r>
        <w:t xml:space="preserve">The regression results in </w:t>
      </w:r>
      <w:r w:rsidR="009409D7" w:rsidRPr="00BD4596">
        <w:rPr>
          <w:rStyle w:val="TableorFigurecaptionHPAChar"/>
        </w:rPr>
        <w:fldChar w:fldCharType="begin"/>
      </w:r>
      <w:r w:rsidR="009409D7" w:rsidRPr="00BD4596">
        <w:rPr>
          <w:rStyle w:val="TableorFigurecaptionHPAChar"/>
        </w:rPr>
        <w:instrText xml:space="preserve"> REF _Ref98493028 \h </w:instrText>
      </w:r>
      <w:r w:rsidR="00BD4596">
        <w:rPr>
          <w:rStyle w:val="TableorFigurecaptionHPAChar"/>
        </w:rPr>
        <w:instrText xml:space="preserve"> \* MERGEFORMAT </w:instrText>
      </w:r>
      <w:r w:rsidR="009409D7" w:rsidRPr="00BD4596">
        <w:rPr>
          <w:rStyle w:val="TableorFigurecaptionHPAChar"/>
        </w:rPr>
      </w:r>
      <w:r w:rsidR="009409D7" w:rsidRPr="00BD4596">
        <w:rPr>
          <w:rStyle w:val="TableorFigurecaptionHPAChar"/>
        </w:rPr>
        <w:fldChar w:fldCharType="separate"/>
      </w:r>
      <w:r w:rsidR="003C4BC2" w:rsidRPr="003C4BC2">
        <w:rPr>
          <w:rStyle w:val="TableorFigurecaptionHPAChar"/>
        </w:rPr>
        <w:t>Table 53</w:t>
      </w:r>
      <w:r w:rsidR="009409D7" w:rsidRPr="00BD4596">
        <w:rPr>
          <w:rStyle w:val="TableorFigurecaptionHPAChar"/>
        </w:rPr>
        <w:fldChar w:fldCharType="end"/>
      </w:r>
      <w:r w:rsidR="00BD4596">
        <w:t xml:space="preserve"> </w:t>
      </w:r>
      <w:r>
        <w:t xml:space="preserve">show that there were substantial and statistically significant drops in MBS expenditures associated with GP services for HCH patients, compared </w:t>
      </w:r>
      <w:r w:rsidR="009443E6">
        <w:t>with</w:t>
      </w:r>
      <w:r>
        <w:t xml:space="preserve"> control group patients. The decrease ranged from $58 to $86 per patient per period. However, this </w:t>
      </w:r>
      <w:r w:rsidRPr="00272184">
        <w:t xml:space="preserve">decrease was more than offset by the value of the bundled payment, which added between $436 and $577 in per patient per period government spending, although the amount fell over time. Consequently, this shift in costs from conventional to bundled payments resulted in net falling expenditures on a per-patient </w:t>
      </w:r>
      <w:r w:rsidR="00802F3D" w:rsidRPr="00272184">
        <w:t>basis but</w:t>
      </w:r>
      <w:r w:rsidRPr="00272184">
        <w:t xml:space="preserve"> remained well above expenditures for the control group.</w:t>
      </w:r>
    </w:p>
    <w:p w14:paraId="52BB1285" w14:textId="6A3C7C65" w:rsidR="0063322B" w:rsidRPr="001659E5" w:rsidRDefault="0063322B" w:rsidP="001F6550">
      <w:pPr>
        <w:pStyle w:val="TableFigureheading"/>
      </w:pPr>
      <w:bookmarkStart w:id="412" w:name="_Ref98493028"/>
      <w:r w:rsidRPr="001659E5">
        <w:t xml:space="preserve">Table </w:t>
      </w:r>
      <w:r w:rsidR="00A61B29">
        <w:fldChar w:fldCharType="begin"/>
      </w:r>
      <w:r w:rsidR="00A61B29">
        <w:instrText xml:space="preserve"> SEQ Table \* ARABIC </w:instrText>
      </w:r>
      <w:r w:rsidR="00A61B29">
        <w:fldChar w:fldCharType="separate"/>
      </w:r>
      <w:r w:rsidR="003C4BC2">
        <w:rPr>
          <w:noProof/>
        </w:rPr>
        <w:t>53</w:t>
      </w:r>
      <w:r w:rsidR="00A61B29">
        <w:rPr>
          <w:noProof/>
        </w:rPr>
        <w:fldChar w:fldCharType="end"/>
      </w:r>
      <w:bookmarkEnd w:id="412"/>
      <w:r w:rsidR="005B00CD">
        <w:t>:</w:t>
      </w:r>
      <w:r w:rsidR="005B00CD" w:rsidRPr="00B528ED">
        <w:t xml:space="preserve"> </w:t>
      </w:r>
      <w:r w:rsidRPr="001659E5">
        <w:t>Impact of HCH on public expenditures</w:t>
      </w:r>
    </w:p>
    <w:tbl>
      <w:tblPr>
        <w:tblW w:w="9467" w:type="dxa"/>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1701"/>
        <w:gridCol w:w="1134"/>
        <w:gridCol w:w="817"/>
        <w:gridCol w:w="1132"/>
        <w:gridCol w:w="853"/>
        <w:gridCol w:w="784"/>
        <w:gridCol w:w="917"/>
        <w:gridCol w:w="1103"/>
        <w:gridCol w:w="1026"/>
      </w:tblGrid>
      <w:tr w:rsidR="00395E9A" w:rsidRPr="00395E9A" w14:paraId="3117BE39" w14:textId="77777777" w:rsidTr="00220E59">
        <w:trPr>
          <w:trHeight w:val="600"/>
        </w:trPr>
        <w:tc>
          <w:tcPr>
            <w:tcW w:w="1701" w:type="dxa"/>
            <w:shd w:val="clear" w:color="auto" w:fill="408BCA"/>
            <w:noWrap/>
            <w:vAlign w:val="bottom"/>
            <w:hideMark/>
          </w:tcPr>
          <w:p w14:paraId="6DC25D8B" w14:textId="77777777" w:rsidR="0063322B" w:rsidRPr="00395E9A" w:rsidRDefault="0063322B" w:rsidP="00897452">
            <w:pPr>
              <w:spacing w:after="0"/>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 </w:t>
            </w:r>
          </w:p>
        </w:tc>
        <w:tc>
          <w:tcPr>
            <w:tcW w:w="1951" w:type="dxa"/>
            <w:gridSpan w:val="2"/>
            <w:shd w:val="clear" w:color="auto" w:fill="408BCA"/>
            <w:vAlign w:val="center"/>
            <w:hideMark/>
          </w:tcPr>
          <w:p w14:paraId="548B868B" w14:textId="11CB25CC" w:rsidR="0063322B" w:rsidRPr="00395E9A" w:rsidRDefault="0063322B" w:rsidP="00220E59">
            <w:pPr>
              <w:spacing w:after="0"/>
              <w:jc w:val="center"/>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 xml:space="preserve">MBS expenditures </w:t>
            </w:r>
            <w:r w:rsidR="00F11772">
              <w:rPr>
                <w:rFonts w:eastAsia="Times New Roman"/>
                <w:b/>
                <w:bCs/>
                <w:color w:val="FFFFFF" w:themeColor="background1"/>
                <w:sz w:val="18"/>
                <w:szCs w:val="18"/>
                <w:lang w:eastAsia="en-AU"/>
              </w:rPr>
              <w:t xml:space="preserve">– </w:t>
            </w:r>
            <w:r w:rsidRPr="00395E9A">
              <w:rPr>
                <w:rFonts w:eastAsia="Times New Roman"/>
                <w:b/>
                <w:bCs/>
                <w:color w:val="FFFFFF" w:themeColor="background1"/>
                <w:sz w:val="18"/>
                <w:szCs w:val="18"/>
                <w:lang w:eastAsia="en-AU"/>
              </w:rPr>
              <w:t>GP services</w:t>
            </w:r>
          </w:p>
        </w:tc>
        <w:tc>
          <w:tcPr>
            <w:tcW w:w="1985" w:type="dxa"/>
            <w:gridSpan w:val="2"/>
            <w:shd w:val="clear" w:color="auto" w:fill="408BCA"/>
            <w:vAlign w:val="center"/>
            <w:hideMark/>
          </w:tcPr>
          <w:p w14:paraId="07B575D1" w14:textId="77777777" w:rsidR="0063322B" w:rsidRPr="00395E9A" w:rsidRDefault="0063322B" w:rsidP="00220E59">
            <w:pPr>
              <w:spacing w:after="0"/>
              <w:jc w:val="center"/>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All MBS expenditures plus bundled payment</w:t>
            </w:r>
          </w:p>
        </w:tc>
        <w:tc>
          <w:tcPr>
            <w:tcW w:w="1701" w:type="dxa"/>
            <w:gridSpan w:val="2"/>
            <w:shd w:val="clear" w:color="auto" w:fill="408BCA"/>
            <w:vAlign w:val="center"/>
            <w:hideMark/>
          </w:tcPr>
          <w:p w14:paraId="577574F1" w14:textId="77777777" w:rsidR="0063322B" w:rsidRPr="00395E9A" w:rsidRDefault="0063322B" w:rsidP="00220E59">
            <w:pPr>
              <w:spacing w:after="0"/>
              <w:jc w:val="center"/>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PBS expenditures</w:t>
            </w:r>
          </w:p>
        </w:tc>
        <w:tc>
          <w:tcPr>
            <w:tcW w:w="2129" w:type="dxa"/>
            <w:gridSpan w:val="2"/>
            <w:shd w:val="clear" w:color="auto" w:fill="408BCA"/>
            <w:vAlign w:val="center"/>
            <w:hideMark/>
          </w:tcPr>
          <w:p w14:paraId="50142D39" w14:textId="77777777" w:rsidR="0063322B" w:rsidRPr="00395E9A" w:rsidRDefault="0063322B" w:rsidP="00220E59">
            <w:pPr>
              <w:spacing w:after="0"/>
              <w:jc w:val="center"/>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Hospital admissions</w:t>
            </w:r>
          </w:p>
        </w:tc>
      </w:tr>
      <w:tr w:rsidR="0063322B" w:rsidRPr="00395E9A" w14:paraId="196E2851" w14:textId="77777777" w:rsidTr="00395E9A">
        <w:trPr>
          <w:trHeight w:val="300"/>
        </w:trPr>
        <w:tc>
          <w:tcPr>
            <w:tcW w:w="1701" w:type="dxa"/>
            <w:shd w:val="clear" w:color="auto" w:fill="auto"/>
            <w:noWrap/>
            <w:vAlign w:val="bottom"/>
            <w:hideMark/>
          </w:tcPr>
          <w:p w14:paraId="76E9545D" w14:textId="77777777" w:rsidR="0063322B" w:rsidRPr="00395E9A" w:rsidRDefault="0063322B" w:rsidP="00897452">
            <w:pPr>
              <w:spacing w:after="0"/>
              <w:rPr>
                <w:rFonts w:eastAsia="Times New Roman"/>
                <w:color w:val="000000"/>
                <w:sz w:val="18"/>
                <w:szCs w:val="18"/>
                <w:lang w:eastAsia="en-AU"/>
              </w:rPr>
            </w:pPr>
            <w:r w:rsidRPr="00395E9A">
              <w:rPr>
                <w:rFonts w:eastAsia="Times New Roman"/>
                <w:color w:val="000000"/>
                <w:sz w:val="18"/>
                <w:szCs w:val="18"/>
                <w:lang w:eastAsia="en-AU"/>
              </w:rPr>
              <w:t> </w:t>
            </w:r>
          </w:p>
        </w:tc>
        <w:tc>
          <w:tcPr>
            <w:tcW w:w="1134" w:type="dxa"/>
            <w:shd w:val="clear" w:color="auto" w:fill="auto"/>
            <w:noWrap/>
            <w:vAlign w:val="bottom"/>
            <w:hideMark/>
          </w:tcPr>
          <w:p w14:paraId="705674CF"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Est.</w:t>
            </w:r>
          </w:p>
        </w:tc>
        <w:tc>
          <w:tcPr>
            <w:tcW w:w="817" w:type="dxa"/>
            <w:shd w:val="clear" w:color="auto" w:fill="auto"/>
            <w:noWrap/>
            <w:vAlign w:val="bottom"/>
            <w:hideMark/>
          </w:tcPr>
          <w:p w14:paraId="3FCC214F"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Std. Err.</w:t>
            </w:r>
          </w:p>
        </w:tc>
        <w:tc>
          <w:tcPr>
            <w:tcW w:w="1132" w:type="dxa"/>
            <w:shd w:val="clear" w:color="auto" w:fill="auto"/>
            <w:noWrap/>
            <w:vAlign w:val="bottom"/>
            <w:hideMark/>
          </w:tcPr>
          <w:p w14:paraId="1526B423"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Est.</w:t>
            </w:r>
          </w:p>
        </w:tc>
        <w:tc>
          <w:tcPr>
            <w:tcW w:w="853" w:type="dxa"/>
            <w:shd w:val="clear" w:color="auto" w:fill="auto"/>
            <w:noWrap/>
            <w:vAlign w:val="bottom"/>
            <w:hideMark/>
          </w:tcPr>
          <w:p w14:paraId="08D94D6D"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Std. Err.</w:t>
            </w:r>
          </w:p>
        </w:tc>
        <w:tc>
          <w:tcPr>
            <w:tcW w:w="784" w:type="dxa"/>
            <w:shd w:val="clear" w:color="auto" w:fill="auto"/>
            <w:noWrap/>
            <w:vAlign w:val="bottom"/>
            <w:hideMark/>
          </w:tcPr>
          <w:p w14:paraId="137C169B"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Est.</w:t>
            </w:r>
          </w:p>
        </w:tc>
        <w:tc>
          <w:tcPr>
            <w:tcW w:w="917" w:type="dxa"/>
            <w:shd w:val="clear" w:color="auto" w:fill="auto"/>
            <w:noWrap/>
            <w:vAlign w:val="bottom"/>
            <w:hideMark/>
          </w:tcPr>
          <w:p w14:paraId="1A7C0124"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Std. Err.</w:t>
            </w:r>
          </w:p>
        </w:tc>
        <w:tc>
          <w:tcPr>
            <w:tcW w:w="1103" w:type="dxa"/>
            <w:shd w:val="clear" w:color="auto" w:fill="auto"/>
            <w:noWrap/>
            <w:vAlign w:val="bottom"/>
            <w:hideMark/>
          </w:tcPr>
          <w:p w14:paraId="22448AD6"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Est.</w:t>
            </w:r>
          </w:p>
        </w:tc>
        <w:tc>
          <w:tcPr>
            <w:tcW w:w="1026" w:type="dxa"/>
            <w:shd w:val="clear" w:color="auto" w:fill="auto"/>
            <w:noWrap/>
            <w:vAlign w:val="bottom"/>
            <w:hideMark/>
          </w:tcPr>
          <w:p w14:paraId="3A8EF588"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Std. Err.</w:t>
            </w:r>
          </w:p>
        </w:tc>
      </w:tr>
      <w:tr w:rsidR="0063322B" w:rsidRPr="00395E9A" w14:paraId="0117520C" w14:textId="77777777" w:rsidTr="00395E9A">
        <w:trPr>
          <w:trHeight w:val="300"/>
        </w:trPr>
        <w:tc>
          <w:tcPr>
            <w:tcW w:w="1701" w:type="dxa"/>
            <w:shd w:val="clear" w:color="auto" w:fill="auto"/>
            <w:noWrap/>
            <w:vAlign w:val="bottom"/>
            <w:hideMark/>
          </w:tcPr>
          <w:p w14:paraId="320D70F6" w14:textId="77777777" w:rsidR="0063322B" w:rsidRPr="00395E9A" w:rsidRDefault="0063322B" w:rsidP="00897452">
            <w:pPr>
              <w:spacing w:after="0"/>
              <w:rPr>
                <w:rFonts w:eastAsia="Times New Roman"/>
                <w:color w:val="000000"/>
                <w:sz w:val="18"/>
                <w:szCs w:val="18"/>
                <w:lang w:eastAsia="en-AU"/>
              </w:rPr>
            </w:pPr>
            <w:r w:rsidRPr="00395E9A">
              <w:rPr>
                <w:rFonts w:eastAsia="Times New Roman"/>
                <w:color w:val="000000"/>
                <w:sz w:val="18"/>
                <w:szCs w:val="18"/>
                <w:lang w:eastAsia="en-AU"/>
              </w:rPr>
              <w:t>Period from enrolment</w:t>
            </w:r>
          </w:p>
        </w:tc>
        <w:tc>
          <w:tcPr>
            <w:tcW w:w="1134" w:type="dxa"/>
            <w:shd w:val="clear" w:color="auto" w:fill="auto"/>
            <w:noWrap/>
            <w:vAlign w:val="bottom"/>
            <w:hideMark/>
          </w:tcPr>
          <w:p w14:paraId="48B3566C" w14:textId="77777777" w:rsidR="0063322B" w:rsidRPr="00395E9A" w:rsidRDefault="0063322B" w:rsidP="00897452">
            <w:pPr>
              <w:spacing w:after="0"/>
              <w:ind w:firstLineChars="200" w:firstLine="360"/>
              <w:rPr>
                <w:rFonts w:eastAsia="Times New Roman"/>
                <w:color w:val="000000"/>
                <w:sz w:val="18"/>
                <w:szCs w:val="18"/>
                <w:lang w:eastAsia="en-AU"/>
              </w:rPr>
            </w:pPr>
          </w:p>
        </w:tc>
        <w:tc>
          <w:tcPr>
            <w:tcW w:w="817" w:type="dxa"/>
            <w:shd w:val="clear" w:color="auto" w:fill="auto"/>
            <w:noWrap/>
            <w:vAlign w:val="bottom"/>
            <w:hideMark/>
          </w:tcPr>
          <w:p w14:paraId="23074AE6" w14:textId="77777777" w:rsidR="0063322B" w:rsidRPr="00395E9A" w:rsidRDefault="0063322B" w:rsidP="00897452">
            <w:pPr>
              <w:spacing w:after="0"/>
              <w:rPr>
                <w:rFonts w:eastAsia="Times New Roman"/>
                <w:sz w:val="18"/>
                <w:szCs w:val="18"/>
                <w:lang w:eastAsia="en-AU"/>
              </w:rPr>
            </w:pPr>
          </w:p>
        </w:tc>
        <w:tc>
          <w:tcPr>
            <w:tcW w:w="1132" w:type="dxa"/>
            <w:shd w:val="clear" w:color="auto" w:fill="auto"/>
            <w:noWrap/>
            <w:vAlign w:val="bottom"/>
            <w:hideMark/>
          </w:tcPr>
          <w:p w14:paraId="69D10EFA" w14:textId="77777777" w:rsidR="0063322B" w:rsidRPr="00395E9A" w:rsidRDefault="0063322B" w:rsidP="00897452">
            <w:pPr>
              <w:spacing w:after="0"/>
              <w:rPr>
                <w:rFonts w:eastAsia="Times New Roman"/>
                <w:sz w:val="18"/>
                <w:szCs w:val="18"/>
                <w:lang w:eastAsia="en-AU"/>
              </w:rPr>
            </w:pPr>
          </w:p>
        </w:tc>
        <w:tc>
          <w:tcPr>
            <w:tcW w:w="853" w:type="dxa"/>
            <w:shd w:val="clear" w:color="auto" w:fill="auto"/>
            <w:noWrap/>
            <w:vAlign w:val="bottom"/>
            <w:hideMark/>
          </w:tcPr>
          <w:p w14:paraId="14387A38" w14:textId="77777777" w:rsidR="0063322B" w:rsidRPr="00395E9A" w:rsidRDefault="0063322B" w:rsidP="00897452">
            <w:pPr>
              <w:spacing w:after="0"/>
              <w:rPr>
                <w:rFonts w:eastAsia="Times New Roman"/>
                <w:sz w:val="18"/>
                <w:szCs w:val="18"/>
                <w:lang w:eastAsia="en-AU"/>
              </w:rPr>
            </w:pPr>
          </w:p>
        </w:tc>
        <w:tc>
          <w:tcPr>
            <w:tcW w:w="784" w:type="dxa"/>
            <w:shd w:val="clear" w:color="auto" w:fill="auto"/>
            <w:noWrap/>
            <w:vAlign w:val="bottom"/>
            <w:hideMark/>
          </w:tcPr>
          <w:p w14:paraId="55B57150" w14:textId="77777777" w:rsidR="0063322B" w:rsidRPr="00395E9A" w:rsidRDefault="0063322B" w:rsidP="00897452">
            <w:pPr>
              <w:spacing w:after="0"/>
              <w:rPr>
                <w:rFonts w:eastAsia="Times New Roman"/>
                <w:sz w:val="18"/>
                <w:szCs w:val="18"/>
                <w:lang w:eastAsia="en-AU"/>
              </w:rPr>
            </w:pPr>
          </w:p>
        </w:tc>
        <w:tc>
          <w:tcPr>
            <w:tcW w:w="917" w:type="dxa"/>
            <w:shd w:val="clear" w:color="auto" w:fill="auto"/>
            <w:noWrap/>
            <w:vAlign w:val="bottom"/>
            <w:hideMark/>
          </w:tcPr>
          <w:p w14:paraId="2CC8E208" w14:textId="77777777" w:rsidR="0063322B" w:rsidRPr="00395E9A" w:rsidRDefault="0063322B" w:rsidP="00897452">
            <w:pPr>
              <w:spacing w:after="0"/>
              <w:rPr>
                <w:rFonts w:eastAsia="Times New Roman"/>
                <w:sz w:val="18"/>
                <w:szCs w:val="18"/>
                <w:lang w:eastAsia="en-AU"/>
              </w:rPr>
            </w:pPr>
          </w:p>
        </w:tc>
        <w:tc>
          <w:tcPr>
            <w:tcW w:w="1103" w:type="dxa"/>
            <w:shd w:val="clear" w:color="auto" w:fill="auto"/>
            <w:noWrap/>
            <w:vAlign w:val="bottom"/>
            <w:hideMark/>
          </w:tcPr>
          <w:p w14:paraId="319409D3" w14:textId="77777777" w:rsidR="0063322B" w:rsidRPr="00395E9A" w:rsidRDefault="0063322B" w:rsidP="00897452">
            <w:pPr>
              <w:spacing w:after="0"/>
              <w:rPr>
                <w:rFonts w:eastAsia="Times New Roman"/>
                <w:sz w:val="18"/>
                <w:szCs w:val="18"/>
                <w:lang w:eastAsia="en-AU"/>
              </w:rPr>
            </w:pPr>
          </w:p>
        </w:tc>
        <w:tc>
          <w:tcPr>
            <w:tcW w:w="1026" w:type="dxa"/>
            <w:shd w:val="clear" w:color="auto" w:fill="auto"/>
            <w:noWrap/>
            <w:vAlign w:val="bottom"/>
            <w:hideMark/>
          </w:tcPr>
          <w:p w14:paraId="1749B0FB" w14:textId="77777777" w:rsidR="0063322B" w:rsidRPr="00395E9A" w:rsidRDefault="0063322B" w:rsidP="00897452">
            <w:pPr>
              <w:spacing w:after="0"/>
              <w:rPr>
                <w:rFonts w:eastAsia="Times New Roman"/>
                <w:sz w:val="18"/>
                <w:szCs w:val="18"/>
                <w:lang w:eastAsia="en-AU"/>
              </w:rPr>
            </w:pPr>
          </w:p>
        </w:tc>
      </w:tr>
      <w:tr w:rsidR="00395E9A" w:rsidRPr="00395E9A" w14:paraId="7C32018C" w14:textId="77777777" w:rsidTr="00395E9A">
        <w:trPr>
          <w:trHeight w:val="300"/>
        </w:trPr>
        <w:tc>
          <w:tcPr>
            <w:tcW w:w="1701" w:type="dxa"/>
            <w:shd w:val="clear" w:color="auto" w:fill="auto"/>
            <w:noWrap/>
            <w:vAlign w:val="bottom"/>
            <w:hideMark/>
          </w:tcPr>
          <w:p w14:paraId="76B3470F" w14:textId="5B1AF9E4" w:rsidR="00395E9A" w:rsidRPr="00395E9A" w:rsidRDefault="00395E9A" w:rsidP="00395E9A">
            <w:pPr>
              <w:spacing w:after="0"/>
              <w:ind w:left="142"/>
              <w:rPr>
                <w:rFonts w:eastAsia="Times New Roman"/>
                <w:color w:val="000000"/>
                <w:sz w:val="18"/>
                <w:szCs w:val="18"/>
                <w:lang w:eastAsia="en-AU"/>
              </w:rPr>
            </w:pPr>
            <w:r w:rsidRPr="00395E9A">
              <w:rPr>
                <w:rFonts w:eastAsia="Times New Roman"/>
                <w:color w:val="000000"/>
                <w:sz w:val="18"/>
                <w:szCs w:val="18"/>
                <w:lang w:eastAsia="en-AU"/>
              </w:rPr>
              <w:t>Months 1</w:t>
            </w:r>
            <w:r>
              <w:rPr>
                <w:rFonts w:eastAsia="Times New Roman"/>
                <w:color w:val="000000"/>
                <w:sz w:val="18"/>
                <w:szCs w:val="18"/>
                <w:lang w:eastAsia="en-AU"/>
              </w:rPr>
              <w:t>–</w:t>
            </w:r>
            <w:r w:rsidRPr="00395E9A">
              <w:rPr>
                <w:rFonts w:eastAsia="Times New Roman"/>
                <w:color w:val="000000"/>
                <w:sz w:val="18"/>
                <w:szCs w:val="18"/>
                <w:lang w:eastAsia="en-AU"/>
              </w:rPr>
              <w:t>6</w:t>
            </w:r>
          </w:p>
        </w:tc>
        <w:tc>
          <w:tcPr>
            <w:tcW w:w="1134" w:type="dxa"/>
            <w:shd w:val="clear" w:color="auto" w:fill="auto"/>
            <w:noWrap/>
            <w:vAlign w:val="bottom"/>
            <w:hideMark/>
          </w:tcPr>
          <w:p w14:paraId="56BA0D33"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-57.78***</w:t>
            </w:r>
          </w:p>
        </w:tc>
        <w:tc>
          <w:tcPr>
            <w:tcW w:w="817" w:type="dxa"/>
            <w:shd w:val="clear" w:color="auto" w:fill="auto"/>
            <w:noWrap/>
            <w:vAlign w:val="bottom"/>
            <w:hideMark/>
          </w:tcPr>
          <w:p w14:paraId="3A99418F"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(8.57)</w:t>
            </w:r>
          </w:p>
        </w:tc>
        <w:tc>
          <w:tcPr>
            <w:tcW w:w="1132" w:type="dxa"/>
            <w:shd w:val="clear" w:color="auto" w:fill="auto"/>
            <w:noWrap/>
            <w:vAlign w:val="bottom"/>
            <w:hideMark/>
          </w:tcPr>
          <w:p w14:paraId="2474D13C"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577.24***</w:t>
            </w:r>
          </w:p>
        </w:tc>
        <w:tc>
          <w:tcPr>
            <w:tcW w:w="853" w:type="dxa"/>
            <w:shd w:val="clear" w:color="auto" w:fill="auto"/>
            <w:noWrap/>
            <w:vAlign w:val="bottom"/>
            <w:hideMark/>
          </w:tcPr>
          <w:p w14:paraId="308BACCF"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(29.37)</w:t>
            </w:r>
          </w:p>
        </w:tc>
        <w:tc>
          <w:tcPr>
            <w:tcW w:w="784" w:type="dxa"/>
            <w:shd w:val="clear" w:color="auto" w:fill="auto"/>
            <w:noWrap/>
            <w:vAlign w:val="bottom"/>
            <w:hideMark/>
          </w:tcPr>
          <w:p w14:paraId="79715C02"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11.82</w:t>
            </w:r>
          </w:p>
        </w:tc>
        <w:tc>
          <w:tcPr>
            <w:tcW w:w="917" w:type="dxa"/>
            <w:shd w:val="clear" w:color="auto" w:fill="auto"/>
            <w:noWrap/>
            <w:vAlign w:val="bottom"/>
            <w:hideMark/>
          </w:tcPr>
          <w:p w14:paraId="0CE3BEA0"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(64.69)</w:t>
            </w:r>
          </w:p>
        </w:tc>
        <w:tc>
          <w:tcPr>
            <w:tcW w:w="1103" w:type="dxa"/>
            <w:shd w:val="clear" w:color="auto" w:fill="auto"/>
            <w:noWrap/>
            <w:vAlign w:val="bottom"/>
            <w:hideMark/>
          </w:tcPr>
          <w:p w14:paraId="1814CA62"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-2017.90</w:t>
            </w:r>
          </w:p>
        </w:tc>
        <w:tc>
          <w:tcPr>
            <w:tcW w:w="1026" w:type="dxa"/>
            <w:shd w:val="clear" w:color="auto" w:fill="auto"/>
            <w:noWrap/>
            <w:vAlign w:val="bottom"/>
            <w:hideMark/>
          </w:tcPr>
          <w:p w14:paraId="70A4C54D"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(1619.52)</w:t>
            </w:r>
          </w:p>
        </w:tc>
      </w:tr>
      <w:tr w:rsidR="00395E9A" w:rsidRPr="00395E9A" w14:paraId="575B0BBE" w14:textId="77777777" w:rsidTr="00395E9A">
        <w:trPr>
          <w:trHeight w:val="300"/>
        </w:trPr>
        <w:tc>
          <w:tcPr>
            <w:tcW w:w="1701" w:type="dxa"/>
            <w:shd w:val="clear" w:color="auto" w:fill="auto"/>
            <w:noWrap/>
            <w:vAlign w:val="bottom"/>
            <w:hideMark/>
          </w:tcPr>
          <w:p w14:paraId="25724B53" w14:textId="32F17776" w:rsidR="00395E9A" w:rsidRPr="00395E9A" w:rsidRDefault="00395E9A" w:rsidP="00395E9A">
            <w:pPr>
              <w:spacing w:after="0"/>
              <w:ind w:left="142"/>
              <w:rPr>
                <w:rFonts w:eastAsia="Times New Roman"/>
                <w:color w:val="000000"/>
                <w:sz w:val="18"/>
                <w:szCs w:val="18"/>
                <w:lang w:eastAsia="en-AU"/>
              </w:rPr>
            </w:pPr>
            <w:r w:rsidRPr="00395E9A">
              <w:rPr>
                <w:rFonts w:eastAsia="Times New Roman"/>
                <w:color w:val="000000"/>
                <w:sz w:val="18"/>
                <w:szCs w:val="18"/>
                <w:lang w:eastAsia="en-AU"/>
              </w:rPr>
              <w:t>Months 7</w:t>
            </w:r>
            <w:r>
              <w:rPr>
                <w:rFonts w:eastAsia="Times New Roman"/>
                <w:color w:val="000000"/>
                <w:sz w:val="18"/>
                <w:szCs w:val="18"/>
                <w:lang w:eastAsia="en-AU"/>
              </w:rPr>
              <w:t>–</w:t>
            </w:r>
            <w:r w:rsidRPr="00395E9A">
              <w:rPr>
                <w:rFonts w:eastAsia="Times New Roman"/>
                <w:color w:val="000000"/>
                <w:sz w:val="18"/>
                <w:szCs w:val="18"/>
                <w:lang w:eastAsia="en-AU"/>
              </w:rPr>
              <w:t>12</w:t>
            </w:r>
          </w:p>
        </w:tc>
        <w:tc>
          <w:tcPr>
            <w:tcW w:w="1134" w:type="dxa"/>
            <w:shd w:val="clear" w:color="auto" w:fill="auto"/>
            <w:noWrap/>
            <w:vAlign w:val="bottom"/>
            <w:hideMark/>
          </w:tcPr>
          <w:p w14:paraId="2CC0858C"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-85.71***</w:t>
            </w:r>
          </w:p>
        </w:tc>
        <w:tc>
          <w:tcPr>
            <w:tcW w:w="817" w:type="dxa"/>
            <w:shd w:val="clear" w:color="auto" w:fill="auto"/>
            <w:noWrap/>
            <w:vAlign w:val="bottom"/>
            <w:hideMark/>
          </w:tcPr>
          <w:p w14:paraId="70D00FE4"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(11.16)</w:t>
            </w:r>
          </w:p>
        </w:tc>
        <w:tc>
          <w:tcPr>
            <w:tcW w:w="1132" w:type="dxa"/>
            <w:shd w:val="clear" w:color="auto" w:fill="auto"/>
            <w:noWrap/>
            <w:vAlign w:val="bottom"/>
            <w:hideMark/>
          </w:tcPr>
          <w:p w14:paraId="78FE9B54"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478.23***</w:t>
            </w:r>
          </w:p>
        </w:tc>
        <w:tc>
          <w:tcPr>
            <w:tcW w:w="853" w:type="dxa"/>
            <w:shd w:val="clear" w:color="auto" w:fill="auto"/>
            <w:noWrap/>
            <w:vAlign w:val="bottom"/>
            <w:hideMark/>
          </w:tcPr>
          <w:p w14:paraId="5A99EF4F"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(32.72)</w:t>
            </w:r>
          </w:p>
        </w:tc>
        <w:tc>
          <w:tcPr>
            <w:tcW w:w="784" w:type="dxa"/>
            <w:shd w:val="clear" w:color="auto" w:fill="auto"/>
            <w:noWrap/>
            <w:vAlign w:val="bottom"/>
            <w:hideMark/>
          </w:tcPr>
          <w:p w14:paraId="5E7E8509"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0.12</w:t>
            </w:r>
          </w:p>
        </w:tc>
        <w:tc>
          <w:tcPr>
            <w:tcW w:w="917" w:type="dxa"/>
            <w:shd w:val="clear" w:color="auto" w:fill="auto"/>
            <w:noWrap/>
            <w:vAlign w:val="bottom"/>
            <w:hideMark/>
          </w:tcPr>
          <w:p w14:paraId="36C29438"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(86.54)</w:t>
            </w:r>
          </w:p>
        </w:tc>
        <w:tc>
          <w:tcPr>
            <w:tcW w:w="1103" w:type="dxa"/>
            <w:shd w:val="clear" w:color="auto" w:fill="auto"/>
            <w:noWrap/>
            <w:vAlign w:val="bottom"/>
            <w:hideMark/>
          </w:tcPr>
          <w:p w14:paraId="61BCFC09"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417.51</w:t>
            </w:r>
          </w:p>
        </w:tc>
        <w:tc>
          <w:tcPr>
            <w:tcW w:w="1026" w:type="dxa"/>
            <w:shd w:val="clear" w:color="auto" w:fill="auto"/>
            <w:noWrap/>
            <w:vAlign w:val="bottom"/>
            <w:hideMark/>
          </w:tcPr>
          <w:p w14:paraId="2A1DE15A"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(2154.15)</w:t>
            </w:r>
          </w:p>
        </w:tc>
      </w:tr>
      <w:tr w:rsidR="00395E9A" w:rsidRPr="00395E9A" w14:paraId="4D46DF20" w14:textId="77777777" w:rsidTr="00395E9A">
        <w:trPr>
          <w:trHeight w:val="300"/>
        </w:trPr>
        <w:tc>
          <w:tcPr>
            <w:tcW w:w="1701" w:type="dxa"/>
            <w:shd w:val="clear" w:color="auto" w:fill="auto"/>
            <w:noWrap/>
            <w:vAlign w:val="bottom"/>
            <w:hideMark/>
          </w:tcPr>
          <w:p w14:paraId="5ADE4DE4" w14:textId="08FDDE28" w:rsidR="00395E9A" w:rsidRPr="00395E9A" w:rsidRDefault="00395E9A" w:rsidP="00395E9A">
            <w:pPr>
              <w:spacing w:after="0"/>
              <w:ind w:left="142"/>
              <w:rPr>
                <w:rFonts w:eastAsia="Times New Roman"/>
                <w:color w:val="000000"/>
                <w:sz w:val="18"/>
                <w:szCs w:val="18"/>
                <w:lang w:eastAsia="en-AU"/>
              </w:rPr>
            </w:pPr>
            <w:r w:rsidRPr="00395E9A">
              <w:rPr>
                <w:rFonts w:eastAsia="Times New Roman"/>
                <w:color w:val="000000"/>
                <w:sz w:val="18"/>
                <w:szCs w:val="18"/>
                <w:lang w:eastAsia="en-AU"/>
              </w:rPr>
              <w:t>Months 13</w:t>
            </w:r>
            <w:r>
              <w:rPr>
                <w:rFonts w:eastAsia="Times New Roman"/>
                <w:color w:val="000000"/>
                <w:sz w:val="18"/>
                <w:szCs w:val="18"/>
                <w:lang w:eastAsia="en-AU"/>
              </w:rPr>
              <w:t>–</w:t>
            </w:r>
            <w:r w:rsidRPr="00395E9A">
              <w:rPr>
                <w:rFonts w:eastAsia="Times New Roman"/>
                <w:color w:val="000000"/>
                <w:sz w:val="18"/>
                <w:szCs w:val="18"/>
                <w:lang w:eastAsia="en-AU"/>
              </w:rPr>
              <w:t>18</w:t>
            </w:r>
          </w:p>
        </w:tc>
        <w:tc>
          <w:tcPr>
            <w:tcW w:w="1134" w:type="dxa"/>
            <w:shd w:val="clear" w:color="auto" w:fill="auto"/>
            <w:noWrap/>
            <w:vAlign w:val="bottom"/>
            <w:hideMark/>
          </w:tcPr>
          <w:p w14:paraId="1D5F03D0"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-79.44***</w:t>
            </w:r>
          </w:p>
        </w:tc>
        <w:tc>
          <w:tcPr>
            <w:tcW w:w="817" w:type="dxa"/>
            <w:shd w:val="clear" w:color="auto" w:fill="auto"/>
            <w:noWrap/>
            <w:vAlign w:val="bottom"/>
            <w:hideMark/>
          </w:tcPr>
          <w:p w14:paraId="61221030"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(11.61)</w:t>
            </w:r>
          </w:p>
        </w:tc>
        <w:tc>
          <w:tcPr>
            <w:tcW w:w="1132" w:type="dxa"/>
            <w:shd w:val="clear" w:color="auto" w:fill="auto"/>
            <w:noWrap/>
            <w:vAlign w:val="bottom"/>
            <w:hideMark/>
          </w:tcPr>
          <w:p w14:paraId="72D3E22B"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454.51***</w:t>
            </w:r>
          </w:p>
        </w:tc>
        <w:tc>
          <w:tcPr>
            <w:tcW w:w="853" w:type="dxa"/>
            <w:shd w:val="clear" w:color="auto" w:fill="auto"/>
            <w:noWrap/>
            <w:vAlign w:val="bottom"/>
            <w:hideMark/>
          </w:tcPr>
          <w:p w14:paraId="45987891"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(23.59)</w:t>
            </w:r>
          </w:p>
        </w:tc>
        <w:tc>
          <w:tcPr>
            <w:tcW w:w="784" w:type="dxa"/>
            <w:shd w:val="clear" w:color="auto" w:fill="auto"/>
            <w:noWrap/>
            <w:vAlign w:val="bottom"/>
            <w:hideMark/>
          </w:tcPr>
          <w:p w14:paraId="055630B7"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28.17</w:t>
            </w:r>
          </w:p>
        </w:tc>
        <w:tc>
          <w:tcPr>
            <w:tcW w:w="917" w:type="dxa"/>
            <w:shd w:val="clear" w:color="auto" w:fill="auto"/>
            <w:noWrap/>
            <w:vAlign w:val="bottom"/>
            <w:hideMark/>
          </w:tcPr>
          <w:p w14:paraId="56978E62"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(47.22)</w:t>
            </w:r>
          </w:p>
        </w:tc>
        <w:tc>
          <w:tcPr>
            <w:tcW w:w="1103" w:type="dxa"/>
            <w:shd w:val="clear" w:color="auto" w:fill="auto"/>
            <w:noWrap/>
            <w:vAlign w:val="bottom"/>
            <w:hideMark/>
          </w:tcPr>
          <w:p w14:paraId="0F3E1E65"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1579.69</w:t>
            </w:r>
          </w:p>
        </w:tc>
        <w:tc>
          <w:tcPr>
            <w:tcW w:w="1026" w:type="dxa"/>
            <w:shd w:val="clear" w:color="auto" w:fill="auto"/>
            <w:noWrap/>
            <w:vAlign w:val="bottom"/>
            <w:hideMark/>
          </w:tcPr>
          <w:p w14:paraId="5D20C588"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(1705.81)</w:t>
            </w:r>
          </w:p>
        </w:tc>
      </w:tr>
      <w:tr w:rsidR="00395E9A" w:rsidRPr="00395E9A" w14:paraId="2ACCCB6E" w14:textId="77777777" w:rsidTr="00395E9A">
        <w:trPr>
          <w:trHeight w:val="300"/>
        </w:trPr>
        <w:tc>
          <w:tcPr>
            <w:tcW w:w="1701" w:type="dxa"/>
            <w:shd w:val="clear" w:color="auto" w:fill="auto"/>
            <w:noWrap/>
            <w:vAlign w:val="bottom"/>
            <w:hideMark/>
          </w:tcPr>
          <w:p w14:paraId="32EABDF8" w14:textId="55B693D0" w:rsidR="00395E9A" w:rsidRPr="00395E9A" w:rsidRDefault="00395E9A" w:rsidP="00395E9A">
            <w:pPr>
              <w:spacing w:after="0"/>
              <w:ind w:left="142"/>
              <w:rPr>
                <w:rFonts w:eastAsia="Times New Roman"/>
                <w:color w:val="000000"/>
                <w:sz w:val="18"/>
                <w:szCs w:val="18"/>
                <w:lang w:eastAsia="en-AU"/>
              </w:rPr>
            </w:pPr>
            <w:r w:rsidRPr="00395E9A">
              <w:rPr>
                <w:rFonts w:eastAsia="Times New Roman"/>
                <w:color w:val="000000"/>
                <w:sz w:val="18"/>
                <w:szCs w:val="18"/>
                <w:lang w:eastAsia="en-AU"/>
              </w:rPr>
              <w:t>Months 19</w:t>
            </w:r>
            <w:r>
              <w:rPr>
                <w:rFonts w:eastAsia="Times New Roman"/>
                <w:color w:val="000000"/>
                <w:sz w:val="18"/>
                <w:szCs w:val="18"/>
                <w:lang w:eastAsia="en-AU"/>
              </w:rPr>
              <w:t>–</w:t>
            </w:r>
            <w:r w:rsidRPr="00395E9A">
              <w:rPr>
                <w:rFonts w:eastAsia="Times New Roman"/>
                <w:color w:val="000000"/>
                <w:sz w:val="18"/>
                <w:szCs w:val="18"/>
                <w:lang w:eastAsia="en-AU"/>
              </w:rPr>
              <w:t>24</w:t>
            </w:r>
          </w:p>
        </w:tc>
        <w:tc>
          <w:tcPr>
            <w:tcW w:w="1134" w:type="dxa"/>
            <w:shd w:val="clear" w:color="auto" w:fill="auto"/>
            <w:noWrap/>
            <w:vAlign w:val="bottom"/>
            <w:hideMark/>
          </w:tcPr>
          <w:p w14:paraId="7286A9C8"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-80.90***</w:t>
            </w:r>
          </w:p>
        </w:tc>
        <w:tc>
          <w:tcPr>
            <w:tcW w:w="817" w:type="dxa"/>
            <w:shd w:val="clear" w:color="auto" w:fill="auto"/>
            <w:noWrap/>
            <w:vAlign w:val="bottom"/>
            <w:hideMark/>
          </w:tcPr>
          <w:p w14:paraId="332C63EE"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(8.56)</w:t>
            </w:r>
          </w:p>
        </w:tc>
        <w:tc>
          <w:tcPr>
            <w:tcW w:w="1132" w:type="dxa"/>
            <w:shd w:val="clear" w:color="auto" w:fill="auto"/>
            <w:noWrap/>
            <w:vAlign w:val="bottom"/>
            <w:hideMark/>
          </w:tcPr>
          <w:p w14:paraId="4902681E"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436.15***</w:t>
            </w:r>
          </w:p>
        </w:tc>
        <w:tc>
          <w:tcPr>
            <w:tcW w:w="853" w:type="dxa"/>
            <w:shd w:val="clear" w:color="auto" w:fill="auto"/>
            <w:noWrap/>
            <w:vAlign w:val="bottom"/>
            <w:hideMark/>
          </w:tcPr>
          <w:p w14:paraId="7C612BC0"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(33.53)</w:t>
            </w:r>
          </w:p>
        </w:tc>
        <w:tc>
          <w:tcPr>
            <w:tcW w:w="784" w:type="dxa"/>
            <w:shd w:val="clear" w:color="auto" w:fill="auto"/>
            <w:noWrap/>
            <w:vAlign w:val="bottom"/>
            <w:hideMark/>
          </w:tcPr>
          <w:p w14:paraId="36D85152"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15.45</w:t>
            </w:r>
          </w:p>
        </w:tc>
        <w:tc>
          <w:tcPr>
            <w:tcW w:w="917" w:type="dxa"/>
            <w:shd w:val="clear" w:color="auto" w:fill="auto"/>
            <w:noWrap/>
            <w:vAlign w:val="bottom"/>
            <w:hideMark/>
          </w:tcPr>
          <w:p w14:paraId="23B49846"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(32.07)</w:t>
            </w:r>
          </w:p>
        </w:tc>
        <w:tc>
          <w:tcPr>
            <w:tcW w:w="1103" w:type="dxa"/>
            <w:shd w:val="clear" w:color="auto" w:fill="auto"/>
            <w:noWrap/>
            <w:vAlign w:val="bottom"/>
            <w:hideMark/>
          </w:tcPr>
          <w:p w14:paraId="624274F8"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-3798.86</w:t>
            </w:r>
          </w:p>
        </w:tc>
        <w:tc>
          <w:tcPr>
            <w:tcW w:w="1026" w:type="dxa"/>
            <w:shd w:val="clear" w:color="auto" w:fill="auto"/>
            <w:noWrap/>
            <w:vAlign w:val="bottom"/>
            <w:hideMark/>
          </w:tcPr>
          <w:p w14:paraId="2A8E2922"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(2186.49)</w:t>
            </w:r>
          </w:p>
        </w:tc>
      </w:tr>
      <w:tr w:rsidR="0063322B" w:rsidRPr="00395E9A" w14:paraId="256703C9" w14:textId="77777777" w:rsidTr="00395E9A">
        <w:trPr>
          <w:trHeight w:val="300"/>
        </w:trPr>
        <w:tc>
          <w:tcPr>
            <w:tcW w:w="1701" w:type="dxa"/>
            <w:shd w:val="clear" w:color="auto" w:fill="auto"/>
            <w:noWrap/>
            <w:vAlign w:val="bottom"/>
            <w:hideMark/>
          </w:tcPr>
          <w:p w14:paraId="0DA4F8C8" w14:textId="77777777" w:rsidR="0063322B" w:rsidRPr="00395E9A" w:rsidRDefault="0063322B" w:rsidP="00897452">
            <w:pPr>
              <w:spacing w:after="0"/>
              <w:rPr>
                <w:rFonts w:eastAsia="Times New Roman"/>
                <w:color w:val="000000"/>
                <w:sz w:val="18"/>
                <w:szCs w:val="18"/>
                <w:lang w:eastAsia="en-AU"/>
              </w:rPr>
            </w:pPr>
            <w:r w:rsidRPr="00395E9A">
              <w:rPr>
                <w:rFonts w:eastAsia="Times New Roman"/>
                <w:color w:val="000000"/>
                <w:sz w:val="18"/>
                <w:szCs w:val="18"/>
                <w:lang w:eastAsia="en-AU"/>
              </w:rPr>
              <w:t>Sample size</w:t>
            </w:r>
          </w:p>
        </w:tc>
        <w:tc>
          <w:tcPr>
            <w:tcW w:w="1951" w:type="dxa"/>
            <w:gridSpan w:val="2"/>
            <w:shd w:val="clear" w:color="auto" w:fill="auto"/>
            <w:noWrap/>
            <w:vAlign w:val="bottom"/>
            <w:hideMark/>
          </w:tcPr>
          <w:p w14:paraId="0CE8BE84"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116,964</w:t>
            </w:r>
          </w:p>
        </w:tc>
        <w:tc>
          <w:tcPr>
            <w:tcW w:w="1985" w:type="dxa"/>
            <w:gridSpan w:val="2"/>
            <w:shd w:val="clear" w:color="auto" w:fill="auto"/>
            <w:noWrap/>
            <w:vAlign w:val="bottom"/>
            <w:hideMark/>
          </w:tcPr>
          <w:p w14:paraId="57E187B9"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116,964</w:t>
            </w:r>
          </w:p>
        </w:tc>
        <w:tc>
          <w:tcPr>
            <w:tcW w:w="1701" w:type="dxa"/>
            <w:gridSpan w:val="2"/>
            <w:shd w:val="clear" w:color="auto" w:fill="auto"/>
            <w:noWrap/>
            <w:vAlign w:val="bottom"/>
            <w:hideMark/>
          </w:tcPr>
          <w:p w14:paraId="02209FC6"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109,018</w:t>
            </w:r>
          </w:p>
        </w:tc>
        <w:tc>
          <w:tcPr>
            <w:tcW w:w="2129" w:type="dxa"/>
            <w:gridSpan w:val="2"/>
            <w:shd w:val="clear" w:color="auto" w:fill="auto"/>
            <w:noWrap/>
            <w:vAlign w:val="bottom"/>
            <w:hideMark/>
          </w:tcPr>
          <w:p w14:paraId="389E210F"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3,842</w:t>
            </w:r>
          </w:p>
        </w:tc>
      </w:tr>
    </w:tbl>
    <w:p w14:paraId="7C08FD7F" w14:textId="77827B30" w:rsidR="0063322B" w:rsidRDefault="00001DEB" w:rsidP="001F6550">
      <w:pPr>
        <w:pStyle w:val="Chartortablefootnote"/>
      </w:pPr>
      <w:r>
        <w:t xml:space="preserve">Notes: </w:t>
      </w:r>
      <w:r w:rsidR="0063322B">
        <w:t xml:space="preserve">Results are based on a per-patient, per-period basis. </w:t>
      </w:r>
      <w:r w:rsidR="0063322B" w:rsidRPr="00EE4F95">
        <w:t>Clustered standard errors in parentheses.</w:t>
      </w:r>
      <w:r w:rsidR="0063322B">
        <w:t xml:space="preserve"> Statistically significant results denoted by:</w:t>
      </w:r>
      <w:r w:rsidR="00A561EE">
        <w:t xml:space="preserve"> </w:t>
      </w:r>
      <w:r w:rsidR="0063322B" w:rsidRPr="00EE4F95">
        <w:t>*** p&lt;0.01, ** p&lt;0.05, * p&lt;0.1</w:t>
      </w:r>
    </w:p>
    <w:p w14:paraId="0168157A" w14:textId="77777777" w:rsidR="0063322B" w:rsidRDefault="0063322B" w:rsidP="0063322B">
      <w:pPr>
        <w:pStyle w:val="Heading3"/>
      </w:pPr>
      <w:r>
        <w:t xml:space="preserve">Pharmaceutical Benefit Scheme </w:t>
      </w:r>
      <w:r w:rsidRPr="00EE4F95">
        <w:t>expenditures</w:t>
      </w:r>
    </w:p>
    <w:p w14:paraId="110C892B" w14:textId="4B018CCE" w:rsidR="0063322B" w:rsidRDefault="00BE4EB5" w:rsidP="0063322B">
      <w:r w:rsidRPr="00FF2A01">
        <w:rPr>
          <w:rFonts w:eastAsiaTheme="minorEastAsia"/>
          <w:bCs/>
          <w:color w:val="1D2455"/>
          <w:szCs w:val="20"/>
          <w:lang w:eastAsia="en-AU"/>
        </w:rPr>
        <w:fldChar w:fldCharType="begin"/>
      </w:r>
      <w:r w:rsidRPr="00FF2A01">
        <w:rPr>
          <w:rFonts w:eastAsiaTheme="minorEastAsia"/>
          <w:bCs/>
          <w:color w:val="1D2455"/>
          <w:szCs w:val="20"/>
          <w:lang w:eastAsia="en-AU"/>
        </w:rPr>
        <w:instrText xml:space="preserve"> REF _Ref98493269 \h </w:instrText>
      </w:r>
      <w:r w:rsidR="00FF2A01">
        <w:rPr>
          <w:rFonts w:eastAsiaTheme="minorEastAsia"/>
          <w:bCs/>
          <w:color w:val="1D2455"/>
          <w:szCs w:val="20"/>
          <w:lang w:eastAsia="en-AU"/>
        </w:rPr>
        <w:instrText xml:space="preserve"> \* MERGEFORMAT </w:instrText>
      </w:r>
      <w:r w:rsidRPr="00FF2A01">
        <w:rPr>
          <w:rFonts w:eastAsiaTheme="minorEastAsia"/>
          <w:bCs/>
          <w:color w:val="1D2455"/>
          <w:szCs w:val="20"/>
          <w:lang w:eastAsia="en-AU"/>
        </w:rPr>
      </w:r>
      <w:r w:rsidRPr="00FF2A01">
        <w:rPr>
          <w:rFonts w:eastAsiaTheme="minorEastAsia"/>
          <w:bCs/>
          <w:color w:val="1D2455"/>
          <w:szCs w:val="20"/>
          <w:lang w:eastAsia="en-AU"/>
        </w:rPr>
        <w:fldChar w:fldCharType="separate"/>
      </w:r>
      <w:r w:rsidR="003C4BC2" w:rsidRPr="003C4BC2">
        <w:rPr>
          <w:rFonts w:eastAsiaTheme="minorEastAsia"/>
          <w:bCs/>
          <w:color w:val="1D2455"/>
          <w:szCs w:val="20"/>
          <w:lang w:eastAsia="en-AU"/>
        </w:rPr>
        <w:t>Figure 73</w:t>
      </w:r>
      <w:r w:rsidRPr="00FF2A01">
        <w:rPr>
          <w:rFonts w:eastAsiaTheme="minorEastAsia"/>
          <w:bCs/>
          <w:color w:val="1D2455"/>
          <w:szCs w:val="20"/>
          <w:lang w:eastAsia="en-AU"/>
        </w:rPr>
        <w:fldChar w:fldCharType="end"/>
      </w:r>
      <w:r>
        <w:t xml:space="preserve"> </w:t>
      </w:r>
      <w:r w:rsidR="0063322B">
        <w:t xml:space="preserve">illustrates the change in government expenditures on medicines funded through the PBS, on a per patient basis, for HCH patients as well as </w:t>
      </w:r>
      <w:r w:rsidR="009443E6">
        <w:t xml:space="preserve">for </w:t>
      </w:r>
      <w:r w:rsidR="0063322B">
        <w:t xml:space="preserve">control group patients. The data show that the cost of PBS medicines rises substantially in line with patient complexity, as evidenced by the gap in expenditures by patient tier. There were moderate increases in PBS expenditures on </w:t>
      </w:r>
      <w:r w:rsidR="00770301">
        <w:t>tier</w:t>
      </w:r>
      <w:r w:rsidR="0063322B">
        <w:t xml:space="preserve">s 1 and 2 HCH patients, as well as control group patients. Expenditures </w:t>
      </w:r>
      <w:r w:rsidR="0063322B">
        <w:lastRenderedPageBreak/>
        <w:t xml:space="preserve">on </w:t>
      </w:r>
      <w:r w:rsidR="00770301">
        <w:t>tier</w:t>
      </w:r>
      <w:r w:rsidR="0063322B">
        <w:t xml:space="preserve"> 3 patients were stable across the study period. Overall, the graph does not indicate any change in outcomes for the enrolled HCH patients.</w:t>
      </w:r>
    </w:p>
    <w:p w14:paraId="139F642D" w14:textId="0B6602BD" w:rsidR="006C5EFD" w:rsidRDefault="0063322B" w:rsidP="00482089">
      <w:pPr>
        <w:pStyle w:val="TableFigureheading"/>
      </w:pPr>
      <w:bookmarkStart w:id="413" w:name="_Ref98493269"/>
      <w:r w:rsidRPr="006C5EFD">
        <w:t xml:space="preserve">Figure </w:t>
      </w:r>
      <w:r w:rsidR="00BE4EB5">
        <w:fldChar w:fldCharType="begin"/>
      </w:r>
      <w:r w:rsidR="00BE4EB5">
        <w:instrText>SEQ Figure \* ARABIC</w:instrText>
      </w:r>
      <w:r w:rsidR="00BE4EB5">
        <w:fldChar w:fldCharType="separate"/>
      </w:r>
      <w:r w:rsidR="003C4BC2">
        <w:rPr>
          <w:noProof/>
        </w:rPr>
        <w:t>73</w:t>
      </w:r>
      <w:r w:rsidR="00BE4EB5">
        <w:fldChar w:fldCharType="end"/>
      </w:r>
      <w:bookmarkEnd w:id="413"/>
      <w:r w:rsidR="00BE4EB5">
        <w:t>:</w:t>
      </w:r>
      <w:r w:rsidR="00BE4EB5" w:rsidRPr="00E52931">
        <w:t xml:space="preserve"> </w:t>
      </w:r>
      <w:r w:rsidRPr="006C5EFD">
        <w:t>Changes in PBS expenditures, by patient tier</w:t>
      </w:r>
    </w:p>
    <w:p w14:paraId="28F6F1AB" w14:textId="53DB0017" w:rsidR="0063322B" w:rsidRDefault="0063322B" w:rsidP="00482089">
      <w:pPr>
        <w:jc w:val="center"/>
      </w:pPr>
      <w:r>
        <w:rPr>
          <w:noProof/>
        </w:rPr>
        <w:drawing>
          <wp:inline distT="0" distB="0" distL="0" distR="0" wp14:anchorId="353FFE1A" wp14:editId="7303FEB0">
            <wp:extent cx="4343400" cy="2533498"/>
            <wp:effectExtent l="0" t="0" r="0" b="635"/>
            <wp:docPr id="57" name="Picture 5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Chart, line chart&#10;&#10;Description automatically generate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348726" cy="2536605"/>
                    </a:xfrm>
                    <a:prstGeom prst="rect">
                      <a:avLst/>
                    </a:prstGeom>
                    <a:noFill/>
                    <a:ln>
                      <a:noFill/>
                    </a:ln>
                  </pic:spPr>
                </pic:pic>
              </a:graphicData>
            </a:graphic>
          </wp:inline>
        </w:drawing>
      </w:r>
    </w:p>
    <w:p w14:paraId="24A1F132" w14:textId="6CC2885D" w:rsidR="0063322B" w:rsidRDefault="0063322B" w:rsidP="0063322B">
      <w:r>
        <w:t xml:space="preserve">The regression results in </w:t>
      </w:r>
      <w:r w:rsidR="00FF2A01" w:rsidRPr="00BD4596">
        <w:rPr>
          <w:rStyle w:val="TableorFigurecaptionHPAChar"/>
        </w:rPr>
        <w:fldChar w:fldCharType="begin"/>
      </w:r>
      <w:r w:rsidR="00FF2A01" w:rsidRPr="00BD4596">
        <w:rPr>
          <w:rStyle w:val="TableorFigurecaptionHPAChar"/>
        </w:rPr>
        <w:instrText xml:space="preserve"> REF _Ref98493028 \h </w:instrText>
      </w:r>
      <w:r w:rsidR="00FF2A01">
        <w:rPr>
          <w:rStyle w:val="TableorFigurecaptionHPAChar"/>
        </w:rPr>
        <w:instrText xml:space="preserve"> \* MERGEFORMAT </w:instrText>
      </w:r>
      <w:r w:rsidR="00FF2A01" w:rsidRPr="00BD4596">
        <w:rPr>
          <w:rStyle w:val="TableorFigurecaptionHPAChar"/>
        </w:rPr>
      </w:r>
      <w:r w:rsidR="00FF2A01" w:rsidRPr="00BD4596">
        <w:rPr>
          <w:rStyle w:val="TableorFigurecaptionHPAChar"/>
        </w:rPr>
        <w:fldChar w:fldCharType="separate"/>
      </w:r>
      <w:r w:rsidR="003C4BC2" w:rsidRPr="003C4BC2">
        <w:rPr>
          <w:rStyle w:val="TableorFigurecaptionHPAChar"/>
        </w:rPr>
        <w:t>Table 53</w:t>
      </w:r>
      <w:r w:rsidR="00FF2A01" w:rsidRPr="00BD4596">
        <w:rPr>
          <w:rStyle w:val="TableorFigurecaptionHPAChar"/>
        </w:rPr>
        <w:fldChar w:fldCharType="end"/>
      </w:r>
      <w:r>
        <w:t xml:space="preserve"> above show that overall, the HCH had no significant impact on government PBS expenditures for enrolled patients. While the estimated treatment effects were positive, these were not statistically significant.</w:t>
      </w:r>
    </w:p>
    <w:p w14:paraId="73AED29B" w14:textId="77777777" w:rsidR="0063322B" w:rsidRDefault="0063322B" w:rsidP="0063322B">
      <w:pPr>
        <w:pStyle w:val="Heading3"/>
      </w:pPr>
      <w:r>
        <w:t>Hospital expenditures</w:t>
      </w:r>
    </w:p>
    <w:p w14:paraId="14D278CA" w14:textId="16C86705" w:rsidR="0063322B" w:rsidRDefault="00B70617" w:rsidP="0063322B">
      <w:r w:rsidRPr="00B70617">
        <w:fldChar w:fldCharType="begin"/>
      </w:r>
      <w:r w:rsidRPr="00B70617">
        <w:instrText xml:space="preserve"> REF _Ref98493394 \h  \* MERGEFORMAT </w:instrText>
      </w:r>
      <w:r w:rsidRPr="00B70617">
        <w:fldChar w:fldCharType="separate"/>
      </w:r>
      <w:r w:rsidR="003C4BC2" w:rsidRPr="00482089">
        <w:rPr>
          <w:rStyle w:val="TableorFigurecaptionHPAChar"/>
        </w:rPr>
        <w:t xml:space="preserve">Figure </w:t>
      </w:r>
      <w:r w:rsidR="003C4BC2" w:rsidRPr="003C4BC2">
        <w:rPr>
          <w:rStyle w:val="TableorFigurecaptionHPAChar"/>
        </w:rPr>
        <w:t>74</w:t>
      </w:r>
      <w:r w:rsidRPr="00B70617">
        <w:fldChar w:fldCharType="end"/>
      </w:r>
      <w:r w:rsidRPr="00B70617">
        <w:t xml:space="preserve"> </w:t>
      </w:r>
      <w:r w:rsidR="0063322B">
        <w:t>shows the changes in average hospitalisation costs per patient in six-monthly periods before and after enrolment. Note that costs are defined as the average cost per episode of care, assigned according to</w:t>
      </w:r>
      <w:r w:rsidR="009738BB">
        <w:t xml:space="preserve"> the </w:t>
      </w:r>
      <w:r w:rsidR="0038297A">
        <w:t xml:space="preserve">Australian Refined </w:t>
      </w:r>
      <w:r w:rsidR="009738BB">
        <w:t>Diagnosis Related Group (</w:t>
      </w:r>
      <w:r w:rsidR="0038297A">
        <w:t>AR-</w:t>
      </w:r>
      <w:r w:rsidR="0063322B">
        <w:t>DRG</w:t>
      </w:r>
      <w:r w:rsidR="009738BB">
        <w:t>)</w:t>
      </w:r>
      <w:r w:rsidR="0063322B">
        <w:t xml:space="preserve"> classification, in both public and private hospitals. </w:t>
      </w:r>
      <w:bookmarkStart w:id="414" w:name="_Hlk78200843"/>
    </w:p>
    <w:p w14:paraId="69708B9D" w14:textId="76ABCE77" w:rsidR="0063322B" w:rsidRDefault="0063322B" w:rsidP="0063322B">
      <w:r>
        <w:t xml:space="preserve">The data indicates that </w:t>
      </w:r>
      <w:r w:rsidR="00770301">
        <w:t>tier</w:t>
      </w:r>
      <w:r>
        <w:t xml:space="preserve"> 3 HCH patients have the highest hospitalisation costs, with little difference between </w:t>
      </w:r>
      <w:r w:rsidR="00770301">
        <w:t>tier</w:t>
      </w:r>
      <w:r>
        <w:t xml:space="preserve"> 1 and 2 patients. While there were no clear trends following enrolment in the HCH program (compared </w:t>
      </w:r>
      <w:r w:rsidR="009443E6">
        <w:t>with</w:t>
      </w:r>
      <w:r>
        <w:t xml:space="preserve"> control group patients, whose hospital costs were stable throughout the follow-up period), it may be too early to observe substantial downstream effects. </w:t>
      </w:r>
    </w:p>
    <w:p w14:paraId="2CA28D4B" w14:textId="5C03711C" w:rsidR="004E1B62" w:rsidRDefault="0063322B" w:rsidP="00FE46F9">
      <w:r>
        <w:t xml:space="preserve">The regression results in </w:t>
      </w:r>
      <w:r w:rsidR="00B70617" w:rsidRPr="00BD4596">
        <w:rPr>
          <w:rStyle w:val="TableorFigurecaptionHPAChar"/>
        </w:rPr>
        <w:fldChar w:fldCharType="begin"/>
      </w:r>
      <w:r w:rsidR="00B70617" w:rsidRPr="00BD4596">
        <w:rPr>
          <w:rStyle w:val="TableorFigurecaptionHPAChar"/>
        </w:rPr>
        <w:instrText xml:space="preserve"> REF _Ref98493028 \h </w:instrText>
      </w:r>
      <w:r w:rsidR="00B70617">
        <w:rPr>
          <w:rStyle w:val="TableorFigurecaptionHPAChar"/>
        </w:rPr>
        <w:instrText xml:space="preserve"> \* MERGEFORMAT </w:instrText>
      </w:r>
      <w:r w:rsidR="00B70617" w:rsidRPr="00BD4596">
        <w:rPr>
          <w:rStyle w:val="TableorFigurecaptionHPAChar"/>
        </w:rPr>
      </w:r>
      <w:r w:rsidR="00B70617" w:rsidRPr="00BD4596">
        <w:rPr>
          <w:rStyle w:val="TableorFigurecaptionHPAChar"/>
        </w:rPr>
        <w:fldChar w:fldCharType="separate"/>
      </w:r>
      <w:r w:rsidR="003C4BC2" w:rsidRPr="003C4BC2">
        <w:rPr>
          <w:rStyle w:val="TableorFigurecaptionHPAChar"/>
        </w:rPr>
        <w:t>Table 53</w:t>
      </w:r>
      <w:r w:rsidR="00B70617" w:rsidRPr="00BD4596">
        <w:rPr>
          <w:rStyle w:val="TableorFigurecaptionHPAChar"/>
        </w:rPr>
        <w:fldChar w:fldCharType="end"/>
      </w:r>
      <w:r>
        <w:t xml:space="preserve"> show that the HCH program had no consistent or statistically significant impact on the cost of hospital admissions. Although the estimated effects in each period were potentially large, large standard errors rendered these estimates statistically insignificant.</w:t>
      </w:r>
    </w:p>
    <w:p w14:paraId="68E5B0C3" w14:textId="77777777" w:rsidR="004E1B62" w:rsidRDefault="004E1B62">
      <w:pPr>
        <w:spacing w:after="160" w:line="259" w:lineRule="auto"/>
      </w:pPr>
      <w:r>
        <w:br w:type="page"/>
      </w:r>
    </w:p>
    <w:p w14:paraId="408A7542" w14:textId="06356040" w:rsidR="00482089" w:rsidRDefault="0063322B" w:rsidP="00482089">
      <w:pPr>
        <w:pStyle w:val="Caption"/>
        <w:spacing w:after="0"/>
        <w:jc w:val="center"/>
        <w:rPr>
          <w:rStyle w:val="TableorFigurecaptionHPAChar"/>
          <w:i w:val="0"/>
          <w:iCs w:val="0"/>
        </w:rPr>
      </w:pPr>
      <w:bookmarkStart w:id="415" w:name="_Ref98493394"/>
      <w:r w:rsidRPr="00482089">
        <w:rPr>
          <w:rStyle w:val="TableorFigurecaptionHPAChar"/>
          <w:i w:val="0"/>
          <w:iCs w:val="0"/>
        </w:rPr>
        <w:lastRenderedPageBreak/>
        <w:t xml:space="preserve">Figure </w:t>
      </w:r>
      <w:r w:rsidR="00FF2A01" w:rsidRPr="00FF2A01">
        <w:rPr>
          <w:rStyle w:val="TableorFigurecaptionHPAChar"/>
          <w:i w:val="0"/>
          <w:iCs w:val="0"/>
        </w:rPr>
        <w:fldChar w:fldCharType="begin"/>
      </w:r>
      <w:r w:rsidR="00FF2A01" w:rsidRPr="00FF2A01">
        <w:rPr>
          <w:rStyle w:val="TableorFigurecaptionHPAChar"/>
          <w:i w:val="0"/>
          <w:iCs w:val="0"/>
        </w:rPr>
        <w:instrText>SEQ Figure \* ARABIC</w:instrText>
      </w:r>
      <w:r w:rsidR="00FF2A01" w:rsidRPr="00FF2A01">
        <w:rPr>
          <w:rStyle w:val="TableorFigurecaptionHPAChar"/>
          <w:i w:val="0"/>
          <w:iCs w:val="0"/>
        </w:rPr>
        <w:fldChar w:fldCharType="separate"/>
      </w:r>
      <w:r w:rsidR="003C4BC2">
        <w:rPr>
          <w:rStyle w:val="TableorFigurecaptionHPAChar"/>
          <w:i w:val="0"/>
          <w:iCs w:val="0"/>
          <w:noProof/>
        </w:rPr>
        <w:t>74</w:t>
      </w:r>
      <w:r w:rsidR="00FF2A01" w:rsidRPr="00FF2A01">
        <w:rPr>
          <w:rStyle w:val="TableorFigurecaptionHPAChar"/>
          <w:i w:val="0"/>
          <w:iCs w:val="0"/>
        </w:rPr>
        <w:fldChar w:fldCharType="end"/>
      </w:r>
      <w:bookmarkEnd w:id="415"/>
      <w:r w:rsidR="00FF2A01" w:rsidRPr="00FF2A01">
        <w:rPr>
          <w:rStyle w:val="TableorFigurecaptionHPAChar"/>
          <w:i w:val="0"/>
          <w:iCs w:val="0"/>
        </w:rPr>
        <w:t>:</w:t>
      </w:r>
      <w:r w:rsidRPr="00482089">
        <w:rPr>
          <w:rStyle w:val="TableorFigurecaptionHPAChar"/>
          <w:i w:val="0"/>
          <w:iCs w:val="0"/>
        </w:rPr>
        <w:t xml:space="preserve"> Changes in hospitalisation costs, by patient tier</w:t>
      </w:r>
    </w:p>
    <w:p w14:paraId="730BC142" w14:textId="53D22962" w:rsidR="0063322B" w:rsidRDefault="0063322B" w:rsidP="00482089">
      <w:pPr>
        <w:spacing w:after="0"/>
        <w:jc w:val="center"/>
      </w:pPr>
      <w:r>
        <w:rPr>
          <w:noProof/>
        </w:rPr>
        <w:drawing>
          <wp:inline distT="0" distB="0" distL="0" distR="0" wp14:anchorId="7B4E9E92" wp14:editId="122631F7">
            <wp:extent cx="4561840" cy="2693670"/>
            <wp:effectExtent l="0" t="0" r="0" b="0"/>
            <wp:docPr id="58" name="Picture 5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hart, line char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61840" cy="2693670"/>
                    </a:xfrm>
                    <a:prstGeom prst="rect">
                      <a:avLst/>
                    </a:prstGeom>
                    <a:noFill/>
                    <a:ln>
                      <a:noFill/>
                    </a:ln>
                  </pic:spPr>
                </pic:pic>
              </a:graphicData>
            </a:graphic>
          </wp:inline>
        </w:drawing>
      </w:r>
    </w:p>
    <w:p w14:paraId="250201B5" w14:textId="0286CF27" w:rsidR="0063322B" w:rsidRPr="00AC2FE5" w:rsidRDefault="00001DEB" w:rsidP="00482089">
      <w:pPr>
        <w:pStyle w:val="Chartortablefootnote"/>
      </w:pPr>
      <w:r>
        <w:t xml:space="preserve">Notes: </w:t>
      </w:r>
      <w:r w:rsidR="006524FD">
        <w:t>The Figure</w:t>
      </w:r>
      <w:r w:rsidR="0063322B" w:rsidRPr="00AC2FE5">
        <w:t xml:space="preserve"> plots the average cost of hospital admissions per enrolled HCH patient per period, for the 12 months before and 24 months after enrolment. Hospital costs have been assigned according to AR</w:t>
      </w:r>
      <w:r w:rsidR="006524FD">
        <w:t>-</w:t>
      </w:r>
      <w:r w:rsidR="0063322B" w:rsidRPr="00AC2FE5">
        <w:t>DRG</w:t>
      </w:r>
      <w:r w:rsidR="001469AD">
        <w:t>s</w:t>
      </w:r>
      <w:r w:rsidR="0063322B" w:rsidRPr="00AC2FE5">
        <w:t xml:space="preserve"> versions 7.0 and </w:t>
      </w:r>
      <w:r w:rsidR="00802F3D" w:rsidRPr="00AC2FE5">
        <w:t>8.0 and</w:t>
      </w:r>
      <w:r w:rsidR="0063322B" w:rsidRPr="00AC2FE5">
        <w:t xml:space="preserve"> mapped to cost estimates from the </w:t>
      </w:r>
      <w:r w:rsidR="009738BB">
        <w:t>National Hospital Cost Data Collection</w:t>
      </w:r>
      <w:r w:rsidR="0063322B" w:rsidRPr="00AC2FE5">
        <w:t xml:space="preserve"> (public admissions) and </w:t>
      </w:r>
      <w:r w:rsidR="009738BB">
        <w:t xml:space="preserve">Hospital </w:t>
      </w:r>
      <w:proofErr w:type="spellStart"/>
      <w:r w:rsidR="009738BB">
        <w:t>Casemix</w:t>
      </w:r>
      <w:proofErr w:type="spellEnd"/>
      <w:r w:rsidR="009738BB">
        <w:t xml:space="preserve"> Protocol</w:t>
      </w:r>
      <w:r w:rsidR="0063322B" w:rsidRPr="00AC2FE5">
        <w:t xml:space="preserve"> (private admissions) Annual Reports, and indexed to 2019 dollars.</w:t>
      </w:r>
    </w:p>
    <w:bookmarkEnd w:id="414"/>
    <w:p w14:paraId="2A8B14F8" w14:textId="77777777" w:rsidR="0063322B" w:rsidRDefault="0063322B" w:rsidP="0063322B">
      <w:pPr>
        <w:pStyle w:val="Heading3"/>
      </w:pPr>
      <w:r>
        <w:t>Value for money</w:t>
      </w:r>
    </w:p>
    <w:p w14:paraId="34B036B3" w14:textId="22FA5F1E" w:rsidR="0063322B" w:rsidRDefault="00D7068C" w:rsidP="0063322B">
      <w:bookmarkStart w:id="416" w:name="_Hlk97069163"/>
      <w:r>
        <w:t>S</w:t>
      </w:r>
      <w:r w:rsidRPr="00272184">
        <w:t>ince 2016</w:t>
      </w:r>
      <w:r>
        <w:t>–</w:t>
      </w:r>
      <w:r w:rsidRPr="00272184">
        <w:t>17</w:t>
      </w:r>
      <w:r>
        <w:t xml:space="preserve">, </w:t>
      </w:r>
      <w:r w:rsidR="0063322B" w:rsidRPr="00272184">
        <w:t>the Australian Government</w:t>
      </w:r>
      <w:r w:rsidR="009B3F92">
        <w:t xml:space="preserve"> committed </w:t>
      </w:r>
      <w:r w:rsidR="009B3F92" w:rsidRPr="00272184">
        <w:t>$84.7 million</w:t>
      </w:r>
      <w:r w:rsidR="009B3F92">
        <w:t xml:space="preserve"> for HCH</w:t>
      </w:r>
      <w:r w:rsidR="0063322B" w:rsidRPr="00272184">
        <w:t xml:space="preserve">, including $54.6 million for clinical purposes. An assessment of whether these outlays represented value for money would traditionally be informed by an analysis of costs for delivering improved outcomes to HCH patients </w:t>
      </w:r>
      <w:r w:rsidR="00E602FD">
        <w:t>compared with</w:t>
      </w:r>
      <w:r w:rsidR="0063322B" w:rsidRPr="00272184">
        <w:t xml:space="preserve"> the cost of care under the conventional model of care. However, the earlier chapters in this report indicated there was little improvement in health or </w:t>
      </w:r>
      <w:r w:rsidR="00DA34EA">
        <w:t>health care</w:t>
      </w:r>
      <w:r w:rsidR="0063322B" w:rsidRPr="00272184">
        <w:t xml:space="preserve"> use outcomes for enrolled HCH patients. While there may be improvements over time or in other areas such as care coordination and patient satisfaction, we cannot at this stage conclude that the HCH program delivered value for money</w:t>
      </w:r>
      <w:bookmarkEnd w:id="416"/>
      <w:r w:rsidR="0063322B" w:rsidRPr="00272184">
        <w:t>.</w:t>
      </w:r>
    </w:p>
    <w:p w14:paraId="672F4B3D" w14:textId="77777777" w:rsidR="0063322B" w:rsidRDefault="0063322B" w:rsidP="0063322B">
      <w:pPr>
        <w:pStyle w:val="Heading2"/>
      </w:pPr>
      <w:bookmarkStart w:id="417" w:name="_Ref103772217"/>
      <w:bookmarkStart w:id="418" w:name="_Toc109996746"/>
      <w:r>
        <w:t>Impact on patients</w:t>
      </w:r>
      <w:bookmarkEnd w:id="417"/>
      <w:bookmarkEnd w:id="418"/>
    </w:p>
    <w:p w14:paraId="1C6657AD" w14:textId="77777777" w:rsidR="0063322B" w:rsidRDefault="0063322B" w:rsidP="0063322B">
      <w:r>
        <w:t xml:space="preserve">In this section we examine the impact of HCH on patient financial outcomes, and in particular focus on patient out-of-pocket costs for Medicare services and for PBS medicines. </w:t>
      </w:r>
    </w:p>
    <w:p w14:paraId="1D3E4CA2" w14:textId="77777777" w:rsidR="0063322B" w:rsidRPr="001C4FCE" w:rsidRDefault="0063322B" w:rsidP="0063322B">
      <w:pPr>
        <w:pStyle w:val="Heading3"/>
      </w:pPr>
      <w:bookmarkStart w:id="419" w:name="_Hlk94727541"/>
      <w:r>
        <w:t>Out-of-pocket costs for Medicare services</w:t>
      </w:r>
    </w:p>
    <w:p w14:paraId="7A0EB2F2" w14:textId="65DEFC10" w:rsidR="0063322B" w:rsidRDefault="0063322B" w:rsidP="0063322B">
      <w:bookmarkStart w:id="420" w:name="_Hlk94727561"/>
      <w:bookmarkEnd w:id="419"/>
      <w:r>
        <w:t xml:space="preserve">Under the fee-for-service model, patients face an out-of-pocket cost for each Medicare service which is determined by the difference between the provider’s fee and the associated Medicare rebate. </w:t>
      </w:r>
      <w:r w:rsidR="00E44937" w:rsidRPr="00E44937">
        <w:rPr>
          <w:rFonts w:eastAsiaTheme="minorEastAsia"/>
          <w:color w:val="1D2455"/>
          <w:szCs w:val="20"/>
          <w:lang w:eastAsia="en-AU"/>
        </w:rPr>
        <w:fldChar w:fldCharType="begin"/>
      </w:r>
      <w:r w:rsidR="00E44937" w:rsidRPr="00E44937">
        <w:rPr>
          <w:rFonts w:eastAsiaTheme="minorEastAsia"/>
          <w:color w:val="1D2455"/>
          <w:szCs w:val="20"/>
          <w:lang w:eastAsia="en-AU"/>
        </w:rPr>
        <w:instrText xml:space="preserve"> REF _Ref98499422 \h  \* MERGEFORMAT </w:instrText>
      </w:r>
      <w:r w:rsidR="00E44937" w:rsidRPr="00E44937">
        <w:rPr>
          <w:rFonts w:eastAsiaTheme="minorEastAsia"/>
          <w:color w:val="1D2455"/>
          <w:szCs w:val="20"/>
          <w:lang w:eastAsia="en-AU"/>
        </w:rPr>
      </w:r>
      <w:r w:rsidR="00E44937" w:rsidRPr="00E44937">
        <w:rPr>
          <w:rFonts w:eastAsiaTheme="minorEastAsia"/>
          <w:color w:val="1D2455"/>
          <w:szCs w:val="20"/>
          <w:lang w:eastAsia="en-AU"/>
        </w:rPr>
        <w:fldChar w:fldCharType="separate"/>
      </w:r>
      <w:r w:rsidR="003C4BC2" w:rsidRPr="003C4BC2">
        <w:rPr>
          <w:rFonts w:eastAsiaTheme="minorEastAsia"/>
          <w:color w:val="1D2455"/>
          <w:szCs w:val="20"/>
          <w:lang w:eastAsia="en-AU"/>
        </w:rPr>
        <w:t xml:space="preserve">Figure </w:t>
      </w:r>
      <w:r w:rsidR="003C4BC2" w:rsidRPr="003C4BC2">
        <w:t>75</w:t>
      </w:r>
      <w:r w:rsidR="00E44937" w:rsidRPr="00E44937">
        <w:rPr>
          <w:rFonts w:eastAsiaTheme="minorEastAsia"/>
          <w:color w:val="1D2455"/>
          <w:szCs w:val="20"/>
          <w:lang w:eastAsia="en-AU"/>
        </w:rPr>
        <w:fldChar w:fldCharType="end"/>
      </w:r>
      <w:r w:rsidR="00E44937">
        <w:t xml:space="preserve"> </w:t>
      </w:r>
      <w:r>
        <w:t xml:space="preserve">illustrates changes in average patient out-of-pocket costs across all Medicare services, for HCH patients (according to patient tier) and control group patients. </w:t>
      </w:r>
      <w:bookmarkEnd w:id="420"/>
      <w:r w:rsidR="00E44937" w:rsidRPr="00E44937">
        <w:rPr>
          <w:rFonts w:eastAsiaTheme="minorEastAsia"/>
          <w:color w:val="1D2455"/>
          <w:szCs w:val="20"/>
          <w:lang w:eastAsia="en-AU"/>
        </w:rPr>
        <w:fldChar w:fldCharType="begin"/>
      </w:r>
      <w:r w:rsidR="00E44937" w:rsidRPr="00E44937">
        <w:rPr>
          <w:rFonts w:eastAsiaTheme="minorEastAsia"/>
          <w:color w:val="1D2455"/>
          <w:szCs w:val="20"/>
          <w:lang w:eastAsia="en-AU"/>
        </w:rPr>
        <w:instrText xml:space="preserve"> REF _Ref98499450 \h </w:instrText>
      </w:r>
      <w:r w:rsidR="00E44937">
        <w:rPr>
          <w:rFonts w:eastAsiaTheme="minorEastAsia"/>
          <w:color w:val="1D2455"/>
          <w:szCs w:val="20"/>
          <w:lang w:eastAsia="en-AU"/>
        </w:rPr>
        <w:instrText xml:space="preserve"> \* MERGEFORMAT </w:instrText>
      </w:r>
      <w:r w:rsidR="00E44937" w:rsidRPr="00E44937">
        <w:rPr>
          <w:rFonts w:eastAsiaTheme="minorEastAsia"/>
          <w:color w:val="1D2455"/>
          <w:szCs w:val="20"/>
          <w:lang w:eastAsia="en-AU"/>
        </w:rPr>
      </w:r>
      <w:r w:rsidR="00E44937" w:rsidRPr="00E44937">
        <w:rPr>
          <w:rFonts w:eastAsiaTheme="minorEastAsia"/>
          <w:color w:val="1D2455"/>
          <w:szCs w:val="20"/>
          <w:lang w:eastAsia="en-AU"/>
        </w:rPr>
        <w:fldChar w:fldCharType="separate"/>
      </w:r>
      <w:r w:rsidR="003C4BC2" w:rsidRPr="003C4BC2">
        <w:rPr>
          <w:rFonts w:eastAsiaTheme="minorEastAsia"/>
          <w:color w:val="1D2455"/>
          <w:szCs w:val="20"/>
          <w:lang w:eastAsia="en-AU"/>
        </w:rPr>
        <w:t xml:space="preserve">Figure </w:t>
      </w:r>
      <w:r w:rsidR="003C4BC2" w:rsidRPr="003C4BC2">
        <w:t>76</w:t>
      </w:r>
      <w:r w:rsidR="00E44937" w:rsidRPr="00E44937">
        <w:rPr>
          <w:rFonts w:eastAsiaTheme="minorEastAsia"/>
          <w:color w:val="1D2455"/>
          <w:szCs w:val="20"/>
          <w:lang w:eastAsia="en-AU"/>
        </w:rPr>
        <w:fldChar w:fldCharType="end"/>
      </w:r>
      <w:r w:rsidR="00E44937">
        <w:t xml:space="preserve"> and </w:t>
      </w:r>
      <w:r w:rsidR="00E44937" w:rsidRPr="00E44937">
        <w:rPr>
          <w:rFonts w:eastAsiaTheme="minorEastAsia"/>
          <w:color w:val="1D2455"/>
          <w:szCs w:val="20"/>
          <w:lang w:eastAsia="en-AU"/>
        </w:rPr>
        <w:fldChar w:fldCharType="begin"/>
      </w:r>
      <w:r w:rsidR="00E44937" w:rsidRPr="00E44937">
        <w:rPr>
          <w:rFonts w:eastAsiaTheme="minorEastAsia"/>
          <w:color w:val="1D2455"/>
          <w:szCs w:val="20"/>
          <w:lang w:eastAsia="en-AU"/>
        </w:rPr>
        <w:instrText xml:space="preserve"> REF _Ref98499451 \h  \* MERGEFORMAT </w:instrText>
      </w:r>
      <w:r w:rsidR="00E44937" w:rsidRPr="00E44937">
        <w:rPr>
          <w:rFonts w:eastAsiaTheme="minorEastAsia"/>
          <w:color w:val="1D2455"/>
          <w:szCs w:val="20"/>
          <w:lang w:eastAsia="en-AU"/>
        </w:rPr>
      </w:r>
      <w:r w:rsidR="00E44937" w:rsidRPr="00E44937">
        <w:rPr>
          <w:rFonts w:eastAsiaTheme="minorEastAsia"/>
          <w:color w:val="1D2455"/>
          <w:szCs w:val="20"/>
          <w:lang w:eastAsia="en-AU"/>
        </w:rPr>
        <w:fldChar w:fldCharType="separate"/>
      </w:r>
      <w:r w:rsidR="003C4BC2" w:rsidRPr="003C4BC2">
        <w:rPr>
          <w:rFonts w:eastAsiaTheme="minorEastAsia"/>
          <w:color w:val="1D2455"/>
          <w:szCs w:val="20"/>
          <w:lang w:eastAsia="en-AU"/>
        </w:rPr>
        <w:t xml:space="preserve">Figure </w:t>
      </w:r>
      <w:r w:rsidR="003C4BC2" w:rsidRPr="003C4BC2">
        <w:t>77</w:t>
      </w:r>
      <w:r w:rsidR="00E44937" w:rsidRPr="00E44937">
        <w:rPr>
          <w:rFonts w:eastAsiaTheme="minorEastAsia"/>
          <w:color w:val="1D2455"/>
          <w:szCs w:val="20"/>
          <w:lang w:eastAsia="en-AU"/>
        </w:rPr>
        <w:fldChar w:fldCharType="end"/>
      </w:r>
      <w:r w:rsidR="00E44937">
        <w:t xml:space="preserve"> </w:t>
      </w:r>
      <w:r>
        <w:t>focus on out-of-pocket costs for GP attendances only, and non-GP attendances, respectively. The data for all services (</w:t>
      </w:r>
      <w:r w:rsidR="00E44937" w:rsidRPr="00E44937">
        <w:rPr>
          <w:rFonts w:eastAsiaTheme="minorEastAsia"/>
          <w:color w:val="1D2455"/>
          <w:szCs w:val="20"/>
          <w:lang w:eastAsia="en-AU"/>
        </w:rPr>
        <w:fldChar w:fldCharType="begin"/>
      </w:r>
      <w:r w:rsidR="00E44937" w:rsidRPr="00E44937">
        <w:rPr>
          <w:rFonts w:eastAsiaTheme="minorEastAsia"/>
          <w:color w:val="1D2455"/>
          <w:szCs w:val="20"/>
          <w:lang w:eastAsia="en-AU"/>
        </w:rPr>
        <w:instrText xml:space="preserve"> REF _Ref98499422 \h </w:instrText>
      </w:r>
      <w:r w:rsidR="00E44937">
        <w:rPr>
          <w:rFonts w:eastAsiaTheme="minorEastAsia"/>
          <w:color w:val="1D2455"/>
          <w:szCs w:val="20"/>
          <w:lang w:eastAsia="en-AU"/>
        </w:rPr>
        <w:instrText xml:space="preserve"> \* MERGEFORMAT </w:instrText>
      </w:r>
      <w:r w:rsidR="00E44937" w:rsidRPr="00E44937">
        <w:rPr>
          <w:rFonts w:eastAsiaTheme="minorEastAsia"/>
          <w:color w:val="1D2455"/>
          <w:szCs w:val="20"/>
          <w:lang w:eastAsia="en-AU"/>
        </w:rPr>
      </w:r>
      <w:r w:rsidR="00E44937" w:rsidRPr="00E44937">
        <w:rPr>
          <w:rFonts w:eastAsiaTheme="minorEastAsia"/>
          <w:color w:val="1D2455"/>
          <w:szCs w:val="20"/>
          <w:lang w:eastAsia="en-AU"/>
        </w:rPr>
        <w:fldChar w:fldCharType="separate"/>
      </w:r>
      <w:r w:rsidR="003C4BC2" w:rsidRPr="003C4BC2">
        <w:rPr>
          <w:rFonts w:eastAsiaTheme="minorEastAsia"/>
          <w:color w:val="1D2455"/>
          <w:szCs w:val="20"/>
          <w:lang w:eastAsia="en-AU"/>
        </w:rPr>
        <w:t xml:space="preserve">Figure </w:t>
      </w:r>
      <w:r w:rsidR="003C4BC2" w:rsidRPr="003C4BC2">
        <w:t>75</w:t>
      </w:r>
      <w:r w:rsidR="00E44937" w:rsidRPr="00E44937">
        <w:rPr>
          <w:rFonts w:eastAsiaTheme="minorEastAsia"/>
          <w:color w:val="1D2455"/>
          <w:szCs w:val="20"/>
          <w:lang w:eastAsia="en-AU"/>
        </w:rPr>
        <w:fldChar w:fldCharType="end"/>
      </w:r>
      <w:r>
        <w:t xml:space="preserve">) show an overall increase for patients in </w:t>
      </w:r>
      <w:r w:rsidR="00770301">
        <w:t>tier</w:t>
      </w:r>
      <w:r>
        <w:t xml:space="preserve"> 1, but little change for HCH patients overall as well as control group patients. </w:t>
      </w:r>
      <w:r w:rsidR="00E44937" w:rsidRPr="00E44937">
        <w:rPr>
          <w:rFonts w:eastAsiaTheme="minorEastAsia"/>
          <w:color w:val="1D2455"/>
          <w:szCs w:val="20"/>
          <w:lang w:eastAsia="en-AU"/>
        </w:rPr>
        <w:fldChar w:fldCharType="begin"/>
      </w:r>
      <w:r w:rsidR="00E44937" w:rsidRPr="00E44937">
        <w:rPr>
          <w:rFonts w:eastAsiaTheme="minorEastAsia"/>
          <w:color w:val="1D2455"/>
          <w:szCs w:val="20"/>
          <w:lang w:eastAsia="en-AU"/>
        </w:rPr>
        <w:instrText xml:space="preserve"> REF _Ref98499450 \h </w:instrText>
      </w:r>
      <w:r w:rsidR="00E44937">
        <w:rPr>
          <w:rFonts w:eastAsiaTheme="minorEastAsia"/>
          <w:color w:val="1D2455"/>
          <w:szCs w:val="20"/>
          <w:lang w:eastAsia="en-AU"/>
        </w:rPr>
        <w:instrText xml:space="preserve"> \* MERGEFORMAT </w:instrText>
      </w:r>
      <w:r w:rsidR="00E44937" w:rsidRPr="00E44937">
        <w:rPr>
          <w:rFonts w:eastAsiaTheme="minorEastAsia"/>
          <w:color w:val="1D2455"/>
          <w:szCs w:val="20"/>
          <w:lang w:eastAsia="en-AU"/>
        </w:rPr>
      </w:r>
      <w:r w:rsidR="00E44937" w:rsidRPr="00E44937">
        <w:rPr>
          <w:rFonts w:eastAsiaTheme="minorEastAsia"/>
          <w:color w:val="1D2455"/>
          <w:szCs w:val="20"/>
          <w:lang w:eastAsia="en-AU"/>
        </w:rPr>
        <w:fldChar w:fldCharType="separate"/>
      </w:r>
      <w:r w:rsidR="003C4BC2" w:rsidRPr="003C4BC2">
        <w:rPr>
          <w:rFonts w:eastAsiaTheme="minorEastAsia"/>
          <w:color w:val="1D2455"/>
          <w:szCs w:val="20"/>
          <w:lang w:eastAsia="en-AU"/>
        </w:rPr>
        <w:t xml:space="preserve">Figure </w:t>
      </w:r>
      <w:r w:rsidR="003C4BC2" w:rsidRPr="003C4BC2">
        <w:t>76</w:t>
      </w:r>
      <w:r w:rsidR="00E44937" w:rsidRPr="00E44937">
        <w:rPr>
          <w:rFonts w:eastAsiaTheme="minorEastAsia"/>
          <w:color w:val="1D2455"/>
          <w:szCs w:val="20"/>
          <w:lang w:eastAsia="en-AU"/>
        </w:rPr>
        <w:fldChar w:fldCharType="end"/>
      </w:r>
      <w:r>
        <w:t xml:space="preserve"> shows that these changes were not driven by changes in out-of-pocket costs for GP attendances, which showed a slight decline from a low base for HCH patients. Rather, what we observe in </w:t>
      </w:r>
      <w:r w:rsidR="00E44937" w:rsidRPr="00E44937">
        <w:rPr>
          <w:rFonts w:eastAsiaTheme="minorEastAsia"/>
          <w:color w:val="1D2455"/>
          <w:szCs w:val="20"/>
          <w:lang w:eastAsia="en-AU"/>
        </w:rPr>
        <w:fldChar w:fldCharType="begin"/>
      </w:r>
      <w:r w:rsidR="00E44937" w:rsidRPr="00E44937">
        <w:rPr>
          <w:rFonts w:eastAsiaTheme="minorEastAsia"/>
          <w:color w:val="1D2455"/>
          <w:szCs w:val="20"/>
          <w:lang w:eastAsia="en-AU"/>
        </w:rPr>
        <w:instrText xml:space="preserve"> REF _Ref98499451 \h </w:instrText>
      </w:r>
      <w:r w:rsidR="00E44937">
        <w:rPr>
          <w:rFonts w:eastAsiaTheme="minorEastAsia"/>
          <w:color w:val="1D2455"/>
          <w:szCs w:val="20"/>
          <w:lang w:eastAsia="en-AU"/>
        </w:rPr>
        <w:instrText xml:space="preserve"> \* MERGEFORMAT </w:instrText>
      </w:r>
      <w:r w:rsidR="00E44937" w:rsidRPr="00E44937">
        <w:rPr>
          <w:rFonts w:eastAsiaTheme="minorEastAsia"/>
          <w:color w:val="1D2455"/>
          <w:szCs w:val="20"/>
          <w:lang w:eastAsia="en-AU"/>
        </w:rPr>
      </w:r>
      <w:r w:rsidR="00E44937" w:rsidRPr="00E44937">
        <w:rPr>
          <w:rFonts w:eastAsiaTheme="minorEastAsia"/>
          <w:color w:val="1D2455"/>
          <w:szCs w:val="20"/>
          <w:lang w:eastAsia="en-AU"/>
        </w:rPr>
        <w:fldChar w:fldCharType="separate"/>
      </w:r>
      <w:r w:rsidR="003C4BC2" w:rsidRPr="003C4BC2">
        <w:rPr>
          <w:rFonts w:eastAsiaTheme="minorEastAsia"/>
          <w:color w:val="1D2455"/>
          <w:szCs w:val="20"/>
          <w:lang w:eastAsia="en-AU"/>
        </w:rPr>
        <w:t xml:space="preserve">Figure </w:t>
      </w:r>
      <w:r w:rsidR="003C4BC2" w:rsidRPr="003C4BC2">
        <w:t>77</w:t>
      </w:r>
      <w:r w:rsidR="00E44937" w:rsidRPr="00E44937">
        <w:rPr>
          <w:rFonts w:eastAsiaTheme="minorEastAsia"/>
          <w:color w:val="1D2455"/>
          <w:szCs w:val="20"/>
          <w:lang w:eastAsia="en-AU"/>
        </w:rPr>
        <w:fldChar w:fldCharType="end"/>
      </w:r>
      <w:r>
        <w:t xml:space="preserve"> is that the increase in out-of-pocket</w:t>
      </w:r>
      <w:r w:rsidR="003806CC">
        <w:t xml:space="preserve"> </w:t>
      </w:r>
      <w:r>
        <w:t xml:space="preserve">costs for </w:t>
      </w:r>
      <w:r w:rsidR="00770301">
        <w:t>tier</w:t>
      </w:r>
      <w:r>
        <w:t xml:space="preserve"> 1 patients was driven by non-GP services (for example allied health professional attendances). </w:t>
      </w:r>
    </w:p>
    <w:p w14:paraId="269E5788" w14:textId="70626EA7" w:rsidR="004E6B7D" w:rsidRDefault="0063322B" w:rsidP="00951356">
      <w:pPr>
        <w:pStyle w:val="TableorFigurecaptionHPA"/>
      </w:pPr>
      <w:bookmarkStart w:id="421" w:name="_Ref98499422"/>
      <w:r>
        <w:lastRenderedPageBreak/>
        <w:t xml:space="preserve">Figure </w:t>
      </w:r>
      <w:r w:rsidR="00375935" w:rsidRPr="00375935">
        <w:rPr>
          <w:rStyle w:val="TableorFigurecaptionHPAChar"/>
        </w:rPr>
        <w:fldChar w:fldCharType="begin"/>
      </w:r>
      <w:r w:rsidR="00375935" w:rsidRPr="00375935">
        <w:rPr>
          <w:rStyle w:val="TableorFigurecaptionHPAChar"/>
        </w:rPr>
        <w:instrText>SEQ Figure \* ARABIC</w:instrText>
      </w:r>
      <w:r w:rsidR="00375935" w:rsidRPr="00375935">
        <w:rPr>
          <w:rStyle w:val="TableorFigurecaptionHPAChar"/>
        </w:rPr>
        <w:fldChar w:fldCharType="separate"/>
      </w:r>
      <w:r w:rsidR="003C4BC2">
        <w:rPr>
          <w:rStyle w:val="TableorFigurecaptionHPAChar"/>
          <w:noProof/>
        </w:rPr>
        <w:t>75</w:t>
      </w:r>
      <w:r w:rsidR="00375935" w:rsidRPr="00375935">
        <w:rPr>
          <w:rStyle w:val="TableorFigurecaptionHPAChar"/>
        </w:rPr>
        <w:fldChar w:fldCharType="end"/>
      </w:r>
      <w:bookmarkEnd w:id="421"/>
      <w:r w:rsidR="00375935">
        <w:rPr>
          <w:rStyle w:val="TableorFigurecaptionHPAChar"/>
        </w:rPr>
        <w:t>:</w:t>
      </w:r>
      <w:r>
        <w:t xml:space="preserve"> Changes in out-of-pocket costs for all Medicare services, by patient tier</w:t>
      </w:r>
    </w:p>
    <w:p w14:paraId="20F3F4CA" w14:textId="4556FFAC" w:rsidR="0063322B" w:rsidRDefault="0063322B" w:rsidP="00951356">
      <w:pPr>
        <w:jc w:val="center"/>
        <w:rPr>
          <w:noProof/>
        </w:rPr>
      </w:pPr>
      <w:r>
        <w:rPr>
          <w:noProof/>
        </w:rPr>
        <w:drawing>
          <wp:inline distT="0" distB="0" distL="0" distR="0" wp14:anchorId="5E578BFF" wp14:editId="5FA2A979">
            <wp:extent cx="4442791" cy="2569801"/>
            <wp:effectExtent l="0" t="0" r="0" b="2540"/>
            <wp:docPr id="59" name="Picture 5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hart, line chart&#10;&#10;Description automatically generated"/>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45368" cy="2571291"/>
                    </a:xfrm>
                    <a:prstGeom prst="rect">
                      <a:avLst/>
                    </a:prstGeom>
                    <a:noFill/>
                    <a:ln>
                      <a:noFill/>
                    </a:ln>
                  </pic:spPr>
                </pic:pic>
              </a:graphicData>
            </a:graphic>
          </wp:inline>
        </w:drawing>
      </w:r>
    </w:p>
    <w:p w14:paraId="1F44C668" w14:textId="0C5116DC" w:rsidR="00951356" w:rsidRDefault="0063322B" w:rsidP="00951356">
      <w:pPr>
        <w:pStyle w:val="TableorFigurecaptionHPA"/>
        <w:rPr>
          <w:noProof/>
        </w:rPr>
      </w:pPr>
      <w:bookmarkStart w:id="422" w:name="_Ref98499450"/>
      <w:r>
        <w:t xml:space="preserve">Figure </w:t>
      </w:r>
      <w:r w:rsidR="00375935" w:rsidRPr="00375935">
        <w:rPr>
          <w:rStyle w:val="TableorFigurecaptionHPAChar"/>
        </w:rPr>
        <w:fldChar w:fldCharType="begin"/>
      </w:r>
      <w:r w:rsidR="00375935" w:rsidRPr="00375935">
        <w:rPr>
          <w:rStyle w:val="TableorFigurecaptionHPAChar"/>
        </w:rPr>
        <w:instrText>SEQ Figure \* ARABIC</w:instrText>
      </w:r>
      <w:r w:rsidR="00375935" w:rsidRPr="00375935">
        <w:rPr>
          <w:rStyle w:val="TableorFigurecaptionHPAChar"/>
        </w:rPr>
        <w:fldChar w:fldCharType="separate"/>
      </w:r>
      <w:r w:rsidR="003C4BC2">
        <w:rPr>
          <w:rStyle w:val="TableorFigurecaptionHPAChar"/>
          <w:noProof/>
        </w:rPr>
        <w:t>76</w:t>
      </w:r>
      <w:r w:rsidR="00375935" w:rsidRPr="00375935">
        <w:rPr>
          <w:rStyle w:val="TableorFigurecaptionHPAChar"/>
        </w:rPr>
        <w:fldChar w:fldCharType="end"/>
      </w:r>
      <w:bookmarkEnd w:id="422"/>
      <w:r w:rsidR="00375935" w:rsidRPr="00FF2A01">
        <w:rPr>
          <w:rStyle w:val="TableorFigurecaptionHPAChar"/>
          <w:i/>
          <w:iCs/>
        </w:rPr>
        <w:t>:</w:t>
      </w:r>
      <w:r w:rsidR="00375935">
        <w:rPr>
          <w:rStyle w:val="TableorFigurecaptionHPAChar"/>
          <w:i/>
          <w:iCs/>
        </w:rPr>
        <w:t xml:space="preserve"> </w:t>
      </w:r>
      <w:r>
        <w:t>Changes in out-of-pocket costs for GP services, by patient tier</w:t>
      </w:r>
      <w:r w:rsidRPr="004973FA">
        <w:rPr>
          <w:noProof/>
        </w:rPr>
        <w:t xml:space="preserve"> </w:t>
      </w:r>
    </w:p>
    <w:p w14:paraId="4A029B0F" w14:textId="359B3B75" w:rsidR="0063322B" w:rsidRDefault="0063322B" w:rsidP="00951356">
      <w:pPr>
        <w:jc w:val="center"/>
      </w:pPr>
      <w:r>
        <w:rPr>
          <w:noProof/>
        </w:rPr>
        <w:drawing>
          <wp:inline distT="0" distB="0" distL="0" distR="0" wp14:anchorId="7E4C801D" wp14:editId="57DBCDB9">
            <wp:extent cx="4267200" cy="2387494"/>
            <wp:effectExtent l="0" t="0" r="0" b="0"/>
            <wp:docPr id="60" name="Picture 6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line chart&#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75572" cy="2392178"/>
                    </a:xfrm>
                    <a:prstGeom prst="rect">
                      <a:avLst/>
                    </a:prstGeom>
                    <a:noFill/>
                    <a:ln>
                      <a:noFill/>
                    </a:ln>
                  </pic:spPr>
                </pic:pic>
              </a:graphicData>
            </a:graphic>
          </wp:inline>
        </w:drawing>
      </w:r>
    </w:p>
    <w:p w14:paraId="35EA7EEF" w14:textId="0CF7123C" w:rsidR="00951356" w:rsidRDefault="0063322B" w:rsidP="00951356">
      <w:pPr>
        <w:pStyle w:val="TableFigureheading"/>
        <w:rPr>
          <w:noProof/>
        </w:rPr>
      </w:pPr>
      <w:bookmarkStart w:id="423" w:name="_Ref98499451"/>
      <w:r>
        <w:t>Figure</w:t>
      </w:r>
      <w:r w:rsidR="00375935">
        <w:t xml:space="preserve"> </w:t>
      </w:r>
      <w:r w:rsidR="00375935" w:rsidRPr="00375935">
        <w:rPr>
          <w:rStyle w:val="TableorFigurecaptionHPAChar"/>
        </w:rPr>
        <w:fldChar w:fldCharType="begin"/>
      </w:r>
      <w:r w:rsidR="00375935" w:rsidRPr="00375935">
        <w:rPr>
          <w:rStyle w:val="TableorFigurecaptionHPAChar"/>
        </w:rPr>
        <w:instrText>SEQ Figure \* ARABIC</w:instrText>
      </w:r>
      <w:r w:rsidR="00375935" w:rsidRPr="00375935">
        <w:rPr>
          <w:rStyle w:val="TableorFigurecaptionHPAChar"/>
        </w:rPr>
        <w:fldChar w:fldCharType="separate"/>
      </w:r>
      <w:r w:rsidR="003C4BC2">
        <w:rPr>
          <w:rStyle w:val="TableorFigurecaptionHPAChar"/>
          <w:noProof/>
        </w:rPr>
        <w:t>77</w:t>
      </w:r>
      <w:r w:rsidR="00375935" w:rsidRPr="00375935">
        <w:rPr>
          <w:rStyle w:val="TableorFigurecaptionHPAChar"/>
        </w:rPr>
        <w:fldChar w:fldCharType="end"/>
      </w:r>
      <w:bookmarkEnd w:id="423"/>
      <w:r w:rsidR="00375935" w:rsidRPr="00375935">
        <w:rPr>
          <w:rStyle w:val="TableorFigurecaptionHPAChar"/>
        </w:rPr>
        <w:t>:</w:t>
      </w:r>
      <w:r w:rsidRPr="00375935">
        <w:t xml:space="preserve"> </w:t>
      </w:r>
      <w:r>
        <w:t>Changes in out-of-pocket costs for non-GP services, by patient tier</w:t>
      </w:r>
      <w:r w:rsidRPr="004973FA">
        <w:rPr>
          <w:noProof/>
        </w:rPr>
        <w:t xml:space="preserve"> </w:t>
      </w:r>
    </w:p>
    <w:p w14:paraId="610378B2" w14:textId="1E4A0B51" w:rsidR="0063322B" w:rsidRDefault="0063322B" w:rsidP="00951356">
      <w:pPr>
        <w:jc w:val="center"/>
        <w:rPr>
          <w:sz w:val="16"/>
          <w:szCs w:val="16"/>
        </w:rPr>
      </w:pPr>
      <w:r>
        <w:rPr>
          <w:noProof/>
        </w:rPr>
        <w:drawing>
          <wp:inline distT="0" distB="0" distL="0" distR="0" wp14:anchorId="26700F58" wp14:editId="34097458">
            <wp:extent cx="4314825" cy="2400506"/>
            <wp:effectExtent l="0" t="0" r="0" b="0"/>
            <wp:docPr id="61" name="Picture 6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hart, line chart&#10;&#10;Description automatically generated"/>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321428" cy="2404179"/>
                    </a:xfrm>
                    <a:prstGeom prst="rect">
                      <a:avLst/>
                    </a:prstGeom>
                    <a:noFill/>
                    <a:ln>
                      <a:noFill/>
                    </a:ln>
                  </pic:spPr>
                </pic:pic>
              </a:graphicData>
            </a:graphic>
          </wp:inline>
        </w:drawing>
      </w:r>
    </w:p>
    <w:p w14:paraId="2EF9647A" w14:textId="77777777" w:rsidR="009B3F92" w:rsidRDefault="009B3F92">
      <w:pPr>
        <w:spacing w:after="160" w:line="259" w:lineRule="auto"/>
      </w:pPr>
      <w:r>
        <w:br w:type="page"/>
      </w:r>
    </w:p>
    <w:p w14:paraId="1CF2A708" w14:textId="5F53DB35" w:rsidR="0063322B" w:rsidRDefault="0063322B" w:rsidP="00951356">
      <w:r>
        <w:lastRenderedPageBreak/>
        <w:t xml:space="preserve">The regression results in </w:t>
      </w:r>
      <w:r w:rsidR="00BD4596" w:rsidRPr="00BD4596">
        <w:rPr>
          <w:rFonts w:eastAsiaTheme="minorEastAsia"/>
          <w:bCs/>
          <w:color w:val="1D2455"/>
          <w:szCs w:val="20"/>
          <w:lang w:eastAsia="en-AU"/>
        </w:rPr>
        <w:fldChar w:fldCharType="begin"/>
      </w:r>
      <w:r w:rsidR="00BD4596" w:rsidRPr="00BD4596">
        <w:rPr>
          <w:rFonts w:eastAsiaTheme="minorEastAsia"/>
          <w:bCs/>
          <w:color w:val="1D2455"/>
          <w:szCs w:val="20"/>
          <w:lang w:eastAsia="en-AU"/>
        </w:rPr>
        <w:instrText xml:space="preserve"> REF _Ref98493103 \h </w:instrText>
      </w:r>
      <w:r w:rsidR="00BD4596">
        <w:rPr>
          <w:rFonts w:eastAsiaTheme="minorEastAsia"/>
          <w:bCs/>
          <w:color w:val="1D2455"/>
          <w:szCs w:val="20"/>
          <w:lang w:eastAsia="en-AU"/>
        </w:rPr>
        <w:instrText xml:space="preserve"> \* MERGEFORMAT </w:instrText>
      </w:r>
      <w:r w:rsidR="00BD4596" w:rsidRPr="00BD4596">
        <w:rPr>
          <w:rFonts w:eastAsiaTheme="minorEastAsia"/>
          <w:bCs/>
          <w:color w:val="1D2455"/>
          <w:szCs w:val="20"/>
          <w:lang w:eastAsia="en-AU"/>
        </w:rPr>
      </w:r>
      <w:r w:rsidR="00BD4596" w:rsidRPr="00BD4596">
        <w:rPr>
          <w:rFonts w:eastAsiaTheme="minorEastAsia"/>
          <w:bCs/>
          <w:color w:val="1D2455"/>
          <w:szCs w:val="20"/>
          <w:lang w:eastAsia="en-AU"/>
        </w:rPr>
        <w:fldChar w:fldCharType="separate"/>
      </w:r>
      <w:r w:rsidR="003C4BC2" w:rsidRPr="003C4BC2">
        <w:rPr>
          <w:rFonts w:eastAsiaTheme="minorEastAsia"/>
          <w:bCs/>
          <w:color w:val="1D2455"/>
          <w:szCs w:val="20"/>
          <w:lang w:eastAsia="en-AU"/>
        </w:rPr>
        <w:t>Table 54</w:t>
      </w:r>
      <w:r w:rsidR="00BD4596" w:rsidRPr="00BD4596">
        <w:rPr>
          <w:rFonts w:eastAsiaTheme="minorEastAsia"/>
          <w:bCs/>
          <w:color w:val="1D2455"/>
          <w:szCs w:val="20"/>
          <w:lang w:eastAsia="en-AU"/>
        </w:rPr>
        <w:fldChar w:fldCharType="end"/>
      </w:r>
      <w:r w:rsidR="00BD4596" w:rsidRPr="00BD4596">
        <w:rPr>
          <w:rFonts w:eastAsiaTheme="minorEastAsia"/>
          <w:bCs/>
          <w:color w:val="1D2455"/>
          <w:szCs w:val="20"/>
          <w:lang w:eastAsia="en-AU"/>
        </w:rPr>
        <w:t xml:space="preserve"> </w:t>
      </w:r>
      <w:r>
        <w:t xml:space="preserve">suggest that these changes in </w:t>
      </w:r>
      <w:r w:rsidR="003806CC">
        <w:t>out-of-pocket</w:t>
      </w:r>
      <w:r>
        <w:t xml:space="preserve"> costs were relatively small in each period and not statistically significant outside of GP services. Although the results showed negative and statistically significant decreases in </w:t>
      </w:r>
      <w:r w:rsidR="003806CC">
        <w:t>out-of-pocket</w:t>
      </w:r>
      <w:r>
        <w:t xml:space="preserve"> costs for GP services, the magnitude of decrease in each </w:t>
      </w:r>
      <w:r w:rsidR="003806CC">
        <w:t>six</w:t>
      </w:r>
      <w:r w:rsidR="00684068">
        <w:t>-month</w:t>
      </w:r>
      <w:r>
        <w:t xml:space="preserve"> period was </w:t>
      </w:r>
      <w:r w:rsidR="00BA6C4D">
        <w:t>about</w:t>
      </w:r>
      <w:r>
        <w:t xml:space="preserve"> $4 per period. </w:t>
      </w:r>
    </w:p>
    <w:p w14:paraId="23FEB174" w14:textId="1FCE6214" w:rsidR="0063322B" w:rsidRDefault="0063322B" w:rsidP="00951356">
      <w:pPr>
        <w:pStyle w:val="TableFigureheading"/>
      </w:pPr>
      <w:bookmarkStart w:id="424" w:name="_Ref98493103"/>
      <w:r w:rsidRPr="00165D2B">
        <w:t xml:space="preserve">Table </w:t>
      </w:r>
      <w:r w:rsidR="00A61B29">
        <w:fldChar w:fldCharType="begin"/>
      </w:r>
      <w:r w:rsidR="00A61B29">
        <w:instrText xml:space="preserve"> SEQ Table \* ARABIC </w:instrText>
      </w:r>
      <w:r w:rsidR="00A61B29">
        <w:fldChar w:fldCharType="separate"/>
      </w:r>
      <w:r w:rsidR="003C4BC2">
        <w:rPr>
          <w:noProof/>
        </w:rPr>
        <w:t>54</w:t>
      </w:r>
      <w:r w:rsidR="00A61B29">
        <w:rPr>
          <w:noProof/>
        </w:rPr>
        <w:fldChar w:fldCharType="end"/>
      </w:r>
      <w:bookmarkEnd w:id="424"/>
      <w:r w:rsidR="00BD4596">
        <w:t>:</w:t>
      </w:r>
      <w:r w:rsidR="00BD4596" w:rsidRPr="00B528ED">
        <w:t xml:space="preserve"> </w:t>
      </w:r>
      <w:r>
        <w:t>Impact of HCH on Medicare out-of-pocket costs</w:t>
      </w:r>
    </w:p>
    <w:tbl>
      <w:tblPr>
        <w:tblW w:w="8521"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2300"/>
        <w:gridCol w:w="1036"/>
        <w:gridCol w:w="1037"/>
        <w:gridCol w:w="1037"/>
        <w:gridCol w:w="1037"/>
        <w:gridCol w:w="1037"/>
        <w:gridCol w:w="1037"/>
      </w:tblGrid>
      <w:tr w:rsidR="00395E9A" w:rsidRPr="00395E9A" w14:paraId="4EA6CA94" w14:textId="77777777" w:rsidTr="00220E59">
        <w:trPr>
          <w:trHeight w:val="600"/>
          <w:jc w:val="center"/>
        </w:trPr>
        <w:tc>
          <w:tcPr>
            <w:tcW w:w="2300" w:type="dxa"/>
            <w:shd w:val="clear" w:color="auto" w:fill="408BCA"/>
            <w:noWrap/>
            <w:vAlign w:val="bottom"/>
            <w:hideMark/>
          </w:tcPr>
          <w:p w14:paraId="7CEA76EB" w14:textId="77777777" w:rsidR="0063322B" w:rsidRPr="00395E9A" w:rsidRDefault="0063322B" w:rsidP="00897452">
            <w:pPr>
              <w:spacing w:after="0"/>
              <w:rPr>
                <w:rFonts w:eastAsia="Times New Roman"/>
                <w:color w:val="FFFFFF" w:themeColor="background1"/>
                <w:sz w:val="18"/>
                <w:szCs w:val="18"/>
                <w:lang w:eastAsia="en-AU"/>
              </w:rPr>
            </w:pPr>
            <w:r w:rsidRPr="00395E9A">
              <w:rPr>
                <w:rFonts w:eastAsia="Times New Roman"/>
                <w:color w:val="FFFFFF" w:themeColor="background1"/>
                <w:sz w:val="18"/>
                <w:szCs w:val="18"/>
                <w:lang w:eastAsia="en-AU"/>
              </w:rPr>
              <w:t> </w:t>
            </w:r>
          </w:p>
        </w:tc>
        <w:tc>
          <w:tcPr>
            <w:tcW w:w="2073" w:type="dxa"/>
            <w:gridSpan w:val="2"/>
            <w:shd w:val="clear" w:color="auto" w:fill="408BCA"/>
            <w:vAlign w:val="center"/>
            <w:hideMark/>
          </w:tcPr>
          <w:p w14:paraId="49E11606" w14:textId="396B0F71" w:rsidR="0063322B" w:rsidRPr="00395E9A" w:rsidRDefault="0063322B" w:rsidP="00220E59">
            <w:pPr>
              <w:spacing w:after="0"/>
              <w:jc w:val="center"/>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 xml:space="preserve">Out-of-pocket costs </w:t>
            </w:r>
            <w:r w:rsidR="00395E9A">
              <w:rPr>
                <w:rFonts w:eastAsia="Times New Roman"/>
                <w:b/>
                <w:bCs/>
                <w:color w:val="FFFFFF" w:themeColor="background1"/>
                <w:sz w:val="18"/>
                <w:szCs w:val="18"/>
                <w:lang w:eastAsia="en-AU"/>
              </w:rPr>
              <w:t>–</w:t>
            </w:r>
            <w:r w:rsidRPr="00395E9A">
              <w:rPr>
                <w:rFonts w:eastAsia="Times New Roman"/>
                <w:b/>
                <w:bCs/>
                <w:color w:val="FFFFFF" w:themeColor="background1"/>
                <w:sz w:val="18"/>
                <w:szCs w:val="18"/>
                <w:lang w:eastAsia="en-AU"/>
              </w:rPr>
              <w:t xml:space="preserve"> Medicare services</w:t>
            </w:r>
          </w:p>
        </w:tc>
        <w:tc>
          <w:tcPr>
            <w:tcW w:w="2074" w:type="dxa"/>
            <w:gridSpan w:val="2"/>
            <w:shd w:val="clear" w:color="auto" w:fill="408BCA"/>
            <w:vAlign w:val="center"/>
            <w:hideMark/>
          </w:tcPr>
          <w:p w14:paraId="5B16B95F" w14:textId="30B88CAA" w:rsidR="0063322B" w:rsidRPr="00395E9A" w:rsidRDefault="0063322B" w:rsidP="00220E59">
            <w:pPr>
              <w:spacing w:after="0"/>
              <w:jc w:val="center"/>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 xml:space="preserve">Out-of-pocket costs </w:t>
            </w:r>
            <w:r w:rsidR="00395E9A">
              <w:rPr>
                <w:rFonts w:eastAsia="Times New Roman"/>
                <w:b/>
                <w:bCs/>
                <w:color w:val="FFFFFF" w:themeColor="background1"/>
                <w:sz w:val="18"/>
                <w:szCs w:val="18"/>
                <w:lang w:eastAsia="en-AU"/>
              </w:rPr>
              <w:t>–</w:t>
            </w:r>
            <w:r w:rsidRPr="00395E9A">
              <w:rPr>
                <w:rFonts w:eastAsia="Times New Roman"/>
                <w:b/>
                <w:bCs/>
                <w:color w:val="FFFFFF" w:themeColor="background1"/>
                <w:sz w:val="18"/>
                <w:szCs w:val="18"/>
                <w:lang w:eastAsia="en-AU"/>
              </w:rPr>
              <w:t xml:space="preserve"> GP services</w:t>
            </w:r>
          </w:p>
        </w:tc>
        <w:tc>
          <w:tcPr>
            <w:tcW w:w="2074" w:type="dxa"/>
            <w:gridSpan w:val="2"/>
            <w:shd w:val="clear" w:color="auto" w:fill="408BCA"/>
            <w:vAlign w:val="center"/>
            <w:hideMark/>
          </w:tcPr>
          <w:p w14:paraId="11D25F82" w14:textId="1C61B53B" w:rsidR="0063322B" w:rsidRPr="00395E9A" w:rsidRDefault="0063322B" w:rsidP="00220E59">
            <w:pPr>
              <w:spacing w:after="0"/>
              <w:jc w:val="center"/>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 xml:space="preserve">Out-of-pocket costs </w:t>
            </w:r>
            <w:r w:rsidR="00395E9A">
              <w:rPr>
                <w:rFonts w:eastAsia="Times New Roman"/>
                <w:b/>
                <w:bCs/>
                <w:color w:val="FFFFFF" w:themeColor="background1"/>
                <w:sz w:val="18"/>
                <w:szCs w:val="18"/>
                <w:lang w:eastAsia="en-AU"/>
              </w:rPr>
              <w:t>–</w:t>
            </w:r>
            <w:r w:rsidRPr="00395E9A">
              <w:rPr>
                <w:rFonts w:eastAsia="Times New Roman"/>
                <w:b/>
                <w:bCs/>
                <w:color w:val="FFFFFF" w:themeColor="background1"/>
                <w:sz w:val="18"/>
                <w:szCs w:val="18"/>
                <w:lang w:eastAsia="en-AU"/>
              </w:rPr>
              <w:t xml:space="preserve"> non-GP services</w:t>
            </w:r>
          </w:p>
        </w:tc>
      </w:tr>
      <w:tr w:rsidR="0063322B" w:rsidRPr="00395E9A" w14:paraId="6D8B184D" w14:textId="77777777" w:rsidTr="00395E9A">
        <w:trPr>
          <w:trHeight w:val="300"/>
          <w:jc w:val="center"/>
        </w:trPr>
        <w:tc>
          <w:tcPr>
            <w:tcW w:w="2300" w:type="dxa"/>
            <w:shd w:val="clear" w:color="auto" w:fill="auto"/>
            <w:noWrap/>
            <w:vAlign w:val="bottom"/>
            <w:hideMark/>
          </w:tcPr>
          <w:p w14:paraId="6FB66D20" w14:textId="77777777" w:rsidR="0063322B" w:rsidRPr="00395E9A" w:rsidRDefault="0063322B" w:rsidP="00897452">
            <w:pPr>
              <w:spacing w:after="0"/>
              <w:rPr>
                <w:rFonts w:eastAsia="Times New Roman"/>
                <w:color w:val="000000"/>
                <w:sz w:val="18"/>
                <w:szCs w:val="18"/>
                <w:lang w:eastAsia="en-AU"/>
              </w:rPr>
            </w:pPr>
            <w:r w:rsidRPr="00395E9A">
              <w:rPr>
                <w:rFonts w:eastAsia="Times New Roman"/>
                <w:color w:val="000000"/>
                <w:sz w:val="18"/>
                <w:szCs w:val="18"/>
                <w:lang w:eastAsia="en-AU"/>
              </w:rPr>
              <w:t> </w:t>
            </w:r>
          </w:p>
        </w:tc>
        <w:tc>
          <w:tcPr>
            <w:tcW w:w="1036" w:type="dxa"/>
            <w:shd w:val="clear" w:color="auto" w:fill="auto"/>
            <w:noWrap/>
            <w:vAlign w:val="bottom"/>
            <w:hideMark/>
          </w:tcPr>
          <w:p w14:paraId="44854AE7"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Est.</w:t>
            </w:r>
          </w:p>
        </w:tc>
        <w:tc>
          <w:tcPr>
            <w:tcW w:w="1037" w:type="dxa"/>
            <w:shd w:val="clear" w:color="auto" w:fill="auto"/>
            <w:noWrap/>
            <w:vAlign w:val="bottom"/>
            <w:hideMark/>
          </w:tcPr>
          <w:p w14:paraId="48975782"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Std. Err.</w:t>
            </w:r>
          </w:p>
        </w:tc>
        <w:tc>
          <w:tcPr>
            <w:tcW w:w="1037" w:type="dxa"/>
            <w:shd w:val="clear" w:color="auto" w:fill="auto"/>
            <w:noWrap/>
            <w:vAlign w:val="bottom"/>
            <w:hideMark/>
          </w:tcPr>
          <w:p w14:paraId="7104FD07"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Est.</w:t>
            </w:r>
          </w:p>
        </w:tc>
        <w:tc>
          <w:tcPr>
            <w:tcW w:w="1037" w:type="dxa"/>
            <w:shd w:val="clear" w:color="auto" w:fill="auto"/>
            <w:noWrap/>
            <w:vAlign w:val="bottom"/>
            <w:hideMark/>
          </w:tcPr>
          <w:p w14:paraId="676BD779"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Std. Err.</w:t>
            </w:r>
          </w:p>
        </w:tc>
        <w:tc>
          <w:tcPr>
            <w:tcW w:w="1037" w:type="dxa"/>
            <w:shd w:val="clear" w:color="auto" w:fill="auto"/>
            <w:noWrap/>
            <w:vAlign w:val="bottom"/>
            <w:hideMark/>
          </w:tcPr>
          <w:p w14:paraId="2F362662"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Est.</w:t>
            </w:r>
          </w:p>
        </w:tc>
        <w:tc>
          <w:tcPr>
            <w:tcW w:w="1037" w:type="dxa"/>
            <w:shd w:val="clear" w:color="auto" w:fill="auto"/>
            <w:noWrap/>
            <w:vAlign w:val="bottom"/>
            <w:hideMark/>
          </w:tcPr>
          <w:p w14:paraId="4B6B46E2"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Std. Err.</w:t>
            </w:r>
          </w:p>
        </w:tc>
      </w:tr>
      <w:tr w:rsidR="0063322B" w:rsidRPr="00395E9A" w14:paraId="485179A8" w14:textId="77777777" w:rsidTr="00395E9A">
        <w:trPr>
          <w:trHeight w:val="300"/>
          <w:jc w:val="center"/>
        </w:trPr>
        <w:tc>
          <w:tcPr>
            <w:tcW w:w="2300" w:type="dxa"/>
            <w:shd w:val="clear" w:color="auto" w:fill="auto"/>
            <w:noWrap/>
            <w:vAlign w:val="bottom"/>
            <w:hideMark/>
          </w:tcPr>
          <w:p w14:paraId="0C3037C3" w14:textId="77777777" w:rsidR="0063322B" w:rsidRPr="00395E9A" w:rsidRDefault="0063322B" w:rsidP="00897452">
            <w:pPr>
              <w:spacing w:after="0"/>
              <w:rPr>
                <w:rFonts w:eastAsia="Times New Roman"/>
                <w:color w:val="000000"/>
                <w:sz w:val="18"/>
                <w:szCs w:val="18"/>
                <w:lang w:eastAsia="en-AU"/>
              </w:rPr>
            </w:pPr>
            <w:r w:rsidRPr="00395E9A">
              <w:rPr>
                <w:rFonts w:eastAsia="Times New Roman"/>
                <w:color w:val="000000"/>
                <w:sz w:val="18"/>
                <w:szCs w:val="18"/>
                <w:lang w:eastAsia="en-AU"/>
              </w:rPr>
              <w:t>Period from enrolment</w:t>
            </w:r>
          </w:p>
        </w:tc>
        <w:tc>
          <w:tcPr>
            <w:tcW w:w="1036" w:type="dxa"/>
            <w:shd w:val="clear" w:color="auto" w:fill="auto"/>
            <w:noWrap/>
            <w:vAlign w:val="bottom"/>
            <w:hideMark/>
          </w:tcPr>
          <w:p w14:paraId="30D7FBFF" w14:textId="77777777" w:rsidR="0063322B" w:rsidRPr="00395E9A" w:rsidRDefault="0063322B" w:rsidP="00897452">
            <w:pPr>
              <w:spacing w:after="0"/>
              <w:ind w:firstLineChars="200" w:firstLine="360"/>
              <w:rPr>
                <w:rFonts w:eastAsia="Times New Roman"/>
                <w:color w:val="000000"/>
                <w:sz w:val="18"/>
                <w:szCs w:val="18"/>
                <w:lang w:eastAsia="en-AU"/>
              </w:rPr>
            </w:pPr>
          </w:p>
        </w:tc>
        <w:tc>
          <w:tcPr>
            <w:tcW w:w="1037" w:type="dxa"/>
            <w:shd w:val="clear" w:color="auto" w:fill="auto"/>
            <w:noWrap/>
            <w:vAlign w:val="bottom"/>
            <w:hideMark/>
          </w:tcPr>
          <w:p w14:paraId="68EB3C67" w14:textId="77777777" w:rsidR="0063322B" w:rsidRPr="00395E9A" w:rsidRDefault="0063322B" w:rsidP="00897452">
            <w:pPr>
              <w:spacing w:after="0"/>
              <w:rPr>
                <w:rFonts w:eastAsia="Times New Roman"/>
                <w:sz w:val="18"/>
                <w:szCs w:val="18"/>
                <w:lang w:eastAsia="en-AU"/>
              </w:rPr>
            </w:pPr>
          </w:p>
        </w:tc>
        <w:tc>
          <w:tcPr>
            <w:tcW w:w="1037" w:type="dxa"/>
            <w:shd w:val="clear" w:color="auto" w:fill="auto"/>
            <w:noWrap/>
            <w:vAlign w:val="bottom"/>
            <w:hideMark/>
          </w:tcPr>
          <w:p w14:paraId="2379224C" w14:textId="77777777" w:rsidR="0063322B" w:rsidRPr="00395E9A" w:rsidRDefault="0063322B" w:rsidP="00897452">
            <w:pPr>
              <w:spacing w:after="0"/>
              <w:rPr>
                <w:rFonts w:eastAsia="Times New Roman"/>
                <w:sz w:val="18"/>
                <w:szCs w:val="18"/>
                <w:lang w:eastAsia="en-AU"/>
              </w:rPr>
            </w:pPr>
          </w:p>
        </w:tc>
        <w:tc>
          <w:tcPr>
            <w:tcW w:w="1037" w:type="dxa"/>
            <w:shd w:val="clear" w:color="auto" w:fill="auto"/>
            <w:noWrap/>
            <w:vAlign w:val="bottom"/>
            <w:hideMark/>
          </w:tcPr>
          <w:p w14:paraId="79258024" w14:textId="77777777" w:rsidR="0063322B" w:rsidRPr="00395E9A" w:rsidRDefault="0063322B" w:rsidP="00897452">
            <w:pPr>
              <w:spacing w:after="0"/>
              <w:rPr>
                <w:rFonts w:eastAsia="Times New Roman"/>
                <w:sz w:val="18"/>
                <w:szCs w:val="18"/>
                <w:lang w:eastAsia="en-AU"/>
              </w:rPr>
            </w:pPr>
          </w:p>
        </w:tc>
        <w:tc>
          <w:tcPr>
            <w:tcW w:w="1037" w:type="dxa"/>
            <w:shd w:val="clear" w:color="auto" w:fill="auto"/>
            <w:noWrap/>
            <w:vAlign w:val="bottom"/>
            <w:hideMark/>
          </w:tcPr>
          <w:p w14:paraId="2EB1F0AC" w14:textId="77777777" w:rsidR="0063322B" w:rsidRPr="00395E9A" w:rsidRDefault="0063322B" w:rsidP="00897452">
            <w:pPr>
              <w:spacing w:after="0"/>
              <w:rPr>
                <w:rFonts w:eastAsia="Times New Roman"/>
                <w:sz w:val="18"/>
                <w:szCs w:val="18"/>
                <w:lang w:eastAsia="en-AU"/>
              </w:rPr>
            </w:pPr>
          </w:p>
        </w:tc>
        <w:tc>
          <w:tcPr>
            <w:tcW w:w="1037" w:type="dxa"/>
            <w:shd w:val="clear" w:color="auto" w:fill="auto"/>
            <w:noWrap/>
            <w:vAlign w:val="bottom"/>
            <w:hideMark/>
          </w:tcPr>
          <w:p w14:paraId="7B6AB93E" w14:textId="77777777" w:rsidR="0063322B" w:rsidRPr="00395E9A" w:rsidRDefault="0063322B" w:rsidP="00897452">
            <w:pPr>
              <w:spacing w:after="0"/>
              <w:rPr>
                <w:rFonts w:eastAsia="Times New Roman"/>
                <w:sz w:val="18"/>
                <w:szCs w:val="18"/>
                <w:lang w:eastAsia="en-AU"/>
              </w:rPr>
            </w:pPr>
          </w:p>
        </w:tc>
      </w:tr>
      <w:tr w:rsidR="00395E9A" w:rsidRPr="00395E9A" w14:paraId="0C423270" w14:textId="77777777" w:rsidTr="00395E9A">
        <w:trPr>
          <w:trHeight w:val="300"/>
          <w:jc w:val="center"/>
        </w:trPr>
        <w:tc>
          <w:tcPr>
            <w:tcW w:w="2300" w:type="dxa"/>
            <w:shd w:val="clear" w:color="auto" w:fill="auto"/>
            <w:noWrap/>
            <w:vAlign w:val="bottom"/>
            <w:hideMark/>
          </w:tcPr>
          <w:p w14:paraId="78B4FEDD" w14:textId="03E33E1F" w:rsidR="00395E9A" w:rsidRPr="00395E9A" w:rsidRDefault="00395E9A" w:rsidP="00395E9A">
            <w:pPr>
              <w:spacing w:after="0"/>
              <w:ind w:left="306"/>
              <w:rPr>
                <w:rFonts w:eastAsia="Times New Roman"/>
                <w:color w:val="000000"/>
                <w:sz w:val="18"/>
                <w:szCs w:val="18"/>
                <w:lang w:eastAsia="en-AU"/>
              </w:rPr>
            </w:pPr>
            <w:r w:rsidRPr="00395E9A">
              <w:rPr>
                <w:rFonts w:eastAsia="Times New Roman"/>
                <w:color w:val="000000"/>
                <w:sz w:val="18"/>
                <w:szCs w:val="18"/>
                <w:lang w:eastAsia="en-AU"/>
              </w:rPr>
              <w:t>Months 1</w:t>
            </w:r>
            <w:r>
              <w:rPr>
                <w:rFonts w:eastAsia="Times New Roman"/>
                <w:color w:val="000000"/>
                <w:sz w:val="18"/>
                <w:szCs w:val="18"/>
                <w:lang w:eastAsia="en-AU"/>
              </w:rPr>
              <w:t>–</w:t>
            </w:r>
            <w:r w:rsidRPr="00395E9A">
              <w:rPr>
                <w:rFonts w:eastAsia="Times New Roman"/>
                <w:color w:val="000000"/>
                <w:sz w:val="18"/>
                <w:szCs w:val="18"/>
                <w:lang w:eastAsia="en-AU"/>
              </w:rPr>
              <w:t>6</w:t>
            </w:r>
          </w:p>
        </w:tc>
        <w:tc>
          <w:tcPr>
            <w:tcW w:w="1036" w:type="dxa"/>
            <w:shd w:val="clear" w:color="auto" w:fill="auto"/>
            <w:noWrap/>
            <w:vAlign w:val="bottom"/>
            <w:hideMark/>
          </w:tcPr>
          <w:p w14:paraId="52A26682"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12.50</w:t>
            </w:r>
          </w:p>
        </w:tc>
        <w:tc>
          <w:tcPr>
            <w:tcW w:w="1037" w:type="dxa"/>
            <w:shd w:val="clear" w:color="auto" w:fill="auto"/>
            <w:noWrap/>
            <w:vAlign w:val="bottom"/>
            <w:hideMark/>
          </w:tcPr>
          <w:p w14:paraId="3B437DBE"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(19.28)</w:t>
            </w:r>
          </w:p>
        </w:tc>
        <w:tc>
          <w:tcPr>
            <w:tcW w:w="1037" w:type="dxa"/>
            <w:shd w:val="clear" w:color="auto" w:fill="auto"/>
            <w:noWrap/>
            <w:vAlign w:val="bottom"/>
            <w:hideMark/>
          </w:tcPr>
          <w:p w14:paraId="273BA6CF"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-4.33***</w:t>
            </w:r>
          </w:p>
        </w:tc>
        <w:tc>
          <w:tcPr>
            <w:tcW w:w="1037" w:type="dxa"/>
            <w:shd w:val="clear" w:color="auto" w:fill="auto"/>
            <w:noWrap/>
            <w:vAlign w:val="bottom"/>
            <w:hideMark/>
          </w:tcPr>
          <w:p w14:paraId="367B234C"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(1.14)</w:t>
            </w:r>
          </w:p>
        </w:tc>
        <w:tc>
          <w:tcPr>
            <w:tcW w:w="1037" w:type="dxa"/>
            <w:shd w:val="clear" w:color="auto" w:fill="auto"/>
            <w:noWrap/>
            <w:vAlign w:val="bottom"/>
            <w:hideMark/>
          </w:tcPr>
          <w:p w14:paraId="2D05FB1E"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16.83</w:t>
            </w:r>
          </w:p>
        </w:tc>
        <w:tc>
          <w:tcPr>
            <w:tcW w:w="1037" w:type="dxa"/>
            <w:shd w:val="clear" w:color="auto" w:fill="auto"/>
            <w:noWrap/>
            <w:vAlign w:val="bottom"/>
            <w:hideMark/>
          </w:tcPr>
          <w:p w14:paraId="597F85F0"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(19.27)</w:t>
            </w:r>
          </w:p>
        </w:tc>
      </w:tr>
      <w:tr w:rsidR="00395E9A" w:rsidRPr="00395E9A" w14:paraId="7BD848F4" w14:textId="77777777" w:rsidTr="00395E9A">
        <w:trPr>
          <w:trHeight w:val="300"/>
          <w:jc w:val="center"/>
        </w:trPr>
        <w:tc>
          <w:tcPr>
            <w:tcW w:w="2300" w:type="dxa"/>
            <w:shd w:val="clear" w:color="auto" w:fill="auto"/>
            <w:noWrap/>
            <w:vAlign w:val="bottom"/>
            <w:hideMark/>
          </w:tcPr>
          <w:p w14:paraId="6295BBE4" w14:textId="15A6E222" w:rsidR="00395E9A" w:rsidRPr="00395E9A" w:rsidRDefault="00395E9A" w:rsidP="00395E9A">
            <w:pPr>
              <w:spacing w:after="0"/>
              <w:ind w:left="306"/>
              <w:rPr>
                <w:rFonts w:eastAsia="Times New Roman"/>
                <w:color w:val="000000"/>
                <w:sz w:val="18"/>
                <w:szCs w:val="18"/>
                <w:lang w:eastAsia="en-AU"/>
              </w:rPr>
            </w:pPr>
            <w:r w:rsidRPr="00395E9A">
              <w:rPr>
                <w:rFonts w:eastAsia="Times New Roman"/>
                <w:color w:val="000000"/>
                <w:sz w:val="18"/>
                <w:szCs w:val="18"/>
                <w:lang w:eastAsia="en-AU"/>
              </w:rPr>
              <w:t>Months 7</w:t>
            </w:r>
            <w:r>
              <w:rPr>
                <w:rFonts w:eastAsia="Times New Roman"/>
                <w:color w:val="000000"/>
                <w:sz w:val="18"/>
                <w:szCs w:val="18"/>
                <w:lang w:eastAsia="en-AU"/>
              </w:rPr>
              <w:t>–</w:t>
            </w:r>
            <w:r w:rsidRPr="00395E9A">
              <w:rPr>
                <w:rFonts w:eastAsia="Times New Roman"/>
                <w:color w:val="000000"/>
                <w:sz w:val="18"/>
                <w:szCs w:val="18"/>
                <w:lang w:eastAsia="en-AU"/>
              </w:rPr>
              <w:t>12</w:t>
            </w:r>
          </w:p>
        </w:tc>
        <w:tc>
          <w:tcPr>
            <w:tcW w:w="1036" w:type="dxa"/>
            <w:shd w:val="clear" w:color="auto" w:fill="auto"/>
            <w:noWrap/>
            <w:vAlign w:val="bottom"/>
            <w:hideMark/>
          </w:tcPr>
          <w:p w14:paraId="2556056D"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15.63</w:t>
            </w:r>
          </w:p>
        </w:tc>
        <w:tc>
          <w:tcPr>
            <w:tcW w:w="1037" w:type="dxa"/>
            <w:shd w:val="clear" w:color="auto" w:fill="auto"/>
            <w:noWrap/>
            <w:vAlign w:val="bottom"/>
            <w:hideMark/>
          </w:tcPr>
          <w:p w14:paraId="701AFA24"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(16.99)</w:t>
            </w:r>
          </w:p>
        </w:tc>
        <w:tc>
          <w:tcPr>
            <w:tcW w:w="1037" w:type="dxa"/>
            <w:shd w:val="clear" w:color="auto" w:fill="auto"/>
            <w:noWrap/>
            <w:vAlign w:val="bottom"/>
            <w:hideMark/>
          </w:tcPr>
          <w:p w14:paraId="55FB2539"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-4.76**</w:t>
            </w:r>
          </w:p>
        </w:tc>
        <w:tc>
          <w:tcPr>
            <w:tcW w:w="1037" w:type="dxa"/>
            <w:shd w:val="clear" w:color="auto" w:fill="auto"/>
            <w:noWrap/>
            <w:vAlign w:val="bottom"/>
            <w:hideMark/>
          </w:tcPr>
          <w:p w14:paraId="1ECFD626"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(1.68)</w:t>
            </w:r>
          </w:p>
        </w:tc>
        <w:tc>
          <w:tcPr>
            <w:tcW w:w="1037" w:type="dxa"/>
            <w:shd w:val="clear" w:color="auto" w:fill="auto"/>
            <w:noWrap/>
            <w:vAlign w:val="bottom"/>
            <w:hideMark/>
          </w:tcPr>
          <w:p w14:paraId="26572C80"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20.39</w:t>
            </w:r>
          </w:p>
        </w:tc>
        <w:tc>
          <w:tcPr>
            <w:tcW w:w="1037" w:type="dxa"/>
            <w:shd w:val="clear" w:color="auto" w:fill="auto"/>
            <w:noWrap/>
            <w:vAlign w:val="bottom"/>
            <w:hideMark/>
          </w:tcPr>
          <w:p w14:paraId="7952E2EB"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(17.59)</w:t>
            </w:r>
          </w:p>
        </w:tc>
      </w:tr>
      <w:tr w:rsidR="00395E9A" w:rsidRPr="00395E9A" w14:paraId="722D21CB" w14:textId="77777777" w:rsidTr="00395E9A">
        <w:trPr>
          <w:trHeight w:val="300"/>
          <w:jc w:val="center"/>
        </w:trPr>
        <w:tc>
          <w:tcPr>
            <w:tcW w:w="2300" w:type="dxa"/>
            <w:shd w:val="clear" w:color="auto" w:fill="auto"/>
            <w:noWrap/>
            <w:vAlign w:val="bottom"/>
            <w:hideMark/>
          </w:tcPr>
          <w:p w14:paraId="3373B4F3" w14:textId="663C97FB" w:rsidR="00395E9A" w:rsidRPr="00395E9A" w:rsidRDefault="00395E9A" w:rsidP="00395E9A">
            <w:pPr>
              <w:spacing w:after="0"/>
              <w:ind w:left="306"/>
              <w:rPr>
                <w:rFonts w:eastAsia="Times New Roman"/>
                <w:color w:val="000000"/>
                <w:sz w:val="18"/>
                <w:szCs w:val="18"/>
                <w:lang w:eastAsia="en-AU"/>
              </w:rPr>
            </w:pPr>
            <w:r w:rsidRPr="00395E9A">
              <w:rPr>
                <w:rFonts w:eastAsia="Times New Roman"/>
                <w:color w:val="000000"/>
                <w:sz w:val="18"/>
                <w:szCs w:val="18"/>
                <w:lang w:eastAsia="en-AU"/>
              </w:rPr>
              <w:t>Months 13</w:t>
            </w:r>
            <w:r>
              <w:rPr>
                <w:rFonts w:eastAsia="Times New Roman"/>
                <w:color w:val="000000"/>
                <w:sz w:val="18"/>
                <w:szCs w:val="18"/>
                <w:lang w:eastAsia="en-AU"/>
              </w:rPr>
              <w:t>–</w:t>
            </w:r>
            <w:r w:rsidRPr="00395E9A">
              <w:rPr>
                <w:rFonts w:eastAsia="Times New Roman"/>
                <w:color w:val="000000"/>
                <w:sz w:val="18"/>
                <w:szCs w:val="18"/>
                <w:lang w:eastAsia="en-AU"/>
              </w:rPr>
              <w:t>18</w:t>
            </w:r>
          </w:p>
        </w:tc>
        <w:tc>
          <w:tcPr>
            <w:tcW w:w="1036" w:type="dxa"/>
            <w:shd w:val="clear" w:color="auto" w:fill="auto"/>
            <w:noWrap/>
            <w:vAlign w:val="bottom"/>
            <w:hideMark/>
          </w:tcPr>
          <w:p w14:paraId="78F18EF0"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31.60</w:t>
            </w:r>
          </w:p>
        </w:tc>
        <w:tc>
          <w:tcPr>
            <w:tcW w:w="1037" w:type="dxa"/>
            <w:shd w:val="clear" w:color="auto" w:fill="auto"/>
            <w:noWrap/>
            <w:vAlign w:val="bottom"/>
            <w:hideMark/>
          </w:tcPr>
          <w:p w14:paraId="66058406"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(18.77)</w:t>
            </w:r>
          </w:p>
        </w:tc>
        <w:tc>
          <w:tcPr>
            <w:tcW w:w="1037" w:type="dxa"/>
            <w:shd w:val="clear" w:color="auto" w:fill="auto"/>
            <w:noWrap/>
            <w:vAlign w:val="bottom"/>
            <w:hideMark/>
          </w:tcPr>
          <w:p w14:paraId="7CA6B750"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-4.10**</w:t>
            </w:r>
          </w:p>
        </w:tc>
        <w:tc>
          <w:tcPr>
            <w:tcW w:w="1037" w:type="dxa"/>
            <w:shd w:val="clear" w:color="auto" w:fill="auto"/>
            <w:noWrap/>
            <w:vAlign w:val="bottom"/>
            <w:hideMark/>
          </w:tcPr>
          <w:p w14:paraId="22D36FCD"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(1.37)</w:t>
            </w:r>
          </w:p>
        </w:tc>
        <w:tc>
          <w:tcPr>
            <w:tcW w:w="1037" w:type="dxa"/>
            <w:shd w:val="clear" w:color="auto" w:fill="auto"/>
            <w:noWrap/>
            <w:vAlign w:val="bottom"/>
            <w:hideMark/>
          </w:tcPr>
          <w:p w14:paraId="2474C924"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35.70*</w:t>
            </w:r>
          </w:p>
        </w:tc>
        <w:tc>
          <w:tcPr>
            <w:tcW w:w="1037" w:type="dxa"/>
            <w:shd w:val="clear" w:color="auto" w:fill="auto"/>
            <w:noWrap/>
            <w:vAlign w:val="bottom"/>
            <w:hideMark/>
          </w:tcPr>
          <w:p w14:paraId="2F55305D"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(19.13)</w:t>
            </w:r>
          </w:p>
        </w:tc>
      </w:tr>
      <w:tr w:rsidR="00395E9A" w:rsidRPr="00395E9A" w14:paraId="7ED9BC96" w14:textId="77777777" w:rsidTr="00395E9A">
        <w:trPr>
          <w:trHeight w:val="300"/>
          <w:jc w:val="center"/>
        </w:trPr>
        <w:tc>
          <w:tcPr>
            <w:tcW w:w="2300" w:type="dxa"/>
            <w:shd w:val="clear" w:color="auto" w:fill="auto"/>
            <w:noWrap/>
            <w:vAlign w:val="bottom"/>
            <w:hideMark/>
          </w:tcPr>
          <w:p w14:paraId="487669EC" w14:textId="271CDF32" w:rsidR="00395E9A" w:rsidRPr="00395E9A" w:rsidRDefault="00395E9A" w:rsidP="00395E9A">
            <w:pPr>
              <w:spacing w:after="0"/>
              <w:ind w:left="306"/>
              <w:rPr>
                <w:rFonts w:eastAsia="Times New Roman"/>
                <w:color w:val="000000"/>
                <w:sz w:val="18"/>
                <w:szCs w:val="18"/>
                <w:lang w:eastAsia="en-AU"/>
              </w:rPr>
            </w:pPr>
            <w:r w:rsidRPr="00395E9A">
              <w:rPr>
                <w:rFonts w:eastAsia="Times New Roman"/>
                <w:color w:val="000000"/>
                <w:sz w:val="18"/>
                <w:szCs w:val="18"/>
                <w:lang w:eastAsia="en-AU"/>
              </w:rPr>
              <w:t>Months 19</w:t>
            </w:r>
            <w:r>
              <w:rPr>
                <w:rFonts w:eastAsia="Times New Roman"/>
                <w:color w:val="000000"/>
                <w:sz w:val="18"/>
                <w:szCs w:val="18"/>
                <w:lang w:eastAsia="en-AU"/>
              </w:rPr>
              <w:t>–</w:t>
            </w:r>
            <w:r w:rsidRPr="00395E9A">
              <w:rPr>
                <w:rFonts w:eastAsia="Times New Roman"/>
                <w:color w:val="000000"/>
                <w:sz w:val="18"/>
                <w:szCs w:val="18"/>
                <w:lang w:eastAsia="en-AU"/>
              </w:rPr>
              <w:t>24</w:t>
            </w:r>
          </w:p>
        </w:tc>
        <w:tc>
          <w:tcPr>
            <w:tcW w:w="1036" w:type="dxa"/>
            <w:shd w:val="clear" w:color="auto" w:fill="auto"/>
            <w:noWrap/>
            <w:vAlign w:val="bottom"/>
            <w:hideMark/>
          </w:tcPr>
          <w:p w14:paraId="01CA6246"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24.99</w:t>
            </w:r>
          </w:p>
        </w:tc>
        <w:tc>
          <w:tcPr>
            <w:tcW w:w="1037" w:type="dxa"/>
            <w:shd w:val="clear" w:color="auto" w:fill="auto"/>
            <w:noWrap/>
            <w:vAlign w:val="bottom"/>
            <w:hideMark/>
          </w:tcPr>
          <w:p w14:paraId="4C28BB3F"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(14.37)</w:t>
            </w:r>
          </w:p>
        </w:tc>
        <w:tc>
          <w:tcPr>
            <w:tcW w:w="1037" w:type="dxa"/>
            <w:shd w:val="clear" w:color="auto" w:fill="auto"/>
            <w:noWrap/>
            <w:vAlign w:val="bottom"/>
            <w:hideMark/>
          </w:tcPr>
          <w:p w14:paraId="51A432FC"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-3.28*</w:t>
            </w:r>
          </w:p>
        </w:tc>
        <w:tc>
          <w:tcPr>
            <w:tcW w:w="1037" w:type="dxa"/>
            <w:shd w:val="clear" w:color="auto" w:fill="auto"/>
            <w:noWrap/>
            <w:vAlign w:val="bottom"/>
            <w:hideMark/>
          </w:tcPr>
          <w:p w14:paraId="2344C8E3"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(1.55)</w:t>
            </w:r>
          </w:p>
        </w:tc>
        <w:tc>
          <w:tcPr>
            <w:tcW w:w="1037" w:type="dxa"/>
            <w:shd w:val="clear" w:color="auto" w:fill="auto"/>
            <w:noWrap/>
            <w:vAlign w:val="bottom"/>
            <w:hideMark/>
          </w:tcPr>
          <w:p w14:paraId="20DB700D"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28.27*</w:t>
            </w:r>
          </w:p>
        </w:tc>
        <w:tc>
          <w:tcPr>
            <w:tcW w:w="1037" w:type="dxa"/>
            <w:shd w:val="clear" w:color="auto" w:fill="auto"/>
            <w:noWrap/>
            <w:vAlign w:val="bottom"/>
            <w:hideMark/>
          </w:tcPr>
          <w:p w14:paraId="1D66766C" w14:textId="77777777" w:rsidR="00395E9A" w:rsidRPr="00395E9A" w:rsidRDefault="00395E9A" w:rsidP="00395E9A">
            <w:pPr>
              <w:spacing w:after="0"/>
              <w:jc w:val="center"/>
              <w:rPr>
                <w:rFonts w:eastAsia="Times New Roman"/>
                <w:color w:val="000000"/>
                <w:sz w:val="18"/>
                <w:szCs w:val="18"/>
                <w:lang w:eastAsia="en-AU"/>
              </w:rPr>
            </w:pPr>
            <w:r w:rsidRPr="00395E9A">
              <w:rPr>
                <w:rFonts w:eastAsia="Times New Roman"/>
                <w:color w:val="000000"/>
                <w:sz w:val="18"/>
                <w:szCs w:val="18"/>
                <w:lang w:eastAsia="en-AU"/>
              </w:rPr>
              <w:t>(13.83)</w:t>
            </w:r>
          </w:p>
        </w:tc>
      </w:tr>
      <w:tr w:rsidR="0063322B" w:rsidRPr="00395E9A" w14:paraId="60F36E24" w14:textId="77777777" w:rsidTr="00395E9A">
        <w:trPr>
          <w:trHeight w:val="300"/>
          <w:jc w:val="center"/>
        </w:trPr>
        <w:tc>
          <w:tcPr>
            <w:tcW w:w="2300" w:type="dxa"/>
            <w:shd w:val="clear" w:color="auto" w:fill="auto"/>
            <w:noWrap/>
            <w:vAlign w:val="bottom"/>
            <w:hideMark/>
          </w:tcPr>
          <w:p w14:paraId="0224BEE8" w14:textId="77777777" w:rsidR="0063322B" w:rsidRPr="00395E9A" w:rsidRDefault="0063322B" w:rsidP="00897452">
            <w:pPr>
              <w:spacing w:after="0"/>
              <w:rPr>
                <w:rFonts w:eastAsia="Times New Roman"/>
                <w:color w:val="000000"/>
                <w:sz w:val="18"/>
                <w:szCs w:val="18"/>
                <w:lang w:eastAsia="en-AU"/>
              </w:rPr>
            </w:pPr>
            <w:r w:rsidRPr="00395E9A">
              <w:rPr>
                <w:rFonts w:eastAsia="Times New Roman"/>
                <w:color w:val="000000"/>
                <w:sz w:val="18"/>
                <w:szCs w:val="18"/>
                <w:lang w:eastAsia="en-AU"/>
              </w:rPr>
              <w:t>Sample size</w:t>
            </w:r>
          </w:p>
        </w:tc>
        <w:tc>
          <w:tcPr>
            <w:tcW w:w="2073" w:type="dxa"/>
            <w:gridSpan w:val="2"/>
            <w:shd w:val="clear" w:color="auto" w:fill="auto"/>
            <w:noWrap/>
            <w:vAlign w:val="bottom"/>
            <w:hideMark/>
          </w:tcPr>
          <w:p w14:paraId="56BC79DC"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116,964</w:t>
            </w:r>
          </w:p>
        </w:tc>
        <w:tc>
          <w:tcPr>
            <w:tcW w:w="2074" w:type="dxa"/>
            <w:gridSpan w:val="2"/>
            <w:shd w:val="clear" w:color="auto" w:fill="auto"/>
            <w:noWrap/>
            <w:vAlign w:val="bottom"/>
            <w:hideMark/>
          </w:tcPr>
          <w:p w14:paraId="179BD3E1"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116,964</w:t>
            </w:r>
          </w:p>
        </w:tc>
        <w:tc>
          <w:tcPr>
            <w:tcW w:w="2074" w:type="dxa"/>
            <w:gridSpan w:val="2"/>
            <w:shd w:val="clear" w:color="auto" w:fill="auto"/>
            <w:noWrap/>
            <w:vAlign w:val="bottom"/>
            <w:hideMark/>
          </w:tcPr>
          <w:p w14:paraId="501C18E2"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116,964</w:t>
            </w:r>
          </w:p>
        </w:tc>
      </w:tr>
    </w:tbl>
    <w:p w14:paraId="75D54553" w14:textId="3DB0CB89" w:rsidR="0063322B" w:rsidRPr="004A6C94" w:rsidRDefault="00001DEB" w:rsidP="00684068">
      <w:pPr>
        <w:pStyle w:val="Chartortablefootnote"/>
      </w:pPr>
      <w:r>
        <w:t xml:space="preserve">Notes: </w:t>
      </w:r>
      <w:r w:rsidR="0063322B">
        <w:t xml:space="preserve">Results are based on a per-patient, per-period basis. </w:t>
      </w:r>
      <w:r w:rsidR="0063322B" w:rsidRPr="00EE4F95">
        <w:t>Clustered standard errors in parentheses.</w:t>
      </w:r>
      <w:r w:rsidR="0063322B">
        <w:t xml:space="preserve"> Statistically significant results denoted by:</w:t>
      </w:r>
      <w:r w:rsidR="00A561EE">
        <w:t xml:space="preserve"> </w:t>
      </w:r>
      <w:r w:rsidR="0063322B" w:rsidRPr="00EE4F95">
        <w:t>*** p&lt;0.01, ** p&lt;0.05, * p&lt;0.1</w:t>
      </w:r>
      <w:r w:rsidR="0063322B">
        <w:t>.</w:t>
      </w:r>
    </w:p>
    <w:p w14:paraId="11D170B9" w14:textId="77777777" w:rsidR="0063322B" w:rsidRDefault="0063322B" w:rsidP="0063322B">
      <w:pPr>
        <w:pStyle w:val="Heading3"/>
      </w:pPr>
      <w:r>
        <w:t>Out-of-pocket costs for PBS medicines</w:t>
      </w:r>
    </w:p>
    <w:p w14:paraId="2ADE2E84" w14:textId="687775C9" w:rsidR="0063322B" w:rsidRDefault="0063322B" w:rsidP="00684068">
      <w:r>
        <w:t xml:space="preserve">Unlike Medicare services, for PBS-listed medicines patients pay a fixed co-payment which depends on their concessional status. </w:t>
      </w:r>
      <w:r w:rsidR="00E44937">
        <w:fldChar w:fldCharType="begin"/>
      </w:r>
      <w:r w:rsidR="00E44937">
        <w:instrText xml:space="preserve"> REF _Ref98499648 \h </w:instrText>
      </w:r>
      <w:r w:rsidR="00E44937">
        <w:fldChar w:fldCharType="separate"/>
      </w:r>
      <w:r w:rsidR="003C4BC2" w:rsidRPr="00684068">
        <w:rPr>
          <w:rStyle w:val="TableorFigurecaptionHPAChar"/>
        </w:rPr>
        <w:t xml:space="preserve">Figure </w:t>
      </w:r>
      <w:r w:rsidR="003C4BC2">
        <w:rPr>
          <w:rStyle w:val="TableorFigurecaptionHPAChar"/>
          <w:noProof/>
        </w:rPr>
        <w:t>78</w:t>
      </w:r>
      <w:r w:rsidR="00E44937">
        <w:fldChar w:fldCharType="end"/>
      </w:r>
      <w:r w:rsidR="00E44937">
        <w:t xml:space="preserve"> and </w:t>
      </w:r>
      <w:r w:rsidR="00E44937">
        <w:fldChar w:fldCharType="begin"/>
      </w:r>
      <w:r w:rsidR="00E44937">
        <w:instrText xml:space="preserve"> REF _Ref98499650 \h </w:instrText>
      </w:r>
      <w:r w:rsidR="00E44937">
        <w:fldChar w:fldCharType="separate"/>
      </w:r>
      <w:r w:rsidR="003C4BC2" w:rsidRPr="00684068">
        <w:rPr>
          <w:rStyle w:val="TableFigureheadingChar"/>
        </w:rPr>
        <w:t xml:space="preserve">Figure </w:t>
      </w:r>
      <w:r w:rsidR="003C4BC2">
        <w:rPr>
          <w:rStyle w:val="TableorFigurecaptionHPAChar"/>
          <w:noProof/>
        </w:rPr>
        <w:t>79</w:t>
      </w:r>
      <w:r w:rsidR="00E44937">
        <w:fldChar w:fldCharType="end"/>
      </w:r>
      <w:r w:rsidR="00E44937">
        <w:t xml:space="preserve"> </w:t>
      </w:r>
      <w:r>
        <w:t xml:space="preserve">illustrate the changes in these patient contributions to the cost of PBS medicines, for concessional and non-concessional patients, respectively. We separate these groups due to the operation of the PBS Safety Net, which provides for lower co-payments for concession cardholders. </w:t>
      </w:r>
      <w:r w:rsidR="00BA6C4D">
        <w:t>About</w:t>
      </w:r>
      <w:r>
        <w:t xml:space="preserve"> 68</w:t>
      </w:r>
      <w:r w:rsidR="006524FD">
        <w:t>%</w:t>
      </w:r>
      <w:r>
        <w:t xml:space="preserve"> of all patients in our sample were concession cardholders. Both graphs show that patient contributions were stable for almost all patients regardless of clinical complexity or participation in HCH, with the exception of </w:t>
      </w:r>
      <w:r w:rsidR="00770301">
        <w:t>tier</w:t>
      </w:r>
      <w:r>
        <w:t xml:space="preserve"> 1 non-concessional HCH patients (for whom there were moderate increases). Costs faced by general patients (</w:t>
      </w:r>
      <w:r w:rsidR="0010747B">
        <w:t>that is,</w:t>
      </w:r>
      <w:r>
        <w:t xml:space="preserve"> non-concessional) were both substantially higher relative to concessional patients, and were slightly more differentiated by clinical complexity, with </w:t>
      </w:r>
      <w:r w:rsidR="00770301">
        <w:t>tier</w:t>
      </w:r>
      <w:r>
        <w:t xml:space="preserve"> 3 HCH patients facing the highest out-of-pocket costs.</w:t>
      </w:r>
      <w:r w:rsidR="00A561EE">
        <w:t xml:space="preserve"> </w:t>
      </w:r>
      <w:r>
        <w:t>Across concessional and non-concessional patients, there was no clear change in outcomes between HCH and control group patients.</w:t>
      </w:r>
    </w:p>
    <w:p w14:paraId="28AB5878" w14:textId="7967A14C" w:rsidR="0063322B" w:rsidRDefault="0063322B" w:rsidP="00684068">
      <w:pPr>
        <w:jc w:val="center"/>
      </w:pPr>
      <w:bookmarkStart w:id="425" w:name="_Ref98499648"/>
      <w:r w:rsidRPr="00684068">
        <w:rPr>
          <w:rStyle w:val="TableorFigurecaptionHPAChar"/>
        </w:rPr>
        <w:t xml:space="preserve">Figure </w:t>
      </w:r>
      <w:r w:rsidR="00E44937" w:rsidRPr="00375935">
        <w:rPr>
          <w:rStyle w:val="TableorFigurecaptionHPAChar"/>
        </w:rPr>
        <w:fldChar w:fldCharType="begin"/>
      </w:r>
      <w:r w:rsidR="00E44937" w:rsidRPr="00375935">
        <w:rPr>
          <w:rStyle w:val="TableorFigurecaptionHPAChar"/>
        </w:rPr>
        <w:instrText>SEQ Figure \* ARABIC</w:instrText>
      </w:r>
      <w:r w:rsidR="00E44937" w:rsidRPr="00375935">
        <w:rPr>
          <w:rStyle w:val="TableorFigurecaptionHPAChar"/>
        </w:rPr>
        <w:fldChar w:fldCharType="separate"/>
      </w:r>
      <w:r w:rsidR="003C4BC2">
        <w:rPr>
          <w:rStyle w:val="TableorFigurecaptionHPAChar"/>
          <w:noProof/>
        </w:rPr>
        <w:t>78</w:t>
      </w:r>
      <w:r w:rsidR="00E44937" w:rsidRPr="00375935">
        <w:rPr>
          <w:rStyle w:val="TableorFigurecaptionHPAChar"/>
        </w:rPr>
        <w:fldChar w:fldCharType="end"/>
      </w:r>
      <w:bookmarkEnd w:id="425"/>
      <w:r w:rsidR="00E44937" w:rsidRPr="00FF2A01">
        <w:rPr>
          <w:rStyle w:val="TableorFigurecaptionHPAChar"/>
          <w:i/>
          <w:iCs/>
        </w:rPr>
        <w:t>:</w:t>
      </w:r>
      <w:r w:rsidR="00E44937">
        <w:rPr>
          <w:rStyle w:val="TableorFigurecaptionHPAChar"/>
          <w:i/>
          <w:iCs/>
        </w:rPr>
        <w:t xml:space="preserve"> </w:t>
      </w:r>
      <w:r w:rsidRPr="00684068">
        <w:rPr>
          <w:rStyle w:val="TableorFigurecaptionHPAChar"/>
        </w:rPr>
        <w:t>Changes in concessional patient contributions to PBS medicines</w:t>
      </w:r>
      <w:r>
        <w:rPr>
          <w:noProof/>
        </w:rPr>
        <w:drawing>
          <wp:inline distT="0" distB="0" distL="0" distR="0" wp14:anchorId="69C1117C" wp14:editId="2EC8A0C2">
            <wp:extent cx="4286250" cy="2398152"/>
            <wp:effectExtent l="0" t="0" r="0" b="2540"/>
            <wp:docPr id="62" name="Picture 6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hart, line chart&#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289441" cy="2399937"/>
                    </a:xfrm>
                    <a:prstGeom prst="rect">
                      <a:avLst/>
                    </a:prstGeom>
                    <a:noFill/>
                    <a:ln>
                      <a:noFill/>
                    </a:ln>
                  </pic:spPr>
                </pic:pic>
              </a:graphicData>
            </a:graphic>
          </wp:inline>
        </w:drawing>
      </w:r>
    </w:p>
    <w:p w14:paraId="506DB741" w14:textId="49EBF7EC" w:rsidR="0063322B" w:rsidRDefault="0063322B" w:rsidP="00684068">
      <w:pPr>
        <w:jc w:val="center"/>
      </w:pPr>
      <w:bookmarkStart w:id="426" w:name="_Ref98499650"/>
      <w:r w:rsidRPr="00684068">
        <w:rPr>
          <w:rStyle w:val="TableFigureheadingChar"/>
        </w:rPr>
        <w:lastRenderedPageBreak/>
        <w:t xml:space="preserve">Figure </w:t>
      </w:r>
      <w:r w:rsidR="00E44937" w:rsidRPr="00375935">
        <w:rPr>
          <w:rStyle w:val="TableorFigurecaptionHPAChar"/>
        </w:rPr>
        <w:fldChar w:fldCharType="begin"/>
      </w:r>
      <w:r w:rsidR="00E44937" w:rsidRPr="00375935">
        <w:rPr>
          <w:rStyle w:val="TableorFigurecaptionHPAChar"/>
        </w:rPr>
        <w:instrText>SEQ Figure \* ARABIC</w:instrText>
      </w:r>
      <w:r w:rsidR="00E44937" w:rsidRPr="00375935">
        <w:rPr>
          <w:rStyle w:val="TableorFigurecaptionHPAChar"/>
        </w:rPr>
        <w:fldChar w:fldCharType="separate"/>
      </w:r>
      <w:r w:rsidR="003C4BC2">
        <w:rPr>
          <w:rStyle w:val="TableorFigurecaptionHPAChar"/>
          <w:noProof/>
        </w:rPr>
        <w:t>79</w:t>
      </w:r>
      <w:r w:rsidR="00E44937" w:rsidRPr="00375935">
        <w:rPr>
          <w:rStyle w:val="TableorFigurecaptionHPAChar"/>
        </w:rPr>
        <w:fldChar w:fldCharType="end"/>
      </w:r>
      <w:bookmarkEnd w:id="426"/>
      <w:r w:rsidR="00E44937" w:rsidRPr="00FF2A01">
        <w:rPr>
          <w:rStyle w:val="TableorFigurecaptionHPAChar"/>
          <w:i/>
          <w:iCs/>
        </w:rPr>
        <w:t>:</w:t>
      </w:r>
      <w:r w:rsidR="00E44937">
        <w:rPr>
          <w:rStyle w:val="TableorFigurecaptionHPAChar"/>
          <w:i/>
          <w:iCs/>
        </w:rPr>
        <w:t xml:space="preserve"> </w:t>
      </w:r>
      <w:r w:rsidRPr="00684068">
        <w:rPr>
          <w:rStyle w:val="TableFigureheadingChar"/>
        </w:rPr>
        <w:t>Changes in non-concessional patient contributions to medicines</w:t>
      </w:r>
      <w:r>
        <w:rPr>
          <w:noProof/>
        </w:rPr>
        <w:drawing>
          <wp:inline distT="0" distB="0" distL="0" distR="0" wp14:anchorId="61CBFCBB" wp14:editId="69AB6BFF">
            <wp:extent cx="4552950" cy="2543175"/>
            <wp:effectExtent l="0" t="0" r="0" b="9525"/>
            <wp:docPr id="63" name="Picture 6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Chart, line chart&#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52950" cy="2543175"/>
                    </a:xfrm>
                    <a:prstGeom prst="rect">
                      <a:avLst/>
                    </a:prstGeom>
                    <a:noFill/>
                    <a:ln>
                      <a:noFill/>
                    </a:ln>
                  </pic:spPr>
                </pic:pic>
              </a:graphicData>
            </a:graphic>
          </wp:inline>
        </w:drawing>
      </w:r>
    </w:p>
    <w:p w14:paraId="67113ABF" w14:textId="6CF7F178" w:rsidR="0063322B" w:rsidRPr="00684068" w:rsidRDefault="005D5B4F" w:rsidP="00684068">
      <w:r w:rsidRPr="005D5B4F">
        <w:rPr>
          <w:rFonts w:eastAsiaTheme="minorEastAsia"/>
          <w:bCs/>
          <w:noProof/>
          <w:color w:val="1D2455"/>
          <w:szCs w:val="20"/>
          <w:lang w:eastAsia="en-AU"/>
        </w:rPr>
        <w:fldChar w:fldCharType="begin"/>
      </w:r>
      <w:r w:rsidRPr="005D5B4F">
        <w:rPr>
          <w:rFonts w:eastAsiaTheme="minorEastAsia"/>
          <w:bCs/>
          <w:noProof/>
          <w:color w:val="1D2455"/>
          <w:szCs w:val="20"/>
          <w:lang w:eastAsia="en-AU"/>
        </w:rPr>
        <w:instrText xml:space="preserve"> REF _Ref98493141 \h </w:instrText>
      </w:r>
      <w:r>
        <w:rPr>
          <w:rFonts w:eastAsiaTheme="minorEastAsia"/>
          <w:bCs/>
          <w:noProof/>
          <w:color w:val="1D2455"/>
          <w:szCs w:val="20"/>
          <w:lang w:eastAsia="en-AU"/>
        </w:rPr>
        <w:instrText xml:space="preserve"> \* MERGEFORMAT </w:instrText>
      </w:r>
      <w:r w:rsidRPr="005D5B4F">
        <w:rPr>
          <w:rFonts w:eastAsiaTheme="minorEastAsia"/>
          <w:bCs/>
          <w:noProof/>
          <w:color w:val="1D2455"/>
          <w:szCs w:val="20"/>
          <w:lang w:eastAsia="en-AU"/>
        </w:rPr>
      </w:r>
      <w:r w:rsidRPr="005D5B4F">
        <w:rPr>
          <w:rFonts w:eastAsiaTheme="minorEastAsia"/>
          <w:bCs/>
          <w:noProof/>
          <w:color w:val="1D2455"/>
          <w:szCs w:val="20"/>
          <w:lang w:eastAsia="en-AU"/>
        </w:rPr>
        <w:fldChar w:fldCharType="separate"/>
      </w:r>
      <w:r w:rsidR="003C4BC2" w:rsidRPr="003C4BC2">
        <w:rPr>
          <w:rFonts w:eastAsiaTheme="minorEastAsia"/>
          <w:bCs/>
          <w:noProof/>
          <w:color w:val="1D2455"/>
          <w:szCs w:val="20"/>
          <w:lang w:eastAsia="en-AU"/>
        </w:rPr>
        <w:t>Table 55</w:t>
      </w:r>
      <w:r w:rsidRPr="005D5B4F">
        <w:rPr>
          <w:rFonts w:eastAsiaTheme="minorEastAsia"/>
          <w:bCs/>
          <w:noProof/>
          <w:color w:val="1D2455"/>
          <w:szCs w:val="20"/>
          <w:lang w:eastAsia="en-AU"/>
        </w:rPr>
        <w:fldChar w:fldCharType="end"/>
      </w:r>
      <w:r>
        <w:t xml:space="preserve"> </w:t>
      </w:r>
      <w:r w:rsidR="0063322B">
        <w:t xml:space="preserve">reports the regression model </w:t>
      </w:r>
      <w:r>
        <w:t>results and</w:t>
      </w:r>
      <w:r w:rsidR="0063322B">
        <w:t xml:space="preserve"> bears out the conclusions inferred from the figures above – the estimated treatment effects were both small and statistically insignificant. Overall, the HCH had little impact on patient out-of-pocket costs for PBS medicines.</w:t>
      </w:r>
    </w:p>
    <w:p w14:paraId="1B07AA19" w14:textId="1B830CC8" w:rsidR="0063322B" w:rsidRDefault="0063322B" w:rsidP="00684068">
      <w:pPr>
        <w:pStyle w:val="TableFigureheading"/>
        <w:rPr>
          <w:sz w:val="16"/>
          <w:szCs w:val="16"/>
        </w:rPr>
      </w:pPr>
      <w:bookmarkStart w:id="427" w:name="_Ref98493141"/>
      <w:r w:rsidRPr="00165D2B">
        <w:t xml:space="preserve">Table </w:t>
      </w:r>
      <w:r w:rsidR="00A61B29">
        <w:fldChar w:fldCharType="begin"/>
      </w:r>
      <w:r w:rsidR="00A61B29">
        <w:instrText xml:space="preserve"> SEQ Table \* ARABIC </w:instrText>
      </w:r>
      <w:r w:rsidR="00A61B29">
        <w:fldChar w:fldCharType="separate"/>
      </w:r>
      <w:r w:rsidR="003C4BC2">
        <w:rPr>
          <w:noProof/>
        </w:rPr>
        <w:t>55</w:t>
      </w:r>
      <w:r w:rsidR="00A61B29">
        <w:rPr>
          <w:noProof/>
        </w:rPr>
        <w:fldChar w:fldCharType="end"/>
      </w:r>
      <w:bookmarkEnd w:id="427"/>
      <w:r w:rsidR="00BD4596">
        <w:t>:</w:t>
      </w:r>
      <w:r w:rsidR="00BD4596" w:rsidRPr="00B528ED">
        <w:t xml:space="preserve"> </w:t>
      </w:r>
      <w:r>
        <w:t>Impact of HCH on PBS out-of-pocket costs</w:t>
      </w:r>
      <w:r w:rsidRPr="00EE4F95">
        <w:rPr>
          <w:sz w:val="16"/>
          <w:szCs w:val="16"/>
        </w:rPr>
        <w:t xml:space="preserve"> </w:t>
      </w:r>
    </w:p>
    <w:tbl>
      <w:tblPr>
        <w:tblW w:w="7733"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2189"/>
        <w:gridCol w:w="1386"/>
        <w:gridCol w:w="1386"/>
        <w:gridCol w:w="1386"/>
        <w:gridCol w:w="1386"/>
      </w:tblGrid>
      <w:tr w:rsidR="00395E9A" w:rsidRPr="00395E9A" w14:paraId="599BEB13" w14:textId="77777777" w:rsidTr="00395E9A">
        <w:trPr>
          <w:trHeight w:val="600"/>
          <w:jc w:val="center"/>
        </w:trPr>
        <w:tc>
          <w:tcPr>
            <w:tcW w:w="2189" w:type="dxa"/>
            <w:shd w:val="clear" w:color="auto" w:fill="408BCA"/>
            <w:noWrap/>
            <w:vAlign w:val="bottom"/>
            <w:hideMark/>
          </w:tcPr>
          <w:p w14:paraId="10154C77" w14:textId="77777777" w:rsidR="0063322B" w:rsidRPr="00395E9A" w:rsidRDefault="0063322B" w:rsidP="00897452">
            <w:pPr>
              <w:spacing w:after="0"/>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 </w:t>
            </w:r>
          </w:p>
        </w:tc>
        <w:tc>
          <w:tcPr>
            <w:tcW w:w="2772" w:type="dxa"/>
            <w:gridSpan w:val="2"/>
            <w:shd w:val="clear" w:color="auto" w:fill="408BCA"/>
            <w:vAlign w:val="bottom"/>
            <w:hideMark/>
          </w:tcPr>
          <w:p w14:paraId="1C231A5E" w14:textId="5F09E1E9" w:rsidR="0063322B" w:rsidRPr="00395E9A" w:rsidRDefault="0063322B" w:rsidP="00897452">
            <w:pPr>
              <w:spacing w:after="0"/>
              <w:jc w:val="center"/>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 xml:space="preserve">Out-of-pocket costs </w:t>
            </w:r>
            <w:r w:rsidR="00395E9A">
              <w:rPr>
                <w:rFonts w:eastAsia="Times New Roman"/>
                <w:b/>
                <w:bCs/>
                <w:color w:val="FFFFFF" w:themeColor="background1"/>
                <w:sz w:val="18"/>
                <w:szCs w:val="18"/>
                <w:lang w:eastAsia="en-AU"/>
              </w:rPr>
              <w:t>–</w:t>
            </w:r>
            <w:r w:rsidRPr="00395E9A">
              <w:rPr>
                <w:rFonts w:eastAsia="Times New Roman"/>
                <w:b/>
                <w:bCs/>
                <w:color w:val="FFFFFF" w:themeColor="background1"/>
                <w:sz w:val="18"/>
                <w:szCs w:val="18"/>
                <w:lang w:eastAsia="en-AU"/>
              </w:rPr>
              <w:t>Concessional patients</w:t>
            </w:r>
          </w:p>
        </w:tc>
        <w:tc>
          <w:tcPr>
            <w:tcW w:w="2772" w:type="dxa"/>
            <w:gridSpan w:val="2"/>
            <w:shd w:val="clear" w:color="auto" w:fill="408BCA"/>
            <w:vAlign w:val="bottom"/>
            <w:hideMark/>
          </w:tcPr>
          <w:p w14:paraId="09B75747" w14:textId="5C1F9BD4" w:rsidR="0063322B" w:rsidRPr="00395E9A" w:rsidRDefault="0063322B" w:rsidP="00897452">
            <w:pPr>
              <w:spacing w:after="0"/>
              <w:jc w:val="center"/>
              <w:rPr>
                <w:rFonts w:eastAsia="Times New Roman"/>
                <w:b/>
                <w:bCs/>
                <w:color w:val="FFFFFF" w:themeColor="background1"/>
                <w:sz w:val="18"/>
                <w:szCs w:val="18"/>
                <w:lang w:eastAsia="en-AU"/>
              </w:rPr>
            </w:pPr>
            <w:r w:rsidRPr="00395E9A">
              <w:rPr>
                <w:rFonts w:eastAsia="Times New Roman"/>
                <w:b/>
                <w:bCs/>
                <w:color w:val="FFFFFF" w:themeColor="background1"/>
                <w:sz w:val="18"/>
                <w:szCs w:val="18"/>
                <w:lang w:eastAsia="en-AU"/>
              </w:rPr>
              <w:t xml:space="preserve">Out-of-pocket costs </w:t>
            </w:r>
            <w:r w:rsidR="00395E9A">
              <w:rPr>
                <w:rFonts w:eastAsia="Times New Roman"/>
                <w:b/>
                <w:bCs/>
                <w:color w:val="FFFFFF" w:themeColor="background1"/>
                <w:sz w:val="18"/>
                <w:szCs w:val="18"/>
                <w:lang w:eastAsia="en-AU"/>
              </w:rPr>
              <w:t>–</w:t>
            </w:r>
            <w:r w:rsidRPr="00395E9A">
              <w:rPr>
                <w:rFonts w:eastAsia="Times New Roman"/>
                <w:b/>
                <w:bCs/>
                <w:color w:val="FFFFFF" w:themeColor="background1"/>
                <w:sz w:val="18"/>
                <w:szCs w:val="18"/>
                <w:lang w:eastAsia="en-AU"/>
              </w:rPr>
              <w:t>General patients</w:t>
            </w:r>
          </w:p>
        </w:tc>
      </w:tr>
      <w:tr w:rsidR="0063322B" w:rsidRPr="00395E9A" w14:paraId="52F6B24E" w14:textId="77777777" w:rsidTr="00395E9A">
        <w:trPr>
          <w:trHeight w:val="300"/>
          <w:jc w:val="center"/>
        </w:trPr>
        <w:tc>
          <w:tcPr>
            <w:tcW w:w="2189" w:type="dxa"/>
            <w:shd w:val="clear" w:color="auto" w:fill="auto"/>
            <w:noWrap/>
            <w:vAlign w:val="bottom"/>
            <w:hideMark/>
          </w:tcPr>
          <w:p w14:paraId="4D961F27" w14:textId="77777777" w:rsidR="0063322B" w:rsidRPr="00395E9A" w:rsidRDefault="0063322B" w:rsidP="00897452">
            <w:pPr>
              <w:spacing w:after="0"/>
              <w:rPr>
                <w:rFonts w:eastAsia="Times New Roman"/>
                <w:color w:val="000000"/>
                <w:sz w:val="18"/>
                <w:szCs w:val="18"/>
                <w:lang w:eastAsia="en-AU"/>
              </w:rPr>
            </w:pPr>
            <w:r w:rsidRPr="00395E9A">
              <w:rPr>
                <w:rFonts w:eastAsia="Times New Roman"/>
                <w:color w:val="000000"/>
                <w:sz w:val="18"/>
                <w:szCs w:val="18"/>
                <w:lang w:eastAsia="en-AU"/>
              </w:rPr>
              <w:t> </w:t>
            </w:r>
          </w:p>
        </w:tc>
        <w:tc>
          <w:tcPr>
            <w:tcW w:w="1386" w:type="dxa"/>
            <w:shd w:val="clear" w:color="auto" w:fill="auto"/>
            <w:noWrap/>
            <w:vAlign w:val="bottom"/>
            <w:hideMark/>
          </w:tcPr>
          <w:p w14:paraId="1336008D"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Est.</w:t>
            </w:r>
          </w:p>
        </w:tc>
        <w:tc>
          <w:tcPr>
            <w:tcW w:w="1386" w:type="dxa"/>
            <w:shd w:val="clear" w:color="auto" w:fill="auto"/>
            <w:noWrap/>
            <w:vAlign w:val="bottom"/>
            <w:hideMark/>
          </w:tcPr>
          <w:p w14:paraId="19BFCB7C"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Std. Err.</w:t>
            </w:r>
          </w:p>
        </w:tc>
        <w:tc>
          <w:tcPr>
            <w:tcW w:w="1386" w:type="dxa"/>
            <w:shd w:val="clear" w:color="auto" w:fill="auto"/>
            <w:noWrap/>
            <w:vAlign w:val="bottom"/>
            <w:hideMark/>
          </w:tcPr>
          <w:p w14:paraId="6DEE189B"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Est.</w:t>
            </w:r>
          </w:p>
        </w:tc>
        <w:tc>
          <w:tcPr>
            <w:tcW w:w="1386" w:type="dxa"/>
            <w:shd w:val="clear" w:color="auto" w:fill="auto"/>
            <w:noWrap/>
            <w:vAlign w:val="bottom"/>
            <w:hideMark/>
          </w:tcPr>
          <w:p w14:paraId="6232D3DD"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Std. Err.</w:t>
            </w:r>
          </w:p>
        </w:tc>
      </w:tr>
      <w:tr w:rsidR="0063322B" w:rsidRPr="00395E9A" w14:paraId="6792B9E9" w14:textId="77777777" w:rsidTr="00395E9A">
        <w:trPr>
          <w:trHeight w:val="300"/>
          <w:jc w:val="center"/>
        </w:trPr>
        <w:tc>
          <w:tcPr>
            <w:tcW w:w="2189" w:type="dxa"/>
            <w:shd w:val="clear" w:color="auto" w:fill="auto"/>
            <w:noWrap/>
            <w:vAlign w:val="bottom"/>
            <w:hideMark/>
          </w:tcPr>
          <w:p w14:paraId="5D233F30" w14:textId="77777777" w:rsidR="0063322B" w:rsidRPr="00395E9A" w:rsidRDefault="0063322B" w:rsidP="00395E9A">
            <w:pPr>
              <w:spacing w:after="0"/>
              <w:rPr>
                <w:rFonts w:eastAsia="Times New Roman"/>
                <w:color w:val="000000"/>
                <w:sz w:val="18"/>
                <w:szCs w:val="18"/>
                <w:lang w:eastAsia="en-AU"/>
              </w:rPr>
            </w:pPr>
            <w:r w:rsidRPr="00395E9A">
              <w:rPr>
                <w:rFonts w:eastAsia="Times New Roman"/>
                <w:color w:val="000000"/>
                <w:sz w:val="18"/>
                <w:szCs w:val="18"/>
                <w:lang w:eastAsia="en-AU"/>
              </w:rPr>
              <w:t>Period from enrolment</w:t>
            </w:r>
          </w:p>
        </w:tc>
        <w:tc>
          <w:tcPr>
            <w:tcW w:w="1386" w:type="dxa"/>
            <w:shd w:val="clear" w:color="auto" w:fill="auto"/>
            <w:noWrap/>
            <w:vAlign w:val="bottom"/>
            <w:hideMark/>
          </w:tcPr>
          <w:p w14:paraId="2C3C0103" w14:textId="77777777" w:rsidR="0063322B" w:rsidRPr="00395E9A" w:rsidRDefault="0063322B" w:rsidP="00897452">
            <w:pPr>
              <w:spacing w:after="0"/>
              <w:ind w:firstLineChars="200" w:firstLine="360"/>
              <w:rPr>
                <w:rFonts w:eastAsia="Times New Roman"/>
                <w:color w:val="000000"/>
                <w:sz w:val="18"/>
                <w:szCs w:val="18"/>
                <w:lang w:eastAsia="en-AU"/>
              </w:rPr>
            </w:pPr>
          </w:p>
        </w:tc>
        <w:tc>
          <w:tcPr>
            <w:tcW w:w="1386" w:type="dxa"/>
            <w:shd w:val="clear" w:color="auto" w:fill="auto"/>
            <w:noWrap/>
            <w:vAlign w:val="bottom"/>
            <w:hideMark/>
          </w:tcPr>
          <w:p w14:paraId="14FF8B23" w14:textId="77777777" w:rsidR="0063322B" w:rsidRPr="00395E9A" w:rsidRDefault="0063322B" w:rsidP="00897452">
            <w:pPr>
              <w:spacing w:after="0"/>
              <w:rPr>
                <w:rFonts w:eastAsia="Times New Roman"/>
                <w:sz w:val="18"/>
                <w:szCs w:val="18"/>
                <w:lang w:eastAsia="en-AU"/>
              </w:rPr>
            </w:pPr>
          </w:p>
        </w:tc>
        <w:tc>
          <w:tcPr>
            <w:tcW w:w="1386" w:type="dxa"/>
            <w:shd w:val="clear" w:color="auto" w:fill="auto"/>
            <w:noWrap/>
            <w:vAlign w:val="bottom"/>
            <w:hideMark/>
          </w:tcPr>
          <w:p w14:paraId="2A89764A" w14:textId="77777777" w:rsidR="0063322B" w:rsidRPr="00395E9A" w:rsidRDefault="0063322B" w:rsidP="00897452">
            <w:pPr>
              <w:spacing w:after="0"/>
              <w:rPr>
                <w:rFonts w:eastAsia="Times New Roman"/>
                <w:sz w:val="18"/>
                <w:szCs w:val="18"/>
                <w:lang w:eastAsia="en-AU"/>
              </w:rPr>
            </w:pPr>
          </w:p>
        </w:tc>
        <w:tc>
          <w:tcPr>
            <w:tcW w:w="1386" w:type="dxa"/>
            <w:shd w:val="clear" w:color="auto" w:fill="auto"/>
            <w:noWrap/>
            <w:vAlign w:val="bottom"/>
            <w:hideMark/>
          </w:tcPr>
          <w:p w14:paraId="768BADAD" w14:textId="77777777" w:rsidR="0063322B" w:rsidRPr="00395E9A" w:rsidRDefault="0063322B" w:rsidP="00897452">
            <w:pPr>
              <w:spacing w:after="0"/>
              <w:rPr>
                <w:rFonts w:eastAsia="Times New Roman"/>
                <w:sz w:val="18"/>
                <w:szCs w:val="18"/>
                <w:lang w:eastAsia="en-AU"/>
              </w:rPr>
            </w:pPr>
          </w:p>
        </w:tc>
      </w:tr>
      <w:tr w:rsidR="0063322B" w:rsidRPr="00395E9A" w14:paraId="6E8995D5" w14:textId="77777777" w:rsidTr="00395E9A">
        <w:trPr>
          <w:trHeight w:val="300"/>
          <w:jc w:val="center"/>
        </w:trPr>
        <w:tc>
          <w:tcPr>
            <w:tcW w:w="2189" w:type="dxa"/>
            <w:shd w:val="clear" w:color="auto" w:fill="auto"/>
            <w:noWrap/>
            <w:vAlign w:val="bottom"/>
            <w:hideMark/>
          </w:tcPr>
          <w:p w14:paraId="02F3076D" w14:textId="6B97BF63" w:rsidR="0063322B" w:rsidRPr="00395E9A" w:rsidRDefault="0063322B" w:rsidP="00395E9A">
            <w:pPr>
              <w:spacing w:after="0"/>
              <w:ind w:left="306"/>
              <w:rPr>
                <w:rFonts w:eastAsia="Times New Roman"/>
                <w:color w:val="000000"/>
                <w:sz w:val="18"/>
                <w:szCs w:val="18"/>
                <w:lang w:eastAsia="en-AU"/>
              </w:rPr>
            </w:pPr>
            <w:r w:rsidRPr="00395E9A">
              <w:rPr>
                <w:rFonts w:eastAsia="Times New Roman"/>
                <w:color w:val="000000"/>
                <w:sz w:val="18"/>
                <w:szCs w:val="18"/>
                <w:lang w:eastAsia="en-AU"/>
              </w:rPr>
              <w:t>Months 1</w:t>
            </w:r>
            <w:r w:rsidR="00395E9A">
              <w:rPr>
                <w:rFonts w:eastAsia="Times New Roman"/>
                <w:color w:val="000000"/>
                <w:sz w:val="18"/>
                <w:szCs w:val="18"/>
                <w:lang w:eastAsia="en-AU"/>
              </w:rPr>
              <w:t>–</w:t>
            </w:r>
            <w:r w:rsidRPr="00395E9A">
              <w:rPr>
                <w:rFonts w:eastAsia="Times New Roman"/>
                <w:color w:val="000000"/>
                <w:sz w:val="18"/>
                <w:szCs w:val="18"/>
                <w:lang w:eastAsia="en-AU"/>
              </w:rPr>
              <w:t>6</w:t>
            </w:r>
          </w:p>
        </w:tc>
        <w:tc>
          <w:tcPr>
            <w:tcW w:w="1386" w:type="dxa"/>
            <w:shd w:val="clear" w:color="auto" w:fill="auto"/>
            <w:noWrap/>
            <w:vAlign w:val="bottom"/>
            <w:hideMark/>
          </w:tcPr>
          <w:p w14:paraId="407083AA"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2.32</w:t>
            </w:r>
          </w:p>
        </w:tc>
        <w:tc>
          <w:tcPr>
            <w:tcW w:w="1386" w:type="dxa"/>
            <w:shd w:val="clear" w:color="auto" w:fill="auto"/>
            <w:noWrap/>
            <w:vAlign w:val="bottom"/>
            <w:hideMark/>
          </w:tcPr>
          <w:p w14:paraId="3777EAE6"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(2.82)</w:t>
            </w:r>
          </w:p>
        </w:tc>
        <w:tc>
          <w:tcPr>
            <w:tcW w:w="1386" w:type="dxa"/>
            <w:shd w:val="clear" w:color="auto" w:fill="auto"/>
            <w:noWrap/>
            <w:vAlign w:val="bottom"/>
            <w:hideMark/>
          </w:tcPr>
          <w:p w14:paraId="0E7B57BE"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-0.75</w:t>
            </w:r>
          </w:p>
        </w:tc>
        <w:tc>
          <w:tcPr>
            <w:tcW w:w="1386" w:type="dxa"/>
            <w:shd w:val="clear" w:color="auto" w:fill="auto"/>
            <w:noWrap/>
            <w:vAlign w:val="bottom"/>
            <w:hideMark/>
          </w:tcPr>
          <w:p w14:paraId="2CE1D3DD"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(4.97)</w:t>
            </w:r>
          </w:p>
        </w:tc>
      </w:tr>
      <w:tr w:rsidR="0063322B" w:rsidRPr="00395E9A" w14:paraId="63622DF4" w14:textId="77777777" w:rsidTr="00395E9A">
        <w:trPr>
          <w:trHeight w:val="300"/>
          <w:jc w:val="center"/>
        </w:trPr>
        <w:tc>
          <w:tcPr>
            <w:tcW w:w="2189" w:type="dxa"/>
            <w:shd w:val="clear" w:color="auto" w:fill="auto"/>
            <w:noWrap/>
            <w:vAlign w:val="bottom"/>
            <w:hideMark/>
          </w:tcPr>
          <w:p w14:paraId="2F45F056" w14:textId="194CD619" w:rsidR="0063322B" w:rsidRPr="00395E9A" w:rsidRDefault="0063322B" w:rsidP="00395E9A">
            <w:pPr>
              <w:spacing w:after="0"/>
              <w:ind w:left="306"/>
              <w:rPr>
                <w:rFonts w:eastAsia="Times New Roman"/>
                <w:color w:val="000000"/>
                <w:sz w:val="18"/>
                <w:szCs w:val="18"/>
                <w:lang w:eastAsia="en-AU"/>
              </w:rPr>
            </w:pPr>
            <w:r w:rsidRPr="00395E9A">
              <w:rPr>
                <w:rFonts w:eastAsia="Times New Roman"/>
                <w:color w:val="000000"/>
                <w:sz w:val="18"/>
                <w:szCs w:val="18"/>
                <w:lang w:eastAsia="en-AU"/>
              </w:rPr>
              <w:t>Months 7</w:t>
            </w:r>
            <w:r w:rsidR="00395E9A">
              <w:rPr>
                <w:rFonts w:eastAsia="Times New Roman"/>
                <w:color w:val="000000"/>
                <w:sz w:val="18"/>
                <w:szCs w:val="18"/>
                <w:lang w:eastAsia="en-AU"/>
              </w:rPr>
              <w:t>–</w:t>
            </w:r>
            <w:r w:rsidRPr="00395E9A">
              <w:rPr>
                <w:rFonts w:eastAsia="Times New Roman"/>
                <w:color w:val="000000"/>
                <w:sz w:val="18"/>
                <w:szCs w:val="18"/>
                <w:lang w:eastAsia="en-AU"/>
              </w:rPr>
              <w:t>12</w:t>
            </w:r>
          </w:p>
        </w:tc>
        <w:tc>
          <w:tcPr>
            <w:tcW w:w="1386" w:type="dxa"/>
            <w:shd w:val="clear" w:color="auto" w:fill="auto"/>
            <w:noWrap/>
            <w:vAlign w:val="bottom"/>
            <w:hideMark/>
          </w:tcPr>
          <w:p w14:paraId="2921D2B5"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1.38</w:t>
            </w:r>
          </w:p>
        </w:tc>
        <w:tc>
          <w:tcPr>
            <w:tcW w:w="1386" w:type="dxa"/>
            <w:shd w:val="clear" w:color="auto" w:fill="auto"/>
            <w:noWrap/>
            <w:vAlign w:val="bottom"/>
            <w:hideMark/>
          </w:tcPr>
          <w:p w14:paraId="119D3DD4"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(1.82)</w:t>
            </w:r>
          </w:p>
        </w:tc>
        <w:tc>
          <w:tcPr>
            <w:tcW w:w="1386" w:type="dxa"/>
            <w:shd w:val="clear" w:color="auto" w:fill="auto"/>
            <w:noWrap/>
            <w:vAlign w:val="bottom"/>
            <w:hideMark/>
          </w:tcPr>
          <w:p w14:paraId="585999D9"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-2.93</w:t>
            </w:r>
          </w:p>
        </w:tc>
        <w:tc>
          <w:tcPr>
            <w:tcW w:w="1386" w:type="dxa"/>
            <w:shd w:val="clear" w:color="auto" w:fill="auto"/>
            <w:noWrap/>
            <w:vAlign w:val="bottom"/>
            <w:hideMark/>
          </w:tcPr>
          <w:p w14:paraId="006FFDA4"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(4.75)</w:t>
            </w:r>
          </w:p>
        </w:tc>
      </w:tr>
      <w:tr w:rsidR="0063322B" w:rsidRPr="00395E9A" w14:paraId="34DD36A3" w14:textId="77777777" w:rsidTr="00395E9A">
        <w:trPr>
          <w:trHeight w:val="300"/>
          <w:jc w:val="center"/>
        </w:trPr>
        <w:tc>
          <w:tcPr>
            <w:tcW w:w="2189" w:type="dxa"/>
            <w:shd w:val="clear" w:color="auto" w:fill="auto"/>
            <w:noWrap/>
            <w:vAlign w:val="bottom"/>
            <w:hideMark/>
          </w:tcPr>
          <w:p w14:paraId="4889DE61" w14:textId="234844E4" w:rsidR="0063322B" w:rsidRPr="00395E9A" w:rsidRDefault="0063322B" w:rsidP="00395E9A">
            <w:pPr>
              <w:spacing w:after="0"/>
              <w:ind w:left="306"/>
              <w:rPr>
                <w:rFonts w:eastAsia="Times New Roman"/>
                <w:color w:val="000000"/>
                <w:sz w:val="18"/>
                <w:szCs w:val="18"/>
                <w:lang w:eastAsia="en-AU"/>
              </w:rPr>
            </w:pPr>
            <w:r w:rsidRPr="00395E9A">
              <w:rPr>
                <w:rFonts w:eastAsia="Times New Roman"/>
                <w:color w:val="000000"/>
                <w:sz w:val="18"/>
                <w:szCs w:val="18"/>
                <w:lang w:eastAsia="en-AU"/>
              </w:rPr>
              <w:t>Months 13</w:t>
            </w:r>
            <w:r w:rsidR="00395E9A">
              <w:rPr>
                <w:rFonts w:eastAsia="Times New Roman"/>
                <w:color w:val="000000"/>
                <w:sz w:val="18"/>
                <w:szCs w:val="18"/>
                <w:lang w:eastAsia="en-AU"/>
              </w:rPr>
              <w:t>–</w:t>
            </w:r>
            <w:r w:rsidRPr="00395E9A">
              <w:rPr>
                <w:rFonts w:eastAsia="Times New Roman"/>
                <w:color w:val="000000"/>
                <w:sz w:val="18"/>
                <w:szCs w:val="18"/>
                <w:lang w:eastAsia="en-AU"/>
              </w:rPr>
              <w:t>18</w:t>
            </w:r>
          </w:p>
        </w:tc>
        <w:tc>
          <w:tcPr>
            <w:tcW w:w="1386" w:type="dxa"/>
            <w:shd w:val="clear" w:color="auto" w:fill="auto"/>
            <w:noWrap/>
            <w:vAlign w:val="bottom"/>
            <w:hideMark/>
          </w:tcPr>
          <w:p w14:paraId="6C251464"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3.25</w:t>
            </w:r>
          </w:p>
        </w:tc>
        <w:tc>
          <w:tcPr>
            <w:tcW w:w="1386" w:type="dxa"/>
            <w:shd w:val="clear" w:color="auto" w:fill="auto"/>
            <w:noWrap/>
            <w:vAlign w:val="bottom"/>
            <w:hideMark/>
          </w:tcPr>
          <w:p w14:paraId="658C2268"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(3.40)</w:t>
            </w:r>
          </w:p>
        </w:tc>
        <w:tc>
          <w:tcPr>
            <w:tcW w:w="1386" w:type="dxa"/>
            <w:shd w:val="clear" w:color="auto" w:fill="auto"/>
            <w:noWrap/>
            <w:vAlign w:val="bottom"/>
            <w:hideMark/>
          </w:tcPr>
          <w:p w14:paraId="4C10E724"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-1.22</w:t>
            </w:r>
          </w:p>
        </w:tc>
        <w:tc>
          <w:tcPr>
            <w:tcW w:w="1386" w:type="dxa"/>
            <w:shd w:val="clear" w:color="auto" w:fill="auto"/>
            <w:noWrap/>
            <w:vAlign w:val="bottom"/>
            <w:hideMark/>
          </w:tcPr>
          <w:p w14:paraId="3F80377B"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(4.06)</w:t>
            </w:r>
          </w:p>
        </w:tc>
      </w:tr>
      <w:tr w:rsidR="0063322B" w:rsidRPr="00395E9A" w14:paraId="46FB45A3" w14:textId="77777777" w:rsidTr="00395E9A">
        <w:trPr>
          <w:trHeight w:val="300"/>
          <w:jc w:val="center"/>
        </w:trPr>
        <w:tc>
          <w:tcPr>
            <w:tcW w:w="2189" w:type="dxa"/>
            <w:shd w:val="clear" w:color="auto" w:fill="auto"/>
            <w:noWrap/>
            <w:vAlign w:val="bottom"/>
            <w:hideMark/>
          </w:tcPr>
          <w:p w14:paraId="2585D399" w14:textId="3A6EE739" w:rsidR="0063322B" w:rsidRPr="00395E9A" w:rsidRDefault="0063322B" w:rsidP="00395E9A">
            <w:pPr>
              <w:spacing w:after="0"/>
              <w:ind w:left="306"/>
              <w:rPr>
                <w:rFonts w:eastAsia="Times New Roman"/>
                <w:color w:val="000000"/>
                <w:sz w:val="18"/>
                <w:szCs w:val="18"/>
                <w:lang w:eastAsia="en-AU"/>
              </w:rPr>
            </w:pPr>
            <w:r w:rsidRPr="00395E9A">
              <w:rPr>
                <w:rFonts w:eastAsia="Times New Roman"/>
                <w:color w:val="000000"/>
                <w:sz w:val="18"/>
                <w:szCs w:val="18"/>
                <w:lang w:eastAsia="en-AU"/>
              </w:rPr>
              <w:t>Months 19</w:t>
            </w:r>
            <w:r w:rsidR="00395E9A">
              <w:rPr>
                <w:rFonts w:eastAsia="Times New Roman"/>
                <w:color w:val="000000"/>
                <w:sz w:val="18"/>
                <w:szCs w:val="18"/>
                <w:lang w:eastAsia="en-AU"/>
              </w:rPr>
              <w:t>–</w:t>
            </w:r>
            <w:r w:rsidRPr="00395E9A">
              <w:rPr>
                <w:rFonts w:eastAsia="Times New Roman"/>
                <w:color w:val="000000"/>
                <w:sz w:val="18"/>
                <w:szCs w:val="18"/>
                <w:lang w:eastAsia="en-AU"/>
              </w:rPr>
              <w:t>24</w:t>
            </w:r>
          </w:p>
        </w:tc>
        <w:tc>
          <w:tcPr>
            <w:tcW w:w="1386" w:type="dxa"/>
            <w:shd w:val="clear" w:color="auto" w:fill="auto"/>
            <w:noWrap/>
            <w:vAlign w:val="bottom"/>
            <w:hideMark/>
          </w:tcPr>
          <w:p w14:paraId="1A1359E5"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-1.58</w:t>
            </w:r>
          </w:p>
        </w:tc>
        <w:tc>
          <w:tcPr>
            <w:tcW w:w="1386" w:type="dxa"/>
            <w:shd w:val="clear" w:color="auto" w:fill="auto"/>
            <w:noWrap/>
            <w:vAlign w:val="bottom"/>
            <w:hideMark/>
          </w:tcPr>
          <w:p w14:paraId="736C5A57"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(2.40)</w:t>
            </w:r>
          </w:p>
        </w:tc>
        <w:tc>
          <w:tcPr>
            <w:tcW w:w="1386" w:type="dxa"/>
            <w:shd w:val="clear" w:color="auto" w:fill="auto"/>
            <w:noWrap/>
            <w:vAlign w:val="bottom"/>
            <w:hideMark/>
          </w:tcPr>
          <w:p w14:paraId="1ED2A5A2"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-3.62</w:t>
            </w:r>
          </w:p>
        </w:tc>
        <w:tc>
          <w:tcPr>
            <w:tcW w:w="1386" w:type="dxa"/>
            <w:shd w:val="clear" w:color="auto" w:fill="auto"/>
            <w:noWrap/>
            <w:vAlign w:val="bottom"/>
            <w:hideMark/>
          </w:tcPr>
          <w:p w14:paraId="1228EC3B"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(4.51)</w:t>
            </w:r>
          </w:p>
        </w:tc>
      </w:tr>
      <w:tr w:rsidR="0063322B" w:rsidRPr="00395E9A" w14:paraId="65F2A4A5" w14:textId="77777777" w:rsidTr="00395E9A">
        <w:trPr>
          <w:trHeight w:val="300"/>
          <w:jc w:val="center"/>
        </w:trPr>
        <w:tc>
          <w:tcPr>
            <w:tcW w:w="2189" w:type="dxa"/>
            <w:shd w:val="clear" w:color="auto" w:fill="auto"/>
            <w:noWrap/>
            <w:vAlign w:val="bottom"/>
            <w:hideMark/>
          </w:tcPr>
          <w:p w14:paraId="30AB4C84" w14:textId="77777777" w:rsidR="0063322B" w:rsidRPr="00395E9A" w:rsidRDefault="0063322B" w:rsidP="00897452">
            <w:pPr>
              <w:spacing w:after="0"/>
              <w:rPr>
                <w:rFonts w:eastAsia="Times New Roman"/>
                <w:color w:val="000000"/>
                <w:sz w:val="18"/>
                <w:szCs w:val="18"/>
                <w:lang w:eastAsia="en-AU"/>
              </w:rPr>
            </w:pPr>
            <w:r w:rsidRPr="00395E9A">
              <w:rPr>
                <w:rFonts w:eastAsia="Times New Roman"/>
                <w:color w:val="000000"/>
                <w:sz w:val="18"/>
                <w:szCs w:val="18"/>
                <w:lang w:eastAsia="en-AU"/>
              </w:rPr>
              <w:t>Sample size</w:t>
            </w:r>
          </w:p>
        </w:tc>
        <w:tc>
          <w:tcPr>
            <w:tcW w:w="2772" w:type="dxa"/>
            <w:gridSpan w:val="2"/>
            <w:shd w:val="clear" w:color="auto" w:fill="auto"/>
            <w:noWrap/>
            <w:vAlign w:val="center"/>
            <w:hideMark/>
          </w:tcPr>
          <w:p w14:paraId="36A336AD"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74,014</w:t>
            </w:r>
          </w:p>
        </w:tc>
        <w:tc>
          <w:tcPr>
            <w:tcW w:w="2772" w:type="dxa"/>
            <w:gridSpan w:val="2"/>
            <w:shd w:val="clear" w:color="auto" w:fill="auto"/>
            <w:noWrap/>
            <w:vAlign w:val="center"/>
            <w:hideMark/>
          </w:tcPr>
          <w:p w14:paraId="2E7552B5" w14:textId="77777777" w:rsidR="0063322B" w:rsidRPr="00395E9A" w:rsidRDefault="0063322B" w:rsidP="00897452">
            <w:pPr>
              <w:spacing w:after="0"/>
              <w:jc w:val="center"/>
              <w:rPr>
                <w:rFonts w:eastAsia="Times New Roman"/>
                <w:color w:val="000000"/>
                <w:sz w:val="18"/>
                <w:szCs w:val="18"/>
                <w:lang w:eastAsia="en-AU"/>
              </w:rPr>
            </w:pPr>
            <w:r w:rsidRPr="00395E9A">
              <w:rPr>
                <w:rFonts w:eastAsia="Times New Roman"/>
                <w:color w:val="000000"/>
                <w:sz w:val="18"/>
                <w:szCs w:val="18"/>
                <w:lang w:eastAsia="en-AU"/>
              </w:rPr>
              <w:t>35,004</w:t>
            </w:r>
          </w:p>
        </w:tc>
      </w:tr>
    </w:tbl>
    <w:p w14:paraId="28A3454E" w14:textId="24FDCB1F" w:rsidR="0063322B" w:rsidRPr="004A6C94" w:rsidRDefault="00001DEB" w:rsidP="000755B7">
      <w:pPr>
        <w:pStyle w:val="Chartortablefootnote"/>
      </w:pPr>
      <w:r>
        <w:t xml:space="preserve">Notes: </w:t>
      </w:r>
      <w:r w:rsidR="0063322B">
        <w:t xml:space="preserve">Results are based on a per-patient, per-period basis. </w:t>
      </w:r>
      <w:r w:rsidR="0063322B" w:rsidRPr="00EE4F95">
        <w:t>Clustered standard errors in parentheses.</w:t>
      </w:r>
      <w:r w:rsidR="0063322B">
        <w:t xml:space="preserve"> Statistically significant results denoted by:</w:t>
      </w:r>
      <w:r w:rsidR="00A561EE">
        <w:t xml:space="preserve"> </w:t>
      </w:r>
      <w:r w:rsidR="0063322B" w:rsidRPr="00EE4F95">
        <w:t>*** p&lt;0.01, ** p&lt;0.05, * p&lt;0.1</w:t>
      </w:r>
      <w:r w:rsidR="0063322B">
        <w:t>.</w:t>
      </w:r>
    </w:p>
    <w:p w14:paraId="7225CA72" w14:textId="011B051A" w:rsidR="00323698" w:rsidRDefault="00323698" w:rsidP="00844332">
      <w:pPr>
        <w:rPr>
          <w:rFonts w:eastAsia="Muli" w:cs="Muli"/>
          <w:color w:val="000000" w:themeColor="text1"/>
          <w:szCs w:val="20"/>
        </w:rPr>
      </w:pPr>
    </w:p>
    <w:p w14:paraId="2ED473A6" w14:textId="77777777" w:rsidR="00323698" w:rsidRDefault="00323698" w:rsidP="00323698"/>
    <w:p w14:paraId="72FB98E8" w14:textId="77777777" w:rsidR="00A77484" w:rsidRDefault="00A77484" w:rsidP="00032A68">
      <w:pPr>
        <w:sectPr w:rsidR="00A77484">
          <w:headerReference w:type="default" r:id="rId110"/>
          <w:pgSz w:w="11906" w:h="16838"/>
          <w:pgMar w:top="1440" w:right="1440" w:bottom="1440" w:left="1440" w:header="708" w:footer="708" w:gutter="0"/>
          <w:cols w:space="708"/>
          <w:docGrid w:linePitch="360"/>
        </w:sectPr>
      </w:pP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2A4D96" w14:paraId="2D9916C9" w14:textId="77777777" w:rsidTr="00256EF9">
        <w:tc>
          <w:tcPr>
            <w:tcW w:w="9016" w:type="dxa"/>
          </w:tcPr>
          <w:p w14:paraId="251F73A4" w14:textId="3B743F28" w:rsidR="002A4D96" w:rsidRPr="00C71F42" w:rsidRDefault="002A4D96" w:rsidP="00C924C7">
            <w:pPr>
              <w:pStyle w:val="Sectionheading"/>
            </w:pPr>
            <w:r>
              <w:lastRenderedPageBreak/>
              <w:br w:type="page"/>
            </w:r>
            <w:bookmarkStart w:id="428" w:name="_Toc109996747"/>
            <w:r w:rsidRPr="002A4D96">
              <w:t>Key evaluation questions 5–8: Community pharmacy trial</w:t>
            </w:r>
            <w:r w:rsidRPr="00C71F42">
              <w:t>?</w:t>
            </w:r>
            <w:bookmarkEnd w:id="428"/>
          </w:p>
          <w:p w14:paraId="3438BF62" w14:textId="6CE65E59" w:rsidR="00CF11A1" w:rsidRDefault="00CF11A1" w:rsidP="00CF11A1">
            <w:r>
              <w:t>The chapters in this section answer the key evaluation questions relating to the community pharmacy trial:</w:t>
            </w:r>
          </w:p>
          <w:p w14:paraId="0012E481" w14:textId="6A2C3A69" w:rsidR="00CF11A1" w:rsidRDefault="00CF11A1" w:rsidP="00BB7C8D">
            <w:pPr>
              <w:pStyle w:val="ListParagraph"/>
              <w:numPr>
                <w:ilvl w:val="0"/>
                <w:numId w:val="26"/>
              </w:numPr>
            </w:pPr>
            <w:r>
              <w:t>Key question 5: Is community pharmacy a beneficial component of the broader HCH coordinated care model and should it be included as part of any future roll out?</w:t>
            </w:r>
          </w:p>
          <w:p w14:paraId="6FD4CA6E" w14:textId="3DC9BE3D" w:rsidR="00CF11A1" w:rsidRDefault="00CF11A1" w:rsidP="00BB7C8D">
            <w:pPr>
              <w:pStyle w:val="ListParagraph"/>
              <w:numPr>
                <w:ilvl w:val="0"/>
                <w:numId w:val="26"/>
              </w:numPr>
            </w:pPr>
            <w:r>
              <w:t>Key question 6: Do patients who received medication management services as part of the HCH trial experience better health outcomes than patients who did not?</w:t>
            </w:r>
          </w:p>
          <w:p w14:paraId="5166C630" w14:textId="7F93F9CE" w:rsidR="00CF11A1" w:rsidRDefault="00CF11A1" w:rsidP="00BB7C8D">
            <w:pPr>
              <w:pStyle w:val="ListParagraph"/>
              <w:numPr>
                <w:ilvl w:val="0"/>
                <w:numId w:val="26"/>
              </w:numPr>
            </w:pPr>
            <w:r>
              <w:t>Key question 7: What was the level of engagement between HCH practices and community pharmacy (care coordination)?</w:t>
            </w:r>
          </w:p>
          <w:p w14:paraId="42A4212A" w14:textId="6AE35742" w:rsidR="002A4D96" w:rsidRPr="008E10EF" w:rsidRDefault="00CF11A1" w:rsidP="00BB7C8D">
            <w:pPr>
              <w:pStyle w:val="ListParagraph"/>
              <w:numPr>
                <w:ilvl w:val="0"/>
                <w:numId w:val="26"/>
              </w:numPr>
            </w:pPr>
            <w:r>
              <w:t>Key question 8: Is the inclusion of a pharmacy component in HCH financially viable?</w:t>
            </w:r>
          </w:p>
        </w:tc>
      </w:tr>
    </w:tbl>
    <w:p w14:paraId="313B941D" w14:textId="77777777" w:rsidR="002A4D96" w:rsidRDefault="002A4D96" w:rsidP="00032A68">
      <w:pPr>
        <w:sectPr w:rsidR="002A4D96" w:rsidSect="002A4D96">
          <w:headerReference w:type="default" r:id="rId111"/>
          <w:pgSz w:w="11906" w:h="16838"/>
          <w:pgMar w:top="1440" w:right="1440" w:bottom="1440" w:left="1440" w:header="709" w:footer="709" w:gutter="0"/>
          <w:cols w:space="708"/>
          <w:vAlign w:val="center"/>
          <w:docGrid w:linePitch="360"/>
        </w:sectPr>
      </w:pPr>
    </w:p>
    <w:p w14:paraId="29B53970" w14:textId="0DBB3458" w:rsidR="002A4D96" w:rsidRPr="0094369A" w:rsidRDefault="00072628" w:rsidP="002A4D96">
      <w:pPr>
        <w:pStyle w:val="ChapterNumber"/>
      </w:pPr>
      <w:r>
        <w:lastRenderedPageBreak/>
        <w:fldChar w:fldCharType="begin"/>
      </w:r>
      <w:r>
        <w:instrText xml:space="preserve"> REF _Ref98410247 \r \h </w:instrText>
      </w:r>
      <w:r>
        <w:fldChar w:fldCharType="separate"/>
      </w:r>
      <w:r w:rsidR="003C4BC2">
        <w:t>20</w:t>
      </w:r>
      <w:r>
        <w:fldChar w:fldCharType="end"/>
      </w:r>
    </w:p>
    <w:p w14:paraId="286941F3" w14:textId="6DF889FE" w:rsidR="002A4D96" w:rsidRDefault="003732C7" w:rsidP="002A4D96">
      <w:pPr>
        <w:pStyle w:val="Heading1withnumber"/>
        <w:ind w:left="0" w:hanging="851"/>
      </w:pPr>
      <w:bookmarkStart w:id="429" w:name="_Ref98410247"/>
      <w:bookmarkStart w:id="430" w:name="_Toc109996748"/>
      <w:r>
        <w:t xml:space="preserve">Community </w:t>
      </w:r>
      <w:r w:rsidR="00FE76EA" w:rsidRPr="00FE76EA">
        <w:t xml:space="preserve">Pharmacy in </w:t>
      </w:r>
      <w:r w:rsidR="00FE76EA">
        <w:t>HCH</w:t>
      </w:r>
      <w:r w:rsidR="00FE76EA" w:rsidRPr="00FE76EA">
        <w:t xml:space="preserve"> Trial </w:t>
      </w:r>
      <w:r w:rsidR="002256E6">
        <w:t xml:space="preserve">– </w:t>
      </w:r>
      <w:r w:rsidR="005739A7">
        <w:t>set</w:t>
      </w:r>
      <w:r w:rsidR="007E51DB">
        <w:t>-</w:t>
      </w:r>
      <w:r w:rsidR="005739A7">
        <w:t>up</w:t>
      </w:r>
      <w:bookmarkEnd w:id="429"/>
      <w:bookmarkEnd w:id="430"/>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3732C7" w:rsidRPr="0048466A" w14:paraId="5502EDAF" w14:textId="77777777" w:rsidTr="00256EF9">
        <w:tc>
          <w:tcPr>
            <w:tcW w:w="8996" w:type="dxa"/>
            <w:shd w:val="clear" w:color="auto" w:fill="auto"/>
          </w:tcPr>
          <w:p w14:paraId="4B992457" w14:textId="4E3145F3" w:rsidR="00E76EF4" w:rsidRPr="006201AB" w:rsidRDefault="00E76EF4" w:rsidP="00AF15A5">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27</w:t>
            </w:r>
            <w:r w:rsidRPr="006201AB">
              <w:rPr>
                <w:bCs/>
                <w:noProof/>
              </w:rPr>
              <w:fldChar w:fldCharType="end"/>
            </w:r>
            <w:r w:rsidRPr="006201AB">
              <w:rPr>
                <w:bCs/>
                <w:szCs w:val="20"/>
              </w:rPr>
              <w:t>: Chapter summary</w:t>
            </w:r>
          </w:p>
          <w:p w14:paraId="06466C61" w14:textId="115D1385" w:rsidR="000A22D8" w:rsidRPr="000A22D8" w:rsidRDefault="000A22D8" w:rsidP="000A22D8">
            <w:pPr>
              <w:spacing w:after="120"/>
              <w:rPr>
                <w:sz w:val="18"/>
                <w:szCs w:val="18"/>
              </w:rPr>
            </w:pPr>
            <w:r w:rsidRPr="000A22D8">
              <w:rPr>
                <w:sz w:val="18"/>
                <w:szCs w:val="18"/>
              </w:rPr>
              <w:t xml:space="preserve">The community pharmacy trial was an initiative of the Sixth Community Pharmacy Agreement (6CPA) and introduced in August 2018. The initiative provided for HCH patients to be referred to a community pharmacy of their choice for medication management services. </w:t>
            </w:r>
            <w:r w:rsidR="0092330E" w:rsidRPr="0092330E">
              <w:rPr>
                <w:sz w:val="18"/>
                <w:szCs w:val="18"/>
              </w:rPr>
              <w:t>The initiative was intended to foster teamwork and coordination between HCH practices and community pharmacies</w:t>
            </w:r>
            <w:r w:rsidRPr="000A22D8">
              <w:rPr>
                <w:sz w:val="18"/>
                <w:szCs w:val="18"/>
              </w:rPr>
              <w:t>.</w:t>
            </w:r>
          </w:p>
          <w:p w14:paraId="56B86A2D" w14:textId="4D7350E6" w:rsidR="000A22D8" w:rsidRPr="000A22D8" w:rsidRDefault="000A22D8" w:rsidP="000A22D8">
            <w:pPr>
              <w:spacing w:after="120"/>
              <w:rPr>
                <w:sz w:val="18"/>
                <w:szCs w:val="18"/>
              </w:rPr>
            </w:pPr>
            <w:r w:rsidRPr="000A22D8">
              <w:rPr>
                <w:sz w:val="18"/>
                <w:szCs w:val="18"/>
              </w:rPr>
              <w:t xml:space="preserve">The Pharmacy Guild of Australia promoted the trial amongst pharmacies in the 10 PHNs in which the trial was conducted through an electronic direct mail marketing (EDM) campaign as well as through Guild publications. </w:t>
            </w:r>
            <w:r w:rsidR="005E0995">
              <w:rPr>
                <w:sz w:val="18"/>
                <w:szCs w:val="18"/>
              </w:rPr>
              <w:t xml:space="preserve">Within </w:t>
            </w:r>
            <w:r w:rsidR="004743CC">
              <w:rPr>
                <w:sz w:val="18"/>
                <w:szCs w:val="18"/>
              </w:rPr>
              <w:t>12 months of its introduction</w:t>
            </w:r>
            <w:r w:rsidR="005E0995" w:rsidRPr="005E0995">
              <w:rPr>
                <w:sz w:val="18"/>
                <w:szCs w:val="18"/>
              </w:rPr>
              <w:t>, 625 pharmacies registered to participate</w:t>
            </w:r>
            <w:r w:rsidRPr="000A22D8">
              <w:rPr>
                <w:sz w:val="18"/>
                <w:szCs w:val="18"/>
              </w:rPr>
              <w:t>.</w:t>
            </w:r>
          </w:p>
          <w:p w14:paraId="7BCE2F3D" w14:textId="77777777" w:rsidR="000A22D8" w:rsidRPr="000A22D8" w:rsidRDefault="000A22D8" w:rsidP="000A22D8">
            <w:pPr>
              <w:spacing w:after="120"/>
              <w:rPr>
                <w:sz w:val="18"/>
                <w:szCs w:val="18"/>
              </w:rPr>
            </w:pPr>
            <w:r w:rsidRPr="000A22D8">
              <w:rPr>
                <w:sz w:val="18"/>
                <w:szCs w:val="18"/>
              </w:rPr>
              <w:t>Online training about the HCH model and the community pharmacy trial was available to pharmacies. As with the broader HCH trial training, the rate of completion declined with each subsequent module, starting at 23% for module 1, to 6–7% for the last two modules.</w:t>
            </w:r>
          </w:p>
          <w:p w14:paraId="2FF730C5" w14:textId="79A12DA9" w:rsidR="000A22D8" w:rsidRPr="000A22D8" w:rsidRDefault="000A22D8" w:rsidP="000A22D8">
            <w:pPr>
              <w:spacing w:after="120"/>
              <w:rPr>
                <w:sz w:val="18"/>
                <w:szCs w:val="18"/>
              </w:rPr>
            </w:pPr>
            <w:r w:rsidRPr="000A22D8">
              <w:rPr>
                <w:sz w:val="18"/>
                <w:szCs w:val="18"/>
              </w:rPr>
              <w:t xml:space="preserve">After agreeing to participate in the trial, some pharmacies were proactive and initiated contact with HCHs in their area. Others got involved in the trial because they were encouraged by the Guild or their local PHN, contacted by </w:t>
            </w:r>
            <w:r w:rsidR="00DB1BD7">
              <w:rPr>
                <w:sz w:val="18"/>
                <w:szCs w:val="18"/>
              </w:rPr>
              <w:t>a HCH</w:t>
            </w:r>
            <w:r w:rsidRPr="000A22D8">
              <w:rPr>
                <w:sz w:val="18"/>
                <w:szCs w:val="18"/>
              </w:rPr>
              <w:t xml:space="preserve"> practice, or were near or had an existing relationship with </w:t>
            </w:r>
            <w:r w:rsidR="00DB1BD7">
              <w:rPr>
                <w:sz w:val="18"/>
                <w:szCs w:val="18"/>
              </w:rPr>
              <w:t>a HCH</w:t>
            </w:r>
            <w:r w:rsidRPr="000A22D8">
              <w:rPr>
                <w:sz w:val="18"/>
                <w:szCs w:val="18"/>
              </w:rPr>
              <w:t xml:space="preserve"> practice.</w:t>
            </w:r>
          </w:p>
          <w:p w14:paraId="4FDD9FAE" w14:textId="4AA42114" w:rsidR="00FA425F" w:rsidRDefault="000A22D8" w:rsidP="000A22D8">
            <w:pPr>
              <w:spacing w:after="120"/>
              <w:rPr>
                <w:sz w:val="18"/>
                <w:szCs w:val="18"/>
              </w:rPr>
            </w:pPr>
            <w:r w:rsidRPr="000A22D8">
              <w:rPr>
                <w:sz w:val="18"/>
                <w:szCs w:val="18"/>
              </w:rPr>
              <w:t xml:space="preserve">All pharmacies had to prepare for the trial in some way, at minimum, establish software and processes to register patients, record key information and receive payments. Some had to make more extensive changes that included hiring additional staff or making changes to the role of </w:t>
            </w:r>
            <w:r w:rsidR="00DE351C" w:rsidRPr="000A22D8">
              <w:rPr>
                <w:sz w:val="18"/>
                <w:szCs w:val="18"/>
              </w:rPr>
              <w:t>staff and</w:t>
            </w:r>
            <w:r w:rsidRPr="000A22D8">
              <w:rPr>
                <w:sz w:val="18"/>
                <w:szCs w:val="18"/>
              </w:rPr>
              <w:t xml:space="preserve"> creating a private physical space to consult with patients.</w:t>
            </w:r>
            <w:r w:rsidR="00650CA8" w:rsidRPr="000A22D8">
              <w:rPr>
                <w:sz w:val="18"/>
                <w:szCs w:val="18"/>
              </w:rPr>
              <w:t xml:space="preserve"> </w:t>
            </w:r>
          </w:p>
          <w:p w14:paraId="69E017EE" w14:textId="16D87F5B" w:rsidR="00FA425F" w:rsidRPr="00650CA8" w:rsidRDefault="00DE351C" w:rsidP="00AE7E77">
            <w:pPr>
              <w:spacing w:after="120"/>
              <w:rPr>
                <w:sz w:val="18"/>
                <w:szCs w:val="18"/>
              </w:rPr>
            </w:pPr>
            <w:r w:rsidRPr="00DE351C">
              <w:rPr>
                <w:sz w:val="18"/>
                <w:szCs w:val="18"/>
              </w:rPr>
              <w:t xml:space="preserve">The Pharmacy Guild was proactive in working with shared care software vendors to troubleshoot issues preventing integration of </w:t>
            </w:r>
            <w:r w:rsidR="00A73DC0">
              <w:rPr>
                <w:sz w:val="18"/>
                <w:szCs w:val="18"/>
              </w:rPr>
              <w:t>these systems</w:t>
            </w:r>
            <w:r w:rsidRPr="00DE351C">
              <w:rPr>
                <w:sz w:val="18"/>
                <w:szCs w:val="18"/>
              </w:rPr>
              <w:t xml:space="preserve"> with </w:t>
            </w:r>
            <w:proofErr w:type="spellStart"/>
            <w:r w:rsidRPr="00DE351C">
              <w:rPr>
                <w:sz w:val="18"/>
                <w:szCs w:val="18"/>
              </w:rPr>
              <w:t>GuildLink</w:t>
            </w:r>
            <w:proofErr w:type="spellEnd"/>
            <w:r w:rsidRPr="00DE351C">
              <w:rPr>
                <w:sz w:val="18"/>
                <w:szCs w:val="18"/>
              </w:rPr>
              <w:t xml:space="preserve"> software used by pharmacies. However, pharmacies reported numerous other integration issues caused by the multiple systems used by different providers within any one geographic region, including having to re-enter the same patient information in multiple systems. They also found other issues such as missing tier of the patient, which they had to separately chase up as it was a critical field for them to be paid and having to record information. They commented that training in the software would have helped</w:t>
            </w:r>
            <w:r>
              <w:rPr>
                <w:sz w:val="18"/>
                <w:szCs w:val="18"/>
              </w:rPr>
              <w:t>.</w:t>
            </w:r>
          </w:p>
        </w:tc>
      </w:tr>
    </w:tbl>
    <w:p w14:paraId="6C6545D0" w14:textId="77777777" w:rsidR="003732C7" w:rsidRDefault="003732C7" w:rsidP="007F1094">
      <w:pPr>
        <w:spacing w:after="0"/>
      </w:pPr>
    </w:p>
    <w:p w14:paraId="4157FE67" w14:textId="77777777" w:rsidR="001772D8" w:rsidRDefault="001772D8" w:rsidP="00E416A9">
      <w:pPr>
        <w:pStyle w:val="Heading2"/>
      </w:pPr>
      <w:bookmarkStart w:id="431" w:name="_Toc109996749"/>
      <w:r>
        <w:t>Establishment of the trial</w:t>
      </w:r>
      <w:bookmarkEnd w:id="431"/>
      <w:r>
        <w:t xml:space="preserve"> </w:t>
      </w:r>
    </w:p>
    <w:p w14:paraId="42ADA8D0" w14:textId="1A29DF8A" w:rsidR="00FE76EA" w:rsidRDefault="00FE76EA" w:rsidP="00F94C5E">
      <w:r w:rsidRPr="00FE76EA">
        <w:t>In August 2018, under the Sixth Community Pharmacy Agreement (6CPA), the Australian Government funded the Community Pharmacy in Health Care Homes Trial</w:t>
      </w:r>
      <w:r>
        <w:t>,</w:t>
      </w:r>
      <w:r w:rsidRPr="00FE76EA">
        <w:t xml:space="preserve"> which supported patients participating in the HCH trial by offering them a range of patient-centred, coordinated medication management services from community pharmacists</w:t>
      </w:r>
      <w:r>
        <w:t>.</w:t>
      </w:r>
    </w:p>
    <w:p w14:paraId="32D6B991" w14:textId="060D4072" w:rsidR="00367289" w:rsidRDefault="001772D8" w:rsidP="001772D8">
      <w:r>
        <w:t>The</w:t>
      </w:r>
      <w:r w:rsidR="00FE76EA">
        <w:t xml:space="preserve"> Pharmacy Guild (the Guild)</w:t>
      </w:r>
      <w:r>
        <w:t xml:space="preserve"> worked with the Department to design the core services that would be delivered </w:t>
      </w:r>
      <w:r w:rsidR="00140C3D">
        <w:t>to HCH patients</w:t>
      </w:r>
      <w:r>
        <w:t xml:space="preserve">. The Pharmaceutical Society of Australia (PSA) was contracted to develop professional guidelines for pharmacists. </w:t>
      </w:r>
      <w:r w:rsidR="005941BF">
        <w:t xml:space="preserve">Both organisations worked </w:t>
      </w:r>
      <w:r w:rsidR="005941BF">
        <w:lastRenderedPageBreak/>
        <w:t xml:space="preserve">together to </w:t>
      </w:r>
      <w:r>
        <w:t xml:space="preserve">develop training modules and delivered national training sessions for community pharmacies across the 10 PHN regions. </w:t>
      </w:r>
    </w:p>
    <w:p w14:paraId="336AF493" w14:textId="369D988F" w:rsidR="0042269C" w:rsidRDefault="0042269C" w:rsidP="0042269C">
      <w:r>
        <w:t xml:space="preserve">Under </w:t>
      </w:r>
      <w:r w:rsidR="00367289">
        <w:t>this component of the trial</w:t>
      </w:r>
      <w:r>
        <w:t xml:space="preserve">, </w:t>
      </w:r>
      <w:r w:rsidR="00DB1BD7">
        <w:t>a HCH</w:t>
      </w:r>
      <w:r>
        <w:t xml:space="preserve"> patient could be referred to a community pharmacy of their choice. The community pharmacy could offer a range of additional medication management services, including the development of a medication management plan (MMP). The initiative intended to promote relationships between the GP practice and community pharmacies and foster teamwork and coordination between these providers. The types of additional medication services that could be offered included:</w:t>
      </w:r>
    </w:p>
    <w:p w14:paraId="2935817F" w14:textId="64DB1E7C" w:rsidR="0042269C" w:rsidRDefault="0042269C" w:rsidP="00BB7C8D">
      <w:pPr>
        <w:pStyle w:val="ListParagraph"/>
        <w:numPr>
          <w:ilvl w:val="0"/>
          <w:numId w:val="27"/>
        </w:numPr>
      </w:pPr>
      <w:r>
        <w:t>Reconciling and assessing the patient’s medicines regimen.</w:t>
      </w:r>
    </w:p>
    <w:p w14:paraId="04B5B3AA" w14:textId="452D76C1" w:rsidR="0042269C" w:rsidRDefault="0042269C" w:rsidP="00BB7C8D">
      <w:pPr>
        <w:pStyle w:val="ListParagraph"/>
        <w:numPr>
          <w:ilvl w:val="0"/>
          <w:numId w:val="27"/>
        </w:numPr>
      </w:pPr>
      <w:r>
        <w:t>Identifying any potential medication-related issues and agreeing on medication management goals.</w:t>
      </w:r>
    </w:p>
    <w:p w14:paraId="49BA4205" w14:textId="7C319FAE" w:rsidR="0042269C" w:rsidRDefault="0042269C" w:rsidP="00BB7C8D">
      <w:pPr>
        <w:pStyle w:val="ListParagraph"/>
        <w:numPr>
          <w:ilvl w:val="0"/>
          <w:numId w:val="27"/>
        </w:numPr>
      </w:pPr>
      <w:r>
        <w:t>Developing the MMP in collaboration with the patient and their HCH.</w:t>
      </w:r>
    </w:p>
    <w:p w14:paraId="09839BAD" w14:textId="16C7C0B0" w:rsidR="0042269C" w:rsidRDefault="0042269C" w:rsidP="00BB7C8D">
      <w:pPr>
        <w:pStyle w:val="ListParagraph"/>
        <w:numPr>
          <w:ilvl w:val="0"/>
          <w:numId w:val="27"/>
        </w:numPr>
      </w:pPr>
      <w:r>
        <w:t>Providing regular follow-up reviews with the patient (in consultation with the referring HCH practice).</w:t>
      </w:r>
    </w:p>
    <w:p w14:paraId="18F7F7DE" w14:textId="0837D7C3" w:rsidR="0042269C" w:rsidRDefault="0042269C" w:rsidP="00BB7C8D">
      <w:pPr>
        <w:pStyle w:val="ListParagraph"/>
        <w:numPr>
          <w:ilvl w:val="0"/>
          <w:numId w:val="27"/>
        </w:numPr>
      </w:pPr>
      <w:r>
        <w:t>Providing support services for the more complex patients, such as dose administration aids, blood glucose monitoring, blood pressure monitoring and asthma management planning.</w:t>
      </w:r>
    </w:p>
    <w:p w14:paraId="7BECC614" w14:textId="74013B52" w:rsidR="0042269C" w:rsidRDefault="0042269C" w:rsidP="0042269C">
      <w:r>
        <w:t xml:space="preserve">The community pharmacy trial </w:t>
      </w:r>
      <w:r w:rsidR="00986345">
        <w:t xml:space="preserve">for HCH </w:t>
      </w:r>
      <w:r w:rsidR="00EB4514">
        <w:t>patients</w:t>
      </w:r>
      <w:r w:rsidR="00986345">
        <w:t xml:space="preserve"> </w:t>
      </w:r>
      <w:r>
        <w:t>was jointly administered by the Guild and the Pharmacy Programs Administrator. The latter is a division of Australian Healthcare Associates (AHA), which took over administration of the 6CPA following success in a competitive tender in February 2019. The Pharmacy Programs Administrator was responsible for administering, processing and paying claims for the 23 community pharmacy programs funded under the 6CPA</w:t>
      </w:r>
      <w:r w:rsidR="00F2317B">
        <w:t>, including the HCH component</w:t>
      </w:r>
      <w:r>
        <w:t>. The Guild managed pharmacy registrations, onboarding, training and support, data collection and verification, and general enquiries, while the Pharmacy Programs Administrator was responsible for managing payments to participating pharmacies.</w:t>
      </w:r>
    </w:p>
    <w:p w14:paraId="574ABDD6" w14:textId="7DC1F1D2" w:rsidR="00EB4514" w:rsidRDefault="00F2317B" w:rsidP="00EB4514">
      <w:r>
        <w:t xml:space="preserve">The </w:t>
      </w:r>
      <w:r w:rsidR="00EB4514">
        <w:t xml:space="preserve">community pharmacy trial for HCH patients started in August 2018. When the Government announced the extension of HCH </w:t>
      </w:r>
      <w:r w:rsidR="00807A5A">
        <w:t>for an additional 18 months to 30 June 2021, the extension also applied to the community pharmacy component.</w:t>
      </w:r>
    </w:p>
    <w:p w14:paraId="3CB91969" w14:textId="77777777" w:rsidR="00055C5A" w:rsidRDefault="00055C5A" w:rsidP="00055C5A">
      <w:pPr>
        <w:pStyle w:val="Heading2"/>
      </w:pPr>
      <w:bookmarkStart w:id="432" w:name="_Toc109996750"/>
      <w:r>
        <w:t>Trial design</w:t>
      </w:r>
      <w:bookmarkEnd w:id="432"/>
    </w:p>
    <w:p w14:paraId="2410A67D" w14:textId="6C1AFBEA" w:rsidR="007962A4" w:rsidRDefault="00055C5A" w:rsidP="00055C5A">
      <w:r>
        <w:t xml:space="preserve">Working with the Department and within 6CPA program rules, the Guild developed the core components of the trial covering pharmacy registration, design and delivery of the medication management services, the medication management plan, supporting services, data collection (via </w:t>
      </w:r>
      <w:proofErr w:type="spellStart"/>
      <w:r>
        <w:t>GuildLink</w:t>
      </w:r>
      <w:proofErr w:type="spellEnd"/>
      <w:r>
        <w:t xml:space="preserve"> software), pharmacy training and support, and payment arrangements. As similar professional services have been provided to patients for many years, for example, </w:t>
      </w:r>
      <w:r w:rsidR="002C53DF">
        <w:t>Home Medicines Reviews</w:t>
      </w:r>
      <w:r>
        <w:t xml:space="preserve">, there was an existing framework that was used for the design of the program. </w:t>
      </w:r>
      <w:r w:rsidR="00302D66" w:rsidRPr="006524FD">
        <w:rPr>
          <w:rFonts w:eastAsiaTheme="minorEastAsia"/>
          <w:bCs/>
          <w:color w:val="1D2455"/>
          <w:szCs w:val="20"/>
          <w:lang w:val="en-US" w:eastAsia="en-AU"/>
        </w:rPr>
        <w:fldChar w:fldCharType="begin"/>
      </w:r>
      <w:r w:rsidR="00302D66" w:rsidRPr="00302D66">
        <w:rPr>
          <w:b/>
        </w:rPr>
        <w:instrText xml:space="preserve"> REF _Ref94695495 \h </w:instrText>
      </w:r>
      <w:r w:rsidR="00302D66">
        <w:rPr>
          <w:b/>
        </w:rPr>
        <w:instrText xml:space="preserve"> \* MERGEFORMAT </w:instrText>
      </w:r>
      <w:r w:rsidR="00302D66" w:rsidRPr="006524FD">
        <w:rPr>
          <w:rFonts w:eastAsiaTheme="minorEastAsia"/>
          <w:bCs/>
          <w:color w:val="1D2455"/>
          <w:szCs w:val="20"/>
          <w:lang w:val="en-US" w:eastAsia="en-AU"/>
        </w:rPr>
      </w:r>
      <w:r w:rsidR="00302D66" w:rsidRPr="006524FD">
        <w:rPr>
          <w:rFonts w:eastAsiaTheme="minorEastAsia"/>
          <w:bCs/>
          <w:color w:val="1D2455"/>
          <w:szCs w:val="20"/>
          <w:lang w:val="en-US" w:eastAsia="en-AU"/>
        </w:rPr>
        <w:fldChar w:fldCharType="separate"/>
      </w:r>
      <w:r w:rsidR="003C4BC2" w:rsidRPr="003C4BC2">
        <w:rPr>
          <w:rFonts w:eastAsiaTheme="minorEastAsia"/>
          <w:bCs/>
          <w:color w:val="1D2455"/>
          <w:szCs w:val="20"/>
          <w:lang w:val="en-US" w:eastAsia="en-AU"/>
        </w:rPr>
        <w:t>Table 56</w:t>
      </w:r>
      <w:r w:rsidR="00302D66" w:rsidRPr="006524FD">
        <w:rPr>
          <w:rFonts w:eastAsiaTheme="minorEastAsia"/>
          <w:bCs/>
          <w:color w:val="1D2455"/>
          <w:szCs w:val="20"/>
          <w:lang w:val="en-US" w:eastAsia="en-AU"/>
        </w:rPr>
        <w:fldChar w:fldCharType="end"/>
      </w:r>
      <w:r w:rsidR="00302D66">
        <w:t xml:space="preserve"> shows the similarities and differences </w:t>
      </w:r>
      <w:r w:rsidR="00302D66" w:rsidRPr="00302D66">
        <w:t>between community pharmacy in HCH and other community pharmacy programs</w:t>
      </w:r>
      <w:r w:rsidR="00302D66">
        <w:t xml:space="preserve"> that existed before the trial.</w:t>
      </w:r>
    </w:p>
    <w:p w14:paraId="6AF0E517" w14:textId="77777777" w:rsidR="007962A4" w:rsidRDefault="007962A4">
      <w:pPr>
        <w:spacing w:after="160" w:line="259" w:lineRule="auto"/>
      </w:pPr>
      <w:r>
        <w:br w:type="page"/>
      </w:r>
    </w:p>
    <w:p w14:paraId="1084BE04" w14:textId="07E6B19D" w:rsidR="003E03EF" w:rsidRPr="00781A43" w:rsidRDefault="003E03EF" w:rsidP="003E03EF">
      <w:pPr>
        <w:pStyle w:val="TableFigureheading"/>
        <w:rPr>
          <w:lang w:val="en-US"/>
        </w:rPr>
      </w:pPr>
      <w:bookmarkStart w:id="433" w:name="_Ref94695495"/>
      <w:r w:rsidRPr="00781A43">
        <w:lastRenderedPageBreak/>
        <w:t xml:space="preserve">Table </w:t>
      </w:r>
      <w:r w:rsidR="00A61B29">
        <w:fldChar w:fldCharType="begin"/>
      </w:r>
      <w:r w:rsidR="00A61B29">
        <w:instrText xml:space="preserve"> SEQ Table \* ARABIC </w:instrText>
      </w:r>
      <w:r w:rsidR="00A61B29">
        <w:fldChar w:fldCharType="separate"/>
      </w:r>
      <w:r w:rsidR="003C4BC2">
        <w:rPr>
          <w:noProof/>
        </w:rPr>
        <w:t>56</w:t>
      </w:r>
      <w:r w:rsidR="00A61B29">
        <w:rPr>
          <w:noProof/>
        </w:rPr>
        <w:fldChar w:fldCharType="end"/>
      </w:r>
      <w:bookmarkEnd w:id="433"/>
      <w:r>
        <w:t>:</w:t>
      </w:r>
      <w:r>
        <w:rPr>
          <w:lang w:val="en-US"/>
        </w:rPr>
        <w:t xml:space="preserve"> </w:t>
      </w:r>
      <w:r w:rsidR="00FE7225">
        <w:rPr>
          <w:lang w:val="en-US"/>
        </w:rPr>
        <w:t>Similarities and d</w:t>
      </w:r>
      <w:r>
        <w:rPr>
          <w:lang w:val="en-US"/>
        </w:rPr>
        <w:t xml:space="preserve">ifferences </w:t>
      </w:r>
      <w:r w:rsidR="00FE7225">
        <w:rPr>
          <w:lang w:val="en-US"/>
        </w:rPr>
        <w:t>between c</w:t>
      </w:r>
      <w:r w:rsidRPr="00C42AA0">
        <w:rPr>
          <w:lang w:val="en-US"/>
        </w:rPr>
        <w:t xml:space="preserve">ommunity </w:t>
      </w:r>
      <w:r>
        <w:rPr>
          <w:lang w:val="en-US"/>
        </w:rPr>
        <w:t>p</w:t>
      </w:r>
      <w:r w:rsidRPr="00C42AA0">
        <w:rPr>
          <w:lang w:val="en-US"/>
        </w:rPr>
        <w:t xml:space="preserve">harmacy </w:t>
      </w:r>
      <w:r w:rsidR="00FE7225">
        <w:rPr>
          <w:lang w:val="en-US"/>
        </w:rPr>
        <w:t>in HCH</w:t>
      </w:r>
      <w:r w:rsidR="00F72671">
        <w:rPr>
          <w:lang w:val="en-US"/>
        </w:rPr>
        <w:t xml:space="preserve"> and other community pharmacy programs</w:t>
      </w:r>
    </w:p>
    <w:tbl>
      <w:tblPr>
        <w:tblW w:w="0" w:type="auto"/>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241"/>
        <w:gridCol w:w="2263"/>
        <w:gridCol w:w="2256"/>
        <w:gridCol w:w="2256"/>
      </w:tblGrid>
      <w:tr w:rsidR="00220E59" w:rsidRPr="00220E59" w14:paraId="3C3ACDEF" w14:textId="77777777" w:rsidTr="00220E59">
        <w:trPr>
          <w:jc w:val="center"/>
        </w:trPr>
        <w:tc>
          <w:tcPr>
            <w:tcW w:w="2307" w:type="dxa"/>
            <w:shd w:val="clear" w:color="auto" w:fill="408BCA"/>
          </w:tcPr>
          <w:p w14:paraId="5EC066C7" w14:textId="01887B82" w:rsidR="003E03EF" w:rsidRPr="00220E59" w:rsidRDefault="003E03EF" w:rsidP="00CB7475">
            <w:pPr>
              <w:spacing w:after="0"/>
              <w:rPr>
                <w:b/>
                <w:color w:val="FFFFFF" w:themeColor="background1"/>
                <w:sz w:val="18"/>
                <w:szCs w:val="18"/>
              </w:rPr>
            </w:pPr>
            <w:r w:rsidRPr="00220E59">
              <w:rPr>
                <w:b/>
                <w:color w:val="FFFFFF" w:themeColor="background1"/>
                <w:sz w:val="18"/>
                <w:szCs w:val="18"/>
              </w:rPr>
              <w:t>Feature</w:t>
            </w:r>
          </w:p>
        </w:tc>
        <w:tc>
          <w:tcPr>
            <w:tcW w:w="2313" w:type="dxa"/>
            <w:shd w:val="clear" w:color="auto" w:fill="408BCA"/>
          </w:tcPr>
          <w:p w14:paraId="1633D1AA" w14:textId="77777777" w:rsidR="003E03EF" w:rsidRPr="00220E59" w:rsidRDefault="003E03EF" w:rsidP="00CB7475">
            <w:pPr>
              <w:spacing w:after="0"/>
              <w:rPr>
                <w:b/>
                <w:color w:val="FFFFFF" w:themeColor="background1"/>
                <w:sz w:val="18"/>
                <w:szCs w:val="18"/>
              </w:rPr>
            </w:pPr>
            <w:proofErr w:type="spellStart"/>
            <w:r w:rsidRPr="00220E59">
              <w:rPr>
                <w:b/>
                <w:color w:val="FFFFFF" w:themeColor="background1"/>
                <w:sz w:val="18"/>
                <w:szCs w:val="18"/>
              </w:rPr>
              <w:t>MedsCheck</w:t>
            </w:r>
            <w:proofErr w:type="spellEnd"/>
          </w:p>
        </w:tc>
        <w:tc>
          <w:tcPr>
            <w:tcW w:w="2311" w:type="dxa"/>
            <w:shd w:val="clear" w:color="auto" w:fill="408BCA"/>
          </w:tcPr>
          <w:p w14:paraId="5CFF136A" w14:textId="77777777" w:rsidR="003E03EF" w:rsidRPr="00220E59" w:rsidRDefault="003E03EF" w:rsidP="00CB7475">
            <w:pPr>
              <w:spacing w:after="0"/>
              <w:rPr>
                <w:b/>
                <w:color w:val="FFFFFF" w:themeColor="background1"/>
                <w:sz w:val="18"/>
                <w:szCs w:val="18"/>
              </w:rPr>
            </w:pPr>
            <w:r w:rsidRPr="00220E59">
              <w:rPr>
                <w:b/>
                <w:color w:val="FFFFFF" w:themeColor="background1"/>
                <w:sz w:val="18"/>
                <w:szCs w:val="18"/>
              </w:rPr>
              <w:t>Home Medicines Review</w:t>
            </w:r>
          </w:p>
        </w:tc>
        <w:tc>
          <w:tcPr>
            <w:tcW w:w="2311" w:type="dxa"/>
            <w:shd w:val="clear" w:color="auto" w:fill="408BCA"/>
          </w:tcPr>
          <w:p w14:paraId="4098AD3D" w14:textId="45BB1DCC" w:rsidR="003E03EF" w:rsidRPr="00220E59" w:rsidRDefault="003E03EF" w:rsidP="00CB7475">
            <w:pPr>
              <w:spacing w:after="0"/>
              <w:rPr>
                <w:b/>
                <w:color w:val="FFFFFF" w:themeColor="background1"/>
                <w:sz w:val="18"/>
                <w:szCs w:val="18"/>
              </w:rPr>
            </w:pPr>
            <w:r w:rsidRPr="00220E59">
              <w:rPr>
                <w:b/>
                <w:color w:val="FFFFFF" w:themeColor="background1"/>
                <w:sz w:val="18"/>
                <w:szCs w:val="18"/>
              </w:rPr>
              <w:t xml:space="preserve">Community Pharmacy in HCH </w:t>
            </w:r>
          </w:p>
        </w:tc>
      </w:tr>
      <w:tr w:rsidR="003E03EF" w:rsidRPr="003E03EF" w14:paraId="3F636053" w14:textId="77777777" w:rsidTr="00220E59">
        <w:trPr>
          <w:trHeight w:val="220"/>
          <w:jc w:val="center"/>
        </w:trPr>
        <w:tc>
          <w:tcPr>
            <w:tcW w:w="2307" w:type="dxa"/>
          </w:tcPr>
          <w:p w14:paraId="36FB1C52" w14:textId="77777777" w:rsidR="003E03EF" w:rsidRPr="003E03EF" w:rsidRDefault="003E03EF" w:rsidP="00CB7475">
            <w:pPr>
              <w:spacing w:after="0"/>
              <w:rPr>
                <w:bCs/>
                <w:color w:val="000000" w:themeColor="text1"/>
                <w:sz w:val="18"/>
                <w:szCs w:val="18"/>
              </w:rPr>
            </w:pPr>
            <w:r w:rsidRPr="003E03EF">
              <w:rPr>
                <w:color w:val="000000" w:themeColor="text1"/>
                <w:sz w:val="18"/>
                <w:szCs w:val="18"/>
              </w:rPr>
              <w:t>Delivery</w:t>
            </w:r>
          </w:p>
        </w:tc>
        <w:tc>
          <w:tcPr>
            <w:tcW w:w="2313" w:type="dxa"/>
          </w:tcPr>
          <w:p w14:paraId="5A7A4F1A" w14:textId="77777777" w:rsidR="003E03EF" w:rsidRPr="003E03EF" w:rsidRDefault="003E03EF" w:rsidP="00CB7475">
            <w:pPr>
              <w:spacing w:after="0"/>
              <w:rPr>
                <w:bCs/>
                <w:sz w:val="18"/>
                <w:szCs w:val="18"/>
              </w:rPr>
            </w:pPr>
            <w:r w:rsidRPr="003E03EF">
              <w:rPr>
                <w:bCs/>
                <w:sz w:val="18"/>
                <w:szCs w:val="18"/>
              </w:rPr>
              <w:t>Opportunistic consultation with Registered Pharmacist</w:t>
            </w:r>
          </w:p>
        </w:tc>
        <w:tc>
          <w:tcPr>
            <w:tcW w:w="2311" w:type="dxa"/>
          </w:tcPr>
          <w:p w14:paraId="21398611" w14:textId="77777777" w:rsidR="003E03EF" w:rsidRPr="003E03EF" w:rsidRDefault="003E03EF" w:rsidP="00CB7475">
            <w:pPr>
              <w:spacing w:after="0"/>
              <w:rPr>
                <w:bCs/>
                <w:sz w:val="18"/>
                <w:szCs w:val="18"/>
              </w:rPr>
            </w:pPr>
            <w:r w:rsidRPr="003E03EF">
              <w:rPr>
                <w:bCs/>
                <w:sz w:val="18"/>
                <w:szCs w:val="18"/>
              </w:rPr>
              <w:t>Scheduled consultation with Accredited Pharmacist as part of patient’s care team</w:t>
            </w:r>
          </w:p>
        </w:tc>
        <w:tc>
          <w:tcPr>
            <w:tcW w:w="2311" w:type="dxa"/>
          </w:tcPr>
          <w:p w14:paraId="36D90A0D" w14:textId="77777777" w:rsidR="003E03EF" w:rsidRPr="003E03EF" w:rsidRDefault="003E03EF" w:rsidP="00CB7475">
            <w:pPr>
              <w:spacing w:after="0"/>
              <w:rPr>
                <w:bCs/>
                <w:sz w:val="18"/>
                <w:szCs w:val="18"/>
              </w:rPr>
            </w:pPr>
            <w:r w:rsidRPr="003E03EF">
              <w:rPr>
                <w:bCs/>
                <w:sz w:val="18"/>
                <w:szCs w:val="18"/>
              </w:rPr>
              <w:t>Scheduled consultation with Registered Pharmacist as part of patient’s care team</w:t>
            </w:r>
          </w:p>
        </w:tc>
      </w:tr>
      <w:tr w:rsidR="003E03EF" w:rsidRPr="003E03EF" w14:paraId="0B9B27D7" w14:textId="77777777" w:rsidTr="00220E59">
        <w:trPr>
          <w:trHeight w:val="220"/>
          <w:jc w:val="center"/>
        </w:trPr>
        <w:tc>
          <w:tcPr>
            <w:tcW w:w="2307" w:type="dxa"/>
          </w:tcPr>
          <w:p w14:paraId="6273348E" w14:textId="77777777" w:rsidR="003E03EF" w:rsidRPr="003E03EF" w:rsidRDefault="003E03EF" w:rsidP="00CB7475">
            <w:pPr>
              <w:spacing w:after="0"/>
              <w:rPr>
                <w:bCs/>
                <w:color w:val="000000" w:themeColor="text1"/>
                <w:sz w:val="18"/>
                <w:szCs w:val="18"/>
              </w:rPr>
            </w:pPr>
            <w:r w:rsidRPr="003E03EF">
              <w:rPr>
                <w:color w:val="000000" w:themeColor="text1"/>
                <w:sz w:val="18"/>
                <w:szCs w:val="18"/>
              </w:rPr>
              <w:t>Location</w:t>
            </w:r>
          </w:p>
        </w:tc>
        <w:tc>
          <w:tcPr>
            <w:tcW w:w="2313" w:type="dxa"/>
          </w:tcPr>
          <w:p w14:paraId="78B414B5" w14:textId="77777777" w:rsidR="003E03EF" w:rsidRPr="003E03EF" w:rsidRDefault="003E03EF" w:rsidP="00CB7475">
            <w:pPr>
              <w:spacing w:after="0"/>
              <w:rPr>
                <w:bCs/>
                <w:sz w:val="18"/>
                <w:szCs w:val="18"/>
              </w:rPr>
            </w:pPr>
            <w:r w:rsidRPr="003E03EF">
              <w:rPr>
                <w:bCs/>
                <w:sz w:val="18"/>
                <w:szCs w:val="18"/>
              </w:rPr>
              <w:t>Private area in pharmacy*</w:t>
            </w:r>
          </w:p>
        </w:tc>
        <w:tc>
          <w:tcPr>
            <w:tcW w:w="2311" w:type="dxa"/>
          </w:tcPr>
          <w:p w14:paraId="2F8B5DE3" w14:textId="77777777" w:rsidR="003E03EF" w:rsidRPr="003E03EF" w:rsidRDefault="003E03EF" w:rsidP="00CB7475">
            <w:pPr>
              <w:spacing w:after="0"/>
              <w:rPr>
                <w:bCs/>
                <w:sz w:val="18"/>
                <w:szCs w:val="18"/>
              </w:rPr>
            </w:pPr>
            <w:r w:rsidRPr="003E03EF">
              <w:rPr>
                <w:bCs/>
                <w:sz w:val="18"/>
                <w:szCs w:val="18"/>
              </w:rPr>
              <w:t>Patient home*</w:t>
            </w:r>
          </w:p>
        </w:tc>
        <w:tc>
          <w:tcPr>
            <w:tcW w:w="2311" w:type="dxa"/>
          </w:tcPr>
          <w:p w14:paraId="109DAA4E" w14:textId="77777777" w:rsidR="003E03EF" w:rsidRPr="003E03EF" w:rsidRDefault="003E03EF" w:rsidP="00CB7475">
            <w:pPr>
              <w:spacing w:after="0"/>
              <w:rPr>
                <w:bCs/>
                <w:sz w:val="18"/>
                <w:szCs w:val="18"/>
              </w:rPr>
            </w:pPr>
            <w:r w:rsidRPr="003E03EF">
              <w:rPr>
                <w:bCs/>
                <w:sz w:val="18"/>
                <w:szCs w:val="18"/>
              </w:rPr>
              <w:t>Private area in pharmacy*</w:t>
            </w:r>
          </w:p>
        </w:tc>
      </w:tr>
      <w:tr w:rsidR="003E03EF" w:rsidRPr="003E03EF" w14:paraId="31EBC50B" w14:textId="77777777" w:rsidTr="00220E59">
        <w:trPr>
          <w:trHeight w:val="236"/>
          <w:jc w:val="center"/>
        </w:trPr>
        <w:tc>
          <w:tcPr>
            <w:tcW w:w="2307" w:type="dxa"/>
          </w:tcPr>
          <w:p w14:paraId="5A540ABE" w14:textId="77777777" w:rsidR="003E03EF" w:rsidRPr="003E03EF" w:rsidRDefault="003E03EF" w:rsidP="00CB7475">
            <w:pPr>
              <w:spacing w:after="0"/>
              <w:rPr>
                <w:bCs/>
                <w:color w:val="000000" w:themeColor="text1"/>
                <w:sz w:val="18"/>
                <w:szCs w:val="18"/>
              </w:rPr>
            </w:pPr>
            <w:r w:rsidRPr="003E03EF">
              <w:rPr>
                <w:color w:val="000000" w:themeColor="text1"/>
                <w:sz w:val="18"/>
                <w:szCs w:val="18"/>
              </w:rPr>
              <w:t>No. of services per patient</w:t>
            </w:r>
          </w:p>
        </w:tc>
        <w:tc>
          <w:tcPr>
            <w:tcW w:w="2313" w:type="dxa"/>
          </w:tcPr>
          <w:p w14:paraId="652CF83B" w14:textId="77777777" w:rsidR="003E03EF" w:rsidRPr="003E03EF" w:rsidRDefault="003E03EF" w:rsidP="00CB7475">
            <w:pPr>
              <w:spacing w:after="0"/>
              <w:rPr>
                <w:bCs/>
                <w:sz w:val="18"/>
                <w:szCs w:val="18"/>
              </w:rPr>
            </w:pPr>
            <w:r w:rsidRPr="003E03EF">
              <w:rPr>
                <w:bCs/>
                <w:sz w:val="18"/>
                <w:szCs w:val="18"/>
              </w:rPr>
              <w:t>1 per eligible patient per 12 months</w:t>
            </w:r>
          </w:p>
        </w:tc>
        <w:tc>
          <w:tcPr>
            <w:tcW w:w="2311" w:type="dxa"/>
          </w:tcPr>
          <w:p w14:paraId="093BEE24" w14:textId="77777777" w:rsidR="003E03EF" w:rsidRPr="003E03EF" w:rsidRDefault="003E03EF" w:rsidP="00CB7475">
            <w:pPr>
              <w:spacing w:after="0"/>
              <w:rPr>
                <w:bCs/>
                <w:sz w:val="18"/>
                <w:szCs w:val="18"/>
              </w:rPr>
            </w:pPr>
            <w:r w:rsidRPr="003E03EF">
              <w:rPr>
                <w:bCs/>
                <w:sz w:val="18"/>
                <w:szCs w:val="18"/>
              </w:rPr>
              <w:t>1 service on referral from a medical practitioner &amp; up to 2 follow-ups based on clinical need</w:t>
            </w:r>
          </w:p>
        </w:tc>
        <w:tc>
          <w:tcPr>
            <w:tcW w:w="2311" w:type="dxa"/>
          </w:tcPr>
          <w:p w14:paraId="5B2B9479" w14:textId="77777777" w:rsidR="003E03EF" w:rsidRPr="003E03EF" w:rsidRDefault="003E03EF" w:rsidP="00CB7475">
            <w:pPr>
              <w:spacing w:after="0"/>
              <w:rPr>
                <w:bCs/>
                <w:sz w:val="18"/>
                <w:szCs w:val="18"/>
              </w:rPr>
            </w:pPr>
            <w:r w:rsidRPr="003E03EF">
              <w:rPr>
                <w:bCs/>
                <w:sz w:val="18"/>
                <w:szCs w:val="18"/>
              </w:rPr>
              <w:t>1 initial consultation &amp; up to four follow-ups**</w:t>
            </w:r>
          </w:p>
        </w:tc>
      </w:tr>
      <w:tr w:rsidR="003E03EF" w:rsidRPr="003E03EF" w14:paraId="2A14A051" w14:textId="77777777" w:rsidTr="00220E59">
        <w:trPr>
          <w:trHeight w:val="236"/>
          <w:jc w:val="center"/>
        </w:trPr>
        <w:tc>
          <w:tcPr>
            <w:tcW w:w="2307" w:type="dxa"/>
          </w:tcPr>
          <w:p w14:paraId="3CF2FDBB" w14:textId="77777777" w:rsidR="003E03EF" w:rsidRPr="003E03EF" w:rsidRDefault="003E03EF" w:rsidP="00CB7475">
            <w:pPr>
              <w:spacing w:after="0"/>
              <w:rPr>
                <w:bCs/>
                <w:color w:val="000000" w:themeColor="text1"/>
                <w:sz w:val="18"/>
                <w:szCs w:val="18"/>
              </w:rPr>
            </w:pPr>
            <w:r w:rsidRPr="003E03EF">
              <w:rPr>
                <w:color w:val="000000" w:themeColor="text1"/>
                <w:sz w:val="18"/>
                <w:szCs w:val="18"/>
              </w:rPr>
              <w:t>Frequency</w:t>
            </w:r>
          </w:p>
        </w:tc>
        <w:tc>
          <w:tcPr>
            <w:tcW w:w="2313" w:type="dxa"/>
          </w:tcPr>
          <w:p w14:paraId="50FCB464" w14:textId="77777777" w:rsidR="003E03EF" w:rsidRPr="003E03EF" w:rsidRDefault="003E03EF" w:rsidP="00CB7475">
            <w:pPr>
              <w:spacing w:after="0"/>
              <w:rPr>
                <w:bCs/>
                <w:sz w:val="18"/>
                <w:szCs w:val="18"/>
              </w:rPr>
            </w:pPr>
            <w:r w:rsidRPr="003E03EF">
              <w:rPr>
                <w:bCs/>
                <w:sz w:val="18"/>
                <w:szCs w:val="18"/>
              </w:rPr>
              <w:t>1 per patient per 12 months as clinically indicated</w:t>
            </w:r>
          </w:p>
        </w:tc>
        <w:tc>
          <w:tcPr>
            <w:tcW w:w="2311" w:type="dxa"/>
          </w:tcPr>
          <w:p w14:paraId="09A148C8" w14:textId="77777777" w:rsidR="003E03EF" w:rsidRPr="003E03EF" w:rsidRDefault="003E03EF" w:rsidP="00CB7475">
            <w:pPr>
              <w:spacing w:after="0"/>
              <w:rPr>
                <w:bCs/>
                <w:sz w:val="18"/>
                <w:szCs w:val="18"/>
              </w:rPr>
            </w:pPr>
            <w:r w:rsidRPr="003E03EF">
              <w:rPr>
                <w:bCs/>
                <w:sz w:val="18"/>
                <w:szCs w:val="18"/>
              </w:rPr>
              <w:t>Follow-ups flexible based on patient needs</w:t>
            </w:r>
          </w:p>
        </w:tc>
        <w:tc>
          <w:tcPr>
            <w:tcW w:w="2311" w:type="dxa"/>
          </w:tcPr>
          <w:p w14:paraId="0B71DC14" w14:textId="77777777" w:rsidR="003E03EF" w:rsidRPr="003E03EF" w:rsidRDefault="003E03EF" w:rsidP="00CB7475">
            <w:pPr>
              <w:spacing w:after="0"/>
              <w:rPr>
                <w:bCs/>
                <w:sz w:val="18"/>
                <w:szCs w:val="18"/>
              </w:rPr>
            </w:pPr>
            <w:r w:rsidRPr="003E03EF">
              <w:rPr>
                <w:bCs/>
                <w:sz w:val="18"/>
                <w:szCs w:val="18"/>
              </w:rPr>
              <w:t xml:space="preserve">Follow-ups flexible based on patient needs </w:t>
            </w:r>
          </w:p>
        </w:tc>
      </w:tr>
      <w:tr w:rsidR="003E03EF" w:rsidRPr="003E03EF" w14:paraId="671AC3B8" w14:textId="77777777" w:rsidTr="00220E59">
        <w:trPr>
          <w:trHeight w:val="220"/>
          <w:jc w:val="center"/>
        </w:trPr>
        <w:tc>
          <w:tcPr>
            <w:tcW w:w="2307" w:type="dxa"/>
          </w:tcPr>
          <w:p w14:paraId="74570DFA" w14:textId="77777777" w:rsidR="003E03EF" w:rsidRPr="003E03EF" w:rsidRDefault="003E03EF" w:rsidP="00CB7475">
            <w:pPr>
              <w:spacing w:after="0"/>
              <w:rPr>
                <w:bCs/>
                <w:color w:val="000000" w:themeColor="text1"/>
                <w:sz w:val="18"/>
                <w:szCs w:val="18"/>
              </w:rPr>
            </w:pPr>
            <w:r w:rsidRPr="003E03EF">
              <w:rPr>
                <w:color w:val="000000" w:themeColor="text1"/>
                <w:sz w:val="18"/>
                <w:szCs w:val="18"/>
              </w:rPr>
              <w:t>Cap / limit</w:t>
            </w:r>
          </w:p>
        </w:tc>
        <w:tc>
          <w:tcPr>
            <w:tcW w:w="2313" w:type="dxa"/>
          </w:tcPr>
          <w:p w14:paraId="4AC025C2" w14:textId="77777777" w:rsidR="003E03EF" w:rsidRPr="003E03EF" w:rsidRDefault="003E03EF" w:rsidP="00CB7475">
            <w:pPr>
              <w:spacing w:after="0"/>
              <w:rPr>
                <w:bCs/>
                <w:sz w:val="18"/>
                <w:szCs w:val="18"/>
              </w:rPr>
            </w:pPr>
            <w:r w:rsidRPr="003E03EF">
              <w:rPr>
                <w:bCs/>
                <w:sz w:val="18"/>
                <w:szCs w:val="18"/>
              </w:rPr>
              <w:t>Max. 20 per calendar month per pharmacy</w:t>
            </w:r>
          </w:p>
        </w:tc>
        <w:tc>
          <w:tcPr>
            <w:tcW w:w="2311" w:type="dxa"/>
          </w:tcPr>
          <w:p w14:paraId="487559B8" w14:textId="77777777" w:rsidR="003E03EF" w:rsidRPr="003E03EF" w:rsidRDefault="003E03EF" w:rsidP="00CB7475">
            <w:pPr>
              <w:spacing w:after="0"/>
              <w:rPr>
                <w:bCs/>
                <w:sz w:val="18"/>
                <w:szCs w:val="18"/>
              </w:rPr>
            </w:pPr>
            <w:r w:rsidRPr="003E03EF">
              <w:rPr>
                <w:bCs/>
                <w:sz w:val="18"/>
                <w:szCs w:val="18"/>
              </w:rPr>
              <w:t>Max. 30 per calendar month per pharmacy</w:t>
            </w:r>
          </w:p>
        </w:tc>
        <w:tc>
          <w:tcPr>
            <w:tcW w:w="2311" w:type="dxa"/>
          </w:tcPr>
          <w:p w14:paraId="58FFC44E" w14:textId="77777777" w:rsidR="003E03EF" w:rsidRPr="003E03EF" w:rsidRDefault="003E03EF" w:rsidP="00CB7475">
            <w:pPr>
              <w:spacing w:after="0"/>
              <w:rPr>
                <w:bCs/>
                <w:sz w:val="18"/>
                <w:szCs w:val="18"/>
              </w:rPr>
            </w:pPr>
            <w:r w:rsidRPr="003E03EF">
              <w:rPr>
                <w:bCs/>
                <w:sz w:val="18"/>
                <w:szCs w:val="18"/>
              </w:rPr>
              <w:t>Unlimited per pharmacy</w:t>
            </w:r>
          </w:p>
        </w:tc>
      </w:tr>
      <w:tr w:rsidR="003E03EF" w:rsidRPr="003E03EF" w14:paraId="11EC67BF" w14:textId="77777777" w:rsidTr="00220E59">
        <w:trPr>
          <w:trHeight w:val="220"/>
          <w:jc w:val="center"/>
        </w:trPr>
        <w:tc>
          <w:tcPr>
            <w:tcW w:w="2307" w:type="dxa"/>
          </w:tcPr>
          <w:p w14:paraId="08D34C74" w14:textId="77777777" w:rsidR="003E03EF" w:rsidRPr="003E03EF" w:rsidRDefault="003E03EF" w:rsidP="00CB7475">
            <w:pPr>
              <w:spacing w:after="0"/>
              <w:rPr>
                <w:bCs/>
                <w:color w:val="000000" w:themeColor="text1"/>
                <w:sz w:val="18"/>
                <w:szCs w:val="18"/>
              </w:rPr>
            </w:pPr>
            <w:r w:rsidRPr="003E03EF">
              <w:rPr>
                <w:color w:val="000000" w:themeColor="text1"/>
                <w:sz w:val="18"/>
                <w:szCs w:val="18"/>
              </w:rPr>
              <w:t>Proactive or reactive</w:t>
            </w:r>
          </w:p>
        </w:tc>
        <w:tc>
          <w:tcPr>
            <w:tcW w:w="2313" w:type="dxa"/>
          </w:tcPr>
          <w:p w14:paraId="2D28B31E" w14:textId="77777777" w:rsidR="003E03EF" w:rsidRPr="003E03EF" w:rsidRDefault="003E03EF" w:rsidP="00CB7475">
            <w:pPr>
              <w:spacing w:after="0"/>
              <w:rPr>
                <w:bCs/>
                <w:sz w:val="18"/>
                <w:szCs w:val="18"/>
              </w:rPr>
            </w:pPr>
            <w:r w:rsidRPr="003E03EF">
              <w:rPr>
                <w:bCs/>
                <w:sz w:val="18"/>
                <w:szCs w:val="18"/>
              </w:rPr>
              <w:t>Proactive</w:t>
            </w:r>
          </w:p>
        </w:tc>
        <w:tc>
          <w:tcPr>
            <w:tcW w:w="2311" w:type="dxa"/>
          </w:tcPr>
          <w:p w14:paraId="0D6C497D" w14:textId="77777777" w:rsidR="003E03EF" w:rsidRPr="003E03EF" w:rsidRDefault="003E03EF" w:rsidP="00CB7475">
            <w:pPr>
              <w:spacing w:after="0"/>
              <w:rPr>
                <w:bCs/>
                <w:sz w:val="18"/>
                <w:szCs w:val="18"/>
              </w:rPr>
            </w:pPr>
            <w:r w:rsidRPr="003E03EF">
              <w:rPr>
                <w:bCs/>
                <w:sz w:val="18"/>
                <w:szCs w:val="18"/>
              </w:rPr>
              <w:t>Reactive</w:t>
            </w:r>
          </w:p>
        </w:tc>
        <w:tc>
          <w:tcPr>
            <w:tcW w:w="2311" w:type="dxa"/>
          </w:tcPr>
          <w:p w14:paraId="0E4BEDBF" w14:textId="77777777" w:rsidR="003E03EF" w:rsidRPr="003E03EF" w:rsidRDefault="003E03EF" w:rsidP="00CB7475">
            <w:pPr>
              <w:spacing w:after="0"/>
              <w:rPr>
                <w:bCs/>
                <w:sz w:val="18"/>
                <w:szCs w:val="18"/>
              </w:rPr>
            </w:pPr>
            <w:r w:rsidRPr="003E03EF">
              <w:rPr>
                <w:bCs/>
                <w:sz w:val="18"/>
                <w:szCs w:val="18"/>
              </w:rPr>
              <w:t>Proactive</w:t>
            </w:r>
          </w:p>
        </w:tc>
      </w:tr>
    </w:tbl>
    <w:p w14:paraId="1C5FB6B5" w14:textId="264D193A" w:rsidR="00CB7475" w:rsidRDefault="00CB7475" w:rsidP="00CB7475">
      <w:pPr>
        <w:pStyle w:val="Chartortablefootnote"/>
        <w:spacing w:after="0"/>
      </w:pPr>
      <w:r>
        <w:t xml:space="preserve">*Temporary measures </w:t>
      </w:r>
      <w:r w:rsidR="007B72B4">
        <w:t>allowing</w:t>
      </w:r>
      <w:r>
        <w:t xml:space="preserve"> for these services to be conducted remotely for eligible COVID-affected patients.</w:t>
      </w:r>
    </w:p>
    <w:p w14:paraId="5999D071" w14:textId="5B68DFAA" w:rsidR="00CB7475" w:rsidRDefault="00CB7475" w:rsidP="00001DEB">
      <w:pPr>
        <w:pStyle w:val="Chartortablefootnote"/>
        <w:spacing w:after="0"/>
      </w:pPr>
      <w:r>
        <w:t xml:space="preserve">**Patients who received </w:t>
      </w:r>
      <w:r w:rsidR="00427243">
        <w:t>a</w:t>
      </w:r>
      <w:r>
        <w:t xml:space="preserve"> Community Pharmacy in </w:t>
      </w:r>
      <w:r w:rsidR="007B72B4">
        <w:t>HCH</w:t>
      </w:r>
      <w:r>
        <w:t xml:space="preserve"> service before 1 July 2019 </w:t>
      </w:r>
      <w:r w:rsidR="007B72B4">
        <w:t>were</w:t>
      </w:r>
      <w:r>
        <w:t xml:space="preserve"> eligible for a fourth follow-up review to reflect their longer participation in the trial. All other patients </w:t>
      </w:r>
      <w:r w:rsidR="00427243">
        <w:t xml:space="preserve">were </w:t>
      </w:r>
      <w:r>
        <w:t>eligible for three follow-up reviews.</w:t>
      </w:r>
    </w:p>
    <w:p w14:paraId="26CE88BD" w14:textId="34E53E75" w:rsidR="00F72671" w:rsidRDefault="00F72671" w:rsidP="00CB7475">
      <w:pPr>
        <w:pStyle w:val="Chartortablefootnote"/>
      </w:pPr>
      <w:r>
        <w:t xml:space="preserve">Source: </w:t>
      </w:r>
      <w:r w:rsidR="007B7F63">
        <w:fldChar w:fldCharType="begin"/>
      </w:r>
      <w:r w:rsidR="00482D9C">
        <w:instrText xml:space="preserve"> ADDIN EN.CITE &lt;EndNote&gt;&lt;Cite AuthorYear="1"&gt;&lt;Author&gt;The Pharmacy Guild of Australia&lt;/Author&gt;&lt;Year&gt;2020&lt;/Year&gt;&lt;RecNum&gt;1530&lt;/RecNum&gt;&lt;DisplayText&gt;The Pharmacy Guild of Australia (2020a)&lt;/DisplayText&gt;&lt;record&gt;&lt;rec-number&gt;1530&lt;/rec-number&gt;&lt;foreign-keys&gt;&lt;key app="EN" db-id="zdz9xax04zr9v0evw2nvrpw9xe9ttzvs5zsv" timestamp="1634599139"&gt;1530&lt;/key&gt;&lt;/foreign-keys&gt;&lt;ref-type name="Report"&gt;27&lt;/ref-type&gt;&lt;contributors&gt;&lt;authors&gt;&lt;author&gt;The Pharmacy Guild of Australia,,&lt;/author&gt;&lt;/authors&gt;&lt;/contributors&gt;&lt;titles&gt;&lt;title&gt;Brief for HCH PHN Facilitators: Overview of medicine review services&lt;/title&gt;&lt;/titles&gt;&lt;dates&gt;&lt;year&gt;2020&lt;/year&gt;&lt;/dates&gt;&lt;pub-location&gt;Canberra&lt;/pub-location&gt;&lt;urls&gt;&lt;/urls&gt;&lt;/record&gt;&lt;/Cite&gt;&lt;/EndNote&gt;</w:instrText>
      </w:r>
      <w:r w:rsidR="007B7F63">
        <w:fldChar w:fldCharType="separate"/>
      </w:r>
      <w:r w:rsidR="00482D9C">
        <w:rPr>
          <w:noProof/>
        </w:rPr>
        <w:t>The Pharmacy Guild of Australia (2020a)</w:t>
      </w:r>
      <w:r w:rsidR="007B7F63">
        <w:fldChar w:fldCharType="end"/>
      </w:r>
      <w:r w:rsidR="00482D9C" w:rsidRPr="00D71C46">
        <w:rPr>
          <w:rStyle w:val="FootnoteReference"/>
          <w:color w:val="408BCA"/>
        </w:rPr>
        <w:footnoteReference w:id="93"/>
      </w:r>
    </w:p>
    <w:p w14:paraId="0BB197F8" w14:textId="1A69F649" w:rsidR="007962A4" w:rsidRDefault="00302D66" w:rsidP="00302D66">
      <w:bookmarkStart w:id="434" w:name="_Toc58256915"/>
      <w:r>
        <w:t>As the trial was administered under the 6CPA, pharmacies wishing to participate were required to conform to 6CPA program rules.</w:t>
      </w:r>
      <w:r w:rsidRPr="00D71C46">
        <w:rPr>
          <w:rStyle w:val="FootnoteReference"/>
          <w:color w:val="408BCA"/>
        </w:rPr>
        <w:footnoteReference w:id="94"/>
      </w:r>
      <w:r>
        <w:t xml:space="preserve"> Among other things, this meant that services had to be delivered by a registered pharmacist in an area of the premises physically separated from the retail trading floor so that the privacy and confidentiality of the patient was protected. The area needed to be of sufficient size and layout to accommodate efficient workflow, including adequate room for the patient, their carer and the pharmacist, as well as all the consumables, equipment and documentation required for the service. The area needed to be clearly signposted as a private consultation area. When participating community pharmacies were providing services to patients in remote locations, they could be provided via community pharmacy outreach into an alternative private space or via videoconference. </w:t>
      </w:r>
    </w:p>
    <w:p w14:paraId="6E19FF4C" w14:textId="77777777" w:rsidR="007962A4" w:rsidRDefault="007962A4">
      <w:pPr>
        <w:spacing w:after="160" w:line="259" w:lineRule="auto"/>
      </w:pPr>
      <w:r>
        <w:br w:type="page"/>
      </w:r>
    </w:p>
    <w:p w14:paraId="6081A38C" w14:textId="37EEB980" w:rsidR="000D10AC" w:rsidRDefault="000D10AC" w:rsidP="000D10AC">
      <w:pPr>
        <w:pStyle w:val="Heading2"/>
      </w:pPr>
      <w:bookmarkStart w:id="435" w:name="_Toc109996751"/>
      <w:r>
        <w:lastRenderedPageBreak/>
        <w:t>Payments to pharmacies</w:t>
      </w:r>
      <w:bookmarkEnd w:id="435"/>
    </w:p>
    <w:p w14:paraId="25E8C64C" w14:textId="1E921381" w:rsidR="000D10AC" w:rsidRDefault="000D10AC" w:rsidP="000D10AC">
      <w:pPr>
        <w:rPr>
          <w:szCs w:val="20"/>
        </w:rPr>
      </w:pPr>
      <w:r>
        <w:t>As for practices, payments to</w:t>
      </w:r>
      <w:r w:rsidR="008B7C37">
        <w:t xml:space="preserve"> pharmacies were based on the patient’s tier. </w:t>
      </w:r>
      <w:r w:rsidR="007962A4" w:rsidRPr="007962A4">
        <w:rPr>
          <w:rFonts w:eastAsiaTheme="minorEastAsia"/>
          <w:bCs/>
          <w:color w:val="1D2455"/>
          <w:szCs w:val="20"/>
          <w:lang w:eastAsia="en-AU"/>
        </w:rPr>
        <w:fldChar w:fldCharType="begin"/>
      </w:r>
      <w:r w:rsidR="007962A4" w:rsidRPr="007962A4">
        <w:rPr>
          <w:rFonts w:eastAsiaTheme="minorEastAsia"/>
          <w:bCs/>
          <w:color w:val="1D2455"/>
          <w:szCs w:val="20"/>
          <w:lang w:eastAsia="en-AU"/>
        </w:rPr>
        <w:instrText xml:space="preserve"> REF _Ref98756353 \h </w:instrText>
      </w:r>
      <w:r w:rsidR="007962A4">
        <w:rPr>
          <w:rFonts w:eastAsiaTheme="minorEastAsia"/>
          <w:bCs/>
          <w:color w:val="1D2455"/>
          <w:szCs w:val="20"/>
          <w:lang w:eastAsia="en-AU"/>
        </w:rPr>
        <w:instrText xml:space="preserve"> \* MERGEFORMAT </w:instrText>
      </w:r>
      <w:r w:rsidR="007962A4" w:rsidRPr="007962A4">
        <w:rPr>
          <w:rFonts w:eastAsiaTheme="minorEastAsia"/>
          <w:bCs/>
          <w:color w:val="1D2455"/>
          <w:szCs w:val="20"/>
          <w:lang w:eastAsia="en-AU"/>
        </w:rPr>
      </w:r>
      <w:r w:rsidR="007962A4" w:rsidRPr="007962A4">
        <w:rPr>
          <w:rFonts w:eastAsiaTheme="minorEastAsia"/>
          <w:bCs/>
          <w:color w:val="1D2455"/>
          <w:szCs w:val="20"/>
          <w:lang w:eastAsia="en-AU"/>
        </w:rPr>
        <w:fldChar w:fldCharType="separate"/>
      </w:r>
      <w:r w:rsidR="003C4BC2" w:rsidRPr="003C4BC2">
        <w:rPr>
          <w:rFonts w:eastAsiaTheme="minorEastAsia"/>
          <w:bCs/>
          <w:color w:val="1D2455"/>
          <w:szCs w:val="20"/>
          <w:lang w:eastAsia="en-AU"/>
        </w:rPr>
        <w:t>Table 57</w:t>
      </w:r>
      <w:r w:rsidR="007962A4" w:rsidRPr="007962A4">
        <w:rPr>
          <w:rFonts w:eastAsiaTheme="minorEastAsia"/>
          <w:bCs/>
          <w:color w:val="1D2455"/>
          <w:szCs w:val="20"/>
          <w:lang w:eastAsia="en-AU"/>
        </w:rPr>
        <w:fldChar w:fldCharType="end"/>
      </w:r>
      <w:r w:rsidR="007962A4" w:rsidRPr="007962A4">
        <w:rPr>
          <w:rFonts w:eastAsiaTheme="minorEastAsia"/>
          <w:bCs/>
          <w:color w:val="1D2455"/>
          <w:szCs w:val="20"/>
          <w:lang w:eastAsia="en-AU"/>
        </w:rPr>
        <w:t xml:space="preserve"> </w:t>
      </w:r>
      <w:r>
        <w:rPr>
          <w:szCs w:val="20"/>
        </w:rPr>
        <w:t xml:space="preserve">shows the </w:t>
      </w:r>
      <w:r w:rsidR="008B7C37">
        <w:rPr>
          <w:szCs w:val="20"/>
        </w:rPr>
        <w:t>amounts by tier</w:t>
      </w:r>
      <w:r>
        <w:rPr>
          <w:szCs w:val="20"/>
        </w:rPr>
        <w:t xml:space="preserve"> (2018 prices). </w:t>
      </w:r>
      <w:r w:rsidRPr="00440B94">
        <w:rPr>
          <w:szCs w:val="20"/>
        </w:rPr>
        <w:t>Pharmacies could not charge patients for services delivered as part of the trial, except for dose administration aids</w:t>
      </w:r>
      <w:r>
        <w:rPr>
          <w:szCs w:val="20"/>
        </w:rPr>
        <w:t>, which they could charge at their discretion.</w:t>
      </w:r>
    </w:p>
    <w:p w14:paraId="6E0C1D5C" w14:textId="7B7160C9" w:rsidR="000D10AC" w:rsidRDefault="000D10AC" w:rsidP="000D10AC">
      <w:pPr>
        <w:pStyle w:val="TableFigureheading"/>
      </w:pPr>
      <w:bookmarkStart w:id="436" w:name="_Ref98756353"/>
      <w:r w:rsidRPr="000F7578">
        <w:t xml:space="preserve">Table </w:t>
      </w:r>
      <w:r w:rsidR="00A61B29">
        <w:fldChar w:fldCharType="begin"/>
      </w:r>
      <w:r w:rsidR="00A61B29">
        <w:instrText xml:space="preserve"> SEQ Table \* ARABIC </w:instrText>
      </w:r>
      <w:r w:rsidR="00A61B29">
        <w:fldChar w:fldCharType="separate"/>
      </w:r>
      <w:r w:rsidR="003C4BC2">
        <w:rPr>
          <w:noProof/>
        </w:rPr>
        <w:t>57</w:t>
      </w:r>
      <w:r w:rsidR="00A61B29">
        <w:rPr>
          <w:noProof/>
        </w:rPr>
        <w:fldChar w:fldCharType="end"/>
      </w:r>
      <w:bookmarkEnd w:id="436"/>
      <w:r>
        <w:t>: Payments to pharmacies (2018 prices)</w:t>
      </w:r>
    </w:p>
    <w:tbl>
      <w:tblPr>
        <w:tblW w:w="4441"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845"/>
        <w:gridCol w:w="2596"/>
      </w:tblGrid>
      <w:tr w:rsidR="00220E59" w:rsidRPr="00220E59" w14:paraId="461FC678" w14:textId="77777777" w:rsidTr="00220E59">
        <w:trPr>
          <w:jc w:val="center"/>
        </w:trPr>
        <w:tc>
          <w:tcPr>
            <w:tcW w:w="1845" w:type="dxa"/>
            <w:shd w:val="clear" w:color="auto" w:fill="408BCA"/>
            <w:hideMark/>
          </w:tcPr>
          <w:p w14:paraId="61CF44C3" w14:textId="77777777" w:rsidR="000D10AC" w:rsidRPr="00220E59" w:rsidRDefault="000D10AC" w:rsidP="00F8568B">
            <w:pPr>
              <w:spacing w:after="0"/>
              <w:jc w:val="center"/>
              <w:rPr>
                <w:b/>
                <w:color w:val="FFFFFF" w:themeColor="background1"/>
                <w:sz w:val="18"/>
                <w:szCs w:val="18"/>
              </w:rPr>
            </w:pPr>
            <w:r w:rsidRPr="00220E59">
              <w:rPr>
                <w:b/>
                <w:color w:val="FFFFFF" w:themeColor="background1"/>
                <w:sz w:val="18"/>
                <w:szCs w:val="18"/>
                <w:lang w:val="en-GB"/>
              </w:rPr>
              <w:t>HCH tier</w:t>
            </w:r>
          </w:p>
        </w:tc>
        <w:tc>
          <w:tcPr>
            <w:tcW w:w="0" w:type="auto"/>
            <w:shd w:val="clear" w:color="auto" w:fill="408BCA"/>
            <w:hideMark/>
          </w:tcPr>
          <w:p w14:paraId="678DCDDF" w14:textId="77777777" w:rsidR="000D10AC" w:rsidRPr="00220E59" w:rsidRDefault="000D10AC" w:rsidP="00F8568B">
            <w:pPr>
              <w:spacing w:after="0"/>
              <w:jc w:val="center"/>
              <w:rPr>
                <w:b/>
                <w:color w:val="FFFFFF" w:themeColor="background1"/>
                <w:sz w:val="18"/>
                <w:szCs w:val="18"/>
              </w:rPr>
            </w:pPr>
            <w:r w:rsidRPr="00220E59">
              <w:rPr>
                <w:b/>
                <w:color w:val="FFFFFF" w:themeColor="background1"/>
                <w:sz w:val="18"/>
                <w:szCs w:val="18"/>
              </w:rPr>
              <w:t>Payment (maximum)</w:t>
            </w:r>
            <w:r w:rsidRPr="00220E59">
              <w:rPr>
                <w:rFonts w:eastAsia="Calibri" w:cs="Times New Roman"/>
                <w:b/>
                <w:color w:val="FFFFFF" w:themeColor="background1"/>
                <w:sz w:val="16"/>
                <w:szCs w:val="18"/>
                <w:vertAlign w:val="superscript"/>
              </w:rPr>
              <w:t>±</w:t>
            </w:r>
          </w:p>
        </w:tc>
      </w:tr>
      <w:tr w:rsidR="000D10AC" w:rsidRPr="008329E4" w14:paraId="2F14482D" w14:textId="77777777" w:rsidTr="00220E59">
        <w:trPr>
          <w:jc w:val="center"/>
        </w:trPr>
        <w:tc>
          <w:tcPr>
            <w:tcW w:w="1845" w:type="dxa"/>
          </w:tcPr>
          <w:p w14:paraId="4C0DB6FF" w14:textId="77777777" w:rsidR="000D10AC" w:rsidRPr="008329E4" w:rsidRDefault="000D10AC" w:rsidP="00F8568B">
            <w:pPr>
              <w:spacing w:after="0"/>
              <w:jc w:val="center"/>
              <w:rPr>
                <w:sz w:val="18"/>
                <w:szCs w:val="18"/>
              </w:rPr>
            </w:pPr>
            <w:r w:rsidRPr="008329E4">
              <w:rPr>
                <w:sz w:val="18"/>
                <w:szCs w:val="18"/>
                <w:lang w:val="en-GB"/>
              </w:rPr>
              <w:t>Tier 1</w:t>
            </w:r>
          </w:p>
        </w:tc>
        <w:tc>
          <w:tcPr>
            <w:tcW w:w="0" w:type="auto"/>
          </w:tcPr>
          <w:p w14:paraId="45322077" w14:textId="77777777" w:rsidR="000D10AC" w:rsidRPr="00A84511" w:rsidRDefault="000D10AC" w:rsidP="00F8568B">
            <w:pPr>
              <w:spacing w:after="0"/>
              <w:jc w:val="center"/>
              <w:rPr>
                <w:sz w:val="18"/>
                <w:szCs w:val="18"/>
              </w:rPr>
            </w:pPr>
            <w:r w:rsidRPr="00A84511">
              <w:rPr>
                <w:sz w:val="18"/>
                <w:szCs w:val="18"/>
              </w:rPr>
              <w:t>$</w:t>
            </w:r>
            <w:r>
              <w:rPr>
                <w:sz w:val="18"/>
                <w:szCs w:val="18"/>
              </w:rPr>
              <w:t>418.75</w:t>
            </w:r>
          </w:p>
        </w:tc>
      </w:tr>
      <w:tr w:rsidR="000D10AC" w:rsidRPr="008329E4" w14:paraId="73C2044B" w14:textId="77777777" w:rsidTr="00220E59">
        <w:trPr>
          <w:jc w:val="center"/>
        </w:trPr>
        <w:tc>
          <w:tcPr>
            <w:tcW w:w="1845" w:type="dxa"/>
          </w:tcPr>
          <w:p w14:paraId="3821C31C" w14:textId="77777777" w:rsidR="000D10AC" w:rsidRPr="008329E4" w:rsidRDefault="000D10AC" w:rsidP="00F8568B">
            <w:pPr>
              <w:spacing w:after="0"/>
              <w:jc w:val="center"/>
              <w:rPr>
                <w:sz w:val="18"/>
                <w:szCs w:val="18"/>
              </w:rPr>
            </w:pPr>
            <w:r w:rsidRPr="008329E4">
              <w:rPr>
                <w:sz w:val="18"/>
                <w:szCs w:val="18"/>
                <w:lang w:val="en-GB"/>
              </w:rPr>
              <w:t>Tier 2</w:t>
            </w:r>
          </w:p>
        </w:tc>
        <w:tc>
          <w:tcPr>
            <w:tcW w:w="0" w:type="auto"/>
          </w:tcPr>
          <w:p w14:paraId="0246DE12" w14:textId="77777777" w:rsidR="000D10AC" w:rsidRPr="00A84511" w:rsidRDefault="000D10AC" w:rsidP="00F8568B">
            <w:pPr>
              <w:spacing w:after="0"/>
              <w:jc w:val="center"/>
              <w:rPr>
                <w:sz w:val="18"/>
                <w:szCs w:val="18"/>
              </w:rPr>
            </w:pPr>
            <w:r w:rsidRPr="00A84511">
              <w:rPr>
                <w:sz w:val="18"/>
                <w:szCs w:val="18"/>
              </w:rPr>
              <w:t>$1,</w:t>
            </w:r>
            <w:r>
              <w:rPr>
                <w:sz w:val="18"/>
                <w:szCs w:val="18"/>
              </w:rPr>
              <w:t>372.75</w:t>
            </w:r>
          </w:p>
        </w:tc>
      </w:tr>
      <w:tr w:rsidR="000D10AC" w:rsidRPr="008329E4" w14:paraId="7964CB29" w14:textId="77777777" w:rsidTr="00220E59">
        <w:trPr>
          <w:jc w:val="center"/>
        </w:trPr>
        <w:tc>
          <w:tcPr>
            <w:tcW w:w="1845" w:type="dxa"/>
          </w:tcPr>
          <w:p w14:paraId="752BB472" w14:textId="77777777" w:rsidR="000D10AC" w:rsidRPr="008329E4" w:rsidRDefault="000D10AC" w:rsidP="00F8568B">
            <w:pPr>
              <w:spacing w:after="0"/>
              <w:jc w:val="center"/>
              <w:rPr>
                <w:sz w:val="18"/>
                <w:szCs w:val="18"/>
              </w:rPr>
            </w:pPr>
            <w:r w:rsidRPr="008329E4">
              <w:rPr>
                <w:sz w:val="18"/>
                <w:szCs w:val="18"/>
                <w:lang w:val="en-GB"/>
              </w:rPr>
              <w:t>Tier 3</w:t>
            </w:r>
          </w:p>
        </w:tc>
        <w:tc>
          <w:tcPr>
            <w:tcW w:w="0" w:type="auto"/>
          </w:tcPr>
          <w:p w14:paraId="28B66C48" w14:textId="77777777" w:rsidR="000D10AC" w:rsidRPr="00A84511" w:rsidRDefault="000D10AC" w:rsidP="00F8568B">
            <w:pPr>
              <w:spacing w:after="0"/>
              <w:jc w:val="center"/>
              <w:rPr>
                <w:sz w:val="18"/>
                <w:szCs w:val="18"/>
              </w:rPr>
            </w:pPr>
            <w:r w:rsidRPr="00A84511">
              <w:rPr>
                <w:sz w:val="18"/>
                <w:szCs w:val="18"/>
              </w:rPr>
              <w:t>$1,</w:t>
            </w:r>
            <w:r>
              <w:rPr>
                <w:sz w:val="18"/>
                <w:szCs w:val="18"/>
              </w:rPr>
              <w:t>642.75</w:t>
            </w:r>
          </w:p>
        </w:tc>
      </w:tr>
    </w:tbl>
    <w:p w14:paraId="2AD2EF43" w14:textId="1C44C008" w:rsidR="000D10AC" w:rsidRDefault="00001DEB" w:rsidP="000D10AC">
      <w:pPr>
        <w:pStyle w:val="Chartortablefootnote"/>
        <w:spacing w:after="0"/>
      </w:pPr>
      <w:r>
        <w:t xml:space="preserve">Notes: </w:t>
      </w:r>
      <w:r w:rsidR="000D10AC">
        <w:t>± P</w:t>
      </w:r>
      <w:r w:rsidR="000D10AC" w:rsidRPr="00A16EDD">
        <w:t>a</w:t>
      </w:r>
      <w:r w:rsidR="000D10AC">
        <w:t xml:space="preserve">id </w:t>
      </w:r>
      <w:r w:rsidR="000D10AC" w:rsidRPr="00A16EDD">
        <w:t>as instalments</w:t>
      </w:r>
      <w:r w:rsidR="000D10AC">
        <w:t xml:space="preserve"> with the completion of each session – an initial consultation and up to three follow-up reviews. Patients receiving an initial consultation before </w:t>
      </w:r>
      <w:r w:rsidR="000D10AC" w:rsidRPr="008935FB">
        <w:t xml:space="preserve">1 July 2019 </w:t>
      </w:r>
      <w:r w:rsidR="000D10AC">
        <w:t>were</w:t>
      </w:r>
      <w:r w:rsidR="000D10AC" w:rsidRPr="008935FB">
        <w:t xml:space="preserve"> eligible for a fourth follow-up review to reflect their longer participation in the </w:t>
      </w:r>
      <w:r w:rsidR="003C7C18">
        <w:t>t</w:t>
      </w:r>
      <w:r w:rsidR="00F75094">
        <w:t>rial</w:t>
      </w:r>
      <w:r w:rsidR="000D10AC">
        <w:t>, paid as an additional session on top of the maximum amount shown in the Table.</w:t>
      </w:r>
    </w:p>
    <w:p w14:paraId="7931B17B" w14:textId="0494766A" w:rsidR="000D10AC" w:rsidRDefault="000D10AC" w:rsidP="000D10AC">
      <w:pPr>
        <w:pStyle w:val="Chartortablefootnote"/>
        <w:rPr>
          <w:szCs w:val="20"/>
        </w:rPr>
      </w:pPr>
      <w:r w:rsidRPr="00501711">
        <w:t xml:space="preserve">Source: </w:t>
      </w:r>
      <w:r w:rsidRPr="00501711">
        <w:fldChar w:fldCharType="begin"/>
      </w:r>
      <w:r w:rsidRPr="00501711">
        <w:instrText xml:space="preserve"> ADDIN EN.CITE &lt;EndNote&gt;&lt;Cite AuthorYear="1"&gt;&lt;Author&gt;Australian Government Department of Health&lt;/Author&gt;&lt;Year&gt;2018&lt;/Year&gt;&lt;RecNum&gt;1529&lt;/RecNum&gt;&lt;DisplayText&gt;Australian Government Department of Health (2018a)&lt;/DisplayText&gt;&lt;record&gt;&lt;rec-number&gt;1529&lt;/rec-number&gt;&lt;foreign-keys&gt;&lt;key app="EN" db-id="zdz9xax04zr9v0evw2nvrpw9xe9ttzvs5zsv" timestamp="1634251997"&gt;1529&lt;/key&gt;&lt;/foreign-keys&gt;&lt;ref-type name="Web Page"&gt;12&lt;/ref-type&gt;&lt;contributors&gt;&lt;authors&gt;&lt;author&gt;Australian Government Department of Health,,&lt;/author&gt;&lt;/authors&gt;&lt;/contributors&gt;&lt;titles&gt;&lt;title&gt;Community Pharmacy in Health Care Homes Trial Program&lt;/title&gt;&lt;/titles&gt;&lt;number&gt;October 2019&lt;/number&gt;&lt;dates&gt;&lt;year&gt;2018&lt;/year&gt;&lt;/dates&gt;&lt;urls&gt;&lt;related-urls&gt;&lt;url&gt;https://www1.health.gov.au/internet/main/publishing.nsf/Content/health-care-homes-cp/$File/Community-Pharmacy-in-Health-Care-Homes-Trial-Program-factsheet-Dec-2018.pdf&lt;/url&gt;&lt;/related-urls&gt;&lt;/urls&gt;&lt;/record&gt;&lt;/Cite&gt;&lt;/EndNote&gt;</w:instrText>
      </w:r>
      <w:r w:rsidRPr="00501711">
        <w:fldChar w:fldCharType="separate"/>
      </w:r>
      <w:r w:rsidRPr="00501711">
        <w:rPr>
          <w:noProof/>
        </w:rPr>
        <w:t>Australian Government Department of Health (2018a)</w:t>
      </w:r>
      <w:r w:rsidRPr="00501711">
        <w:fldChar w:fldCharType="end"/>
      </w:r>
      <w:r w:rsidR="00001DEB">
        <w:t>.</w:t>
      </w:r>
      <w:r w:rsidRPr="00F255D0">
        <w:rPr>
          <w:rStyle w:val="FootnoteReference"/>
          <w:color w:val="408BCA"/>
        </w:rPr>
        <w:footnoteReference w:id="95"/>
      </w:r>
    </w:p>
    <w:p w14:paraId="4C76617E" w14:textId="478F3610" w:rsidR="0062271C" w:rsidRPr="004F6008" w:rsidRDefault="0062271C" w:rsidP="0062271C">
      <w:pPr>
        <w:pStyle w:val="Heading2"/>
      </w:pPr>
      <w:bookmarkStart w:id="437" w:name="_Toc109996752"/>
      <w:bookmarkEnd w:id="434"/>
      <w:r w:rsidRPr="004F6008">
        <w:t xml:space="preserve">Launch of the </w:t>
      </w:r>
      <w:r w:rsidR="00FE76EA" w:rsidRPr="00FE76EA">
        <w:t>Community Pharmacy in HCH Trial</w:t>
      </w:r>
      <w:bookmarkEnd w:id="437"/>
    </w:p>
    <w:p w14:paraId="748702CD" w14:textId="77777777" w:rsidR="0062271C" w:rsidRPr="003241AE" w:rsidRDefault="0062271C" w:rsidP="0062271C">
      <w:pPr>
        <w:pStyle w:val="Heading3"/>
        <w:rPr>
          <w:rFonts w:eastAsia="Times New Roman"/>
        </w:rPr>
      </w:pPr>
      <w:r w:rsidRPr="003241AE">
        <w:rPr>
          <w:rFonts w:eastAsia="Times New Roman"/>
        </w:rPr>
        <w:t>Pharmacy engagement via electronic direct mail marketing</w:t>
      </w:r>
    </w:p>
    <w:p w14:paraId="7A835F1E" w14:textId="4023E1EC" w:rsidR="0062271C" w:rsidRDefault="0062271C" w:rsidP="0062271C">
      <w:pPr>
        <w:rPr>
          <w:rFonts w:cs="Calibri"/>
          <w:lang w:eastAsia="en-AU"/>
        </w:rPr>
      </w:pPr>
      <w:r w:rsidRPr="003241AE">
        <w:rPr>
          <w:rFonts w:cs="Calibri"/>
          <w:lang w:eastAsia="en-AU"/>
        </w:rPr>
        <w:t xml:space="preserve">A key objective for the Guild was to engage as many pharmacies as possible in the </w:t>
      </w:r>
      <w:r>
        <w:rPr>
          <w:rFonts w:cs="Calibri"/>
          <w:lang w:eastAsia="en-AU"/>
        </w:rPr>
        <w:t>10</w:t>
      </w:r>
      <w:r w:rsidRPr="003241AE">
        <w:rPr>
          <w:rFonts w:cs="Calibri"/>
          <w:lang w:eastAsia="en-AU"/>
        </w:rPr>
        <w:t xml:space="preserve"> PHN </w:t>
      </w:r>
      <w:r>
        <w:rPr>
          <w:rFonts w:cs="Calibri"/>
          <w:lang w:eastAsia="en-AU"/>
        </w:rPr>
        <w:t>regions</w:t>
      </w:r>
      <w:r w:rsidRPr="003241AE">
        <w:rPr>
          <w:rFonts w:cs="Calibri"/>
          <w:lang w:eastAsia="en-AU"/>
        </w:rPr>
        <w:t xml:space="preserve">. To achieve this the Guild undertook an extensive electronic direct mail marketing (EDM) campaign to community pharmacy as well as promoting the </w:t>
      </w:r>
      <w:r>
        <w:rPr>
          <w:rFonts w:cs="Calibri"/>
          <w:lang w:eastAsia="en-AU"/>
        </w:rPr>
        <w:t>trial</w:t>
      </w:r>
      <w:r w:rsidRPr="003241AE">
        <w:rPr>
          <w:rFonts w:cs="Calibri"/>
          <w:lang w:eastAsia="en-AU"/>
        </w:rPr>
        <w:t xml:space="preserve"> in Guild publications. The Guild did some geospatial mapping of pharmacies and HCHs to ascertain which pharmacies were within a close radius of the HCH trial sites. In the Northern Territory, where distances between medical practices/ACCHS </w:t>
      </w:r>
      <w:r w:rsidR="003E1801">
        <w:rPr>
          <w:rFonts w:cs="Calibri"/>
          <w:lang w:eastAsia="en-AU"/>
        </w:rPr>
        <w:t>clinics</w:t>
      </w:r>
      <w:r w:rsidRPr="003241AE">
        <w:rPr>
          <w:rFonts w:cs="Calibri"/>
          <w:lang w:eastAsia="en-AU"/>
        </w:rPr>
        <w:t xml:space="preserve"> and pharmacies are greater, it involved expanding the radius to 50 kms. </w:t>
      </w:r>
    </w:p>
    <w:p w14:paraId="1CE4EA6D" w14:textId="77777777" w:rsidR="0062271C" w:rsidRDefault="0062271C" w:rsidP="0062271C">
      <w:pPr>
        <w:rPr>
          <w:rFonts w:cs="Calibri"/>
          <w:lang w:eastAsia="en-AU"/>
        </w:rPr>
      </w:pPr>
      <w:r w:rsidRPr="003241AE">
        <w:rPr>
          <w:rFonts w:cs="Calibri"/>
          <w:lang w:eastAsia="en-AU"/>
        </w:rPr>
        <w:t xml:space="preserve">Pharmacies were segmented into different streams for marketing purposes. For example, those pharmacies that were within the trial regions that hadn’t registered for the </w:t>
      </w:r>
      <w:r>
        <w:rPr>
          <w:rFonts w:cs="Calibri"/>
          <w:lang w:eastAsia="en-AU"/>
        </w:rPr>
        <w:t>t</w:t>
      </w:r>
      <w:r w:rsidRPr="003241AE">
        <w:rPr>
          <w:rFonts w:cs="Calibri"/>
          <w:lang w:eastAsia="en-AU"/>
        </w:rPr>
        <w:t xml:space="preserve">rial received an email encouraging them to participate, while pharmacies that had already signed up received a different email with information about the </w:t>
      </w:r>
      <w:r>
        <w:rPr>
          <w:rFonts w:cs="Calibri"/>
          <w:lang w:eastAsia="en-AU"/>
        </w:rPr>
        <w:t>trial</w:t>
      </w:r>
      <w:r w:rsidRPr="003241AE">
        <w:rPr>
          <w:rFonts w:cs="Calibri"/>
          <w:lang w:eastAsia="en-AU"/>
        </w:rPr>
        <w:t>, available resources and training opportunities.</w:t>
      </w:r>
    </w:p>
    <w:p w14:paraId="15021A10" w14:textId="06F92E95" w:rsidR="007962A4" w:rsidRDefault="00AE09EC" w:rsidP="0062271C">
      <w:pPr>
        <w:rPr>
          <w:rFonts w:cs="Calibri"/>
          <w:szCs w:val="20"/>
          <w:lang w:eastAsia="en-AU"/>
        </w:rPr>
      </w:pPr>
      <w:r>
        <w:rPr>
          <w:rFonts w:cs="Calibri"/>
          <w:szCs w:val="20"/>
          <w:lang w:eastAsia="en-AU"/>
        </w:rPr>
        <w:t>By</w:t>
      </w:r>
      <w:r w:rsidR="00DC6517">
        <w:rPr>
          <w:rFonts w:cs="Calibri"/>
          <w:szCs w:val="20"/>
          <w:lang w:eastAsia="en-AU"/>
        </w:rPr>
        <w:t xml:space="preserve"> the trial end (30</w:t>
      </w:r>
      <w:r>
        <w:rPr>
          <w:rFonts w:cs="Calibri"/>
          <w:szCs w:val="20"/>
          <w:lang w:eastAsia="en-AU"/>
        </w:rPr>
        <w:t xml:space="preserve"> June 2021</w:t>
      </w:r>
      <w:r w:rsidR="00DC6517">
        <w:rPr>
          <w:rFonts w:cs="Calibri"/>
          <w:szCs w:val="20"/>
          <w:lang w:eastAsia="en-AU"/>
        </w:rPr>
        <w:t>)</w:t>
      </w:r>
      <w:r>
        <w:rPr>
          <w:rFonts w:cs="Calibri"/>
          <w:szCs w:val="20"/>
          <w:lang w:eastAsia="en-AU"/>
        </w:rPr>
        <w:t xml:space="preserve">, </w:t>
      </w:r>
      <w:r w:rsidR="0062271C" w:rsidRPr="003241AE">
        <w:rPr>
          <w:rFonts w:cs="Calibri"/>
          <w:szCs w:val="20"/>
          <w:lang w:eastAsia="en-AU"/>
        </w:rPr>
        <w:t>6</w:t>
      </w:r>
      <w:r w:rsidR="00F96C60">
        <w:rPr>
          <w:rFonts w:cs="Calibri"/>
          <w:szCs w:val="20"/>
          <w:lang w:eastAsia="en-AU"/>
        </w:rPr>
        <w:t>89</w:t>
      </w:r>
      <w:r w:rsidR="0062271C" w:rsidRPr="003241AE">
        <w:rPr>
          <w:rFonts w:cs="Calibri"/>
          <w:szCs w:val="20"/>
          <w:lang w:eastAsia="en-AU"/>
        </w:rPr>
        <w:t xml:space="preserve"> pharmacies </w:t>
      </w:r>
      <w:r w:rsidR="00DC6517">
        <w:rPr>
          <w:rFonts w:cs="Calibri"/>
          <w:szCs w:val="20"/>
          <w:lang w:eastAsia="en-AU"/>
        </w:rPr>
        <w:t xml:space="preserve">had </w:t>
      </w:r>
      <w:r w:rsidR="0062271C" w:rsidRPr="003241AE">
        <w:rPr>
          <w:rFonts w:cs="Calibri"/>
          <w:szCs w:val="20"/>
          <w:lang w:eastAsia="en-AU"/>
        </w:rPr>
        <w:t xml:space="preserve">registered </w:t>
      </w:r>
      <w:r w:rsidR="0062271C">
        <w:rPr>
          <w:rFonts w:cs="Calibri"/>
          <w:szCs w:val="20"/>
          <w:lang w:eastAsia="en-AU"/>
        </w:rPr>
        <w:t>to participate</w:t>
      </w:r>
      <w:r w:rsidR="00890881">
        <w:rPr>
          <w:rFonts w:cs="Calibri"/>
          <w:szCs w:val="20"/>
          <w:lang w:eastAsia="en-AU"/>
        </w:rPr>
        <w:t xml:space="preserve">. The </w:t>
      </w:r>
      <w:r w:rsidR="00C51587">
        <w:rPr>
          <w:rFonts w:cs="Calibri"/>
          <w:szCs w:val="20"/>
          <w:lang w:eastAsia="en-AU"/>
        </w:rPr>
        <w:t xml:space="preserve">bulk of pharmacies </w:t>
      </w:r>
      <w:r w:rsidR="009B6882">
        <w:rPr>
          <w:rFonts w:cs="Calibri"/>
          <w:szCs w:val="20"/>
          <w:lang w:eastAsia="en-AU"/>
        </w:rPr>
        <w:t>(625</w:t>
      </w:r>
      <w:r w:rsidR="00890881">
        <w:rPr>
          <w:rFonts w:cs="Calibri"/>
          <w:szCs w:val="20"/>
          <w:lang w:eastAsia="en-AU"/>
        </w:rPr>
        <w:t xml:space="preserve"> or 90%</w:t>
      </w:r>
      <w:r w:rsidR="009B6882">
        <w:rPr>
          <w:rFonts w:cs="Calibri"/>
          <w:szCs w:val="20"/>
          <w:lang w:eastAsia="en-AU"/>
        </w:rPr>
        <w:t>)</w:t>
      </w:r>
      <w:r w:rsidR="00C51587">
        <w:rPr>
          <w:rFonts w:cs="Calibri"/>
          <w:szCs w:val="20"/>
          <w:lang w:eastAsia="en-AU"/>
        </w:rPr>
        <w:t xml:space="preserve"> registered by September 2019</w:t>
      </w:r>
      <w:r w:rsidR="009B6882">
        <w:rPr>
          <w:rFonts w:cs="Calibri"/>
          <w:szCs w:val="20"/>
          <w:lang w:eastAsia="en-AU"/>
        </w:rPr>
        <w:t xml:space="preserve"> (</w:t>
      </w:r>
      <w:r w:rsidR="00890881" w:rsidRPr="00133B3E">
        <w:rPr>
          <w:rFonts w:cs="Calibri"/>
          <w:color w:val="1D2455"/>
          <w:szCs w:val="20"/>
          <w:lang w:eastAsia="en-AU"/>
        </w:rPr>
        <w:fldChar w:fldCharType="begin"/>
      </w:r>
      <w:r w:rsidR="00890881" w:rsidRPr="00034863">
        <w:rPr>
          <w:rFonts w:cs="Calibri"/>
          <w:b/>
          <w:color w:val="1D2455"/>
          <w:szCs w:val="20"/>
          <w:lang w:eastAsia="en-AU"/>
        </w:rPr>
        <w:instrText xml:space="preserve"> REF _Ref85476480 \h  \* MERGEFORMAT </w:instrText>
      </w:r>
      <w:r w:rsidR="00890881" w:rsidRPr="00133B3E">
        <w:rPr>
          <w:rFonts w:cs="Calibri"/>
          <w:color w:val="1D2455"/>
          <w:szCs w:val="20"/>
          <w:lang w:eastAsia="en-AU"/>
        </w:rPr>
      </w:r>
      <w:r w:rsidR="00890881" w:rsidRPr="00133B3E">
        <w:rPr>
          <w:rFonts w:cs="Calibri"/>
          <w:color w:val="1D2455"/>
          <w:szCs w:val="20"/>
          <w:lang w:eastAsia="en-AU"/>
        </w:rPr>
        <w:fldChar w:fldCharType="separate"/>
      </w:r>
      <w:r w:rsidR="003C4BC2" w:rsidRPr="003C4BC2">
        <w:rPr>
          <w:color w:val="1D2455"/>
        </w:rPr>
        <w:t xml:space="preserve">Figure </w:t>
      </w:r>
      <w:r w:rsidR="003C4BC2" w:rsidRPr="003C4BC2">
        <w:rPr>
          <w:noProof/>
          <w:color w:val="1D2455"/>
        </w:rPr>
        <w:t>80</w:t>
      </w:r>
      <w:r w:rsidR="00890881" w:rsidRPr="00133B3E">
        <w:rPr>
          <w:rFonts w:cs="Calibri"/>
          <w:color w:val="1D2455"/>
          <w:szCs w:val="20"/>
          <w:lang w:eastAsia="en-AU"/>
        </w:rPr>
        <w:fldChar w:fldCharType="end"/>
      </w:r>
      <w:r w:rsidR="009B6882">
        <w:rPr>
          <w:rFonts w:cs="Calibri"/>
          <w:szCs w:val="20"/>
          <w:lang w:eastAsia="en-AU"/>
        </w:rPr>
        <w:t>).</w:t>
      </w:r>
    </w:p>
    <w:p w14:paraId="070DBBE0" w14:textId="77777777" w:rsidR="007962A4" w:rsidRDefault="007962A4">
      <w:pPr>
        <w:spacing w:after="160" w:line="259" w:lineRule="auto"/>
        <w:rPr>
          <w:rFonts w:cs="Calibri"/>
          <w:szCs w:val="20"/>
          <w:lang w:eastAsia="en-AU"/>
        </w:rPr>
      </w:pPr>
      <w:r>
        <w:rPr>
          <w:rFonts w:cs="Calibri"/>
          <w:szCs w:val="20"/>
          <w:lang w:eastAsia="en-AU"/>
        </w:rPr>
        <w:br w:type="page"/>
      </w:r>
    </w:p>
    <w:p w14:paraId="21C78487" w14:textId="6D0762E7" w:rsidR="009B6882" w:rsidRPr="00781A43" w:rsidRDefault="009B6882" w:rsidP="009B6882">
      <w:pPr>
        <w:pStyle w:val="TableFigureheading"/>
        <w:rPr>
          <w:lang w:val="en-US"/>
        </w:rPr>
      </w:pPr>
      <w:bookmarkStart w:id="438" w:name="_Ref85476480"/>
      <w:r>
        <w:lastRenderedPageBreak/>
        <w:t>Figure</w:t>
      </w:r>
      <w:r w:rsidRPr="00781A43">
        <w:t xml:space="preserve"> </w:t>
      </w:r>
      <w:r w:rsidR="00A61B29">
        <w:fldChar w:fldCharType="begin"/>
      </w:r>
      <w:r w:rsidR="00A61B29">
        <w:instrText xml:space="preserve"> SEQ Figure\* ARABIC </w:instrText>
      </w:r>
      <w:r w:rsidR="00A61B29">
        <w:fldChar w:fldCharType="separate"/>
      </w:r>
      <w:r w:rsidR="003C4BC2">
        <w:rPr>
          <w:noProof/>
        </w:rPr>
        <w:t>80</w:t>
      </w:r>
      <w:r w:rsidR="00A61B29">
        <w:rPr>
          <w:noProof/>
        </w:rPr>
        <w:fldChar w:fldCharType="end"/>
      </w:r>
      <w:bookmarkEnd w:id="438"/>
      <w:r>
        <w:t>:</w:t>
      </w:r>
      <w:r>
        <w:rPr>
          <w:lang w:val="en-US"/>
        </w:rPr>
        <w:t xml:space="preserve"> Registration of community phar</w:t>
      </w:r>
      <w:r w:rsidR="00BA438C">
        <w:rPr>
          <w:lang w:val="en-US"/>
        </w:rPr>
        <w:t>macies in the HCH trial</w:t>
      </w:r>
    </w:p>
    <w:p w14:paraId="096E17E1" w14:textId="5A5A1551" w:rsidR="009B6882" w:rsidRDefault="009B6882" w:rsidP="00BA438C">
      <w:pPr>
        <w:spacing w:after="0"/>
        <w:jc w:val="center"/>
        <w:rPr>
          <w:szCs w:val="20"/>
        </w:rPr>
      </w:pPr>
      <w:r w:rsidRPr="009B6882">
        <w:rPr>
          <w:noProof/>
        </w:rPr>
        <w:drawing>
          <wp:inline distT="0" distB="0" distL="0" distR="0" wp14:anchorId="4CF0B20C" wp14:editId="48EB463C">
            <wp:extent cx="4561905" cy="2742857"/>
            <wp:effectExtent l="0" t="0" r="0" b="635"/>
            <wp:docPr id="7" name="Picture 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 line chart&#10;&#10;Description automatically generated"/>
                    <pic:cNvPicPr/>
                  </pic:nvPicPr>
                  <pic:blipFill>
                    <a:blip r:embed="rId112"/>
                    <a:stretch>
                      <a:fillRect/>
                    </a:stretch>
                  </pic:blipFill>
                  <pic:spPr>
                    <a:xfrm>
                      <a:off x="0" y="0"/>
                      <a:ext cx="4561905" cy="2742857"/>
                    </a:xfrm>
                    <a:prstGeom prst="rect">
                      <a:avLst/>
                    </a:prstGeom>
                  </pic:spPr>
                </pic:pic>
              </a:graphicData>
            </a:graphic>
          </wp:inline>
        </w:drawing>
      </w:r>
    </w:p>
    <w:p w14:paraId="3F9D4EC9" w14:textId="1487C721" w:rsidR="00BA438C" w:rsidRDefault="00BA438C" w:rsidP="00BA438C">
      <w:pPr>
        <w:pStyle w:val="Chartortablefootnote"/>
      </w:pPr>
      <w:r>
        <w:t xml:space="preserve">Source: Pharmacy </w:t>
      </w:r>
      <w:r w:rsidRPr="00631B46">
        <w:t>Guild of Australia</w:t>
      </w:r>
      <w:r>
        <w:t>.</w:t>
      </w:r>
    </w:p>
    <w:p w14:paraId="0CAE8FB6" w14:textId="088E35C4" w:rsidR="0062271C" w:rsidRPr="003241AE" w:rsidRDefault="0062271C" w:rsidP="0062271C">
      <w:pPr>
        <w:pStyle w:val="Heading3"/>
        <w:rPr>
          <w:rFonts w:eastAsia="Times New Roman"/>
        </w:rPr>
      </w:pPr>
      <w:r>
        <w:rPr>
          <w:rFonts w:eastAsia="Times New Roman"/>
        </w:rPr>
        <w:t>P</w:t>
      </w:r>
      <w:r w:rsidRPr="003241AE">
        <w:rPr>
          <w:rFonts w:eastAsia="Times New Roman"/>
        </w:rPr>
        <w:t>harmacy registration</w:t>
      </w:r>
      <w:r w:rsidR="00075FA8">
        <w:rPr>
          <w:rFonts w:eastAsia="Times New Roman"/>
        </w:rPr>
        <w:t xml:space="preserve"> process</w:t>
      </w:r>
    </w:p>
    <w:p w14:paraId="1FCBFFED" w14:textId="77777777" w:rsidR="0062271C" w:rsidRPr="003241AE" w:rsidRDefault="0062271C" w:rsidP="0062271C">
      <w:pPr>
        <w:rPr>
          <w:rFonts w:cs="Calibri"/>
          <w:lang w:eastAsia="en-AU"/>
        </w:rPr>
      </w:pPr>
      <w:r w:rsidRPr="003241AE">
        <w:rPr>
          <w:rFonts w:cs="Calibri"/>
          <w:lang w:eastAsia="en-AU"/>
        </w:rPr>
        <w:t xml:space="preserve">The Guild developed processes for registering pharmacies and resources to assist </w:t>
      </w:r>
      <w:r>
        <w:rPr>
          <w:rFonts w:cs="Calibri"/>
          <w:lang w:eastAsia="en-AU"/>
        </w:rPr>
        <w:t xml:space="preserve">them </w:t>
      </w:r>
      <w:r w:rsidRPr="003241AE">
        <w:rPr>
          <w:rFonts w:cs="Calibri"/>
          <w:lang w:eastAsia="en-AU"/>
        </w:rPr>
        <w:t xml:space="preserve">to prepare for participation in the </w:t>
      </w:r>
      <w:r>
        <w:rPr>
          <w:rFonts w:cs="Calibri"/>
          <w:lang w:eastAsia="en-AU"/>
        </w:rPr>
        <w:t>trial</w:t>
      </w:r>
      <w:r w:rsidRPr="003241AE">
        <w:rPr>
          <w:rFonts w:cs="Calibri"/>
          <w:lang w:eastAsia="en-AU"/>
        </w:rPr>
        <w:t>. The initial process for pharmacy registration include</w:t>
      </w:r>
      <w:r>
        <w:rPr>
          <w:rFonts w:cs="Calibri"/>
          <w:lang w:eastAsia="en-AU"/>
        </w:rPr>
        <w:t>d</w:t>
      </w:r>
      <w:r w:rsidRPr="003241AE">
        <w:rPr>
          <w:rFonts w:cs="Calibri"/>
          <w:lang w:eastAsia="en-AU"/>
        </w:rPr>
        <w:t>:</w:t>
      </w:r>
    </w:p>
    <w:p w14:paraId="7025F386" w14:textId="77777777" w:rsidR="0062271C" w:rsidRPr="003241AE" w:rsidRDefault="0062271C" w:rsidP="00BB7C8D">
      <w:pPr>
        <w:numPr>
          <w:ilvl w:val="0"/>
          <w:numId w:val="28"/>
        </w:numPr>
        <w:spacing w:after="0" w:line="259" w:lineRule="auto"/>
        <w:contextualSpacing/>
        <w:rPr>
          <w:rFonts w:cs="Calibri"/>
          <w:lang w:eastAsia="en-AU"/>
        </w:rPr>
      </w:pPr>
      <w:r w:rsidRPr="003241AE">
        <w:rPr>
          <w:rFonts w:cs="Calibri"/>
          <w:lang w:eastAsia="en-AU"/>
        </w:rPr>
        <w:t xml:space="preserve">Formal registration </w:t>
      </w:r>
      <w:r>
        <w:rPr>
          <w:rFonts w:cs="Calibri"/>
          <w:lang w:eastAsia="en-AU"/>
        </w:rPr>
        <w:t>to participate in the trial.</w:t>
      </w:r>
    </w:p>
    <w:p w14:paraId="7AFC4001" w14:textId="77777777" w:rsidR="0062271C" w:rsidRPr="003241AE" w:rsidRDefault="0062271C" w:rsidP="00BB7C8D">
      <w:pPr>
        <w:numPr>
          <w:ilvl w:val="0"/>
          <w:numId w:val="28"/>
        </w:numPr>
        <w:spacing w:after="0" w:line="259" w:lineRule="auto"/>
        <w:contextualSpacing/>
        <w:rPr>
          <w:rFonts w:cs="Calibri"/>
          <w:lang w:eastAsia="en-AU"/>
        </w:rPr>
      </w:pPr>
      <w:r w:rsidRPr="003241AE">
        <w:rPr>
          <w:rFonts w:cs="Calibri"/>
          <w:lang w:eastAsia="en-AU"/>
        </w:rPr>
        <w:t>Registering the pharmacy for My Health Record (if not already registered)</w:t>
      </w:r>
      <w:r>
        <w:rPr>
          <w:rFonts w:cs="Calibri"/>
          <w:lang w:eastAsia="en-AU"/>
        </w:rPr>
        <w:t>.</w:t>
      </w:r>
    </w:p>
    <w:p w14:paraId="3A306EF5" w14:textId="77777777" w:rsidR="0062271C" w:rsidRPr="003241AE" w:rsidRDefault="0062271C" w:rsidP="00BB7C8D">
      <w:pPr>
        <w:numPr>
          <w:ilvl w:val="0"/>
          <w:numId w:val="28"/>
        </w:numPr>
        <w:spacing w:after="0" w:line="259" w:lineRule="auto"/>
        <w:contextualSpacing/>
        <w:rPr>
          <w:rFonts w:cs="Calibri"/>
          <w:lang w:eastAsia="en-AU"/>
        </w:rPr>
      </w:pPr>
      <w:r>
        <w:rPr>
          <w:rFonts w:cs="Calibri"/>
          <w:lang w:eastAsia="en-AU"/>
        </w:rPr>
        <w:t>Set-up</w:t>
      </w:r>
      <w:r w:rsidRPr="003241AE">
        <w:rPr>
          <w:rFonts w:cs="Calibri"/>
          <w:lang w:eastAsia="en-AU"/>
        </w:rPr>
        <w:t xml:space="preserve"> and training on the </w:t>
      </w:r>
      <w:proofErr w:type="spellStart"/>
      <w:r w:rsidRPr="003241AE">
        <w:rPr>
          <w:rFonts w:cs="Calibri"/>
          <w:lang w:eastAsia="en-AU"/>
        </w:rPr>
        <w:t>GuildLink</w:t>
      </w:r>
      <w:proofErr w:type="spellEnd"/>
      <w:r w:rsidRPr="003241AE">
        <w:rPr>
          <w:rFonts w:cs="Calibri"/>
          <w:lang w:eastAsia="en-AU"/>
        </w:rPr>
        <w:t xml:space="preserve"> and shared care plan software.</w:t>
      </w:r>
    </w:p>
    <w:p w14:paraId="6F1D8BEF" w14:textId="77777777" w:rsidR="0062271C" w:rsidRPr="003241AE" w:rsidRDefault="0062271C" w:rsidP="0062271C">
      <w:pPr>
        <w:spacing w:after="0"/>
        <w:rPr>
          <w:rFonts w:cs="Calibri"/>
          <w:lang w:eastAsia="en-AU"/>
        </w:rPr>
      </w:pPr>
    </w:p>
    <w:p w14:paraId="5B8E5558" w14:textId="77777777" w:rsidR="0062271C" w:rsidRDefault="0062271C" w:rsidP="0062271C">
      <w:pPr>
        <w:rPr>
          <w:rFonts w:cs="Calibri"/>
          <w:lang w:eastAsia="en-AU"/>
        </w:rPr>
      </w:pPr>
      <w:r w:rsidRPr="003241AE">
        <w:rPr>
          <w:rFonts w:cs="Calibri"/>
          <w:lang w:eastAsia="en-AU"/>
        </w:rPr>
        <w:t>This initial onboarding process also include</w:t>
      </w:r>
      <w:r>
        <w:rPr>
          <w:rFonts w:cs="Calibri"/>
          <w:lang w:eastAsia="en-AU"/>
        </w:rPr>
        <w:t>d</w:t>
      </w:r>
      <w:r w:rsidRPr="003241AE">
        <w:rPr>
          <w:rFonts w:cs="Calibri"/>
          <w:lang w:eastAsia="en-AU"/>
        </w:rPr>
        <w:t xml:space="preserve"> checking </w:t>
      </w:r>
      <w:r>
        <w:rPr>
          <w:rFonts w:cs="Calibri"/>
          <w:lang w:eastAsia="en-AU"/>
        </w:rPr>
        <w:t xml:space="preserve">that </w:t>
      </w:r>
      <w:r w:rsidRPr="003241AE">
        <w:rPr>
          <w:rFonts w:cs="Calibri"/>
          <w:lang w:eastAsia="en-AU"/>
        </w:rPr>
        <w:t xml:space="preserve">the pharmacy can meet the eligibility requirements of the </w:t>
      </w:r>
      <w:r>
        <w:rPr>
          <w:rFonts w:cs="Calibri"/>
          <w:lang w:eastAsia="en-AU"/>
        </w:rPr>
        <w:t>trial</w:t>
      </w:r>
      <w:r w:rsidRPr="003241AE">
        <w:rPr>
          <w:rFonts w:cs="Calibri"/>
          <w:lang w:eastAsia="en-AU"/>
        </w:rPr>
        <w:t>, for example, ensuring the pharmacy had a private consultation area available.</w:t>
      </w:r>
    </w:p>
    <w:p w14:paraId="7E6D052E" w14:textId="77777777" w:rsidR="0062271C" w:rsidRPr="003241AE" w:rsidRDefault="0062271C" w:rsidP="0062271C">
      <w:pPr>
        <w:rPr>
          <w:rFonts w:cs="Calibri"/>
          <w:lang w:eastAsia="en-AU"/>
        </w:rPr>
      </w:pPr>
      <w:r w:rsidRPr="003241AE">
        <w:rPr>
          <w:rFonts w:cs="Calibri"/>
          <w:lang w:eastAsia="en-AU"/>
        </w:rPr>
        <w:t xml:space="preserve">On approval, the details of the pharmacy and pharmacist details are forwarded to </w:t>
      </w:r>
      <w:proofErr w:type="spellStart"/>
      <w:r w:rsidRPr="003241AE">
        <w:rPr>
          <w:rFonts w:cs="Calibri"/>
          <w:lang w:eastAsia="en-AU"/>
        </w:rPr>
        <w:t>GuildLink</w:t>
      </w:r>
      <w:proofErr w:type="spellEnd"/>
      <w:r w:rsidRPr="003241AE">
        <w:rPr>
          <w:rFonts w:cs="Calibri"/>
          <w:lang w:eastAsia="en-AU"/>
        </w:rPr>
        <w:t xml:space="preserve"> for uploading to the software platform.</w:t>
      </w:r>
      <w:r>
        <w:rPr>
          <w:rFonts w:cs="Calibri"/>
          <w:lang w:eastAsia="en-AU"/>
        </w:rPr>
        <w:t xml:space="preserve"> </w:t>
      </w:r>
      <w:r w:rsidRPr="003241AE">
        <w:rPr>
          <w:rFonts w:cs="Calibri"/>
          <w:lang w:eastAsia="en-AU"/>
        </w:rPr>
        <w:t>After the pharmacy is approved to participate, the Guild project team contact</w:t>
      </w:r>
      <w:r>
        <w:rPr>
          <w:rFonts w:cs="Calibri"/>
          <w:lang w:eastAsia="en-AU"/>
        </w:rPr>
        <w:t>s</w:t>
      </w:r>
      <w:r w:rsidRPr="003241AE">
        <w:rPr>
          <w:rFonts w:cs="Calibri"/>
          <w:lang w:eastAsia="en-AU"/>
        </w:rPr>
        <w:t xml:space="preserve"> the pharmacy and provides </w:t>
      </w:r>
      <w:r>
        <w:rPr>
          <w:rFonts w:cs="Calibri"/>
          <w:lang w:eastAsia="en-AU"/>
        </w:rPr>
        <w:t xml:space="preserve">them with </w:t>
      </w:r>
      <w:r w:rsidRPr="003241AE">
        <w:rPr>
          <w:rFonts w:cs="Calibri"/>
          <w:lang w:eastAsia="en-AU"/>
        </w:rPr>
        <w:t xml:space="preserve">some initial information to assist with implementation. This includes providing access to training and promotional materials, guidelines and webinars. The Guild also provides information on which practices are participating in the </w:t>
      </w:r>
      <w:r>
        <w:rPr>
          <w:rFonts w:cs="Calibri"/>
          <w:lang w:eastAsia="en-AU"/>
        </w:rPr>
        <w:t>trial</w:t>
      </w:r>
      <w:r w:rsidRPr="003241AE">
        <w:rPr>
          <w:rFonts w:cs="Calibri"/>
          <w:lang w:eastAsia="en-AU"/>
        </w:rPr>
        <w:t xml:space="preserve"> in the local area</w:t>
      </w:r>
      <w:r>
        <w:rPr>
          <w:rFonts w:cs="Calibri"/>
          <w:lang w:eastAsia="en-AU"/>
        </w:rPr>
        <w:t>,</w:t>
      </w:r>
      <w:r w:rsidRPr="003241AE">
        <w:rPr>
          <w:rFonts w:cs="Calibri"/>
          <w:lang w:eastAsia="en-AU"/>
        </w:rPr>
        <w:t xml:space="preserve"> and tips for engaging with practices. </w:t>
      </w:r>
    </w:p>
    <w:p w14:paraId="376CAB59" w14:textId="77777777" w:rsidR="0062271C" w:rsidRPr="008C08AC" w:rsidRDefault="0062271C" w:rsidP="0062271C">
      <w:pPr>
        <w:pStyle w:val="Heading3"/>
      </w:pPr>
      <w:r>
        <w:t>Preparing</w:t>
      </w:r>
      <w:r w:rsidRPr="008E18C2">
        <w:t xml:space="preserve"> for implementation </w:t>
      </w:r>
    </w:p>
    <w:p w14:paraId="5EF65610" w14:textId="6041FCE3" w:rsidR="0062271C" w:rsidRPr="004F6008" w:rsidRDefault="0062271C" w:rsidP="0062271C">
      <w:pPr>
        <w:rPr>
          <w:szCs w:val="20"/>
        </w:rPr>
      </w:pPr>
      <w:r w:rsidRPr="004F6008">
        <w:rPr>
          <w:szCs w:val="20"/>
        </w:rPr>
        <w:t xml:space="preserve">After agreeing to participate in HCH, some pharmacies were </w:t>
      </w:r>
      <w:r>
        <w:rPr>
          <w:szCs w:val="20"/>
        </w:rPr>
        <w:t>proactive</w:t>
      </w:r>
      <w:r w:rsidRPr="004F6008">
        <w:rPr>
          <w:szCs w:val="20"/>
        </w:rPr>
        <w:t xml:space="preserve"> and initiated contact with </w:t>
      </w:r>
      <w:r>
        <w:rPr>
          <w:szCs w:val="20"/>
        </w:rPr>
        <w:t>HCHs in their area</w:t>
      </w:r>
      <w:r w:rsidRPr="004F6008">
        <w:rPr>
          <w:szCs w:val="20"/>
        </w:rPr>
        <w:t xml:space="preserve">. This often involved a preliminary meeting or an initial phone call to express the pharmacy’s interest in </w:t>
      </w:r>
      <w:r>
        <w:rPr>
          <w:szCs w:val="20"/>
        </w:rPr>
        <w:t>receiving</w:t>
      </w:r>
      <w:r w:rsidRPr="004F6008">
        <w:rPr>
          <w:szCs w:val="20"/>
        </w:rPr>
        <w:t xml:space="preserve"> referrals, specific services that the pharmacy could provide and/or identify HCH patients </w:t>
      </w:r>
      <w:r w:rsidR="000F5826">
        <w:rPr>
          <w:szCs w:val="20"/>
        </w:rPr>
        <w:t>who</w:t>
      </w:r>
      <w:r w:rsidRPr="004F6008">
        <w:rPr>
          <w:szCs w:val="20"/>
        </w:rPr>
        <w:t xml:space="preserve"> would benefit from these services</w:t>
      </w:r>
      <w:r>
        <w:rPr>
          <w:szCs w:val="20"/>
        </w:rPr>
        <w:t>:</w:t>
      </w:r>
    </w:p>
    <w:p w14:paraId="2B5090C3" w14:textId="77777777" w:rsidR="0062271C" w:rsidRPr="004F6008" w:rsidRDefault="0062271C" w:rsidP="0062271C">
      <w:pPr>
        <w:ind w:left="567" w:right="521"/>
        <w:rPr>
          <w:szCs w:val="20"/>
        </w:rPr>
      </w:pPr>
      <w:r w:rsidRPr="004F6008">
        <w:rPr>
          <w:i/>
          <w:iCs/>
          <w:szCs w:val="20"/>
        </w:rPr>
        <w:t>“We did have a meeting with [medical centre]</w:t>
      </w:r>
      <w:r>
        <w:rPr>
          <w:i/>
          <w:iCs/>
          <w:szCs w:val="20"/>
        </w:rPr>
        <w:t xml:space="preserve"> … </w:t>
      </w:r>
      <w:r w:rsidRPr="004F6008">
        <w:rPr>
          <w:i/>
          <w:iCs/>
          <w:szCs w:val="20"/>
        </w:rPr>
        <w:t xml:space="preserve">and they were willing to work with us and say if we can make it like a streamline script service for these patients if we have like an arrangement with blood pressure medications then </w:t>
      </w:r>
      <w:r w:rsidRPr="004F6008">
        <w:rPr>
          <w:i/>
          <w:iCs/>
          <w:szCs w:val="20"/>
        </w:rPr>
        <w:lastRenderedPageBreak/>
        <w:t>they were happy to do that. So yes, it was a lot easier when we had that meeting with the doctors and could come up with agreed services</w:t>
      </w:r>
      <w:r w:rsidRPr="004F6008">
        <w:rPr>
          <w:szCs w:val="20"/>
        </w:rPr>
        <w:t>.” [CP, R4, Pharmacy 2]</w:t>
      </w:r>
    </w:p>
    <w:p w14:paraId="4CCE405C" w14:textId="77777777" w:rsidR="0062271C" w:rsidRPr="004F6008" w:rsidRDefault="0062271C" w:rsidP="0062271C">
      <w:pPr>
        <w:ind w:left="567" w:right="521"/>
        <w:rPr>
          <w:rFonts w:eastAsia="Times New Roman" w:cs="Arial"/>
          <w:color w:val="000000"/>
          <w:szCs w:val="20"/>
          <w:lang w:eastAsia="en-AU"/>
        </w:rPr>
      </w:pPr>
      <w:r w:rsidRPr="004F6008">
        <w:rPr>
          <w:rFonts w:eastAsia="Times New Roman" w:cs="Arial"/>
          <w:i/>
          <w:iCs/>
          <w:color w:val="000000"/>
          <w:szCs w:val="20"/>
          <w:lang w:eastAsia="en-AU"/>
        </w:rPr>
        <w:t>“I went over there and introduced myself and said we would like to participate in this trial and find out where they were up to. They had been having help from one of the [PHN coordinators] of the trial as well, so they had already enrolled quite a few patients in the trial on their end. Then, it was just a question of trying to get them to refer them to us. We went through their list with them and said, oh, these are the guys that come to us, the ones that they had</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they were our pharmacy’s customers.”</w:t>
      </w:r>
      <w:r w:rsidRPr="004F6008">
        <w:rPr>
          <w:rFonts w:eastAsia="Times New Roman" w:cs="Arial"/>
          <w:color w:val="000000"/>
          <w:szCs w:val="20"/>
          <w:lang w:eastAsia="en-AU"/>
        </w:rPr>
        <w:t xml:space="preserve"> [CP, R4, Pharmacy 6]</w:t>
      </w:r>
    </w:p>
    <w:p w14:paraId="1F87FA1E" w14:textId="77777777" w:rsidR="0062271C" w:rsidRPr="004F6008" w:rsidRDefault="0062271C" w:rsidP="0062271C">
      <w:pPr>
        <w:ind w:left="567" w:right="521"/>
        <w:rPr>
          <w:rFonts w:eastAsia="Times New Roman" w:cs="Arial"/>
          <w:color w:val="000000"/>
          <w:szCs w:val="20"/>
          <w:lang w:eastAsia="en-AU"/>
        </w:rPr>
      </w:pPr>
      <w:r>
        <w:rPr>
          <w:rFonts w:eastAsia="Times New Roman" w:cs="Arial"/>
          <w:i/>
          <w:iCs/>
          <w:color w:val="000000"/>
          <w:szCs w:val="20"/>
          <w:lang w:eastAsia="en-AU"/>
        </w:rPr>
        <w:t xml:space="preserve">“… </w:t>
      </w:r>
      <w:r w:rsidRPr="004F6008">
        <w:rPr>
          <w:rFonts w:eastAsia="Times New Roman" w:cs="Arial"/>
          <w:i/>
          <w:iCs/>
          <w:color w:val="000000"/>
          <w:szCs w:val="20"/>
          <w:lang w:eastAsia="en-AU"/>
        </w:rPr>
        <w:t>we jumped on and said, yes, we'd like to be a part of it. And so, then</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And we found out that [GP practice] had signed up to it. And so, it was a doctor surgery in our town. So, I actually rang them and said, we're happy to be involved.”</w:t>
      </w:r>
      <w:r w:rsidRPr="004F6008">
        <w:rPr>
          <w:rFonts w:eastAsia="Times New Roman" w:cs="Arial"/>
          <w:color w:val="000000"/>
          <w:szCs w:val="20"/>
          <w:lang w:eastAsia="en-AU"/>
        </w:rPr>
        <w:t xml:space="preserve"> [CP, R4, Pharmacy 09]</w:t>
      </w:r>
    </w:p>
    <w:p w14:paraId="3E930B91" w14:textId="77777777" w:rsidR="0062271C" w:rsidRPr="004F6008" w:rsidRDefault="0062271C" w:rsidP="0062271C">
      <w:pPr>
        <w:rPr>
          <w:rFonts w:eastAsia="Times New Roman" w:cs="Arial"/>
          <w:color w:val="000000"/>
          <w:szCs w:val="20"/>
          <w:lang w:eastAsia="en-AU"/>
        </w:rPr>
      </w:pPr>
      <w:r>
        <w:rPr>
          <w:rFonts w:eastAsia="Times New Roman" w:cs="Arial"/>
          <w:color w:val="000000"/>
          <w:szCs w:val="20"/>
          <w:lang w:eastAsia="en-AU"/>
        </w:rPr>
        <w:t>Some</w:t>
      </w:r>
      <w:r w:rsidRPr="004F6008">
        <w:rPr>
          <w:rFonts w:eastAsia="Times New Roman" w:cs="Arial"/>
          <w:color w:val="000000"/>
          <w:szCs w:val="20"/>
          <w:lang w:eastAsia="en-AU"/>
        </w:rPr>
        <w:t xml:space="preserve"> pharmacies went as far as training practice staff members on the </w:t>
      </w:r>
      <w:r>
        <w:rPr>
          <w:rFonts w:eastAsia="Times New Roman" w:cs="Arial"/>
          <w:color w:val="000000"/>
          <w:szCs w:val="20"/>
          <w:lang w:eastAsia="en-AU"/>
        </w:rPr>
        <w:t>community pharmacy trial</w:t>
      </w:r>
      <w:r w:rsidRPr="004F6008">
        <w:rPr>
          <w:rFonts w:eastAsia="Times New Roman" w:cs="Arial"/>
          <w:color w:val="000000"/>
          <w:szCs w:val="20"/>
          <w:lang w:eastAsia="en-AU"/>
        </w:rPr>
        <w:t xml:space="preserve"> to increase enrolment numbers and pharmacy referrals</w:t>
      </w:r>
      <w:r>
        <w:rPr>
          <w:rFonts w:eastAsia="Times New Roman" w:cs="Arial"/>
          <w:color w:val="000000"/>
          <w:szCs w:val="20"/>
          <w:lang w:eastAsia="en-AU"/>
        </w:rPr>
        <w:t>:</w:t>
      </w:r>
    </w:p>
    <w:p w14:paraId="2A2F9C22" w14:textId="77777777" w:rsidR="0062271C" w:rsidRPr="004F6008" w:rsidRDefault="0062271C" w:rsidP="0062271C">
      <w:pPr>
        <w:ind w:left="567" w:right="521"/>
        <w:rPr>
          <w:rFonts w:eastAsia="Times New Roman"/>
          <w:szCs w:val="20"/>
          <w:lang w:eastAsia="en-AU"/>
        </w:rPr>
      </w:pPr>
      <w:r w:rsidRPr="004F6008">
        <w:rPr>
          <w:rFonts w:eastAsia="Times New Roman" w:cs="Arial"/>
          <w:i/>
          <w:iCs/>
          <w:color w:val="000000"/>
          <w:szCs w:val="20"/>
          <w:lang w:eastAsia="en-AU"/>
        </w:rPr>
        <w:t>“So, we actually went into the medical centre ourselves, to train the staff, and actually have pharmacists working in the medical centre to enrol the patients.”</w:t>
      </w:r>
      <w:r w:rsidRPr="004F6008">
        <w:rPr>
          <w:rFonts w:eastAsia="Times New Roman" w:cs="Arial"/>
          <w:color w:val="000000"/>
          <w:szCs w:val="20"/>
          <w:lang w:eastAsia="en-AU"/>
        </w:rPr>
        <w:t xml:space="preserve"> [CP, R4, Pharmacy 3]</w:t>
      </w:r>
    </w:p>
    <w:p w14:paraId="7F8591C0" w14:textId="0DF4A47E" w:rsidR="0062271C" w:rsidRPr="004F6008" w:rsidRDefault="0062271C" w:rsidP="0062271C">
      <w:pPr>
        <w:rPr>
          <w:szCs w:val="20"/>
        </w:rPr>
      </w:pPr>
      <w:r w:rsidRPr="004F6008">
        <w:rPr>
          <w:szCs w:val="20"/>
        </w:rPr>
        <w:t xml:space="preserve">Other interviewees did not mention hosting an initiation meeting or contacting a participating </w:t>
      </w:r>
      <w:r w:rsidR="00033C67" w:rsidRPr="004F6008">
        <w:rPr>
          <w:szCs w:val="20"/>
        </w:rPr>
        <w:t>practice</w:t>
      </w:r>
      <w:r w:rsidR="00033C67">
        <w:rPr>
          <w:szCs w:val="20"/>
        </w:rPr>
        <w:t xml:space="preserve"> but</w:t>
      </w:r>
      <w:r w:rsidRPr="004F6008">
        <w:rPr>
          <w:szCs w:val="20"/>
        </w:rPr>
        <w:t xml:space="preserve"> </w:t>
      </w:r>
      <w:r>
        <w:rPr>
          <w:szCs w:val="20"/>
        </w:rPr>
        <w:t>commented that they</w:t>
      </w:r>
      <w:r w:rsidRPr="004F6008">
        <w:rPr>
          <w:szCs w:val="20"/>
        </w:rPr>
        <w:t xml:space="preserve"> got involved in the </w:t>
      </w:r>
      <w:r>
        <w:rPr>
          <w:szCs w:val="20"/>
        </w:rPr>
        <w:t>trial</w:t>
      </w:r>
      <w:r w:rsidRPr="004F6008">
        <w:rPr>
          <w:szCs w:val="20"/>
        </w:rPr>
        <w:t xml:space="preserve"> because they were encouraged by the Guild or their local PHN, contacted by </w:t>
      </w:r>
      <w:r w:rsidR="00DB1BD7">
        <w:rPr>
          <w:szCs w:val="20"/>
        </w:rPr>
        <w:t>a HCH</w:t>
      </w:r>
      <w:r w:rsidRPr="004F6008">
        <w:rPr>
          <w:szCs w:val="20"/>
        </w:rPr>
        <w:t xml:space="preserve"> practice, were in close proximity to </w:t>
      </w:r>
      <w:r w:rsidR="00DB1BD7">
        <w:rPr>
          <w:szCs w:val="20"/>
        </w:rPr>
        <w:t>a HCH</w:t>
      </w:r>
      <w:r>
        <w:rPr>
          <w:szCs w:val="20"/>
        </w:rPr>
        <w:t xml:space="preserve"> practice</w:t>
      </w:r>
      <w:r w:rsidRPr="004F6008">
        <w:rPr>
          <w:szCs w:val="20"/>
        </w:rPr>
        <w:t xml:space="preserve"> or had </w:t>
      </w:r>
      <w:r w:rsidR="00740D8D">
        <w:rPr>
          <w:szCs w:val="20"/>
        </w:rPr>
        <w:t>an</w:t>
      </w:r>
      <w:r w:rsidRPr="004F6008">
        <w:rPr>
          <w:szCs w:val="20"/>
        </w:rPr>
        <w:t xml:space="preserve"> existing relationship with </w:t>
      </w:r>
      <w:r w:rsidR="00DB1BD7">
        <w:rPr>
          <w:szCs w:val="20"/>
        </w:rPr>
        <w:t>a HCH</w:t>
      </w:r>
      <w:r w:rsidRPr="004F6008">
        <w:rPr>
          <w:szCs w:val="20"/>
        </w:rPr>
        <w:t xml:space="preserve"> practice. </w:t>
      </w:r>
    </w:p>
    <w:p w14:paraId="423564F1" w14:textId="045583EC" w:rsidR="0062271C" w:rsidRPr="004F6008" w:rsidRDefault="0062271C" w:rsidP="0062271C">
      <w:pPr>
        <w:pStyle w:val="Heading3"/>
        <w:rPr>
          <w:rFonts w:eastAsia="Times New Roman"/>
        </w:rPr>
      </w:pPr>
      <w:r>
        <w:rPr>
          <w:rFonts w:eastAsia="Times New Roman"/>
        </w:rPr>
        <w:t xml:space="preserve">Changes </w:t>
      </w:r>
      <w:r w:rsidR="00033C67">
        <w:rPr>
          <w:rFonts w:eastAsia="Times New Roman"/>
        </w:rPr>
        <w:t>p</w:t>
      </w:r>
      <w:r>
        <w:rPr>
          <w:rFonts w:eastAsia="Times New Roman"/>
        </w:rPr>
        <w:t>harmacies made</w:t>
      </w:r>
    </w:p>
    <w:p w14:paraId="156E4480" w14:textId="357231ED" w:rsidR="0062271C" w:rsidRPr="004F6008" w:rsidRDefault="0062271C" w:rsidP="00645F9D">
      <w:pPr>
        <w:rPr>
          <w:rFonts w:eastAsia="Times New Roman"/>
          <w:szCs w:val="20"/>
          <w:lang w:eastAsia="en-AU"/>
        </w:rPr>
      </w:pPr>
      <w:r>
        <w:rPr>
          <w:rFonts w:eastAsia="Times New Roman"/>
          <w:szCs w:val="20"/>
          <w:lang w:eastAsia="en-AU"/>
        </w:rPr>
        <w:t>Pharmacists</w:t>
      </w:r>
      <w:r w:rsidRPr="004F6008">
        <w:rPr>
          <w:rFonts w:eastAsia="Times New Roman"/>
          <w:szCs w:val="20"/>
          <w:lang w:eastAsia="en-AU"/>
        </w:rPr>
        <w:t xml:space="preserve"> </w:t>
      </w:r>
      <w:r>
        <w:rPr>
          <w:rFonts w:eastAsia="Times New Roman"/>
          <w:szCs w:val="20"/>
          <w:lang w:eastAsia="en-AU"/>
        </w:rPr>
        <w:t>described</w:t>
      </w:r>
      <w:r w:rsidRPr="004F6008">
        <w:rPr>
          <w:rFonts w:eastAsia="Times New Roman"/>
          <w:szCs w:val="20"/>
          <w:lang w:eastAsia="en-AU"/>
        </w:rPr>
        <w:t xml:space="preserve"> preparation and </w:t>
      </w:r>
      <w:r>
        <w:rPr>
          <w:rFonts w:eastAsia="Times New Roman"/>
          <w:szCs w:val="20"/>
          <w:lang w:eastAsia="en-AU"/>
        </w:rPr>
        <w:t>changes that they had to make</w:t>
      </w:r>
      <w:r w:rsidRPr="004F6008">
        <w:rPr>
          <w:rFonts w:eastAsia="Times New Roman"/>
          <w:szCs w:val="20"/>
          <w:lang w:eastAsia="en-AU"/>
        </w:rPr>
        <w:t xml:space="preserve"> for their pharmacies to participate in </w:t>
      </w:r>
      <w:r>
        <w:rPr>
          <w:rFonts w:eastAsia="Times New Roman"/>
          <w:szCs w:val="20"/>
          <w:lang w:eastAsia="en-AU"/>
        </w:rPr>
        <w:t>the trial</w:t>
      </w:r>
      <w:r w:rsidRPr="004F6008">
        <w:rPr>
          <w:rFonts w:eastAsia="Times New Roman"/>
          <w:szCs w:val="20"/>
          <w:lang w:eastAsia="en-AU"/>
        </w:rPr>
        <w:t xml:space="preserve">. </w:t>
      </w:r>
      <w:r>
        <w:rPr>
          <w:rFonts w:eastAsia="Times New Roman"/>
          <w:szCs w:val="20"/>
          <w:lang w:eastAsia="en-AU"/>
        </w:rPr>
        <w:t xml:space="preserve">These </w:t>
      </w:r>
      <w:r w:rsidRPr="004F6008">
        <w:rPr>
          <w:rFonts w:eastAsia="Times New Roman"/>
          <w:szCs w:val="20"/>
          <w:lang w:eastAsia="en-AU"/>
        </w:rPr>
        <w:t>were largely related to training</w:t>
      </w:r>
      <w:r>
        <w:rPr>
          <w:rFonts w:eastAsia="Times New Roman"/>
          <w:szCs w:val="20"/>
          <w:lang w:eastAsia="en-AU"/>
        </w:rPr>
        <w:t xml:space="preserve">, staffing and </w:t>
      </w:r>
      <w:r w:rsidRPr="004F6008">
        <w:rPr>
          <w:rFonts w:eastAsia="Times New Roman"/>
          <w:szCs w:val="20"/>
          <w:lang w:eastAsia="en-AU"/>
        </w:rPr>
        <w:t xml:space="preserve">the physical layout of the pharmacy. In certain instances, pharmacies needed to hire additional staff or </w:t>
      </w:r>
      <w:r>
        <w:rPr>
          <w:rFonts w:eastAsia="Times New Roman"/>
          <w:szCs w:val="20"/>
          <w:lang w:eastAsia="en-AU"/>
        </w:rPr>
        <w:t xml:space="preserve">change </w:t>
      </w:r>
      <w:r w:rsidR="003858C5">
        <w:rPr>
          <w:rFonts w:eastAsia="Times New Roman"/>
          <w:szCs w:val="20"/>
          <w:lang w:eastAsia="en-AU"/>
        </w:rPr>
        <w:t>staff</w:t>
      </w:r>
      <w:r w:rsidRPr="004F6008">
        <w:rPr>
          <w:rFonts w:eastAsia="Times New Roman"/>
          <w:szCs w:val="20"/>
          <w:lang w:eastAsia="en-AU"/>
        </w:rPr>
        <w:t xml:space="preserve"> roles to help them manage HCH patient consultations</w:t>
      </w:r>
      <w:r>
        <w:rPr>
          <w:rFonts w:eastAsia="Times New Roman"/>
          <w:szCs w:val="20"/>
          <w:lang w:eastAsia="en-AU"/>
        </w:rPr>
        <w:t>:</w:t>
      </w:r>
    </w:p>
    <w:p w14:paraId="424698E6" w14:textId="77777777" w:rsidR="0062271C" w:rsidRPr="004F6008" w:rsidRDefault="0062271C" w:rsidP="00645F9D">
      <w:pPr>
        <w:ind w:left="567" w:right="522"/>
        <w:rPr>
          <w:rFonts w:eastAsia="Times New Roman" w:cs="Arial"/>
          <w:color w:val="000000"/>
          <w:szCs w:val="20"/>
          <w:lang w:eastAsia="en-AU"/>
        </w:rPr>
      </w:pPr>
      <w:r>
        <w:rPr>
          <w:rFonts w:eastAsia="Times New Roman" w:cs="Arial"/>
          <w:i/>
          <w:iCs/>
          <w:color w:val="000000"/>
          <w:szCs w:val="20"/>
          <w:lang w:eastAsia="en-AU"/>
        </w:rPr>
        <w:t xml:space="preserve">“… </w:t>
      </w:r>
      <w:r w:rsidRPr="004F6008">
        <w:rPr>
          <w:rFonts w:eastAsia="Times New Roman" w:cs="Arial"/>
          <w:i/>
          <w:iCs/>
          <w:color w:val="000000"/>
          <w:szCs w:val="20"/>
          <w:lang w:eastAsia="en-AU"/>
        </w:rPr>
        <w:t>once we saw how busy and time-consuming that was, we sort of found out we needed to add you know the pharmacist to kind of allow for me to be off the floor for that time..”</w:t>
      </w:r>
      <w:r w:rsidRPr="004F6008">
        <w:rPr>
          <w:rFonts w:eastAsia="Times New Roman" w:cs="Arial"/>
          <w:color w:val="000000"/>
          <w:szCs w:val="20"/>
          <w:lang w:eastAsia="en-AU"/>
        </w:rPr>
        <w:t xml:space="preserve"> [CP, R4, Pharmacy 02]</w:t>
      </w:r>
    </w:p>
    <w:p w14:paraId="29648473" w14:textId="77777777" w:rsidR="0062271C" w:rsidRPr="004F6008" w:rsidRDefault="0062271C" w:rsidP="00645F9D">
      <w:pPr>
        <w:ind w:left="567" w:right="522"/>
        <w:rPr>
          <w:rFonts w:eastAsia="Times New Roman"/>
          <w:szCs w:val="20"/>
          <w:lang w:eastAsia="en-AU"/>
        </w:rPr>
      </w:pPr>
      <w:r w:rsidRPr="004F6008">
        <w:rPr>
          <w:rFonts w:eastAsia="Times New Roman" w:cs="Arial"/>
          <w:i/>
          <w:iCs/>
          <w:color w:val="000000"/>
          <w:szCs w:val="20"/>
          <w:lang w:eastAsia="en-AU"/>
        </w:rPr>
        <w:t>“I was fortunate I had an intern, and</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so, we normally employ two pharmacists during the week</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we just had to ensure that we were able to have</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 xml:space="preserve">So, we’ve got a couple of consult rooms, and that allow [us] the time to spend with that patient </w:t>
      </w:r>
      <w:r>
        <w:rPr>
          <w:rFonts w:eastAsia="Times New Roman" w:cs="Arial"/>
          <w:i/>
          <w:iCs/>
          <w:color w:val="000000"/>
          <w:szCs w:val="20"/>
          <w:lang w:eastAsia="en-AU"/>
        </w:rPr>
        <w:t>one-on-one</w:t>
      </w:r>
      <w:r w:rsidRPr="004F6008">
        <w:rPr>
          <w:rFonts w:eastAsia="Times New Roman" w:cs="Arial"/>
          <w:i/>
          <w:iCs/>
          <w:color w:val="000000"/>
          <w:szCs w:val="20"/>
          <w:lang w:eastAsia="en-AU"/>
        </w:rPr>
        <w:t>. And that wasn’t difficult because our practice has enough pharmacists to do that.”</w:t>
      </w:r>
      <w:r w:rsidRPr="004F6008">
        <w:rPr>
          <w:rFonts w:eastAsia="Times New Roman" w:cs="Arial"/>
          <w:color w:val="000000"/>
          <w:szCs w:val="20"/>
          <w:lang w:eastAsia="en-AU"/>
        </w:rPr>
        <w:t xml:space="preserve"> [CP, R4, Pharmacy 09]</w:t>
      </w:r>
    </w:p>
    <w:p w14:paraId="103A01E7" w14:textId="77777777" w:rsidR="0062271C" w:rsidRPr="004F6008" w:rsidRDefault="0062271C" w:rsidP="00645F9D">
      <w:pPr>
        <w:ind w:left="567" w:right="522"/>
        <w:rPr>
          <w:rFonts w:eastAsia="Times New Roman"/>
          <w:szCs w:val="20"/>
          <w:lang w:eastAsia="en-AU"/>
        </w:rPr>
      </w:pPr>
      <w:r>
        <w:rPr>
          <w:rFonts w:eastAsia="Times New Roman" w:cs="Arial"/>
          <w:i/>
          <w:iCs/>
          <w:color w:val="000000"/>
          <w:szCs w:val="20"/>
          <w:lang w:eastAsia="en-AU"/>
        </w:rPr>
        <w:t xml:space="preserve">“… </w:t>
      </w:r>
      <w:r w:rsidRPr="004F6008">
        <w:rPr>
          <w:rFonts w:eastAsia="Times New Roman" w:cs="Arial"/>
          <w:i/>
          <w:iCs/>
          <w:color w:val="000000"/>
          <w:szCs w:val="20"/>
          <w:lang w:eastAsia="en-AU"/>
        </w:rPr>
        <w:t>we’ve got our regular pharmacist working as a pharmacist in there, and we’ve got our pharmacy assistant. So, the shop was running as normal. But</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with the Health Care Homes program because obviously it’s extra activities, so I myself do the Health Care Homes because I can’t expect the pharmacist on there to be doing the everyday things as well as taking on Health Care Homes</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 xml:space="preserve">so I’m just </w:t>
      </w:r>
      <w:r w:rsidRPr="004F6008">
        <w:rPr>
          <w:rFonts w:eastAsia="Times New Roman" w:cs="Arial"/>
          <w:i/>
          <w:iCs/>
          <w:color w:val="000000"/>
          <w:szCs w:val="20"/>
          <w:lang w:eastAsia="en-AU"/>
        </w:rPr>
        <w:lastRenderedPageBreak/>
        <w:t xml:space="preserve">the additional extra pharmacist that’s there a few days a week, just to do all these extra things.” </w:t>
      </w:r>
      <w:r w:rsidRPr="004F6008">
        <w:rPr>
          <w:rFonts w:eastAsia="Times New Roman" w:cs="Arial"/>
          <w:color w:val="000000"/>
          <w:szCs w:val="20"/>
          <w:lang w:eastAsia="en-AU"/>
        </w:rPr>
        <w:t>[CP, R4, Pharmacy 07]</w:t>
      </w:r>
    </w:p>
    <w:p w14:paraId="1C67B165" w14:textId="77777777" w:rsidR="0062271C" w:rsidRPr="004F6008" w:rsidRDefault="0062271C" w:rsidP="00645F9D">
      <w:pPr>
        <w:rPr>
          <w:rFonts w:eastAsia="Times New Roman"/>
          <w:szCs w:val="20"/>
          <w:lang w:eastAsia="en-AU"/>
        </w:rPr>
      </w:pPr>
      <w:r>
        <w:rPr>
          <w:rFonts w:eastAsia="Times New Roman"/>
          <w:szCs w:val="20"/>
          <w:lang w:eastAsia="en-AU"/>
        </w:rPr>
        <w:t>S</w:t>
      </w:r>
      <w:r w:rsidRPr="004F6008">
        <w:rPr>
          <w:rFonts w:eastAsia="Times New Roman"/>
          <w:szCs w:val="20"/>
          <w:lang w:eastAsia="en-AU"/>
        </w:rPr>
        <w:t>ome pharmacies had to alter their physical space or allocate a specific room for patient consultations</w:t>
      </w:r>
      <w:r>
        <w:rPr>
          <w:rFonts w:eastAsia="Times New Roman"/>
          <w:szCs w:val="20"/>
          <w:lang w:eastAsia="en-AU"/>
        </w:rPr>
        <w:t>:</w:t>
      </w:r>
    </w:p>
    <w:p w14:paraId="510D2531" w14:textId="77777777" w:rsidR="0062271C" w:rsidRPr="004F6008" w:rsidRDefault="0062271C" w:rsidP="00645F9D">
      <w:pPr>
        <w:ind w:left="567" w:right="521"/>
        <w:rPr>
          <w:rFonts w:eastAsia="Times New Roman"/>
          <w:szCs w:val="20"/>
          <w:lang w:eastAsia="en-AU"/>
        </w:rPr>
      </w:pPr>
      <w:r w:rsidRPr="004F6008">
        <w:rPr>
          <w:rFonts w:eastAsia="Times New Roman" w:cs="Arial"/>
          <w:i/>
          <w:iCs/>
          <w:color w:val="000000"/>
          <w:szCs w:val="20"/>
          <w:lang w:eastAsia="en-AU"/>
        </w:rPr>
        <w:t>“Our pharmacy doesn’t have a treatment room or anything like that, so we’ve used the room at the back so that there was privacy. We could shut the door and staff members weren’t walking in and out. So, it was good enough.”</w:t>
      </w:r>
      <w:r w:rsidRPr="004F6008">
        <w:rPr>
          <w:rFonts w:eastAsia="Times New Roman" w:cs="Arial"/>
          <w:color w:val="000000"/>
          <w:szCs w:val="20"/>
          <w:lang w:eastAsia="en-AU"/>
        </w:rPr>
        <w:t xml:space="preserve"> [CP, R4, Pharmacy 06]</w:t>
      </w:r>
    </w:p>
    <w:p w14:paraId="005896CE" w14:textId="4B28EA35" w:rsidR="0062271C" w:rsidRPr="004F6008" w:rsidRDefault="0062271C" w:rsidP="00645F9D">
      <w:pPr>
        <w:rPr>
          <w:rFonts w:eastAsia="Times New Roman"/>
          <w:szCs w:val="20"/>
          <w:lang w:eastAsia="en-AU"/>
        </w:rPr>
      </w:pPr>
      <w:r w:rsidRPr="004F6008">
        <w:rPr>
          <w:rFonts w:eastAsia="Times New Roman"/>
          <w:szCs w:val="20"/>
          <w:lang w:eastAsia="en-AU"/>
        </w:rPr>
        <w:t>Other pharmacies did not have to make any changes as they already had the space and staff members required to handle HCH patient referrals. In addition, some pharmacies were already providing services that aligned with HCH</w:t>
      </w:r>
      <w:r>
        <w:rPr>
          <w:rFonts w:eastAsia="Times New Roman"/>
          <w:szCs w:val="20"/>
          <w:lang w:eastAsia="en-AU"/>
        </w:rPr>
        <w:t>,</w:t>
      </w:r>
      <w:r w:rsidRPr="004F6008">
        <w:rPr>
          <w:rFonts w:eastAsia="Times New Roman"/>
          <w:szCs w:val="20"/>
          <w:lang w:eastAsia="en-AU"/>
        </w:rPr>
        <w:t xml:space="preserve"> which made preparation and implementation easier</w:t>
      </w:r>
      <w:r>
        <w:rPr>
          <w:rFonts w:eastAsia="Times New Roman"/>
          <w:szCs w:val="20"/>
          <w:lang w:eastAsia="en-AU"/>
        </w:rPr>
        <w:t>:</w:t>
      </w:r>
    </w:p>
    <w:p w14:paraId="619E13AF" w14:textId="77777777" w:rsidR="0062271C" w:rsidRPr="004F6008" w:rsidRDefault="0062271C" w:rsidP="00645F9D">
      <w:pPr>
        <w:ind w:left="567" w:right="521"/>
        <w:rPr>
          <w:rFonts w:eastAsia="Times New Roman" w:cs="Arial"/>
          <w:i/>
          <w:iCs/>
          <w:color w:val="000000"/>
          <w:szCs w:val="20"/>
          <w:lang w:eastAsia="en-AU"/>
        </w:rPr>
      </w:pPr>
      <w:r>
        <w:rPr>
          <w:rFonts w:eastAsia="Times New Roman" w:cs="Arial"/>
          <w:i/>
          <w:iCs/>
          <w:color w:val="000000"/>
          <w:szCs w:val="20"/>
          <w:lang w:eastAsia="en-AU"/>
        </w:rPr>
        <w:t xml:space="preserve">“… </w:t>
      </w:r>
      <w:r w:rsidRPr="004F6008">
        <w:rPr>
          <w:rFonts w:eastAsia="Times New Roman" w:cs="Arial"/>
          <w:i/>
          <w:iCs/>
          <w:color w:val="000000"/>
          <w:szCs w:val="20"/>
          <w:lang w:eastAsia="en-AU"/>
        </w:rPr>
        <w:t>I was running with a pharmacy that had consultation rooms and had a dosage administration service and a delivery service and those sorts of things before, so it hasn’t really changed those aspects.”</w:t>
      </w:r>
      <w:r w:rsidRPr="004F6008">
        <w:rPr>
          <w:rFonts w:eastAsia="Times New Roman" w:cs="Arial"/>
          <w:color w:val="000000"/>
          <w:szCs w:val="20"/>
          <w:lang w:eastAsia="en-AU"/>
        </w:rPr>
        <w:t xml:space="preserve"> [CP, R4, Pharmacy 04]</w:t>
      </w:r>
    </w:p>
    <w:p w14:paraId="0865F8EB" w14:textId="77777777" w:rsidR="0062271C" w:rsidRPr="004F6008" w:rsidRDefault="0062271C" w:rsidP="00645F9D">
      <w:pPr>
        <w:ind w:left="567" w:right="521"/>
        <w:rPr>
          <w:rFonts w:eastAsia="Times New Roman"/>
          <w:szCs w:val="20"/>
          <w:lang w:eastAsia="en-AU"/>
        </w:rPr>
      </w:pPr>
      <w:r w:rsidRPr="004F6008">
        <w:rPr>
          <w:rFonts w:eastAsia="Times New Roman" w:cs="Arial"/>
          <w:i/>
          <w:iCs/>
          <w:color w:val="000000"/>
          <w:szCs w:val="20"/>
          <w:lang w:eastAsia="en-AU"/>
        </w:rPr>
        <w:t>“we’ve got a couple of consult rooms, and that allow</w:t>
      </w:r>
      <w:r>
        <w:rPr>
          <w:rFonts w:eastAsia="Times New Roman" w:cs="Arial"/>
          <w:i/>
          <w:iCs/>
          <w:color w:val="000000"/>
          <w:szCs w:val="20"/>
          <w:lang w:eastAsia="en-AU"/>
        </w:rPr>
        <w:t>ed</w:t>
      </w:r>
      <w:r w:rsidRPr="004F6008">
        <w:rPr>
          <w:rFonts w:eastAsia="Times New Roman" w:cs="Arial"/>
          <w:i/>
          <w:iCs/>
          <w:color w:val="000000"/>
          <w:szCs w:val="20"/>
          <w:lang w:eastAsia="en-AU"/>
        </w:rPr>
        <w:t xml:space="preserve"> us the time to spend with that patient </w:t>
      </w:r>
      <w:r>
        <w:rPr>
          <w:rFonts w:eastAsia="Times New Roman" w:cs="Arial"/>
          <w:i/>
          <w:iCs/>
          <w:color w:val="000000"/>
          <w:szCs w:val="20"/>
          <w:lang w:eastAsia="en-AU"/>
        </w:rPr>
        <w:t>one-on-one</w:t>
      </w:r>
      <w:r w:rsidRPr="004F6008">
        <w:rPr>
          <w:rFonts w:eastAsia="Times New Roman" w:cs="Arial"/>
          <w:i/>
          <w:iCs/>
          <w:color w:val="000000"/>
          <w:szCs w:val="20"/>
          <w:lang w:eastAsia="en-AU"/>
        </w:rPr>
        <w:t>. And that wasn’t difficult because our practice has enough pharmacists to do that.”</w:t>
      </w:r>
      <w:r w:rsidRPr="004F6008">
        <w:rPr>
          <w:rFonts w:eastAsia="Times New Roman" w:cs="Arial"/>
          <w:color w:val="000000"/>
          <w:szCs w:val="20"/>
          <w:lang w:eastAsia="en-AU"/>
        </w:rPr>
        <w:t xml:space="preserve"> [CP, R4, Pharmacy 09]</w:t>
      </w:r>
    </w:p>
    <w:p w14:paraId="4B0B1727" w14:textId="77777777" w:rsidR="0062271C" w:rsidRPr="004F6008" w:rsidRDefault="0062271C" w:rsidP="0062271C">
      <w:pPr>
        <w:pStyle w:val="Heading2"/>
      </w:pPr>
      <w:bookmarkStart w:id="439" w:name="_Toc58256916"/>
      <w:bookmarkStart w:id="440" w:name="_Toc109996753"/>
      <w:r>
        <w:t>T</w:t>
      </w:r>
      <w:r w:rsidRPr="004F6008">
        <w:t>raining and support</w:t>
      </w:r>
      <w:bookmarkEnd w:id="439"/>
      <w:bookmarkEnd w:id="440"/>
    </w:p>
    <w:p w14:paraId="03840D76" w14:textId="77777777" w:rsidR="0062271C" w:rsidRPr="004F6008" w:rsidRDefault="0062271C" w:rsidP="0062271C">
      <w:pPr>
        <w:pStyle w:val="Heading3"/>
        <w:rPr>
          <w:rFonts w:eastAsia="Times New Roman"/>
        </w:rPr>
      </w:pPr>
      <w:r>
        <w:rPr>
          <w:rFonts w:eastAsia="Times New Roman"/>
        </w:rPr>
        <w:t>Online t</w:t>
      </w:r>
      <w:r w:rsidRPr="004F6008">
        <w:rPr>
          <w:rFonts w:eastAsia="Times New Roman"/>
        </w:rPr>
        <w:t>raining modules</w:t>
      </w:r>
    </w:p>
    <w:p w14:paraId="7C05169E" w14:textId="67339EBD" w:rsidR="0062271C" w:rsidRDefault="0062271C" w:rsidP="0062271C">
      <w:pPr>
        <w:rPr>
          <w:szCs w:val="20"/>
        </w:rPr>
      </w:pPr>
      <w:r>
        <w:rPr>
          <w:szCs w:val="20"/>
        </w:rPr>
        <w:t>Ten eLearning</w:t>
      </w:r>
      <w:r w:rsidRPr="004F6008">
        <w:rPr>
          <w:szCs w:val="20"/>
        </w:rPr>
        <w:t xml:space="preserve"> training modules</w:t>
      </w:r>
      <w:r>
        <w:rPr>
          <w:szCs w:val="20"/>
        </w:rPr>
        <w:t xml:space="preserve"> were </w:t>
      </w:r>
      <w:r w:rsidRPr="004F6008">
        <w:rPr>
          <w:szCs w:val="20"/>
        </w:rPr>
        <w:t xml:space="preserve">developed </w:t>
      </w:r>
      <w:r>
        <w:rPr>
          <w:szCs w:val="20"/>
        </w:rPr>
        <w:t>collaboratively by the Guild and</w:t>
      </w:r>
      <w:r w:rsidRPr="004F6008">
        <w:rPr>
          <w:szCs w:val="20"/>
        </w:rPr>
        <w:t xml:space="preserve"> the Pharmaceutical Society of Australia (PSA)</w:t>
      </w:r>
      <w:r w:rsidR="009A7649">
        <w:rPr>
          <w:szCs w:val="20"/>
        </w:rPr>
        <w:t>,</w:t>
      </w:r>
      <w:r w:rsidR="0077384F" w:rsidRPr="002E2012">
        <w:rPr>
          <w:rStyle w:val="FootnoteReference"/>
          <w:color w:val="408BCA"/>
          <w:lang w:eastAsia="en-AU"/>
        </w:rPr>
        <w:footnoteReference w:id="96"/>
      </w:r>
      <w:r w:rsidRPr="004F6008">
        <w:rPr>
          <w:szCs w:val="20"/>
        </w:rPr>
        <w:t xml:space="preserve"> </w:t>
      </w:r>
      <w:r w:rsidR="009A7649">
        <w:rPr>
          <w:lang w:eastAsia="en-AU"/>
        </w:rPr>
        <w:t xml:space="preserve">accessible on the PSA’s 6CPA Resource Hub and the Guild’s </w:t>
      </w:r>
      <w:proofErr w:type="spellStart"/>
      <w:r w:rsidR="009A7649">
        <w:rPr>
          <w:lang w:eastAsia="en-AU"/>
        </w:rPr>
        <w:t>GuildEd</w:t>
      </w:r>
      <w:proofErr w:type="spellEnd"/>
      <w:r w:rsidR="009A7649">
        <w:rPr>
          <w:lang w:eastAsia="en-AU"/>
        </w:rPr>
        <w:t xml:space="preserve"> learning platform</w:t>
      </w:r>
      <w:r w:rsidR="000842E4">
        <w:rPr>
          <w:lang w:eastAsia="en-AU"/>
        </w:rPr>
        <w:t>.</w:t>
      </w:r>
      <w:r w:rsidR="009A7649" w:rsidRPr="00585E51">
        <w:rPr>
          <w:szCs w:val="20"/>
        </w:rPr>
        <w:t xml:space="preserve"> </w:t>
      </w:r>
      <w:r w:rsidRPr="00585E51">
        <w:rPr>
          <w:szCs w:val="20"/>
        </w:rPr>
        <w:t xml:space="preserve">The modules provide information to assist pharmacies to </w:t>
      </w:r>
      <w:r>
        <w:rPr>
          <w:szCs w:val="20"/>
        </w:rPr>
        <w:t>set-up</w:t>
      </w:r>
      <w:r w:rsidRPr="00585E51">
        <w:rPr>
          <w:szCs w:val="20"/>
        </w:rPr>
        <w:t xml:space="preserve"> the </w:t>
      </w:r>
      <w:r>
        <w:rPr>
          <w:szCs w:val="20"/>
        </w:rPr>
        <w:t>trial</w:t>
      </w:r>
      <w:r w:rsidRPr="00585E51">
        <w:rPr>
          <w:szCs w:val="20"/>
        </w:rPr>
        <w:t>. For example, Module 1 recommend</w:t>
      </w:r>
      <w:r w:rsidR="00711A6D">
        <w:rPr>
          <w:szCs w:val="20"/>
        </w:rPr>
        <w:t>ed</w:t>
      </w:r>
      <w:r w:rsidRPr="00585E51">
        <w:rPr>
          <w:szCs w:val="20"/>
        </w:rPr>
        <w:t xml:space="preserve"> that participating pharmacies designate a </w:t>
      </w:r>
      <w:r w:rsidR="006E3D0D">
        <w:rPr>
          <w:szCs w:val="20"/>
        </w:rPr>
        <w:t>“</w:t>
      </w:r>
      <w:r w:rsidRPr="00585E51">
        <w:rPr>
          <w:szCs w:val="20"/>
        </w:rPr>
        <w:t>Trial Program Team Leader</w:t>
      </w:r>
      <w:r w:rsidR="006E3D0D">
        <w:rPr>
          <w:szCs w:val="20"/>
        </w:rPr>
        <w:t>”</w:t>
      </w:r>
      <w:r w:rsidRPr="00585E51">
        <w:rPr>
          <w:szCs w:val="20"/>
        </w:rPr>
        <w:t xml:space="preserve">. This person (a pharmacist) </w:t>
      </w:r>
      <w:r w:rsidR="00711A6D">
        <w:rPr>
          <w:szCs w:val="20"/>
        </w:rPr>
        <w:t>would be</w:t>
      </w:r>
      <w:r>
        <w:rPr>
          <w:szCs w:val="20"/>
        </w:rPr>
        <w:t xml:space="preserve"> responsible</w:t>
      </w:r>
      <w:r w:rsidRPr="00585E51">
        <w:rPr>
          <w:szCs w:val="20"/>
        </w:rPr>
        <w:t xml:space="preserve"> for overseeing </w:t>
      </w:r>
      <w:r>
        <w:rPr>
          <w:szCs w:val="20"/>
        </w:rPr>
        <w:t>trial activities</w:t>
      </w:r>
      <w:r w:rsidRPr="00585E51">
        <w:rPr>
          <w:szCs w:val="20"/>
        </w:rPr>
        <w:t xml:space="preserve">, communicating with other pharmacy staff and ensuring the </w:t>
      </w:r>
      <w:r>
        <w:rPr>
          <w:szCs w:val="20"/>
        </w:rPr>
        <w:t>trial is</w:t>
      </w:r>
      <w:r w:rsidRPr="00585E51">
        <w:rPr>
          <w:szCs w:val="20"/>
        </w:rPr>
        <w:t xml:space="preserve"> operat</w:t>
      </w:r>
      <w:r>
        <w:rPr>
          <w:szCs w:val="20"/>
        </w:rPr>
        <w:t>ing</w:t>
      </w:r>
      <w:r w:rsidRPr="00585E51">
        <w:rPr>
          <w:szCs w:val="20"/>
        </w:rPr>
        <w:t xml:space="preserve"> according to 6CPA rules. The other modules have a strong focus on communication and collaboration between the community pharmacy and the HCH team. The modules also include</w:t>
      </w:r>
      <w:r w:rsidR="008E5B3D">
        <w:rPr>
          <w:szCs w:val="20"/>
        </w:rPr>
        <w:t>d</w:t>
      </w:r>
      <w:r w:rsidRPr="00585E51">
        <w:rPr>
          <w:szCs w:val="20"/>
        </w:rPr>
        <w:t xml:space="preserve"> downloadable resources to help promote the pharmacy’s services to HCHs and patients.</w:t>
      </w:r>
      <w:r>
        <w:rPr>
          <w:szCs w:val="20"/>
        </w:rPr>
        <w:t xml:space="preserve"> </w:t>
      </w:r>
    </w:p>
    <w:p w14:paraId="6A41B8C9" w14:textId="77777777" w:rsidR="0062271C" w:rsidRDefault="0062271C" w:rsidP="0062271C">
      <w:pPr>
        <w:rPr>
          <w:szCs w:val="20"/>
        </w:rPr>
      </w:pPr>
      <w:r>
        <w:rPr>
          <w:szCs w:val="20"/>
        </w:rPr>
        <w:t>The modules became available in</w:t>
      </w:r>
      <w:r w:rsidRPr="00585E51">
        <w:rPr>
          <w:szCs w:val="20"/>
        </w:rPr>
        <w:t xml:space="preserve"> October 2018. The</w:t>
      </w:r>
      <w:r>
        <w:rPr>
          <w:szCs w:val="20"/>
        </w:rPr>
        <w:t xml:space="preserve">y </w:t>
      </w:r>
      <w:r w:rsidRPr="00585E51">
        <w:rPr>
          <w:szCs w:val="20"/>
        </w:rPr>
        <w:t xml:space="preserve">are hosted </w:t>
      </w:r>
      <w:r>
        <w:rPr>
          <w:szCs w:val="20"/>
        </w:rPr>
        <w:t xml:space="preserve">both </w:t>
      </w:r>
      <w:r w:rsidRPr="00585E51">
        <w:rPr>
          <w:szCs w:val="20"/>
        </w:rPr>
        <w:t xml:space="preserve">on the Guild’s </w:t>
      </w:r>
      <w:proofErr w:type="spellStart"/>
      <w:r w:rsidRPr="00585E51">
        <w:rPr>
          <w:szCs w:val="20"/>
        </w:rPr>
        <w:t>GuildEd</w:t>
      </w:r>
      <w:proofErr w:type="spellEnd"/>
      <w:r w:rsidRPr="00585E51">
        <w:rPr>
          <w:szCs w:val="20"/>
        </w:rPr>
        <w:t xml:space="preserve"> learning platform and the Pharmaceutical Society of Australia’s (PSA) 6CPA Resource Hub</w:t>
      </w:r>
      <w:r>
        <w:rPr>
          <w:szCs w:val="20"/>
        </w:rPr>
        <w:t xml:space="preserve"> and provided at no charge to pharmacies.</w:t>
      </w:r>
    </w:p>
    <w:p w14:paraId="765AEDEE" w14:textId="4D6DCE81" w:rsidR="0062271C" w:rsidRPr="00585E51" w:rsidRDefault="00C24452" w:rsidP="00960DD6">
      <w:pPr>
        <w:rPr>
          <w:szCs w:val="20"/>
        </w:rPr>
      </w:pPr>
      <w:r>
        <w:rPr>
          <w:szCs w:val="20"/>
        </w:rPr>
        <w:t>As with the broader HCH trial training, the rate of completion declined with each subsequent module, starting at 23% for module 1, to 6–7% for the last two modules</w:t>
      </w:r>
      <w:r w:rsidR="00960DD6">
        <w:rPr>
          <w:szCs w:val="20"/>
        </w:rPr>
        <w:t xml:space="preserve"> (</w:t>
      </w:r>
      <w:r w:rsidR="00960DD6" w:rsidRPr="006524FD">
        <w:rPr>
          <w:color w:val="1D2455"/>
          <w:szCs w:val="20"/>
        </w:rPr>
        <w:fldChar w:fldCharType="begin"/>
      </w:r>
      <w:r w:rsidR="00960DD6" w:rsidRPr="00034863">
        <w:rPr>
          <w:b/>
          <w:color w:val="1D2455"/>
          <w:szCs w:val="20"/>
        </w:rPr>
        <w:instrText xml:space="preserve"> REF _Ref52541923 \h  \* MERGEFORMAT </w:instrText>
      </w:r>
      <w:r w:rsidR="00960DD6" w:rsidRPr="006524FD">
        <w:rPr>
          <w:color w:val="1D2455"/>
          <w:szCs w:val="20"/>
        </w:rPr>
      </w:r>
      <w:r w:rsidR="00960DD6" w:rsidRPr="006524FD">
        <w:rPr>
          <w:color w:val="1D2455"/>
          <w:szCs w:val="20"/>
        </w:rPr>
        <w:fldChar w:fldCharType="separate"/>
      </w:r>
      <w:r w:rsidR="003C4BC2" w:rsidRPr="003C4BC2">
        <w:rPr>
          <w:color w:val="1D2455"/>
          <w:szCs w:val="20"/>
        </w:rPr>
        <w:t xml:space="preserve">Table </w:t>
      </w:r>
      <w:r w:rsidR="003C4BC2" w:rsidRPr="003C4BC2">
        <w:rPr>
          <w:noProof/>
          <w:color w:val="1D2455"/>
          <w:szCs w:val="20"/>
        </w:rPr>
        <w:t>58</w:t>
      </w:r>
      <w:r w:rsidR="00960DD6" w:rsidRPr="006524FD">
        <w:rPr>
          <w:color w:val="1D2455"/>
          <w:szCs w:val="20"/>
        </w:rPr>
        <w:fldChar w:fldCharType="end"/>
      </w:r>
      <w:r w:rsidR="00960DD6">
        <w:rPr>
          <w:szCs w:val="20"/>
        </w:rPr>
        <w:t>)</w:t>
      </w:r>
      <w:r w:rsidR="00960DD6" w:rsidRPr="00D50FC6">
        <w:rPr>
          <w:szCs w:val="20"/>
        </w:rPr>
        <w:t>.</w:t>
      </w:r>
      <w:r>
        <w:rPr>
          <w:szCs w:val="20"/>
        </w:rPr>
        <w:t xml:space="preserve"> The </w:t>
      </w:r>
      <w:r>
        <w:rPr>
          <w:szCs w:val="20"/>
        </w:rPr>
        <w:lastRenderedPageBreak/>
        <w:t>standalone module relating to pharmacy assistants was completed by 4</w:t>
      </w:r>
      <w:r w:rsidR="00960DD6">
        <w:rPr>
          <w:szCs w:val="20"/>
        </w:rPr>
        <w:t>3</w:t>
      </w:r>
      <w:r>
        <w:rPr>
          <w:szCs w:val="20"/>
        </w:rPr>
        <w:t>% of those that enrolled</w:t>
      </w:r>
      <w:r w:rsidR="00960DD6">
        <w:rPr>
          <w:szCs w:val="20"/>
        </w:rPr>
        <w:t>.</w:t>
      </w:r>
      <w:r w:rsidR="0062271C">
        <w:rPr>
          <w:szCs w:val="20"/>
        </w:rPr>
        <w:t xml:space="preserve"> </w:t>
      </w:r>
      <w:r w:rsidR="0062271C" w:rsidRPr="00D50FC6">
        <w:rPr>
          <w:szCs w:val="20"/>
        </w:rPr>
        <w:t>Th</w:t>
      </w:r>
      <w:r w:rsidR="0062271C">
        <w:rPr>
          <w:szCs w:val="20"/>
        </w:rPr>
        <w:t>ese figures</w:t>
      </w:r>
      <w:r w:rsidR="0062271C" w:rsidRPr="00D50FC6">
        <w:rPr>
          <w:szCs w:val="20"/>
        </w:rPr>
        <w:t xml:space="preserve"> do not include pharmacists completing the training through the PSA website, for which the evaluation</w:t>
      </w:r>
      <w:r w:rsidR="0062271C">
        <w:rPr>
          <w:szCs w:val="20"/>
        </w:rPr>
        <w:t xml:space="preserve"> team</w:t>
      </w:r>
      <w:r w:rsidR="0062271C" w:rsidRPr="00D50FC6">
        <w:rPr>
          <w:szCs w:val="20"/>
        </w:rPr>
        <w:t xml:space="preserve"> could not obtain numbers.</w:t>
      </w:r>
    </w:p>
    <w:p w14:paraId="1966A76B" w14:textId="692631F9" w:rsidR="0062271C" w:rsidRPr="00781A43" w:rsidRDefault="0062271C" w:rsidP="002061AC">
      <w:pPr>
        <w:pStyle w:val="TableFigureheading"/>
        <w:rPr>
          <w:lang w:val="en-US"/>
        </w:rPr>
      </w:pPr>
      <w:bookmarkStart w:id="441" w:name="_Ref52541923"/>
      <w:bookmarkStart w:id="442" w:name="_Ref57212155"/>
      <w:r w:rsidRPr="00781A43">
        <w:t xml:space="preserve">Table </w:t>
      </w:r>
      <w:r w:rsidR="00A61B29">
        <w:fldChar w:fldCharType="begin"/>
      </w:r>
      <w:r w:rsidR="00A61B29">
        <w:instrText xml:space="preserve"> SEQ Table \* ARABIC </w:instrText>
      </w:r>
      <w:r w:rsidR="00A61B29">
        <w:fldChar w:fldCharType="separate"/>
      </w:r>
      <w:r w:rsidR="003C4BC2">
        <w:rPr>
          <w:noProof/>
        </w:rPr>
        <w:t>58</w:t>
      </w:r>
      <w:r w:rsidR="00A61B29">
        <w:rPr>
          <w:noProof/>
        </w:rPr>
        <w:fldChar w:fldCharType="end"/>
      </w:r>
      <w:bookmarkEnd w:id="441"/>
      <w:r w:rsidR="002061AC">
        <w:t>:</w:t>
      </w:r>
      <w:r>
        <w:rPr>
          <w:lang w:val="en-US"/>
        </w:rPr>
        <w:t xml:space="preserve"> </w:t>
      </w:r>
      <w:r w:rsidRPr="00C42AA0">
        <w:rPr>
          <w:lang w:val="en-US"/>
        </w:rPr>
        <w:t xml:space="preserve">Community </w:t>
      </w:r>
      <w:r>
        <w:rPr>
          <w:lang w:val="en-US"/>
        </w:rPr>
        <w:t>p</w:t>
      </w:r>
      <w:r w:rsidRPr="00C42AA0">
        <w:rPr>
          <w:lang w:val="en-US"/>
        </w:rPr>
        <w:t xml:space="preserve">harmacy </w:t>
      </w:r>
      <w:r>
        <w:rPr>
          <w:lang w:val="en-US"/>
        </w:rPr>
        <w:t>t</w:t>
      </w:r>
      <w:r w:rsidRPr="00C42AA0">
        <w:rPr>
          <w:lang w:val="en-US"/>
        </w:rPr>
        <w:t>rial training module</w:t>
      </w:r>
      <w:r w:rsidR="008061E8">
        <w:rPr>
          <w:lang w:val="en-US"/>
        </w:rPr>
        <w:t xml:space="preserve"> enrolments</w:t>
      </w:r>
      <w:r>
        <w:rPr>
          <w:lang w:val="en-US"/>
        </w:rPr>
        <w:t xml:space="preserve"> and completion</w:t>
      </w:r>
      <w:bookmarkEnd w:id="442"/>
      <w:r w:rsidR="000134C2">
        <w:rPr>
          <w:lang w:val="en-US"/>
        </w:rPr>
        <w:t> </w:t>
      </w:r>
      <w:r w:rsidR="002320AC">
        <w:rPr>
          <w:lang w:val="en-US"/>
        </w:rPr>
        <w:t>(</w:t>
      </w:r>
      <w:r w:rsidR="007D67A8">
        <w:rPr>
          <w:lang w:val="en-US"/>
        </w:rPr>
        <w:t>on</w:t>
      </w:r>
      <w:r w:rsidR="000134C2">
        <w:rPr>
          <w:lang w:val="en-US"/>
        </w:rPr>
        <w:t> </w:t>
      </w:r>
      <w:r w:rsidR="002320AC">
        <w:rPr>
          <w:lang w:val="en-US"/>
        </w:rPr>
        <w:t>1</w:t>
      </w:r>
      <w:r w:rsidR="000134C2">
        <w:rPr>
          <w:lang w:val="en-US"/>
        </w:rPr>
        <w:t> </w:t>
      </w:r>
      <w:r w:rsidR="002320AC">
        <w:rPr>
          <w:lang w:val="en-US"/>
        </w:rPr>
        <w:t>July</w:t>
      </w:r>
      <w:r w:rsidR="000134C2">
        <w:rPr>
          <w:lang w:val="en-US"/>
        </w:rPr>
        <w:t> </w:t>
      </w:r>
      <w:r w:rsidR="002320AC">
        <w:rPr>
          <w:lang w:val="en-US"/>
        </w:rPr>
        <w:t>2021)</w:t>
      </w:r>
    </w:p>
    <w:tbl>
      <w:tblPr>
        <w:tblW w:w="0" w:type="auto"/>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5098"/>
        <w:gridCol w:w="1183"/>
        <w:gridCol w:w="1516"/>
        <w:gridCol w:w="1219"/>
      </w:tblGrid>
      <w:tr w:rsidR="00220E59" w:rsidRPr="00220E59" w14:paraId="6F651865" w14:textId="77777777" w:rsidTr="00220E59">
        <w:trPr>
          <w:trHeight w:val="315"/>
        </w:trPr>
        <w:tc>
          <w:tcPr>
            <w:tcW w:w="5098" w:type="dxa"/>
            <w:shd w:val="clear" w:color="auto" w:fill="408BCA"/>
            <w:noWrap/>
            <w:vAlign w:val="center"/>
            <w:hideMark/>
          </w:tcPr>
          <w:p w14:paraId="12317357" w14:textId="77777777" w:rsidR="0062271C" w:rsidRPr="00220E59" w:rsidRDefault="0062271C" w:rsidP="00220E59">
            <w:pPr>
              <w:spacing w:after="0"/>
              <w:jc w:val="center"/>
              <w:rPr>
                <w:b/>
                <w:color w:val="FFFFFF" w:themeColor="background1"/>
                <w:sz w:val="18"/>
                <w:szCs w:val="18"/>
              </w:rPr>
            </w:pPr>
            <w:r w:rsidRPr="00220E59">
              <w:rPr>
                <w:b/>
                <w:color w:val="FFFFFF" w:themeColor="background1"/>
                <w:sz w:val="18"/>
                <w:szCs w:val="18"/>
              </w:rPr>
              <w:t>Module</w:t>
            </w:r>
          </w:p>
        </w:tc>
        <w:tc>
          <w:tcPr>
            <w:tcW w:w="1183" w:type="dxa"/>
            <w:shd w:val="clear" w:color="auto" w:fill="408BCA"/>
            <w:noWrap/>
            <w:vAlign w:val="center"/>
            <w:hideMark/>
          </w:tcPr>
          <w:p w14:paraId="0E227E51" w14:textId="12EE1BAE" w:rsidR="0062271C" w:rsidRPr="00220E59" w:rsidRDefault="0062271C" w:rsidP="00220E59">
            <w:pPr>
              <w:spacing w:after="0"/>
              <w:jc w:val="center"/>
              <w:rPr>
                <w:b/>
                <w:color w:val="FFFFFF" w:themeColor="background1"/>
                <w:sz w:val="18"/>
                <w:szCs w:val="18"/>
              </w:rPr>
            </w:pPr>
            <w:r w:rsidRPr="00220E59">
              <w:rPr>
                <w:b/>
                <w:color w:val="FFFFFF" w:themeColor="background1"/>
                <w:sz w:val="18"/>
                <w:szCs w:val="18"/>
              </w:rPr>
              <w:t>Enrolment number</w:t>
            </w:r>
          </w:p>
        </w:tc>
        <w:tc>
          <w:tcPr>
            <w:tcW w:w="1516" w:type="dxa"/>
            <w:shd w:val="clear" w:color="auto" w:fill="408BCA"/>
            <w:noWrap/>
            <w:vAlign w:val="center"/>
            <w:hideMark/>
          </w:tcPr>
          <w:p w14:paraId="5C549542" w14:textId="77777777" w:rsidR="0062271C" w:rsidRPr="00220E59" w:rsidRDefault="0062271C" w:rsidP="00220E59">
            <w:pPr>
              <w:spacing w:after="0"/>
              <w:jc w:val="center"/>
              <w:rPr>
                <w:b/>
                <w:color w:val="FFFFFF" w:themeColor="background1"/>
                <w:sz w:val="18"/>
                <w:szCs w:val="18"/>
              </w:rPr>
            </w:pPr>
            <w:r w:rsidRPr="00220E59">
              <w:rPr>
                <w:b/>
                <w:color w:val="FFFFFF" w:themeColor="background1"/>
                <w:sz w:val="18"/>
                <w:szCs w:val="18"/>
              </w:rPr>
              <w:t>Completion number</w:t>
            </w:r>
          </w:p>
        </w:tc>
        <w:tc>
          <w:tcPr>
            <w:tcW w:w="1219" w:type="dxa"/>
            <w:shd w:val="clear" w:color="auto" w:fill="408BCA"/>
            <w:noWrap/>
            <w:vAlign w:val="center"/>
            <w:hideMark/>
          </w:tcPr>
          <w:p w14:paraId="33EEE8C8" w14:textId="77777777" w:rsidR="0062271C" w:rsidRPr="00220E59" w:rsidRDefault="0062271C" w:rsidP="00220E59">
            <w:pPr>
              <w:spacing w:after="0"/>
              <w:jc w:val="center"/>
              <w:rPr>
                <w:b/>
                <w:color w:val="FFFFFF" w:themeColor="background1"/>
                <w:sz w:val="18"/>
                <w:szCs w:val="18"/>
              </w:rPr>
            </w:pPr>
            <w:r w:rsidRPr="00220E59">
              <w:rPr>
                <w:b/>
                <w:color w:val="FFFFFF" w:themeColor="background1"/>
                <w:sz w:val="18"/>
                <w:szCs w:val="18"/>
              </w:rPr>
              <w:t>% Completed</w:t>
            </w:r>
          </w:p>
        </w:tc>
      </w:tr>
      <w:tr w:rsidR="00BB420C" w:rsidRPr="004D52E4" w14:paraId="1A260FAE" w14:textId="77777777" w:rsidTr="00220E59">
        <w:trPr>
          <w:trHeight w:val="315"/>
        </w:trPr>
        <w:tc>
          <w:tcPr>
            <w:tcW w:w="5098" w:type="dxa"/>
            <w:noWrap/>
            <w:hideMark/>
          </w:tcPr>
          <w:p w14:paraId="1465CF6F" w14:textId="77777777" w:rsidR="00BB420C" w:rsidRPr="004D52E4" w:rsidRDefault="00BB420C" w:rsidP="00BB420C">
            <w:pPr>
              <w:spacing w:after="0"/>
              <w:rPr>
                <w:sz w:val="18"/>
                <w:szCs w:val="18"/>
              </w:rPr>
            </w:pPr>
            <w:r w:rsidRPr="004D52E4">
              <w:rPr>
                <w:sz w:val="18"/>
                <w:szCs w:val="18"/>
              </w:rPr>
              <w:t>Module 1: Preparing your pharmacy for the Health Care Homes Trial Program</w:t>
            </w:r>
          </w:p>
        </w:tc>
        <w:tc>
          <w:tcPr>
            <w:tcW w:w="1183" w:type="dxa"/>
            <w:noWrap/>
            <w:hideMark/>
          </w:tcPr>
          <w:p w14:paraId="20D388CD" w14:textId="1A2FBB40" w:rsidR="00BB420C" w:rsidRPr="00BB420C" w:rsidRDefault="00BB420C" w:rsidP="00BB420C">
            <w:pPr>
              <w:spacing w:after="0"/>
              <w:jc w:val="right"/>
              <w:rPr>
                <w:sz w:val="18"/>
                <w:szCs w:val="18"/>
              </w:rPr>
            </w:pPr>
            <w:r w:rsidRPr="00BB420C">
              <w:rPr>
                <w:sz w:val="18"/>
                <w:szCs w:val="18"/>
              </w:rPr>
              <w:t>899</w:t>
            </w:r>
          </w:p>
        </w:tc>
        <w:tc>
          <w:tcPr>
            <w:tcW w:w="1516" w:type="dxa"/>
            <w:noWrap/>
            <w:hideMark/>
          </w:tcPr>
          <w:p w14:paraId="6E33F224" w14:textId="16726775" w:rsidR="00BB420C" w:rsidRPr="00BB420C" w:rsidRDefault="00BB420C" w:rsidP="00BB420C">
            <w:pPr>
              <w:spacing w:after="0"/>
              <w:jc w:val="right"/>
              <w:rPr>
                <w:sz w:val="18"/>
                <w:szCs w:val="18"/>
              </w:rPr>
            </w:pPr>
            <w:r w:rsidRPr="00BB420C">
              <w:rPr>
                <w:sz w:val="18"/>
                <w:szCs w:val="18"/>
              </w:rPr>
              <w:t>205</w:t>
            </w:r>
          </w:p>
        </w:tc>
        <w:tc>
          <w:tcPr>
            <w:tcW w:w="1219" w:type="dxa"/>
            <w:noWrap/>
            <w:hideMark/>
          </w:tcPr>
          <w:p w14:paraId="59DD4ED4" w14:textId="62339CC1" w:rsidR="00BB420C" w:rsidRPr="00BB420C" w:rsidRDefault="00BB420C" w:rsidP="00BB420C">
            <w:pPr>
              <w:spacing w:after="0"/>
              <w:jc w:val="right"/>
              <w:rPr>
                <w:sz w:val="18"/>
                <w:szCs w:val="18"/>
              </w:rPr>
            </w:pPr>
            <w:r w:rsidRPr="00BB420C">
              <w:rPr>
                <w:sz w:val="18"/>
                <w:szCs w:val="18"/>
              </w:rPr>
              <w:t>23%</w:t>
            </w:r>
          </w:p>
        </w:tc>
      </w:tr>
      <w:tr w:rsidR="00BB420C" w:rsidRPr="004D52E4" w14:paraId="392C0842" w14:textId="77777777" w:rsidTr="00220E59">
        <w:trPr>
          <w:trHeight w:val="315"/>
        </w:trPr>
        <w:tc>
          <w:tcPr>
            <w:tcW w:w="5098" w:type="dxa"/>
            <w:noWrap/>
            <w:hideMark/>
          </w:tcPr>
          <w:p w14:paraId="413458EF" w14:textId="77777777" w:rsidR="00BB420C" w:rsidRPr="004D52E4" w:rsidRDefault="00BB420C" w:rsidP="00BB420C">
            <w:pPr>
              <w:spacing w:after="0"/>
              <w:rPr>
                <w:sz w:val="18"/>
                <w:szCs w:val="18"/>
              </w:rPr>
            </w:pPr>
            <w:r w:rsidRPr="004D52E4">
              <w:rPr>
                <w:sz w:val="18"/>
                <w:szCs w:val="18"/>
              </w:rPr>
              <w:t>Module 2: Delivering the community pharmacy in Health Care Homes Trial Program</w:t>
            </w:r>
          </w:p>
        </w:tc>
        <w:tc>
          <w:tcPr>
            <w:tcW w:w="1183" w:type="dxa"/>
            <w:noWrap/>
            <w:hideMark/>
          </w:tcPr>
          <w:p w14:paraId="104490AF" w14:textId="45F707AF" w:rsidR="00BB420C" w:rsidRPr="00BB420C" w:rsidRDefault="00BB420C" w:rsidP="00BB420C">
            <w:pPr>
              <w:spacing w:after="0"/>
              <w:jc w:val="right"/>
              <w:rPr>
                <w:sz w:val="18"/>
                <w:szCs w:val="18"/>
              </w:rPr>
            </w:pPr>
            <w:r w:rsidRPr="00BB420C">
              <w:rPr>
                <w:sz w:val="18"/>
                <w:szCs w:val="18"/>
              </w:rPr>
              <w:t>710</w:t>
            </w:r>
          </w:p>
        </w:tc>
        <w:tc>
          <w:tcPr>
            <w:tcW w:w="1516" w:type="dxa"/>
            <w:noWrap/>
            <w:hideMark/>
          </w:tcPr>
          <w:p w14:paraId="316F4478" w14:textId="4B407133" w:rsidR="00BB420C" w:rsidRPr="00BB420C" w:rsidRDefault="00BB420C" w:rsidP="00BB420C">
            <w:pPr>
              <w:spacing w:after="0"/>
              <w:jc w:val="right"/>
              <w:rPr>
                <w:sz w:val="18"/>
                <w:szCs w:val="18"/>
              </w:rPr>
            </w:pPr>
            <w:r w:rsidRPr="00BB420C">
              <w:rPr>
                <w:sz w:val="18"/>
                <w:szCs w:val="18"/>
              </w:rPr>
              <w:t>123</w:t>
            </w:r>
          </w:p>
        </w:tc>
        <w:tc>
          <w:tcPr>
            <w:tcW w:w="1219" w:type="dxa"/>
            <w:noWrap/>
            <w:hideMark/>
          </w:tcPr>
          <w:p w14:paraId="14A28098" w14:textId="74E75F93" w:rsidR="00BB420C" w:rsidRPr="00BB420C" w:rsidRDefault="00BB420C" w:rsidP="00BB420C">
            <w:pPr>
              <w:spacing w:after="0"/>
              <w:jc w:val="right"/>
              <w:rPr>
                <w:sz w:val="18"/>
                <w:szCs w:val="18"/>
              </w:rPr>
            </w:pPr>
            <w:r w:rsidRPr="00BB420C">
              <w:rPr>
                <w:sz w:val="18"/>
                <w:szCs w:val="18"/>
              </w:rPr>
              <w:t>17%</w:t>
            </w:r>
          </w:p>
        </w:tc>
      </w:tr>
      <w:tr w:rsidR="00BB420C" w:rsidRPr="004D52E4" w14:paraId="5E7711DC" w14:textId="77777777" w:rsidTr="00220E59">
        <w:trPr>
          <w:trHeight w:val="315"/>
        </w:trPr>
        <w:tc>
          <w:tcPr>
            <w:tcW w:w="5098" w:type="dxa"/>
            <w:noWrap/>
            <w:hideMark/>
          </w:tcPr>
          <w:p w14:paraId="694598ED" w14:textId="77777777" w:rsidR="00BB420C" w:rsidRPr="004D52E4" w:rsidRDefault="00BB420C" w:rsidP="00BB420C">
            <w:pPr>
              <w:spacing w:after="0"/>
              <w:rPr>
                <w:sz w:val="18"/>
                <w:szCs w:val="18"/>
              </w:rPr>
            </w:pPr>
            <w:r w:rsidRPr="004D52E4">
              <w:rPr>
                <w:sz w:val="18"/>
                <w:szCs w:val="18"/>
              </w:rPr>
              <w:t>Module 3: Health Care Homes in practice</w:t>
            </w:r>
          </w:p>
        </w:tc>
        <w:tc>
          <w:tcPr>
            <w:tcW w:w="1183" w:type="dxa"/>
            <w:noWrap/>
            <w:hideMark/>
          </w:tcPr>
          <w:p w14:paraId="2E08AAD8" w14:textId="258C06CC" w:rsidR="00BB420C" w:rsidRPr="00BB420C" w:rsidRDefault="00BB420C" w:rsidP="00BB420C">
            <w:pPr>
              <w:spacing w:after="0"/>
              <w:jc w:val="right"/>
              <w:rPr>
                <w:sz w:val="18"/>
                <w:szCs w:val="18"/>
              </w:rPr>
            </w:pPr>
            <w:r w:rsidRPr="00BB420C">
              <w:rPr>
                <w:sz w:val="18"/>
                <w:szCs w:val="18"/>
              </w:rPr>
              <w:t>710</w:t>
            </w:r>
          </w:p>
        </w:tc>
        <w:tc>
          <w:tcPr>
            <w:tcW w:w="1516" w:type="dxa"/>
            <w:noWrap/>
            <w:hideMark/>
          </w:tcPr>
          <w:p w14:paraId="1D8EE5C8" w14:textId="3CF38218" w:rsidR="00BB420C" w:rsidRPr="00BB420C" w:rsidRDefault="00BB420C" w:rsidP="00BB420C">
            <w:pPr>
              <w:spacing w:after="0"/>
              <w:jc w:val="right"/>
              <w:rPr>
                <w:sz w:val="18"/>
                <w:szCs w:val="18"/>
              </w:rPr>
            </w:pPr>
            <w:r w:rsidRPr="00BB420C">
              <w:rPr>
                <w:sz w:val="18"/>
                <w:szCs w:val="18"/>
              </w:rPr>
              <w:t>107</w:t>
            </w:r>
          </w:p>
        </w:tc>
        <w:tc>
          <w:tcPr>
            <w:tcW w:w="1219" w:type="dxa"/>
            <w:noWrap/>
            <w:hideMark/>
          </w:tcPr>
          <w:p w14:paraId="0E11DDCF" w14:textId="0019084D" w:rsidR="00BB420C" w:rsidRPr="00BB420C" w:rsidRDefault="00BB420C" w:rsidP="00BB420C">
            <w:pPr>
              <w:spacing w:after="0"/>
              <w:jc w:val="right"/>
              <w:rPr>
                <w:sz w:val="18"/>
                <w:szCs w:val="18"/>
              </w:rPr>
            </w:pPr>
            <w:r w:rsidRPr="00BB420C">
              <w:rPr>
                <w:sz w:val="18"/>
                <w:szCs w:val="18"/>
              </w:rPr>
              <w:t>15%</w:t>
            </w:r>
          </w:p>
        </w:tc>
      </w:tr>
      <w:tr w:rsidR="00BB420C" w:rsidRPr="004D52E4" w14:paraId="5DA20208" w14:textId="77777777" w:rsidTr="00220E59">
        <w:trPr>
          <w:trHeight w:val="315"/>
        </w:trPr>
        <w:tc>
          <w:tcPr>
            <w:tcW w:w="5098" w:type="dxa"/>
            <w:noWrap/>
            <w:hideMark/>
          </w:tcPr>
          <w:p w14:paraId="18F4FF96" w14:textId="77777777" w:rsidR="00BB420C" w:rsidRPr="004D52E4" w:rsidRDefault="00BB420C" w:rsidP="00BB420C">
            <w:pPr>
              <w:spacing w:after="0"/>
              <w:rPr>
                <w:sz w:val="18"/>
                <w:szCs w:val="18"/>
              </w:rPr>
            </w:pPr>
            <w:r w:rsidRPr="004D52E4">
              <w:rPr>
                <w:sz w:val="18"/>
                <w:szCs w:val="18"/>
              </w:rPr>
              <w:t>Module 4: Developing a Medication Management Plan</w:t>
            </w:r>
          </w:p>
        </w:tc>
        <w:tc>
          <w:tcPr>
            <w:tcW w:w="1183" w:type="dxa"/>
            <w:noWrap/>
            <w:hideMark/>
          </w:tcPr>
          <w:p w14:paraId="09FDEF18" w14:textId="0FC09E87" w:rsidR="00BB420C" w:rsidRPr="00BB420C" w:rsidRDefault="00BB420C" w:rsidP="00BB420C">
            <w:pPr>
              <w:spacing w:after="0"/>
              <w:jc w:val="right"/>
              <w:rPr>
                <w:sz w:val="18"/>
                <w:szCs w:val="18"/>
              </w:rPr>
            </w:pPr>
            <w:r w:rsidRPr="00BB420C">
              <w:rPr>
                <w:sz w:val="18"/>
                <w:szCs w:val="18"/>
              </w:rPr>
              <w:t>1039</w:t>
            </w:r>
          </w:p>
        </w:tc>
        <w:tc>
          <w:tcPr>
            <w:tcW w:w="1516" w:type="dxa"/>
            <w:noWrap/>
            <w:hideMark/>
          </w:tcPr>
          <w:p w14:paraId="6DCA17C6" w14:textId="4E364506" w:rsidR="00BB420C" w:rsidRPr="00BB420C" w:rsidRDefault="00BB420C" w:rsidP="00BB420C">
            <w:pPr>
              <w:spacing w:after="0"/>
              <w:jc w:val="right"/>
              <w:rPr>
                <w:sz w:val="18"/>
                <w:szCs w:val="18"/>
              </w:rPr>
            </w:pPr>
            <w:r w:rsidRPr="00BB420C">
              <w:rPr>
                <w:sz w:val="18"/>
                <w:szCs w:val="18"/>
              </w:rPr>
              <w:t>134</w:t>
            </w:r>
          </w:p>
        </w:tc>
        <w:tc>
          <w:tcPr>
            <w:tcW w:w="1219" w:type="dxa"/>
            <w:noWrap/>
            <w:hideMark/>
          </w:tcPr>
          <w:p w14:paraId="7CFEFFA3" w14:textId="6D3F0851" w:rsidR="00BB420C" w:rsidRPr="00BB420C" w:rsidRDefault="00BB420C" w:rsidP="00BB420C">
            <w:pPr>
              <w:spacing w:after="0"/>
              <w:jc w:val="right"/>
              <w:rPr>
                <w:sz w:val="18"/>
                <w:szCs w:val="18"/>
              </w:rPr>
            </w:pPr>
            <w:r w:rsidRPr="00BB420C">
              <w:rPr>
                <w:sz w:val="18"/>
                <w:szCs w:val="18"/>
              </w:rPr>
              <w:t>13%</w:t>
            </w:r>
          </w:p>
        </w:tc>
      </w:tr>
      <w:tr w:rsidR="00BB420C" w:rsidRPr="004D52E4" w14:paraId="1E1C6566" w14:textId="77777777" w:rsidTr="00220E59">
        <w:trPr>
          <w:trHeight w:val="315"/>
        </w:trPr>
        <w:tc>
          <w:tcPr>
            <w:tcW w:w="5098" w:type="dxa"/>
            <w:noWrap/>
            <w:hideMark/>
          </w:tcPr>
          <w:p w14:paraId="2B34C373" w14:textId="77777777" w:rsidR="00BB420C" w:rsidRPr="004D52E4" w:rsidRDefault="00BB420C" w:rsidP="00BB420C">
            <w:pPr>
              <w:spacing w:after="0"/>
              <w:rPr>
                <w:sz w:val="18"/>
                <w:szCs w:val="18"/>
              </w:rPr>
            </w:pPr>
            <w:r w:rsidRPr="004D52E4">
              <w:rPr>
                <w:sz w:val="18"/>
                <w:szCs w:val="18"/>
              </w:rPr>
              <w:t>Module 5: Implementing and reviewing a Medication Management Plan</w:t>
            </w:r>
          </w:p>
        </w:tc>
        <w:tc>
          <w:tcPr>
            <w:tcW w:w="1183" w:type="dxa"/>
            <w:noWrap/>
            <w:hideMark/>
          </w:tcPr>
          <w:p w14:paraId="223AE4C0" w14:textId="70FE695C" w:rsidR="00BB420C" w:rsidRPr="00BB420C" w:rsidRDefault="00BB420C" w:rsidP="00BB420C">
            <w:pPr>
              <w:spacing w:after="0"/>
              <w:jc w:val="right"/>
              <w:rPr>
                <w:sz w:val="18"/>
                <w:szCs w:val="18"/>
              </w:rPr>
            </w:pPr>
            <w:r w:rsidRPr="00BB420C">
              <w:rPr>
                <w:sz w:val="18"/>
                <w:szCs w:val="18"/>
              </w:rPr>
              <w:t>908</w:t>
            </w:r>
          </w:p>
        </w:tc>
        <w:tc>
          <w:tcPr>
            <w:tcW w:w="1516" w:type="dxa"/>
            <w:noWrap/>
            <w:hideMark/>
          </w:tcPr>
          <w:p w14:paraId="486668A6" w14:textId="4EC7AFA2" w:rsidR="00BB420C" w:rsidRPr="00BB420C" w:rsidRDefault="00BB420C" w:rsidP="00BB420C">
            <w:pPr>
              <w:spacing w:after="0"/>
              <w:jc w:val="right"/>
              <w:rPr>
                <w:sz w:val="18"/>
                <w:szCs w:val="18"/>
              </w:rPr>
            </w:pPr>
            <w:r w:rsidRPr="00BB420C">
              <w:rPr>
                <w:sz w:val="18"/>
                <w:szCs w:val="18"/>
              </w:rPr>
              <w:t>95</w:t>
            </w:r>
          </w:p>
        </w:tc>
        <w:tc>
          <w:tcPr>
            <w:tcW w:w="1219" w:type="dxa"/>
            <w:noWrap/>
            <w:hideMark/>
          </w:tcPr>
          <w:p w14:paraId="1BC98C69" w14:textId="55283EE6" w:rsidR="00BB420C" w:rsidRPr="00BB420C" w:rsidRDefault="00BB420C" w:rsidP="00BB420C">
            <w:pPr>
              <w:spacing w:after="0"/>
              <w:jc w:val="right"/>
              <w:rPr>
                <w:sz w:val="18"/>
                <w:szCs w:val="18"/>
              </w:rPr>
            </w:pPr>
            <w:r w:rsidRPr="00BB420C">
              <w:rPr>
                <w:sz w:val="18"/>
                <w:szCs w:val="18"/>
              </w:rPr>
              <w:t>10%</w:t>
            </w:r>
          </w:p>
        </w:tc>
      </w:tr>
      <w:tr w:rsidR="00BB420C" w:rsidRPr="004D52E4" w14:paraId="1392A306" w14:textId="77777777" w:rsidTr="00220E59">
        <w:trPr>
          <w:trHeight w:val="315"/>
        </w:trPr>
        <w:tc>
          <w:tcPr>
            <w:tcW w:w="5098" w:type="dxa"/>
            <w:noWrap/>
            <w:hideMark/>
          </w:tcPr>
          <w:p w14:paraId="426AB7F2" w14:textId="77777777" w:rsidR="00BB420C" w:rsidRPr="004D52E4" w:rsidRDefault="00BB420C" w:rsidP="00BB420C">
            <w:pPr>
              <w:spacing w:after="0"/>
              <w:rPr>
                <w:sz w:val="18"/>
                <w:szCs w:val="18"/>
              </w:rPr>
            </w:pPr>
            <w:r w:rsidRPr="004D52E4">
              <w:rPr>
                <w:sz w:val="18"/>
                <w:szCs w:val="18"/>
              </w:rPr>
              <w:t>Module 6: Team-based health care</w:t>
            </w:r>
          </w:p>
        </w:tc>
        <w:tc>
          <w:tcPr>
            <w:tcW w:w="1183" w:type="dxa"/>
            <w:noWrap/>
            <w:hideMark/>
          </w:tcPr>
          <w:p w14:paraId="131F9A1B" w14:textId="57B0B858" w:rsidR="00BB420C" w:rsidRPr="00BB420C" w:rsidRDefault="00BB420C" w:rsidP="00BB420C">
            <w:pPr>
              <w:spacing w:after="0"/>
              <w:jc w:val="right"/>
              <w:rPr>
                <w:sz w:val="18"/>
                <w:szCs w:val="18"/>
              </w:rPr>
            </w:pPr>
            <w:r w:rsidRPr="00BB420C">
              <w:rPr>
                <w:sz w:val="18"/>
                <w:szCs w:val="18"/>
              </w:rPr>
              <w:t>807</w:t>
            </w:r>
          </w:p>
        </w:tc>
        <w:tc>
          <w:tcPr>
            <w:tcW w:w="1516" w:type="dxa"/>
            <w:noWrap/>
            <w:hideMark/>
          </w:tcPr>
          <w:p w14:paraId="3E67B375" w14:textId="69CC1CAA" w:rsidR="00BB420C" w:rsidRPr="00BB420C" w:rsidRDefault="00BB420C" w:rsidP="00BB420C">
            <w:pPr>
              <w:spacing w:after="0"/>
              <w:jc w:val="right"/>
              <w:rPr>
                <w:sz w:val="18"/>
                <w:szCs w:val="18"/>
              </w:rPr>
            </w:pPr>
            <w:r w:rsidRPr="00BB420C">
              <w:rPr>
                <w:sz w:val="18"/>
                <w:szCs w:val="18"/>
              </w:rPr>
              <w:t>88</w:t>
            </w:r>
          </w:p>
        </w:tc>
        <w:tc>
          <w:tcPr>
            <w:tcW w:w="1219" w:type="dxa"/>
            <w:noWrap/>
            <w:hideMark/>
          </w:tcPr>
          <w:p w14:paraId="2B5C6B71" w14:textId="4FFF0EDB" w:rsidR="00BB420C" w:rsidRPr="00BB420C" w:rsidRDefault="00BB420C" w:rsidP="00BB420C">
            <w:pPr>
              <w:spacing w:after="0"/>
              <w:jc w:val="right"/>
              <w:rPr>
                <w:sz w:val="18"/>
                <w:szCs w:val="18"/>
              </w:rPr>
            </w:pPr>
            <w:r w:rsidRPr="00BB420C">
              <w:rPr>
                <w:sz w:val="18"/>
                <w:szCs w:val="18"/>
              </w:rPr>
              <w:t>11%</w:t>
            </w:r>
          </w:p>
        </w:tc>
      </w:tr>
      <w:tr w:rsidR="00BB420C" w:rsidRPr="004D52E4" w14:paraId="4E6DD62A" w14:textId="77777777" w:rsidTr="00220E59">
        <w:trPr>
          <w:trHeight w:val="315"/>
        </w:trPr>
        <w:tc>
          <w:tcPr>
            <w:tcW w:w="5098" w:type="dxa"/>
            <w:noWrap/>
            <w:hideMark/>
          </w:tcPr>
          <w:p w14:paraId="7B84CFE7" w14:textId="77777777" w:rsidR="00BB420C" w:rsidRPr="004D52E4" w:rsidRDefault="00BB420C" w:rsidP="00BB420C">
            <w:pPr>
              <w:spacing w:after="0"/>
              <w:rPr>
                <w:sz w:val="18"/>
                <w:szCs w:val="18"/>
              </w:rPr>
            </w:pPr>
            <w:r w:rsidRPr="004D52E4">
              <w:rPr>
                <w:sz w:val="18"/>
                <w:szCs w:val="18"/>
              </w:rPr>
              <w:t>Module 7: Enhanced communication for a new model of care</w:t>
            </w:r>
          </w:p>
        </w:tc>
        <w:tc>
          <w:tcPr>
            <w:tcW w:w="1183" w:type="dxa"/>
            <w:noWrap/>
            <w:hideMark/>
          </w:tcPr>
          <w:p w14:paraId="3128CFFF" w14:textId="4FF54001" w:rsidR="00BB420C" w:rsidRPr="00BB420C" w:rsidRDefault="00BB420C" w:rsidP="00BB420C">
            <w:pPr>
              <w:spacing w:after="0"/>
              <w:jc w:val="right"/>
              <w:rPr>
                <w:sz w:val="18"/>
                <w:szCs w:val="18"/>
              </w:rPr>
            </w:pPr>
            <w:r w:rsidRPr="00BB420C">
              <w:rPr>
                <w:sz w:val="18"/>
                <w:szCs w:val="18"/>
              </w:rPr>
              <w:t>768</w:t>
            </w:r>
          </w:p>
        </w:tc>
        <w:tc>
          <w:tcPr>
            <w:tcW w:w="1516" w:type="dxa"/>
            <w:noWrap/>
            <w:hideMark/>
          </w:tcPr>
          <w:p w14:paraId="05C045E1" w14:textId="73D3A59D" w:rsidR="00BB420C" w:rsidRPr="00BB420C" w:rsidRDefault="00BB420C" w:rsidP="00BB420C">
            <w:pPr>
              <w:spacing w:after="0"/>
              <w:jc w:val="right"/>
              <w:rPr>
                <w:sz w:val="18"/>
                <w:szCs w:val="18"/>
              </w:rPr>
            </w:pPr>
            <w:r w:rsidRPr="00BB420C">
              <w:rPr>
                <w:sz w:val="18"/>
                <w:szCs w:val="18"/>
              </w:rPr>
              <w:t>81</w:t>
            </w:r>
          </w:p>
        </w:tc>
        <w:tc>
          <w:tcPr>
            <w:tcW w:w="1219" w:type="dxa"/>
            <w:noWrap/>
            <w:hideMark/>
          </w:tcPr>
          <w:p w14:paraId="3C456CDB" w14:textId="2D8E2E80" w:rsidR="00BB420C" w:rsidRPr="00BB420C" w:rsidRDefault="00BB420C" w:rsidP="00BB420C">
            <w:pPr>
              <w:spacing w:after="0"/>
              <w:jc w:val="right"/>
              <w:rPr>
                <w:sz w:val="18"/>
                <w:szCs w:val="18"/>
              </w:rPr>
            </w:pPr>
            <w:r w:rsidRPr="00BB420C">
              <w:rPr>
                <w:sz w:val="18"/>
                <w:szCs w:val="18"/>
              </w:rPr>
              <w:t>11%</w:t>
            </w:r>
          </w:p>
        </w:tc>
      </w:tr>
      <w:tr w:rsidR="00BB420C" w:rsidRPr="004D52E4" w14:paraId="507DF9F4" w14:textId="77777777" w:rsidTr="00220E59">
        <w:trPr>
          <w:trHeight w:val="315"/>
        </w:trPr>
        <w:tc>
          <w:tcPr>
            <w:tcW w:w="5098" w:type="dxa"/>
            <w:noWrap/>
            <w:hideMark/>
          </w:tcPr>
          <w:p w14:paraId="66BDE378" w14:textId="77777777" w:rsidR="00BB420C" w:rsidRPr="004D52E4" w:rsidRDefault="00BB420C" w:rsidP="00BB420C">
            <w:pPr>
              <w:spacing w:after="0"/>
              <w:rPr>
                <w:sz w:val="18"/>
                <w:szCs w:val="18"/>
              </w:rPr>
            </w:pPr>
            <w:r w:rsidRPr="004D52E4">
              <w:rPr>
                <w:sz w:val="18"/>
                <w:szCs w:val="18"/>
              </w:rPr>
              <w:t>Module 8: Embracing a new approach to community pharmacy practice</w:t>
            </w:r>
          </w:p>
        </w:tc>
        <w:tc>
          <w:tcPr>
            <w:tcW w:w="1183" w:type="dxa"/>
            <w:noWrap/>
            <w:hideMark/>
          </w:tcPr>
          <w:p w14:paraId="1DCC671C" w14:textId="4126B396" w:rsidR="00BB420C" w:rsidRPr="00BB420C" w:rsidRDefault="00BB420C" w:rsidP="00BB420C">
            <w:pPr>
              <w:spacing w:after="0"/>
              <w:jc w:val="right"/>
              <w:rPr>
                <w:sz w:val="18"/>
                <w:szCs w:val="18"/>
              </w:rPr>
            </w:pPr>
            <w:r w:rsidRPr="00BB420C">
              <w:rPr>
                <w:sz w:val="18"/>
                <w:szCs w:val="18"/>
              </w:rPr>
              <w:t>711</w:t>
            </w:r>
          </w:p>
        </w:tc>
        <w:tc>
          <w:tcPr>
            <w:tcW w:w="1516" w:type="dxa"/>
            <w:noWrap/>
            <w:hideMark/>
          </w:tcPr>
          <w:p w14:paraId="459C61F5" w14:textId="7AA60C6C" w:rsidR="00BB420C" w:rsidRPr="00BB420C" w:rsidRDefault="00BB420C" w:rsidP="00BB420C">
            <w:pPr>
              <w:spacing w:after="0"/>
              <w:jc w:val="right"/>
              <w:rPr>
                <w:sz w:val="18"/>
                <w:szCs w:val="18"/>
              </w:rPr>
            </w:pPr>
            <w:r w:rsidRPr="00BB420C">
              <w:rPr>
                <w:sz w:val="18"/>
                <w:szCs w:val="18"/>
              </w:rPr>
              <w:t>44</w:t>
            </w:r>
          </w:p>
        </w:tc>
        <w:tc>
          <w:tcPr>
            <w:tcW w:w="1219" w:type="dxa"/>
            <w:noWrap/>
            <w:hideMark/>
          </w:tcPr>
          <w:p w14:paraId="1B66C41B" w14:textId="1D246518" w:rsidR="00BB420C" w:rsidRPr="00BB420C" w:rsidRDefault="00BB420C" w:rsidP="00BB420C">
            <w:pPr>
              <w:spacing w:after="0"/>
              <w:jc w:val="right"/>
              <w:rPr>
                <w:sz w:val="18"/>
                <w:szCs w:val="18"/>
              </w:rPr>
            </w:pPr>
            <w:r w:rsidRPr="00BB420C">
              <w:rPr>
                <w:sz w:val="18"/>
                <w:szCs w:val="18"/>
              </w:rPr>
              <w:t>6%</w:t>
            </w:r>
          </w:p>
        </w:tc>
      </w:tr>
      <w:tr w:rsidR="00BB420C" w:rsidRPr="004D52E4" w14:paraId="70CB0E42" w14:textId="77777777" w:rsidTr="00220E59">
        <w:trPr>
          <w:trHeight w:val="315"/>
        </w:trPr>
        <w:tc>
          <w:tcPr>
            <w:tcW w:w="5098" w:type="dxa"/>
            <w:noWrap/>
            <w:hideMark/>
          </w:tcPr>
          <w:p w14:paraId="0BEADDAF" w14:textId="77777777" w:rsidR="00BB420C" w:rsidRPr="004D52E4" w:rsidRDefault="00BB420C" w:rsidP="00BB420C">
            <w:pPr>
              <w:spacing w:after="0"/>
              <w:rPr>
                <w:sz w:val="18"/>
                <w:szCs w:val="18"/>
              </w:rPr>
            </w:pPr>
            <w:r w:rsidRPr="004D52E4">
              <w:rPr>
                <w:sz w:val="18"/>
                <w:szCs w:val="18"/>
              </w:rPr>
              <w:t>Module 9: Patient journeys</w:t>
            </w:r>
          </w:p>
        </w:tc>
        <w:tc>
          <w:tcPr>
            <w:tcW w:w="1183" w:type="dxa"/>
            <w:noWrap/>
            <w:hideMark/>
          </w:tcPr>
          <w:p w14:paraId="4C474675" w14:textId="7999B43C" w:rsidR="00BB420C" w:rsidRPr="00BB420C" w:rsidRDefault="00BB420C" w:rsidP="00BB420C">
            <w:pPr>
              <w:spacing w:after="0"/>
              <w:jc w:val="right"/>
              <w:rPr>
                <w:sz w:val="18"/>
                <w:szCs w:val="18"/>
              </w:rPr>
            </w:pPr>
            <w:r w:rsidRPr="00BB420C">
              <w:rPr>
                <w:sz w:val="18"/>
                <w:szCs w:val="18"/>
              </w:rPr>
              <w:t>681</w:t>
            </w:r>
          </w:p>
        </w:tc>
        <w:tc>
          <w:tcPr>
            <w:tcW w:w="1516" w:type="dxa"/>
            <w:noWrap/>
            <w:hideMark/>
          </w:tcPr>
          <w:p w14:paraId="6566E612" w14:textId="72F1E6F5" w:rsidR="00BB420C" w:rsidRPr="00BB420C" w:rsidRDefault="00BB420C" w:rsidP="00BB420C">
            <w:pPr>
              <w:spacing w:after="0"/>
              <w:jc w:val="right"/>
              <w:rPr>
                <w:sz w:val="18"/>
                <w:szCs w:val="18"/>
              </w:rPr>
            </w:pPr>
            <w:r w:rsidRPr="00BB420C">
              <w:rPr>
                <w:sz w:val="18"/>
                <w:szCs w:val="18"/>
              </w:rPr>
              <w:t>48</w:t>
            </w:r>
          </w:p>
        </w:tc>
        <w:tc>
          <w:tcPr>
            <w:tcW w:w="1219" w:type="dxa"/>
            <w:noWrap/>
            <w:hideMark/>
          </w:tcPr>
          <w:p w14:paraId="37952C23" w14:textId="4C0D0AF7" w:rsidR="00BB420C" w:rsidRPr="00BB420C" w:rsidRDefault="00BB420C" w:rsidP="00BB420C">
            <w:pPr>
              <w:spacing w:after="0"/>
              <w:jc w:val="right"/>
              <w:rPr>
                <w:sz w:val="18"/>
                <w:szCs w:val="18"/>
              </w:rPr>
            </w:pPr>
            <w:r w:rsidRPr="00BB420C">
              <w:rPr>
                <w:sz w:val="18"/>
                <w:szCs w:val="18"/>
              </w:rPr>
              <w:t>7%</w:t>
            </w:r>
          </w:p>
        </w:tc>
      </w:tr>
      <w:tr w:rsidR="00BB420C" w:rsidRPr="004D52E4" w14:paraId="3804F0BB" w14:textId="77777777" w:rsidTr="00220E59">
        <w:trPr>
          <w:trHeight w:val="315"/>
        </w:trPr>
        <w:tc>
          <w:tcPr>
            <w:tcW w:w="5098" w:type="dxa"/>
            <w:noWrap/>
            <w:hideMark/>
          </w:tcPr>
          <w:p w14:paraId="38EEE81F" w14:textId="021D7C75" w:rsidR="00BB420C" w:rsidRPr="004D52E4" w:rsidRDefault="00740883" w:rsidP="00BB420C">
            <w:pPr>
              <w:spacing w:after="0"/>
              <w:rPr>
                <w:sz w:val="18"/>
                <w:szCs w:val="18"/>
              </w:rPr>
            </w:pPr>
            <w:r>
              <w:rPr>
                <w:sz w:val="18"/>
                <w:szCs w:val="18"/>
              </w:rPr>
              <w:t xml:space="preserve">Module 10: </w:t>
            </w:r>
            <w:r w:rsidR="00BB420C" w:rsidRPr="004D52E4">
              <w:rPr>
                <w:sz w:val="18"/>
                <w:szCs w:val="18"/>
              </w:rPr>
              <w:t>Health Care Homes: what pharmacy assistants need to know</w:t>
            </w:r>
          </w:p>
        </w:tc>
        <w:tc>
          <w:tcPr>
            <w:tcW w:w="1183" w:type="dxa"/>
            <w:noWrap/>
            <w:hideMark/>
          </w:tcPr>
          <w:p w14:paraId="404BC7B3" w14:textId="31C65D87" w:rsidR="00BB420C" w:rsidRPr="00BB420C" w:rsidRDefault="00BB420C" w:rsidP="00BB420C">
            <w:pPr>
              <w:spacing w:after="0"/>
              <w:jc w:val="right"/>
              <w:rPr>
                <w:sz w:val="18"/>
                <w:szCs w:val="18"/>
              </w:rPr>
            </w:pPr>
            <w:r w:rsidRPr="00BB420C">
              <w:rPr>
                <w:sz w:val="18"/>
                <w:szCs w:val="18"/>
              </w:rPr>
              <w:t>157</w:t>
            </w:r>
          </w:p>
        </w:tc>
        <w:tc>
          <w:tcPr>
            <w:tcW w:w="1516" w:type="dxa"/>
            <w:noWrap/>
            <w:hideMark/>
          </w:tcPr>
          <w:p w14:paraId="36390115" w14:textId="49005F5E" w:rsidR="00BB420C" w:rsidRPr="00BB420C" w:rsidRDefault="00BB420C" w:rsidP="00BB420C">
            <w:pPr>
              <w:spacing w:after="0"/>
              <w:jc w:val="right"/>
              <w:rPr>
                <w:sz w:val="18"/>
                <w:szCs w:val="18"/>
              </w:rPr>
            </w:pPr>
            <w:r w:rsidRPr="00BB420C">
              <w:rPr>
                <w:sz w:val="18"/>
                <w:szCs w:val="18"/>
              </w:rPr>
              <w:t>67</w:t>
            </w:r>
          </w:p>
        </w:tc>
        <w:tc>
          <w:tcPr>
            <w:tcW w:w="1219" w:type="dxa"/>
            <w:noWrap/>
            <w:hideMark/>
          </w:tcPr>
          <w:p w14:paraId="43EB616A" w14:textId="6E9226AC" w:rsidR="00BB420C" w:rsidRPr="00BB420C" w:rsidRDefault="00BB420C" w:rsidP="00BB420C">
            <w:pPr>
              <w:spacing w:after="0"/>
              <w:jc w:val="right"/>
              <w:rPr>
                <w:sz w:val="18"/>
                <w:szCs w:val="18"/>
              </w:rPr>
            </w:pPr>
            <w:r w:rsidRPr="00BB420C">
              <w:rPr>
                <w:sz w:val="18"/>
                <w:szCs w:val="18"/>
              </w:rPr>
              <w:t>43%</w:t>
            </w:r>
          </w:p>
        </w:tc>
      </w:tr>
    </w:tbl>
    <w:p w14:paraId="5BD2602C" w14:textId="37EEF6C2" w:rsidR="0062271C" w:rsidRDefault="00B664AD" w:rsidP="00DF5C9B">
      <w:pPr>
        <w:pStyle w:val="Chartortablefootnote"/>
      </w:pPr>
      <w:r>
        <w:t xml:space="preserve">Source: </w:t>
      </w:r>
      <w:r w:rsidR="00EF2036">
        <w:t>Pharmacy</w:t>
      </w:r>
      <w:r w:rsidR="00DF5C9B">
        <w:t xml:space="preserve"> </w:t>
      </w:r>
      <w:r w:rsidR="00631B46" w:rsidRPr="00631B46">
        <w:t>Guild of Australia</w:t>
      </w:r>
      <w:r w:rsidR="00BA438C">
        <w:t>.</w:t>
      </w:r>
    </w:p>
    <w:p w14:paraId="30C06AB3" w14:textId="2A0C5E4B" w:rsidR="0062271C" w:rsidRPr="00585E51" w:rsidRDefault="0062271C" w:rsidP="0062271C">
      <w:pPr>
        <w:rPr>
          <w:szCs w:val="20"/>
        </w:rPr>
      </w:pPr>
      <w:r w:rsidRPr="00585E51">
        <w:rPr>
          <w:szCs w:val="20"/>
        </w:rPr>
        <w:t>The Guild point</w:t>
      </w:r>
      <w:r w:rsidR="00815705">
        <w:rPr>
          <w:szCs w:val="20"/>
        </w:rPr>
        <w:t>ed</w:t>
      </w:r>
      <w:r w:rsidRPr="00585E51">
        <w:rPr>
          <w:szCs w:val="20"/>
        </w:rPr>
        <w:t xml:space="preserve"> out that while the HCH concept and the </w:t>
      </w:r>
      <w:r>
        <w:rPr>
          <w:szCs w:val="20"/>
        </w:rPr>
        <w:t>trial</w:t>
      </w:r>
      <w:r w:rsidRPr="00585E51">
        <w:rPr>
          <w:szCs w:val="20"/>
        </w:rPr>
        <w:t xml:space="preserve"> were new, the medication management services being provided by community pharmac</w:t>
      </w:r>
      <w:r>
        <w:rPr>
          <w:szCs w:val="20"/>
        </w:rPr>
        <w:t>ies</w:t>
      </w:r>
      <w:r w:rsidRPr="00585E51">
        <w:rPr>
          <w:szCs w:val="20"/>
        </w:rPr>
        <w:t xml:space="preserve"> were not. </w:t>
      </w:r>
      <w:r>
        <w:rPr>
          <w:szCs w:val="20"/>
        </w:rPr>
        <w:t xml:space="preserve">Specifically, </w:t>
      </w:r>
      <w:r w:rsidRPr="00177D34">
        <w:rPr>
          <w:szCs w:val="20"/>
        </w:rPr>
        <w:t>Home Medicine</w:t>
      </w:r>
      <w:r>
        <w:rPr>
          <w:szCs w:val="20"/>
        </w:rPr>
        <w:t>s</w:t>
      </w:r>
      <w:r w:rsidRPr="00177D34">
        <w:rPr>
          <w:szCs w:val="20"/>
        </w:rPr>
        <w:t xml:space="preserve"> Reviews for patients </w:t>
      </w:r>
      <w:r w:rsidR="00815705">
        <w:rPr>
          <w:szCs w:val="20"/>
        </w:rPr>
        <w:t>living in</w:t>
      </w:r>
      <w:r w:rsidRPr="00177D34">
        <w:rPr>
          <w:szCs w:val="20"/>
        </w:rPr>
        <w:t xml:space="preserve"> the community have been in place since 2001 and medication reviews (</w:t>
      </w:r>
      <w:proofErr w:type="spellStart"/>
      <w:r w:rsidRPr="00177D34">
        <w:rPr>
          <w:szCs w:val="20"/>
        </w:rPr>
        <w:t>MedsChecks</w:t>
      </w:r>
      <w:proofErr w:type="spellEnd"/>
      <w:r w:rsidRPr="00177D34">
        <w:rPr>
          <w:szCs w:val="20"/>
        </w:rPr>
        <w:t>) were introduced in 2012</w:t>
      </w:r>
      <w:r>
        <w:rPr>
          <w:szCs w:val="20"/>
        </w:rPr>
        <w:t xml:space="preserve">. </w:t>
      </w:r>
      <w:r w:rsidRPr="00585E51">
        <w:rPr>
          <w:szCs w:val="20"/>
        </w:rPr>
        <w:t>For this reason, completion of the online learning modules was not compulsory</w:t>
      </w:r>
      <w:r>
        <w:rPr>
          <w:szCs w:val="20"/>
        </w:rPr>
        <w:t>.</w:t>
      </w:r>
    </w:p>
    <w:p w14:paraId="60CA3263" w14:textId="1E17BB77" w:rsidR="0062271C" w:rsidRDefault="0062271C" w:rsidP="0062271C">
      <w:pPr>
        <w:rPr>
          <w:szCs w:val="20"/>
        </w:rPr>
      </w:pPr>
      <w:r>
        <w:rPr>
          <w:szCs w:val="20"/>
        </w:rPr>
        <w:t>The community pharmacists interviewed</w:t>
      </w:r>
      <w:r w:rsidR="00E07B89">
        <w:rPr>
          <w:szCs w:val="20"/>
        </w:rPr>
        <w:t xml:space="preserve"> for the </w:t>
      </w:r>
      <w:r w:rsidR="0048289C">
        <w:rPr>
          <w:szCs w:val="20"/>
        </w:rPr>
        <w:t>round</w:t>
      </w:r>
      <w:r w:rsidR="00E07B89">
        <w:rPr>
          <w:szCs w:val="20"/>
        </w:rPr>
        <w:t xml:space="preserve"> 4 evaluation</w:t>
      </w:r>
      <w:r w:rsidRPr="004F6008">
        <w:rPr>
          <w:szCs w:val="20"/>
        </w:rPr>
        <w:t xml:space="preserve"> </w:t>
      </w:r>
      <w:r>
        <w:rPr>
          <w:szCs w:val="20"/>
        </w:rPr>
        <w:t xml:space="preserve">stated that they </w:t>
      </w:r>
      <w:r w:rsidRPr="004F6008">
        <w:rPr>
          <w:szCs w:val="20"/>
        </w:rPr>
        <w:t xml:space="preserve">completed all </w:t>
      </w:r>
      <w:r>
        <w:rPr>
          <w:szCs w:val="20"/>
        </w:rPr>
        <w:t>10</w:t>
      </w:r>
      <w:r w:rsidRPr="004F6008">
        <w:rPr>
          <w:szCs w:val="20"/>
        </w:rPr>
        <w:t xml:space="preserve"> </w:t>
      </w:r>
      <w:r>
        <w:rPr>
          <w:szCs w:val="20"/>
        </w:rPr>
        <w:t xml:space="preserve">of the </w:t>
      </w:r>
      <w:r w:rsidRPr="004F6008">
        <w:rPr>
          <w:szCs w:val="20"/>
        </w:rPr>
        <w:t xml:space="preserve">training </w:t>
      </w:r>
      <w:r w:rsidR="007D67A8" w:rsidRPr="004F6008">
        <w:rPr>
          <w:szCs w:val="20"/>
        </w:rPr>
        <w:t>modules</w:t>
      </w:r>
      <w:r w:rsidR="007D67A8">
        <w:rPr>
          <w:szCs w:val="20"/>
        </w:rPr>
        <w:t xml:space="preserve"> and</w:t>
      </w:r>
      <w:r>
        <w:rPr>
          <w:szCs w:val="20"/>
        </w:rPr>
        <w:t xml:space="preserve"> were of the few that had done so (see </w:t>
      </w:r>
      <w:r w:rsidRPr="006524FD">
        <w:rPr>
          <w:szCs w:val="20"/>
        </w:rPr>
        <w:fldChar w:fldCharType="begin"/>
      </w:r>
      <w:r w:rsidRPr="00034863">
        <w:rPr>
          <w:b/>
          <w:szCs w:val="20"/>
        </w:rPr>
        <w:instrText xml:space="preserve"> REF _Ref52541923 \h </w:instrText>
      </w:r>
      <w:r w:rsidR="00034863">
        <w:rPr>
          <w:b/>
          <w:szCs w:val="20"/>
        </w:rPr>
        <w:instrText xml:space="preserve"> \* MERGEFORMAT </w:instrText>
      </w:r>
      <w:r w:rsidRPr="006524FD">
        <w:rPr>
          <w:szCs w:val="20"/>
        </w:rPr>
      </w:r>
      <w:r w:rsidRPr="006524FD">
        <w:rPr>
          <w:szCs w:val="20"/>
        </w:rPr>
        <w:fldChar w:fldCharType="separate"/>
      </w:r>
      <w:r w:rsidR="003C4BC2" w:rsidRPr="00781A43">
        <w:t xml:space="preserve">Table </w:t>
      </w:r>
      <w:r w:rsidR="003C4BC2">
        <w:rPr>
          <w:noProof/>
        </w:rPr>
        <w:t>58</w:t>
      </w:r>
      <w:r w:rsidRPr="006524FD">
        <w:rPr>
          <w:szCs w:val="20"/>
        </w:rPr>
        <w:fldChar w:fldCharType="end"/>
      </w:r>
      <w:r>
        <w:rPr>
          <w:szCs w:val="20"/>
        </w:rPr>
        <w:t>)</w:t>
      </w:r>
      <w:r w:rsidRPr="004F6008">
        <w:rPr>
          <w:szCs w:val="20"/>
        </w:rPr>
        <w:t>. Feedback on the modules was largely positive</w:t>
      </w:r>
      <w:r>
        <w:rPr>
          <w:szCs w:val="20"/>
        </w:rPr>
        <w:t>,</w:t>
      </w:r>
      <w:r w:rsidRPr="004F6008">
        <w:rPr>
          <w:szCs w:val="20"/>
        </w:rPr>
        <w:t xml:space="preserve"> with many interviewees stating that the training was informative and helpful</w:t>
      </w:r>
      <w:r>
        <w:rPr>
          <w:szCs w:val="20"/>
        </w:rPr>
        <w:t>:</w:t>
      </w:r>
    </w:p>
    <w:p w14:paraId="47FBE63E" w14:textId="77777777" w:rsidR="0062271C" w:rsidRPr="004F6008" w:rsidRDefault="0062271C" w:rsidP="0062271C">
      <w:pPr>
        <w:spacing w:after="160" w:line="259" w:lineRule="auto"/>
        <w:ind w:left="567" w:right="521"/>
        <w:rPr>
          <w:rFonts w:eastAsia="Times New Roman"/>
          <w:szCs w:val="20"/>
          <w:lang w:eastAsia="en-AU"/>
        </w:rPr>
      </w:pPr>
      <w:r w:rsidRPr="004F6008">
        <w:rPr>
          <w:rFonts w:eastAsia="Times New Roman"/>
          <w:i/>
          <w:iCs/>
          <w:szCs w:val="20"/>
          <w:lang w:eastAsia="en-AU"/>
        </w:rPr>
        <w:t xml:space="preserve">“I suppose I look back now that I did it, but I found them really good. Like they did kind of let me learn what was the ideal way of doing the trial.” </w:t>
      </w:r>
      <w:r w:rsidRPr="004F6008">
        <w:rPr>
          <w:rFonts w:eastAsia="Times New Roman"/>
          <w:szCs w:val="20"/>
          <w:lang w:eastAsia="en-AU"/>
        </w:rPr>
        <w:t>[CP, R4, Pharmacy 02]</w:t>
      </w:r>
    </w:p>
    <w:p w14:paraId="25BCB00B" w14:textId="77777777" w:rsidR="0062271C" w:rsidRPr="004F6008" w:rsidRDefault="0062271C" w:rsidP="0062271C">
      <w:pPr>
        <w:spacing w:after="160" w:line="259" w:lineRule="auto"/>
        <w:ind w:left="567" w:right="521"/>
        <w:rPr>
          <w:rFonts w:eastAsia="Times New Roman"/>
          <w:szCs w:val="20"/>
          <w:lang w:eastAsia="en-AU"/>
        </w:rPr>
      </w:pPr>
      <w:r w:rsidRPr="004F6008">
        <w:rPr>
          <w:rFonts w:eastAsia="Times New Roman"/>
          <w:i/>
          <w:iCs/>
          <w:szCs w:val="20"/>
          <w:lang w:eastAsia="en-AU"/>
        </w:rPr>
        <w:t xml:space="preserve">“It gave us some understanding at the time about what is expected from us, like every other training </w:t>
      </w:r>
      <w:proofErr w:type="spellStart"/>
      <w:r w:rsidRPr="004F6008">
        <w:rPr>
          <w:rFonts w:eastAsia="Times New Roman"/>
          <w:i/>
          <w:iCs/>
          <w:szCs w:val="20"/>
          <w:lang w:eastAsia="en-AU"/>
        </w:rPr>
        <w:t>GuildCare</w:t>
      </w:r>
      <w:proofErr w:type="spellEnd"/>
      <w:r w:rsidRPr="004F6008">
        <w:rPr>
          <w:rFonts w:eastAsia="Times New Roman"/>
          <w:i/>
          <w:iCs/>
          <w:szCs w:val="20"/>
          <w:lang w:eastAsia="en-AU"/>
        </w:rPr>
        <w:t>, you learn more as you go, work with doctors or work with the job itself, and see patients and understand the whole process.”</w:t>
      </w:r>
      <w:r w:rsidRPr="004F6008">
        <w:rPr>
          <w:rFonts w:eastAsia="Times New Roman"/>
          <w:szCs w:val="20"/>
          <w:lang w:eastAsia="en-AU"/>
        </w:rPr>
        <w:t xml:space="preserve"> (CP, R4, Pharmacy 08]</w:t>
      </w:r>
    </w:p>
    <w:p w14:paraId="52BA4F77" w14:textId="77777777" w:rsidR="0062271C" w:rsidRPr="004F6008" w:rsidRDefault="0062271C" w:rsidP="0062271C">
      <w:pPr>
        <w:spacing w:after="160" w:line="259" w:lineRule="auto"/>
        <w:ind w:left="567" w:right="521"/>
        <w:rPr>
          <w:rFonts w:eastAsia="Times New Roman"/>
          <w:szCs w:val="20"/>
          <w:lang w:eastAsia="en-AU"/>
        </w:rPr>
      </w:pPr>
      <w:r w:rsidRPr="004F6008">
        <w:rPr>
          <w:rFonts w:eastAsia="Times New Roman"/>
          <w:i/>
          <w:iCs/>
          <w:szCs w:val="20"/>
          <w:lang w:eastAsia="en-AU"/>
        </w:rPr>
        <w:t>“</w:t>
      </w:r>
      <w:r w:rsidRPr="004F6008">
        <w:rPr>
          <w:rFonts w:eastAsia="Times New Roman" w:cs="Arial"/>
          <w:i/>
          <w:iCs/>
          <w:color w:val="000000"/>
          <w:szCs w:val="20"/>
          <w:lang w:eastAsia="en-AU"/>
        </w:rPr>
        <w:t>They were great. Easy to follow. If you missed something, you could go back. It wasn’t difficult to do, and I think it was quite informative</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 xml:space="preserve">I think for people who aren’t </w:t>
      </w:r>
      <w:r>
        <w:rPr>
          <w:rFonts w:eastAsia="Times New Roman" w:cs="Arial"/>
          <w:i/>
          <w:iCs/>
          <w:color w:val="000000"/>
          <w:szCs w:val="20"/>
          <w:lang w:eastAsia="en-AU"/>
        </w:rPr>
        <w:t>[Home Medicines Review]</w:t>
      </w:r>
      <w:r w:rsidRPr="004F6008">
        <w:rPr>
          <w:rFonts w:eastAsia="Times New Roman" w:cs="Arial"/>
          <w:i/>
          <w:iCs/>
          <w:color w:val="000000"/>
          <w:szCs w:val="20"/>
          <w:lang w:eastAsia="en-AU"/>
        </w:rPr>
        <w:t xml:space="preserve"> trained, it was good in the way that it explained </w:t>
      </w:r>
      <w:r w:rsidRPr="004F6008">
        <w:rPr>
          <w:rFonts w:eastAsia="Times New Roman" w:cs="Arial"/>
          <w:i/>
          <w:iCs/>
          <w:color w:val="000000"/>
          <w:szCs w:val="20"/>
          <w:lang w:eastAsia="en-AU"/>
        </w:rPr>
        <w:lastRenderedPageBreak/>
        <w:t>the best way to do a report</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 xml:space="preserve">and to be mindful of what you’re actually recommending. That you’re not a diagnostician, you’re not there to prescribe, you’re there to make recommendations that will improve outcomes. So, I think it was well set out for that.” </w:t>
      </w:r>
      <w:r w:rsidRPr="004F6008">
        <w:rPr>
          <w:rFonts w:eastAsia="Times New Roman" w:cs="Arial"/>
          <w:color w:val="000000"/>
          <w:szCs w:val="20"/>
          <w:lang w:eastAsia="en-AU"/>
        </w:rPr>
        <w:t>[CP, R4, Pharmacy 10]</w:t>
      </w:r>
    </w:p>
    <w:p w14:paraId="50876E48" w14:textId="77777777" w:rsidR="0062271C" w:rsidRPr="004F6008" w:rsidRDefault="0062271C" w:rsidP="0062271C">
      <w:pPr>
        <w:rPr>
          <w:rFonts w:ascii="Calibri" w:eastAsia="Times New Roman" w:hAnsi="Calibri"/>
          <w:sz w:val="22"/>
          <w:lang w:eastAsia="en-AU"/>
        </w:rPr>
      </w:pPr>
      <w:r>
        <w:rPr>
          <w:rFonts w:eastAsia="Times New Roman"/>
          <w:szCs w:val="20"/>
          <w:lang w:eastAsia="en-AU"/>
        </w:rPr>
        <w:t>S</w:t>
      </w:r>
      <w:r w:rsidRPr="004F6008">
        <w:rPr>
          <w:rFonts w:eastAsia="Times New Roman"/>
          <w:szCs w:val="20"/>
          <w:lang w:eastAsia="en-AU"/>
        </w:rPr>
        <w:t>ome describe</w:t>
      </w:r>
      <w:r>
        <w:rPr>
          <w:rFonts w:eastAsia="Times New Roman"/>
          <w:szCs w:val="20"/>
          <w:lang w:eastAsia="en-AU"/>
        </w:rPr>
        <w:t>d</w:t>
      </w:r>
      <w:r w:rsidRPr="004F6008">
        <w:rPr>
          <w:rFonts w:eastAsia="Times New Roman"/>
          <w:szCs w:val="20"/>
          <w:lang w:eastAsia="en-AU"/>
        </w:rPr>
        <w:t xml:space="preserve"> the modules as </w:t>
      </w:r>
      <w:r>
        <w:rPr>
          <w:rFonts w:eastAsia="Times New Roman"/>
          <w:szCs w:val="20"/>
          <w:lang w:eastAsia="en-AU"/>
        </w:rPr>
        <w:t>“</w:t>
      </w:r>
      <w:r w:rsidRPr="004F6008">
        <w:rPr>
          <w:rFonts w:eastAsia="Times New Roman"/>
          <w:szCs w:val="20"/>
          <w:lang w:eastAsia="en-AU"/>
        </w:rPr>
        <w:t>a bit tedious</w:t>
      </w:r>
      <w:r>
        <w:rPr>
          <w:rFonts w:eastAsia="Times New Roman"/>
          <w:szCs w:val="20"/>
          <w:lang w:eastAsia="en-AU"/>
        </w:rPr>
        <w:t>”</w:t>
      </w:r>
      <w:r w:rsidRPr="004F6008">
        <w:rPr>
          <w:rFonts w:eastAsia="Times New Roman"/>
          <w:szCs w:val="20"/>
          <w:lang w:eastAsia="en-AU"/>
        </w:rPr>
        <w:t xml:space="preserve"> and that they created </w:t>
      </w:r>
      <w:r>
        <w:rPr>
          <w:rFonts w:eastAsia="Times New Roman" w:cs="Arial"/>
          <w:color w:val="000000"/>
          <w:szCs w:val="20"/>
          <w:lang w:eastAsia="en-AU"/>
        </w:rPr>
        <w:t>“</w:t>
      </w:r>
      <w:r w:rsidRPr="004F6008">
        <w:rPr>
          <w:rFonts w:eastAsia="Times New Roman" w:cs="Arial"/>
          <w:color w:val="000000"/>
          <w:szCs w:val="20"/>
          <w:lang w:eastAsia="en-AU"/>
        </w:rPr>
        <w:t>a lot of busy work</w:t>
      </w:r>
      <w:r>
        <w:rPr>
          <w:rFonts w:eastAsia="Times New Roman" w:cs="Arial"/>
          <w:color w:val="000000"/>
          <w:szCs w:val="20"/>
          <w:lang w:eastAsia="en-AU"/>
        </w:rPr>
        <w:t>”. But they also said that they</w:t>
      </w:r>
      <w:r w:rsidRPr="004F6008">
        <w:rPr>
          <w:rFonts w:eastAsia="Times New Roman" w:cs="Arial"/>
          <w:color w:val="000000"/>
          <w:szCs w:val="20"/>
          <w:lang w:eastAsia="en-AU"/>
        </w:rPr>
        <w:t xml:space="preserve"> included </w:t>
      </w:r>
      <w:r>
        <w:rPr>
          <w:rFonts w:eastAsia="Times New Roman" w:cs="Arial"/>
          <w:color w:val="000000"/>
          <w:szCs w:val="20"/>
          <w:lang w:eastAsia="en-AU"/>
        </w:rPr>
        <w:t>“</w:t>
      </w:r>
      <w:r w:rsidRPr="004F6008">
        <w:rPr>
          <w:rFonts w:eastAsia="Times New Roman" w:cs="Arial"/>
          <w:color w:val="000000"/>
          <w:szCs w:val="20"/>
          <w:lang w:eastAsia="en-AU"/>
        </w:rPr>
        <w:t>some nuggets of wisdom.</w:t>
      </w:r>
      <w:r>
        <w:rPr>
          <w:rFonts w:eastAsia="Times New Roman" w:cs="Arial"/>
          <w:color w:val="000000"/>
          <w:szCs w:val="20"/>
          <w:lang w:eastAsia="en-AU"/>
        </w:rPr>
        <w:t>”</w:t>
      </w:r>
      <w:r w:rsidRPr="004F6008">
        <w:rPr>
          <w:rFonts w:ascii="Arial" w:eastAsia="Times New Roman" w:hAnsi="Arial" w:cs="Arial"/>
          <w:color w:val="000000"/>
          <w:sz w:val="22"/>
          <w:lang w:eastAsia="en-AU"/>
        </w:rPr>
        <w:t xml:space="preserve"> </w:t>
      </w:r>
    </w:p>
    <w:p w14:paraId="769EA921" w14:textId="77777777" w:rsidR="0062271C" w:rsidRPr="004F6008" w:rsidRDefault="0062271C" w:rsidP="0062271C">
      <w:pPr>
        <w:rPr>
          <w:szCs w:val="20"/>
        </w:rPr>
      </w:pPr>
      <w:r>
        <w:rPr>
          <w:szCs w:val="20"/>
        </w:rPr>
        <w:t>A few felt</w:t>
      </w:r>
      <w:r w:rsidRPr="004F6008">
        <w:rPr>
          <w:szCs w:val="20"/>
        </w:rPr>
        <w:t xml:space="preserve"> that their pharmacies were already providing most of the services </w:t>
      </w:r>
      <w:r>
        <w:rPr>
          <w:szCs w:val="20"/>
        </w:rPr>
        <w:t xml:space="preserve">being </w:t>
      </w:r>
      <w:r w:rsidRPr="004F6008">
        <w:rPr>
          <w:szCs w:val="20"/>
        </w:rPr>
        <w:t xml:space="preserve">offered </w:t>
      </w:r>
      <w:r>
        <w:rPr>
          <w:szCs w:val="20"/>
        </w:rPr>
        <w:t>to HCH patients</w:t>
      </w:r>
      <w:r w:rsidRPr="004F6008">
        <w:rPr>
          <w:szCs w:val="20"/>
        </w:rPr>
        <w:t xml:space="preserve"> or </w:t>
      </w:r>
      <w:r>
        <w:rPr>
          <w:szCs w:val="20"/>
        </w:rPr>
        <w:t>use</w:t>
      </w:r>
      <w:r w:rsidRPr="004F6008">
        <w:rPr>
          <w:szCs w:val="20"/>
        </w:rPr>
        <w:t>d similar software; therefore, the training acted as a review of things that staff members already knew</w:t>
      </w:r>
      <w:r>
        <w:rPr>
          <w:szCs w:val="20"/>
        </w:rPr>
        <w:t>:</w:t>
      </w:r>
    </w:p>
    <w:p w14:paraId="3FCB432F" w14:textId="77777777" w:rsidR="0062271C" w:rsidRPr="004F6008" w:rsidRDefault="0062271C" w:rsidP="0062271C">
      <w:pPr>
        <w:spacing w:after="160" w:line="259" w:lineRule="auto"/>
        <w:ind w:left="567" w:right="521"/>
        <w:rPr>
          <w:szCs w:val="20"/>
        </w:rPr>
      </w:pPr>
      <w:r w:rsidRPr="004F6008">
        <w:rPr>
          <w:i/>
          <w:iCs/>
          <w:szCs w:val="20"/>
        </w:rPr>
        <w:t>“Yes, [it was] useful, just the software component of [the training]</w:t>
      </w:r>
      <w:r>
        <w:rPr>
          <w:i/>
          <w:iCs/>
          <w:szCs w:val="20"/>
        </w:rPr>
        <w:t xml:space="preserve"> … </w:t>
      </w:r>
      <w:r w:rsidRPr="004F6008">
        <w:rPr>
          <w:i/>
          <w:iCs/>
          <w:szCs w:val="20"/>
        </w:rPr>
        <w:t xml:space="preserve">the training was probably stuff that we were doing already. The software platform is very similar to their </w:t>
      </w:r>
      <w:proofErr w:type="spellStart"/>
      <w:r w:rsidRPr="004F6008">
        <w:rPr>
          <w:i/>
          <w:iCs/>
          <w:szCs w:val="20"/>
        </w:rPr>
        <w:t>MedsCheck</w:t>
      </w:r>
      <w:proofErr w:type="spellEnd"/>
      <w:r w:rsidRPr="004F6008">
        <w:rPr>
          <w:i/>
          <w:iCs/>
          <w:szCs w:val="20"/>
        </w:rPr>
        <w:t xml:space="preserve"> platform</w:t>
      </w:r>
      <w:r>
        <w:rPr>
          <w:i/>
          <w:iCs/>
          <w:szCs w:val="20"/>
        </w:rPr>
        <w:t xml:space="preserve"> … </w:t>
      </w:r>
      <w:r w:rsidRPr="004F6008">
        <w:rPr>
          <w:i/>
          <w:iCs/>
          <w:szCs w:val="20"/>
        </w:rPr>
        <w:t>so if you’re familiar with that it wasn’t a big change</w:t>
      </w:r>
      <w:r>
        <w:rPr>
          <w:i/>
          <w:iCs/>
          <w:szCs w:val="20"/>
        </w:rPr>
        <w:t xml:space="preserve"> … </w:t>
      </w:r>
      <w:r w:rsidRPr="004F6008">
        <w:rPr>
          <w:i/>
          <w:iCs/>
          <w:szCs w:val="20"/>
        </w:rPr>
        <w:t xml:space="preserve">We’ve been going more and more towards meds checks, medication reviews, </w:t>
      </w:r>
      <w:r>
        <w:rPr>
          <w:i/>
          <w:iCs/>
          <w:szCs w:val="20"/>
        </w:rPr>
        <w:t>[Home Medicines Reviews]</w:t>
      </w:r>
      <w:r w:rsidRPr="004F6008">
        <w:rPr>
          <w:i/>
          <w:iCs/>
          <w:szCs w:val="20"/>
        </w:rPr>
        <w:t>, etc. So, they would have had a certain level of knowledge already over and above a lot of pharmacists who have just been the traditional stand in the dispensary and dispense medications and nod to the patient.”</w:t>
      </w:r>
      <w:r w:rsidRPr="004F6008">
        <w:rPr>
          <w:szCs w:val="20"/>
        </w:rPr>
        <w:t xml:space="preserve"> [Business Owner, R4, Pharmacy 01]</w:t>
      </w:r>
    </w:p>
    <w:p w14:paraId="73DD4700" w14:textId="7A6F7D7E" w:rsidR="0062271C" w:rsidRPr="004F6008" w:rsidRDefault="0062271C" w:rsidP="0062271C">
      <w:pPr>
        <w:rPr>
          <w:szCs w:val="20"/>
        </w:rPr>
      </w:pPr>
      <w:r w:rsidRPr="004F6008">
        <w:rPr>
          <w:szCs w:val="20"/>
        </w:rPr>
        <w:t xml:space="preserve">As an alternative to the online training modules, a few interviewees felt that </w:t>
      </w:r>
      <w:r w:rsidR="00056C0B">
        <w:rPr>
          <w:szCs w:val="20"/>
        </w:rPr>
        <w:t>training</w:t>
      </w:r>
      <w:r w:rsidR="00C725F2">
        <w:rPr>
          <w:szCs w:val="20"/>
        </w:rPr>
        <w:t xml:space="preserve"> that included interactions with others (for example, </w:t>
      </w:r>
      <w:r w:rsidRPr="004F6008">
        <w:rPr>
          <w:szCs w:val="20"/>
        </w:rPr>
        <w:t>virtual or in-person webinars</w:t>
      </w:r>
      <w:r w:rsidR="00C725F2">
        <w:rPr>
          <w:szCs w:val="20"/>
        </w:rPr>
        <w:t>)</w:t>
      </w:r>
      <w:r w:rsidRPr="004F6008">
        <w:rPr>
          <w:szCs w:val="20"/>
        </w:rPr>
        <w:t xml:space="preserve"> would be a more informative and useful method of learning</w:t>
      </w:r>
      <w:r>
        <w:rPr>
          <w:szCs w:val="20"/>
        </w:rPr>
        <w:t>:</w:t>
      </w:r>
    </w:p>
    <w:p w14:paraId="2A975A78" w14:textId="48872C3B" w:rsidR="00995782" w:rsidRDefault="0062271C" w:rsidP="00995782">
      <w:pPr>
        <w:spacing w:after="160" w:line="259" w:lineRule="auto"/>
        <w:ind w:left="567" w:right="521"/>
        <w:rPr>
          <w:rFonts w:eastAsia="Times New Roman" w:cs="Arial"/>
          <w:color w:val="000000"/>
          <w:szCs w:val="20"/>
          <w:lang w:eastAsia="en-AU"/>
        </w:rPr>
      </w:pPr>
      <w:r>
        <w:rPr>
          <w:rFonts w:eastAsia="Times New Roman" w:cs="Arial"/>
          <w:i/>
          <w:iCs/>
          <w:color w:val="000000"/>
          <w:szCs w:val="20"/>
          <w:lang w:eastAsia="en-AU"/>
        </w:rPr>
        <w:t xml:space="preserve">“… </w:t>
      </w:r>
      <w:r w:rsidRPr="004F6008">
        <w:rPr>
          <w:rFonts w:eastAsia="Times New Roman" w:cs="Arial"/>
          <w:i/>
          <w:iCs/>
          <w:color w:val="000000"/>
          <w:szCs w:val="20"/>
          <w:lang w:eastAsia="en-AU"/>
        </w:rPr>
        <w:t>it doesn’t make sense until you're actually doing it</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Even if it was a virtual or a webinar, and just say</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with doctors and pharmacists and practice managers in the same webinar and saying, oh, this is your role. And then, you can see what they're supposed to do, and see how it flows through</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and then, what they see when we send back the review</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just so that they could see what we did, but also, we could see what they could see.”</w:t>
      </w:r>
      <w:r w:rsidRPr="004F6008">
        <w:rPr>
          <w:rFonts w:eastAsia="Times New Roman" w:cs="Arial"/>
          <w:color w:val="000000"/>
          <w:szCs w:val="20"/>
          <w:lang w:eastAsia="en-AU"/>
        </w:rPr>
        <w:t xml:space="preserve"> [CP, R4, Pharmacy 09]</w:t>
      </w:r>
    </w:p>
    <w:p w14:paraId="28EE9DD2" w14:textId="19D04269" w:rsidR="00995782" w:rsidRPr="00B10BAD" w:rsidRDefault="0063139E" w:rsidP="00B10BAD">
      <w:pPr>
        <w:shd w:val="clear" w:color="auto" w:fill="FFFFFF"/>
        <w:rPr>
          <w:rFonts w:cs="Calibri"/>
          <w:szCs w:val="20"/>
          <w:lang w:eastAsia="en-AU"/>
        </w:rPr>
      </w:pPr>
      <w:r w:rsidRPr="00B10BAD">
        <w:rPr>
          <w:rFonts w:cs="Calibri"/>
          <w:szCs w:val="20"/>
          <w:lang w:eastAsia="en-AU"/>
        </w:rPr>
        <w:t>Another suggestion</w:t>
      </w:r>
      <w:r w:rsidR="000567B6" w:rsidRPr="00B10BAD">
        <w:rPr>
          <w:rFonts w:cs="Calibri"/>
          <w:szCs w:val="20"/>
          <w:lang w:eastAsia="en-AU"/>
        </w:rPr>
        <w:t xml:space="preserve"> from pharmacists</w:t>
      </w:r>
      <w:r w:rsidRPr="00B10BAD">
        <w:rPr>
          <w:rFonts w:cs="Calibri"/>
          <w:szCs w:val="20"/>
          <w:lang w:eastAsia="en-AU"/>
        </w:rPr>
        <w:t xml:space="preserve"> to improve the modules was a</w:t>
      </w:r>
      <w:r w:rsidR="00995782" w:rsidRPr="00B10BAD">
        <w:rPr>
          <w:rFonts w:cs="Calibri"/>
          <w:szCs w:val="20"/>
          <w:lang w:eastAsia="en-AU"/>
        </w:rPr>
        <w:t>dditional information</w:t>
      </w:r>
      <w:r w:rsidR="00B10BAD" w:rsidRPr="00B10BAD">
        <w:rPr>
          <w:rFonts w:cs="Calibri"/>
          <w:szCs w:val="20"/>
          <w:lang w:eastAsia="en-AU"/>
        </w:rPr>
        <w:t xml:space="preserve"> </w:t>
      </w:r>
      <w:r w:rsidR="00995782" w:rsidRPr="00B10BAD">
        <w:rPr>
          <w:rFonts w:cs="Calibri"/>
          <w:szCs w:val="20"/>
          <w:lang w:eastAsia="en-AU"/>
        </w:rPr>
        <w:t>and visuals (</w:t>
      </w:r>
      <w:r w:rsidR="0010747B">
        <w:rPr>
          <w:rFonts w:cs="Calibri"/>
          <w:szCs w:val="20"/>
          <w:lang w:eastAsia="en-AU"/>
        </w:rPr>
        <w:t>that is,</w:t>
      </w:r>
      <w:r w:rsidR="00995782" w:rsidRPr="00B10BAD">
        <w:rPr>
          <w:rFonts w:cs="Calibri"/>
          <w:szCs w:val="20"/>
          <w:lang w:eastAsia="en-AU"/>
        </w:rPr>
        <w:t xml:space="preserve"> screenshots) on how to navigate and operate the shared care planning platforms.</w:t>
      </w:r>
    </w:p>
    <w:p w14:paraId="139E8299" w14:textId="77777777" w:rsidR="00B50B75" w:rsidRPr="00483247" w:rsidRDefault="00B50B75" w:rsidP="00483247">
      <w:pPr>
        <w:pStyle w:val="Heading3"/>
        <w:rPr>
          <w:rFonts w:eastAsia="Times New Roman"/>
          <w:lang w:eastAsia="en-AU"/>
        </w:rPr>
      </w:pPr>
      <w:r w:rsidRPr="00483247">
        <w:rPr>
          <w:rFonts w:eastAsia="Times New Roman"/>
          <w:lang w:eastAsia="en-AU"/>
        </w:rPr>
        <w:t>Workshops</w:t>
      </w:r>
    </w:p>
    <w:p w14:paraId="4304DF54" w14:textId="1064894E" w:rsidR="00B50B75" w:rsidRPr="003C2859" w:rsidRDefault="00F75B39" w:rsidP="00B50B75">
      <w:pPr>
        <w:shd w:val="clear" w:color="auto" w:fill="FFFFFF"/>
        <w:rPr>
          <w:rFonts w:cs="Calibri"/>
          <w:szCs w:val="20"/>
          <w:lang w:eastAsia="en-AU"/>
        </w:rPr>
      </w:pPr>
      <w:r>
        <w:rPr>
          <w:rFonts w:cs="Calibri"/>
          <w:szCs w:val="20"/>
          <w:lang w:eastAsia="en-AU"/>
        </w:rPr>
        <w:t>As a means of training and t</w:t>
      </w:r>
      <w:r w:rsidR="00B50B75" w:rsidRPr="003C2859">
        <w:rPr>
          <w:rFonts w:cs="Calibri"/>
          <w:szCs w:val="20"/>
          <w:lang w:eastAsia="en-AU"/>
        </w:rPr>
        <w:t xml:space="preserve">o further promote the </w:t>
      </w:r>
      <w:r w:rsidR="00B50B75">
        <w:rPr>
          <w:rFonts w:cs="Calibri"/>
          <w:szCs w:val="20"/>
          <w:lang w:eastAsia="en-AU"/>
        </w:rPr>
        <w:t>trial</w:t>
      </w:r>
      <w:r w:rsidR="00B50B75" w:rsidRPr="003C2859">
        <w:rPr>
          <w:rFonts w:cs="Calibri"/>
          <w:szCs w:val="20"/>
          <w:lang w:eastAsia="en-AU"/>
        </w:rPr>
        <w:t xml:space="preserve">, the Guild and PSA ran a series of joint workshops over October and November 2018 in the </w:t>
      </w:r>
      <w:r w:rsidR="00B50B75">
        <w:rPr>
          <w:rFonts w:cs="Calibri"/>
          <w:szCs w:val="20"/>
          <w:lang w:eastAsia="en-AU"/>
        </w:rPr>
        <w:t>PHN</w:t>
      </w:r>
      <w:r w:rsidR="00B50B75" w:rsidRPr="003C2859">
        <w:rPr>
          <w:rFonts w:cs="Calibri"/>
          <w:szCs w:val="20"/>
          <w:lang w:eastAsia="en-AU"/>
        </w:rPr>
        <w:t xml:space="preserve"> regions participating in the trial. PHNs, </w:t>
      </w:r>
      <w:r w:rsidR="00B50B75">
        <w:rPr>
          <w:rFonts w:cs="Calibri"/>
          <w:szCs w:val="20"/>
          <w:lang w:eastAsia="en-AU"/>
        </w:rPr>
        <w:t>HCHs</w:t>
      </w:r>
      <w:r w:rsidR="00B50B75" w:rsidRPr="003C2859">
        <w:rPr>
          <w:rFonts w:cs="Calibri"/>
          <w:szCs w:val="20"/>
          <w:lang w:eastAsia="en-AU"/>
        </w:rPr>
        <w:t xml:space="preserve"> </w:t>
      </w:r>
      <w:r w:rsidR="00B50B75">
        <w:rPr>
          <w:rFonts w:cs="Calibri"/>
          <w:szCs w:val="20"/>
          <w:lang w:eastAsia="en-AU"/>
        </w:rPr>
        <w:t xml:space="preserve">(mainstream and </w:t>
      </w:r>
      <w:r w:rsidR="00B50B75" w:rsidRPr="003C2859">
        <w:rPr>
          <w:rFonts w:cs="Calibri"/>
          <w:szCs w:val="20"/>
          <w:lang w:eastAsia="en-AU"/>
        </w:rPr>
        <w:t>ACCHS</w:t>
      </w:r>
      <w:r w:rsidR="003E1801">
        <w:rPr>
          <w:rFonts w:cs="Calibri"/>
          <w:szCs w:val="20"/>
          <w:lang w:eastAsia="en-AU"/>
        </w:rPr>
        <w:t xml:space="preserve"> clinics</w:t>
      </w:r>
      <w:r w:rsidR="00B50B75" w:rsidRPr="003C2859">
        <w:rPr>
          <w:rFonts w:cs="Calibri"/>
          <w:szCs w:val="20"/>
          <w:lang w:eastAsia="en-AU"/>
        </w:rPr>
        <w:t>) were invited to attend the workshops</w:t>
      </w:r>
      <w:r w:rsidR="00B50B75">
        <w:rPr>
          <w:rFonts w:cs="Calibri"/>
          <w:szCs w:val="20"/>
          <w:lang w:eastAsia="en-AU"/>
        </w:rPr>
        <w:t xml:space="preserve">. </w:t>
      </w:r>
      <w:r w:rsidR="00B50B75" w:rsidRPr="003C2859">
        <w:rPr>
          <w:rFonts w:cs="Calibri"/>
          <w:szCs w:val="20"/>
          <w:lang w:eastAsia="en-AU"/>
        </w:rPr>
        <w:t>The workshop</w:t>
      </w:r>
      <w:r w:rsidR="00B50B75">
        <w:rPr>
          <w:rFonts w:cs="Calibri"/>
          <w:szCs w:val="20"/>
          <w:lang w:eastAsia="en-AU"/>
        </w:rPr>
        <w:t xml:space="preserve">s were </w:t>
      </w:r>
      <w:r w:rsidR="00B50B75" w:rsidRPr="003C2859">
        <w:rPr>
          <w:rFonts w:cs="Calibri"/>
          <w:szCs w:val="20"/>
          <w:lang w:eastAsia="en-AU"/>
        </w:rPr>
        <w:t>also recorded and available as a webinar</w:t>
      </w:r>
      <w:r w:rsidR="00B50B75">
        <w:rPr>
          <w:rFonts w:cs="Calibri"/>
          <w:szCs w:val="20"/>
          <w:lang w:eastAsia="en-AU"/>
        </w:rPr>
        <w:t xml:space="preserve"> for those unable to attend</w:t>
      </w:r>
      <w:r w:rsidR="00B50B75" w:rsidRPr="003C2859">
        <w:rPr>
          <w:rFonts w:cs="Calibri"/>
          <w:szCs w:val="20"/>
          <w:lang w:eastAsia="en-AU"/>
        </w:rPr>
        <w:t xml:space="preserve">. </w:t>
      </w:r>
    </w:p>
    <w:p w14:paraId="712DB58E" w14:textId="60888F92" w:rsidR="00F551EA" w:rsidRDefault="00B50B75" w:rsidP="00B50B75">
      <w:pPr>
        <w:shd w:val="clear" w:color="auto" w:fill="FFFFFF"/>
        <w:rPr>
          <w:rFonts w:cs="Calibri"/>
          <w:szCs w:val="20"/>
          <w:lang w:eastAsia="en-AU"/>
        </w:rPr>
      </w:pPr>
      <w:r w:rsidRPr="003C2859">
        <w:rPr>
          <w:rFonts w:cs="Calibri"/>
          <w:szCs w:val="20"/>
          <w:lang w:eastAsia="en-AU"/>
        </w:rPr>
        <w:t xml:space="preserve">The Guild reported </w:t>
      </w:r>
      <w:r w:rsidR="00F551EA">
        <w:rPr>
          <w:rFonts w:cs="Calibri"/>
          <w:szCs w:val="20"/>
          <w:lang w:eastAsia="en-AU"/>
        </w:rPr>
        <w:t>that</w:t>
      </w:r>
      <w:r w:rsidR="008F58B2">
        <w:rPr>
          <w:rFonts w:cs="Calibri"/>
          <w:szCs w:val="20"/>
          <w:lang w:eastAsia="en-AU"/>
        </w:rPr>
        <w:t xml:space="preserve"> due to timing of the workshops, </w:t>
      </w:r>
      <w:r w:rsidR="00F551EA" w:rsidRPr="00F551EA">
        <w:rPr>
          <w:rFonts w:cs="Calibri"/>
          <w:szCs w:val="20"/>
          <w:lang w:eastAsia="en-AU"/>
        </w:rPr>
        <w:t xml:space="preserve">there were </w:t>
      </w:r>
      <w:r w:rsidR="008F58B2">
        <w:rPr>
          <w:rFonts w:cs="Calibri"/>
          <w:szCs w:val="20"/>
          <w:lang w:eastAsia="en-AU"/>
        </w:rPr>
        <w:t>fewer</w:t>
      </w:r>
      <w:r w:rsidR="00F551EA" w:rsidRPr="00F551EA">
        <w:rPr>
          <w:rFonts w:cs="Calibri"/>
          <w:szCs w:val="20"/>
          <w:lang w:eastAsia="en-AU"/>
        </w:rPr>
        <w:t xml:space="preserve"> pharmacists attending</w:t>
      </w:r>
      <w:r w:rsidR="006A67DB">
        <w:rPr>
          <w:rFonts w:cs="Calibri"/>
          <w:szCs w:val="20"/>
          <w:lang w:eastAsia="en-AU"/>
        </w:rPr>
        <w:t xml:space="preserve"> than they would have expected given the interest in the program</w:t>
      </w:r>
      <w:r w:rsidR="00F551EA" w:rsidRPr="00F551EA">
        <w:rPr>
          <w:rFonts w:cs="Calibri"/>
          <w:szCs w:val="20"/>
          <w:lang w:eastAsia="en-AU"/>
        </w:rPr>
        <w:t>, and a much smaller number of GPs and other health professionals</w:t>
      </w:r>
      <w:r w:rsidR="006A67DB">
        <w:rPr>
          <w:rFonts w:cs="Calibri"/>
          <w:szCs w:val="20"/>
          <w:lang w:eastAsia="en-AU"/>
        </w:rPr>
        <w:t xml:space="preserve">. </w:t>
      </w:r>
      <w:r w:rsidR="005D13BC">
        <w:rPr>
          <w:rFonts w:cs="Calibri"/>
          <w:szCs w:val="20"/>
          <w:lang w:eastAsia="en-AU"/>
        </w:rPr>
        <w:t>In a written submission for the evaluation, the Guild commented that t</w:t>
      </w:r>
      <w:r w:rsidR="006A67DB">
        <w:rPr>
          <w:rFonts w:cs="Calibri"/>
          <w:szCs w:val="20"/>
          <w:lang w:eastAsia="en-AU"/>
        </w:rPr>
        <w:t xml:space="preserve">his low attendance </w:t>
      </w:r>
      <w:r w:rsidR="00F551EA" w:rsidRPr="00F551EA">
        <w:rPr>
          <w:rFonts w:cs="Calibri"/>
          <w:szCs w:val="20"/>
          <w:lang w:eastAsia="en-AU"/>
        </w:rPr>
        <w:t>impacted the workshops’ effectiveness and the overall awareness of the community pharmacy trial within the regions</w:t>
      </w:r>
      <w:r w:rsidR="005530F0">
        <w:rPr>
          <w:rFonts w:cs="Calibri"/>
          <w:szCs w:val="20"/>
          <w:lang w:eastAsia="en-AU"/>
        </w:rPr>
        <w:t xml:space="preserve">. The Guild </w:t>
      </w:r>
      <w:r w:rsidR="006A67DB">
        <w:rPr>
          <w:rFonts w:cs="Calibri"/>
          <w:szCs w:val="20"/>
          <w:lang w:eastAsia="en-AU"/>
        </w:rPr>
        <w:t xml:space="preserve">thought that the workshops would have been </w:t>
      </w:r>
      <w:r w:rsidR="00546497">
        <w:rPr>
          <w:rFonts w:cs="Calibri"/>
          <w:szCs w:val="20"/>
          <w:lang w:eastAsia="en-AU"/>
        </w:rPr>
        <w:t xml:space="preserve">better attended if they were held </w:t>
      </w:r>
      <w:r w:rsidR="00FA7C81" w:rsidRPr="00FA7C81">
        <w:rPr>
          <w:rFonts w:cs="Calibri"/>
          <w:szCs w:val="20"/>
          <w:lang w:eastAsia="en-AU"/>
        </w:rPr>
        <w:t xml:space="preserve">in </w:t>
      </w:r>
      <w:r w:rsidR="00FA7C81" w:rsidRPr="00FA7C81">
        <w:rPr>
          <w:rFonts w:cs="Calibri"/>
          <w:szCs w:val="20"/>
          <w:lang w:eastAsia="en-AU"/>
        </w:rPr>
        <w:lastRenderedPageBreak/>
        <w:t xml:space="preserve">early or mid-2019, to allow more time for pharmacies to register and prepare their pharmacies for the trial, and more time for the Guild to establish relationships with the PHN </w:t>
      </w:r>
      <w:r w:rsidR="00FA7C81">
        <w:rPr>
          <w:rFonts w:cs="Calibri"/>
          <w:szCs w:val="20"/>
          <w:lang w:eastAsia="en-AU"/>
        </w:rPr>
        <w:t>practice f</w:t>
      </w:r>
      <w:r w:rsidR="00FA7C81" w:rsidRPr="00FA7C81">
        <w:rPr>
          <w:rFonts w:cs="Calibri"/>
          <w:szCs w:val="20"/>
          <w:lang w:eastAsia="en-AU"/>
        </w:rPr>
        <w:t>acilitators.</w:t>
      </w:r>
    </w:p>
    <w:p w14:paraId="2A0F9192" w14:textId="77777777" w:rsidR="0062271C" w:rsidRPr="00B928FF" w:rsidRDefault="0062271C" w:rsidP="0062271C">
      <w:pPr>
        <w:pStyle w:val="Heading3"/>
        <w:rPr>
          <w:rFonts w:eastAsia="Times New Roman" w:cs="Arial"/>
          <w:color w:val="000000"/>
          <w:szCs w:val="20"/>
          <w:lang w:eastAsia="en-AU"/>
        </w:rPr>
      </w:pPr>
      <w:r w:rsidRPr="00B928FF">
        <w:rPr>
          <w:rFonts w:eastAsia="Times New Roman"/>
          <w:lang w:eastAsia="en-AU"/>
        </w:rPr>
        <w:t xml:space="preserve">Pharmacy guidelines </w:t>
      </w:r>
    </w:p>
    <w:p w14:paraId="325054EC" w14:textId="3F519EA0" w:rsidR="0062271C" w:rsidRPr="00CA41C2" w:rsidRDefault="0062271C" w:rsidP="0062271C">
      <w:pPr>
        <w:rPr>
          <w:rFonts w:cs="Calibri"/>
          <w:szCs w:val="20"/>
          <w:lang w:eastAsia="en-AU"/>
        </w:rPr>
      </w:pPr>
      <w:r w:rsidRPr="00CA41C2">
        <w:rPr>
          <w:rFonts w:cs="Calibri"/>
          <w:szCs w:val="20"/>
          <w:lang w:eastAsia="en-AU"/>
        </w:rPr>
        <w:t xml:space="preserve">The PSA was contracted by the Department to develop </w:t>
      </w:r>
      <w:r>
        <w:rPr>
          <w:rFonts w:cs="Calibri"/>
          <w:szCs w:val="20"/>
          <w:lang w:eastAsia="en-AU"/>
        </w:rPr>
        <w:t>g</w:t>
      </w:r>
      <w:r w:rsidRPr="00CA41C2">
        <w:rPr>
          <w:rFonts w:cs="Calibri"/>
          <w:szCs w:val="20"/>
          <w:lang w:eastAsia="en-AU"/>
        </w:rPr>
        <w:t xml:space="preserve">uidelines for pharmacists participating in </w:t>
      </w:r>
      <w:r>
        <w:rPr>
          <w:rFonts w:cs="Calibri"/>
          <w:szCs w:val="20"/>
          <w:lang w:eastAsia="en-AU"/>
        </w:rPr>
        <w:t>trial</w:t>
      </w:r>
      <w:r w:rsidR="006D51AF">
        <w:rPr>
          <w:rFonts w:cs="Calibri"/>
          <w:szCs w:val="20"/>
          <w:lang w:eastAsia="en-AU"/>
        </w:rPr>
        <w:t>.</w:t>
      </w:r>
      <w:r w:rsidR="003E4618" w:rsidRPr="002E2012">
        <w:rPr>
          <w:rStyle w:val="FootnoteReference"/>
          <w:rFonts w:cs="Calibri"/>
          <w:color w:val="408BCA"/>
          <w:szCs w:val="20"/>
          <w:lang w:eastAsia="en-AU"/>
        </w:rPr>
        <w:footnoteReference w:id="97"/>
      </w:r>
      <w:r>
        <w:rPr>
          <w:rFonts w:cs="Calibri"/>
          <w:szCs w:val="20"/>
          <w:lang w:eastAsia="en-AU"/>
        </w:rPr>
        <w:t xml:space="preserve"> </w:t>
      </w:r>
      <w:r w:rsidRPr="00CA41C2">
        <w:rPr>
          <w:rFonts w:cs="Calibri"/>
          <w:szCs w:val="20"/>
          <w:lang w:eastAsia="en-AU"/>
        </w:rPr>
        <w:t>The Guidelines contain</w:t>
      </w:r>
      <w:r w:rsidR="000567B6">
        <w:rPr>
          <w:rFonts w:cs="Calibri"/>
          <w:szCs w:val="20"/>
          <w:lang w:eastAsia="en-AU"/>
        </w:rPr>
        <w:t>ed</w:t>
      </w:r>
      <w:r w:rsidRPr="00CA41C2">
        <w:rPr>
          <w:rFonts w:cs="Calibri"/>
          <w:szCs w:val="20"/>
          <w:lang w:eastAsia="en-AU"/>
        </w:rPr>
        <w:t>:</w:t>
      </w:r>
    </w:p>
    <w:p w14:paraId="4ED6B521" w14:textId="2DC47ABD" w:rsidR="0062271C" w:rsidRPr="00CA41C2" w:rsidRDefault="0062271C" w:rsidP="00EB5918">
      <w:pPr>
        <w:numPr>
          <w:ilvl w:val="0"/>
          <w:numId w:val="21"/>
        </w:numPr>
        <w:ind w:left="714" w:hanging="357"/>
        <w:contextualSpacing/>
      </w:pPr>
      <w:r w:rsidRPr="00CA41C2">
        <w:t>Information about the trial – what it is, participating practices and ACCHS</w:t>
      </w:r>
      <w:r w:rsidR="003E1801">
        <w:t xml:space="preserve"> clinics</w:t>
      </w:r>
      <w:r w:rsidRPr="00CA41C2">
        <w:t>, aims and objectives, types of patients/patient eligibility</w:t>
      </w:r>
      <w:r>
        <w:t>.</w:t>
      </w:r>
    </w:p>
    <w:p w14:paraId="1DEF9333" w14:textId="77777777" w:rsidR="0062271C" w:rsidRPr="00CA41C2" w:rsidRDefault="0062271C" w:rsidP="00EB5918">
      <w:pPr>
        <w:numPr>
          <w:ilvl w:val="0"/>
          <w:numId w:val="21"/>
        </w:numPr>
        <w:ind w:left="714" w:hanging="357"/>
        <w:contextualSpacing/>
      </w:pPr>
      <w:r w:rsidRPr="00CA41C2">
        <w:t>The process – pharmacy registration, patient referrals and consent, initial consultation, medication management plan, follow-up review and supporting services included as part of the trial</w:t>
      </w:r>
      <w:r>
        <w:t>.</w:t>
      </w:r>
    </w:p>
    <w:p w14:paraId="0AEEC7B3" w14:textId="77777777" w:rsidR="0062271C" w:rsidRPr="00CA41C2" w:rsidRDefault="0062271C" w:rsidP="00EB5918">
      <w:pPr>
        <w:numPr>
          <w:ilvl w:val="0"/>
          <w:numId w:val="21"/>
        </w:numPr>
        <w:ind w:left="714" w:hanging="357"/>
        <w:contextualSpacing/>
      </w:pPr>
      <w:r w:rsidRPr="00CA41C2">
        <w:t>The shared care plan – what it is, pharmacists’ role in the shared care plan, communicating with HCHs and PHNs</w:t>
      </w:r>
      <w:r>
        <w:t>.</w:t>
      </w:r>
    </w:p>
    <w:p w14:paraId="056FCC0A" w14:textId="77777777" w:rsidR="0062271C" w:rsidRPr="00CA41C2" w:rsidRDefault="0062271C" w:rsidP="00EB5918">
      <w:pPr>
        <w:numPr>
          <w:ilvl w:val="0"/>
          <w:numId w:val="21"/>
        </w:numPr>
        <w:ind w:left="714" w:hanging="357"/>
        <w:contextualSpacing/>
      </w:pPr>
      <w:r w:rsidRPr="00CA41C2">
        <w:t>Health outcome data collection requirements – supporting documentation and recording platform software</w:t>
      </w:r>
      <w:r>
        <w:t>.</w:t>
      </w:r>
    </w:p>
    <w:p w14:paraId="2CF33CFA" w14:textId="77777777" w:rsidR="0062271C" w:rsidRPr="00CA41C2" w:rsidRDefault="0062271C" w:rsidP="00EB5918">
      <w:pPr>
        <w:numPr>
          <w:ilvl w:val="0"/>
          <w:numId w:val="21"/>
        </w:numPr>
        <w:ind w:left="714" w:hanging="357"/>
        <w:contextualSpacing/>
      </w:pPr>
      <w:r w:rsidRPr="00CA41C2">
        <w:t xml:space="preserve">How to participate in the </w:t>
      </w:r>
      <w:r>
        <w:t>t</w:t>
      </w:r>
      <w:r w:rsidRPr="00CA41C2">
        <w:t>rial: community pharmacy eligibility requirements and registration</w:t>
      </w:r>
      <w:r>
        <w:t>.</w:t>
      </w:r>
    </w:p>
    <w:p w14:paraId="0A771625" w14:textId="77777777" w:rsidR="0062271C" w:rsidRPr="00CA41C2" w:rsidRDefault="0062271C" w:rsidP="00EB5918">
      <w:pPr>
        <w:numPr>
          <w:ilvl w:val="0"/>
          <w:numId w:val="21"/>
        </w:numPr>
        <w:ind w:left="714" w:hanging="357"/>
        <w:contextualSpacing/>
      </w:pPr>
      <w:r w:rsidRPr="00CA41C2">
        <w:t xml:space="preserve">Requirements for participation – education and training, consultation area, shared care planning software, </w:t>
      </w:r>
      <w:proofErr w:type="spellStart"/>
      <w:r w:rsidRPr="00CA41C2">
        <w:t>GuildCare</w:t>
      </w:r>
      <w:proofErr w:type="spellEnd"/>
      <w:r w:rsidRPr="00CA41C2">
        <w:t xml:space="preserve"> software, My Health Record, patient privacy</w:t>
      </w:r>
    </w:p>
    <w:p w14:paraId="15993C52" w14:textId="77777777" w:rsidR="0062271C" w:rsidRPr="00CA41C2" w:rsidRDefault="0062271C" w:rsidP="00EB5918">
      <w:pPr>
        <w:numPr>
          <w:ilvl w:val="0"/>
          <w:numId w:val="21"/>
        </w:numPr>
        <w:ind w:left="714" w:hanging="357"/>
        <w:contextualSpacing/>
      </w:pPr>
      <w:r w:rsidRPr="00CA41C2">
        <w:t>Support for pharmacies: information and resources, PHN support.</w:t>
      </w:r>
    </w:p>
    <w:p w14:paraId="22627B63" w14:textId="2D36A728" w:rsidR="002061AC" w:rsidRDefault="0062271C" w:rsidP="00EB5918">
      <w:pPr>
        <w:numPr>
          <w:ilvl w:val="0"/>
          <w:numId w:val="21"/>
        </w:numPr>
        <w:ind w:left="714" w:hanging="357"/>
        <w:contextualSpacing/>
      </w:pPr>
      <w:r w:rsidRPr="00CA41C2">
        <w:t>Payment</w:t>
      </w:r>
      <w:r>
        <w:t xml:space="preserve"> –</w:t>
      </w:r>
      <w:r w:rsidRPr="00CA41C2">
        <w:t xml:space="preserve"> remuneration based on patient tier, payment schedule.</w:t>
      </w:r>
    </w:p>
    <w:p w14:paraId="05409144" w14:textId="77777777" w:rsidR="0062271C" w:rsidRPr="00CA41C2" w:rsidRDefault="0062271C" w:rsidP="0062271C">
      <w:pPr>
        <w:spacing w:after="0" w:line="259" w:lineRule="auto"/>
        <w:ind w:left="720"/>
        <w:contextualSpacing/>
      </w:pPr>
    </w:p>
    <w:p w14:paraId="19118292" w14:textId="77777777" w:rsidR="0062271C" w:rsidRPr="000B76AE" w:rsidRDefault="0062271C" w:rsidP="0062271C">
      <w:pPr>
        <w:pStyle w:val="Heading3"/>
        <w:rPr>
          <w:rFonts w:eastAsia="Times New Roman" w:cs="Arial"/>
          <w:color w:val="000000"/>
          <w:szCs w:val="20"/>
          <w:lang w:eastAsia="en-AU"/>
        </w:rPr>
      </w:pPr>
      <w:r w:rsidRPr="004F6008">
        <w:rPr>
          <w:rFonts w:eastAsia="Times New Roman"/>
        </w:rPr>
        <w:t>Guild support</w:t>
      </w:r>
    </w:p>
    <w:p w14:paraId="4FCADC9A" w14:textId="6AD2185B" w:rsidR="0062271C" w:rsidRPr="004F6008" w:rsidRDefault="0062271C" w:rsidP="0062271C">
      <w:pPr>
        <w:rPr>
          <w:szCs w:val="20"/>
        </w:rPr>
      </w:pPr>
      <w:r w:rsidRPr="004F6008">
        <w:rPr>
          <w:szCs w:val="20"/>
        </w:rPr>
        <w:t>Beyond contacting pharmacies to encourage them to participate in the initiative, interviewees reported that the Guild helped them install software, hosted training events and provided support via telephone</w:t>
      </w:r>
      <w:r>
        <w:rPr>
          <w:szCs w:val="20"/>
        </w:rPr>
        <w:t>:</w:t>
      </w:r>
    </w:p>
    <w:p w14:paraId="347DD750" w14:textId="77777777" w:rsidR="0062271C" w:rsidRPr="004F6008" w:rsidRDefault="0062271C" w:rsidP="0062271C">
      <w:pPr>
        <w:ind w:left="567" w:right="521"/>
        <w:rPr>
          <w:rFonts w:eastAsia="Times New Roman" w:cs="Arial"/>
          <w:color w:val="000000"/>
          <w:szCs w:val="20"/>
          <w:lang w:eastAsia="en-AU"/>
        </w:rPr>
      </w:pPr>
      <w:r>
        <w:rPr>
          <w:rFonts w:eastAsia="Times New Roman" w:cs="Arial"/>
          <w:i/>
          <w:iCs/>
          <w:color w:val="000000"/>
          <w:szCs w:val="20"/>
          <w:lang w:eastAsia="en-AU"/>
        </w:rPr>
        <w:t xml:space="preserve">“… </w:t>
      </w:r>
      <w:r w:rsidRPr="004F6008">
        <w:rPr>
          <w:rFonts w:eastAsia="Times New Roman" w:cs="Arial"/>
          <w:i/>
          <w:iCs/>
          <w:color w:val="000000"/>
          <w:szCs w:val="20"/>
          <w:lang w:eastAsia="en-AU"/>
        </w:rPr>
        <w:t xml:space="preserve">the Pharmacy Guild installed the </w:t>
      </w:r>
      <w:proofErr w:type="spellStart"/>
      <w:r w:rsidRPr="004F6008">
        <w:rPr>
          <w:rFonts w:eastAsia="Times New Roman" w:cs="Arial"/>
          <w:i/>
          <w:iCs/>
          <w:color w:val="000000"/>
          <w:szCs w:val="20"/>
          <w:lang w:eastAsia="en-AU"/>
        </w:rPr>
        <w:t>GuildCare</w:t>
      </w:r>
      <w:proofErr w:type="spellEnd"/>
      <w:r w:rsidRPr="004F6008">
        <w:rPr>
          <w:rFonts w:eastAsia="Times New Roman" w:cs="Arial"/>
          <w:i/>
          <w:iCs/>
          <w:color w:val="000000"/>
          <w:szCs w:val="20"/>
          <w:lang w:eastAsia="en-AU"/>
        </w:rPr>
        <w:t xml:space="preserve"> </w:t>
      </w:r>
      <w:r>
        <w:rPr>
          <w:rFonts w:eastAsia="Times New Roman" w:cs="Arial"/>
          <w:i/>
          <w:iCs/>
          <w:color w:val="000000"/>
          <w:szCs w:val="20"/>
          <w:lang w:eastAsia="en-AU"/>
        </w:rPr>
        <w:t>program</w:t>
      </w:r>
      <w:r w:rsidRPr="004F6008">
        <w:rPr>
          <w:rFonts w:eastAsia="Times New Roman" w:cs="Arial"/>
          <w:i/>
          <w:iCs/>
          <w:color w:val="000000"/>
          <w:szCs w:val="20"/>
          <w:lang w:eastAsia="en-AU"/>
        </w:rPr>
        <w:t xml:space="preserve"> for us to be able to conduct the interviews and that sort of thing for the</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 xml:space="preserve">And prepare the medication management plan.” </w:t>
      </w:r>
      <w:r w:rsidRPr="004F6008">
        <w:rPr>
          <w:rFonts w:eastAsia="Times New Roman" w:cs="Arial"/>
          <w:color w:val="000000"/>
          <w:szCs w:val="20"/>
          <w:lang w:eastAsia="en-AU"/>
        </w:rPr>
        <w:t>[CP, R4, Pharmacy 06]</w:t>
      </w:r>
    </w:p>
    <w:p w14:paraId="5AB9E9F5" w14:textId="77777777" w:rsidR="0062271C" w:rsidRPr="004F6008" w:rsidRDefault="0062271C" w:rsidP="0062271C">
      <w:pPr>
        <w:ind w:left="567" w:right="521"/>
        <w:rPr>
          <w:rFonts w:eastAsia="Times New Roman"/>
          <w:szCs w:val="20"/>
          <w:lang w:eastAsia="en-AU"/>
        </w:rPr>
      </w:pPr>
      <w:r w:rsidRPr="004F6008">
        <w:rPr>
          <w:rFonts w:eastAsia="Times New Roman" w:cs="Arial"/>
          <w:i/>
          <w:iCs/>
          <w:color w:val="000000"/>
          <w:szCs w:val="20"/>
          <w:lang w:eastAsia="en-AU"/>
        </w:rPr>
        <w:t>“I attended, like, a seminar. I don’t know if they call it seminar, but there was a night that which I attend, and then basically we’re doing case studies and things like that. And then we’re discussing with our peers about the services we could provide.”</w:t>
      </w:r>
      <w:r w:rsidRPr="004F6008">
        <w:rPr>
          <w:rFonts w:eastAsia="Times New Roman"/>
          <w:i/>
          <w:iCs/>
          <w:szCs w:val="20"/>
          <w:lang w:eastAsia="en-AU"/>
        </w:rPr>
        <w:t xml:space="preserve"> </w:t>
      </w:r>
      <w:r w:rsidRPr="004F6008">
        <w:rPr>
          <w:rFonts w:eastAsia="Times New Roman"/>
          <w:szCs w:val="20"/>
          <w:lang w:eastAsia="en-AU"/>
        </w:rPr>
        <w:t>[CP, R4, Pharmacy 07]</w:t>
      </w:r>
    </w:p>
    <w:p w14:paraId="29514A4D" w14:textId="77777777" w:rsidR="0062271C" w:rsidRDefault="0062271C" w:rsidP="0062271C">
      <w:pPr>
        <w:ind w:left="567" w:right="521"/>
        <w:rPr>
          <w:rFonts w:eastAsia="Times New Roman" w:cs="Arial"/>
          <w:color w:val="000000"/>
          <w:szCs w:val="20"/>
          <w:lang w:eastAsia="en-AU"/>
        </w:rPr>
      </w:pPr>
      <w:r w:rsidRPr="004F6008">
        <w:rPr>
          <w:rFonts w:eastAsia="Times New Roman" w:cs="Arial"/>
          <w:i/>
          <w:iCs/>
          <w:color w:val="000000"/>
          <w:szCs w:val="20"/>
          <w:lang w:eastAsia="en-AU"/>
        </w:rPr>
        <w:t>“The first couple of times I had issues, I just contacted their number and somebody wrote me back</w:t>
      </w:r>
      <w:r>
        <w:rPr>
          <w:rFonts w:eastAsia="Times New Roman" w:cs="Arial"/>
          <w:i/>
          <w:iCs/>
          <w:color w:val="000000"/>
          <w:szCs w:val="20"/>
          <w:lang w:eastAsia="en-AU"/>
        </w:rPr>
        <w:t xml:space="preserve"> … </w:t>
      </w:r>
      <w:r w:rsidRPr="004F6008">
        <w:rPr>
          <w:rFonts w:eastAsia="Times New Roman" w:cs="Arial"/>
          <w:i/>
          <w:iCs/>
          <w:color w:val="000000"/>
          <w:szCs w:val="20"/>
          <w:lang w:eastAsia="en-AU"/>
        </w:rPr>
        <w:t>but we do have somebody that works at the Guild that we know well, so if I was really stuck I could call her.”</w:t>
      </w:r>
      <w:r w:rsidRPr="004F6008">
        <w:rPr>
          <w:rFonts w:eastAsia="Times New Roman" w:cs="Arial"/>
          <w:color w:val="000000"/>
          <w:szCs w:val="20"/>
          <w:lang w:eastAsia="en-AU"/>
        </w:rPr>
        <w:t xml:space="preserve"> [CP, R4, Pharmacy 10]</w:t>
      </w:r>
    </w:p>
    <w:p w14:paraId="2E9C2DD6" w14:textId="77777777" w:rsidR="0062271C" w:rsidRDefault="0062271C" w:rsidP="0062271C">
      <w:pPr>
        <w:rPr>
          <w:rFonts w:eastAsia="Times New Roman"/>
          <w:szCs w:val="20"/>
          <w:lang w:eastAsia="en-AU"/>
        </w:rPr>
      </w:pPr>
      <w:r w:rsidRPr="0081619F">
        <w:rPr>
          <w:rFonts w:eastAsia="Times New Roman"/>
          <w:szCs w:val="20"/>
          <w:lang w:eastAsia="en-AU"/>
        </w:rPr>
        <w:lastRenderedPageBreak/>
        <w:t>The Guild</w:t>
      </w:r>
      <w:r>
        <w:rPr>
          <w:rFonts w:eastAsia="Times New Roman"/>
          <w:szCs w:val="20"/>
          <w:lang w:eastAsia="en-AU"/>
        </w:rPr>
        <w:t xml:space="preserve"> also established a</w:t>
      </w:r>
      <w:r w:rsidRPr="0081619F">
        <w:rPr>
          <w:rFonts w:eastAsia="Times New Roman"/>
          <w:szCs w:val="20"/>
          <w:lang w:eastAsia="en-AU"/>
        </w:rPr>
        <w:t xml:space="preserve"> helpline for the </w:t>
      </w:r>
      <w:r>
        <w:rPr>
          <w:rFonts w:eastAsia="Times New Roman"/>
          <w:szCs w:val="20"/>
          <w:lang w:eastAsia="en-AU"/>
        </w:rPr>
        <w:t>t</w:t>
      </w:r>
      <w:r w:rsidRPr="0081619F">
        <w:rPr>
          <w:rFonts w:eastAsia="Times New Roman"/>
          <w:szCs w:val="20"/>
          <w:lang w:eastAsia="en-AU"/>
        </w:rPr>
        <w:t>rial</w:t>
      </w:r>
      <w:r>
        <w:rPr>
          <w:rFonts w:eastAsia="Times New Roman"/>
          <w:szCs w:val="20"/>
          <w:lang w:eastAsia="en-AU"/>
        </w:rPr>
        <w:t>,</w:t>
      </w:r>
      <w:r w:rsidRPr="0081619F">
        <w:rPr>
          <w:rFonts w:eastAsia="Times New Roman"/>
          <w:szCs w:val="20"/>
          <w:lang w:eastAsia="en-AU"/>
        </w:rPr>
        <w:t xml:space="preserve"> with the project team available to respond to specific queries and support pharmacies requir</w:t>
      </w:r>
      <w:r>
        <w:rPr>
          <w:rFonts w:eastAsia="Times New Roman"/>
          <w:szCs w:val="20"/>
          <w:lang w:eastAsia="en-AU"/>
        </w:rPr>
        <w:t>ing</w:t>
      </w:r>
      <w:r w:rsidRPr="0081619F">
        <w:rPr>
          <w:rFonts w:eastAsia="Times New Roman"/>
          <w:szCs w:val="20"/>
          <w:lang w:eastAsia="en-AU"/>
        </w:rPr>
        <w:t xml:space="preserve"> additional assistance.</w:t>
      </w:r>
      <w:r>
        <w:rPr>
          <w:rFonts w:eastAsia="Times New Roman"/>
          <w:szCs w:val="20"/>
          <w:lang w:eastAsia="en-AU"/>
        </w:rPr>
        <w:t xml:space="preserve"> Support was also offered through </w:t>
      </w:r>
      <w:r w:rsidRPr="0081619F">
        <w:rPr>
          <w:rFonts w:eastAsia="Times New Roman"/>
          <w:szCs w:val="20"/>
          <w:lang w:eastAsia="en-AU"/>
        </w:rPr>
        <w:t>the</w:t>
      </w:r>
      <w:r>
        <w:rPr>
          <w:rFonts w:eastAsia="Times New Roman"/>
          <w:szCs w:val="20"/>
          <w:lang w:eastAsia="en-AU"/>
        </w:rPr>
        <w:t xml:space="preserve"> Guild’s</w:t>
      </w:r>
      <w:r w:rsidRPr="0081619F">
        <w:rPr>
          <w:rFonts w:eastAsia="Times New Roman"/>
          <w:szCs w:val="20"/>
          <w:lang w:eastAsia="en-AU"/>
        </w:rPr>
        <w:t xml:space="preserve"> state branches. </w:t>
      </w:r>
      <w:r w:rsidRPr="00300B96">
        <w:rPr>
          <w:rFonts w:eastAsia="Times New Roman"/>
          <w:szCs w:val="20"/>
          <w:lang w:eastAsia="en-AU"/>
        </w:rPr>
        <w:t>The Guild provided the same supports to member and non-member pharmacies</w:t>
      </w:r>
      <w:r>
        <w:rPr>
          <w:rFonts w:eastAsia="Times New Roman"/>
          <w:szCs w:val="20"/>
          <w:lang w:eastAsia="en-AU"/>
        </w:rPr>
        <w:t>.</w:t>
      </w:r>
    </w:p>
    <w:p w14:paraId="3897379F" w14:textId="77777777" w:rsidR="0062271C" w:rsidRDefault="0062271C" w:rsidP="0062271C">
      <w:pPr>
        <w:pStyle w:val="Heading4"/>
        <w:spacing w:after="200"/>
      </w:pPr>
      <w:r w:rsidRPr="00704868">
        <w:t>Resource repository</w:t>
      </w:r>
    </w:p>
    <w:p w14:paraId="1C3D902D" w14:textId="0B6B2681" w:rsidR="0062271C" w:rsidRPr="004E0296" w:rsidRDefault="0062271C" w:rsidP="0062271C">
      <w:pPr>
        <w:rPr>
          <w:rFonts w:cs="Calibri"/>
          <w:lang w:eastAsia="en-AU"/>
        </w:rPr>
      </w:pPr>
      <w:r w:rsidRPr="004E0296">
        <w:rPr>
          <w:rFonts w:cs="Calibri"/>
          <w:lang w:eastAsia="en-AU"/>
        </w:rPr>
        <w:t>The Guild created an online repository for stakeholders</w:t>
      </w:r>
      <w:r>
        <w:rPr>
          <w:rFonts w:cs="Calibri"/>
          <w:lang w:eastAsia="en-AU"/>
        </w:rPr>
        <w:t>,</w:t>
      </w:r>
      <w:r w:rsidRPr="004E0296">
        <w:rPr>
          <w:rFonts w:cs="Calibri"/>
          <w:lang w:eastAsia="en-AU"/>
        </w:rPr>
        <w:t xml:space="preserve"> including the Guild state branches and PHNs. These folders contain</w:t>
      </w:r>
      <w:r w:rsidR="00841485">
        <w:rPr>
          <w:rFonts w:cs="Calibri"/>
          <w:lang w:eastAsia="en-AU"/>
        </w:rPr>
        <w:t>ed</w:t>
      </w:r>
      <w:r w:rsidRPr="004E0296">
        <w:rPr>
          <w:rFonts w:cs="Calibri"/>
          <w:lang w:eastAsia="en-AU"/>
        </w:rPr>
        <w:t xml:space="preserve"> the available resources and collateral to assist pharmacies to implement the </w:t>
      </w:r>
      <w:r>
        <w:rPr>
          <w:rFonts w:cs="Calibri"/>
          <w:lang w:eastAsia="en-AU"/>
        </w:rPr>
        <w:t>trial</w:t>
      </w:r>
      <w:r w:rsidRPr="004E0296">
        <w:rPr>
          <w:rFonts w:cs="Calibri"/>
          <w:lang w:eastAsia="en-AU"/>
        </w:rPr>
        <w:t>, including guides on how to engage with their local HCH, how to identify eligible patients in the pharmacy and patient consent forms and other materials.</w:t>
      </w:r>
    </w:p>
    <w:p w14:paraId="00D0D7C8" w14:textId="223D5B37" w:rsidR="0062271C" w:rsidRDefault="0062271C" w:rsidP="0062271C">
      <w:pPr>
        <w:rPr>
          <w:rFonts w:cs="Calibri"/>
          <w:lang w:eastAsia="en-AU"/>
        </w:rPr>
      </w:pPr>
      <w:r w:rsidRPr="004E0296">
        <w:rPr>
          <w:rFonts w:cs="Calibri"/>
          <w:lang w:eastAsia="en-AU"/>
        </w:rPr>
        <w:t>The folders also provide</w:t>
      </w:r>
      <w:r w:rsidR="00E67D95">
        <w:rPr>
          <w:rFonts w:cs="Calibri"/>
          <w:lang w:eastAsia="en-AU"/>
        </w:rPr>
        <w:t>d</w:t>
      </w:r>
      <w:r w:rsidRPr="004E0296">
        <w:rPr>
          <w:rFonts w:cs="Calibri"/>
          <w:lang w:eastAsia="en-AU"/>
        </w:rPr>
        <w:t xml:space="preserve"> reports for the state branches detailing which pharmacies </w:t>
      </w:r>
      <w:r w:rsidR="00E67D95">
        <w:rPr>
          <w:rFonts w:cs="Calibri"/>
          <w:lang w:eastAsia="en-AU"/>
        </w:rPr>
        <w:t>were</w:t>
      </w:r>
      <w:r w:rsidRPr="004E0296">
        <w:rPr>
          <w:rFonts w:cs="Calibri"/>
          <w:lang w:eastAsia="en-AU"/>
        </w:rPr>
        <w:t xml:space="preserve"> participating within each jurisdiction</w:t>
      </w:r>
      <w:r>
        <w:rPr>
          <w:rFonts w:cs="Calibri"/>
          <w:lang w:eastAsia="en-AU"/>
        </w:rPr>
        <w:t>,</w:t>
      </w:r>
      <w:r w:rsidRPr="004E0296">
        <w:rPr>
          <w:rFonts w:cs="Calibri"/>
          <w:lang w:eastAsia="en-AU"/>
        </w:rPr>
        <w:t xml:space="preserve"> and those that elected not to participate. This </w:t>
      </w:r>
      <w:r w:rsidR="00E67D95">
        <w:rPr>
          <w:rFonts w:cs="Calibri"/>
          <w:lang w:eastAsia="en-AU"/>
        </w:rPr>
        <w:t>wa</w:t>
      </w:r>
      <w:r w:rsidRPr="004E0296">
        <w:rPr>
          <w:rFonts w:cs="Calibri"/>
          <w:lang w:eastAsia="en-AU"/>
        </w:rPr>
        <w:t xml:space="preserve">s to ensure there </w:t>
      </w:r>
      <w:r w:rsidR="00E67D95">
        <w:rPr>
          <w:rFonts w:cs="Calibri"/>
          <w:lang w:eastAsia="en-AU"/>
        </w:rPr>
        <w:t>wa</w:t>
      </w:r>
      <w:r w:rsidRPr="004E0296">
        <w:rPr>
          <w:rFonts w:cs="Calibri"/>
          <w:lang w:eastAsia="en-AU"/>
        </w:rPr>
        <w:t>s a coordinated approach to implementation across the national and state offices</w:t>
      </w:r>
      <w:r w:rsidR="0028715F">
        <w:rPr>
          <w:rFonts w:cs="Calibri"/>
          <w:lang w:eastAsia="en-AU"/>
        </w:rPr>
        <w:t>:</w:t>
      </w:r>
    </w:p>
    <w:p w14:paraId="66F2C76E" w14:textId="77777777" w:rsidR="0062271C" w:rsidRPr="004E0296" w:rsidRDefault="0062271C" w:rsidP="00FD30E9">
      <w:pPr>
        <w:ind w:left="567" w:right="522"/>
        <w:rPr>
          <w:rFonts w:cs="Calibri"/>
          <w:lang w:eastAsia="en-AU"/>
        </w:rPr>
      </w:pPr>
      <w:r>
        <w:rPr>
          <w:rFonts w:cs="Calibri"/>
          <w:i/>
          <w:iCs/>
          <w:lang w:eastAsia="en-AU"/>
        </w:rPr>
        <w:t xml:space="preserve">“… </w:t>
      </w:r>
      <w:r w:rsidRPr="004E0296">
        <w:rPr>
          <w:rFonts w:cs="Calibri"/>
          <w:i/>
          <w:iCs/>
          <w:lang w:eastAsia="en-AU"/>
        </w:rPr>
        <w:t>We host online shared folders with our stakeholders, so PHNs and the branches primarily. So, these online folders contain reports on which pharmacies we’ve been contacting in their regions for the PHNs and for the branches, so they know what the status of the pharmacies are.</w:t>
      </w:r>
      <w:r>
        <w:rPr>
          <w:rFonts w:cs="Calibri"/>
          <w:i/>
          <w:iCs/>
          <w:lang w:eastAsia="en-AU"/>
        </w:rPr>
        <w:t xml:space="preserve"> </w:t>
      </w:r>
      <w:r w:rsidRPr="004E0296">
        <w:rPr>
          <w:rFonts w:cs="Calibri"/>
          <w:i/>
          <w:iCs/>
          <w:lang w:eastAsia="en-AU"/>
        </w:rPr>
        <w:t xml:space="preserve">So, they might have 90% of the pharmacies in South Australia have registered for the </w:t>
      </w:r>
      <w:r>
        <w:rPr>
          <w:rFonts w:cs="Calibri"/>
          <w:i/>
          <w:iCs/>
          <w:lang w:eastAsia="en-AU"/>
        </w:rPr>
        <w:t>program</w:t>
      </w:r>
      <w:r w:rsidRPr="004E0296">
        <w:rPr>
          <w:rFonts w:cs="Calibri"/>
          <w:i/>
          <w:iCs/>
          <w:lang w:eastAsia="en-AU"/>
        </w:rPr>
        <w:t xml:space="preserve"> and the other 10% haven’t. And, I’ve got notes in there telling the branch why they haven’t registered. So, please don’t pester those pharmacies, but please help the other ones in terms of onboarding them. So, those are shared folders for our stakeholders</w:t>
      </w:r>
      <w:r>
        <w:rPr>
          <w:rFonts w:cs="Calibri"/>
          <w:i/>
          <w:iCs/>
          <w:lang w:eastAsia="en-AU"/>
        </w:rPr>
        <w:t xml:space="preserve"> …” </w:t>
      </w:r>
      <w:r>
        <w:rPr>
          <w:rFonts w:cs="Calibri"/>
          <w:lang w:eastAsia="en-AU"/>
        </w:rPr>
        <w:t>[R4, Pharmacy Guild]</w:t>
      </w:r>
    </w:p>
    <w:p w14:paraId="0AD9B483" w14:textId="77777777" w:rsidR="0062271C" w:rsidRDefault="0062271C" w:rsidP="0062271C">
      <w:pPr>
        <w:rPr>
          <w:rFonts w:cs="Calibri"/>
          <w:lang w:eastAsia="en-AU"/>
        </w:rPr>
      </w:pPr>
      <w:r w:rsidRPr="004E0296">
        <w:rPr>
          <w:rFonts w:cs="Calibri"/>
          <w:lang w:eastAsia="en-AU"/>
        </w:rPr>
        <w:t>To assist PHNs and ACCH</w:t>
      </w:r>
      <w:r>
        <w:rPr>
          <w:rFonts w:cs="Calibri"/>
          <w:lang w:eastAsia="en-AU"/>
        </w:rPr>
        <w:t>S</w:t>
      </w:r>
      <w:r w:rsidRPr="004E0296">
        <w:rPr>
          <w:rFonts w:cs="Calibri"/>
          <w:lang w:eastAsia="en-AU"/>
        </w:rPr>
        <w:t>, the Guild packaged up the resources in a user-friendly way so that staff could download and use the materials to promote the service to HCHs.</w:t>
      </w:r>
    </w:p>
    <w:p w14:paraId="51DD3BEA" w14:textId="77777777" w:rsidR="0062271C" w:rsidRPr="004F6008" w:rsidRDefault="0062271C" w:rsidP="0062271C">
      <w:pPr>
        <w:pStyle w:val="Heading3"/>
        <w:rPr>
          <w:rFonts w:eastAsia="Times New Roman"/>
          <w:szCs w:val="20"/>
        </w:rPr>
      </w:pPr>
      <w:r w:rsidRPr="004F6008">
        <w:rPr>
          <w:rFonts w:eastAsia="Times New Roman"/>
        </w:rPr>
        <w:t xml:space="preserve">PHN support </w:t>
      </w:r>
    </w:p>
    <w:p w14:paraId="2F5066A9" w14:textId="580CD333" w:rsidR="0062271C" w:rsidRPr="004F6008" w:rsidRDefault="0062271C" w:rsidP="0062271C">
      <w:pPr>
        <w:rPr>
          <w:szCs w:val="20"/>
        </w:rPr>
      </w:pPr>
      <w:r w:rsidRPr="004F6008">
        <w:rPr>
          <w:szCs w:val="20"/>
        </w:rPr>
        <w:t>PHN support</w:t>
      </w:r>
      <w:r w:rsidR="005E31B1">
        <w:rPr>
          <w:szCs w:val="20"/>
        </w:rPr>
        <w:t xml:space="preserve"> to pharmacies</w:t>
      </w:r>
      <w:r w:rsidRPr="004F6008">
        <w:rPr>
          <w:szCs w:val="20"/>
        </w:rPr>
        <w:t xml:space="preserve"> </w:t>
      </w:r>
      <w:r w:rsidR="00416E1E">
        <w:rPr>
          <w:szCs w:val="20"/>
        </w:rPr>
        <w:t>was</w:t>
      </w:r>
      <w:r w:rsidRPr="004F6008">
        <w:rPr>
          <w:szCs w:val="20"/>
        </w:rPr>
        <w:t xml:space="preserve"> variable</w:t>
      </w:r>
      <w:r w:rsidR="00FA2FBD">
        <w:rPr>
          <w:szCs w:val="20"/>
        </w:rPr>
        <w:t>. S</w:t>
      </w:r>
      <w:r w:rsidRPr="004F6008">
        <w:rPr>
          <w:szCs w:val="20"/>
        </w:rPr>
        <w:t xml:space="preserve">ome </w:t>
      </w:r>
      <w:r>
        <w:rPr>
          <w:szCs w:val="20"/>
        </w:rPr>
        <w:t xml:space="preserve">of the community pharmacists </w:t>
      </w:r>
      <w:r w:rsidR="00FA2FBD">
        <w:rPr>
          <w:szCs w:val="20"/>
        </w:rPr>
        <w:t>stated</w:t>
      </w:r>
      <w:r w:rsidRPr="004F6008">
        <w:rPr>
          <w:szCs w:val="20"/>
        </w:rPr>
        <w:t xml:space="preserve"> that their PHN encouraged them to join and </w:t>
      </w:r>
      <w:r>
        <w:rPr>
          <w:szCs w:val="20"/>
        </w:rPr>
        <w:t>provided</w:t>
      </w:r>
      <w:r w:rsidRPr="004F6008">
        <w:rPr>
          <w:szCs w:val="20"/>
        </w:rPr>
        <w:t xml:space="preserve"> support. Th</w:t>
      </w:r>
      <w:r>
        <w:rPr>
          <w:szCs w:val="20"/>
        </w:rPr>
        <w:t>e</w:t>
      </w:r>
      <w:r w:rsidRPr="004F6008">
        <w:rPr>
          <w:szCs w:val="20"/>
        </w:rPr>
        <w:t xml:space="preserve"> support came in the form of PHN</w:t>
      </w:r>
      <w:r>
        <w:rPr>
          <w:szCs w:val="20"/>
        </w:rPr>
        <w:t xml:space="preserve"> practice</w:t>
      </w:r>
      <w:r w:rsidRPr="004F6008">
        <w:rPr>
          <w:szCs w:val="20"/>
        </w:rPr>
        <w:t xml:space="preserve"> </w:t>
      </w:r>
      <w:r>
        <w:rPr>
          <w:szCs w:val="20"/>
        </w:rPr>
        <w:t xml:space="preserve">facilitator </w:t>
      </w:r>
      <w:r w:rsidRPr="004F6008">
        <w:rPr>
          <w:szCs w:val="20"/>
        </w:rPr>
        <w:t>visits to the pharmacy, phone support and in-person training sessions</w:t>
      </w:r>
      <w:r>
        <w:rPr>
          <w:szCs w:val="20"/>
        </w:rPr>
        <w:t>:</w:t>
      </w:r>
    </w:p>
    <w:p w14:paraId="3A7F3564" w14:textId="77777777" w:rsidR="0062271C" w:rsidRPr="004F6008" w:rsidRDefault="0062271C" w:rsidP="00FD30E9">
      <w:pPr>
        <w:ind w:left="567" w:right="522"/>
        <w:rPr>
          <w:szCs w:val="20"/>
        </w:rPr>
      </w:pPr>
      <w:r w:rsidRPr="004F6008">
        <w:rPr>
          <w:i/>
          <w:iCs/>
          <w:szCs w:val="20"/>
        </w:rPr>
        <w:t>“The PHN</w:t>
      </w:r>
      <w:r>
        <w:rPr>
          <w:i/>
          <w:iCs/>
          <w:szCs w:val="20"/>
        </w:rPr>
        <w:t xml:space="preserve"> [facilitator]</w:t>
      </w:r>
      <w:r w:rsidRPr="004F6008">
        <w:rPr>
          <w:i/>
          <w:iCs/>
          <w:szCs w:val="20"/>
        </w:rPr>
        <w:t xml:space="preserve"> came out</w:t>
      </w:r>
      <w:r>
        <w:rPr>
          <w:i/>
          <w:iCs/>
          <w:szCs w:val="20"/>
        </w:rPr>
        <w:t xml:space="preserve"> … </w:t>
      </w:r>
      <w:r w:rsidRPr="004F6008">
        <w:rPr>
          <w:i/>
          <w:iCs/>
          <w:szCs w:val="20"/>
        </w:rPr>
        <w:t xml:space="preserve">she was actually helpful in showing me </w:t>
      </w:r>
      <w:r>
        <w:rPr>
          <w:i/>
          <w:iCs/>
          <w:szCs w:val="20"/>
        </w:rPr>
        <w:t xml:space="preserve">[the shared care software platform] … </w:t>
      </w:r>
      <w:r w:rsidRPr="004F6008">
        <w:rPr>
          <w:i/>
          <w:iCs/>
          <w:szCs w:val="20"/>
        </w:rPr>
        <w:t>and showing me some new things that I hadn’t discovered myself. And then just offering more like additional services that we could offer to patients. So I think she suggested the whole blood pressure monitoring or calibration thing, all those sorts of services.”</w:t>
      </w:r>
      <w:r w:rsidRPr="004F6008">
        <w:rPr>
          <w:szCs w:val="20"/>
        </w:rPr>
        <w:t xml:space="preserve"> [CP, R4, Practice 02]</w:t>
      </w:r>
    </w:p>
    <w:p w14:paraId="3D30088E" w14:textId="77777777" w:rsidR="0062271C" w:rsidRPr="004F6008" w:rsidRDefault="0062271C" w:rsidP="00FD30E9">
      <w:pPr>
        <w:ind w:left="567" w:right="522"/>
        <w:rPr>
          <w:rFonts w:eastAsia="Times New Roman" w:cs="Arial"/>
          <w:color w:val="000000"/>
          <w:szCs w:val="20"/>
          <w:lang w:eastAsia="en-AU"/>
        </w:rPr>
      </w:pPr>
      <w:r w:rsidRPr="004F6008">
        <w:rPr>
          <w:rFonts w:eastAsia="Times New Roman" w:cs="Arial"/>
          <w:i/>
          <w:iCs/>
          <w:color w:val="000000"/>
          <w:szCs w:val="20"/>
          <w:lang w:eastAsia="en-AU"/>
        </w:rPr>
        <w:t>“So it’s been positive, I don’t feel negative about my interaction with the PHN. I know who to contact there. I know if I have any questions where to go and ask them.”</w:t>
      </w:r>
      <w:r w:rsidRPr="004F6008">
        <w:rPr>
          <w:rFonts w:eastAsia="Times New Roman" w:cs="Arial"/>
          <w:color w:val="000000"/>
          <w:szCs w:val="20"/>
          <w:lang w:eastAsia="en-AU"/>
        </w:rPr>
        <w:t xml:space="preserve"> [CP, R4, Pharmacy 04]</w:t>
      </w:r>
    </w:p>
    <w:p w14:paraId="76C51782" w14:textId="77777777" w:rsidR="0062271C" w:rsidRPr="004F6008" w:rsidRDefault="0062271C" w:rsidP="00FD30E9">
      <w:pPr>
        <w:ind w:left="567" w:right="522"/>
        <w:rPr>
          <w:rFonts w:eastAsia="Times New Roman"/>
          <w:szCs w:val="20"/>
          <w:lang w:eastAsia="en-AU"/>
        </w:rPr>
      </w:pPr>
      <w:r w:rsidRPr="004F6008">
        <w:rPr>
          <w:rFonts w:eastAsia="Times New Roman" w:cs="Arial"/>
          <w:i/>
          <w:iCs/>
          <w:color w:val="000000"/>
          <w:szCs w:val="20"/>
          <w:lang w:eastAsia="en-AU"/>
        </w:rPr>
        <w:lastRenderedPageBreak/>
        <w:t>“I think the primary health care</w:t>
      </w:r>
      <w:r>
        <w:rPr>
          <w:rFonts w:eastAsia="Times New Roman" w:cs="Arial"/>
          <w:i/>
          <w:iCs/>
          <w:color w:val="000000"/>
          <w:szCs w:val="20"/>
          <w:lang w:eastAsia="en-AU"/>
        </w:rPr>
        <w:t xml:space="preserve"> [network]</w:t>
      </w:r>
      <w:r w:rsidRPr="004F6008">
        <w:rPr>
          <w:rFonts w:eastAsia="Times New Roman" w:cs="Arial"/>
          <w:i/>
          <w:iCs/>
          <w:color w:val="000000"/>
          <w:szCs w:val="20"/>
          <w:lang w:eastAsia="en-AU"/>
        </w:rPr>
        <w:t xml:space="preserve"> did a few sessions in [</w:t>
      </w:r>
      <w:r>
        <w:rPr>
          <w:rFonts w:eastAsia="Times New Roman" w:cs="Arial"/>
          <w:i/>
          <w:iCs/>
          <w:color w:val="000000"/>
          <w:szCs w:val="20"/>
          <w:lang w:eastAsia="en-AU"/>
        </w:rPr>
        <w:t>c</w:t>
      </w:r>
      <w:r w:rsidRPr="004F6008">
        <w:rPr>
          <w:rFonts w:eastAsia="Times New Roman" w:cs="Arial"/>
          <w:i/>
          <w:iCs/>
          <w:color w:val="000000"/>
          <w:szCs w:val="20"/>
          <w:lang w:eastAsia="en-AU"/>
        </w:rPr>
        <w:t>ity] and I attended those, and we learned more and more of what needed to be done.”</w:t>
      </w:r>
      <w:r w:rsidRPr="004F6008">
        <w:rPr>
          <w:rFonts w:eastAsia="Times New Roman" w:cs="Arial"/>
          <w:color w:val="000000"/>
          <w:szCs w:val="20"/>
          <w:lang w:eastAsia="en-AU"/>
        </w:rPr>
        <w:t xml:space="preserve"> [CP, R4, Pharmacy 08]</w:t>
      </w:r>
    </w:p>
    <w:p w14:paraId="0223D3F6" w14:textId="68C9E856" w:rsidR="0062271C" w:rsidRPr="004F6008" w:rsidRDefault="0062271C" w:rsidP="0062271C">
      <w:pPr>
        <w:rPr>
          <w:rFonts w:eastAsia="Times New Roman"/>
          <w:szCs w:val="20"/>
          <w:lang w:eastAsia="en-AU"/>
        </w:rPr>
      </w:pPr>
      <w:r>
        <w:rPr>
          <w:rFonts w:eastAsia="Times New Roman"/>
          <w:szCs w:val="20"/>
          <w:lang w:eastAsia="en-AU"/>
        </w:rPr>
        <w:t>O</w:t>
      </w:r>
      <w:r w:rsidRPr="004F6008">
        <w:rPr>
          <w:rFonts w:eastAsia="Times New Roman"/>
          <w:szCs w:val="20"/>
          <w:lang w:eastAsia="en-AU"/>
        </w:rPr>
        <w:t xml:space="preserve">ther </w:t>
      </w:r>
      <w:r>
        <w:rPr>
          <w:szCs w:val="20"/>
        </w:rPr>
        <w:t xml:space="preserve">community pharmacists </w:t>
      </w:r>
      <w:r w:rsidRPr="004F6008">
        <w:rPr>
          <w:rFonts w:eastAsia="Times New Roman"/>
          <w:szCs w:val="20"/>
          <w:lang w:eastAsia="en-AU"/>
        </w:rPr>
        <w:t xml:space="preserve">had little to no interaction with their PHN about the </w:t>
      </w:r>
      <w:r>
        <w:rPr>
          <w:rFonts w:eastAsia="Times New Roman"/>
          <w:szCs w:val="20"/>
          <w:lang w:eastAsia="en-AU"/>
        </w:rPr>
        <w:t>trial:</w:t>
      </w:r>
    </w:p>
    <w:p w14:paraId="3387300D" w14:textId="77777777" w:rsidR="0062271C" w:rsidRPr="004F6008" w:rsidRDefault="0062271C" w:rsidP="00FD30E9">
      <w:pPr>
        <w:spacing w:after="160"/>
        <w:ind w:left="567" w:right="522"/>
        <w:rPr>
          <w:rFonts w:eastAsia="Times New Roman" w:cs="Arial"/>
          <w:color w:val="000000"/>
          <w:szCs w:val="20"/>
          <w:lang w:eastAsia="en-AU"/>
        </w:rPr>
      </w:pPr>
      <w:r w:rsidRPr="004F6008">
        <w:rPr>
          <w:rFonts w:eastAsia="Times New Roman" w:cs="Arial"/>
          <w:i/>
          <w:iCs/>
          <w:color w:val="000000"/>
          <w:szCs w:val="20"/>
          <w:lang w:eastAsia="en-AU"/>
        </w:rPr>
        <w:t>“I think sometimes pharmacies are a bit forgotten in the PHNs.”</w:t>
      </w:r>
      <w:r w:rsidRPr="004F6008">
        <w:rPr>
          <w:rFonts w:eastAsia="Times New Roman" w:cs="Arial"/>
          <w:color w:val="000000"/>
          <w:szCs w:val="20"/>
          <w:lang w:eastAsia="en-AU"/>
        </w:rPr>
        <w:t xml:space="preserve"> [CP, R4, Pharmacy 09]</w:t>
      </w:r>
    </w:p>
    <w:p w14:paraId="644B3897" w14:textId="77777777" w:rsidR="0062271C" w:rsidRPr="004F6008" w:rsidRDefault="0062271C" w:rsidP="00FD30E9">
      <w:pPr>
        <w:spacing w:after="160"/>
        <w:ind w:left="567" w:right="522"/>
        <w:rPr>
          <w:rFonts w:eastAsia="Times New Roman" w:cs="Arial"/>
          <w:color w:val="000000"/>
          <w:szCs w:val="20"/>
          <w:lang w:eastAsia="en-AU"/>
        </w:rPr>
      </w:pPr>
      <w:r w:rsidRPr="004F6008">
        <w:rPr>
          <w:rFonts w:eastAsia="Times New Roman" w:cs="Arial"/>
          <w:i/>
          <w:iCs/>
          <w:color w:val="000000"/>
          <w:szCs w:val="20"/>
          <w:lang w:eastAsia="en-AU"/>
        </w:rPr>
        <w:t>“No, I didn’t hear from them at all.”</w:t>
      </w:r>
      <w:r w:rsidRPr="004F6008">
        <w:rPr>
          <w:rFonts w:eastAsia="Times New Roman" w:cs="Arial"/>
          <w:color w:val="000000"/>
          <w:szCs w:val="20"/>
          <w:lang w:eastAsia="en-AU"/>
        </w:rPr>
        <w:t xml:space="preserve"> [CP, R4, Pharmacy 10]</w:t>
      </w:r>
    </w:p>
    <w:p w14:paraId="34C6EFD8" w14:textId="77777777" w:rsidR="0062271C" w:rsidRDefault="0062271C" w:rsidP="00FD30E9">
      <w:pPr>
        <w:spacing w:after="160"/>
        <w:ind w:left="567" w:right="522"/>
        <w:rPr>
          <w:rFonts w:eastAsia="Times New Roman" w:cs="Arial"/>
          <w:color w:val="000000"/>
          <w:szCs w:val="20"/>
          <w:lang w:eastAsia="en-AU"/>
        </w:rPr>
      </w:pPr>
      <w:r w:rsidRPr="004F6008">
        <w:rPr>
          <w:rFonts w:eastAsia="Times New Roman" w:cs="Arial"/>
          <w:i/>
          <w:iCs/>
          <w:color w:val="000000"/>
          <w:szCs w:val="20"/>
          <w:lang w:eastAsia="en-AU"/>
        </w:rPr>
        <w:t>“I spoke to one of the facilitators at [PHN], and she sent me a set of instructions on how to do things.”</w:t>
      </w:r>
      <w:r w:rsidRPr="004F6008">
        <w:rPr>
          <w:rFonts w:eastAsia="Times New Roman" w:cs="Arial"/>
          <w:color w:val="000000"/>
          <w:szCs w:val="20"/>
          <w:lang w:eastAsia="en-AU"/>
        </w:rPr>
        <w:t xml:space="preserve"> [CP, R4, Pharmacy 06]</w:t>
      </w:r>
    </w:p>
    <w:p w14:paraId="089DF1AC" w14:textId="7BDD0B67" w:rsidR="00AC7571" w:rsidRDefault="00A4285F" w:rsidP="0062271C">
      <w:pPr>
        <w:widowControl w:val="0"/>
        <w:rPr>
          <w:szCs w:val="20"/>
        </w:rPr>
      </w:pPr>
      <w:r>
        <w:rPr>
          <w:szCs w:val="20"/>
        </w:rPr>
        <w:t>In a written submission for the evaluation, the Guild commented that it had variable success engaging PHN practice facilitators with the community pharmacy trial.</w:t>
      </w:r>
      <w:r w:rsidR="0038642F">
        <w:rPr>
          <w:szCs w:val="20"/>
        </w:rPr>
        <w:t xml:space="preserve"> </w:t>
      </w:r>
      <w:r w:rsidR="00812836">
        <w:rPr>
          <w:szCs w:val="20"/>
        </w:rPr>
        <w:t>Because the Guild could not contact practices directly</w:t>
      </w:r>
      <w:r w:rsidR="00165047">
        <w:rPr>
          <w:szCs w:val="20"/>
        </w:rPr>
        <w:t xml:space="preserve">, its avenue </w:t>
      </w:r>
      <w:r w:rsidR="00CD1144">
        <w:rPr>
          <w:szCs w:val="20"/>
        </w:rPr>
        <w:t>for</w:t>
      </w:r>
      <w:r w:rsidR="00165047">
        <w:rPr>
          <w:szCs w:val="20"/>
        </w:rPr>
        <w:t xml:space="preserve"> promoting awareness </w:t>
      </w:r>
      <w:r w:rsidR="00935B4D">
        <w:rPr>
          <w:szCs w:val="20"/>
        </w:rPr>
        <w:t>of</w:t>
      </w:r>
      <w:r w:rsidR="00165047">
        <w:rPr>
          <w:szCs w:val="20"/>
        </w:rPr>
        <w:t xml:space="preserve"> the trial was the PHN practice facilitators. </w:t>
      </w:r>
      <w:r w:rsidR="00C96179">
        <w:rPr>
          <w:szCs w:val="20"/>
        </w:rPr>
        <w:t xml:space="preserve">Engagement with PHNs included the Guild providing information to the PHN as requested, </w:t>
      </w:r>
      <w:r w:rsidR="00D769E1">
        <w:rPr>
          <w:szCs w:val="20"/>
        </w:rPr>
        <w:t>jointly running workshops on the trial for HCH practices</w:t>
      </w:r>
      <w:r w:rsidR="00840397">
        <w:rPr>
          <w:szCs w:val="20"/>
        </w:rPr>
        <w:t xml:space="preserve">, or </w:t>
      </w:r>
      <w:r w:rsidR="00C96179">
        <w:rPr>
          <w:szCs w:val="20"/>
        </w:rPr>
        <w:t>membership of the local governance committee</w:t>
      </w:r>
      <w:r w:rsidR="00840397">
        <w:rPr>
          <w:szCs w:val="20"/>
        </w:rPr>
        <w:t xml:space="preserve">. </w:t>
      </w:r>
      <w:r w:rsidR="000B5EE3">
        <w:rPr>
          <w:szCs w:val="20"/>
        </w:rPr>
        <w:t xml:space="preserve">The Guild noticed that </w:t>
      </w:r>
      <w:r w:rsidR="00C821A9" w:rsidRPr="00C821A9">
        <w:rPr>
          <w:szCs w:val="20"/>
        </w:rPr>
        <w:t>that</w:t>
      </w:r>
      <w:r w:rsidR="00C821A9">
        <w:rPr>
          <w:szCs w:val="20"/>
        </w:rPr>
        <w:t xml:space="preserve"> those PHNs that did not engage with the </w:t>
      </w:r>
      <w:r w:rsidR="00935B4D">
        <w:rPr>
          <w:szCs w:val="20"/>
        </w:rPr>
        <w:t xml:space="preserve">Guild had </w:t>
      </w:r>
      <w:r w:rsidR="00C821A9" w:rsidRPr="00C821A9">
        <w:rPr>
          <w:szCs w:val="20"/>
        </w:rPr>
        <w:t>lower patient referral rates in their regions.</w:t>
      </w:r>
    </w:p>
    <w:p w14:paraId="4EEBF607" w14:textId="36AF92C2" w:rsidR="0062271C" w:rsidRDefault="0062271C" w:rsidP="0062271C">
      <w:pPr>
        <w:widowControl w:val="0"/>
        <w:rPr>
          <w:szCs w:val="20"/>
        </w:rPr>
      </w:pPr>
      <w:r>
        <w:rPr>
          <w:szCs w:val="20"/>
        </w:rPr>
        <w:t>T</w:t>
      </w:r>
      <w:r w:rsidRPr="00B96F37">
        <w:rPr>
          <w:szCs w:val="20"/>
        </w:rPr>
        <w:t>urnover of PHN</w:t>
      </w:r>
      <w:r>
        <w:rPr>
          <w:szCs w:val="20"/>
        </w:rPr>
        <w:t xml:space="preserve"> practice</w:t>
      </w:r>
      <w:r w:rsidRPr="00B96F37">
        <w:rPr>
          <w:szCs w:val="20"/>
        </w:rPr>
        <w:t xml:space="preserve"> facilitators</w:t>
      </w:r>
      <w:r>
        <w:rPr>
          <w:szCs w:val="20"/>
        </w:rPr>
        <w:t xml:space="preserve"> was identified as an issue for both pharmacies and the Guild. The Guild reported having to re-engage</w:t>
      </w:r>
      <w:r w:rsidRPr="00B96F37">
        <w:rPr>
          <w:szCs w:val="20"/>
        </w:rPr>
        <w:t xml:space="preserve"> with new </w:t>
      </w:r>
      <w:r>
        <w:rPr>
          <w:szCs w:val="20"/>
        </w:rPr>
        <w:t xml:space="preserve">PHN practice </w:t>
      </w:r>
      <w:r w:rsidRPr="00B96F37">
        <w:rPr>
          <w:szCs w:val="20"/>
        </w:rPr>
        <w:t>facilitators</w:t>
      </w:r>
      <w:r>
        <w:rPr>
          <w:szCs w:val="20"/>
        </w:rPr>
        <w:t xml:space="preserve"> each time</w:t>
      </w:r>
      <w:r w:rsidRPr="00B96F37">
        <w:rPr>
          <w:szCs w:val="20"/>
        </w:rPr>
        <w:t xml:space="preserve"> to provide them with information about the </w:t>
      </w:r>
      <w:r>
        <w:rPr>
          <w:szCs w:val="20"/>
        </w:rPr>
        <w:t>trial</w:t>
      </w:r>
      <w:r w:rsidRPr="00B96F37">
        <w:rPr>
          <w:szCs w:val="20"/>
        </w:rPr>
        <w:t>.</w:t>
      </w:r>
    </w:p>
    <w:p w14:paraId="4D4A4C19" w14:textId="77777777" w:rsidR="0062271C" w:rsidRPr="004F6008" w:rsidRDefault="0062271C" w:rsidP="0062271C">
      <w:pPr>
        <w:pStyle w:val="Heading2"/>
      </w:pPr>
      <w:bookmarkStart w:id="443" w:name="_Toc58256917"/>
      <w:bookmarkStart w:id="444" w:name="_Toc109996754"/>
      <w:r w:rsidRPr="00D50FC6">
        <w:t>IT</w:t>
      </w:r>
      <w:r>
        <w:t xml:space="preserve"> set-up</w:t>
      </w:r>
      <w:bookmarkEnd w:id="443"/>
      <w:bookmarkEnd w:id="444"/>
    </w:p>
    <w:p w14:paraId="365647F4" w14:textId="77777777" w:rsidR="0062271C" w:rsidRPr="004F6008" w:rsidRDefault="0062271C" w:rsidP="006E3D0D">
      <w:pPr>
        <w:rPr>
          <w:szCs w:val="20"/>
        </w:rPr>
      </w:pPr>
      <w:r>
        <w:rPr>
          <w:szCs w:val="20"/>
        </w:rPr>
        <w:t>T</w:t>
      </w:r>
      <w:r w:rsidRPr="004F6008">
        <w:rPr>
          <w:szCs w:val="20"/>
        </w:rPr>
        <w:t xml:space="preserve">o participate in the </w:t>
      </w:r>
      <w:r>
        <w:rPr>
          <w:szCs w:val="20"/>
        </w:rPr>
        <w:t>trial</w:t>
      </w:r>
      <w:r w:rsidRPr="004F6008">
        <w:rPr>
          <w:szCs w:val="20"/>
        </w:rPr>
        <w:t xml:space="preserve">, pharmacies had to learn about and implement software programs such as </w:t>
      </w:r>
      <w:r>
        <w:rPr>
          <w:szCs w:val="20"/>
        </w:rPr>
        <w:t>the</w:t>
      </w:r>
      <w:r w:rsidRPr="004F6008">
        <w:rPr>
          <w:szCs w:val="20"/>
        </w:rPr>
        <w:t xml:space="preserve"> </w:t>
      </w:r>
      <w:proofErr w:type="spellStart"/>
      <w:r w:rsidRPr="004F6008">
        <w:rPr>
          <w:szCs w:val="20"/>
        </w:rPr>
        <w:t>GuildL</w:t>
      </w:r>
      <w:r>
        <w:rPr>
          <w:szCs w:val="20"/>
        </w:rPr>
        <w:t>ink</w:t>
      </w:r>
      <w:proofErr w:type="spellEnd"/>
      <w:r>
        <w:rPr>
          <w:szCs w:val="20"/>
        </w:rPr>
        <w:t xml:space="preserve"> software through the </w:t>
      </w:r>
      <w:proofErr w:type="spellStart"/>
      <w:r>
        <w:rPr>
          <w:szCs w:val="20"/>
        </w:rPr>
        <w:t>GuildCare</w:t>
      </w:r>
      <w:proofErr w:type="spellEnd"/>
      <w:r>
        <w:rPr>
          <w:szCs w:val="20"/>
        </w:rPr>
        <w:t xml:space="preserve"> platform,</w:t>
      </w:r>
      <w:r w:rsidRPr="004F6008">
        <w:rPr>
          <w:szCs w:val="20"/>
        </w:rPr>
        <w:t xml:space="preserve"> and shared care planning software to communicate with and receive referrals from HCH practices. </w:t>
      </w:r>
    </w:p>
    <w:p w14:paraId="2713328F" w14:textId="77777777" w:rsidR="0062271C" w:rsidRDefault="0062271C" w:rsidP="006E3D0D">
      <w:pPr>
        <w:pStyle w:val="Heading3"/>
      </w:pPr>
      <w:proofErr w:type="spellStart"/>
      <w:r w:rsidRPr="00F11581">
        <w:t>Guildlink</w:t>
      </w:r>
      <w:proofErr w:type="spellEnd"/>
      <w:r w:rsidRPr="00F11581">
        <w:t xml:space="preserve"> software</w:t>
      </w:r>
    </w:p>
    <w:p w14:paraId="26876667" w14:textId="3335F435" w:rsidR="0062271C" w:rsidRPr="006C3508" w:rsidRDefault="0062271C" w:rsidP="006E3D0D">
      <w:pPr>
        <w:rPr>
          <w:szCs w:val="20"/>
        </w:rPr>
      </w:pPr>
      <w:r w:rsidRPr="006C3508">
        <w:rPr>
          <w:szCs w:val="20"/>
        </w:rPr>
        <w:t xml:space="preserve">The Guild worked with its partner </w:t>
      </w:r>
      <w:proofErr w:type="spellStart"/>
      <w:r w:rsidRPr="006C3508">
        <w:rPr>
          <w:szCs w:val="20"/>
        </w:rPr>
        <w:t>GuildLink</w:t>
      </w:r>
      <w:proofErr w:type="spellEnd"/>
      <w:r w:rsidRPr="006C3508">
        <w:rPr>
          <w:szCs w:val="20"/>
        </w:rPr>
        <w:t xml:space="preserve"> to design the software to be used by pharmacies to record details of the pharmacy services provided. The software module </w:t>
      </w:r>
      <w:r w:rsidR="00A54A9B">
        <w:rPr>
          <w:szCs w:val="20"/>
        </w:rPr>
        <w:t>wa</w:t>
      </w:r>
      <w:r w:rsidRPr="006C3508">
        <w:rPr>
          <w:szCs w:val="20"/>
        </w:rPr>
        <w:t xml:space="preserve">s part of an existing software platform called </w:t>
      </w:r>
      <w:proofErr w:type="spellStart"/>
      <w:r w:rsidRPr="006C3508">
        <w:rPr>
          <w:szCs w:val="20"/>
        </w:rPr>
        <w:t>GuildCare</w:t>
      </w:r>
      <w:proofErr w:type="spellEnd"/>
      <w:r w:rsidRPr="006C3508">
        <w:rPr>
          <w:szCs w:val="20"/>
        </w:rPr>
        <w:t xml:space="preserve"> NG, which is used by many pharmacies to record other professional services, such as Home Medicines Reviews and </w:t>
      </w:r>
      <w:proofErr w:type="spellStart"/>
      <w:r w:rsidRPr="006C3508">
        <w:rPr>
          <w:szCs w:val="20"/>
        </w:rPr>
        <w:t>MedsChecks</w:t>
      </w:r>
      <w:proofErr w:type="spellEnd"/>
      <w:r w:rsidRPr="006C3508">
        <w:rPr>
          <w:szCs w:val="20"/>
        </w:rPr>
        <w:t>.</w:t>
      </w:r>
    </w:p>
    <w:p w14:paraId="337037B7" w14:textId="7D7BBB37" w:rsidR="0062271C" w:rsidRPr="00655409" w:rsidRDefault="0062271C" w:rsidP="006E3D0D">
      <w:pPr>
        <w:rPr>
          <w:szCs w:val="20"/>
        </w:rPr>
      </w:pPr>
      <w:r w:rsidRPr="00655409">
        <w:rPr>
          <w:szCs w:val="20"/>
        </w:rPr>
        <w:t xml:space="preserve">The main objective in designing the software for the </w:t>
      </w:r>
      <w:r>
        <w:rPr>
          <w:szCs w:val="20"/>
        </w:rPr>
        <w:t>t</w:t>
      </w:r>
      <w:r w:rsidRPr="00655409">
        <w:rPr>
          <w:szCs w:val="20"/>
        </w:rPr>
        <w:t xml:space="preserve">rial was to ensure that it was seamless and easy for pharmacists to use. The software </w:t>
      </w:r>
      <w:r w:rsidR="00A54A9B">
        <w:rPr>
          <w:szCs w:val="20"/>
        </w:rPr>
        <w:t>wa</w:t>
      </w:r>
      <w:r w:rsidRPr="00655409">
        <w:rPr>
          <w:szCs w:val="20"/>
        </w:rPr>
        <w:t>s used to:</w:t>
      </w:r>
    </w:p>
    <w:p w14:paraId="73162718" w14:textId="77777777" w:rsidR="0062271C" w:rsidRPr="006C3508" w:rsidRDefault="0062271C" w:rsidP="006E3D0D">
      <w:pPr>
        <w:pStyle w:val="ListParagraph"/>
        <w:numPr>
          <w:ilvl w:val="0"/>
          <w:numId w:val="29"/>
        </w:numPr>
        <w:ind w:left="714" w:hanging="357"/>
        <w:rPr>
          <w:rStyle w:val="Hyperlink"/>
          <w:rFonts w:cs="Calibri"/>
          <w:color w:val="auto"/>
          <w:u w:val="none"/>
          <w:lang w:eastAsia="en-AU"/>
        </w:rPr>
      </w:pPr>
      <w:r w:rsidRPr="006C3508">
        <w:rPr>
          <w:rStyle w:val="Hyperlink"/>
          <w:rFonts w:cs="Calibri"/>
          <w:color w:val="auto"/>
          <w:u w:val="none"/>
        </w:rPr>
        <w:t>Produce the initial medication reconciliation and medication management plan for a patient.</w:t>
      </w:r>
    </w:p>
    <w:p w14:paraId="33E6A5BA" w14:textId="77777777" w:rsidR="0062271C" w:rsidRPr="006C3508" w:rsidRDefault="0062271C" w:rsidP="006E3D0D">
      <w:pPr>
        <w:pStyle w:val="ListParagraph"/>
        <w:numPr>
          <w:ilvl w:val="0"/>
          <w:numId w:val="29"/>
        </w:numPr>
        <w:ind w:left="714" w:hanging="357"/>
        <w:rPr>
          <w:rStyle w:val="Hyperlink"/>
          <w:rFonts w:cs="Calibri"/>
          <w:color w:val="auto"/>
          <w:u w:val="none"/>
        </w:rPr>
      </w:pPr>
      <w:r w:rsidRPr="006C3508">
        <w:rPr>
          <w:rStyle w:val="Hyperlink"/>
          <w:rFonts w:cs="Calibri"/>
          <w:color w:val="auto"/>
          <w:u w:val="none"/>
        </w:rPr>
        <w:t>Record ongoing medication management reviews.</w:t>
      </w:r>
    </w:p>
    <w:p w14:paraId="32709A87" w14:textId="73374FB3" w:rsidR="0062271C" w:rsidRPr="006C3508" w:rsidRDefault="0062271C" w:rsidP="006E3D0D">
      <w:pPr>
        <w:pStyle w:val="ListParagraph"/>
        <w:numPr>
          <w:ilvl w:val="0"/>
          <w:numId w:val="29"/>
        </w:numPr>
        <w:ind w:left="714" w:hanging="357"/>
        <w:rPr>
          <w:rStyle w:val="Hyperlink"/>
          <w:rFonts w:cs="Calibri"/>
          <w:color w:val="auto"/>
          <w:u w:val="none"/>
        </w:rPr>
      </w:pPr>
      <w:r w:rsidRPr="006C3508">
        <w:rPr>
          <w:rStyle w:val="Hyperlink"/>
          <w:rFonts w:cs="Calibri"/>
          <w:color w:val="auto"/>
          <w:u w:val="none"/>
        </w:rPr>
        <w:t xml:space="preserve">Upload the medication management plan to the electronic shared care plan, </w:t>
      </w:r>
      <w:r w:rsidR="00A54A9B">
        <w:rPr>
          <w:rStyle w:val="Hyperlink"/>
          <w:rFonts w:cs="Calibri"/>
          <w:color w:val="auto"/>
          <w:u w:val="none"/>
        </w:rPr>
        <w:t>to be</w:t>
      </w:r>
      <w:r w:rsidRPr="006C3508">
        <w:rPr>
          <w:rStyle w:val="Hyperlink"/>
          <w:rFonts w:cs="Calibri"/>
          <w:color w:val="auto"/>
          <w:u w:val="none"/>
        </w:rPr>
        <w:t xml:space="preserve"> accessible by all members of the patient’s HCH team.</w:t>
      </w:r>
    </w:p>
    <w:p w14:paraId="24E4EB3C" w14:textId="77777777" w:rsidR="0062271C" w:rsidRPr="006C3508" w:rsidRDefault="0062271C" w:rsidP="006E3D0D">
      <w:pPr>
        <w:pStyle w:val="ListParagraph"/>
        <w:numPr>
          <w:ilvl w:val="0"/>
          <w:numId w:val="29"/>
        </w:numPr>
        <w:ind w:left="714" w:hanging="357"/>
        <w:rPr>
          <w:rStyle w:val="Hyperlink"/>
          <w:rFonts w:cs="Calibri"/>
          <w:color w:val="auto"/>
          <w:u w:val="none"/>
        </w:rPr>
      </w:pPr>
      <w:r w:rsidRPr="006C3508">
        <w:rPr>
          <w:rStyle w:val="Hyperlink"/>
          <w:rFonts w:cs="Calibri"/>
          <w:color w:val="auto"/>
          <w:u w:val="none"/>
        </w:rPr>
        <w:t>Perform pharmacy reimbursement for each enrolled patient.</w:t>
      </w:r>
    </w:p>
    <w:p w14:paraId="7D212D7E" w14:textId="77777777" w:rsidR="0062271C" w:rsidRPr="006C3508" w:rsidRDefault="0062271C" w:rsidP="006E3D0D">
      <w:pPr>
        <w:pStyle w:val="ListParagraph"/>
        <w:numPr>
          <w:ilvl w:val="0"/>
          <w:numId w:val="29"/>
        </w:numPr>
        <w:ind w:left="714" w:hanging="357"/>
        <w:rPr>
          <w:rFonts w:cs="Calibri"/>
        </w:rPr>
      </w:pPr>
      <w:r w:rsidRPr="006C3508">
        <w:rPr>
          <w:rStyle w:val="Hyperlink"/>
          <w:rFonts w:cs="Calibri"/>
          <w:color w:val="auto"/>
          <w:u w:val="none"/>
        </w:rPr>
        <w:t>Capture Health Outcomes Data for all patients participating in the trial.</w:t>
      </w:r>
    </w:p>
    <w:p w14:paraId="7CDB2CA9" w14:textId="0663FB64" w:rsidR="0062271C" w:rsidRDefault="0062271C" w:rsidP="006E3D0D">
      <w:pPr>
        <w:rPr>
          <w:szCs w:val="20"/>
        </w:rPr>
      </w:pPr>
      <w:r w:rsidRPr="00655409">
        <w:rPr>
          <w:szCs w:val="20"/>
        </w:rPr>
        <w:lastRenderedPageBreak/>
        <w:t>The software also include</w:t>
      </w:r>
      <w:r w:rsidR="00796C32">
        <w:rPr>
          <w:szCs w:val="20"/>
        </w:rPr>
        <w:t>d</w:t>
      </w:r>
      <w:r w:rsidRPr="00655409">
        <w:rPr>
          <w:szCs w:val="20"/>
        </w:rPr>
        <w:t xml:space="preserve"> a calendar for scheduling consultations and a screen to record other support</w:t>
      </w:r>
      <w:r>
        <w:rPr>
          <w:szCs w:val="20"/>
        </w:rPr>
        <w:t xml:space="preserve"> </w:t>
      </w:r>
      <w:r w:rsidRPr="00655409">
        <w:rPr>
          <w:szCs w:val="20"/>
        </w:rPr>
        <w:t>services that the pharmacist wishes to recommend</w:t>
      </w:r>
      <w:r>
        <w:rPr>
          <w:szCs w:val="20"/>
        </w:rPr>
        <w:t>, as well as other features:</w:t>
      </w:r>
    </w:p>
    <w:p w14:paraId="7F4D5331" w14:textId="77777777" w:rsidR="0062271C" w:rsidRDefault="0062271C" w:rsidP="006E3D0D">
      <w:pPr>
        <w:ind w:left="567" w:right="522"/>
        <w:rPr>
          <w:i/>
          <w:iCs/>
          <w:szCs w:val="20"/>
        </w:rPr>
      </w:pPr>
      <w:r w:rsidRPr="00EA06D0">
        <w:rPr>
          <w:i/>
          <w:iCs/>
          <w:szCs w:val="20"/>
        </w:rPr>
        <w:t>“So, most of them are familiar with it, but they log in there to record the service and to schedule the Health Care Homes service with the patient. And, when the patient’s there in the room they can move through the service workload. They can record it all. They can print out a medication management template. And, that’s how we know what to pay them. What services they’ve done as well</w:t>
      </w:r>
      <w:r>
        <w:rPr>
          <w:i/>
          <w:iCs/>
          <w:szCs w:val="20"/>
        </w:rPr>
        <w:t xml:space="preserve"> …”</w:t>
      </w:r>
      <w:r w:rsidRPr="00EA06D0">
        <w:rPr>
          <w:i/>
          <w:iCs/>
          <w:szCs w:val="20"/>
        </w:rPr>
        <w:t xml:space="preserve"> [R4, Pharmacy Guild]</w:t>
      </w:r>
    </w:p>
    <w:p w14:paraId="547D6C1F" w14:textId="69E33303" w:rsidR="0062271C" w:rsidRPr="004F6008" w:rsidRDefault="0062271C" w:rsidP="006E3D0D">
      <w:pPr>
        <w:rPr>
          <w:szCs w:val="20"/>
        </w:rPr>
      </w:pPr>
      <w:r>
        <w:rPr>
          <w:szCs w:val="20"/>
        </w:rPr>
        <w:t>Pharmacists</w:t>
      </w:r>
      <w:r w:rsidRPr="004F6008">
        <w:rPr>
          <w:szCs w:val="20"/>
        </w:rPr>
        <w:t xml:space="preserve"> detailed their experience with the </w:t>
      </w:r>
      <w:proofErr w:type="spellStart"/>
      <w:r w:rsidRPr="004F6008">
        <w:rPr>
          <w:szCs w:val="20"/>
        </w:rPr>
        <w:t>GuildLink</w:t>
      </w:r>
      <w:proofErr w:type="spellEnd"/>
      <w:r w:rsidRPr="004F6008">
        <w:rPr>
          <w:szCs w:val="20"/>
        </w:rPr>
        <w:t xml:space="preserve"> software and </w:t>
      </w:r>
      <w:r>
        <w:rPr>
          <w:szCs w:val="20"/>
        </w:rPr>
        <w:t xml:space="preserve">generally </w:t>
      </w:r>
      <w:r w:rsidRPr="004F6008">
        <w:rPr>
          <w:szCs w:val="20"/>
        </w:rPr>
        <w:t xml:space="preserve">described their experience with the software as </w:t>
      </w:r>
      <w:r w:rsidR="006E3D0D">
        <w:rPr>
          <w:szCs w:val="20"/>
        </w:rPr>
        <w:t>“</w:t>
      </w:r>
      <w:r w:rsidRPr="004F6008">
        <w:rPr>
          <w:szCs w:val="20"/>
        </w:rPr>
        <w:t>easy</w:t>
      </w:r>
      <w:r w:rsidR="006E3D0D">
        <w:rPr>
          <w:szCs w:val="20"/>
        </w:rPr>
        <w:t>”</w:t>
      </w:r>
      <w:r w:rsidRPr="004F6008">
        <w:rPr>
          <w:szCs w:val="20"/>
        </w:rPr>
        <w:t xml:space="preserve"> and </w:t>
      </w:r>
      <w:r w:rsidR="006E3D0D">
        <w:rPr>
          <w:szCs w:val="20"/>
        </w:rPr>
        <w:t>“</w:t>
      </w:r>
      <w:r w:rsidRPr="004F6008">
        <w:rPr>
          <w:szCs w:val="20"/>
        </w:rPr>
        <w:t>straightforward</w:t>
      </w:r>
      <w:r w:rsidR="006E3D0D">
        <w:rPr>
          <w:szCs w:val="20"/>
        </w:rPr>
        <w:t>”</w:t>
      </w:r>
      <w:r>
        <w:rPr>
          <w:szCs w:val="20"/>
        </w:rPr>
        <w:t>:</w:t>
      </w:r>
    </w:p>
    <w:p w14:paraId="6AA9BBB3" w14:textId="77777777" w:rsidR="0062271C" w:rsidRPr="004F6008" w:rsidRDefault="0062271C" w:rsidP="006E3D0D">
      <w:pPr>
        <w:ind w:left="567" w:right="522"/>
        <w:rPr>
          <w:szCs w:val="20"/>
        </w:rPr>
      </w:pPr>
      <w:r w:rsidRPr="004F6008">
        <w:rPr>
          <w:i/>
          <w:iCs/>
          <w:szCs w:val="20"/>
        </w:rPr>
        <w:t>“No, I think if you just follow the prompts, I think it’s pretty straightforward. So, if the template’s already there I can just follow the template.”</w:t>
      </w:r>
      <w:r w:rsidRPr="004F6008">
        <w:rPr>
          <w:szCs w:val="20"/>
        </w:rPr>
        <w:t xml:space="preserve"> [CP, R4, Pharmacy 07]</w:t>
      </w:r>
    </w:p>
    <w:p w14:paraId="0C92A516" w14:textId="77777777" w:rsidR="0062271C" w:rsidRPr="004F6008" w:rsidRDefault="0062271C" w:rsidP="006E3D0D">
      <w:pPr>
        <w:ind w:left="567" w:right="522"/>
        <w:rPr>
          <w:szCs w:val="20"/>
        </w:rPr>
      </w:pPr>
      <w:r w:rsidRPr="004F6008">
        <w:rPr>
          <w:i/>
          <w:iCs/>
          <w:szCs w:val="20"/>
        </w:rPr>
        <w:t xml:space="preserve">“No, I didn’t have issues with that, with the </w:t>
      </w:r>
      <w:proofErr w:type="spellStart"/>
      <w:r w:rsidRPr="004F6008">
        <w:rPr>
          <w:i/>
          <w:iCs/>
          <w:szCs w:val="20"/>
        </w:rPr>
        <w:t>GuildCare</w:t>
      </w:r>
      <w:proofErr w:type="spellEnd"/>
      <w:r w:rsidRPr="004F6008">
        <w:rPr>
          <w:i/>
          <w:iCs/>
          <w:szCs w:val="20"/>
        </w:rPr>
        <w:t xml:space="preserve"> software, I found that quite easy</w:t>
      </w:r>
      <w:r>
        <w:rPr>
          <w:i/>
          <w:iCs/>
          <w:szCs w:val="20"/>
        </w:rPr>
        <w:t xml:space="preserve"> … </w:t>
      </w:r>
      <w:r w:rsidRPr="004F6008">
        <w:rPr>
          <w:i/>
          <w:iCs/>
          <w:szCs w:val="20"/>
        </w:rPr>
        <w:t>Once I had asked them the questions and they were happy to sit there while I type a couple of things in, and then I can print out their plan and they can take it with them.”</w:t>
      </w:r>
      <w:r w:rsidRPr="004F6008">
        <w:rPr>
          <w:szCs w:val="20"/>
        </w:rPr>
        <w:t xml:space="preserve"> [CP, R4, Pharmacy 06]</w:t>
      </w:r>
    </w:p>
    <w:p w14:paraId="70D3F569" w14:textId="77777777" w:rsidR="0062271C" w:rsidRPr="004F6008" w:rsidRDefault="0062271C" w:rsidP="006E3D0D">
      <w:pPr>
        <w:rPr>
          <w:szCs w:val="20"/>
        </w:rPr>
      </w:pPr>
      <w:r w:rsidRPr="004F6008">
        <w:rPr>
          <w:szCs w:val="20"/>
        </w:rPr>
        <w:t xml:space="preserve">Some pharmacists experienced glitches or had some teething issues with </w:t>
      </w:r>
      <w:proofErr w:type="spellStart"/>
      <w:r w:rsidRPr="004F6008">
        <w:rPr>
          <w:szCs w:val="20"/>
        </w:rPr>
        <w:t>Guildlink</w:t>
      </w:r>
      <w:proofErr w:type="spellEnd"/>
      <w:r w:rsidRPr="004F6008">
        <w:rPr>
          <w:szCs w:val="20"/>
        </w:rPr>
        <w:t xml:space="preserve"> but were largely satisfied with the platform or have been able to resolve these issues as they have continued to use platform</w:t>
      </w:r>
      <w:r>
        <w:rPr>
          <w:szCs w:val="20"/>
        </w:rPr>
        <w:t>:</w:t>
      </w:r>
    </w:p>
    <w:p w14:paraId="0E7AB4BC" w14:textId="5B5E1826" w:rsidR="0062271C" w:rsidRPr="004F6008" w:rsidRDefault="0062271C" w:rsidP="006E3D0D">
      <w:pPr>
        <w:spacing w:after="160"/>
        <w:ind w:left="567" w:right="521"/>
        <w:rPr>
          <w:szCs w:val="20"/>
        </w:rPr>
      </w:pPr>
      <w:r w:rsidRPr="004F6008">
        <w:rPr>
          <w:i/>
          <w:iCs/>
          <w:szCs w:val="20"/>
        </w:rPr>
        <w:t>“Overall I’ve found them useful</w:t>
      </w:r>
      <w:r>
        <w:rPr>
          <w:i/>
          <w:iCs/>
          <w:szCs w:val="20"/>
        </w:rPr>
        <w:t xml:space="preserve"> … </w:t>
      </w:r>
      <w:r w:rsidRPr="004F6008">
        <w:rPr>
          <w:i/>
          <w:iCs/>
          <w:szCs w:val="20"/>
        </w:rPr>
        <w:t xml:space="preserve">There are little glitches with all software </w:t>
      </w:r>
      <w:r>
        <w:rPr>
          <w:i/>
          <w:iCs/>
          <w:szCs w:val="20"/>
        </w:rPr>
        <w:t>program</w:t>
      </w:r>
      <w:r w:rsidRPr="004F6008">
        <w:rPr>
          <w:i/>
          <w:iCs/>
          <w:szCs w:val="20"/>
        </w:rPr>
        <w:t>s. So, I won’t be too narky about it. And often the information is only the person inputting the data, so yes, certainly not perfect</w:t>
      </w:r>
      <w:r>
        <w:rPr>
          <w:i/>
          <w:iCs/>
          <w:szCs w:val="20"/>
        </w:rPr>
        <w:t xml:space="preserve"> … </w:t>
      </w:r>
      <w:r w:rsidRPr="004F6008">
        <w:rPr>
          <w:i/>
          <w:iCs/>
          <w:szCs w:val="20"/>
        </w:rPr>
        <w:t>Overall I’ve found it good.”</w:t>
      </w:r>
      <w:r w:rsidRPr="004F6008">
        <w:rPr>
          <w:szCs w:val="20"/>
        </w:rPr>
        <w:t xml:space="preserve"> [CP, R4, Pharmacy 04]</w:t>
      </w:r>
      <w:r w:rsidR="00C91D9E">
        <w:rPr>
          <w:szCs w:val="20"/>
        </w:rPr>
        <w:t xml:space="preserve"> </w:t>
      </w:r>
    </w:p>
    <w:p w14:paraId="14743FE1" w14:textId="77777777" w:rsidR="0062271C" w:rsidRPr="004F6008" w:rsidRDefault="0062271C" w:rsidP="006E3D0D">
      <w:pPr>
        <w:spacing w:after="160"/>
        <w:ind w:left="567" w:right="521"/>
        <w:rPr>
          <w:szCs w:val="20"/>
        </w:rPr>
      </w:pPr>
      <w:r>
        <w:rPr>
          <w:i/>
          <w:iCs/>
          <w:szCs w:val="20"/>
        </w:rPr>
        <w:t xml:space="preserve">“… </w:t>
      </w:r>
      <w:r w:rsidRPr="004F6008">
        <w:rPr>
          <w:i/>
          <w:iCs/>
          <w:szCs w:val="20"/>
        </w:rPr>
        <w:t xml:space="preserve">we understand how the system works. I did have to call [the Guild] a couple of times, because it was hard to navigate that </w:t>
      </w:r>
      <w:proofErr w:type="spellStart"/>
      <w:r w:rsidRPr="004F6008">
        <w:rPr>
          <w:i/>
          <w:iCs/>
          <w:szCs w:val="20"/>
        </w:rPr>
        <w:t>GuildCare</w:t>
      </w:r>
      <w:proofErr w:type="spellEnd"/>
      <w:r w:rsidRPr="004F6008">
        <w:rPr>
          <w:i/>
          <w:iCs/>
          <w:szCs w:val="20"/>
        </w:rPr>
        <w:t>. It’s all difficult, even with other things we worked for, for pharmacy. At the end, we got the hang of it, and I started to do some work.”</w:t>
      </w:r>
      <w:r w:rsidRPr="004F6008">
        <w:rPr>
          <w:szCs w:val="20"/>
        </w:rPr>
        <w:t xml:space="preserve"> [CP, R4, Pharmacy 08]</w:t>
      </w:r>
    </w:p>
    <w:p w14:paraId="4AC35B53" w14:textId="77777777" w:rsidR="0062271C" w:rsidRPr="004F6008" w:rsidRDefault="0062271C" w:rsidP="006E3D0D">
      <w:pPr>
        <w:rPr>
          <w:szCs w:val="20"/>
        </w:rPr>
      </w:pPr>
      <w:r w:rsidRPr="004F6008">
        <w:rPr>
          <w:szCs w:val="20"/>
        </w:rPr>
        <w:t xml:space="preserve">Other pharmacists were not satisfied with the platform and suggested making some improvements to the software. Many interviewees hoped that the Guild could integrate the platform with the shared care planning software to create a more seamless and efficient process. Pharmacists’ recommendations </w:t>
      </w:r>
      <w:r>
        <w:rPr>
          <w:szCs w:val="20"/>
        </w:rPr>
        <w:t>included:</w:t>
      </w:r>
    </w:p>
    <w:p w14:paraId="43936F05" w14:textId="77777777" w:rsidR="0062271C" w:rsidRPr="002363A7" w:rsidRDefault="0062271C" w:rsidP="006E3D0D">
      <w:pPr>
        <w:pStyle w:val="ListParagraph"/>
        <w:numPr>
          <w:ilvl w:val="0"/>
          <w:numId w:val="30"/>
        </w:numPr>
      </w:pPr>
      <w:r>
        <w:t xml:space="preserve">Integrating the </w:t>
      </w:r>
      <w:proofErr w:type="spellStart"/>
      <w:r>
        <w:t>GuildLink</w:t>
      </w:r>
      <w:proofErr w:type="spellEnd"/>
      <w:r>
        <w:t xml:space="preserve"> platform with the shared care planning software so that relevant patient information is pre-loaded onto the system with their medication management plans. While some pharmacists have been able to pre-populate the </w:t>
      </w:r>
      <w:proofErr w:type="spellStart"/>
      <w:r>
        <w:t>GuildLink</w:t>
      </w:r>
      <w:proofErr w:type="spellEnd"/>
      <w:r>
        <w:t xml:space="preserve"> template using information from their dispensing software, others have not been able to do this.</w:t>
      </w:r>
    </w:p>
    <w:p w14:paraId="0A16F3ED" w14:textId="77777777" w:rsidR="0062271C" w:rsidRPr="002363A7" w:rsidRDefault="0062271C" w:rsidP="006E3D0D">
      <w:pPr>
        <w:pStyle w:val="ListParagraph"/>
        <w:numPr>
          <w:ilvl w:val="0"/>
          <w:numId w:val="30"/>
        </w:numPr>
      </w:pPr>
      <w:r>
        <w:t>Allowing pharmacists to input recommendations beyond what is listed in the predefined check boxes.</w:t>
      </w:r>
    </w:p>
    <w:p w14:paraId="2D988E29" w14:textId="77777777" w:rsidR="0062271C" w:rsidRPr="002363A7" w:rsidRDefault="0062271C" w:rsidP="006E3D0D">
      <w:pPr>
        <w:pStyle w:val="ListParagraph"/>
        <w:numPr>
          <w:ilvl w:val="0"/>
          <w:numId w:val="30"/>
        </w:numPr>
      </w:pPr>
      <w:r>
        <w:t>Listing patients’ tiers on the platform or the medication management plan so that pharmacists do not have to contact the practice to obtain this information.</w:t>
      </w:r>
    </w:p>
    <w:p w14:paraId="5092842C" w14:textId="4DB42F68" w:rsidR="0062271C" w:rsidRPr="002363A7" w:rsidRDefault="0062271C" w:rsidP="006E3D0D">
      <w:pPr>
        <w:pStyle w:val="ListParagraph"/>
        <w:numPr>
          <w:ilvl w:val="0"/>
          <w:numId w:val="30"/>
        </w:numPr>
        <w:rPr>
          <w:szCs w:val="20"/>
        </w:rPr>
      </w:pPr>
      <w:r w:rsidRPr="002363A7">
        <w:rPr>
          <w:szCs w:val="20"/>
        </w:rPr>
        <w:t>Mak</w:t>
      </w:r>
      <w:r>
        <w:rPr>
          <w:szCs w:val="20"/>
        </w:rPr>
        <w:t>ing</w:t>
      </w:r>
      <w:r w:rsidRPr="002363A7">
        <w:rPr>
          <w:szCs w:val="20"/>
        </w:rPr>
        <w:t xml:space="preserve"> the </w:t>
      </w:r>
      <w:r>
        <w:rPr>
          <w:szCs w:val="20"/>
        </w:rPr>
        <w:t>software</w:t>
      </w:r>
      <w:r w:rsidRPr="002363A7">
        <w:rPr>
          <w:szCs w:val="20"/>
        </w:rPr>
        <w:t xml:space="preserve"> more </w:t>
      </w:r>
      <w:r w:rsidR="00657E4D">
        <w:rPr>
          <w:szCs w:val="20"/>
        </w:rPr>
        <w:t>“</w:t>
      </w:r>
      <w:r w:rsidRPr="002363A7">
        <w:rPr>
          <w:szCs w:val="20"/>
        </w:rPr>
        <w:t>user friendly</w:t>
      </w:r>
      <w:r w:rsidR="00657E4D">
        <w:rPr>
          <w:szCs w:val="20"/>
        </w:rPr>
        <w:t>”</w:t>
      </w:r>
      <w:r w:rsidRPr="002363A7">
        <w:rPr>
          <w:szCs w:val="20"/>
        </w:rPr>
        <w:t xml:space="preserve"> and reduc</w:t>
      </w:r>
      <w:r>
        <w:rPr>
          <w:szCs w:val="20"/>
        </w:rPr>
        <w:t>ing</w:t>
      </w:r>
      <w:r w:rsidRPr="002363A7">
        <w:rPr>
          <w:szCs w:val="20"/>
        </w:rPr>
        <w:t xml:space="preserve"> repetitive questions</w:t>
      </w:r>
      <w:r>
        <w:rPr>
          <w:szCs w:val="20"/>
        </w:rPr>
        <w:t>:</w:t>
      </w:r>
    </w:p>
    <w:p w14:paraId="1FE57E8D" w14:textId="77777777" w:rsidR="0062271C" w:rsidRPr="004F6008" w:rsidRDefault="0062271C" w:rsidP="006E3D0D">
      <w:pPr>
        <w:ind w:left="720" w:right="521"/>
        <w:rPr>
          <w:szCs w:val="20"/>
        </w:rPr>
      </w:pPr>
      <w:r>
        <w:rPr>
          <w:i/>
          <w:iCs/>
          <w:szCs w:val="20"/>
        </w:rPr>
        <w:lastRenderedPageBreak/>
        <w:t xml:space="preserve">“… </w:t>
      </w:r>
      <w:r w:rsidRPr="004F6008">
        <w:rPr>
          <w:i/>
          <w:iCs/>
          <w:szCs w:val="20"/>
        </w:rPr>
        <w:t>it would have all of these ridiculous boxes, like what’s the dose, and then how many times a day is it taken? How many tablets do they then take in a week? It was the same thing, three or four times, so it was time intensive in areas where it didn’t need to be.”</w:t>
      </w:r>
      <w:r w:rsidRPr="004F6008">
        <w:rPr>
          <w:szCs w:val="20"/>
        </w:rPr>
        <w:t xml:space="preserve"> [CP. R4, Pharmacy 10]</w:t>
      </w:r>
    </w:p>
    <w:p w14:paraId="4234B6A6" w14:textId="77777777" w:rsidR="0062271C" w:rsidRPr="004F6008" w:rsidRDefault="0062271C" w:rsidP="0062271C">
      <w:pPr>
        <w:pStyle w:val="Heading3"/>
        <w:rPr>
          <w:rFonts w:eastAsia="Times New Roman"/>
        </w:rPr>
      </w:pPr>
      <w:r w:rsidRPr="004F6008">
        <w:rPr>
          <w:rFonts w:eastAsia="Times New Roman"/>
        </w:rPr>
        <w:t>Shared care planning software</w:t>
      </w:r>
    </w:p>
    <w:p w14:paraId="7B4FC675" w14:textId="6A2EB793" w:rsidR="0062271C" w:rsidRPr="00C80F6D" w:rsidRDefault="0062271C" w:rsidP="0062271C">
      <w:pPr>
        <w:pStyle w:val="Heading4"/>
        <w:spacing w:after="200"/>
      </w:pPr>
      <w:r>
        <w:t>Guild e</w:t>
      </w:r>
      <w:r w:rsidRPr="00C80F6D">
        <w:t>ngagement with shared care plan software</w:t>
      </w:r>
      <w:r w:rsidR="00913BB7">
        <w:t xml:space="preserve"> and</w:t>
      </w:r>
      <w:r w:rsidRPr="00C80F6D">
        <w:t xml:space="preserve"> vendors</w:t>
      </w:r>
    </w:p>
    <w:p w14:paraId="3E7D73A2" w14:textId="278A1AFA" w:rsidR="0062271C" w:rsidRDefault="0062271C" w:rsidP="0062271C">
      <w:r>
        <w:t>The Guild worked to establish relationships with the</w:t>
      </w:r>
      <w:r w:rsidR="00A56608">
        <w:t xml:space="preserve"> various</w:t>
      </w:r>
      <w:r>
        <w:t xml:space="preserve"> shared care plan software vendors. This became important during the implementation phase when the Guild </w:t>
      </w:r>
      <w:r w:rsidR="002F27A2">
        <w:t>supported pharmacies’ participation in the trial</w:t>
      </w:r>
      <w:r>
        <w:t>.</w:t>
      </w:r>
    </w:p>
    <w:p w14:paraId="6DC9F4E0" w14:textId="57EBBBC9" w:rsidR="0062271C" w:rsidRDefault="0062271C" w:rsidP="0062271C">
      <w:r>
        <w:t>During the implementation phase the Guild found that there were pharmacies that were receiving referrals from HCHs via the shared care software, however the emails were being missed</w:t>
      </w:r>
      <w:r w:rsidR="00445229">
        <w:t xml:space="preserve"> for various reasons</w:t>
      </w:r>
      <w:r>
        <w:t xml:space="preserve">. The software vendor would then contact the Guild to inform them of the situation and the Guild would follow-up to explain to the pharmacist that they had received a referral from a HCH practice. </w:t>
      </w:r>
    </w:p>
    <w:p w14:paraId="3F80ED90" w14:textId="57254D8B" w:rsidR="0062271C" w:rsidRDefault="0062271C" w:rsidP="00B100F2">
      <w:r>
        <w:t>In some cases, email</w:t>
      </w:r>
      <w:r w:rsidR="0091507F">
        <w:t>s</w:t>
      </w:r>
      <w:r>
        <w:t xml:space="preserve"> from the practice’s shared care software went to pharmac</w:t>
      </w:r>
      <w:r w:rsidR="007E2D3B">
        <w:t>ies</w:t>
      </w:r>
      <w:r>
        <w:t xml:space="preserve"> that had not registered for the trial. In this case, the Guild would contact the pharmacy to encourage them to participate</w:t>
      </w:r>
      <w:r w:rsidR="00B100F2">
        <w:t>.</w:t>
      </w:r>
    </w:p>
    <w:p w14:paraId="0DB40D94" w14:textId="7AA8AB18" w:rsidR="0062271C" w:rsidRDefault="0062271C" w:rsidP="001F71F3">
      <w:r>
        <w:t xml:space="preserve">Another hurdle was that the shared care software did not integrate with the </w:t>
      </w:r>
      <w:proofErr w:type="spellStart"/>
      <w:r>
        <w:t>GuildLink</w:t>
      </w:r>
      <w:proofErr w:type="spellEnd"/>
      <w:r>
        <w:t xml:space="preserve"> </w:t>
      </w:r>
      <w:r w:rsidR="007D67A8">
        <w:t>software,</w:t>
      </w:r>
      <w:r>
        <w:t xml:space="preserve"> and each PHN had a different software platform. This meant that the Guild had to work with individual software vendors to sort out these issues and ensure that referrals for patient consultations were actioned</w:t>
      </w:r>
      <w:r w:rsidR="001F71F3">
        <w:t>.</w:t>
      </w:r>
    </w:p>
    <w:p w14:paraId="3B35587B" w14:textId="77777777" w:rsidR="004B227A" w:rsidRDefault="001F71F3" w:rsidP="0062271C">
      <w:r>
        <w:t>The Guild reported that out of the nine shared care planning software vendors, only one</w:t>
      </w:r>
      <w:r w:rsidR="00B21EB0">
        <w:t xml:space="preserve"> worked closely with the Guild to identify and troubleshoot issues.</w:t>
      </w:r>
      <w:r w:rsidR="004B227A">
        <w:t xml:space="preserve"> </w:t>
      </w:r>
    </w:p>
    <w:p w14:paraId="05F13BC7" w14:textId="1EDA63DA" w:rsidR="0062271C" w:rsidRDefault="0062271C" w:rsidP="0062271C">
      <w:r>
        <w:t xml:space="preserve">In one PHN, the shared care software vendor required pharmacies to sign a deed of participation to access the shared care planning software. As the Guild was concerned with some aspects of the contract, they sought legal advice and tried to work with the software vendor as well as consulting with the relevant PHN to resolve the issues to allow pharmacies to participate. However, this was unsuccessful and community pharmacies in this PHN </w:t>
      </w:r>
      <w:r w:rsidR="00DB402E">
        <w:t>were</w:t>
      </w:r>
      <w:r>
        <w:t xml:space="preserve"> not able to participate in the trial:</w:t>
      </w:r>
    </w:p>
    <w:p w14:paraId="128EFF09" w14:textId="77777777" w:rsidR="0062271C" w:rsidRDefault="0062271C" w:rsidP="009F034E">
      <w:pPr>
        <w:ind w:left="567" w:right="522"/>
      </w:pPr>
      <w:r>
        <w:rPr>
          <w:i/>
          <w:iCs/>
        </w:rPr>
        <w:t xml:space="preserve">“… </w:t>
      </w:r>
      <w:r w:rsidRPr="002F2DA0">
        <w:rPr>
          <w:i/>
          <w:iCs/>
        </w:rPr>
        <w:t>so it didn’t get resolved and our concern there is probably still that there’s heaps of Health Care Homes patients that have been enrolled to that broader Health Care Homes trial that then weren’t able to get referred through to community pharmacies because those community pharmacies didn’t know what to do with this deed of participation. Look, some of them might have signed it and then started receiving these patient invitations, but if they’d asked us for advice on whether to sign it we, according to our lawyers, couldn’t endorse it because there was just so many problems within the deed</w:t>
      </w:r>
      <w:r>
        <w:rPr>
          <w:i/>
          <w:iCs/>
        </w:rPr>
        <w:t xml:space="preserve"> …”</w:t>
      </w:r>
      <w:r w:rsidRPr="002F2DA0">
        <w:rPr>
          <w:i/>
          <w:iCs/>
        </w:rPr>
        <w:t xml:space="preserve"> </w:t>
      </w:r>
      <w:r>
        <w:t>[R4, Pharmacy Guild]</w:t>
      </w:r>
    </w:p>
    <w:p w14:paraId="12DAC986" w14:textId="77777777" w:rsidR="0062271C" w:rsidRDefault="0062271C" w:rsidP="0062271C">
      <w:r>
        <w:lastRenderedPageBreak/>
        <w:t xml:space="preserve">The Guild also reported that another barrier to pharmacy participation was that some GPs didn’t know how to use the shared care software, and thus did not refer patients to pharmacy. </w:t>
      </w:r>
    </w:p>
    <w:p w14:paraId="6E71D791" w14:textId="4CEE490E" w:rsidR="0062271C" w:rsidRDefault="0062271C" w:rsidP="0062271C">
      <w:r>
        <w:t xml:space="preserve">The Guild reported that it was approached by a peak Aboriginal group asking how the ACCHS </w:t>
      </w:r>
      <w:r w:rsidR="003E1801">
        <w:t xml:space="preserve">clinics </w:t>
      </w:r>
      <w:r>
        <w:t xml:space="preserve">could refer patients to </w:t>
      </w:r>
      <w:r w:rsidR="004257E2">
        <w:t xml:space="preserve">community </w:t>
      </w:r>
      <w:r>
        <w:t xml:space="preserve">pharmacies. The Guild advised that referrals could only be generated via the ACCHS </w:t>
      </w:r>
      <w:r w:rsidR="003E1801">
        <w:t>clinics</w:t>
      </w:r>
      <w:r>
        <w:t xml:space="preserve"> themselves, through the shared care planning software. The lack of awareness of this and the lack of integration of the shared care planning software with practice clinical management software </w:t>
      </w:r>
      <w:r w:rsidR="000B6507">
        <w:t>were further</w:t>
      </w:r>
      <w:r>
        <w:t xml:space="preserve"> barrier</w:t>
      </w:r>
      <w:r w:rsidR="000B6507">
        <w:t>s</w:t>
      </w:r>
      <w:r>
        <w:t xml:space="preserve"> to community pharmacy involvement:</w:t>
      </w:r>
    </w:p>
    <w:p w14:paraId="2067D73B" w14:textId="77777777" w:rsidR="0062271C" w:rsidRDefault="0062271C" w:rsidP="009F034E">
      <w:pPr>
        <w:ind w:left="567" w:right="522"/>
      </w:pPr>
      <w:r>
        <w:rPr>
          <w:i/>
          <w:iCs/>
        </w:rPr>
        <w:t xml:space="preserve">“… </w:t>
      </w:r>
      <w:r w:rsidRPr="00584239">
        <w:rPr>
          <w:i/>
          <w:iCs/>
        </w:rPr>
        <w:t xml:space="preserve">.They’re basically approaching us asking us how they can refer patients to pharmacies and we’re saying, well, it’s not our job to </w:t>
      </w:r>
      <w:r>
        <w:rPr>
          <w:i/>
          <w:iCs/>
        </w:rPr>
        <w:t>set-up</w:t>
      </w:r>
      <w:r w:rsidRPr="00584239">
        <w:rPr>
          <w:i/>
          <w:iCs/>
        </w:rPr>
        <w:t xml:space="preserve"> the shared care planning tool. All we can do is make sure the pharmacies are ready to receive those invitations. So, it’s different. It’s unique in the Northern Territory, but it all seems to revolve around the shared care planning software and I suppose the lack of integration</w:t>
      </w:r>
      <w:r>
        <w:rPr>
          <w:i/>
          <w:iCs/>
        </w:rPr>
        <w:t xml:space="preserve"> … </w:t>
      </w:r>
      <w:r w:rsidRPr="00584239">
        <w:rPr>
          <w:i/>
          <w:iCs/>
        </w:rPr>
        <w:t>.”</w:t>
      </w:r>
      <w:r>
        <w:t xml:space="preserve"> [R4, Pharmacy Guild]</w:t>
      </w:r>
    </w:p>
    <w:p w14:paraId="4AB8A828" w14:textId="77777777" w:rsidR="0062271C" w:rsidRPr="000C1EC5" w:rsidRDefault="0062271C" w:rsidP="0062271C">
      <w:pPr>
        <w:pStyle w:val="Heading4"/>
        <w:spacing w:after="200"/>
      </w:pPr>
      <w:r>
        <w:t>Pharmacists’ experiences with the shared care planning software</w:t>
      </w:r>
    </w:p>
    <w:p w14:paraId="2917E970" w14:textId="0AEA7170" w:rsidR="0062271C" w:rsidRPr="004F6008" w:rsidRDefault="00913BB7" w:rsidP="0062271C">
      <w:pPr>
        <w:rPr>
          <w:szCs w:val="20"/>
        </w:rPr>
      </w:pPr>
      <w:r>
        <w:rPr>
          <w:szCs w:val="20"/>
        </w:rPr>
        <w:t>P</w:t>
      </w:r>
      <w:r w:rsidR="0062271C">
        <w:rPr>
          <w:szCs w:val="20"/>
        </w:rPr>
        <w:t>harmacists</w:t>
      </w:r>
      <w:r w:rsidR="0062271C" w:rsidRPr="004F6008">
        <w:rPr>
          <w:szCs w:val="20"/>
        </w:rPr>
        <w:t xml:space="preserve"> discuss</w:t>
      </w:r>
      <w:r w:rsidR="0062271C">
        <w:rPr>
          <w:szCs w:val="20"/>
        </w:rPr>
        <w:t>ed</w:t>
      </w:r>
      <w:r w:rsidR="0062271C" w:rsidRPr="004F6008">
        <w:rPr>
          <w:szCs w:val="20"/>
        </w:rPr>
        <w:t xml:space="preserve"> difficulties with the shared care planning due to the lack of integration of the various software platforms</w:t>
      </w:r>
      <w:r w:rsidR="0062271C">
        <w:rPr>
          <w:szCs w:val="20"/>
        </w:rPr>
        <w:t>:</w:t>
      </w:r>
    </w:p>
    <w:p w14:paraId="15633E8A" w14:textId="723B6E6C" w:rsidR="0062271C" w:rsidRPr="004F6008" w:rsidRDefault="0062271C" w:rsidP="009F034E">
      <w:pPr>
        <w:ind w:left="567" w:right="521"/>
        <w:rPr>
          <w:szCs w:val="20"/>
        </w:rPr>
      </w:pPr>
      <w:r>
        <w:rPr>
          <w:i/>
          <w:iCs/>
          <w:szCs w:val="20"/>
        </w:rPr>
        <w:t>“</w:t>
      </w:r>
      <w:r w:rsidRPr="004F6008">
        <w:rPr>
          <w:i/>
          <w:iCs/>
          <w:szCs w:val="20"/>
        </w:rPr>
        <w:t>This is one of the issues we’ve come across with</w:t>
      </w:r>
      <w:r>
        <w:rPr>
          <w:i/>
          <w:iCs/>
          <w:szCs w:val="20"/>
        </w:rPr>
        <w:t xml:space="preserve"> … </w:t>
      </w:r>
      <w:r w:rsidRPr="004F6008">
        <w:rPr>
          <w:i/>
          <w:iCs/>
          <w:szCs w:val="20"/>
        </w:rPr>
        <w:t xml:space="preserve">all of these different records. So, in </w:t>
      </w:r>
      <w:r>
        <w:rPr>
          <w:i/>
          <w:iCs/>
          <w:szCs w:val="20"/>
        </w:rPr>
        <w:t>[practice clinical management software]</w:t>
      </w:r>
      <w:r w:rsidRPr="004F6008">
        <w:rPr>
          <w:i/>
          <w:iCs/>
          <w:szCs w:val="20"/>
        </w:rPr>
        <w:t xml:space="preserve"> there, probably in Guild software here, </w:t>
      </w:r>
      <w:r>
        <w:rPr>
          <w:i/>
          <w:iCs/>
          <w:szCs w:val="20"/>
        </w:rPr>
        <w:t>[shared care planning software]</w:t>
      </w:r>
      <w:r w:rsidRPr="004F6008">
        <w:rPr>
          <w:i/>
          <w:iCs/>
          <w:szCs w:val="20"/>
        </w:rPr>
        <w:t xml:space="preserve"> is trying to connect the two, and then you’ve got My Health Record looming over the top. So, there’s a few different areas where you’ve got push things and click things and have things </w:t>
      </w:r>
      <w:r>
        <w:rPr>
          <w:i/>
          <w:iCs/>
          <w:szCs w:val="20"/>
        </w:rPr>
        <w:t>set-up</w:t>
      </w:r>
      <w:r w:rsidRPr="004F6008">
        <w:rPr>
          <w:i/>
          <w:iCs/>
          <w:szCs w:val="20"/>
        </w:rPr>
        <w:t xml:space="preserve">. Here you’re using </w:t>
      </w:r>
      <w:r>
        <w:rPr>
          <w:i/>
          <w:iCs/>
          <w:szCs w:val="20"/>
        </w:rPr>
        <w:t>[shared care planning software x]</w:t>
      </w:r>
      <w:r w:rsidRPr="004F6008">
        <w:rPr>
          <w:i/>
          <w:iCs/>
          <w:szCs w:val="20"/>
        </w:rPr>
        <w:t>, but in other jurisdictions they might be using a different</w:t>
      </w:r>
      <w:r>
        <w:rPr>
          <w:i/>
          <w:iCs/>
          <w:szCs w:val="20"/>
        </w:rPr>
        <w:t xml:space="preserve"> [system]</w:t>
      </w:r>
      <w:r w:rsidRPr="004F6008">
        <w:rPr>
          <w:i/>
          <w:iCs/>
          <w:szCs w:val="20"/>
        </w:rPr>
        <w:t>, there’s about three or four even maybe more providers of shared care plans. So, some places, one doctor</w:t>
      </w:r>
      <w:r w:rsidR="004B068A">
        <w:rPr>
          <w:i/>
          <w:iCs/>
          <w:szCs w:val="20"/>
        </w:rPr>
        <w:t>’</w:t>
      </w:r>
      <w:r w:rsidRPr="004F6008">
        <w:rPr>
          <w:i/>
          <w:iCs/>
          <w:szCs w:val="20"/>
        </w:rPr>
        <w:t xml:space="preserve">s surgery might be using </w:t>
      </w:r>
      <w:r>
        <w:rPr>
          <w:i/>
          <w:iCs/>
          <w:szCs w:val="20"/>
        </w:rPr>
        <w:t>[shared care planning software y]</w:t>
      </w:r>
      <w:r w:rsidRPr="004F6008">
        <w:rPr>
          <w:i/>
          <w:iCs/>
          <w:szCs w:val="20"/>
        </w:rPr>
        <w:t xml:space="preserve"> and another doctor’s surgery might be using something else and another doctor’s surgery’s using something else. So, all of a sudden the allied health, including pharmacies are having to try and connect to three or four different [platforms], it can make it difficult.”</w:t>
      </w:r>
      <w:r w:rsidRPr="004F6008">
        <w:rPr>
          <w:szCs w:val="20"/>
        </w:rPr>
        <w:t xml:space="preserve"> [CP, R4, Pharmacy 01]</w:t>
      </w:r>
    </w:p>
    <w:p w14:paraId="1B62E73D" w14:textId="77777777" w:rsidR="0062271C" w:rsidRPr="004F6008" w:rsidRDefault="0062271C" w:rsidP="009F034E">
      <w:pPr>
        <w:ind w:left="567" w:right="521"/>
        <w:rPr>
          <w:szCs w:val="20"/>
        </w:rPr>
      </w:pPr>
      <w:r>
        <w:rPr>
          <w:i/>
          <w:iCs/>
          <w:szCs w:val="20"/>
        </w:rPr>
        <w:t xml:space="preserve">“… </w:t>
      </w:r>
      <w:r w:rsidRPr="004F6008">
        <w:rPr>
          <w:i/>
          <w:iCs/>
          <w:szCs w:val="20"/>
        </w:rPr>
        <w:t>[the shared care planning software] I would say I struggled a bit with. It was a little bit paint by numbers until you’ve figured it out, and there wasn’t really anywhere to easily access how to do it. Once you were up and running and you’d done a few it was okay, but the first couple it was very hard to download the documents, because it’s not integrated with the Guild.</w:t>
      </w:r>
      <w:r>
        <w:rPr>
          <w:i/>
          <w:iCs/>
          <w:szCs w:val="20"/>
        </w:rPr>
        <w:t xml:space="preserve"> </w:t>
      </w:r>
      <w:r w:rsidRPr="004F6008">
        <w:rPr>
          <w:i/>
          <w:iCs/>
          <w:szCs w:val="20"/>
        </w:rPr>
        <w:t xml:space="preserve">So, you had to save your reports in a file, and then go into </w:t>
      </w:r>
      <w:r>
        <w:rPr>
          <w:i/>
          <w:iCs/>
          <w:szCs w:val="20"/>
        </w:rPr>
        <w:t>[</w:t>
      </w:r>
      <w:r w:rsidRPr="004F6008">
        <w:rPr>
          <w:i/>
          <w:iCs/>
          <w:szCs w:val="20"/>
        </w:rPr>
        <w:t>shared care planning software], and upload that report to the doctor.”</w:t>
      </w:r>
      <w:r w:rsidRPr="004F6008">
        <w:rPr>
          <w:szCs w:val="20"/>
        </w:rPr>
        <w:t xml:space="preserve"> [CP, R4, Pharmacy 10]</w:t>
      </w:r>
    </w:p>
    <w:p w14:paraId="3C4DBDFE" w14:textId="6710C8CA" w:rsidR="0062271C" w:rsidRPr="004F6008" w:rsidRDefault="00352D43" w:rsidP="009F034E">
      <w:pPr>
        <w:rPr>
          <w:szCs w:val="20"/>
        </w:rPr>
      </w:pPr>
      <w:r>
        <w:rPr>
          <w:szCs w:val="20"/>
        </w:rPr>
        <w:t>Some</w:t>
      </w:r>
      <w:r w:rsidR="0062271C" w:rsidRPr="004F6008">
        <w:rPr>
          <w:szCs w:val="20"/>
        </w:rPr>
        <w:t xml:space="preserve"> interviewees stated that the software was “weirdly worded” and more difficult to follow in uploading the medication management plans and attaching associated patient information</w:t>
      </w:r>
      <w:r w:rsidR="006F2859">
        <w:rPr>
          <w:szCs w:val="20"/>
        </w:rPr>
        <w:t xml:space="preserve">. Also, </w:t>
      </w:r>
      <w:r w:rsidR="007D5FD2">
        <w:rPr>
          <w:szCs w:val="20"/>
        </w:rPr>
        <w:t xml:space="preserve">because patient tier was not a mandated field in the </w:t>
      </w:r>
      <w:r w:rsidR="007D5FD2" w:rsidRPr="004F6008">
        <w:rPr>
          <w:szCs w:val="20"/>
        </w:rPr>
        <w:t xml:space="preserve">shared care planning </w:t>
      </w:r>
      <w:r w:rsidR="007D5FD2" w:rsidRPr="004F6008">
        <w:rPr>
          <w:szCs w:val="20"/>
        </w:rPr>
        <w:lastRenderedPageBreak/>
        <w:t>software</w:t>
      </w:r>
      <w:r w:rsidR="007D5FD2">
        <w:rPr>
          <w:szCs w:val="20"/>
        </w:rPr>
        <w:t>, if this information was not provided, pharmacies</w:t>
      </w:r>
      <w:r w:rsidR="0062271C">
        <w:rPr>
          <w:szCs w:val="20"/>
        </w:rPr>
        <w:t xml:space="preserve"> </w:t>
      </w:r>
      <w:r w:rsidR="0062271C" w:rsidRPr="004F6008">
        <w:rPr>
          <w:szCs w:val="20"/>
        </w:rPr>
        <w:t>could not claim for HCH pharmacy services without contacting the practice</w:t>
      </w:r>
      <w:r w:rsidR="0062271C">
        <w:rPr>
          <w:szCs w:val="20"/>
        </w:rPr>
        <w:t>:</w:t>
      </w:r>
    </w:p>
    <w:p w14:paraId="0D7E80E9" w14:textId="77777777" w:rsidR="0062271C" w:rsidRPr="004F6008" w:rsidRDefault="0062271C" w:rsidP="009F034E">
      <w:pPr>
        <w:ind w:left="567" w:right="521"/>
        <w:rPr>
          <w:szCs w:val="20"/>
        </w:rPr>
      </w:pPr>
      <w:r w:rsidRPr="004F6008">
        <w:rPr>
          <w:i/>
          <w:iCs/>
          <w:szCs w:val="20"/>
        </w:rPr>
        <w:t>“But the thing that was really bad was they couldn’t flag in their platform what tier they were, which is the most vital thing out of everything, because when you’re doing a claim or when you’re putting through the Guild and then back into the platform, you’ve got to say what tier they are. So, I had to ring the clinics all the time.”</w:t>
      </w:r>
      <w:r w:rsidRPr="004F6008">
        <w:rPr>
          <w:szCs w:val="20"/>
        </w:rPr>
        <w:t xml:space="preserve"> [CP, R4, Pharmacy 10]</w:t>
      </w:r>
    </w:p>
    <w:p w14:paraId="492410A2" w14:textId="77777777" w:rsidR="0062271C" w:rsidRPr="004F6008" w:rsidRDefault="0062271C" w:rsidP="009F034E">
      <w:pPr>
        <w:ind w:left="567" w:right="521"/>
        <w:rPr>
          <w:szCs w:val="20"/>
        </w:rPr>
      </w:pPr>
      <w:r w:rsidRPr="004F6008">
        <w:rPr>
          <w:i/>
          <w:iCs/>
          <w:szCs w:val="20"/>
        </w:rPr>
        <w:t xml:space="preserve">“The </w:t>
      </w:r>
      <w:r>
        <w:rPr>
          <w:i/>
          <w:iCs/>
          <w:szCs w:val="20"/>
        </w:rPr>
        <w:t>[</w:t>
      </w:r>
      <w:r w:rsidRPr="004F6008">
        <w:rPr>
          <w:i/>
          <w:iCs/>
          <w:szCs w:val="20"/>
        </w:rPr>
        <w:t>shared care planning software] part of it was okay to use as well</w:t>
      </w:r>
      <w:r>
        <w:rPr>
          <w:i/>
          <w:iCs/>
          <w:szCs w:val="20"/>
        </w:rPr>
        <w:t xml:space="preserve"> … </w:t>
      </w:r>
      <w:r w:rsidRPr="004F6008">
        <w:rPr>
          <w:i/>
          <w:iCs/>
          <w:szCs w:val="20"/>
        </w:rPr>
        <w:t>It was more a question of being able to attach my documents from the Guild</w:t>
      </w:r>
      <w:r>
        <w:rPr>
          <w:i/>
          <w:iCs/>
          <w:szCs w:val="20"/>
        </w:rPr>
        <w:t xml:space="preserve"> … </w:t>
      </w:r>
      <w:r w:rsidRPr="004F6008">
        <w:rPr>
          <w:i/>
          <w:iCs/>
          <w:szCs w:val="20"/>
        </w:rPr>
        <w:t xml:space="preserve">I’d make a PDF document from </w:t>
      </w:r>
      <w:proofErr w:type="spellStart"/>
      <w:r w:rsidRPr="004F6008">
        <w:rPr>
          <w:i/>
          <w:iCs/>
          <w:szCs w:val="20"/>
        </w:rPr>
        <w:t>GuildLink</w:t>
      </w:r>
      <w:proofErr w:type="spellEnd"/>
      <w:r w:rsidRPr="004F6008">
        <w:rPr>
          <w:i/>
          <w:iCs/>
          <w:szCs w:val="20"/>
        </w:rPr>
        <w:t xml:space="preserve">, and then to try and attach it to the care plan in </w:t>
      </w:r>
      <w:r>
        <w:rPr>
          <w:i/>
          <w:iCs/>
          <w:szCs w:val="20"/>
        </w:rPr>
        <w:t>[</w:t>
      </w:r>
      <w:r w:rsidRPr="004F6008">
        <w:rPr>
          <w:i/>
          <w:iCs/>
          <w:szCs w:val="20"/>
        </w:rPr>
        <w:t>shared care planning software]</w:t>
      </w:r>
      <w:r>
        <w:rPr>
          <w:i/>
          <w:iCs/>
          <w:szCs w:val="20"/>
        </w:rPr>
        <w:t xml:space="preserve"> … </w:t>
      </w:r>
      <w:r w:rsidRPr="004F6008">
        <w:rPr>
          <w:i/>
          <w:iCs/>
          <w:szCs w:val="20"/>
        </w:rPr>
        <w:t>It wouldn</w:t>
      </w:r>
      <w:r w:rsidRPr="004F6008">
        <w:rPr>
          <w:rFonts w:cs="Century Gothic"/>
          <w:i/>
          <w:iCs/>
          <w:szCs w:val="20"/>
        </w:rPr>
        <w:t>’</w:t>
      </w:r>
      <w:r w:rsidRPr="004F6008">
        <w:rPr>
          <w:i/>
          <w:iCs/>
          <w:szCs w:val="20"/>
        </w:rPr>
        <w:t xml:space="preserve">t send between me and the doctors. It was more technical problems rather than ease of use of the </w:t>
      </w:r>
      <w:r>
        <w:rPr>
          <w:i/>
          <w:iCs/>
          <w:szCs w:val="20"/>
        </w:rPr>
        <w:t>program</w:t>
      </w:r>
      <w:r w:rsidRPr="004F6008">
        <w:rPr>
          <w:i/>
          <w:iCs/>
          <w:szCs w:val="20"/>
        </w:rPr>
        <w:t>. It was just [doing what] they said they were having teething problems or something, and they were trying to work it out, but I found that I had a lot of problems just between my end and their end, that’s all.”</w:t>
      </w:r>
      <w:r w:rsidRPr="004F6008">
        <w:rPr>
          <w:szCs w:val="20"/>
        </w:rPr>
        <w:t xml:space="preserve"> [CP, R4, Pharmacy 06]</w:t>
      </w:r>
    </w:p>
    <w:p w14:paraId="079EF437" w14:textId="3CF981D0" w:rsidR="0062271C" w:rsidRPr="004F6008" w:rsidRDefault="006A4696" w:rsidP="009F034E">
      <w:pPr>
        <w:rPr>
          <w:szCs w:val="20"/>
        </w:rPr>
      </w:pPr>
      <w:r>
        <w:rPr>
          <w:szCs w:val="20"/>
        </w:rPr>
        <w:t>S</w:t>
      </w:r>
      <w:r w:rsidR="0062271C" w:rsidRPr="004F6008">
        <w:rPr>
          <w:szCs w:val="20"/>
        </w:rPr>
        <w:t>ome pharmacists felt that there was limited training on the shared care software and stated that they devote</w:t>
      </w:r>
      <w:r w:rsidR="0062271C">
        <w:rPr>
          <w:szCs w:val="20"/>
        </w:rPr>
        <w:t>d</w:t>
      </w:r>
      <w:r w:rsidR="0062271C" w:rsidRPr="004F6008">
        <w:rPr>
          <w:szCs w:val="20"/>
        </w:rPr>
        <w:t xml:space="preserve"> a </w:t>
      </w:r>
      <w:r w:rsidR="0062271C">
        <w:rPr>
          <w:szCs w:val="20"/>
        </w:rPr>
        <w:t>lot</w:t>
      </w:r>
      <w:r w:rsidR="0062271C" w:rsidRPr="004F6008">
        <w:rPr>
          <w:szCs w:val="20"/>
        </w:rPr>
        <w:t xml:space="preserve"> of time trying to understand how to </w:t>
      </w:r>
      <w:r w:rsidR="0062271C">
        <w:rPr>
          <w:szCs w:val="20"/>
        </w:rPr>
        <w:t>use the</w:t>
      </w:r>
      <w:r w:rsidR="0062271C" w:rsidRPr="004F6008">
        <w:rPr>
          <w:szCs w:val="20"/>
        </w:rPr>
        <w:t xml:space="preserve"> software</w:t>
      </w:r>
      <w:r w:rsidR="0062271C">
        <w:rPr>
          <w:szCs w:val="20"/>
        </w:rPr>
        <w:t>:</w:t>
      </w:r>
    </w:p>
    <w:p w14:paraId="780BA1E4" w14:textId="77777777" w:rsidR="0062271C" w:rsidRPr="004F6008" w:rsidRDefault="0062271C" w:rsidP="009F034E">
      <w:pPr>
        <w:ind w:left="567" w:right="521"/>
        <w:rPr>
          <w:szCs w:val="20"/>
        </w:rPr>
      </w:pPr>
      <w:r w:rsidRPr="004F6008">
        <w:rPr>
          <w:i/>
          <w:iCs/>
          <w:szCs w:val="20"/>
        </w:rPr>
        <w:t xml:space="preserve">“There’s various platforms, and pharmacy has the added I would say step, and I would also call it a disadvantage, that we needed to also train ourselves on the </w:t>
      </w:r>
      <w:r>
        <w:rPr>
          <w:i/>
          <w:iCs/>
          <w:szCs w:val="20"/>
        </w:rPr>
        <w:t>[</w:t>
      </w:r>
      <w:r w:rsidRPr="004F6008">
        <w:rPr>
          <w:i/>
          <w:iCs/>
          <w:szCs w:val="20"/>
        </w:rPr>
        <w:t>shared care planning software], which we have never used.”</w:t>
      </w:r>
      <w:r w:rsidRPr="004F6008">
        <w:rPr>
          <w:szCs w:val="20"/>
        </w:rPr>
        <w:t xml:space="preserve"> [CP, R4, Pharmacy 03]</w:t>
      </w:r>
    </w:p>
    <w:p w14:paraId="714EA5B4" w14:textId="77777777" w:rsidR="0062271C" w:rsidRPr="004F6008" w:rsidRDefault="0062271C" w:rsidP="009F034E">
      <w:pPr>
        <w:ind w:left="567" w:right="521"/>
        <w:rPr>
          <w:szCs w:val="20"/>
        </w:rPr>
      </w:pPr>
      <w:r w:rsidRPr="004F6008">
        <w:rPr>
          <w:i/>
          <w:iCs/>
          <w:szCs w:val="20"/>
        </w:rPr>
        <w:t xml:space="preserve">“I guess maybe there wasn’t much [in the modules] about the </w:t>
      </w:r>
      <w:r>
        <w:rPr>
          <w:i/>
          <w:iCs/>
          <w:szCs w:val="20"/>
        </w:rPr>
        <w:t>[</w:t>
      </w:r>
      <w:r w:rsidRPr="004F6008">
        <w:rPr>
          <w:i/>
          <w:iCs/>
          <w:szCs w:val="20"/>
        </w:rPr>
        <w:t xml:space="preserve">shared care planning software] itself. So, I had to spend a lot of time really kind of just learning about it myself and just playing around with it. That’s probably one thing and then second thing, maybe just offering a way to kind of really </w:t>
      </w:r>
      <w:r>
        <w:rPr>
          <w:i/>
          <w:iCs/>
          <w:szCs w:val="20"/>
        </w:rPr>
        <w:t>set-up</w:t>
      </w:r>
      <w:r w:rsidRPr="004F6008">
        <w:rPr>
          <w:i/>
          <w:iCs/>
          <w:szCs w:val="20"/>
        </w:rPr>
        <w:t xml:space="preserve"> in the pharmacy. I guess they tell you how to do the medication, the management plans and all this, but maybe just how to set it up so you can call patients.”</w:t>
      </w:r>
      <w:r w:rsidRPr="004F6008">
        <w:rPr>
          <w:szCs w:val="20"/>
        </w:rPr>
        <w:t xml:space="preserve"> [CP, R4, Pharmacy 02]</w:t>
      </w:r>
    </w:p>
    <w:p w14:paraId="7137F096" w14:textId="27BE6476" w:rsidR="0062271C" w:rsidRPr="004F6008" w:rsidRDefault="0062271C" w:rsidP="009F034E">
      <w:pPr>
        <w:rPr>
          <w:szCs w:val="20"/>
        </w:rPr>
      </w:pPr>
      <w:r>
        <w:rPr>
          <w:szCs w:val="20"/>
        </w:rPr>
        <w:t xml:space="preserve">In </w:t>
      </w:r>
      <w:r w:rsidR="00B04FE1">
        <w:rPr>
          <w:szCs w:val="20"/>
        </w:rPr>
        <w:t>a few</w:t>
      </w:r>
      <w:r>
        <w:rPr>
          <w:szCs w:val="20"/>
        </w:rPr>
        <w:t xml:space="preserve"> instances</w:t>
      </w:r>
      <w:r w:rsidRPr="004F6008">
        <w:rPr>
          <w:szCs w:val="20"/>
        </w:rPr>
        <w:t xml:space="preserve"> pharmacists felt that the shared care planning software was easy to use, and they did not experience any issues</w:t>
      </w:r>
      <w:r>
        <w:rPr>
          <w:szCs w:val="20"/>
        </w:rPr>
        <w:t>:</w:t>
      </w:r>
    </w:p>
    <w:p w14:paraId="0A1590A0" w14:textId="77777777" w:rsidR="0062271C" w:rsidRPr="004F6008" w:rsidRDefault="0062271C" w:rsidP="009F034E">
      <w:pPr>
        <w:ind w:left="567" w:right="521"/>
        <w:rPr>
          <w:szCs w:val="20"/>
        </w:rPr>
      </w:pPr>
      <w:r w:rsidRPr="004F6008">
        <w:rPr>
          <w:i/>
          <w:iCs/>
          <w:szCs w:val="20"/>
        </w:rPr>
        <w:t xml:space="preserve">“So, with the shared care platform, I assume you mean the </w:t>
      </w:r>
      <w:r>
        <w:rPr>
          <w:i/>
          <w:iCs/>
          <w:szCs w:val="20"/>
        </w:rPr>
        <w:t>[</w:t>
      </w:r>
      <w:r w:rsidRPr="004F6008">
        <w:rPr>
          <w:i/>
          <w:iCs/>
          <w:szCs w:val="20"/>
        </w:rPr>
        <w:t>shared care planning software]? I think that everything you need to know is pretty much on there. I mean, there’s a wealth of information in there. So, you’ve got the patient history, you’ve got which medications they’re on. It’s pretty easy to use.”</w:t>
      </w:r>
      <w:r w:rsidRPr="004F6008">
        <w:rPr>
          <w:szCs w:val="20"/>
        </w:rPr>
        <w:t xml:space="preserve"> [CP, R4, Pharmacy 07]</w:t>
      </w:r>
    </w:p>
    <w:p w14:paraId="7859ED6A" w14:textId="77777777" w:rsidR="0062271C" w:rsidRPr="004F6008" w:rsidRDefault="0062271C" w:rsidP="009F034E">
      <w:pPr>
        <w:ind w:left="567" w:right="521"/>
        <w:rPr>
          <w:szCs w:val="20"/>
        </w:rPr>
      </w:pPr>
      <w:r w:rsidRPr="004F6008">
        <w:rPr>
          <w:i/>
          <w:iCs/>
          <w:szCs w:val="20"/>
        </w:rPr>
        <w:t xml:space="preserve">“Yes, easy. </w:t>
      </w:r>
      <w:r>
        <w:rPr>
          <w:i/>
          <w:iCs/>
          <w:szCs w:val="20"/>
        </w:rPr>
        <w:t>[S</w:t>
      </w:r>
      <w:r w:rsidRPr="004F6008">
        <w:rPr>
          <w:i/>
          <w:iCs/>
          <w:szCs w:val="20"/>
        </w:rPr>
        <w:t>hared care planning software</w:t>
      </w:r>
      <w:r>
        <w:rPr>
          <w:i/>
          <w:iCs/>
          <w:szCs w:val="20"/>
        </w:rPr>
        <w:t xml:space="preserve"> is</w:t>
      </w:r>
      <w:r w:rsidRPr="004F6008">
        <w:rPr>
          <w:i/>
          <w:iCs/>
          <w:szCs w:val="20"/>
        </w:rPr>
        <w:t>] a good tool for us to have access to that, because you can see what their kidney function is or you can see what their cholesterol levels are like or their HbA1cs</w:t>
      </w:r>
      <w:r w:rsidRPr="004F6008">
        <w:rPr>
          <w:szCs w:val="20"/>
        </w:rPr>
        <w:t xml:space="preserve"> </w:t>
      </w:r>
      <w:r w:rsidRPr="004F6008">
        <w:rPr>
          <w:i/>
          <w:iCs/>
          <w:szCs w:val="20"/>
        </w:rPr>
        <w:t>and all that sort of stuff. Whereas before we weren’t privy to any of that</w:t>
      </w:r>
      <w:r w:rsidRPr="004F6008">
        <w:rPr>
          <w:szCs w:val="20"/>
        </w:rPr>
        <w:t>.” [CP, R4, Pharmacy 01]</w:t>
      </w:r>
    </w:p>
    <w:p w14:paraId="236E4539" w14:textId="03BB17F0" w:rsidR="001E10F8" w:rsidRDefault="001E10F8" w:rsidP="001E10F8">
      <w:pPr>
        <w:rPr>
          <w:rFonts w:asciiTheme="minorHAnsi" w:hAnsiTheme="minorHAnsi"/>
          <w:szCs w:val="20"/>
        </w:rPr>
      </w:pPr>
      <w:r>
        <w:rPr>
          <w:szCs w:val="20"/>
        </w:rPr>
        <w:lastRenderedPageBreak/>
        <w:t>In a written submission for the evaluation, the Guild collected community pharmacists’ experiences with using shared care planning software, and identified the following</w:t>
      </w:r>
      <w:r w:rsidR="00B4045E">
        <w:rPr>
          <w:szCs w:val="20"/>
        </w:rPr>
        <w:t xml:space="preserve"> additional</w:t>
      </w:r>
      <w:r>
        <w:rPr>
          <w:szCs w:val="20"/>
        </w:rPr>
        <w:t xml:space="preserve"> issues:</w:t>
      </w:r>
    </w:p>
    <w:p w14:paraId="586258EC" w14:textId="77777777" w:rsidR="001E10F8" w:rsidRDefault="001E10F8" w:rsidP="00BB7C8D">
      <w:pPr>
        <w:pStyle w:val="ListParagraph"/>
        <w:numPr>
          <w:ilvl w:val="0"/>
          <w:numId w:val="31"/>
        </w:numPr>
        <w:ind w:left="714" w:hanging="357"/>
        <w:contextualSpacing w:val="0"/>
      </w:pPr>
      <w:r>
        <w:t>Shared care planning software patient referrals came from unfamiliar sources and so they often landed in pharmacies’ junk email folders and were not identified or actioned by the pharmacy.</w:t>
      </w:r>
    </w:p>
    <w:p w14:paraId="4FFA3EEF" w14:textId="77777777" w:rsidR="001E10F8" w:rsidRDefault="001E10F8" w:rsidP="00BB7C8D">
      <w:pPr>
        <w:pStyle w:val="ListParagraph"/>
        <w:numPr>
          <w:ilvl w:val="0"/>
          <w:numId w:val="31"/>
        </w:numPr>
        <w:ind w:left="714" w:hanging="357"/>
        <w:contextualSpacing w:val="0"/>
      </w:pPr>
      <w:r>
        <w:t>When they did get through, because of the different vendors, pharmacies didn’t readily recognise referrals.</w:t>
      </w:r>
    </w:p>
    <w:p w14:paraId="4E4D3190" w14:textId="77777777" w:rsidR="001E10F8" w:rsidRDefault="001E10F8" w:rsidP="00BB7C8D">
      <w:pPr>
        <w:pStyle w:val="ListParagraph"/>
        <w:numPr>
          <w:ilvl w:val="0"/>
          <w:numId w:val="31"/>
        </w:numPr>
        <w:ind w:left="714" w:hanging="357"/>
        <w:contextualSpacing w:val="0"/>
      </w:pPr>
      <w:r>
        <w:t>When pharmacies received a patient referral from a shared care planning system, they often didn’t know how to navigate the software platform because there was no platform-specific training or resources available to pharmacies or the Guild (except for one vendor).</w:t>
      </w:r>
    </w:p>
    <w:p w14:paraId="027339E2" w14:textId="0D86A056" w:rsidR="001E10F8" w:rsidRDefault="001E10F8" w:rsidP="00BB7C8D">
      <w:pPr>
        <w:pStyle w:val="ListParagraph"/>
        <w:numPr>
          <w:ilvl w:val="0"/>
          <w:numId w:val="31"/>
        </w:numPr>
        <w:ind w:left="714" w:hanging="357"/>
        <w:contextualSpacing w:val="0"/>
      </w:pPr>
      <w:r>
        <w:t xml:space="preserve">Shared care planning software vendors reported that some practices/ACCHS </w:t>
      </w:r>
      <w:r w:rsidR="003E1801">
        <w:t xml:space="preserve">clinics </w:t>
      </w:r>
      <w:r>
        <w:t>only nominated the pharmacist’s name with no other contact details when setting up a referral, leaving the vendor to source missing contact data. This caused referrals to not be sent to pharmacies in some cases.</w:t>
      </w:r>
    </w:p>
    <w:p w14:paraId="19803B0B" w14:textId="77777777" w:rsidR="001E10F8" w:rsidRDefault="001E10F8" w:rsidP="00BB7C8D">
      <w:pPr>
        <w:pStyle w:val="ListParagraph"/>
        <w:numPr>
          <w:ilvl w:val="0"/>
          <w:numId w:val="31"/>
        </w:numPr>
        <w:ind w:left="714" w:hanging="357"/>
        <w:contextualSpacing w:val="0"/>
      </w:pPr>
      <w:r>
        <w:t>Patient referrals often did not specify that the patient was a HCH patient, which led to confusion amongst pharmacies over whether the referral was for the HCH service or a Home Medicines Review, or whether it had been sent by a HCH practice or a non-HCH practice. Many shared care planning software platforms did not even specify an option to refer a patient for the HCH trial.</w:t>
      </w:r>
    </w:p>
    <w:p w14:paraId="45B79EEB" w14:textId="198F97BC" w:rsidR="001E10F8" w:rsidRDefault="001E10F8" w:rsidP="001E10F8">
      <w:pPr>
        <w:rPr>
          <w:szCs w:val="20"/>
        </w:rPr>
      </w:pPr>
      <w:r>
        <w:rPr>
          <w:szCs w:val="20"/>
        </w:rPr>
        <w:t xml:space="preserve">The Guild also confirmed that many pharmacies found it confusing and laborious to record the trial service on multiple platforms. </w:t>
      </w:r>
      <w:r w:rsidR="00DB73BA">
        <w:rPr>
          <w:szCs w:val="20"/>
        </w:rPr>
        <w:t>Typically,</w:t>
      </w:r>
      <w:r>
        <w:rPr>
          <w:szCs w:val="20"/>
        </w:rPr>
        <w:t xml:space="preserve"> a pharmacist providing a service to a HCH patient would need to record information on:</w:t>
      </w:r>
    </w:p>
    <w:p w14:paraId="30587590" w14:textId="181B9852" w:rsidR="001E10F8" w:rsidRDefault="001E10F8" w:rsidP="00BB7C8D">
      <w:pPr>
        <w:pStyle w:val="ListParagraph"/>
        <w:numPr>
          <w:ilvl w:val="0"/>
          <w:numId w:val="31"/>
        </w:numPr>
        <w:ind w:left="714" w:hanging="357"/>
      </w:pPr>
      <w:r>
        <w:t>The shared care planning software, to transmit the completed MMP to the referring practice/ACCHS</w:t>
      </w:r>
      <w:r w:rsidR="003E1801">
        <w:t xml:space="preserve"> clinic</w:t>
      </w:r>
      <w:r>
        <w:t>.</w:t>
      </w:r>
    </w:p>
    <w:p w14:paraId="4CA2E722" w14:textId="77777777" w:rsidR="001E10F8" w:rsidRDefault="001E10F8" w:rsidP="00BB7C8D">
      <w:pPr>
        <w:pStyle w:val="ListParagraph"/>
        <w:numPr>
          <w:ilvl w:val="0"/>
          <w:numId w:val="31"/>
        </w:numPr>
        <w:ind w:left="714" w:hanging="357"/>
      </w:pPr>
      <w:proofErr w:type="spellStart"/>
      <w:r>
        <w:t>GuildCare</w:t>
      </w:r>
      <w:proofErr w:type="spellEnd"/>
      <w:r>
        <w:t>, to generate the MMP and record the trial service for payment.</w:t>
      </w:r>
    </w:p>
    <w:p w14:paraId="2089EAAE" w14:textId="77777777" w:rsidR="001E10F8" w:rsidRDefault="001E10F8" w:rsidP="00BB7C8D">
      <w:pPr>
        <w:pStyle w:val="ListParagraph"/>
        <w:numPr>
          <w:ilvl w:val="0"/>
          <w:numId w:val="31"/>
        </w:numPr>
        <w:ind w:left="714" w:hanging="357"/>
      </w:pPr>
      <w:r>
        <w:t>My Health Record, as required by the Program Rules.</w:t>
      </w:r>
    </w:p>
    <w:p w14:paraId="65FCDB31" w14:textId="01054840" w:rsidR="001E10F8" w:rsidRDefault="001E10F8" w:rsidP="00BB7C8D">
      <w:pPr>
        <w:pStyle w:val="ListParagraph"/>
        <w:numPr>
          <w:ilvl w:val="0"/>
          <w:numId w:val="31"/>
        </w:numPr>
        <w:ind w:left="714" w:hanging="357"/>
      </w:pPr>
      <w:r>
        <w:t xml:space="preserve">Email – shared care planning software patient referrals were received via email however pharmacies were often asked by HCH practices/ACCHS </w:t>
      </w:r>
      <w:r w:rsidR="003E1801">
        <w:t xml:space="preserve">clinics </w:t>
      </w:r>
      <w:r>
        <w:t xml:space="preserve">to send their completed MMPs to practices/ACCHS </w:t>
      </w:r>
      <w:r w:rsidR="003E1801">
        <w:t xml:space="preserve">clinics </w:t>
      </w:r>
      <w:r>
        <w:t>via email instead of through the software.</w:t>
      </w:r>
    </w:p>
    <w:p w14:paraId="026D9943" w14:textId="77777777" w:rsidR="0089533D" w:rsidRDefault="00122CC4" w:rsidP="00F01983">
      <w:r>
        <w:rPr>
          <w:szCs w:val="20"/>
        </w:rPr>
        <w:t>Community</w:t>
      </w:r>
      <w:r w:rsidRPr="004F6008">
        <w:rPr>
          <w:szCs w:val="20"/>
        </w:rPr>
        <w:t xml:space="preserve"> </w:t>
      </w:r>
      <w:r>
        <w:rPr>
          <w:szCs w:val="20"/>
        </w:rPr>
        <w:t>pharmacists’</w:t>
      </w:r>
      <w:r w:rsidRPr="004F6008">
        <w:rPr>
          <w:szCs w:val="20"/>
        </w:rPr>
        <w:t xml:space="preserve"> feedback predominantly focussed on further integrating the shared care planning software with the </w:t>
      </w:r>
      <w:proofErr w:type="spellStart"/>
      <w:r w:rsidRPr="004F6008">
        <w:rPr>
          <w:szCs w:val="20"/>
        </w:rPr>
        <w:t>GuildLink</w:t>
      </w:r>
      <w:proofErr w:type="spellEnd"/>
      <w:r w:rsidRPr="004F6008">
        <w:rPr>
          <w:szCs w:val="20"/>
        </w:rPr>
        <w:t xml:space="preserve"> platform</w:t>
      </w:r>
      <w:r>
        <w:t xml:space="preserve">. </w:t>
      </w:r>
      <w:r w:rsidR="0089533D">
        <w:t>The Guild also recommended that:</w:t>
      </w:r>
    </w:p>
    <w:p w14:paraId="79ABEB20" w14:textId="63157D4D" w:rsidR="004F3982" w:rsidRPr="00F71DF5" w:rsidRDefault="0089533D" w:rsidP="00F01983">
      <w:pPr>
        <w:ind w:left="567" w:right="521"/>
        <w:rPr>
          <w:szCs w:val="20"/>
        </w:rPr>
      </w:pPr>
      <w:r>
        <w:t>“</w:t>
      </w:r>
      <w:r w:rsidRPr="0089533D">
        <w:rPr>
          <w:i/>
          <w:iCs/>
        </w:rPr>
        <w:t>A software solution should be used which allows pharmacies to receive patient referrals and record them within a single platform, and which integrates automatically with other platforms if needed. Such a platform would allow pharmacies to receive the referral, record the service, generate a Medication Management Plan and share ‘live’ data back and forth with the referring GP without having to use another platform</w:t>
      </w:r>
      <w:r>
        <w:t>.” [Pharmacy Guild, written submission for the evaluation, August 2021]</w:t>
      </w:r>
      <w:r w:rsidR="004F3982" w:rsidRPr="004F6008">
        <w:rPr>
          <w:szCs w:val="20"/>
        </w:rPr>
        <w:t xml:space="preserve"> </w:t>
      </w:r>
    </w:p>
    <w:p w14:paraId="5B3CA78E" w14:textId="71939CBD" w:rsidR="000E29D2" w:rsidRDefault="000E29D2" w:rsidP="00B66B79">
      <w:pPr>
        <w:rPr>
          <w:szCs w:val="20"/>
        </w:rPr>
        <w:sectPr w:rsidR="000E29D2">
          <w:headerReference w:type="default" r:id="rId113"/>
          <w:pgSz w:w="11906" w:h="16838"/>
          <w:pgMar w:top="1440" w:right="1440" w:bottom="1440" w:left="1440" w:header="708" w:footer="708" w:gutter="0"/>
          <w:cols w:space="708"/>
          <w:docGrid w:linePitch="360"/>
        </w:sectPr>
      </w:pPr>
    </w:p>
    <w:p w14:paraId="2CAFEEEC" w14:textId="2B3F487A" w:rsidR="00922927" w:rsidRPr="0094369A" w:rsidRDefault="00072628" w:rsidP="00922927">
      <w:pPr>
        <w:pStyle w:val="ChapterNumber"/>
      </w:pPr>
      <w:r>
        <w:lastRenderedPageBreak/>
        <w:fldChar w:fldCharType="begin"/>
      </w:r>
      <w:r>
        <w:instrText xml:space="preserve"> REF _Ref85453951 \r \h </w:instrText>
      </w:r>
      <w:r>
        <w:fldChar w:fldCharType="separate"/>
      </w:r>
      <w:r w:rsidR="003C4BC2">
        <w:t>21</w:t>
      </w:r>
      <w:r>
        <w:fldChar w:fldCharType="end"/>
      </w:r>
    </w:p>
    <w:p w14:paraId="746D9345" w14:textId="6E0DAD12" w:rsidR="00922927" w:rsidRDefault="002256E6" w:rsidP="00922927">
      <w:pPr>
        <w:pStyle w:val="Heading1withnumber"/>
        <w:ind w:left="0" w:hanging="851"/>
      </w:pPr>
      <w:bookmarkStart w:id="445" w:name="_Ref85453951"/>
      <w:bookmarkStart w:id="446" w:name="_Toc109996755"/>
      <w:r>
        <w:t xml:space="preserve">Community </w:t>
      </w:r>
      <w:r w:rsidR="00FE76EA" w:rsidRPr="00FE76EA">
        <w:t xml:space="preserve">Pharmacy in HCH Trial </w:t>
      </w:r>
      <w:r>
        <w:t>– p</w:t>
      </w:r>
      <w:r w:rsidR="00DE0048">
        <w:t>ha</w:t>
      </w:r>
      <w:r w:rsidR="00027011">
        <w:t>rmacy and patient participation</w:t>
      </w:r>
      <w:bookmarkEnd w:id="445"/>
      <w:bookmarkEnd w:id="446"/>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A12C14" w:rsidRPr="0048466A" w14:paraId="5EF9992C" w14:textId="77777777" w:rsidTr="0032660B">
        <w:tc>
          <w:tcPr>
            <w:tcW w:w="8996" w:type="dxa"/>
            <w:shd w:val="clear" w:color="auto" w:fill="auto"/>
          </w:tcPr>
          <w:p w14:paraId="44BC0052" w14:textId="43595BA3" w:rsidR="00A12C14" w:rsidRPr="006201AB" w:rsidRDefault="00A12C14" w:rsidP="00AF15A5">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28</w:t>
            </w:r>
            <w:r w:rsidRPr="006201AB">
              <w:rPr>
                <w:bCs/>
                <w:noProof/>
              </w:rPr>
              <w:fldChar w:fldCharType="end"/>
            </w:r>
            <w:r w:rsidRPr="006201AB">
              <w:rPr>
                <w:bCs/>
                <w:szCs w:val="20"/>
              </w:rPr>
              <w:t>: Chapter summary</w:t>
            </w:r>
          </w:p>
          <w:p w14:paraId="7897B250" w14:textId="14E87B0A" w:rsidR="00EC129E" w:rsidRPr="00EC129E" w:rsidRDefault="00EC129E" w:rsidP="00EC129E">
            <w:pPr>
              <w:spacing w:after="120"/>
              <w:rPr>
                <w:rFonts w:eastAsia="Muli" w:cs="Muli"/>
                <w:color w:val="000000" w:themeColor="text1"/>
                <w:sz w:val="18"/>
                <w:szCs w:val="18"/>
              </w:rPr>
            </w:pPr>
            <w:r w:rsidRPr="00EC129E">
              <w:rPr>
                <w:rFonts w:eastAsia="Muli" w:cs="Muli"/>
                <w:color w:val="000000" w:themeColor="text1"/>
                <w:sz w:val="18"/>
                <w:szCs w:val="18"/>
              </w:rPr>
              <w:t>Similar to HCHs, some pharmacies participated</w:t>
            </w:r>
            <w:r w:rsidR="00496A31">
              <w:rPr>
                <w:rFonts w:eastAsia="Muli" w:cs="Muli"/>
                <w:color w:val="000000" w:themeColor="text1"/>
                <w:sz w:val="18"/>
                <w:szCs w:val="18"/>
              </w:rPr>
              <w:t xml:space="preserve"> in</w:t>
            </w:r>
            <w:r w:rsidRPr="00EC129E">
              <w:rPr>
                <w:rFonts w:eastAsia="Muli" w:cs="Muli"/>
                <w:color w:val="000000" w:themeColor="text1"/>
                <w:sz w:val="18"/>
                <w:szCs w:val="18"/>
              </w:rPr>
              <w:t xml:space="preserve"> the community pharmacy trial in HCH because they were already providing similar services to those expected as part of the initiative, and they thought that the model is the future of pharmacy. </w:t>
            </w:r>
            <w:r w:rsidR="00D06D59">
              <w:rPr>
                <w:rFonts w:eastAsia="Muli" w:cs="Muli"/>
                <w:color w:val="000000" w:themeColor="text1"/>
                <w:sz w:val="18"/>
                <w:szCs w:val="18"/>
              </w:rPr>
              <w:t>Another</w:t>
            </w:r>
            <w:r w:rsidRPr="00EC129E">
              <w:rPr>
                <w:rFonts w:eastAsia="Muli" w:cs="Muli"/>
                <w:color w:val="000000" w:themeColor="text1"/>
                <w:sz w:val="18"/>
                <w:szCs w:val="18"/>
              </w:rPr>
              <w:t xml:space="preserve"> reason for participating </w:t>
            </w:r>
            <w:r w:rsidR="005C2122">
              <w:rPr>
                <w:rFonts w:eastAsia="Muli" w:cs="Muli"/>
                <w:color w:val="000000" w:themeColor="text1"/>
                <w:sz w:val="18"/>
                <w:szCs w:val="18"/>
              </w:rPr>
              <w:t>was the</w:t>
            </w:r>
            <w:r w:rsidRPr="00EC129E">
              <w:rPr>
                <w:rFonts w:eastAsia="Muli" w:cs="Muli"/>
                <w:color w:val="000000" w:themeColor="text1"/>
                <w:sz w:val="18"/>
                <w:szCs w:val="18"/>
              </w:rPr>
              <w:t xml:space="preserve"> benefits </w:t>
            </w:r>
            <w:r w:rsidR="005C2122">
              <w:rPr>
                <w:rFonts w:eastAsia="Muli" w:cs="Muli"/>
                <w:color w:val="000000" w:themeColor="text1"/>
                <w:sz w:val="18"/>
                <w:szCs w:val="18"/>
              </w:rPr>
              <w:t xml:space="preserve">of the initiative </w:t>
            </w:r>
            <w:r w:rsidRPr="00EC129E">
              <w:rPr>
                <w:rFonts w:eastAsia="Muli" w:cs="Muli"/>
                <w:color w:val="000000" w:themeColor="text1"/>
                <w:sz w:val="18"/>
                <w:szCs w:val="18"/>
              </w:rPr>
              <w:t xml:space="preserve">for patients. </w:t>
            </w:r>
            <w:r w:rsidR="00D06D59">
              <w:rPr>
                <w:rFonts w:eastAsia="Muli" w:cs="Muli"/>
                <w:color w:val="000000" w:themeColor="text1"/>
                <w:sz w:val="18"/>
                <w:szCs w:val="18"/>
              </w:rPr>
              <w:t>For example, p</w:t>
            </w:r>
            <w:r w:rsidRPr="00EC129E">
              <w:rPr>
                <w:rFonts w:eastAsia="Muli" w:cs="Muli"/>
                <w:color w:val="000000" w:themeColor="text1"/>
                <w:sz w:val="18"/>
                <w:szCs w:val="18"/>
              </w:rPr>
              <w:t xml:space="preserve">harmacists felt that they have more time to devote to patients than do </w:t>
            </w:r>
            <w:r w:rsidR="00D06D59" w:rsidRPr="00EC129E">
              <w:rPr>
                <w:rFonts w:eastAsia="Muli" w:cs="Muli"/>
                <w:color w:val="000000" w:themeColor="text1"/>
                <w:sz w:val="18"/>
                <w:szCs w:val="18"/>
              </w:rPr>
              <w:t>GPs and</w:t>
            </w:r>
            <w:r w:rsidRPr="00EC129E">
              <w:rPr>
                <w:rFonts w:eastAsia="Muli" w:cs="Muli"/>
                <w:color w:val="000000" w:themeColor="text1"/>
                <w:sz w:val="18"/>
                <w:szCs w:val="18"/>
              </w:rPr>
              <w:t xml:space="preserve"> are more accessible. Therefore, they felt that they could fill gaps in care that may </w:t>
            </w:r>
            <w:r w:rsidR="00D06D59">
              <w:rPr>
                <w:rFonts w:eastAsia="Muli" w:cs="Muli"/>
                <w:color w:val="000000" w:themeColor="text1"/>
                <w:sz w:val="18"/>
                <w:szCs w:val="18"/>
              </w:rPr>
              <w:t>be</w:t>
            </w:r>
            <w:r w:rsidRPr="00EC129E">
              <w:rPr>
                <w:rFonts w:eastAsia="Muli" w:cs="Muli"/>
                <w:color w:val="000000" w:themeColor="text1"/>
                <w:sz w:val="18"/>
                <w:szCs w:val="18"/>
              </w:rPr>
              <w:t xml:space="preserve"> overlooked by GPs and reduce the burden on GPs.</w:t>
            </w:r>
            <w:r w:rsidR="00D06D59">
              <w:rPr>
                <w:rFonts w:eastAsia="Muli" w:cs="Muli"/>
                <w:color w:val="000000" w:themeColor="text1"/>
                <w:sz w:val="18"/>
                <w:szCs w:val="18"/>
              </w:rPr>
              <w:t xml:space="preserve"> They were also motivated to participate to </w:t>
            </w:r>
            <w:r w:rsidR="00D06D59" w:rsidRPr="00EC129E">
              <w:rPr>
                <w:rFonts w:eastAsia="Muli" w:cs="Muli"/>
                <w:color w:val="000000" w:themeColor="text1"/>
                <w:sz w:val="18"/>
                <w:szCs w:val="18"/>
              </w:rPr>
              <w:t>strengthen</w:t>
            </w:r>
            <w:r w:rsidR="005C2122">
              <w:rPr>
                <w:rFonts w:eastAsia="Muli" w:cs="Muli"/>
                <w:color w:val="000000" w:themeColor="text1"/>
                <w:sz w:val="18"/>
                <w:szCs w:val="18"/>
              </w:rPr>
              <w:t xml:space="preserve"> their</w:t>
            </w:r>
            <w:r w:rsidR="00D06D59" w:rsidRPr="00EC129E">
              <w:rPr>
                <w:rFonts w:eastAsia="Muli" w:cs="Muli"/>
                <w:color w:val="000000" w:themeColor="text1"/>
                <w:sz w:val="18"/>
                <w:szCs w:val="18"/>
              </w:rPr>
              <w:t xml:space="preserve"> relationship</w:t>
            </w:r>
            <w:r w:rsidR="005C2122">
              <w:rPr>
                <w:rFonts w:eastAsia="Muli" w:cs="Muli"/>
                <w:color w:val="000000" w:themeColor="text1"/>
                <w:sz w:val="18"/>
                <w:szCs w:val="18"/>
              </w:rPr>
              <w:t>s</w:t>
            </w:r>
            <w:r w:rsidR="00D06D59" w:rsidRPr="00EC129E">
              <w:rPr>
                <w:rFonts w:eastAsia="Muli" w:cs="Muli"/>
                <w:color w:val="000000" w:themeColor="text1"/>
                <w:sz w:val="18"/>
                <w:szCs w:val="18"/>
              </w:rPr>
              <w:t xml:space="preserve"> with HCH practices</w:t>
            </w:r>
            <w:r w:rsidR="005C2122">
              <w:rPr>
                <w:rFonts w:eastAsia="Muli" w:cs="Muli"/>
                <w:color w:val="000000" w:themeColor="text1"/>
                <w:sz w:val="18"/>
                <w:szCs w:val="18"/>
              </w:rPr>
              <w:t>.</w:t>
            </w:r>
          </w:p>
          <w:p w14:paraId="6EA0A9A9" w14:textId="07C7C4A4" w:rsidR="00EC129E" w:rsidRPr="001C7A00" w:rsidRDefault="00EC129E" w:rsidP="00EC129E">
            <w:pPr>
              <w:spacing w:after="120"/>
              <w:rPr>
                <w:rFonts w:eastAsia="Muli" w:cs="Muli"/>
                <w:color w:val="000000" w:themeColor="text1"/>
                <w:sz w:val="18"/>
                <w:szCs w:val="18"/>
              </w:rPr>
            </w:pPr>
            <w:r w:rsidRPr="004F0E0E">
              <w:rPr>
                <w:rFonts w:eastAsia="Muli" w:cs="Muli"/>
                <w:color w:val="000000" w:themeColor="text1"/>
                <w:sz w:val="18"/>
                <w:szCs w:val="18"/>
              </w:rPr>
              <w:t xml:space="preserve">While 689 pharmacies registered to participate in the trial, only </w:t>
            </w:r>
            <w:r w:rsidR="00405076" w:rsidRPr="004F0E0E">
              <w:rPr>
                <w:rFonts w:eastAsia="Muli" w:cs="Muli"/>
                <w:color w:val="000000" w:themeColor="text1"/>
                <w:sz w:val="18"/>
                <w:szCs w:val="18"/>
              </w:rPr>
              <w:t>95</w:t>
            </w:r>
            <w:r w:rsidRPr="004F0E0E">
              <w:rPr>
                <w:rFonts w:eastAsia="Muli" w:cs="Muli"/>
                <w:color w:val="000000" w:themeColor="text1"/>
                <w:sz w:val="18"/>
                <w:szCs w:val="18"/>
              </w:rPr>
              <w:t xml:space="preserve"> had undertaken a consultation with at least one patient. These pharmacies each consulted with </w:t>
            </w:r>
            <w:r w:rsidR="002A3B4D" w:rsidRPr="004F0E0E">
              <w:rPr>
                <w:rFonts w:eastAsia="Muli" w:cs="Muli"/>
                <w:color w:val="000000" w:themeColor="text1"/>
                <w:sz w:val="18"/>
                <w:szCs w:val="18"/>
              </w:rPr>
              <w:t>16</w:t>
            </w:r>
            <w:r w:rsidR="00D20DD3">
              <w:rPr>
                <w:rFonts w:eastAsia="Muli" w:cs="Muli"/>
                <w:color w:val="000000" w:themeColor="text1"/>
                <w:sz w:val="18"/>
                <w:szCs w:val="18"/>
              </w:rPr>
              <w:t xml:space="preserve"> </w:t>
            </w:r>
            <w:r w:rsidRPr="004F0E0E">
              <w:rPr>
                <w:rFonts w:eastAsia="Muli" w:cs="Muli"/>
                <w:color w:val="000000" w:themeColor="text1"/>
                <w:sz w:val="18"/>
                <w:szCs w:val="18"/>
              </w:rPr>
              <w:t xml:space="preserve">patients on average (although </w:t>
            </w:r>
            <w:r w:rsidRPr="00040CB8">
              <w:rPr>
                <w:rFonts w:eastAsia="Muli" w:cs="Muli"/>
                <w:color w:val="000000" w:themeColor="text1"/>
                <w:sz w:val="18"/>
                <w:szCs w:val="18"/>
              </w:rPr>
              <w:t xml:space="preserve">more than half of the pharmacies had consulted with less than </w:t>
            </w:r>
            <w:r w:rsidR="00516A02" w:rsidRPr="00040CB8">
              <w:rPr>
                <w:rFonts w:eastAsia="Muli" w:cs="Muli"/>
                <w:color w:val="000000" w:themeColor="text1"/>
                <w:sz w:val="18"/>
                <w:szCs w:val="18"/>
              </w:rPr>
              <w:t>5</w:t>
            </w:r>
            <w:r w:rsidRPr="00040CB8">
              <w:rPr>
                <w:rFonts w:eastAsia="Muli" w:cs="Muli"/>
                <w:color w:val="000000" w:themeColor="text1"/>
                <w:sz w:val="18"/>
                <w:szCs w:val="18"/>
              </w:rPr>
              <w:t xml:space="preserve"> patients). </w:t>
            </w:r>
            <w:r w:rsidR="00C772AD" w:rsidRPr="00C772AD">
              <w:rPr>
                <w:rFonts w:eastAsia="Muli" w:cs="Muli"/>
                <w:color w:val="000000" w:themeColor="text1"/>
                <w:sz w:val="18"/>
                <w:szCs w:val="18"/>
              </w:rPr>
              <w:t xml:space="preserve">Patients </w:t>
            </w:r>
            <w:r w:rsidR="00EB73BC">
              <w:rPr>
                <w:rFonts w:eastAsia="Muli" w:cs="Muli"/>
                <w:color w:val="000000" w:themeColor="text1"/>
                <w:sz w:val="18"/>
                <w:szCs w:val="18"/>
              </w:rPr>
              <w:t>were</w:t>
            </w:r>
            <w:r w:rsidR="00C772AD" w:rsidRPr="00C772AD">
              <w:rPr>
                <w:rFonts w:eastAsia="Muli" w:cs="Muli"/>
                <w:color w:val="000000" w:themeColor="text1"/>
                <w:sz w:val="18"/>
                <w:szCs w:val="18"/>
              </w:rPr>
              <w:t xml:space="preserve"> referred from 40 of the 165 </w:t>
            </w:r>
            <w:r w:rsidR="00EB73BC">
              <w:rPr>
                <w:rFonts w:eastAsia="Muli" w:cs="Muli"/>
                <w:color w:val="000000" w:themeColor="text1"/>
                <w:sz w:val="18"/>
                <w:szCs w:val="18"/>
              </w:rPr>
              <w:t xml:space="preserve">HCH </w:t>
            </w:r>
            <w:r w:rsidR="00C772AD">
              <w:rPr>
                <w:rFonts w:eastAsia="Muli" w:cs="Muli"/>
                <w:color w:val="000000" w:themeColor="text1"/>
                <w:sz w:val="18"/>
                <w:szCs w:val="18"/>
              </w:rPr>
              <w:t>practices</w:t>
            </w:r>
            <w:r w:rsidR="00C772AD" w:rsidRPr="00C772AD">
              <w:rPr>
                <w:rFonts w:eastAsia="Muli" w:cs="Muli"/>
                <w:color w:val="000000" w:themeColor="text1"/>
                <w:sz w:val="18"/>
                <w:szCs w:val="18"/>
              </w:rPr>
              <w:t xml:space="preserve"> that enrolled more than one patient</w:t>
            </w:r>
            <w:r w:rsidR="00C772AD">
              <w:rPr>
                <w:rFonts w:eastAsia="Muli" w:cs="Muli"/>
                <w:color w:val="000000" w:themeColor="text1"/>
                <w:sz w:val="18"/>
                <w:szCs w:val="18"/>
              </w:rPr>
              <w:t>.</w:t>
            </w:r>
          </w:p>
          <w:p w14:paraId="360131B6" w14:textId="19C50271" w:rsidR="00EC129E" w:rsidRPr="00EC129E" w:rsidRDefault="00A3677E" w:rsidP="00EC129E">
            <w:pPr>
              <w:spacing w:after="120"/>
              <w:rPr>
                <w:rFonts w:eastAsia="Muli" w:cs="Muli"/>
                <w:color w:val="000000" w:themeColor="text1"/>
                <w:sz w:val="18"/>
                <w:szCs w:val="18"/>
              </w:rPr>
            </w:pPr>
            <w:r w:rsidRPr="00A3677E">
              <w:rPr>
                <w:rFonts w:eastAsia="Muli" w:cs="Muli"/>
                <w:color w:val="000000" w:themeColor="text1"/>
                <w:sz w:val="18"/>
                <w:szCs w:val="18"/>
              </w:rPr>
              <w:t xml:space="preserve">Follow-up reviews were not mandated and only scheduled </w:t>
            </w:r>
            <w:r>
              <w:rPr>
                <w:rFonts w:eastAsia="Muli" w:cs="Muli"/>
                <w:color w:val="000000" w:themeColor="text1"/>
                <w:sz w:val="18"/>
                <w:szCs w:val="18"/>
              </w:rPr>
              <w:t>i</w:t>
            </w:r>
            <w:r w:rsidRPr="00A3677E">
              <w:rPr>
                <w:rFonts w:eastAsia="Muli" w:cs="Muli"/>
                <w:color w:val="000000" w:themeColor="text1"/>
                <w:sz w:val="18"/>
                <w:szCs w:val="18"/>
              </w:rPr>
              <w:t>f they were of benefit to the patient. Of the patients with an initial review, 845 had one follow-up, 588 had two, 402 had three and 150 had four</w:t>
            </w:r>
            <w:r w:rsidR="00EC129E" w:rsidRPr="001C7A00">
              <w:rPr>
                <w:rFonts w:eastAsia="Muli" w:cs="Muli"/>
                <w:color w:val="000000" w:themeColor="text1"/>
                <w:sz w:val="18"/>
                <w:szCs w:val="18"/>
              </w:rPr>
              <w:t xml:space="preserve">. </w:t>
            </w:r>
          </w:p>
          <w:p w14:paraId="66DCF02D" w14:textId="476B6EDD" w:rsidR="00EC129E" w:rsidRPr="00EC129E" w:rsidRDefault="00EC129E" w:rsidP="00EC129E">
            <w:pPr>
              <w:spacing w:after="120"/>
              <w:rPr>
                <w:rFonts w:eastAsia="Muli" w:cs="Muli"/>
                <w:color w:val="000000" w:themeColor="text1"/>
                <w:sz w:val="18"/>
                <w:szCs w:val="18"/>
              </w:rPr>
            </w:pPr>
            <w:r w:rsidRPr="00EC129E">
              <w:rPr>
                <w:rFonts w:eastAsia="Muli" w:cs="Muli"/>
                <w:color w:val="000000" w:themeColor="text1"/>
                <w:sz w:val="18"/>
                <w:szCs w:val="18"/>
              </w:rPr>
              <w:t>The main service pharmacists</w:t>
            </w:r>
            <w:r w:rsidR="00F357A8">
              <w:rPr>
                <w:rFonts w:eastAsia="Muli" w:cs="Muli"/>
                <w:color w:val="000000" w:themeColor="text1"/>
                <w:sz w:val="18"/>
                <w:szCs w:val="18"/>
              </w:rPr>
              <w:t xml:space="preserve"> reported providing</w:t>
            </w:r>
            <w:r w:rsidRPr="00EC129E">
              <w:rPr>
                <w:rFonts w:eastAsia="Muli" w:cs="Muli"/>
                <w:color w:val="000000" w:themeColor="text1"/>
                <w:sz w:val="18"/>
                <w:szCs w:val="18"/>
              </w:rPr>
              <w:t xml:space="preserve"> to HCH patients were medication reviews and support services such as dose administration aids, blood pressure monitoring, medical device education and training, and blood glucose monitoring.</w:t>
            </w:r>
            <w:r w:rsidR="00043B65">
              <w:rPr>
                <w:rFonts w:eastAsia="Muli" w:cs="Muli"/>
                <w:color w:val="000000" w:themeColor="text1"/>
                <w:sz w:val="18"/>
                <w:szCs w:val="18"/>
              </w:rPr>
              <w:t xml:space="preserve"> </w:t>
            </w:r>
            <w:r w:rsidR="00043B65" w:rsidRPr="00043B65">
              <w:rPr>
                <w:rFonts w:eastAsia="Muli" w:cs="Muli"/>
                <w:color w:val="000000" w:themeColor="text1"/>
                <w:sz w:val="18"/>
                <w:szCs w:val="18"/>
              </w:rPr>
              <w:t xml:space="preserve">GPs most commonly reported that they had received a </w:t>
            </w:r>
            <w:r w:rsidR="00F357A8">
              <w:rPr>
                <w:rFonts w:eastAsia="Muli" w:cs="Muli"/>
                <w:color w:val="000000" w:themeColor="text1"/>
                <w:sz w:val="18"/>
                <w:szCs w:val="18"/>
              </w:rPr>
              <w:t xml:space="preserve">medication management </w:t>
            </w:r>
            <w:r w:rsidR="00043B65" w:rsidRPr="00043B65">
              <w:rPr>
                <w:rFonts w:eastAsia="Muli" w:cs="Muli"/>
                <w:color w:val="000000" w:themeColor="text1"/>
                <w:sz w:val="18"/>
                <w:szCs w:val="18"/>
              </w:rPr>
              <w:t>plan for all or the majority of the patients that they referred</w:t>
            </w:r>
            <w:r w:rsidR="00043B65">
              <w:rPr>
                <w:rFonts w:eastAsia="Muli" w:cs="Muli"/>
                <w:color w:val="000000" w:themeColor="text1"/>
                <w:sz w:val="18"/>
                <w:szCs w:val="18"/>
              </w:rPr>
              <w:t xml:space="preserve">, and that </w:t>
            </w:r>
            <w:r w:rsidR="00A03518" w:rsidRPr="00A03518">
              <w:rPr>
                <w:rFonts w:eastAsia="Muli" w:cs="Muli"/>
                <w:color w:val="000000" w:themeColor="text1"/>
                <w:sz w:val="18"/>
                <w:szCs w:val="18"/>
              </w:rPr>
              <w:t>the pharmacist outlined supporting services for their patients</w:t>
            </w:r>
            <w:r w:rsidR="00A03518">
              <w:rPr>
                <w:rFonts w:eastAsia="Muli" w:cs="Muli"/>
                <w:color w:val="000000" w:themeColor="text1"/>
                <w:sz w:val="18"/>
                <w:szCs w:val="18"/>
              </w:rPr>
              <w:t>.</w:t>
            </w:r>
          </w:p>
          <w:p w14:paraId="44F6DF1D" w14:textId="331963C8" w:rsidR="00EC129E" w:rsidRPr="00EC129E" w:rsidRDefault="00EC129E" w:rsidP="00EC129E">
            <w:pPr>
              <w:spacing w:after="120"/>
              <w:rPr>
                <w:rFonts w:eastAsia="Muli" w:cs="Muli"/>
                <w:color w:val="000000" w:themeColor="text1"/>
                <w:sz w:val="18"/>
                <w:szCs w:val="18"/>
              </w:rPr>
            </w:pPr>
            <w:r w:rsidRPr="00EC129E">
              <w:rPr>
                <w:rFonts w:eastAsia="Muli" w:cs="Muli"/>
                <w:color w:val="000000" w:themeColor="text1"/>
                <w:sz w:val="18"/>
                <w:szCs w:val="18"/>
              </w:rPr>
              <w:t>Pharmacists that had completed follow-up</w:t>
            </w:r>
            <w:r w:rsidR="001D0F94">
              <w:rPr>
                <w:rFonts w:eastAsia="Muli" w:cs="Muli"/>
                <w:color w:val="000000" w:themeColor="text1"/>
                <w:sz w:val="18"/>
                <w:szCs w:val="18"/>
              </w:rPr>
              <w:t xml:space="preserve"> reviews</w:t>
            </w:r>
            <w:r w:rsidRPr="00EC129E">
              <w:rPr>
                <w:rFonts w:eastAsia="Muli" w:cs="Muli"/>
                <w:color w:val="000000" w:themeColor="text1"/>
                <w:sz w:val="18"/>
                <w:szCs w:val="18"/>
              </w:rPr>
              <w:t xml:space="preserve"> reported they would check in with the patient, reinforce what was discussed in the initial consultation and discuss medication changes, what has been beneficial for the patient, treatment goals, patient compliance and patient outcomes related to receiving education.</w:t>
            </w:r>
          </w:p>
          <w:p w14:paraId="4DDA4389" w14:textId="3B11BF94" w:rsidR="00EC129E" w:rsidRPr="00EC129E" w:rsidRDefault="00EC129E" w:rsidP="00EC129E">
            <w:pPr>
              <w:spacing w:after="120"/>
              <w:rPr>
                <w:rFonts w:eastAsia="Muli" w:cs="Muli"/>
                <w:color w:val="000000" w:themeColor="text1"/>
                <w:sz w:val="18"/>
                <w:szCs w:val="18"/>
              </w:rPr>
            </w:pPr>
            <w:r w:rsidRPr="00EC129E">
              <w:rPr>
                <w:rFonts w:eastAsia="Muli" w:cs="Muli"/>
                <w:color w:val="000000" w:themeColor="text1"/>
                <w:sz w:val="18"/>
                <w:szCs w:val="18"/>
              </w:rPr>
              <w:t>Pharmacists reported that COVID-19 affected both their capacity to provide services to HCH patients due to competing demands as well as not having access to patients due to lockdowns.</w:t>
            </w:r>
          </w:p>
          <w:p w14:paraId="64044521" w14:textId="3DE135D3" w:rsidR="00A12C14" w:rsidRDefault="00EC129E" w:rsidP="00EC129E">
            <w:pPr>
              <w:spacing w:after="120"/>
              <w:rPr>
                <w:rFonts w:eastAsia="Muli" w:cs="Muli"/>
                <w:color w:val="000000" w:themeColor="text1"/>
                <w:sz w:val="18"/>
                <w:szCs w:val="18"/>
              </w:rPr>
            </w:pPr>
            <w:r w:rsidRPr="00EC129E">
              <w:rPr>
                <w:rFonts w:eastAsia="Muli" w:cs="Muli"/>
                <w:color w:val="000000" w:themeColor="text1"/>
                <w:sz w:val="18"/>
                <w:szCs w:val="18"/>
              </w:rPr>
              <w:t xml:space="preserve">Pharmacists largely </w:t>
            </w:r>
            <w:r w:rsidR="004C10F0">
              <w:rPr>
                <w:rFonts w:eastAsia="Muli" w:cs="Muli"/>
                <w:color w:val="000000" w:themeColor="text1"/>
                <w:sz w:val="18"/>
                <w:szCs w:val="18"/>
              </w:rPr>
              <w:t>reported</w:t>
            </w:r>
            <w:r w:rsidRPr="00EC129E">
              <w:rPr>
                <w:rFonts w:eastAsia="Muli" w:cs="Muli"/>
                <w:color w:val="000000" w:themeColor="text1"/>
                <w:sz w:val="18"/>
                <w:szCs w:val="18"/>
              </w:rPr>
              <w:t xml:space="preserve"> positive experiences with the community pharmacy trial. Benefits included practising what they are professionally trained to do and making a positive difference to patients’ health</w:t>
            </w:r>
            <w:r>
              <w:rPr>
                <w:rFonts w:eastAsia="Muli" w:cs="Muli"/>
                <w:color w:val="000000" w:themeColor="text1"/>
                <w:sz w:val="18"/>
                <w:szCs w:val="18"/>
              </w:rPr>
              <w:t>.</w:t>
            </w:r>
          </w:p>
          <w:p w14:paraId="4F287ABE" w14:textId="2376549A" w:rsidR="00A12C14" w:rsidRPr="00971A2A" w:rsidRDefault="00C4185C" w:rsidP="00AB496A">
            <w:pPr>
              <w:spacing w:after="120"/>
              <w:rPr>
                <w:sz w:val="18"/>
                <w:szCs w:val="18"/>
              </w:rPr>
            </w:pPr>
            <w:r>
              <w:rPr>
                <w:sz w:val="18"/>
                <w:szCs w:val="18"/>
              </w:rPr>
              <w:t>D</w:t>
            </w:r>
            <w:r w:rsidR="00E17B65" w:rsidRPr="00E17B65">
              <w:rPr>
                <w:sz w:val="18"/>
                <w:szCs w:val="18"/>
              </w:rPr>
              <w:t>ue to the very low number of referrals, only a small amount of the funds allocated to the trial were used. The impact of community pharmacy on quality use of medicines and cost savings</w:t>
            </w:r>
            <w:r w:rsidR="00621754">
              <w:rPr>
                <w:sz w:val="18"/>
                <w:szCs w:val="18"/>
              </w:rPr>
              <w:t xml:space="preserve"> arising</w:t>
            </w:r>
            <w:r w:rsidR="00E17B65" w:rsidRPr="00E17B65">
              <w:rPr>
                <w:sz w:val="18"/>
                <w:szCs w:val="18"/>
              </w:rPr>
              <w:t xml:space="preserve"> from this could not be determined due to low participation</w:t>
            </w:r>
            <w:r>
              <w:rPr>
                <w:sz w:val="18"/>
                <w:szCs w:val="18"/>
              </w:rPr>
              <w:t xml:space="preserve"> in the trial</w:t>
            </w:r>
            <w:r w:rsidR="00514B07" w:rsidRPr="00FE67DB">
              <w:rPr>
                <w:sz w:val="18"/>
                <w:szCs w:val="18"/>
              </w:rPr>
              <w:t>.</w:t>
            </w:r>
          </w:p>
        </w:tc>
      </w:tr>
    </w:tbl>
    <w:p w14:paraId="28761822" w14:textId="77777777" w:rsidR="00A12C14" w:rsidRDefault="00A12C14" w:rsidP="00A12C14">
      <w:pPr>
        <w:spacing w:after="0"/>
        <w:rPr>
          <w:rFonts w:eastAsia="Muli" w:cs="Muli"/>
          <w:color w:val="000000" w:themeColor="text1"/>
          <w:szCs w:val="20"/>
        </w:rPr>
      </w:pPr>
    </w:p>
    <w:p w14:paraId="42896B5B" w14:textId="3BF53E6D" w:rsidR="00784F2F" w:rsidRPr="00784F2F" w:rsidRDefault="00784F2F" w:rsidP="00784F2F">
      <w:pPr>
        <w:pStyle w:val="Heading2"/>
      </w:pPr>
      <w:bookmarkStart w:id="447" w:name="_Toc109996756"/>
      <w:r w:rsidRPr="00784F2F">
        <w:lastRenderedPageBreak/>
        <w:t>Pharmacies</w:t>
      </w:r>
      <w:bookmarkEnd w:id="447"/>
    </w:p>
    <w:p w14:paraId="5A0A90F0" w14:textId="2905E6C7" w:rsidR="000F75F2" w:rsidRPr="00F71DF5" w:rsidRDefault="000F75F2" w:rsidP="000F75F2">
      <w:pPr>
        <w:spacing w:after="160" w:line="259" w:lineRule="auto"/>
        <w:rPr>
          <w:szCs w:val="20"/>
        </w:rPr>
      </w:pPr>
      <w:r w:rsidRPr="00F71DF5">
        <w:rPr>
          <w:szCs w:val="20"/>
        </w:rPr>
        <w:t xml:space="preserve">Community pharmacists listed a variety of reasons </w:t>
      </w:r>
      <w:r>
        <w:rPr>
          <w:szCs w:val="20"/>
        </w:rPr>
        <w:t>for wanting to</w:t>
      </w:r>
      <w:r w:rsidRPr="00F71DF5">
        <w:rPr>
          <w:szCs w:val="20"/>
        </w:rPr>
        <w:t xml:space="preserve"> participate in the trial</w:t>
      </w:r>
      <w:r>
        <w:rPr>
          <w:szCs w:val="20"/>
        </w:rPr>
        <w:t xml:space="preserve"> (</w:t>
      </w:r>
      <w:r w:rsidRPr="00133B3E">
        <w:rPr>
          <w:color w:val="002060"/>
          <w:szCs w:val="20"/>
        </w:rPr>
        <w:fldChar w:fldCharType="begin"/>
      </w:r>
      <w:r w:rsidRPr="00034863">
        <w:rPr>
          <w:b/>
          <w:color w:val="002060"/>
          <w:szCs w:val="20"/>
        </w:rPr>
        <w:instrText xml:space="preserve"> REF _Ref85040695 \h </w:instrText>
      </w:r>
      <w:r w:rsidR="00034863" w:rsidRPr="00034863">
        <w:rPr>
          <w:b/>
          <w:color w:val="002060"/>
          <w:szCs w:val="20"/>
        </w:rPr>
        <w:instrText xml:space="preserve"> \* MERGEFORMAT </w:instrText>
      </w:r>
      <w:r w:rsidRPr="00133B3E">
        <w:rPr>
          <w:color w:val="002060"/>
          <w:szCs w:val="20"/>
        </w:rPr>
      </w:r>
      <w:r w:rsidRPr="00133B3E">
        <w:rPr>
          <w:color w:val="002060"/>
          <w:szCs w:val="20"/>
        </w:rPr>
        <w:fldChar w:fldCharType="separate"/>
      </w:r>
      <w:r w:rsidR="003C4BC2" w:rsidRPr="003C4BC2">
        <w:rPr>
          <w:color w:val="002060"/>
        </w:rPr>
        <w:t xml:space="preserve">Figure </w:t>
      </w:r>
      <w:r w:rsidR="003C4BC2" w:rsidRPr="003C4BC2">
        <w:rPr>
          <w:noProof/>
          <w:color w:val="002060"/>
        </w:rPr>
        <w:t>81</w:t>
      </w:r>
      <w:r w:rsidRPr="00133B3E">
        <w:rPr>
          <w:color w:val="002060"/>
          <w:szCs w:val="20"/>
        </w:rPr>
        <w:fldChar w:fldCharType="end"/>
      </w:r>
      <w:r>
        <w:rPr>
          <w:szCs w:val="20"/>
        </w:rPr>
        <w:t>).</w:t>
      </w:r>
    </w:p>
    <w:p w14:paraId="62671B7B" w14:textId="1F472397" w:rsidR="000F75F2" w:rsidRPr="0002357B" w:rsidRDefault="000F75F2" w:rsidP="000F75F2">
      <w:pPr>
        <w:pStyle w:val="tabletitle"/>
        <w:rPr>
          <w:noProof/>
        </w:rPr>
      </w:pPr>
      <w:bookmarkStart w:id="448" w:name="_Existing_pharmacy_services"/>
      <w:bookmarkStart w:id="449" w:name="_Ref85040695"/>
      <w:bookmarkEnd w:id="448"/>
      <w:r w:rsidRPr="0002357B">
        <w:t xml:space="preserve">Figure </w:t>
      </w:r>
      <w:r w:rsidR="00A61B29">
        <w:fldChar w:fldCharType="begin"/>
      </w:r>
      <w:r w:rsidR="00A61B29">
        <w:instrText xml:space="preserve"> SEQ Figure \* ARABIC </w:instrText>
      </w:r>
      <w:r w:rsidR="00A61B29">
        <w:fldChar w:fldCharType="separate"/>
      </w:r>
      <w:r w:rsidR="003C4BC2">
        <w:rPr>
          <w:noProof/>
        </w:rPr>
        <w:t>81</w:t>
      </w:r>
      <w:r w:rsidR="00A61B29">
        <w:rPr>
          <w:noProof/>
        </w:rPr>
        <w:fldChar w:fldCharType="end"/>
      </w:r>
      <w:bookmarkEnd w:id="449"/>
      <w:r>
        <w:rPr>
          <w:i/>
          <w:iCs/>
        </w:rPr>
        <w:t xml:space="preserve">: </w:t>
      </w:r>
      <w:r w:rsidR="00627229">
        <w:t>M</w:t>
      </w:r>
      <w:r>
        <w:t>otivations</w:t>
      </w:r>
      <w:r w:rsidR="00627229">
        <w:t xml:space="preserve"> reported by pharmacies</w:t>
      </w:r>
      <w:r>
        <w:t xml:space="preserve"> for </w:t>
      </w:r>
      <w:r w:rsidR="002B3924">
        <w:t>participating</w:t>
      </w:r>
      <w:r>
        <w:t xml:space="preserve"> the </w:t>
      </w:r>
      <w:r w:rsidR="002B3924">
        <w:t xml:space="preserve">community pharmacy in </w:t>
      </w:r>
      <w:r>
        <w:t>HCH trial</w:t>
      </w:r>
    </w:p>
    <w:p w14:paraId="289624C9" w14:textId="77777777" w:rsidR="000F75F2" w:rsidRPr="00CF276C" w:rsidRDefault="000F75F2" w:rsidP="000F75F2">
      <w:pPr>
        <w:jc w:val="center"/>
        <w:rPr>
          <w:lang w:eastAsia="en-AU"/>
        </w:rPr>
      </w:pPr>
      <w:r w:rsidRPr="002B1F5C">
        <w:rPr>
          <w:noProof/>
        </w:rPr>
        <w:drawing>
          <wp:inline distT="0" distB="0" distL="0" distR="0" wp14:anchorId="7F49557B" wp14:editId="3B61465F">
            <wp:extent cx="5600000" cy="3685714"/>
            <wp:effectExtent l="0" t="0" r="1270" b="0"/>
            <wp:docPr id="3" name="Picture 3"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diagram&#10;&#10;Description automatically generated"/>
                    <pic:cNvPicPr/>
                  </pic:nvPicPr>
                  <pic:blipFill>
                    <a:blip r:embed="rId114"/>
                    <a:stretch>
                      <a:fillRect/>
                    </a:stretch>
                  </pic:blipFill>
                  <pic:spPr>
                    <a:xfrm>
                      <a:off x="0" y="0"/>
                      <a:ext cx="5600000" cy="3685714"/>
                    </a:xfrm>
                    <a:prstGeom prst="rect">
                      <a:avLst/>
                    </a:prstGeom>
                  </pic:spPr>
                </pic:pic>
              </a:graphicData>
            </a:graphic>
          </wp:inline>
        </w:drawing>
      </w:r>
    </w:p>
    <w:p w14:paraId="26BC0619" w14:textId="3148DE92" w:rsidR="00001DEB" w:rsidRPr="000C74FA" w:rsidRDefault="00001DEB" w:rsidP="00001DEB">
      <w:pPr>
        <w:jc w:val="center"/>
        <w:rPr>
          <w:rFonts w:eastAsiaTheme="minorEastAsia"/>
          <w:bCs/>
          <w:i/>
          <w:sz w:val="16"/>
          <w:szCs w:val="16"/>
          <w:lang w:eastAsia="en-AU"/>
        </w:rPr>
      </w:pPr>
      <w:r w:rsidRPr="00434C25">
        <w:rPr>
          <w:rFonts w:eastAsiaTheme="minorEastAsia"/>
          <w:bCs/>
          <w:i/>
          <w:sz w:val="16"/>
          <w:szCs w:val="16"/>
          <w:lang w:eastAsia="en-AU"/>
        </w:rPr>
        <w:t>Source: Case study interviews, R4 Nov 2019–Mar 2020.</w:t>
      </w:r>
    </w:p>
    <w:p w14:paraId="230E0A77" w14:textId="657D4C09" w:rsidR="000F75F2" w:rsidRDefault="000F75F2" w:rsidP="000F75F2">
      <w:pPr>
        <w:rPr>
          <w:noProof/>
          <w:szCs w:val="20"/>
          <w:lang w:eastAsia="en-AU"/>
        </w:rPr>
      </w:pPr>
      <w:r w:rsidRPr="00F71DF5">
        <w:rPr>
          <w:noProof/>
          <w:szCs w:val="20"/>
          <w:lang w:eastAsia="en-AU"/>
        </w:rPr>
        <w:t>In addition to providing services, pharmacists felt that they ha</w:t>
      </w:r>
      <w:r w:rsidR="0077471C">
        <w:rPr>
          <w:noProof/>
          <w:szCs w:val="20"/>
          <w:lang w:eastAsia="en-AU"/>
        </w:rPr>
        <w:t>ve</w:t>
      </w:r>
      <w:r w:rsidRPr="00F71DF5">
        <w:rPr>
          <w:noProof/>
          <w:szCs w:val="20"/>
          <w:lang w:eastAsia="en-AU"/>
        </w:rPr>
        <w:t xml:space="preserve"> more time to devote to patients than d</w:t>
      </w:r>
      <w:r w:rsidR="0077471C">
        <w:rPr>
          <w:noProof/>
          <w:szCs w:val="20"/>
          <w:lang w:eastAsia="en-AU"/>
        </w:rPr>
        <w:t>o</w:t>
      </w:r>
      <w:r w:rsidRPr="00F71DF5">
        <w:rPr>
          <w:noProof/>
          <w:szCs w:val="20"/>
          <w:lang w:eastAsia="en-AU"/>
        </w:rPr>
        <w:t xml:space="preserve"> GPs, and are </w:t>
      </w:r>
      <w:r w:rsidR="0077471C">
        <w:rPr>
          <w:noProof/>
          <w:szCs w:val="20"/>
          <w:lang w:eastAsia="en-AU"/>
        </w:rPr>
        <w:t>more accesible</w:t>
      </w:r>
      <w:r>
        <w:rPr>
          <w:noProof/>
          <w:szCs w:val="20"/>
          <w:lang w:eastAsia="en-AU"/>
        </w:rPr>
        <w:t>:</w:t>
      </w:r>
    </w:p>
    <w:p w14:paraId="6CB429BB" w14:textId="77777777" w:rsidR="000F75F2" w:rsidRDefault="000F75F2" w:rsidP="000F75F2">
      <w:pPr>
        <w:ind w:left="567" w:right="521"/>
        <w:rPr>
          <w:noProof/>
          <w:szCs w:val="20"/>
          <w:lang w:eastAsia="en-AU"/>
        </w:rPr>
      </w:pPr>
      <w:r w:rsidRPr="00923DE9">
        <w:rPr>
          <w:noProof/>
          <w:szCs w:val="20"/>
          <w:lang w:eastAsia="en-AU"/>
        </w:rPr>
        <w:t>“</w:t>
      </w:r>
      <w:r w:rsidRPr="00923DE9">
        <w:rPr>
          <w:i/>
          <w:iCs/>
          <w:noProof/>
          <w:szCs w:val="20"/>
          <w:lang w:eastAsia="en-AU"/>
        </w:rPr>
        <w:t xml:space="preserve">It’s </w:t>
      </w:r>
      <w:r w:rsidRPr="00923DE9">
        <w:rPr>
          <w:i/>
          <w:iCs/>
          <w:lang w:eastAsia="en-AU"/>
        </w:rPr>
        <w:t>just</w:t>
      </w:r>
      <w:r w:rsidRPr="00923DE9">
        <w:rPr>
          <w:i/>
          <w:iCs/>
          <w:noProof/>
          <w:szCs w:val="20"/>
          <w:lang w:eastAsia="en-AU"/>
        </w:rPr>
        <w:t xml:space="preserve"> basically giving the patients a space. They can’t always get appointments with their GPs. The pharmacists are always available</w:t>
      </w:r>
      <w:r w:rsidRPr="00923DE9">
        <w:rPr>
          <w:noProof/>
          <w:szCs w:val="20"/>
          <w:lang w:eastAsia="en-AU"/>
        </w:rPr>
        <w:t>.” [CP, Pharmacy 3, R4]</w:t>
      </w:r>
    </w:p>
    <w:p w14:paraId="56B1D51B" w14:textId="006EA943" w:rsidR="000F75F2" w:rsidRDefault="000F75F2" w:rsidP="000F75F2">
      <w:pPr>
        <w:rPr>
          <w:szCs w:val="20"/>
        </w:rPr>
      </w:pPr>
      <w:r w:rsidRPr="00F71DF5">
        <w:rPr>
          <w:noProof/>
          <w:szCs w:val="20"/>
          <w:lang w:eastAsia="en-AU"/>
        </w:rPr>
        <w:t xml:space="preserve">Therefore, they felt that they could fill gaps in care that may </w:t>
      </w:r>
      <w:r w:rsidR="00390B19">
        <w:rPr>
          <w:noProof/>
          <w:szCs w:val="20"/>
          <w:lang w:eastAsia="en-AU"/>
        </w:rPr>
        <w:t>be</w:t>
      </w:r>
      <w:r w:rsidRPr="00F71DF5">
        <w:rPr>
          <w:noProof/>
          <w:szCs w:val="20"/>
          <w:lang w:eastAsia="en-AU"/>
        </w:rPr>
        <w:t xml:space="preserve"> overlooked by GPs and reduce the burden on GPs </w:t>
      </w:r>
      <w:r w:rsidRPr="00F71DF5">
        <w:rPr>
          <w:i/>
          <w:iCs/>
          <w:szCs w:val="20"/>
        </w:rPr>
        <w:t xml:space="preserve">“… giving the patient a pharmacy home linked to their GP…” </w:t>
      </w:r>
      <w:r w:rsidRPr="00F71DF5">
        <w:rPr>
          <w:szCs w:val="20"/>
        </w:rPr>
        <w:t>[CP, Pharmacy 3</w:t>
      </w:r>
      <w:r>
        <w:rPr>
          <w:szCs w:val="20"/>
        </w:rPr>
        <w:t>, R4</w:t>
      </w:r>
      <w:r w:rsidRPr="00F71DF5">
        <w:rPr>
          <w:szCs w:val="20"/>
        </w:rPr>
        <w:t>]</w:t>
      </w:r>
      <w:r>
        <w:rPr>
          <w:szCs w:val="20"/>
        </w:rPr>
        <w:t>.</w:t>
      </w:r>
    </w:p>
    <w:p w14:paraId="2E298667" w14:textId="1B17A654" w:rsidR="00D80D0F" w:rsidRPr="004B09F4" w:rsidRDefault="00D80D0F" w:rsidP="00D80D0F">
      <w:r w:rsidRPr="004B09F4">
        <w:t xml:space="preserve">While 689 pharmacies registered to participate in the trial, only </w:t>
      </w:r>
      <w:r w:rsidR="00FF5882" w:rsidRPr="004C326D">
        <w:t>95</w:t>
      </w:r>
      <w:r w:rsidRPr="004C326D">
        <w:t xml:space="preserve"> had undertaken a consultation with at least one patient, with an average of </w:t>
      </w:r>
      <w:r w:rsidR="00996A7D" w:rsidRPr="004C326D">
        <w:t>16.1</w:t>
      </w:r>
      <w:r w:rsidRPr="004C326D">
        <w:t xml:space="preserve"> patients being consulted per pharmacy (although more than half of the pharmacies had consulted with less than </w:t>
      </w:r>
      <w:r w:rsidR="00C6758A">
        <w:t>5</w:t>
      </w:r>
      <w:r>
        <w:t xml:space="preserve"> </w:t>
      </w:r>
      <w:r w:rsidRPr="004C326D">
        <w:t xml:space="preserve">patients to </w:t>
      </w:r>
      <w:r w:rsidR="0093536D" w:rsidRPr="004C326D">
        <w:t xml:space="preserve">30 </w:t>
      </w:r>
      <w:r w:rsidR="00F934F8" w:rsidRPr="004C326D">
        <w:t>June</w:t>
      </w:r>
      <w:r w:rsidRPr="004C326D">
        <w:t xml:space="preserve"> 2021).</w:t>
      </w:r>
      <w:r w:rsidRPr="004B09F4">
        <w:t xml:space="preserve"> </w:t>
      </w:r>
    </w:p>
    <w:p w14:paraId="1B2DE3F6" w14:textId="277BD5B0" w:rsidR="00D9012C" w:rsidRPr="00BC4E1A" w:rsidRDefault="00D80D0F" w:rsidP="00D80D0F">
      <w:r w:rsidRPr="00BC4E1A">
        <w:t xml:space="preserve">Chapter </w:t>
      </w:r>
      <w:r w:rsidRPr="00BC4E1A">
        <w:fldChar w:fldCharType="begin"/>
      </w:r>
      <w:r w:rsidRPr="00BC4E1A">
        <w:instrText xml:space="preserve"> REF _Ref85108770 \r \h </w:instrText>
      </w:r>
      <w:r w:rsidR="004C326D" w:rsidRPr="00BC4E1A">
        <w:instrText xml:space="preserve"> \* MERGEFORMAT </w:instrText>
      </w:r>
      <w:r w:rsidRPr="00BC4E1A">
        <w:fldChar w:fldCharType="separate"/>
      </w:r>
      <w:r w:rsidR="003C4BC2">
        <w:t>23</w:t>
      </w:r>
      <w:r w:rsidRPr="00BC4E1A">
        <w:fldChar w:fldCharType="end"/>
      </w:r>
      <w:r w:rsidRPr="00BC4E1A">
        <w:t xml:space="preserve"> </w:t>
      </w:r>
      <w:r w:rsidR="004C315B">
        <w:t xml:space="preserve">(p. </w:t>
      </w:r>
      <w:r w:rsidR="004C315B">
        <w:fldChar w:fldCharType="begin"/>
      </w:r>
      <w:r w:rsidR="004C315B">
        <w:instrText xml:space="preserve"> PAGEREF _Ref103763745 \h </w:instrText>
      </w:r>
      <w:r w:rsidR="004C315B">
        <w:fldChar w:fldCharType="separate"/>
      </w:r>
      <w:r w:rsidR="003C4BC2">
        <w:rPr>
          <w:noProof/>
        </w:rPr>
        <w:t>305</w:t>
      </w:r>
      <w:r w:rsidR="004C315B">
        <w:fldChar w:fldCharType="end"/>
      </w:r>
      <w:r w:rsidR="004C315B">
        <w:t xml:space="preserve">) </w:t>
      </w:r>
      <w:r w:rsidRPr="00BC4E1A">
        <w:t>discusses some of the reasons for low referrals. One of these was practices’ access to pharmacists through other arrangements. In the initial survey of practices as part of the evaluation (</w:t>
      </w:r>
      <w:r w:rsidR="004C315B">
        <w:t>round 2</w:t>
      </w:r>
      <w:r w:rsidRPr="00BC4E1A">
        <w:t xml:space="preserve">, undertaken between November 2018 and March </w:t>
      </w:r>
      <w:r w:rsidRPr="00BC4E1A">
        <w:lastRenderedPageBreak/>
        <w:t xml:space="preserve">2019), 23 practices said they had access to a pharmacist. Of these, six employed a pharmacist, eight had access to one from the local hospital, another six had access to one via a grant or other support from the PHN, and a further three through other means. </w:t>
      </w:r>
    </w:p>
    <w:p w14:paraId="4B44FD90" w14:textId="508A4988" w:rsidR="00D762DE" w:rsidRPr="00D762DE" w:rsidRDefault="00D762DE" w:rsidP="00D762DE">
      <w:pPr>
        <w:pStyle w:val="Heading2"/>
      </w:pPr>
      <w:bookmarkStart w:id="450" w:name="_Toc109996757"/>
      <w:r w:rsidRPr="00D762DE">
        <w:t>Patients</w:t>
      </w:r>
      <w:bookmarkEnd w:id="450"/>
    </w:p>
    <w:p w14:paraId="08AB4951" w14:textId="68F1CFEE" w:rsidR="00E874DD" w:rsidRDefault="00E874DD" w:rsidP="00EE7D2D">
      <w:r w:rsidRPr="00701EA9">
        <w:t xml:space="preserve">The number of patients receiving at least one consultation from a participating pharmacy was </w:t>
      </w:r>
      <w:r w:rsidR="001C6D9F" w:rsidRPr="00701EA9">
        <w:t>1,</w:t>
      </w:r>
      <w:r w:rsidR="001932F5" w:rsidRPr="00701EA9">
        <w:t>531</w:t>
      </w:r>
      <w:r w:rsidRPr="00701EA9">
        <w:t xml:space="preserve">. </w:t>
      </w:r>
      <w:r w:rsidR="009A543C" w:rsidRPr="006524FD">
        <w:fldChar w:fldCharType="begin"/>
      </w:r>
      <w:r w:rsidR="009A543C" w:rsidRPr="00034863">
        <w:rPr>
          <w:b/>
        </w:rPr>
        <w:instrText xml:space="preserve"> REF _Ref85041974 \h </w:instrText>
      </w:r>
      <w:r w:rsidR="00701EA9" w:rsidRPr="00034863">
        <w:rPr>
          <w:b/>
        </w:rPr>
        <w:instrText xml:space="preserve"> \* MERGEFORMAT </w:instrText>
      </w:r>
      <w:r w:rsidR="009A543C" w:rsidRPr="006524FD">
        <w:fldChar w:fldCharType="separate"/>
      </w:r>
      <w:r w:rsidR="003C4BC2" w:rsidRPr="003C4BC2">
        <w:rPr>
          <w:rFonts w:eastAsia="Calibri" w:cs="Times New Roman"/>
          <w:szCs w:val="16"/>
        </w:rPr>
        <w:t>Table 59</w:t>
      </w:r>
      <w:r w:rsidR="009A543C" w:rsidRPr="006524FD">
        <w:fldChar w:fldCharType="end"/>
      </w:r>
      <w:r w:rsidR="009A543C" w:rsidRPr="00701EA9">
        <w:t xml:space="preserve"> </w:t>
      </w:r>
      <w:r w:rsidRPr="00701EA9">
        <w:t>shows the characteristics of these patients.</w:t>
      </w:r>
    </w:p>
    <w:p w14:paraId="1CD202BC" w14:textId="15D3D0F4" w:rsidR="00E874DD" w:rsidRPr="000C3FBF" w:rsidRDefault="00E874DD" w:rsidP="000C3FBF">
      <w:pPr>
        <w:pStyle w:val="tabletitle"/>
      </w:pPr>
      <w:bookmarkStart w:id="451" w:name="_Ref85041974"/>
      <w:r w:rsidRPr="00701EA9">
        <w:t>Table </w:t>
      </w:r>
      <w:r w:rsidR="00A61B29">
        <w:fldChar w:fldCharType="begin"/>
      </w:r>
      <w:r w:rsidR="00A61B29">
        <w:instrText xml:space="preserve"> SEQ Table\* ARABIC </w:instrText>
      </w:r>
      <w:r w:rsidR="00A61B29">
        <w:fldChar w:fldCharType="separate"/>
      </w:r>
      <w:r w:rsidR="003C4BC2">
        <w:rPr>
          <w:noProof/>
        </w:rPr>
        <w:t>59</w:t>
      </w:r>
      <w:r w:rsidR="00A61B29">
        <w:rPr>
          <w:noProof/>
        </w:rPr>
        <w:fldChar w:fldCharType="end"/>
      </w:r>
      <w:bookmarkEnd w:id="451"/>
      <w:r w:rsidR="000C3FBF" w:rsidRPr="00701EA9">
        <w:rPr>
          <w:noProof/>
        </w:rPr>
        <w:t>:</w:t>
      </w:r>
      <w:r w:rsidRPr="00701EA9">
        <w:t> Community pharmacy trial patient characteristics</w:t>
      </w:r>
      <w:r w:rsidRPr="000C3FBF">
        <w:t> </w:t>
      </w:r>
    </w:p>
    <w:tbl>
      <w:tblPr>
        <w:tblW w:w="7800"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680"/>
        <w:gridCol w:w="1695"/>
        <w:gridCol w:w="1470"/>
        <w:gridCol w:w="1470"/>
        <w:gridCol w:w="1485"/>
      </w:tblGrid>
      <w:tr w:rsidR="00E874DD" w:rsidRPr="00832F07" w14:paraId="5175D868" w14:textId="77777777" w:rsidTr="00832F07">
        <w:trPr>
          <w:jc w:val="center"/>
        </w:trPr>
        <w:tc>
          <w:tcPr>
            <w:tcW w:w="1680" w:type="dxa"/>
            <w:shd w:val="clear" w:color="auto" w:fill="408BCA"/>
            <w:vAlign w:val="center"/>
            <w:hideMark/>
          </w:tcPr>
          <w:p w14:paraId="3FBFB353" w14:textId="36BC59F1" w:rsidR="00E874DD" w:rsidRPr="00832F07" w:rsidRDefault="00E874DD" w:rsidP="00832F07">
            <w:pPr>
              <w:spacing w:after="0"/>
              <w:jc w:val="center"/>
              <w:textAlignment w:val="baseline"/>
              <w:rPr>
                <w:rFonts w:ascii="Times New Roman" w:eastAsia="Times New Roman" w:hAnsi="Times New Roman"/>
                <w:b/>
                <w:bCs/>
                <w:sz w:val="24"/>
                <w:szCs w:val="24"/>
                <w:lang w:eastAsia="en-AU"/>
              </w:rPr>
            </w:pPr>
            <w:r w:rsidRPr="00832F07">
              <w:rPr>
                <w:rFonts w:eastAsia="Times New Roman"/>
                <w:b/>
                <w:bCs/>
                <w:color w:val="FFFFFF"/>
                <w:sz w:val="18"/>
                <w:lang w:eastAsia="en-AU"/>
              </w:rPr>
              <w:t>Characteristic</w:t>
            </w:r>
          </w:p>
        </w:tc>
        <w:tc>
          <w:tcPr>
            <w:tcW w:w="1695" w:type="dxa"/>
            <w:shd w:val="clear" w:color="auto" w:fill="408BCA"/>
            <w:vAlign w:val="center"/>
            <w:hideMark/>
          </w:tcPr>
          <w:p w14:paraId="384F4681" w14:textId="72D350F5" w:rsidR="00E874DD" w:rsidRPr="00832F07" w:rsidRDefault="00E874DD" w:rsidP="00832F07">
            <w:pPr>
              <w:spacing w:after="0"/>
              <w:jc w:val="center"/>
              <w:textAlignment w:val="baseline"/>
              <w:rPr>
                <w:rFonts w:ascii="Times New Roman" w:eastAsia="Times New Roman" w:hAnsi="Times New Roman"/>
                <w:b/>
                <w:bCs/>
                <w:sz w:val="24"/>
                <w:szCs w:val="24"/>
                <w:lang w:eastAsia="en-AU"/>
              </w:rPr>
            </w:pPr>
            <w:r w:rsidRPr="00832F07">
              <w:rPr>
                <w:rFonts w:eastAsia="Times New Roman"/>
                <w:b/>
                <w:bCs/>
                <w:color w:val="FFFFFF"/>
                <w:sz w:val="18"/>
                <w:lang w:eastAsia="en-AU"/>
              </w:rPr>
              <w:t>Total</w:t>
            </w:r>
            <w:r w:rsidR="00D225A5" w:rsidRPr="00832F07">
              <w:rPr>
                <w:rFonts w:eastAsia="Times New Roman"/>
                <w:b/>
                <w:bCs/>
                <w:color w:val="FFFFFF"/>
                <w:sz w:val="18"/>
                <w:lang w:eastAsia="en-AU"/>
              </w:rPr>
              <w:t xml:space="preserve"> </w:t>
            </w:r>
            <w:r w:rsidRPr="00832F07">
              <w:rPr>
                <w:rFonts w:eastAsia="Times New Roman"/>
                <w:b/>
                <w:bCs/>
                <w:color w:val="FFFFFF"/>
                <w:sz w:val="18"/>
                <w:lang w:eastAsia="en-AU"/>
              </w:rPr>
              <w:br/>
              <w:t>(n = 1,</w:t>
            </w:r>
            <w:r w:rsidR="001932F5" w:rsidRPr="00832F07">
              <w:rPr>
                <w:rFonts w:eastAsia="Times New Roman"/>
                <w:b/>
                <w:bCs/>
                <w:color w:val="FFFFFF"/>
                <w:sz w:val="18"/>
                <w:lang w:eastAsia="en-AU"/>
              </w:rPr>
              <w:t>531</w:t>
            </w:r>
            <w:r w:rsidRPr="00832F07">
              <w:rPr>
                <w:rFonts w:eastAsia="Times New Roman"/>
                <w:b/>
                <w:bCs/>
                <w:color w:val="FFFFFF"/>
                <w:sz w:val="18"/>
                <w:lang w:eastAsia="en-AU"/>
              </w:rPr>
              <w:t>)</w:t>
            </w:r>
          </w:p>
        </w:tc>
        <w:tc>
          <w:tcPr>
            <w:tcW w:w="1470" w:type="dxa"/>
            <w:shd w:val="clear" w:color="auto" w:fill="408BCA"/>
            <w:vAlign w:val="center"/>
            <w:hideMark/>
          </w:tcPr>
          <w:p w14:paraId="5450840D" w14:textId="2FD5C21D" w:rsidR="00E874DD" w:rsidRPr="00832F07" w:rsidRDefault="00E874DD" w:rsidP="00832F07">
            <w:pPr>
              <w:spacing w:after="0"/>
              <w:jc w:val="center"/>
              <w:textAlignment w:val="baseline"/>
              <w:rPr>
                <w:rFonts w:ascii="Times New Roman" w:eastAsia="Times New Roman" w:hAnsi="Times New Roman"/>
                <w:b/>
                <w:bCs/>
                <w:sz w:val="24"/>
                <w:szCs w:val="24"/>
                <w:lang w:eastAsia="en-AU"/>
              </w:rPr>
            </w:pPr>
            <w:r w:rsidRPr="00832F07">
              <w:rPr>
                <w:rFonts w:eastAsia="Times New Roman"/>
                <w:b/>
                <w:bCs/>
                <w:color w:val="FFFFFF"/>
                <w:sz w:val="18"/>
                <w:lang w:eastAsia="en-AU"/>
              </w:rPr>
              <w:t>Tier 1</w:t>
            </w:r>
            <w:r w:rsidR="00D225A5" w:rsidRPr="00832F07">
              <w:rPr>
                <w:rFonts w:eastAsia="Times New Roman"/>
                <w:b/>
                <w:bCs/>
                <w:color w:val="FFFFFF"/>
                <w:sz w:val="18"/>
                <w:lang w:eastAsia="en-AU"/>
              </w:rPr>
              <w:t xml:space="preserve"> </w:t>
            </w:r>
            <w:r w:rsidRPr="00832F07">
              <w:rPr>
                <w:rFonts w:eastAsia="Times New Roman"/>
                <w:b/>
                <w:bCs/>
                <w:color w:val="FFFFFF"/>
                <w:sz w:val="18"/>
                <w:lang w:eastAsia="en-AU"/>
              </w:rPr>
              <w:br/>
              <w:t>(n = 1</w:t>
            </w:r>
            <w:r w:rsidR="001932F5" w:rsidRPr="00832F07">
              <w:rPr>
                <w:rFonts w:eastAsia="Times New Roman"/>
                <w:b/>
                <w:bCs/>
                <w:color w:val="FFFFFF"/>
                <w:sz w:val="18"/>
                <w:lang w:eastAsia="en-AU"/>
              </w:rPr>
              <w:t>52</w:t>
            </w:r>
            <w:r w:rsidRPr="00832F07">
              <w:rPr>
                <w:rFonts w:eastAsia="Times New Roman"/>
                <w:b/>
                <w:bCs/>
                <w:color w:val="FFFFFF"/>
                <w:sz w:val="18"/>
                <w:lang w:eastAsia="en-AU"/>
              </w:rPr>
              <w:t>)</w:t>
            </w:r>
          </w:p>
        </w:tc>
        <w:tc>
          <w:tcPr>
            <w:tcW w:w="1470" w:type="dxa"/>
            <w:shd w:val="clear" w:color="auto" w:fill="408BCA"/>
            <w:vAlign w:val="center"/>
            <w:hideMark/>
          </w:tcPr>
          <w:p w14:paraId="2FE6C19D" w14:textId="368496CC" w:rsidR="00E874DD" w:rsidRPr="00832F07" w:rsidRDefault="00E874DD" w:rsidP="00832F07">
            <w:pPr>
              <w:spacing w:after="0"/>
              <w:jc w:val="center"/>
              <w:textAlignment w:val="baseline"/>
              <w:rPr>
                <w:rFonts w:ascii="Times New Roman" w:eastAsia="Times New Roman" w:hAnsi="Times New Roman"/>
                <w:b/>
                <w:bCs/>
                <w:sz w:val="24"/>
                <w:szCs w:val="24"/>
                <w:lang w:eastAsia="en-AU"/>
              </w:rPr>
            </w:pPr>
            <w:r w:rsidRPr="00832F07">
              <w:rPr>
                <w:rFonts w:eastAsia="Times New Roman"/>
                <w:b/>
                <w:bCs/>
                <w:color w:val="FFFFFF"/>
                <w:sz w:val="18"/>
                <w:lang w:eastAsia="en-AU"/>
              </w:rPr>
              <w:t>Tier 2</w:t>
            </w:r>
            <w:r w:rsidR="00D225A5" w:rsidRPr="00832F07">
              <w:rPr>
                <w:rFonts w:eastAsia="Times New Roman"/>
                <w:b/>
                <w:bCs/>
                <w:color w:val="FFFFFF"/>
                <w:sz w:val="18"/>
                <w:lang w:eastAsia="en-AU"/>
              </w:rPr>
              <w:t xml:space="preserve"> </w:t>
            </w:r>
            <w:r w:rsidRPr="00832F07">
              <w:rPr>
                <w:rFonts w:eastAsia="Times New Roman"/>
                <w:b/>
                <w:bCs/>
                <w:color w:val="FFFFFF"/>
                <w:sz w:val="18"/>
                <w:lang w:eastAsia="en-AU"/>
              </w:rPr>
              <w:br/>
              <w:t xml:space="preserve">(n = </w:t>
            </w:r>
            <w:r w:rsidR="00E20320" w:rsidRPr="00832F07">
              <w:rPr>
                <w:rFonts w:eastAsia="Times New Roman"/>
                <w:b/>
                <w:bCs/>
                <w:color w:val="FFFFFF"/>
                <w:sz w:val="18"/>
                <w:lang w:eastAsia="en-AU"/>
              </w:rPr>
              <w:t>739</w:t>
            </w:r>
            <w:r w:rsidRPr="00832F07">
              <w:rPr>
                <w:rFonts w:eastAsia="Times New Roman"/>
                <w:b/>
                <w:bCs/>
                <w:color w:val="FFFFFF"/>
                <w:sz w:val="18"/>
                <w:lang w:eastAsia="en-AU"/>
              </w:rPr>
              <w:t>)</w:t>
            </w:r>
          </w:p>
        </w:tc>
        <w:tc>
          <w:tcPr>
            <w:tcW w:w="1485" w:type="dxa"/>
            <w:shd w:val="clear" w:color="auto" w:fill="408BCA"/>
            <w:vAlign w:val="center"/>
            <w:hideMark/>
          </w:tcPr>
          <w:p w14:paraId="429E642D" w14:textId="1799D5CC" w:rsidR="00E874DD" w:rsidRPr="00832F07" w:rsidRDefault="00E874DD" w:rsidP="00832F07">
            <w:pPr>
              <w:spacing w:after="0"/>
              <w:jc w:val="center"/>
              <w:textAlignment w:val="baseline"/>
              <w:rPr>
                <w:rFonts w:ascii="Times New Roman" w:eastAsia="Times New Roman" w:hAnsi="Times New Roman"/>
                <w:b/>
                <w:bCs/>
                <w:sz w:val="24"/>
                <w:szCs w:val="24"/>
                <w:lang w:eastAsia="en-AU"/>
              </w:rPr>
            </w:pPr>
            <w:r w:rsidRPr="00832F07">
              <w:rPr>
                <w:rFonts w:eastAsia="Times New Roman"/>
                <w:b/>
                <w:bCs/>
                <w:color w:val="FFFFFF"/>
                <w:sz w:val="18"/>
                <w:lang w:eastAsia="en-AU"/>
              </w:rPr>
              <w:t>Tier 3</w:t>
            </w:r>
            <w:r w:rsidR="00D225A5" w:rsidRPr="00832F07">
              <w:rPr>
                <w:rFonts w:eastAsia="Times New Roman"/>
                <w:b/>
                <w:bCs/>
                <w:color w:val="FFFFFF"/>
                <w:sz w:val="18"/>
                <w:lang w:eastAsia="en-AU"/>
              </w:rPr>
              <w:t xml:space="preserve"> </w:t>
            </w:r>
            <w:r w:rsidRPr="00832F07">
              <w:rPr>
                <w:rFonts w:eastAsia="Times New Roman"/>
                <w:b/>
                <w:bCs/>
                <w:color w:val="FFFFFF"/>
                <w:sz w:val="18"/>
                <w:lang w:eastAsia="en-AU"/>
              </w:rPr>
              <w:br/>
              <w:t xml:space="preserve">(n = </w:t>
            </w:r>
            <w:r w:rsidR="00E20320" w:rsidRPr="00832F07">
              <w:rPr>
                <w:rFonts w:eastAsia="Times New Roman"/>
                <w:b/>
                <w:bCs/>
                <w:color w:val="FFFFFF"/>
                <w:sz w:val="18"/>
                <w:lang w:eastAsia="en-AU"/>
              </w:rPr>
              <w:t>640</w:t>
            </w:r>
            <w:r w:rsidRPr="00832F07">
              <w:rPr>
                <w:rFonts w:eastAsia="Times New Roman"/>
                <w:b/>
                <w:bCs/>
                <w:color w:val="FFFFFF"/>
                <w:sz w:val="18"/>
                <w:lang w:eastAsia="en-AU"/>
              </w:rPr>
              <w:t>)</w:t>
            </w:r>
          </w:p>
        </w:tc>
      </w:tr>
      <w:tr w:rsidR="00E874DD" w:rsidRPr="00925C4B" w14:paraId="49FD3B6D" w14:textId="77777777" w:rsidTr="00832F07">
        <w:trPr>
          <w:jc w:val="center"/>
        </w:trPr>
        <w:tc>
          <w:tcPr>
            <w:tcW w:w="7800" w:type="dxa"/>
            <w:gridSpan w:val="5"/>
            <w:hideMark/>
          </w:tcPr>
          <w:p w14:paraId="30FBE141" w14:textId="77777777" w:rsidR="00E874DD" w:rsidRPr="00925C4B" w:rsidRDefault="00E874D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b/>
                <w:color w:val="000000"/>
                <w:sz w:val="18"/>
                <w:lang w:eastAsia="en-AU"/>
              </w:rPr>
              <w:t>Sex</w:t>
            </w:r>
            <w:r w:rsidRPr="00925C4B">
              <w:rPr>
                <w:rFonts w:eastAsia="Times New Roman"/>
                <w:color w:val="000000"/>
                <w:sz w:val="18"/>
                <w:lang w:eastAsia="en-AU"/>
              </w:rPr>
              <w:t> </w:t>
            </w:r>
          </w:p>
        </w:tc>
      </w:tr>
      <w:tr w:rsidR="005368BE" w:rsidRPr="00925C4B" w14:paraId="7562B3ED" w14:textId="77777777" w:rsidTr="00832F07">
        <w:trPr>
          <w:jc w:val="center"/>
        </w:trPr>
        <w:tc>
          <w:tcPr>
            <w:tcW w:w="1680" w:type="dxa"/>
            <w:hideMark/>
          </w:tcPr>
          <w:p w14:paraId="12DDA303" w14:textId="77777777" w:rsidR="005368BE" w:rsidRPr="00925C4B" w:rsidRDefault="005368BE" w:rsidP="005368BE">
            <w:pPr>
              <w:spacing w:after="0"/>
              <w:ind w:left="15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Female </w:t>
            </w:r>
          </w:p>
        </w:tc>
        <w:tc>
          <w:tcPr>
            <w:tcW w:w="1695" w:type="dxa"/>
            <w:hideMark/>
          </w:tcPr>
          <w:p w14:paraId="5BC35878" w14:textId="227827C3" w:rsidR="005368BE" w:rsidRPr="005368BE" w:rsidRDefault="005368BE" w:rsidP="005368BE">
            <w:pPr>
              <w:spacing w:after="0"/>
              <w:ind w:left="90" w:right="90"/>
              <w:jc w:val="center"/>
              <w:textAlignment w:val="baseline"/>
              <w:rPr>
                <w:rFonts w:eastAsia="Times New Roman"/>
                <w:color w:val="000000"/>
                <w:sz w:val="18"/>
                <w:lang w:eastAsia="en-AU"/>
              </w:rPr>
            </w:pPr>
            <w:r w:rsidRPr="005368BE">
              <w:rPr>
                <w:rFonts w:eastAsia="Times New Roman"/>
                <w:color w:val="000000"/>
                <w:sz w:val="18"/>
                <w:lang w:eastAsia="en-AU"/>
              </w:rPr>
              <w:t>866 (57.6%)</w:t>
            </w:r>
          </w:p>
        </w:tc>
        <w:tc>
          <w:tcPr>
            <w:tcW w:w="1470" w:type="dxa"/>
            <w:hideMark/>
          </w:tcPr>
          <w:p w14:paraId="7025DE24" w14:textId="1115A93F" w:rsidR="005368BE" w:rsidRPr="005368BE" w:rsidRDefault="005368BE" w:rsidP="005368BE">
            <w:pPr>
              <w:spacing w:after="0"/>
              <w:ind w:left="90" w:right="90"/>
              <w:jc w:val="center"/>
              <w:textAlignment w:val="baseline"/>
              <w:rPr>
                <w:rFonts w:eastAsia="Times New Roman"/>
                <w:color w:val="000000"/>
                <w:sz w:val="18"/>
                <w:lang w:eastAsia="en-AU"/>
              </w:rPr>
            </w:pPr>
            <w:r w:rsidRPr="005368BE">
              <w:rPr>
                <w:rFonts w:eastAsia="Times New Roman"/>
                <w:color w:val="000000"/>
                <w:sz w:val="18"/>
                <w:lang w:eastAsia="en-AU"/>
              </w:rPr>
              <w:t>90 (60.0%)</w:t>
            </w:r>
          </w:p>
        </w:tc>
        <w:tc>
          <w:tcPr>
            <w:tcW w:w="1470" w:type="dxa"/>
            <w:hideMark/>
          </w:tcPr>
          <w:p w14:paraId="77C7F027" w14:textId="3BF972CD" w:rsidR="005368BE" w:rsidRPr="005368BE" w:rsidRDefault="005368BE" w:rsidP="005368BE">
            <w:pPr>
              <w:spacing w:after="0"/>
              <w:ind w:left="90" w:right="90"/>
              <w:jc w:val="center"/>
              <w:textAlignment w:val="baseline"/>
              <w:rPr>
                <w:rFonts w:eastAsia="Times New Roman"/>
                <w:color w:val="000000"/>
                <w:sz w:val="18"/>
                <w:lang w:eastAsia="en-AU"/>
              </w:rPr>
            </w:pPr>
            <w:r w:rsidRPr="005368BE">
              <w:rPr>
                <w:rFonts w:eastAsia="Times New Roman"/>
                <w:color w:val="000000"/>
                <w:sz w:val="18"/>
                <w:lang w:eastAsia="en-AU"/>
              </w:rPr>
              <w:t>398 (55.2%)</w:t>
            </w:r>
          </w:p>
        </w:tc>
        <w:tc>
          <w:tcPr>
            <w:tcW w:w="1485" w:type="dxa"/>
            <w:hideMark/>
          </w:tcPr>
          <w:p w14:paraId="4C5509B8" w14:textId="3DA9313D" w:rsidR="005368BE" w:rsidRPr="005368BE" w:rsidRDefault="005368BE" w:rsidP="005368BE">
            <w:pPr>
              <w:spacing w:after="0"/>
              <w:ind w:left="90" w:right="90"/>
              <w:jc w:val="center"/>
              <w:textAlignment w:val="baseline"/>
              <w:rPr>
                <w:rFonts w:eastAsia="Times New Roman"/>
                <w:color w:val="000000"/>
                <w:sz w:val="18"/>
                <w:lang w:eastAsia="en-AU"/>
              </w:rPr>
            </w:pPr>
            <w:r w:rsidRPr="005368BE">
              <w:rPr>
                <w:rFonts w:eastAsia="Times New Roman"/>
                <w:color w:val="000000"/>
                <w:sz w:val="18"/>
                <w:lang w:eastAsia="en-AU"/>
              </w:rPr>
              <w:t>378 (59.7%)</w:t>
            </w:r>
          </w:p>
        </w:tc>
      </w:tr>
      <w:tr w:rsidR="005368BE" w:rsidRPr="00925C4B" w14:paraId="032E16F9" w14:textId="77777777" w:rsidTr="00832F07">
        <w:trPr>
          <w:jc w:val="center"/>
        </w:trPr>
        <w:tc>
          <w:tcPr>
            <w:tcW w:w="1680" w:type="dxa"/>
            <w:hideMark/>
          </w:tcPr>
          <w:p w14:paraId="669D945D" w14:textId="77777777" w:rsidR="005368BE" w:rsidRPr="00925C4B" w:rsidRDefault="005368BE" w:rsidP="005368BE">
            <w:pPr>
              <w:spacing w:after="0"/>
              <w:ind w:left="15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Male </w:t>
            </w:r>
          </w:p>
        </w:tc>
        <w:tc>
          <w:tcPr>
            <w:tcW w:w="1695" w:type="dxa"/>
            <w:hideMark/>
          </w:tcPr>
          <w:p w14:paraId="4651AAFF" w14:textId="15EB25E2" w:rsidR="005368BE" w:rsidRPr="005368BE" w:rsidRDefault="005368BE" w:rsidP="005368BE">
            <w:pPr>
              <w:spacing w:after="0"/>
              <w:ind w:left="90" w:right="90"/>
              <w:jc w:val="center"/>
              <w:textAlignment w:val="baseline"/>
              <w:rPr>
                <w:rFonts w:eastAsia="Times New Roman"/>
                <w:color w:val="000000"/>
                <w:sz w:val="18"/>
                <w:lang w:eastAsia="en-AU"/>
              </w:rPr>
            </w:pPr>
            <w:r w:rsidRPr="005368BE">
              <w:rPr>
                <w:rFonts w:eastAsia="Times New Roman"/>
                <w:color w:val="000000"/>
                <w:sz w:val="18"/>
                <w:lang w:eastAsia="en-AU"/>
              </w:rPr>
              <w:t>638 (42.4%)</w:t>
            </w:r>
          </w:p>
        </w:tc>
        <w:tc>
          <w:tcPr>
            <w:tcW w:w="1470" w:type="dxa"/>
            <w:hideMark/>
          </w:tcPr>
          <w:p w14:paraId="4619D21A" w14:textId="52FFD158" w:rsidR="005368BE" w:rsidRPr="005368BE" w:rsidRDefault="005368BE" w:rsidP="005368BE">
            <w:pPr>
              <w:spacing w:after="0"/>
              <w:ind w:left="90" w:right="90"/>
              <w:jc w:val="center"/>
              <w:textAlignment w:val="baseline"/>
              <w:rPr>
                <w:rFonts w:eastAsia="Times New Roman"/>
                <w:color w:val="000000"/>
                <w:sz w:val="18"/>
                <w:lang w:eastAsia="en-AU"/>
              </w:rPr>
            </w:pPr>
            <w:r w:rsidRPr="005368BE">
              <w:rPr>
                <w:rFonts w:eastAsia="Times New Roman"/>
                <w:color w:val="000000"/>
                <w:sz w:val="18"/>
                <w:lang w:eastAsia="en-AU"/>
              </w:rPr>
              <w:t>60 (40.0%)</w:t>
            </w:r>
          </w:p>
        </w:tc>
        <w:tc>
          <w:tcPr>
            <w:tcW w:w="1470" w:type="dxa"/>
            <w:hideMark/>
          </w:tcPr>
          <w:p w14:paraId="679E04A3" w14:textId="4C130759" w:rsidR="005368BE" w:rsidRPr="005368BE" w:rsidRDefault="005368BE" w:rsidP="005368BE">
            <w:pPr>
              <w:spacing w:after="0"/>
              <w:ind w:left="90" w:right="90"/>
              <w:jc w:val="center"/>
              <w:textAlignment w:val="baseline"/>
              <w:rPr>
                <w:rFonts w:eastAsia="Times New Roman"/>
                <w:color w:val="000000"/>
                <w:sz w:val="18"/>
                <w:lang w:eastAsia="en-AU"/>
              </w:rPr>
            </w:pPr>
            <w:r w:rsidRPr="005368BE">
              <w:rPr>
                <w:rFonts w:eastAsia="Times New Roman"/>
                <w:color w:val="000000"/>
                <w:sz w:val="18"/>
                <w:lang w:eastAsia="en-AU"/>
              </w:rPr>
              <w:t>323 (44.8%)</w:t>
            </w:r>
          </w:p>
        </w:tc>
        <w:tc>
          <w:tcPr>
            <w:tcW w:w="1485" w:type="dxa"/>
            <w:hideMark/>
          </w:tcPr>
          <w:p w14:paraId="3424CF36" w14:textId="57D50D04" w:rsidR="005368BE" w:rsidRPr="005368BE" w:rsidRDefault="005368BE" w:rsidP="005368BE">
            <w:pPr>
              <w:spacing w:after="0"/>
              <w:ind w:left="90" w:right="90"/>
              <w:jc w:val="center"/>
              <w:textAlignment w:val="baseline"/>
              <w:rPr>
                <w:rFonts w:eastAsia="Times New Roman"/>
                <w:color w:val="000000"/>
                <w:sz w:val="18"/>
                <w:lang w:eastAsia="en-AU"/>
              </w:rPr>
            </w:pPr>
            <w:r w:rsidRPr="005368BE">
              <w:rPr>
                <w:rFonts w:eastAsia="Times New Roman"/>
                <w:color w:val="000000"/>
                <w:sz w:val="18"/>
                <w:lang w:eastAsia="en-AU"/>
              </w:rPr>
              <w:t>255 (40.3%)</w:t>
            </w:r>
          </w:p>
        </w:tc>
      </w:tr>
      <w:tr w:rsidR="00E874DD" w:rsidRPr="00925C4B" w14:paraId="58C2196B" w14:textId="77777777" w:rsidTr="00832F07">
        <w:trPr>
          <w:jc w:val="center"/>
        </w:trPr>
        <w:tc>
          <w:tcPr>
            <w:tcW w:w="7800" w:type="dxa"/>
            <w:gridSpan w:val="5"/>
            <w:hideMark/>
          </w:tcPr>
          <w:p w14:paraId="1A340575" w14:textId="77777777" w:rsidR="00E874DD" w:rsidRPr="00925C4B" w:rsidRDefault="00E874D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b/>
                <w:color w:val="000000"/>
                <w:sz w:val="18"/>
                <w:lang w:eastAsia="en-AU"/>
              </w:rPr>
              <w:t>Age group</w:t>
            </w:r>
            <w:r w:rsidRPr="00925C4B">
              <w:rPr>
                <w:rFonts w:eastAsia="Times New Roman"/>
                <w:color w:val="000000"/>
                <w:sz w:val="18"/>
                <w:lang w:eastAsia="en-AU"/>
              </w:rPr>
              <w:t> </w:t>
            </w:r>
          </w:p>
        </w:tc>
      </w:tr>
      <w:tr w:rsidR="00260F2C" w:rsidRPr="00925C4B" w14:paraId="65D012AC" w14:textId="77777777" w:rsidTr="00832F07">
        <w:trPr>
          <w:jc w:val="center"/>
        </w:trPr>
        <w:tc>
          <w:tcPr>
            <w:tcW w:w="1680" w:type="dxa"/>
            <w:hideMark/>
          </w:tcPr>
          <w:p w14:paraId="29560C64" w14:textId="34F36393" w:rsidR="00260F2C" w:rsidRPr="00925C4B" w:rsidRDefault="00260F2C" w:rsidP="00260F2C">
            <w:pPr>
              <w:spacing w:after="0"/>
              <w:ind w:left="15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0</w:t>
            </w:r>
            <w:r>
              <w:rPr>
                <w:rFonts w:eastAsia="Times New Roman"/>
                <w:color w:val="000000"/>
                <w:sz w:val="18"/>
                <w:lang w:eastAsia="en-AU"/>
              </w:rPr>
              <w:t>–</w:t>
            </w:r>
            <w:r w:rsidRPr="00925C4B">
              <w:rPr>
                <w:rFonts w:eastAsia="Times New Roman"/>
                <w:color w:val="000000"/>
                <w:sz w:val="18"/>
                <w:lang w:eastAsia="en-AU"/>
              </w:rPr>
              <w:t>24 </w:t>
            </w:r>
          </w:p>
        </w:tc>
        <w:tc>
          <w:tcPr>
            <w:tcW w:w="1695" w:type="dxa"/>
            <w:hideMark/>
          </w:tcPr>
          <w:p w14:paraId="65262F18" w14:textId="6E2D7241"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33 (2.2%)</w:t>
            </w:r>
          </w:p>
        </w:tc>
        <w:tc>
          <w:tcPr>
            <w:tcW w:w="1470" w:type="dxa"/>
            <w:hideMark/>
          </w:tcPr>
          <w:p w14:paraId="04E99299" w14:textId="6CF10A4B"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2 (1.3%)</w:t>
            </w:r>
          </w:p>
        </w:tc>
        <w:tc>
          <w:tcPr>
            <w:tcW w:w="1470" w:type="dxa"/>
            <w:hideMark/>
          </w:tcPr>
          <w:p w14:paraId="0FA9BA1F" w14:textId="7B33636C"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16 (2.2%)</w:t>
            </w:r>
          </w:p>
        </w:tc>
        <w:tc>
          <w:tcPr>
            <w:tcW w:w="1485" w:type="dxa"/>
            <w:hideMark/>
          </w:tcPr>
          <w:p w14:paraId="7D55F620" w14:textId="4FA904E3"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15 (2.4%)</w:t>
            </w:r>
          </w:p>
        </w:tc>
      </w:tr>
      <w:tr w:rsidR="00260F2C" w:rsidRPr="00925C4B" w14:paraId="71A09470" w14:textId="77777777" w:rsidTr="00832F07">
        <w:trPr>
          <w:jc w:val="center"/>
        </w:trPr>
        <w:tc>
          <w:tcPr>
            <w:tcW w:w="1680" w:type="dxa"/>
            <w:hideMark/>
          </w:tcPr>
          <w:p w14:paraId="7A6943CC" w14:textId="442B0633" w:rsidR="00260F2C" w:rsidRPr="00925C4B" w:rsidRDefault="00260F2C" w:rsidP="00260F2C">
            <w:pPr>
              <w:spacing w:after="0"/>
              <w:ind w:left="15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25</w:t>
            </w:r>
            <w:r>
              <w:rPr>
                <w:rFonts w:eastAsia="Times New Roman"/>
                <w:color w:val="000000"/>
                <w:sz w:val="18"/>
                <w:lang w:eastAsia="en-AU"/>
              </w:rPr>
              <w:t>–</w:t>
            </w:r>
            <w:r w:rsidRPr="00925C4B">
              <w:rPr>
                <w:rFonts w:eastAsia="Times New Roman"/>
                <w:color w:val="000000"/>
                <w:sz w:val="18"/>
                <w:lang w:eastAsia="en-AU"/>
              </w:rPr>
              <w:t>44 </w:t>
            </w:r>
          </w:p>
        </w:tc>
        <w:tc>
          <w:tcPr>
            <w:tcW w:w="1695" w:type="dxa"/>
            <w:hideMark/>
          </w:tcPr>
          <w:p w14:paraId="335AD7DB" w14:textId="3E9BD8F1"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116 (7.6%)</w:t>
            </w:r>
          </w:p>
        </w:tc>
        <w:tc>
          <w:tcPr>
            <w:tcW w:w="1470" w:type="dxa"/>
            <w:hideMark/>
          </w:tcPr>
          <w:p w14:paraId="3F17B204" w14:textId="1DD772D9"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6 (3.9%)</w:t>
            </w:r>
          </w:p>
        </w:tc>
        <w:tc>
          <w:tcPr>
            <w:tcW w:w="1470" w:type="dxa"/>
            <w:hideMark/>
          </w:tcPr>
          <w:p w14:paraId="0B152BE8" w14:textId="40D44C92"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40 (5.5%)</w:t>
            </w:r>
          </w:p>
        </w:tc>
        <w:tc>
          <w:tcPr>
            <w:tcW w:w="1485" w:type="dxa"/>
            <w:hideMark/>
          </w:tcPr>
          <w:p w14:paraId="46421EB3" w14:textId="76F4333B"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70 (11.1%)</w:t>
            </w:r>
          </w:p>
        </w:tc>
      </w:tr>
      <w:tr w:rsidR="00260F2C" w:rsidRPr="00925C4B" w14:paraId="10805A8B" w14:textId="77777777" w:rsidTr="00832F07">
        <w:trPr>
          <w:jc w:val="center"/>
        </w:trPr>
        <w:tc>
          <w:tcPr>
            <w:tcW w:w="1680" w:type="dxa"/>
            <w:hideMark/>
          </w:tcPr>
          <w:p w14:paraId="386B7D9B" w14:textId="405C5979" w:rsidR="00260F2C" w:rsidRPr="00925C4B" w:rsidRDefault="00260F2C" w:rsidP="00260F2C">
            <w:pPr>
              <w:spacing w:after="0"/>
              <w:ind w:left="15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45</w:t>
            </w:r>
            <w:r>
              <w:rPr>
                <w:rFonts w:eastAsia="Times New Roman"/>
                <w:color w:val="000000"/>
                <w:sz w:val="18"/>
                <w:lang w:eastAsia="en-AU"/>
              </w:rPr>
              <w:t>–</w:t>
            </w:r>
            <w:r w:rsidRPr="00925C4B">
              <w:rPr>
                <w:rFonts w:eastAsia="Times New Roman"/>
                <w:color w:val="000000"/>
                <w:sz w:val="18"/>
                <w:lang w:eastAsia="en-AU"/>
              </w:rPr>
              <w:t>64 </w:t>
            </w:r>
          </w:p>
        </w:tc>
        <w:tc>
          <w:tcPr>
            <w:tcW w:w="1695" w:type="dxa"/>
            <w:hideMark/>
          </w:tcPr>
          <w:p w14:paraId="0EBE72F6" w14:textId="6DB495B3"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473 (31.2%)</w:t>
            </w:r>
          </w:p>
        </w:tc>
        <w:tc>
          <w:tcPr>
            <w:tcW w:w="1470" w:type="dxa"/>
            <w:hideMark/>
          </w:tcPr>
          <w:p w14:paraId="3B4CFE11" w14:textId="7EC0CE99"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40 (26.3%)</w:t>
            </w:r>
          </w:p>
        </w:tc>
        <w:tc>
          <w:tcPr>
            <w:tcW w:w="1470" w:type="dxa"/>
            <w:hideMark/>
          </w:tcPr>
          <w:p w14:paraId="13BB9C95" w14:textId="5AC6F462"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185 (25.2%)</w:t>
            </w:r>
          </w:p>
        </w:tc>
        <w:tc>
          <w:tcPr>
            <w:tcW w:w="1485" w:type="dxa"/>
            <w:hideMark/>
          </w:tcPr>
          <w:p w14:paraId="1F72C1C5" w14:textId="433D86A4"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248 (39.2%)</w:t>
            </w:r>
          </w:p>
        </w:tc>
      </w:tr>
      <w:tr w:rsidR="00260F2C" w:rsidRPr="00925C4B" w14:paraId="5ED86896" w14:textId="77777777" w:rsidTr="00832F07">
        <w:trPr>
          <w:jc w:val="center"/>
        </w:trPr>
        <w:tc>
          <w:tcPr>
            <w:tcW w:w="1680" w:type="dxa"/>
            <w:hideMark/>
          </w:tcPr>
          <w:p w14:paraId="271E2DE9" w14:textId="2E2A19A9" w:rsidR="00260F2C" w:rsidRPr="00925C4B" w:rsidRDefault="00260F2C" w:rsidP="00260F2C">
            <w:pPr>
              <w:spacing w:after="0"/>
              <w:ind w:left="15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65</w:t>
            </w:r>
            <w:r>
              <w:rPr>
                <w:rFonts w:eastAsia="Times New Roman"/>
                <w:color w:val="000000"/>
                <w:sz w:val="18"/>
                <w:lang w:eastAsia="en-AU"/>
              </w:rPr>
              <w:t>–</w:t>
            </w:r>
            <w:r w:rsidRPr="00925C4B">
              <w:rPr>
                <w:rFonts w:eastAsia="Times New Roman"/>
                <w:color w:val="000000"/>
                <w:sz w:val="18"/>
                <w:lang w:eastAsia="en-AU"/>
              </w:rPr>
              <w:t>74 </w:t>
            </w:r>
          </w:p>
        </w:tc>
        <w:tc>
          <w:tcPr>
            <w:tcW w:w="1695" w:type="dxa"/>
            <w:hideMark/>
          </w:tcPr>
          <w:p w14:paraId="4BD40BF3" w14:textId="349326E7"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390 (25.7%)</w:t>
            </w:r>
          </w:p>
        </w:tc>
        <w:tc>
          <w:tcPr>
            <w:tcW w:w="1470" w:type="dxa"/>
            <w:hideMark/>
          </w:tcPr>
          <w:p w14:paraId="20DB4DFC" w14:textId="480E3EA9"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54 (35.5%)</w:t>
            </w:r>
          </w:p>
        </w:tc>
        <w:tc>
          <w:tcPr>
            <w:tcW w:w="1470" w:type="dxa"/>
            <w:hideMark/>
          </w:tcPr>
          <w:p w14:paraId="184B74D2" w14:textId="7E4B974C"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202 (27.6%)</w:t>
            </w:r>
          </w:p>
        </w:tc>
        <w:tc>
          <w:tcPr>
            <w:tcW w:w="1485" w:type="dxa"/>
            <w:hideMark/>
          </w:tcPr>
          <w:p w14:paraId="21CD5F94" w14:textId="33211CCA"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134 (21.2%)</w:t>
            </w:r>
          </w:p>
        </w:tc>
      </w:tr>
      <w:tr w:rsidR="00260F2C" w:rsidRPr="00925C4B" w14:paraId="1F50BB43" w14:textId="77777777" w:rsidTr="00832F07">
        <w:trPr>
          <w:jc w:val="center"/>
        </w:trPr>
        <w:tc>
          <w:tcPr>
            <w:tcW w:w="1680" w:type="dxa"/>
            <w:hideMark/>
          </w:tcPr>
          <w:p w14:paraId="2F3128B2" w14:textId="190E788C" w:rsidR="00260F2C" w:rsidRPr="00925C4B" w:rsidRDefault="00260F2C" w:rsidP="00260F2C">
            <w:pPr>
              <w:spacing w:after="0"/>
              <w:ind w:left="15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75</w:t>
            </w:r>
            <w:r>
              <w:rPr>
                <w:rFonts w:eastAsia="Times New Roman"/>
                <w:color w:val="000000"/>
                <w:sz w:val="18"/>
                <w:lang w:eastAsia="en-AU"/>
              </w:rPr>
              <w:t>–</w:t>
            </w:r>
            <w:r w:rsidRPr="00925C4B">
              <w:rPr>
                <w:rFonts w:eastAsia="Times New Roman"/>
                <w:color w:val="000000"/>
                <w:sz w:val="18"/>
                <w:lang w:eastAsia="en-AU"/>
              </w:rPr>
              <w:t>84 </w:t>
            </w:r>
          </w:p>
        </w:tc>
        <w:tc>
          <w:tcPr>
            <w:tcW w:w="1695" w:type="dxa"/>
            <w:hideMark/>
          </w:tcPr>
          <w:p w14:paraId="0BF30537" w14:textId="5A49C3C9"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348 (22.9%)</w:t>
            </w:r>
          </w:p>
        </w:tc>
        <w:tc>
          <w:tcPr>
            <w:tcW w:w="1470" w:type="dxa"/>
            <w:hideMark/>
          </w:tcPr>
          <w:p w14:paraId="051BCC93" w14:textId="304FDE89"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38 (25.0%)</w:t>
            </w:r>
          </w:p>
        </w:tc>
        <w:tc>
          <w:tcPr>
            <w:tcW w:w="1470" w:type="dxa"/>
            <w:hideMark/>
          </w:tcPr>
          <w:p w14:paraId="1683E2B8" w14:textId="6FF877DA"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213 (29.1%)</w:t>
            </w:r>
          </w:p>
        </w:tc>
        <w:tc>
          <w:tcPr>
            <w:tcW w:w="1485" w:type="dxa"/>
            <w:hideMark/>
          </w:tcPr>
          <w:p w14:paraId="5C9D72FA" w14:textId="65141F28"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97 (15.3%)</w:t>
            </w:r>
          </w:p>
        </w:tc>
      </w:tr>
      <w:tr w:rsidR="00260F2C" w:rsidRPr="00925C4B" w14:paraId="541DE430" w14:textId="77777777" w:rsidTr="00832F07">
        <w:trPr>
          <w:jc w:val="center"/>
        </w:trPr>
        <w:tc>
          <w:tcPr>
            <w:tcW w:w="1680" w:type="dxa"/>
            <w:hideMark/>
          </w:tcPr>
          <w:p w14:paraId="772CB607" w14:textId="77777777" w:rsidR="00260F2C" w:rsidRPr="00925C4B" w:rsidRDefault="00260F2C" w:rsidP="00260F2C">
            <w:pPr>
              <w:spacing w:after="0"/>
              <w:ind w:left="15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85+ </w:t>
            </w:r>
          </w:p>
        </w:tc>
        <w:tc>
          <w:tcPr>
            <w:tcW w:w="1695" w:type="dxa"/>
            <w:hideMark/>
          </w:tcPr>
          <w:p w14:paraId="09502FB2" w14:textId="17FA62EF"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158 (10.4%)</w:t>
            </w:r>
          </w:p>
        </w:tc>
        <w:tc>
          <w:tcPr>
            <w:tcW w:w="1470" w:type="dxa"/>
            <w:hideMark/>
          </w:tcPr>
          <w:p w14:paraId="64426A99" w14:textId="7C4C959D"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12 (7.9%)</w:t>
            </w:r>
          </w:p>
        </w:tc>
        <w:tc>
          <w:tcPr>
            <w:tcW w:w="1470" w:type="dxa"/>
            <w:hideMark/>
          </w:tcPr>
          <w:p w14:paraId="63004C7E" w14:textId="3086FDE8"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77 (10.5%)</w:t>
            </w:r>
          </w:p>
        </w:tc>
        <w:tc>
          <w:tcPr>
            <w:tcW w:w="1485" w:type="dxa"/>
            <w:hideMark/>
          </w:tcPr>
          <w:p w14:paraId="1D83609B" w14:textId="139196AF" w:rsidR="00260F2C" w:rsidRPr="00260F2C" w:rsidRDefault="00260F2C" w:rsidP="00260F2C">
            <w:pPr>
              <w:spacing w:after="0"/>
              <w:ind w:left="90" w:right="90"/>
              <w:jc w:val="center"/>
              <w:textAlignment w:val="baseline"/>
              <w:rPr>
                <w:rFonts w:eastAsia="Times New Roman"/>
                <w:color w:val="000000"/>
                <w:sz w:val="18"/>
                <w:lang w:eastAsia="en-AU"/>
              </w:rPr>
            </w:pPr>
            <w:r w:rsidRPr="00260F2C">
              <w:rPr>
                <w:rFonts w:eastAsia="Times New Roman"/>
                <w:color w:val="000000"/>
                <w:sz w:val="18"/>
                <w:lang w:eastAsia="en-AU"/>
              </w:rPr>
              <w:t>69 (10.9%)</w:t>
            </w:r>
          </w:p>
        </w:tc>
      </w:tr>
      <w:tr w:rsidR="00E874DD" w:rsidRPr="00925C4B" w14:paraId="245D3200" w14:textId="77777777" w:rsidTr="00832F07">
        <w:trPr>
          <w:jc w:val="center"/>
        </w:trPr>
        <w:tc>
          <w:tcPr>
            <w:tcW w:w="7800" w:type="dxa"/>
            <w:gridSpan w:val="5"/>
            <w:hideMark/>
          </w:tcPr>
          <w:p w14:paraId="19C7E307" w14:textId="77777777" w:rsidR="00E874DD" w:rsidRPr="00925C4B" w:rsidRDefault="00E874D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b/>
                <w:color w:val="000000"/>
                <w:sz w:val="18"/>
                <w:lang w:eastAsia="en-AU"/>
              </w:rPr>
              <w:t>English speaking</w:t>
            </w:r>
            <w:r w:rsidRPr="00925C4B">
              <w:rPr>
                <w:rFonts w:eastAsia="Times New Roman"/>
                <w:color w:val="000000"/>
                <w:sz w:val="18"/>
                <w:lang w:eastAsia="en-AU"/>
              </w:rPr>
              <w:t> </w:t>
            </w:r>
          </w:p>
        </w:tc>
      </w:tr>
      <w:tr w:rsidR="00DF50D5" w:rsidRPr="00925C4B" w14:paraId="3F129747" w14:textId="77777777" w:rsidTr="00832F07">
        <w:trPr>
          <w:jc w:val="center"/>
        </w:trPr>
        <w:tc>
          <w:tcPr>
            <w:tcW w:w="1680" w:type="dxa"/>
            <w:hideMark/>
          </w:tcPr>
          <w:p w14:paraId="2653F528" w14:textId="77777777" w:rsidR="00DF50D5" w:rsidRPr="00925C4B" w:rsidRDefault="00DF50D5" w:rsidP="00DF50D5">
            <w:pPr>
              <w:spacing w:after="0"/>
              <w:ind w:left="15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Yes </w:t>
            </w:r>
          </w:p>
        </w:tc>
        <w:tc>
          <w:tcPr>
            <w:tcW w:w="1695" w:type="dxa"/>
            <w:hideMark/>
          </w:tcPr>
          <w:p w14:paraId="7DF0BA1F" w14:textId="3655B9FC" w:rsidR="00DF50D5" w:rsidRPr="0032276C" w:rsidRDefault="00DF50D5" w:rsidP="00DF50D5">
            <w:pPr>
              <w:spacing w:after="0"/>
              <w:ind w:left="90" w:right="90"/>
              <w:jc w:val="center"/>
              <w:textAlignment w:val="baseline"/>
              <w:rPr>
                <w:rFonts w:eastAsia="Times New Roman"/>
                <w:color w:val="000000"/>
                <w:sz w:val="18"/>
                <w:lang w:eastAsia="en-AU"/>
              </w:rPr>
            </w:pPr>
            <w:r w:rsidRPr="0032276C">
              <w:rPr>
                <w:rFonts w:eastAsia="Times New Roman"/>
                <w:color w:val="000000"/>
                <w:sz w:val="18"/>
                <w:lang w:eastAsia="en-AU"/>
              </w:rPr>
              <w:t>1,263 (82.5%)</w:t>
            </w:r>
          </w:p>
        </w:tc>
        <w:tc>
          <w:tcPr>
            <w:tcW w:w="1470" w:type="dxa"/>
            <w:hideMark/>
          </w:tcPr>
          <w:p w14:paraId="1721391E" w14:textId="798D732F" w:rsidR="00DF50D5" w:rsidRPr="0032276C" w:rsidRDefault="00DF50D5" w:rsidP="00DF50D5">
            <w:pPr>
              <w:spacing w:after="0"/>
              <w:ind w:left="90" w:right="90"/>
              <w:jc w:val="center"/>
              <w:textAlignment w:val="baseline"/>
              <w:rPr>
                <w:rFonts w:eastAsia="Times New Roman"/>
                <w:color w:val="000000"/>
                <w:sz w:val="18"/>
                <w:lang w:eastAsia="en-AU"/>
              </w:rPr>
            </w:pPr>
            <w:r w:rsidRPr="0032276C">
              <w:rPr>
                <w:rFonts w:eastAsia="Times New Roman"/>
                <w:color w:val="000000"/>
                <w:sz w:val="18"/>
                <w:lang w:eastAsia="en-AU"/>
              </w:rPr>
              <w:t>145 (95.4%)</w:t>
            </w:r>
          </w:p>
        </w:tc>
        <w:tc>
          <w:tcPr>
            <w:tcW w:w="1470" w:type="dxa"/>
            <w:hideMark/>
          </w:tcPr>
          <w:p w14:paraId="7098DF21" w14:textId="178FED2E" w:rsidR="00DF50D5" w:rsidRPr="0032276C" w:rsidRDefault="00DF50D5" w:rsidP="00DF50D5">
            <w:pPr>
              <w:spacing w:after="0"/>
              <w:ind w:left="90" w:right="90"/>
              <w:jc w:val="center"/>
              <w:textAlignment w:val="baseline"/>
              <w:rPr>
                <w:rFonts w:eastAsia="Times New Roman"/>
                <w:color w:val="000000"/>
                <w:sz w:val="18"/>
                <w:lang w:eastAsia="en-AU"/>
              </w:rPr>
            </w:pPr>
            <w:r w:rsidRPr="0032276C">
              <w:rPr>
                <w:rFonts w:eastAsia="Times New Roman"/>
                <w:color w:val="000000"/>
                <w:sz w:val="18"/>
                <w:lang w:eastAsia="en-AU"/>
              </w:rPr>
              <w:t>654 (88.5%)</w:t>
            </w:r>
          </w:p>
        </w:tc>
        <w:tc>
          <w:tcPr>
            <w:tcW w:w="1485" w:type="dxa"/>
            <w:hideMark/>
          </w:tcPr>
          <w:p w14:paraId="33B4EDC6" w14:textId="6E40B5AB" w:rsidR="00DF50D5" w:rsidRPr="0032276C" w:rsidRDefault="00DF50D5" w:rsidP="00DF50D5">
            <w:pPr>
              <w:spacing w:after="0"/>
              <w:ind w:left="90" w:right="90"/>
              <w:jc w:val="center"/>
              <w:textAlignment w:val="baseline"/>
              <w:rPr>
                <w:rFonts w:eastAsia="Times New Roman"/>
                <w:color w:val="000000"/>
                <w:sz w:val="18"/>
                <w:lang w:eastAsia="en-AU"/>
              </w:rPr>
            </w:pPr>
            <w:r w:rsidRPr="0032276C">
              <w:rPr>
                <w:rFonts w:eastAsia="Times New Roman"/>
                <w:color w:val="000000"/>
                <w:sz w:val="18"/>
                <w:lang w:eastAsia="en-AU"/>
              </w:rPr>
              <w:t>464 (72.5%)</w:t>
            </w:r>
          </w:p>
        </w:tc>
      </w:tr>
    </w:tbl>
    <w:p w14:paraId="3B1EEE54" w14:textId="6DCACD35" w:rsidR="00E874DD" w:rsidRPr="00925C4B" w:rsidRDefault="00E874DD" w:rsidP="0036194D">
      <w:pPr>
        <w:pStyle w:val="Chartortablefootnote"/>
        <w:rPr>
          <w:rFonts w:ascii="Segoe UI" w:hAnsi="Segoe UI"/>
          <w:sz w:val="18"/>
          <w:lang w:eastAsia="en-AU"/>
        </w:rPr>
      </w:pPr>
      <w:r w:rsidRPr="00925C4B">
        <w:rPr>
          <w:lang w:eastAsia="en-AU"/>
        </w:rPr>
        <w:t>Source: Health Outcomes data set provided by the Pharmacy Guild, to 30 June 202</w:t>
      </w:r>
      <w:r w:rsidR="00DF5C9B">
        <w:rPr>
          <w:lang w:eastAsia="en-AU"/>
        </w:rPr>
        <w:t>1</w:t>
      </w:r>
      <w:r w:rsidRPr="00925C4B">
        <w:rPr>
          <w:lang w:eastAsia="en-AU"/>
        </w:rPr>
        <w:t>. </w:t>
      </w:r>
    </w:p>
    <w:p w14:paraId="7DF717EA" w14:textId="73F20A8A" w:rsidR="007A574B" w:rsidRPr="00655883" w:rsidRDefault="00356C12" w:rsidP="00C3649D">
      <w:pPr>
        <w:rPr>
          <w:lang w:val="en-GB"/>
        </w:rPr>
      </w:pPr>
      <w:r>
        <w:rPr>
          <w:lang w:val="en-GB"/>
        </w:rPr>
        <w:t>I</w:t>
      </w:r>
      <w:r w:rsidR="007A574B" w:rsidRPr="00BC4E1A">
        <w:rPr>
          <w:lang w:val="en-GB"/>
        </w:rPr>
        <w:t xml:space="preserve">n the second and third </w:t>
      </w:r>
      <w:r>
        <w:rPr>
          <w:lang w:val="en-GB"/>
        </w:rPr>
        <w:t xml:space="preserve">waves of </w:t>
      </w:r>
      <w:r w:rsidR="007A574B" w:rsidRPr="00BC4E1A">
        <w:rPr>
          <w:lang w:val="en-GB"/>
        </w:rPr>
        <w:t>the patient survey</w:t>
      </w:r>
      <w:r>
        <w:rPr>
          <w:lang w:val="en-GB"/>
        </w:rPr>
        <w:t>, patients were asked</w:t>
      </w:r>
      <w:r w:rsidR="007A574B" w:rsidRPr="00BC4E1A">
        <w:rPr>
          <w:lang w:val="en-GB"/>
        </w:rPr>
        <w:t xml:space="preserve"> </w:t>
      </w:r>
      <w:r>
        <w:rPr>
          <w:lang w:val="en-GB"/>
        </w:rPr>
        <w:t>about</w:t>
      </w:r>
      <w:r w:rsidR="007A574B" w:rsidRPr="00BC4E1A">
        <w:rPr>
          <w:lang w:val="en-GB"/>
        </w:rPr>
        <w:t xml:space="preserve"> whether a pharmacist had reviewed their medications. Of the 1</w:t>
      </w:r>
      <w:r>
        <w:rPr>
          <w:lang w:val="en-GB"/>
        </w:rPr>
        <w:t>,</w:t>
      </w:r>
      <w:r w:rsidR="007A574B" w:rsidRPr="00BC4E1A">
        <w:rPr>
          <w:lang w:val="en-GB"/>
        </w:rPr>
        <w:t xml:space="preserve">843 patients who completed </w:t>
      </w:r>
      <w:r w:rsidR="009D53EE">
        <w:rPr>
          <w:lang w:val="en-GB"/>
        </w:rPr>
        <w:t xml:space="preserve">the </w:t>
      </w:r>
      <w:r w:rsidR="007A574B" w:rsidRPr="00BC4E1A">
        <w:rPr>
          <w:lang w:val="en-GB"/>
        </w:rPr>
        <w:t>second survey</w:t>
      </w:r>
      <w:r>
        <w:rPr>
          <w:lang w:val="en-GB"/>
        </w:rPr>
        <w:t>,</w:t>
      </w:r>
      <w:r w:rsidR="007A574B" w:rsidRPr="00BC4E1A">
        <w:rPr>
          <w:lang w:val="en-GB"/>
        </w:rPr>
        <w:t xml:space="preserve"> 47.2% (n = 869) indicated they had had a review with a pharmacist. </w:t>
      </w:r>
      <w:r>
        <w:rPr>
          <w:lang w:val="en-GB"/>
        </w:rPr>
        <w:t>Of these,</w:t>
      </w:r>
      <w:r w:rsidR="007A574B" w:rsidRPr="00BC4E1A">
        <w:rPr>
          <w:lang w:val="en-GB"/>
        </w:rPr>
        <w:t xml:space="preserve"> 72.3% (n = 627) indicated the consultation had tak</w:t>
      </w:r>
      <w:r w:rsidR="002C1F3F" w:rsidRPr="00BC4E1A">
        <w:rPr>
          <w:lang w:val="en-GB"/>
        </w:rPr>
        <w:t>en</w:t>
      </w:r>
      <w:r w:rsidR="007A574B" w:rsidRPr="00BC4E1A">
        <w:rPr>
          <w:lang w:val="en-GB"/>
        </w:rPr>
        <w:t xml:space="preserve"> place at a community pharmacy. The numbers were similar </w:t>
      </w:r>
      <w:r w:rsidR="00AD0328">
        <w:rPr>
          <w:lang w:val="en-GB"/>
        </w:rPr>
        <w:t>for</w:t>
      </w:r>
      <w:r w:rsidR="007A574B" w:rsidRPr="00BC4E1A">
        <w:rPr>
          <w:lang w:val="en-GB"/>
        </w:rPr>
        <w:t xml:space="preserve"> the third survey, </w:t>
      </w:r>
      <w:r w:rsidR="00AD0328">
        <w:rPr>
          <w:lang w:val="en-GB"/>
        </w:rPr>
        <w:t xml:space="preserve">where </w:t>
      </w:r>
      <w:r w:rsidR="007A574B" w:rsidRPr="00BC4E1A">
        <w:rPr>
          <w:lang w:val="en-GB"/>
        </w:rPr>
        <w:t>43.0% (n = 585) patients had a consultation</w:t>
      </w:r>
      <w:r w:rsidR="00F86089" w:rsidRPr="00BC4E1A">
        <w:rPr>
          <w:lang w:val="en-GB"/>
        </w:rPr>
        <w:t xml:space="preserve"> with a pharmacist</w:t>
      </w:r>
      <w:r w:rsidR="007A574B" w:rsidRPr="00BC4E1A">
        <w:rPr>
          <w:lang w:val="en-GB"/>
        </w:rPr>
        <w:t xml:space="preserve"> and 68.6% (n = 399) said it occurred at a community pharmacy.</w:t>
      </w:r>
    </w:p>
    <w:p w14:paraId="424B3671" w14:textId="399DF84B" w:rsidR="00612936" w:rsidRDefault="00C3649D" w:rsidP="00C3649D">
      <w:pPr>
        <w:spacing w:after="0"/>
        <w:textAlignment w:val="baseline"/>
        <w:rPr>
          <w:rFonts w:ascii="Arial" w:eastAsia="Times New Roman" w:hAnsi="Arial" w:cs="Arial"/>
          <w:szCs w:val="20"/>
          <w:lang w:eastAsia="en-AU"/>
        </w:rPr>
      </w:pPr>
      <w:r w:rsidRPr="00701EA9">
        <w:rPr>
          <w:rFonts w:eastAsia="Times New Roman" w:cs="Segoe UI"/>
          <w:szCs w:val="20"/>
          <w:lang w:eastAsia="en-AU"/>
        </w:rPr>
        <w:t>Patients were taking medicines for a wide range of conditions</w:t>
      </w:r>
      <w:r w:rsidRPr="00701EA9">
        <w:rPr>
          <w:rFonts w:ascii="Arial" w:eastAsia="Times New Roman" w:hAnsi="Arial" w:cs="Arial"/>
          <w:szCs w:val="20"/>
          <w:lang w:eastAsia="en-AU"/>
        </w:rPr>
        <w:t> </w:t>
      </w:r>
      <w:r w:rsidRPr="00701EA9">
        <w:rPr>
          <w:rFonts w:eastAsia="Times New Roman" w:cs="Segoe UI"/>
          <w:szCs w:val="20"/>
          <w:lang w:eastAsia="en-AU"/>
        </w:rPr>
        <w:t>(</w:t>
      </w:r>
      <w:r w:rsidRPr="00770301">
        <w:rPr>
          <w:rFonts w:eastAsia="Calibri" w:cs="Times New Roman"/>
          <w:color w:val="1D2455"/>
          <w:szCs w:val="16"/>
        </w:rPr>
        <w:fldChar w:fldCharType="begin"/>
      </w:r>
      <w:r w:rsidRPr="00770301">
        <w:rPr>
          <w:rFonts w:eastAsia="Calibri" w:cs="Times New Roman"/>
          <w:color w:val="1D2455"/>
          <w:szCs w:val="16"/>
        </w:rPr>
        <w:instrText xml:space="preserve"> REF _Ref85041986 \h  \* MERGEFORMAT </w:instrText>
      </w:r>
      <w:r w:rsidRPr="00770301">
        <w:rPr>
          <w:rFonts w:eastAsia="Calibri" w:cs="Times New Roman"/>
          <w:color w:val="1D2455"/>
          <w:szCs w:val="16"/>
        </w:rPr>
      </w:r>
      <w:r w:rsidRPr="00770301">
        <w:rPr>
          <w:rFonts w:eastAsia="Calibri" w:cs="Times New Roman"/>
          <w:color w:val="1D2455"/>
          <w:szCs w:val="16"/>
        </w:rPr>
        <w:fldChar w:fldCharType="separate"/>
      </w:r>
      <w:r w:rsidR="003C4BC2" w:rsidRPr="003C4BC2">
        <w:rPr>
          <w:rFonts w:eastAsia="Calibri" w:cs="Times New Roman"/>
          <w:color w:val="1D2455"/>
          <w:szCs w:val="16"/>
        </w:rPr>
        <w:t>Table 60</w:t>
      </w:r>
      <w:r w:rsidRPr="00770301">
        <w:rPr>
          <w:rFonts w:eastAsia="Calibri" w:cs="Times New Roman"/>
          <w:color w:val="1D2455"/>
          <w:szCs w:val="16"/>
        </w:rPr>
        <w:fldChar w:fldCharType="end"/>
      </w:r>
      <w:r w:rsidRPr="00701EA9">
        <w:rPr>
          <w:rFonts w:eastAsia="Times New Roman" w:cs="Segoe UI"/>
          <w:szCs w:val="20"/>
          <w:lang w:eastAsia="en-AU"/>
        </w:rPr>
        <w:t>).</w:t>
      </w:r>
      <w:r w:rsidRPr="00701EA9">
        <w:rPr>
          <w:rFonts w:ascii="Arial" w:eastAsia="Times New Roman" w:hAnsi="Arial" w:cs="Arial"/>
          <w:szCs w:val="20"/>
          <w:lang w:eastAsia="en-AU"/>
        </w:rPr>
        <w:t> </w:t>
      </w:r>
      <w:r w:rsidRPr="00701EA9">
        <w:rPr>
          <w:rFonts w:eastAsia="Times New Roman" w:cs="Segoe UI"/>
          <w:szCs w:val="20"/>
          <w:lang w:eastAsia="en-AU"/>
        </w:rPr>
        <w:t>Medicines were commonly prescribed for: high blood pressure</w:t>
      </w:r>
      <w:r w:rsidRPr="00701EA9">
        <w:rPr>
          <w:rFonts w:ascii="Arial" w:eastAsia="Times New Roman" w:hAnsi="Arial" w:cs="Arial"/>
          <w:szCs w:val="20"/>
          <w:lang w:eastAsia="en-AU"/>
        </w:rPr>
        <w:t> (64%); </w:t>
      </w:r>
      <w:r w:rsidRPr="00701EA9">
        <w:rPr>
          <w:rFonts w:eastAsia="Times New Roman" w:cs="Segoe UI"/>
          <w:szCs w:val="20"/>
          <w:lang w:eastAsia="en-AU"/>
        </w:rPr>
        <w:t>high blood cholesterol (47%); heart disease (39%)</w:t>
      </w:r>
      <w:r w:rsidRPr="00701EA9">
        <w:rPr>
          <w:rFonts w:ascii="Arial" w:eastAsia="Times New Roman" w:hAnsi="Arial" w:cs="Arial"/>
          <w:szCs w:val="20"/>
          <w:lang w:eastAsia="en-AU"/>
        </w:rPr>
        <w:t>; </w:t>
      </w:r>
      <w:r w:rsidRPr="00701EA9">
        <w:rPr>
          <w:rFonts w:eastAsia="Times New Roman" w:cs="Segoe UI"/>
          <w:szCs w:val="20"/>
          <w:lang w:eastAsia="en-AU"/>
        </w:rPr>
        <w:t>diabetes (37%</w:t>
      </w:r>
      <w:r w:rsidRPr="00701EA9">
        <w:rPr>
          <w:rFonts w:ascii="Arial" w:eastAsia="Times New Roman" w:hAnsi="Arial" w:cs="Arial"/>
          <w:szCs w:val="20"/>
          <w:lang w:eastAsia="en-AU"/>
        </w:rPr>
        <w:t>); </w:t>
      </w:r>
      <w:r w:rsidRPr="00701EA9">
        <w:rPr>
          <w:rFonts w:eastAsia="Times New Roman" w:cs="Segoe UI"/>
          <w:szCs w:val="20"/>
          <w:lang w:eastAsia="en-AU"/>
        </w:rPr>
        <w:t>respiratory conditions (30%); arthritis (29%); depression or anxiety (26%); pain (22%); and digestive disorders (21%). Prescriptions for medicines for heart disease, depression and anxiety, diabetes, kidney disease and respiratory illnesses increased with tier (although relatively few patients were taking medicines for kidney disease)</w:t>
      </w:r>
      <w:r w:rsidRPr="00701EA9">
        <w:rPr>
          <w:rFonts w:ascii="Arial" w:eastAsia="Times New Roman" w:hAnsi="Arial" w:cs="Arial"/>
          <w:szCs w:val="20"/>
          <w:lang w:eastAsia="en-AU"/>
        </w:rPr>
        <w:t>. </w:t>
      </w:r>
    </w:p>
    <w:p w14:paraId="4692F7C2" w14:textId="77777777" w:rsidR="00612936" w:rsidRDefault="00612936">
      <w:pPr>
        <w:spacing w:after="160" w:line="259" w:lineRule="auto"/>
        <w:rPr>
          <w:rFonts w:ascii="Arial" w:eastAsia="Times New Roman" w:hAnsi="Arial" w:cs="Arial"/>
          <w:szCs w:val="20"/>
          <w:lang w:eastAsia="en-AU"/>
        </w:rPr>
      </w:pPr>
      <w:r>
        <w:rPr>
          <w:rFonts w:ascii="Arial" w:eastAsia="Times New Roman" w:hAnsi="Arial" w:cs="Arial"/>
          <w:szCs w:val="20"/>
          <w:lang w:eastAsia="en-AU"/>
        </w:rPr>
        <w:br w:type="page"/>
      </w:r>
    </w:p>
    <w:p w14:paraId="403FB79E" w14:textId="5B16A32A" w:rsidR="00C3649D" w:rsidRPr="000C3FBF" w:rsidRDefault="00C3649D" w:rsidP="00C3649D">
      <w:pPr>
        <w:pStyle w:val="tabletitle"/>
      </w:pPr>
      <w:bookmarkStart w:id="452" w:name="_Ref85041986"/>
      <w:r w:rsidRPr="000C3FBF">
        <w:lastRenderedPageBreak/>
        <w:t>Table </w:t>
      </w:r>
      <w:r w:rsidR="00A61B29">
        <w:fldChar w:fldCharType="begin"/>
      </w:r>
      <w:r w:rsidR="00A61B29">
        <w:instrText xml:space="preserve"> SEQ Table\* ARABIC </w:instrText>
      </w:r>
      <w:r w:rsidR="00A61B29">
        <w:fldChar w:fldCharType="separate"/>
      </w:r>
      <w:r w:rsidR="003C4BC2">
        <w:rPr>
          <w:noProof/>
        </w:rPr>
        <w:t>60</w:t>
      </w:r>
      <w:r w:rsidR="00A61B29">
        <w:rPr>
          <w:noProof/>
        </w:rPr>
        <w:fldChar w:fldCharType="end"/>
      </w:r>
      <w:bookmarkEnd w:id="452"/>
      <w:r>
        <w:t xml:space="preserve">: </w:t>
      </w:r>
      <w:r w:rsidRPr="000C3FBF">
        <w:t>Health conditions for which patients are taking medicines </w:t>
      </w:r>
    </w:p>
    <w:tbl>
      <w:tblPr>
        <w:tblW w:w="9242"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950"/>
        <w:gridCol w:w="1573"/>
        <w:gridCol w:w="1573"/>
        <w:gridCol w:w="1573"/>
        <w:gridCol w:w="1573"/>
      </w:tblGrid>
      <w:tr w:rsidR="00C3649D" w:rsidRPr="00832F07" w14:paraId="762D98E1" w14:textId="77777777" w:rsidTr="00832F07">
        <w:trPr>
          <w:jc w:val="center"/>
        </w:trPr>
        <w:tc>
          <w:tcPr>
            <w:tcW w:w="2660" w:type="dxa"/>
            <w:shd w:val="clear" w:color="auto" w:fill="408BCA"/>
            <w:vAlign w:val="center"/>
            <w:hideMark/>
          </w:tcPr>
          <w:p w14:paraId="67740DED" w14:textId="03ABA3BE" w:rsidR="00C3649D" w:rsidRPr="00832F07" w:rsidRDefault="00C3649D" w:rsidP="00832F07">
            <w:pPr>
              <w:spacing w:after="0"/>
              <w:jc w:val="center"/>
              <w:textAlignment w:val="baseline"/>
              <w:rPr>
                <w:rFonts w:ascii="Times New Roman" w:eastAsia="Times New Roman" w:hAnsi="Times New Roman"/>
                <w:b/>
                <w:bCs/>
                <w:sz w:val="24"/>
                <w:szCs w:val="24"/>
                <w:lang w:eastAsia="en-AU"/>
              </w:rPr>
            </w:pPr>
            <w:r w:rsidRPr="00832F07">
              <w:rPr>
                <w:rFonts w:eastAsia="Times New Roman"/>
                <w:b/>
                <w:bCs/>
                <w:color w:val="FFFFFF"/>
                <w:sz w:val="18"/>
                <w:lang w:eastAsia="en-AU"/>
              </w:rPr>
              <w:t>Condition</w:t>
            </w:r>
          </w:p>
        </w:tc>
        <w:tc>
          <w:tcPr>
            <w:tcW w:w="1418" w:type="dxa"/>
            <w:shd w:val="clear" w:color="auto" w:fill="408BCA"/>
            <w:vAlign w:val="center"/>
            <w:hideMark/>
          </w:tcPr>
          <w:p w14:paraId="6A471BA8" w14:textId="6AB55F13" w:rsidR="00C3649D" w:rsidRPr="00832F07" w:rsidRDefault="00C3649D" w:rsidP="00832F07">
            <w:pPr>
              <w:spacing w:after="0"/>
              <w:jc w:val="center"/>
              <w:textAlignment w:val="baseline"/>
              <w:rPr>
                <w:rFonts w:ascii="Times New Roman" w:eastAsia="Times New Roman" w:hAnsi="Times New Roman"/>
                <w:b/>
                <w:bCs/>
                <w:sz w:val="24"/>
                <w:szCs w:val="24"/>
                <w:lang w:eastAsia="en-AU"/>
              </w:rPr>
            </w:pPr>
            <w:r w:rsidRPr="00832F07">
              <w:rPr>
                <w:rFonts w:eastAsia="Times New Roman"/>
                <w:b/>
                <w:bCs/>
                <w:color w:val="FFFFFF"/>
                <w:sz w:val="18"/>
                <w:lang w:eastAsia="en-AU"/>
              </w:rPr>
              <w:t xml:space="preserve">Total </w:t>
            </w:r>
            <w:r w:rsidRPr="00832F07">
              <w:rPr>
                <w:rFonts w:eastAsia="Times New Roman"/>
                <w:b/>
                <w:bCs/>
                <w:color w:val="FFFFFF"/>
                <w:sz w:val="18"/>
                <w:lang w:eastAsia="en-AU"/>
              </w:rPr>
              <w:br/>
              <w:t>(n = 1,531)</w:t>
            </w:r>
          </w:p>
        </w:tc>
        <w:tc>
          <w:tcPr>
            <w:tcW w:w="1418" w:type="dxa"/>
            <w:shd w:val="clear" w:color="auto" w:fill="408BCA"/>
            <w:vAlign w:val="center"/>
            <w:hideMark/>
          </w:tcPr>
          <w:p w14:paraId="44FCDEB6" w14:textId="4B0D5ECD" w:rsidR="00C3649D" w:rsidRPr="00832F07" w:rsidRDefault="00C3649D" w:rsidP="00832F07">
            <w:pPr>
              <w:spacing w:after="0"/>
              <w:jc w:val="center"/>
              <w:textAlignment w:val="baseline"/>
              <w:rPr>
                <w:rFonts w:ascii="Times New Roman" w:eastAsia="Times New Roman" w:hAnsi="Times New Roman"/>
                <w:b/>
                <w:bCs/>
                <w:sz w:val="24"/>
                <w:szCs w:val="24"/>
                <w:lang w:eastAsia="en-AU"/>
              </w:rPr>
            </w:pPr>
            <w:r w:rsidRPr="00832F07">
              <w:rPr>
                <w:rFonts w:eastAsia="Times New Roman"/>
                <w:b/>
                <w:bCs/>
                <w:color w:val="FFFFFF"/>
                <w:sz w:val="18"/>
                <w:lang w:eastAsia="en-AU"/>
              </w:rPr>
              <w:t xml:space="preserve">Tier 1 </w:t>
            </w:r>
            <w:r w:rsidRPr="00832F07">
              <w:rPr>
                <w:rFonts w:eastAsia="Times New Roman"/>
                <w:b/>
                <w:bCs/>
                <w:color w:val="FFFFFF"/>
                <w:sz w:val="18"/>
                <w:lang w:eastAsia="en-AU"/>
              </w:rPr>
              <w:br/>
              <w:t>(n = 152)</w:t>
            </w:r>
          </w:p>
        </w:tc>
        <w:tc>
          <w:tcPr>
            <w:tcW w:w="1418" w:type="dxa"/>
            <w:shd w:val="clear" w:color="auto" w:fill="408BCA"/>
            <w:vAlign w:val="center"/>
            <w:hideMark/>
          </w:tcPr>
          <w:p w14:paraId="33F8CE6D" w14:textId="5AFAC4D3" w:rsidR="00C3649D" w:rsidRPr="00832F07" w:rsidRDefault="00C3649D" w:rsidP="00832F07">
            <w:pPr>
              <w:spacing w:after="0"/>
              <w:jc w:val="center"/>
              <w:textAlignment w:val="baseline"/>
              <w:rPr>
                <w:rFonts w:ascii="Times New Roman" w:eastAsia="Times New Roman" w:hAnsi="Times New Roman"/>
                <w:b/>
                <w:bCs/>
                <w:sz w:val="24"/>
                <w:szCs w:val="24"/>
                <w:lang w:eastAsia="en-AU"/>
              </w:rPr>
            </w:pPr>
            <w:r w:rsidRPr="00832F07">
              <w:rPr>
                <w:rFonts w:eastAsia="Times New Roman"/>
                <w:b/>
                <w:bCs/>
                <w:color w:val="FFFFFF"/>
                <w:sz w:val="18"/>
                <w:lang w:eastAsia="en-AU"/>
              </w:rPr>
              <w:t xml:space="preserve">Tier 2 </w:t>
            </w:r>
            <w:r w:rsidRPr="00832F07">
              <w:rPr>
                <w:rFonts w:eastAsia="Times New Roman"/>
                <w:b/>
                <w:bCs/>
                <w:color w:val="FFFFFF"/>
                <w:sz w:val="18"/>
                <w:lang w:eastAsia="en-AU"/>
              </w:rPr>
              <w:br/>
              <w:t>(n = 739)</w:t>
            </w:r>
          </w:p>
        </w:tc>
        <w:tc>
          <w:tcPr>
            <w:tcW w:w="1418" w:type="dxa"/>
            <w:shd w:val="clear" w:color="auto" w:fill="408BCA"/>
            <w:vAlign w:val="center"/>
            <w:hideMark/>
          </w:tcPr>
          <w:p w14:paraId="6B13EB0F" w14:textId="615DB123" w:rsidR="00C3649D" w:rsidRPr="00832F07" w:rsidRDefault="00C3649D" w:rsidP="00832F07">
            <w:pPr>
              <w:spacing w:after="0"/>
              <w:jc w:val="center"/>
              <w:textAlignment w:val="baseline"/>
              <w:rPr>
                <w:rFonts w:ascii="Times New Roman" w:eastAsia="Times New Roman" w:hAnsi="Times New Roman"/>
                <w:b/>
                <w:bCs/>
                <w:sz w:val="24"/>
                <w:szCs w:val="24"/>
                <w:lang w:eastAsia="en-AU"/>
              </w:rPr>
            </w:pPr>
            <w:r w:rsidRPr="00832F07">
              <w:rPr>
                <w:rFonts w:eastAsia="Times New Roman"/>
                <w:b/>
                <w:bCs/>
                <w:color w:val="FFFFFF"/>
                <w:sz w:val="18"/>
                <w:lang w:eastAsia="en-AU"/>
              </w:rPr>
              <w:t xml:space="preserve">Tier 3 </w:t>
            </w:r>
            <w:r w:rsidRPr="00832F07">
              <w:rPr>
                <w:rFonts w:eastAsia="Times New Roman"/>
                <w:b/>
                <w:bCs/>
                <w:color w:val="FFFFFF"/>
                <w:sz w:val="18"/>
                <w:lang w:eastAsia="en-AU"/>
              </w:rPr>
              <w:br/>
              <w:t>(n = 640)</w:t>
            </w:r>
          </w:p>
        </w:tc>
      </w:tr>
      <w:tr w:rsidR="00C3649D" w:rsidRPr="00925C4B" w14:paraId="5A21C7D7" w14:textId="77777777" w:rsidTr="00832F07">
        <w:trPr>
          <w:jc w:val="center"/>
        </w:trPr>
        <w:tc>
          <w:tcPr>
            <w:tcW w:w="2660" w:type="dxa"/>
            <w:hideMark/>
          </w:tcPr>
          <w:p w14:paraId="4E4EE872"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F04 Heart disease </w:t>
            </w:r>
          </w:p>
        </w:tc>
        <w:tc>
          <w:tcPr>
            <w:tcW w:w="1418" w:type="dxa"/>
            <w:hideMark/>
          </w:tcPr>
          <w:p w14:paraId="44384F3B" w14:textId="4A1EE8F0"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594 (38.8%)</w:t>
            </w:r>
          </w:p>
        </w:tc>
        <w:tc>
          <w:tcPr>
            <w:tcW w:w="1418" w:type="dxa"/>
            <w:hideMark/>
          </w:tcPr>
          <w:p w14:paraId="3F4460E7" w14:textId="58028034"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47 (30.9%)</w:t>
            </w:r>
          </w:p>
        </w:tc>
        <w:tc>
          <w:tcPr>
            <w:tcW w:w="1418" w:type="dxa"/>
            <w:hideMark/>
          </w:tcPr>
          <w:p w14:paraId="3D4648EC" w14:textId="75993E8A"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289 (39.1%)</w:t>
            </w:r>
          </w:p>
        </w:tc>
        <w:tc>
          <w:tcPr>
            <w:tcW w:w="1418" w:type="dxa"/>
            <w:hideMark/>
          </w:tcPr>
          <w:p w14:paraId="4C6858C1" w14:textId="31108FAE"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258 (40.3%)</w:t>
            </w:r>
          </w:p>
        </w:tc>
      </w:tr>
      <w:tr w:rsidR="00C3649D" w:rsidRPr="00925C4B" w14:paraId="79EBE975" w14:textId="77777777" w:rsidTr="00832F07">
        <w:trPr>
          <w:jc w:val="center"/>
        </w:trPr>
        <w:tc>
          <w:tcPr>
            <w:tcW w:w="2660" w:type="dxa"/>
            <w:hideMark/>
          </w:tcPr>
          <w:p w14:paraId="5CFC7A3D"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F05 Stroke </w:t>
            </w:r>
          </w:p>
        </w:tc>
        <w:tc>
          <w:tcPr>
            <w:tcW w:w="1418" w:type="dxa"/>
            <w:hideMark/>
          </w:tcPr>
          <w:p w14:paraId="5CEA6F05" w14:textId="2CB569C5"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97 (6.3%)</w:t>
            </w:r>
          </w:p>
        </w:tc>
        <w:tc>
          <w:tcPr>
            <w:tcW w:w="1418" w:type="dxa"/>
            <w:hideMark/>
          </w:tcPr>
          <w:p w14:paraId="28B1EC22" w14:textId="23C03942"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7 (4.6%)</w:t>
            </w:r>
          </w:p>
        </w:tc>
        <w:tc>
          <w:tcPr>
            <w:tcW w:w="1418" w:type="dxa"/>
            <w:hideMark/>
          </w:tcPr>
          <w:p w14:paraId="4CBC9B9C" w14:textId="50AD6514"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51 (6.9%)</w:t>
            </w:r>
          </w:p>
        </w:tc>
        <w:tc>
          <w:tcPr>
            <w:tcW w:w="1418" w:type="dxa"/>
            <w:hideMark/>
          </w:tcPr>
          <w:p w14:paraId="7AAA7F8B" w14:textId="01285AB3"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39 (6.1%)</w:t>
            </w:r>
          </w:p>
        </w:tc>
      </w:tr>
      <w:tr w:rsidR="00C3649D" w:rsidRPr="00925C4B" w14:paraId="16BF25A8" w14:textId="77777777" w:rsidTr="00832F07">
        <w:trPr>
          <w:jc w:val="center"/>
        </w:trPr>
        <w:tc>
          <w:tcPr>
            <w:tcW w:w="2660" w:type="dxa"/>
            <w:hideMark/>
          </w:tcPr>
          <w:p w14:paraId="6A683858"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F06 Cancer </w:t>
            </w:r>
          </w:p>
        </w:tc>
        <w:tc>
          <w:tcPr>
            <w:tcW w:w="1418" w:type="dxa"/>
            <w:hideMark/>
          </w:tcPr>
          <w:p w14:paraId="3B467823" w14:textId="2F949DA2"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65 (4.2%)</w:t>
            </w:r>
          </w:p>
        </w:tc>
        <w:tc>
          <w:tcPr>
            <w:tcW w:w="1418" w:type="dxa"/>
            <w:hideMark/>
          </w:tcPr>
          <w:p w14:paraId="197BAD56" w14:textId="2E515DAF"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5 (3.3%)</w:t>
            </w:r>
          </w:p>
        </w:tc>
        <w:tc>
          <w:tcPr>
            <w:tcW w:w="1418" w:type="dxa"/>
            <w:hideMark/>
          </w:tcPr>
          <w:p w14:paraId="38B56ED2" w14:textId="14A942D8"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38 (5.1%)</w:t>
            </w:r>
          </w:p>
        </w:tc>
        <w:tc>
          <w:tcPr>
            <w:tcW w:w="1418" w:type="dxa"/>
            <w:hideMark/>
          </w:tcPr>
          <w:p w14:paraId="23693912" w14:textId="166D7A56"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22 (3.4%)</w:t>
            </w:r>
          </w:p>
        </w:tc>
      </w:tr>
      <w:tr w:rsidR="00C3649D" w:rsidRPr="00925C4B" w14:paraId="29068192" w14:textId="77777777" w:rsidTr="00832F07">
        <w:trPr>
          <w:jc w:val="center"/>
        </w:trPr>
        <w:tc>
          <w:tcPr>
            <w:tcW w:w="2660" w:type="dxa"/>
            <w:hideMark/>
          </w:tcPr>
          <w:p w14:paraId="3E1467C3"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F07 Osteoporosis </w:t>
            </w:r>
          </w:p>
        </w:tc>
        <w:tc>
          <w:tcPr>
            <w:tcW w:w="1418" w:type="dxa"/>
            <w:hideMark/>
          </w:tcPr>
          <w:p w14:paraId="2FDD737D" w14:textId="34BBCCA5"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212 (13.8%)</w:t>
            </w:r>
          </w:p>
        </w:tc>
        <w:tc>
          <w:tcPr>
            <w:tcW w:w="1418" w:type="dxa"/>
            <w:hideMark/>
          </w:tcPr>
          <w:p w14:paraId="5DA45F78" w14:textId="4D3F427E"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23 (15.1%)</w:t>
            </w:r>
          </w:p>
        </w:tc>
        <w:tc>
          <w:tcPr>
            <w:tcW w:w="1418" w:type="dxa"/>
            <w:hideMark/>
          </w:tcPr>
          <w:p w14:paraId="05EF6F5D" w14:textId="446EC29F"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112 (15.2%)</w:t>
            </w:r>
          </w:p>
        </w:tc>
        <w:tc>
          <w:tcPr>
            <w:tcW w:w="1418" w:type="dxa"/>
            <w:hideMark/>
          </w:tcPr>
          <w:p w14:paraId="4D90046C" w14:textId="27944DC6"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77 (12.0%)</w:t>
            </w:r>
          </w:p>
        </w:tc>
      </w:tr>
      <w:tr w:rsidR="00C3649D" w:rsidRPr="00925C4B" w14:paraId="6E1D0892" w14:textId="77777777" w:rsidTr="00832F07">
        <w:trPr>
          <w:jc w:val="center"/>
        </w:trPr>
        <w:tc>
          <w:tcPr>
            <w:tcW w:w="2660" w:type="dxa"/>
            <w:hideMark/>
          </w:tcPr>
          <w:p w14:paraId="79A58BD0"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F08 Depression or anxiety </w:t>
            </w:r>
          </w:p>
        </w:tc>
        <w:tc>
          <w:tcPr>
            <w:tcW w:w="1418" w:type="dxa"/>
            <w:hideMark/>
          </w:tcPr>
          <w:p w14:paraId="5EF1993B" w14:textId="4A7C3612"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394 (25.7%)</w:t>
            </w:r>
          </w:p>
        </w:tc>
        <w:tc>
          <w:tcPr>
            <w:tcW w:w="1418" w:type="dxa"/>
            <w:hideMark/>
          </w:tcPr>
          <w:p w14:paraId="75905136" w14:textId="35BA3642"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26 (17.1%)</w:t>
            </w:r>
          </w:p>
        </w:tc>
        <w:tc>
          <w:tcPr>
            <w:tcW w:w="1418" w:type="dxa"/>
            <w:hideMark/>
          </w:tcPr>
          <w:p w14:paraId="3C886A38" w14:textId="45CE6FC1"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188 (25.4%)</w:t>
            </w:r>
          </w:p>
        </w:tc>
        <w:tc>
          <w:tcPr>
            <w:tcW w:w="1418" w:type="dxa"/>
            <w:hideMark/>
          </w:tcPr>
          <w:p w14:paraId="585FCBDF" w14:textId="327C3325"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180 (28.1%)</w:t>
            </w:r>
          </w:p>
        </w:tc>
      </w:tr>
      <w:tr w:rsidR="00C3649D" w:rsidRPr="00925C4B" w14:paraId="7A5A63BA" w14:textId="77777777" w:rsidTr="00832F07">
        <w:trPr>
          <w:jc w:val="center"/>
        </w:trPr>
        <w:tc>
          <w:tcPr>
            <w:tcW w:w="2660" w:type="dxa"/>
            <w:hideMark/>
          </w:tcPr>
          <w:p w14:paraId="6ADEABB8"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F09 Arthritis </w:t>
            </w:r>
          </w:p>
        </w:tc>
        <w:tc>
          <w:tcPr>
            <w:tcW w:w="1418" w:type="dxa"/>
            <w:hideMark/>
          </w:tcPr>
          <w:p w14:paraId="7B6E9439" w14:textId="0BB63170"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438 (28.6%)</w:t>
            </w:r>
          </w:p>
        </w:tc>
        <w:tc>
          <w:tcPr>
            <w:tcW w:w="1418" w:type="dxa"/>
            <w:hideMark/>
          </w:tcPr>
          <w:p w14:paraId="5C393B94" w14:textId="19E610DC"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44 (28.9%)</w:t>
            </w:r>
          </w:p>
        </w:tc>
        <w:tc>
          <w:tcPr>
            <w:tcW w:w="1418" w:type="dxa"/>
            <w:hideMark/>
          </w:tcPr>
          <w:p w14:paraId="1AAF73C3" w14:textId="662DD42F"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246 (33.3%)</w:t>
            </w:r>
          </w:p>
        </w:tc>
        <w:tc>
          <w:tcPr>
            <w:tcW w:w="1418" w:type="dxa"/>
            <w:hideMark/>
          </w:tcPr>
          <w:p w14:paraId="57F8AEE5" w14:textId="23B8088A"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148 (23.1%)</w:t>
            </w:r>
          </w:p>
        </w:tc>
      </w:tr>
      <w:tr w:rsidR="00C3649D" w:rsidRPr="00925C4B" w14:paraId="361E0687" w14:textId="77777777" w:rsidTr="00832F07">
        <w:trPr>
          <w:jc w:val="center"/>
        </w:trPr>
        <w:tc>
          <w:tcPr>
            <w:tcW w:w="2660" w:type="dxa"/>
            <w:hideMark/>
          </w:tcPr>
          <w:p w14:paraId="78B0BCEB"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F10 Diabetes </w:t>
            </w:r>
          </w:p>
        </w:tc>
        <w:tc>
          <w:tcPr>
            <w:tcW w:w="1418" w:type="dxa"/>
            <w:hideMark/>
          </w:tcPr>
          <w:p w14:paraId="2F4C885F" w14:textId="4FAE4DB3"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569 (37.2%)</w:t>
            </w:r>
          </w:p>
        </w:tc>
        <w:tc>
          <w:tcPr>
            <w:tcW w:w="1418" w:type="dxa"/>
            <w:hideMark/>
          </w:tcPr>
          <w:p w14:paraId="261867E0" w14:textId="101D6CF1"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39 (25.7%)</w:t>
            </w:r>
          </w:p>
        </w:tc>
        <w:tc>
          <w:tcPr>
            <w:tcW w:w="1418" w:type="dxa"/>
            <w:hideMark/>
          </w:tcPr>
          <w:p w14:paraId="1155BB2B" w14:textId="2F18920B"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265 (35.9%)</w:t>
            </w:r>
          </w:p>
        </w:tc>
        <w:tc>
          <w:tcPr>
            <w:tcW w:w="1418" w:type="dxa"/>
            <w:hideMark/>
          </w:tcPr>
          <w:p w14:paraId="20FA1C57" w14:textId="20997CDA"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265 (41.4%)</w:t>
            </w:r>
          </w:p>
        </w:tc>
      </w:tr>
      <w:tr w:rsidR="00C3649D" w:rsidRPr="00925C4B" w14:paraId="0C59302B" w14:textId="77777777" w:rsidTr="00832F07">
        <w:trPr>
          <w:jc w:val="center"/>
        </w:trPr>
        <w:tc>
          <w:tcPr>
            <w:tcW w:w="2660" w:type="dxa"/>
            <w:hideMark/>
          </w:tcPr>
          <w:p w14:paraId="38ED497A"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F11 High blood pressure </w:t>
            </w:r>
          </w:p>
        </w:tc>
        <w:tc>
          <w:tcPr>
            <w:tcW w:w="1418" w:type="dxa"/>
            <w:hideMark/>
          </w:tcPr>
          <w:p w14:paraId="02289E66" w14:textId="236A9CBF" w:rsidR="00C3649D" w:rsidRPr="004E0B45" w:rsidRDefault="00B87020" w:rsidP="0032660B">
            <w:pPr>
              <w:spacing w:after="0"/>
              <w:ind w:left="90" w:right="90"/>
              <w:jc w:val="center"/>
              <w:textAlignment w:val="baseline"/>
              <w:rPr>
                <w:rFonts w:eastAsia="Times New Roman"/>
                <w:color w:val="000000"/>
                <w:sz w:val="18"/>
                <w:lang w:eastAsia="en-AU"/>
              </w:rPr>
            </w:pPr>
            <w:r w:rsidRPr="00B87020">
              <w:rPr>
                <w:rFonts w:eastAsia="Times New Roman"/>
                <w:color w:val="000000"/>
                <w:sz w:val="18"/>
                <w:lang w:eastAsia="en-AU"/>
              </w:rPr>
              <w:t>975</w:t>
            </w:r>
            <w:r w:rsidR="00C3649D" w:rsidRPr="004E0B45">
              <w:rPr>
                <w:rFonts w:eastAsia="Times New Roman"/>
                <w:color w:val="000000"/>
                <w:sz w:val="18"/>
                <w:lang w:eastAsia="en-AU"/>
              </w:rPr>
              <w:t xml:space="preserve"> (63.7%)</w:t>
            </w:r>
          </w:p>
        </w:tc>
        <w:tc>
          <w:tcPr>
            <w:tcW w:w="1418" w:type="dxa"/>
            <w:hideMark/>
          </w:tcPr>
          <w:p w14:paraId="6B5150B2" w14:textId="04066CE8"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106 (69.7%)</w:t>
            </w:r>
          </w:p>
        </w:tc>
        <w:tc>
          <w:tcPr>
            <w:tcW w:w="1418" w:type="dxa"/>
            <w:hideMark/>
          </w:tcPr>
          <w:p w14:paraId="2991ABDD" w14:textId="048ACC1D"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498 (67.4%)</w:t>
            </w:r>
          </w:p>
        </w:tc>
        <w:tc>
          <w:tcPr>
            <w:tcW w:w="1418" w:type="dxa"/>
            <w:hideMark/>
          </w:tcPr>
          <w:p w14:paraId="547AF6C1" w14:textId="36CD7F0E" w:rsidR="00C3649D" w:rsidRPr="004E0B45" w:rsidRDefault="00B87020" w:rsidP="0032660B">
            <w:pPr>
              <w:spacing w:after="0"/>
              <w:ind w:left="90" w:right="90"/>
              <w:jc w:val="center"/>
              <w:textAlignment w:val="baseline"/>
              <w:rPr>
                <w:rFonts w:eastAsia="Times New Roman"/>
                <w:color w:val="000000"/>
                <w:sz w:val="18"/>
                <w:lang w:eastAsia="en-AU"/>
              </w:rPr>
            </w:pPr>
            <w:r w:rsidRPr="00B87020">
              <w:rPr>
                <w:rFonts w:eastAsia="Times New Roman"/>
                <w:color w:val="000000"/>
                <w:sz w:val="18"/>
                <w:lang w:eastAsia="en-AU"/>
              </w:rPr>
              <w:t>371</w:t>
            </w:r>
            <w:r w:rsidR="00C3649D" w:rsidRPr="004E0B45">
              <w:rPr>
                <w:rFonts w:eastAsia="Times New Roman"/>
                <w:color w:val="000000"/>
                <w:sz w:val="18"/>
                <w:lang w:eastAsia="en-AU"/>
              </w:rPr>
              <w:t xml:space="preserve"> (58.</w:t>
            </w:r>
            <w:r w:rsidRPr="00B87020">
              <w:rPr>
                <w:rFonts w:eastAsia="Times New Roman"/>
                <w:color w:val="000000"/>
                <w:sz w:val="18"/>
                <w:lang w:eastAsia="en-AU"/>
              </w:rPr>
              <w:t>0</w:t>
            </w:r>
            <w:r w:rsidR="00C3649D" w:rsidRPr="004E0B45">
              <w:rPr>
                <w:rFonts w:eastAsia="Times New Roman"/>
                <w:color w:val="000000"/>
                <w:sz w:val="18"/>
                <w:lang w:eastAsia="en-AU"/>
              </w:rPr>
              <w:t>%)</w:t>
            </w:r>
          </w:p>
        </w:tc>
      </w:tr>
      <w:tr w:rsidR="00C3649D" w:rsidRPr="00925C4B" w14:paraId="49B82440" w14:textId="77777777" w:rsidTr="00832F07">
        <w:trPr>
          <w:jc w:val="center"/>
        </w:trPr>
        <w:tc>
          <w:tcPr>
            <w:tcW w:w="2660" w:type="dxa"/>
            <w:hideMark/>
          </w:tcPr>
          <w:p w14:paraId="5499A43B"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F12 Asthma </w:t>
            </w:r>
          </w:p>
        </w:tc>
        <w:tc>
          <w:tcPr>
            <w:tcW w:w="1418" w:type="dxa"/>
            <w:hideMark/>
          </w:tcPr>
          <w:p w14:paraId="253E57A2" w14:textId="245B9127" w:rsidR="00C3649D" w:rsidRPr="004E0B45" w:rsidRDefault="00B87020" w:rsidP="0032660B">
            <w:pPr>
              <w:spacing w:after="0"/>
              <w:ind w:left="90" w:right="90"/>
              <w:jc w:val="center"/>
              <w:textAlignment w:val="baseline"/>
              <w:rPr>
                <w:rFonts w:eastAsia="Times New Roman"/>
                <w:color w:val="000000"/>
                <w:sz w:val="18"/>
                <w:lang w:eastAsia="en-AU"/>
              </w:rPr>
            </w:pPr>
            <w:r w:rsidRPr="00B87020">
              <w:rPr>
                <w:rFonts w:eastAsia="Times New Roman"/>
                <w:color w:val="000000"/>
                <w:sz w:val="18"/>
                <w:lang w:eastAsia="en-AU"/>
              </w:rPr>
              <w:t>15 (1.</w:t>
            </w:r>
            <w:r w:rsidR="00C3649D" w:rsidRPr="004E0B45">
              <w:rPr>
                <w:rFonts w:eastAsia="Times New Roman"/>
                <w:color w:val="000000"/>
                <w:sz w:val="18"/>
                <w:lang w:eastAsia="en-AU"/>
              </w:rPr>
              <w:t>0%)</w:t>
            </w:r>
          </w:p>
        </w:tc>
        <w:tc>
          <w:tcPr>
            <w:tcW w:w="1418" w:type="dxa"/>
            <w:hideMark/>
          </w:tcPr>
          <w:p w14:paraId="63B4A06A" w14:textId="0BA5E7DE"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1 (0.7%)</w:t>
            </w:r>
          </w:p>
        </w:tc>
        <w:tc>
          <w:tcPr>
            <w:tcW w:w="1418" w:type="dxa"/>
            <w:hideMark/>
          </w:tcPr>
          <w:p w14:paraId="237AF60D" w14:textId="4972FC80" w:rsidR="00C3649D" w:rsidRPr="004E0B45" w:rsidRDefault="00B87020" w:rsidP="0032660B">
            <w:pPr>
              <w:spacing w:after="0"/>
              <w:ind w:left="90" w:right="90"/>
              <w:jc w:val="center"/>
              <w:textAlignment w:val="baseline"/>
              <w:rPr>
                <w:rFonts w:eastAsia="Times New Roman"/>
                <w:color w:val="000000"/>
                <w:sz w:val="18"/>
                <w:lang w:eastAsia="en-AU"/>
              </w:rPr>
            </w:pPr>
            <w:r w:rsidRPr="00B87020">
              <w:rPr>
                <w:rFonts w:eastAsia="Times New Roman"/>
                <w:color w:val="000000"/>
                <w:sz w:val="18"/>
                <w:lang w:eastAsia="en-AU"/>
              </w:rPr>
              <w:t>3</w:t>
            </w:r>
            <w:r w:rsidR="00C3649D" w:rsidRPr="004E0B45">
              <w:rPr>
                <w:rFonts w:eastAsia="Times New Roman"/>
                <w:color w:val="000000"/>
                <w:sz w:val="18"/>
                <w:lang w:eastAsia="en-AU"/>
              </w:rPr>
              <w:t xml:space="preserve"> (0.</w:t>
            </w:r>
            <w:r w:rsidRPr="00B87020">
              <w:rPr>
                <w:rFonts w:eastAsia="Times New Roman"/>
                <w:color w:val="000000"/>
                <w:sz w:val="18"/>
                <w:lang w:eastAsia="en-AU"/>
              </w:rPr>
              <w:t>4</w:t>
            </w:r>
            <w:r w:rsidR="00C3649D" w:rsidRPr="004E0B45">
              <w:rPr>
                <w:rFonts w:eastAsia="Times New Roman"/>
                <w:color w:val="000000"/>
                <w:sz w:val="18"/>
                <w:lang w:eastAsia="en-AU"/>
              </w:rPr>
              <w:t>%)</w:t>
            </w:r>
          </w:p>
        </w:tc>
        <w:tc>
          <w:tcPr>
            <w:tcW w:w="1418" w:type="dxa"/>
            <w:hideMark/>
          </w:tcPr>
          <w:p w14:paraId="3F3E07A5" w14:textId="4B8E1046"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11 (1.7%)</w:t>
            </w:r>
          </w:p>
        </w:tc>
      </w:tr>
      <w:tr w:rsidR="00C3649D" w:rsidRPr="00925C4B" w14:paraId="5CE9BEF1" w14:textId="77777777" w:rsidTr="00832F07">
        <w:trPr>
          <w:jc w:val="center"/>
        </w:trPr>
        <w:tc>
          <w:tcPr>
            <w:tcW w:w="2660" w:type="dxa"/>
            <w:hideMark/>
          </w:tcPr>
          <w:p w14:paraId="385386E3"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F13 High blood cholesterol </w:t>
            </w:r>
          </w:p>
        </w:tc>
        <w:tc>
          <w:tcPr>
            <w:tcW w:w="1418" w:type="dxa"/>
            <w:hideMark/>
          </w:tcPr>
          <w:p w14:paraId="776A91EC" w14:textId="10DE70D3"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721 (47.1%)</w:t>
            </w:r>
          </w:p>
        </w:tc>
        <w:tc>
          <w:tcPr>
            <w:tcW w:w="1418" w:type="dxa"/>
            <w:hideMark/>
          </w:tcPr>
          <w:p w14:paraId="4E6CF44F" w14:textId="15967EB3"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67 (44.1%)</w:t>
            </w:r>
          </w:p>
        </w:tc>
        <w:tc>
          <w:tcPr>
            <w:tcW w:w="1418" w:type="dxa"/>
            <w:hideMark/>
          </w:tcPr>
          <w:p w14:paraId="44E551FE" w14:textId="65AE8C9F"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375 (50.7%)</w:t>
            </w:r>
          </w:p>
        </w:tc>
        <w:tc>
          <w:tcPr>
            <w:tcW w:w="1418" w:type="dxa"/>
            <w:hideMark/>
          </w:tcPr>
          <w:p w14:paraId="2C874834" w14:textId="12A9124F"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279 (43.6%)</w:t>
            </w:r>
          </w:p>
        </w:tc>
      </w:tr>
      <w:tr w:rsidR="00C3649D" w:rsidRPr="00925C4B" w14:paraId="1F3FB9F6" w14:textId="77777777" w:rsidTr="00832F07">
        <w:trPr>
          <w:jc w:val="center"/>
        </w:trPr>
        <w:tc>
          <w:tcPr>
            <w:tcW w:w="2660" w:type="dxa"/>
            <w:hideMark/>
          </w:tcPr>
          <w:p w14:paraId="0E4F0B68"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F14 Pain </w:t>
            </w:r>
          </w:p>
        </w:tc>
        <w:tc>
          <w:tcPr>
            <w:tcW w:w="1418" w:type="dxa"/>
            <w:hideMark/>
          </w:tcPr>
          <w:p w14:paraId="09753ED2" w14:textId="7D57E177" w:rsidR="00C3649D" w:rsidRPr="004E0B45" w:rsidRDefault="00B87020" w:rsidP="0032660B">
            <w:pPr>
              <w:spacing w:after="0"/>
              <w:ind w:left="90" w:right="90"/>
              <w:jc w:val="center"/>
              <w:textAlignment w:val="baseline"/>
              <w:rPr>
                <w:rFonts w:eastAsia="Times New Roman"/>
                <w:color w:val="000000"/>
                <w:sz w:val="18"/>
                <w:lang w:eastAsia="en-AU"/>
              </w:rPr>
            </w:pPr>
            <w:r w:rsidRPr="00B87020">
              <w:rPr>
                <w:rFonts w:eastAsia="Times New Roman"/>
                <w:color w:val="000000"/>
                <w:sz w:val="18"/>
                <w:lang w:eastAsia="en-AU"/>
              </w:rPr>
              <w:t>338</w:t>
            </w:r>
            <w:r w:rsidR="00C3649D" w:rsidRPr="004E0B45">
              <w:rPr>
                <w:rFonts w:eastAsia="Times New Roman"/>
                <w:color w:val="000000"/>
                <w:sz w:val="18"/>
                <w:lang w:eastAsia="en-AU"/>
              </w:rPr>
              <w:t xml:space="preserve"> (22.</w:t>
            </w:r>
            <w:r w:rsidRPr="00B87020">
              <w:rPr>
                <w:rFonts w:eastAsia="Times New Roman"/>
                <w:color w:val="000000"/>
                <w:sz w:val="18"/>
                <w:lang w:eastAsia="en-AU"/>
              </w:rPr>
              <w:t>1</w:t>
            </w:r>
            <w:r w:rsidR="00C3649D" w:rsidRPr="004E0B45">
              <w:rPr>
                <w:rFonts w:eastAsia="Times New Roman"/>
                <w:color w:val="000000"/>
                <w:sz w:val="18"/>
                <w:lang w:eastAsia="en-AU"/>
              </w:rPr>
              <w:t>%)</w:t>
            </w:r>
          </w:p>
        </w:tc>
        <w:tc>
          <w:tcPr>
            <w:tcW w:w="1418" w:type="dxa"/>
            <w:hideMark/>
          </w:tcPr>
          <w:p w14:paraId="71F7ADF1" w14:textId="33FCF335"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36 (23.7%)</w:t>
            </w:r>
          </w:p>
        </w:tc>
        <w:tc>
          <w:tcPr>
            <w:tcW w:w="1418" w:type="dxa"/>
            <w:hideMark/>
          </w:tcPr>
          <w:p w14:paraId="45D8E478" w14:textId="66998AB0" w:rsidR="00C3649D" w:rsidRPr="004E0B45" w:rsidRDefault="00B87020" w:rsidP="0032660B">
            <w:pPr>
              <w:spacing w:after="0"/>
              <w:ind w:left="90" w:right="90"/>
              <w:jc w:val="center"/>
              <w:textAlignment w:val="baseline"/>
              <w:rPr>
                <w:rFonts w:eastAsia="Times New Roman"/>
                <w:color w:val="000000"/>
                <w:sz w:val="18"/>
                <w:lang w:eastAsia="en-AU"/>
              </w:rPr>
            </w:pPr>
            <w:r w:rsidRPr="00B87020">
              <w:rPr>
                <w:rFonts w:eastAsia="Times New Roman"/>
                <w:color w:val="000000"/>
                <w:sz w:val="18"/>
                <w:lang w:eastAsia="en-AU"/>
              </w:rPr>
              <w:t>164</w:t>
            </w:r>
            <w:r w:rsidR="00C3649D" w:rsidRPr="004E0B45">
              <w:rPr>
                <w:rFonts w:eastAsia="Times New Roman"/>
                <w:color w:val="000000"/>
                <w:sz w:val="18"/>
                <w:lang w:eastAsia="en-AU"/>
              </w:rPr>
              <w:t xml:space="preserve"> (22.</w:t>
            </w:r>
            <w:r w:rsidRPr="00B87020">
              <w:rPr>
                <w:rFonts w:eastAsia="Times New Roman"/>
                <w:color w:val="000000"/>
                <w:sz w:val="18"/>
                <w:lang w:eastAsia="en-AU"/>
              </w:rPr>
              <w:t>2</w:t>
            </w:r>
            <w:r w:rsidR="00C3649D" w:rsidRPr="004E0B45">
              <w:rPr>
                <w:rFonts w:eastAsia="Times New Roman"/>
                <w:color w:val="000000"/>
                <w:sz w:val="18"/>
                <w:lang w:eastAsia="en-AU"/>
              </w:rPr>
              <w:t>%)</w:t>
            </w:r>
          </w:p>
        </w:tc>
        <w:tc>
          <w:tcPr>
            <w:tcW w:w="1418" w:type="dxa"/>
            <w:hideMark/>
          </w:tcPr>
          <w:p w14:paraId="2CC1BB6B" w14:textId="2FAAD547"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138 (21.6%)</w:t>
            </w:r>
          </w:p>
        </w:tc>
      </w:tr>
      <w:tr w:rsidR="00C3649D" w:rsidRPr="00925C4B" w14:paraId="1494DBF3" w14:textId="77777777" w:rsidTr="00832F07">
        <w:trPr>
          <w:jc w:val="center"/>
        </w:trPr>
        <w:tc>
          <w:tcPr>
            <w:tcW w:w="2660" w:type="dxa"/>
            <w:hideMark/>
          </w:tcPr>
          <w:p w14:paraId="6ACDCDC8"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F15 Digestive </w:t>
            </w:r>
          </w:p>
        </w:tc>
        <w:tc>
          <w:tcPr>
            <w:tcW w:w="1418" w:type="dxa"/>
            <w:hideMark/>
          </w:tcPr>
          <w:p w14:paraId="745C736E" w14:textId="652AEF34"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315 (20.6%)</w:t>
            </w:r>
          </w:p>
        </w:tc>
        <w:tc>
          <w:tcPr>
            <w:tcW w:w="1418" w:type="dxa"/>
            <w:hideMark/>
          </w:tcPr>
          <w:p w14:paraId="19C533E1" w14:textId="7905BA9B"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44 (28.9%)</w:t>
            </w:r>
          </w:p>
        </w:tc>
        <w:tc>
          <w:tcPr>
            <w:tcW w:w="1418" w:type="dxa"/>
            <w:hideMark/>
          </w:tcPr>
          <w:p w14:paraId="3D640E63" w14:textId="5AB15233"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175 (23.7%)</w:t>
            </w:r>
          </w:p>
        </w:tc>
        <w:tc>
          <w:tcPr>
            <w:tcW w:w="1418" w:type="dxa"/>
            <w:hideMark/>
          </w:tcPr>
          <w:p w14:paraId="4288C907" w14:textId="4A73FF44"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96 (15.0%)</w:t>
            </w:r>
          </w:p>
        </w:tc>
      </w:tr>
      <w:tr w:rsidR="00C3649D" w:rsidRPr="00925C4B" w14:paraId="04D50500" w14:textId="77777777" w:rsidTr="00832F07">
        <w:trPr>
          <w:jc w:val="center"/>
        </w:trPr>
        <w:tc>
          <w:tcPr>
            <w:tcW w:w="2660" w:type="dxa"/>
            <w:hideMark/>
          </w:tcPr>
          <w:p w14:paraId="2DC6BAEA"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F16 Kidney disease </w:t>
            </w:r>
          </w:p>
        </w:tc>
        <w:tc>
          <w:tcPr>
            <w:tcW w:w="1418" w:type="dxa"/>
            <w:hideMark/>
          </w:tcPr>
          <w:p w14:paraId="3BFD8158" w14:textId="38B12F64"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173 (11.3%)</w:t>
            </w:r>
          </w:p>
        </w:tc>
        <w:tc>
          <w:tcPr>
            <w:tcW w:w="1418" w:type="dxa"/>
            <w:hideMark/>
          </w:tcPr>
          <w:p w14:paraId="0757DAC0" w14:textId="7918700D"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5 (3.3%)</w:t>
            </w:r>
          </w:p>
        </w:tc>
        <w:tc>
          <w:tcPr>
            <w:tcW w:w="1418" w:type="dxa"/>
            <w:hideMark/>
          </w:tcPr>
          <w:p w14:paraId="506F99B1" w14:textId="5328A0E3"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65 (8.8%)</w:t>
            </w:r>
          </w:p>
        </w:tc>
        <w:tc>
          <w:tcPr>
            <w:tcW w:w="1418" w:type="dxa"/>
            <w:hideMark/>
          </w:tcPr>
          <w:p w14:paraId="64680001" w14:textId="1ACAD47B"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103 (16.1%)</w:t>
            </w:r>
          </w:p>
        </w:tc>
      </w:tr>
      <w:tr w:rsidR="00C3649D" w:rsidRPr="00925C4B" w14:paraId="084AA77E" w14:textId="77777777" w:rsidTr="00832F07">
        <w:trPr>
          <w:jc w:val="center"/>
        </w:trPr>
        <w:tc>
          <w:tcPr>
            <w:tcW w:w="2660" w:type="dxa"/>
            <w:hideMark/>
          </w:tcPr>
          <w:p w14:paraId="7B2D9448"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F17 Respiratory </w:t>
            </w:r>
          </w:p>
        </w:tc>
        <w:tc>
          <w:tcPr>
            <w:tcW w:w="1418" w:type="dxa"/>
            <w:hideMark/>
          </w:tcPr>
          <w:p w14:paraId="1E9E92B5" w14:textId="0C9C71BF" w:rsidR="00C3649D" w:rsidRPr="004E0B45" w:rsidRDefault="00B87020" w:rsidP="0032660B">
            <w:pPr>
              <w:spacing w:after="0"/>
              <w:ind w:left="90" w:right="90"/>
              <w:jc w:val="center"/>
              <w:textAlignment w:val="baseline"/>
              <w:rPr>
                <w:rFonts w:eastAsia="Times New Roman"/>
                <w:color w:val="000000"/>
                <w:sz w:val="18"/>
                <w:lang w:eastAsia="en-AU"/>
              </w:rPr>
            </w:pPr>
            <w:r w:rsidRPr="00B87020">
              <w:rPr>
                <w:rFonts w:eastAsia="Times New Roman"/>
                <w:color w:val="000000"/>
                <w:sz w:val="18"/>
                <w:lang w:eastAsia="en-AU"/>
              </w:rPr>
              <w:t>452</w:t>
            </w:r>
            <w:r w:rsidR="00C3649D" w:rsidRPr="004E0B45">
              <w:rPr>
                <w:rFonts w:eastAsia="Times New Roman"/>
                <w:color w:val="000000"/>
                <w:sz w:val="18"/>
                <w:lang w:eastAsia="en-AU"/>
              </w:rPr>
              <w:t xml:space="preserve"> (29.5%)</w:t>
            </w:r>
          </w:p>
        </w:tc>
        <w:tc>
          <w:tcPr>
            <w:tcW w:w="1418" w:type="dxa"/>
            <w:hideMark/>
          </w:tcPr>
          <w:p w14:paraId="446EE9AB" w14:textId="4F5101F5"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28 (18.4%)</w:t>
            </w:r>
          </w:p>
        </w:tc>
        <w:tc>
          <w:tcPr>
            <w:tcW w:w="1418" w:type="dxa"/>
            <w:hideMark/>
          </w:tcPr>
          <w:p w14:paraId="6E071CA3" w14:textId="2D7A6B66" w:rsidR="00C3649D" w:rsidRPr="004E0B45" w:rsidRDefault="00B87020" w:rsidP="0032660B">
            <w:pPr>
              <w:spacing w:after="0"/>
              <w:ind w:left="90" w:right="90"/>
              <w:jc w:val="center"/>
              <w:textAlignment w:val="baseline"/>
              <w:rPr>
                <w:rFonts w:eastAsia="Times New Roman"/>
                <w:color w:val="000000"/>
                <w:sz w:val="18"/>
                <w:lang w:eastAsia="en-AU"/>
              </w:rPr>
            </w:pPr>
            <w:r w:rsidRPr="00B87020">
              <w:rPr>
                <w:rFonts w:eastAsia="Times New Roman"/>
                <w:color w:val="000000"/>
                <w:sz w:val="18"/>
                <w:lang w:eastAsia="en-AU"/>
              </w:rPr>
              <w:t>233</w:t>
            </w:r>
            <w:r w:rsidR="00C3649D" w:rsidRPr="004E0B45">
              <w:rPr>
                <w:rFonts w:eastAsia="Times New Roman"/>
                <w:color w:val="000000"/>
                <w:sz w:val="18"/>
                <w:lang w:eastAsia="en-AU"/>
              </w:rPr>
              <w:t xml:space="preserve"> (31.</w:t>
            </w:r>
            <w:r w:rsidRPr="00B87020">
              <w:rPr>
                <w:rFonts w:eastAsia="Times New Roman"/>
                <w:color w:val="000000"/>
                <w:sz w:val="18"/>
                <w:lang w:eastAsia="en-AU"/>
              </w:rPr>
              <w:t>5</w:t>
            </w:r>
            <w:r w:rsidR="00C3649D" w:rsidRPr="004E0B45">
              <w:rPr>
                <w:rFonts w:eastAsia="Times New Roman"/>
                <w:color w:val="000000"/>
                <w:sz w:val="18"/>
                <w:lang w:eastAsia="en-AU"/>
              </w:rPr>
              <w:t>%)</w:t>
            </w:r>
          </w:p>
        </w:tc>
        <w:tc>
          <w:tcPr>
            <w:tcW w:w="1418" w:type="dxa"/>
            <w:hideMark/>
          </w:tcPr>
          <w:p w14:paraId="21E2790D" w14:textId="086EAF75" w:rsidR="00C3649D" w:rsidRPr="004E0B45" w:rsidRDefault="00C3649D" w:rsidP="0032660B">
            <w:pPr>
              <w:spacing w:after="0"/>
              <w:ind w:left="90" w:right="90"/>
              <w:jc w:val="center"/>
              <w:textAlignment w:val="baseline"/>
              <w:rPr>
                <w:rFonts w:eastAsia="Times New Roman"/>
                <w:color w:val="000000"/>
                <w:sz w:val="18"/>
                <w:lang w:eastAsia="en-AU"/>
              </w:rPr>
            </w:pPr>
            <w:r w:rsidRPr="004E0B45">
              <w:rPr>
                <w:rFonts w:eastAsia="Times New Roman"/>
                <w:color w:val="000000"/>
                <w:sz w:val="18"/>
                <w:lang w:eastAsia="en-AU"/>
              </w:rPr>
              <w:t>191 (29.8%)</w:t>
            </w:r>
          </w:p>
        </w:tc>
      </w:tr>
      <w:tr w:rsidR="00C3649D" w:rsidRPr="00925C4B" w14:paraId="37FFB9B5" w14:textId="77777777" w:rsidTr="00832F07">
        <w:trPr>
          <w:jc w:val="center"/>
        </w:trPr>
        <w:tc>
          <w:tcPr>
            <w:tcW w:w="2660" w:type="dxa"/>
            <w:hideMark/>
          </w:tcPr>
          <w:p w14:paraId="33082FFE" w14:textId="77777777" w:rsidR="00C3649D" w:rsidRPr="00925C4B" w:rsidRDefault="00C3649D" w:rsidP="0032660B">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lang w:eastAsia="en-AU"/>
              </w:rPr>
              <w:t>F18 Other conditions </w:t>
            </w:r>
          </w:p>
        </w:tc>
        <w:tc>
          <w:tcPr>
            <w:tcW w:w="1418" w:type="dxa"/>
            <w:hideMark/>
          </w:tcPr>
          <w:p w14:paraId="5C25E4FC" w14:textId="5C06E274" w:rsidR="00C3649D" w:rsidRPr="00B87020" w:rsidRDefault="00B87020" w:rsidP="0032660B">
            <w:pPr>
              <w:spacing w:after="0"/>
              <w:ind w:left="90" w:right="90"/>
              <w:jc w:val="center"/>
              <w:textAlignment w:val="baseline"/>
              <w:rPr>
                <w:rFonts w:eastAsia="Times New Roman"/>
                <w:color w:val="000000"/>
                <w:sz w:val="18"/>
                <w:lang w:eastAsia="en-AU"/>
              </w:rPr>
            </w:pPr>
            <w:r w:rsidRPr="00B87020">
              <w:rPr>
                <w:rFonts w:eastAsia="Times New Roman"/>
                <w:color w:val="000000"/>
                <w:sz w:val="18"/>
                <w:lang w:eastAsia="en-AU"/>
              </w:rPr>
              <w:t>792 (51.7%)</w:t>
            </w:r>
          </w:p>
        </w:tc>
        <w:tc>
          <w:tcPr>
            <w:tcW w:w="1418" w:type="dxa"/>
            <w:hideMark/>
          </w:tcPr>
          <w:p w14:paraId="34CE7CDA" w14:textId="6892B470" w:rsidR="00C3649D" w:rsidRPr="00B87020" w:rsidRDefault="00B87020" w:rsidP="0032660B">
            <w:pPr>
              <w:spacing w:after="0"/>
              <w:ind w:left="90" w:right="90"/>
              <w:jc w:val="center"/>
              <w:textAlignment w:val="baseline"/>
              <w:rPr>
                <w:rFonts w:eastAsia="Times New Roman"/>
                <w:color w:val="000000"/>
                <w:sz w:val="18"/>
                <w:lang w:eastAsia="en-AU"/>
              </w:rPr>
            </w:pPr>
            <w:r w:rsidRPr="00B87020">
              <w:rPr>
                <w:rFonts w:eastAsia="Times New Roman"/>
                <w:color w:val="000000"/>
                <w:sz w:val="18"/>
                <w:lang w:eastAsia="en-AU"/>
              </w:rPr>
              <w:t>68 (44.7%)</w:t>
            </w:r>
          </w:p>
        </w:tc>
        <w:tc>
          <w:tcPr>
            <w:tcW w:w="1418" w:type="dxa"/>
            <w:hideMark/>
          </w:tcPr>
          <w:p w14:paraId="709880D9" w14:textId="12406C7E" w:rsidR="00C3649D" w:rsidRPr="00B87020" w:rsidRDefault="00B87020" w:rsidP="0032660B">
            <w:pPr>
              <w:spacing w:after="0"/>
              <w:ind w:left="90" w:right="90"/>
              <w:jc w:val="center"/>
              <w:textAlignment w:val="baseline"/>
              <w:rPr>
                <w:rFonts w:eastAsia="Times New Roman"/>
                <w:color w:val="000000"/>
                <w:sz w:val="18"/>
                <w:lang w:eastAsia="en-AU"/>
              </w:rPr>
            </w:pPr>
            <w:r w:rsidRPr="00B87020">
              <w:rPr>
                <w:rFonts w:eastAsia="Times New Roman"/>
                <w:color w:val="000000"/>
                <w:sz w:val="18"/>
                <w:lang w:eastAsia="en-AU"/>
              </w:rPr>
              <w:t>351 (47</w:t>
            </w:r>
            <w:r w:rsidR="00C3649D" w:rsidRPr="00B87020">
              <w:rPr>
                <w:rFonts w:eastAsia="Times New Roman"/>
                <w:color w:val="000000"/>
                <w:sz w:val="18"/>
                <w:lang w:eastAsia="en-AU"/>
              </w:rPr>
              <w:t>.5%)</w:t>
            </w:r>
          </w:p>
        </w:tc>
        <w:tc>
          <w:tcPr>
            <w:tcW w:w="1418" w:type="dxa"/>
            <w:hideMark/>
          </w:tcPr>
          <w:p w14:paraId="2593F3E1" w14:textId="1EFB4A8B" w:rsidR="00C3649D" w:rsidRPr="00B87020" w:rsidRDefault="00B87020" w:rsidP="0032660B">
            <w:pPr>
              <w:spacing w:after="0"/>
              <w:ind w:left="90" w:right="90"/>
              <w:jc w:val="center"/>
              <w:textAlignment w:val="baseline"/>
              <w:rPr>
                <w:rFonts w:eastAsia="Times New Roman"/>
                <w:color w:val="000000"/>
                <w:sz w:val="18"/>
                <w:lang w:eastAsia="en-AU"/>
              </w:rPr>
            </w:pPr>
            <w:r w:rsidRPr="00B87020">
              <w:rPr>
                <w:rFonts w:eastAsia="Times New Roman"/>
                <w:color w:val="000000"/>
                <w:sz w:val="18"/>
                <w:lang w:eastAsia="en-AU"/>
              </w:rPr>
              <w:t>373 (58.3%)</w:t>
            </w:r>
          </w:p>
        </w:tc>
      </w:tr>
    </w:tbl>
    <w:p w14:paraId="68842CB8" w14:textId="266CC862" w:rsidR="00C3649D" w:rsidRDefault="00C3649D" w:rsidP="00C3649D">
      <w:pPr>
        <w:pStyle w:val="Chartortablefootnote"/>
        <w:rPr>
          <w:lang w:eastAsia="en-AU"/>
        </w:rPr>
      </w:pPr>
      <w:r w:rsidRPr="0036194D">
        <w:rPr>
          <w:lang w:eastAsia="en-AU"/>
        </w:rPr>
        <w:t>Source: Health Outcomes data set provided by the Pharmacy Guild, to 30 June 202</w:t>
      </w:r>
      <w:r>
        <w:rPr>
          <w:lang w:eastAsia="en-AU"/>
        </w:rPr>
        <w:t>1</w:t>
      </w:r>
      <w:r w:rsidRPr="0036194D">
        <w:rPr>
          <w:lang w:eastAsia="en-AU"/>
        </w:rPr>
        <w:t>. </w:t>
      </w:r>
    </w:p>
    <w:p w14:paraId="4DB667A2" w14:textId="77777777" w:rsidR="000278AA" w:rsidRDefault="000278AA" w:rsidP="000278AA">
      <w:pPr>
        <w:pStyle w:val="Heading2"/>
      </w:pPr>
      <w:bookmarkStart w:id="453" w:name="_Toc109996758"/>
      <w:r w:rsidRPr="00F71DF5">
        <w:t>Patient follow-up</w:t>
      </w:r>
      <w:bookmarkEnd w:id="453"/>
      <w:r w:rsidRPr="00F71DF5">
        <w:t xml:space="preserve"> </w:t>
      </w:r>
    </w:p>
    <w:p w14:paraId="69B28BC3" w14:textId="2B2EB424" w:rsidR="000278AA" w:rsidRDefault="0023127D" w:rsidP="000278AA">
      <w:pPr>
        <w:rPr>
          <w:szCs w:val="20"/>
        </w:rPr>
      </w:pPr>
      <w:r>
        <w:rPr>
          <w:szCs w:val="20"/>
        </w:rPr>
        <w:t xml:space="preserve">Following the initial consultation, patients were entitled to </w:t>
      </w:r>
      <w:r w:rsidR="00645AA3">
        <w:rPr>
          <w:szCs w:val="20"/>
        </w:rPr>
        <w:t>three follow-up reviews</w:t>
      </w:r>
      <w:r w:rsidR="00C95576">
        <w:rPr>
          <w:szCs w:val="20"/>
        </w:rPr>
        <w:t>, except for</w:t>
      </w:r>
      <w:r w:rsidR="00645AA3">
        <w:rPr>
          <w:szCs w:val="20"/>
        </w:rPr>
        <w:t xml:space="preserve"> p</w:t>
      </w:r>
      <w:r w:rsidR="00426336" w:rsidRPr="00426336">
        <w:rPr>
          <w:szCs w:val="20"/>
        </w:rPr>
        <w:t xml:space="preserve">atients who received </w:t>
      </w:r>
      <w:r w:rsidR="00645AA3">
        <w:rPr>
          <w:szCs w:val="20"/>
        </w:rPr>
        <w:t>a</w:t>
      </w:r>
      <w:r w:rsidR="00426336" w:rsidRPr="00426336">
        <w:rPr>
          <w:szCs w:val="20"/>
        </w:rPr>
        <w:t xml:space="preserve"> service before 1 July 2019</w:t>
      </w:r>
      <w:r w:rsidR="00C95576">
        <w:rPr>
          <w:szCs w:val="20"/>
        </w:rPr>
        <w:t>, who</w:t>
      </w:r>
      <w:r w:rsidR="00426336" w:rsidRPr="00426336">
        <w:rPr>
          <w:szCs w:val="20"/>
        </w:rPr>
        <w:t xml:space="preserve"> were eligible for a fourth review to reflect their longer participation in the trial. </w:t>
      </w:r>
      <w:r w:rsidR="000278AA">
        <w:rPr>
          <w:szCs w:val="20"/>
        </w:rPr>
        <w:t>Just over half of the patients with an initial consultation had at least one follow-up review (</w:t>
      </w:r>
      <w:r w:rsidR="000278AA" w:rsidRPr="00475C32">
        <w:rPr>
          <w:rFonts w:eastAsia="Calibri" w:cs="Times New Roman"/>
          <w:color w:val="1D2455"/>
          <w:szCs w:val="16"/>
        </w:rPr>
        <w:fldChar w:fldCharType="begin"/>
      </w:r>
      <w:r w:rsidR="000278AA" w:rsidRPr="00034863">
        <w:rPr>
          <w:b/>
          <w:szCs w:val="20"/>
        </w:rPr>
        <w:instrText xml:space="preserve"> REF _Ref85465500 \h </w:instrText>
      </w:r>
      <w:r w:rsidR="00034863">
        <w:rPr>
          <w:b/>
          <w:szCs w:val="20"/>
        </w:rPr>
        <w:instrText xml:space="preserve"> \* MERGEFORMAT </w:instrText>
      </w:r>
      <w:r w:rsidR="000278AA" w:rsidRPr="00475C32">
        <w:rPr>
          <w:rFonts w:eastAsia="Calibri" w:cs="Times New Roman"/>
          <w:color w:val="1D2455"/>
          <w:szCs w:val="16"/>
        </w:rPr>
      </w:r>
      <w:r w:rsidR="000278AA" w:rsidRPr="00475C32">
        <w:rPr>
          <w:rFonts w:eastAsia="Calibri" w:cs="Times New Roman"/>
          <w:color w:val="1D2455"/>
          <w:szCs w:val="16"/>
        </w:rPr>
        <w:fldChar w:fldCharType="separate"/>
      </w:r>
      <w:r w:rsidR="003C4BC2" w:rsidRPr="003C4BC2">
        <w:rPr>
          <w:rFonts w:eastAsia="Calibri" w:cs="Times New Roman"/>
          <w:color w:val="1D2455"/>
          <w:szCs w:val="16"/>
        </w:rPr>
        <w:t>Table 61</w:t>
      </w:r>
      <w:r w:rsidR="000278AA" w:rsidRPr="00475C32">
        <w:rPr>
          <w:rFonts w:eastAsia="Calibri" w:cs="Times New Roman"/>
          <w:color w:val="1D2455"/>
          <w:szCs w:val="16"/>
        </w:rPr>
        <w:fldChar w:fldCharType="end"/>
      </w:r>
      <w:r w:rsidR="000278AA">
        <w:rPr>
          <w:szCs w:val="20"/>
        </w:rPr>
        <w:t>).</w:t>
      </w:r>
    </w:p>
    <w:p w14:paraId="01A8B6D9" w14:textId="056D78EC" w:rsidR="000278AA" w:rsidRPr="000C3FBF" w:rsidRDefault="000278AA" w:rsidP="000278AA">
      <w:pPr>
        <w:pStyle w:val="tabletitle"/>
      </w:pPr>
      <w:bookmarkStart w:id="454" w:name="_Ref85465500"/>
      <w:r w:rsidRPr="00AE3B66">
        <w:t>Table </w:t>
      </w:r>
      <w:r w:rsidR="00A61B29">
        <w:fldChar w:fldCharType="begin"/>
      </w:r>
      <w:r w:rsidR="00A61B29">
        <w:instrText xml:space="preserve"> SEQ Table\* ARABIC </w:instrText>
      </w:r>
      <w:r w:rsidR="00A61B29">
        <w:fldChar w:fldCharType="separate"/>
      </w:r>
      <w:r w:rsidR="003C4BC2">
        <w:rPr>
          <w:noProof/>
        </w:rPr>
        <w:t>61</w:t>
      </w:r>
      <w:r w:rsidR="00A61B29">
        <w:rPr>
          <w:noProof/>
        </w:rPr>
        <w:fldChar w:fldCharType="end"/>
      </w:r>
      <w:bookmarkEnd w:id="454"/>
      <w:r w:rsidRPr="00AE3B66">
        <w:t xml:space="preserve">: </w:t>
      </w:r>
      <w:r w:rsidR="00F751BA">
        <w:t>F</w:t>
      </w:r>
      <w:r>
        <w:t>ollow-up of patients</w:t>
      </w:r>
      <w:r w:rsidRPr="000C3FBF">
        <w:t> </w:t>
      </w:r>
    </w:p>
    <w:tbl>
      <w:tblPr>
        <w:tblW w:w="0" w:type="auto"/>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2214"/>
        <w:gridCol w:w="1839"/>
        <w:gridCol w:w="2589"/>
      </w:tblGrid>
      <w:tr w:rsidR="00832F07" w:rsidRPr="00832F07" w14:paraId="03A952FE" w14:textId="77777777" w:rsidTr="00832F07">
        <w:trPr>
          <w:trHeight w:val="310"/>
          <w:jc w:val="center"/>
        </w:trPr>
        <w:tc>
          <w:tcPr>
            <w:tcW w:w="2214" w:type="dxa"/>
            <w:shd w:val="clear" w:color="auto" w:fill="408BCA"/>
            <w:noWrap/>
            <w:vAlign w:val="center"/>
          </w:tcPr>
          <w:p w14:paraId="407B51BD" w14:textId="77777777" w:rsidR="000278AA" w:rsidRPr="00832F07" w:rsidRDefault="000278AA" w:rsidP="00832F07">
            <w:pPr>
              <w:spacing w:after="0"/>
              <w:jc w:val="center"/>
              <w:rPr>
                <w:b/>
                <w:bCs/>
                <w:color w:val="FFFFFF" w:themeColor="background1"/>
                <w:sz w:val="18"/>
                <w:szCs w:val="18"/>
              </w:rPr>
            </w:pPr>
            <w:r w:rsidRPr="00832F07">
              <w:rPr>
                <w:b/>
                <w:bCs/>
                <w:color w:val="FFFFFF" w:themeColor="background1"/>
                <w:sz w:val="18"/>
                <w:szCs w:val="18"/>
              </w:rPr>
              <w:t>Consultation</w:t>
            </w:r>
          </w:p>
        </w:tc>
        <w:tc>
          <w:tcPr>
            <w:tcW w:w="1839" w:type="dxa"/>
            <w:shd w:val="clear" w:color="auto" w:fill="408BCA"/>
            <w:noWrap/>
            <w:vAlign w:val="center"/>
          </w:tcPr>
          <w:p w14:paraId="55FB8E43" w14:textId="77777777" w:rsidR="000278AA" w:rsidRPr="00832F07" w:rsidRDefault="000278AA" w:rsidP="00832F07">
            <w:pPr>
              <w:spacing w:after="0"/>
              <w:jc w:val="center"/>
              <w:rPr>
                <w:b/>
                <w:bCs/>
                <w:color w:val="FFFFFF" w:themeColor="background1"/>
                <w:sz w:val="18"/>
                <w:szCs w:val="18"/>
              </w:rPr>
            </w:pPr>
            <w:r w:rsidRPr="00832F07">
              <w:rPr>
                <w:b/>
                <w:bCs/>
                <w:color w:val="FFFFFF" w:themeColor="background1"/>
                <w:sz w:val="18"/>
                <w:szCs w:val="18"/>
              </w:rPr>
              <w:t>No. of patients</w:t>
            </w:r>
          </w:p>
        </w:tc>
        <w:tc>
          <w:tcPr>
            <w:tcW w:w="2589" w:type="dxa"/>
            <w:shd w:val="clear" w:color="auto" w:fill="408BCA"/>
            <w:noWrap/>
            <w:vAlign w:val="center"/>
          </w:tcPr>
          <w:p w14:paraId="2E8D7409" w14:textId="77777777" w:rsidR="000278AA" w:rsidRPr="00832F07" w:rsidRDefault="000278AA" w:rsidP="00832F07">
            <w:pPr>
              <w:spacing w:after="0"/>
              <w:jc w:val="center"/>
              <w:rPr>
                <w:b/>
                <w:bCs/>
                <w:color w:val="FFFFFF" w:themeColor="background1"/>
                <w:sz w:val="18"/>
                <w:szCs w:val="18"/>
              </w:rPr>
            </w:pPr>
            <w:r w:rsidRPr="00832F07">
              <w:rPr>
                <w:b/>
                <w:bCs/>
                <w:color w:val="FFFFFF" w:themeColor="background1"/>
                <w:sz w:val="18"/>
                <w:szCs w:val="18"/>
              </w:rPr>
              <w:t>% of patients followed up from previous consultation</w:t>
            </w:r>
          </w:p>
        </w:tc>
      </w:tr>
      <w:tr w:rsidR="000278AA" w:rsidRPr="00944DAD" w14:paraId="64926B43" w14:textId="77777777" w:rsidTr="00832F07">
        <w:trPr>
          <w:trHeight w:val="310"/>
          <w:jc w:val="center"/>
        </w:trPr>
        <w:tc>
          <w:tcPr>
            <w:tcW w:w="2214" w:type="dxa"/>
            <w:noWrap/>
            <w:hideMark/>
          </w:tcPr>
          <w:p w14:paraId="11E185F6" w14:textId="77777777" w:rsidR="000278AA" w:rsidRPr="00944DAD" w:rsidRDefault="000278AA" w:rsidP="0032660B">
            <w:pPr>
              <w:spacing w:after="0"/>
              <w:rPr>
                <w:sz w:val="18"/>
                <w:szCs w:val="18"/>
              </w:rPr>
            </w:pPr>
            <w:r w:rsidRPr="00944DAD">
              <w:rPr>
                <w:sz w:val="18"/>
                <w:szCs w:val="18"/>
              </w:rPr>
              <w:t xml:space="preserve">Initial </w:t>
            </w:r>
          </w:p>
        </w:tc>
        <w:tc>
          <w:tcPr>
            <w:tcW w:w="1839" w:type="dxa"/>
            <w:noWrap/>
            <w:hideMark/>
          </w:tcPr>
          <w:p w14:paraId="13DCDDE0" w14:textId="77777777" w:rsidR="000278AA" w:rsidRPr="00944DAD" w:rsidRDefault="000278AA" w:rsidP="0032660B">
            <w:pPr>
              <w:spacing w:after="0"/>
              <w:jc w:val="right"/>
              <w:rPr>
                <w:sz w:val="18"/>
                <w:szCs w:val="18"/>
              </w:rPr>
            </w:pPr>
            <w:r w:rsidRPr="00944DAD">
              <w:rPr>
                <w:sz w:val="18"/>
                <w:szCs w:val="18"/>
              </w:rPr>
              <w:t>1</w:t>
            </w:r>
            <w:r>
              <w:rPr>
                <w:sz w:val="18"/>
                <w:szCs w:val="18"/>
              </w:rPr>
              <w:t>,</w:t>
            </w:r>
            <w:r w:rsidRPr="00944DAD">
              <w:rPr>
                <w:sz w:val="18"/>
                <w:szCs w:val="18"/>
              </w:rPr>
              <w:t>531</w:t>
            </w:r>
          </w:p>
        </w:tc>
        <w:tc>
          <w:tcPr>
            <w:tcW w:w="2589" w:type="dxa"/>
            <w:noWrap/>
            <w:hideMark/>
          </w:tcPr>
          <w:p w14:paraId="1B3893FF" w14:textId="77777777" w:rsidR="000278AA" w:rsidRPr="00944DAD" w:rsidRDefault="000278AA" w:rsidP="0032660B">
            <w:pPr>
              <w:spacing w:after="0"/>
              <w:jc w:val="right"/>
              <w:rPr>
                <w:sz w:val="18"/>
                <w:szCs w:val="18"/>
              </w:rPr>
            </w:pPr>
          </w:p>
        </w:tc>
      </w:tr>
      <w:tr w:rsidR="000278AA" w:rsidRPr="00944DAD" w14:paraId="0DD0CE28" w14:textId="77777777" w:rsidTr="00832F07">
        <w:trPr>
          <w:trHeight w:val="310"/>
          <w:jc w:val="center"/>
        </w:trPr>
        <w:tc>
          <w:tcPr>
            <w:tcW w:w="2214" w:type="dxa"/>
            <w:noWrap/>
            <w:hideMark/>
          </w:tcPr>
          <w:p w14:paraId="6029CA12" w14:textId="77777777" w:rsidR="000278AA" w:rsidRPr="00944DAD" w:rsidRDefault="000278AA" w:rsidP="0032660B">
            <w:pPr>
              <w:spacing w:after="0"/>
              <w:rPr>
                <w:sz w:val="18"/>
                <w:szCs w:val="18"/>
              </w:rPr>
            </w:pPr>
            <w:r w:rsidRPr="00944DAD">
              <w:rPr>
                <w:sz w:val="18"/>
                <w:szCs w:val="18"/>
              </w:rPr>
              <w:t>1</w:t>
            </w:r>
            <w:r w:rsidRPr="00944DAD">
              <w:rPr>
                <w:sz w:val="18"/>
                <w:szCs w:val="18"/>
                <w:vertAlign w:val="superscript"/>
              </w:rPr>
              <w:t>st</w:t>
            </w:r>
            <w:r>
              <w:rPr>
                <w:sz w:val="18"/>
                <w:szCs w:val="18"/>
              </w:rPr>
              <w:t xml:space="preserve"> review</w:t>
            </w:r>
          </w:p>
        </w:tc>
        <w:tc>
          <w:tcPr>
            <w:tcW w:w="1839" w:type="dxa"/>
            <w:noWrap/>
            <w:hideMark/>
          </w:tcPr>
          <w:p w14:paraId="3E3A017C" w14:textId="77777777" w:rsidR="000278AA" w:rsidRPr="00944DAD" w:rsidRDefault="000278AA" w:rsidP="0032660B">
            <w:pPr>
              <w:spacing w:after="0"/>
              <w:jc w:val="right"/>
              <w:rPr>
                <w:sz w:val="18"/>
                <w:szCs w:val="18"/>
              </w:rPr>
            </w:pPr>
            <w:r w:rsidRPr="00944DAD">
              <w:rPr>
                <w:sz w:val="18"/>
                <w:szCs w:val="18"/>
              </w:rPr>
              <w:t>845</w:t>
            </w:r>
          </w:p>
        </w:tc>
        <w:tc>
          <w:tcPr>
            <w:tcW w:w="2589" w:type="dxa"/>
            <w:noWrap/>
            <w:hideMark/>
          </w:tcPr>
          <w:p w14:paraId="5257CFEE" w14:textId="77777777" w:rsidR="000278AA" w:rsidRPr="00944DAD" w:rsidRDefault="000278AA" w:rsidP="0032660B">
            <w:pPr>
              <w:spacing w:after="0"/>
              <w:jc w:val="right"/>
              <w:rPr>
                <w:sz w:val="18"/>
                <w:szCs w:val="18"/>
              </w:rPr>
            </w:pPr>
            <w:r w:rsidRPr="00944DAD">
              <w:rPr>
                <w:sz w:val="18"/>
                <w:szCs w:val="18"/>
              </w:rPr>
              <w:t>55%</w:t>
            </w:r>
          </w:p>
        </w:tc>
      </w:tr>
      <w:tr w:rsidR="000278AA" w:rsidRPr="00944DAD" w14:paraId="0F3A872F" w14:textId="77777777" w:rsidTr="00832F07">
        <w:trPr>
          <w:trHeight w:val="310"/>
          <w:jc w:val="center"/>
        </w:trPr>
        <w:tc>
          <w:tcPr>
            <w:tcW w:w="2214" w:type="dxa"/>
            <w:noWrap/>
            <w:hideMark/>
          </w:tcPr>
          <w:p w14:paraId="1E818F34" w14:textId="77777777" w:rsidR="000278AA" w:rsidRPr="00944DAD" w:rsidRDefault="000278AA" w:rsidP="0032660B">
            <w:pPr>
              <w:spacing w:after="0"/>
              <w:rPr>
                <w:sz w:val="18"/>
                <w:szCs w:val="18"/>
              </w:rPr>
            </w:pPr>
            <w:r w:rsidRPr="00944DAD">
              <w:rPr>
                <w:sz w:val="18"/>
                <w:szCs w:val="18"/>
              </w:rPr>
              <w:t>2</w:t>
            </w:r>
            <w:r w:rsidRPr="00944DAD">
              <w:rPr>
                <w:sz w:val="18"/>
                <w:szCs w:val="18"/>
                <w:vertAlign w:val="superscript"/>
              </w:rPr>
              <w:t>nd</w:t>
            </w:r>
            <w:r>
              <w:rPr>
                <w:sz w:val="18"/>
                <w:szCs w:val="18"/>
              </w:rPr>
              <w:t xml:space="preserve"> review</w:t>
            </w:r>
          </w:p>
        </w:tc>
        <w:tc>
          <w:tcPr>
            <w:tcW w:w="1839" w:type="dxa"/>
            <w:noWrap/>
            <w:hideMark/>
          </w:tcPr>
          <w:p w14:paraId="6B5F79FB" w14:textId="77777777" w:rsidR="000278AA" w:rsidRPr="00944DAD" w:rsidRDefault="000278AA" w:rsidP="0032660B">
            <w:pPr>
              <w:spacing w:after="0"/>
              <w:jc w:val="right"/>
              <w:rPr>
                <w:sz w:val="18"/>
                <w:szCs w:val="18"/>
              </w:rPr>
            </w:pPr>
            <w:r w:rsidRPr="00944DAD">
              <w:rPr>
                <w:sz w:val="18"/>
                <w:szCs w:val="18"/>
              </w:rPr>
              <w:t>588</w:t>
            </w:r>
          </w:p>
        </w:tc>
        <w:tc>
          <w:tcPr>
            <w:tcW w:w="2589" w:type="dxa"/>
            <w:noWrap/>
            <w:hideMark/>
          </w:tcPr>
          <w:p w14:paraId="48D785F3" w14:textId="77777777" w:rsidR="000278AA" w:rsidRPr="00944DAD" w:rsidRDefault="000278AA" w:rsidP="0032660B">
            <w:pPr>
              <w:spacing w:after="0"/>
              <w:jc w:val="right"/>
              <w:rPr>
                <w:sz w:val="18"/>
                <w:szCs w:val="18"/>
              </w:rPr>
            </w:pPr>
            <w:r w:rsidRPr="00944DAD">
              <w:rPr>
                <w:sz w:val="18"/>
                <w:szCs w:val="18"/>
              </w:rPr>
              <w:t>70%</w:t>
            </w:r>
          </w:p>
        </w:tc>
      </w:tr>
      <w:tr w:rsidR="000278AA" w:rsidRPr="00944DAD" w14:paraId="530AA38E" w14:textId="77777777" w:rsidTr="00832F07">
        <w:trPr>
          <w:trHeight w:val="310"/>
          <w:jc w:val="center"/>
        </w:trPr>
        <w:tc>
          <w:tcPr>
            <w:tcW w:w="2214" w:type="dxa"/>
            <w:noWrap/>
            <w:hideMark/>
          </w:tcPr>
          <w:p w14:paraId="5360C9A0" w14:textId="77777777" w:rsidR="000278AA" w:rsidRPr="00944DAD" w:rsidRDefault="000278AA" w:rsidP="0032660B">
            <w:pPr>
              <w:spacing w:after="0"/>
              <w:rPr>
                <w:sz w:val="18"/>
                <w:szCs w:val="18"/>
              </w:rPr>
            </w:pPr>
            <w:r w:rsidRPr="00944DAD">
              <w:rPr>
                <w:sz w:val="18"/>
                <w:szCs w:val="18"/>
              </w:rPr>
              <w:t>3</w:t>
            </w:r>
            <w:r w:rsidRPr="00944DAD">
              <w:rPr>
                <w:sz w:val="18"/>
                <w:szCs w:val="18"/>
                <w:vertAlign w:val="superscript"/>
              </w:rPr>
              <w:t>rd</w:t>
            </w:r>
            <w:r>
              <w:rPr>
                <w:sz w:val="18"/>
                <w:szCs w:val="18"/>
              </w:rPr>
              <w:t xml:space="preserve"> review</w:t>
            </w:r>
          </w:p>
        </w:tc>
        <w:tc>
          <w:tcPr>
            <w:tcW w:w="1839" w:type="dxa"/>
            <w:noWrap/>
            <w:hideMark/>
          </w:tcPr>
          <w:p w14:paraId="4323D7C4" w14:textId="77777777" w:rsidR="000278AA" w:rsidRPr="00944DAD" w:rsidRDefault="000278AA" w:rsidP="0032660B">
            <w:pPr>
              <w:spacing w:after="0"/>
              <w:jc w:val="right"/>
              <w:rPr>
                <w:sz w:val="18"/>
                <w:szCs w:val="18"/>
              </w:rPr>
            </w:pPr>
            <w:r w:rsidRPr="00944DAD">
              <w:rPr>
                <w:sz w:val="18"/>
                <w:szCs w:val="18"/>
              </w:rPr>
              <w:t>402</w:t>
            </w:r>
          </w:p>
        </w:tc>
        <w:tc>
          <w:tcPr>
            <w:tcW w:w="2589" w:type="dxa"/>
            <w:noWrap/>
            <w:hideMark/>
          </w:tcPr>
          <w:p w14:paraId="51194F79" w14:textId="77777777" w:rsidR="000278AA" w:rsidRPr="00944DAD" w:rsidRDefault="000278AA" w:rsidP="0032660B">
            <w:pPr>
              <w:spacing w:after="0"/>
              <w:jc w:val="right"/>
              <w:rPr>
                <w:sz w:val="18"/>
                <w:szCs w:val="18"/>
              </w:rPr>
            </w:pPr>
            <w:r w:rsidRPr="00944DAD">
              <w:rPr>
                <w:sz w:val="18"/>
                <w:szCs w:val="18"/>
              </w:rPr>
              <w:t>68%</w:t>
            </w:r>
          </w:p>
        </w:tc>
      </w:tr>
      <w:tr w:rsidR="000278AA" w:rsidRPr="00944DAD" w14:paraId="35A2E5E5" w14:textId="77777777" w:rsidTr="00832F07">
        <w:trPr>
          <w:trHeight w:val="310"/>
          <w:jc w:val="center"/>
        </w:trPr>
        <w:tc>
          <w:tcPr>
            <w:tcW w:w="2214" w:type="dxa"/>
            <w:noWrap/>
            <w:hideMark/>
          </w:tcPr>
          <w:p w14:paraId="5A316D2E" w14:textId="77777777" w:rsidR="000278AA" w:rsidRPr="009B7557" w:rsidRDefault="000278AA" w:rsidP="0032660B">
            <w:pPr>
              <w:spacing w:after="0"/>
              <w:rPr>
                <w:sz w:val="18"/>
                <w:szCs w:val="18"/>
              </w:rPr>
            </w:pPr>
            <w:r w:rsidRPr="00944DAD">
              <w:rPr>
                <w:sz w:val="18"/>
                <w:szCs w:val="18"/>
              </w:rPr>
              <w:t>4</w:t>
            </w:r>
            <w:r w:rsidRPr="00944DAD">
              <w:rPr>
                <w:sz w:val="18"/>
                <w:szCs w:val="18"/>
                <w:vertAlign w:val="superscript"/>
              </w:rPr>
              <w:t>th</w:t>
            </w:r>
            <w:r>
              <w:rPr>
                <w:sz w:val="18"/>
                <w:szCs w:val="18"/>
              </w:rPr>
              <w:t xml:space="preserve"> review</w:t>
            </w:r>
          </w:p>
        </w:tc>
        <w:tc>
          <w:tcPr>
            <w:tcW w:w="1839" w:type="dxa"/>
            <w:noWrap/>
            <w:hideMark/>
          </w:tcPr>
          <w:p w14:paraId="35365B72" w14:textId="77777777" w:rsidR="000278AA" w:rsidRPr="00944DAD" w:rsidRDefault="000278AA" w:rsidP="0032660B">
            <w:pPr>
              <w:spacing w:after="0"/>
              <w:jc w:val="right"/>
              <w:rPr>
                <w:sz w:val="18"/>
                <w:szCs w:val="18"/>
              </w:rPr>
            </w:pPr>
            <w:r w:rsidRPr="00944DAD">
              <w:rPr>
                <w:sz w:val="18"/>
                <w:szCs w:val="18"/>
              </w:rPr>
              <w:t>150</w:t>
            </w:r>
          </w:p>
        </w:tc>
        <w:tc>
          <w:tcPr>
            <w:tcW w:w="2589" w:type="dxa"/>
            <w:noWrap/>
            <w:hideMark/>
          </w:tcPr>
          <w:p w14:paraId="015F072C" w14:textId="77777777" w:rsidR="000278AA" w:rsidRPr="00944DAD" w:rsidRDefault="000278AA" w:rsidP="0032660B">
            <w:pPr>
              <w:spacing w:after="0"/>
              <w:jc w:val="right"/>
              <w:rPr>
                <w:sz w:val="18"/>
                <w:szCs w:val="18"/>
              </w:rPr>
            </w:pPr>
            <w:r w:rsidRPr="00944DAD">
              <w:rPr>
                <w:sz w:val="18"/>
                <w:szCs w:val="18"/>
              </w:rPr>
              <w:t>37%</w:t>
            </w:r>
          </w:p>
        </w:tc>
      </w:tr>
    </w:tbl>
    <w:p w14:paraId="70E2B870" w14:textId="5C151184" w:rsidR="00C3649D" w:rsidRDefault="000278AA" w:rsidP="00C3649D">
      <w:pPr>
        <w:pStyle w:val="Chartortablefootnote"/>
        <w:rPr>
          <w:lang w:eastAsia="en-AU"/>
        </w:rPr>
      </w:pPr>
      <w:r>
        <w:rPr>
          <w:szCs w:val="20"/>
        </w:rPr>
        <w:t xml:space="preserve"> </w:t>
      </w:r>
      <w:r w:rsidR="00C3649D" w:rsidRPr="0036194D">
        <w:rPr>
          <w:lang w:eastAsia="en-AU"/>
        </w:rPr>
        <w:t>Source: Health Outcomes data set provided by the Pharmacy Guild, to 30 June 202</w:t>
      </w:r>
      <w:r w:rsidR="00C3649D">
        <w:rPr>
          <w:lang w:eastAsia="en-AU"/>
        </w:rPr>
        <w:t>1</w:t>
      </w:r>
      <w:r w:rsidR="00C3649D" w:rsidRPr="0036194D">
        <w:rPr>
          <w:lang w:eastAsia="en-AU"/>
        </w:rPr>
        <w:t>. </w:t>
      </w:r>
    </w:p>
    <w:p w14:paraId="37B74E77" w14:textId="1D102D50" w:rsidR="003F1E65" w:rsidRDefault="000278AA" w:rsidP="000278AA">
      <w:pPr>
        <w:rPr>
          <w:szCs w:val="20"/>
        </w:rPr>
      </w:pPr>
      <w:r>
        <w:rPr>
          <w:szCs w:val="20"/>
        </w:rPr>
        <w:t>One of the factors limiting follow-up reviews was when the previous review was undertaken (</w:t>
      </w:r>
      <w:r w:rsidRPr="00133B3E">
        <w:rPr>
          <w:color w:val="1D2455"/>
          <w:szCs w:val="20"/>
        </w:rPr>
        <w:fldChar w:fldCharType="begin"/>
      </w:r>
      <w:r w:rsidRPr="00034863">
        <w:rPr>
          <w:b/>
          <w:color w:val="1D2455"/>
          <w:szCs w:val="20"/>
        </w:rPr>
        <w:instrText xml:space="preserve"> REF _Ref85465931 \h  \* MERGEFORMAT </w:instrText>
      </w:r>
      <w:r w:rsidRPr="00133B3E">
        <w:rPr>
          <w:color w:val="1D2455"/>
          <w:szCs w:val="20"/>
        </w:rPr>
      </w:r>
      <w:r w:rsidRPr="00133B3E">
        <w:rPr>
          <w:color w:val="1D2455"/>
          <w:szCs w:val="20"/>
        </w:rPr>
        <w:fldChar w:fldCharType="separate"/>
      </w:r>
      <w:r w:rsidR="003C4BC2" w:rsidRPr="003C4BC2">
        <w:rPr>
          <w:color w:val="1D2455"/>
        </w:rPr>
        <w:t>Figure 82</w:t>
      </w:r>
      <w:r w:rsidRPr="00133B3E">
        <w:rPr>
          <w:color w:val="1D2455"/>
          <w:szCs w:val="20"/>
        </w:rPr>
        <w:fldChar w:fldCharType="end"/>
      </w:r>
      <w:r>
        <w:rPr>
          <w:szCs w:val="20"/>
        </w:rPr>
        <w:t xml:space="preserve">). With some initial consultations not occurring until 2021, there were limited opportunities </w:t>
      </w:r>
      <w:r w:rsidR="00AD0328">
        <w:rPr>
          <w:szCs w:val="20"/>
        </w:rPr>
        <w:t>to</w:t>
      </w:r>
      <w:r>
        <w:rPr>
          <w:szCs w:val="20"/>
        </w:rPr>
        <w:t xml:space="preserve"> follow</w:t>
      </w:r>
      <w:r w:rsidR="00AD0328">
        <w:rPr>
          <w:szCs w:val="20"/>
        </w:rPr>
        <w:t xml:space="preserve"> </w:t>
      </w:r>
      <w:r>
        <w:rPr>
          <w:szCs w:val="20"/>
        </w:rPr>
        <w:t xml:space="preserve">up </w:t>
      </w:r>
      <w:r w:rsidR="00AD0328">
        <w:rPr>
          <w:szCs w:val="20"/>
        </w:rPr>
        <w:t>patients as part of the trial</w:t>
      </w:r>
      <w:r>
        <w:rPr>
          <w:szCs w:val="20"/>
        </w:rPr>
        <w:t xml:space="preserve">. </w:t>
      </w:r>
    </w:p>
    <w:p w14:paraId="13C77B97" w14:textId="6D19D285" w:rsidR="003F1E65" w:rsidRDefault="00FF0D41">
      <w:pPr>
        <w:spacing w:after="160" w:line="259" w:lineRule="auto"/>
        <w:rPr>
          <w:szCs w:val="20"/>
        </w:rPr>
      </w:pPr>
      <w:r>
        <w:rPr>
          <w:szCs w:val="20"/>
        </w:rPr>
        <w:br w:type="page"/>
      </w:r>
    </w:p>
    <w:p w14:paraId="0E49F1E4" w14:textId="17EDAEC6" w:rsidR="000278AA" w:rsidRPr="000C3FBF" w:rsidRDefault="000278AA" w:rsidP="000278AA">
      <w:pPr>
        <w:pStyle w:val="tabletitle"/>
      </w:pPr>
      <w:bookmarkStart w:id="455" w:name="_Ref85465931"/>
      <w:r>
        <w:lastRenderedPageBreak/>
        <w:t>Figure</w:t>
      </w:r>
      <w:r w:rsidRPr="00AE3B66">
        <w:t> </w:t>
      </w:r>
      <w:r w:rsidR="00A61B29">
        <w:fldChar w:fldCharType="begin"/>
      </w:r>
      <w:r w:rsidR="00A61B29">
        <w:instrText xml:space="preserve"> SEQ Figure\* ARABIC </w:instrText>
      </w:r>
      <w:r w:rsidR="00A61B29">
        <w:fldChar w:fldCharType="separate"/>
      </w:r>
      <w:r w:rsidR="003C4BC2">
        <w:rPr>
          <w:noProof/>
        </w:rPr>
        <w:t>82</w:t>
      </w:r>
      <w:r w:rsidR="00A61B29">
        <w:rPr>
          <w:noProof/>
        </w:rPr>
        <w:fldChar w:fldCharType="end"/>
      </w:r>
      <w:bookmarkEnd w:id="455"/>
      <w:r w:rsidRPr="00AE3B66">
        <w:t xml:space="preserve">: </w:t>
      </w:r>
      <w:r w:rsidR="00F751BA">
        <w:t>F</w:t>
      </w:r>
      <w:r>
        <w:t>ollow-up of patients</w:t>
      </w:r>
      <w:r w:rsidRPr="000C3FBF">
        <w:t> </w:t>
      </w:r>
      <w:r w:rsidR="0098445A">
        <w:t>over time</w:t>
      </w:r>
    </w:p>
    <w:p w14:paraId="45D17651" w14:textId="77777777" w:rsidR="000278AA" w:rsidRDefault="000278AA" w:rsidP="009A4BB7">
      <w:pPr>
        <w:spacing w:after="0"/>
        <w:jc w:val="center"/>
        <w:rPr>
          <w:szCs w:val="20"/>
        </w:rPr>
      </w:pPr>
      <w:r w:rsidRPr="004951CD">
        <w:rPr>
          <w:noProof/>
        </w:rPr>
        <w:drawing>
          <wp:inline distT="0" distB="0" distL="0" distR="0" wp14:anchorId="46BF04C2" wp14:editId="64DB8690">
            <wp:extent cx="4580952" cy="2752381"/>
            <wp:effectExtent l="0" t="0" r="0" b="0"/>
            <wp:docPr id="6" name="Picture 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hart, line chart&#10;&#10;Description automatically generated"/>
                    <pic:cNvPicPr/>
                  </pic:nvPicPr>
                  <pic:blipFill>
                    <a:blip r:embed="rId115"/>
                    <a:stretch>
                      <a:fillRect/>
                    </a:stretch>
                  </pic:blipFill>
                  <pic:spPr>
                    <a:xfrm>
                      <a:off x="0" y="0"/>
                      <a:ext cx="4580952" cy="2752381"/>
                    </a:xfrm>
                    <a:prstGeom prst="rect">
                      <a:avLst/>
                    </a:prstGeom>
                  </pic:spPr>
                </pic:pic>
              </a:graphicData>
            </a:graphic>
          </wp:inline>
        </w:drawing>
      </w:r>
    </w:p>
    <w:p w14:paraId="2C552F6C" w14:textId="0DF0F1EB" w:rsidR="009A4BB7" w:rsidRDefault="009A4BB7" w:rsidP="009A4BB7">
      <w:pPr>
        <w:pStyle w:val="Chartortablefootnote"/>
        <w:rPr>
          <w:lang w:eastAsia="en-AU"/>
        </w:rPr>
      </w:pPr>
      <w:r w:rsidRPr="0036194D">
        <w:rPr>
          <w:lang w:eastAsia="en-AU"/>
        </w:rPr>
        <w:t>Source: Health Outcomes data set provided by the Pharmacy Guild, to 30 June 202</w:t>
      </w:r>
      <w:r>
        <w:rPr>
          <w:lang w:eastAsia="en-AU"/>
        </w:rPr>
        <w:t>1</w:t>
      </w:r>
      <w:r w:rsidRPr="0036194D">
        <w:rPr>
          <w:lang w:eastAsia="en-AU"/>
        </w:rPr>
        <w:t>. </w:t>
      </w:r>
    </w:p>
    <w:p w14:paraId="1671B195" w14:textId="77777777" w:rsidR="00FF0D41" w:rsidRPr="00F71DF5" w:rsidRDefault="00FF0D41" w:rsidP="00FF0D41">
      <w:pPr>
        <w:rPr>
          <w:szCs w:val="20"/>
        </w:rPr>
      </w:pPr>
      <w:r>
        <w:rPr>
          <w:szCs w:val="20"/>
        </w:rPr>
        <w:t>Pharmacists said that</w:t>
      </w:r>
      <w:r w:rsidRPr="00F71DF5">
        <w:rPr>
          <w:szCs w:val="20"/>
        </w:rPr>
        <w:t xml:space="preserve"> it was</w:t>
      </w:r>
      <w:r>
        <w:rPr>
          <w:szCs w:val="20"/>
        </w:rPr>
        <w:t xml:space="preserve"> sometimes</w:t>
      </w:r>
      <w:r w:rsidRPr="00F71DF5">
        <w:rPr>
          <w:szCs w:val="20"/>
        </w:rPr>
        <w:t xml:space="preserve"> hard to get patients to come in for a review</w:t>
      </w:r>
      <w:r>
        <w:rPr>
          <w:szCs w:val="20"/>
        </w:rPr>
        <w:t>. To maximise follow-up, a</w:t>
      </w:r>
      <w:r w:rsidRPr="00F71DF5">
        <w:rPr>
          <w:szCs w:val="20"/>
        </w:rPr>
        <w:t xml:space="preserve"> few attempted to ring patients to come in for </w:t>
      </w:r>
      <w:r>
        <w:rPr>
          <w:szCs w:val="20"/>
        </w:rPr>
        <w:t xml:space="preserve">their review and some tried to </w:t>
      </w:r>
      <w:r w:rsidRPr="00F71DF5">
        <w:rPr>
          <w:szCs w:val="20"/>
        </w:rPr>
        <w:t xml:space="preserve">catch </w:t>
      </w:r>
      <w:r>
        <w:rPr>
          <w:szCs w:val="20"/>
        </w:rPr>
        <w:t xml:space="preserve">patients </w:t>
      </w:r>
      <w:r w:rsidRPr="00F71DF5">
        <w:rPr>
          <w:szCs w:val="20"/>
        </w:rPr>
        <w:t>during their regular visits to the pharmacy when they were picking up medication or getting their blood pressure checked:</w:t>
      </w:r>
    </w:p>
    <w:p w14:paraId="36B3452D" w14:textId="22B659A1" w:rsidR="00FF0D41" w:rsidRDefault="00FF0D41" w:rsidP="00045BAA">
      <w:pPr>
        <w:ind w:left="567" w:right="521"/>
        <w:rPr>
          <w:szCs w:val="20"/>
        </w:rPr>
      </w:pPr>
      <w:r w:rsidRPr="00F71DF5">
        <w:rPr>
          <w:i/>
          <w:iCs/>
          <w:szCs w:val="20"/>
        </w:rPr>
        <w:t>“So, I attempt to catch them when they are in the pharmacy. Like every two or three months they have to come in anyway, so when I see them here I just catch them for, you know, to do the subsequent interviews. So, I find it hard to get people to come in especially just for this subsequent</w:t>
      </w:r>
      <w:r>
        <w:rPr>
          <w:i/>
          <w:iCs/>
          <w:szCs w:val="20"/>
        </w:rPr>
        <w:t xml:space="preserve"> [review]</w:t>
      </w:r>
      <w:r w:rsidRPr="00F71DF5">
        <w:rPr>
          <w:i/>
          <w:iCs/>
          <w:szCs w:val="20"/>
        </w:rPr>
        <w:t>.”</w:t>
      </w:r>
      <w:r w:rsidRPr="00F71DF5">
        <w:rPr>
          <w:szCs w:val="20"/>
        </w:rPr>
        <w:t xml:space="preserve"> [CP, Pharmacy 7</w:t>
      </w:r>
      <w:r>
        <w:rPr>
          <w:szCs w:val="20"/>
        </w:rPr>
        <w:t>, R4</w:t>
      </w:r>
      <w:r w:rsidRPr="00F71DF5">
        <w:rPr>
          <w:szCs w:val="20"/>
        </w:rPr>
        <w:t>]</w:t>
      </w:r>
    </w:p>
    <w:p w14:paraId="4D3551EE" w14:textId="3A18A18E" w:rsidR="000278AA" w:rsidRPr="00F71DF5" w:rsidRDefault="000278AA" w:rsidP="000278AA">
      <w:pPr>
        <w:rPr>
          <w:szCs w:val="20"/>
        </w:rPr>
      </w:pPr>
      <w:r w:rsidRPr="00F71DF5">
        <w:rPr>
          <w:szCs w:val="20"/>
        </w:rPr>
        <w:t xml:space="preserve">Pharmacists </w:t>
      </w:r>
      <w:r w:rsidR="006072FE">
        <w:rPr>
          <w:szCs w:val="20"/>
        </w:rPr>
        <w:t>who</w:t>
      </w:r>
      <w:r w:rsidRPr="00F71DF5">
        <w:rPr>
          <w:szCs w:val="20"/>
        </w:rPr>
        <w:t xml:space="preserve"> completed follow-ups reported they would check in with the patient, reinforce what was discussed in the initial consultation and discuss</w:t>
      </w:r>
      <w:r w:rsidR="00045BAA">
        <w:rPr>
          <w:szCs w:val="20"/>
        </w:rPr>
        <w:t>ed</w:t>
      </w:r>
      <w:r w:rsidRPr="00F71DF5">
        <w:rPr>
          <w:szCs w:val="20"/>
        </w:rPr>
        <w:t xml:space="preserve"> medication changes,</w:t>
      </w:r>
      <w:r>
        <w:rPr>
          <w:szCs w:val="20"/>
        </w:rPr>
        <w:t xml:space="preserve"> what has been beneficial for the patient,</w:t>
      </w:r>
      <w:r w:rsidRPr="00F71DF5">
        <w:rPr>
          <w:szCs w:val="20"/>
        </w:rPr>
        <w:t xml:space="preserve"> treatment goals, patient compliance and patient outcomes related to receiving education (</w:t>
      </w:r>
      <w:r w:rsidR="0010747B">
        <w:rPr>
          <w:szCs w:val="20"/>
        </w:rPr>
        <w:t>for example,</w:t>
      </w:r>
      <w:r w:rsidRPr="00F71DF5">
        <w:rPr>
          <w:szCs w:val="20"/>
        </w:rPr>
        <w:t xml:space="preserve"> improved diet, smoking cessation or increased use of asthma inhaler):</w:t>
      </w:r>
    </w:p>
    <w:p w14:paraId="1194F69F" w14:textId="77777777" w:rsidR="000278AA" w:rsidRDefault="000278AA" w:rsidP="000278AA">
      <w:pPr>
        <w:ind w:left="567" w:right="521"/>
        <w:rPr>
          <w:szCs w:val="20"/>
        </w:rPr>
      </w:pPr>
      <w:r w:rsidRPr="00F71DF5">
        <w:rPr>
          <w:i/>
          <w:iCs/>
          <w:szCs w:val="20"/>
        </w:rPr>
        <w:t>“We initially had to make some goals, treatment goals, that sort of thing. So, I would say, okay, last time I saw you, we talked about this … How are you going with that? Have you made an improvement? … Or are you using your puffer more often? That sort of thing, because we talked about that last time, and yes, that sort of thing. That was more like the second … The subsequent interviews were about reinforcing what was talked about in the first one.”</w:t>
      </w:r>
      <w:r w:rsidRPr="00F71DF5">
        <w:rPr>
          <w:szCs w:val="20"/>
        </w:rPr>
        <w:t xml:space="preserve"> [CP, Pharmacy 6</w:t>
      </w:r>
      <w:r>
        <w:rPr>
          <w:szCs w:val="20"/>
        </w:rPr>
        <w:t>, R4</w:t>
      </w:r>
      <w:r w:rsidRPr="00F71DF5">
        <w:rPr>
          <w:szCs w:val="20"/>
        </w:rPr>
        <w:t>]</w:t>
      </w:r>
    </w:p>
    <w:p w14:paraId="1AC5FF77" w14:textId="77777777" w:rsidR="000278AA" w:rsidRPr="00F71DF5" w:rsidRDefault="000278AA" w:rsidP="000278AA">
      <w:pPr>
        <w:ind w:left="567" w:right="521"/>
        <w:rPr>
          <w:szCs w:val="20"/>
        </w:rPr>
      </w:pPr>
      <w:r w:rsidRPr="005D0474">
        <w:rPr>
          <w:i/>
          <w:iCs/>
          <w:szCs w:val="20"/>
        </w:rPr>
        <w:t>“In the initial consult, I’ll draft up the medication plan and then I try and do it one or two months after the initial. I’ll have a catch up with them, and then I’ll always review the list there and see what has worked, what hasn’t, what we need to add on. And then, depending on their level of care, it might be then six months after that, or it might be another two months after that one.”</w:t>
      </w:r>
      <w:r>
        <w:rPr>
          <w:szCs w:val="20"/>
        </w:rPr>
        <w:t xml:space="preserve"> [CP, Pharmacy 2, R5]</w:t>
      </w:r>
    </w:p>
    <w:p w14:paraId="44461E44" w14:textId="6438870A" w:rsidR="007053C0" w:rsidRDefault="007053C0" w:rsidP="006072FE">
      <w:pPr>
        <w:ind w:left="567" w:right="521"/>
        <w:rPr>
          <w:szCs w:val="20"/>
        </w:rPr>
      </w:pPr>
      <w:r>
        <w:rPr>
          <w:szCs w:val="20"/>
        </w:rPr>
        <w:br w:type="page"/>
      </w:r>
    </w:p>
    <w:p w14:paraId="58FC4711" w14:textId="1578C9C5" w:rsidR="00E874DD" w:rsidRDefault="00E874DD" w:rsidP="00E874DD">
      <w:pPr>
        <w:pStyle w:val="Heading2"/>
      </w:pPr>
      <w:bookmarkStart w:id="456" w:name="_Toc109996759"/>
      <w:r w:rsidRPr="00E874DD">
        <w:lastRenderedPageBreak/>
        <w:t xml:space="preserve">Services </w:t>
      </w:r>
      <w:r w:rsidR="00F84342">
        <w:t xml:space="preserve">provided by </w:t>
      </w:r>
      <w:r w:rsidRPr="00E874DD">
        <w:t>community pharmacies</w:t>
      </w:r>
      <w:bookmarkEnd w:id="456"/>
      <w:r w:rsidRPr="00E874DD">
        <w:t xml:space="preserve"> </w:t>
      </w:r>
    </w:p>
    <w:p w14:paraId="613F3C67" w14:textId="77777777" w:rsidR="00E874DD" w:rsidRPr="00F71DF5" w:rsidRDefault="00E874DD" w:rsidP="00270D5F">
      <w:pPr>
        <w:pStyle w:val="Heading3"/>
      </w:pPr>
      <w:r w:rsidRPr="00F71DF5">
        <w:t xml:space="preserve">Medication management </w:t>
      </w:r>
    </w:p>
    <w:p w14:paraId="51FD2477" w14:textId="6D59C696" w:rsidR="00E874DD" w:rsidRPr="00F71DF5" w:rsidRDefault="00B726C7" w:rsidP="00E874DD">
      <w:pPr>
        <w:rPr>
          <w:rFonts w:eastAsia="Times New Roman"/>
          <w:szCs w:val="20"/>
          <w:lang w:eastAsia="en-AU"/>
        </w:rPr>
      </w:pPr>
      <w:r>
        <w:rPr>
          <w:noProof/>
          <w:szCs w:val="20"/>
          <w:lang w:eastAsia="en-AU"/>
        </w:rPr>
        <w:t>The main service that p</w:t>
      </w:r>
      <w:r w:rsidR="00E874DD" w:rsidRPr="00F71DF5">
        <w:rPr>
          <w:noProof/>
          <w:szCs w:val="20"/>
          <w:lang w:eastAsia="en-AU"/>
        </w:rPr>
        <w:t>harmaci</w:t>
      </w:r>
      <w:r>
        <w:rPr>
          <w:noProof/>
          <w:szCs w:val="20"/>
          <w:lang w:eastAsia="en-AU"/>
        </w:rPr>
        <w:t xml:space="preserve">es provided to patients was </w:t>
      </w:r>
      <w:r w:rsidR="00E874DD" w:rsidRPr="00F71DF5">
        <w:rPr>
          <w:noProof/>
          <w:szCs w:val="20"/>
          <w:lang w:eastAsia="en-AU"/>
        </w:rPr>
        <w:t xml:space="preserve">medication management. They described </w:t>
      </w:r>
      <w:r>
        <w:rPr>
          <w:noProof/>
          <w:szCs w:val="20"/>
          <w:lang w:eastAsia="en-AU"/>
        </w:rPr>
        <w:t>this</w:t>
      </w:r>
      <w:r w:rsidR="00E874DD" w:rsidRPr="00F71DF5">
        <w:rPr>
          <w:noProof/>
          <w:szCs w:val="20"/>
          <w:lang w:eastAsia="en-AU"/>
        </w:rPr>
        <w:t xml:space="preserve"> as similar to services they were already providing </w:t>
      </w:r>
      <w:r>
        <w:rPr>
          <w:noProof/>
          <w:szCs w:val="20"/>
          <w:lang w:eastAsia="en-AU"/>
        </w:rPr>
        <w:t xml:space="preserve">before </w:t>
      </w:r>
      <w:r w:rsidR="00E874DD" w:rsidRPr="00F71DF5">
        <w:rPr>
          <w:noProof/>
          <w:szCs w:val="20"/>
          <w:lang w:eastAsia="en-AU"/>
        </w:rPr>
        <w:t>the trial (such as Home Medicines Reviews or MedsChecks), but that the main difference</w:t>
      </w:r>
      <w:r w:rsidR="00E874DD">
        <w:rPr>
          <w:noProof/>
          <w:szCs w:val="20"/>
          <w:lang w:eastAsia="en-AU"/>
        </w:rPr>
        <w:t xml:space="preserve"> </w:t>
      </w:r>
      <w:r w:rsidR="00E874DD" w:rsidRPr="00F71DF5">
        <w:rPr>
          <w:noProof/>
          <w:szCs w:val="20"/>
          <w:lang w:eastAsia="en-AU"/>
        </w:rPr>
        <w:t>with HCH</w:t>
      </w:r>
      <w:r>
        <w:rPr>
          <w:noProof/>
          <w:szCs w:val="20"/>
          <w:lang w:eastAsia="en-AU"/>
        </w:rPr>
        <w:t xml:space="preserve"> </w:t>
      </w:r>
      <w:r w:rsidR="00E874DD" w:rsidRPr="00F71DF5">
        <w:rPr>
          <w:noProof/>
          <w:szCs w:val="20"/>
          <w:lang w:eastAsia="en-AU"/>
        </w:rPr>
        <w:t>was the ongoing management of patients and communication with the patient’s GP</w:t>
      </w:r>
      <w:r w:rsidR="00E874DD">
        <w:rPr>
          <w:noProof/>
          <w:szCs w:val="20"/>
          <w:lang w:eastAsia="en-AU"/>
        </w:rPr>
        <w:t>. One pharmacist described the reviews with HCH patients as “more targeted”</w:t>
      </w:r>
      <w:r w:rsidR="00E874DD" w:rsidRPr="00F71DF5">
        <w:rPr>
          <w:rFonts w:eastAsia="Times New Roman"/>
          <w:szCs w:val="20"/>
          <w:lang w:eastAsia="en-AU"/>
        </w:rPr>
        <w:t>:</w:t>
      </w:r>
    </w:p>
    <w:p w14:paraId="776CDC64" w14:textId="52983970" w:rsidR="00E874DD" w:rsidRPr="00F71DF5" w:rsidRDefault="00E874DD" w:rsidP="000C3FBF">
      <w:pPr>
        <w:ind w:left="567" w:right="521"/>
        <w:rPr>
          <w:szCs w:val="20"/>
        </w:rPr>
      </w:pPr>
      <w:r w:rsidRPr="00F71DF5">
        <w:rPr>
          <w:i/>
          <w:iCs/>
          <w:szCs w:val="20"/>
        </w:rPr>
        <w:t xml:space="preserve">“Certainly, more than a </w:t>
      </w:r>
      <w:proofErr w:type="spellStart"/>
      <w:r w:rsidRPr="00F71DF5">
        <w:rPr>
          <w:i/>
          <w:iCs/>
          <w:szCs w:val="20"/>
        </w:rPr>
        <w:t>MedsCheck</w:t>
      </w:r>
      <w:proofErr w:type="spellEnd"/>
      <w:r w:rsidRPr="00F71DF5">
        <w:rPr>
          <w:i/>
          <w:iCs/>
          <w:szCs w:val="20"/>
        </w:rPr>
        <w:t xml:space="preserve">. I think if they were </w:t>
      </w:r>
      <w:r w:rsidRPr="00F71DF5">
        <w:rPr>
          <w:i/>
          <w:iCs/>
          <w:noProof/>
          <w:szCs w:val="20"/>
          <w:lang w:eastAsia="en-AU"/>
        </w:rPr>
        <w:t>using</w:t>
      </w:r>
      <w:r w:rsidRPr="00F71DF5">
        <w:rPr>
          <w:i/>
          <w:iCs/>
          <w:szCs w:val="20"/>
        </w:rPr>
        <w:t xml:space="preserve"> the same electronic system in an [Home Medicines Review] it would be similar, in a lot of ways. But an [Home Medicines Review</w:t>
      </w:r>
      <w:r w:rsidR="009542F9">
        <w:rPr>
          <w:i/>
          <w:iCs/>
          <w:szCs w:val="20"/>
        </w:rPr>
        <w:t xml:space="preserve"> i</w:t>
      </w:r>
      <w:r w:rsidRPr="00F71DF5">
        <w:rPr>
          <w:i/>
          <w:iCs/>
          <w:szCs w:val="20"/>
        </w:rPr>
        <w:t>s] just a point in time. So, the initial would probably be the same as an [Home Medicines Review], but then you wouldn’t have the ongoing management of the person in terms of managing their medications and reordering prescriptions and that sort of thing. So, it’s a bit of an amalgamation of both, in that sense. The ongoing monitoring. So, my answer is more overall.”</w:t>
      </w:r>
      <w:r w:rsidRPr="00F71DF5">
        <w:rPr>
          <w:szCs w:val="20"/>
        </w:rPr>
        <w:t xml:space="preserve"> [CP, Pharmacy 4</w:t>
      </w:r>
      <w:r>
        <w:rPr>
          <w:szCs w:val="20"/>
        </w:rPr>
        <w:t>, R4</w:t>
      </w:r>
      <w:r w:rsidRPr="00F71DF5">
        <w:rPr>
          <w:szCs w:val="20"/>
        </w:rPr>
        <w:t>]</w:t>
      </w:r>
    </w:p>
    <w:p w14:paraId="264FEF80" w14:textId="77777777" w:rsidR="00E874DD" w:rsidRPr="00F71DF5" w:rsidRDefault="00E874DD" w:rsidP="000C3FBF">
      <w:pPr>
        <w:ind w:left="567" w:right="521"/>
        <w:rPr>
          <w:szCs w:val="20"/>
        </w:rPr>
      </w:pPr>
      <w:r w:rsidRPr="00F71DF5">
        <w:rPr>
          <w:i/>
          <w:iCs/>
          <w:szCs w:val="20"/>
        </w:rPr>
        <w:t xml:space="preserve">“I feel like the Health Care Homes patients get a lot more follow-up. Because we are reporting straight to the doctors and then I’ve seen action from that. Like medications which we saw </w:t>
      </w:r>
      <w:r w:rsidRPr="00F71DF5">
        <w:rPr>
          <w:i/>
          <w:iCs/>
          <w:noProof/>
          <w:szCs w:val="20"/>
          <w:lang w:eastAsia="en-AU"/>
        </w:rPr>
        <w:t>duplicated</w:t>
      </w:r>
      <w:r w:rsidRPr="00F71DF5">
        <w:rPr>
          <w:i/>
          <w:iCs/>
          <w:szCs w:val="20"/>
        </w:rPr>
        <w:t>. Like same class is duplicated. And then you know, some of those medications were ceased. And then that patient might have put the same script in for that ceased medication but because I was there, I made sure that she didn’t make that same mistake. So, I think there’s a lot more follow-up with Health Care Home patients.”</w:t>
      </w:r>
      <w:r w:rsidRPr="00F71DF5">
        <w:rPr>
          <w:szCs w:val="20"/>
        </w:rPr>
        <w:t xml:space="preserve"> [CP, Pharmacy 2</w:t>
      </w:r>
      <w:r>
        <w:rPr>
          <w:szCs w:val="20"/>
        </w:rPr>
        <w:t>, R4</w:t>
      </w:r>
      <w:r w:rsidRPr="00F71DF5">
        <w:rPr>
          <w:szCs w:val="20"/>
        </w:rPr>
        <w:t>]</w:t>
      </w:r>
    </w:p>
    <w:p w14:paraId="1E4AFF7D" w14:textId="712F7DB1" w:rsidR="00E874DD" w:rsidRDefault="003F054D" w:rsidP="00E874DD">
      <w:pPr>
        <w:spacing w:after="160" w:line="259" w:lineRule="auto"/>
        <w:ind w:right="521"/>
        <w:rPr>
          <w:szCs w:val="20"/>
          <w:lang w:val="en-US"/>
        </w:rPr>
      </w:pPr>
      <w:r>
        <w:rPr>
          <w:szCs w:val="20"/>
          <w:lang w:val="en-US"/>
        </w:rPr>
        <w:t>Medication</w:t>
      </w:r>
      <w:r w:rsidR="00E874DD">
        <w:rPr>
          <w:szCs w:val="20"/>
          <w:lang w:val="en-US"/>
        </w:rPr>
        <w:t xml:space="preserve"> reviews allowed pharmacists to suggest medication changes or adjustments, detect and rectify any medication discrepancies, monitor </w:t>
      </w:r>
      <w:r w:rsidR="00C444C3">
        <w:rPr>
          <w:szCs w:val="20"/>
          <w:lang w:val="en-US"/>
        </w:rPr>
        <w:t>medication</w:t>
      </w:r>
      <w:r w:rsidR="00E874DD">
        <w:rPr>
          <w:szCs w:val="20"/>
          <w:lang w:val="en-US"/>
        </w:rPr>
        <w:t xml:space="preserve"> compliance and provide education. One GP highlighted the benefits of having the community pharmacist involved in HCH patients’ care. These advantages included patient accessibility and having another provider monitoring patients’ medications</w:t>
      </w:r>
      <w:r w:rsidR="00045BAA">
        <w:rPr>
          <w:szCs w:val="20"/>
          <w:lang w:val="en-US"/>
        </w:rPr>
        <w:t>:</w:t>
      </w:r>
      <w:r w:rsidR="00E874DD">
        <w:rPr>
          <w:szCs w:val="20"/>
          <w:lang w:val="en-US"/>
        </w:rPr>
        <w:t xml:space="preserve"> </w:t>
      </w:r>
    </w:p>
    <w:p w14:paraId="3E38291D" w14:textId="6BBE326F" w:rsidR="00E874DD" w:rsidRDefault="00E874DD" w:rsidP="000C3FBF">
      <w:pPr>
        <w:ind w:left="567" w:right="521"/>
        <w:rPr>
          <w:szCs w:val="20"/>
          <w:lang w:val="en-US"/>
        </w:rPr>
      </w:pPr>
      <w:r w:rsidRPr="00773840">
        <w:rPr>
          <w:i/>
          <w:iCs/>
          <w:szCs w:val="20"/>
          <w:lang w:val="en-US"/>
        </w:rPr>
        <w:t xml:space="preserve">“…the chemist is quite </w:t>
      </w:r>
      <w:r w:rsidRPr="000C3FBF">
        <w:rPr>
          <w:i/>
          <w:iCs/>
          <w:szCs w:val="20"/>
        </w:rPr>
        <w:t>good</w:t>
      </w:r>
      <w:r w:rsidRPr="00773840">
        <w:rPr>
          <w:i/>
          <w:iCs/>
          <w:szCs w:val="20"/>
          <w:lang w:val="en-US"/>
        </w:rPr>
        <w:t xml:space="preserve"> in adjusting the dose of medication because they can't get to the doctor quickly. For example, over the weekend or a long holiday if they go to the chemist and they ask if they can adjust the dose. And then the week after they let me know, this is what’s happening, is that okay with you or do you need to review the patient?...I suppose a couple of the more complex patients, they’re often suggesting some small changes, which is one of the most useful things they do...Otherwise, they're sort of keeping track on a lot of them for errors.</w:t>
      </w:r>
      <w:r w:rsidR="00DB5C80">
        <w:rPr>
          <w:i/>
          <w:iCs/>
          <w:szCs w:val="20"/>
          <w:lang w:val="en-US"/>
        </w:rPr>
        <w:t>.</w:t>
      </w:r>
      <w:r w:rsidRPr="00773840">
        <w:rPr>
          <w:i/>
          <w:iCs/>
          <w:szCs w:val="20"/>
          <w:lang w:val="en-US"/>
        </w:rPr>
        <w:t>.Errors in when the patients that have come in and out of hospital and the medications have changed, or other things like that…”</w:t>
      </w:r>
      <w:r>
        <w:rPr>
          <w:szCs w:val="20"/>
          <w:lang w:val="en-US"/>
        </w:rPr>
        <w:t xml:space="preserve"> [GP1, Practice 24, R5]</w:t>
      </w:r>
    </w:p>
    <w:p w14:paraId="49F334C6" w14:textId="18CF8660" w:rsidR="00EF500E" w:rsidRDefault="00EF500E" w:rsidP="00EF500E">
      <w:pPr>
        <w:widowControl w:val="0"/>
        <w:tabs>
          <w:tab w:val="left" w:pos="1134"/>
        </w:tabs>
        <w:rPr>
          <w:szCs w:val="20"/>
        </w:rPr>
      </w:pPr>
      <w:r>
        <w:rPr>
          <w:szCs w:val="20"/>
        </w:rPr>
        <w:t xml:space="preserve">In the final staff survey for the evaluation, GPs were asked for approximately </w:t>
      </w:r>
      <w:r w:rsidRPr="001E5114">
        <w:rPr>
          <w:szCs w:val="20"/>
        </w:rPr>
        <w:t xml:space="preserve">what proportion of </w:t>
      </w:r>
      <w:r>
        <w:rPr>
          <w:szCs w:val="20"/>
        </w:rPr>
        <w:t>the</w:t>
      </w:r>
      <w:r w:rsidR="007A0BA3">
        <w:rPr>
          <w:szCs w:val="20"/>
        </w:rPr>
        <w:t>ir</w:t>
      </w:r>
      <w:r>
        <w:rPr>
          <w:szCs w:val="20"/>
        </w:rPr>
        <w:t xml:space="preserve"> </w:t>
      </w:r>
      <w:r w:rsidRPr="001E5114">
        <w:rPr>
          <w:szCs w:val="20"/>
        </w:rPr>
        <w:t xml:space="preserve">HCH patients </w:t>
      </w:r>
      <w:r w:rsidR="007A0BA3">
        <w:rPr>
          <w:szCs w:val="20"/>
        </w:rPr>
        <w:t>whom</w:t>
      </w:r>
      <w:r w:rsidRPr="001E5114">
        <w:rPr>
          <w:szCs w:val="20"/>
        </w:rPr>
        <w:t xml:space="preserve"> </w:t>
      </w:r>
      <w:r>
        <w:rPr>
          <w:szCs w:val="20"/>
        </w:rPr>
        <w:t>they</w:t>
      </w:r>
      <w:r w:rsidRPr="001E5114">
        <w:rPr>
          <w:szCs w:val="20"/>
        </w:rPr>
        <w:t xml:space="preserve"> referred to a community pharmacist </w:t>
      </w:r>
      <w:r>
        <w:rPr>
          <w:szCs w:val="20"/>
        </w:rPr>
        <w:t>they had</w:t>
      </w:r>
      <w:r w:rsidRPr="001E5114">
        <w:rPr>
          <w:szCs w:val="20"/>
        </w:rPr>
        <w:t xml:space="preserve"> received a medication management plan from the community pharmacist</w:t>
      </w:r>
      <w:r>
        <w:rPr>
          <w:szCs w:val="20"/>
        </w:rPr>
        <w:t xml:space="preserve">. </w:t>
      </w:r>
      <w:r w:rsidRPr="007A54F0">
        <w:rPr>
          <w:rFonts w:eastAsiaTheme="minorEastAsia"/>
          <w:color w:val="1D2455"/>
          <w:szCs w:val="20"/>
          <w:lang w:eastAsia="en-AU"/>
        </w:rPr>
        <w:fldChar w:fldCharType="begin"/>
      </w:r>
      <w:r w:rsidRPr="007A54F0">
        <w:rPr>
          <w:rFonts w:eastAsiaTheme="minorEastAsia"/>
          <w:color w:val="1D2455"/>
          <w:szCs w:val="20"/>
          <w:lang w:eastAsia="en-AU"/>
        </w:rPr>
        <w:instrText xml:space="preserve"> REF _Ref98759411 \h </w:instrText>
      </w:r>
      <w:r>
        <w:rPr>
          <w:rFonts w:eastAsiaTheme="minorEastAsia"/>
          <w:color w:val="1D2455"/>
          <w:szCs w:val="20"/>
          <w:lang w:eastAsia="en-AU"/>
        </w:rPr>
        <w:instrText xml:space="preserve"> \* MERGEFORMAT </w:instrText>
      </w:r>
      <w:r w:rsidRPr="007A54F0">
        <w:rPr>
          <w:rFonts w:eastAsiaTheme="minorEastAsia"/>
          <w:color w:val="1D2455"/>
          <w:szCs w:val="20"/>
          <w:lang w:eastAsia="en-AU"/>
        </w:rPr>
      </w:r>
      <w:r w:rsidRPr="007A54F0">
        <w:rPr>
          <w:rFonts w:eastAsiaTheme="minorEastAsia"/>
          <w:color w:val="1D2455"/>
          <w:szCs w:val="20"/>
          <w:lang w:eastAsia="en-AU"/>
        </w:rPr>
        <w:fldChar w:fldCharType="separate"/>
      </w:r>
      <w:r w:rsidR="003C4BC2" w:rsidRPr="003C4BC2">
        <w:rPr>
          <w:rFonts w:eastAsiaTheme="minorEastAsia"/>
          <w:color w:val="1D2455"/>
          <w:szCs w:val="20"/>
          <w:lang w:eastAsia="en-AU"/>
        </w:rPr>
        <w:t>Table 62</w:t>
      </w:r>
      <w:r w:rsidRPr="007A54F0">
        <w:rPr>
          <w:rFonts w:eastAsiaTheme="minorEastAsia"/>
          <w:color w:val="1D2455"/>
          <w:szCs w:val="20"/>
          <w:lang w:eastAsia="en-AU"/>
        </w:rPr>
        <w:fldChar w:fldCharType="end"/>
      </w:r>
      <w:r>
        <w:rPr>
          <w:szCs w:val="20"/>
        </w:rPr>
        <w:t xml:space="preserve"> shows these responses. GPs most commonly reported that they had received a plan for all or the majority of the patients that they referred.</w:t>
      </w:r>
    </w:p>
    <w:p w14:paraId="123C5C23" w14:textId="7353EE7C" w:rsidR="00EF500E" w:rsidRPr="00360C6F" w:rsidRDefault="00EF500E" w:rsidP="00EF500E">
      <w:pPr>
        <w:pStyle w:val="TableorFigurecaptionHPA"/>
      </w:pPr>
      <w:bookmarkStart w:id="457" w:name="_Ref98759411"/>
      <w:r w:rsidRPr="00360C6F">
        <w:lastRenderedPageBreak/>
        <w:t xml:space="preserve">Table </w:t>
      </w:r>
      <w:r w:rsidRPr="00360C6F">
        <w:fldChar w:fldCharType="begin"/>
      </w:r>
      <w:r w:rsidRPr="00360C6F">
        <w:instrText>SEQ Table \* ARABIC</w:instrText>
      </w:r>
      <w:r w:rsidRPr="00360C6F">
        <w:fldChar w:fldCharType="separate"/>
      </w:r>
      <w:r w:rsidR="003C4BC2">
        <w:rPr>
          <w:noProof/>
        </w:rPr>
        <w:t>62</w:t>
      </w:r>
      <w:r w:rsidRPr="00360C6F">
        <w:fldChar w:fldCharType="end"/>
      </w:r>
      <w:bookmarkEnd w:id="457"/>
      <w:r>
        <w:t xml:space="preserve">: </w:t>
      </w:r>
      <w:r w:rsidRPr="0080062F">
        <w:t>Proportion of HCH patients referred to a community pharmacist for whom the GP received a medication management plan from the community pharmacist</w:t>
      </w:r>
    </w:p>
    <w:tbl>
      <w:tblPr>
        <w:tblW w:w="8581"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7369"/>
        <w:gridCol w:w="1212"/>
      </w:tblGrid>
      <w:tr w:rsidR="00EF500E" w:rsidRPr="001C3504" w14:paraId="751B2F8B" w14:textId="77777777" w:rsidTr="00F83DE8">
        <w:trPr>
          <w:cantSplit/>
          <w:tblHeader/>
          <w:jc w:val="center"/>
        </w:trPr>
        <w:tc>
          <w:tcPr>
            <w:tcW w:w="7369" w:type="dxa"/>
            <w:shd w:val="clear" w:color="auto" w:fill="408BCA"/>
            <w:tcMar>
              <w:top w:w="0" w:type="dxa"/>
              <w:left w:w="0" w:type="dxa"/>
              <w:bottom w:w="0" w:type="dxa"/>
              <w:right w:w="0" w:type="dxa"/>
            </w:tcMar>
            <w:vAlign w:val="center"/>
          </w:tcPr>
          <w:p w14:paraId="30A753C7" w14:textId="77777777" w:rsidR="00EF500E" w:rsidRPr="001C3504" w:rsidRDefault="00EF500E" w:rsidP="00F83DE8">
            <w:pPr>
              <w:spacing w:before="20" w:after="20"/>
              <w:ind w:left="100" w:right="100"/>
              <w:jc w:val="center"/>
              <w:rPr>
                <w:sz w:val="18"/>
                <w:szCs w:val="18"/>
              </w:rPr>
            </w:pPr>
            <w:r w:rsidRPr="001C3504">
              <w:rPr>
                <w:rFonts w:eastAsia="Century Gothic" w:cs="Century Gothic"/>
                <w:b/>
                <w:color w:val="FFFFFF"/>
                <w:sz w:val="18"/>
                <w:szCs w:val="18"/>
              </w:rPr>
              <w:t>Response</w:t>
            </w:r>
          </w:p>
        </w:tc>
        <w:tc>
          <w:tcPr>
            <w:tcW w:w="1212" w:type="dxa"/>
            <w:shd w:val="clear" w:color="auto" w:fill="408BCA"/>
            <w:tcMar>
              <w:top w:w="0" w:type="dxa"/>
              <w:left w:w="0" w:type="dxa"/>
              <w:bottom w:w="0" w:type="dxa"/>
              <w:right w:w="0" w:type="dxa"/>
            </w:tcMar>
            <w:vAlign w:val="center"/>
          </w:tcPr>
          <w:p w14:paraId="1E45C174" w14:textId="77777777" w:rsidR="00EF500E" w:rsidRPr="001C3504" w:rsidRDefault="00EF500E" w:rsidP="00F83DE8">
            <w:pPr>
              <w:spacing w:before="20" w:after="20"/>
              <w:ind w:left="100" w:right="100"/>
              <w:jc w:val="center"/>
              <w:rPr>
                <w:sz w:val="18"/>
                <w:szCs w:val="18"/>
              </w:rPr>
            </w:pPr>
            <w:r w:rsidRPr="001C3504">
              <w:rPr>
                <w:rFonts w:eastAsia="Century Gothic" w:cs="Century Gothic"/>
                <w:b/>
                <w:color w:val="FFFFFF"/>
                <w:sz w:val="18"/>
                <w:szCs w:val="18"/>
              </w:rPr>
              <w:t>n (%)</w:t>
            </w:r>
          </w:p>
        </w:tc>
      </w:tr>
      <w:tr w:rsidR="00EF500E" w:rsidRPr="001C3504" w14:paraId="7844B03D" w14:textId="77777777" w:rsidTr="00F83DE8">
        <w:trPr>
          <w:cantSplit/>
          <w:jc w:val="center"/>
        </w:trPr>
        <w:tc>
          <w:tcPr>
            <w:tcW w:w="7369" w:type="dxa"/>
            <w:shd w:val="clear" w:color="auto" w:fill="FFFFFF"/>
            <w:tcMar>
              <w:top w:w="0" w:type="dxa"/>
              <w:left w:w="0" w:type="dxa"/>
              <w:bottom w:w="0" w:type="dxa"/>
              <w:right w:w="0" w:type="dxa"/>
            </w:tcMar>
            <w:vAlign w:val="center"/>
          </w:tcPr>
          <w:p w14:paraId="2EFBCE60" w14:textId="77777777" w:rsidR="00EF500E" w:rsidRPr="001C3504" w:rsidRDefault="00EF500E" w:rsidP="00F83DE8">
            <w:pPr>
              <w:spacing w:before="20" w:after="20"/>
              <w:ind w:left="100" w:right="100"/>
              <w:rPr>
                <w:sz w:val="18"/>
                <w:szCs w:val="18"/>
              </w:rPr>
            </w:pPr>
            <w:r w:rsidRPr="00E529E7">
              <w:rPr>
                <w:rFonts w:eastAsia="Century Gothic" w:cs="Century Gothic"/>
                <w:color w:val="000000"/>
                <w:sz w:val="18"/>
                <w:szCs w:val="18"/>
              </w:rPr>
              <w:t>All/majority of HCH patients</w:t>
            </w:r>
            <w:r>
              <w:rPr>
                <w:rFonts w:eastAsia="Century Gothic" w:cs="Century Gothic"/>
                <w:color w:val="000000"/>
                <w:sz w:val="18"/>
                <w:szCs w:val="18"/>
              </w:rPr>
              <w:t xml:space="preserve"> referred to a community pharmacy</w:t>
            </w:r>
            <w:r w:rsidRPr="00E529E7">
              <w:rPr>
                <w:rFonts w:eastAsia="Century Gothic" w:cs="Century Gothic"/>
                <w:color w:val="000000"/>
                <w:sz w:val="18"/>
                <w:szCs w:val="18"/>
              </w:rPr>
              <w:t xml:space="preserve"> (80–100%)</w:t>
            </w:r>
          </w:p>
        </w:tc>
        <w:tc>
          <w:tcPr>
            <w:tcW w:w="1212" w:type="dxa"/>
            <w:shd w:val="clear" w:color="auto" w:fill="FFFFFF"/>
            <w:tcMar>
              <w:top w:w="0" w:type="dxa"/>
              <w:left w:w="0" w:type="dxa"/>
              <w:bottom w:w="0" w:type="dxa"/>
              <w:right w:w="0" w:type="dxa"/>
            </w:tcMar>
            <w:vAlign w:val="center"/>
          </w:tcPr>
          <w:p w14:paraId="0D28FB7D" w14:textId="77777777" w:rsidR="00EF500E" w:rsidRPr="001C3504" w:rsidRDefault="00EF500E" w:rsidP="00F83DE8">
            <w:pPr>
              <w:spacing w:before="20" w:after="20"/>
              <w:ind w:left="100" w:right="100"/>
              <w:jc w:val="right"/>
              <w:rPr>
                <w:sz w:val="18"/>
                <w:szCs w:val="18"/>
              </w:rPr>
            </w:pPr>
            <w:r w:rsidRPr="002A3EE2">
              <w:rPr>
                <w:sz w:val="18"/>
                <w:szCs w:val="18"/>
              </w:rPr>
              <w:t>9 (38%)</w:t>
            </w:r>
          </w:p>
        </w:tc>
      </w:tr>
      <w:tr w:rsidR="00EF500E" w:rsidRPr="001C3504" w14:paraId="39024AA8" w14:textId="77777777" w:rsidTr="00F83DE8">
        <w:trPr>
          <w:cantSplit/>
          <w:jc w:val="center"/>
        </w:trPr>
        <w:tc>
          <w:tcPr>
            <w:tcW w:w="7369" w:type="dxa"/>
            <w:shd w:val="clear" w:color="auto" w:fill="FFFFFF"/>
            <w:tcMar>
              <w:top w:w="0" w:type="dxa"/>
              <w:left w:w="0" w:type="dxa"/>
              <w:bottom w:w="0" w:type="dxa"/>
              <w:right w:w="0" w:type="dxa"/>
            </w:tcMar>
            <w:vAlign w:val="center"/>
          </w:tcPr>
          <w:p w14:paraId="7E2A1F73" w14:textId="77777777" w:rsidR="00EF500E" w:rsidRPr="001C3504" w:rsidRDefault="00EF500E" w:rsidP="00F83DE8">
            <w:pPr>
              <w:spacing w:before="20" w:after="20"/>
              <w:ind w:left="100" w:right="100"/>
              <w:rPr>
                <w:sz w:val="18"/>
                <w:szCs w:val="18"/>
              </w:rPr>
            </w:pPr>
            <w:r w:rsidRPr="002D369D">
              <w:rPr>
                <w:sz w:val="18"/>
                <w:szCs w:val="18"/>
              </w:rPr>
              <w:t>Most HCH patients</w:t>
            </w:r>
            <w:r>
              <w:rPr>
                <w:sz w:val="18"/>
                <w:szCs w:val="18"/>
              </w:rPr>
              <w:t xml:space="preserve"> </w:t>
            </w:r>
            <w:r>
              <w:rPr>
                <w:rFonts w:eastAsia="Century Gothic" w:cs="Century Gothic"/>
                <w:color w:val="000000"/>
                <w:sz w:val="18"/>
                <w:szCs w:val="18"/>
              </w:rPr>
              <w:t>referred to a community pharmacy</w:t>
            </w:r>
            <w:r w:rsidRPr="002D369D">
              <w:rPr>
                <w:sz w:val="18"/>
                <w:szCs w:val="18"/>
              </w:rPr>
              <w:t xml:space="preserve"> (50–79%)</w:t>
            </w:r>
          </w:p>
        </w:tc>
        <w:tc>
          <w:tcPr>
            <w:tcW w:w="1212" w:type="dxa"/>
            <w:shd w:val="clear" w:color="auto" w:fill="FFFFFF"/>
            <w:tcMar>
              <w:top w:w="0" w:type="dxa"/>
              <w:left w:w="0" w:type="dxa"/>
              <w:bottom w:w="0" w:type="dxa"/>
              <w:right w:w="0" w:type="dxa"/>
            </w:tcMar>
            <w:vAlign w:val="center"/>
          </w:tcPr>
          <w:p w14:paraId="31057265" w14:textId="77777777" w:rsidR="00EF500E" w:rsidRPr="001C3504" w:rsidRDefault="00EF500E" w:rsidP="00F83DE8">
            <w:pPr>
              <w:spacing w:before="20" w:after="20"/>
              <w:ind w:left="100" w:right="100"/>
              <w:jc w:val="right"/>
              <w:rPr>
                <w:sz w:val="18"/>
                <w:szCs w:val="18"/>
              </w:rPr>
            </w:pPr>
            <w:r w:rsidRPr="002A3EE2">
              <w:rPr>
                <w:sz w:val="18"/>
                <w:szCs w:val="18"/>
              </w:rPr>
              <w:t>3 (12%)</w:t>
            </w:r>
          </w:p>
        </w:tc>
      </w:tr>
      <w:tr w:rsidR="00EF500E" w:rsidRPr="001C3504" w14:paraId="6A86F0D3" w14:textId="77777777" w:rsidTr="00F83DE8">
        <w:trPr>
          <w:cantSplit/>
          <w:jc w:val="center"/>
        </w:trPr>
        <w:tc>
          <w:tcPr>
            <w:tcW w:w="7369" w:type="dxa"/>
            <w:shd w:val="clear" w:color="auto" w:fill="FFFFFF"/>
            <w:tcMar>
              <w:top w:w="0" w:type="dxa"/>
              <w:left w:w="0" w:type="dxa"/>
              <w:bottom w:w="0" w:type="dxa"/>
              <w:right w:w="0" w:type="dxa"/>
            </w:tcMar>
            <w:vAlign w:val="center"/>
          </w:tcPr>
          <w:p w14:paraId="27F6F130" w14:textId="77777777" w:rsidR="00EF500E" w:rsidRPr="001C3504" w:rsidRDefault="00EF500E" w:rsidP="00F83DE8">
            <w:pPr>
              <w:spacing w:before="20" w:after="20"/>
              <w:ind w:left="100" w:right="100"/>
              <w:rPr>
                <w:sz w:val="18"/>
                <w:szCs w:val="18"/>
              </w:rPr>
            </w:pPr>
            <w:r w:rsidRPr="002D369D">
              <w:rPr>
                <w:sz w:val="18"/>
                <w:szCs w:val="18"/>
              </w:rPr>
              <w:t>Some HCH patients</w:t>
            </w:r>
            <w:r>
              <w:rPr>
                <w:sz w:val="18"/>
                <w:szCs w:val="18"/>
              </w:rPr>
              <w:t xml:space="preserve"> </w:t>
            </w:r>
            <w:r>
              <w:rPr>
                <w:rFonts w:eastAsia="Century Gothic" w:cs="Century Gothic"/>
                <w:color w:val="000000"/>
                <w:sz w:val="18"/>
                <w:szCs w:val="18"/>
              </w:rPr>
              <w:t>referred to a community pharmacy</w:t>
            </w:r>
            <w:r w:rsidRPr="002D369D">
              <w:rPr>
                <w:sz w:val="18"/>
                <w:szCs w:val="18"/>
              </w:rPr>
              <w:t xml:space="preserve"> (20–49%)</w:t>
            </w:r>
          </w:p>
        </w:tc>
        <w:tc>
          <w:tcPr>
            <w:tcW w:w="1212" w:type="dxa"/>
            <w:shd w:val="clear" w:color="auto" w:fill="FFFFFF"/>
            <w:tcMar>
              <w:top w:w="0" w:type="dxa"/>
              <w:left w:w="0" w:type="dxa"/>
              <w:bottom w:w="0" w:type="dxa"/>
              <w:right w:w="0" w:type="dxa"/>
            </w:tcMar>
            <w:vAlign w:val="center"/>
          </w:tcPr>
          <w:p w14:paraId="478F9654" w14:textId="77777777" w:rsidR="00EF500E" w:rsidRPr="001C3504" w:rsidRDefault="00EF500E" w:rsidP="00F83DE8">
            <w:pPr>
              <w:spacing w:before="20" w:after="20"/>
              <w:ind w:left="100" w:right="100"/>
              <w:jc w:val="right"/>
              <w:rPr>
                <w:sz w:val="18"/>
                <w:szCs w:val="18"/>
              </w:rPr>
            </w:pPr>
            <w:r w:rsidRPr="002A3EE2">
              <w:rPr>
                <w:sz w:val="18"/>
                <w:szCs w:val="18"/>
              </w:rPr>
              <w:t>6 (25%)</w:t>
            </w:r>
          </w:p>
        </w:tc>
      </w:tr>
      <w:tr w:rsidR="00EF500E" w:rsidRPr="001C3504" w14:paraId="7ADE5211" w14:textId="77777777" w:rsidTr="00F83DE8">
        <w:trPr>
          <w:cantSplit/>
          <w:jc w:val="center"/>
        </w:trPr>
        <w:tc>
          <w:tcPr>
            <w:tcW w:w="7369" w:type="dxa"/>
            <w:shd w:val="clear" w:color="auto" w:fill="FFFFFF"/>
            <w:tcMar>
              <w:top w:w="0" w:type="dxa"/>
              <w:left w:w="0" w:type="dxa"/>
              <w:bottom w:w="0" w:type="dxa"/>
              <w:right w:w="0" w:type="dxa"/>
            </w:tcMar>
            <w:vAlign w:val="center"/>
          </w:tcPr>
          <w:p w14:paraId="55D1C676" w14:textId="77777777" w:rsidR="00EF500E" w:rsidRPr="001C3504" w:rsidRDefault="00EF500E" w:rsidP="00F83DE8">
            <w:pPr>
              <w:spacing w:before="20" w:after="20"/>
              <w:ind w:left="100" w:right="100"/>
              <w:rPr>
                <w:sz w:val="18"/>
                <w:szCs w:val="18"/>
              </w:rPr>
            </w:pPr>
            <w:r w:rsidRPr="002D369D">
              <w:rPr>
                <w:sz w:val="18"/>
                <w:szCs w:val="18"/>
              </w:rPr>
              <w:t>No</w:t>
            </w:r>
            <w:r>
              <w:rPr>
                <w:sz w:val="18"/>
                <w:szCs w:val="18"/>
              </w:rPr>
              <w:t>ne</w:t>
            </w:r>
            <w:r w:rsidRPr="002D369D">
              <w:rPr>
                <w:sz w:val="18"/>
                <w:szCs w:val="18"/>
              </w:rPr>
              <w:t>/very few HCH patients</w:t>
            </w:r>
            <w:r>
              <w:rPr>
                <w:sz w:val="18"/>
                <w:szCs w:val="18"/>
              </w:rPr>
              <w:t xml:space="preserve"> </w:t>
            </w:r>
            <w:r>
              <w:rPr>
                <w:rFonts w:eastAsia="Century Gothic" w:cs="Century Gothic"/>
                <w:color w:val="000000"/>
                <w:sz w:val="18"/>
                <w:szCs w:val="18"/>
              </w:rPr>
              <w:t>referred to a community pharmacy</w:t>
            </w:r>
            <w:r w:rsidRPr="002D369D">
              <w:rPr>
                <w:sz w:val="18"/>
                <w:szCs w:val="18"/>
              </w:rPr>
              <w:t xml:space="preserve"> (</w:t>
            </w:r>
            <w:r>
              <w:rPr>
                <w:sz w:val="18"/>
                <w:szCs w:val="18"/>
              </w:rPr>
              <w:t>l</w:t>
            </w:r>
            <w:r w:rsidRPr="002D369D">
              <w:rPr>
                <w:sz w:val="18"/>
                <w:szCs w:val="18"/>
              </w:rPr>
              <w:t>ess than 20%)</w:t>
            </w:r>
            <w:r w:rsidRPr="002D369D">
              <w:rPr>
                <w:sz w:val="18"/>
                <w:szCs w:val="18"/>
              </w:rPr>
              <w:tab/>
            </w:r>
          </w:p>
        </w:tc>
        <w:tc>
          <w:tcPr>
            <w:tcW w:w="1212" w:type="dxa"/>
            <w:shd w:val="clear" w:color="auto" w:fill="FFFFFF"/>
            <w:tcMar>
              <w:top w:w="0" w:type="dxa"/>
              <w:left w:w="0" w:type="dxa"/>
              <w:bottom w:w="0" w:type="dxa"/>
              <w:right w:w="0" w:type="dxa"/>
            </w:tcMar>
            <w:vAlign w:val="center"/>
          </w:tcPr>
          <w:p w14:paraId="6BB787B6" w14:textId="77777777" w:rsidR="00EF500E" w:rsidRPr="001C3504" w:rsidRDefault="00EF500E" w:rsidP="00F83DE8">
            <w:pPr>
              <w:spacing w:before="20" w:after="20"/>
              <w:ind w:left="100" w:right="100"/>
              <w:jc w:val="right"/>
              <w:rPr>
                <w:sz w:val="18"/>
                <w:szCs w:val="18"/>
              </w:rPr>
            </w:pPr>
            <w:r w:rsidRPr="002A3EE2">
              <w:rPr>
                <w:sz w:val="18"/>
                <w:szCs w:val="18"/>
              </w:rPr>
              <w:t>6 (25%)</w:t>
            </w:r>
          </w:p>
        </w:tc>
      </w:tr>
    </w:tbl>
    <w:p w14:paraId="19A7D46E" w14:textId="578C84BE" w:rsidR="00EF500E" w:rsidRDefault="00EF500E" w:rsidP="00EF500E">
      <w:pPr>
        <w:pStyle w:val="Source"/>
      </w:pPr>
      <w:r w:rsidRPr="001C3504">
        <w:t xml:space="preserve">Source: </w:t>
      </w:r>
      <w:r>
        <w:t>Staff survey</w:t>
      </w:r>
      <w:r w:rsidRPr="001C3504">
        <w:t xml:space="preserve"> </w:t>
      </w:r>
      <w:r>
        <w:t>R</w:t>
      </w:r>
      <w:r w:rsidRPr="001C3504">
        <w:t>5</w:t>
      </w:r>
      <w:r w:rsidR="00EF50F9">
        <w:t xml:space="preserve"> Mar–May 2021</w:t>
      </w:r>
      <w:r w:rsidRPr="001C3504">
        <w:t xml:space="preserve">, </w:t>
      </w:r>
      <w:r>
        <w:t>question</w:t>
      </w:r>
      <w:r w:rsidRPr="001C3504">
        <w:t xml:space="preserve"> 16</w:t>
      </w:r>
      <w:r>
        <w:t>C</w:t>
      </w:r>
      <w:r w:rsidR="002B2B71">
        <w:t>.</w:t>
      </w:r>
    </w:p>
    <w:p w14:paraId="1509E738" w14:textId="77777777" w:rsidR="00E874DD" w:rsidRPr="00F71DF5" w:rsidRDefault="00E874DD" w:rsidP="0050541D">
      <w:pPr>
        <w:pStyle w:val="Heading3"/>
      </w:pPr>
      <w:r w:rsidRPr="00F71DF5">
        <w:t>Support services</w:t>
      </w:r>
    </w:p>
    <w:p w14:paraId="17B35388" w14:textId="3C23CCE0" w:rsidR="00187028" w:rsidRPr="00AE3B66" w:rsidRDefault="00E874DD" w:rsidP="00187028">
      <w:pPr>
        <w:spacing w:after="0"/>
        <w:textAlignment w:val="baseline"/>
        <w:rPr>
          <w:rFonts w:ascii="Arial" w:eastAsia="Times New Roman" w:hAnsi="Arial" w:cs="Arial"/>
          <w:szCs w:val="20"/>
          <w:lang w:eastAsia="en-AU"/>
        </w:rPr>
      </w:pPr>
      <w:r w:rsidRPr="00925C4B">
        <w:rPr>
          <w:rFonts w:eastAsia="Times New Roman" w:cs="Segoe UI"/>
          <w:szCs w:val="20"/>
          <w:lang w:eastAsia="en-AU"/>
        </w:rPr>
        <w:t>Patients were offered services to help them achieve the goals they agreed to in their MMP. </w:t>
      </w:r>
      <w:r w:rsidR="00AE5C62" w:rsidRPr="006524FD">
        <w:rPr>
          <w:rFonts w:eastAsia="Times New Roman" w:cs="Segoe UI"/>
          <w:color w:val="1D2455"/>
          <w:szCs w:val="20"/>
          <w:lang w:eastAsia="en-AU"/>
        </w:rPr>
        <w:fldChar w:fldCharType="begin"/>
      </w:r>
      <w:r w:rsidR="00AE5C62" w:rsidRPr="00034863">
        <w:rPr>
          <w:rFonts w:eastAsia="Times New Roman" w:cs="Segoe UI"/>
          <w:b/>
          <w:color w:val="1D2455"/>
          <w:szCs w:val="20"/>
          <w:lang w:eastAsia="en-AU"/>
        </w:rPr>
        <w:instrText xml:space="preserve"> REF _Ref85042416 \h  \* MERGEFORMAT </w:instrText>
      </w:r>
      <w:r w:rsidR="00AE5C62" w:rsidRPr="006524FD">
        <w:rPr>
          <w:rFonts w:eastAsia="Times New Roman" w:cs="Segoe UI"/>
          <w:color w:val="1D2455"/>
          <w:szCs w:val="20"/>
          <w:lang w:eastAsia="en-AU"/>
        </w:rPr>
      </w:r>
      <w:r w:rsidR="00AE5C62" w:rsidRPr="006524FD">
        <w:rPr>
          <w:rFonts w:eastAsia="Times New Roman" w:cs="Segoe UI"/>
          <w:color w:val="1D2455"/>
          <w:szCs w:val="20"/>
          <w:lang w:eastAsia="en-AU"/>
        </w:rPr>
        <w:fldChar w:fldCharType="separate"/>
      </w:r>
      <w:r w:rsidR="003C4BC2" w:rsidRPr="003C4BC2">
        <w:rPr>
          <w:rFonts w:eastAsia="Times New Roman" w:cs="Segoe UI"/>
          <w:color w:val="1D2455"/>
          <w:szCs w:val="20"/>
          <w:lang w:eastAsia="en-AU"/>
        </w:rPr>
        <w:t>Table 63</w:t>
      </w:r>
      <w:r w:rsidR="00AE5C62" w:rsidRPr="006524FD">
        <w:rPr>
          <w:rFonts w:eastAsia="Times New Roman" w:cs="Segoe UI"/>
          <w:color w:val="1D2455"/>
          <w:szCs w:val="20"/>
          <w:lang w:eastAsia="en-AU"/>
        </w:rPr>
        <w:fldChar w:fldCharType="end"/>
      </w:r>
      <w:r w:rsidR="00AE5C62" w:rsidRPr="00925C4B">
        <w:rPr>
          <w:rFonts w:eastAsia="Times New Roman" w:cs="Segoe UI"/>
          <w:szCs w:val="20"/>
          <w:lang w:eastAsia="en-AU"/>
        </w:rPr>
        <w:t xml:space="preserve"> </w:t>
      </w:r>
      <w:r w:rsidRPr="00925C4B">
        <w:rPr>
          <w:rFonts w:eastAsia="Times New Roman" w:cs="Segoe UI"/>
          <w:szCs w:val="20"/>
          <w:lang w:eastAsia="en-AU"/>
        </w:rPr>
        <w:t xml:space="preserve">shows the support services offered to patients </w:t>
      </w:r>
      <w:r w:rsidR="00990B87">
        <w:rPr>
          <w:rFonts w:eastAsia="Times New Roman" w:cs="Segoe UI"/>
          <w:szCs w:val="20"/>
          <w:lang w:eastAsia="en-AU"/>
        </w:rPr>
        <w:t>for</w:t>
      </w:r>
      <w:r w:rsidRPr="00925C4B">
        <w:rPr>
          <w:rFonts w:eastAsia="Times New Roman" w:cs="Segoe UI"/>
          <w:szCs w:val="20"/>
          <w:lang w:eastAsia="en-AU"/>
        </w:rPr>
        <w:t xml:space="preserve"> their identified goals</w:t>
      </w:r>
      <w:r w:rsidRPr="00AE3B66">
        <w:rPr>
          <w:rFonts w:eastAsia="Times New Roman" w:cs="Segoe UI"/>
          <w:szCs w:val="20"/>
          <w:lang w:eastAsia="en-AU"/>
        </w:rPr>
        <w:t xml:space="preserve">. </w:t>
      </w:r>
      <w:r w:rsidR="00257D65" w:rsidRPr="00AE3B66">
        <w:rPr>
          <w:rFonts w:eastAsia="Times New Roman" w:cs="Segoe UI"/>
          <w:szCs w:val="20"/>
          <w:lang w:eastAsia="en-AU"/>
        </w:rPr>
        <w:t>T</w:t>
      </w:r>
      <w:r w:rsidRPr="00AE3B66">
        <w:rPr>
          <w:rFonts w:eastAsia="Times New Roman" w:cs="Segoe UI"/>
          <w:szCs w:val="20"/>
          <w:lang w:eastAsia="en-AU"/>
        </w:rPr>
        <w:t xml:space="preserve">he most common </w:t>
      </w:r>
      <w:r w:rsidR="00AE3B66" w:rsidRPr="00AE3B66">
        <w:rPr>
          <w:rFonts w:eastAsia="Times New Roman" w:cs="Segoe UI"/>
          <w:szCs w:val="20"/>
          <w:lang w:eastAsia="en-AU"/>
        </w:rPr>
        <w:t xml:space="preserve">support </w:t>
      </w:r>
      <w:r w:rsidRPr="00AE3B66">
        <w:rPr>
          <w:rFonts w:eastAsia="Times New Roman" w:cs="Segoe UI"/>
          <w:szCs w:val="20"/>
          <w:lang w:eastAsia="en-AU"/>
        </w:rPr>
        <w:t>service</w:t>
      </w:r>
      <w:r w:rsidR="00AE3B66" w:rsidRPr="00AE3B66">
        <w:rPr>
          <w:rFonts w:eastAsia="Times New Roman" w:cs="Segoe UI"/>
          <w:szCs w:val="20"/>
          <w:lang w:eastAsia="en-AU"/>
        </w:rPr>
        <w:t>s</w:t>
      </w:r>
      <w:r w:rsidRPr="00AE3B66">
        <w:rPr>
          <w:rFonts w:eastAsia="Times New Roman" w:cs="Segoe UI"/>
          <w:szCs w:val="20"/>
          <w:lang w:eastAsia="en-AU"/>
        </w:rPr>
        <w:t xml:space="preserve"> offered </w:t>
      </w:r>
      <w:r w:rsidR="00257D65" w:rsidRPr="00AE3B66">
        <w:rPr>
          <w:rFonts w:eastAsia="Times New Roman" w:cs="Segoe UI"/>
          <w:szCs w:val="20"/>
          <w:lang w:eastAsia="en-AU"/>
        </w:rPr>
        <w:t>were</w:t>
      </w:r>
      <w:r w:rsidRPr="00AE3B66">
        <w:rPr>
          <w:rFonts w:eastAsia="Times New Roman" w:cs="Segoe UI"/>
          <w:szCs w:val="20"/>
          <w:lang w:eastAsia="en-AU"/>
        </w:rPr>
        <w:t> dose administration aid</w:t>
      </w:r>
      <w:r w:rsidR="00AE3B66" w:rsidRPr="00AE3B66">
        <w:rPr>
          <w:rFonts w:eastAsia="Times New Roman" w:cs="Segoe UI"/>
          <w:szCs w:val="20"/>
          <w:lang w:eastAsia="en-AU"/>
        </w:rPr>
        <w:t>s</w:t>
      </w:r>
      <w:r w:rsidRPr="00AE3B66">
        <w:rPr>
          <w:rFonts w:eastAsia="Times New Roman" w:cs="Segoe UI"/>
          <w:szCs w:val="20"/>
          <w:lang w:eastAsia="en-AU"/>
        </w:rPr>
        <w:t xml:space="preserve"> (</w:t>
      </w:r>
      <w:r w:rsidR="00BF5007" w:rsidRPr="00AE3B66">
        <w:rPr>
          <w:rFonts w:eastAsia="Times New Roman" w:cs="Segoe UI"/>
          <w:szCs w:val="20"/>
          <w:lang w:eastAsia="en-AU"/>
        </w:rPr>
        <w:t>25%) and blood pressure monitoring (23%).</w:t>
      </w:r>
    </w:p>
    <w:p w14:paraId="31EDDD97" w14:textId="77777777" w:rsidR="00E874DD" w:rsidRPr="00AE3B66" w:rsidRDefault="00E874DD" w:rsidP="00E874DD">
      <w:pPr>
        <w:spacing w:after="0"/>
        <w:textAlignment w:val="baseline"/>
        <w:rPr>
          <w:rFonts w:ascii="Segoe UI" w:eastAsia="Times New Roman" w:hAnsi="Segoe UI" w:cs="Segoe UI"/>
          <w:sz w:val="18"/>
          <w:szCs w:val="18"/>
          <w:lang w:eastAsia="en-AU"/>
        </w:rPr>
      </w:pPr>
    </w:p>
    <w:p w14:paraId="0D5ABA1B" w14:textId="3D1F52C7" w:rsidR="00E874DD" w:rsidRPr="000C3FBF" w:rsidRDefault="00E874DD" w:rsidP="000C3FBF">
      <w:pPr>
        <w:pStyle w:val="tabletitle"/>
      </w:pPr>
      <w:bookmarkStart w:id="458" w:name="_Ref85042416"/>
      <w:r w:rsidRPr="00AE3B66">
        <w:t>Table </w:t>
      </w:r>
      <w:r w:rsidR="00A61B29">
        <w:fldChar w:fldCharType="begin"/>
      </w:r>
      <w:r w:rsidR="00A61B29">
        <w:instrText xml:space="preserve"> SEQ Table\* ARABIC </w:instrText>
      </w:r>
      <w:r w:rsidR="00A61B29">
        <w:fldChar w:fldCharType="separate"/>
      </w:r>
      <w:r w:rsidR="003C4BC2">
        <w:rPr>
          <w:noProof/>
        </w:rPr>
        <w:t>63</w:t>
      </w:r>
      <w:r w:rsidR="00A61B29">
        <w:rPr>
          <w:noProof/>
        </w:rPr>
        <w:fldChar w:fldCharType="end"/>
      </w:r>
      <w:bookmarkEnd w:id="458"/>
      <w:r w:rsidR="000C3FBF" w:rsidRPr="00AE3B66">
        <w:t>:</w:t>
      </w:r>
      <w:r w:rsidRPr="00AE3B66">
        <w:t xml:space="preserve"> Support services provided by community pharmacist</w:t>
      </w:r>
      <w:r w:rsidRPr="000C3FBF">
        <w:t> </w:t>
      </w:r>
    </w:p>
    <w:tbl>
      <w:tblPr>
        <w:tblW w:w="9242" w:type="dxa"/>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A0" w:firstRow="1" w:lastRow="0" w:firstColumn="1" w:lastColumn="0" w:noHBand="0" w:noVBand="1"/>
      </w:tblPr>
      <w:tblGrid>
        <w:gridCol w:w="2660"/>
        <w:gridCol w:w="1097"/>
        <w:gridCol w:w="1097"/>
        <w:gridCol w:w="1097"/>
        <w:gridCol w:w="1097"/>
        <w:gridCol w:w="1097"/>
        <w:gridCol w:w="1097"/>
      </w:tblGrid>
      <w:tr w:rsidR="00E874DD" w:rsidRPr="00925C4B" w14:paraId="7F640432" w14:textId="77777777" w:rsidTr="005F194D">
        <w:trPr>
          <w:trHeight w:val="300"/>
        </w:trPr>
        <w:tc>
          <w:tcPr>
            <w:tcW w:w="2660" w:type="dxa"/>
            <w:vMerge w:val="restart"/>
            <w:shd w:val="clear" w:color="auto" w:fill="408BCA"/>
            <w:vAlign w:val="center"/>
            <w:hideMark/>
          </w:tcPr>
          <w:p w14:paraId="6CA265E3" w14:textId="318C7FD8" w:rsidR="00E874DD" w:rsidRPr="005F194D" w:rsidRDefault="00E874DD" w:rsidP="005F194D">
            <w:pPr>
              <w:spacing w:after="0"/>
              <w:jc w:val="center"/>
              <w:textAlignment w:val="baseline"/>
              <w:rPr>
                <w:rFonts w:ascii="Times New Roman" w:eastAsia="Times New Roman" w:hAnsi="Times New Roman"/>
                <w:b/>
                <w:bCs/>
                <w:sz w:val="24"/>
                <w:szCs w:val="24"/>
                <w:lang w:eastAsia="en-AU"/>
              </w:rPr>
            </w:pPr>
            <w:r w:rsidRPr="005F194D">
              <w:rPr>
                <w:rFonts w:eastAsia="Times New Roman"/>
                <w:b/>
                <w:bCs/>
                <w:color w:val="FFFFFF"/>
                <w:sz w:val="18"/>
                <w:szCs w:val="18"/>
                <w:lang w:eastAsia="en-AU"/>
              </w:rPr>
              <w:t>Goal</w:t>
            </w:r>
          </w:p>
        </w:tc>
        <w:tc>
          <w:tcPr>
            <w:tcW w:w="6582" w:type="dxa"/>
            <w:gridSpan w:val="6"/>
            <w:shd w:val="clear" w:color="auto" w:fill="408BCA"/>
            <w:hideMark/>
          </w:tcPr>
          <w:p w14:paraId="2D2BABA1" w14:textId="426C5B5F" w:rsidR="00E874DD" w:rsidRPr="005F194D" w:rsidRDefault="00E874DD" w:rsidP="0032660B">
            <w:pPr>
              <w:spacing w:after="0"/>
              <w:jc w:val="center"/>
              <w:textAlignment w:val="baseline"/>
              <w:rPr>
                <w:rFonts w:ascii="Times New Roman" w:eastAsia="Times New Roman" w:hAnsi="Times New Roman"/>
                <w:b/>
                <w:bCs/>
                <w:sz w:val="24"/>
                <w:szCs w:val="24"/>
                <w:lang w:eastAsia="en-AU"/>
              </w:rPr>
            </w:pPr>
            <w:r w:rsidRPr="005F194D">
              <w:rPr>
                <w:rFonts w:eastAsia="Times New Roman"/>
                <w:b/>
                <w:bCs/>
                <w:color w:val="FFFFFF"/>
                <w:sz w:val="18"/>
                <w:szCs w:val="18"/>
                <w:lang w:eastAsia="en-AU"/>
              </w:rPr>
              <w:t>Number receiving service (</w:t>
            </w:r>
            <w:r w:rsidR="00311D7D" w:rsidRPr="005F194D">
              <w:rPr>
                <w:rFonts w:eastAsia="Times New Roman"/>
                <w:b/>
                <w:bCs/>
                <w:color w:val="FFFFFF"/>
                <w:sz w:val="18"/>
                <w:szCs w:val="18"/>
                <w:lang w:eastAsia="en-AU"/>
              </w:rPr>
              <w:t>%</w:t>
            </w:r>
            <w:r w:rsidRPr="005F194D">
              <w:rPr>
                <w:rFonts w:eastAsia="Times New Roman"/>
                <w:b/>
                <w:bCs/>
                <w:color w:val="FFFFFF"/>
                <w:sz w:val="18"/>
                <w:szCs w:val="18"/>
                <w:lang w:eastAsia="en-AU"/>
              </w:rPr>
              <w:t xml:space="preserve"> of patients with goal) </w:t>
            </w:r>
          </w:p>
        </w:tc>
      </w:tr>
      <w:tr w:rsidR="005A3CDF" w:rsidRPr="00925C4B" w14:paraId="253C6F6B" w14:textId="77777777" w:rsidTr="005F194D">
        <w:trPr>
          <w:trHeight w:val="750"/>
        </w:trPr>
        <w:tc>
          <w:tcPr>
            <w:tcW w:w="2660" w:type="dxa"/>
            <w:vMerge/>
            <w:shd w:val="clear" w:color="auto" w:fill="408BCA"/>
            <w:hideMark/>
          </w:tcPr>
          <w:p w14:paraId="3B01E1A8" w14:textId="77777777" w:rsidR="00E874DD" w:rsidRPr="00925C4B" w:rsidRDefault="00E874DD" w:rsidP="0032660B">
            <w:pPr>
              <w:spacing w:after="0"/>
              <w:rPr>
                <w:rFonts w:ascii="Times New Roman" w:eastAsia="Times New Roman" w:hAnsi="Times New Roman"/>
                <w:sz w:val="24"/>
                <w:szCs w:val="24"/>
                <w:lang w:eastAsia="en-AU"/>
              </w:rPr>
            </w:pPr>
          </w:p>
        </w:tc>
        <w:tc>
          <w:tcPr>
            <w:tcW w:w="1097" w:type="dxa"/>
            <w:shd w:val="clear" w:color="auto" w:fill="408BCA"/>
            <w:hideMark/>
          </w:tcPr>
          <w:p w14:paraId="523ACEA9" w14:textId="277B2275" w:rsidR="00E874DD" w:rsidRPr="00060209" w:rsidRDefault="00E874DD" w:rsidP="0029250F">
            <w:pPr>
              <w:spacing w:after="0"/>
              <w:jc w:val="center"/>
              <w:textAlignment w:val="baseline"/>
              <w:rPr>
                <w:rFonts w:ascii="Times New Roman" w:eastAsia="Times New Roman" w:hAnsi="Times New Roman"/>
                <w:sz w:val="16"/>
                <w:szCs w:val="16"/>
                <w:lang w:eastAsia="en-AU"/>
              </w:rPr>
            </w:pPr>
            <w:r w:rsidRPr="00060209">
              <w:rPr>
                <w:rFonts w:eastAsia="Times New Roman"/>
                <w:b/>
                <w:bCs/>
                <w:color w:val="FFFFFF"/>
                <w:sz w:val="16"/>
                <w:szCs w:val="16"/>
                <w:lang w:eastAsia="en-AU"/>
              </w:rPr>
              <w:t>Asthma manage</w:t>
            </w:r>
            <w:r w:rsidR="00B31074" w:rsidRPr="00060209">
              <w:rPr>
                <w:rFonts w:eastAsia="Times New Roman"/>
                <w:b/>
                <w:bCs/>
                <w:color w:val="FFFFFF"/>
                <w:sz w:val="16"/>
                <w:szCs w:val="16"/>
                <w:lang w:eastAsia="en-AU"/>
              </w:rPr>
              <w:t>-</w:t>
            </w:r>
            <w:proofErr w:type="spellStart"/>
            <w:r w:rsidRPr="00060209">
              <w:rPr>
                <w:rFonts w:eastAsia="Times New Roman"/>
                <w:b/>
                <w:bCs/>
                <w:color w:val="FFFFFF"/>
                <w:sz w:val="16"/>
                <w:szCs w:val="16"/>
                <w:lang w:eastAsia="en-AU"/>
              </w:rPr>
              <w:t>ment</w:t>
            </w:r>
            <w:proofErr w:type="spellEnd"/>
            <w:r w:rsidRPr="00060209">
              <w:rPr>
                <w:rFonts w:eastAsia="Times New Roman"/>
                <w:b/>
                <w:bCs/>
                <w:color w:val="FFFFFF"/>
                <w:sz w:val="16"/>
                <w:szCs w:val="16"/>
                <w:lang w:eastAsia="en-AU"/>
              </w:rPr>
              <w:t xml:space="preserve"> plan</w:t>
            </w:r>
            <w:r w:rsidRPr="00060209">
              <w:rPr>
                <w:rFonts w:eastAsia="Times New Roman"/>
                <w:color w:val="FFFFFF"/>
                <w:sz w:val="16"/>
                <w:szCs w:val="16"/>
                <w:lang w:eastAsia="en-AU"/>
              </w:rPr>
              <w:t> </w:t>
            </w:r>
          </w:p>
        </w:tc>
        <w:tc>
          <w:tcPr>
            <w:tcW w:w="1097" w:type="dxa"/>
            <w:shd w:val="clear" w:color="auto" w:fill="408BCA"/>
            <w:hideMark/>
          </w:tcPr>
          <w:p w14:paraId="57A7E829" w14:textId="77777777" w:rsidR="00B31074" w:rsidRPr="00060209" w:rsidRDefault="00E874DD" w:rsidP="0029250F">
            <w:pPr>
              <w:spacing w:after="0"/>
              <w:jc w:val="center"/>
              <w:textAlignment w:val="baseline"/>
              <w:rPr>
                <w:rFonts w:eastAsia="Times New Roman"/>
                <w:b/>
                <w:bCs/>
                <w:color w:val="FFFFFF"/>
                <w:sz w:val="16"/>
                <w:szCs w:val="16"/>
                <w:lang w:eastAsia="en-AU"/>
              </w:rPr>
            </w:pPr>
            <w:r w:rsidRPr="00060209">
              <w:rPr>
                <w:rFonts w:eastAsia="Times New Roman"/>
                <w:b/>
                <w:bCs/>
                <w:color w:val="FFFFFF"/>
                <w:sz w:val="16"/>
                <w:szCs w:val="16"/>
                <w:lang w:eastAsia="en-AU"/>
              </w:rPr>
              <w:t>Blood </w:t>
            </w:r>
          </w:p>
          <w:p w14:paraId="35170110" w14:textId="5F825EC9" w:rsidR="00E874DD" w:rsidRPr="00060209" w:rsidRDefault="00E874DD" w:rsidP="0029250F">
            <w:pPr>
              <w:spacing w:after="0"/>
              <w:jc w:val="center"/>
              <w:textAlignment w:val="baseline"/>
              <w:rPr>
                <w:rFonts w:ascii="Times New Roman" w:eastAsia="Times New Roman" w:hAnsi="Times New Roman"/>
                <w:sz w:val="16"/>
                <w:szCs w:val="16"/>
                <w:lang w:eastAsia="en-AU"/>
              </w:rPr>
            </w:pPr>
            <w:proofErr w:type="spellStart"/>
            <w:r w:rsidRPr="00060209">
              <w:rPr>
                <w:rFonts w:eastAsia="Times New Roman"/>
                <w:b/>
                <w:bCs/>
                <w:color w:val="FFFFFF"/>
                <w:sz w:val="16"/>
                <w:szCs w:val="16"/>
                <w:lang w:eastAsia="en-AU"/>
              </w:rPr>
              <w:t>gluose</w:t>
            </w:r>
            <w:proofErr w:type="spellEnd"/>
            <w:r w:rsidRPr="00060209">
              <w:rPr>
                <w:rFonts w:eastAsia="Times New Roman"/>
                <w:b/>
                <w:bCs/>
                <w:color w:val="FFFFFF"/>
                <w:sz w:val="16"/>
                <w:szCs w:val="16"/>
                <w:lang w:eastAsia="en-AU"/>
              </w:rPr>
              <w:t xml:space="preserve"> monitor</w:t>
            </w:r>
            <w:r w:rsidR="00B31074" w:rsidRPr="00060209">
              <w:rPr>
                <w:rFonts w:eastAsia="Times New Roman"/>
                <w:b/>
                <w:bCs/>
                <w:color w:val="FFFFFF"/>
                <w:sz w:val="16"/>
                <w:szCs w:val="16"/>
                <w:lang w:eastAsia="en-AU"/>
              </w:rPr>
              <w:t>-</w:t>
            </w:r>
            <w:proofErr w:type="spellStart"/>
            <w:r w:rsidRPr="00060209">
              <w:rPr>
                <w:rFonts w:eastAsia="Times New Roman"/>
                <w:b/>
                <w:bCs/>
                <w:color w:val="FFFFFF"/>
                <w:sz w:val="16"/>
                <w:szCs w:val="16"/>
                <w:lang w:eastAsia="en-AU"/>
              </w:rPr>
              <w:t>ing</w:t>
            </w:r>
            <w:proofErr w:type="spellEnd"/>
            <w:r w:rsidRPr="00060209">
              <w:rPr>
                <w:rFonts w:eastAsia="Times New Roman"/>
                <w:color w:val="FFFFFF"/>
                <w:sz w:val="16"/>
                <w:szCs w:val="16"/>
                <w:lang w:eastAsia="en-AU"/>
              </w:rPr>
              <w:t> </w:t>
            </w:r>
          </w:p>
        </w:tc>
        <w:tc>
          <w:tcPr>
            <w:tcW w:w="1097" w:type="dxa"/>
            <w:shd w:val="clear" w:color="auto" w:fill="408BCA"/>
            <w:hideMark/>
          </w:tcPr>
          <w:p w14:paraId="27AD7AAE" w14:textId="77777777" w:rsidR="0033683B" w:rsidRPr="00060209" w:rsidRDefault="00E874DD" w:rsidP="0029250F">
            <w:pPr>
              <w:spacing w:after="0"/>
              <w:jc w:val="center"/>
              <w:textAlignment w:val="baseline"/>
              <w:rPr>
                <w:rFonts w:eastAsia="Times New Roman"/>
                <w:b/>
                <w:bCs/>
                <w:color w:val="FFFFFF"/>
                <w:sz w:val="16"/>
                <w:szCs w:val="16"/>
                <w:lang w:eastAsia="en-AU"/>
              </w:rPr>
            </w:pPr>
            <w:r w:rsidRPr="00060209">
              <w:rPr>
                <w:rFonts w:eastAsia="Times New Roman"/>
                <w:b/>
                <w:bCs/>
                <w:color w:val="FFFFFF"/>
                <w:sz w:val="16"/>
                <w:szCs w:val="16"/>
                <w:lang w:eastAsia="en-AU"/>
              </w:rPr>
              <w:t>Blood </w:t>
            </w:r>
          </w:p>
          <w:p w14:paraId="4E908A38" w14:textId="45483A7B" w:rsidR="00E874DD" w:rsidRPr="00060209" w:rsidRDefault="00E874DD" w:rsidP="0029250F">
            <w:pPr>
              <w:spacing w:after="0"/>
              <w:jc w:val="center"/>
              <w:textAlignment w:val="baseline"/>
              <w:rPr>
                <w:rFonts w:ascii="Times New Roman" w:eastAsia="Times New Roman" w:hAnsi="Times New Roman"/>
                <w:sz w:val="16"/>
                <w:szCs w:val="16"/>
                <w:lang w:eastAsia="en-AU"/>
              </w:rPr>
            </w:pPr>
            <w:r w:rsidRPr="00060209">
              <w:rPr>
                <w:rFonts w:eastAsia="Times New Roman"/>
                <w:b/>
                <w:bCs/>
                <w:color w:val="FFFFFF"/>
                <w:sz w:val="16"/>
                <w:szCs w:val="16"/>
                <w:lang w:eastAsia="en-AU"/>
              </w:rPr>
              <w:t>pressure monitor</w:t>
            </w:r>
            <w:r w:rsidR="0033683B" w:rsidRPr="00060209">
              <w:rPr>
                <w:rFonts w:eastAsia="Times New Roman"/>
                <w:b/>
                <w:bCs/>
                <w:color w:val="FFFFFF"/>
                <w:sz w:val="16"/>
                <w:szCs w:val="16"/>
                <w:lang w:eastAsia="en-AU"/>
              </w:rPr>
              <w:t>-</w:t>
            </w:r>
            <w:proofErr w:type="spellStart"/>
            <w:r w:rsidRPr="00060209">
              <w:rPr>
                <w:rFonts w:eastAsia="Times New Roman"/>
                <w:b/>
                <w:bCs/>
                <w:color w:val="FFFFFF"/>
                <w:sz w:val="16"/>
                <w:szCs w:val="16"/>
                <w:lang w:eastAsia="en-AU"/>
              </w:rPr>
              <w:t>ing</w:t>
            </w:r>
            <w:proofErr w:type="spellEnd"/>
            <w:r w:rsidRPr="00060209">
              <w:rPr>
                <w:rFonts w:eastAsia="Times New Roman"/>
                <w:color w:val="FFFFFF"/>
                <w:sz w:val="16"/>
                <w:szCs w:val="16"/>
                <w:lang w:eastAsia="en-AU"/>
              </w:rPr>
              <w:t> </w:t>
            </w:r>
          </w:p>
        </w:tc>
        <w:tc>
          <w:tcPr>
            <w:tcW w:w="1097" w:type="dxa"/>
            <w:shd w:val="clear" w:color="auto" w:fill="408BCA"/>
            <w:hideMark/>
          </w:tcPr>
          <w:p w14:paraId="3AA00E5C" w14:textId="77777777" w:rsidR="00B31074" w:rsidRPr="00060209" w:rsidRDefault="00E874DD" w:rsidP="0029250F">
            <w:pPr>
              <w:spacing w:after="0"/>
              <w:jc w:val="center"/>
              <w:textAlignment w:val="baseline"/>
              <w:rPr>
                <w:rFonts w:eastAsia="Times New Roman"/>
                <w:b/>
                <w:bCs/>
                <w:color w:val="FFFFFF"/>
                <w:sz w:val="16"/>
                <w:szCs w:val="16"/>
                <w:lang w:eastAsia="en-AU"/>
              </w:rPr>
            </w:pPr>
            <w:r w:rsidRPr="00060209">
              <w:rPr>
                <w:rFonts w:eastAsia="Times New Roman"/>
                <w:b/>
                <w:bCs/>
                <w:color w:val="FFFFFF"/>
                <w:sz w:val="16"/>
                <w:szCs w:val="16"/>
                <w:lang w:eastAsia="en-AU"/>
              </w:rPr>
              <w:t>Dose </w:t>
            </w:r>
          </w:p>
          <w:p w14:paraId="1A136428" w14:textId="3DB5A230" w:rsidR="00E874DD" w:rsidRPr="00060209" w:rsidRDefault="00B31074" w:rsidP="0029250F">
            <w:pPr>
              <w:spacing w:after="0"/>
              <w:jc w:val="center"/>
              <w:textAlignment w:val="baseline"/>
              <w:rPr>
                <w:rFonts w:ascii="Times New Roman" w:eastAsia="Times New Roman" w:hAnsi="Times New Roman"/>
                <w:sz w:val="16"/>
                <w:szCs w:val="16"/>
                <w:lang w:eastAsia="en-AU"/>
              </w:rPr>
            </w:pPr>
            <w:proofErr w:type="spellStart"/>
            <w:r w:rsidRPr="00060209">
              <w:rPr>
                <w:rFonts w:eastAsia="Times New Roman"/>
                <w:b/>
                <w:bCs/>
                <w:color w:val="FFFFFF"/>
                <w:sz w:val="16"/>
                <w:szCs w:val="16"/>
                <w:lang w:eastAsia="en-AU"/>
              </w:rPr>
              <w:t>A</w:t>
            </w:r>
            <w:r w:rsidR="00E874DD" w:rsidRPr="00060209">
              <w:rPr>
                <w:rFonts w:eastAsia="Times New Roman"/>
                <w:b/>
                <w:bCs/>
                <w:color w:val="FFFFFF"/>
                <w:sz w:val="16"/>
                <w:szCs w:val="16"/>
                <w:lang w:eastAsia="en-AU"/>
              </w:rPr>
              <w:t>dminist</w:t>
            </w:r>
            <w:proofErr w:type="spellEnd"/>
            <w:r w:rsidRPr="00060209">
              <w:rPr>
                <w:rFonts w:eastAsia="Times New Roman"/>
                <w:b/>
                <w:bCs/>
                <w:color w:val="FFFFFF"/>
                <w:sz w:val="16"/>
                <w:szCs w:val="16"/>
                <w:lang w:eastAsia="en-AU"/>
              </w:rPr>
              <w:t>-</w:t>
            </w:r>
            <w:r w:rsidR="00E874DD" w:rsidRPr="00060209">
              <w:rPr>
                <w:rFonts w:eastAsia="Times New Roman"/>
                <w:b/>
                <w:bCs/>
                <w:color w:val="FFFFFF"/>
                <w:sz w:val="16"/>
                <w:szCs w:val="16"/>
                <w:lang w:eastAsia="en-AU"/>
              </w:rPr>
              <w:t>ration aid (DAA)</w:t>
            </w:r>
            <w:r w:rsidR="00E874DD" w:rsidRPr="00060209">
              <w:rPr>
                <w:rFonts w:eastAsia="Times New Roman"/>
                <w:color w:val="FFFFFF"/>
                <w:sz w:val="16"/>
                <w:szCs w:val="16"/>
                <w:lang w:eastAsia="en-AU"/>
              </w:rPr>
              <w:t> </w:t>
            </w:r>
          </w:p>
        </w:tc>
        <w:tc>
          <w:tcPr>
            <w:tcW w:w="1097" w:type="dxa"/>
            <w:shd w:val="clear" w:color="auto" w:fill="408BCA"/>
            <w:hideMark/>
          </w:tcPr>
          <w:p w14:paraId="74F615E4" w14:textId="17066BC1" w:rsidR="00E874DD" w:rsidRPr="00060209" w:rsidRDefault="00E874DD" w:rsidP="0029250F">
            <w:pPr>
              <w:spacing w:after="0"/>
              <w:jc w:val="center"/>
              <w:textAlignment w:val="baseline"/>
              <w:rPr>
                <w:rFonts w:ascii="Times New Roman" w:eastAsia="Times New Roman" w:hAnsi="Times New Roman"/>
                <w:sz w:val="16"/>
                <w:szCs w:val="16"/>
                <w:lang w:eastAsia="en-AU"/>
              </w:rPr>
            </w:pPr>
            <w:r w:rsidRPr="00060209">
              <w:rPr>
                <w:rFonts w:eastAsia="Times New Roman"/>
                <w:b/>
                <w:bCs/>
                <w:color w:val="FFFFFF"/>
                <w:sz w:val="16"/>
                <w:szCs w:val="16"/>
                <w:lang w:eastAsia="en-AU"/>
              </w:rPr>
              <w:t>Medical device use training/</w:t>
            </w:r>
            <w:r w:rsidR="00B31074" w:rsidRPr="00060209">
              <w:rPr>
                <w:rFonts w:eastAsia="Times New Roman"/>
                <w:b/>
                <w:bCs/>
                <w:color w:val="FFFFFF"/>
                <w:sz w:val="16"/>
                <w:szCs w:val="16"/>
                <w:lang w:eastAsia="en-AU"/>
              </w:rPr>
              <w:t xml:space="preserve"> </w:t>
            </w:r>
            <w:r w:rsidRPr="00060209">
              <w:rPr>
                <w:rFonts w:eastAsia="Times New Roman"/>
                <w:b/>
                <w:bCs/>
                <w:color w:val="FFFFFF"/>
                <w:sz w:val="16"/>
                <w:szCs w:val="16"/>
                <w:lang w:eastAsia="en-AU"/>
              </w:rPr>
              <w:t>education</w:t>
            </w:r>
          </w:p>
        </w:tc>
        <w:tc>
          <w:tcPr>
            <w:tcW w:w="1097" w:type="dxa"/>
            <w:shd w:val="clear" w:color="auto" w:fill="408BCA"/>
            <w:hideMark/>
          </w:tcPr>
          <w:p w14:paraId="1FB2B0FC" w14:textId="77777777" w:rsidR="00E874DD" w:rsidRPr="00060209" w:rsidRDefault="00E874DD" w:rsidP="0029250F">
            <w:pPr>
              <w:spacing w:after="0"/>
              <w:jc w:val="center"/>
              <w:textAlignment w:val="baseline"/>
              <w:rPr>
                <w:rFonts w:ascii="Times New Roman" w:eastAsia="Times New Roman" w:hAnsi="Times New Roman"/>
                <w:sz w:val="16"/>
                <w:szCs w:val="16"/>
                <w:lang w:eastAsia="en-AU"/>
              </w:rPr>
            </w:pPr>
            <w:r w:rsidRPr="00060209">
              <w:rPr>
                <w:rFonts w:eastAsia="Times New Roman"/>
                <w:b/>
                <w:bCs/>
                <w:color w:val="FFFFFF"/>
                <w:sz w:val="16"/>
                <w:szCs w:val="16"/>
                <w:lang w:eastAsia="en-AU"/>
              </w:rPr>
              <w:t>Other</w:t>
            </w:r>
            <w:r w:rsidRPr="00060209">
              <w:rPr>
                <w:rFonts w:eastAsia="Times New Roman"/>
                <w:color w:val="FFFFFF"/>
                <w:sz w:val="16"/>
                <w:szCs w:val="16"/>
                <w:lang w:eastAsia="en-AU"/>
              </w:rPr>
              <w:t> </w:t>
            </w:r>
          </w:p>
        </w:tc>
      </w:tr>
      <w:tr w:rsidR="0015416A" w:rsidRPr="00925C4B" w14:paraId="03AF288F" w14:textId="77777777" w:rsidTr="005F194D">
        <w:trPr>
          <w:trHeight w:val="300"/>
        </w:trPr>
        <w:tc>
          <w:tcPr>
            <w:tcW w:w="2660" w:type="dxa"/>
            <w:hideMark/>
          </w:tcPr>
          <w:p w14:paraId="1A8B145F" w14:textId="77777777" w:rsidR="0015416A" w:rsidRPr="00925C4B" w:rsidRDefault="0015416A" w:rsidP="0015416A">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szCs w:val="18"/>
                <w:lang w:eastAsia="en-AU"/>
              </w:rPr>
              <w:t>Improved medication adherence </w:t>
            </w:r>
          </w:p>
        </w:tc>
        <w:tc>
          <w:tcPr>
            <w:tcW w:w="1097" w:type="dxa"/>
            <w:hideMark/>
          </w:tcPr>
          <w:p w14:paraId="64993256" w14:textId="165C0776"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7 (1.1%)</w:t>
            </w:r>
          </w:p>
        </w:tc>
        <w:tc>
          <w:tcPr>
            <w:tcW w:w="1097" w:type="dxa"/>
            <w:hideMark/>
          </w:tcPr>
          <w:p w14:paraId="642D056D" w14:textId="34468AA9"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39 (6.0%)</w:t>
            </w:r>
          </w:p>
        </w:tc>
        <w:tc>
          <w:tcPr>
            <w:tcW w:w="1097" w:type="dxa"/>
            <w:hideMark/>
          </w:tcPr>
          <w:p w14:paraId="2E360DED" w14:textId="38ACD98C"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53 (8.1%)</w:t>
            </w:r>
          </w:p>
        </w:tc>
        <w:tc>
          <w:tcPr>
            <w:tcW w:w="1097" w:type="dxa"/>
            <w:hideMark/>
          </w:tcPr>
          <w:p w14:paraId="6AC10314" w14:textId="7C6545C2"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348 (53.1%)</w:t>
            </w:r>
          </w:p>
        </w:tc>
        <w:tc>
          <w:tcPr>
            <w:tcW w:w="1097" w:type="dxa"/>
            <w:hideMark/>
          </w:tcPr>
          <w:p w14:paraId="09A00922" w14:textId="24476819"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30 (4.6%)</w:t>
            </w:r>
          </w:p>
        </w:tc>
        <w:tc>
          <w:tcPr>
            <w:tcW w:w="1097" w:type="dxa"/>
            <w:hideMark/>
          </w:tcPr>
          <w:p w14:paraId="5B8B2249" w14:textId="300DCD06"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107 (16.3%)</w:t>
            </w:r>
          </w:p>
        </w:tc>
      </w:tr>
      <w:tr w:rsidR="0015416A" w:rsidRPr="00925C4B" w14:paraId="6A92C9F1" w14:textId="77777777" w:rsidTr="005F194D">
        <w:trPr>
          <w:trHeight w:val="1050"/>
        </w:trPr>
        <w:tc>
          <w:tcPr>
            <w:tcW w:w="2660" w:type="dxa"/>
            <w:hideMark/>
          </w:tcPr>
          <w:p w14:paraId="71B3A7D9" w14:textId="77777777" w:rsidR="0015416A" w:rsidRPr="00925C4B" w:rsidRDefault="0015416A" w:rsidP="0015416A">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szCs w:val="18"/>
                <w:lang w:eastAsia="en-AU"/>
              </w:rPr>
              <w:t>Improved patient knowledge about their medicines leading to improved medication use and disease self-management </w:t>
            </w:r>
          </w:p>
        </w:tc>
        <w:tc>
          <w:tcPr>
            <w:tcW w:w="1097" w:type="dxa"/>
            <w:hideMark/>
          </w:tcPr>
          <w:p w14:paraId="143B2EFD" w14:textId="555CC1C6"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12 (1.8%)</w:t>
            </w:r>
          </w:p>
        </w:tc>
        <w:tc>
          <w:tcPr>
            <w:tcW w:w="1097" w:type="dxa"/>
            <w:hideMark/>
          </w:tcPr>
          <w:p w14:paraId="3D865CD4" w14:textId="4C6E25EA"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70 (10.3%)</w:t>
            </w:r>
          </w:p>
        </w:tc>
        <w:tc>
          <w:tcPr>
            <w:tcW w:w="1097" w:type="dxa"/>
            <w:hideMark/>
          </w:tcPr>
          <w:p w14:paraId="66A3FE57" w14:textId="07204561"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215 (31.6%)</w:t>
            </w:r>
          </w:p>
        </w:tc>
        <w:tc>
          <w:tcPr>
            <w:tcW w:w="1097" w:type="dxa"/>
            <w:hideMark/>
          </w:tcPr>
          <w:p w14:paraId="3C613AD4" w14:textId="648CDF0A"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24 (3.5%)</w:t>
            </w:r>
          </w:p>
        </w:tc>
        <w:tc>
          <w:tcPr>
            <w:tcW w:w="1097" w:type="dxa"/>
            <w:hideMark/>
          </w:tcPr>
          <w:p w14:paraId="791AAE14" w14:textId="67E87BAD"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40 (5.9%)</w:t>
            </w:r>
          </w:p>
        </w:tc>
        <w:tc>
          <w:tcPr>
            <w:tcW w:w="1097" w:type="dxa"/>
            <w:hideMark/>
          </w:tcPr>
          <w:p w14:paraId="0F953805" w14:textId="37B0AA55"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99 (14.5%)</w:t>
            </w:r>
          </w:p>
        </w:tc>
      </w:tr>
      <w:tr w:rsidR="0015416A" w:rsidRPr="00925C4B" w14:paraId="5EBB0E6F" w14:textId="77777777" w:rsidTr="005F194D">
        <w:trPr>
          <w:trHeight w:val="570"/>
        </w:trPr>
        <w:tc>
          <w:tcPr>
            <w:tcW w:w="2660" w:type="dxa"/>
            <w:hideMark/>
          </w:tcPr>
          <w:p w14:paraId="1C5A1040" w14:textId="77777777" w:rsidR="0015416A" w:rsidRPr="00925C4B" w:rsidRDefault="0015416A" w:rsidP="0015416A">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szCs w:val="18"/>
                <w:lang w:eastAsia="en-AU"/>
              </w:rPr>
              <w:t>Improved technique/usage of medication devices </w:t>
            </w:r>
          </w:p>
        </w:tc>
        <w:tc>
          <w:tcPr>
            <w:tcW w:w="1097" w:type="dxa"/>
            <w:hideMark/>
          </w:tcPr>
          <w:p w14:paraId="462E17BB" w14:textId="3D961504"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23 (9.5%)</w:t>
            </w:r>
          </w:p>
        </w:tc>
        <w:tc>
          <w:tcPr>
            <w:tcW w:w="1097" w:type="dxa"/>
            <w:hideMark/>
          </w:tcPr>
          <w:p w14:paraId="7151286A" w14:textId="3FFFE2F4"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13 (5.3%)</w:t>
            </w:r>
          </w:p>
        </w:tc>
        <w:tc>
          <w:tcPr>
            <w:tcW w:w="1097" w:type="dxa"/>
            <w:hideMark/>
          </w:tcPr>
          <w:p w14:paraId="51884F49" w14:textId="1B575FED"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14 (5.8%)</w:t>
            </w:r>
          </w:p>
        </w:tc>
        <w:tc>
          <w:tcPr>
            <w:tcW w:w="1097" w:type="dxa"/>
            <w:hideMark/>
          </w:tcPr>
          <w:p w14:paraId="75568932" w14:textId="7DA46A09"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21 (8.6%)</w:t>
            </w:r>
          </w:p>
        </w:tc>
        <w:tc>
          <w:tcPr>
            <w:tcW w:w="1097" w:type="dxa"/>
            <w:hideMark/>
          </w:tcPr>
          <w:p w14:paraId="13DA2FAA" w14:textId="2FA25119"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101 (41.6%)</w:t>
            </w:r>
          </w:p>
        </w:tc>
        <w:tc>
          <w:tcPr>
            <w:tcW w:w="1097" w:type="dxa"/>
            <w:hideMark/>
          </w:tcPr>
          <w:p w14:paraId="346340D6" w14:textId="1014B6C8"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32 (13.2%)</w:t>
            </w:r>
          </w:p>
        </w:tc>
      </w:tr>
      <w:tr w:rsidR="0015416A" w:rsidRPr="00925C4B" w14:paraId="1B2AB5C7" w14:textId="77777777" w:rsidTr="005F194D">
        <w:trPr>
          <w:trHeight w:val="570"/>
        </w:trPr>
        <w:tc>
          <w:tcPr>
            <w:tcW w:w="2660" w:type="dxa"/>
            <w:hideMark/>
          </w:tcPr>
          <w:p w14:paraId="4925971C" w14:textId="77777777" w:rsidR="0015416A" w:rsidRPr="00925C4B" w:rsidRDefault="0015416A" w:rsidP="0015416A">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szCs w:val="18"/>
                <w:lang w:eastAsia="en-AU"/>
              </w:rPr>
              <w:t>Optimise the medication dose and/or number or type of medicines </w:t>
            </w:r>
          </w:p>
        </w:tc>
        <w:tc>
          <w:tcPr>
            <w:tcW w:w="1097" w:type="dxa"/>
            <w:hideMark/>
          </w:tcPr>
          <w:p w14:paraId="4222DE65" w14:textId="070591A3"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3 (1.1%)</w:t>
            </w:r>
          </w:p>
        </w:tc>
        <w:tc>
          <w:tcPr>
            <w:tcW w:w="1097" w:type="dxa"/>
            <w:hideMark/>
          </w:tcPr>
          <w:p w14:paraId="4EBA9EA2" w14:textId="483607E4"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8 (2.8%)</w:t>
            </w:r>
          </w:p>
        </w:tc>
        <w:tc>
          <w:tcPr>
            <w:tcW w:w="1097" w:type="dxa"/>
            <w:hideMark/>
          </w:tcPr>
          <w:p w14:paraId="686493CD" w14:textId="45C81504"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38 (13.4%)</w:t>
            </w:r>
          </w:p>
        </w:tc>
        <w:tc>
          <w:tcPr>
            <w:tcW w:w="1097" w:type="dxa"/>
            <w:hideMark/>
          </w:tcPr>
          <w:p w14:paraId="75870F56" w14:textId="19F9DAAE"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24 (8.5%)</w:t>
            </w:r>
          </w:p>
        </w:tc>
        <w:tc>
          <w:tcPr>
            <w:tcW w:w="1097" w:type="dxa"/>
            <w:hideMark/>
          </w:tcPr>
          <w:p w14:paraId="59645DB6" w14:textId="3D3D6CE6"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6 (2.1%)</w:t>
            </w:r>
          </w:p>
        </w:tc>
        <w:tc>
          <w:tcPr>
            <w:tcW w:w="1097" w:type="dxa"/>
            <w:hideMark/>
          </w:tcPr>
          <w:p w14:paraId="7A6BF88A" w14:textId="0417240E"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103 (36.3%)</w:t>
            </w:r>
          </w:p>
        </w:tc>
      </w:tr>
      <w:tr w:rsidR="0015416A" w:rsidRPr="00925C4B" w14:paraId="071D091D" w14:textId="77777777" w:rsidTr="005F194D">
        <w:trPr>
          <w:trHeight w:val="300"/>
        </w:trPr>
        <w:tc>
          <w:tcPr>
            <w:tcW w:w="2660" w:type="dxa"/>
            <w:hideMark/>
          </w:tcPr>
          <w:p w14:paraId="508C5FA5" w14:textId="77777777" w:rsidR="0015416A" w:rsidRPr="00925C4B" w:rsidRDefault="0015416A" w:rsidP="0015416A">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szCs w:val="18"/>
                <w:lang w:eastAsia="en-AU"/>
              </w:rPr>
              <w:t>Reduced medication side effects </w:t>
            </w:r>
          </w:p>
        </w:tc>
        <w:tc>
          <w:tcPr>
            <w:tcW w:w="1097" w:type="dxa"/>
            <w:hideMark/>
          </w:tcPr>
          <w:p w14:paraId="343E1A4E" w14:textId="09DBE502" w:rsidR="0015416A" w:rsidRPr="0015416A" w:rsidRDefault="0015416A" w:rsidP="0015416A">
            <w:pPr>
              <w:spacing w:after="0"/>
              <w:ind w:left="90" w:right="90"/>
              <w:jc w:val="center"/>
              <w:textAlignment w:val="baseline"/>
              <w:rPr>
                <w:rFonts w:eastAsia="Times New Roman"/>
                <w:color w:val="000000"/>
                <w:sz w:val="18"/>
                <w:szCs w:val="18"/>
                <w:lang w:eastAsia="en-AU"/>
              </w:rPr>
            </w:pPr>
          </w:p>
        </w:tc>
        <w:tc>
          <w:tcPr>
            <w:tcW w:w="1097" w:type="dxa"/>
            <w:hideMark/>
          </w:tcPr>
          <w:p w14:paraId="4D83E240" w14:textId="21B1792E"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10 (4.9%)</w:t>
            </w:r>
          </w:p>
        </w:tc>
        <w:tc>
          <w:tcPr>
            <w:tcW w:w="1097" w:type="dxa"/>
            <w:hideMark/>
          </w:tcPr>
          <w:p w14:paraId="578B88C4" w14:textId="1E6619F8"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44 (21.5%)</w:t>
            </w:r>
          </w:p>
        </w:tc>
        <w:tc>
          <w:tcPr>
            <w:tcW w:w="1097" w:type="dxa"/>
            <w:hideMark/>
          </w:tcPr>
          <w:p w14:paraId="1F0AA70A" w14:textId="4C4A3311"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39 (19.0%)</w:t>
            </w:r>
          </w:p>
        </w:tc>
        <w:tc>
          <w:tcPr>
            <w:tcW w:w="1097" w:type="dxa"/>
            <w:hideMark/>
          </w:tcPr>
          <w:p w14:paraId="76B6EA52" w14:textId="75FCE9BD"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5 (2.4%)</w:t>
            </w:r>
          </w:p>
        </w:tc>
        <w:tc>
          <w:tcPr>
            <w:tcW w:w="1097" w:type="dxa"/>
            <w:hideMark/>
          </w:tcPr>
          <w:p w14:paraId="624834C3" w14:textId="4E61E61E"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140 (68.3%)</w:t>
            </w:r>
          </w:p>
        </w:tc>
      </w:tr>
      <w:tr w:rsidR="0015416A" w:rsidRPr="00925C4B" w14:paraId="4BD436EB" w14:textId="77777777" w:rsidTr="005F194D">
        <w:trPr>
          <w:trHeight w:val="315"/>
        </w:trPr>
        <w:tc>
          <w:tcPr>
            <w:tcW w:w="2660" w:type="dxa"/>
            <w:hideMark/>
          </w:tcPr>
          <w:p w14:paraId="7FF36311" w14:textId="77777777" w:rsidR="0015416A" w:rsidRPr="00925C4B" w:rsidRDefault="0015416A" w:rsidP="0015416A">
            <w:pPr>
              <w:spacing w:after="0"/>
              <w:ind w:left="90" w:right="90"/>
              <w:textAlignment w:val="baseline"/>
              <w:rPr>
                <w:rFonts w:ascii="Times New Roman" w:eastAsia="Times New Roman" w:hAnsi="Times New Roman"/>
                <w:sz w:val="24"/>
                <w:szCs w:val="24"/>
                <w:lang w:eastAsia="en-AU"/>
              </w:rPr>
            </w:pPr>
            <w:r w:rsidRPr="00925C4B">
              <w:rPr>
                <w:rFonts w:eastAsia="Times New Roman"/>
                <w:color w:val="000000"/>
                <w:sz w:val="18"/>
                <w:szCs w:val="18"/>
                <w:lang w:eastAsia="en-AU"/>
              </w:rPr>
              <w:t>Other </w:t>
            </w:r>
          </w:p>
        </w:tc>
        <w:tc>
          <w:tcPr>
            <w:tcW w:w="1097" w:type="dxa"/>
            <w:hideMark/>
          </w:tcPr>
          <w:p w14:paraId="372C7298" w14:textId="6FB32383"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4 (1.4%)</w:t>
            </w:r>
          </w:p>
        </w:tc>
        <w:tc>
          <w:tcPr>
            <w:tcW w:w="1097" w:type="dxa"/>
            <w:hideMark/>
          </w:tcPr>
          <w:p w14:paraId="3F350EF4" w14:textId="5EF07AEC"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18 (6.4%)</w:t>
            </w:r>
          </w:p>
        </w:tc>
        <w:tc>
          <w:tcPr>
            <w:tcW w:w="1097" w:type="dxa"/>
            <w:hideMark/>
          </w:tcPr>
          <w:p w14:paraId="718B8965" w14:textId="429DD0F1"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60 (21.4%)</w:t>
            </w:r>
          </w:p>
        </w:tc>
        <w:tc>
          <w:tcPr>
            <w:tcW w:w="1097" w:type="dxa"/>
            <w:hideMark/>
          </w:tcPr>
          <w:p w14:paraId="1122D0F8" w14:textId="3E251A3D"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14 (5.0%)</w:t>
            </w:r>
          </w:p>
        </w:tc>
        <w:tc>
          <w:tcPr>
            <w:tcW w:w="1097" w:type="dxa"/>
            <w:hideMark/>
          </w:tcPr>
          <w:p w14:paraId="7FB77582" w14:textId="48BE7C71"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6 (2.1%)</w:t>
            </w:r>
          </w:p>
        </w:tc>
        <w:tc>
          <w:tcPr>
            <w:tcW w:w="1097" w:type="dxa"/>
            <w:hideMark/>
          </w:tcPr>
          <w:p w14:paraId="3C23FE01" w14:textId="251691A1" w:rsidR="0015416A" w:rsidRPr="0015416A" w:rsidRDefault="0015416A" w:rsidP="0015416A">
            <w:pPr>
              <w:spacing w:after="0"/>
              <w:ind w:left="90" w:right="90"/>
              <w:jc w:val="center"/>
              <w:textAlignment w:val="baseline"/>
              <w:rPr>
                <w:rFonts w:eastAsia="Times New Roman"/>
                <w:color w:val="000000"/>
                <w:sz w:val="18"/>
                <w:szCs w:val="18"/>
                <w:lang w:eastAsia="en-AU"/>
              </w:rPr>
            </w:pPr>
            <w:r w:rsidRPr="0015416A">
              <w:rPr>
                <w:rFonts w:eastAsia="Times New Roman"/>
                <w:color w:val="000000"/>
                <w:sz w:val="18"/>
                <w:szCs w:val="18"/>
                <w:lang w:eastAsia="en-AU"/>
              </w:rPr>
              <w:t>80 (28.5%)</w:t>
            </w:r>
          </w:p>
        </w:tc>
      </w:tr>
      <w:tr w:rsidR="0015416A" w:rsidRPr="00925C4B" w14:paraId="03D3AC60" w14:textId="77777777" w:rsidTr="005F194D">
        <w:trPr>
          <w:trHeight w:val="555"/>
        </w:trPr>
        <w:tc>
          <w:tcPr>
            <w:tcW w:w="2660" w:type="dxa"/>
            <w:hideMark/>
          </w:tcPr>
          <w:p w14:paraId="274BA4F2" w14:textId="3F20F6F0" w:rsidR="0015416A" w:rsidRPr="00925C4B" w:rsidRDefault="0015416A" w:rsidP="0015416A">
            <w:pPr>
              <w:spacing w:after="0"/>
              <w:ind w:left="90" w:right="90"/>
              <w:textAlignment w:val="baseline"/>
              <w:rPr>
                <w:rFonts w:ascii="Times New Roman" w:eastAsia="Times New Roman" w:hAnsi="Times New Roman"/>
                <w:sz w:val="24"/>
                <w:szCs w:val="24"/>
                <w:lang w:eastAsia="en-AU"/>
              </w:rPr>
            </w:pPr>
            <w:r w:rsidRPr="00925C4B">
              <w:rPr>
                <w:rFonts w:eastAsia="Times New Roman"/>
                <w:b/>
                <w:color w:val="000000"/>
                <w:sz w:val="18"/>
                <w:szCs w:val="18"/>
                <w:lang w:eastAsia="en-AU"/>
              </w:rPr>
              <w:t>Total number</w:t>
            </w:r>
            <w:r w:rsidR="00A03B51">
              <w:rPr>
                <w:rFonts w:eastAsia="Times New Roman"/>
                <w:b/>
                <w:color w:val="000000"/>
                <w:sz w:val="18"/>
                <w:szCs w:val="18"/>
                <w:lang w:eastAsia="en-AU"/>
              </w:rPr>
              <w:t xml:space="preserve"> (%)</w:t>
            </w:r>
            <w:r w:rsidRPr="00925C4B">
              <w:rPr>
                <w:rFonts w:eastAsia="Times New Roman"/>
                <w:b/>
                <w:color w:val="000000"/>
                <w:sz w:val="18"/>
                <w:szCs w:val="18"/>
                <w:lang w:eastAsia="en-AU"/>
              </w:rPr>
              <w:t xml:space="preserve"> of patients receiving the service</w:t>
            </w:r>
          </w:p>
        </w:tc>
        <w:tc>
          <w:tcPr>
            <w:tcW w:w="1097" w:type="dxa"/>
            <w:hideMark/>
          </w:tcPr>
          <w:p w14:paraId="1C03AE02" w14:textId="4706F429" w:rsidR="0015416A" w:rsidRPr="0015416A" w:rsidRDefault="0015416A" w:rsidP="0015416A">
            <w:pPr>
              <w:spacing w:after="0"/>
              <w:ind w:left="90" w:right="90"/>
              <w:jc w:val="center"/>
              <w:textAlignment w:val="baseline"/>
              <w:rPr>
                <w:rFonts w:eastAsia="Times New Roman"/>
                <w:b/>
                <w:bCs/>
                <w:color w:val="000000"/>
                <w:sz w:val="18"/>
                <w:szCs w:val="18"/>
                <w:lang w:eastAsia="en-AU"/>
              </w:rPr>
            </w:pPr>
            <w:r w:rsidRPr="0015416A">
              <w:rPr>
                <w:rFonts w:eastAsia="Times New Roman"/>
                <w:b/>
                <w:bCs/>
                <w:color w:val="000000"/>
                <w:sz w:val="18"/>
                <w:szCs w:val="18"/>
                <w:lang w:eastAsia="en-AU"/>
              </w:rPr>
              <w:t>49</w:t>
            </w:r>
            <w:r w:rsidR="00960B7C">
              <w:rPr>
                <w:rFonts w:eastAsia="Times New Roman"/>
                <w:b/>
                <w:bCs/>
                <w:color w:val="000000"/>
                <w:sz w:val="18"/>
                <w:szCs w:val="18"/>
                <w:lang w:eastAsia="en-AU"/>
              </w:rPr>
              <w:t xml:space="preserve"> (2.6%)</w:t>
            </w:r>
          </w:p>
        </w:tc>
        <w:tc>
          <w:tcPr>
            <w:tcW w:w="1097" w:type="dxa"/>
            <w:hideMark/>
          </w:tcPr>
          <w:p w14:paraId="54375140" w14:textId="7001E989" w:rsidR="0015416A" w:rsidRPr="0015416A" w:rsidRDefault="0015416A" w:rsidP="0015416A">
            <w:pPr>
              <w:spacing w:after="0"/>
              <w:ind w:left="90" w:right="90"/>
              <w:jc w:val="center"/>
              <w:textAlignment w:val="baseline"/>
              <w:rPr>
                <w:rFonts w:eastAsia="Times New Roman"/>
                <w:b/>
                <w:bCs/>
                <w:color w:val="000000"/>
                <w:sz w:val="18"/>
                <w:szCs w:val="18"/>
                <w:lang w:eastAsia="en-AU"/>
              </w:rPr>
            </w:pPr>
            <w:r w:rsidRPr="0015416A">
              <w:rPr>
                <w:rFonts w:eastAsia="Times New Roman"/>
                <w:b/>
                <w:bCs/>
                <w:color w:val="000000"/>
                <w:sz w:val="18"/>
                <w:szCs w:val="18"/>
                <w:lang w:eastAsia="en-AU"/>
              </w:rPr>
              <w:t>158</w:t>
            </w:r>
            <w:r w:rsidR="00960B7C">
              <w:rPr>
                <w:rFonts w:eastAsia="Times New Roman"/>
                <w:b/>
                <w:bCs/>
                <w:color w:val="000000"/>
                <w:sz w:val="18"/>
                <w:szCs w:val="18"/>
                <w:lang w:eastAsia="en-AU"/>
              </w:rPr>
              <w:t xml:space="preserve"> (</w:t>
            </w:r>
            <w:r w:rsidR="00A23E05">
              <w:rPr>
                <w:rFonts w:eastAsia="Times New Roman"/>
                <w:b/>
                <w:bCs/>
                <w:color w:val="000000"/>
                <w:sz w:val="18"/>
                <w:szCs w:val="18"/>
                <w:lang w:eastAsia="en-AU"/>
              </w:rPr>
              <w:t>8.5%)</w:t>
            </w:r>
          </w:p>
        </w:tc>
        <w:tc>
          <w:tcPr>
            <w:tcW w:w="1097" w:type="dxa"/>
            <w:hideMark/>
          </w:tcPr>
          <w:p w14:paraId="6934EBE0" w14:textId="7BB51275" w:rsidR="0015416A" w:rsidRPr="0015416A" w:rsidRDefault="0015416A" w:rsidP="0015416A">
            <w:pPr>
              <w:spacing w:after="0"/>
              <w:ind w:left="90" w:right="90"/>
              <w:jc w:val="center"/>
              <w:textAlignment w:val="baseline"/>
              <w:rPr>
                <w:rFonts w:eastAsia="Times New Roman"/>
                <w:b/>
                <w:bCs/>
                <w:color w:val="000000"/>
                <w:sz w:val="18"/>
                <w:szCs w:val="18"/>
                <w:lang w:eastAsia="en-AU"/>
              </w:rPr>
            </w:pPr>
            <w:r w:rsidRPr="0015416A">
              <w:rPr>
                <w:rFonts w:eastAsia="Times New Roman"/>
                <w:b/>
                <w:bCs/>
                <w:color w:val="000000"/>
                <w:sz w:val="18"/>
                <w:szCs w:val="18"/>
                <w:lang w:eastAsia="en-AU"/>
              </w:rPr>
              <w:t>424</w:t>
            </w:r>
            <w:r w:rsidR="00A23E05">
              <w:rPr>
                <w:rFonts w:eastAsia="Times New Roman"/>
                <w:b/>
                <w:bCs/>
                <w:color w:val="000000"/>
                <w:sz w:val="18"/>
                <w:szCs w:val="18"/>
                <w:lang w:eastAsia="en-AU"/>
              </w:rPr>
              <w:t xml:space="preserve"> (22.9%)</w:t>
            </w:r>
          </w:p>
        </w:tc>
        <w:tc>
          <w:tcPr>
            <w:tcW w:w="1097" w:type="dxa"/>
            <w:hideMark/>
          </w:tcPr>
          <w:p w14:paraId="2E49D23C" w14:textId="0C1F7B51" w:rsidR="0015416A" w:rsidRPr="0015416A" w:rsidRDefault="0015416A" w:rsidP="0015416A">
            <w:pPr>
              <w:spacing w:after="0"/>
              <w:ind w:left="90" w:right="90"/>
              <w:jc w:val="center"/>
              <w:textAlignment w:val="baseline"/>
              <w:rPr>
                <w:rFonts w:eastAsia="Times New Roman"/>
                <w:b/>
                <w:bCs/>
                <w:color w:val="000000"/>
                <w:sz w:val="18"/>
                <w:szCs w:val="18"/>
                <w:lang w:eastAsia="en-AU"/>
              </w:rPr>
            </w:pPr>
            <w:r w:rsidRPr="0015416A">
              <w:rPr>
                <w:rFonts w:eastAsia="Times New Roman"/>
                <w:b/>
                <w:bCs/>
                <w:color w:val="000000"/>
                <w:sz w:val="18"/>
                <w:szCs w:val="18"/>
                <w:lang w:eastAsia="en-AU"/>
              </w:rPr>
              <w:t>470</w:t>
            </w:r>
            <w:r w:rsidR="00A23E05">
              <w:rPr>
                <w:rFonts w:eastAsia="Times New Roman"/>
                <w:b/>
                <w:bCs/>
                <w:color w:val="000000"/>
                <w:sz w:val="18"/>
                <w:szCs w:val="18"/>
                <w:lang w:eastAsia="en-AU"/>
              </w:rPr>
              <w:t xml:space="preserve"> (25.4%)</w:t>
            </w:r>
          </w:p>
        </w:tc>
        <w:tc>
          <w:tcPr>
            <w:tcW w:w="1097" w:type="dxa"/>
            <w:hideMark/>
          </w:tcPr>
          <w:p w14:paraId="611303D0" w14:textId="2CD7A2DA" w:rsidR="0015416A" w:rsidRPr="0015416A" w:rsidRDefault="0015416A" w:rsidP="0015416A">
            <w:pPr>
              <w:spacing w:after="0"/>
              <w:ind w:left="90" w:right="90"/>
              <w:jc w:val="center"/>
              <w:textAlignment w:val="baseline"/>
              <w:rPr>
                <w:rFonts w:eastAsia="Times New Roman"/>
                <w:b/>
                <w:bCs/>
                <w:color w:val="000000"/>
                <w:sz w:val="18"/>
                <w:szCs w:val="18"/>
                <w:lang w:eastAsia="en-AU"/>
              </w:rPr>
            </w:pPr>
            <w:r w:rsidRPr="0015416A">
              <w:rPr>
                <w:rFonts w:eastAsia="Times New Roman"/>
                <w:b/>
                <w:bCs/>
                <w:color w:val="000000"/>
                <w:sz w:val="18"/>
                <w:szCs w:val="18"/>
                <w:lang w:eastAsia="en-AU"/>
              </w:rPr>
              <w:t>188</w:t>
            </w:r>
            <w:r w:rsidR="00A23E05">
              <w:rPr>
                <w:rFonts w:eastAsia="Times New Roman"/>
                <w:b/>
                <w:bCs/>
                <w:color w:val="000000"/>
                <w:sz w:val="18"/>
                <w:szCs w:val="18"/>
                <w:lang w:eastAsia="en-AU"/>
              </w:rPr>
              <w:t xml:space="preserve"> (10.2%)</w:t>
            </w:r>
          </w:p>
        </w:tc>
        <w:tc>
          <w:tcPr>
            <w:tcW w:w="1097" w:type="dxa"/>
            <w:hideMark/>
          </w:tcPr>
          <w:p w14:paraId="31862F5C" w14:textId="510D8551" w:rsidR="0015416A" w:rsidRPr="0015416A" w:rsidRDefault="0015416A" w:rsidP="0015416A">
            <w:pPr>
              <w:spacing w:after="0"/>
              <w:ind w:left="90" w:right="90"/>
              <w:jc w:val="center"/>
              <w:textAlignment w:val="baseline"/>
              <w:rPr>
                <w:rFonts w:eastAsia="Times New Roman"/>
                <w:b/>
                <w:bCs/>
                <w:color w:val="000000"/>
                <w:sz w:val="18"/>
                <w:szCs w:val="18"/>
                <w:lang w:eastAsia="en-AU"/>
              </w:rPr>
            </w:pPr>
            <w:r w:rsidRPr="0015416A">
              <w:rPr>
                <w:rFonts w:eastAsia="Times New Roman"/>
                <w:b/>
                <w:bCs/>
                <w:color w:val="000000"/>
                <w:sz w:val="18"/>
                <w:szCs w:val="18"/>
                <w:lang w:eastAsia="en-AU"/>
              </w:rPr>
              <w:t>561</w:t>
            </w:r>
            <w:r w:rsidR="00A23E05">
              <w:rPr>
                <w:rFonts w:eastAsia="Times New Roman"/>
                <w:b/>
                <w:bCs/>
                <w:color w:val="000000"/>
                <w:sz w:val="18"/>
                <w:szCs w:val="18"/>
                <w:lang w:eastAsia="en-AU"/>
              </w:rPr>
              <w:t xml:space="preserve"> (30.3%)</w:t>
            </w:r>
          </w:p>
        </w:tc>
      </w:tr>
    </w:tbl>
    <w:p w14:paraId="6A888B15" w14:textId="59A1192E" w:rsidR="00E874DD" w:rsidRPr="0036194D" w:rsidRDefault="00E874DD" w:rsidP="0036194D">
      <w:pPr>
        <w:pStyle w:val="Chartortablefootnote"/>
        <w:rPr>
          <w:lang w:eastAsia="en-AU"/>
        </w:rPr>
      </w:pPr>
      <w:r w:rsidRPr="0036194D">
        <w:rPr>
          <w:lang w:eastAsia="en-AU"/>
        </w:rPr>
        <w:t>Source: Health Outcomes data set provided by the Pharmacy Guild, to 30 June 202</w:t>
      </w:r>
      <w:r w:rsidR="00734FEA">
        <w:rPr>
          <w:lang w:eastAsia="en-AU"/>
        </w:rPr>
        <w:t>1</w:t>
      </w:r>
      <w:r w:rsidRPr="0036194D">
        <w:rPr>
          <w:lang w:eastAsia="en-AU"/>
        </w:rPr>
        <w:t>. </w:t>
      </w:r>
    </w:p>
    <w:p w14:paraId="537658FB" w14:textId="77777777" w:rsidR="00EF6809" w:rsidRDefault="00EF6809">
      <w:pPr>
        <w:spacing w:after="160" w:line="259" w:lineRule="auto"/>
        <w:rPr>
          <w:szCs w:val="20"/>
        </w:rPr>
      </w:pPr>
      <w:r>
        <w:rPr>
          <w:szCs w:val="20"/>
        </w:rPr>
        <w:br w:type="page"/>
      </w:r>
    </w:p>
    <w:p w14:paraId="3C5F7888" w14:textId="6C13ECF5" w:rsidR="009D208A" w:rsidRPr="00F71DF5" w:rsidRDefault="009D208A" w:rsidP="009D208A">
      <w:pPr>
        <w:rPr>
          <w:szCs w:val="20"/>
        </w:rPr>
      </w:pPr>
      <w:r w:rsidRPr="00F71DF5">
        <w:rPr>
          <w:szCs w:val="20"/>
        </w:rPr>
        <w:lastRenderedPageBreak/>
        <w:t>Some pharmacists reviewed what additional services they could add to benefit HCH patient</w:t>
      </w:r>
      <w:r>
        <w:rPr>
          <w:szCs w:val="20"/>
        </w:rPr>
        <w:t>s. In some instances, this involved freeing up more space to consult with patients or purchasing equipment to offer additional services</w:t>
      </w:r>
      <w:r w:rsidRPr="00F71DF5">
        <w:rPr>
          <w:szCs w:val="20"/>
        </w:rPr>
        <w:t xml:space="preserve">: </w:t>
      </w:r>
    </w:p>
    <w:p w14:paraId="359FBCFE" w14:textId="77777777" w:rsidR="009D208A" w:rsidRDefault="009D208A" w:rsidP="009D208A">
      <w:pPr>
        <w:ind w:left="567" w:right="521"/>
        <w:rPr>
          <w:rFonts w:eastAsia="Times New Roman"/>
          <w:szCs w:val="20"/>
          <w:lang w:eastAsia="en-AU"/>
        </w:rPr>
      </w:pPr>
      <w:r w:rsidRPr="00F71DF5">
        <w:rPr>
          <w:rFonts w:eastAsia="Times New Roman"/>
          <w:i/>
          <w:iCs/>
          <w:szCs w:val="20"/>
          <w:lang w:eastAsia="en-AU"/>
        </w:rPr>
        <w:t>“</w:t>
      </w:r>
      <w:r>
        <w:rPr>
          <w:rFonts w:eastAsia="Times New Roman"/>
          <w:i/>
          <w:iCs/>
          <w:szCs w:val="20"/>
          <w:lang w:eastAsia="en-AU"/>
        </w:rPr>
        <w:t xml:space="preserve">…me and the owner of </w:t>
      </w:r>
      <w:r w:rsidRPr="0055495A">
        <w:rPr>
          <w:rFonts w:eastAsia="Times New Roman"/>
          <w:i/>
          <w:iCs/>
          <w:szCs w:val="20"/>
          <w:lang w:eastAsia="en-AU"/>
        </w:rPr>
        <w:t xml:space="preserve">the pharmacy, contacted a few reps. We contacted </w:t>
      </w:r>
      <w:r>
        <w:rPr>
          <w:rFonts w:eastAsia="Times New Roman"/>
          <w:i/>
          <w:iCs/>
          <w:szCs w:val="20"/>
          <w:lang w:eastAsia="en-AU"/>
        </w:rPr>
        <w:t>[Business]</w:t>
      </w:r>
      <w:r w:rsidRPr="0055495A">
        <w:rPr>
          <w:rFonts w:eastAsia="Times New Roman"/>
          <w:i/>
          <w:iCs/>
          <w:szCs w:val="20"/>
          <w:lang w:eastAsia="en-AU"/>
        </w:rPr>
        <w:t xml:space="preserve"> to help us with trying to put in a system to calibrate blood pressure machines. We contacted a few of our blood glucose monitor companies just to see if they could send us control </w:t>
      </w:r>
      <w:r w:rsidRPr="000C3FBF">
        <w:rPr>
          <w:rFonts w:eastAsia="Times New Roman"/>
          <w:szCs w:val="20"/>
          <w:lang w:eastAsia="en-AU"/>
        </w:rPr>
        <w:t>solutions</w:t>
      </w:r>
      <w:r w:rsidRPr="0055495A">
        <w:rPr>
          <w:rFonts w:eastAsia="Times New Roman"/>
          <w:i/>
          <w:iCs/>
          <w:szCs w:val="20"/>
          <w:lang w:eastAsia="en-AU"/>
        </w:rPr>
        <w:t xml:space="preserve"> so we could offer more calibration of the blood glucose machines. I think we were able to manage to get some free space to offer our asthmatic clients, and I do an asthma management test for all the asthmatic clients and provide that information to the doctors as well. Those are the main ones that we’ve been able to really utilise since the Health Care Homes trial. </w:t>
      </w:r>
      <w:r w:rsidRPr="00F71DF5">
        <w:rPr>
          <w:rFonts w:eastAsia="Times New Roman"/>
          <w:szCs w:val="20"/>
          <w:lang w:eastAsia="en-AU"/>
        </w:rPr>
        <w:t>[CP, Pharmacy 2</w:t>
      </w:r>
      <w:r>
        <w:rPr>
          <w:rFonts w:eastAsia="Times New Roman"/>
          <w:szCs w:val="20"/>
          <w:lang w:eastAsia="en-AU"/>
        </w:rPr>
        <w:t>, R5</w:t>
      </w:r>
      <w:r w:rsidRPr="00F71DF5">
        <w:rPr>
          <w:rFonts w:eastAsia="Times New Roman"/>
          <w:szCs w:val="20"/>
          <w:lang w:eastAsia="en-AU"/>
        </w:rPr>
        <w:t>]</w:t>
      </w:r>
    </w:p>
    <w:p w14:paraId="4C222FF8" w14:textId="77777777" w:rsidR="009D208A" w:rsidRPr="001D4E34" w:rsidRDefault="009D208A" w:rsidP="009D208A">
      <w:pPr>
        <w:ind w:left="567" w:right="521"/>
        <w:rPr>
          <w:rFonts w:eastAsia="Times New Roman"/>
          <w:szCs w:val="20"/>
          <w:lang w:eastAsia="en-AU"/>
        </w:rPr>
      </w:pPr>
      <w:r w:rsidRPr="00257DC3">
        <w:rPr>
          <w:rFonts w:eastAsia="Times New Roman"/>
          <w:szCs w:val="20"/>
          <w:lang w:eastAsia="en-AU"/>
        </w:rPr>
        <w:t>“</w:t>
      </w:r>
      <w:r w:rsidRPr="0045301D">
        <w:rPr>
          <w:rFonts w:eastAsia="Times New Roman"/>
          <w:i/>
          <w:iCs/>
          <w:szCs w:val="20"/>
          <w:lang w:eastAsia="en-AU"/>
        </w:rPr>
        <w:t>In fact, in last six months…[the pharmacy] added another room, what they call their consulting room so they can sit with the patient and explain a few bits and pieces which is always good</w:t>
      </w:r>
      <w:r w:rsidRPr="00257DC3">
        <w:rPr>
          <w:rFonts w:eastAsia="Times New Roman"/>
          <w:szCs w:val="20"/>
          <w:lang w:eastAsia="en-AU"/>
        </w:rPr>
        <w:t>.</w:t>
      </w:r>
      <w:r>
        <w:rPr>
          <w:rFonts w:eastAsia="Times New Roman"/>
          <w:szCs w:val="20"/>
          <w:lang w:eastAsia="en-AU"/>
        </w:rPr>
        <w:t>” [GP, Practice 16, R5]</w:t>
      </w:r>
    </w:p>
    <w:p w14:paraId="357203B1" w14:textId="08BFCAD3" w:rsidR="00E874DD" w:rsidRPr="00F71DF5" w:rsidRDefault="00E874DD" w:rsidP="00E874DD">
      <w:pPr>
        <w:rPr>
          <w:szCs w:val="20"/>
        </w:rPr>
      </w:pPr>
      <w:r w:rsidRPr="00F71DF5">
        <w:rPr>
          <w:rFonts w:eastAsia="MS Gothic" w:cs="Arial"/>
          <w:szCs w:val="20"/>
        </w:rPr>
        <w:t>Community pharmacists</w:t>
      </w:r>
      <w:r>
        <w:rPr>
          <w:rFonts w:eastAsia="MS Gothic" w:cs="Arial"/>
          <w:szCs w:val="20"/>
        </w:rPr>
        <w:t xml:space="preserve"> and practices</w:t>
      </w:r>
      <w:r w:rsidRPr="00F71DF5">
        <w:rPr>
          <w:rFonts w:eastAsia="MS Gothic" w:cs="Arial"/>
          <w:szCs w:val="20"/>
        </w:rPr>
        <w:t xml:space="preserve"> commented on the support services that they provid</w:t>
      </w:r>
      <w:r>
        <w:rPr>
          <w:rFonts w:eastAsia="MS Gothic" w:cs="Arial"/>
          <w:szCs w:val="20"/>
        </w:rPr>
        <w:t>ed</w:t>
      </w:r>
      <w:r w:rsidRPr="00F71DF5">
        <w:rPr>
          <w:rFonts w:eastAsia="MS Gothic" w:cs="Arial"/>
          <w:szCs w:val="20"/>
        </w:rPr>
        <w:t>:</w:t>
      </w:r>
    </w:p>
    <w:p w14:paraId="72046574" w14:textId="4F4E3627" w:rsidR="00E874DD" w:rsidRPr="00314F86" w:rsidRDefault="00E874DD" w:rsidP="000C3FBF">
      <w:pPr>
        <w:ind w:left="567" w:right="521"/>
        <w:rPr>
          <w:szCs w:val="20"/>
        </w:rPr>
      </w:pPr>
      <w:r w:rsidRPr="00314F86">
        <w:rPr>
          <w:i/>
          <w:iCs/>
          <w:szCs w:val="20"/>
          <w:lang w:val="en-US"/>
        </w:rPr>
        <w:t>“The pharmacists have proactively offered education around blood pressure management and asthma management from what I’ve seen. They have commented to patients following an informal medication review that they might be contra</w:t>
      </w:r>
      <w:r w:rsidR="0099202C">
        <w:rPr>
          <w:i/>
          <w:iCs/>
          <w:szCs w:val="20"/>
          <w:lang w:val="en-US"/>
        </w:rPr>
        <w:t>indi</w:t>
      </w:r>
      <w:r w:rsidRPr="00314F86">
        <w:rPr>
          <w:i/>
          <w:iCs/>
          <w:szCs w:val="20"/>
          <w:lang w:val="en-US"/>
        </w:rPr>
        <w:t>c</w:t>
      </w:r>
      <w:r w:rsidR="0099202C">
        <w:rPr>
          <w:i/>
          <w:iCs/>
          <w:szCs w:val="20"/>
          <w:lang w:val="en-US"/>
        </w:rPr>
        <w:t>a</w:t>
      </w:r>
      <w:r w:rsidRPr="00314F86">
        <w:rPr>
          <w:i/>
          <w:iCs/>
          <w:szCs w:val="20"/>
          <w:lang w:val="en-US"/>
        </w:rPr>
        <w:t>tions, and therefore facilitate a more formal medication review.</w:t>
      </w:r>
      <w:r w:rsidRPr="00314F86">
        <w:rPr>
          <w:rFonts w:cs="Tahoma"/>
          <w:i/>
          <w:iCs/>
          <w:szCs w:val="20"/>
          <w:lang w:val="en-US"/>
        </w:rPr>
        <w:t xml:space="preserve"> </w:t>
      </w:r>
      <w:r w:rsidRPr="00314F86">
        <w:rPr>
          <w:i/>
          <w:iCs/>
          <w:szCs w:val="20"/>
          <w:lang w:val="en-US"/>
        </w:rPr>
        <w:t>I can see that they</w:t>
      </w:r>
      <w:r w:rsidRPr="00314F86">
        <w:rPr>
          <w:rFonts w:cs="Calibri"/>
          <w:i/>
          <w:iCs/>
          <w:szCs w:val="20"/>
          <w:lang w:val="en-US"/>
        </w:rPr>
        <w:t>’</w:t>
      </w:r>
      <w:r w:rsidRPr="00314F86">
        <w:rPr>
          <w:i/>
          <w:iCs/>
          <w:szCs w:val="20"/>
          <w:lang w:val="en-US"/>
        </w:rPr>
        <w:t xml:space="preserve">re having </w:t>
      </w:r>
      <w:r w:rsidRPr="000C3FBF">
        <w:rPr>
          <w:rFonts w:eastAsia="Times New Roman"/>
          <w:szCs w:val="20"/>
          <w:lang w:eastAsia="en-AU"/>
        </w:rPr>
        <w:t>conversations</w:t>
      </w:r>
      <w:r w:rsidRPr="00314F86">
        <w:rPr>
          <w:i/>
          <w:iCs/>
          <w:szCs w:val="20"/>
          <w:lang w:val="en-US"/>
        </w:rPr>
        <w:t xml:space="preserve"> with patients about appropriate storage of medications, appropriate use of them, the timing for when they might use it, so with reference to an asthma plan for example. And I can see that they</w:t>
      </w:r>
      <w:r w:rsidRPr="00314F86">
        <w:rPr>
          <w:rFonts w:cs="Calibri"/>
          <w:i/>
          <w:iCs/>
          <w:szCs w:val="20"/>
          <w:lang w:val="en-US"/>
        </w:rPr>
        <w:t>’</w:t>
      </w:r>
      <w:r w:rsidRPr="00314F86">
        <w:rPr>
          <w:i/>
          <w:iCs/>
          <w:szCs w:val="20"/>
          <w:lang w:val="en-US"/>
        </w:rPr>
        <w:t>re capturing for me information about what other medications or supplements the patient might be taking that I’m unaware of</w:t>
      </w:r>
      <w:r w:rsidRPr="00314F86">
        <w:rPr>
          <w:i/>
          <w:iCs/>
          <w:szCs w:val="20"/>
        </w:rPr>
        <w:t>…”</w:t>
      </w:r>
      <w:r>
        <w:rPr>
          <w:i/>
          <w:iCs/>
          <w:szCs w:val="20"/>
        </w:rPr>
        <w:t xml:space="preserve"> </w:t>
      </w:r>
      <w:r>
        <w:rPr>
          <w:szCs w:val="20"/>
        </w:rPr>
        <w:t>[GP, Practice 9, R5]</w:t>
      </w:r>
    </w:p>
    <w:p w14:paraId="2DB51046" w14:textId="77777777" w:rsidR="00E874DD" w:rsidRPr="00F71DF5" w:rsidRDefault="00E874DD" w:rsidP="000C3FBF">
      <w:pPr>
        <w:ind w:left="567" w:right="521"/>
        <w:rPr>
          <w:szCs w:val="20"/>
        </w:rPr>
      </w:pPr>
      <w:r w:rsidRPr="00F71DF5">
        <w:rPr>
          <w:i/>
          <w:iCs/>
          <w:szCs w:val="20"/>
        </w:rPr>
        <w:t xml:space="preserve">“Most of them, I’d say the majority of them, the service the client wants is the dose </w:t>
      </w:r>
      <w:r w:rsidRPr="000C3FBF">
        <w:rPr>
          <w:rFonts w:eastAsia="Times New Roman"/>
          <w:szCs w:val="20"/>
          <w:lang w:eastAsia="en-AU"/>
        </w:rPr>
        <w:t>administration</w:t>
      </w:r>
      <w:r w:rsidRPr="00F71DF5">
        <w:rPr>
          <w:i/>
          <w:iCs/>
          <w:szCs w:val="20"/>
        </w:rPr>
        <w:t xml:space="preserve"> aid. So that immediately puts us in close contact with the surgery to manage their prescriptions. And also then changes to the pack and that sort of thing, we stay in touch with the surgery as a result of that.”</w:t>
      </w:r>
      <w:r w:rsidRPr="00F71DF5">
        <w:rPr>
          <w:szCs w:val="20"/>
        </w:rPr>
        <w:t xml:space="preserve"> [CP,</w:t>
      </w:r>
      <w:r>
        <w:rPr>
          <w:szCs w:val="20"/>
        </w:rPr>
        <w:t xml:space="preserve"> </w:t>
      </w:r>
      <w:r w:rsidRPr="00F71DF5">
        <w:rPr>
          <w:szCs w:val="20"/>
        </w:rPr>
        <w:t>Pharmacy 4</w:t>
      </w:r>
      <w:r>
        <w:rPr>
          <w:szCs w:val="20"/>
        </w:rPr>
        <w:t>, R4</w:t>
      </w:r>
      <w:r w:rsidRPr="00F71DF5">
        <w:rPr>
          <w:szCs w:val="20"/>
        </w:rPr>
        <w:t>]</w:t>
      </w:r>
    </w:p>
    <w:p w14:paraId="163E0E18" w14:textId="77777777" w:rsidR="00E874DD" w:rsidRPr="007031C2" w:rsidRDefault="00E874DD" w:rsidP="00E874DD">
      <w:pPr>
        <w:spacing w:after="160" w:line="259" w:lineRule="auto"/>
        <w:ind w:left="567" w:right="521"/>
        <w:rPr>
          <w:szCs w:val="20"/>
        </w:rPr>
      </w:pPr>
      <w:r w:rsidRPr="00F71DF5">
        <w:rPr>
          <w:i/>
          <w:iCs/>
          <w:szCs w:val="20"/>
        </w:rPr>
        <w:t xml:space="preserve"> “</w:t>
      </w:r>
      <w:r w:rsidRPr="007031C2">
        <w:rPr>
          <w:i/>
          <w:iCs/>
          <w:szCs w:val="20"/>
        </w:rPr>
        <w:t>Definitely the packing of medication for the patient. Inhaler techniques were also really good. Blood pressure checks</w:t>
      </w:r>
      <w:r>
        <w:rPr>
          <w:i/>
          <w:iCs/>
          <w:szCs w:val="20"/>
        </w:rPr>
        <w:t>..</w:t>
      </w:r>
      <w:r w:rsidRPr="007031C2">
        <w:rPr>
          <w:i/>
          <w:iCs/>
          <w:szCs w:val="20"/>
        </w:rPr>
        <w:t>.They’re something that upon request we'll do them or if there's any concern from the patient. Definitely anything to do with medication techniques, inhalers, all that supportive role reinforcement.</w:t>
      </w:r>
      <w:r>
        <w:rPr>
          <w:i/>
          <w:iCs/>
          <w:szCs w:val="20"/>
        </w:rPr>
        <w:t xml:space="preserve">” </w:t>
      </w:r>
      <w:r>
        <w:rPr>
          <w:szCs w:val="20"/>
        </w:rPr>
        <w:t>[CP, Pharmacy 11, R5]</w:t>
      </w:r>
    </w:p>
    <w:p w14:paraId="65AF7F31" w14:textId="77777777" w:rsidR="00E874DD" w:rsidRDefault="00E874DD" w:rsidP="000C3FBF">
      <w:pPr>
        <w:ind w:left="567" w:right="521"/>
        <w:rPr>
          <w:szCs w:val="20"/>
        </w:rPr>
      </w:pPr>
      <w:r w:rsidRPr="00F71DF5">
        <w:rPr>
          <w:i/>
          <w:iCs/>
          <w:szCs w:val="20"/>
        </w:rPr>
        <w:t xml:space="preserve">“I think I mentioned earlier that one of our pharmacists, who’s very active in the program, is a diabetes educator. </w:t>
      </w:r>
      <w:r w:rsidRPr="000C3FBF">
        <w:rPr>
          <w:rFonts w:eastAsia="Times New Roman"/>
          <w:szCs w:val="20"/>
          <w:lang w:eastAsia="en-AU"/>
        </w:rPr>
        <w:t>So</w:t>
      </w:r>
      <w:r w:rsidRPr="00F71DF5">
        <w:rPr>
          <w:i/>
          <w:iCs/>
          <w:szCs w:val="20"/>
        </w:rPr>
        <w:t>, she’s been taking appointments. Saturdays are quieter in the pharmacy, so she’s been fantastic at getting the patients back into the pharmacy on a Saturday, setting up blood glucose monitoring for them, doing follow-up appointments. So, she’s been extremely active in doing that.”</w:t>
      </w:r>
      <w:r w:rsidRPr="00F71DF5">
        <w:rPr>
          <w:szCs w:val="20"/>
        </w:rPr>
        <w:t xml:space="preserve"> [CP, Pharmacy 3</w:t>
      </w:r>
      <w:r>
        <w:rPr>
          <w:szCs w:val="20"/>
        </w:rPr>
        <w:t>, R4</w:t>
      </w:r>
      <w:r w:rsidRPr="00F71DF5">
        <w:rPr>
          <w:szCs w:val="20"/>
        </w:rPr>
        <w:t>]</w:t>
      </w:r>
    </w:p>
    <w:p w14:paraId="18AF57CA" w14:textId="7AD76790" w:rsidR="00E874DD" w:rsidRPr="00F71DF5" w:rsidRDefault="00E874DD" w:rsidP="00E874DD">
      <w:pPr>
        <w:rPr>
          <w:szCs w:val="20"/>
        </w:rPr>
      </w:pPr>
      <w:r w:rsidRPr="00F71DF5">
        <w:rPr>
          <w:szCs w:val="20"/>
        </w:rPr>
        <w:lastRenderedPageBreak/>
        <w:t xml:space="preserve">Some pharmacists felt that the trial could </w:t>
      </w:r>
      <w:r w:rsidR="00DD5879">
        <w:rPr>
          <w:szCs w:val="20"/>
        </w:rPr>
        <w:t>have allowed for a wider</w:t>
      </w:r>
      <w:r w:rsidRPr="00F71DF5">
        <w:rPr>
          <w:szCs w:val="20"/>
        </w:rPr>
        <w:t xml:space="preserve"> scope of practice so pharmacists could use the funding to provide services that would </w:t>
      </w:r>
      <w:r w:rsidR="00C04344">
        <w:rPr>
          <w:szCs w:val="20"/>
        </w:rPr>
        <w:t>offer</w:t>
      </w:r>
      <w:r w:rsidRPr="00F71DF5">
        <w:rPr>
          <w:szCs w:val="20"/>
        </w:rPr>
        <w:t xml:space="preserve"> the most benefit to their </w:t>
      </w:r>
      <w:r w:rsidR="00C04344">
        <w:rPr>
          <w:szCs w:val="20"/>
        </w:rPr>
        <w:t>patients</w:t>
      </w:r>
      <w:r w:rsidRPr="00F71DF5">
        <w:rPr>
          <w:szCs w:val="20"/>
        </w:rPr>
        <w:t>:</w:t>
      </w:r>
    </w:p>
    <w:p w14:paraId="66C1B098" w14:textId="435A7199" w:rsidR="00E874DD" w:rsidRDefault="00E874DD" w:rsidP="00A279CB">
      <w:pPr>
        <w:ind w:left="567" w:right="521"/>
      </w:pPr>
      <w:r w:rsidRPr="00F71DF5">
        <w:rPr>
          <w:i/>
          <w:iCs/>
          <w:szCs w:val="20"/>
        </w:rPr>
        <w:t xml:space="preserve">“… we have the resources to continue to monitor patients’ compliance with their medication </w:t>
      </w:r>
      <w:r w:rsidRPr="000C3FBF">
        <w:rPr>
          <w:rFonts w:eastAsia="Times New Roman"/>
          <w:szCs w:val="20"/>
          <w:lang w:eastAsia="en-AU"/>
        </w:rPr>
        <w:t>through</w:t>
      </w:r>
      <w:r w:rsidRPr="00F71DF5">
        <w:rPr>
          <w:i/>
          <w:iCs/>
          <w:szCs w:val="20"/>
        </w:rPr>
        <w:t xml:space="preserve"> regular follow-ups. And then we have the chance of monitoring their blood sugar, blood pressure, cholesterol and then we’ll be more receptive to doing home deliveries. For example, if there’s funding for Health Care Homes and then we’ll be able to provide a lot more services. But what I’m saying is the scope </w:t>
      </w:r>
      <w:r w:rsidRPr="000C3FBF">
        <w:rPr>
          <w:rFonts w:eastAsia="Times New Roman"/>
          <w:szCs w:val="20"/>
          <w:lang w:eastAsia="en-AU"/>
        </w:rPr>
        <w:t>of</w:t>
      </w:r>
      <w:r w:rsidRPr="00F71DF5">
        <w:rPr>
          <w:i/>
          <w:iCs/>
          <w:szCs w:val="20"/>
        </w:rPr>
        <w:t xml:space="preserve"> practice needs to be more expanded and more well-defined, rather than just those few things that they mention on there. I feel it would be better … I feel it would be good to continue on the service, but with more expanded practice.”</w:t>
      </w:r>
      <w:r w:rsidRPr="00F71DF5">
        <w:rPr>
          <w:szCs w:val="20"/>
        </w:rPr>
        <w:t xml:space="preserve"> [CP, Pharmacy 7</w:t>
      </w:r>
      <w:r>
        <w:rPr>
          <w:szCs w:val="20"/>
        </w:rPr>
        <w:t>, R4</w:t>
      </w:r>
      <w:r w:rsidRPr="00F71DF5">
        <w:rPr>
          <w:szCs w:val="20"/>
        </w:rPr>
        <w:t>]</w:t>
      </w:r>
      <w:r w:rsidR="00A279CB" w:rsidRPr="00F71DF5">
        <w:t xml:space="preserve"> </w:t>
      </w:r>
    </w:p>
    <w:p w14:paraId="06D00D4F" w14:textId="48941B37" w:rsidR="00C4254D" w:rsidRDefault="00C4254D" w:rsidP="00C4254D">
      <w:r>
        <w:t xml:space="preserve">In the practice staff survey for the evaluation, GPs were also asked whether the </w:t>
      </w:r>
      <w:r w:rsidRPr="00390365">
        <w:t>pharmacist outline</w:t>
      </w:r>
      <w:r>
        <w:t>d</w:t>
      </w:r>
      <w:r w:rsidRPr="00390365">
        <w:t xml:space="preserve"> supporting services that he/she planned or could deliver to support the patient's achievement of their medication management goals</w:t>
      </w:r>
      <w:r>
        <w:t xml:space="preserve">. </w:t>
      </w:r>
      <w:r w:rsidRPr="00893D7F">
        <w:rPr>
          <w:rFonts w:eastAsiaTheme="minorEastAsia"/>
          <w:color w:val="1D2455"/>
          <w:szCs w:val="20"/>
          <w:lang w:eastAsia="en-AU"/>
        </w:rPr>
        <w:fldChar w:fldCharType="begin"/>
      </w:r>
      <w:r w:rsidRPr="00893D7F">
        <w:rPr>
          <w:rFonts w:eastAsiaTheme="minorEastAsia"/>
          <w:color w:val="1D2455"/>
          <w:szCs w:val="20"/>
          <w:lang w:eastAsia="en-AU"/>
        </w:rPr>
        <w:instrText xml:space="preserve"> REF _Ref98759754 \h </w:instrText>
      </w:r>
      <w:r>
        <w:rPr>
          <w:rFonts w:eastAsiaTheme="minorEastAsia"/>
          <w:color w:val="1D2455"/>
          <w:szCs w:val="20"/>
          <w:lang w:eastAsia="en-AU"/>
        </w:rPr>
        <w:instrText xml:space="preserve"> \* MERGEFORMAT </w:instrText>
      </w:r>
      <w:r w:rsidRPr="00893D7F">
        <w:rPr>
          <w:rFonts w:eastAsiaTheme="minorEastAsia"/>
          <w:color w:val="1D2455"/>
          <w:szCs w:val="20"/>
          <w:lang w:eastAsia="en-AU"/>
        </w:rPr>
      </w:r>
      <w:r w:rsidRPr="00893D7F">
        <w:rPr>
          <w:rFonts w:eastAsiaTheme="minorEastAsia"/>
          <w:color w:val="1D2455"/>
          <w:szCs w:val="20"/>
          <w:lang w:eastAsia="en-AU"/>
        </w:rPr>
        <w:fldChar w:fldCharType="separate"/>
      </w:r>
      <w:r w:rsidR="003C4BC2" w:rsidRPr="003C4BC2">
        <w:rPr>
          <w:rFonts w:eastAsiaTheme="minorEastAsia"/>
          <w:color w:val="1D2455"/>
          <w:szCs w:val="20"/>
          <w:lang w:eastAsia="en-AU"/>
        </w:rPr>
        <w:t>Table 64</w:t>
      </w:r>
      <w:r w:rsidRPr="00893D7F">
        <w:rPr>
          <w:rFonts w:eastAsiaTheme="minorEastAsia"/>
          <w:color w:val="1D2455"/>
          <w:szCs w:val="20"/>
          <w:lang w:eastAsia="en-AU"/>
        </w:rPr>
        <w:fldChar w:fldCharType="end"/>
      </w:r>
      <w:r>
        <w:t xml:space="preserve"> shows that GPs most commonly reported that the </w:t>
      </w:r>
      <w:r w:rsidRPr="00390365">
        <w:t>pharmacist outline</w:t>
      </w:r>
      <w:r>
        <w:t>d</w:t>
      </w:r>
      <w:r w:rsidRPr="00390365">
        <w:t xml:space="preserve"> supporting services</w:t>
      </w:r>
      <w:r>
        <w:t xml:space="preserve"> for their patients.</w:t>
      </w:r>
    </w:p>
    <w:p w14:paraId="769B469E" w14:textId="6632D16E" w:rsidR="00C4254D" w:rsidRPr="00360C6F" w:rsidRDefault="00C4254D" w:rsidP="00C4254D">
      <w:pPr>
        <w:pStyle w:val="TableorFigurecaptionHPA"/>
      </w:pPr>
      <w:bookmarkStart w:id="459" w:name="_Ref98759754"/>
      <w:r w:rsidRPr="00360C6F">
        <w:t xml:space="preserve">Table </w:t>
      </w:r>
      <w:r w:rsidRPr="00360C6F">
        <w:fldChar w:fldCharType="begin"/>
      </w:r>
      <w:r w:rsidRPr="00360C6F">
        <w:instrText>SEQ Table \* ARABIC</w:instrText>
      </w:r>
      <w:r w:rsidRPr="00360C6F">
        <w:fldChar w:fldCharType="separate"/>
      </w:r>
      <w:r w:rsidR="003C4BC2">
        <w:rPr>
          <w:noProof/>
        </w:rPr>
        <w:t>64</w:t>
      </w:r>
      <w:r w:rsidRPr="00360C6F">
        <w:fldChar w:fldCharType="end"/>
      </w:r>
      <w:bookmarkEnd w:id="459"/>
      <w:r>
        <w:t xml:space="preserve">: </w:t>
      </w:r>
      <w:r w:rsidRPr="00EA49F7">
        <w:t>Did community pharmacists outline supporting services that could be delivered to support patient</w:t>
      </w:r>
      <w:r w:rsidR="006E55B7">
        <w:t>s’</w:t>
      </w:r>
      <w:r w:rsidRPr="00EA49F7">
        <w:t xml:space="preserve"> medication management goals</w:t>
      </w:r>
      <w:r>
        <w:t>?</w:t>
      </w:r>
    </w:p>
    <w:tbl>
      <w:tblPr>
        <w:tblW w:w="3700"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2488"/>
        <w:gridCol w:w="1212"/>
      </w:tblGrid>
      <w:tr w:rsidR="00C4254D" w:rsidRPr="001C3504" w14:paraId="057E1CCF" w14:textId="77777777" w:rsidTr="00F83DE8">
        <w:trPr>
          <w:cantSplit/>
          <w:tblHeader/>
          <w:jc w:val="center"/>
        </w:trPr>
        <w:tc>
          <w:tcPr>
            <w:tcW w:w="2488" w:type="dxa"/>
            <w:shd w:val="clear" w:color="auto" w:fill="408BCA"/>
            <w:tcMar>
              <w:top w:w="0" w:type="dxa"/>
              <w:left w:w="0" w:type="dxa"/>
              <w:bottom w:w="0" w:type="dxa"/>
              <w:right w:w="0" w:type="dxa"/>
            </w:tcMar>
            <w:vAlign w:val="center"/>
          </w:tcPr>
          <w:p w14:paraId="3DF12112" w14:textId="77777777" w:rsidR="00C4254D" w:rsidRPr="001C3504" w:rsidRDefault="00C4254D" w:rsidP="00F83DE8">
            <w:pPr>
              <w:spacing w:before="20" w:after="20"/>
              <w:ind w:left="100" w:right="100"/>
              <w:jc w:val="center"/>
              <w:rPr>
                <w:sz w:val="18"/>
                <w:szCs w:val="18"/>
              </w:rPr>
            </w:pPr>
            <w:r w:rsidRPr="001C3504">
              <w:rPr>
                <w:rFonts w:eastAsia="Century Gothic" w:cs="Century Gothic"/>
                <w:b/>
                <w:color w:val="FFFFFF"/>
                <w:sz w:val="18"/>
                <w:szCs w:val="18"/>
              </w:rPr>
              <w:t>Response</w:t>
            </w:r>
          </w:p>
        </w:tc>
        <w:tc>
          <w:tcPr>
            <w:tcW w:w="1212" w:type="dxa"/>
            <w:shd w:val="clear" w:color="auto" w:fill="408BCA"/>
            <w:tcMar>
              <w:top w:w="0" w:type="dxa"/>
              <w:left w:w="0" w:type="dxa"/>
              <w:bottom w:w="0" w:type="dxa"/>
              <w:right w:w="0" w:type="dxa"/>
            </w:tcMar>
            <w:vAlign w:val="center"/>
          </w:tcPr>
          <w:p w14:paraId="668E8B2D" w14:textId="77777777" w:rsidR="00C4254D" w:rsidRPr="001C3504" w:rsidRDefault="00C4254D" w:rsidP="00F83DE8">
            <w:pPr>
              <w:spacing w:before="20" w:after="20"/>
              <w:ind w:left="100" w:right="100"/>
              <w:jc w:val="center"/>
              <w:rPr>
                <w:sz w:val="18"/>
                <w:szCs w:val="18"/>
              </w:rPr>
            </w:pPr>
            <w:r w:rsidRPr="001C3504">
              <w:rPr>
                <w:rFonts w:eastAsia="Century Gothic" w:cs="Century Gothic"/>
                <w:b/>
                <w:color w:val="FFFFFF"/>
                <w:sz w:val="18"/>
                <w:szCs w:val="18"/>
              </w:rPr>
              <w:t>n (%)</w:t>
            </w:r>
          </w:p>
        </w:tc>
      </w:tr>
      <w:tr w:rsidR="00C4254D" w:rsidRPr="001C3504" w14:paraId="47ACAEBF" w14:textId="77777777" w:rsidTr="00F83DE8">
        <w:trPr>
          <w:cantSplit/>
          <w:jc w:val="center"/>
        </w:trPr>
        <w:tc>
          <w:tcPr>
            <w:tcW w:w="2488" w:type="dxa"/>
            <w:shd w:val="clear" w:color="auto" w:fill="FFFFFF"/>
            <w:tcMar>
              <w:top w:w="0" w:type="dxa"/>
              <w:left w:w="0" w:type="dxa"/>
              <w:bottom w:w="0" w:type="dxa"/>
              <w:right w:w="0" w:type="dxa"/>
            </w:tcMar>
            <w:vAlign w:val="center"/>
          </w:tcPr>
          <w:p w14:paraId="5223F469" w14:textId="77777777" w:rsidR="00C4254D" w:rsidRPr="001C3504" w:rsidRDefault="00C4254D" w:rsidP="00F83DE8">
            <w:pPr>
              <w:spacing w:before="20" w:after="20"/>
              <w:ind w:left="100" w:right="100"/>
              <w:rPr>
                <w:sz w:val="18"/>
                <w:szCs w:val="18"/>
              </w:rPr>
            </w:pPr>
            <w:r>
              <w:rPr>
                <w:sz w:val="18"/>
                <w:szCs w:val="18"/>
              </w:rPr>
              <w:t>Yes</w:t>
            </w:r>
          </w:p>
        </w:tc>
        <w:tc>
          <w:tcPr>
            <w:tcW w:w="1212" w:type="dxa"/>
            <w:shd w:val="clear" w:color="auto" w:fill="FFFFFF"/>
            <w:tcMar>
              <w:top w:w="0" w:type="dxa"/>
              <w:left w:w="0" w:type="dxa"/>
              <w:bottom w:w="0" w:type="dxa"/>
              <w:right w:w="0" w:type="dxa"/>
            </w:tcMar>
            <w:vAlign w:val="center"/>
          </w:tcPr>
          <w:p w14:paraId="4864375C" w14:textId="77777777" w:rsidR="00C4254D" w:rsidRPr="001C3504" w:rsidRDefault="00C4254D" w:rsidP="00F83DE8">
            <w:pPr>
              <w:spacing w:before="20" w:after="20"/>
              <w:ind w:left="100" w:right="100"/>
              <w:jc w:val="right"/>
              <w:rPr>
                <w:sz w:val="18"/>
                <w:szCs w:val="18"/>
              </w:rPr>
            </w:pPr>
            <w:r w:rsidRPr="00352BB9">
              <w:rPr>
                <w:sz w:val="18"/>
                <w:szCs w:val="18"/>
              </w:rPr>
              <w:t>15 (83</w:t>
            </w:r>
            <w:r w:rsidRPr="00352BB9">
              <w:rPr>
                <w:sz w:val="18"/>
                <w:szCs w:val="18"/>
              </w:rPr>
              <w:tab/>
            </w:r>
          </w:p>
        </w:tc>
      </w:tr>
      <w:tr w:rsidR="00C4254D" w:rsidRPr="001C3504" w14:paraId="02FE9785" w14:textId="77777777" w:rsidTr="00F83DE8">
        <w:trPr>
          <w:cantSplit/>
          <w:jc w:val="center"/>
        </w:trPr>
        <w:tc>
          <w:tcPr>
            <w:tcW w:w="2488" w:type="dxa"/>
            <w:shd w:val="clear" w:color="auto" w:fill="FFFFFF"/>
            <w:tcMar>
              <w:top w:w="0" w:type="dxa"/>
              <w:left w:w="0" w:type="dxa"/>
              <w:bottom w:w="0" w:type="dxa"/>
              <w:right w:w="0" w:type="dxa"/>
            </w:tcMar>
            <w:vAlign w:val="center"/>
          </w:tcPr>
          <w:p w14:paraId="46B8A58F" w14:textId="77777777" w:rsidR="00C4254D" w:rsidRPr="001C3504" w:rsidRDefault="00C4254D" w:rsidP="00F83DE8">
            <w:pPr>
              <w:spacing w:before="20" w:after="20"/>
              <w:ind w:left="100" w:right="100"/>
              <w:rPr>
                <w:sz w:val="18"/>
                <w:szCs w:val="18"/>
              </w:rPr>
            </w:pPr>
            <w:r>
              <w:rPr>
                <w:sz w:val="18"/>
                <w:szCs w:val="18"/>
              </w:rPr>
              <w:t>Maybe</w:t>
            </w:r>
          </w:p>
        </w:tc>
        <w:tc>
          <w:tcPr>
            <w:tcW w:w="1212" w:type="dxa"/>
            <w:shd w:val="clear" w:color="auto" w:fill="FFFFFF"/>
            <w:tcMar>
              <w:top w:w="0" w:type="dxa"/>
              <w:left w:w="0" w:type="dxa"/>
              <w:bottom w:w="0" w:type="dxa"/>
              <w:right w:w="0" w:type="dxa"/>
            </w:tcMar>
            <w:vAlign w:val="center"/>
          </w:tcPr>
          <w:p w14:paraId="34B4466D" w14:textId="77777777" w:rsidR="00C4254D" w:rsidRPr="001C3504" w:rsidRDefault="00C4254D" w:rsidP="00F83DE8">
            <w:pPr>
              <w:spacing w:before="20" w:after="20"/>
              <w:ind w:left="100" w:right="100"/>
              <w:jc w:val="right"/>
              <w:rPr>
                <w:sz w:val="18"/>
                <w:szCs w:val="18"/>
              </w:rPr>
            </w:pPr>
            <w:r w:rsidRPr="00352BB9">
              <w:rPr>
                <w:sz w:val="18"/>
                <w:szCs w:val="18"/>
              </w:rPr>
              <w:t>2 (11%)</w:t>
            </w:r>
          </w:p>
        </w:tc>
      </w:tr>
      <w:tr w:rsidR="00C4254D" w:rsidRPr="001C3504" w14:paraId="4EE925D9" w14:textId="77777777" w:rsidTr="00F83DE8">
        <w:trPr>
          <w:cantSplit/>
          <w:jc w:val="center"/>
        </w:trPr>
        <w:tc>
          <w:tcPr>
            <w:tcW w:w="2488" w:type="dxa"/>
            <w:shd w:val="clear" w:color="auto" w:fill="FFFFFF"/>
            <w:tcMar>
              <w:top w:w="0" w:type="dxa"/>
              <w:left w:w="0" w:type="dxa"/>
              <w:bottom w:w="0" w:type="dxa"/>
              <w:right w:w="0" w:type="dxa"/>
            </w:tcMar>
            <w:vAlign w:val="center"/>
          </w:tcPr>
          <w:p w14:paraId="7C078D93" w14:textId="77777777" w:rsidR="00C4254D" w:rsidRPr="001C3504" w:rsidRDefault="00C4254D" w:rsidP="00F83DE8">
            <w:pPr>
              <w:spacing w:before="20" w:after="20"/>
              <w:ind w:left="100" w:right="100"/>
              <w:rPr>
                <w:sz w:val="18"/>
                <w:szCs w:val="18"/>
              </w:rPr>
            </w:pPr>
            <w:r>
              <w:rPr>
                <w:sz w:val="18"/>
                <w:szCs w:val="18"/>
              </w:rPr>
              <w:t>No</w:t>
            </w:r>
          </w:p>
        </w:tc>
        <w:tc>
          <w:tcPr>
            <w:tcW w:w="1212" w:type="dxa"/>
            <w:shd w:val="clear" w:color="auto" w:fill="FFFFFF"/>
            <w:tcMar>
              <w:top w:w="0" w:type="dxa"/>
              <w:left w:w="0" w:type="dxa"/>
              <w:bottom w:w="0" w:type="dxa"/>
              <w:right w:w="0" w:type="dxa"/>
            </w:tcMar>
            <w:vAlign w:val="center"/>
          </w:tcPr>
          <w:p w14:paraId="48CF2C73" w14:textId="77777777" w:rsidR="00C4254D" w:rsidRPr="001C3504" w:rsidRDefault="00C4254D" w:rsidP="00F83DE8">
            <w:pPr>
              <w:spacing w:before="20" w:after="20"/>
              <w:ind w:left="100" w:right="100"/>
              <w:jc w:val="right"/>
              <w:rPr>
                <w:sz w:val="18"/>
                <w:szCs w:val="18"/>
              </w:rPr>
            </w:pPr>
            <w:r w:rsidRPr="00352BB9">
              <w:rPr>
                <w:sz w:val="18"/>
                <w:szCs w:val="18"/>
              </w:rPr>
              <w:t>1 (6%)</w:t>
            </w:r>
          </w:p>
        </w:tc>
      </w:tr>
    </w:tbl>
    <w:p w14:paraId="23156852" w14:textId="01B719B2" w:rsidR="00C4254D" w:rsidRDefault="00C4254D" w:rsidP="00C4254D">
      <w:pPr>
        <w:pStyle w:val="Source"/>
      </w:pPr>
      <w:r w:rsidRPr="001C3504">
        <w:t xml:space="preserve">Source: </w:t>
      </w:r>
      <w:r>
        <w:t>Staff survey</w:t>
      </w:r>
      <w:r w:rsidRPr="001C3504">
        <w:t xml:space="preserve"> </w:t>
      </w:r>
      <w:r>
        <w:t>R</w:t>
      </w:r>
      <w:r w:rsidRPr="001C3504">
        <w:t>5</w:t>
      </w:r>
      <w:r w:rsidR="00EF50F9">
        <w:t xml:space="preserve"> Mar–May 2021</w:t>
      </w:r>
      <w:r w:rsidRPr="001C3504">
        <w:t xml:space="preserve">, </w:t>
      </w:r>
      <w:r>
        <w:t>question</w:t>
      </w:r>
      <w:r w:rsidRPr="001C3504">
        <w:t xml:space="preserve"> 16</w:t>
      </w:r>
      <w:r>
        <w:t>E</w:t>
      </w:r>
      <w:r w:rsidR="00EF50F9">
        <w:t>.</w:t>
      </w:r>
    </w:p>
    <w:p w14:paraId="2FA09BC6" w14:textId="77777777" w:rsidR="00E874DD" w:rsidRPr="00F71DF5" w:rsidRDefault="00E874DD" w:rsidP="0050541D">
      <w:pPr>
        <w:pStyle w:val="Heading2"/>
      </w:pPr>
      <w:bookmarkStart w:id="460" w:name="_Toc109996760"/>
      <w:r w:rsidRPr="00F71DF5">
        <w:t>Impact of patient tier and level of service delivery</w:t>
      </w:r>
      <w:bookmarkEnd w:id="460"/>
      <w:r w:rsidRPr="00F71DF5">
        <w:t xml:space="preserve"> </w:t>
      </w:r>
    </w:p>
    <w:p w14:paraId="3F84D718" w14:textId="471FC0D6" w:rsidR="00E874DD" w:rsidRPr="00F71DF5" w:rsidRDefault="00E874DD" w:rsidP="00E874DD">
      <w:pPr>
        <w:rPr>
          <w:szCs w:val="20"/>
        </w:rPr>
      </w:pPr>
      <w:r>
        <w:rPr>
          <w:szCs w:val="20"/>
        </w:rPr>
        <w:t>Some p</w:t>
      </w:r>
      <w:r w:rsidRPr="00F71DF5">
        <w:rPr>
          <w:szCs w:val="20"/>
        </w:rPr>
        <w:t>harmacists stated that the amount of time they spent with a patient directly corresponded to the patient’s tier. Tier 1 patient reviews often took the least amount of time while tier 3 patients were usually the most time-consuming</w:t>
      </w:r>
      <w:r w:rsidR="00A757AA">
        <w:rPr>
          <w:szCs w:val="20"/>
        </w:rPr>
        <w:t>:</w:t>
      </w:r>
    </w:p>
    <w:p w14:paraId="663C773A" w14:textId="5A6DCC20" w:rsidR="00E874DD" w:rsidRPr="00F71DF5" w:rsidRDefault="00E874DD" w:rsidP="000C3FBF">
      <w:pPr>
        <w:ind w:left="567" w:right="521"/>
        <w:rPr>
          <w:szCs w:val="20"/>
          <w:highlight w:val="cyan"/>
        </w:rPr>
      </w:pPr>
      <w:r w:rsidRPr="00F71DF5">
        <w:rPr>
          <w:i/>
          <w:iCs/>
          <w:szCs w:val="20"/>
        </w:rPr>
        <w:t xml:space="preserve">“So, I would still say at least 30 minutes [for a tier 1 patient], if that’s possible … T2? I would </w:t>
      </w:r>
      <w:r w:rsidRPr="000C3FBF">
        <w:rPr>
          <w:rFonts w:eastAsia="Times New Roman"/>
          <w:szCs w:val="20"/>
          <w:lang w:eastAsia="en-AU"/>
        </w:rPr>
        <w:t>say</w:t>
      </w:r>
      <w:r w:rsidRPr="00F71DF5">
        <w:rPr>
          <w:i/>
          <w:iCs/>
          <w:szCs w:val="20"/>
        </w:rPr>
        <w:t xml:space="preserve"> they’d probably be a good hour …</w:t>
      </w:r>
      <w:r w:rsidR="00D225A5">
        <w:rPr>
          <w:i/>
          <w:iCs/>
          <w:szCs w:val="20"/>
        </w:rPr>
        <w:t xml:space="preserve"> </w:t>
      </w:r>
      <w:r w:rsidRPr="00F71DF5">
        <w:rPr>
          <w:i/>
          <w:iCs/>
          <w:szCs w:val="20"/>
        </w:rPr>
        <w:t>And then T3, I would say they’re an hour and a half. Just needing more of those services and, yes, more of the write-up as well.”</w:t>
      </w:r>
      <w:r w:rsidRPr="00F71DF5">
        <w:rPr>
          <w:szCs w:val="20"/>
        </w:rPr>
        <w:t xml:space="preserve"> [CP, Pharmacy 2</w:t>
      </w:r>
      <w:r>
        <w:rPr>
          <w:szCs w:val="20"/>
        </w:rPr>
        <w:t>, R4</w:t>
      </w:r>
      <w:r w:rsidRPr="00F71DF5">
        <w:rPr>
          <w:szCs w:val="20"/>
        </w:rPr>
        <w:t>]</w:t>
      </w:r>
    </w:p>
    <w:p w14:paraId="38B6DF29" w14:textId="77777777" w:rsidR="00E874DD" w:rsidRPr="00F71DF5" w:rsidRDefault="00E874DD" w:rsidP="000C3FBF">
      <w:pPr>
        <w:ind w:left="567" w:right="521"/>
        <w:rPr>
          <w:szCs w:val="20"/>
        </w:rPr>
      </w:pPr>
      <w:r w:rsidRPr="00F71DF5">
        <w:rPr>
          <w:i/>
          <w:iCs/>
          <w:szCs w:val="20"/>
        </w:rPr>
        <w:t xml:space="preserve">“A tier 1 is probably only about 10 minutes … tier 2s were probably a tad longer than </w:t>
      </w:r>
      <w:r w:rsidRPr="000C3FBF">
        <w:rPr>
          <w:rFonts w:eastAsia="Times New Roman"/>
          <w:szCs w:val="20"/>
          <w:lang w:eastAsia="en-AU"/>
        </w:rPr>
        <w:t>what</w:t>
      </w:r>
      <w:r w:rsidRPr="00F71DF5">
        <w:rPr>
          <w:i/>
          <w:iCs/>
          <w:szCs w:val="20"/>
        </w:rPr>
        <w:t xml:space="preserve"> you</w:t>
      </w:r>
      <w:r w:rsidRPr="00F71DF5">
        <w:rPr>
          <w:rFonts w:cs="Century Gothic"/>
          <w:i/>
          <w:iCs/>
          <w:szCs w:val="20"/>
        </w:rPr>
        <w:t>’</w:t>
      </w:r>
      <w:r w:rsidRPr="00F71DF5">
        <w:rPr>
          <w:i/>
          <w:iCs/>
          <w:szCs w:val="20"/>
        </w:rPr>
        <w:t xml:space="preserve">d expect a normal </w:t>
      </w:r>
      <w:proofErr w:type="spellStart"/>
      <w:r w:rsidRPr="00F71DF5">
        <w:rPr>
          <w:i/>
          <w:iCs/>
          <w:szCs w:val="20"/>
        </w:rPr>
        <w:t>MedsCheck</w:t>
      </w:r>
      <w:proofErr w:type="spellEnd"/>
      <w:r w:rsidRPr="00F71DF5">
        <w:rPr>
          <w:i/>
          <w:iCs/>
          <w:szCs w:val="20"/>
        </w:rPr>
        <w:t xml:space="preserve"> to be. So, our normal </w:t>
      </w:r>
      <w:proofErr w:type="spellStart"/>
      <w:r w:rsidRPr="00F71DF5">
        <w:rPr>
          <w:i/>
          <w:iCs/>
          <w:szCs w:val="20"/>
        </w:rPr>
        <w:t>MedsChecks</w:t>
      </w:r>
      <w:proofErr w:type="spellEnd"/>
      <w:r w:rsidRPr="00F71DF5">
        <w:rPr>
          <w:i/>
          <w:iCs/>
          <w:szCs w:val="20"/>
        </w:rPr>
        <w:t xml:space="preserve"> would be 10 minutes, maybe 15 or so, if they were complicated … And then, a tier 3 patient, if there were lots of complications, I could be there for a half an hour or a bit longer.”</w:t>
      </w:r>
      <w:r w:rsidRPr="00F71DF5">
        <w:rPr>
          <w:szCs w:val="20"/>
        </w:rPr>
        <w:t xml:space="preserve"> [</w:t>
      </w:r>
      <w:r>
        <w:rPr>
          <w:szCs w:val="20"/>
        </w:rPr>
        <w:t>CP,</w:t>
      </w:r>
      <w:r w:rsidRPr="00F71DF5">
        <w:rPr>
          <w:szCs w:val="20"/>
        </w:rPr>
        <w:t xml:space="preserve"> Pharmacy 10</w:t>
      </w:r>
      <w:r>
        <w:rPr>
          <w:szCs w:val="20"/>
        </w:rPr>
        <w:t>, R4</w:t>
      </w:r>
      <w:r w:rsidRPr="00F71DF5">
        <w:rPr>
          <w:szCs w:val="20"/>
        </w:rPr>
        <w:t>]</w:t>
      </w:r>
    </w:p>
    <w:p w14:paraId="5A9C01BB" w14:textId="5AE5501D" w:rsidR="00E874DD" w:rsidRPr="00F71DF5" w:rsidRDefault="00E874DD" w:rsidP="00E874DD">
      <w:pPr>
        <w:rPr>
          <w:szCs w:val="20"/>
        </w:rPr>
      </w:pPr>
      <w:r>
        <w:rPr>
          <w:szCs w:val="20"/>
        </w:rPr>
        <w:t xml:space="preserve">Others felt that the amount of time and services provided </w:t>
      </w:r>
      <w:r w:rsidR="00F55DC7">
        <w:rPr>
          <w:szCs w:val="20"/>
        </w:rPr>
        <w:t>depended</w:t>
      </w:r>
      <w:r>
        <w:rPr>
          <w:szCs w:val="20"/>
        </w:rPr>
        <w:t xml:space="preserve"> on the</w:t>
      </w:r>
      <w:r w:rsidRPr="00F71DF5">
        <w:rPr>
          <w:szCs w:val="20"/>
        </w:rPr>
        <w:t xml:space="preserve"> patient’s condition and the medic</w:t>
      </w:r>
      <w:r>
        <w:rPr>
          <w:szCs w:val="20"/>
        </w:rPr>
        <w:t>ations</w:t>
      </w:r>
      <w:r w:rsidRPr="00F71DF5">
        <w:rPr>
          <w:szCs w:val="20"/>
        </w:rPr>
        <w:t xml:space="preserve"> they were on</w:t>
      </w:r>
      <w:r w:rsidR="006B491A">
        <w:rPr>
          <w:szCs w:val="20"/>
        </w:rPr>
        <w:t>, irrespective of the tier</w:t>
      </w:r>
      <w:r w:rsidR="001F5E1E">
        <w:rPr>
          <w:szCs w:val="20"/>
        </w:rPr>
        <w:t>:</w:t>
      </w:r>
    </w:p>
    <w:p w14:paraId="2DFB5AF8" w14:textId="1F07BB7D" w:rsidR="00E874DD" w:rsidRPr="00F71DF5" w:rsidRDefault="00E874DD" w:rsidP="000C3FBF">
      <w:pPr>
        <w:ind w:left="567" w:right="521"/>
        <w:rPr>
          <w:szCs w:val="20"/>
          <w:highlight w:val="cyan"/>
        </w:rPr>
      </w:pPr>
      <w:r w:rsidRPr="00F71DF5">
        <w:rPr>
          <w:i/>
          <w:iCs/>
          <w:szCs w:val="20"/>
        </w:rPr>
        <w:t xml:space="preserve">“For us, this is a guideline that we try to adhere to, but in practice, it just doesn’t work that way. As I said, sometimes I have to talk to a patient, say, usually about </w:t>
      </w:r>
      <w:r w:rsidRPr="00F71DF5">
        <w:rPr>
          <w:i/>
          <w:iCs/>
          <w:szCs w:val="20"/>
        </w:rPr>
        <w:lastRenderedPageBreak/>
        <w:t>20 minutes, 30 minutes, just to re-consult on medication. And if you have inhaler techniques and things like that, you need to check to make sure they work. It may add up to another 10</w:t>
      </w:r>
      <w:r w:rsidR="00A71E8B">
        <w:rPr>
          <w:i/>
          <w:iCs/>
          <w:szCs w:val="20"/>
        </w:rPr>
        <w:t>–</w:t>
      </w:r>
      <w:r w:rsidRPr="00F71DF5">
        <w:rPr>
          <w:i/>
          <w:iCs/>
          <w:szCs w:val="20"/>
        </w:rPr>
        <w:t>15 minutes.”</w:t>
      </w:r>
      <w:r w:rsidRPr="00F71DF5">
        <w:rPr>
          <w:szCs w:val="20"/>
        </w:rPr>
        <w:t xml:space="preserve"> [CP, Pharmacy 8</w:t>
      </w:r>
      <w:r>
        <w:rPr>
          <w:szCs w:val="20"/>
        </w:rPr>
        <w:t>, R4</w:t>
      </w:r>
      <w:r w:rsidRPr="00F71DF5">
        <w:rPr>
          <w:szCs w:val="20"/>
        </w:rPr>
        <w:t>]</w:t>
      </w:r>
    </w:p>
    <w:p w14:paraId="3A882446" w14:textId="77777777" w:rsidR="00E874DD" w:rsidRDefault="00E874DD" w:rsidP="000C3FBF">
      <w:pPr>
        <w:ind w:left="567" w:right="521"/>
        <w:rPr>
          <w:szCs w:val="20"/>
        </w:rPr>
      </w:pPr>
      <w:r w:rsidRPr="003A0105">
        <w:rPr>
          <w:i/>
          <w:iCs/>
          <w:szCs w:val="20"/>
        </w:rPr>
        <w:t>“I think regardless of the tier, to me, any Health Care Homes patient, we offer them the same services. Most of my patients are tier two, there are a couple of patients who are tier one, which I’m not quite sure why, she’s on quite a lot of medication, she should really be on tier two, but we still offer them the same service, that’s in my case. I don’t really look at what tier they are, if you are my customer, we give you the same service</w:t>
      </w:r>
      <w:r>
        <w:rPr>
          <w:i/>
          <w:iCs/>
          <w:szCs w:val="20"/>
        </w:rPr>
        <w:t>…</w:t>
      </w:r>
      <w:r w:rsidRPr="00736EA7">
        <w:rPr>
          <w:i/>
          <w:iCs/>
          <w:szCs w:val="20"/>
        </w:rPr>
        <w:t xml:space="preserve"> I guess it’s down to the individual, if they have a lot of medications, a lot more complex issues, then you naturally take longer.</w:t>
      </w:r>
      <w:r w:rsidRPr="003A0105">
        <w:rPr>
          <w:i/>
          <w:iCs/>
          <w:szCs w:val="20"/>
        </w:rPr>
        <w:t>”</w:t>
      </w:r>
      <w:r>
        <w:rPr>
          <w:szCs w:val="20"/>
        </w:rPr>
        <w:t xml:space="preserve"> [CP. Pharmacy 7, R5]</w:t>
      </w:r>
    </w:p>
    <w:p w14:paraId="13E45D2F" w14:textId="44A64E06" w:rsidR="00E874DD" w:rsidRDefault="008A63F2" w:rsidP="00E874DD">
      <w:pPr>
        <w:spacing w:after="160" w:line="259" w:lineRule="auto"/>
        <w:ind w:right="521"/>
        <w:rPr>
          <w:szCs w:val="20"/>
        </w:rPr>
      </w:pPr>
      <w:r>
        <w:rPr>
          <w:szCs w:val="20"/>
        </w:rPr>
        <w:t>A</w:t>
      </w:r>
      <w:r w:rsidR="00E874DD">
        <w:rPr>
          <w:szCs w:val="20"/>
        </w:rPr>
        <w:t xml:space="preserve"> few pharmacists perceived that their services benefitted tier 3 patients the most. Others felt that there were advantages to pharmacy involvement in HCH patients’ care</w:t>
      </w:r>
      <w:r w:rsidR="00E874DD" w:rsidRPr="00505E9E">
        <w:rPr>
          <w:szCs w:val="20"/>
        </w:rPr>
        <w:t xml:space="preserve">, regardless of </w:t>
      </w:r>
      <w:r w:rsidR="00E874DD">
        <w:rPr>
          <w:szCs w:val="20"/>
        </w:rPr>
        <w:t xml:space="preserve">their </w:t>
      </w:r>
      <w:r w:rsidR="00E874DD" w:rsidRPr="00505E9E">
        <w:rPr>
          <w:szCs w:val="20"/>
        </w:rPr>
        <w:t>tier</w:t>
      </w:r>
      <w:r>
        <w:rPr>
          <w:szCs w:val="20"/>
        </w:rPr>
        <w:t>:</w:t>
      </w:r>
    </w:p>
    <w:p w14:paraId="3AD7A00D" w14:textId="77777777" w:rsidR="00E874DD" w:rsidRDefault="00E874DD" w:rsidP="000C3FBF">
      <w:pPr>
        <w:ind w:left="567" w:right="521"/>
        <w:rPr>
          <w:szCs w:val="20"/>
        </w:rPr>
      </w:pPr>
      <w:r w:rsidRPr="00125C12">
        <w:rPr>
          <w:i/>
          <w:iCs/>
          <w:szCs w:val="20"/>
        </w:rPr>
        <w:t>“Because we’ve had a small number of tier three patients. I feel those are the ones that we have helped significantly because they’re the ones the doctors have identified to need more care. But we get a lot of tier one and tier two, which we can do medication checks for and it does help them. And then there are other services that we might implement like monthly blood pressure checks. But I think personally tier three patients get the most benefit out of it.”</w:t>
      </w:r>
      <w:r>
        <w:rPr>
          <w:szCs w:val="20"/>
        </w:rPr>
        <w:t xml:space="preserve"> [CP, Pharmacy 2, R5]</w:t>
      </w:r>
    </w:p>
    <w:p w14:paraId="7D23F39A" w14:textId="77777777" w:rsidR="00E874DD" w:rsidRDefault="00E874DD" w:rsidP="000C3FBF">
      <w:pPr>
        <w:ind w:left="567" w:right="521"/>
        <w:rPr>
          <w:szCs w:val="20"/>
        </w:rPr>
      </w:pPr>
      <w:r w:rsidRPr="00195933">
        <w:rPr>
          <w:i/>
          <w:iCs/>
          <w:szCs w:val="20"/>
        </w:rPr>
        <w:t>“…the majority of the patients we've got would be tier two. But yes, I think we've definitely got some ones. And yes, I think definitely, yes [they have benefitted from supporting pharmacy services]…there's some tier one patients that I think we're doing those services for.”</w:t>
      </w:r>
      <w:r>
        <w:rPr>
          <w:szCs w:val="20"/>
        </w:rPr>
        <w:t xml:space="preserve"> [CP, Pharmacy 1, R5]</w:t>
      </w:r>
    </w:p>
    <w:p w14:paraId="674555D3" w14:textId="4433D406" w:rsidR="00E874DD" w:rsidRPr="00F71DF5" w:rsidRDefault="00907616" w:rsidP="00E874DD">
      <w:pPr>
        <w:rPr>
          <w:szCs w:val="20"/>
        </w:rPr>
      </w:pPr>
      <w:r>
        <w:rPr>
          <w:szCs w:val="20"/>
        </w:rPr>
        <w:t>Regardless</w:t>
      </w:r>
      <w:r w:rsidR="00882FF3">
        <w:rPr>
          <w:szCs w:val="20"/>
        </w:rPr>
        <w:t xml:space="preserve"> of their views </w:t>
      </w:r>
      <w:r>
        <w:rPr>
          <w:szCs w:val="20"/>
        </w:rPr>
        <w:t>about</w:t>
      </w:r>
      <w:r w:rsidR="00E874DD" w:rsidRPr="00F71DF5">
        <w:rPr>
          <w:szCs w:val="20"/>
        </w:rPr>
        <w:t xml:space="preserve"> variation </w:t>
      </w:r>
      <w:r>
        <w:rPr>
          <w:szCs w:val="20"/>
        </w:rPr>
        <w:t xml:space="preserve">in time required by patient </w:t>
      </w:r>
      <w:r w:rsidR="00E874DD" w:rsidRPr="00F71DF5">
        <w:rPr>
          <w:szCs w:val="20"/>
        </w:rPr>
        <w:t xml:space="preserve">tier or </w:t>
      </w:r>
      <w:r>
        <w:rPr>
          <w:szCs w:val="20"/>
        </w:rPr>
        <w:t>other patient factors</w:t>
      </w:r>
      <w:r w:rsidR="00E874DD" w:rsidRPr="00F71DF5">
        <w:rPr>
          <w:szCs w:val="20"/>
        </w:rPr>
        <w:t xml:space="preserve">, pharmacists agreed that the initial HCH patient consultation was the longest, and follow-ups were </w:t>
      </w:r>
      <w:r w:rsidR="00C84468">
        <w:rPr>
          <w:szCs w:val="20"/>
        </w:rPr>
        <w:t xml:space="preserve">a lot </w:t>
      </w:r>
      <w:r w:rsidR="00E874DD" w:rsidRPr="00F71DF5">
        <w:rPr>
          <w:szCs w:val="20"/>
        </w:rPr>
        <w:t>shorter.</w:t>
      </w:r>
    </w:p>
    <w:p w14:paraId="0CCFB301" w14:textId="77777777" w:rsidR="00E874DD" w:rsidRDefault="00E874DD" w:rsidP="0050541D">
      <w:pPr>
        <w:pStyle w:val="Heading2"/>
      </w:pPr>
      <w:bookmarkStart w:id="461" w:name="_Toc109996761"/>
      <w:r>
        <w:t>Impact of COVID</w:t>
      </w:r>
      <w:bookmarkEnd w:id="461"/>
    </w:p>
    <w:p w14:paraId="1712E4E3" w14:textId="30691645" w:rsidR="00E874DD" w:rsidRDefault="00E874DD" w:rsidP="00E874DD">
      <w:r>
        <w:t>While some pharmacists felt COVID-19 had limited to no impact on the trial, others stated that the pandemic negatively impacted the trial as they were dealing with other pressures, changing workflows and were unable to catch up with patients face-to-face</w:t>
      </w:r>
      <w:r w:rsidR="00034225">
        <w:t>:</w:t>
      </w:r>
    </w:p>
    <w:p w14:paraId="4AE3A2CB" w14:textId="77777777" w:rsidR="00E874DD" w:rsidRPr="00C513E3" w:rsidRDefault="00E874DD" w:rsidP="000C3FBF">
      <w:pPr>
        <w:ind w:left="567" w:right="521"/>
        <w:rPr>
          <w:szCs w:val="20"/>
        </w:rPr>
      </w:pPr>
      <w:r>
        <w:rPr>
          <w:i/>
          <w:iCs/>
          <w:szCs w:val="20"/>
          <w:lang w:val="en-US"/>
        </w:rPr>
        <w:t>“</w:t>
      </w:r>
      <w:r w:rsidRPr="00C513E3">
        <w:rPr>
          <w:i/>
          <w:iCs/>
          <w:szCs w:val="20"/>
          <w:lang w:val="en-US"/>
        </w:rPr>
        <w:t xml:space="preserve">It probably had a negative impact there, because particularly, probably in February, March last year through to mid-year, I think just the way that… I mean we were probably just scrambling to adapt. It was like everywhere, things went a bit crazy in pharmacy. There was a bit </w:t>
      </w:r>
      <w:r w:rsidRPr="000C3FBF">
        <w:rPr>
          <w:i/>
          <w:iCs/>
          <w:szCs w:val="20"/>
        </w:rPr>
        <w:t>of</w:t>
      </w:r>
      <w:r w:rsidRPr="00C513E3">
        <w:rPr>
          <w:i/>
          <w:iCs/>
          <w:szCs w:val="20"/>
          <w:lang w:val="en-US"/>
        </w:rPr>
        <w:t xml:space="preserve"> panic, and the script dispensing numbers, and just general trade went up. And we'd reduced or changed workflow. It was all a little bit of survival for a while there.</w:t>
      </w:r>
      <w:r>
        <w:rPr>
          <w:i/>
          <w:iCs/>
          <w:szCs w:val="20"/>
          <w:lang w:val="en-US"/>
        </w:rPr>
        <w:t xml:space="preserve">” </w:t>
      </w:r>
      <w:r>
        <w:rPr>
          <w:szCs w:val="20"/>
          <w:lang w:val="en-US"/>
        </w:rPr>
        <w:t>[CP, Pharmacy 1, R5]</w:t>
      </w:r>
    </w:p>
    <w:p w14:paraId="19E926C8" w14:textId="77777777" w:rsidR="00E874DD" w:rsidRDefault="00E874DD" w:rsidP="000C3FBF">
      <w:pPr>
        <w:ind w:left="567" w:right="521"/>
      </w:pPr>
      <w:r w:rsidRPr="001E29BD">
        <w:rPr>
          <w:i/>
          <w:iCs/>
        </w:rPr>
        <w:t xml:space="preserve">“…purely from a time perspective. There was just no time to focus on any of our front of dispensary services, so </w:t>
      </w:r>
      <w:r w:rsidRPr="000C3FBF">
        <w:rPr>
          <w:i/>
          <w:iCs/>
          <w:szCs w:val="20"/>
        </w:rPr>
        <w:t>Health</w:t>
      </w:r>
      <w:r w:rsidRPr="001E29BD">
        <w:rPr>
          <w:i/>
          <w:iCs/>
        </w:rPr>
        <w:t xml:space="preserve"> Care Homes took a bit of a break between April through to July and then we picked back up slowly after that period. I think </w:t>
      </w:r>
      <w:r w:rsidRPr="001E29BD">
        <w:rPr>
          <w:i/>
          <w:iCs/>
        </w:rPr>
        <w:lastRenderedPageBreak/>
        <w:t>the other thing was just everyone feeling a little bit nervous about coming out or social distancing and all that stuff. So we waited for things to get back to normal before we were able to touch back base with a lot of our patients.”</w:t>
      </w:r>
      <w:r>
        <w:t xml:space="preserve"> [CP, Pharmacy 2, R5]</w:t>
      </w:r>
    </w:p>
    <w:p w14:paraId="208182C0" w14:textId="22D793C1" w:rsidR="00E874DD" w:rsidRPr="004B2E60" w:rsidRDefault="00DD3D2E" w:rsidP="004B2E60">
      <w:pPr>
        <w:ind w:right="522"/>
        <w:rPr>
          <w:szCs w:val="20"/>
        </w:rPr>
      </w:pPr>
      <w:r w:rsidRPr="004B2E60">
        <w:rPr>
          <w:szCs w:val="20"/>
        </w:rPr>
        <w:t xml:space="preserve">With </w:t>
      </w:r>
      <w:r w:rsidR="00B41A69" w:rsidRPr="004B2E60">
        <w:rPr>
          <w:szCs w:val="20"/>
        </w:rPr>
        <w:t xml:space="preserve">patient’s </w:t>
      </w:r>
      <w:r w:rsidRPr="004B2E60">
        <w:rPr>
          <w:szCs w:val="20"/>
        </w:rPr>
        <w:t>reduced</w:t>
      </w:r>
      <w:r w:rsidR="00B41A69" w:rsidRPr="004B2E60">
        <w:rPr>
          <w:szCs w:val="20"/>
        </w:rPr>
        <w:t xml:space="preserve"> visits to pharmacies</w:t>
      </w:r>
      <w:r w:rsidR="00E874DD" w:rsidRPr="004B2E60">
        <w:rPr>
          <w:szCs w:val="20"/>
        </w:rPr>
        <w:t>, pharmacists reported following</w:t>
      </w:r>
      <w:r w:rsidR="00B41A69" w:rsidRPr="004B2E60">
        <w:rPr>
          <w:szCs w:val="20"/>
        </w:rPr>
        <w:t xml:space="preserve"> patients</w:t>
      </w:r>
      <w:r w:rsidR="00E874DD" w:rsidRPr="004B2E60">
        <w:rPr>
          <w:szCs w:val="20"/>
        </w:rPr>
        <w:t xml:space="preserve"> up via phone or</w:t>
      </w:r>
      <w:r w:rsidR="00B41A69" w:rsidRPr="004B2E60">
        <w:rPr>
          <w:szCs w:val="20"/>
        </w:rPr>
        <w:t xml:space="preserve"> caught them</w:t>
      </w:r>
      <w:r w:rsidR="00E874DD" w:rsidRPr="004B2E60">
        <w:rPr>
          <w:szCs w:val="20"/>
        </w:rPr>
        <w:t xml:space="preserve"> during patients’ regular visits to the pharmacy or general practice</w:t>
      </w:r>
      <w:r w:rsidRPr="004B2E60">
        <w:rPr>
          <w:szCs w:val="20"/>
        </w:rPr>
        <w:t>:</w:t>
      </w:r>
    </w:p>
    <w:p w14:paraId="2381CD27" w14:textId="77777777" w:rsidR="00E874DD" w:rsidRDefault="00E874DD" w:rsidP="000C3FBF">
      <w:pPr>
        <w:ind w:left="567" w:right="521"/>
      </w:pPr>
      <w:r w:rsidRPr="005D653A">
        <w:rPr>
          <w:i/>
          <w:iCs/>
        </w:rPr>
        <w:t xml:space="preserve">“…with COVID, I mean, things have changed a little bit, people aren’t coming to the medical centre as much. So I think the Health Care Homes’ front, in terms of patients coming in, that’s quietened </w:t>
      </w:r>
      <w:r w:rsidRPr="000C3FBF">
        <w:rPr>
          <w:i/>
          <w:iCs/>
          <w:szCs w:val="20"/>
        </w:rPr>
        <w:t>down</w:t>
      </w:r>
      <w:r w:rsidRPr="005D653A">
        <w:rPr>
          <w:i/>
          <w:iCs/>
        </w:rPr>
        <w:t xml:space="preserve"> because patient efficacy has changed, they don’t really want to come into the medical centre, unless it’s necessary. So, the only way to get the patient is when they’re actually in the surgery, so we take the opportunity to do the interviews at that time, rather than calling in the patient to come in especially for this. But we’ve been just concentrating on our regular customers who are coming in.”</w:t>
      </w:r>
      <w:r>
        <w:t xml:space="preserve"> [CP, Pharmacy 7, R5]</w:t>
      </w:r>
    </w:p>
    <w:p w14:paraId="45A81CFF" w14:textId="469D8C89" w:rsidR="00E874DD" w:rsidRDefault="00E874DD" w:rsidP="000C3FBF">
      <w:pPr>
        <w:ind w:left="567" w:right="521"/>
      </w:pPr>
      <w:r w:rsidRPr="005D653A">
        <w:rPr>
          <w:i/>
          <w:iCs/>
        </w:rPr>
        <w:t>“…the last year was more difficult. We did a lot of phone catch ups rather than face to face.”</w:t>
      </w:r>
      <w:r>
        <w:t xml:space="preserve"> [CP, Pharmacy 1, R5]</w:t>
      </w:r>
    </w:p>
    <w:p w14:paraId="5D6D3595" w14:textId="3CEAE1E3" w:rsidR="00E874DD" w:rsidRDefault="00E874DD" w:rsidP="004B2E60">
      <w:pPr>
        <w:ind w:right="522"/>
        <w:rPr>
          <w:szCs w:val="20"/>
        </w:rPr>
      </w:pPr>
      <w:r>
        <w:rPr>
          <w:szCs w:val="20"/>
        </w:rPr>
        <w:t>During the pandemic, pharmacists also reported implementing or expanding their medication delivery services. This service was especially useful for patients who were concerned about coming into the pharmacy</w:t>
      </w:r>
      <w:r w:rsidR="00445187">
        <w:rPr>
          <w:szCs w:val="20"/>
        </w:rPr>
        <w:t xml:space="preserve"> due to their </w:t>
      </w:r>
      <w:r w:rsidR="00A87098">
        <w:rPr>
          <w:szCs w:val="20"/>
        </w:rPr>
        <w:t>chronic diseases</w:t>
      </w:r>
      <w:r>
        <w:rPr>
          <w:szCs w:val="20"/>
        </w:rPr>
        <w:t xml:space="preserve">. Others stated that a core benefit of the program was </w:t>
      </w:r>
      <w:r w:rsidR="005534E4">
        <w:rPr>
          <w:szCs w:val="20"/>
        </w:rPr>
        <w:t>access; p</w:t>
      </w:r>
      <w:r>
        <w:rPr>
          <w:szCs w:val="20"/>
        </w:rPr>
        <w:t>atients</w:t>
      </w:r>
      <w:r w:rsidR="00A87098">
        <w:rPr>
          <w:szCs w:val="20"/>
        </w:rPr>
        <w:t xml:space="preserve"> were able to receive services</w:t>
      </w:r>
      <w:r w:rsidR="004C2D0A">
        <w:rPr>
          <w:szCs w:val="20"/>
        </w:rPr>
        <w:t xml:space="preserve"> despite not being able to attend physically to a practice or pharmacy</w:t>
      </w:r>
      <w:r w:rsidR="002F1BD0">
        <w:rPr>
          <w:szCs w:val="20"/>
        </w:rPr>
        <w:t>:</w:t>
      </w:r>
    </w:p>
    <w:p w14:paraId="41AD71E4" w14:textId="77777777" w:rsidR="00E874DD" w:rsidRDefault="00E874DD" w:rsidP="000C3FBF">
      <w:pPr>
        <w:ind w:left="567" w:right="521"/>
        <w:rPr>
          <w:szCs w:val="20"/>
        </w:rPr>
      </w:pPr>
      <w:r w:rsidRPr="001E7027">
        <w:rPr>
          <w:i/>
          <w:iCs/>
          <w:szCs w:val="20"/>
        </w:rPr>
        <w:t>“One of our patients we don't see as often in the pharmacy, just when they usually pick up their monthly medications, because they’ve chosen to take advantage of the delivery services that we offer now. So just that regular monthly touch base thing. A lot of our customers are doing a lot of their script ordering and getting it delivered because of COVID-19. Not just Health Care Home patients but just in general.”</w:t>
      </w:r>
      <w:r>
        <w:rPr>
          <w:szCs w:val="20"/>
        </w:rPr>
        <w:t xml:space="preserve"> [CP, Pharmacy 2, R5]</w:t>
      </w:r>
    </w:p>
    <w:p w14:paraId="35F70CB9" w14:textId="48B8D0C4" w:rsidR="00E874DD" w:rsidRPr="0072795C" w:rsidRDefault="00E874DD" w:rsidP="000C3FBF">
      <w:pPr>
        <w:ind w:left="567" w:right="521"/>
        <w:rPr>
          <w:szCs w:val="20"/>
        </w:rPr>
      </w:pPr>
      <w:r w:rsidRPr="00C71BDD">
        <w:rPr>
          <w:i/>
          <w:iCs/>
          <w:szCs w:val="20"/>
        </w:rPr>
        <w:t xml:space="preserve">“A lot of patients accessing prescriptions or needing medication or trying to get into the doctor. I think my view on that is that that's probably one of the really good parts of the </w:t>
      </w:r>
      <w:r w:rsidR="0002675D">
        <w:rPr>
          <w:i/>
          <w:iCs/>
          <w:szCs w:val="20"/>
        </w:rPr>
        <w:t>program</w:t>
      </w:r>
      <w:r w:rsidRPr="00C71BDD">
        <w:rPr>
          <w:i/>
          <w:iCs/>
          <w:szCs w:val="20"/>
        </w:rPr>
        <w:t>, was the accessibility of the patients to be able to access their medication. Now with e</w:t>
      </w:r>
      <w:r w:rsidR="007111C2" w:rsidRPr="00C71BDD">
        <w:rPr>
          <w:i/>
          <w:iCs/>
          <w:szCs w:val="20"/>
        </w:rPr>
        <w:t>-</w:t>
      </w:r>
      <w:r w:rsidRPr="00C71BDD">
        <w:rPr>
          <w:i/>
          <w:iCs/>
          <w:szCs w:val="20"/>
        </w:rPr>
        <w:t>script, it's coming even more, it’s even better. During COVID we've got access to continue dispensing. We can help patients if they can't see the doctor. But this allowed the contact between the patient and the doctor and prescriptions was very good.”</w:t>
      </w:r>
      <w:r w:rsidRPr="00C71BDD">
        <w:rPr>
          <w:szCs w:val="20"/>
        </w:rPr>
        <w:t xml:space="preserve"> [CP, Pharmacy 11, R5]</w:t>
      </w:r>
    </w:p>
    <w:p w14:paraId="506CBE77" w14:textId="77777777" w:rsidR="00BA5D42" w:rsidRDefault="00BA5D42">
      <w:pPr>
        <w:spacing w:after="160" w:line="259" w:lineRule="auto"/>
        <w:rPr>
          <w:rFonts w:ascii="Roboto Slab" w:eastAsia="Times New Roman" w:hAnsi="Roboto Slab" w:cs="Times New Roman"/>
          <w:bCs/>
          <w:color w:val="408BCA"/>
          <w:sz w:val="32"/>
          <w:szCs w:val="36"/>
          <w:lang w:eastAsia="en-AU"/>
        </w:rPr>
      </w:pPr>
      <w:bookmarkStart w:id="462" w:name="_Toc58256901"/>
      <w:r>
        <w:br w:type="page"/>
      </w:r>
    </w:p>
    <w:p w14:paraId="61AFE754" w14:textId="6729FA1B" w:rsidR="00E874DD" w:rsidRPr="00F71DF5" w:rsidRDefault="00870871" w:rsidP="0050541D">
      <w:pPr>
        <w:pStyle w:val="Heading2"/>
      </w:pPr>
      <w:bookmarkStart w:id="463" w:name="_Toc109996762"/>
      <w:r>
        <w:lastRenderedPageBreak/>
        <w:t>Community p</w:t>
      </w:r>
      <w:r w:rsidR="00E874DD" w:rsidRPr="00F71DF5">
        <w:t>harmacists’ experience with the trial</w:t>
      </w:r>
      <w:bookmarkEnd w:id="462"/>
      <w:bookmarkEnd w:id="463"/>
    </w:p>
    <w:p w14:paraId="344A5E5A" w14:textId="2BA91974" w:rsidR="00E874DD" w:rsidRPr="00F71DF5" w:rsidRDefault="00E874DD" w:rsidP="00E874DD">
      <w:pPr>
        <w:rPr>
          <w:szCs w:val="20"/>
        </w:rPr>
      </w:pPr>
      <w:r w:rsidRPr="00F71DF5">
        <w:rPr>
          <w:szCs w:val="20"/>
        </w:rPr>
        <w:t>Pharmacists largely had positive experiences with the community pharmacy trial. Benefits included practising what they are professionally trained to do and making a positive difference to patients’ health:</w:t>
      </w:r>
    </w:p>
    <w:p w14:paraId="24127E8F" w14:textId="77777777" w:rsidR="00E874DD" w:rsidRPr="00F71DF5" w:rsidRDefault="00E874DD" w:rsidP="000C3FBF">
      <w:pPr>
        <w:ind w:left="567" w:right="521"/>
        <w:rPr>
          <w:szCs w:val="20"/>
        </w:rPr>
      </w:pPr>
      <w:r w:rsidRPr="00F71DF5">
        <w:rPr>
          <w:i/>
          <w:iCs/>
          <w:szCs w:val="20"/>
        </w:rPr>
        <w:t xml:space="preserve">“… many pharmacists say to me that they did all this high level of training in pharmacy skills and then they work just basically dispensing it. And this kind of work brings more satisfaction to them and greater use of the skills that they’ve spent years acquiring. Is that fair to say? Yes, definitely. I think that’s the type of pharmacist I am. I would prefer to do this kind of work … I was happy to sort of be nominated as this kind of pharmacist for the trial.” </w:t>
      </w:r>
      <w:r w:rsidRPr="00F71DF5">
        <w:rPr>
          <w:szCs w:val="20"/>
        </w:rPr>
        <w:t>[CP, Pharmacy 2</w:t>
      </w:r>
      <w:r>
        <w:rPr>
          <w:szCs w:val="20"/>
        </w:rPr>
        <w:t>, R4</w:t>
      </w:r>
      <w:r w:rsidRPr="00F71DF5">
        <w:rPr>
          <w:szCs w:val="20"/>
        </w:rPr>
        <w:t>]</w:t>
      </w:r>
    </w:p>
    <w:p w14:paraId="748E01F2" w14:textId="77777777" w:rsidR="00E874DD" w:rsidRDefault="00E874DD" w:rsidP="000C3FBF">
      <w:pPr>
        <w:ind w:left="567" w:right="521"/>
        <w:rPr>
          <w:szCs w:val="20"/>
        </w:rPr>
      </w:pPr>
      <w:r w:rsidRPr="00F71DF5">
        <w:rPr>
          <w:i/>
          <w:iCs/>
          <w:szCs w:val="20"/>
        </w:rPr>
        <w:t>“Yes, because it’s the nitty gritty of it, really, you can make a difference, I think. And doing these reviews, there’s been numerous things where we’ve found a problem or being able to make an improvement.”</w:t>
      </w:r>
      <w:r w:rsidRPr="00F71DF5">
        <w:rPr>
          <w:szCs w:val="20"/>
        </w:rPr>
        <w:t xml:space="preserve"> [CP, Pharmacy 1</w:t>
      </w:r>
      <w:r>
        <w:rPr>
          <w:szCs w:val="20"/>
        </w:rPr>
        <w:t>, R4</w:t>
      </w:r>
      <w:r w:rsidRPr="00F71DF5">
        <w:rPr>
          <w:szCs w:val="20"/>
        </w:rPr>
        <w:t>]</w:t>
      </w:r>
    </w:p>
    <w:p w14:paraId="06EDA47E" w14:textId="1F525A79" w:rsidR="00E874DD" w:rsidRDefault="00E874DD" w:rsidP="00E874DD">
      <w:pPr>
        <w:spacing w:after="160" w:line="259" w:lineRule="auto"/>
        <w:ind w:left="284" w:right="521"/>
        <w:rPr>
          <w:szCs w:val="20"/>
        </w:rPr>
      </w:pPr>
      <w:r>
        <w:rPr>
          <w:szCs w:val="20"/>
        </w:rPr>
        <w:t>In their written submission, the Guild note</w:t>
      </w:r>
      <w:r w:rsidR="00CE2E47">
        <w:rPr>
          <w:szCs w:val="20"/>
        </w:rPr>
        <w:t>d:</w:t>
      </w:r>
    </w:p>
    <w:p w14:paraId="65CC27C0" w14:textId="65D2B888" w:rsidR="00E874DD" w:rsidRDefault="00E874DD" w:rsidP="000C3FBF">
      <w:pPr>
        <w:ind w:left="567" w:right="521"/>
        <w:rPr>
          <w:rStyle w:val="normaltextrun"/>
          <w:rFonts w:ascii="Arial" w:hAnsi="Arial" w:cs="Arial"/>
          <w:color w:val="000000"/>
          <w:szCs w:val="20"/>
          <w:shd w:val="clear" w:color="auto" w:fill="FFFFFF"/>
        </w:rPr>
      </w:pPr>
      <w:r>
        <w:rPr>
          <w:szCs w:val="20"/>
        </w:rPr>
        <w:t>“..</w:t>
      </w:r>
      <w:r>
        <w:rPr>
          <w:rStyle w:val="normaltextrun"/>
          <w:rFonts w:ascii="Arial" w:hAnsi="Arial" w:cs="Arial"/>
          <w:color w:val="000000"/>
          <w:szCs w:val="20"/>
          <w:shd w:val="clear" w:color="auto" w:fill="FFFFFF"/>
        </w:rPr>
        <w:t> </w:t>
      </w:r>
      <w:r w:rsidRPr="00DA2049">
        <w:rPr>
          <w:rStyle w:val="normaltextrun"/>
          <w:rFonts w:cs="Arial"/>
          <w:i/>
          <w:iCs/>
          <w:color w:val="000000"/>
          <w:szCs w:val="20"/>
          <w:shd w:val="clear" w:color="auto" w:fill="FFFFFF"/>
        </w:rPr>
        <w:t xml:space="preserve">many participating pharmacists highlighted that the Trial provided an opportunity for them to build a closer relationship with their nearby GP practices and ACCHS. They </w:t>
      </w:r>
      <w:r w:rsidRPr="000C3FBF">
        <w:t>took</w:t>
      </w:r>
      <w:r w:rsidRPr="00DA2049">
        <w:rPr>
          <w:rStyle w:val="normaltextrun"/>
          <w:rFonts w:cs="Arial"/>
          <w:i/>
          <w:iCs/>
          <w:color w:val="000000"/>
          <w:szCs w:val="20"/>
          <w:shd w:val="clear" w:color="auto" w:fill="FFFFFF"/>
        </w:rPr>
        <w:t xml:space="preserve"> the opportunity to hold case conferences and meetings with GPs to discuss patient progress, and the Trial provided pharmacists with a platform to discuss deeper issues or concerns about</w:t>
      </w:r>
      <w:r w:rsidR="00E53112">
        <w:rPr>
          <w:rStyle w:val="normaltextrun"/>
          <w:rFonts w:cs="Arial"/>
          <w:i/>
          <w:iCs/>
          <w:color w:val="000000"/>
          <w:szCs w:val="20"/>
          <w:shd w:val="clear" w:color="auto" w:fill="FFFFFF"/>
        </w:rPr>
        <w:t xml:space="preserve"> </w:t>
      </w:r>
      <w:r w:rsidR="00E53112" w:rsidRPr="00E53112">
        <w:rPr>
          <w:rStyle w:val="normaltextrun"/>
          <w:rFonts w:cs="Arial"/>
          <w:i/>
          <w:iCs/>
          <w:color w:val="000000"/>
          <w:szCs w:val="20"/>
          <w:shd w:val="clear" w:color="auto" w:fill="FFFFFF"/>
        </w:rPr>
        <w:t>patients’ medication use</w:t>
      </w:r>
      <w:r w:rsidRPr="00DA2049">
        <w:rPr>
          <w:rStyle w:val="normaltextrun"/>
          <w:rFonts w:cs="Arial"/>
          <w:i/>
          <w:iCs/>
          <w:color w:val="000000"/>
          <w:szCs w:val="20"/>
          <w:shd w:val="clear" w:color="auto" w:fill="FFFFFF"/>
        </w:rPr>
        <w:t>. Many pharmacists also praised the service structure, saying that the multiple follow-ups with their patients were valuable opportunities to monitor patient progress and medication goals, and adjust care for their patients</w:t>
      </w:r>
      <w:r>
        <w:rPr>
          <w:rStyle w:val="normaltextrun"/>
          <w:rFonts w:ascii="Arial" w:hAnsi="Arial" w:cs="Arial"/>
          <w:color w:val="000000"/>
          <w:szCs w:val="20"/>
          <w:shd w:val="clear" w:color="auto" w:fill="FFFFFF"/>
        </w:rPr>
        <w:t>.”</w:t>
      </w:r>
    </w:p>
    <w:p w14:paraId="641DD082" w14:textId="77777777" w:rsidR="00E874DD" w:rsidRPr="00DA2049" w:rsidRDefault="00E874DD" w:rsidP="00E874DD">
      <w:pPr>
        <w:spacing w:after="160" w:line="259" w:lineRule="auto"/>
        <w:ind w:left="284" w:right="521"/>
        <w:rPr>
          <w:rStyle w:val="normaltextrun"/>
          <w:rFonts w:cs="Arial"/>
          <w:color w:val="000000"/>
          <w:szCs w:val="20"/>
          <w:shd w:val="clear" w:color="auto" w:fill="FFFFFF"/>
        </w:rPr>
      </w:pPr>
      <w:r w:rsidRPr="00DA2049">
        <w:rPr>
          <w:rStyle w:val="normaltextrun"/>
          <w:rFonts w:cs="Arial"/>
          <w:color w:val="000000"/>
          <w:szCs w:val="20"/>
          <w:shd w:val="clear" w:color="auto" w:fill="FFFFFF"/>
        </w:rPr>
        <w:t>And further that:</w:t>
      </w:r>
    </w:p>
    <w:p w14:paraId="5AD1AB92" w14:textId="7BBA0FFD" w:rsidR="00B66B79" w:rsidRDefault="00E874DD" w:rsidP="000C3FBF">
      <w:pPr>
        <w:ind w:left="567" w:right="521"/>
        <w:rPr>
          <w:rStyle w:val="eop"/>
          <w:rFonts w:cs="Arial"/>
          <w:color w:val="000000"/>
          <w:shd w:val="clear" w:color="auto" w:fill="FFFFFF"/>
        </w:rPr>
      </w:pPr>
      <w:r w:rsidRPr="00DA2049">
        <w:rPr>
          <w:rStyle w:val="normaltextrun"/>
          <w:rFonts w:cs="Arial"/>
          <w:i/>
          <w:iCs/>
          <w:color w:val="000000"/>
          <w:szCs w:val="20"/>
          <w:shd w:val="clear" w:color="auto" w:fill="FFFFFF"/>
        </w:rPr>
        <w:t xml:space="preserve">“..participating pharmacies overwhelmingly expressed their support of the Trial service and its’ benefits for </w:t>
      </w:r>
      <w:r w:rsidRPr="000C3FBF">
        <w:t>their</w:t>
      </w:r>
      <w:r w:rsidRPr="00DA2049">
        <w:rPr>
          <w:rStyle w:val="normaltextrun"/>
          <w:rFonts w:cs="Arial"/>
          <w:i/>
          <w:iCs/>
          <w:color w:val="000000"/>
          <w:szCs w:val="20"/>
          <w:shd w:val="clear" w:color="auto" w:fill="FFFFFF"/>
        </w:rPr>
        <w:t xml:space="preserve"> patients. Further, pharmacies overwhelmingly indicated that they would participate in providing such a service to their patients again if given the opportunity</w:t>
      </w:r>
      <w:r w:rsidRPr="00DA2049">
        <w:rPr>
          <w:rStyle w:val="normaltextrun"/>
          <w:rFonts w:cs="Arial"/>
          <w:color w:val="000000"/>
          <w:szCs w:val="20"/>
          <w:shd w:val="clear" w:color="auto" w:fill="FFFFFF"/>
        </w:rPr>
        <w:t>.”</w:t>
      </w:r>
      <w:r w:rsidRPr="00DA2049">
        <w:rPr>
          <w:rStyle w:val="eop"/>
          <w:rFonts w:cs="Arial"/>
          <w:color w:val="000000"/>
          <w:shd w:val="clear" w:color="auto" w:fill="FFFFFF"/>
        </w:rPr>
        <w:t> </w:t>
      </w:r>
    </w:p>
    <w:p w14:paraId="6DFC85F9" w14:textId="77777777" w:rsidR="001659A8" w:rsidRPr="00F71DF5" w:rsidRDefault="001659A8" w:rsidP="001659A8">
      <w:pPr>
        <w:rPr>
          <w:szCs w:val="20"/>
        </w:rPr>
      </w:pPr>
      <w:r>
        <w:rPr>
          <w:szCs w:val="20"/>
        </w:rPr>
        <w:t>Community p</w:t>
      </w:r>
      <w:r w:rsidRPr="00F71DF5">
        <w:rPr>
          <w:szCs w:val="20"/>
        </w:rPr>
        <w:t>harmacists were largely satisfied with the level of remuneration</w:t>
      </w:r>
      <w:r>
        <w:rPr>
          <w:szCs w:val="20"/>
        </w:rPr>
        <w:t xml:space="preserve"> for delivering services to HCH patients</w:t>
      </w:r>
      <w:r w:rsidRPr="00F71DF5">
        <w:rPr>
          <w:szCs w:val="20"/>
        </w:rPr>
        <w:t xml:space="preserve">. Many commented that HCH </w:t>
      </w:r>
      <w:r>
        <w:rPr>
          <w:szCs w:val="20"/>
        </w:rPr>
        <w:t>medication reviews</w:t>
      </w:r>
      <w:r w:rsidRPr="00F71DF5">
        <w:rPr>
          <w:szCs w:val="20"/>
        </w:rPr>
        <w:t xml:space="preserve"> were more time consuming then regular </w:t>
      </w:r>
      <w:proofErr w:type="spellStart"/>
      <w:r w:rsidRPr="00F71DF5">
        <w:rPr>
          <w:szCs w:val="20"/>
        </w:rPr>
        <w:t>MedsChecks</w:t>
      </w:r>
      <w:proofErr w:type="spellEnd"/>
      <w:r w:rsidRPr="00F71DF5">
        <w:rPr>
          <w:szCs w:val="20"/>
        </w:rPr>
        <w:t xml:space="preserve">, therefore, it was reasonable for them to receive additional funding </w:t>
      </w:r>
      <w:r>
        <w:rPr>
          <w:szCs w:val="20"/>
        </w:rPr>
        <w:t>for HCH patients</w:t>
      </w:r>
      <w:r w:rsidRPr="00F71DF5">
        <w:rPr>
          <w:szCs w:val="20"/>
        </w:rPr>
        <w:t>:</w:t>
      </w:r>
    </w:p>
    <w:p w14:paraId="49055E39" w14:textId="0BAC966C" w:rsidR="001659A8" w:rsidRDefault="001659A8" w:rsidP="001659A8">
      <w:pPr>
        <w:ind w:left="567" w:right="521"/>
        <w:rPr>
          <w:rStyle w:val="eop"/>
          <w:rFonts w:cs="Arial"/>
          <w:color w:val="000000"/>
          <w:shd w:val="clear" w:color="auto" w:fill="FFFFFF"/>
        </w:rPr>
      </w:pPr>
      <w:r w:rsidRPr="00F71DF5">
        <w:rPr>
          <w:i/>
          <w:iCs/>
          <w:szCs w:val="20"/>
        </w:rPr>
        <w:t>“Because obviously we get paid quite a lot for just a T1 one consultation which includes the medication review … So the normal one, I think you get paid about $60 and you’re meant to spend half an hour to do that. So, Health Care Homes consultations will take me half an hour to sit in with the customer. But then it can take me about an hour to write it up. So, an hour and a half versus, let’s just say, an hour for a normal one. You’re probably only making about, you know, two or three times more what a normal would make…coming out at about the same…So I think it’s a lot more time-consuming to do that…And so they just breaking even in terms of dollars per minute or dollars per hou</w:t>
      </w:r>
      <w:r>
        <w:rPr>
          <w:i/>
          <w:iCs/>
          <w:szCs w:val="20"/>
        </w:rPr>
        <w:t>r</w:t>
      </w:r>
      <w:r w:rsidRPr="00F71DF5">
        <w:rPr>
          <w:i/>
          <w:iCs/>
          <w:szCs w:val="20"/>
        </w:rPr>
        <w:t xml:space="preserve">…” </w:t>
      </w:r>
      <w:r w:rsidRPr="00F71DF5">
        <w:rPr>
          <w:szCs w:val="20"/>
        </w:rPr>
        <w:t>[CP, Pharmacy 2</w:t>
      </w:r>
      <w:r>
        <w:rPr>
          <w:szCs w:val="20"/>
        </w:rPr>
        <w:t>, R4</w:t>
      </w:r>
      <w:r w:rsidRPr="00F71DF5">
        <w:rPr>
          <w:szCs w:val="20"/>
        </w:rPr>
        <w:t>]</w:t>
      </w:r>
    </w:p>
    <w:p w14:paraId="5C42D0AA" w14:textId="77777777" w:rsidR="00AB496A" w:rsidRDefault="00AB496A" w:rsidP="00AB496A">
      <w:pPr>
        <w:pStyle w:val="Heading2"/>
      </w:pPr>
      <w:bookmarkStart w:id="464" w:name="_Toc109996763"/>
      <w:r>
        <w:lastRenderedPageBreak/>
        <w:t>C</w:t>
      </w:r>
      <w:r w:rsidRPr="0008518E">
        <w:t>ost of the community pharmacy trial</w:t>
      </w:r>
      <w:bookmarkEnd w:id="464"/>
    </w:p>
    <w:p w14:paraId="0A4BFE33" w14:textId="1803C12A" w:rsidR="00AB496A" w:rsidRDefault="00AB496A" w:rsidP="00AB496A">
      <w:r>
        <w:t>In 2018–19, the Australian Government allocated $30 million u</w:t>
      </w:r>
      <w:r w:rsidRPr="00875FC2">
        <w:t>nder the 6CPA</w:t>
      </w:r>
      <w:r>
        <w:t xml:space="preserve"> for community pharmacists to provide services to HCH patients. By the end of the trial, only $4.9 million of this was expended </w:t>
      </w:r>
      <w:r w:rsidRPr="00034863">
        <w:rPr>
          <w:b/>
          <w:bCs/>
        </w:rPr>
        <w:t>(</w:t>
      </w:r>
      <w:r w:rsidR="0072099E" w:rsidRPr="00BA5D42">
        <w:rPr>
          <w:rFonts w:eastAsiaTheme="minorEastAsia"/>
          <w:bCs/>
          <w:color w:val="1D2455"/>
          <w:szCs w:val="20"/>
          <w:lang w:eastAsia="en-AU"/>
        </w:rPr>
        <w:fldChar w:fldCharType="begin"/>
      </w:r>
      <w:r w:rsidR="0072099E" w:rsidRPr="00BA5D42">
        <w:rPr>
          <w:rFonts w:eastAsiaTheme="minorEastAsia"/>
          <w:bCs/>
          <w:color w:val="1D2455"/>
          <w:szCs w:val="20"/>
          <w:lang w:eastAsia="en-AU"/>
        </w:rPr>
        <w:instrText xml:space="preserve"> REF _Ref99301292 \h </w:instrText>
      </w:r>
      <w:r w:rsidR="00BA5D42">
        <w:rPr>
          <w:rFonts w:eastAsiaTheme="minorEastAsia"/>
          <w:bCs/>
          <w:color w:val="1D2455"/>
          <w:szCs w:val="20"/>
          <w:lang w:eastAsia="en-AU"/>
        </w:rPr>
        <w:instrText xml:space="preserve"> \* MERGEFORMAT </w:instrText>
      </w:r>
      <w:r w:rsidR="0072099E" w:rsidRPr="00BA5D42">
        <w:rPr>
          <w:rFonts w:eastAsiaTheme="minorEastAsia"/>
          <w:bCs/>
          <w:color w:val="1D2455"/>
          <w:szCs w:val="20"/>
          <w:lang w:eastAsia="en-AU"/>
        </w:rPr>
      </w:r>
      <w:r w:rsidR="0072099E" w:rsidRPr="00BA5D42">
        <w:rPr>
          <w:rFonts w:eastAsiaTheme="minorEastAsia"/>
          <w:bCs/>
          <w:color w:val="1D2455"/>
          <w:szCs w:val="20"/>
          <w:lang w:eastAsia="en-AU"/>
        </w:rPr>
        <w:fldChar w:fldCharType="separate"/>
      </w:r>
      <w:r w:rsidR="003C4BC2" w:rsidRPr="003C4BC2">
        <w:rPr>
          <w:rFonts w:eastAsiaTheme="minorEastAsia"/>
          <w:bCs/>
          <w:color w:val="1D2455"/>
          <w:szCs w:val="20"/>
          <w:lang w:eastAsia="en-AU"/>
        </w:rPr>
        <w:t>Table 65</w:t>
      </w:r>
      <w:r w:rsidR="0072099E" w:rsidRPr="00BA5D42">
        <w:rPr>
          <w:rFonts w:eastAsiaTheme="minorEastAsia"/>
          <w:bCs/>
          <w:color w:val="1D2455"/>
          <w:szCs w:val="20"/>
          <w:lang w:eastAsia="en-AU"/>
        </w:rPr>
        <w:fldChar w:fldCharType="end"/>
      </w:r>
      <w:r>
        <w:t>).</w:t>
      </w:r>
    </w:p>
    <w:p w14:paraId="2063A858" w14:textId="64B71C51" w:rsidR="00AB496A" w:rsidRDefault="00AB496A" w:rsidP="00AB496A">
      <w:pPr>
        <w:pStyle w:val="TableFigureheading"/>
      </w:pPr>
      <w:bookmarkStart w:id="465" w:name="_Ref99301292"/>
      <w:r w:rsidRPr="000F7578">
        <w:t xml:space="preserve">Table </w:t>
      </w:r>
      <w:r w:rsidR="00A61B29">
        <w:fldChar w:fldCharType="begin"/>
      </w:r>
      <w:r w:rsidR="00A61B29">
        <w:instrText xml:space="preserve"> SEQ Table \* ARABIC </w:instrText>
      </w:r>
      <w:r w:rsidR="00A61B29">
        <w:fldChar w:fldCharType="separate"/>
      </w:r>
      <w:r w:rsidR="003C4BC2">
        <w:rPr>
          <w:noProof/>
        </w:rPr>
        <w:t>65</w:t>
      </w:r>
      <w:r w:rsidR="00A61B29">
        <w:rPr>
          <w:noProof/>
        </w:rPr>
        <w:fldChar w:fldCharType="end"/>
      </w:r>
      <w:bookmarkEnd w:id="465"/>
      <w:r>
        <w:t>: Total expenditure on community pharmacy services provided to HCH patients</w:t>
      </w:r>
    </w:p>
    <w:tbl>
      <w:tblPr>
        <w:tblW w:w="3335" w:type="pct"/>
        <w:jc w:val="center"/>
        <w:tblBorders>
          <w:top w:val="single" w:sz="4" w:space="0" w:color="408BCA"/>
          <w:left w:val="single" w:sz="4" w:space="0" w:color="408BCA"/>
          <w:bottom w:val="single" w:sz="4" w:space="0" w:color="408BCA"/>
          <w:right w:val="single" w:sz="4" w:space="0" w:color="408BCA"/>
          <w:insideH w:val="single" w:sz="4" w:space="0" w:color="408BCA"/>
        </w:tblBorders>
        <w:tblLook w:val="04A0" w:firstRow="1" w:lastRow="0" w:firstColumn="1" w:lastColumn="0" w:noHBand="0" w:noVBand="1"/>
      </w:tblPr>
      <w:tblGrid>
        <w:gridCol w:w="1502"/>
        <w:gridCol w:w="1505"/>
        <w:gridCol w:w="1502"/>
        <w:gridCol w:w="1505"/>
      </w:tblGrid>
      <w:tr w:rsidR="00AB496A" w:rsidRPr="0070246D" w14:paraId="2E6C0905" w14:textId="77777777" w:rsidTr="00F8568B">
        <w:trPr>
          <w:trHeight w:val="344"/>
          <w:jc w:val="center"/>
        </w:trPr>
        <w:tc>
          <w:tcPr>
            <w:tcW w:w="1249" w:type="pct"/>
            <w:shd w:val="clear" w:color="auto" w:fill="408BCA"/>
            <w:vAlign w:val="center"/>
            <w:hideMark/>
          </w:tcPr>
          <w:p w14:paraId="2A3E0C31" w14:textId="77777777" w:rsidR="00AB496A" w:rsidRPr="0070246D" w:rsidRDefault="00AB496A" w:rsidP="00F8568B">
            <w:pPr>
              <w:widowControl w:val="0"/>
              <w:spacing w:after="0"/>
              <w:jc w:val="center"/>
              <w:rPr>
                <w:rFonts w:cstheme="minorHAnsi"/>
                <w:b/>
                <w:bCs/>
                <w:color w:val="FFFFFF" w:themeColor="background1"/>
                <w:sz w:val="18"/>
                <w:szCs w:val="18"/>
              </w:rPr>
            </w:pPr>
            <w:r w:rsidRPr="0070246D">
              <w:rPr>
                <w:rFonts w:cstheme="minorHAnsi"/>
                <w:b/>
                <w:bCs/>
                <w:color w:val="FFFFFF" w:themeColor="background1"/>
                <w:sz w:val="18"/>
                <w:szCs w:val="18"/>
              </w:rPr>
              <w:t>2018</w:t>
            </w:r>
            <w:r>
              <w:rPr>
                <w:rFonts w:cstheme="minorHAnsi"/>
                <w:b/>
                <w:bCs/>
                <w:color w:val="FFFFFF" w:themeColor="background1"/>
                <w:sz w:val="18"/>
                <w:szCs w:val="18"/>
              </w:rPr>
              <w:t>–</w:t>
            </w:r>
            <w:r w:rsidRPr="0070246D">
              <w:rPr>
                <w:rFonts w:cstheme="minorHAnsi"/>
                <w:b/>
                <w:bCs/>
                <w:color w:val="FFFFFF" w:themeColor="background1"/>
                <w:sz w:val="18"/>
                <w:szCs w:val="18"/>
              </w:rPr>
              <w:t>19</w:t>
            </w:r>
            <w:r>
              <w:rPr>
                <w:rFonts w:cstheme="minorHAnsi"/>
                <w:b/>
                <w:bCs/>
                <w:color w:val="FFFFFF" w:themeColor="background1"/>
                <w:sz w:val="18"/>
                <w:szCs w:val="18"/>
              </w:rPr>
              <w:t xml:space="preserve"> </w:t>
            </w:r>
            <w:r w:rsidRPr="0070246D">
              <w:rPr>
                <w:rFonts w:cstheme="minorHAnsi"/>
                <w:b/>
                <w:bCs/>
                <w:color w:val="FFFFFF" w:themeColor="background1"/>
                <w:sz w:val="18"/>
                <w:szCs w:val="18"/>
              </w:rPr>
              <w:t>($m)</w:t>
            </w:r>
          </w:p>
        </w:tc>
        <w:tc>
          <w:tcPr>
            <w:tcW w:w="1251" w:type="pct"/>
            <w:shd w:val="clear" w:color="auto" w:fill="408BCA"/>
            <w:vAlign w:val="center"/>
          </w:tcPr>
          <w:p w14:paraId="29666D92" w14:textId="77777777" w:rsidR="00AB496A" w:rsidRPr="0070246D" w:rsidRDefault="00AB496A" w:rsidP="00F8568B">
            <w:pPr>
              <w:widowControl w:val="0"/>
              <w:spacing w:after="0"/>
              <w:jc w:val="center"/>
              <w:rPr>
                <w:rFonts w:cstheme="minorHAnsi"/>
                <w:b/>
                <w:bCs/>
                <w:color w:val="FFFFFF" w:themeColor="background1"/>
                <w:sz w:val="18"/>
                <w:szCs w:val="18"/>
              </w:rPr>
            </w:pPr>
            <w:r w:rsidRPr="0070246D">
              <w:rPr>
                <w:rFonts w:cstheme="minorHAnsi"/>
                <w:b/>
                <w:bCs/>
                <w:color w:val="FFFFFF" w:themeColor="background1"/>
                <w:sz w:val="18"/>
                <w:szCs w:val="18"/>
              </w:rPr>
              <w:t>2019</w:t>
            </w:r>
            <w:r>
              <w:rPr>
                <w:rFonts w:cstheme="minorHAnsi"/>
                <w:b/>
                <w:bCs/>
                <w:color w:val="FFFFFF" w:themeColor="background1"/>
                <w:sz w:val="18"/>
                <w:szCs w:val="18"/>
              </w:rPr>
              <w:t>–</w:t>
            </w:r>
            <w:r w:rsidRPr="0070246D">
              <w:rPr>
                <w:rFonts w:cstheme="minorHAnsi"/>
                <w:b/>
                <w:bCs/>
                <w:color w:val="FFFFFF" w:themeColor="background1"/>
                <w:sz w:val="18"/>
                <w:szCs w:val="18"/>
              </w:rPr>
              <w:t>20</w:t>
            </w:r>
            <w:r>
              <w:rPr>
                <w:rFonts w:cstheme="minorHAnsi"/>
                <w:b/>
                <w:bCs/>
                <w:color w:val="FFFFFF" w:themeColor="background1"/>
                <w:sz w:val="18"/>
                <w:szCs w:val="18"/>
              </w:rPr>
              <w:t xml:space="preserve"> </w:t>
            </w:r>
            <w:r w:rsidRPr="0070246D">
              <w:rPr>
                <w:rFonts w:cstheme="minorHAnsi"/>
                <w:b/>
                <w:bCs/>
                <w:color w:val="FFFFFF" w:themeColor="background1"/>
                <w:sz w:val="18"/>
                <w:szCs w:val="18"/>
              </w:rPr>
              <w:t>($m)</w:t>
            </w:r>
          </w:p>
        </w:tc>
        <w:tc>
          <w:tcPr>
            <w:tcW w:w="1249" w:type="pct"/>
            <w:shd w:val="clear" w:color="auto" w:fill="408BCA"/>
            <w:vAlign w:val="center"/>
          </w:tcPr>
          <w:p w14:paraId="5986559A" w14:textId="77777777" w:rsidR="00AB496A" w:rsidRPr="0070246D" w:rsidRDefault="00AB496A" w:rsidP="00F8568B">
            <w:pPr>
              <w:widowControl w:val="0"/>
              <w:spacing w:after="0"/>
              <w:jc w:val="center"/>
              <w:rPr>
                <w:rFonts w:cstheme="minorHAnsi"/>
                <w:b/>
                <w:bCs/>
                <w:color w:val="FFFFFF" w:themeColor="background1"/>
                <w:sz w:val="18"/>
                <w:szCs w:val="18"/>
              </w:rPr>
            </w:pPr>
            <w:r w:rsidRPr="0070246D">
              <w:rPr>
                <w:rFonts w:cstheme="minorHAnsi"/>
                <w:b/>
                <w:bCs/>
                <w:color w:val="FFFFFF" w:themeColor="background1"/>
                <w:sz w:val="18"/>
                <w:szCs w:val="18"/>
              </w:rPr>
              <w:t>2020</w:t>
            </w:r>
            <w:r>
              <w:rPr>
                <w:rFonts w:cstheme="minorHAnsi"/>
                <w:b/>
                <w:bCs/>
                <w:color w:val="FFFFFF" w:themeColor="background1"/>
                <w:sz w:val="18"/>
                <w:szCs w:val="18"/>
              </w:rPr>
              <w:t>–</w:t>
            </w:r>
            <w:r w:rsidRPr="0070246D">
              <w:rPr>
                <w:rFonts w:cstheme="minorHAnsi"/>
                <w:b/>
                <w:bCs/>
                <w:color w:val="FFFFFF" w:themeColor="background1"/>
                <w:sz w:val="18"/>
                <w:szCs w:val="18"/>
              </w:rPr>
              <w:t>21</w:t>
            </w:r>
            <w:r>
              <w:rPr>
                <w:rFonts w:cstheme="minorHAnsi"/>
                <w:b/>
                <w:bCs/>
                <w:color w:val="FFFFFF" w:themeColor="background1"/>
                <w:sz w:val="18"/>
                <w:szCs w:val="18"/>
              </w:rPr>
              <w:t xml:space="preserve"> </w:t>
            </w:r>
            <w:r w:rsidRPr="0070246D">
              <w:rPr>
                <w:rFonts w:cstheme="minorHAnsi"/>
                <w:b/>
                <w:bCs/>
                <w:color w:val="FFFFFF" w:themeColor="background1"/>
                <w:sz w:val="18"/>
                <w:szCs w:val="18"/>
              </w:rPr>
              <w:t>($m)</w:t>
            </w:r>
          </w:p>
        </w:tc>
        <w:tc>
          <w:tcPr>
            <w:tcW w:w="1251" w:type="pct"/>
            <w:shd w:val="clear" w:color="auto" w:fill="408BCA"/>
            <w:vAlign w:val="center"/>
          </w:tcPr>
          <w:p w14:paraId="118ECD70" w14:textId="77777777" w:rsidR="00AB496A" w:rsidRPr="0070246D" w:rsidRDefault="00AB496A" w:rsidP="00F8568B">
            <w:pPr>
              <w:widowControl w:val="0"/>
              <w:spacing w:after="0"/>
              <w:jc w:val="center"/>
              <w:rPr>
                <w:rFonts w:cstheme="minorHAnsi"/>
                <w:b/>
                <w:bCs/>
                <w:color w:val="FFFFFF" w:themeColor="background1"/>
                <w:sz w:val="18"/>
                <w:szCs w:val="18"/>
              </w:rPr>
            </w:pPr>
            <w:r w:rsidRPr="0070246D">
              <w:rPr>
                <w:rFonts w:cstheme="minorHAnsi"/>
                <w:b/>
                <w:bCs/>
                <w:color w:val="FFFFFF" w:themeColor="background1"/>
                <w:sz w:val="18"/>
                <w:szCs w:val="18"/>
              </w:rPr>
              <w:t>Total</w:t>
            </w:r>
            <w:r>
              <w:rPr>
                <w:rFonts w:cstheme="minorHAnsi"/>
                <w:b/>
                <w:bCs/>
                <w:color w:val="FFFFFF" w:themeColor="background1"/>
                <w:sz w:val="18"/>
                <w:szCs w:val="18"/>
              </w:rPr>
              <w:t xml:space="preserve"> </w:t>
            </w:r>
            <w:r w:rsidRPr="0070246D">
              <w:rPr>
                <w:rFonts w:cstheme="minorHAnsi"/>
                <w:b/>
                <w:bCs/>
                <w:color w:val="FFFFFF" w:themeColor="background1"/>
                <w:sz w:val="18"/>
                <w:szCs w:val="18"/>
              </w:rPr>
              <w:t>($m)</w:t>
            </w:r>
          </w:p>
        </w:tc>
      </w:tr>
      <w:tr w:rsidR="00AB496A" w:rsidRPr="0070246D" w14:paraId="5F77D34E" w14:textId="77777777" w:rsidTr="00F8568B">
        <w:trPr>
          <w:jc w:val="center"/>
        </w:trPr>
        <w:tc>
          <w:tcPr>
            <w:tcW w:w="1249" w:type="pct"/>
          </w:tcPr>
          <w:p w14:paraId="01A2DBAA" w14:textId="77777777" w:rsidR="00AB496A" w:rsidRPr="0070246D" w:rsidRDefault="00AB496A" w:rsidP="00F8568B">
            <w:pPr>
              <w:spacing w:after="0"/>
              <w:jc w:val="center"/>
              <w:rPr>
                <w:rFonts w:cs="Calibri"/>
                <w:sz w:val="18"/>
                <w:szCs w:val="18"/>
              </w:rPr>
            </w:pPr>
            <w:r w:rsidRPr="0070246D">
              <w:rPr>
                <w:rFonts w:cs="Calibri"/>
                <w:sz w:val="18"/>
                <w:szCs w:val="18"/>
              </w:rPr>
              <w:t>1.8</w:t>
            </w:r>
          </w:p>
        </w:tc>
        <w:tc>
          <w:tcPr>
            <w:tcW w:w="1251" w:type="pct"/>
          </w:tcPr>
          <w:p w14:paraId="5FD1A9E0" w14:textId="77777777" w:rsidR="00AB496A" w:rsidRPr="0070246D" w:rsidRDefault="00AB496A" w:rsidP="00F8568B">
            <w:pPr>
              <w:spacing w:after="0"/>
              <w:jc w:val="center"/>
              <w:rPr>
                <w:rFonts w:cs="Calibri"/>
                <w:sz w:val="18"/>
                <w:szCs w:val="18"/>
              </w:rPr>
            </w:pPr>
            <w:r w:rsidRPr="0070246D">
              <w:rPr>
                <w:rFonts w:cs="Calibri"/>
                <w:sz w:val="18"/>
                <w:szCs w:val="18"/>
              </w:rPr>
              <w:t>2.2</w:t>
            </w:r>
          </w:p>
        </w:tc>
        <w:tc>
          <w:tcPr>
            <w:tcW w:w="1249" w:type="pct"/>
          </w:tcPr>
          <w:p w14:paraId="096EDB29" w14:textId="77777777" w:rsidR="00AB496A" w:rsidRPr="0070246D" w:rsidRDefault="00AB496A" w:rsidP="00F8568B">
            <w:pPr>
              <w:spacing w:after="0"/>
              <w:jc w:val="center"/>
              <w:rPr>
                <w:rFonts w:cs="Calibri"/>
                <w:sz w:val="18"/>
                <w:szCs w:val="18"/>
              </w:rPr>
            </w:pPr>
            <w:r w:rsidRPr="0070246D">
              <w:rPr>
                <w:rFonts w:cs="Calibri"/>
                <w:sz w:val="18"/>
                <w:szCs w:val="18"/>
              </w:rPr>
              <w:t>0.9</w:t>
            </w:r>
          </w:p>
        </w:tc>
        <w:tc>
          <w:tcPr>
            <w:tcW w:w="1251" w:type="pct"/>
          </w:tcPr>
          <w:p w14:paraId="7CDA583B" w14:textId="77777777" w:rsidR="00AB496A" w:rsidRPr="007C15AF" w:rsidRDefault="00AB496A" w:rsidP="00F8568B">
            <w:pPr>
              <w:spacing w:after="0"/>
              <w:jc w:val="center"/>
              <w:rPr>
                <w:rFonts w:cs="Calibri"/>
                <w:bCs/>
                <w:sz w:val="18"/>
                <w:szCs w:val="18"/>
              </w:rPr>
            </w:pPr>
            <w:r w:rsidRPr="007C15AF">
              <w:rPr>
                <w:rFonts w:cs="Calibri"/>
                <w:bCs/>
                <w:sz w:val="18"/>
                <w:szCs w:val="18"/>
              </w:rPr>
              <w:t>4.9</w:t>
            </w:r>
          </w:p>
        </w:tc>
      </w:tr>
    </w:tbl>
    <w:p w14:paraId="12F24B8E" w14:textId="77777777" w:rsidR="00AB496A" w:rsidRPr="00091EB1" w:rsidRDefault="00AB496A" w:rsidP="00AB496A">
      <w:pPr>
        <w:pStyle w:val="Chartortablefootnote"/>
      </w:pPr>
      <w:r w:rsidRPr="00501711">
        <w:t>Source:</w:t>
      </w:r>
      <w:r>
        <w:t xml:space="preserve"> Department of Health data provided for the evaluation.</w:t>
      </w:r>
    </w:p>
    <w:p w14:paraId="74492F7E" w14:textId="6EAAD8CF" w:rsidR="00AB496A" w:rsidRDefault="00AB496A" w:rsidP="00AB496A">
      <w:pPr>
        <w:rPr>
          <w:szCs w:val="20"/>
        </w:rPr>
      </w:pPr>
      <w:r>
        <w:rPr>
          <w:szCs w:val="20"/>
        </w:rPr>
        <w:t>The total paid to pharmacies for services to HCH patients (excluding any charges to patients for dose administration aids) was $1.2 million (</w:t>
      </w:r>
      <w:r w:rsidR="007053C0" w:rsidRPr="007053C0">
        <w:rPr>
          <w:rFonts w:eastAsiaTheme="minorEastAsia"/>
          <w:bCs/>
          <w:color w:val="1D2455"/>
          <w:szCs w:val="20"/>
          <w:lang w:eastAsia="en-AU"/>
        </w:rPr>
        <w:fldChar w:fldCharType="begin"/>
      </w:r>
      <w:r w:rsidR="007053C0" w:rsidRPr="007053C0">
        <w:rPr>
          <w:rFonts w:eastAsiaTheme="minorEastAsia"/>
          <w:bCs/>
          <w:color w:val="1D2455"/>
          <w:szCs w:val="20"/>
          <w:lang w:eastAsia="en-AU"/>
        </w:rPr>
        <w:instrText xml:space="preserve"> REF _Ref99301057 \h </w:instrText>
      </w:r>
      <w:r w:rsidR="007053C0">
        <w:rPr>
          <w:rFonts w:eastAsiaTheme="minorEastAsia"/>
          <w:bCs/>
          <w:color w:val="1D2455"/>
          <w:szCs w:val="20"/>
          <w:lang w:eastAsia="en-AU"/>
        </w:rPr>
        <w:instrText xml:space="preserve"> \* MERGEFORMAT </w:instrText>
      </w:r>
      <w:r w:rsidR="007053C0" w:rsidRPr="007053C0">
        <w:rPr>
          <w:rFonts w:eastAsiaTheme="minorEastAsia"/>
          <w:bCs/>
          <w:color w:val="1D2455"/>
          <w:szCs w:val="20"/>
          <w:lang w:eastAsia="en-AU"/>
        </w:rPr>
      </w:r>
      <w:r w:rsidR="007053C0" w:rsidRPr="007053C0">
        <w:rPr>
          <w:rFonts w:eastAsiaTheme="minorEastAsia"/>
          <w:bCs/>
          <w:color w:val="1D2455"/>
          <w:szCs w:val="20"/>
          <w:lang w:eastAsia="en-AU"/>
        </w:rPr>
        <w:fldChar w:fldCharType="separate"/>
      </w:r>
      <w:r w:rsidR="003C4BC2" w:rsidRPr="003C4BC2">
        <w:rPr>
          <w:rFonts w:eastAsiaTheme="minorEastAsia"/>
          <w:bCs/>
          <w:color w:val="1D2455"/>
          <w:szCs w:val="20"/>
          <w:lang w:eastAsia="en-AU"/>
        </w:rPr>
        <w:t>Table 66</w:t>
      </w:r>
      <w:r w:rsidR="007053C0" w:rsidRPr="007053C0">
        <w:rPr>
          <w:rFonts w:eastAsiaTheme="minorEastAsia"/>
          <w:bCs/>
          <w:color w:val="1D2455"/>
          <w:szCs w:val="20"/>
          <w:lang w:eastAsia="en-AU"/>
        </w:rPr>
        <w:fldChar w:fldCharType="end"/>
      </w:r>
      <w:r>
        <w:rPr>
          <w:szCs w:val="20"/>
        </w:rPr>
        <w:t>).</w:t>
      </w:r>
    </w:p>
    <w:p w14:paraId="36AFFBB8" w14:textId="725B381C" w:rsidR="00AB496A" w:rsidRPr="007053C0" w:rsidRDefault="00AB496A" w:rsidP="00AB496A">
      <w:pPr>
        <w:pStyle w:val="TableFigureheading"/>
      </w:pPr>
      <w:bookmarkStart w:id="466" w:name="_Ref99301057"/>
      <w:r w:rsidRPr="007053C0">
        <w:t xml:space="preserve">Table </w:t>
      </w:r>
      <w:r w:rsidR="009F352D">
        <w:fldChar w:fldCharType="begin"/>
      </w:r>
      <w:r w:rsidR="009F352D" w:rsidRPr="00A2495D">
        <w:instrText xml:space="preserve"> SEQ Table \* ARABIC </w:instrText>
      </w:r>
      <w:r w:rsidR="009F352D">
        <w:fldChar w:fldCharType="separate"/>
      </w:r>
      <w:r w:rsidR="003C4BC2">
        <w:rPr>
          <w:noProof/>
        </w:rPr>
        <w:t>66</w:t>
      </w:r>
      <w:r w:rsidR="009F352D">
        <w:rPr>
          <w:noProof/>
        </w:rPr>
        <w:fldChar w:fldCharType="end"/>
      </w:r>
      <w:bookmarkEnd w:id="466"/>
      <w:r w:rsidRPr="007053C0">
        <w:t>: Payments to community pharmacies for services provided to HCH patients</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458"/>
        <w:gridCol w:w="1389"/>
        <w:gridCol w:w="1391"/>
        <w:gridCol w:w="1388"/>
        <w:gridCol w:w="1390"/>
      </w:tblGrid>
      <w:tr w:rsidR="00D85381" w:rsidRPr="00D85381" w14:paraId="05A0E58C" w14:textId="77777777" w:rsidTr="00D85381">
        <w:trPr>
          <w:trHeight w:val="310"/>
        </w:trPr>
        <w:tc>
          <w:tcPr>
            <w:tcW w:w="1917" w:type="pct"/>
            <w:shd w:val="clear" w:color="auto" w:fill="408BCA"/>
            <w:noWrap/>
            <w:hideMark/>
          </w:tcPr>
          <w:p w14:paraId="1858A0EE" w14:textId="77777777" w:rsidR="00AB496A" w:rsidRPr="00D85381" w:rsidRDefault="00AB496A" w:rsidP="00F8568B">
            <w:pPr>
              <w:spacing w:after="0"/>
              <w:rPr>
                <w:rFonts w:eastAsia="Times New Roman" w:cs="Times New Roman"/>
                <w:b/>
                <w:bCs/>
                <w:color w:val="FFFFFF" w:themeColor="background1"/>
                <w:sz w:val="18"/>
                <w:szCs w:val="18"/>
                <w:lang w:eastAsia="en-AU"/>
              </w:rPr>
            </w:pPr>
          </w:p>
        </w:tc>
        <w:tc>
          <w:tcPr>
            <w:tcW w:w="770" w:type="pct"/>
            <w:shd w:val="clear" w:color="auto" w:fill="408BCA"/>
            <w:noWrap/>
            <w:hideMark/>
          </w:tcPr>
          <w:p w14:paraId="1B229132" w14:textId="77777777" w:rsidR="00AB496A" w:rsidRPr="00D85381" w:rsidRDefault="00AB496A" w:rsidP="00F8568B">
            <w:pPr>
              <w:spacing w:after="0"/>
              <w:jc w:val="right"/>
              <w:rPr>
                <w:rFonts w:eastAsia="Times New Roman" w:cs="Calibri"/>
                <w:b/>
                <w:bCs/>
                <w:color w:val="FFFFFF" w:themeColor="background1"/>
                <w:sz w:val="18"/>
                <w:szCs w:val="18"/>
                <w:lang w:eastAsia="en-AU"/>
              </w:rPr>
            </w:pPr>
            <w:r w:rsidRPr="00D85381">
              <w:rPr>
                <w:rFonts w:eastAsia="Times New Roman" w:cs="Calibri"/>
                <w:b/>
                <w:bCs/>
                <w:color w:val="FFFFFF" w:themeColor="background1"/>
                <w:sz w:val="18"/>
                <w:szCs w:val="18"/>
                <w:lang w:eastAsia="en-AU"/>
              </w:rPr>
              <w:t>Tier 1</w:t>
            </w:r>
          </w:p>
        </w:tc>
        <w:tc>
          <w:tcPr>
            <w:tcW w:w="771" w:type="pct"/>
            <w:shd w:val="clear" w:color="auto" w:fill="408BCA"/>
            <w:noWrap/>
            <w:hideMark/>
          </w:tcPr>
          <w:p w14:paraId="1828F0A0" w14:textId="77777777" w:rsidR="00AB496A" w:rsidRPr="00D85381" w:rsidRDefault="00AB496A" w:rsidP="00F8568B">
            <w:pPr>
              <w:spacing w:after="0"/>
              <w:jc w:val="right"/>
              <w:rPr>
                <w:rFonts w:eastAsia="Times New Roman" w:cs="Calibri"/>
                <w:b/>
                <w:bCs/>
                <w:color w:val="FFFFFF" w:themeColor="background1"/>
                <w:sz w:val="18"/>
                <w:szCs w:val="18"/>
                <w:lang w:eastAsia="en-AU"/>
              </w:rPr>
            </w:pPr>
            <w:r w:rsidRPr="00D85381">
              <w:rPr>
                <w:rFonts w:eastAsia="Times New Roman" w:cs="Calibri"/>
                <w:b/>
                <w:bCs/>
                <w:color w:val="FFFFFF" w:themeColor="background1"/>
                <w:sz w:val="18"/>
                <w:szCs w:val="18"/>
                <w:lang w:eastAsia="en-AU"/>
              </w:rPr>
              <w:t>Tier 2</w:t>
            </w:r>
          </w:p>
        </w:tc>
        <w:tc>
          <w:tcPr>
            <w:tcW w:w="770" w:type="pct"/>
            <w:shd w:val="clear" w:color="auto" w:fill="408BCA"/>
            <w:noWrap/>
            <w:hideMark/>
          </w:tcPr>
          <w:p w14:paraId="75A3EC35" w14:textId="77777777" w:rsidR="00AB496A" w:rsidRPr="00D85381" w:rsidRDefault="00AB496A" w:rsidP="00F8568B">
            <w:pPr>
              <w:spacing w:after="0"/>
              <w:jc w:val="right"/>
              <w:rPr>
                <w:rFonts w:eastAsia="Times New Roman" w:cs="Calibri"/>
                <w:b/>
                <w:bCs/>
                <w:color w:val="FFFFFF" w:themeColor="background1"/>
                <w:sz w:val="18"/>
                <w:szCs w:val="18"/>
                <w:lang w:eastAsia="en-AU"/>
              </w:rPr>
            </w:pPr>
            <w:r w:rsidRPr="00D85381">
              <w:rPr>
                <w:rFonts w:eastAsia="Times New Roman" w:cs="Calibri"/>
                <w:b/>
                <w:bCs/>
                <w:color w:val="FFFFFF" w:themeColor="background1"/>
                <w:sz w:val="18"/>
                <w:szCs w:val="18"/>
                <w:lang w:eastAsia="en-AU"/>
              </w:rPr>
              <w:t>Tier 3</w:t>
            </w:r>
          </w:p>
        </w:tc>
        <w:tc>
          <w:tcPr>
            <w:tcW w:w="771" w:type="pct"/>
            <w:shd w:val="clear" w:color="auto" w:fill="408BCA"/>
            <w:noWrap/>
            <w:hideMark/>
          </w:tcPr>
          <w:p w14:paraId="2CA9B566" w14:textId="77777777" w:rsidR="00AB496A" w:rsidRPr="00D85381" w:rsidRDefault="00AB496A" w:rsidP="00F8568B">
            <w:pPr>
              <w:spacing w:after="0"/>
              <w:jc w:val="right"/>
              <w:rPr>
                <w:rFonts w:eastAsia="Times New Roman" w:cs="Calibri"/>
                <w:b/>
                <w:bCs/>
                <w:color w:val="FFFFFF" w:themeColor="background1"/>
                <w:sz w:val="18"/>
                <w:szCs w:val="18"/>
                <w:lang w:eastAsia="en-AU"/>
              </w:rPr>
            </w:pPr>
            <w:r w:rsidRPr="00D85381">
              <w:rPr>
                <w:rFonts w:eastAsia="Times New Roman" w:cs="Calibri"/>
                <w:b/>
                <w:bCs/>
                <w:color w:val="FFFFFF" w:themeColor="background1"/>
                <w:sz w:val="18"/>
                <w:szCs w:val="18"/>
                <w:lang w:eastAsia="en-AU"/>
              </w:rPr>
              <w:t>Total</w:t>
            </w:r>
          </w:p>
        </w:tc>
      </w:tr>
      <w:tr w:rsidR="00AB496A" w:rsidRPr="007053C0" w14:paraId="6777BCF3" w14:textId="77777777" w:rsidTr="00D85381">
        <w:trPr>
          <w:trHeight w:val="310"/>
        </w:trPr>
        <w:tc>
          <w:tcPr>
            <w:tcW w:w="1917" w:type="pct"/>
            <w:noWrap/>
            <w:hideMark/>
          </w:tcPr>
          <w:p w14:paraId="0892D706" w14:textId="77777777" w:rsidR="00AB496A" w:rsidRPr="007053C0" w:rsidRDefault="00AB496A" w:rsidP="00BB7C8D">
            <w:pPr>
              <w:pStyle w:val="ListParagraph"/>
              <w:numPr>
                <w:ilvl w:val="0"/>
                <w:numId w:val="32"/>
              </w:numPr>
              <w:spacing w:after="0"/>
              <w:ind w:left="284" w:hanging="284"/>
              <w:rPr>
                <w:rFonts w:eastAsia="Times New Roman" w:cs="Calibri"/>
                <w:color w:val="000000"/>
                <w:sz w:val="18"/>
                <w:szCs w:val="18"/>
                <w:lang w:eastAsia="en-AU"/>
              </w:rPr>
            </w:pPr>
            <w:r w:rsidRPr="007053C0">
              <w:rPr>
                <w:rFonts w:eastAsia="Times New Roman" w:cs="Calibri"/>
                <w:color w:val="000000"/>
                <w:sz w:val="18"/>
                <w:szCs w:val="18"/>
                <w:lang w:eastAsia="en-AU"/>
              </w:rPr>
              <w:t>Claims – n</w:t>
            </w:r>
          </w:p>
        </w:tc>
        <w:tc>
          <w:tcPr>
            <w:tcW w:w="770" w:type="pct"/>
            <w:noWrap/>
            <w:hideMark/>
          </w:tcPr>
          <w:p w14:paraId="044FA646" w14:textId="1F0242D6" w:rsidR="00AB496A" w:rsidRPr="007053C0" w:rsidRDefault="00AB496A" w:rsidP="00F8568B">
            <w:pPr>
              <w:spacing w:after="0"/>
              <w:jc w:val="right"/>
              <w:rPr>
                <w:rFonts w:eastAsia="Times New Roman" w:cs="Calibri"/>
                <w:color w:val="000000"/>
                <w:sz w:val="18"/>
                <w:szCs w:val="18"/>
                <w:lang w:eastAsia="en-AU"/>
              </w:rPr>
            </w:pPr>
            <w:r w:rsidRPr="007053C0">
              <w:rPr>
                <w:rFonts w:eastAsia="Times New Roman" w:cs="Calibri"/>
                <w:color w:val="000000"/>
                <w:sz w:val="18"/>
                <w:szCs w:val="18"/>
                <w:lang w:eastAsia="en-AU"/>
              </w:rPr>
              <w:t>37</w:t>
            </w:r>
            <w:r w:rsidR="00494E5F">
              <w:rPr>
                <w:rFonts w:eastAsia="Times New Roman" w:cs="Calibri"/>
                <w:color w:val="000000"/>
                <w:sz w:val="18"/>
                <w:szCs w:val="18"/>
                <w:lang w:eastAsia="en-AU"/>
              </w:rPr>
              <w:t>5</w:t>
            </w:r>
          </w:p>
        </w:tc>
        <w:tc>
          <w:tcPr>
            <w:tcW w:w="771" w:type="pct"/>
            <w:noWrap/>
            <w:hideMark/>
          </w:tcPr>
          <w:p w14:paraId="7EAA7B88" w14:textId="60CEBC3F" w:rsidR="00AB496A" w:rsidRPr="007053C0" w:rsidRDefault="00AB496A" w:rsidP="00F8568B">
            <w:pPr>
              <w:spacing w:after="0"/>
              <w:jc w:val="right"/>
              <w:rPr>
                <w:rFonts w:eastAsia="Times New Roman" w:cs="Calibri"/>
                <w:color w:val="000000"/>
                <w:sz w:val="18"/>
                <w:szCs w:val="18"/>
                <w:lang w:eastAsia="en-AU"/>
              </w:rPr>
            </w:pPr>
            <w:r w:rsidRPr="007053C0">
              <w:rPr>
                <w:rFonts w:eastAsia="Times New Roman" w:cs="Calibri"/>
                <w:color w:val="000000"/>
                <w:sz w:val="18"/>
                <w:szCs w:val="18"/>
                <w:lang w:eastAsia="en-AU"/>
              </w:rPr>
              <w:t>1,78</w:t>
            </w:r>
            <w:r w:rsidR="00494E5F">
              <w:rPr>
                <w:rFonts w:eastAsia="Times New Roman" w:cs="Calibri"/>
                <w:color w:val="000000"/>
                <w:sz w:val="18"/>
                <w:szCs w:val="18"/>
                <w:lang w:eastAsia="en-AU"/>
              </w:rPr>
              <w:t>2</w:t>
            </w:r>
          </w:p>
        </w:tc>
        <w:tc>
          <w:tcPr>
            <w:tcW w:w="770" w:type="pct"/>
            <w:noWrap/>
            <w:hideMark/>
          </w:tcPr>
          <w:p w14:paraId="6D5201C5" w14:textId="3F92730F" w:rsidR="00AB496A" w:rsidRPr="007053C0" w:rsidRDefault="00AB496A" w:rsidP="00F8568B">
            <w:pPr>
              <w:spacing w:after="0"/>
              <w:jc w:val="right"/>
              <w:rPr>
                <w:rFonts w:eastAsia="Times New Roman" w:cs="Calibri"/>
                <w:color w:val="000000"/>
                <w:sz w:val="18"/>
                <w:szCs w:val="18"/>
                <w:lang w:eastAsia="en-AU"/>
              </w:rPr>
            </w:pPr>
            <w:r w:rsidRPr="007053C0">
              <w:rPr>
                <w:rFonts w:eastAsia="Times New Roman" w:cs="Calibri"/>
                <w:color w:val="000000"/>
                <w:sz w:val="18"/>
                <w:szCs w:val="18"/>
                <w:lang w:eastAsia="en-AU"/>
              </w:rPr>
              <w:t>1,3</w:t>
            </w:r>
            <w:r w:rsidR="00494E5F">
              <w:rPr>
                <w:rFonts w:eastAsia="Times New Roman" w:cs="Calibri"/>
                <w:color w:val="000000"/>
                <w:sz w:val="18"/>
                <w:szCs w:val="18"/>
                <w:lang w:eastAsia="en-AU"/>
              </w:rPr>
              <w:t>59</w:t>
            </w:r>
          </w:p>
        </w:tc>
        <w:tc>
          <w:tcPr>
            <w:tcW w:w="771" w:type="pct"/>
            <w:noWrap/>
            <w:hideMark/>
          </w:tcPr>
          <w:p w14:paraId="7E1ADC06" w14:textId="37FE3E0B" w:rsidR="00AB496A" w:rsidRPr="007053C0" w:rsidRDefault="00AB496A" w:rsidP="00F8568B">
            <w:pPr>
              <w:spacing w:after="0"/>
              <w:jc w:val="right"/>
              <w:rPr>
                <w:rFonts w:eastAsia="Times New Roman" w:cs="Calibri"/>
                <w:color w:val="000000"/>
                <w:sz w:val="18"/>
                <w:szCs w:val="18"/>
                <w:lang w:eastAsia="en-AU"/>
              </w:rPr>
            </w:pPr>
            <w:r w:rsidRPr="007053C0">
              <w:rPr>
                <w:rFonts w:eastAsia="Times New Roman" w:cs="Calibri"/>
                <w:color w:val="000000"/>
                <w:sz w:val="18"/>
                <w:szCs w:val="18"/>
                <w:lang w:eastAsia="en-AU"/>
              </w:rPr>
              <w:t>3,51</w:t>
            </w:r>
            <w:r w:rsidR="00494E5F">
              <w:rPr>
                <w:rFonts w:eastAsia="Times New Roman" w:cs="Calibri"/>
                <w:color w:val="000000"/>
                <w:sz w:val="18"/>
                <w:szCs w:val="18"/>
                <w:lang w:eastAsia="en-AU"/>
              </w:rPr>
              <w:t>6</w:t>
            </w:r>
          </w:p>
        </w:tc>
      </w:tr>
      <w:tr w:rsidR="00AB496A" w:rsidRPr="007053C0" w14:paraId="4D97CA8C" w14:textId="77777777" w:rsidTr="00D85381">
        <w:trPr>
          <w:trHeight w:val="310"/>
        </w:trPr>
        <w:tc>
          <w:tcPr>
            <w:tcW w:w="1917" w:type="pct"/>
            <w:noWrap/>
            <w:hideMark/>
          </w:tcPr>
          <w:p w14:paraId="7798B055" w14:textId="02659476" w:rsidR="00AB496A" w:rsidRPr="007053C0" w:rsidRDefault="00AB496A" w:rsidP="00BB7C8D">
            <w:pPr>
              <w:pStyle w:val="ListParagraph"/>
              <w:numPr>
                <w:ilvl w:val="0"/>
                <w:numId w:val="32"/>
              </w:numPr>
              <w:spacing w:after="0"/>
              <w:ind w:left="284" w:hanging="284"/>
              <w:rPr>
                <w:rFonts w:eastAsia="Times New Roman" w:cs="Calibri"/>
                <w:color w:val="000000"/>
                <w:sz w:val="18"/>
                <w:szCs w:val="18"/>
                <w:lang w:eastAsia="en-AU"/>
              </w:rPr>
            </w:pPr>
            <w:r w:rsidRPr="007053C0">
              <w:rPr>
                <w:rFonts w:eastAsia="Times New Roman" w:cs="Calibri"/>
                <w:color w:val="000000"/>
                <w:sz w:val="18"/>
                <w:szCs w:val="18"/>
                <w:lang w:eastAsia="en-AU"/>
              </w:rPr>
              <w:t xml:space="preserve">Total payment for 4 </w:t>
            </w:r>
            <w:r w:rsidR="009849AA">
              <w:rPr>
                <w:rFonts w:eastAsia="Times New Roman" w:cs="Calibri"/>
                <w:color w:val="000000"/>
                <w:sz w:val="18"/>
                <w:szCs w:val="18"/>
                <w:lang w:eastAsia="en-AU"/>
              </w:rPr>
              <w:t>reviews</w:t>
            </w:r>
            <w:r w:rsidRPr="007053C0">
              <w:rPr>
                <w:rFonts w:eastAsia="Times New Roman" w:cs="Calibri"/>
                <w:color w:val="000000"/>
                <w:sz w:val="18"/>
                <w:szCs w:val="18"/>
                <w:vertAlign w:val="superscript"/>
                <w:lang w:eastAsia="en-AU"/>
              </w:rPr>
              <w:t>‡</w:t>
            </w:r>
          </w:p>
        </w:tc>
        <w:tc>
          <w:tcPr>
            <w:tcW w:w="770" w:type="pct"/>
            <w:noWrap/>
            <w:hideMark/>
          </w:tcPr>
          <w:p w14:paraId="37B1A8F6" w14:textId="77777777" w:rsidR="00AB496A" w:rsidRPr="007053C0" w:rsidRDefault="00AB496A" w:rsidP="00F8568B">
            <w:pPr>
              <w:spacing w:after="0"/>
              <w:jc w:val="right"/>
              <w:rPr>
                <w:rFonts w:eastAsia="Times New Roman" w:cs="Calibri"/>
                <w:sz w:val="18"/>
                <w:szCs w:val="18"/>
                <w:lang w:eastAsia="en-AU"/>
              </w:rPr>
            </w:pPr>
            <w:r w:rsidRPr="007053C0">
              <w:rPr>
                <w:rFonts w:eastAsia="Times New Roman" w:cs="Calibri"/>
                <w:sz w:val="18"/>
                <w:szCs w:val="18"/>
                <w:lang w:eastAsia="en-AU"/>
              </w:rPr>
              <w:t>$418.75</w:t>
            </w:r>
          </w:p>
        </w:tc>
        <w:tc>
          <w:tcPr>
            <w:tcW w:w="771" w:type="pct"/>
            <w:noWrap/>
            <w:hideMark/>
          </w:tcPr>
          <w:p w14:paraId="35ABB76A" w14:textId="77777777" w:rsidR="00AB496A" w:rsidRPr="007053C0" w:rsidRDefault="00AB496A" w:rsidP="00F8568B">
            <w:pPr>
              <w:spacing w:after="0"/>
              <w:jc w:val="right"/>
              <w:rPr>
                <w:rFonts w:eastAsia="Times New Roman" w:cs="Calibri"/>
                <w:sz w:val="18"/>
                <w:szCs w:val="18"/>
                <w:lang w:eastAsia="en-AU"/>
              </w:rPr>
            </w:pPr>
            <w:r w:rsidRPr="007053C0">
              <w:rPr>
                <w:rFonts w:eastAsia="Times New Roman" w:cs="Calibri"/>
                <w:sz w:val="18"/>
                <w:szCs w:val="18"/>
                <w:lang w:eastAsia="en-AU"/>
              </w:rPr>
              <w:t>$1,372.75</w:t>
            </w:r>
          </w:p>
        </w:tc>
        <w:tc>
          <w:tcPr>
            <w:tcW w:w="770" w:type="pct"/>
            <w:noWrap/>
            <w:hideMark/>
          </w:tcPr>
          <w:p w14:paraId="17A83361" w14:textId="77777777" w:rsidR="00AB496A" w:rsidRPr="007053C0" w:rsidRDefault="00AB496A" w:rsidP="00F8568B">
            <w:pPr>
              <w:spacing w:after="0"/>
              <w:jc w:val="right"/>
              <w:rPr>
                <w:rFonts w:eastAsia="Times New Roman" w:cs="Calibri"/>
                <w:color w:val="000000"/>
                <w:sz w:val="18"/>
                <w:szCs w:val="18"/>
                <w:lang w:eastAsia="en-AU"/>
              </w:rPr>
            </w:pPr>
            <w:r w:rsidRPr="007053C0">
              <w:rPr>
                <w:rFonts w:eastAsia="Times New Roman" w:cs="Calibri"/>
                <w:color w:val="000000"/>
                <w:sz w:val="18"/>
                <w:szCs w:val="18"/>
                <w:lang w:eastAsia="en-AU"/>
              </w:rPr>
              <w:t>$1,642.75</w:t>
            </w:r>
          </w:p>
        </w:tc>
        <w:tc>
          <w:tcPr>
            <w:tcW w:w="771" w:type="pct"/>
            <w:noWrap/>
            <w:hideMark/>
          </w:tcPr>
          <w:p w14:paraId="2AC7C9DC" w14:textId="77777777" w:rsidR="00AB496A" w:rsidRPr="007053C0" w:rsidRDefault="00AB496A" w:rsidP="00F8568B">
            <w:pPr>
              <w:spacing w:after="0"/>
              <w:jc w:val="right"/>
              <w:rPr>
                <w:rFonts w:eastAsia="Times New Roman" w:cs="Calibri"/>
                <w:color w:val="000000"/>
                <w:sz w:val="18"/>
                <w:szCs w:val="18"/>
                <w:lang w:eastAsia="en-AU"/>
              </w:rPr>
            </w:pPr>
          </w:p>
        </w:tc>
      </w:tr>
      <w:tr w:rsidR="00AB496A" w:rsidRPr="00036840" w14:paraId="373E181D" w14:textId="77777777" w:rsidTr="00D85381">
        <w:trPr>
          <w:trHeight w:val="310"/>
        </w:trPr>
        <w:tc>
          <w:tcPr>
            <w:tcW w:w="1917" w:type="pct"/>
            <w:noWrap/>
            <w:hideMark/>
          </w:tcPr>
          <w:p w14:paraId="53423D97" w14:textId="501CD461" w:rsidR="00AB496A" w:rsidRPr="007053C0" w:rsidRDefault="00AB496A" w:rsidP="00BB7C8D">
            <w:pPr>
              <w:pStyle w:val="ListParagraph"/>
              <w:numPr>
                <w:ilvl w:val="0"/>
                <w:numId w:val="32"/>
              </w:numPr>
              <w:spacing w:after="0"/>
              <w:ind w:left="284" w:hanging="284"/>
              <w:rPr>
                <w:rFonts w:eastAsia="Times New Roman" w:cs="Calibri"/>
                <w:color w:val="000000"/>
                <w:sz w:val="18"/>
                <w:szCs w:val="18"/>
                <w:lang w:eastAsia="en-AU"/>
              </w:rPr>
            </w:pPr>
            <w:r w:rsidRPr="007053C0">
              <w:rPr>
                <w:rFonts w:eastAsia="Times New Roman" w:cs="Calibri"/>
                <w:color w:val="000000"/>
                <w:sz w:val="18"/>
                <w:szCs w:val="18"/>
                <w:lang w:eastAsia="en-AU"/>
              </w:rPr>
              <w:t xml:space="preserve">Payment per </w:t>
            </w:r>
            <w:r w:rsidR="009849AA">
              <w:rPr>
                <w:rFonts w:eastAsia="Times New Roman" w:cs="Calibri"/>
                <w:color w:val="000000"/>
                <w:sz w:val="18"/>
                <w:szCs w:val="18"/>
                <w:lang w:eastAsia="en-AU"/>
              </w:rPr>
              <w:t>review</w:t>
            </w:r>
            <w:r w:rsidRPr="007053C0">
              <w:rPr>
                <w:rFonts w:eastAsia="Times New Roman" w:cs="Calibri"/>
                <w:color w:val="000000"/>
                <w:sz w:val="18"/>
                <w:szCs w:val="18"/>
                <w:lang w:eastAsia="en-AU"/>
              </w:rPr>
              <w:t xml:space="preserve"> (=b/4)</w:t>
            </w:r>
          </w:p>
        </w:tc>
        <w:tc>
          <w:tcPr>
            <w:tcW w:w="770" w:type="pct"/>
            <w:noWrap/>
            <w:hideMark/>
          </w:tcPr>
          <w:p w14:paraId="2F41B6CD" w14:textId="77777777" w:rsidR="00AB496A" w:rsidRPr="007053C0" w:rsidRDefault="00AB496A" w:rsidP="00F8568B">
            <w:pPr>
              <w:spacing w:after="0"/>
              <w:jc w:val="right"/>
              <w:rPr>
                <w:rFonts w:eastAsia="Times New Roman" w:cs="Calibri"/>
                <w:color w:val="000000"/>
                <w:sz w:val="18"/>
                <w:szCs w:val="18"/>
                <w:lang w:eastAsia="en-AU"/>
              </w:rPr>
            </w:pPr>
            <w:r w:rsidRPr="007053C0">
              <w:rPr>
                <w:rFonts w:eastAsia="Times New Roman" w:cs="Calibri"/>
                <w:color w:val="000000"/>
                <w:sz w:val="18"/>
                <w:szCs w:val="18"/>
                <w:lang w:eastAsia="en-AU"/>
              </w:rPr>
              <w:t>$104.69</w:t>
            </w:r>
          </w:p>
        </w:tc>
        <w:tc>
          <w:tcPr>
            <w:tcW w:w="771" w:type="pct"/>
            <w:noWrap/>
            <w:hideMark/>
          </w:tcPr>
          <w:p w14:paraId="070EB45D" w14:textId="77777777" w:rsidR="00AB496A" w:rsidRPr="007053C0" w:rsidRDefault="00AB496A" w:rsidP="00F8568B">
            <w:pPr>
              <w:spacing w:after="0"/>
              <w:jc w:val="right"/>
              <w:rPr>
                <w:rFonts w:eastAsia="Times New Roman" w:cs="Calibri"/>
                <w:color w:val="000000"/>
                <w:sz w:val="18"/>
                <w:szCs w:val="18"/>
                <w:lang w:eastAsia="en-AU"/>
              </w:rPr>
            </w:pPr>
            <w:r w:rsidRPr="007053C0">
              <w:rPr>
                <w:rFonts w:eastAsia="Times New Roman" w:cs="Calibri"/>
                <w:color w:val="000000"/>
                <w:sz w:val="18"/>
                <w:szCs w:val="18"/>
                <w:lang w:eastAsia="en-AU"/>
              </w:rPr>
              <w:t>$343.19</w:t>
            </w:r>
          </w:p>
        </w:tc>
        <w:tc>
          <w:tcPr>
            <w:tcW w:w="770" w:type="pct"/>
            <w:noWrap/>
            <w:hideMark/>
          </w:tcPr>
          <w:p w14:paraId="5A29F7C0" w14:textId="77777777" w:rsidR="00AB496A" w:rsidRPr="00036840" w:rsidRDefault="00AB496A" w:rsidP="00F8568B">
            <w:pPr>
              <w:spacing w:after="0"/>
              <w:jc w:val="right"/>
              <w:rPr>
                <w:rFonts w:eastAsia="Times New Roman" w:cs="Calibri"/>
                <w:color w:val="000000"/>
                <w:sz w:val="18"/>
                <w:szCs w:val="18"/>
                <w:lang w:eastAsia="en-AU"/>
              </w:rPr>
            </w:pPr>
            <w:r w:rsidRPr="007053C0">
              <w:rPr>
                <w:rFonts w:eastAsia="Times New Roman" w:cs="Calibri"/>
                <w:color w:val="000000"/>
                <w:sz w:val="18"/>
                <w:szCs w:val="18"/>
                <w:lang w:eastAsia="en-AU"/>
              </w:rPr>
              <w:t>$410.69</w:t>
            </w:r>
          </w:p>
        </w:tc>
        <w:tc>
          <w:tcPr>
            <w:tcW w:w="771" w:type="pct"/>
            <w:noWrap/>
            <w:hideMark/>
          </w:tcPr>
          <w:p w14:paraId="171261C9" w14:textId="77777777" w:rsidR="00AB496A" w:rsidRPr="00036840" w:rsidRDefault="00AB496A" w:rsidP="00F8568B">
            <w:pPr>
              <w:spacing w:after="0"/>
              <w:jc w:val="right"/>
              <w:rPr>
                <w:rFonts w:eastAsia="Times New Roman" w:cs="Calibri"/>
                <w:color w:val="000000"/>
                <w:sz w:val="18"/>
                <w:szCs w:val="18"/>
                <w:lang w:eastAsia="en-AU"/>
              </w:rPr>
            </w:pPr>
          </w:p>
        </w:tc>
      </w:tr>
      <w:tr w:rsidR="00AB496A" w:rsidRPr="00036840" w14:paraId="08C70D6A" w14:textId="77777777" w:rsidTr="00D85381">
        <w:trPr>
          <w:trHeight w:val="310"/>
        </w:trPr>
        <w:tc>
          <w:tcPr>
            <w:tcW w:w="1917" w:type="pct"/>
            <w:noWrap/>
            <w:hideMark/>
          </w:tcPr>
          <w:p w14:paraId="642FDDEF" w14:textId="77777777" w:rsidR="00AB496A" w:rsidRPr="006239AB" w:rsidRDefault="00AB496A" w:rsidP="00BB7C8D">
            <w:pPr>
              <w:pStyle w:val="ListParagraph"/>
              <w:numPr>
                <w:ilvl w:val="0"/>
                <w:numId w:val="32"/>
              </w:numPr>
              <w:spacing w:after="0"/>
              <w:ind w:left="284" w:hanging="284"/>
              <w:rPr>
                <w:rFonts w:eastAsia="Times New Roman" w:cs="Calibri"/>
                <w:color w:val="000000"/>
                <w:sz w:val="18"/>
                <w:szCs w:val="18"/>
                <w:lang w:eastAsia="en-AU"/>
              </w:rPr>
            </w:pPr>
            <w:r w:rsidRPr="006239AB">
              <w:rPr>
                <w:rFonts w:eastAsia="Times New Roman" w:cs="Calibri"/>
                <w:color w:val="000000"/>
                <w:sz w:val="18"/>
                <w:szCs w:val="18"/>
                <w:lang w:eastAsia="en-AU"/>
              </w:rPr>
              <w:t>Claims – $</w:t>
            </w:r>
            <w:r>
              <w:rPr>
                <w:rFonts w:eastAsia="Times New Roman" w:cs="Calibri"/>
                <w:color w:val="000000"/>
                <w:sz w:val="18"/>
                <w:szCs w:val="18"/>
                <w:lang w:eastAsia="en-AU"/>
              </w:rPr>
              <w:t xml:space="preserve"> (=c*a)</w:t>
            </w:r>
          </w:p>
        </w:tc>
        <w:tc>
          <w:tcPr>
            <w:tcW w:w="770" w:type="pct"/>
            <w:noWrap/>
            <w:hideMark/>
          </w:tcPr>
          <w:p w14:paraId="1B620C04" w14:textId="5EE05E96" w:rsidR="00AB496A" w:rsidRPr="00036840" w:rsidRDefault="00AB496A" w:rsidP="00F8568B">
            <w:pPr>
              <w:spacing w:after="0"/>
              <w:jc w:val="right"/>
              <w:rPr>
                <w:rFonts w:eastAsia="Times New Roman" w:cs="Calibri"/>
                <w:color w:val="000000"/>
                <w:sz w:val="18"/>
                <w:szCs w:val="18"/>
                <w:lang w:eastAsia="en-AU"/>
              </w:rPr>
            </w:pPr>
            <w:r w:rsidRPr="00036840">
              <w:rPr>
                <w:rFonts w:eastAsia="Times New Roman" w:cs="Calibri"/>
                <w:color w:val="000000"/>
                <w:sz w:val="18"/>
                <w:szCs w:val="18"/>
                <w:lang w:eastAsia="en-AU"/>
              </w:rPr>
              <w:t xml:space="preserve"> $39,</w:t>
            </w:r>
            <w:r w:rsidR="00D94385">
              <w:rPr>
                <w:rFonts w:eastAsia="Times New Roman" w:cs="Calibri"/>
                <w:color w:val="000000"/>
                <w:sz w:val="18"/>
                <w:szCs w:val="18"/>
                <w:lang w:eastAsia="en-AU"/>
              </w:rPr>
              <w:t>259</w:t>
            </w:r>
            <w:r w:rsidRPr="00036840">
              <w:rPr>
                <w:rFonts w:eastAsia="Times New Roman" w:cs="Calibri"/>
                <w:color w:val="000000"/>
                <w:sz w:val="18"/>
                <w:szCs w:val="18"/>
                <w:lang w:eastAsia="en-AU"/>
              </w:rPr>
              <w:t xml:space="preserve"> </w:t>
            </w:r>
          </w:p>
        </w:tc>
        <w:tc>
          <w:tcPr>
            <w:tcW w:w="771" w:type="pct"/>
            <w:noWrap/>
            <w:hideMark/>
          </w:tcPr>
          <w:p w14:paraId="1B73C867" w14:textId="7060D959" w:rsidR="00AB496A" w:rsidRPr="00036840" w:rsidRDefault="00AB496A" w:rsidP="00F8568B">
            <w:pPr>
              <w:spacing w:after="0"/>
              <w:jc w:val="right"/>
              <w:rPr>
                <w:rFonts w:eastAsia="Times New Roman" w:cs="Calibri"/>
                <w:color w:val="000000"/>
                <w:sz w:val="18"/>
                <w:szCs w:val="18"/>
                <w:lang w:eastAsia="en-AU"/>
              </w:rPr>
            </w:pPr>
            <w:r w:rsidRPr="00036840">
              <w:rPr>
                <w:rFonts w:eastAsia="Times New Roman" w:cs="Calibri"/>
                <w:color w:val="000000"/>
                <w:sz w:val="18"/>
                <w:szCs w:val="18"/>
                <w:lang w:eastAsia="en-AU"/>
              </w:rPr>
              <w:t xml:space="preserve"> $611,</w:t>
            </w:r>
            <w:r w:rsidR="00D94385">
              <w:rPr>
                <w:rFonts w:eastAsia="Times New Roman" w:cs="Calibri"/>
                <w:color w:val="000000"/>
                <w:sz w:val="18"/>
                <w:szCs w:val="18"/>
                <w:lang w:eastAsia="en-AU"/>
              </w:rPr>
              <w:t>565</w:t>
            </w:r>
            <w:r w:rsidRPr="00036840">
              <w:rPr>
                <w:rFonts w:eastAsia="Times New Roman" w:cs="Calibri"/>
                <w:color w:val="000000"/>
                <w:sz w:val="18"/>
                <w:szCs w:val="18"/>
                <w:lang w:eastAsia="en-AU"/>
              </w:rPr>
              <w:t xml:space="preserve"> </w:t>
            </w:r>
          </w:p>
        </w:tc>
        <w:tc>
          <w:tcPr>
            <w:tcW w:w="770" w:type="pct"/>
            <w:noWrap/>
            <w:hideMark/>
          </w:tcPr>
          <w:p w14:paraId="43DBCDD1" w14:textId="11D34D57" w:rsidR="00AB496A" w:rsidRPr="00036840" w:rsidRDefault="00AB496A" w:rsidP="00F8568B">
            <w:pPr>
              <w:spacing w:after="0"/>
              <w:jc w:val="right"/>
              <w:rPr>
                <w:rFonts w:eastAsia="Times New Roman" w:cs="Calibri"/>
                <w:color w:val="000000"/>
                <w:sz w:val="18"/>
                <w:szCs w:val="18"/>
                <w:lang w:eastAsia="en-AU"/>
              </w:rPr>
            </w:pPr>
            <w:r w:rsidRPr="00036840">
              <w:rPr>
                <w:rFonts w:eastAsia="Times New Roman" w:cs="Calibri"/>
                <w:color w:val="000000"/>
                <w:sz w:val="18"/>
                <w:szCs w:val="18"/>
                <w:lang w:eastAsia="en-AU"/>
              </w:rPr>
              <w:t xml:space="preserve"> $558,</w:t>
            </w:r>
            <w:r w:rsidR="00D94385">
              <w:rPr>
                <w:rFonts w:eastAsia="Times New Roman" w:cs="Calibri"/>
                <w:color w:val="000000"/>
                <w:sz w:val="18"/>
                <w:szCs w:val="18"/>
                <w:lang w:eastAsia="en-AU"/>
              </w:rPr>
              <w:t>128</w:t>
            </w:r>
            <w:r w:rsidRPr="00036840">
              <w:rPr>
                <w:rFonts w:eastAsia="Times New Roman" w:cs="Calibri"/>
                <w:color w:val="000000"/>
                <w:sz w:val="18"/>
                <w:szCs w:val="18"/>
                <w:lang w:eastAsia="en-AU"/>
              </w:rPr>
              <w:t xml:space="preserve"> </w:t>
            </w:r>
          </w:p>
        </w:tc>
        <w:tc>
          <w:tcPr>
            <w:tcW w:w="771" w:type="pct"/>
            <w:noWrap/>
            <w:hideMark/>
          </w:tcPr>
          <w:p w14:paraId="62739FD1" w14:textId="2E08971D" w:rsidR="00AB496A" w:rsidRPr="00036840" w:rsidRDefault="00AB496A" w:rsidP="00F8568B">
            <w:pPr>
              <w:spacing w:after="0"/>
              <w:jc w:val="right"/>
              <w:rPr>
                <w:rFonts w:eastAsia="Times New Roman" w:cs="Calibri"/>
                <w:color w:val="000000"/>
                <w:sz w:val="18"/>
                <w:szCs w:val="18"/>
                <w:lang w:eastAsia="en-AU"/>
              </w:rPr>
            </w:pPr>
            <w:r w:rsidRPr="00036840">
              <w:rPr>
                <w:rFonts w:eastAsia="Times New Roman" w:cs="Calibri"/>
                <w:color w:val="000000"/>
                <w:sz w:val="18"/>
                <w:szCs w:val="18"/>
                <w:lang w:eastAsia="en-AU"/>
              </w:rPr>
              <w:t xml:space="preserve"> $1,208,</w:t>
            </w:r>
            <w:r w:rsidR="00D94385">
              <w:rPr>
                <w:rFonts w:eastAsia="Times New Roman" w:cs="Calibri"/>
                <w:color w:val="000000"/>
                <w:sz w:val="18"/>
                <w:szCs w:val="18"/>
                <w:lang w:eastAsia="en-AU"/>
              </w:rPr>
              <w:t>951</w:t>
            </w:r>
            <w:r w:rsidRPr="00036840">
              <w:rPr>
                <w:rFonts w:eastAsia="Times New Roman" w:cs="Calibri"/>
                <w:color w:val="000000"/>
                <w:sz w:val="18"/>
                <w:szCs w:val="18"/>
                <w:lang w:eastAsia="en-AU"/>
              </w:rPr>
              <w:t xml:space="preserve"> </w:t>
            </w:r>
          </w:p>
        </w:tc>
      </w:tr>
    </w:tbl>
    <w:p w14:paraId="575A51FB" w14:textId="5D974617" w:rsidR="00AB496A" w:rsidRDefault="002B2B71" w:rsidP="00AB496A">
      <w:pPr>
        <w:pStyle w:val="Chartortablefootnote"/>
        <w:spacing w:after="0"/>
      </w:pPr>
      <w:r>
        <w:t xml:space="preserve">Notes: </w:t>
      </w:r>
      <w:r w:rsidR="00AB496A" w:rsidRPr="00896335">
        <w:t xml:space="preserve">‡ </w:t>
      </w:r>
      <w:r w:rsidR="00AB496A">
        <w:t>Based on amounts</w:t>
      </w:r>
      <w:r w:rsidR="009A252F">
        <w:t xml:space="preserve"> in </w:t>
      </w:r>
      <w:r w:rsidR="0028633E">
        <w:fldChar w:fldCharType="begin"/>
      </w:r>
      <w:r w:rsidR="0028633E">
        <w:instrText xml:space="preserve"> REF _Ref98756353 \h </w:instrText>
      </w:r>
      <w:r w:rsidR="0028633E">
        <w:fldChar w:fldCharType="separate"/>
      </w:r>
      <w:r w:rsidR="003C4BC2" w:rsidRPr="000F7578">
        <w:t xml:space="preserve">Table </w:t>
      </w:r>
      <w:r w:rsidR="003C4BC2">
        <w:rPr>
          <w:noProof/>
        </w:rPr>
        <w:t>57</w:t>
      </w:r>
      <w:r w:rsidR="0028633E">
        <w:fldChar w:fldCharType="end"/>
      </w:r>
      <w:r w:rsidR="00AB496A">
        <w:t>.</w:t>
      </w:r>
    </w:p>
    <w:p w14:paraId="13311016" w14:textId="4AD3FC4C" w:rsidR="00AB496A" w:rsidRDefault="00AB496A" w:rsidP="0086532C">
      <w:pPr>
        <w:pStyle w:val="Chartortablefootnote"/>
        <w:rPr>
          <w:rStyle w:val="eop"/>
          <w:rFonts w:cs="Arial"/>
          <w:color w:val="000000"/>
          <w:shd w:val="clear" w:color="auto" w:fill="FFFFFF"/>
        </w:rPr>
      </w:pPr>
      <w:r w:rsidRPr="00501711">
        <w:t>Source:</w:t>
      </w:r>
      <w:r>
        <w:t xml:space="preserve"> Calculated based on Pharmacy Guild data of claims by tier provided for the evaluation.</w:t>
      </w:r>
    </w:p>
    <w:p w14:paraId="322CD372" w14:textId="752F257D" w:rsidR="00995141" w:rsidRDefault="00995141" w:rsidP="00945C52"/>
    <w:p w14:paraId="02E50F60" w14:textId="77777777" w:rsidR="00227025" w:rsidRDefault="00227025" w:rsidP="00545140"/>
    <w:p w14:paraId="09DF4D5E" w14:textId="77777777" w:rsidR="00227025" w:rsidRDefault="00227025" w:rsidP="00545140"/>
    <w:p w14:paraId="1A5B3FEC" w14:textId="288B7A4B" w:rsidR="00227025" w:rsidRDefault="00227025" w:rsidP="00545140">
      <w:pPr>
        <w:sectPr w:rsidR="00227025">
          <w:pgSz w:w="11906" w:h="16838"/>
          <w:pgMar w:top="1440" w:right="1440" w:bottom="1440" w:left="1440" w:header="708" w:footer="708" w:gutter="0"/>
          <w:cols w:space="708"/>
          <w:docGrid w:linePitch="360"/>
        </w:sectPr>
      </w:pPr>
    </w:p>
    <w:p w14:paraId="24E3E699" w14:textId="441CEF66" w:rsidR="0041499F" w:rsidRPr="0094369A" w:rsidRDefault="00072628" w:rsidP="0041499F">
      <w:pPr>
        <w:pStyle w:val="ChapterNumber"/>
      </w:pPr>
      <w:r>
        <w:lastRenderedPageBreak/>
        <w:fldChar w:fldCharType="begin"/>
      </w:r>
      <w:r>
        <w:instrText xml:space="preserve"> REF _Ref85108754 \r \h </w:instrText>
      </w:r>
      <w:r>
        <w:fldChar w:fldCharType="separate"/>
      </w:r>
      <w:r w:rsidR="003C4BC2">
        <w:t>22</w:t>
      </w:r>
      <w:r>
        <w:fldChar w:fldCharType="end"/>
      </w:r>
    </w:p>
    <w:p w14:paraId="5612410A" w14:textId="5485FA65" w:rsidR="0041499F" w:rsidRDefault="00D00A9B" w:rsidP="0041499F">
      <w:pPr>
        <w:pStyle w:val="Heading1withnumber"/>
        <w:ind w:left="0" w:hanging="851"/>
      </w:pPr>
      <w:bookmarkStart w:id="467" w:name="_Ref85108754"/>
      <w:bookmarkStart w:id="468" w:name="_Toc109996764"/>
      <w:r>
        <w:t xml:space="preserve">Community </w:t>
      </w:r>
      <w:r w:rsidR="00FE76EA" w:rsidRPr="00FE76EA">
        <w:t xml:space="preserve">Pharmacy in HCH Trial </w:t>
      </w:r>
      <w:r w:rsidR="002256E6">
        <w:t xml:space="preserve">– </w:t>
      </w:r>
      <w:r>
        <w:t>patient outcomes</w:t>
      </w:r>
      <w:bookmarkEnd w:id="467"/>
      <w:bookmarkEnd w:id="468"/>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A12C14" w:rsidRPr="0048466A" w14:paraId="62FF354D" w14:textId="77777777" w:rsidTr="0032660B">
        <w:tc>
          <w:tcPr>
            <w:tcW w:w="8996" w:type="dxa"/>
            <w:shd w:val="clear" w:color="auto" w:fill="auto"/>
          </w:tcPr>
          <w:p w14:paraId="7C702E9C" w14:textId="15D2FACF" w:rsidR="00A12C14" w:rsidRPr="006201AB" w:rsidRDefault="00A12C14" w:rsidP="00AF15A5">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29</w:t>
            </w:r>
            <w:r w:rsidRPr="006201AB">
              <w:rPr>
                <w:bCs/>
                <w:noProof/>
              </w:rPr>
              <w:fldChar w:fldCharType="end"/>
            </w:r>
            <w:r w:rsidRPr="006201AB">
              <w:rPr>
                <w:bCs/>
                <w:szCs w:val="20"/>
              </w:rPr>
              <w:t>: Chapter summary</w:t>
            </w:r>
          </w:p>
          <w:p w14:paraId="12FDC9CB" w14:textId="77777777" w:rsidR="004E1DDF" w:rsidRDefault="004E1DDF" w:rsidP="004E1DDF">
            <w:pPr>
              <w:spacing w:after="120"/>
              <w:rPr>
                <w:rFonts w:eastAsia="Muli" w:cs="Muli"/>
                <w:color w:val="000000" w:themeColor="text1"/>
                <w:sz w:val="18"/>
                <w:szCs w:val="18"/>
              </w:rPr>
            </w:pPr>
            <w:r w:rsidRPr="00DA3CF5">
              <w:rPr>
                <w:rFonts w:eastAsia="Muli" w:cs="Muli"/>
                <w:color w:val="000000" w:themeColor="text1"/>
                <w:sz w:val="18"/>
                <w:szCs w:val="18"/>
              </w:rPr>
              <w:t>Most patients interviewed had limited to no awareness of the community pharmacy trial and had not had their medications reviewed by a pharmacist</w:t>
            </w:r>
            <w:r>
              <w:rPr>
                <w:rFonts w:eastAsia="Muli" w:cs="Muli"/>
                <w:color w:val="000000" w:themeColor="text1"/>
                <w:sz w:val="18"/>
                <w:szCs w:val="18"/>
              </w:rPr>
              <w:t>.</w:t>
            </w:r>
          </w:p>
          <w:p w14:paraId="2D3320A0" w14:textId="77777777" w:rsidR="004E1DDF" w:rsidRDefault="004E1DDF" w:rsidP="004E1DDF">
            <w:pPr>
              <w:spacing w:after="120"/>
              <w:rPr>
                <w:rFonts w:eastAsia="Muli" w:cs="Muli"/>
                <w:color w:val="000000" w:themeColor="text1"/>
                <w:sz w:val="18"/>
                <w:szCs w:val="18"/>
              </w:rPr>
            </w:pPr>
            <w:r w:rsidRPr="00902A64">
              <w:rPr>
                <w:rFonts w:eastAsia="Muli" w:cs="Muli"/>
                <w:color w:val="000000" w:themeColor="text1"/>
                <w:sz w:val="18"/>
                <w:szCs w:val="18"/>
              </w:rPr>
              <w:t>Some patients stated that they have had medication reviews at home or at their local pharmacy. However, these may have been independent of the community pharmacy in HCH trial. Nevertheless, patients reported that having their medication reviewed by their pharmacist was largely a positive experience and that their pharmacist was able to adjust their medications or provide education</w:t>
            </w:r>
            <w:r>
              <w:rPr>
                <w:rFonts w:eastAsia="Muli" w:cs="Muli"/>
                <w:color w:val="000000" w:themeColor="text1"/>
                <w:sz w:val="18"/>
                <w:szCs w:val="18"/>
              </w:rPr>
              <w:t>.</w:t>
            </w:r>
          </w:p>
          <w:p w14:paraId="1D777697" w14:textId="77777777" w:rsidR="004E1DDF" w:rsidRDefault="004E1DDF" w:rsidP="004E1DDF">
            <w:pPr>
              <w:spacing w:after="120"/>
              <w:rPr>
                <w:rFonts w:eastAsia="Muli" w:cs="Muli"/>
                <w:color w:val="000000" w:themeColor="text1"/>
                <w:sz w:val="18"/>
                <w:szCs w:val="18"/>
              </w:rPr>
            </w:pPr>
            <w:r w:rsidRPr="00902A64">
              <w:rPr>
                <w:rFonts w:eastAsia="Muli" w:cs="Muli"/>
                <w:color w:val="000000" w:themeColor="text1"/>
                <w:sz w:val="18"/>
                <w:szCs w:val="18"/>
              </w:rPr>
              <w:t>Pharmacists involved in the trial indicated that most patients were receptive to services from them as part of the trial</w:t>
            </w:r>
            <w:r>
              <w:rPr>
                <w:rFonts w:eastAsia="Muli" w:cs="Muli"/>
                <w:color w:val="000000" w:themeColor="text1"/>
                <w:sz w:val="18"/>
                <w:szCs w:val="18"/>
              </w:rPr>
              <w:t xml:space="preserve">. </w:t>
            </w:r>
            <w:r w:rsidRPr="00902A64">
              <w:rPr>
                <w:rFonts w:eastAsia="Muli" w:cs="Muli"/>
                <w:color w:val="000000" w:themeColor="text1"/>
                <w:sz w:val="18"/>
                <w:szCs w:val="18"/>
              </w:rPr>
              <w:t>In some instances, there were HCH patients who felt that the service wasn’t necessary.</w:t>
            </w:r>
          </w:p>
          <w:p w14:paraId="15256EFC" w14:textId="2A166EE5" w:rsidR="004E1DDF" w:rsidRDefault="004E1DDF" w:rsidP="004E1DDF">
            <w:pPr>
              <w:spacing w:after="120"/>
              <w:rPr>
                <w:rFonts w:eastAsia="Muli" w:cs="Muli"/>
                <w:color w:val="000000" w:themeColor="text1"/>
                <w:sz w:val="18"/>
                <w:szCs w:val="18"/>
              </w:rPr>
            </w:pPr>
            <w:r w:rsidRPr="00E15563">
              <w:rPr>
                <w:rFonts w:eastAsia="Muli" w:cs="Muli"/>
                <w:color w:val="000000" w:themeColor="text1"/>
                <w:sz w:val="18"/>
                <w:szCs w:val="18"/>
              </w:rPr>
              <w:t xml:space="preserve">The most common goals agreed to in the patients’ medication management plan (MMP) were </w:t>
            </w:r>
            <w:r w:rsidR="00657E4D">
              <w:rPr>
                <w:rFonts w:eastAsia="Muli" w:cs="Muli"/>
                <w:color w:val="000000" w:themeColor="text1"/>
                <w:sz w:val="18"/>
                <w:szCs w:val="18"/>
              </w:rPr>
              <w:t>“</w:t>
            </w:r>
            <w:r w:rsidRPr="00E15563">
              <w:rPr>
                <w:rFonts w:eastAsia="Muli" w:cs="Muli"/>
                <w:color w:val="000000" w:themeColor="text1"/>
                <w:sz w:val="18"/>
                <w:szCs w:val="18"/>
              </w:rPr>
              <w:t>improved patient knowledge about their medicines leading to improved medication use and disease self-management</w:t>
            </w:r>
            <w:r w:rsidR="00657E4D">
              <w:rPr>
                <w:rFonts w:eastAsia="Muli" w:cs="Muli"/>
                <w:color w:val="000000" w:themeColor="text1"/>
                <w:sz w:val="18"/>
                <w:szCs w:val="18"/>
              </w:rPr>
              <w:t>”</w:t>
            </w:r>
            <w:r w:rsidRPr="00E15563">
              <w:rPr>
                <w:rFonts w:eastAsia="Muli" w:cs="Muli"/>
                <w:color w:val="000000" w:themeColor="text1"/>
                <w:sz w:val="18"/>
                <w:szCs w:val="18"/>
              </w:rPr>
              <w:t xml:space="preserve"> (45%) and </w:t>
            </w:r>
            <w:r w:rsidR="00657E4D">
              <w:rPr>
                <w:rFonts w:eastAsia="Muli" w:cs="Muli"/>
                <w:color w:val="000000" w:themeColor="text1"/>
                <w:sz w:val="18"/>
                <w:szCs w:val="18"/>
              </w:rPr>
              <w:t>“</w:t>
            </w:r>
            <w:r w:rsidRPr="00E15563">
              <w:rPr>
                <w:rFonts w:eastAsia="Muli" w:cs="Muli"/>
                <w:color w:val="000000" w:themeColor="text1"/>
                <w:sz w:val="18"/>
                <w:szCs w:val="18"/>
              </w:rPr>
              <w:t>improved medication adherence</w:t>
            </w:r>
            <w:r w:rsidR="00657E4D">
              <w:rPr>
                <w:rFonts w:eastAsia="Muli" w:cs="Muli"/>
                <w:color w:val="000000" w:themeColor="text1"/>
                <w:sz w:val="18"/>
                <w:szCs w:val="18"/>
              </w:rPr>
              <w:t>”</w:t>
            </w:r>
            <w:r w:rsidRPr="00E15563">
              <w:rPr>
                <w:rFonts w:eastAsia="Muli" w:cs="Muli"/>
                <w:color w:val="000000" w:themeColor="text1"/>
                <w:sz w:val="18"/>
                <w:szCs w:val="18"/>
              </w:rPr>
              <w:t xml:space="preserve"> (43%), but these varied substantially between tiers</w:t>
            </w:r>
            <w:r>
              <w:rPr>
                <w:rFonts w:eastAsia="Muli" w:cs="Muli"/>
                <w:color w:val="000000" w:themeColor="text1"/>
                <w:sz w:val="18"/>
                <w:szCs w:val="18"/>
              </w:rPr>
              <w:t>.</w:t>
            </w:r>
          </w:p>
          <w:p w14:paraId="581F6E85" w14:textId="2E22E043" w:rsidR="004E1DDF" w:rsidRDefault="004E1DDF" w:rsidP="004E1DDF">
            <w:pPr>
              <w:spacing w:after="120"/>
              <w:rPr>
                <w:rFonts w:eastAsia="Muli" w:cs="Muli"/>
                <w:color w:val="000000" w:themeColor="text1"/>
                <w:sz w:val="18"/>
                <w:szCs w:val="18"/>
              </w:rPr>
            </w:pPr>
            <w:r w:rsidRPr="00E15563">
              <w:rPr>
                <w:rFonts w:eastAsia="Muli" w:cs="Muli"/>
                <w:color w:val="000000" w:themeColor="text1"/>
                <w:sz w:val="18"/>
                <w:szCs w:val="18"/>
              </w:rPr>
              <w:t>For most of</w:t>
            </w:r>
            <w:r w:rsidR="00F920E8">
              <w:rPr>
                <w:rFonts w:eastAsia="Muli" w:cs="Muli"/>
                <w:color w:val="000000" w:themeColor="text1"/>
                <w:sz w:val="18"/>
                <w:szCs w:val="18"/>
              </w:rPr>
              <w:t xml:space="preserve"> the</w:t>
            </w:r>
            <w:r w:rsidRPr="00E15563">
              <w:rPr>
                <w:rFonts w:eastAsia="Muli" w:cs="Muli"/>
                <w:color w:val="000000" w:themeColor="text1"/>
                <w:sz w:val="18"/>
                <w:szCs w:val="18"/>
              </w:rPr>
              <w:t xml:space="preserve"> patients’ goals related to their medication management, at least two people were identified as being responsible for helping the patient achieve their goal</w:t>
            </w:r>
            <w:r>
              <w:rPr>
                <w:rFonts w:eastAsia="Muli" w:cs="Muli"/>
                <w:color w:val="000000" w:themeColor="text1"/>
                <w:sz w:val="18"/>
                <w:szCs w:val="18"/>
              </w:rPr>
              <w:t xml:space="preserve">, most commonly the </w:t>
            </w:r>
            <w:r w:rsidRPr="00E15563">
              <w:rPr>
                <w:rFonts w:eastAsia="Muli" w:cs="Muli"/>
                <w:color w:val="000000" w:themeColor="text1"/>
                <w:sz w:val="18"/>
                <w:szCs w:val="18"/>
              </w:rPr>
              <w:t>carer/patient and pharmacist. Carer</w:t>
            </w:r>
            <w:r>
              <w:rPr>
                <w:rFonts w:eastAsia="Muli" w:cs="Muli"/>
                <w:color w:val="000000" w:themeColor="text1"/>
                <w:sz w:val="18"/>
                <w:szCs w:val="18"/>
              </w:rPr>
              <w:t>s</w:t>
            </w:r>
            <w:r w:rsidRPr="00E15563">
              <w:rPr>
                <w:rFonts w:eastAsia="Muli" w:cs="Muli"/>
                <w:color w:val="000000" w:themeColor="text1"/>
                <w:sz w:val="18"/>
                <w:szCs w:val="18"/>
              </w:rPr>
              <w:t xml:space="preserve">/patients were considered </w:t>
            </w:r>
            <w:r>
              <w:rPr>
                <w:rFonts w:eastAsia="Muli" w:cs="Muli"/>
                <w:color w:val="000000" w:themeColor="text1"/>
                <w:sz w:val="18"/>
                <w:szCs w:val="18"/>
              </w:rPr>
              <w:t xml:space="preserve">mainly </w:t>
            </w:r>
            <w:r w:rsidRPr="00E15563">
              <w:rPr>
                <w:rFonts w:eastAsia="Muli" w:cs="Muli"/>
                <w:color w:val="000000" w:themeColor="text1"/>
                <w:sz w:val="18"/>
                <w:szCs w:val="18"/>
              </w:rPr>
              <w:t xml:space="preserve">responsible where the goal was to improve technique of medication devices. Pharmacists were considered responsible for </w:t>
            </w:r>
            <w:r>
              <w:rPr>
                <w:rFonts w:eastAsia="Muli" w:cs="Muli"/>
                <w:color w:val="000000" w:themeColor="text1"/>
                <w:sz w:val="18"/>
                <w:szCs w:val="18"/>
              </w:rPr>
              <w:t xml:space="preserve">goals relating to </w:t>
            </w:r>
            <w:r w:rsidRPr="00E15563">
              <w:rPr>
                <w:rFonts w:eastAsia="Muli" w:cs="Muli"/>
                <w:color w:val="000000" w:themeColor="text1"/>
                <w:sz w:val="18"/>
                <w:szCs w:val="18"/>
              </w:rPr>
              <w:t xml:space="preserve">improved medication adherence </w:t>
            </w:r>
            <w:r>
              <w:rPr>
                <w:rFonts w:eastAsia="Muli" w:cs="Muli"/>
                <w:color w:val="000000" w:themeColor="text1"/>
                <w:sz w:val="18"/>
                <w:szCs w:val="18"/>
              </w:rPr>
              <w:t>and</w:t>
            </w:r>
            <w:r w:rsidRPr="00E15563">
              <w:rPr>
                <w:rFonts w:eastAsia="Muli" w:cs="Muli"/>
                <w:color w:val="000000" w:themeColor="text1"/>
                <w:sz w:val="18"/>
                <w:szCs w:val="18"/>
              </w:rPr>
              <w:t xml:space="preserve"> improved knowledge. Although GPs were less likely to be considered responsible for a goal, </w:t>
            </w:r>
            <w:r>
              <w:rPr>
                <w:rFonts w:eastAsia="Muli" w:cs="Muli"/>
                <w:color w:val="000000" w:themeColor="text1"/>
                <w:sz w:val="18"/>
                <w:szCs w:val="18"/>
              </w:rPr>
              <w:t>they were considered</w:t>
            </w:r>
            <w:r w:rsidRPr="00E15563">
              <w:rPr>
                <w:rFonts w:eastAsia="Muli" w:cs="Muli"/>
                <w:color w:val="000000" w:themeColor="text1"/>
                <w:sz w:val="18"/>
                <w:szCs w:val="18"/>
              </w:rPr>
              <w:t xml:space="preserve"> responsible for goals relating to optimising dose and reducing side effects.</w:t>
            </w:r>
          </w:p>
          <w:p w14:paraId="48DFCE44" w14:textId="77777777" w:rsidR="004E1DDF" w:rsidRDefault="004E1DDF" w:rsidP="004E1DDF">
            <w:pPr>
              <w:spacing w:after="120"/>
              <w:rPr>
                <w:rFonts w:eastAsia="Muli" w:cs="Muli"/>
                <w:color w:val="000000" w:themeColor="text1"/>
                <w:sz w:val="18"/>
                <w:szCs w:val="18"/>
              </w:rPr>
            </w:pPr>
            <w:r w:rsidRPr="00E15563">
              <w:rPr>
                <w:rFonts w:eastAsia="Muli" w:cs="Muli"/>
                <w:color w:val="000000" w:themeColor="text1"/>
                <w:sz w:val="18"/>
                <w:szCs w:val="18"/>
              </w:rPr>
              <w:t>The most common outcomes for the first review included</w:t>
            </w:r>
            <w:r>
              <w:rPr>
                <w:rFonts w:eastAsia="Muli" w:cs="Muli"/>
                <w:color w:val="000000" w:themeColor="text1"/>
                <w:sz w:val="18"/>
                <w:szCs w:val="18"/>
              </w:rPr>
              <w:t xml:space="preserve"> reconciliation of the</w:t>
            </w:r>
            <w:r w:rsidRPr="00E15563">
              <w:rPr>
                <w:rFonts w:eastAsia="Muli" w:cs="Muli"/>
                <w:color w:val="000000" w:themeColor="text1"/>
                <w:sz w:val="18"/>
                <w:szCs w:val="18"/>
              </w:rPr>
              <w:t xml:space="preserve"> medication list, medicine education, and the pharmacist providing the patient with disease state information. The same </w:t>
            </w:r>
            <w:r>
              <w:rPr>
                <w:rFonts w:eastAsia="Muli" w:cs="Muli"/>
                <w:color w:val="000000" w:themeColor="text1"/>
                <w:sz w:val="18"/>
                <w:szCs w:val="18"/>
              </w:rPr>
              <w:t>outcomes</w:t>
            </w:r>
            <w:r w:rsidRPr="00E15563">
              <w:rPr>
                <w:rFonts w:eastAsia="Muli" w:cs="Muli"/>
                <w:color w:val="000000" w:themeColor="text1"/>
                <w:sz w:val="18"/>
                <w:szCs w:val="18"/>
              </w:rPr>
              <w:t xml:space="preserve"> were also commonly reported for all the subsequent reviews.</w:t>
            </w:r>
          </w:p>
          <w:p w14:paraId="4F2628D4" w14:textId="4EF37BCF" w:rsidR="006814E1" w:rsidRPr="006814E1" w:rsidRDefault="006814E1" w:rsidP="006814E1">
            <w:pPr>
              <w:rPr>
                <w:rFonts w:eastAsia="Muli" w:cs="Muli"/>
                <w:color w:val="000000" w:themeColor="text1"/>
                <w:sz w:val="18"/>
                <w:szCs w:val="18"/>
              </w:rPr>
            </w:pPr>
            <w:r w:rsidRPr="006814E1">
              <w:rPr>
                <w:rFonts w:eastAsia="Muli" w:cs="Muli"/>
                <w:color w:val="000000" w:themeColor="text1"/>
                <w:sz w:val="18"/>
                <w:szCs w:val="18"/>
              </w:rPr>
              <w:t xml:space="preserve">According to patients’ </w:t>
            </w:r>
            <w:r w:rsidR="007D67A8" w:rsidRPr="006814E1">
              <w:rPr>
                <w:rFonts w:eastAsia="Muli" w:cs="Muli"/>
                <w:color w:val="000000" w:themeColor="text1"/>
                <w:sz w:val="18"/>
                <w:szCs w:val="18"/>
              </w:rPr>
              <w:t>self-report</w:t>
            </w:r>
            <w:r w:rsidRPr="006814E1">
              <w:rPr>
                <w:rFonts w:eastAsia="Muli" w:cs="Muli"/>
                <w:color w:val="000000" w:themeColor="text1"/>
                <w:sz w:val="18"/>
                <w:szCs w:val="18"/>
              </w:rPr>
              <w:t>, they had fewer hospitalisations in the six-month period before the later assessments compared with the initial assessments, but this was not statistically significant. There were however statistically significant improvements in the average patients’ medication adherence score and in the pharmacists’ belief of patients’ adherence to medication regime for tablets or capsules.</w:t>
            </w:r>
          </w:p>
          <w:p w14:paraId="78E0CC01" w14:textId="6F7804A4" w:rsidR="00A12C14" w:rsidRPr="00DF38D9" w:rsidRDefault="004E1DDF" w:rsidP="004E1DDF">
            <w:pPr>
              <w:spacing w:after="120"/>
              <w:rPr>
                <w:rFonts w:eastAsia="Muli" w:cs="Muli"/>
                <w:color w:val="000000" w:themeColor="text1"/>
                <w:sz w:val="18"/>
                <w:szCs w:val="18"/>
              </w:rPr>
            </w:pPr>
            <w:r w:rsidRPr="00E35113">
              <w:rPr>
                <w:rFonts w:eastAsia="Muli" w:cs="Muli"/>
                <w:color w:val="000000" w:themeColor="text1"/>
                <w:sz w:val="18"/>
                <w:szCs w:val="18"/>
              </w:rPr>
              <w:t>The community pharmacists interviewed generally considered that the trial was well received by patients, and in their view, patients’ compliance with and general knowledge of their medications improved</w:t>
            </w:r>
            <w:r>
              <w:rPr>
                <w:rFonts w:eastAsia="Muli" w:cs="Muli"/>
                <w:color w:val="000000" w:themeColor="text1"/>
                <w:sz w:val="18"/>
                <w:szCs w:val="18"/>
              </w:rPr>
              <w:t xml:space="preserve">. </w:t>
            </w:r>
            <w:r w:rsidRPr="00E35113">
              <w:rPr>
                <w:rFonts w:eastAsia="Muli" w:cs="Muli"/>
                <w:color w:val="000000" w:themeColor="text1"/>
                <w:sz w:val="18"/>
                <w:szCs w:val="18"/>
              </w:rPr>
              <w:t xml:space="preserve">Some pharmacists reported improved communications with GPs </w:t>
            </w:r>
            <w:r w:rsidRPr="009B69CE">
              <w:rPr>
                <w:rFonts w:eastAsia="Muli" w:cs="Muli"/>
                <w:color w:val="000000" w:themeColor="text1"/>
                <w:sz w:val="18"/>
                <w:szCs w:val="18"/>
              </w:rPr>
              <w:t>and other</w:t>
            </w:r>
            <w:r w:rsidR="009B69CE" w:rsidRPr="009B69CE">
              <w:rPr>
                <w:rFonts w:eastAsia="Muli" w:cs="Muli"/>
                <w:color w:val="000000" w:themeColor="text1"/>
                <w:sz w:val="18"/>
                <w:szCs w:val="18"/>
              </w:rPr>
              <w:t xml:space="preserve"> roles in practice</w:t>
            </w:r>
            <w:r w:rsidR="007D67A8">
              <w:rPr>
                <w:rFonts w:eastAsia="Muli" w:cs="Muli"/>
                <w:color w:val="000000" w:themeColor="text1"/>
                <w:sz w:val="18"/>
                <w:szCs w:val="18"/>
              </w:rPr>
              <w:t>s</w:t>
            </w:r>
            <w:r w:rsidRPr="009B69CE">
              <w:rPr>
                <w:rFonts w:eastAsia="Muli" w:cs="Muli"/>
                <w:color w:val="000000" w:themeColor="text1"/>
                <w:sz w:val="18"/>
                <w:szCs w:val="18"/>
              </w:rPr>
              <w:t>,</w:t>
            </w:r>
            <w:r w:rsidRPr="00E35113">
              <w:rPr>
                <w:rFonts w:eastAsia="Muli" w:cs="Muli"/>
                <w:color w:val="000000" w:themeColor="text1"/>
                <w:sz w:val="18"/>
                <w:szCs w:val="18"/>
              </w:rPr>
              <w:t xml:space="preserve"> which benefitted their patients</w:t>
            </w:r>
            <w:r>
              <w:rPr>
                <w:rFonts w:eastAsia="Muli" w:cs="Muli"/>
                <w:color w:val="000000" w:themeColor="text1"/>
                <w:sz w:val="18"/>
                <w:szCs w:val="18"/>
              </w:rPr>
              <w:t>.</w:t>
            </w:r>
          </w:p>
        </w:tc>
      </w:tr>
    </w:tbl>
    <w:p w14:paraId="73ACBD63" w14:textId="77777777" w:rsidR="00A12C14" w:rsidRDefault="00A12C14" w:rsidP="00A12C14">
      <w:pPr>
        <w:spacing w:after="0"/>
        <w:rPr>
          <w:rFonts w:eastAsia="Muli" w:cs="Muli"/>
          <w:color w:val="000000" w:themeColor="text1"/>
          <w:szCs w:val="20"/>
        </w:rPr>
      </w:pPr>
    </w:p>
    <w:p w14:paraId="3B6A8C30" w14:textId="77777777" w:rsidR="00106354" w:rsidRDefault="00106354">
      <w:pPr>
        <w:spacing w:after="160" w:line="259" w:lineRule="auto"/>
        <w:rPr>
          <w:szCs w:val="20"/>
        </w:rPr>
      </w:pPr>
      <w:r>
        <w:rPr>
          <w:szCs w:val="20"/>
        </w:rPr>
        <w:br w:type="page"/>
      </w:r>
    </w:p>
    <w:p w14:paraId="6610297B" w14:textId="5623EDE7" w:rsidR="00110EA0" w:rsidRPr="00F71DF5" w:rsidRDefault="00110EA0" w:rsidP="00110EA0">
      <w:pPr>
        <w:rPr>
          <w:szCs w:val="20"/>
        </w:rPr>
      </w:pPr>
      <w:r w:rsidRPr="00F71DF5">
        <w:rPr>
          <w:szCs w:val="20"/>
        </w:rPr>
        <w:lastRenderedPageBreak/>
        <w:t>Most patients interviewed had limited to no awareness of the community pharmacy trial and had not had their medications reviewed by a pharmacist:</w:t>
      </w:r>
    </w:p>
    <w:p w14:paraId="15143219" w14:textId="77777777" w:rsidR="00110EA0" w:rsidRPr="00F71DF5" w:rsidRDefault="00110EA0" w:rsidP="00FB7D67">
      <w:pPr>
        <w:ind w:left="567" w:right="521"/>
        <w:rPr>
          <w:szCs w:val="20"/>
        </w:rPr>
      </w:pPr>
      <w:r w:rsidRPr="00F71DF5">
        <w:rPr>
          <w:i/>
          <w:iCs/>
          <w:szCs w:val="20"/>
        </w:rPr>
        <w:t>“No, do they do that? … I was thinking the other day, with what I’m on. I thought it’d be nice just to see what a pharmacist … Because I was going to actually talk to the doctor when I saw her next. And I thought just what interacts with the different drugs and that?”</w:t>
      </w:r>
      <w:r w:rsidRPr="00F71DF5">
        <w:rPr>
          <w:szCs w:val="20"/>
        </w:rPr>
        <w:t xml:space="preserve"> [Patient 2, Practice 18</w:t>
      </w:r>
      <w:r>
        <w:rPr>
          <w:szCs w:val="20"/>
        </w:rPr>
        <w:t>, R4</w:t>
      </w:r>
      <w:r w:rsidRPr="00F71DF5">
        <w:rPr>
          <w:szCs w:val="20"/>
        </w:rPr>
        <w:t>]</w:t>
      </w:r>
    </w:p>
    <w:p w14:paraId="42D29776" w14:textId="77777777" w:rsidR="00110EA0" w:rsidRPr="00F71DF5" w:rsidRDefault="00110EA0" w:rsidP="00FB7D67">
      <w:pPr>
        <w:ind w:left="567" w:right="521"/>
        <w:rPr>
          <w:szCs w:val="20"/>
        </w:rPr>
      </w:pPr>
      <w:r w:rsidRPr="00F71DF5">
        <w:rPr>
          <w:i/>
          <w:iCs/>
          <w:szCs w:val="20"/>
        </w:rPr>
        <w:t xml:space="preserve">“No [we haven’t had any medication reviews with the pharmacist]. We’ve only been with our pharmacist for about three years. And not to my knowledge, no. She always talks and discusses things with me, and whatever medication we’re getting or whatever, and asks questions.” </w:t>
      </w:r>
      <w:r w:rsidRPr="00F71DF5">
        <w:rPr>
          <w:szCs w:val="20"/>
        </w:rPr>
        <w:t>[Patient 1,</w:t>
      </w:r>
      <w:r>
        <w:rPr>
          <w:szCs w:val="20"/>
        </w:rPr>
        <w:t xml:space="preserve"> </w:t>
      </w:r>
      <w:r w:rsidRPr="00F71DF5">
        <w:rPr>
          <w:szCs w:val="20"/>
        </w:rPr>
        <w:t>Practice 10</w:t>
      </w:r>
      <w:r>
        <w:rPr>
          <w:szCs w:val="20"/>
        </w:rPr>
        <w:t>, R4</w:t>
      </w:r>
      <w:r w:rsidRPr="00F71DF5">
        <w:rPr>
          <w:szCs w:val="20"/>
        </w:rPr>
        <w:t>]</w:t>
      </w:r>
    </w:p>
    <w:p w14:paraId="2409746B" w14:textId="5A69102F" w:rsidR="00110EA0" w:rsidRPr="00F71DF5" w:rsidRDefault="00110EA0" w:rsidP="00110EA0">
      <w:pPr>
        <w:rPr>
          <w:szCs w:val="20"/>
        </w:rPr>
      </w:pPr>
      <w:r w:rsidRPr="00F71DF5">
        <w:rPr>
          <w:szCs w:val="20"/>
        </w:rPr>
        <w:t xml:space="preserve">While a few patients stated that they had participated in a medication review with a pharmacist, this was often </w:t>
      </w:r>
      <w:r w:rsidR="000D5378">
        <w:rPr>
          <w:szCs w:val="20"/>
        </w:rPr>
        <w:t>before</w:t>
      </w:r>
      <w:r w:rsidRPr="00F71DF5">
        <w:rPr>
          <w:szCs w:val="20"/>
        </w:rPr>
        <w:t xml:space="preserve"> HCH </w:t>
      </w:r>
      <w:r>
        <w:rPr>
          <w:szCs w:val="20"/>
        </w:rPr>
        <w:t>and</w:t>
      </w:r>
      <w:r w:rsidRPr="00F71DF5">
        <w:rPr>
          <w:szCs w:val="20"/>
        </w:rPr>
        <w:t xml:space="preserve"> not related to the trial. </w:t>
      </w:r>
    </w:p>
    <w:p w14:paraId="19C3EB97" w14:textId="2D252636" w:rsidR="00110EA0" w:rsidRPr="00F71DF5" w:rsidRDefault="00110EA0" w:rsidP="00110EA0">
      <w:pPr>
        <w:rPr>
          <w:szCs w:val="20"/>
        </w:rPr>
      </w:pPr>
      <w:r w:rsidRPr="00F71DF5">
        <w:rPr>
          <w:szCs w:val="20"/>
        </w:rPr>
        <w:t xml:space="preserve">Several patients mentioned that their GP </w:t>
      </w:r>
      <w:r>
        <w:rPr>
          <w:szCs w:val="20"/>
        </w:rPr>
        <w:t xml:space="preserve">or a specialist </w:t>
      </w:r>
      <w:r w:rsidRPr="00F71DF5">
        <w:rPr>
          <w:szCs w:val="20"/>
        </w:rPr>
        <w:t>review</w:t>
      </w:r>
      <w:r w:rsidR="00B02826">
        <w:rPr>
          <w:szCs w:val="20"/>
        </w:rPr>
        <w:t>ed</w:t>
      </w:r>
      <w:r w:rsidRPr="00F71DF5">
        <w:rPr>
          <w:szCs w:val="20"/>
        </w:rPr>
        <w:t xml:space="preserve"> their medications during their regular visits:</w:t>
      </w:r>
    </w:p>
    <w:p w14:paraId="0C31B49C" w14:textId="77777777" w:rsidR="00110EA0" w:rsidRDefault="00110EA0" w:rsidP="00FB7D67">
      <w:pPr>
        <w:ind w:left="567" w:right="521"/>
        <w:rPr>
          <w:szCs w:val="20"/>
        </w:rPr>
      </w:pPr>
      <w:r w:rsidRPr="00F71DF5">
        <w:rPr>
          <w:i/>
          <w:iCs/>
          <w:szCs w:val="20"/>
        </w:rPr>
        <w:t>“They [haven’t done any kind of medication reviews] but the doctor goes through it every so often. He checks what I’m having and whether it’s still needed or … yes.”</w:t>
      </w:r>
      <w:r w:rsidRPr="00F71DF5">
        <w:rPr>
          <w:szCs w:val="20"/>
        </w:rPr>
        <w:t xml:space="preserve"> [Patient 8, Practice 7</w:t>
      </w:r>
      <w:r>
        <w:rPr>
          <w:szCs w:val="20"/>
        </w:rPr>
        <w:t>, R4</w:t>
      </w:r>
      <w:r w:rsidRPr="00F71DF5">
        <w:rPr>
          <w:szCs w:val="20"/>
        </w:rPr>
        <w:t>]</w:t>
      </w:r>
    </w:p>
    <w:p w14:paraId="69EA735A" w14:textId="77777777" w:rsidR="00110EA0" w:rsidRPr="00F71DF5" w:rsidRDefault="00110EA0" w:rsidP="00FB7D67">
      <w:pPr>
        <w:ind w:left="567" w:right="521"/>
        <w:rPr>
          <w:szCs w:val="20"/>
        </w:rPr>
      </w:pPr>
      <w:r w:rsidRPr="0066619F">
        <w:rPr>
          <w:i/>
          <w:iCs/>
          <w:szCs w:val="20"/>
        </w:rPr>
        <w:t>“The doctor would be the one to talk about the medication. And I’ve seen a cardiologist and a vascular person, so, it comes from them.”</w:t>
      </w:r>
      <w:r>
        <w:rPr>
          <w:szCs w:val="20"/>
        </w:rPr>
        <w:t xml:space="preserve"> [Patient 4, Practice 4, R5]</w:t>
      </w:r>
    </w:p>
    <w:p w14:paraId="625823C0" w14:textId="56953503" w:rsidR="00110EA0" w:rsidRPr="00F71DF5" w:rsidRDefault="00110EA0" w:rsidP="00110EA0">
      <w:pPr>
        <w:rPr>
          <w:szCs w:val="20"/>
        </w:rPr>
      </w:pPr>
      <w:r>
        <w:rPr>
          <w:szCs w:val="20"/>
        </w:rPr>
        <w:t>Some</w:t>
      </w:r>
      <w:r w:rsidRPr="00F71DF5">
        <w:rPr>
          <w:szCs w:val="20"/>
        </w:rPr>
        <w:t xml:space="preserve"> patients stated that they have had medication reviews at home or at their local pharmacy. However, these may have been independent of </w:t>
      </w:r>
      <w:r w:rsidR="000D5AF1">
        <w:rPr>
          <w:szCs w:val="20"/>
        </w:rPr>
        <w:t xml:space="preserve">the </w:t>
      </w:r>
      <w:r w:rsidRPr="00F71DF5">
        <w:rPr>
          <w:szCs w:val="20"/>
        </w:rPr>
        <w:t xml:space="preserve">community pharmacy </w:t>
      </w:r>
      <w:r w:rsidR="000D5AF1">
        <w:rPr>
          <w:szCs w:val="20"/>
        </w:rPr>
        <w:t>in</w:t>
      </w:r>
      <w:r w:rsidR="00967F87">
        <w:rPr>
          <w:szCs w:val="20"/>
        </w:rPr>
        <w:t xml:space="preserve"> </w:t>
      </w:r>
      <w:r w:rsidR="005B1E2D">
        <w:rPr>
          <w:szCs w:val="20"/>
        </w:rPr>
        <w:t>HCH</w:t>
      </w:r>
      <w:r w:rsidR="00967F87">
        <w:rPr>
          <w:szCs w:val="20"/>
        </w:rPr>
        <w:t xml:space="preserve"> trial</w:t>
      </w:r>
      <w:r w:rsidRPr="00F71DF5">
        <w:rPr>
          <w:szCs w:val="20"/>
        </w:rPr>
        <w:t xml:space="preserve">. Nevertheless, patients reported that having their medication reviewed by their pharmacist was largely a positive experience and that their pharmacist was able to adjust their medications or </w:t>
      </w:r>
      <w:r>
        <w:rPr>
          <w:szCs w:val="20"/>
        </w:rPr>
        <w:t>provide education</w:t>
      </w:r>
      <w:r w:rsidRPr="00F71DF5">
        <w:rPr>
          <w:szCs w:val="20"/>
        </w:rPr>
        <w:t>:</w:t>
      </w:r>
    </w:p>
    <w:p w14:paraId="6A6077B4" w14:textId="77777777" w:rsidR="00110EA0" w:rsidRPr="00F71DF5" w:rsidRDefault="00110EA0" w:rsidP="00FB7D67">
      <w:pPr>
        <w:ind w:left="567" w:right="521"/>
        <w:rPr>
          <w:szCs w:val="20"/>
        </w:rPr>
      </w:pPr>
      <w:r w:rsidRPr="00F71DF5">
        <w:rPr>
          <w:i/>
          <w:iCs/>
          <w:szCs w:val="20"/>
        </w:rPr>
        <w:t>“</w:t>
      </w:r>
      <w:r w:rsidRPr="00B40B2B">
        <w:rPr>
          <w:i/>
          <w:iCs/>
          <w:szCs w:val="20"/>
        </w:rPr>
        <w:t>Well, what it is</w:t>
      </w:r>
      <w:r>
        <w:rPr>
          <w:i/>
          <w:iCs/>
          <w:szCs w:val="20"/>
        </w:rPr>
        <w:t>…</w:t>
      </w:r>
      <w:r w:rsidRPr="00B40B2B">
        <w:rPr>
          <w:i/>
          <w:iCs/>
          <w:szCs w:val="20"/>
        </w:rPr>
        <w:t>he’s a visiting pharmacist. He goes around to all the patients, he does home visits for patients, that’s all he does. He does a damn good job of it.</w:t>
      </w:r>
      <w:r>
        <w:rPr>
          <w:i/>
          <w:iCs/>
          <w:szCs w:val="20"/>
        </w:rPr>
        <w:t xml:space="preserve">” </w:t>
      </w:r>
      <w:r w:rsidRPr="00F71DF5">
        <w:rPr>
          <w:szCs w:val="20"/>
        </w:rPr>
        <w:t xml:space="preserve">[Patient </w:t>
      </w:r>
      <w:r>
        <w:rPr>
          <w:szCs w:val="20"/>
        </w:rPr>
        <w:t>2</w:t>
      </w:r>
      <w:r w:rsidRPr="00F71DF5">
        <w:rPr>
          <w:szCs w:val="20"/>
        </w:rPr>
        <w:t xml:space="preserve">, Practice </w:t>
      </w:r>
      <w:r>
        <w:rPr>
          <w:szCs w:val="20"/>
        </w:rPr>
        <w:t>9, R5</w:t>
      </w:r>
      <w:r w:rsidRPr="00F71DF5">
        <w:rPr>
          <w:szCs w:val="20"/>
        </w:rPr>
        <w:t>]</w:t>
      </w:r>
    </w:p>
    <w:p w14:paraId="11DD375E" w14:textId="77777777" w:rsidR="00110EA0" w:rsidRPr="00F71DF5" w:rsidRDefault="00110EA0" w:rsidP="00FB7D67">
      <w:pPr>
        <w:ind w:left="567" w:right="521"/>
        <w:rPr>
          <w:szCs w:val="20"/>
        </w:rPr>
      </w:pPr>
      <w:r w:rsidRPr="00F71DF5">
        <w:rPr>
          <w:i/>
          <w:iCs/>
          <w:szCs w:val="20"/>
        </w:rPr>
        <w:t xml:space="preserve">“[Practice] organised twice to have a pharmacist come and check [Patient 1]’s medication … it was good … </w:t>
      </w:r>
      <w:r w:rsidRPr="00F71DF5">
        <w:rPr>
          <w:rFonts w:cs="Arial"/>
          <w:i/>
          <w:iCs/>
          <w:color w:val="000000"/>
          <w:szCs w:val="20"/>
          <w:lang w:val="en-GB"/>
        </w:rPr>
        <w:t xml:space="preserve">the first time </w:t>
      </w:r>
      <w:r w:rsidRPr="00FB7D67">
        <w:rPr>
          <w:i/>
          <w:iCs/>
          <w:szCs w:val="20"/>
        </w:rPr>
        <w:t>we</w:t>
      </w:r>
      <w:r w:rsidRPr="00F71DF5">
        <w:rPr>
          <w:rFonts w:cs="Arial"/>
          <w:i/>
          <w:iCs/>
          <w:color w:val="000000"/>
          <w:szCs w:val="20"/>
          <w:lang w:val="en-GB"/>
        </w:rPr>
        <w:t xml:space="preserve"> got it was before this [Health Care Homes] came in.</w:t>
      </w:r>
      <w:r w:rsidRPr="00F71DF5">
        <w:rPr>
          <w:i/>
          <w:iCs/>
          <w:szCs w:val="20"/>
        </w:rPr>
        <w:t>”</w:t>
      </w:r>
      <w:r w:rsidRPr="00F71DF5">
        <w:rPr>
          <w:szCs w:val="20"/>
        </w:rPr>
        <w:t xml:space="preserve"> [Patient 2, Practice 16</w:t>
      </w:r>
      <w:r>
        <w:rPr>
          <w:szCs w:val="20"/>
        </w:rPr>
        <w:t>, R4</w:t>
      </w:r>
      <w:r w:rsidRPr="00F71DF5">
        <w:rPr>
          <w:szCs w:val="20"/>
        </w:rPr>
        <w:t>]</w:t>
      </w:r>
    </w:p>
    <w:p w14:paraId="6EA1D81A" w14:textId="77777777" w:rsidR="00110EA0" w:rsidRPr="00F71DF5" w:rsidRDefault="00110EA0" w:rsidP="00143B62">
      <w:pPr>
        <w:ind w:left="567" w:right="521"/>
        <w:rPr>
          <w:szCs w:val="20"/>
        </w:rPr>
      </w:pPr>
      <w:r w:rsidRPr="00F71DF5">
        <w:rPr>
          <w:i/>
          <w:iCs/>
          <w:szCs w:val="20"/>
        </w:rPr>
        <w:t xml:space="preserve">“… [Patient 2] didn't want to go, remember you didn't want to go. You didn't see why chemists needed to interview us. So, we went down in the doctor surgery, there was a room provided for [Patient 2] … And it was, do you understand your medication? Do you know the side effects of anything? And then, things that could make things better like I suffer from dry skin. So, he recommended a heavier moisturiser. And there were little things like that, that he gave me little clues to. That are not really medical-related as you need to see a doctor. I was just little bits of advice, and I thought, oh he understands us now. So, now we always go to </w:t>
      </w:r>
      <w:r w:rsidRPr="00F71DF5">
        <w:rPr>
          <w:i/>
          <w:iCs/>
          <w:szCs w:val="20"/>
        </w:rPr>
        <w:lastRenderedPageBreak/>
        <w:t xml:space="preserve">the same chemist. And the prescriptions from the same pharmacy, because we had 12 within walking distance.” </w:t>
      </w:r>
      <w:r w:rsidRPr="00F71DF5">
        <w:rPr>
          <w:szCs w:val="20"/>
        </w:rPr>
        <w:t>[Patient 3,</w:t>
      </w:r>
      <w:r>
        <w:rPr>
          <w:szCs w:val="20"/>
        </w:rPr>
        <w:t xml:space="preserve"> </w:t>
      </w:r>
      <w:r w:rsidRPr="00F71DF5">
        <w:rPr>
          <w:szCs w:val="20"/>
        </w:rPr>
        <w:t>Practice 9</w:t>
      </w:r>
      <w:r>
        <w:rPr>
          <w:szCs w:val="20"/>
        </w:rPr>
        <w:t>, R4</w:t>
      </w:r>
      <w:r w:rsidRPr="00F71DF5">
        <w:rPr>
          <w:szCs w:val="20"/>
        </w:rPr>
        <w:t xml:space="preserve">] </w:t>
      </w:r>
    </w:p>
    <w:p w14:paraId="51EC5E2C" w14:textId="77777777" w:rsidR="00110EA0" w:rsidRDefault="00110EA0" w:rsidP="00143B62">
      <w:pPr>
        <w:ind w:left="567" w:right="521"/>
        <w:rPr>
          <w:szCs w:val="20"/>
        </w:rPr>
      </w:pPr>
      <w:r w:rsidRPr="00F71DF5">
        <w:rPr>
          <w:i/>
          <w:iCs/>
          <w:szCs w:val="20"/>
        </w:rPr>
        <w:t>“Yes, I’ve been, I go and see the pharmacist, he came round once to our house, maybe he’s been twice, but he does regular updates, and what’s happening and all that, and he’s switched on too, because if he thinks the doctor needs to change something he’ll say, I’ll give a ring and do it.”</w:t>
      </w:r>
      <w:r w:rsidRPr="00F71DF5">
        <w:rPr>
          <w:szCs w:val="20"/>
        </w:rPr>
        <w:t xml:space="preserve"> [Patient 1, Practice </w:t>
      </w:r>
      <w:r>
        <w:rPr>
          <w:szCs w:val="20"/>
        </w:rPr>
        <w:t>24, R4</w:t>
      </w:r>
      <w:r w:rsidRPr="00F71DF5">
        <w:rPr>
          <w:szCs w:val="20"/>
        </w:rPr>
        <w:t>]</w:t>
      </w:r>
    </w:p>
    <w:p w14:paraId="73E59A38" w14:textId="77777777" w:rsidR="00110EA0" w:rsidRPr="00110EA0" w:rsidRDefault="00110EA0" w:rsidP="00110EA0">
      <w:pPr>
        <w:pStyle w:val="Heading2"/>
        <w:rPr>
          <w:highlight w:val="green"/>
        </w:rPr>
      </w:pPr>
      <w:bookmarkStart w:id="469" w:name="_Toc109996765"/>
      <w:r w:rsidRPr="00110EA0">
        <w:t>HCH patient reception to receiving pharmacy services</w:t>
      </w:r>
      <w:bookmarkEnd w:id="469"/>
    </w:p>
    <w:p w14:paraId="4A5A472F" w14:textId="77777777" w:rsidR="00110EA0" w:rsidRPr="00F71DF5" w:rsidRDefault="00110EA0" w:rsidP="00110EA0">
      <w:pPr>
        <w:rPr>
          <w:i/>
          <w:iCs/>
          <w:szCs w:val="20"/>
        </w:rPr>
      </w:pPr>
      <w:r w:rsidRPr="00F71DF5">
        <w:rPr>
          <w:szCs w:val="20"/>
        </w:rPr>
        <w:t>Pharmacists involved in the trial indicated that most patients were receptive to services from them as part of the trial:</w:t>
      </w:r>
    </w:p>
    <w:p w14:paraId="0469C532" w14:textId="77777777" w:rsidR="00110EA0" w:rsidRPr="00F71DF5" w:rsidRDefault="00110EA0" w:rsidP="00FB7D67">
      <w:pPr>
        <w:ind w:left="567" w:right="521"/>
        <w:rPr>
          <w:szCs w:val="20"/>
        </w:rPr>
      </w:pPr>
      <w:r w:rsidRPr="00F71DF5">
        <w:rPr>
          <w:i/>
          <w:iCs/>
          <w:szCs w:val="20"/>
        </w:rPr>
        <w:t>“I think they all thought that they were a bit special, so, that was nice, to get this free service from the pharmacy. But also … We said to them, you'll have to come in next week and get your blood pressure checked. They thought that was important, you know what I mean? They felt good that we were taking some responsibility for their care.”</w:t>
      </w:r>
      <w:r w:rsidRPr="00F71DF5">
        <w:rPr>
          <w:szCs w:val="20"/>
        </w:rPr>
        <w:t xml:space="preserve"> [CP, Pharmacy 9</w:t>
      </w:r>
      <w:r>
        <w:rPr>
          <w:szCs w:val="20"/>
        </w:rPr>
        <w:t>, R4</w:t>
      </w:r>
      <w:r w:rsidRPr="00F71DF5">
        <w:rPr>
          <w:szCs w:val="20"/>
        </w:rPr>
        <w:t>]</w:t>
      </w:r>
    </w:p>
    <w:p w14:paraId="68BED0F3" w14:textId="77777777" w:rsidR="00110EA0" w:rsidRDefault="00110EA0" w:rsidP="00FB7D67">
      <w:pPr>
        <w:ind w:left="567" w:right="521"/>
        <w:rPr>
          <w:szCs w:val="20"/>
        </w:rPr>
      </w:pPr>
      <w:r w:rsidRPr="00F71DF5">
        <w:rPr>
          <w:i/>
          <w:iCs/>
          <w:szCs w:val="20"/>
        </w:rPr>
        <w:t>“Yes, most patients are [receptive]. It’s in their benefit, why not? And they like us to be involved. All of them said the same thing, we’d like to have you on board. I’d like you to see my medication, to review it, to see what’s going on. What should I be taking? Can I go without this medication? They ask us a few questions about their medication. So, in a way, we feel like this is a needed conversation with the patient on a one-to-one basis.”</w:t>
      </w:r>
      <w:r w:rsidRPr="00F71DF5">
        <w:rPr>
          <w:szCs w:val="20"/>
        </w:rPr>
        <w:t xml:space="preserve"> [CP, Pharmacy 8</w:t>
      </w:r>
      <w:r>
        <w:rPr>
          <w:szCs w:val="20"/>
        </w:rPr>
        <w:t>, R4</w:t>
      </w:r>
      <w:r w:rsidRPr="00F71DF5">
        <w:rPr>
          <w:szCs w:val="20"/>
        </w:rPr>
        <w:t>]</w:t>
      </w:r>
    </w:p>
    <w:p w14:paraId="7EDDFAD2" w14:textId="77777777" w:rsidR="0080226F" w:rsidRPr="00F71DF5" w:rsidRDefault="0080226F" w:rsidP="0080226F">
      <w:pPr>
        <w:ind w:left="567" w:right="521"/>
        <w:rPr>
          <w:szCs w:val="20"/>
          <w:highlight w:val="green"/>
        </w:rPr>
      </w:pPr>
      <w:r w:rsidRPr="00B47955">
        <w:rPr>
          <w:i/>
          <w:iCs/>
          <w:szCs w:val="20"/>
        </w:rPr>
        <w:t>“I think most of them were fine. There was definitely a percentage, probably 10 to 15% of patients that weren't even ours and when we tried to make contact, they weren't interested, or they visited another pharmacy.”</w:t>
      </w:r>
      <w:r>
        <w:rPr>
          <w:szCs w:val="20"/>
        </w:rPr>
        <w:t xml:space="preserve"> [CP, Pharmacy 11, R5]</w:t>
      </w:r>
    </w:p>
    <w:p w14:paraId="42B20BEF" w14:textId="5B042387" w:rsidR="00312292" w:rsidRPr="00312292" w:rsidRDefault="00312292" w:rsidP="00312292">
      <w:pPr>
        <w:rPr>
          <w:szCs w:val="20"/>
        </w:rPr>
      </w:pPr>
      <w:r w:rsidRPr="00312292">
        <w:rPr>
          <w:szCs w:val="20"/>
        </w:rPr>
        <w:t>Patients who followed through with referrals were more likely to be existing customers of the pharmacy:</w:t>
      </w:r>
    </w:p>
    <w:p w14:paraId="4380A0D2" w14:textId="77777777" w:rsidR="00312292" w:rsidRPr="00312292" w:rsidRDefault="00312292" w:rsidP="00312292">
      <w:pPr>
        <w:ind w:left="567" w:right="521"/>
        <w:rPr>
          <w:szCs w:val="20"/>
        </w:rPr>
      </w:pPr>
      <w:r w:rsidRPr="00312292">
        <w:rPr>
          <w:i/>
          <w:iCs/>
          <w:szCs w:val="20"/>
        </w:rPr>
        <w:t>“Because this pharmacy is the main one that provides medications to the clinic, most of the patients that we get here are regular patients. Well, actually, all the ones that are signed up are, pretty much, the regular patients that come in here. And they're due to pick up their medications on a monthly basis.”</w:t>
      </w:r>
      <w:r w:rsidRPr="00312292">
        <w:rPr>
          <w:szCs w:val="20"/>
        </w:rPr>
        <w:t xml:space="preserve"> [CP, Pharmacy 5, R4]</w:t>
      </w:r>
    </w:p>
    <w:p w14:paraId="38A67FB1" w14:textId="77777777" w:rsidR="00312292" w:rsidRPr="007F4A1B" w:rsidRDefault="00312292" w:rsidP="00312292">
      <w:pPr>
        <w:ind w:left="567" w:right="521"/>
        <w:rPr>
          <w:szCs w:val="20"/>
        </w:rPr>
      </w:pPr>
      <w:r w:rsidRPr="00312292">
        <w:rPr>
          <w:i/>
          <w:iCs/>
          <w:szCs w:val="20"/>
        </w:rPr>
        <w:t>“So, because they’re familiar with us I was able to get them involved, so I’ve got my regular customers involved. So, I’ve got a few that’s nominated at our pharmacy but doesn’t come to us, I don’t really know them. So, I managed to actually get a small number to come in … But the other ones, I don’t know …”</w:t>
      </w:r>
      <w:r w:rsidRPr="00312292">
        <w:rPr>
          <w:szCs w:val="20"/>
        </w:rPr>
        <w:t xml:space="preserve"> [CP, Pharmacy 7, R4]</w:t>
      </w:r>
    </w:p>
    <w:p w14:paraId="1C3374C2" w14:textId="030C6D6B" w:rsidR="00110EA0" w:rsidRPr="00F71DF5" w:rsidRDefault="00110EA0" w:rsidP="00110EA0">
      <w:pPr>
        <w:rPr>
          <w:szCs w:val="20"/>
        </w:rPr>
      </w:pPr>
      <w:r w:rsidRPr="00F71DF5">
        <w:rPr>
          <w:szCs w:val="20"/>
        </w:rPr>
        <w:t>In some instances, there were HCH patients who were less receptive and felt that the service wasn’t necessary. Pharmacists also described scenarios where they would receive a patient referral from a practice and would contact the patient, but t</w:t>
      </w:r>
      <w:r w:rsidR="00B02826">
        <w:rPr>
          <w:szCs w:val="20"/>
        </w:rPr>
        <w:t>he patient</w:t>
      </w:r>
      <w:r w:rsidRPr="00F71DF5">
        <w:rPr>
          <w:szCs w:val="20"/>
        </w:rPr>
        <w:t xml:space="preserve"> would not respond to their call or show up </w:t>
      </w:r>
      <w:r w:rsidR="00B02826">
        <w:rPr>
          <w:szCs w:val="20"/>
        </w:rPr>
        <w:t>for an</w:t>
      </w:r>
      <w:r w:rsidRPr="00F71DF5">
        <w:rPr>
          <w:szCs w:val="20"/>
        </w:rPr>
        <w:t xml:space="preserve"> appointment. This may have been due to the practice referring </w:t>
      </w:r>
      <w:r w:rsidRPr="00F71DF5">
        <w:rPr>
          <w:szCs w:val="20"/>
        </w:rPr>
        <w:lastRenderedPageBreak/>
        <w:t xml:space="preserve">patients </w:t>
      </w:r>
      <w:r w:rsidR="000F5826">
        <w:rPr>
          <w:szCs w:val="20"/>
        </w:rPr>
        <w:t>who</w:t>
      </w:r>
      <w:r w:rsidRPr="00F71DF5">
        <w:rPr>
          <w:szCs w:val="20"/>
        </w:rPr>
        <w:t xml:space="preserve"> may not have needed medication reviews or lack of patient engagement and interest in receiving these services:</w:t>
      </w:r>
    </w:p>
    <w:p w14:paraId="7D12FF87" w14:textId="02AFB31D" w:rsidR="00110EA0" w:rsidRPr="00F71DF5" w:rsidRDefault="00110EA0" w:rsidP="00FB7D67">
      <w:pPr>
        <w:ind w:left="567" w:right="521"/>
        <w:rPr>
          <w:szCs w:val="20"/>
        </w:rPr>
      </w:pPr>
      <w:r w:rsidRPr="00F71DF5">
        <w:rPr>
          <w:i/>
          <w:iCs/>
          <w:szCs w:val="20"/>
        </w:rPr>
        <w:t>“I think the problem is with the Health Care Homes, what I find is the patient has no idea about Health Care Homes. They have no knowledge of what’s going on. So, I had a few patients, and they all said exactly the same</w:t>
      </w:r>
      <w:r w:rsidR="00F1737F">
        <w:rPr>
          <w:i/>
          <w:iCs/>
          <w:szCs w:val="20"/>
        </w:rPr>
        <w:t xml:space="preserve"> [thing]</w:t>
      </w:r>
      <w:r w:rsidRPr="00F71DF5">
        <w:rPr>
          <w:i/>
          <w:iCs/>
          <w:szCs w:val="20"/>
        </w:rPr>
        <w:t>. They said, what’s all this about? And I said, you signed up for the Health Care Homes, didn’t the doctor explain it to you? No. Do you know what Health Care Homes is about? No.”</w:t>
      </w:r>
      <w:r w:rsidRPr="00F71DF5">
        <w:rPr>
          <w:szCs w:val="20"/>
        </w:rPr>
        <w:t xml:space="preserve"> [CP, Pharmacy 8</w:t>
      </w:r>
      <w:r>
        <w:rPr>
          <w:szCs w:val="20"/>
        </w:rPr>
        <w:t>, R4</w:t>
      </w:r>
      <w:r w:rsidRPr="00F71DF5">
        <w:rPr>
          <w:szCs w:val="20"/>
        </w:rPr>
        <w:t>]</w:t>
      </w:r>
    </w:p>
    <w:p w14:paraId="5CE1E211" w14:textId="338233C4" w:rsidR="00110EA0" w:rsidRPr="00F71DF5" w:rsidRDefault="00110EA0" w:rsidP="00FB7D67">
      <w:pPr>
        <w:ind w:left="567" w:right="521"/>
        <w:rPr>
          <w:szCs w:val="20"/>
        </w:rPr>
      </w:pPr>
      <w:r w:rsidRPr="00F71DF5">
        <w:rPr>
          <w:i/>
          <w:iCs/>
          <w:szCs w:val="20"/>
        </w:rPr>
        <w:t xml:space="preserve">“… other ones basically were like, you know, I don’t need your help. So, you know, you can’t really do much there. And you just let the doctors or coordinators know.” </w:t>
      </w:r>
      <w:r w:rsidRPr="00F71DF5">
        <w:rPr>
          <w:szCs w:val="20"/>
        </w:rPr>
        <w:t>[CP, Pharmacy 2</w:t>
      </w:r>
      <w:r>
        <w:rPr>
          <w:szCs w:val="20"/>
        </w:rPr>
        <w:t>, R4</w:t>
      </w:r>
      <w:r w:rsidRPr="00F71DF5">
        <w:rPr>
          <w:szCs w:val="20"/>
        </w:rPr>
        <w:t>]</w:t>
      </w:r>
    </w:p>
    <w:p w14:paraId="60AA821C" w14:textId="77777777" w:rsidR="00110EA0" w:rsidRPr="00F71DF5" w:rsidRDefault="00110EA0" w:rsidP="00FB7D67">
      <w:pPr>
        <w:ind w:left="567" w:right="521"/>
        <w:rPr>
          <w:szCs w:val="20"/>
          <w:highlight w:val="green"/>
        </w:rPr>
      </w:pPr>
      <w:r w:rsidRPr="00F71DF5">
        <w:rPr>
          <w:i/>
          <w:iCs/>
          <w:szCs w:val="20"/>
        </w:rPr>
        <w:t>“When I say I want to do this review or interview, I mean, they’ll do it, but I feel that they are lukewarm to the ideas, maybe they’re not sure why we need to be involved.”</w:t>
      </w:r>
      <w:r w:rsidRPr="00F71DF5">
        <w:rPr>
          <w:szCs w:val="20"/>
        </w:rPr>
        <w:t xml:space="preserve"> [CP, Pharmacy 7</w:t>
      </w:r>
      <w:r>
        <w:rPr>
          <w:szCs w:val="20"/>
        </w:rPr>
        <w:t>, R4</w:t>
      </w:r>
      <w:r w:rsidRPr="00F71DF5">
        <w:rPr>
          <w:szCs w:val="20"/>
        </w:rPr>
        <w:t>]</w:t>
      </w:r>
    </w:p>
    <w:p w14:paraId="07A04799" w14:textId="5187DA6C" w:rsidR="009F3743" w:rsidRDefault="00110EA0" w:rsidP="00D02833">
      <w:pPr>
        <w:ind w:left="567" w:right="521"/>
        <w:rPr>
          <w:szCs w:val="20"/>
        </w:rPr>
      </w:pPr>
      <w:r w:rsidRPr="00F71DF5">
        <w:rPr>
          <w:i/>
          <w:iCs/>
          <w:szCs w:val="20"/>
        </w:rPr>
        <w:t>“I did 30-something, yes. But I’ve got 106 that were referred to me … We</w:t>
      </w:r>
      <w:r w:rsidRPr="00F71DF5">
        <w:rPr>
          <w:rFonts w:cs="Century Gothic"/>
          <w:i/>
          <w:iCs/>
          <w:szCs w:val="20"/>
        </w:rPr>
        <w:t>’</w:t>
      </w:r>
      <w:r w:rsidRPr="00F71DF5">
        <w:rPr>
          <w:i/>
          <w:iCs/>
          <w:szCs w:val="20"/>
        </w:rPr>
        <w:t>ve rung them three or four times, and they</w:t>
      </w:r>
      <w:r w:rsidRPr="00F71DF5">
        <w:rPr>
          <w:rFonts w:cs="Century Gothic"/>
          <w:i/>
          <w:iCs/>
          <w:szCs w:val="20"/>
        </w:rPr>
        <w:t>’</w:t>
      </w:r>
      <w:r w:rsidRPr="00F71DF5">
        <w:rPr>
          <w:i/>
          <w:iCs/>
          <w:szCs w:val="20"/>
        </w:rPr>
        <w:t>ve never responded. They’ve booked appointments and not shown up for them, and we’ve followed up and they still haven’t shown up. The phone number’s not the correct phone number, so I ring the clinic and they don’t have a different one. There were quite a few people who said, look, I don’t want to do that, I’m running on one medication, or I don’t take any medications.”</w:t>
      </w:r>
      <w:r w:rsidRPr="00F71DF5">
        <w:rPr>
          <w:szCs w:val="20"/>
        </w:rPr>
        <w:t xml:space="preserve"> [CP, Pharmacy 10</w:t>
      </w:r>
      <w:r>
        <w:rPr>
          <w:szCs w:val="20"/>
        </w:rPr>
        <w:t>, R4</w:t>
      </w:r>
      <w:r w:rsidRPr="00F71DF5">
        <w:rPr>
          <w:szCs w:val="20"/>
        </w:rPr>
        <w:t>]</w:t>
      </w:r>
    </w:p>
    <w:p w14:paraId="1A419F87" w14:textId="72C26871" w:rsidR="00647557" w:rsidRDefault="003A667F" w:rsidP="003A667F">
      <w:pPr>
        <w:pStyle w:val="Heading2"/>
      </w:pPr>
      <w:bookmarkStart w:id="470" w:name="_Toc109996766"/>
      <w:r>
        <w:t>Patient outcomes</w:t>
      </w:r>
      <w:bookmarkEnd w:id="470"/>
    </w:p>
    <w:p w14:paraId="3D241928" w14:textId="6D6767EB" w:rsidR="00D70D69" w:rsidRDefault="00F90467" w:rsidP="003A667F">
      <w:r>
        <w:t xml:space="preserve">Patient outcomes were assessed using data collected by </w:t>
      </w:r>
      <w:r w:rsidR="00F71172" w:rsidRPr="00F71172">
        <w:t xml:space="preserve">the Pharmacy Guild </w:t>
      </w:r>
      <w:r>
        <w:t>as part of the pharmacy trial</w:t>
      </w:r>
      <w:r w:rsidR="00DE4D75">
        <w:t>. The data were</w:t>
      </w:r>
      <w:r>
        <w:t xml:space="preserve"> provided to HPA for the period to 30 June 2021. </w:t>
      </w:r>
      <w:r w:rsidR="00A90679" w:rsidRPr="00A46ED8">
        <w:fldChar w:fldCharType="begin"/>
      </w:r>
      <w:r w:rsidR="00A90679" w:rsidRPr="00A46ED8">
        <w:instrText xml:space="preserve"> REF _Ref97721629 \h </w:instrText>
      </w:r>
      <w:r w:rsidR="00A90679">
        <w:instrText xml:space="preserve"> \* MERGEFORMAT </w:instrText>
      </w:r>
      <w:r w:rsidR="00A90679" w:rsidRPr="00A46ED8">
        <w:fldChar w:fldCharType="separate"/>
      </w:r>
      <w:r w:rsidR="003C4BC2" w:rsidRPr="00F11772">
        <w:t>Table </w:t>
      </w:r>
      <w:r w:rsidR="003C4BC2">
        <w:t>67</w:t>
      </w:r>
      <w:r w:rsidR="00A90679" w:rsidRPr="00A46ED8">
        <w:fldChar w:fldCharType="end"/>
      </w:r>
      <w:r w:rsidR="00A90679">
        <w:t xml:space="preserve"> </w:t>
      </w:r>
      <w:r>
        <w:t xml:space="preserve">shows there was a high level of polypharmacy among the patients who were involved in the pharmacy trial with </w:t>
      </w:r>
      <w:r w:rsidR="00615B0F">
        <w:t>almost</w:t>
      </w:r>
      <w:r>
        <w:t xml:space="preserve"> 80% being </w:t>
      </w:r>
      <w:r w:rsidR="00A90679">
        <w:t>group</w:t>
      </w:r>
      <w:r w:rsidR="00615B0F">
        <w:t>ed</w:t>
      </w:r>
      <w:r>
        <w:t xml:space="preserve"> </w:t>
      </w:r>
      <w:r w:rsidR="00A90679">
        <w:t>as</w:t>
      </w:r>
      <w:r>
        <w:t xml:space="preserve"> polypharmacy (5 to 9 medications) or hyper-polypharmacy (10 or more medications).</w:t>
      </w:r>
      <w:r w:rsidR="00615B0F">
        <w:t xml:space="preserve"> The </w:t>
      </w:r>
      <w:r w:rsidR="00B77DF6">
        <w:t>proportion</w:t>
      </w:r>
      <w:r w:rsidR="00615B0F">
        <w:t xml:space="preserve"> of patients in the no polypharmacy group decreased with </w:t>
      </w:r>
      <w:r w:rsidR="0029378D">
        <w:t xml:space="preserve">increasing tier. </w:t>
      </w:r>
      <w:r w:rsidR="00A46ED8" w:rsidRPr="00A46ED8">
        <w:t xml:space="preserve">Patients in </w:t>
      </w:r>
      <w:r w:rsidR="00770301">
        <w:t>tier</w:t>
      </w:r>
      <w:r w:rsidR="00A46ED8" w:rsidRPr="00A46ED8">
        <w:t xml:space="preserve"> 3</w:t>
      </w:r>
      <w:r w:rsidR="00DD5E72">
        <w:t xml:space="preserve"> </w:t>
      </w:r>
      <w:r w:rsidR="00A46ED8" w:rsidRPr="00A46ED8">
        <w:t xml:space="preserve">tended to be scored lower </w:t>
      </w:r>
      <w:r w:rsidR="00475EFA" w:rsidRPr="00A46ED8">
        <w:t xml:space="preserve">by pharmacists </w:t>
      </w:r>
      <w:r w:rsidR="00A46ED8" w:rsidRPr="00A46ED8">
        <w:t>on medication adherence</w:t>
      </w:r>
      <w:r w:rsidR="00636889">
        <w:t xml:space="preserve"> for table</w:t>
      </w:r>
      <w:r w:rsidR="00475EFA">
        <w:t>ts</w:t>
      </w:r>
      <w:r w:rsidR="00A46ED8" w:rsidRPr="00A46ED8">
        <w:t xml:space="preserve"> than patients in </w:t>
      </w:r>
      <w:r w:rsidR="00A7216F">
        <w:t>t</w:t>
      </w:r>
      <w:r w:rsidR="00A46ED8" w:rsidRPr="00A46ED8">
        <w:t>iers 1</w:t>
      </w:r>
      <w:r w:rsidR="00475EFA">
        <w:t>, but</w:t>
      </w:r>
      <w:r w:rsidR="00A46ED8" w:rsidRPr="00A46ED8">
        <w:t xml:space="preserve"> there does not appear to be a difference in the </w:t>
      </w:r>
      <w:r w:rsidR="008866A0">
        <w:t xml:space="preserve">patients’ </w:t>
      </w:r>
      <w:proofErr w:type="spellStart"/>
      <w:r w:rsidR="00A46ED8" w:rsidRPr="00A46ED8">
        <w:t>MedsIndex</w:t>
      </w:r>
      <w:proofErr w:type="spellEnd"/>
      <w:r w:rsidR="008866A0">
        <w:t xml:space="preserve"> score</w:t>
      </w:r>
      <w:r w:rsidR="00A46ED8" w:rsidRPr="00A46ED8">
        <w:t>.</w:t>
      </w:r>
      <w:r w:rsidR="00FC658B">
        <w:t xml:space="preserve"> </w:t>
      </w:r>
    </w:p>
    <w:p w14:paraId="0F40044E" w14:textId="77777777" w:rsidR="00D70D69" w:rsidRDefault="00D70D69">
      <w:pPr>
        <w:spacing w:after="160" w:line="259" w:lineRule="auto"/>
      </w:pPr>
      <w:r>
        <w:br w:type="page"/>
      </w:r>
    </w:p>
    <w:p w14:paraId="542D8FB8" w14:textId="4CEE9B1B" w:rsidR="003475E2" w:rsidRPr="000C3FBF" w:rsidRDefault="00CC6734" w:rsidP="003475E2">
      <w:pPr>
        <w:pStyle w:val="tabletitle"/>
      </w:pPr>
      <w:bookmarkStart w:id="471" w:name="_Ref97721629"/>
      <w:r w:rsidRPr="00F11772">
        <w:lastRenderedPageBreak/>
        <w:t>Table </w:t>
      </w:r>
      <w:r w:rsidR="00A61B29">
        <w:fldChar w:fldCharType="begin"/>
      </w:r>
      <w:r w:rsidR="00A61B29">
        <w:instrText xml:space="preserve"> SEQ Table\* ARABIC </w:instrText>
      </w:r>
      <w:r w:rsidR="00A61B29">
        <w:fldChar w:fldCharType="separate"/>
      </w:r>
      <w:r w:rsidR="003C4BC2">
        <w:rPr>
          <w:noProof/>
        </w:rPr>
        <w:t>67</w:t>
      </w:r>
      <w:r w:rsidR="00A61B29">
        <w:rPr>
          <w:noProof/>
        </w:rPr>
        <w:fldChar w:fldCharType="end"/>
      </w:r>
      <w:bookmarkEnd w:id="471"/>
      <w:r w:rsidRPr="00F11772">
        <w:t>: </w:t>
      </w:r>
      <w:r w:rsidR="001F66F8">
        <w:t>P</w:t>
      </w:r>
      <w:r w:rsidR="003475E2" w:rsidRPr="00F11772">
        <w:t xml:space="preserve">atient </w:t>
      </w:r>
      <w:r w:rsidR="001F66F8">
        <w:t xml:space="preserve">medication </w:t>
      </w:r>
      <w:r w:rsidR="003475E2" w:rsidRPr="00F11772">
        <w:t>characteristics</w:t>
      </w:r>
      <w:r w:rsidR="003475E2" w:rsidRPr="000C3FBF">
        <w:t> </w:t>
      </w:r>
    </w:p>
    <w:tbl>
      <w:tblPr>
        <w:tblW w:w="4723"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100"/>
        <w:gridCol w:w="1509"/>
        <w:gridCol w:w="1325"/>
        <w:gridCol w:w="1442"/>
        <w:gridCol w:w="2141"/>
      </w:tblGrid>
      <w:tr w:rsidR="005134A0" w:rsidRPr="00D13E5F" w14:paraId="390C2ED9" w14:textId="77777777" w:rsidTr="00A87D19">
        <w:trPr>
          <w:tblHeader/>
          <w:jc w:val="center"/>
        </w:trPr>
        <w:tc>
          <w:tcPr>
            <w:tcW w:w="2134" w:type="dxa"/>
            <w:shd w:val="clear" w:color="auto" w:fill="408BCA"/>
            <w:vAlign w:val="center"/>
            <w:hideMark/>
          </w:tcPr>
          <w:p w14:paraId="72EF55CA" w14:textId="21634773" w:rsidR="003475E2" w:rsidRPr="00D13E5F" w:rsidRDefault="003475E2" w:rsidP="00D13E5F">
            <w:pPr>
              <w:spacing w:after="0"/>
              <w:textAlignment w:val="baseline"/>
              <w:rPr>
                <w:rFonts w:ascii="Times New Roman" w:eastAsia="Times New Roman" w:hAnsi="Times New Roman"/>
                <w:b/>
                <w:sz w:val="24"/>
                <w:szCs w:val="24"/>
              </w:rPr>
            </w:pPr>
            <w:r w:rsidRPr="00D13E5F">
              <w:rPr>
                <w:rFonts w:eastAsia="Times New Roman"/>
                <w:b/>
                <w:color w:val="FFFFFF"/>
                <w:sz w:val="18"/>
              </w:rPr>
              <w:t>Characteristic</w:t>
            </w:r>
          </w:p>
        </w:tc>
        <w:tc>
          <w:tcPr>
            <w:tcW w:w="1546" w:type="dxa"/>
            <w:shd w:val="clear" w:color="auto" w:fill="408BCA"/>
            <w:vAlign w:val="center"/>
            <w:hideMark/>
          </w:tcPr>
          <w:p w14:paraId="62BB1F51" w14:textId="78B8D5D3" w:rsidR="003475E2" w:rsidRPr="00D13E5F" w:rsidRDefault="003475E2" w:rsidP="00D13E5F">
            <w:pPr>
              <w:spacing w:after="0"/>
              <w:textAlignment w:val="baseline"/>
              <w:rPr>
                <w:rFonts w:ascii="Times New Roman" w:eastAsia="Times New Roman" w:hAnsi="Times New Roman"/>
                <w:b/>
                <w:sz w:val="24"/>
                <w:szCs w:val="24"/>
              </w:rPr>
            </w:pPr>
            <w:r w:rsidRPr="00D13E5F">
              <w:rPr>
                <w:rFonts w:eastAsia="Times New Roman"/>
                <w:b/>
                <w:color w:val="FFFFFF"/>
                <w:sz w:val="18"/>
              </w:rPr>
              <w:t xml:space="preserve">Total </w:t>
            </w:r>
            <w:r w:rsidRPr="00D13E5F">
              <w:rPr>
                <w:rFonts w:eastAsia="Times New Roman"/>
                <w:b/>
                <w:color w:val="FFFFFF"/>
                <w:sz w:val="18"/>
              </w:rPr>
              <w:br/>
              <w:t>(n = 1,531)</w:t>
            </w:r>
          </w:p>
        </w:tc>
        <w:tc>
          <w:tcPr>
            <w:tcW w:w="1347" w:type="dxa"/>
            <w:shd w:val="clear" w:color="auto" w:fill="408BCA"/>
            <w:vAlign w:val="center"/>
            <w:hideMark/>
          </w:tcPr>
          <w:p w14:paraId="3FAD46DC" w14:textId="65EFF1B1" w:rsidR="003475E2" w:rsidRPr="00D13E5F" w:rsidRDefault="003475E2" w:rsidP="00D13E5F">
            <w:pPr>
              <w:spacing w:after="0"/>
              <w:textAlignment w:val="baseline"/>
              <w:rPr>
                <w:rFonts w:ascii="Times New Roman" w:eastAsia="Times New Roman" w:hAnsi="Times New Roman"/>
                <w:b/>
                <w:sz w:val="24"/>
                <w:szCs w:val="24"/>
              </w:rPr>
            </w:pPr>
            <w:r w:rsidRPr="00D13E5F">
              <w:rPr>
                <w:rFonts w:eastAsia="Times New Roman"/>
                <w:b/>
                <w:color w:val="FFFFFF"/>
                <w:sz w:val="18"/>
              </w:rPr>
              <w:t xml:space="preserve">Tier 1 </w:t>
            </w:r>
            <w:r w:rsidRPr="00D13E5F">
              <w:rPr>
                <w:rFonts w:eastAsia="Times New Roman"/>
                <w:b/>
                <w:color w:val="FFFFFF"/>
                <w:sz w:val="18"/>
              </w:rPr>
              <w:br/>
              <w:t>(n = 152)</w:t>
            </w:r>
          </w:p>
        </w:tc>
        <w:tc>
          <w:tcPr>
            <w:tcW w:w="1474" w:type="dxa"/>
            <w:shd w:val="clear" w:color="auto" w:fill="408BCA"/>
            <w:vAlign w:val="center"/>
            <w:hideMark/>
          </w:tcPr>
          <w:p w14:paraId="758436FE" w14:textId="4117FED3" w:rsidR="003475E2" w:rsidRPr="00D13E5F" w:rsidRDefault="003475E2" w:rsidP="00D13E5F">
            <w:pPr>
              <w:spacing w:after="0"/>
              <w:textAlignment w:val="baseline"/>
              <w:rPr>
                <w:rFonts w:ascii="Times New Roman" w:eastAsia="Times New Roman" w:hAnsi="Times New Roman"/>
                <w:b/>
                <w:sz w:val="24"/>
                <w:szCs w:val="24"/>
              </w:rPr>
            </w:pPr>
            <w:r w:rsidRPr="00D13E5F">
              <w:rPr>
                <w:rFonts w:eastAsia="Times New Roman"/>
                <w:b/>
                <w:color w:val="FFFFFF"/>
                <w:sz w:val="18"/>
              </w:rPr>
              <w:t xml:space="preserve">Tier 2 </w:t>
            </w:r>
            <w:r w:rsidRPr="00D13E5F">
              <w:rPr>
                <w:rFonts w:eastAsia="Times New Roman"/>
                <w:b/>
                <w:color w:val="FFFFFF"/>
                <w:sz w:val="18"/>
              </w:rPr>
              <w:br/>
              <w:t>(n = 739)</w:t>
            </w:r>
          </w:p>
        </w:tc>
        <w:tc>
          <w:tcPr>
            <w:tcW w:w="2229" w:type="dxa"/>
            <w:shd w:val="clear" w:color="auto" w:fill="408BCA"/>
            <w:vAlign w:val="center"/>
            <w:hideMark/>
          </w:tcPr>
          <w:p w14:paraId="6C3E9CA4" w14:textId="5097B13A" w:rsidR="003475E2" w:rsidRPr="00D13E5F" w:rsidRDefault="003475E2" w:rsidP="00D13E5F">
            <w:pPr>
              <w:spacing w:after="0"/>
              <w:textAlignment w:val="baseline"/>
              <w:rPr>
                <w:rFonts w:ascii="Times New Roman" w:eastAsia="Times New Roman" w:hAnsi="Times New Roman"/>
                <w:b/>
                <w:sz w:val="24"/>
                <w:szCs w:val="24"/>
              </w:rPr>
            </w:pPr>
            <w:r w:rsidRPr="00D13E5F">
              <w:rPr>
                <w:rFonts w:eastAsia="Times New Roman"/>
                <w:b/>
                <w:color w:val="FFFFFF"/>
                <w:sz w:val="18"/>
              </w:rPr>
              <w:t xml:space="preserve">Tier 3 </w:t>
            </w:r>
            <w:r w:rsidRPr="00D13E5F">
              <w:rPr>
                <w:rFonts w:eastAsia="Times New Roman"/>
                <w:b/>
                <w:color w:val="FFFFFF"/>
                <w:sz w:val="18"/>
              </w:rPr>
              <w:br/>
              <w:t>(n = 640)</w:t>
            </w:r>
          </w:p>
        </w:tc>
      </w:tr>
      <w:tr w:rsidR="003475E2" w:rsidRPr="00925C4B" w14:paraId="713975B4" w14:textId="77777777" w:rsidTr="00F11772">
        <w:trPr>
          <w:jc w:val="center"/>
        </w:trPr>
        <w:tc>
          <w:tcPr>
            <w:tcW w:w="8730" w:type="dxa"/>
            <w:gridSpan w:val="5"/>
            <w:hideMark/>
          </w:tcPr>
          <w:p w14:paraId="47E32CC6" w14:textId="07D2C125" w:rsidR="003475E2" w:rsidRPr="00A2345B" w:rsidRDefault="00615B0F" w:rsidP="0032660B">
            <w:pPr>
              <w:spacing w:after="0"/>
              <w:ind w:left="90" w:right="90"/>
              <w:textAlignment w:val="baseline"/>
              <w:rPr>
                <w:rFonts w:ascii="Times New Roman" w:eastAsia="Times New Roman" w:hAnsi="Times New Roman"/>
                <w:sz w:val="24"/>
                <w:szCs w:val="24"/>
              </w:rPr>
            </w:pPr>
            <w:r>
              <w:rPr>
                <w:rFonts w:eastAsia="Times New Roman"/>
                <w:b/>
                <w:color w:val="000000"/>
                <w:sz w:val="18"/>
              </w:rPr>
              <w:t>Number of medications</w:t>
            </w:r>
            <w:r w:rsidR="003475E2" w:rsidRPr="00A2345B">
              <w:rPr>
                <w:rFonts w:eastAsia="Times New Roman"/>
                <w:color w:val="000000"/>
                <w:sz w:val="18"/>
              </w:rPr>
              <w:t> </w:t>
            </w:r>
          </w:p>
        </w:tc>
      </w:tr>
      <w:tr w:rsidR="003475E2" w:rsidRPr="00925C4B" w14:paraId="7B86FF21" w14:textId="77777777" w:rsidTr="00A87D19">
        <w:trPr>
          <w:jc w:val="center"/>
        </w:trPr>
        <w:tc>
          <w:tcPr>
            <w:tcW w:w="2134" w:type="dxa"/>
            <w:shd w:val="clear" w:color="auto" w:fill="FFFFFF"/>
            <w:vAlign w:val="center"/>
            <w:hideMark/>
          </w:tcPr>
          <w:p w14:paraId="4465690F" w14:textId="7B1BA888" w:rsidR="003475E2" w:rsidRPr="00302FF7" w:rsidRDefault="00302FF7" w:rsidP="0032660B">
            <w:pPr>
              <w:spacing w:after="0"/>
              <w:ind w:left="150" w:right="90"/>
              <w:textAlignment w:val="baseline"/>
              <w:rPr>
                <w:rFonts w:eastAsia="Times New Roman"/>
                <w:color w:val="000000"/>
                <w:sz w:val="18"/>
              </w:rPr>
            </w:pPr>
            <w:r w:rsidRPr="00302FF7">
              <w:rPr>
                <w:rFonts w:eastAsia="Times New Roman"/>
                <w:color w:val="000000"/>
                <w:sz w:val="18"/>
              </w:rPr>
              <w:t>No</w:t>
            </w:r>
          </w:p>
        </w:tc>
        <w:tc>
          <w:tcPr>
            <w:tcW w:w="1546" w:type="dxa"/>
            <w:shd w:val="clear" w:color="auto" w:fill="FFFFFF"/>
            <w:vAlign w:val="center"/>
            <w:hideMark/>
          </w:tcPr>
          <w:p w14:paraId="017C493B" w14:textId="52C04194" w:rsidR="003475E2" w:rsidRPr="00A2345B" w:rsidRDefault="00302FF7" w:rsidP="0032660B">
            <w:pPr>
              <w:spacing w:after="0"/>
              <w:ind w:left="90" w:right="90"/>
              <w:textAlignment w:val="baseline"/>
              <w:rPr>
                <w:rFonts w:eastAsia="Times New Roman"/>
                <w:color w:val="000000"/>
                <w:sz w:val="18"/>
              </w:rPr>
            </w:pPr>
            <w:r w:rsidRPr="00302FF7">
              <w:rPr>
                <w:rFonts w:eastAsia="Times New Roman"/>
                <w:color w:val="000000"/>
                <w:sz w:val="18"/>
              </w:rPr>
              <w:t>312 (20.4%)</w:t>
            </w:r>
          </w:p>
        </w:tc>
        <w:tc>
          <w:tcPr>
            <w:tcW w:w="1347" w:type="dxa"/>
            <w:shd w:val="clear" w:color="auto" w:fill="FFFFFF"/>
            <w:vAlign w:val="center"/>
            <w:hideMark/>
          </w:tcPr>
          <w:p w14:paraId="18121BAD" w14:textId="12F1534F" w:rsidR="003475E2" w:rsidRPr="00A2345B" w:rsidRDefault="00302FF7" w:rsidP="0032660B">
            <w:pPr>
              <w:spacing w:after="0"/>
              <w:ind w:left="90" w:right="90"/>
              <w:textAlignment w:val="baseline"/>
              <w:rPr>
                <w:rFonts w:eastAsia="Times New Roman"/>
                <w:color w:val="000000"/>
                <w:sz w:val="18"/>
              </w:rPr>
            </w:pPr>
            <w:r w:rsidRPr="00302FF7">
              <w:rPr>
                <w:rFonts w:eastAsia="Times New Roman"/>
                <w:color w:val="000000"/>
                <w:sz w:val="18"/>
              </w:rPr>
              <w:t>50 (32.9%)</w:t>
            </w:r>
          </w:p>
        </w:tc>
        <w:tc>
          <w:tcPr>
            <w:tcW w:w="1474" w:type="dxa"/>
            <w:shd w:val="clear" w:color="auto" w:fill="FFFFFF"/>
            <w:vAlign w:val="center"/>
            <w:hideMark/>
          </w:tcPr>
          <w:p w14:paraId="09BC7B04" w14:textId="10E13E80" w:rsidR="003475E2" w:rsidRPr="00A2345B" w:rsidRDefault="00302FF7" w:rsidP="0032660B">
            <w:pPr>
              <w:spacing w:after="0"/>
              <w:ind w:left="90" w:right="90"/>
              <w:textAlignment w:val="baseline"/>
              <w:rPr>
                <w:rFonts w:eastAsia="Times New Roman"/>
                <w:color w:val="000000"/>
                <w:sz w:val="18"/>
              </w:rPr>
            </w:pPr>
            <w:r w:rsidRPr="00302FF7">
              <w:rPr>
                <w:rFonts w:eastAsia="Times New Roman"/>
                <w:color w:val="000000"/>
                <w:sz w:val="18"/>
              </w:rPr>
              <w:t>164 (22.2%)</w:t>
            </w:r>
          </w:p>
        </w:tc>
        <w:tc>
          <w:tcPr>
            <w:tcW w:w="2229" w:type="dxa"/>
            <w:shd w:val="clear" w:color="auto" w:fill="FFFFFF"/>
            <w:vAlign w:val="center"/>
            <w:hideMark/>
          </w:tcPr>
          <w:p w14:paraId="1EC80C27" w14:textId="0275C956" w:rsidR="003475E2" w:rsidRPr="00A2345B" w:rsidRDefault="00302FF7" w:rsidP="0032660B">
            <w:pPr>
              <w:spacing w:after="0"/>
              <w:ind w:left="90" w:right="90"/>
              <w:textAlignment w:val="baseline"/>
              <w:rPr>
                <w:rFonts w:eastAsia="Times New Roman"/>
                <w:color w:val="000000"/>
                <w:sz w:val="18"/>
              </w:rPr>
            </w:pPr>
            <w:r w:rsidRPr="00302FF7">
              <w:rPr>
                <w:rFonts w:eastAsia="Times New Roman"/>
                <w:color w:val="000000"/>
                <w:sz w:val="18"/>
              </w:rPr>
              <w:t>98</w:t>
            </w:r>
            <w:r w:rsidR="003475E2" w:rsidRPr="00A2345B">
              <w:rPr>
                <w:rFonts w:eastAsia="Times New Roman"/>
                <w:color w:val="000000"/>
                <w:sz w:val="18"/>
              </w:rPr>
              <w:t xml:space="preserve"> (15.</w:t>
            </w:r>
            <w:r w:rsidRPr="00302FF7">
              <w:rPr>
                <w:rFonts w:eastAsia="Times New Roman"/>
                <w:color w:val="000000"/>
                <w:sz w:val="18"/>
              </w:rPr>
              <w:t>3</w:t>
            </w:r>
            <w:r w:rsidR="003475E2" w:rsidRPr="00A2345B">
              <w:rPr>
                <w:rFonts w:eastAsia="Times New Roman"/>
                <w:color w:val="000000"/>
                <w:sz w:val="18"/>
              </w:rPr>
              <w:t>%)</w:t>
            </w:r>
          </w:p>
        </w:tc>
      </w:tr>
      <w:tr w:rsidR="00302FF7" w:rsidRPr="00925C4B" w14:paraId="5C8ED407" w14:textId="77777777" w:rsidTr="00A87D19">
        <w:trPr>
          <w:jc w:val="center"/>
        </w:trPr>
        <w:tc>
          <w:tcPr>
            <w:tcW w:w="2134" w:type="dxa"/>
            <w:shd w:val="clear" w:color="auto" w:fill="FFFFFF"/>
            <w:vAlign w:val="center"/>
          </w:tcPr>
          <w:p w14:paraId="1A03A5E0" w14:textId="7BB99A84" w:rsidR="00302FF7" w:rsidRPr="00A2345B" w:rsidRDefault="00302FF7" w:rsidP="00302FF7">
            <w:pPr>
              <w:spacing w:after="0"/>
              <w:ind w:left="150" w:right="90"/>
              <w:textAlignment w:val="baseline"/>
              <w:rPr>
                <w:rFonts w:eastAsia="Times New Roman"/>
                <w:color w:val="000000"/>
                <w:sz w:val="18"/>
              </w:rPr>
            </w:pPr>
            <w:r w:rsidRPr="00302FF7">
              <w:rPr>
                <w:rFonts w:eastAsia="Times New Roman"/>
                <w:color w:val="000000"/>
                <w:sz w:val="18"/>
              </w:rPr>
              <w:t>Polypharmacy</w:t>
            </w:r>
          </w:p>
        </w:tc>
        <w:tc>
          <w:tcPr>
            <w:tcW w:w="1546" w:type="dxa"/>
            <w:shd w:val="clear" w:color="auto" w:fill="FFFFFF"/>
            <w:vAlign w:val="center"/>
          </w:tcPr>
          <w:p w14:paraId="18FF48CF" w14:textId="1A69B597" w:rsidR="00302FF7" w:rsidRPr="00302FF7" w:rsidRDefault="00302FF7" w:rsidP="00302FF7">
            <w:pPr>
              <w:spacing w:after="0"/>
              <w:ind w:left="90" w:right="90"/>
              <w:textAlignment w:val="baseline"/>
              <w:rPr>
                <w:rFonts w:eastAsia="Times New Roman"/>
                <w:color w:val="000000"/>
                <w:sz w:val="18"/>
              </w:rPr>
            </w:pPr>
            <w:r w:rsidRPr="00302FF7">
              <w:rPr>
                <w:rFonts w:eastAsia="Times New Roman"/>
                <w:color w:val="000000"/>
                <w:sz w:val="18"/>
              </w:rPr>
              <w:t>716 (46.8%)</w:t>
            </w:r>
          </w:p>
        </w:tc>
        <w:tc>
          <w:tcPr>
            <w:tcW w:w="1347" w:type="dxa"/>
            <w:shd w:val="clear" w:color="auto" w:fill="FFFFFF"/>
            <w:vAlign w:val="center"/>
          </w:tcPr>
          <w:p w14:paraId="1498FD27" w14:textId="6468212B" w:rsidR="00302FF7" w:rsidRPr="00302FF7" w:rsidRDefault="00302FF7" w:rsidP="00302FF7">
            <w:pPr>
              <w:spacing w:after="0"/>
              <w:ind w:left="90" w:right="90"/>
              <w:textAlignment w:val="baseline"/>
              <w:rPr>
                <w:rFonts w:eastAsia="Times New Roman"/>
                <w:color w:val="000000"/>
                <w:sz w:val="18"/>
              </w:rPr>
            </w:pPr>
            <w:r w:rsidRPr="00302FF7">
              <w:rPr>
                <w:rFonts w:eastAsia="Times New Roman"/>
                <w:color w:val="000000"/>
                <w:sz w:val="18"/>
              </w:rPr>
              <w:t>74 (48.7%)</w:t>
            </w:r>
          </w:p>
        </w:tc>
        <w:tc>
          <w:tcPr>
            <w:tcW w:w="1474" w:type="dxa"/>
            <w:shd w:val="clear" w:color="auto" w:fill="FFFFFF"/>
            <w:vAlign w:val="center"/>
          </w:tcPr>
          <w:p w14:paraId="4C346D60" w14:textId="09CD5B1F" w:rsidR="00302FF7" w:rsidRPr="00302FF7" w:rsidRDefault="00302FF7" w:rsidP="00302FF7">
            <w:pPr>
              <w:spacing w:after="0"/>
              <w:ind w:left="90" w:right="90"/>
              <w:textAlignment w:val="baseline"/>
              <w:rPr>
                <w:rFonts w:eastAsia="Times New Roman"/>
                <w:color w:val="000000"/>
                <w:sz w:val="18"/>
              </w:rPr>
            </w:pPr>
            <w:r w:rsidRPr="00302FF7">
              <w:rPr>
                <w:rFonts w:eastAsia="Times New Roman"/>
                <w:color w:val="000000"/>
                <w:sz w:val="18"/>
              </w:rPr>
              <w:t>374 (50.6%)</w:t>
            </w:r>
          </w:p>
        </w:tc>
        <w:tc>
          <w:tcPr>
            <w:tcW w:w="2229" w:type="dxa"/>
            <w:shd w:val="clear" w:color="auto" w:fill="FFFFFF"/>
            <w:vAlign w:val="center"/>
          </w:tcPr>
          <w:p w14:paraId="1254DC29" w14:textId="262D6857" w:rsidR="00302FF7" w:rsidRPr="00302FF7" w:rsidRDefault="00302FF7" w:rsidP="00302FF7">
            <w:pPr>
              <w:spacing w:after="0"/>
              <w:ind w:left="90" w:right="90"/>
              <w:textAlignment w:val="baseline"/>
              <w:rPr>
                <w:rFonts w:eastAsia="Times New Roman"/>
                <w:color w:val="000000"/>
                <w:sz w:val="18"/>
              </w:rPr>
            </w:pPr>
            <w:r w:rsidRPr="00302FF7">
              <w:rPr>
                <w:rFonts w:eastAsia="Times New Roman"/>
                <w:color w:val="000000"/>
                <w:sz w:val="18"/>
              </w:rPr>
              <w:t>268 (41.9%)</w:t>
            </w:r>
          </w:p>
        </w:tc>
      </w:tr>
      <w:tr w:rsidR="00302FF7" w:rsidRPr="00925C4B" w14:paraId="75621130" w14:textId="77777777" w:rsidTr="00A87D19">
        <w:trPr>
          <w:jc w:val="center"/>
        </w:trPr>
        <w:tc>
          <w:tcPr>
            <w:tcW w:w="2134" w:type="dxa"/>
            <w:shd w:val="clear" w:color="auto" w:fill="FFFFFF"/>
            <w:vAlign w:val="center"/>
          </w:tcPr>
          <w:p w14:paraId="7135E635" w14:textId="37088E4C" w:rsidR="00302FF7" w:rsidRPr="00A2345B" w:rsidRDefault="00302FF7" w:rsidP="00302FF7">
            <w:pPr>
              <w:spacing w:after="0"/>
              <w:ind w:left="150" w:right="90"/>
              <w:textAlignment w:val="baseline"/>
              <w:rPr>
                <w:rFonts w:eastAsia="Times New Roman"/>
                <w:color w:val="000000"/>
                <w:sz w:val="18"/>
              </w:rPr>
            </w:pPr>
            <w:r w:rsidRPr="00302FF7">
              <w:rPr>
                <w:rFonts w:eastAsia="Times New Roman"/>
                <w:color w:val="000000"/>
                <w:sz w:val="18"/>
              </w:rPr>
              <w:t>Hyper-Polypharmacy</w:t>
            </w:r>
          </w:p>
        </w:tc>
        <w:tc>
          <w:tcPr>
            <w:tcW w:w="1546" w:type="dxa"/>
            <w:shd w:val="clear" w:color="auto" w:fill="FFFFFF"/>
            <w:vAlign w:val="center"/>
          </w:tcPr>
          <w:p w14:paraId="3BCD75DE" w14:textId="5E47D864" w:rsidR="00302FF7" w:rsidRPr="00302FF7" w:rsidRDefault="00302FF7" w:rsidP="00302FF7">
            <w:pPr>
              <w:spacing w:after="0"/>
              <w:ind w:left="90" w:right="90"/>
              <w:textAlignment w:val="baseline"/>
              <w:rPr>
                <w:rFonts w:eastAsia="Times New Roman"/>
                <w:color w:val="000000"/>
                <w:sz w:val="18"/>
              </w:rPr>
            </w:pPr>
            <w:r w:rsidRPr="00302FF7">
              <w:rPr>
                <w:rFonts w:eastAsia="Times New Roman"/>
                <w:color w:val="000000"/>
                <w:sz w:val="18"/>
              </w:rPr>
              <w:t>503 (32.9%)</w:t>
            </w:r>
          </w:p>
        </w:tc>
        <w:tc>
          <w:tcPr>
            <w:tcW w:w="1347" w:type="dxa"/>
            <w:shd w:val="clear" w:color="auto" w:fill="FFFFFF"/>
            <w:vAlign w:val="center"/>
          </w:tcPr>
          <w:p w14:paraId="542F8DCE" w14:textId="05456BEB" w:rsidR="00302FF7" w:rsidRPr="00302FF7" w:rsidRDefault="00302FF7" w:rsidP="00302FF7">
            <w:pPr>
              <w:spacing w:after="0"/>
              <w:ind w:left="90" w:right="90"/>
              <w:textAlignment w:val="baseline"/>
              <w:rPr>
                <w:rFonts w:eastAsia="Times New Roman"/>
                <w:color w:val="000000"/>
                <w:sz w:val="18"/>
              </w:rPr>
            </w:pPr>
            <w:r w:rsidRPr="00302FF7">
              <w:rPr>
                <w:rFonts w:eastAsia="Times New Roman"/>
                <w:color w:val="000000"/>
                <w:sz w:val="18"/>
              </w:rPr>
              <w:t>28 (18.4%)</w:t>
            </w:r>
          </w:p>
        </w:tc>
        <w:tc>
          <w:tcPr>
            <w:tcW w:w="1474" w:type="dxa"/>
            <w:shd w:val="clear" w:color="auto" w:fill="FFFFFF"/>
            <w:vAlign w:val="center"/>
          </w:tcPr>
          <w:p w14:paraId="3F5FEE9A" w14:textId="5349C5F3" w:rsidR="00302FF7" w:rsidRPr="00302FF7" w:rsidRDefault="00302FF7" w:rsidP="00302FF7">
            <w:pPr>
              <w:spacing w:after="0"/>
              <w:ind w:left="90" w:right="90"/>
              <w:textAlignment w:val="baseline"/>
              <w:rPr>
                <w:rFonts w:eastAsia="Times New Roman"/>
                <w:color w:val="000000"/>
                <w:sz w:val="18"/>
              </w:rPr>
            </w:pPr>
            <w:r w:rsidRPr="00302FF7">
              <w:rPr>
                <w:rFonts w:eastAsia="Times New Roman"/>
                <w:color w:val="000000"/>
                <w:sz w:val="18"/>
              </w:rPr>
              <w:t>201 (27.2%)</w:t>
            </w:r>
          </w:p>
        </w:tc>
        <w:tc>
          <w:tcPr>
            <w:tcW w:w="2229" w:type="dxa"/>
            <w:shd w:val="clear" w:color="auto" w:fill="FFFFFF"/>
            <w:vAlign w:val="center"/>
          </w:tcPr>
          <w:p w14:paraId="5E5170D2" w14:textId="503BE23A" w:rsidR="00302FF7" w:rsidRPr="00302FF7" w:rsidRDefault="00302FF7" w:rsidP="00302FF7">
            <w:pPr>
              <w:spacing w:after="0"/>
              <w:ind w:left="90" w:right="90"/>
              <w:textAlignment w:val="baseline"/>
              <w:rPr>
                <w:rFonts w:eastAsia="Times New Roman"/>
                <w:color w:val="000000"/>
                <w:sz w:val="18"/>
              </w:rPr>
            </w:pPr>
            <w:r w:rsidRPr="00302FF7">
              <w:rPr>
                <w:rFonts w:eastAsia="Times New Roman"/>
                <w:color w:val="000000"/>
                <w:sz w:val="18"/>
              </w:rPr>
              <w:t>274 (42.8%)</w:t>
            </w:r>
          </w:p>
        </w:tc>
      </w:tr>
      <w:tr w:rsidR="003475E2" w:rsidRPr="00925C4B" w14:paraId="041AEB30" w14:textId="77777777" w:rsidTr="00F11772">
        <w:trPr>
          <w:jc w:val="center"/>
        </w:trPr>
        <w:tc>
          <w:tcPr>
            <w:tcW w:w="8730" w:type="dxa"/>
            <w:gridSpan w:val="5"/>
            <w:hideMark/>
          </w:tcPr>
          <w:p w14:paraId="04F69E13" w14:textId="77777777" w:rsidR="003475E2" w:rsidRPr="00A2345B" w:rsidRDefault="003475E2" w:rsidP="0032660B">
            <w:pPr>
              <w:spacing w:after="0"/>
              <w:ind w:left="90" w:right="90"/>
              <w:textAlignment w:val="baseline"/>
              <w:rPr>
                <w:rFonts w:ascii="Times New Roman" w:eastAsia="Times New Roman" w:hAnsi="Times New Roman"/>
                <w:sz w:val="24"/>
                <w:szCs w:val="24"/>
              </w:rPr>
            </w:pPr>
            <w:r w:rsidRPr="00A2345B">
              <w:rPr>
                <w:rFonts w:eastAsia="Times New Roman"/>
                <w:b/>
                <w:color w:val="000000"/>
                <w:sz w:val="18"/>
              </w:rPr>
              <w:t>Medication adherence (</w:t>
            </w:r>
            <w:proofErr w:type="spellStart"/>
            <w:r w:rsidRPr="00A2345B">
              <w:rPr>
                <w:rFonts w:eastAsia="Times New Roman"/>
                <w:b/>
                <w:color w:val="000000"/>
                <w:sz w:val="18"/>
              </w:rPr>
              <w:t>MedsIndex</w:t>
            </w:r>
            <w:proofErr w:type="spellEnd"/>
            <w:r w:rsidRPr="00A2345B">
              <w:rPr>
                <w:rFonts w:eastAsia="Times New Roman"/>
                <w:b/>
                <w:color w:val="000000"/>
                <w:sz w:val="18"/>
              </w:rPr>
              <w:t> score)</w:t>
            </w:r>
            <w:r w:rsidRPr="00A2345B">
              <w:rPr>
                <w:rFonts w:eastAsia="Times New Roman"/>
                <w:color w:val="000000"/>
                <w:sz w:val="18"/>
              </w:rPr>
              <w:t> </w:t>
            </w:r>
          </w:p>
        </w:tc>
      </w:tr>
      <w:tr w:rsidR="003475E2" w:rsidRPr="00925C4B" w14:paraId="080074E5" w14:textId="77777777" w:rsidTr="00A87D19">
        <w:trPr>
          <w:jc w:val="center"/>
        </w:trPr>
        <w:tc>
          <w:tcPr>
            <w:tcW w:w="2134" w:type="dxa"/>
            <w:hideMark/>
          </w:tcPr>
          <w:p w14:paraId="17BD5154" w14:textId="77777777" w:rsidR="003475E2" w:rsidRPr="00A2345B" w:rsidRDefault="003475E2" w:rsidP="0032660B">
            <w:pPr>
              <w:spacing w:after="0"/>
              <w:ind w:left="150" w:right="90"/>
              <w:textAlignment w:val="baseline"/>
              <w:rPr>
                <w:rFonts w:ascii="Times New Roman" w:eastAsia="Times New Roman" w:hAnsi="Times New Roman"/>
                <w:sz w:val="24"/>
                <w:szCs w:val="24"/>
              </w:rPr>
            </w:pPr>
            <w:r w:rsidRPr="00A2345B">
              <w:rPr>
                <w:rFonts w:eastAsia="Times New Roman"/>
                <w:color w:val="000000"/>
                <w:sz w:val="18"/>
              </w:rPr>
              <w:t>0 to &lt;50 </w:t>
            </w:r>
          </w:p>
        </w:tc>
        <w:tc>
          <w:tcPr>
            <w:tcW w:w="1546" w:type="dxa"/>
            <w:hideMark/>
          </w:tcPr>
          <w:p w14:paraId="54E5C288"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89 (5.8%)</w:t>
            </w:r>
          </w:p>
        </w:tc>
        <w:tc>
          <w:tcPr>
            <w:tcW w:w="1347" w:type="dxa"/>
            <w:hideMark/>
          </w:tcPr>
          <w:p w14:paraId="0D64AC08"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9 (5.9%)</w:t>
            </w:r>
          </w:p>
        </w:tc>
        <w:tc>
          <w:tcPr>
            <w:tcW w:w="1474" w:type="dxa"/>
            <w:hideMark/>
          </w:tcPr>
          <w:p w14:paraId="6A287377"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50 (6.8%)</w:t>
            </w:r>
          </w:p>
        </w:tc>
        <w:tc>
          <w:tcPr>
            <w:tcW w:w="2229" w:type="dxa"/>
            <w:hideMark/>
          </w:tcPr>
          <w:p w14:paraId="2CE27DCA"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30 (4.7%)</w:t>
            </w:r>
          </w:p>
        </w:tc>
      </w:tr>
      <w:tr w:rsidR="003475E2" w:rsidRPr="00925C4B" w14:paraId="0941FDF7" w14:textId="77777777" w:rsidTr="00A87D19">
        <w:trPr>
          <w:jc w:val="center"/>
        </w:trPr>
        <w:tc>
          <w:tcPr>
            <w:tcW w:w="2134" w:type="dxa"/>
            <w:hideMark/>
          </w:tcPr>
          <w:p w14:paraId="149125BF" w14:textId="77777777" w:rsidR="003475E2" w:rsidRPr="00A2345B" w:rsidRDefault="003475E2" w:rsidP="0032660B">
            <w:pPr>
              <w:spacing w:after="0"/>
              <w:ind w:left="150" w:right="90"/>
              <w:textAlignment w:val="baseline"/>
              <w:rPr>
                <w:rFonts w:ascii="Times New Roman" w:eastAsia="Times New Roman" w:hAnsi="Times New Roman"/>
                <w:sz w:val="24"/>
                <w:szCs w:val="24"/>
              </w:rPr>
            </w:pPr>
            <w:r w:rsidRPr="00A2345B">
              <w:rPr>
                <w:rFonts w:eastAsia="Times New Roman"/>
                <w:color w:val="000000"/>
                <w:sz w:val="18"/>
              </w:rPr>
              <w:t>50 to &lt;80 </w:t>
            </w:r>
          </w:p>
        </w:tc>
        <w:tc>
          <w:tcPr>
            <w:tcW w:w="1546" w:type="dxa"/>
            <w:hideMark/>
          </w:tcPr>
          <w:p w14:paraId="1F61DED7"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322 (21.0%)</w:t>
            </w:r>
          </w:p>
        </w:tc>
        <w:tc>
          <w:tcPr>
            <w:tcW w:w="1347" w:type="dxa"/>
            <w:hideMark/>
          </w:tcPr>
          <w:p w14:paraId="08AE9867"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21 (13.8%)</w:t>
            </w:r>
          </w:p>
        </w:tc>
        <w:tc>
          <w:tcPr>
            <w:tcW w:w="1474" w:type="dxa"/>
            <w:hideMark/>
          </w:tcPr>
          <w:p w14:paraId="2D196709"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165 (22.3%)</w:t>
            </w:r>
          </w:p>
        </w:tc>
        <w:tc>
          <w:tcPr>
            <w:tcW w:w="2229" w:type="dxa"/>
            <w:hideMark/>
          </w:tcPr>
          <w:p w14:paraId="42927FEA"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136 (21.2%)</w:t>
            </w:r>
          </w:p>
        </w:tc>
      </w:tr>
      <w:tr w:rsidR="003475E2" w:rsidRPr="00925C4B" w14:paraId="6F17718F" w14:textId="77777777" w:rsidTr="00A87D19">
        <w:trPr>
          <w:jc w:val="center"/>
        </w:trPr>
        <w:tc>
          <w:tcPr>
            <w:tcW w:w="2134" w:type="dxa"/>
            <w:hideMark/>
          </w:tcPr>
          <w:p w14:paraId="43B8AAEC" w14:textId="77777777" w:rsidR="003475E2" w:rsidRPr="00A2345B" w:rsidRDefault="003475E2" w:rsidP="0032660B">
            <w:pPr>
              <w:spacing w:after="0"/>
              <w:ind w:left="150" w:right="90"/>
              <w:textAlignment w:val="baseline"/>
              <w:rPr>
                <w:rFonts w:ascii="Times New Roman" w:eastAsia="Times New Roman" w:hAnsi="Times New Roman"/>
                <w:sz w:val="24"/>
                <w:szCs w:val="24"/>
              </w:rPr>
            </w:pPr>
            <w:r w:rsidRPr="00A2345B">
              <w:rPr>
                <w:rFonts w:eastAsia="Times New Roman"/>
                <w:color w:val="000000"/>
                <w:sz w:val="18"/>
              </w:rPr>
              <w:t>80 to &lt;85 </w:t>
            </w:r>
          </w:p>
        </w:tc>
        <w:tc>
          <w:tcPr>
            <w:tcW w:w="1546" w:type="dxa"/>
            <w:hideMark/>
          </w:tcPr>
          <w:p w14:paraId="1E81F06F"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169 (11.0%)</w:t>
            </w:r>
          </w:p>
        </w:tc>
        <w:tc>
          <w:tcPr>
            <w:tcW w:w="1347" w:type="dxa"/>
            <w:hideMark/>
          </w:tcPr>
          <w:p w14:paraId="79F19DD9"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18 (11.8%)</w:t>
            </w:r>
          </w:p>
        </w:tc>
        <w:tc>
          <w:tcPr>
            <w:tcW w:w="1474" w:type="dxa"/>
            <w:hideMark/>
          </w:tcPr>
          <w:p w14:paraId="454191A2"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93 (12.6%)</w:t>
            </w:r>
          </w:p>
        </w:tc>
        <w:tc>
          <w:tcPr>
            <w:tcW w:w="2229" w:type="dxa"/>
            <w:hideMark/>
          </w:tcPr>
          <w:p w14:paraId="7F7CBACE"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58 (9.1%)</w:t>
            </w:r>
          </w:p>
        </w:tc>
      </w:tr>
      <w:tr w:rsidR="003475E2" w:rsidRPr="00925C4B" w14:paraId="3B7220C3" w14:textId="77777777" w:rsidTr="00A87D19">
        <w:trPr>
          <w:jc w:val="center"/>
        </w:trPr>
        <w:tc>
          <w:tcPr>
            <w:tcW w:w="2134" w:type="dxa"/>
            <w:hideMark/>
          </w:tcPr>
          <w:p w14:paraId="716C7D8C" w14:textId="77777777" w:rsidR="003475E2" w:rsidRPr="00A2345B" w:rsidRDefault="003475E2" w:rsidP="0032660B">
            <w:pPr>
              <w:spacing w:after="0"/>
              <w:ind w:left="150" w:right="90"/>
              <w:textAlignment w:val="baseline"/>
              <w:rPr>
                <w:rFonts w:ascii="Times New Roman" w:eastAsia="Times New Roman" w:hAnsi="Times New Roman"/>
                <w:sz w:val="24"/>
                <w:szCs w:val="24"/>
              </w:rPr>
            </w:pPr>
            <w:r w:rsidRPr="00A2345B">
              <w:rPr>
                <w:rFonts w:eastAsia="Times New Roman"/>
                <w:color w:val="000000"/>
                <w:sz w:val="18"/>
              </w:rPr>
              <w:t>85 to &lt;90 </w:t>
            </w:r>
          </w:p>
        </w:tc>
        <w:tc>
          <w:tcPr>
            <w:tcW w:w="1546" w:type="dxa"/>
            <w:hideMark/>
          </w:tcPr>
          <w:p w14:paraId="6A1954C6"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168 (11.0%)</w:t>
            </w:r>
          </w:p>
        </w:tc>
        <w:tc>
          <w:tcPr>
            <w:tcW w:w="1347" w:type="dxa"/>
            <w:hideMark/>
          </w:tcPr>
          <w:p w14:paraId="68D625F1"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22 (14.5%)</w:t>
            </w:r>
          </w:p>
        </w:tc>
        <w:tc>
          <w:tcPr>
            <w:tcW w:w="1474" w:type="dxa"/>
            <w:hideMark/>
          </w:tcPr>
          <w:p w14:paraId="7A7A6B9C"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89 (12.0%)</w:t>
            </w:r>
          </w:p>
        </w:tc>
        <w:tc>
          <w:tcPr>
            <w:tcW w:w="2229" w:type="dxa"/>
            <w:hideMark/>
          </w:tcPr>
          <w:p w14:paraId="457F3070"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57 (8.9%)</w:t>
            </w:r>
          </w:p>
        </w:tc>
      </w:tr>
      <w:tr w:rsidR="003475E2" w:rsidRPr="00925C4B" w14:paraId="368E24C7" w14:textId="77777777" w:rsidTr="00A87D19">
        <w:trPr>
          <w:jc w:val="center"/>
        </w:trPr>
        <w:tc>
          <w:tcPr>
            <w:tcW w:w="2134" w:type="dxa"/>
            <w:hideMark/>
          </w:tcPr>
          <w:p w14:paraId="245FBE25" w14:textId="77777777" w:rsidR="003475E2" w:rsidRPr="00A2345B" w:rsidRDefault="003475E2" w:rsidP="0032660B">
            <w:pPr>
              <w:spacing w:after="0"/>
              <w:ind w:left="150" w:right="90"/>
              <w:textAlignment w:val="baseline"/>
              <w:rPr>
                <w:rFonts w:ascii="Times New Roman" w:eastAsia="Times New Roman" w:hAnsi="Times New Roman"/>
                <w:sz w:val="24"/>
                <w:szCs w:val="24"/>
              </w:rPr>
            </w:pPr>
            <w:r w:rsidRPr="00A2345B">
              <w:rPr>
                <w:rFonts w:eastAsia="Times New Roman"/>
                <w:color w:val="000000"/>
                <w:sz w:val="18"/>
              </w:rPr>
              <w:t>90 to &lt;95 </w:t>
            </w:r>
          </w:p>
        </w:tc>
        <w:tc>
          <w:tcPr>
            <w:tcW w:w="1546" w:type="dxa"/>
            <w:hideMark/>
          </w:tcPr>
          <w:p w14:paraId="080E5B1A"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357 (23.3%)</w:t>
            </w:r>
          </w:p>
        </w:tc>
        <w:tc>
          <w:tcPr>
            <w:tcW w:w="1347" w:type="dxa"/>
            <w:hideMark/>
          </w:tcPr>
          <w:p w14:paraId="29C996C4"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42 (27.6%)</w:t>
            </w:r>
          </w:p>
        </w:tc>
        <w:tc>
          <w:tcPr>
            <w:tcW w:w="1474" w:type="dxa"/>
            <w:hideMark/>
          </w:tcPr>
          <w:p w14:paraId="35A99806"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141 (19.1%)</w:t>
            </w:r>
          </w:p>
        </w:tc>
        <w:tc>
          <w:tcPr>
            <w:tcW w:w="2229" w:type="dxa"/>
            <w:hideMark/>
          </w:tcPr>
          <w:p w14:paraId="4639E835"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174 (27.2%)</w:t>
            </w:r>
          </w:p>
        </w:tc>
      </w:tr>
      <w:tr w:rsidR="003475E2" w:rsidRPr="00925C4B" w14:paraId="71CF8A0A" w14:textId="77777777" w:rsidTr="00A87D19">
        <w:trPr>
          <w:jc w:val="center"/>
        </w:trPr>
        <w:tc>
          <w:tcPr>
            <w:tcW w:w="2134" w:type="dxa"/>
            <w:hideMark/>
          </w:tcPr>
          <w:p w14:paraId="0625B2E0" w14:textId="77777777" w:rsidR="003475E2" w:rsidRPr="00A2345B" w:rsidRDefault="003475E2" w:rsidP="0032660B">
            <w:pPr>
              <w:spacing w:after="0"/>
              <w:ind w:left="150" w:right="90"/>
              <w:textAlignment w:val="baseline"/>
              <w:rPr>
                <w:rFonts w:ascii="Times New Roman" w:eastAsia="Times New Roman" w:hAnsi="Times New Roman"/>
                <w:sz w:val="24"/>
                <w:szCs w:val="24"/>
              </w:rPr>
            </w:pPr>
            <w:r w:rsidRPr="00A2345B">
              <w:rPr>
                <w:rFonts w:eastAsia="Times New Roman"/>
                <w:color w:val="000000"/>
                <w:sz w:val="18"/>
              </w:rPr>
              <w:t>95 to 100 </w:t>
            </w:r>
          </w:p>
        </w:tc>
        <w:tc>
          <w:tcPr>
            <w:tcW w:w="1546" w:type="dxa"/>
            <w:hideMark/>
          </w:tcPr>
          <w:p w14:paraId="6F4BE0E9"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426 (27.8%)</w:t>
            </w:r>
          </w:p>
        </w:tc>
        <w:tc>
          <w:tcPr>
            <w:tcW w:w="1347" w:type="dxa"/>
            <w:hideMark/>
          </w:tcPr>
          <w:p w14:paraId="4D004AEC"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40 (26.3%)</w:t>
            </w:r>
          </w:p>
        </w:tc>
        <w:tc>
          <w:tcPr>
            <w:tcW w:w="1474" w:type="dxa"/>
            <w:hideMark/>
          </w:tcPr>
          <w:p w14:paraId="1F471860"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201 (27.2%)</w:t>
            </w:r>
          </w:p>
        </w:tc>
        <w:tc>
          <w:tcPr>
            <w:tcW w:w="2229" w:type="dxa"/>
            <w:hideMark/>
          </w:tcPr>
          <w:p w14:paraId="057EF026"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185 (28.9%)</w:t>
            </w:r>
          </w:p>
        </w:tc>
      </w:tr>
      <w:tr w:rsidR="003475E2" w:rsidRPr="00925C4B" w14:paraId="1E7CDECF" w14:textId="77777777" w:rsidTr="00F11772">
        <w:trPr>
          <w:jc w:val="center"/>
        </w:trPr>
        <w:tc>
          <w:tcPr>
            <w:tcW w:w="8730" w:type="dxa"/>
            <w:gridSpan w:val="5"/>
            <w:hideMark/>
          </w:tcPr>
          <w:p w14:paraId="41EF903A" w14:textId="77777777" w:rsidR="003475E2" w:rsidRPr="00A2345B" w:rsidRDefault="003475E2" w:rsidP="0032660B">
            <w:pPr>
              <w:spacing w:after="0"/>
              <w:ind w:left="90" w:right="90"/>
              <w:textAlignment w:val="baseline"/>
              <w:rPr>
                <w:rFonts w:ascii="Times New Roman" w:eastAsia="Times New Roman" w:hAnsi="Times New Roman"/>
                <w:sz w:val="24"/>
                <w:szCs w:val="24"/>
              </w:rPr>
            </w:pPr>
            <w:r w:rsidRPr="00A2345B">
              <w:rPr>
                <w:rFonts w:eastAsia="Times New Roman"/>
                <w:b/>
                <w:color w:val="000000"/>
                <w:sz w:val="18"/>
              </w:rPr>
              <w:t>Patient’s </w:t>
            </w:r>
            <w:proofErr w:type="spellStart"/>
            <w:r w:rsidRPr="00A2345B">
              <w:rPr>
                <w:rFonts w:eastAsia="Times New Roman"/>
                <w:b/>
                <w:color w:val="000000"/>
                <w:sz w:val="18"/>
              </w:rPr>
              <w:t>MedsIndex</w:t>
            </w:r>
            <w:proofErr w:type="spellEnd"/>
            <w:r w:rsidRPr="00A2345B">
              <w:rPr>
                <w:rFonts w:eastAsia="Times New Roman"/>
                <w:b/>
                <w:color w:val="000000"/>
                <w:sz w:val="18"/>
              </w:rPr>
              <w:t> score</w:t>
            </w:r>
            <w:r w:rsidRPr="00A2345B">
              <w:rPr>
                <w:rFonts w:eastAsia="Times New Roman"/>
                <w:color w:val="000000"/>
                <w:sz w:val="18"/>
              </w:rPr>
              <w:t> </w:t>
            </w:r>
          </w:p>
        </w:tc>
      </w:tr>
      <w:tr w:rsidR="003475E2" w:rsidRPr="00925C4B" w14:paraId="7F28A0E6" w14:textId="77777777" w:rsidTr="00A87D19">
        <w:trPr>
          <w:jc w:val="center"/>
        </w:trPr>
        <w:tc>
          <w:tcPr>
            <w:tcW w:w="2134" w:type="dxa"/>
            <w:hideMark/>
          </w:tcPr>
          <w:p w14:paraId="377C6798" w14:textId="77777777" w:rsidR="003475E2" w:rsidRPr="00A2345B" w:rsidRDefault="003475E2" w:rsidP="0032660B">
            <w:pPr>
              <w:spacing w:after="0"/>
              <w:ind w:left="150" w:right="90"/>
              <w:textAlignment w:val="baseline"/>
              <w:rPr>
                <w:rFonts w:ascii="Times New Roman" w:eastAsia="Times New Roman" w:hAnsi="Times New Roman"/>
                <w:sz w:val="24"/>
                <w:szCs w:val="24"/>
              </w:rPr>
            </w:pPr>
            <w:r w:rsidRPr="00A2345B">
              <w:rPr>
                <w:rFonts w:eastAsia="Times New Roman"/>
                <w:color w:val="000000"/>
                <w:sz w:val="18"/>
              </w:rPr>
              <w:t>Mean (median) </w:t>
            </w:r>
          </w:p>
        </w:tc>
        <w:tc>
          <w:tcPr>
            <w:tcW w:w="1546" w:type="dxa"/>
            <w:hideMark/>
          </w:tcPr>
          <w:p w14:paraId="3A9EF521"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82.8 (90.0)</w:t>
            </w:r>
          </w:p>
        </w:tc>
        <w:tc>
          <w:tcPr>
            <w:tcW w:w="1347" w:type="dxa"/>
            <w:hideMark/>
          </w:tcPr>
          <w:p w14:paraId="7F2ED4B1"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84.1 (90.0)</w:t>
            </w:r>
          </w:p>
        </w:tc>
        <w:tc>
          <w:tcPr>
            <w:tcW w:w="1474" w:type="dxa"/>
            <w:hideMark/>
          </w:tcPr>
          <w:p w14:paraId="42A2851C"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81.8 (88.0)</w:t>
            </w:r>
          </w:p>
        </w:tc>
        <w:tc>
          <w:tcPr>
            <w:tcW w:w="2229" w:type="dxa"/>
            <w:hideMark/>
          </w:tcPr>
          <w:p w14:paraId="6FD951EB"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83.7 (90.0)</w:t>
            </w:r>
          </w:p>
        </w:tc>
      </w:tr>
      <w:tr w:rsidR="003475E2" w:rsidRPr="00925C4B" w14:paraId="3B76C677" w14:textId="77777777" w:rsidTr="00F11772">
        <w:trPr>
          <w:jc w:val="center"/>
        </w:trPr>
        <w:tc>
          <w:tcPr>
            <w:tcW w:w="8730" w:type="dxa"/>
            <w:gridSpan w:val="5"/>
          </w:tcPr>
          <w:p w14:paraId="54B1938F" w14:textId="62C86D3A" w:rsidR="003475E2" w:rsidRPr="00A2345B" w:rsidRDefault="00A2345B" w:rsidP="0032660B">
            <w:pPr>
              <w:spacing w:after="0"/>
              <w:ind w:left="90" w:right="90"/>
              <w:textAlignment w:val="baseline"/>
              <w:rPr>
                <w:rFonts w:eastAsia="Times New Roman"/>
                <w:color w:val="000000"/>
                <w:sz w:val="18"/>
              </w:rPr>
            </w:pPr>
            <w:r w:rsidRPr="00A2345B">
              <w:rPr>
                <w:rFonts w:eastAsia="Times New Roman"/>
                <w:b/>
                <w:color w:val="000000"/>
                <w:sz w:val="18"/>
              </w:rPr>
              <w:t>Pharmacists’</w:t>
            </w:r>
            <w:r w:rsidR="003475E2" w:rsidRPr="00A2345B">
              <w:rPr>
                <w:rFonts w:eastAsia="Times New Roman"/>
                <w:b/>
                <w:color w:val="000000"/>
                <w:sz w:val="18"/>
              </w:rPr>
              <w:t xml:space="preserve"> belief of patients' </w:t>
            </w:r>
            <w:r w:rsidR="00CC54DA" w:rsidRPr="00A2345B">
              <w:rPr>
                <w:rFonts w:eastAsia="Times New Roman"/>
                <w:b/>
                <w:color w:val="000000"/>
                <w:sz w:val="18"/>
              </w:rPr>
              <w:t>adherence</w:t>
            </w:r>
            <w:r w:rsidR="003475E2" w:rsidRPr="00A2345B">
              <w:rPr>
                <w:rFonts w:eastAsia="Times New Roman"/>
                <w:b/>
                <w:color w:val="000000"/>
                <w:sz w:val="18"/>
              </w:rPr>
              <w:t xml:space="preserve"> to</w:t>
            </w:r>
            <w:r w:rsidR="00AA2D8C" w:rsidRPr="00A2345B">
              <w:rPr>
                <w:rFonts w:eastAsia="Times New Roman"/>
                <w:b/>
                <w:color w:val="000000"/>
                <w:sz w:val="18"/>
              </w:rPr>
              <w:t xml:space="preserve"> medication regimen for</w:t>
            </w:r>
            <w:r w:rsidR="003475E2" w:rsidRPr="00A2345B">
              <w:rPr>
                <w:rFonts w:eastAsia="Times New Roman"/>
                <w:b/>
                <w:color w:val="000000"/>
                <w:sz w:val="18"/>
              </w:rPr>
              <w:t xml:space="preserve"> </w:t>
            </w:r>
            <w:r w:rsidR="00BC7E0F" w:rsidRPr="00A2345B">
              <w:rPr>
                <w:rFonts w:eastAsia="Times New Roman"/>
                <w:b/>
                <w:color w:val="000000"/>
                <w:sz w:val="18"/>
              </w:rPr>
              <w:t xml:space="preserve">tablets capsules </w:t>
            </w:r>
            <w:r w:rsidR="003475E2" w:rsidRPr="00A2345B">
              <w:rPr>
                <w:rFonts w:eastAsia="Times New Roman"/>
                <w:b/>
                <w:color w:val="000000"/>
                <w:sz w:val="18"/>
              </w:rPr>
              <w:t>(0 to 10)</w:t>
            </w:r>
          </w:p>
        </w:tc>
      </w:tr>
      <w:tr w:rsidR="003475E2" w:rsidRPr="00925C4B" w14:paraId="1CFD6AC8" w14:textId="77777777" w:rsidTr="00A87D19">
        <w:trPr>
          <w:jc w:val="center"/>
        </w:trPr>
        <w:tc>
          <w:tcPr>
            <w:tcW w:w="2134" w:type="dxa"/>
          </w:tcPr>
          <w:p w14:paraId="56A8A430" w14:textId="77777777" w:rsidR="003475E2" w:rsidRPr="00A2345B" w:rsidRDefault="003475E2" w:rsidP="0032660B">
            <w:pPr>
              <w:spacing w:after="0"/>
              <w:ind w:left="150" w:right="90"/>
              <w:textAlignment w:val="baseline"/>
              <w:rPr>
                <w:rFonts w:eastAsia="Times New Roman"/>
                <w:color w:val="000000"/>
                <w:sz w:val="18"/>
              </w:rPr>
            </w:pPr>
            <w:r w:rsidRPr="00A2345B">
              <w:rPr>
                <w:rFonts w:eastAsia="Times New Roman"/>
                <w:color w:val="000000"/>
                <w:sz w:val="18"/>
              </w:rPr>
              <w:t>Mean (median) </w:t>
            </w:r>
          </w:p>
        </w:tc>
        <w:tc>
          <w:tcPr>
            <w:tcW w:w="1546" w:type="dxa"/>
          </w:tcPr>
          <w:p w14:paraId="1EAFA0ED"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8.4 (9.0)</w:t>
            </w:r>
          </w:p>
        </w:tc>
        <w:tc>
          <w:tcPr>
            <w:tcW w:w="1347" w:type="dxa"/>
          </w:tcPr>
          <w:p w14:paraId="52BD759E"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8.9 (9.0)</w:t>
            </w:r>
          </w:p>
        </w:tc>
        <w:tc>
          <w:tcPr>
            <w:tcW w:w="1474" w:type="dxa"/>
          </w:tcPr>
          <w:p w14:paraId="49562037"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8.5 (9.0)</w:t>
            </w:r>
          </w:p>
        </w:tc>
        <w:tc>
          <w:tcPr>
            <w:tcW w:w="2229" w:type="dxa"/>
          </w:tcPr>
          <w:p w14:paraId="081EB474" w14:textId="77777777" w:rsidR="003475E2" w:rsidRPr="00A2345B" w:rsidRDefault="003475E2" w:rsidP="0032660B">
            <w:pPr>
              <w:spacing w:after="0"/>
              <w:ind w:left="90" w:right="90"/>
              <w:textAlignment w:val="baseline"/>
              <w:rPr>
                <w:rFonts w:eastAsia="Times New Roman"/>
                <w:color w:val="000000"/>
                <w:sz w:val="18"/>
              </w:rPr>
            </w:pPr>
            <w:r w:rsidRPr="00A2345B">
              <w:rPr>
                <w:rFonts w:eastAsia="Times New Roman"/>
                <w:color w:val="000000"/>
                <w:sz w:val="18"/>
              </w:rPr>
              <w:t>8.1 (8.0)</w:t>
            </w:r>
          </w:p>
        </w:tc>
      </w:tr>
    </w:tbl>
    <w:p w14:paraId="40F64DAD" w14:textId="388CD7F9" w:rsidR="003475E2" w:rsidRDefault="003475E2" w:rsidP="003475E2">
      <w:pPr>
        <w:pStyle w:val="Chartortablefootnote"/>
        <w:rPr>
          <w:lang w:eastAsia="en-AU"/>
        </w:rPr>
      </w:pPr>
      <w:r w:rsidRPr="00925C4B">
        <w:rPr>
          <w:lang w:eastAsia="en-AU"/>
        </w:rPr>
        <w:t>Source: Health Outcomes data set provided by the Pharmacy Guild, to 30 June 202</w:t>
      </w:r>
      <w:r>
        <w:rPr>
          <w:lang w:eastAsia="en-AU"/>
        </w:rPr>
        <w:t>1</w:t>
      </w:r>
      <w:r w:rsidRPr="00925C4B">
        <w:rPr>
          <w:lang w:eastAsia="en-AU"/>
        </w:rPr>
        <w:t>. </w:t>
      </w:r>
    </w:p>
    <w:p w14:paraId="1930D73A" w14:textId="1FC32268" w:rsidR="001234A4" w:rsidRDefault="007B6DE8" w:rsidP="00140455">
      <w:pPr>
        <w:pStyle w:val="Chartortablefootnote"/>
        <w:jc w:val="left"/>
        <w:rPr>
          <w:rFonts w:eastAsiaTheme="minorHAnsi" w:cstheme="minorBidi"/>
          <w:i w:val="0"/>
          <w:sz w:val="20"/>
          <w:szCs w:val="22"/>
        </w:rPr>
      </w:pPr>
      <w:r>
        <w:rPr>
          <w:rFonts w:eastAsiaTheme="minorHAnsi" w:cstheme="minorBidi"/>
          <w:i w:val="0"/>
          <w:sz w:val="20"/>
          <w:szCs w:val="22"/>
        </w:rPr>
        <w:t xml:space="preserve">Among the patients who participated in the </w:t>
      </w:r>
      <w:r w:rsidR="00A7216F">
        <w:rPr>
          <w:rFonts w:eastAsiaTheme="minorHAnsi" w:cstheme="minorBidi"/>
          <w:i w:val="0"/>
          <w:sz w:val="20"/>
          <w:szCs w:val="22"/>
        </w:rPr>
        <w:t xml:space="preserve">community </w:t>
      </w:r>
      <w:r>
        <w:rPr>
          <w:rFonts w:eastAsiaTheme="minorHAnsi" w:cstheme="minorBidi"/>
          <w:i w:val="0"/>
          <w:sz w:val="20"/>
          <w:szCs w:val="22"/>
        </w:rPr>
        <w:t>pharmacy trial</w:t>
      </w:r>
      <w:r w:rsidR="000D3D25">
        <w:rPr>
          <w:rFonts w:eastAsiaTheme="minorHAnsi" w:cstheme="minorBidi"/>
          <w:i w:val="0"/>
          <w:sz w:val="20"/>
          <w:szCs w:val="22"/>
        </w:rPr>
        <w:t>,</w:t>
      </w:r>
      <w:r>
        <w:rPr>
          <w:rFonts w:eastAsiaTheme="minorHAnsi" w:cstheme="minorBidi"/>
          <w:i w:val="0"/>
          <w:sz w:val="20"/>
          <w:szCs w:val="22"/>
        </w:rPr>
        <w:t xml:space="preserve"> 55% (n = 845) had </w:t>
      </w:r>
      <w:r w:rsidR="00124D13">
        <w:rPr>
          <w:rFonts w:eastAsiaTheme="minorHAnsi" w:cstheme="minorBidi"/>
          <w:i w:val="0"/>
          <w:sz w:val="20"/>
          <w:szCs w:val="22"/>
        </w:rPr>
        <w:t>at least one review</w:t>
      </w:r>
      <w:r w:rsidR="00DF565B">
        <w:rPr>
          <w:rFonts w:eastAsiaTheme="minorHAnsi" w:cstheme="minorBidi"/>
          <w:i w:val="0"/>
          <w:sz w:val="20"/>
          <w:szCs w:val="22"/>
        </w:rPr>
        <w:t xml:space="preserve">, </w:t>
      </w:r>
      <w:r w:rsidR="00165FFD">
        <w:rPr>
          <w:rFonts w:eastAsiaTheme="minorHAnsi" w:cstheme="minorBidi"/>
          <w:i w:val="0"/>
          <w:sz w:val="20"/>
          <w:szCs w:val="22"/>
        </w:rPr>
        <w:t xml:space="preserve">38% (n = 588) had </w:t>
      </w:r>
      <w:r w:rsidR="00DF565B">
        <w:rPr>
          <w:rFonts w:eastAsiaTheme="minorHAnsi" w:cstheme="minorBidi"/>
          <w:i w:val="0"/>
          <w:sz w:val="20"/>
          <w:szCs w:val="22"/>
        </w:rPr>
        <w:t xml:space="preserve">a </w:t>
      </w:r>
      <w:r w:rsidR="008D2311">
        <w:rPr>
          <w:rFonts w:eastAsiaTheme="minorHAnsi" w:cstheme="minorBidi"/>
          <w:i w:val="0"/>
          <w:sz w:val="20"/>
          <w:szCs w:val="22"/>
        </w:rPr>
        <w:t>second</w:t>
      </w:r>
      <w:r w:rsidR="00CB591E">
        <w:rPr>
          <w:rFonts w:eastAsiaTheme="minorHAnsi" w:cstheme="minorBidi"/>
          <w:i w:val="0"/>
          <w:sz w:val="20"/>
          <w:szCs w:val="22"/>
        </w:rPr>
        <w:t xml:space="preserve"> review</w:t>
      </w:r>
      <w:r w:rsidR="00F83CBF">
        <w:rPr>
          <w:rFonts w:eastAsiaTheme="minorHAnsi" w:cstheme="minorBidi"/>
          <w:i w:val="0"/>
          <w:sz w:val="20"/>
          <w:szCs w:val="22"/>
        </w:rPr>
        <w:t xml:space="preserve">, and 26.3% (n = </w:t>
      </w:r>
      <w:r w:rsidR="009576DC">
        <w:rPr>
          <w:rFonts w:eastAsiaTheme="minorHAnsi" w:cstheme="minorBidi"/>
          <w:i w:val="0"/>
          <w:sz w:val="20"/>
          <w:szCs w:val="22"/>
        </w:rPr>
        <w:t xml:space="preserve">402) a </w:t>
      </w:r>
      <w:r w:rsidR="00CB591E">
        <w:rPr>
          <w:rFonts w:eastAsiaTheme="minorHAnsi" w:cstheme="minorBidi"/>
          <w:i w:val="0"/>
          <w:sz w:val="20"/>
          <w:szCs w:val="22"/>
        </w:rPr>
        <w:t>third</w:t>
      </w:r>
      <w:r w:rsidR="00E74540">
        <w:rPr>
          <w:rFonts w:eastAsiaTheme="minorHAnsi" w:cstheme="minorBidi"/>
          <w:i w:val="0"/>
          <w:sz w:val="20"/>
          <w:szCs w:val="22"/>
        </w:rPr>
        <w:t xml:space="preserve"> (</w:t>
      </w:r>
      <w:r w:rsidR="00E74540" w:rsidRPr="00A7216F">
        <w:rPr>
          <w:i w:val="0"/>
          <w:color w:val="1D2455"/>
          <w:sz w:val="20"/>
          <w:szCs w:val="16"/>
        </w:rPr>
        <w:fldChar w:fldCharType="begin"/>
      </w:r>
      <w:r w:rsidR="00E74540" w:rsidRPr="00A7216F">
        <w:rPr>
          <w:i w:val="0"/>
          <w:color w:val="1D2455"/>
          <w:sz w:val="20"/>
          <w:szCs w:val="16"/>
        </w:rPr>
        <w:instrText xml:space="preserve"> REF _Ref97735075 \h  \* MERGEFORMAT </w:instrText>
      </w:r>
      <w:r w:rsidR="00E74540" w:rsidRPr="00A7216F">
        <w:rPr>
          <w:i w:val="0"/>
          <w:color w:val="1D2455"/>
          <w:sz w:val="20"/>
          <w:szCs w:val="16"/>
        </w:rPr>
      </w:r>
      <w:r w:rsidR="00E74540" w:rsidRPr="00A7216F">
        <w:rPr>
          <w:i w:val="0"/>
          <w:color w:val="1D2455"/>
          <w:sz w:val="20"/>
          <w:szCs w:val="16"/>
        </w:rPr>
        <w:fldChar w:fldCharType="separate"/>
      </w:r>
      <w:r w:rsidR="003C4BC2" w:rsidRPr="003C4BC2">
        <w:rPr>
          <w:i w:val="0"/>
          <w:color w:val="1D2455"/>
          <w:sz w:val="20"/>
          <w:szCs w:val="16"/>
        </w:rPr>
        <w:t>Table 68</w:t>
      </w:r>
      <w:r w:rsidR="00E74540" w:rsidRPr="00A7216F">
        <w:rPr>
          <w:i w:val="0"/>
          <w:color w:val="1D2455"/>
          <w:sz w:val="20"/>
          <w:szCs w:val="16"/>
        </w:rPr>
        <w:fldChar w:fldCharType="end"/>
      </w:r>
      <w:r w:rsidR="00E74540">
        <w:rPr>
          <w:rFonts w:eastAsiaTheme="minorHAnsi" w:cstheme="minorBidi"/>
          <w:i w:val="0"/>
          <w:sz w:val="20"/>
          <w:szCs w:val="22"/>
        </w:rPr>
        <w:t>)</w:t>
      </w:r>
      <w:r w:rsidR="009576DC">
        <w:rPr>
          <w:rFonts w:eastAsiaTheme="minorHAnsi" w:cstheme="minorBidi"/>
          <w:i w:val="0"/>
          <w:sz w:val="20"/>
          <w:szCs w:val="22"/>
        </w:rPr>
        <w:t xml:space="preserve">. </w:t>
      </w:r>
      <w:r w:rsidR="00D926EC" w:rsidRPr="00D926EC">
        <w:rPr>
          <w:rFonts w:eastAsiaTheme="minorHAnsi" w:cstheme="minorBidi"/>
          <w:i w:val="0"/>
          <w:sz w:val="20"/>
          <w:szCs w:val="22"/>
        </w:rPr>
        <w:t xml:space="preserve">Longitudinal analysis of these data does not include the data from </w:t>
      </w:r>
      <w:r w:rsidR="00CB591E">
        <w:rPr>
          <w:rFonts w:eastAsiaTheme="minorHAnsi" w:cstheme="minorBidi"/>
          <w:i w:val="0"/>
          <w:sz w:val="20"/>
          <w:szCs w:val="22"/>
        </w:rPr>
        <w:t xml:space="preserve">the </w:t>
      </w:r>
      <w:r w:rsidR="008B2202">
        <w:rPr>
          <w:rFonts w:eastAsiaTheme="minorHAnsi" w:cstheme="minorBidi"/>
          <w:i w:val="0"/>
          <w:sz w:val="20"/>
          <w:szCs w:val="22"/>
        </w:rPr>
        <w:t>fourth</w:t>
      </w:r>
      <w:r w:rsidR="00CB591E">
        <w:rPr>
          <w:rFonts w:eastAsiaTheme="minorHAnsi" w:cstheme="minorBidi"/>
          <w:i w:val="0"/>
          <w:sz w:val="20"/>
          <w:szCs w:val="22"/>
        </w:rPr>
        <w:t xml:space="preserve"> review</w:t>
      </w:r>
      <w:r w:rsidR="00D926EC" w:rsidRPr="00D926EC">
        <w:rPr>
          <w:rFonts w:eastAsiaTheme="minorHAnsi" w:cstheme="minorBidi"/>
          <w:i w:val="0"/>
          <w:sz w:val="20"/>
          <w:szCs w:val="22"/>
        </w:rPr>
        <w:t xml:space="preserve"> because </w:t>
      </w:r>
      <w:r w:rsidR="00D30EE7" w:rsidRPr="00D30EE7">
        <w:rPr>
          <w:rFonts w:eastAsiaTheme="minorHAnsi" w:cstheme="minorBidi"/>
          <w:i w:val="0"/>
          <w:sz w:val="20"/>
          <w:szCs w:val="22"/>
        </w:rPr>
        <w:t xml:space="preserve">95% of the </w:t>
      </w:r>
      <w:r w:rsidR="00D30EE7">
        <w:rPr>
          <w:rFonts w:eastAsiaTheme="minorHAnsi" w:cstheme="minorBidi"/>
          <w:i w:val="0"/>
          <w:sz w:val="20"/>
          <w:szCs w:val="22"/>
        </w:rPr>
        <w:t xml:space="preserve">150 </w:t>
      </w:r>
      <w:r w:rsidR="00D926EC" w:rsidRPr="00D926EC">
        <w:rPr>
          <w:rFonts w:eastAsiaTheme="minorHAnsi" w:cstheme="minorBidi"/>
          <w:i w:val="0"/>
          <w:sz w:val="20"/>
          <w:szCs w:val="22"/>
        </w:rPr>
        <w:t xml:space="preserve">patients who had </w:t>
      </w:r>
      <w:r w:rsidR="00CB591E">
        <w:rPr>
          <w:rFonts w:eastAsiaTheme="minorHAnsi" w:cstheme="minorBidi"/>
          <w:i w:val="0"/>
          <w:sz w:val="20"/>
          <w:szCs w:val="22"/>
        </w:rPr>
        <w:t>fourth review</w:t>
      </w:r>
      <w:r w:rsidR="00D926EC" w:rsidRPr="00D926EC">
        <w:rPr>
          <w:rFonts w:eastAsiaTheme="minorHAnsi" w:cstheme="minorBidi"/>
          <w:i w:val="0"/>
          <w:sz w:val="20"/>
          <w:szCs w:val="22"/>
        </w:rPr>
        <w:t xml:space="preserve"> </w:t>
      </w:r>
      <w:r w:rsidR="002016BF">
        <w:rPr>
          <w:rFonts w:eastAsiaTheme="minorHAnsi" w:cstheme="minorBidi"/>
          <w:i w:val="0"/>
          <w:sz w:val="20"/>
          <w:szCs w:val="22"/>
        </w:rPr>
        <w:t>were</w:t>
      </w:r>
      <w:r w:rsidR="007D03C3">
        <w:rPr>
          <w:rFonts w:eastAsiaTheme="minorHAnsi" w:cstheme="minorBidi"/>
          <w:i w:val="0"/>
          <w:sz w:val="20"/>
          <w:szCs w:val="22"/>
        </w:rPr>
        <w:t xml:space="preserve"> from</w:t>
      </w:r>
      <w:r w:rsidR="002016BF">
        <w:rPr>
          <w:rFonts w:eastAsiaTheme="minorHAnsi" w:cstheme="minorBidi"/>
          <w:i w:val="0"/>
          <w:sz w:val="20"/>
          <w:szCs w:val="22"/>
        </w:rPr>
        <w:t xml:space="preserve"> just</w:t>
      </w:r>
      <w:r w:rsidR="007D03C3">
        <w:rPr>
          <w:rFonts w:eastAsiaTheme="minorHAnsi" w:cstheme="minorBidi"/>
          <w:i w:val="0"/>
          <w:sz w:val="20"/>
          <w:szCs w:val="22"/>
        </w:rPr>
        <w:t xml:space="preserve"> three practi</w:t>
      </w:r>
      <w:r w:rsidR="00BE32BB">
        <w:rPr>
          <w:rFonts w:eastAsiaTheme="minorHAnsi" w:cstheme="minorBidi"/>
          <w:i w:val="0"/>
          <w:sz w:val="20"/>
          <w:szCs w:val="22"/>
        </w:rPr>
        <w:t>ces</w:t>
      </w:r>
      <w:r w:rsidR="00D926EC" w:rsidRPr="00D926EC">
        <w:rPr>
          <w:rFonts w:eastAsiaTheme="minorHAnsi" w:cstheme="minorBidi"/>
          <w:i w:val="0"/>
          <w:sz w:val="20"/>
          <w:szCs w:val="22"/>
        </w:rPr>
        <w:t xml:space="preserve">. </w:t>
      </w:r>
    </w:p>
    <w:p w14:paraId="1A779B48" w14:textId="288FAA8B" w:rsidR="00D70D69" w:rsidRDefault="00633790" w:rsidP="003E4616">
      <w:pPr>
        <w:rPr>
          <w:lang w:val="en-GB"/>
        </w:rPr>
      </w:pPr>
      <w:r w:rsidRPr="00BA401C">
        <w:rPr>
          <w:lang w:val="en-GB"/>
        </w:rPr>
        <w:t xml:space="preserve">There </w:t>
      </w:r>
      <w:r w:rsidR="00141F96">
        <w:rPr>
          <w:lang w:val="en-GB"/>
        </w:rPr>
        <w:t xml:space="preserve">was very little change in the </w:t>
      </w:r>
      <w:r w:rsidR="00B77DF6">
        <w:rPr>
          <w:lang w:val="en-GB"/>
        </w:rPr>
        <w:t>proportion</w:t>
      </w:r>
      <w:r w:rsidR="00141F96">
        <w:rPr>
          <w:lang w:val="en-GB"/>
        </w:rPr>
        <w:t xml:space="preserve"> of </w:t>
      </w:r>
      <w:r>
        <w:rPr>
          <w:lang w:val="en-GB"/>
        </w:rPr>
        <w:t xml:space="preserve">patients </w:t>
      </w:r>
      <w:r w:rsidR="00141F96">
        <w:rPr>
          <w:lang w:val="en-GB"/>
        </w:rPr>
        <w:t>w</w:t>
      </w:r>
      <w:r w:rsidR="00676DCF">
        <w:rPr>
          <w:lang w:val="en-GB"/>
        </w:rPr>
        <w:t>ho were on less than five medications</w:t>
      </w:r>
      <w:r w:rsidRPr="00BA401C">
        <w:rPr>
          <w:lang w:val="en-GB"/>
        </w:rPr>
        <w:t xml:space="preserve"> over the </w:t>
      </w:r>
      <w:r w:rsidR="00676DCF">
        <w:rPr>
          <w:lang w:val="en-GB"/>
        </w:rPr>
        <w:t>first three reviews.</w:t>
      </w:r>
      <w:r w:rsidR="001E67E7">
        <w:rPr>
          <w:lang w:val="en-GB"/>
        </w:rPr>
        <w:t xml:space="preserve"> </w:t>
      </w:r>
      <w:r w:rsidR="003E4616" w:rsidRPr="003E4616">
        <w:rPr>
          <w:lang w:val="en-GB"/>
        </w:rPr>
        <w:t>There were however statistically significant improvements in the average patients’ medication adherence score</w:t>
      </w:r>
      <w:r w:rsidR="00FA0E3C">
        <w:rPr>
          <w:lang w:val="en-GB"/>
        </w:rPr>
        <w:t xml:space="preserve"> (change (95% CI)</w:t>
      </w:r>
      <w:r w:rsidR="00F32607">
        <w:rPr>
          <w:lang w:val="en-GB"/>
        </w:rPr>
        <w:t>:</w:t>
      </w:r>
      <w:r w:rsidR="00FA0E3C" w:rsidRPr="003E4616">
        <w:rPr>
          <w:lang w:val="en-GB"/>
        </w:rPr>
        <w:t xml:space="preserve"> 1.14 (0.86 to 1.43) per </w:t>
      </w:r>
      <w:r w:rsidR="0061788B">
        <w:rPr>
          <w:lang w:val="en-GB"/>
        </w:rPr>
        <w:t>review</w:t>
      </w:r>
      <w:r w:rsidR="00FA0E3C">
        <w:rPr>
          <w:lang w:val="en-GB"/>
        </w:rPr>
        <w:t>)</w:t>
      </w:r>
      <w:r w:rsidR="003E4616" w:rsidRPr="003E4616">
        <w:rPr>
          <w:lang w:val="en-GB"/>
        </w:rPr>
        <w:t xml:space="preserve"> and in the pharmacists’ belief of patients’ adherence to medication regime for tablets </w:t>
      </w:r>
      <w:r w:rsidR="007A5BB7">
        <w:rPr>
          <w:lang w:val="en-GB"/>
        </w:rPr>
        <w:t>or capsules</w:t>
      </w:r>
      <w:r w:rsidR="00FA0E3C">
        <w:rPr>
          <w:lang w:val="en-GB"/>
        </w:rPr>
        <w:t xml:space="preserve"> (</w:t>
      </w:r>
      <w:r w:rsidR="00F32607">
        <w:rPr>
          <w:lang w:val="en-GB"/>
        </w:rPr>
        <w:t xml:space="preserve">change (95% CI): </w:t>
      </w:r>
      <w:r w:rsidR="00FA0E3C" w:rsidRPr="003E4616">
        <w:rPr>
          <w:lang w:val="en-GB"/>
        </w:rPr>
        <w:t>0.065 (0.027 to 0.102)</w:t>
      </w:r>
      <w:r w:rsidR="00C22837">
        <w:rPr>
          <w:lang w:val="en-GB"/>
        </w:rPr>
        <w:t>)</w:t>
      </w:r>
      <w:r w:rsidR="007A5BB7">
        <w:rPr>
          <w:lang w:val="en-GB"/>
        </w:rPr>
        <w:t xml:space="preserve"> </w:t>
      </w:r>
      <w:r w:rsidR="003E4616" w:rsidRPr="003E4616">
        <w:rPr>
          <w:lang w:val="en-GB"/>
        </w:rPr>
        <w:t>(</w:t>
      </w:r>
      <w:r w:rsidR="00F32607">
        <w:rPr>
          <w:lang w:val="en-GB"/>
        </w:rPr>
        <w:t xml:space="preserve">see </w:t>
      </w:r>
      <w:r w:rsidR="003C58D3">
        <w:rPr>
          <w:lang w:val="en-GB"/>
        </w:rPr>
        <w:fldChar w:fldCharType="begin"/>
      </w:r>
      <w:r w:rsidR="003C58D3">
        <w:rPr>
          <w:lang w:val="en-GB"/>
        </w:rPr>
        <w:instrText xml:space="preserve"> REF _Ref97737817 \h </w:instrText>
      </w:r>
      <w:r w:rsidR="003C58D3">
        <w:rPr>
          <w:lang w:val="en-GB"/>
        </w:rPr>
      </w:r>
      <w:r w:rsidR="003C58D3">
        <w:rPr>
          <w:lang w:val="en-GB"/>
        </w:rPr>
        <w:fldChar w:fldCharType="separate"/>
      </w:r>
      <w:r w:rsidR="003C4BC2" w:rsidRPr="00F638E7">
        <w:rPr>
          <w:rStyle w:val="Strong1"/>
          <w:b w:val="0"/>
          <w:bCs/>
          <w:color w:val="1D2455"/>
          <w:sz w:val="20"/>
        </w:rPr>
        <w:t xml:space="preserve">Figure </w:t>
      </w:r>
      <w:r w:rsidR="003C4BC2">
        <w:rPr>
          <w:rStyle w:val="Strong1"/>
          <w:b w:val="0"/>
          <w:bCs/>
          <w:noProof/>
          <w:color w:val="1D2455"/>
          <w:sz w:val="20"/>
        </w:rPr>
        <w:t>83</w:t>
      </w:r>
      <w:r w:rsidR="003C58D3">
        <w:rPr>
          <w:lang w:val="en-GB"/>
        </w:rPr>
        <w:fldChar w:fldCharType="end"/>
      </w:r>
      <w:r w:rsidR="003C58D3">
        <w:rPr>
          <w:lang w:val="en-GB"/>
        </w:rPr>
        <w:t xml:space="preserve"> </w:t>
      </w:r>
      <w:r w:rsidR="00133B3E">
        <w:rPr>
          <w:lang w:val="en-GB"/>
        </w:rPr>
        <w:t>and</w:t>
      </w:r>
      <w:r w:rsidR="003C58D3">
        <w:rPr>
          <w:lang w:val="en-GB"/>
        </w:rPr>
        <w:t xml:space="preserve"> </w:t>
      </w:r>
      <w:r w:rsidR="003C58D3">
        <w:rPr>
          <w:lang w:val="en-GB"/>
        </w:rPr>
        <w:fldChar w:fldCharType="begin"/>
      </w:r>
      <w:r w:rsidR="003C58D3">
        <w:rPr>
          <w:lang w:val="en-GB"/>
        </w:rPr>
        <w:instrText xml:space="preserve"> REF _Ref97737832 \h </w:instrText>
      </w:r>
      <w:r w:rsidR="003C58D3">
        <w:rPr>
          <w:lang w:val="en-GB"/>
        </w:rPr>
      </w:r>
      <w:r w:rsidR="003C58D3">
        <w:rPr>
          <w:lang w:val="en-GB"/>
        </w:rPr>
        <w:fldChar w:fldCharType="separate"/>
      </w:r>
      <w:r w:rsidR="003C4BC2" w:rsidRPr="00F638E7">
        <w:rPr>
          <w:rStyle w:val="Strong1"/>
          <w:b w:val="0"/>
          <w:bCs/>
          <w:color w:val="1D2455"/>
          <w:sz w:val="20"/>
        </w:rPr>
        <w:t xml:space="preserve">Figure </w:t>
      </w:r>
      <w:r w:rsidR="003C4BC2">
        <w:rPr>
          <w:rStyle w:val="Strong1"/>
          <w:b w:val="0"/>
          <w:bCs/>
          <w:noProof/>
          <w:color w:val="1D2455"/>
          <w:sz w:val="20"/>
        </w:rPr>
        <w:t>84</w:t>
      </w:r>
      <w:r w:rsidR="003C58D3">
        <w:rPr>
          <w:lang w:val="en-GB"/>
        </w:rPr>
        <w:fldChar w:fldCharType="end"/>
      </w:r>
      <w:r w:rsidR="003E4616" w:rsidRPr="003E4616">
        <w:rPr>
          <w:lang w:val="en-GB"/>
        </w:rPr>
        <w:t>).</w:t>
      </w:r>
      <w:r w:rsidR="00A5755F">
        <w:rPr>
          <w:lang w:val="en-GB"/>
        </w:rPr>
        <w:t xml:space="preserve"> </w:t>
      </w:r>
      <w:r w:rsidR="009263E7" w:rsidRPr="009263E7">
        <w:rPr>
          <w:lang w:val="en-GB"/>
        </w:rPr>
        <w:t xml:space="preserve">The improvement in patients’ </w:t>
      </w:r>
      <w:proofErr w:type="spellStart"/>
      <w:r w:rsidR="009263E7" w:rsidRPr="009263E7">
        <w:rPr>
          <w:lang w:val="en-GB"/>
        </w:rPr>
        <w:t>MedsIndex</w:t>
      </w:r>
      <w:proofErr w:type="spellEnd"/>
      <w:r w:rsidR="009263E7" w:rsidRPr="009263E7">
        <w:rPr>
          <w:lang w:val="en-GB"/>
        </w:rPr>
        <w:t xml:space="preserve"> score can be seen in </w:t>
      </w:r>
      <w:r w:rsidR="009263E7">
        <w:rPr>
          <w:lang w:val="en-GB"/>
        </w:rPr>
        <w:fldChar w:fldCharType="begin"/>
      </w:r>
      <w:r w:rsidR="009263E7">
        <w:rPr>
          <w:lang w:val="en-GB"/>
        </w:rPr>
        <w:instrText xml:space="preserve"> REF _Ref97737817 \h </w:instrText>
      </w:r>
      <w:r w:rsidR="009263E7">
        <w:rPr>
          <w:lang w:val="en-GB"/>
        </w:rPr>
      </w:r>
      <w:r w:rsidR="009263E7">
        <w:rPr>
          <w:lang w:val="en-GB"/>
        </w:rPr>
        <w:fldChar w:fldCharType="separate"/>
      </w:r>
      <w:r w:rsidR="003C4BC2" w:rsidRPr="00F638E7">
        <w:rPr>
          <w:rStyle w:val="Strong1"/>
          <w:b w:val="0"/>
          <w:bCs/>
          <w:color w:val="1D2455"/>
          <w:sz w:val="20"/>
        </w:rPr>
        <w:t xml:space="preserve">Figure </w:t>
      </w:r>
      <w:r w:rsidR="003C4BC2">
        <w:rPr>
          <w:rStyle w:val="Strong1"/>
          <w:b w:val="0"/>
          <w:bCs/>
          <w:noProof/>
          <w:color w:val="1D2455"/>
          <w:sz w:val="20"/>
        </w:rPr>
        <w:t>83</w:t>
      </w:r>
      <w:r w:rsidR="009263E7">
        <w:rPr>
          <w:lang w:val="en-GB"/>
        </w:rPr>
        <w:fldChar w:fldCharType="end"/>
      </w:r>
      <w:r w:rsidR="009263E7" w:rsidRPr="009263E7">
        <w:rPr>
          <w:lang w:val="en-GB"/>
        </w:rPr>
        <w:t xml:space="preserve"> because the density curve for </w:t>
      </w:r>
      <w:r w:rsidR="00A35A83">
        <w:rPr>
          <w:lang w:val="en-GB"/>
        </w:rPr>
        <w:t>the initial consultation</w:t>
      </w:r>
      <w:r w:rsidR="009263E7" w:rsidRPr="009263E7">
        <w:rPr>
          <w:lang w:val="en-GB"/>
        </w:rPr>
        <w:t xml:space="preserve"> is lower (</w:t>
      </w:r>
      <w:r w:rsidR="00FA1407">
        <w:rPr>
          <w:lang w:val="en-GB"/>
        </w:rPr>
        <w:t>that is,</w:t>
      </w:r>
      <w:r w:rsidR="009263E7" w:rsidRPr="009263E7">
        <w:rPr>
          <w:lang w:val="en-GB"/>
        </w:rPr>
        <w:t xml:space="preserve"> fewer people) at high values of the </w:t>
      </w:r>
      <w:proofErr w:type="spellStart"/>
      <w:r w:rsidR="009263E7" w:rsidRPr="009263E7">
        <w:rPr>
          <w:lang w:val="en-GB"/>
        </w:rPr>
        <w:t>MedsIndex</w:t>
      </w:r>
      <w:proofErr w:type="spellEnd"/>
      <w:r w:rsidR="009263E7" w:rsidRPr="009263E7">
        <w:rPr>
          <w:lang w:val="en-GB"/>
        </w:rPr>
        <w:t xml:space="preserve"> score than it is for the other </w:t>
      </w:r>
      <w:r w:rsidR="00A35A83">
        <w:rPr>
          <w:lang w:val="en-GB"/>
        </w:rPr>
        <w:t>reviews</w:t>
      </w:r>
      <w:r w:rsidR="009263E7" w:rsidRPr="009263E7">
        <w:rPr>
          <w:lang w:val="en-GB"/>
        </w:rPr>
        <w:t>.</w:t>
      </w:r>
    </w:p>
    <w:p w14:paraId="59AB74B5" w14:textId="77777777" w:rsidR="00D70D69" w:rsidRDefault="00D70D69">
      <w:pPr>
        <w:spacing w:after="160" w:line="259" w:lineRule="auto"/>
        <w:rPr>
          <w:lang w:val="en-GB"/>
        </w:rPr>
      </w:pPr>
      <w:r>
        <w:rPr>
          <w:lang w:val="en-GB"/>
        </w:rPr>
        <w:br w:type="page"/>
      </w:r>
    </w:p>
    <w:p w14:paraId="1D578CCF" w14:textId="0C420AB5" w:rsidR="004C19E0" w:rsidRDefault="004C19E0" w:rsidP="004C19E0">
      <w:pPr>
        <w:pStyle w:val="tabletitle"/>
      </w:pPr>
      <w:bookmarkStart w:id="472" w:name="_Ref97735075"/>
      <w:r w:rsidRPr="00A2345B">
        <w:lastRenderedPageBreak/>
        <w:t>Table </w:t>
      </w:r>
      <w:r w:rsidR="00A61B29">
        <w:fldChar w:fldCharType="begin"/>
      </w:r>
      <w:r w:rsidR="00A61B29">
        <w:instrText xml:space="preserve"> SEQ Table\* ARABIC </w:instrText>
      </w:r>
      <w:r w:rsidR="00A61B29">
        <w:fldChar w:fldCharType="separate"/>
      </w:r>
      <w:r w:rsidR="003C4BC2">
        <w:rPr>
          <w:noProof/>
        </w:rPr>
        <w:t>68</w:t>
      </w:r>
      <w:r w:rsidR="00A61B29">
        <w:rPr>
          <w:noProof/>
        </w:rPr>
        <w:fldChar w:fldCharType="end"/>
      </w:r>
      <w:bookmarkEnd w:id="472"/>
      <w:r w:rsidRPr="00A2345B">
        <w:rPr>
          <w:noProof/>
        </w:rPr>
        <w:t>:</w:t>
      </w:r>
      <w:r w:rsidRPr="00A2345B">
        <w:t xml:space="preserve"> Community pharmacy trial </w:t>
      </w:r>
      <w:r w:rsidR="00A10C7C">
        <w:t>medication changes</w:t>
      </w:r>
      <w:r w:rsidR="0044198C">
        <w:t xml:space="preserve"> at each review</w:t>
      </w:r>
      <w:r w:rsidRPr="00A2345B">
        <w:t> </w:t>
      </w:r>
    </w:p>
    <w:tbl>
      <w:tblPr>
        <w:tblW w:w="5000"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686"/>
        <w:gridCol w:w="1640"/>
        <w:gridCol w:w="1416"/>
        <w:gridCol w:w="1416"/>
        <w:gridCol w:w="1429"/>
        <w:gridCol w:w="1429"/>
      </w:tblGrid>
      <w:tr w:rsidR="005134A0" w:rsidRPr="00D13E5F" w14:paraId="5E3D2BF6" w14:textId="77777777" w:rsidTr="00D13E5F">
        <w:trPr>
          <w:tblHeader/>
          <w:jc w:val="center"/>
        </w:trPr>
        <w:tc>
          <w:tcPr>
            <w:tcW w:w="1676" w:type="dxa"/>
            <w:shd w:val="clear" w:color="auto" w:fill="408BCA"/>
            <w:vAlign w:val="center"/>
            <w:hideMark/>
          </w:tcPr>
          <w:p w14:paraId="1F06ECFB" w14:textId="6676F055" w:rsidR="00E026F1" w:rsidRPr="00D13E5F" w:rsidRDefault="00E026F1" w:rsidP="00D13E5F">
            <w:pPr>
              <w:spacing w:after="0"/>
              <w:textAlignment w:val="baseline"/>
              <w:rPr>
                <w:rFonts w:ascii="Times New Roman" w:eastAsia="Times New Roman" w:hAnsi="Times New Roman"/>
                <w:b/>
                <w:sz w:val="18"/>
              </w:rPr>
            </w:pPr>
            <w:r w:rsidRPr="00D13E5F">
              <w:rPr>
                <w:rFonts w:eastAsia="Times New Roman"/>
                <w:b/>
                <w:color w:val="FFFFFF"/>
                <w:sz w:val="18"/>
              </w:rPr>
              <w:t>Characteristic</w:t>
            </w:r>
          </w:p>
        </w:tc>
        <w:tc>
          <w:tcPr>
            <w:tcW w:w="1684" w:type="dxa"/>
            <w:shd w:val="clear" w:color="auto" w:fill="408BCA"/>
            <w:vAlign w:val="center"/>
            <w:hideMark/>
          </w:tcPr>
          <w:p w14:paraId="67BE211D" w14:textId="7BEEED27" w:rsidR="00E026F1" w:rsidRPr="00D13E5F" w:rsidRDefault="00E026F1" w:rsidP="00D13E5F">
            <w:pPr>
              <w:spacing w:after="0"/>
              <w:textAlignment w:val="baseline"/>
              <w:rPr>
                <w:rFonts w:ascii="Times New Roman" w:eastAsia="Times New Roman" w:hAnsi="Times New Roman"/>
                <w:b/>
                <w:sz w:val="18"/>
              </w:rPr>
            </w:pPr>
            <w:r w:rsidRPr="00D13E5F">
              <w:rPr>
                <w:rFonts w:eastAsia="Times New Roman"/>
                <w:b/>
                <w:color w:val="FFFFFF"/>
                <w:sz w:val="18"/>
              </w:rPr>
              <w:t>Initi</w:t>
            </w:r>
            <w:r w:rsidR="008D3D21" w:rsidRPr="00D13E5F">
              <w:rPr>
                <w:rFonts w:eastAsia="Times New Roman"/>
                <w:b/>
                <w:color w:val="FFFFFF"/>
                <w:sz w:val="18"/>
              </w:rPr>
              <w:t>al consultation</w:t>
            </w:r>
            <w:r w:rsidRPr="00D13E5F">
              <w:rPr>
                <w:rFonts w:eastAsia="Times New Roman"/>
                <w:b/>
                <w:color w:val="FFFFFF"/>
                <w:sz w:val="18"/>
              </w:rPr>
              <w:br/>
              <w:t>(n = 1,531)</w:t>
            </w:r>
          </w:p>
        </w:tc>
        <w:tc>
          <w:tcPr>
            <w:tcW w:w="1463" w:type="dxa"/>
            <w:shd w:val="clear" w:color="auto" w:fill="408BCA"/>
            <w:vAlign w:val="center"/>
            <w:hideMark/>
          </w:tcPr>
          <w:p w14:paraId="04093DC4" w14:textId="09B469C7" w:rsidR="00E026F1" w:rsidRPr="00D13E5F" w:rsidRDefault="00BB10A7" w:rsidP="00D13E5F">
            <w:pPr>
              <w:spacing w:after="0"/>
              <w:textAlignment w:val="baseline"/>
              <w:rPr>
                <w:rFonts w:eastAsia="Times New Roman"/>
                <w:b/>
                <w:color w:val="FFFFFF"/>
                <w:sz w:val="18"/>
              </w:rPr>
            </w:pPr>
            <w:r w:rsidRPr="00D13E5F">
              <w:rPr>
                <w:rFonts w:eastAsia="Times New Roman"/>
                <w:b/>
                <w:color w:val="FFFFFF"/>
                <w:sz w:val="18"/>
              </w:rPr>
              <w:t>1</w:t>
            </w:r>
            <w:r w:rsidRPr="00D13E5F">
              <w:rPr>
                <w:rFonts w:eastAsia="Times New Roman"/>
                <w:b/>
                <w:color w:val="FFFFFF"/>
                <w:sz w:val="18"/>
                <w:vertAlign w:val="superscript"/>
              </w:rPr>
              <w:t>st</w:t>
            </w:r>
            <w:r w:rsidRPr="00D13E5F">
              <w:rPr>
                <w:rFonts w:eastAsia="Times New Roman"/>
                <w:b/>
                <w:color w:val="FFFFFF"/>
                <w:sz w:val="18"/>
              </w:rPr>
              <w:t xml:space="preserve"> review</w:t>
            </w:r>
          </w:p>
          <w:p w14:paraId="71932EB7" w14:textId="180CF02D" w:rsidR="00E026F1" w:rsidRPr="00D13E5F" w:rsidRDefault="00E026F1" w:rsidP="00D13E5F">
            <w:pPr>
              <w:spacing w:after="0"/>
              <w:textAlignment w:val="baseline"/>
              <w:rPr>
                <w:rFonts w:ascii="Times New Roman" w:eastAsia="Times New Roman" w:hAnsi="Times New Roman"/>
                <w:b/>
                <w:sz w:val="18"/>
              </w:rPr>
            </w:pPr>
            <w:r w:rsidRPr="00D13E5F">
              <w:rPr>
                <w:rFonts w:eastAsia="Times New Roman"/>
                <w:b/>
                <w:color w:val="FFFFFF"/>
                <w:sz w:val="18"/>
              </w:rPr>
              <w:t>(n = 845)</w:t>
            </w:r>
          </w:p>
        </w:tc>
        <w:tc>
          <w:tcPr>
            <w:tcW w:w="1463" w:type="dxa"/>
            <w:shd w:val="clear" w:color="auto" w:fill="408BCA"/>
            <w:vAlign w:val="center"/>
            <w:hideMark/>
          </w:tcPr>
          <w:p w14:paraId="2C0BD8F4" w14:textId="77777777" w:rsidR="00D41688" w:rsidRPr="00D13E5F" w:rsidRDefault="00BB10A7" w:rsidP="00D13E5F">
            <w:pPr>
              <w:spacing w:after="0"/>
              <w:textAlignment w:val="baseline"/>
              <w:rPr>
                <w:rFonts w:eastAsia="Times New Roman"/>
                <w:b/>
                <w:color w:val="FFFFFF"/>
                <w:sz w:val="18"/>
              </w:rPr>
            </w:pPr>
            <w:r w:rsidRPr="00D13E5F">
              <w:rPr>
                <w:rFonts w:eastAsia="Times New Roman"/>
                <w:b/>
                <w:color w:val="FFFFFF"/>
                <w:sz w:val="18"/>
              </w:rPr>
              <w:t>2</w:t>
            </w:r>
            <w:r w:rsidRPr="00D13E5F">
              <w:rPr>
                <w:rFonts w:eastAsia="Times New Roman"/>
                <w:b/>
                <w:color w:val="FFFFFF"/>
                <w:sz w:val="18"/>
                <w:vertAlign w:val="superscript"/>
              </w:rPr>
              <w:t>nd</w:t>
            </w:r>
            <w:r w:rsidRPr="00D13E5F">
              <w:rPr>
                <w:rFonts w:eastAsia="Times New Roman"/>
                <w:b/>
                <w:color w:val="FFFFFF"/>
                <w:sz w:val="18"/>
              </w:rPr>
              <w:t xml:space="preserve"> review</w:t>
            </w:r>
          </w:p>
          <w:p w14:paraId="1CBA4F7C" w14:textId="5D8EC4CE" w:rsidR="00E026F1" w:rsidRPr="00D13E5F" w:rsidRDefault="00E026F1" w:rsidP="00D13E5F">
            <w:pPr>
              <w:spacing w:after="0"/>
              <w:textAlignment w:val="baseline"/>
              <w:rPr>
                <w:rFonts w:ascii="Times New Roman" w:eastAsia="Times New Roman" w:hAnsi="Times New Roman"/>
                <w:b/>
                <w:sz w:val="18"/>
              </w:rPr>
            </w:pPr>
            <w:r w:rsidRPr="00D13E5F">
              <w:rPr>
                <w:rFonts w:eastAsia="Times New Roman"/>
                <w:b/>
                <w:color w:val="FFFFFF"/>
                <w:sz w:val="18"/>
              </w:rPr>
              <w:t>(n = 588)</w:t>
            </w:r>
          </w:p>
        </w:tc>
        <w:tc>
          <w:tcPr>
            <w:tcW w:w="1478" w:type="dxa"/>
            <w:shd w:val="clear" w:color="auto" w:fill="408BCA"/>
            <w:vAlign w:val="center"/>
            <w:hideMark/>
          </w:tcPr>
          <w:p w14:paraId="2F979D27" w14:textId="43669D54" w:rsidR="000A717C" w:rsidRPr="00D13E5F" w:rsidRDefault="000A717C" w:rsidP="00D13E5F">
            <w:pPr>
              <w:spacing w:after="0"/>
              <w:textAlignment w:val="baseline"/>
              <w:rPr>
                <w:rFonts w:eastAsia="Times New Roman"/>
                <w:b/>
                <w:color w:val="FFFFFF"/>
                <w:sz w:val="18"/>
              </w:rPr>
            </w:pPr>
            <w:r w:rsidRPr="00D13E5F">
              <w:rPr>
                <w:rFonts w:eastAsia="Times New Roman"/>
                <w:b/>
                <w:color w:val="FFFFFF"/>
                <w:sz w:val="18"/>
              </w:rPr>
              <w:t>3</w:t>
            </w:r>
            <w:r w:rsidRPr="00D13E5F">
              <w:rPr>
                <w:rFonts w:eastAsia="Times New Roman"/>
                <w:b/>
                <w:color w:val="FFFFFF"/>
                <w:sz w:val="18"/>
                <w:vertAlign w:val="superscript"/>
              </w:rPr>
              <w:t>rd</w:t>
            </w:r>
            <w:r w:rsidR="00BB10A7" w:rsidRPr="00D13E5F">
              <w:rPr>
                <w:rFonts w:eastAsia="Times New Roman"/>
                <w:b/>
                <w:color w:val="FFFFFF"/>
                <w:sz w:val="18"/>
                <w:vertAlign w:val="superscript"/>
              </w:rPr>
              <w:t xml:space="preserve"> </w:t>
            </w:r>
            <w:r w:rsidR="00BB10A7" w:rsidRPr="00D13E5F">
              <w:rPr>
                <w:rFonts w:eastAsia="Times New Roman"/>
                <w:b/>
                <w:color w:val="FFFFFF"/>
                <w:sz w:val="18"/>
              </w:rPr>
              <w:t>review</w:t>
            </w:r>
          </w:p>
          <w:p w14:paraId="26DFE8CF" w14:textId="24AD836C" w:rsidR="00E026F1" w:rsidRPr="00D13E5F" w:rsidRDefault="00E026F1" w:rsidP="00D13E5F">
            <w:pPr>
              <w:spacing w:after="0"/>
              <w:textAlignment w:val="baseline"/>
              <w:rPr>
                <w:rFonts w:ascii="Times New Roman" w:eastAsia="Times New Roman" w:hAnsi="Times New Roman"/>
                <w:b/>
                <w:sz w:val="18"/>
              </w:rPr>
            </w:pPr>
            <w:r w:rsidRPr="00D13E5F">
              <w:rPr>
                <w:rFonts w:eastAsia="Times New Roman"/>
                <w:b/>
                <w:color w:val="FFFFFF"/>
                <w:sz w:val="18"/>
              </w:rPr>
              <w:t>(n = 402)</w:t>
            </w:r>
          </w:p>
        </w:tc>
        <w:tc>
          <w:tcPr>
            <w:tcW w:w="1478" w:type="dxa"/>
            <w:shd w:val="clear" w:color="auto" w:fill="408BCA"/>
            <w:vAlign w:val="center"/>
          </w:tcPr>
          <w:p w14:paraId="345E4FA1" w14:textId="52AE7515" w:rsidR="007D29CE" w:rsidRPr="00D13E5F" w:rsidRDefault="000A717C" w:rsidP="00D13E5F">
            <w:pPr>
              <w:spacing w:after="0"/>
              <w:textAlignment w:val="baseline"/>
              <w:rPr>
                <w:rFonts w:eastAsia="Times New Roman"/>
                <w:b/>
                <w:color w:val="FFFFFF"/>
                <w:sz w:val="18"/>
              </w:rPr>
            </w:pPr>
            <w:r w:rsidRPr="00D13E5F">
              <w:rPr>
                <w:rFonts w:eastAsia="Times New Roman"/>
                <w:b/>
                <w:color w:val="FFFFFF"/>
                <w:sz w:val="18"/>
              </w:rPr>
              <w:t>4</w:t>
            </w:r>
            <w:r w:rsidRPr="00D13E5F">
              <w:rPr>
                <w:rFonts w:eastAsia="Times New Roman"/>
                <w:b/>
                <w:color w:val="FFFFFF"/>
                <w:sz w:val="18"/>
                <w:vertAlign w:val="superscript"/>
              </w:rPr>
              <w:t>th</w:t>
            </w:r>
            <w:r w:rsidR="00BB10A7" w:rsidRPr="00D13E5F">
              <w:rPr>
                <w:rFonts w:eastAsia="Times New Roman"/>
                <w:b/>
                <w:color w:val="FFFFFF"/>
                <w:sz w:val="18"/>
              </w:rPr>
              <w:t xml:space="preserve"> review</w:t>
            </w:r>
          </w:p>
          <w:p w14:paraId="66B238E2" w14:textId="71A3CF8D" w:rsidR="00E026F1" w:rsidRPr="00D13E5F" w:rsidRDefault="00E026F1" w:rsidP="00D13E5F">
            <w:pPr>
              <w:spacing w:after="0"/>
              <w:textAlignment w:val="baseline"/>
              <w:rPr>
                <w:rFonts w:eastAsia="Times New Roman"/>
                <w:b/>
                <w:color w:val="FFFFFF"/>
                <w:sz w:val="18"/>
              </w:rPr>
            </w:pPr>
            <w:r w:rsidRPr="00D13E5F">
              <w:rPr>
                <w:rFonts w:eastAsia="Times New Roman"/>
                <w:b/>
                <w:color w:val="FFFFFF"/>
                <w:sz w:val="18"/>
              </w:rPr>
              <w:t>(n = 150)</w:t>
            </w:r>
          </w:p>
        </w:tc>
      </w:tr>
      <w:tr w:rsidR="000F4B4D" w:rsidRPr="00E026F1" w14:paraId="22F2FF38" w14:textId="77777777" w:rsidTr="00F11772">
        <w:trPr>
          <w:jc w:val="center"/>
        </w:trPr>
        <w:tc>
          <w:tcPr>
            <w:tcW w:w="9242" w:type="dxa"/>
            <w:gridSpan w:val="6"/>
            <w:hideMark/>
          </w:tcPr>
          <w:p w14:paraId="1D38B135" w14:textId="214D8FC1" w:rsidR="000F4B4D" w:rsidRPr="00E026F1" w:rsidRDefault="00323AFC" w:rsidP="00E5716F">
            <w:pPr>
              <w:spacing w:after="0"/>
              <w:ind w:left="90" w:right="90"/>
              <w:textAlignment w:val="baseline"/>
              <w:rPr>
                <w:rFonts w:eastAsia="Times New Roman"/>
                <w:b/>
                <w:color w:val="000000"/>
                <w:sz w:val="18"/>
              </w:rPr>
            </w:pPr>
            <w:r>
              <w:rPr>
                <w:rFonts w:eastAsia="Times New Roman"/>
                <w:b/>
                <w:color w:val="000000"/>
                <w:sz w:val="18"/>
              </w:rPr>
              <w:t>Number of medications</w:t>
            </w:r>
            <w:r w:rsidRPr="00A2345B">
              <w:rPr>
                <w:rFonts w:eastAsia="Times New Roman"/>
                <w:color w:val="000000"/>
                <w:sz w:val="18"/>
              </w:rPr>
              <w:t> </w:t>
            </w:r>
          </w:p>
        </w:tc>
      </w:tr>
      <w:tr w:rsidR="00E026F1" w:rsidRPr="00E026F1" w14:paraId="47FC4CE7" w14:textId="77777777" w:rsidTr="00F11772">
        <w:trPr>
          <w:jc w:val="center"/>
        </w:trPr>
        <w:tc>
          <w:tcPr>
            <w:tcW w:w="1676" w:type="dxa"/>
            <w:shd w:val="clear" w:color="auto" w:fill="FFFFFF"/>
            <w:vAlign w:val="center"/>
            <w:hideMark/>
          </w:tcPr>
          <w:p w14:paraId="5F35CD53" w14:textId="7367FFA6" w:rsidR="00E026F1" w:rsidRPr="00323AFC" w:rsidRDefault="00323AFC" w:rsidP="00E5716F">
            <w:pPr>
              <w:spacing w:after="0"/>
              <w:ind w:left="150" w:right="90"/>
              <w:textAlignment w:val="baseline"/>
              <w:rPr>
                <w:rFonts w:eastAsia="Times New Roman"/>
                <w:color w:val="000000"/>
                <w:sz w:val="18"/>
              </w:rPr>
            </w:pPr>
            <w:r w:rsidRPr="00323AFC">
              <w:rPr>
                <w:rFonts w:eastAsia="Times New Roman"/>
                <w:color w:val="000000"/>
                <w:sz w:val="18"/>
              </w:rPr>
              <w:t>No</w:t>
            </w:r>
          </w:p>
        </w:tc>
        <w:tc>
          <w:tcPr>
            <w:tcW w:w="1684" w:type="dxa"/>
            <w:shd w:val="clear" w:color="auto" w:fill="FFFFFF"/>
            <w:vAlign w:val="center"/>
            <w:hideMark/>
          </w:tcPr>
          <w:p w14:paraId="2E12DC05" w14:textId="3AF8F064" w:rsidR="00E026F1" w:rsidRPr="00E026F1" w:rsidRDefault="00323AFC" w:rsidP="00E5716F">
            <w:pPr>
              <w:spacing w:after="0"/>
              <w:ind w:left="90" w:right="90"/>
              <w:textAlignment w:val="baseline"/>
              <w:rPr>
                <w:rFonts w:eastAsia="Times New Roman"/>
                <w:color w:val="000000"/>
                <w:sz w:val="18"/>
              </w:rPr>
            </w:pPr>
            <w:r w:rsidRPr="00323AFC">
              <w:rPr>
                <w:rFonts w:eastAsia="Times New Roman"/>
                <w:color w:val="000000"/>
                <w:sz w:val="18"/>
              </w:rPr>
              <w:t>312 (20.4%)</w:t>
            </w:r>
          </w:p>
        </w:tc>
        <w:tc>
          <w:tcPr>
            <w:tcW w:w="1463" w:type="dxa"/>
            <w:shd w:val="clear" w:color="auto" w:fill="FFFFFF"/>
            <w:vAlign w:val="center"/>
            <w:hideMark/>
          </w:tcPr>
          <w:p w14:paraId="248F70C1" w14:textId="39A19370" w:rsidR="00E026F1" w:rsidRPr="00E026F1" w:rsidRDefault="00323AFC" w:rsidP="00E5716F">
            <w:pPr>
              <w:spacing w:after="0"/>
              <w:ind w:left="90" w:right="90"/>
              <w:textAlignment w:val="baseline"/>
              <w:rPr>
                <w:rFonts w:eastAsia="Times New Roman"/>
                <w:color w:val="000000"/>
                <w:sz w:val="18"/>
              </w:rPr>
            </w:pPr>
            <w:r w:rsidRPr="00323AFC">
              <w:rPr>
                <w:rFonts w:eastAsia="Times New Roman"/>
                <w:color w:val="000000"/>
                <w:sz w:val="18"/>
              </w:rPr>
              <w:t>154 (18.2%)</w:t>
            </w:r>
          </w:p>
        </w:tc>
        <w:tc>
          <w:tcPr>
            <w:tcW w:w="1463" w:type="dxa"/>
            <w:shd w:val="clear" w:color="auto" w:fill="FFFFFF"/>
            <w:vAlign w:val="center"/>
            <w:hideMark/>
          </w:tcPr>
          <w:p w14:paraId="2DE553C9" w14:textId="0D99FCA8" w:rsidR="00E026F1" w:rsidRPr="00E026F1" w:rsidRDefault="00323AFC" w:rsidP="00E5716F">
            <w:pPr>
              <w:spacing w:after="0"/>
              <w:ind w:left="90" w:right="90"/>
              <w:textAlignment w:val="baseline"/>
              <w:rPr>
                <w:rFonts w:eastAsia="Times New Roman"/>
                <w:color w:val="000000"/>
                <w:sz w:val="18"/>
              </w:rPr>
            </w:pPr>
            <w:r w:rsidRPr="00323AFC">
              <w:rPr>
                <w:rFonts w:eastAsia="Times New Roman"/>
                <w:color w:val="000000"/>
                <w:sz w:val="18"/>
              </w:rPr>
              <w:t>117 (19.9%)</w:t>
            </w:r>
          </w:p>
        </w:tc>
        <w:tc>
          <w:tcPr>
            <w:tcW w:w="1478" w:type="dxa"/>
            <w:shd w:val="clear" w:color="auto" w:fill="FFFFFF"/>
            <w:vAlign w:val="center"/>
            <w:hideMark/>
          </w:tcPr>
          <w:p w14:paraId="51CC1E49" w14:textId="7615DFEA" w:rsidR="00E026F1" w:rsidRPr="00E026F1" w:rsidRDefault="00323AFC" w:rsidP="00E5716F">
            <w:pPr>
              <w:spacing w:after="0"/>
              <w:ind w:left="90" w:right="90"/>
              <w:textAlignment w:val="baseline"/>
              <w:rPr>
                <w:rFonts w:eastAsia="Times New Roman"/>
                <w:color w:val="000000"/>
                <w:sz w:val="18"/>
              </w:rPr>
            </w:pPr>
            <w:r w:rsidRPr="00323AFC">
              <w:rPr>
                <w:rFonts w:eastAsia="Times New Roman"/>
                <w:color w:val="000000"/>
                <w:sz w:val="18"/>
              </w:rPr>
              <w:t>69 (17.2%)</w:t>
            </w:r>
          </w:p>
        </w:tc>
        <w:tc>
          <w:tcPr>
            <w:tcW w:w="1478" w:type="dxa"/>
            <w:shd w:val="clear" w:color="auto" w:fill="FFFFFF"/>
            <w:vAlign w:val="center"/>
          </w:tcPr>
          <w:p w14:paraId="1EB2AF50" w14:textId="5C81261F" w:rsidR="00E026F1" w:rsidRPr="00E026F1" w:rsidRDefault="00323AFC" w:rsidP="00E5716F">
            <w:pPr>
              <w:spacing w:after="0"/>
              <w:ind w:left="90" w:right="90"/>
              <w:textAlignment w:val="baseline"/>
              <w:rPr>
                <w:rFonts w:eastAsia="Times New Roman"/>
                <w:color w:val="000000"/>
                <w:sz w:val="18"/>
              </w:rPr>
            </w:pPr>
            <w:r w:rsidRPr="00323AFC">
              <w:rPr>
                <w:rFonts w:eastAsia="Times New Roman"/>
                <w:color w:val="000000"/>
                <w:sz w:val="18"/>
              </w:rPr>
              <w:t>16 (10</w:t>
            </w:r>
            <w:r w:rsidR="00E026F1" w:rsidRPr="00323AFC">
              <w:rPr>
                <w:rFonts w:eastAsia="Times New Roman"/>
                <w:color w:val="000000"/>
                <w:sz w:val="18"/>
              </w:rPr>
              <w:t>.7%)</w:t>
            </w:r>
          </w:p>
        </w:tc>
      </w:tr>
      <w:tr w:rsidR="00323AFC" w:rsidRPr="00E026F1" w14:paraId="187BF583" w14:textId="77777777" w:rsidTr="00F11772">
        <w:trPr>
          <w:jc w:val="center"/>
        </w:trPr>
        <w:tc>
          <w:tcPr>
            <w:tcW w:w="1676" w:type="dxa"/>
            <w:shd w:val="clear" w:color="auto" w:fill="FFFFFF"/>
            <w:vAlign w:val="center"/>
          </w:tcPr>
          <w:p w14:paraId="7FE6311E" w14:textId="61A05305" w:rsidR="00323AFC" w:rsidRPr="00E026F1" w:rsidRDefault="00323AFC" w:rsidP="00323AFC">
            <w:pPr>
              <w:spacing w:after="0"/>
              <w:ind w:left="150" w:right="90"/>
              <w:textAlignment w:val="baseline"/>
              <w:rPr>
                <w:rFonts w:eastAsia="Times New Roman"/>
                <w:color w:val="000000"/>
                <w:sz w:val="18"/>
              </w:rPr>
            </w:pPr>
            <w:r w:rsidRPr="00323AFC">
              <w:rPr>
                <w:rFonts w:eastAsia="Times New Roman"/>
                <w:color w:val="000000"/>
                <w:sz w:val="18"/>
              </w:rPr>
              <w:t>Polypharmacy</w:t>
            </w:r>
          </w:p>
        </w:tc>
        <w:tc>
          <w:tcPr>
            <w:tcW w:w="1684" w:type="dxa"/>
            <w:shd w:val="clear" w:color="auto" w:fill="FFFFFF"/>
            <w:vAlign w:val="center"/>
          </w:tcPr>
          <w:p w14:paraId="3CF74CDA" w14:textId="5E9DC5E6" w:rsidR="00323AFC" w:rsidRPr="00323AFC" w:rsidRDefault="00323AFC" w:rsidP="00323AFC">
            <w:pPr>
              <w:spacing w:after="0"/>
              <w:ind w:left="90" w:right="90"/>
              <w:textAlignment w:val="baseline"/>
              <w:rPr>
                <w:rFonts w:eastAsia="Times New Roman"/>
                <w:color w:val="000000"/>
                <w:sz w:val="18"/>
              </w:rPr>
            </w:pPr>
            <w:r w:rsidRPr="00323AFC">
              <w:rPr>
                <w:rFonts w:eastAsia="Times New Roman"/>
                <w:color w:val="000000"/>
                <w:sz w:val="18"/>
              </w:rPr>
              <w:t>716 (46.8%)</w:t>
            </w:r>
          </w:p>
        </w:tc>
        <w:tc>
          <w:tcPr>
            <w:tcW w:w="1463" w:type="dxa"/>
            <w:shd w:val="clear" w:color="auto" w:fill="FFFFFF"/>
            <w:vAlign w:val="center"/>
          </w:tcPr>
          <w:p w14:paraId="764C11E5" w14:textId="65BDF5A6" w:rsidR="00323AFC" w:rsidRPr="00323AFC" w:rsidRDefault="00323AFC" w:rsidP="00323AFC">
            <w:pPr>
              <w:spacing w:after="0"/>
              <w:ind w:left="90" w:right="90"/>
              <w:textAlignment w:val="baseline"/>
              <w:rPr>
                <w:rFonts w:eastAsia="Times New Roman"/>
                <w:color w:val="000000"/>
                <w:sz w:val="18"/>
              </w:rPr>
            </w:pPr>
            <w:r w:rsidRPr="00323AFC">
              <w:rPr>
                <w:rFonts w:eastAsia="Times New Roman"/>
                <w:color w:val="000000"/>
                <w:sz w:val="18"/>
              </w:rPr>
              <w:t>348 (41.2%)</w:t>
            </w:r>
          </w:p>
        </w:tc>
        <w:tc>
          <w:tcPr>
            <w:tcW w:w="1463" w:type="dxa"/>
            <w:shd w:val="clear" w:color="auto" w:fill="FFFFFF"/>
            <w:vAlign w:val="center"/>
          </w:tcPr>
          <w:p w14:paraId="5F578210" w14:textId="4385CD20" w:rsidR="00323AFC" w:rsidRPr="00323AFC" w:rsidRDefault="00323AFC" w:rsidP="00323AFC">
            <w:pPr>
              <w:spacing w:after="0"/>
              <w:ind w:left="90" w:right="90"/>
              <w:textAlignment w:val="baseline"/>
              <w:rPr>
                <w:rFonts w:eastAsia="Times New Roman"/>
                <w:color w:val="000000"/>
                <w:sz w:val="18"/>
              </w:rPr>
            </w:pPr>
            <w:r w:rsidRPr="00323AFC">
              <w:rPr>
                <w:rFonts w:eastAsia="Times New Roman"/>
                <w:color w:val="000000"/>
                <w:sz w:val="18"/>
              </w:rPr>
              <w:t>229 (38.9%)</w:t>
            </w:r>
          </w:p>
        </w:tc>
        <w:tc>
          <w:tcPr>
            <w:tcW w:w="1478" w:type="dxa"/>
            <w:shd w:val="clear" w:color="auto" w:fill="FFFFFF"/>
            <w:vAlign w:val="center"/>
          </w:tcPr>
          <w:p w14:paraId="3B259407" w14:textId="7F1B2D12" w:rsidR="00323AFC" w:rsidRPr="00323AFC" w:rsidRDefault="00323AFC" w:rsidP="00323AFC">
            <w:pPr>
              <w:spacing w:after="0"/>
              <w:ind w:left="90" w:right="90"/>
              <w:textAlignment w:val="baseline"/>
              <w:rPr>
                <w:rFonts w:eastAsia="Times New Roman"/>
                <w:color w:val="000000"/>
                <w:sz w:val="18"/>
              </w:rPr>
            </w:pPr>
            <w:r w:rsidRPr="00323AFC">
              <w:rPr>
                <w:rFonts w:eastAsia="Times New Roman"/>
                <w:color w:val="000000"/>
                <w:sz w:val="18"/>
              </w:rPr>
              <w:t>158 (39.3%)</w:t>
            </w:r>
          </w:p>
        </w:tc>
        <w:tc>
          <w:tcPr>
            <w:tcW w:w="1478" w:type="dxa"/>
            <w:shd w:val="clear" w:color="auto" w:fill="FFFFFF"/>
            <w:vAlign w:val="center"/>
          </w:tcPr>
          <w:p w14:paraId="2BAC9FD2" w14:textId="509D13AF" w:rsidR="00323AFC" w:rsidRPr="00323AFC" w:rsidRDefault="00323AFC" w:rsidP="00323AFC">
            <w:pPr>
              <w:spacing w:after="0"/>
              <w:ind w:left="90" w:right="90"/>
              <w:textAlignment w:val="baseline"/>
              <w:rPr>
                <w:rFonts w:eastAsia="Times New Roman"/>
                <w:color w:val="000000"/>
                <w:sz w:val="18"/>
              </w:rPr>
            </w:pPr>
            <w:r w:rsidRPr="00323AFC">
              <w:rPr>
                <w:rFonts w:eastAsia="Times New Roman"/>
                <w:color w:val="000000"/>
                <w:sz w:val="18"/>
              </w:rPr>
              <w:t>52 (34.7%)</w:t>
            </w:r>
          </w:p>
        </w:tc>
      </w:tr>
      <w:tr w:rsidR="00323AFC" w:rsidRPr="00E026F1" w14:paraId="675529F0" w14:textId="77777777" w:rsidTr="00F11772">
        <w:trPr>
          <w:jc w:val="center"/>
        </w:trPr>
        <w:tc>
          <w:tcPr>
            <w:tcW w:w="1676" w:type="dxa"/>
            <w:shd w:val="clear" w:color="auto" w:fill="FFFFFF"/>
            <w:vAlign w:val="center"/>
          </w:tcPr>
          <w:p w14:paraId="444C0A90" w14:textId="3508FC10" w:rsidR="00323AFC" w:rsidRPr="00E026F1" w:rsidRDefault="00323AFC" w:rsidP="00323AFC">
            <w:pPr>
              <w:spacing w:after="0"/>
              <w:ind w:left="150" w:right="90"/>
              <w:textAlignment w:val="baseline"/>
              <w:rPr>
                <w:rFonts w:eastAsia="Times New Roman"/>
                <w:color w:val="000000"/>
                <w:sz w:val="18"/>
              </w:rPr>
            </w:pPr>
            <w:r w:rsidRPr="00323AFC">
              <w:rPr>
                <w:rFonts w:eastAsia="Times New Roman"/>
                <w:color w:val="000000"/>
                <w:sz w:val="18"/>
              </w:rPr>
              <w:t>Hyper-polypharmacy</w:t>
            </w:r>
          </w:p>
        </w:tc>
        <w:tc>
          <w:tcPr>
            <w:tcW w:w="1684" w:type="dxa"/>
            <w:shd w:val="clear" w:color="auto" w:fill="FFFFFF"/>
            <w:vAlign w:val="center"/>
          </w:tcPr>
          <w:p w14:paraId="343E177F" w14:textId="34BAC356" w:rsidR="00323AFC" w:rsidRPr="00323AFC" w:rsidRDefault="00323AFC" w:rsidP="00323AFC">
            <w:pPr>
              <w:spacing w:after="0"/>
              <w:ind w:left="90" w:right="90"/>
              <w:textAlignment w:val="baseline"/>
              <w:rPr>
                <w:rFonts w:eastAsia="Times New Roman"/>
                <w:color w:val="000000"/>
                <w:sz w:val="18"/>
              </w:rPr>
            </w:pPr>
            <w:r w:rsidRPr="00323AFC">
              <w:rPr>
                <w:rFonts w:eastAsia="Times New Roman"/>
                <w:color w:val="000000"/>
                <w:sz w:val="18"/>
              </w:rPr>
              <w:t>503 (32.9%)</w:t>
            </w:r>
          </w:p>
        </w:tc>
        <w:tc>
          <w:tcPr>
            <w:tcW w:w="1463" w:type="dxa"/>
            <w:shd w:val="clear" w:color="auto" w:fill="FFFFFF"/>
            <w:vAlign w:val="center"/>
          </w:tcPr>
          <w:p w14:paraId="4D182D2A" w14:textId="7BE485B1" w:rsidR="00323AFC" w:rsidRPr="00323AFC" w:rsidRDefault="00323AFC" w:rsidP="00323AFC">
            <w:pPr>
              <w:spacing w:after="0"/>
              <w:ind w:left="90" w:right="90"/>
              <w:textAlignment w:val="baseline"/>
              <w:rPr>
                <w:rFonts w:eastAsia="Times New Roman"/>
                <w:color w:val="000000"/>
                <w:sz w:val="18"/>
              </w:rPr>
            </w:pPr>
            <w:r w:rsidRPr="00323AFC">
              <w:rPr>
                <w:rFonts w:eastAsia="Times New Roman"/>
                <w:color w:val="000000"/>
                <w:sz w:val="18"/>
              </w:rPr>
              <w:t>343 (40.6%)</w:t>
            </w:r>
          </w:p>
        </w:tc>
        <w:tc>
          <w:tcPr>
            <w:tcW w:w="1463" w:type="dxa"/>
            <w:shd w:val="clear" w:color="auto" w:fill="FFFFFF"/>
            <w:vAlign w:val="center"/>
          </w:tcPr>
          <w:p w14:paraId="33898FC8" w14:textId="08E9D423" w:rsidR="00323AFC" w:rsidRPr="00323AFC" w:rsidRDefault="00323AFC" w:rsidP="00323AFC">
            <w:pPr>
              <w:spacing w:after="0"/>
              <w:ind w:left="90" w:right="90"/>
              <w:textAlignment w:val="baseline"/>
              <w:rPr>
                <w:rFonts w:eastAsia="Times New Roman"/>
                <w:color w:val="000000"/>
                <w:sz w:val="18"/>
              </w:rPr>
            </w:pPr>
            <w:r w:rsidRPr="00323AFC">
              <w:rPr>
                <w:rFonts w:eastAsia="Times New Roman"/>
                <w:color w:val="000000"/>
                <w:sz w:val="18"/>
              </w:rPr>
              <w:t>242 (41.2%)</w:t>
            </w:r>
          </w:p>
        </w:tc>
        <w:tc>
          <w:tcPr>
            <w:tcW w:w="1478" w:type="dxa"/>
            <w:shd w:val="clear" w:color="auto" w:fill="FFFFFF"/>
            <w:vAlign w:val="center"/>
          </w:tcPr>
          <w:p w14:paraId="3F5DB83C" w14:textId="0D7BE782" w:rsidR="00323AFC" w:rsidRPr="00323AFC" w:rsidRDefault="00323AFC" w:rsidP="00323AFC">
            <w:pPr>
              <w:spacing w:after="0"/>
              <w:ind w:left="90" w:right="90"/>
              <w:textAlignment w:val="baseline"/>
              <w:rPr>
                <w:rFonts w:eastAsia="Times New Roman"/>
                <w:color w:val="000000"/>
                <w:sz w:val="18"/>
              </w:rPr>
            </w:pPr>
            <w:r w:rsidRPr="00323AFC">
              <w:rPr>
                <w:rFonts w:eastAsia="Times New Roman"/>
                <w:color w:val="000000"/>
                <w:sz w:val="18"/>
              </w:rPr>
              <w:t>175 (43.5%)</w:t>
            </w:r>
          </w:p>
        </w:tc>
        <w:tc>
          <w:tcPr>
            <w:tcW w:w="1478" w:type="dxa"/>
            <w:shd w:val="clear" w:color="auto" w:fill="FFFFFF"/>
            <w:vAlign w:val="center"/>
          </w:tcPr>
          <w:p w14:paraId="0971A1B4" w14:textId="656D20D2" w:rsidR="00323AFC" w:rsidRPr="00323AFC" w:rsidRDefault="00323AFC" w:rsidP="00323AFC">
            <w:pPr>
              <w:spacing w:after="0"/>
              <w:ind w:left="90" w:right="90"/>
              <w:textAlignment w:val="baseline"/>
              <w:rPr>
                <w:rFonts w:eastAsia="Times New Roman"/>
                <w:color w:val="000000"/>
                <w:sz w:val="18"/>
              </w:rPr>
            </w:pPr>
            <w:r w:rsidRPr="00323AFC">
              <w:rPr>
                <w:rFonts w:eastAsia="Times New Roman"/>
                <w:color w:val="000000"/>
                <w:sz w:val="18"/>
              </w:rPr>
              <w:t>82 (54.7%)</w:t>
            </w:r>
          </w:p>
        </w:tc>
      </w:tr>
      <w:tr w:rsidR="000F4B4D" w:rsidRPr="00E026F1" w14:paraId="11DF86A5" w14:textId="77777777" w:rsidTr="00F11772">
        <w:trPr>
          <w:jc w:val="center"/>
        </w:trPr>
        <w:tc>
          <w:tcPr>
            <w:tcW w:w="9242" w:type="dxa"/>
            <w:gridSpan w:val="6"/>
            <w:hideMark/>
          </w:tcPr>
          <w:p w14:paraId="071A2A90" w14:textId="20477BBB" w:rsidR="000F4B4D" w:rsidRPr="00E026F1" w:rsidRDefault="000F4B4D" w:rsidP="00E5716F">
            <w:pPr>
              <w:spacing w:after="0"/>
              <w:ind w:left="90" w:right="90"/>
              <w:textAlignment w:val="baseline"/>
              <w:rPr>
                <w:rFonts w:eastAsia="Times New Roman"/>
                <w:b/>
                <w:color w:val="000000"/>
                <w:sz w:val="18"/>
              </w:rPr>
            </w:pPr>
            <w:r w:rsidRPr="00E026F1">
              <w:rPr>
                <w:rFonts w:eastAsia="Times New Roman"/>
                <w:b/>
                <w:color w:val="000000"/>
                <w:sz w:val="18"/>
              </w:rPr>
              <w:t>Medication adherence (</w:t>
            </w:r>
            <w:proofErr w:type="spellStart"/>
            <w:r w:rsidRPr="00E026F1">
              <w:rPr>
                <w:rFonts w:eastAsia="Times New Roman"/>
                <w:b/>
                <w:color w:val="000000"/>
                <w:sz w:val="18"/>
              </w:rPr>
              <w:t>MedsIndex</w:t>
            </w:r>
            <w:proofErr w:type="spellEnd"/>
            <w:r w:rsidRPr="00E026F1">
              <w:rPr>
                <w:rFonts w:eastAsia="Times New Roman"/>
                <w:b/>
                <w:color w:val="000000"/>
                <w:sz w:val="18"/>
              </w:rPr>
              <w:t> score)</w:t>
            </w:r>
            <w:r w:rsidRPr="00E026F1">
              <w:rPr>
                <w:rFonts w:eastAsia="Times New Roman"/>
                <w:color w:val="000000"/>
                <w:sz w:val="18"/>
              </w:rPr>
              <w:t> </w:t>
            </w:r>
          </w:p>
        </w:tc>
      </w:tr>
      <w:tr w:rsidR="00E026F1" w:rsidRPr="00E026F1" w14:paraId="3B397235" w14:textId="77777777" w:rsidTr="00F11772">
        <w:trPr>
          <w:jc w:val="center"/>
        </w:trPr>
        <w:tc>
          <w:tcPr>
            <w:tcW w:w="1676" w:type="dxa"/>
            <w:hideMark/>
          </w:tcPr>
          <w:p w14:paraId="473D217C" w14:textId="77777777" w:rsidR="00E026F1" w:rsidRPr="00E026F1" w:rsidRDefault="00E026F1" w:rsidP="00E5716F">
            <w:pPr>
              <w:spacing w:after="0"/>
              <w:ind w:left="150" w:right="90"/>
              <w:textAlignment w:val="baseline"/>
              <w:rPr>
                <w:rFonts w:ascii="Times New Roman" w:eastAsia="Times New Roman" w:hAnsi="Times New Roman"/>
                <w:sz w:val="18"/>
              </w:rPr>
            </w:pPr>
            <w:r w:rsidRPr="00E026F1">
              <w:rPr>
                <w:rFonts w:eastAsia="Times New Roman"/>
                <w:color w:val="000000"/>
                <w:sz w:val="18"/>
              </w:rPr>
              <w:t>0 to &lt;50 </w:t>
            </w:r>
          </w:p>
        </w:tc>
        <w:tc>
          <w:tcPr>
            <w:tcW w:w="1684" w:type="dxa"/>
            <w:hideMark/>
          </w:tcPr>
          <w:p w14:paraId="0F3A7F12" w14:textId="77777777" w:rsidR="00E026F1" w:rsidRPr="00E026F1" w:rsidRDefault="00E026F1" w:rsidP="00E5716F">
            <w:pPr>
              <w:spacing w:after="0"/>
              <w:ind w:left="90" w:right="90"/>
              <w:textAlignment w:val="baseline"/>
              <w:rPr>
                <w:rFonts w:eastAsia="Times New Roman"/>
                <w:color w:val="000000"/>
                <w:sz w:val="18"/>
              </w:rPr>
            </w:pPr>
            <w:r w:rsidRPr="00E026F1">
              <w:rPr>
                <w:rFonts w:eastAsia="Times New Roman"/>
                <w:color w:val="000000"/>
                <w:sz w:val="18"/>
              </w:rPr>
              <w:t>89 (5.8%)</w:t>
            </w:r>
          </w:p>
        </w:tc>
        <w:tc>
          <w:tcPr>
            <w:tcW w:w="1463" w:type="dxa"/>
            <w:hideMark/>
          </w:tcPr>
          <w:p w14:paraId="52299407"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18 (2.1%)</w:t>
            </w:r>
          </w:p>
        </w:tc>
        <w:tc>
          <w:tcPr>
            <w:tcW w:w="1463" w:type="dxa"/>
            <w:hideMark/>
          </w:tcPr>
          <w:p w14:paraId="2020BD1E"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8 (1.4%)</w:t>
            </w:r>
          </w:p>
        </w:tc>
        <w:tc>
          <w:tcPr>
            <w:tcW w:w="1478" w:type="dxa"/>
            <w:hideMark/>
          </w:tcPr>
          <w:p w14:paraId="2303E2F2"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4 (1.0%)</w:t>
            </w:r>
          </w:p>
        </w:tc>
        <w:tc>
          <w:tcPr>
            <w:tcW w:w="1478" w:type="dxa"/>
          </w:tcPr>
          <w:p w14:paraId="6726167C" w14:textId="77777777" w:rsidR="00E026F1" w:rsidRPr="00E026F1" w:rsidRDefault="00E026F1" w:rsidP="00E5716F">
            <w:pPr>
              <w:spacing w:after="0"/>
              <w:ind w:left="90" w:right="90"/>
              <w:textAlignment w:val="baseline"/>
              <w:rPr>
                <w:rFonts w:eastAsia="Times New Roman"/>
                <w:color w:val="000000"/>
                <w:sz w:val="18"/>
              </w:rPr>
            </w:pPr>
          </w:p>
        </w:tc>
      </w:tr>
      <w:tr w:rsidR="00E026F1" w:rsidRPr="00E026F1" w14:paraId="0F656EC6" w14:textId="77777777" w:rsidTr="00F11772">
        <w:trPr>
          <w:jc w:val="center"/>
        </w:trPr>
        <w:tc>
          <w:tcPr>
            <w:tcW w:w="1676" w:type="dxa"/>
            <w:hideMark/>
          </w:tcPr>
          <w:p w14:paraId="25DF28F5" w14:textId="77777777" w:rsidR="00E026F1" w:rsidRPr="00E026F1" w:rsidRDefault="00E026F1" w:rsidP="00E5716F">
            <w:pPr>
              <w:spacing w:after="0"/>
              <w:ind w:left="150" w:right="90"/>
              <w:textAlignment w:val="baseline"/>
              <w:rPr>
                <w:rFonts w:ascii="Times New Roman" w:eastAsia="Times New Roman" w:hAnsi="Times New Roman"/>
                <w:sz w:val="18"/>
              </w:rPr>
            </w:pPr>
            <w:r w:rsidRPr="00E026F1">
              <w:rPr>
                <w:rFonts w:eastAsia="Times New Roman"/>
                <w:color w:val="000000"/>
                <w:sz w:val="18"/>
              </w:rPr>
              <w:t>50 to &lt;80 </w:t>
            </w:r>
          </w:p>
        </w:tc>
        <w:tc>
          <w:tcPr>
            <w:tcW w:w="1684" w:type="dxa"/>
            <w:hideMark/>
          </w:tcPr>
          <w:p w14:paraId="7D330057" w14:textId="77777777" w:rsidR="00E026F1" w:rsidRPr="00E026F1" w:rsidRDefault="00E026F1" w:rsidP="00E5716F">
            <w:pPr>
              <w:spacing w:after="0"/>
              <w:ind w:left="90" w:right="90"/>
              <w:textAlignment w:val="baseline"/>
              <w:rPr>
                <w:rFonts w:eastAsia="Times New Roman"/>
                <w:color w:val="000000"/>
                <w:sz w:val="18"/>
              </w:rPr>
            </w:pPr>
            <w:r w:rsidRPr="00E026F1">
              <w:rPr>
                <w:rFonts w:eastAsia="Times New Roman"/>
                <w:color w:val="000000"/>
                <w:sz w:val="18"/>
              </w:rPr>
              <w:t>322 (21.0%)</w:t>
            </w:r>
          </w:p>
        </w:tc>
        <w:tc>
          <w:tcPr>
            <w:tcW w:w="1463" w:type="dxa"/>
            <w:hideMark/>
          </w:tcPr>
          <w:p w14:paraId="28A0F26F"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128 (15.1%)</w:t>
            </w:r>
          </w:p>
        </w:tc>
        <w:tc>
          <w:tcPr>
            <w:tcW w:w="1463" w:type="dxa"/>
            <w:hideMark/>
          </w:tcPr>
          <w:p w14:paraId="4181444C"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75 (12.8%)</w:t>
            </w:r>
          </w:p>
        </w:tc>
        <w:tc>
          <w:tcPr>
            <w:tcW w:w="1478" w:type="dxa"/>
            <w:hideMark/>
          </w:tcPr>
          <w:p w14:paraId="1725E563"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57 (14.2%)</w:t>
            </w:r>
          </w:p>
        </w:tc>
        <w:tc>
          <w:tcPr>
            <w:tcW w:w="1478" w:type="dxa"/>
          </w:tcPr>
          <w:p w14:paraId="23DDCF46"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6 (4.0%)</w:t>
            </w:r>
          </w:p>
        </w:tc>
      </w:tr>
      <w:tr w:rsidR="00E026F1" w:rsidRPr="00E026F1" w14:paraId="06F9C929" w14:textId="77777777" w:rsidTr="00F11772">
        <w:trPr>
          <w:jc w:val="center"/>
        </w:trPr>
        <w:tc>
          <w:tcPr>
            <w:tcW w:w="1676" w:type="dxa"/>
            <w:hideMark/>
          </w:tcPr>
          <w:p w14:paraId="41575A33" w14:textId="77777777" w:rsidR="00E026F1" w:rsidRPr="00E026F1" w:rsidRDefault="00E026F1" w:rsidP="00E5716F">
            <w:pPr>
              <w:spacing w:after="0"/>
              <w:ind w:left="150" w:right="90"/>
              <w:textAlignment w:val="baseline"/>
              <w:rPr>
                <w:rFonts w:ascii="Times New Roman" w:eastAsia="Times New Roman" w:hAnsi="Times New Roman"/>
                <w:sz w:val="18"/>
              </w:rPr>
            </w:pPr>
            <w:r w:rsidRPr="00E026F1">
              <w:rPr>
                <w:rFonts w:eastAsia="Times New Roman"/>
                <w:color w:val="000000"/>
                <w:sz w:val="18"/>
              </w:rPr>
              <w:t>80 to &lt;85 </w:t>
            </w:r>
          </w:p>
        </w:tc>
        <w:tc>
          <w:tcPr>
            <w:tcW w:w="1684" w:type="dxa"/>
            <w:hideMark/>
          </w:tcPr>
          <w:p w14:paraId="4F2C402D" w14:textId="77777777" w:rsidR="00E026F1" w:rsidRPr="00E026F1" w:rsidRDefault="00E026F1" w:rsidP="00E5716F">
            <w:pPr>
              <w:spacing w:after="0"/>
              <w:ind w:left="90" w:right="90"/>
              <w:textAlignment w:val="baseline"/>
              <w:rPr>
                <w:rFonts w:eastAsia="Times New Roman"/>
                <w:color w:val="000000"/>
                <w:sz w:val="18"/>
              </w:rPr>
            </w:pPr>
            <w:r w:rsidRPr="00E026F1">
              <w:rPr>
                <w:rFonts w:eastAsia="Times New Roman"/>
                <w:color w:val="000000"/>
                <w:sz w:val="18"/>
              </w:rPr>
              <w:t>169 (11.0%)</w:t>
            </w:r>
          </w:p>
        </w:tc>
        <w:tc>
          <w:tcPr>
            <w:tcW w:w="1463" w:type="dxa"/>
            <w:hideMark/>
          </w:tcPr>
          <w:p w14:paraId="6FA6DC88"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111 (13.1%)</w:t>
            </w:r>
          </w:p>
        </w:tc>
        <w:tc>
          <w:tcPr>
            <w:tcW w:w="1463" w:type="dxa"/>
            <w:hideMark/>
          </w:tcPr>
          <w:p w14:paraId="6F67339B"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71 (12.1%)</w:t>
            </w:r>
          </w:p>
        </w:tc>
        <w:tc>
          <w:tcPr>
            <w:tcW w:w="1478" w:type="dxa"/>
            <w:hideMark/>
          </w:tcPr>
          <w:p w14:paraId="6533B838"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47 (11.7%)</w:t>
            </w:r>
          </w:p>
        </w:tc>
        <w:tc>
          <w:tcPr>
            <w:tcW w:w="1478" w:type="dxa"/>
          </w:tcPr>
          <w:p w14:paraId="0C2F2060"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17 (11.3%)</w:t>
            </w:r>
          </w:p>
        </w:tc>
      </w:tr>
      <w:tr w:rsidR="00E026F1" w:rsidRPr="00E026F1" w14:paraId="2B10747D" w14:textId="77777777" w:rsidTr="00F11772">
        <w:trPr>
          <w:jc w:val="center"/>
        </w:trPr>
        <w:tc>
          <w:tcPr>
            <w:tcW w:w="1676" w:type="dxa"/>
            <w:hideMark/>
          </w:tcPr>
          <w:p w14:paraId="37A6EBE8" w14:textId="77777777" w:rsidR="00E026F1" w:rsidRPr="00E026F1" w:rsidRDefault="00E026F1" w:rsidP="00E5716F">
            <w:pPr>
              <w:spacing w:after="0"/>
              <w:ind w:left="150" w:right="90"/>
              <w:textAlignment w:val="baseline"/>
              <w:rPr>
                <w:rFonts w:ascii="Times New Roman" w:eastAsia="Times New Roman" w:hAnsi="Times New Roman"/>
                <w:sz w:val="18"/>
              </w:rPr>
            </w:pPr>
            <w:r w:rsidRPr="00E026F1">
              <w:rPr>
                <w:rFonts w:eastAsia="Times New Roman"/>
                <w:color w:val="000000"/>
                <w:sz w:val="18"/>
              </w:rPr>
              <w:t>85 to &lt;90 </w:t>
            </w:r>
          </w:p>
        </w:tc>
        <w:tc>
          <w:tcPr>
            <w:tcW w:w="1684" w:type="dxa"/>
            <w:hideMark/>
          </w:tcPr>
          <w:p w14:paraId="19B4FE19" w14:textId="77777777" w:rsidR="00E026F1" w:rsidRPr="00E026F1" w:rsidRDefault="00E026F1" w:rsidP="00E5716F">
            <w:pPr>
              <w:spacing w:after="0"/>
              <w:ind w:left="90" w:right="90"/>
              <w:textAlignment w:val="baseline"/>
              <w:rPr>
                <w:rFonts w:eastAsia="Times New Roman"/>
                <w:color w:val="000000"/>
                <w:sz w:val="18"/>
              </w:rPr>
            </w:pPr>
            <w:r w:rsidRPr="00E026F1">
              <w:rPr>
                <w:rFonts w:eastAsia="Times New Roman"/>
                <w:color w:val="000000"/>
                <w:sz w:val="18"/>
              </w:rPr>
              <w:t>168 (11.0%)</w:t>
            </w:r>
          </w:p>
        </w:tc>
        <w:tc>
          <w:tcPr>
            <w:tcW w:w="1463" w:type="dxa"/>
            <w:hideMark/>
          </w:tcPr>
          <w:p w14:paraId="4F84BE40"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97 (11.5%)</w:t>
            </w:r>
          </w:p>
        </w:tc>
        <w:tc>
          <w:tcPr>
            <w:tcW w:w="1463" w:type="dxa"/>
            <w:hideMark/>
          </w:tcPr>
          <w:p w14:paraId="32838DCB"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90 (15.3%)</w:t>
            </w:r>
          </w:p>
        </w:tc>
        <w:tc>
          <w:tcPr>
            <w:tcW w:w="1478" w:type="dxa"/>
            <w:hideMark/>
          </w:tcPr>
          <w:p w14:paraId="7BE377D7"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73 (18.2%)</w:t>
            </w:r>
          </w:p>
        </w:tc>
        <w:tc>
          <w:tcPr>
            <w:tcW w:w="1478" w:type="dxa"/>
          </w:tcPr>
          <w:p w14:paraId="60795DCD"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43 (28.7%)</w:t>
            </w:r>
          </w:p>
        </w:tc>
      </w:tr>
      <w:tr w:rsidR="00E026F1" w:rsidRPr="00E026F1" w14:paraId="6B085121" w14:textId="77777777" w:rsidTr="00F11772">
        <w:trPr>
          <w:jc w:val="center"/>
        </w:trPr>
        <w:tc>
          <w:tcPr>
            <w:tcW w:w="1676" w:type="dxa"/>
            <w:hideMark/>
          </w:tcPr>
          <w:p w14:paraId="3151B248" w14:textId="77777777" w:rsidR="00E026F1" w:rsidRPr="00E026F1" w:rsidRDefault="00E026F1" w:rsidP="00E5716F">
            <w:pPr>
              <w:spacing w:after="0"/>
              <w:ind w:left="150" w:right="90"/>
              <w:textAlignment w:val="baseline"/>
              <w:rPr>
                <w:rFonts w:ascii="Times New Roman" w:eastAsia="Times New Roman" w:hAnsi="Times New Roman"/>
                <w:sz w:val="18"/>
              </w:rPr>
            </w:pPr>
            <w:r w:rsidRPr="00E026F1">
              <w:rPr>
                <w:rFonts w:eastAsia="Times New Roman"/>
                <w:color w:val="000000"/>
                <w:sz w:val="18"/>
              </w:rPr>
              <w:t>90 to &lt;95 </w:t>
            </w:r>
          </w:p>
        </w:tc>
        <w:tc>
          <w:tcPr>
            <w:tcW w:w="1684" w:type="dxa"/>
            <w:hideMark/>
          </w:tcPr>
          <w:p w14:paraId="263149F3" w14:textId="77777777" w:rsidR="00E026F1" w:rsidRPr="00E026F1" w:rsidRDefault="00E026F1" w:rsidP="00E5716F">
            <w:pPr>
              <w:spacing w:after="0"/>
              <w:ind w:left="90" w:right="90"/>
              <w:textAlignment w:val="baseline"/>
              <w:rPr>
                <w:rFonts w:eastAsia="Times New Roman"/>
                <w:color w:val="000000"/>
                <w:sz w:val="18"/>
              </w:rPr>
            </w:pPr>
            <w:r w:rsidRPr="00E026F1">
              <w:rPr>
                <w:rFonts w:eastAsia="Times New Roman"/>
                <w:color w:val="000000"/>
                <w:sz w:val="18"/>
              </w:rPr>
              <w:t>357 (23.3%)</w:t>
            </w:r>
          </w:p>
        </w:tc>
        <w:tc>
          <w:tcPr>
            <w:tcW w:w="1463" w:type="dxa"/>
            <w:hideMark/>
          </w:tcPr>
          <w:p w14:paraId="4BEEC84B"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224 (26.5%)</w:t>
            </w:r>
          </w:p>
        </w:tc>
        <w:tc>
          <w:tcPr>
            <w:tcW w:w="1463" w:type="dxa"/>
            <w:hideMark/>
          </w:tcPr>
          <w:p w14:paraId="2286B6FF"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156 (26.5%)</w:t>
            </w:r>
          </w:p>
        </w:tc>
        <w:tc>
          <w:tcPr>
            <w:tcW w:w="1478" w:type="dxa"/>
            <w:hideMark/>
          </w:tcPr>
          <w:p w14:paraId="25270EA2"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98 (24.4%)</w:t>
            </w:r>
          </w:p>
        </w:tc>
        <w:tc>
          <w:tcPr>
            <w:tcW w:w="1478" w:type="dxa"/>
          </w:tcPr>
          <w:p w14:paraId="666926F4"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31 (20.7%)</w:t>
            </w:r>
          </w:p>
        </w:tc>
      </w:tr>
      <w:tr w:rsidR="00E026F1" w:rsidRPr="00E026F1" w14:paraId="5B16431A" w14:textId="77777777" w:rsidTr="00F11772">
        <w:trPr>
          <w:jc w:val="center"/>
        </w:trPr>
        <w:tc>
          <w:tcPr>
            <w:tcW w:w="1676" w:type="dxa"/>
            <w:hideMark/>
          </w:tcPr>
          <w:p w14:paraId="391D4DCF" w14:textId="77777777" w:rsidR="00E026F1" w:rsidRPr="00E026F1" w:rsidRDefault="00E026F1" w:rsidP="00E5716F">
            <w:pPr>
              <w:spacing w:after="0"/>
              <w:ind w:left="150" w:right="90"/>
              <w:textAlignment w:val="baseline"/>
              <w:rPr>
                <w:rFonts w:ascii="Times New Roman" w:eastAsia="Times New Roman" w:hAnsi="Times New Roman"/>
                <w:sz w:val="18"/>
              </w:rPr>
            </w:pPr>
            <w:r w:rsidRPr="00E026F1">
              <w:rPr>
                <w:rFonts w:eastAsia="Times New Roman"/>
                <w:color w:val="000000"/>
                <w:sz w:val="18"/>
              </w:rPr>
              <w:t>95 to 100 </w:t>
            </w:r>
          </w:p>
        </w:tc>
        <w:tc>
          <w:tcPr>
            <w:tcW w:w="1684" w:type="dxa"/>
            <w:hideMark/>
          </w:tcPr>
          <w:p w14:paraId="343ECA8D" w14:textId="77777777" w:rsidR="00E026F1" w:rsidRPr="00E026F1" w:rsidRDefault="00E026F1" w:rsidP="00E5716F">
            <w:pPr>
              <w:spacing w:after="0"/>
              <w:ind w:left="90" w:right="90"/>
              <w:textAlignment w:val="baseline"/>
              <w:rPr>
                <w:rFonts w:eastAsia="Times New Roman"/>
                <w:color w:val="000000"/>
                <w:sz w:val="18"/>
              </w:rPr>
            </w:pPr>
            <w:r w:rsidRPr="00E026F1">
              <w:rPr>
                <w:rFonts w:eastAsia="Times New Roman"/>
                <w:color w:val="000000"/>
                <w:sz w:val="18"/>
              </w:rPr>
              <w:t>426 (27.8%)</w:t>
            </w:r>
          </w:p>
        </w:tc>
        <w:tc>
          <w:tcPr>
            <w:tcW w:w="1463" w:type="dxa"/>
            <w:hideMark/>
          </w:tcPr>
          <w:p w14:paraId="67ED6095"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267 (31.6%)</w:t>
            </w:r>
          </w:p>
        </w:tc>
        <w:tc>
          <w:tcPr>
            <w:tcW w:w="1463" w:type="dxa"/>
            <w:hideMark/>
          </w:tcPr>
          <w:p w14:paraId="189F1A69"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188 (32.0%)</w:t>
            </w:r>
          </w:p>
        </w:tc>
        <w:tc>
          <w:tcPr>
            <w:tcW w:w="1478" w:type="dxa"/>
            <w:hideMark/>
          </w:tcPr>
          <w:p w14:paraId="2AC4DF4D"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123 (30.6%)</w:t>
            </w:r>
          </w:p>
        </w:tc>
        <w:tc>
          <w:tcPr>
            <w:tcW w:w="1478" w:type="dxa"/>
          </w:tcPr>
          <w:p w14:paraId="5DB74671"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53 (35.3%)</w:t>
            </w:r>
          </w:p>
        </w:tc>
      </w:tr>
      <w:tr w:rsidR="00E026F1" w:rsidRPr="00E026F1" w14:paraId="00017F1C" w14:textId="77777777" w:rsidTr="00F11772">
        <w:trPr>
          <w:jc w:val="center"/>
        </w:trPr>
        <w:tc>
          <w:tcPr>
            <w:tcW w:w="7764" w:type="dxa"/>
            <w:gridSpan w:val="5"/>
            <w:hideMark/>
          </w:tcPr>
          <w:p w14:paraId="0019256D" w14:textId="77777777" w:rsidR="00E026F1" w:rsidRPr="00E026F1" w:rsidRDefault="00E026F1" w:rsidP="00E5716F">
            <w:pPr>
              <w:spacing w:after="0"/>
              <w:ind w:left="90" w:right="90"/>
              <w:textAlignment w:val="baseline"/>
              <w:rPr>
                <w:rFonts w:ascii="Times New Roman" w:eastAsia="Times New Roman" w:hAnsi="Times New Roman"/>
                <w:sz w:val="18"/>
              </w:rPr>
            </w:pPr>
            <w:r w:rsidRPr="00E026F1">
              <w:rPr>
                <w:rFonts w:eastAsia="Times New Roman"/>
                <w:b/>
                <w:color w:val="000000"/>
                <w:sz w:val="18"/>
              </w:rPr>
              <w:t>Patient’s </w:t>
            </w:r>
            <w:proofErr w:type="spellStart"/>
            <w:r w:rsidRPr="00E026F1">
              <w:rPr>
                <w:rFonts w:eastAsia="Times New Roman"/>
                <w:b/>
                <w:color w:val="000000"/>
                <w:sz w:val="18"/>
              </w:rPr>
              <w:t>MedsIndex</w:t>
            </w:r>
            <w:proofErr w:type="spellEnd"/>
            <w:r w:rsidRPr="00E026F1">
              <w:rPr>
                <w:rFonts w:eastAsia="Times New Roman"/>
                <w:b/>
                <w:color w:val="000000"/>
                <w:sz w:val="18"/>
              </w:rPr>
              <w:t> score</w:t>
            </w:r>
            <w:r w:rsidRPr="00E026F1">
              <w:rPr>
                <w:rFonts w:eastAsia="Times New Roman"/>
                <w:color w:val="000000"/>
                <w:sz w:val="18"/>
              </w:rPr>
              <w:t> </w:t>
            </w:r>
          </w:p>
        </w:tc>
        <w:tc>
          <w:tcPr>
            <w:tcW w:w="1478" w:type="dxa"/>
          </w:tcPr>
          <w:p w14:paraId="5FBD6611" w14:textId="77777777" w:rsidR="00E026F1" w:rsidRPr="00E026F1" w:rsidRDefault="00E026F1" w:rsidP="00E5716F">
            <w:pPr>
              <w:spacing w:after="0"/>
              <w:ind w:left="90" w:right="90"/>
              <w:textAlignment w:val="baseline"/>
              <w:rPr>
                <w:rFonts w:eastAsia="Times New Roman"/>
                <w:b/>
                <w:color w:val="000000"/>
                <w:sz w:val="18"/>
              </w:rPr>
            </w:pPr>
          </w:p>
        </w:tc>
      </w:tr>
      <w:tr w:rsidR="00E026F1" w:rsidRPr="00E026F1" w14:paraId="22E825BB" w14:textId="77777777" w:rsidTr="00F11772">
        <w:trPr>
          <w:jc w:val="center"/>
        </w:trPr>
        <w:tc>
          <w:tcPr>
            <w:tcW w:w="1676" w:type="dxa"/>
            <w:hideMark/>
          </w:tcPr>
          <w:p w14:paraId="5476099F" w14:textId="77777777" w:rsidR="00E026F1" w:rsidRPr="00E026F1" w:rsidRDefault="00E026F1" w:rsidP="00E5716F">
            <w:pPr>
              <w:spacing w:after="0"/>
              <w:ind w:left="150" w:right="90"/>
              <w:textAlignment w:val="baseline"/>
              <w:rPr>
                <w:rFonts w:ascii="Times New Roman" w:eastAsia="Times New Roman" w:hAnsi="Times New Roman"/>
                <w:sz w:val="18"/>
              </w:rPr>
            </w:pPr>
            <w:r w:rsidRPr="00E026F1">
              <w:rPr>
                <w:rFonts w:eastAsia="Times New Roman"/>
                <w:color w:val="000000"/>
                <w:sz w:val="18"/>
              </w:rPr>
              <w:t>Mean (median) </w:t>
            </w:r>
          </w:p>
        </w:tc>
        <w:tc>
          <w:tcPr>
            <w:tcW w:w="1684" w:type="dxa"/>
            <w:hideMark/>
          </w:tcPr>
          <w:p w14:paraId="4F5BF84C" w14:textId="77777777" w:rsidR="00E026F1" w:rsidRPr="00E026F1" w:rsidRDefault="00E026F1" w:rsidP="00E5716F">
            <w:pPr>
              <w:spacing w:after="0"/>
              <w:ind w:left="90" w:right="90"/>
              <w:textAlignment w:val="baseline"/>
              <w:rPr>
                <w:rFonts w:eastAsia="Times New Roman"/>
                <w:color w:val="000000"/>
                <w:sz w:val="18"/>
              </w:rPr>
            </w:pPr>
            <w:r w:rsidRPr="00E026F1">
              <w:rPr>
                <w:rFonts w:eastAsia="Times New Roman"/>
                <w:color w:val="000000"/>
                <w:sz w:val="18"/>
              </w:rPr>
              <w:t>82.8 (90.0)</w:t>
            </w:r>
          </w:p>
        </w:tc>
        <w:tc>
          <w:tcPr>
            <w:tcW w:w="1463" w:type="dxa"/>
            <w:hideMark/>
          </w:tcPr>
          <w:p w14:paraId="165153A7"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86.7 (90.0)</w:t>
            </w:r>
          </w:p>
        </w:tc>
        <w:tc>
          <w:tcPr>
            <w:tcW w:w="1463" w:type="dxa"/>
            <w:hideMark/>
          </w:tcPr>
          <w:p w14:paraId="4902F18E"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87.7 (90.0)</w:t>
            </w:r>
          </w:p>
        </w:tc>
        <w:tc>
          <w:tcPr>
            <w:tcW w:w="1478" w:type="dxa"/>
            <w:hideMark/>
          </w:tcPr>
          <w:p w14:paraId="10F99DCB"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87.4 (90.0)</w:t>
            </w:r>
          </w:p>
        </w:tc>
        <w:tc>
          <w:tcPr>
            <w:tcW w:w="1478" w:type="dxa"/>
          </w:tcPr>
          <w:p w14:paraId="532739FB" w14:textId="77777777" w:rsidR="00E026F1" w:rsidRPr="00E026F1" w:rsidRDefault="00E026F1" w:rsidP="00E5716F">
            <w:pPr>
              <w:spacing w:after="0"/>
              <w:ind w:left="90" w:right="90"/>
              <w:textAlignment w:val="baseline"/>
              <w:rPr>
                <w:rFonts w:eastAsia="Times New Roman"/>
                <w:color w:val="000000"/>
                <w:sz w:val="18"/>
              </w:rPr>
            </w:pPr>
            <w:r w:rsidRPr="00E026F1">
              <w:rPr>
                <w:sz w:val="18"/>
              </w:rPr>
              <w:t>90.0 (90.0)</w:t>
            </w:r>
          </w:p>
        </w:tc>
      </w:tr>
      <w:tr w:rsidR="000F4B4D" w:rsidRPr="00E026F1" w14:paraId="630276AF" w14:textId="77777777" w:rsidTr="00F11772">
        <w:trPr>
          <w:jc w:val="center"/>
        </w:trPr>
        <w:tc>
          <w:tcPr>
            <w:tcW w:w="9242" w:type="dxa"/>
            <w:gridSpan w:val="6"/>
          </w:tcPr>
          <w:p w14:paraId="6DFECCC4" w14:textId="31E6ED4C" w:rsidR="000F4B4D" w:rsidRPr="00E026F1" w:rsidRDefault="000F4B4D" w:rsidP="00E5716F">
            <w:pPr>
              <w:spacing w:after="0"/>
              <w:ind w:left="90" w:right="90"/>
              <w:textAlignment w:val="baseline"/>
              <w:rPr>
                <w:rFonts w:eastAsia="Times New Roman"/>
                <w:b/>
                <w:color w:val="000000"/>
                <w:sz w:val="18"/>
              </w:rPr>
            </w:pPr>
            <w:r w:rsidRPr="00E026F1">
              <w:rPr>
                <w:rFonts w:eastAsia="Times New Roman"/>
                <w:b/>
                <w:color w:val="000000"/>
                <w:sz w:val="18"/>
              </w:rPr>
              <w:t xml:space="preserve">Pharmacists’ belief of patients' adherence to medication regimen for tablets </w:t>
            </w:r>
            <w:r w:rsidR="007A5BB7">
              <w:rPr>
                <w:rFonts w:eastAsia="Times New Roman"/>
                <w:b/>
                <w:color w:val="000000"/>
                <w:sz w:val="18"/>
              </w:rPr>
              <w:t>or</w:t>
            </w:r>
            <w:r w:rsidRPr="00E026F1">
              <w:rPr>
                <w:rFonts w:eastAsia="Times New Roman"/>
                <w:b/>
                <w:color w:val="000000"/>
                <w:sz w:val="18"/>
              </w:rPr>
              <w:t xml:space="preserve"> capsules (0 to 10)</w:t>
            </w:r>
          </w:p>
        </w:tc>
      </w:tr>
      <w:tr w:rsidR="00E026F1" w:rsidRPr="00E026F1" w14:paraId="0A2C594E" w14:textId="77777777" w:rsidTr="00F11772">
        <w:trPr>
          <w:jc w:val="center"/>
        </w:trPr>
        <w:tc>
          <w:tcPr>
            <w:tcW w:w="1676" w:type="dxa"/>
          </w:tcPr>
          <w:p w14:paraId="708FFE99" w14:textId="77777777" w:rsidR="00E026F1" w:rsidRPr="00E026F1" w:rsidRDefault="00E026F1" w:rsidP="00E5716F">
            <w:pPr>
              <w:spacing w:after="0"/>
              <w:ind w:left="150" w:right="90"/>
              <w:textAlignment w:val="baseline"/>
              <w:rPr>
                <w:rFonts w:eastAsia="Times New Roman"/>
                <w:color w:val="000000"/>
                <w:sz w:val="18"/>
              </w:rPr>
            </w:pPr>
            <w:r w:rsidRPr="00E026F1">
              <w:rPr>
                <w:rFonts w:eastAsia="Times New Roman"/>
                <w:color w:val="000000"/>
                <w:sz w:val="18"/>
              </w:rPr>
              <w:t>Mean (median) </w:t>
            </w:r>
          </w:p>
        </w:tc>
        <w:tc>
          <w:tcPr>
            <w:tcW w:w="1684" w:type="dxa"/>
            <w:vAlign w:val="center"/>
          </w:tcPr>
          <w:p w14:paraId="5F272A6B" w14:textId="77777777" w:rsidR="00E026F1" w:rsidRPr="000F4B4D" w:rsidRDefault="00E026F1" w:rsidP="00E5716F">
            <w:pPr>
              <w:spacing w:after="0"/>
              <w:ind w:left="90" w:right="90"/>
              <w:textAlignment w:val="baseline"/>
              <w:rPr>
                <w:rFonts w:ascii="Century Gothic" w:eastAsia="Century Gothic" w:hAnsi="Century Gothic" w:cs="Century Gothic"/>
                <w:color w:val="000000"/>
                <w:sz w:val="18"/>
              </w:rPr>
            </w:pPr>
            <w:r w:rsidRPr="000F4B4D">
              <w:rPr>
                <w:rFonts w:ascii="Century Gothic" w:eastAsia="Century Gothic" w:hAnsi="Century Gothic" w:cs="Century Gothic"/>
                <w:color w:val="000000"/>
                <w:sz w:val="18"/>
              </w:rPr>
              <w:t>8.4 (9.0)</w:t>
            </w:r>
          </w:p>
        </w:tc>
        <w:tc>
          <w:tcPr>
            <w:tcW w:w="1463" w:type="dxa"/>
            <w:shd w:val="clear" w:color="auto" w:fill="FFFFFF"/>
            <w:vAlign w:val="center"/>
          </w:tcPr>
          <w:p w14:paraId="7C932801" w14:textId="77777777" w:rsidR="00E026F1" w:rsidRPr="00E026F1" w:rsidRDefault="00E026F1" w:rsidP="00E5716F">
            <w:pPr>
              <w:spacing w:after="0"/>
              <w:ind w:left="90" w:right="90"/>
              <w:textAlignment w:val="baseline"/>
              <w:rPr>
                <w:rFonts w:eastAsia="Times New Roman"/>
                <w:color w:val="000000"/>
                <w:sz w:val="18"/>
              </w:rPr>
            </w:pPr>
            <w:r w:rsidRPr="00E026F1">
              <w:rPr>
                <w:rFonts w:ascii="Century Gothic" w:eastAsia="Century Gothic" w:hAnsi="Century Gothic" w:cs="Century Gothic"/>
                <w:color w:val="000000"/>
                <w:sz w:val="18"/>
              </w:rPr>
              <w:t>8.8 (9.0)</w:t>
            </w:r>
          </w:p>
        </w:tc>
        <w:tc>
          <w:tcPr>
            <w:tcW w:w="1463" w:type="dxa"/>
            <w:shd w:val="clear" w:color="auto" w:fill="FFFFFF"/>
            <w:vAlign w:val="center"/>
          </w:tcPr>
          <w:p w14:paraId="3472A61A" w14:textId="77777777" w:rsidR="00E026F1" w:rsidRPr="00E026F1" w:rsidRDefault="00E026F1" w:rsidP="00E5716F">
            <w:pPr>
              <w:spacing w:after="0"/>
              <w:ind w:left="90" w:right="90"/>
              <w:textAlignment w:val="baseline"/>
              <w:rPr>
                <w:rFonts w:eastAsia="Times New Roman"/>
                <w:color w:val="000000"/>
                <w:sz w:val="18"/>
              </w:rPr>
            </w:pPr>
            <w:r w:rsidRPr="00E026F1">
              <w:rPr>
                <w:rFonts w:ascii="Century Gothic" w:eastAsia="Century Gothic" w:hAnsi="Century Gothic" w:cs="Century Gothic"/>
                <w:color w:val="000000"/>
                <w:sz w:val="18"/>
              </w:rPr>
              <w:t>8.7 (9.0)</w:t>
            </w:r>
          </w:p>
        </w:tc>
        <w:tc>
          <w:tcPr>
            <w:tcW w:w="1478" w:type="dxa"/>
            <w:shd w:val="clear" w:color="auto" w:fill="FFFFFF"/>
            <w:vAlign w:val="center"/>
          </w:tcPr>
          <w:p w14:paraId="2D5AF11D" w14:textId="77777777" w:rsidR="00E026F1" w:rsidRPr="00E026F1" w:rsidRDefault="00E026F1" w:rsidP="00E5716F">
            <w:pPr>
              <w:spacing w:after="0"/>
              <w:ind w:left="90" w:right="90"/>
              <w:textAlignment w:val="baseline"/>
              <w:rPr>
                <w:rFonts w:eastAsia="Times New Roman"/>
                <w:color w:val="000000"/>
                <w:sz w:val="18"/>
              </w:rPr>
            </w:pPr>
            <w:r w:rsidRPr="00E026F1">
              <w:rPr>
                <w:rFonts w:ascii="Century Gothic" w:eastAsia="Century Gothic" w:hAnsi="Century Gothic" w:cs="Century Gothic"/>
                <w:color w:val="000000"/>
                <w:sz w:val="18"/>
              </w:rPr>
              <w:t>8.7 (9.0)</w:t>
            </w:r>
          </w:p>
        </w:tc>
        <w:tc>
          <w:tcPr>
            <w:tcW w:w="1478" w:type="dxa"/>
            <w:shd w:val="clear" w:color="auto" w:fill="FFFFFF"/>
            <w:vAlign w:val="center"/>
          </w:tcPr>
          <w:p w14:paraId="14E0ABD2" w14:textId="77777777" w:rsidR="00E026F1" w:rsidRPr="00E026F1" w:rsidRDefault="00E026F1" w:rsidP="00E5716F">
            <w:pPr>
              <w:spacing w:after="0"/>
              <w:ind w:left="90" w:right="90"/>
              <w:textAlignment w:val="baseline"/>
              <w:rPr>
                <w:rFonts w:eastAsia="Times New Roman"/>
                <w:color w:val="000000"/>
                <w:sz w:val="18"/>
              </w:rPr>
            </w:pPr>
            <w:r w:rsidRPr="00E026F1">
              <w:rPr>
                <w:rFonts w:ascii="Century Gothic" w:eastAsia="Century Gothic" w:hAnsi="Century Gothic" w:cs="Century Gothic"/>
                <w:color w:val="000000"/>
                <w:sz w:val="18"/>
              </w:rPr>
              <w:t>8.8 (9.0)</w:t>
            </w:r>
          </w:p>
        </w:tc>
      </w:tr>
    </w:tbl>
    <w:p w14:paraId="422FD8E1" w14:textId="0C68B6D3" w:rsidR="004C19E0" w:rsidRDefault="004C19E0" w:rsidP="004C19E0">
      <w:pPr>
        <w:pStyle w:val="Chartortablefootnote"/>
        <w:rPr>
          <w:lang w:eastAsia="en-AU"/>
        </w:rPr>
      </w:pPr>
      <w:r w:rsidRPr="00925C4B">
        <w:rPr>
          <w:lang w:eastAsia="en-AU"/>
        </w:rPr>
        <w:t>Source: Health Outcomes data set provided by the Pharmacy Guild, to 30 June 202</w:t>
      </w:r>
      <w:r>
        <w:rPr>
          <w:lang w:eastAsia="en-AU"/>
        </w:rPr>
        <w:t>1</w:t>
      </w:r>
      <w:r w:rsidRPr="00925C4B">
        <w:rPr>
          <w:lang w:eastAsia="en-AU"/>
        </w:rPr>
        <w:t>. </w:t>
      </w:r>
    </w:p>
    <w:p w14:paraId="6FB9EFDB" w14:textId="203DE49B" w:rsidR="008A434C" w:rsidRDefault="008A434C" w:rsidP="00257620">
      <w:pPr>
        <w:pStyle w:val="tabletitle"/>
        <w:spacing w:after="40"/>
        <w:rPr>
          <w:rStyle w:val="Strong1"/>
          <w:b w:val="0"/>
          <w:bCs/>
          <w:color w:val="1D2455"/>
          <w:sz w:val="20"/>
        </w:rPr>
      </w:pPr>
      <w:bookmarkStart w:id="473" w:name="_Ref97737817"/>
      <w:r w:rsidRPr="00F638E7">
        <w:rPr>
          <w:rStyle w:val="Strong1"/>
          <w:b w:val="0"/>
          <w:bCs/>
          <w:color w:val="1D2455"/>
          <w:sz w:val="20"/>
        </w:rPr>
        <w:t xml:space="preserve">Figure </w:t>
      </w:r>
      <w:r w:rsidRPr="00F638E7">
        <w:rPr>
          <w:rStyle w:val="Strong1"/>
          <w:b w:val="0"/>
          <w:bCs/>
          <w:color w:val="1D2455"/>
          <w:sz w:val="20"/>
        </w:rPr>
        <w:fldChar w:fldCharType="begin"/>
      </w:r>
      <w:r w:rsidRPr="00F638E7">
        <w:rPr>
          <w:rStyle w:val="Strong1"/>
          <w:b w:val="0"/>
          <w:bCs/>
          <w:color w:val="1D2455"/>
          <w:sz w:val="20"/>
        </w:rPr>
        <w:instrText xml:space="preserve"> SEQ Figure \* ARABIC </w:instrText>
      </w:r>
      <w:r w:rsidRPr="00F638E7">
        <w:rPr>
          <w:rStyle w:val="Strong1"/>
          <w:b w:val="0"/>
          <w:bCs/>
          <w:color w:val="1D2455"/>
          <w:sz w:val="20"/>
        </w:rPr>
        <w:fldChar w:fldCharType="separate"/>
      </w:r>
      <w:r w:rsidR="003C4BC2">
        <w:rPr>
          <w:rStyle w:val="Strong1"/>
          <w:b w:val="0"/>
          <w:bCs/>
          <w:noProof/>
          <w:color w:val="1D2455"/>
          <w:sz w:val="20"/>
        </w:rPr>
        <w:t>83</w:t>
      </w:r>
      <w:r w:rsidRPr="00F638E7">
        <w:rPr>
          <w:rStyle w:val="Strong1"/>
          <w:b w:val="0"/>
          <w:bCs/>
          <w:color w:val="1D2455"/>
          <w:sz w:val="20"/>
        </w:rPr>
        <w:fldChar w:fldCharType="end"/>
      </w:r>
      <w:bookmarkEnd w:id="473"/>
      <w:r w:rsidRPr="00F638E7">
        <w:rPr>
          <w:rStyle w:val="Strong1"/>
          <w:b w:val="0"/>
          <w:bCs/>
          <w:color w:val="1D2455"/>
          <w:sz w:val="20"/>
        </w:rPr>
        <w:t xml:space="preserve">: </w:t>
      </w:r>
      <w:r w:rsidR="00D67B85">
        <w:rPr>
          <w:rStyle w:val="Strong1"/>
          <w:b w:val="0"/>
          <w:bCs/>
          <w:color w:val="1D2455"/>
          <w:sz w:val="20"/>
        </w:rPr>
        <w:t>Density plots o</w:t>
      </w:r>
      <w:r w:rsidR="00C7417D">
        <w:rPr>
          <w:rStyle w:val="Strong1"/>
          <w:b w:val="0"/>
          <w:bCs/>
          <w:color w:val="1D2455"/>
          <w:sz w:val="20"/>
        </w:rPr>
        <w:t xml:space="preserve">f patients’ </w:t>
      </w:r>
      <w:proofErr w:type="spellStart"/>
      <w:r w:rsidR="00C7417D">
        <w:rPr>
          <w:rStyle w:val="Strong1"/>
          <w:b w:val="0"/>
          <w:bCs/>
          <w:color w:val="1D2455"/>
          <w:sz w:val="20"/>
        </w:rPr>
        <w:t>Med</w:t>
      </w:r>
      <w:r w:rsidR="00BB10A7">
        <w:rPr>
          <w:rStyle w:val="Strong1"/>
          <w:b w:val="0"/>
          <w:bCs/>
          <w:color w:val="1D2455"/>
          <w:sz w:val="20"/>
        </w:rPr>
        <w:t>s</w:t>
      </w:r>
      <w:r w:rsidR="00C7417D">
        <w:rPr>
          <w:rStyle w:val="Strong1"/>
          <w:b w:val="0"/>
          <w:bCs/>
          <w:color w:val="1D2455"/>
          <w:sz w:val="20"/>
        </w:rPr>
        <w:t>Index</w:t>
      </w:r>
      <w:proofErr w:type="spellEnd"/>
      <w:r w:rsidR="00C7417D">
        <w:rPr>
          <w:rStyle w:val="Strong1"/>
          <w:b w:val="0"/>
          <w:bCs/>
          <w:color w:val="1D2455"/>
          <w:sz w:val="20"/>
        </w:rPr>
        <w:t xml:space="preserve"> scores by </w:t>
      </w:r>
      <w:r w:rsidR="009001E7">
        <w:rPr>
          <w:rStyle w:val="Strong1"/>
          <w:b w:val="0"/>
          <w:bCs/>
          <w:color w:val="1D2455"/>
          <w:sz w:val="20"/>
        </w:rPr>
        <w:t>review</w:t>
      </w:r>
      <w:r w:rsidR="00645875">
        <w:rPr>
          <w:rStyle w:val="Strong1"/>
          <w:b w:val="0"/>
          <w:bCs/>
          <w:color w:val="1D2455"/>
          <w:sz w:val="20"/>
        </w:rPr>
        <w:t xml:space="preserve"> type</w:t>
      </w:r>
    </w:p>
    <w:p w14:paraId="015662F8" w14:textId="56855354" w:rsidR="00F859F6" w:rsidRPr="00F859F6" w:rsidRDefault="00F859F6" w:rsidP="00257620">
      <w:pPr>
        <w:spacing w:after="40"/>
      </w:pPr>
      <w:r>
        <w:rPr>
          <w:noProof/>
        </w:rPr>
        <w:lastRenderedPageBreak/>
        <w:drawing>
          <wp:inline distT="0" distB="0" distL="0" distR="0" wp14:anchorId="53DAA5AA" wp14:editId="7A6E00EA">
            <wp:extent cx="5399543" cy="3959360"/>
            <wp:effectExtent l="0" t="0" r="0" b="0"/>
            <wp:docPr id="6298" name="Picture 629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8" name="Picture 6298" descr="Chart, line chart&#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399543" cy="3959360"/>
                    </a:xfrm>
                    <a:prstGeom prst="rect">
                      <a:avLst/>
                    </a:prstGeom>
                  </pic:spPr>
                </pic:pic>
              </a:graphicData>
            </a:graphic>
          </wp:inline>
        </w:drawing>
      </w:r>
    </w:p>
    <w:p w14:paraId="29F6426A" w14:textId="7F63AAA5" w:rsidR="0044198C" w:rsidRPr="006F0798" w:rsidRDefault="00F859F6" w:rsidP="004C19E0">
      <w:pPr>
        <w:pStyle w:val="Chartortablefootnote"/>
        <w:rPr>
          <w:lang w:eastAsia="en-AU"/>
        </w:rPr>
      </w:pPr>
      <w:r w:rsidRPr="006F0798">
        <w:rPr>
          <w:lang w:eastAsia="en-AU"/>
        </w:rPr>
        <w:t>Source: Health Outcomes data set provided by the Pharmacy Guild, to 30 June 2021.</w:t>
      </w:r>
    </w:p>
    <w:p w14:paraId="5B9B78BF" w14:textId="77777777" w:rsidR="0044198C" w:rsidRDefault="0044198C">
      <w:pPr>
        <w:spacing w:after="160" w:line="259" w:lineRule="auto"/>
        <w:rPr>
          <w:rFonts w:ascii="Segoe UI" w:eastAsia="Calibri" w:hAnsi="Segoe UI" w:cs="Times New Roman"/>
          <w:iCs/>
          <w:sz w:val="18"/>
          <w:szCs w:val="18"/>
          <w:lang w:eastAsia="en-AU"/>
        </w:rPr>
      </w:pPr>
      <w:r>
        <w:rPr>
          <w:rFonts w:ascii="Segoe UI" w:hAnsi="Segoe UI"/>
          <w:i/>
          <w:iCs/>
          <w:sz w:val="18"/>
          <w:lang w:eastAsia="en-AU"/>
        </w:rPr>
        <w:br w:type="page"/>
      </w:r>
    </w:p>
    <w:p w14:paraId="2AB1B100" w14:textId="582644BA" w:rsidR="00EE78D6" w:rsidRDefault="00EE78D6" w:rsidP="00257620">
      <w:pPr>
        <w:pStyle w:val="tabletitle"/>
        <w:rPr>
          <w:rStyle w:val="Strong1"/>
          <w:b w:val="0"/>
          <w:bCs/>
          <w:color w:val="1D2455"/>
          <w:sz w:val="20"/>
        </w:rPr>
      </w:pPr>
      <w:bookmarkStart w:id="474" w:name="_Ref97737832"/>
      <w:r w:rsidRPr="00F638E7">
        <w:rPr>
          <w:rStyle w:val="Strong1"/>
          <w:b w:val="0"/>
          <w:bCs/>
          <w:color w:val="1D2455"/>
          <w:sz w:val="20"/>
        </w:rPr>
        <w:lastRenderedPageBreak/>
        <w:t xml:space="preserve">Figure </w:t>
      </w:r>
      <w:r w:rsidRPr="00F638E7">
        <w:rPr>
          <w:rStyle w:val="Strong1"/>
          <w:b w:val="0"/>
          <w:bCs/>
          <w:color w:val="1D2455"/>
          <w:sz w:val="20"/>
        </w:rPr>
        <w:fldChar w:fldCharType="begin"/>
      </w:r>
      <w:r w:rsidRPr="00F638E7">
        <w:rPr>
          <w:rStyle w:val="Strong1"/>
          <w:b w:val="0"/>
          <w:bCs/>
          <w:color w:val="1D2455"/>
          <w:sz w:val="20"/>
        </w:rPr>
        <w:instrText xml:space="preserve"> SEQ Figure \* ARABIC </w:instrText>
      </w:r>
      <w:r w:rsidRPr="00F638E7">
        <w:rPr>
          <w:rStyle w:val="Strong1"/>
          <w:b w:val="0"/>
          <w:bCs/>
          <w:color w:val="1D2455"/>
          <w:sz w:val="20"/>
        </w:rPr>
        <w:fldChar w:fldCharType="separate"/>
      </w:r>
      <w:r w:rsidR="003C4BC2">
        <w:rPr>
          <w:rStyle w:val="Strong1"/>
          <w:b w:val="0"/>
          <w:bCs/>
          <w:noProof/>
          <w:color w:val="1D2455"/>
          <w:sz w:val="20"/>
        </w:rPr>
        <w:t>84</w:t>
      </w:r>
      <w:r w:rsidRPr="00F638E7">
        <w:rPr>
          <w:rStyle w:val="Strong1"/>
          <w:b w:val="0"/>
          <w:bCs/>
          <w:color w:val="1D2455"/>
          <w:sz w:val="20"/>
        </w:rPr>
        <w:fldChar w:fldCharType="end"/>
      </w:r>
      <w:bookmarkEnd w:id="474"/>
      <w:r w:rsidR="00133B3E">
        <w:rPr>
          <w:rStyle w:val="Strong1"/>
          <w:b w:val="0"/>
          <w:bCs/>
          <w:color w:val="1D2455"/>
          <w:sz w:val="20"/>
        </w:rPr>
        <w:t>:</w:t>
      </w:r>
      <w:r w:rsidR="002520C0">
        <w:rPr>
          <w:rStyle w:val="Strong1"/>
          <w:b w:val="0"/>
          <w:bCs/>
          <w:color w:val="1D2455"/>
          <w:sz w:val="20"/>
        </w:rPr>
        <w:t xml:space="preserve"> </w:t>
      </w:r>
      <w:r w:rsidR="0044198C">
        <w:rPr>
          <w:rStyle w:val="Strong1"/>
          <w:b w:val="0"/>
          <w:bCs/>
          <w:color w:val="1D2455"/>
          <w:sz w:val="20"/>
        </w:rPr>
        <w:t>P</w:t>
      </w:r>
      <w:r w:rsidR="00E00ABC">
        <w:rPr>
          <w:rStyle w:val="Strong1"/>
          <w:b w:val="0"/>
          <w:bCs/>
          <w:color w:val="1D2455"/>
          <w:sz w:val="20"/>
        </w:rPr>
        <w:t>harmacists</w:t>
      </w:r>
      <w:r w:rsidR="00F859F6">
        <w:rPr>
          <w:rStyle w:val="Strong1"/>
          <w:b w:val="0"/>
          <w:bCs/>
          <w:color w:val="1D2455"/>
          <w:sz w:val="20"/>
        </w:rPr>
        <w:t>’</w:t>
      </w:r>
      <w:r w:rsidR="00E00ABC">
        <w:rPr>
          <w:rStyle w:val="Strong1"/>
          <w:b w:val="0"/>
          <w:bCs/>
          <w:color w:val="1D2455"/>
          <w:sz w:val="20"/>
        </w:rPr>
        <w:t xml:space="preserve"> assessment of </w:t>
      </w:r>
      <w:r>
        <w:rPr>
          <w:rStyle w:val="Strong1"/>
          <w:b w:val="0"/>
          <w:bCs/>
          <w:color w:val="1D2455"/>
          <w:sz w:val="20"/>
        </w:rPr>
        <w:t xml:space="preserve">patients’ </w:t>
      </w:r>
      <w:r w:rsidR="00E00ABC">
        <w:rPr>
          <w:rStyle w:val="Strong1"/>
          <w:b w:val="0"/>
          <w:bCs/>
          <w:color w:val="1D2455"/>
          <w:sz w:val="20"/>
        </w:rPr>
        <w:t>adheren</w:t>
      </w:r>
      <w:r w:rsidR="003C58D3">
        <w:rPr>
          <w:rStyle w:val="Strong1"/>
          <w:b w:val="0"/>
          <w:bCs/>
          <w:color w:val="1D2455"/>
          <w:sz w:val="20"/>
        </w:rPr>
        <w:t>ce</w:t>
      </w:r>
      <w:r>
        <w:rPr>
          <w:rStyle w:val="Strong1"/>
          <w:b w:val="0"/>
          <w:bCs/>
          <w:color w:val="1D2455"/>
          <w:sz w:val="20"/>
        </w:rPr>
        <w:t xml:space="preserve"> </w:t>
      </w:r>
      <w:r w:rsidR="0044198C">
        <w:rPr>
          <w:rStyle w:val="Strong1"/>
          <w:b w:val="0"/>
          <w:bCs/>
          <w:color w:val="1D2455"/>
          <w:sz w:val="20"/>
        </w:rPr>
        <w:t>at each</w:t>
      </w:r>
      <w:r>
        <w:rPr>
          <w:rStyle w:val="Strong1"/>
          <w:b w:val="0"/>
          <w:bCs/>
          <w:color w:val="1D2455"/>
          <w:sz w:val="20"/>
        </w:rPr>
        <w:t xml:space="preserve"> </w:t>
      </w:r>
      <w:r w:rsidR="0044198C">
        <w:rPr>
          <w:rStyle w:val="Strong1"/>
          <w:b w:val="0"/>
          <w:bCs/>
          <w:color w:val="1D2455"/>
          <w:sz w:val="20"/>
        </w:rPr>
        <w:t>review</w:t>
      </w:r>
    </w:p>
    <w:p w14:paraId="00AA216B" w14:textId="093968AD" w:rsidR="00257620" w:rsidRPr="00257620" w:rsidRDefault="00257620" w:rsidP="00257620">
      <w:r>
        <w:rPr>
          <w:noProof/>
        </w:rPr>
        <w:drawing>
          <wp:inline distT="0" distB="0" distL="0" distR="0" wp14:anchorId="7A715B95" wp14:editId="4CF4DAE1">
            <wp:extent cx="5399543" cy="3959360"/>
            <wp:effectExtent l="0" t="0" r="0" b="0"/>
            <wp:docPr id="6301" name="Picture 6301" descr="Chart, bar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1" name="Picture 6301" descr="Chart, bar chart, histogram&#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399543" cy="3959360"/>
                    </a:xfrm>
                    <a:prstGeom prst="rect">
                      <a:avLst/>
                    </a:prstGeom>
                  </pic:spPr>
                </pic:pic>
              </a:graphicData>
            </a:graphic>
          </wp:inline>
        </w:drawing>
      </w:r>
    </w:p>
    <w:p w14:paraId="60B8D7B3" w14:textId="33413A87" w:rsidR="00B256AA" w:rsidRPr="006F0798" w:rsidRDefault="00F859F6" w:rsidP="006F0798">
      <w:pPr>
        <w:pStyle w:val="Chartortablefootnote"/>
      </w:pPr>
      <w:r w:rsidRPr="006F0798">
        <w:t>Source: Health Outcomes data set provided by the Pharmacy Guild, to 30 June 2021.</w:t>
      </w:r>
    </w:p>
    <w:p w14:paraId="56D95753" w14:textId="51F7BC38" w:rsidR="00676DCF" w:rsidRDefault="00676DCF" w:rsidP="00676DCF">
      <w:pPr>
        <w:rPr>
          <w:lang w:val="en-GB"/>
        </w:rPr>
      </w:pPr>
      <w:bookmarkStart w:id="475" w:name="_Hlk21515917"/>
      <w:r>
        <w:t xml:space="preserve">The </w:t>
      </w:r>
      <w:r w:rsidRPr="00F71172">
        <w:t>Pharmacy Guild</w:t>
      </w:r>
      <w:r w:rsidR="00C76955">
        <w:t xml:space="preserve"> data</w:t>
      </w:r>
      <w:r w:rsidRPr="00F71172">
        <w:t xml:space="preserve"> show</w:t>
      </w:r>
      <w:r w:rsidR="00C76955">
        <w:t>ed</w:t>
      </w:r>
      <w:r w:rsidRPr="00F71172">
        <w:t xml:space="preserve"> that</w:t>
      </w:r>
      <w:r>
        <w:t xml:space="preserve"> at the time of their initial consultation</w:t>
      </w:r>
      <w:r w:rsidR="00C76955">
        <w:t>,</w:t>
      </w:r>
      <w:r w:rsidRPr="00F71172">
        <w:t xml:space="preserve"> patients in </w:t>
      </w:r>
      <w:r>
        <w:t>t</w:t>
      </w:r>
      <w:r w:rsidRPr="00F71172">
        <w:t>ier 3</w:t>
      </w:r>
      <w:bookmarkStart w:id="476" w:name="_Hlk97721706"/>
      <w:r>
        <w:t xml:space="preserve"> (15.8%)</w:t>
      </w:r>
      <w:r w:rsidRPr="00F71172">
        <w:t xml:space="preserve"> </w:t>
      </w:r>
      <w:bookmarkEnd w:id="476"/>
      <w:r w:rsidRPr="00F71172">
        <w:t xml:space="preserve">were more likely to </w:t>
      </w:r>
      <w:r>
        <w:t xml:space="preserve">report they had </w:t>
      </w:r>
      <w:r w:rsidRPr="00F71172">
        <w:t>be</w:t>
      </w:r>
      <w:r>
        <w:t>en</w:t>
      </w:r>
      <w:r w:rsidRPr="00F71172">
        <w:t xml:space="preserve"> hospitalised in the last six months than patients in </w:t>
      </w:r>
      <w:r>
        <w:t>t</w:t>
      </w:r>
      <w:r w:rsidRPr="00F71172">
        <w:t xml:space="preserve">iers </w:t>
      </w:r>
      <w:r>
        <w:t>1 (5.</w:t>
      </w:r>
      <w:r w:rsidRPr="00A46ED8">
        <w:t>3%)</w:t>
      </w:r>
      <w:r>
        <w:t xml:space="preserve"> </w:t>
      </w:r>
      <w:r w:rsidRPr="00A46ED8">
        <w:t>and 2 (7.0%).</w:t>
      </w:r>
      <w:r>
        <w:t xml:space="preserve"> </w:t>
      </w:r>
      <w:r w:rsidRPr="00BA401C">
        <w:rPr>
          <w:lang w:val="en-GB"/>
        </w:rPr>
        <w:t xml:space="preserve">There were 161 </w:t>
      </w:r>
      <w:r>
        <w:rPr>
          <w:lang w:val="en-GB"/>
        </w:rPr>
        <w:t xml:space="preserve">(10.5%) patients </w:t>
      </w:r>
      <w:r w:rsidRPr="00BA401C">
        <w:rPr>
          <w:lang w:val="en-GB"/>
        </w:rPr>
        <w:t>hospitalis</w:t>
      </w:r>
      <w:r>
        <w:rPr>
          <w:lang w:val="en-GB"/>
        </w:rPr>
        <w:t>ed</w:t>
      </w:r>
      <w:r w:rsidRPr="00BA401C">
        <w:rPr>
          <w:lang w:val="en-GB"/>
        </w:rPr>
        <w:t xml:space="preserve"> in the six-month</w:t>
      </w:r>
      <w:r>
        <w:rPr>
          <w:lang w:val="en-GB"/>
        </w:rPr>
        <w:t xml:space="preserve"> period </w:t>
      </w:r>
      <w:r w:rsidR="00AB1577">
        <w:rPr>
          <w:lang w:val="en-GB"/>
        </w:rPr>
        <w:t>before</w:t>
      </w:r>
      <w:r>
        <w:rPr>
          <w:lang w:val="en-GB"/>
        </w:rPr>
        <w:t xml:space="preserve"> the </w:t>
      </w:r>
      <w:r w:rsidRPr="00BA401C">
        <w:rPr>
          <w:lang w:val="en-GB"/>
        </w:rPr>
        <w:t>patients</w:t>
      </w:r>
      <w:r>
        <w:rPr>
          <w:lang w:val="en-GB"/>
        </w:rPr>
        <w:t>’</w:t>
      </w:r>
      <w:r w:rsidRPr="00BA401C">
        <w:rPr>
          <w:lang w:val="en-GB"/>
        </w:rPr>
        <w:t xml:space="preserve"> </w:t>
      </w:r>
      <w:r>
        <w:rPr>
          <w:lang w:val="en-GB"/>
        </w:rPr>
        <w:t>initial</w:t>
      </w:r>
      <w:r w:rsidRPr="00BA401C">
        <w:rPr>
          <w:lang w:val="en-GB"/>
        </w:rPr>
        <w:t xml:space="preserve"> </w:t>
      </w:r>
      <w:r w:rsidR="00445866">
        <w:rPr>
          <w:lang w:val="en-GB"/>
        </w:rPr>
        <w:t>review</w:t>
      </w:r>
      <w:r>
        <w:rPr>
          <w:lang w:val="en-GB"/>
        </w:rPr>
        <w:t>. T</w:t>
      </w:r>
      <w:r w:rsidRPr="00BA401C">
        <w:rPr>
          <w:lang w:val="en-GB"/>
        </w:rPr>
        <w:t>here w</w:t>
      </w:r>
      <w:r>
        <w:rPr>
          <w:lang w:val="en-GB"/>
        </w:rPr>
        <w:t>ere</w:t>
      </w:r>
      <w:r w:rsidRPr="00BA401C">
        <w:rPr>
          <w:lang w:val="en-GB"/>
        </w:rPr>
        <w:t xml:space="preserve"> </w:t>
      </w:r>
      <w:r>
        <w:rPr>
          <w:lang w:val="en-GB"/>
        </w:rPr>
        <w:t>fewer</w:t>
      </w:r>
      <w:r w:rsidRPr="00BA401C">
        <w:rPr>
          <w:lang w:val="en-GB"/>
        </w:rPr>
        <w:t xml:space="preserve"> hospitali</w:t>
      </w:r>
      <w:r>
        <w:rPr>
          <w:lang w:val="en-GB"/>
        </w:rPr>
        <w:t>s</w:t>
      </w:r>
      <w:r w:rsidRPr="00BA401C">
        <w:rPr>
          <w:lang w:val="en-GB"/>
        </w:rPr>
        <w:t>ations</w:t>
      </w:r>
      <w:r w:rsidRPr="00D2211D">
        <w:t xml:space="preserve"> </w:t>
      </w:r>
      <w:r w:rsidRPr="00D2211D">
        <w:rPr>
          <w:lang w:val="en-GB"/>
        </w:rPr>
        <w:t xml:space="preserve">in the six-month period </w:t>
      </w:r>
      <w:r>
        <w:rPr>
          <w:lang w:val="en-GB"/>
        </w:rPr>
        <w:t>before</w:t>
      </w:r>
      <w:r w:rsidRPr="00D2211D">
        <w:rPr>
          <w:lang w:val="en-GB"/>
        </w:rPr>
        <w:t xml:space="preserve"> the </w:t>
      </w:r>
      <w:r>
        <w:rPr>
          <w:lang w:val="en-GB"/>
        </w:rPr>
        <w:t xml:space="preserve">later </w:t>
      </w:r>
      <w:r w:rsidR="00445866">
        <w:rPr>
          <w:lang w:val="en-GB"/>
        </w:rPr>
        <w:t>reviews</w:t>
      </w:r>
      <w:r>
        <w:rPr>
          <w:lang w:val="en-GB"/>
        </w:rPr>
        <w:t>, but</w:t>
      </w:r>
      <w:r w:rsidRPr="00BA401C">
        <w:rPr>
          <w:lang w:val="en-GB"/>
        </w:rPr>
        <w:t xml:space="preserve"> the model</w:t>
      </w:r>
      <w:r>
        <w:rPr>
          <w:lang w:val="en-GB"/>
        </w:rPr>
        <w:t>ling</w:t>
      </w:r>
      <w:r w:rsidRPr="00BA401C">
        <w:rPr>
          <w:lang w:val="en-GB"/>
        </w:rPr>
        <w:t xml:space="preserve"> suggest</w:t>
      </w:r>
      <w:r>
        <w:rPr>
          <w:lang w:val="en-GB"/>
        </w:rPr>
        <w:t>s</w:t>
      </w:r>
      <w:r w:rsidRPr="00BA401C">
        <w:rPr>
          <w:lang w:val="en-GB"/>
        </w:rPr>
        <w:t xml:space="preserve"> the trend over the period was not statistically significant</w:t>
      </w:r>
      <w:r>
        <w:rPr>
          <w:lang w:val="en-GB"/>
        </w:rPr>
        <w:t>ly different from no change (p = 0.07).</w:t>
      </w:r>
    </w:p>
    <w:p w14:paraId="05A4914F" w14:textId="77E501DF" w:rsidR="0044198C" w:rsidRDefault="003106A0" w:rsidP="003106A0">
      <w:pPr>
        <w:rPr>
          <w:rFonts w:eastAsia="MS Gothic" w:cs="Arial"/>
          <w:szCs w:val="20"/>
        </w:rPr>
      </w:pPr>
      <w:r w:rsidRPr="00AF0044">
        <w:rPr>
          <w:rFonts w:eastAsia="MS Gothic" w:cs="Arial"/>
          <w:szCs w:val="20"/>
        </w:rPr>
        <w:t xml:space="preserve">The most common goals agreed to in the patients’ medication management plan (MMP) were </w:t>
      </w:r>
      <w:r w:rsidR="00657E4D">
        <w:rPr>
          <w:rFonts w:eastAsia="MS Gothic" w:cs="Arial"/>
          <w:szCs w:val="20"/>
        </w:rPr>
        <w:t>“</w:t>
      </w:r>
      <w:r w:rsidRPr="00AF0044">
        <w:rPr>
          <w:rFonts w:eastAsia="MS Gothic" w:cs="Arial"/>
          <w:szCs w:val="20"/>
        </w:rPr>
        <w:t>improved patient knowledge about their medicines leading to improved medication use and disease self-management</w:t>
      </w:r>
      <w:r w:rsidR="00657E4D">
        <w:rPr>
          <w:rFonts w:eastAsia="MS Gothic" w:cs="Arial"/>
          <w:szCs w:val="20"/>
        </w:rPr>
        <w:t>”</w:t>
      </w:r>
      <w:r w:rsidRPr="00AF0044">
        <w:rPr>
          <w:rFonts w:eastAsia="MS Gothic" w:cs="Arial"/>
          <w:szCs w:val="20"/>
        </w:rPr>
        <w:t xml:space="preserve"> (45%) and </w:t>
      </w:r>
      <w:r w:rsidR="00657E4D">
        <w:rPr>
          <w:rFonts w:eastAsia="MS Gothic" w:cs="Arial"/>
          <w:szCs w:val="20"/>
        </w:rPr>
        <w:t>“</w:t>
      </w:r>
      <w:r w:rsidRPr="00AF0044">
        <w:rPr>
          <w:rFonts w:eastAsia="MS Gothic" w:cs="Arial"/>
          <w:szCs w:val="20"/>
        </w:rPr>
        <w:t>improved medication adherence</w:t>
      </w:r>
      <w:r w:rsidR="00657E4D">
        <w:rPr>
          <w:rFonts w:eastAsia="MS Gothic" w:cs="Arial"/>
          <w:szCs w:val="20"/>
        </w:rPr>
        <w:t>”</w:t>
      </w:r>
      <w:r w:rsidRPr="00AF0044">
        <w:rPr>
          <w:rFonts w:eastAsia="MS Gothic" w:cs="Arial"/>
          <w:szCs w:val="20"/>
        </w:rPr>
        <w:t xml:space="preserve"> (43%), but these varied substantially between tiers</w:t>
      </w:r>
      <w:r w:rsidR="00034863">
        <w:rPr>
          <w:rFonts w:eastAsia="MS Gothic" w:cs="Arial"/>
          <w:szCs w:val="20"/>
        </w:rPr>
        <w:t xml:space="preserve"> (</w:t>
      </w:r>
      <w:r w:rsidR="00034863" w:rsidRPr="00034863">
        <w:rPr>
          <w:rFonts w:eastAsia="MS Gothic" w:cs="Arial"/>
          <w:b/>
          <w:bCs/>
          <w:szCs w:val="20"/>
        </w:rPr>
        <w:fldChar w:fldCharType="begin"/>
      </w:r>
      <w:r w:rsidR="00034863" w:rsidRPr="00034863">
        <w:rPr>
          <w:rFonts w:eastAsia="MS Gothic" w:cs="Arial"/>
          <w:b/>
          <w:bCs/>
          <w:szCs w:val="20"/>
        </w:rPr>
        <w:instrText xml:space="preserve"> REF _Ref94695736 \h </w:instrText>
      </w:r>
      <w:r w:rsidR="00034863">
        <w:rPr>
          <w:rFonts w:eastAsia="MS Gothic" w:cs="Arial"/>
          <w:b/>
          <w:bCs/>
          <w:szCs w:val="20"/>
        </w:rPr>
        <w:instrText xml:space="preserve"> \* MERGEFORMAT </w:instrText>
      </w:r>
      <w:r w:rsidR="00034863" w:rsidRPr="00034863">
        <w:rPr>
          <w:rFonts w:eastAsia="MS Gothic" w:cs="Arial"/>
          <w:b/>
          <w:bCs/>
          <w:szCs w:val="20"/>
        </w:rPr>
      </w:r>
      <w:r w:rsidR="00034863" w:rsidRPr="00034863">
        <w:rPr>
          <w:rFonts w:eastAsia="MS Gothic" w:cs="Arial"/>
          <w:b/>
          <w:bCs/>
          <w:szCs w:val="20"/>
        </w:rPr>
        <w:fldChar w:fldCharType="separate"/>
      </w:r>
      <w:r w:rsidR="003C4BC2" w:rsidRPr="00AF0044">
        <w:t>Table </w:t>
      </w:r>
      <w:r w:rsidR="003C4BC2">
        <w:t>69</w:t>
      </w:r>
      <w:r w:rsidR="00034863" w:rsidRPr="00034863">
        <w:rPr>
          <w:rFonts w:eastAsia="MS Gothic" w:cs="Arial"/>
          <w:b/>
          <w:bCs/>
          <w:szCs w:val="20"/>
        </w:rPr>
        <w:fldChar w:fldCharType="end"/>
      </w:r>
      <w:r w:rsidR="00034863">
        <w:rPr>
          <w:rFonts w:eastAsia="MS Gothic" w:cs="Arial"/>
          <w:szCs w:val="20"/>
        </w:rPr>
        <w:t>)</w:t>
      </w:r>
      <w:r w:rsidRPr="00AF0044">
        <w:rPr>
          <w:rFonts w:eastAsia="MS Gothic" w:cs="Arial"/>
          <w:szCs w:val="20"/>
        </w:rPr>
        <w:t xml:space="preserve">. Patients in tiers 1 and 2 were much more likely to have the goal of </w:t>
      </w:r>
      <w:r w:rsidR="00657E4D">
        <w:rPr>
          <w:rFonts w:eastAsia="MS Gothic" w:cs="Arial"/>
          <w:szCs w:val="20"/>
        </w:rPr>
        <w:t>“</w:t>
      </w:r>
      <w:r w:rsidRPr="00AF0044">
        <w:rPr>
          <w:rFonts w:eastAsia="MS Gothic" w:cs="Arial"/>
          <w:szCs w:val="20"/>
        </w:rPr>
        <w:t>improved patient knowledge</w:t>
      </w:r>
      <w:r w:rsidR="00657E4D">
        <w:rPr>
          <w:rFonts w:eastAsia="MS Gothic" w:cs="Arial"/>
          <w:szCs w:val="20"/>
        </w:rPr>
        <w:t>”</w:t>
      </w:r>
      <w:r w:rsidRPr="00AF0044">
        <w:rPr>
          <w:rFonts w:eastAsia="MS Gothic" w:cs="Arial"/>
          <w:szCs w:val="20"/>
        </w:rPr>
        <w:t xml:space="preserve"> than patients in </w:t>
      </w:r>
      <w:r w:rsidR="00770301">
        <w:rPr>
          <w:rFonts w:eastAsia="MS Gothic" w:cs="Arial"/>
          <w:szCs w:val="20"/>
        </w:rPr>
        <w:t>tier</w:t>
      </w:r>
      <w:r w:rsidRPr="00AF0044">
        <w:rPr>
          <w:rFonts w:eastAsia="MS Gothic" w:cs="Arial"/>
          <w:szCs w:val="20"/>
        </w:rPr>
        <w:t xml:space="preserve"> 3 (63% in tier 1, 56% in </w:t>
      </w:r>
      <w:r w:rsidR="00770301">
        <w:rPr>
          <w:rFonts w:eastAsia="MS Gothic" w:cs="Arial"/>
          <w:szCs w:val="20"/>
        </w:rPr>
        <w:t>tier</w:t>
      </w:r>
      <w:r w:rsidRPr="00AF0044">
        <w:rPr>
          <w:rFonts w:eastAsia="MS Gothic" w:cs="Arial"/>
          <w:szCs w:val="20"/>
        </w:rPr>
        <w:t xml:space="preserve"> 2 and 31% in tier 3), but patients in tier 3 were more likely to have the goal of </w:t>
      </w:r>
      <w:r w:rsidR="00657E4D">
        <w:rPr>
          <w:rFonts w:eastAsia="MS Gothic" w:cs="Arial"/>
          <w:szCs w:val="20"/>
        </w:rPr>
        <w:t>“</w:t>
      </w:r>
      <w:r w:rsidRPr="00AF0044">
        <w:rPr>
          <w:rFonts w:eastAsia="MS Gothic" w:cs="Arial"/>
          <w:szCs w:val="20"/>
        </w:rPr>
        <w:t>improved medication adherence</w:t>
      </w:r>
      <w:r w:rsidR="00657E4D">
        <w:rPr>
          <w:rFonts w:eastAsia="MS Gothic" w:cs="Arial"/>
          <w:szCs w:val="20"/>
        </w:rPr>
        <w:t>”</w:t>
      </w:r>
      <w:r w:rsidRPr="00AF0044">
        <w:rPr>
          <w:rFonts w:eastAsia="MS Gothic" w:cs="Arial"/>
          <w:szCs w:val="20"/>
        </w:rPr>
        <w:t xml:space="preserve"> (15% in tier 1, 36% in </w:t>
      </w:r>
      <w:r w:rsidR="00770301">
        <w:rPr>
          <w:rFonts w:eastAsia="MS Gothic" w:cs="Arial"/>
          <w:szCs w:val="20"/>
        </w:rPr>
        <w:t>tier</w:t>
      </w:r>
      <w:r w:rsidRPr="00AF0044">
        <w:rPr>
          <w:rFonts w:eastAsia="MS Gothic" w:cs="Arial"/>
          <w:szCs w:val="20"/>
        </w:rPr>
        <w:t xml:space="preserve"> 2 and 57% in tier 3). The goals of </w:t>
      </w:r>
      <w:r w:rsidR="00657E4D">
        <w:rPr>
          <w:rFonts w:eastAsia="MS Gothic" w:cs="Arial"/>
          <w:szCs w:val="20"/>
        </w:rPr>
        <w:t>“</w:t>
      </w:r>
      <w:r w:rsidRPr="00AF0044">
        <w:rPr>
          <w:rFonts w:eastAsia="MS Gothic" w:cs="Arial"/>
          <w:szCs w:val="20"/>
        </w:rPr>
        <w:t>improved technique/usage of medication devices</w:t>
      </w:r>
      <w:r w:rsidR="00657E4D">
        <w:rPr>
          <w:rFonts w:eastAsia="MS Gothic" w:cs="Arial"/>
          <w:szCs w:val="20"/>
        </w:rPr>
        <w:t>”</w:t>
      </w:r>
      <w:r w:rsidRPr="00AF0044">
        <w:rPr>
          <w:rFonts w:eastAsia="MS Gothic" w:cs="Arial"/>
          <w:szCs w:val="20"/>
        </w:rPr>
        <w:t xml:space="preserve"> (16%), </w:t>
      </w:r>
      <w:r w:rsidR="00657E4D">
        <w:rPr>
          <w:rFonts w:eastAsia="MS Gothic" w:cs="Arial"/>
          <w:szCs w:val="20"/>
        </w:rPr>
        <w:t>“</w:t>
      </w:r>
      <w:r w:rsidRPr="00AF0044">
        <w:rPr>
          <w:rFonts w:eastAsia="MS Gothic" w:cs="Arial"/>
          <w:szCs w:val="20"/>
        </w:rPr>
        <w:t>optimise the medication dose</w:t>
      </w:r>
      <w:r w:rsidR="00657E4D">
        <w:rPr>
          <w:rFonts w:eastAsia="MS Gothic" w:cs="Arial"/>
          <w:szCs w:val="20"/>
        </w:rPr>
        <w:t>”</w:t>
      </w:r>
      <w:r w:rsidRPr="00AF0044">
        <w:rPr>
          <w:rFonts w:eastAsia="MS Gothic" w:cs="Arial"/>
          <w:szCs w:val="20"/>
        </w:rPr>
        <w:t xml:space="preserve"> (19%), and </w:t>
      </w:r>
      <w:r w:rsidR="00657E4D">
        <w:rPr>
          <w:rFonts w:eastAsia="MS Gothic" w:cs="Arial"/>
          <w:szCs w:val="20"/>
        </w:rPr>
        <w:t>“</w:t>
      </w:r>
      <w:r w:rsidRPr="00AF0044">
        <w:rPr>
          <w:rFonts w:eastAsia="MS Gothic" w:cs="Arial"/>
          <w:szCs w:val="20"/>
        </w:rPr>
        <w:t>reduced medication side effects</w:t>
      </w:r>
      <w:r w:rsidR="00657E4D">
        <w:rPr>
          <w:rFonts w:eastAsia="MS Gothic" w:cs="Arial"/>
          <w:szCs w:val="20"/>
        </w:rPr>
        <w:t>”</w:t>
      </w:r>
      <w:r w:rsidRPr="00AF0044">
        <w:rPr>
          <w:rFonts w:eastAsia="MS Gothic" w:cs="Arial"/>
          <w:szCs w:val="20"/>
        </w:rPr>
        <w:t xml:space="preserve"> (13%) were less common</w:t>
      </w:r>
      <w:bookmarkEnd w:id="475"/>
      <w:r w:rsidRPr="00AF0044">
        <w:rPr>
          <w:rFonts w:eastAsia="MS Gothic" w:cs="Arial"/>
          <w:szCs w:val="20"/>
        </w:rPr>
        <w:t>.</w:t>
      </w:r>
    </w:p>
    <w:p w14:paraId="377568A8" w14:textId="77777777" w:rsidR="0044198C" w:rsidRDefault="0044198C">
      <w:pPr>
        <w:spacing w:after="160" w:line="259" w:lineRule="auto"/>
        <w:rPr>
          <w:rFonts w:eastAsia="MS Gothic" w:cs="Arial"/>
          <w:szCs w:val="20"/>
        </w:rPr>
      </w:pPr>
      <w:r>
        <w:rPr>
          <w:rFonts w:eastAsia="MS Gothic" w:cs="Arial"/>
          <w:szCs w:val="20"/>
        </w:rPr>
        <w:br w:type="page"/>
      </w:r>
    </w:p>
    <w:p w14:paraId="15672738" w14:textId="5B3C79A1" w:rsidR="003106A0" w:rsidRPr="000C3FBF" w:rsidRDefault="003106A0" w:rsidP="003106A0">
      <w:pPr>
        <w:pStyle w:val="tabletitle"/>
      </w:pPr>
      <w:bookmarkStart w:id="477" w:name="_Ref94695736"/>
      <w:r w:rsidRPr="00AF0044">
        <w:lastRenderedPageBreak/>
        <w:t>Table </w:t>
      </w:r>
      <w:r w:rsidR="00A61B29">
        <w:fldChar w:fldCharType="begin"/>
      </w:r>
      <w:r w:rsidR="00A61B29">
        <w:instrText xml:space="preserve"> SEQ Table\* ARABIC </w:instrText>
      </w:r>
      <w:r w:rsidR="00A61B29">
        <w:fldChar w:fldCharType="separate"/>
      </w:r>
      <w:r w:rsidR="003C4BC2">
        <w:rPr>
          <w:noProof/>
        </w:rPr>
        <w:t>69</w:t>
      </w:r>
      <w:r w:rsidR="00A61B29">
        <w:rPr>
          <w:noProof/>
        </w:rPr>
        <w:fldChar w:fldCharType="end"/>
      </w:r>
      <w:bookmarkEnd w:id="477"/>
      <w:r w:rsidRPr="00AF0044">
        <w:t>: Goals identified in medications review</w:t>
      </w:r>
      <w:r w:rsidRPr="000C3FBF">
        <w:t> </w:t>
      </w:r>
    </w:p>
    <w:tbl>
      <w:tblPr>
        <w:tblW w:w="9066" w:type="dxa"/>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085"/>
        <w:gridCol w:w="1495"/>
        <w:gridCol w:w="1495"/>
        <w:gridCol w:w="1495"/>
        <w:gridCol w:w="1496"/>
      </w:tblGrid>
      <w:tr w:rsidR="005134A0" w:rsidRPr="00D13E5F" w14:paraId="3DD91ABE" w14:textId="77777777" w:rsidTr="00D13E5F">
        <w:tc>
          <w:tcPr>
            <w:tcW w:w="3085" w:type="dxa"/>
            <w:shd w:val="clear" w:color="auto" w:fill="408BCA"/>
            <w:vAlign w:val="center"/>
            <w:hideMark/>
          </w:tcPr>
          <w:p w14:paraId="31584691" w14:textId="09CE911B" w:rsidR="003106A0" w:rsidRPr="00D13E5F" w:rsidRDefault="003106A0" w:rsidP="00D13E5F">
            <w:pPr>
              <w:spacing w:after="0"/>
              <w:textAlignment w:val="baseline"/>
              <w:rPr>
                <w:rFonts w:ascii="Times New Roman" w:eastAsia="Times New Roman" w:hAnsi="Times New Roman"/>
                <w:b/>
                <w:sz w:val="24"/>
                <w:szCs w:val="24"/>
              </w:rPr>
            </w:pPr>
            <w:r w:rsidRPr="00D13E5F">
              <w:rPr>
                <w:rFonts w:eastAsia="Times New Roman"/>
                <w:b/>
                <w:color w:val="FFFFFF"/>
                <w:sz w:val="18"/>
              </w:rPr>
              <w:t>Goal</w:t>
            </w:r>
          </w:p>
        </w:tc>
        <w:tc>
          <w:tcPr>
            <w:tcW w:w="1495" w:type="dxa"/>
            <w:shd w:val="clear" w:color="auto" w:fill="408BCA"/>
            <w:vAlign w:val="center"/>
            <w:hideMark/>
          </w:tcPr>
          <w:p w14:paraId="2297FD7F" w14:textId="54A1708E" w:rsidR="003106A0" w:rsidRPr="00D13E5F" w:rsidRDefault="003106A0" w:rsidP="00D13E5F">
            <w:pPr>
              <w:spacing w:after="0"/>
              <w:textAlignment w:val="baseline"/>
              <w:rPr>
                <w:rFonts w:ascii="Times New Roman" w:eastAsia="Times New Roman" w:hAnsi="Times New Roman"/>
                <w:b/>
                <w:sz w:val="24"/>
                <w:szCs w:val="24"/>
              </w:rPr>
            </w:pPr>
            <w:r w:rsidRPr="00D13E5F">
              <w:rPr>
                <w:rFonts w:eastAsia="Times New Roman"/>
                <w:b/>
                <w:color w:val="FFFFFF"/>
                <w:sz w:val="18"/>
              </w:rPr>
              <w:t xml:space="preserve">Total </w:t>
            </w:r>
            <w:r w:rsidRPr="00D13E5F">
              <w:rPr>
                <w:rFonts w:eastAsia="Times New Roman"/>
                <w:b/>
                <w:color w:val="FFFFFF"/>
                <w:sz w:val="18"/>
              </w:rPr>
              <w:br/>
              <w:t>(n = 1,531)</w:t>
            </w:r>
          </w:p>
        </w:tc>
        <w:tc>
          <w:tcPr>
            <w:tcW w:w="1495" w:type="dxa"/>
            <w:shd w:val="clear" w:color="auto" w:fill="408BCA"/>
            <w:vAlign w:val="center"/>
            <w:hideMark/>
          </w:tcPr>
          <w:p w14:paraId="3BE4BC4A" w14:textId="5067D6D2" w:rsidR="003106A0" w:rsidRPr="00D13E5F" w:rsidRDefault="003106A0" w:rsidP="00D13E5F">
            <w:pPr>
              <w:spacing w:after="0"/>
              <w:textAlignment w:val="baseline"/>
              <w:rPr>
                <w:rFonts w:ascii="Times New Roman" w:eastAsia="Times New Roman" w:hAnsi="Times New Roman"/>
                <w:b/>
                <w:sz w:val="24"/>
                <w:szCs w:val="24"/>
              </w:rPr>
            </w:pPr>
            <w:r w:rsidRPr="00D13E5F">
              <w:rPr>
                <w:rFonts w:eastAsia="Times New Roman"/>
                <w:b/>
                <w:color w:val="FFFFFF"/>
                <w:sz w:val="18"/>
              </w:rPr>
              <w:t xml:space="preserve">Tier 1 </w:t>
            </w:r>
            <w:r w:rsidRPr="00D13E5F">
              <w:rPr>
                <w:rFonts w:eastAsia="Times New Roman"/>
                <w:b/>
                <w:color w:val="FFFFFF"/>
                <w:sz w:val="18"/>
              </w:rPr>
              <w:br/>
              <w:t>(n = 152)</w:t>
            </w:r>
          </w:p>
        </w:tc>
        <w:tc>
          <w:tcPr>
            <w:tcW w:w="1495" w:type="dxa"/>
            <w:shd w:val="clear" w:color="auto" w:fill="408BCA"/>
            <w:vAlign w:val="center"/>
            <w:hideMark/>
          </w:tcPr>
          <w:p w14:paraId="511843D7" w14:textId="3AA90AF5" w:rsidR="003106A0" w:rsidRPr="00D13E5F" w:rsidRDefault="003106A0" w:rsidP="00D13E5F">
            <w:pPr>
              <w:spacing w:after="0"/>
              <w:textAlignment w:val="baseline"/>
              <w:rPr>
                <w:rFonts w:ascii="Times New Roman" w:eastAsia="Times New Roman" w:hAnsi="Times New Roman"/>
                <w:b/>
                <w:sz w:val="24"/>
                <w:szCs w:val="24"/>
              </w:rPr>
            </w:pPr>
            <w:r w:rsidRPr="00D13E5F">
              <w:rPr>
                <w:rFonts w:eastAsia="Times New Roman"/>
                <w:b/>
                <w:color w:val="FFFFFF"/>
                <w:sz w:val="18"/>
              </w:rPr>
              <w:t xml:space="preserve">Tier 2 </w:t>
            </w:r>
            <w:r w:rsidRPr="00D13E5F">
              <w:rPr>
                <w:rFonts w:eastAsia="Times New Roman"/>
                <w:b/>
                <w:color w:val="FFFFFF"/>
                <w:sz w:val="18"/>
              </w:rPr>
              <w:br/>
              <w:t>(n = 739)</w:t>
            </w:r>
          </w:p>
        </w:tc>
        <w:tc>
          <w:tcPr>
            <w:tcW w:w="1496" w:type="dxa"/>
            <w:shd w:val="clear" w:color="auto" w:fill="408BCA"/>
            <w:vAlign w:val="center"/>
            <w:hideMark/>
          </w:tcPr>
          <w:p w14:paraId="2AEF6A98" w14:textId="02163C96" w:rsidR="003106A0" w:rsidRPr="00D13E5F" w:rsidRDefault="003106A0" w:rsidP="00D13E5F">
            <w:pPr>
              <w:spacing w:after="0"/>
              <w:textAlignment w:val="baseline"/>
              <w:rPr>
                <w:rFonts w:ascii="Times New Roman" w:eastAsia="Times New Roman" w:hAnsi="Times New Roman"/>
                <w:b/>
                <w:sz w:val="24"/>
                <w:szCs w:val="24"/>
              </w:rPr>
            </w:pPr>
            <w:r w:rsidRPr="00D13E5F">
              <w:rPr>
                <w:rFonts w:eastAsia="Times New Roman"/>
                <w:b/>
                <w:color w:val="FFFFFF"/>
                <w:sz w:val="18"/>
              </w:rPr>
              <w:t xml:space="preserve">Tier 3 </w:t>
            </w:r>
            <w:r w:rsidRPr="00D13E5F">
              <w:rPr>
                <w:rFonts w:eastAsia="Times New Roman"/>
                <w:b/>
                <w:color w:val="FFFFFF"/>
                <w:sz w:val="18"/>
              </w:rPr>
              <w:br/>
              <w:t>(n = 640)</w:t>
            </w:r>
          </w:p>
        </w:tc>
      </w:tr>
      <w:tr w:rsidR="003106A0" w:rsidRPr="00925C4B" w14:paraId="6F4F53A3" w14:textId="77777777" w:rsidTr="00F11772">
        <w:tc>
          <w:tcPr>
            <w:tcW w:w="3085" w:type="dxa"/>
            <w:hideMark/>
          </w:tcPr>
          <w:p w14:paraId="4CE3B67A"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Improved medication adherence </w:t>
            </w:r>
          </w:p>
        </w:tc>
        <w:tc>
          <w:tcPr>
            <w:tcW w:w="1495" w:type="dxa"/>
            <w:hideMark/>
          </w:tcPr>
          <w:p w14:paraId="56DC3CC9"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655 (42.8%)</w:t>
            </w:r>
          </w:p>
        </w:tc>
        <w:tc>
          <w:tcPr>
            <w:tcW w:w="1495" w:type="dxa"/>
            <w:hideMark/>
          </w:tcPr>
          <w:p w14:paraId="5A14DC63"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23 (15.1%)</w:t>
            </w:r>
          </w:p>
        </w:tc>
        <w:tc>
          <w:tcPr>
            <w:tcW w:w="1495" w:type="dxa"/>
            <w:hideMark/>
          </w:tcPr>
          <w:p w14:paraId="6D5794FC"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267 (36.1%)</w:t>
            </w:r>
          </w:p>
        </w:tc>
        <w:tc>
          <w:tcPr>
            <w:tcW w:w="1496" w:type="dxa"/>
            <w:hideMark/>
          </w:tcPr>
          <w:p w14:paraId="53FB6B47"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365 (57.0%)</w:t>
            </w:r>
          </w:p>
        </w:tc>
      </w:tr>
      <w:tr w:rsidR="003106A0" w:rsidRPr="00925C4B" w14:paraId="19885046" w14:textId="77777777" w:rsidTr="00F11772">
        <w:tc>
          <w:tcPr>
            <w:tcW w:w="3085" w:type="dxa"/>
            <w:hideMark/>
          </w:tcPr>
          <w:p w14:paraId="5148940B"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Improved patient knowledge about their medicines leading to improved medication use and disease self-management </w:t>
            </w:r>
          </w:p>
        </w:tc>
        <w:tc>
          <w:tcPr>
            <w:tcW w:w="1495" w:type="dxa"/>
            <w:hideMark/>
          </w:tcPr>
          <w:p w14:paraId="68643F56"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681 (44.5%)</w:t>
            </w:r>
          </w:p>
        </w:tc>
        <w:tc>
          <w:tcPr>
            <w:tcW w:w="1495" w:type="dxa"/>
            <w:hideMark/>
          </w:tcPr>
          <w:p w14:paraId="68DEC22C"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96 (63.2%)</w:t>
            </w:r>
          </w:p>
        </w:tc>
        <w:tc>
          <w:tcPr>
            <w:tcW w:w="1495" w:type="dxa"/>
            <w:hideMark/>
          </w:tcPr>
          <w:p w14:paraId="44CBFC75"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386 (52.2%)</w:t>
            </w:r>
          </w:p>
        </w:tc>
        <w:tc>
          <w:tcPr>
            <w:tcW w:w="1496" w:type="dxa"/>
            <w:hideMark/>
          </w:tcPr>
          <w:p w14:paraId="60A0F29D"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199 (31.1%)</w:t>
            </w:r>
          </w:p>
        </w:tc>
      </w:tr>
      <w:tr w:rsidR="003106A0" w:rsidRPr="00925C4B" w14:paraId="6B31432F" w14:textId="77777777" w:rsidTr="00F11772">
        <w:tc>
          <w:tcPr>
            <w:tcW w:w="3085" w:type="dxa"/>
            <w:hideMark/>
          </w:tcPr>
          <w:p w14:paraId="1D7C3BBD"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Improved technique/usage of medication devices </w:t>
            </w:r>
          </w:p>
        </w:tc>
        <w:tc>
          <w:tcPr>
            <w:tcW w:w="1495" w:type="dxa"/>
            <w:hideMark/>
          </w:tcPr>
          <w:p w14:paraId="420C7EE0"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243 (15.9%)</w:t>
            </w:r>
          </w:p>
        </w:tc>
        <w:tc>
          <w:tcPr>
            <w:tcW w:w="1495" w:type="dxa"/>
            <w:hideMark/>
          </w:tcPr>
          <w:p w14:paraId="746C4092"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20 (13.2%)</w:t>
            </w:r>
          </w:p>
        </w:tc>
        <w:tc>
          <w:tcPr>
            <w:tcW w:w="1495" w:type="dxa"/>
            <w:hideMark/>
          </w:tcPr>
          <w:p w14:paraId="77F62223"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116 (15.7%)</w:t>
            </w:r>
          </w:p>
        </w:tc>
        <w:tc>
          <w:tcPr>
            <w:tcW w:w="1496" w:type="dxa"/>
            <w:hideMark/>
          </w:tcPr>
          <w:p w14:paraId="388897B8"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107 (16.7%)</w:t>
            </w:r>
          </w:p>
        </w:tc>
      </w:tr>
      <w:tr w:rsidR="003106A0" w:rsidRPr="00925C4B" w14:paraId="70C09188" w14:textId="77777777" w:rsidTr="00F11772">
        <w:tc>
          <w:tcPr>
            <w:tcW w:w="3085" w:type="dxa"/>
            <w:hideMark/>
          </w:tcPr>
          <w:p w14:paraId="5BEB5E01"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Optimise the medication dose and/or number or type of medicines </w:t>
            </w:r>
          </w:p>
        </w:tc>
        <w:tc>
          <w:tcPr>
            <w:tcW w:w="1495" w:type="dxa"/>
            <w:hideMark/>
          </w:tcPr>
          <w:p w14:paraId="6F8236FC"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284 (18.5%)</w:t>
            </w:r>
          </w:p>
        </w:tc>
        <w:tc>
          <w:tcPr>
            <w:tcW w:w="1495" w:type="dxa"/>
            <w:hideMark/>
          </w:tcPr>
          <w:p w14:paraId="71844D97"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24 (15.8%)</w:t>
            </w:r>
          </w:p>
        </w:tc>
        <w:tc>
          <w:tcPr>
            <w:tcW w:w="1495" w:type="dxa"/>
            <w:hideMark/>
          </w:tcPr>
          <w:p w14:paraId="7BA1975B"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121 (16.4%)</w:t>
            </w:r>
          </w:p>
        </w:tc>
        <w:tc>
          <w:tcPr>
            <w:tcW w:w="1496" w:type="dxa"/>
            <w:hideMark/>
          </w:tcPr>
          <w:p w14:paraId="013887DB"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139 (21.7%)</w:t>
            </w:r>
          </w:p>
        </w:tc>
      </w:tr>
      <w:tr w:rsidR="003106A0" w:rsidRPr="00925C4B" w14:paraId="3EB5FB0A" w14:textId="77777777" w:rsidTr="00F11772">
        <w:tc>
          <w:tcPr>
            <w:tcW w:w="3085" w:type="dxa"/>
            <w:hideMark/>
          </w:tcPr>
          <w:p w14:paraId="269BF85C"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Reduced medication side effects </w:t>
            </w:r>
          </w:p>
        </w:tc>
        <w:tc>
          <w:tcPr>
            <w:tcW w:w="1495" w:type="dxa"/>
            <w:hideMark/>
          </w:tcPr>
          <w:p w14:paraId="48939A4B"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205 (13.4%)</w:t>
            </w:r>
          </w:p>
        </w:tc>
        <w:tc>
          <w:tcPr>
            <w:tcW w:w="1495" w:type="dxa"/>
            <w:hideMark/>
          </w:tcPr>
          <w:p w14:paraId="619303EA"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17 (11.2%)</w:t>
            </w:r>
          </w:p>
        </w:tc>
        <w:tc>
          <w:tcPr>
            <w:tcW w:w="1495" w:type="dxa"/>
            <w:hideMark/>
          </w:tcPr>
          <w:p w14:paraId="600A0B96"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76 (10.3%)</w:t>
            </w:r>
          </w:p>
        </w:tc>
        <w:tc>
          <w:tcPr>
            <w:tcW w:w="1496" w:type="dxa"/>
            <w:hideMark/>
          </w:tcPr>
          <w:p w14:paraId="7C6B62B0"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112 (17.5%)</w:t>
            </w:r>
          </w:p>
        </w:tc>
      </w:tr>
      <w:tr w:rsidR="003106A0" w:rsidRPr="00925C4B" w14:paraId="472F6469" w14:textId="77777777" w:rsidTr="00F11772">
        <w:tc>
          <w:tcPr>
            <w:tcW w:w="3085" w:type="dxa"/>
            <w:hideMark/>
          </w:tcPr>
          <w:p w14:paraId="666C8745"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Other </w:t>
            </w:r>
          </w:p>
        </w:tc>
        <w:tc>
          <w:tcPr>
            <w:tcW w:w="1495" w:type="dxa"/>
            <w:hideMark/>
          </w:tcPr>
          <w:p w14:paraId="6C8E5DB2"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281 (18.4%)</w:t>
            </w:r>
          </w:p>
        </w:tc>
        <w:tc>
          <w:tcPr>
            <w:tcW w:w="1495" w:type="dxa"/>
            <w:hideMark/>
          </w:tcPr>
          <w:p w14:paraId="2CAD6AA1"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37 (24.3%)</w:t>
            </w:r>
          </w:p>
        </w:tc>
        <w:tc>
          <w:tcPr>
            <w:tcW w:w="1495" w:type="dxa"/>
            <w:hideMark/>
          </w:tcPr>
          <w:p w14:paraId="13E06ACC"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137 (18.5%)</w:t>
            </w:r>
          </w:p>
        </w:tc>
        <w:tc>
          <w:tcPr>
            <w:tcW w:w="1496" w:type="dxa"/>
            <w:hideMark/>
          </w:tcPr>
          <w:p w14:paraId="236DD274" w14:textId="77777777" w:rsidR="003106A0" w:rsidRPr="001D595F" w:rsidRDefault="003106A0" w:rsidP="0032660B">
            <w:pPr>
              <w:spacing w:after="0"/>
              <w:ind w:left="90" w:right="90"/>
              <w:textAlignment w:val="baseline"/>
              <w:rPr>
                <w:rFonts w:eastAsia="Times New Roman"/>
                <w:color w:val="000000"/>
                <w:sz w:val="18"/>
              </w:rPr>
            </w:pPr>
            <w:r w:rsidRPr="001D595F">
              <w:rPr>
                <w:rFonts w:eastAsia="Times New Roman"/>
                <w:color w:val="000000"/>
                <w:sz w:val="18"/>
              </w:rPr>
              <w:t>107 (16.7%)</w:t>
            </w:r>
          </w:p>
        </w:tc>
      </w:tr>
    </w:tbl>
    <w:p w14:paraId="002BF9CC" w14:textId="74E01A89" w:rsidR="003106A0" w:rsidRDefault="003106A0" w:rsidP="003106A0">
      <w:pPr>
        <w:pStyle w:val="Chartortablefootnote"/>
        <w:rPr>
          <w:lang w:eastAsia="en-AU"/>
        </w:rPr>
      </w:pPr>
      <w:r w:rsidRPr="00AF0044">
        <w:rPr>
          <w:lang w:eastAsia="en-AU"/>
        </w:rPr>
        <w:t>Source: Health Outcomes data set provided by the Pharmacy Guild, to 30 June 2021.</w:t>
      </w:r>
      <w:r w:rsidRPr="0036194D">
        <w:rPr>
          <w:lang w:eastAsia="en-AU"/>
        </w:rPr>
        <w:t> </w:t>
      </w:r>
    </w:p>
    <w:p w14:paraId="321ABEEF" w14:textId="5F666F15" w:rsidR="003106A0" w:rsidRPr="00305C09" w:rsidRDefault="003106A0" w:rsidP="003106A0">
      <w:pPr>
        <w:rPr>
          <w:rFonts w:eastAsia="MS Gothic" w:cs="Arial"/>
          <w:szCs w:val="20"/>
        </w:rPr>
      </w:pPr>
      <w:r w:rsidRPr="00305C09">
        <w:rPr>
          <w:rFonts w:eastAsia="MS Gothic" w:cs="Arial"/>
          <w:szCs w:val="20"/>
        </w:rPr>
        <w:t>For most patients’ goals related to their medication management, at least two people were identified as being responsible for helping the patient achieve their goal (</w:t>
      </w:r>
      <w:r w:rsidR="00034863" w:rsidRPr="00034863">
        <w:rPr>
          <w:rFonts w:eastAsia="MS Gothic" w:cs="Arial"/>
          <w:b/>
          <w:bCs/>
          <w:szCs w:val="20"/>
        </w:rPr>
        <w:fldChar w:fldCharType="begin"/>
      </w:r>
      <w:r w:rsidR="00034863" w:rsidRPr="00034863">
        <w:rPr>
          <w:rFonts w:eastAsia="MS Gothic" w:cs="Arial"/>
          <w:b/>
          <w:bCs/>
          <w:szCs w:val="20"/>
        </w:rPr>
        <w:instrText xml:space="preserve"> REF _Ref85461925 \h </w:instrText>
      </w:r>
      <w:r w:rsidR="00034863">
        <w:rPr>
          <w:rFonts w:eastAsia="MS Gothic" w:cs="Arial"/>
          <w:b/>
          <w:bCs/>
          <w:szCs w:val="20"/>
        </w:rPr>
        <w:instrText xml:space="preserve"> \* MERGEFORMAT </w:instrText>
      </w:r>
      <w:r w:rsidR="00034863" w:rsidRPr="00034863">
        <w:rPr>
          <w:rFonts w:eastAsia="MS Gothic" w:cs="Arial"/>
          <w:b/>
          <w:bCs/>
          <w:szCs w:val="20"/>
        </w:rPr>
      </w:r>
      <w:r w:rsidR="00034863" w:rsidRPr="00034863">
        <w:rPr>
          <w:rFonts w:eastAsia="MS Gothic" w:cs="Arial"/>
          <w:b/>
          <w:bCs/>
          <w:szCs w:val="20"/>
        </w:rPr>
        <w:fldChar w:fldCharType="separate"/>
      </w:r>
      <w:r w:rsidR="003C4BC2" w:rsidRPr="00305C09">
        <w:t>Table </w:t>
      </w:r>
      <w:r w:rsidR="003C4BC2">
        <w:t>71</w:t>
      </w:r>
      <w:r w:rsidR="00034863" w:rsidRPr="00034863">
        <w:rPr>
          <w:rFonts w:eastAsia="MS Gothic" w:cs="Arial"/>
          <w:b/>
          <w:bCs/>
          <w:szCs w:val="20"/>
        </w:rPr>
        <w:fldChar w:fldCharType="end"/>
      </w:r>
      <w:r w:rsidRPr="00305C09">
        <w:rPr>
          <w:rFonts w:eastAsia="MS Gothic" w:cs="Arial"/>
          <w:szCs w:val="20"/>
        </w:rPr>
        <w:t xml:space="preserve">). </w:t>
      </w:r>
      <w:r w:rsidR="00034863" w:rsidRPr="00034863">
        <w:rPr>
          <w:rFonts w:eastAsia="MS Gothic" w:cs="Arial"/>
          <w:b/>
          <w:bCs/>
          <w:color w:val="002060"/>
          <w:szCs w:val="20"/>
        </w:rPr>
        <w:fldChar w:fldCharType="begin"/>
      </w:r>
      <w:r w:rsidR="00034863" w:rsidRPr="00034863">
        <w:rPr>
          <w:rFonts w:eastAsia="MS Gothic" w:cs="Arial"/>
          <w:b/>
          <w:bCs/>
          <w:color w:val="002060"/>
          <w:szCs w:val="20"/>
        </w:rPr>
        <w:instrText xml:space="preserve"> REF _Ref85461938 \h  \* MERGEFORMAT </w:instrText>
      </w:r>
      <w:r w:rsidR="00034863" w:rsidRPr="00034863">
        <w:rPr>
          <w:rFonts w:eastAsia="MS Gothic" w:cs="Arial"/>
          <w:b/>
          <w:bCs/>
          <w:color w:val="002060"/>
          <w:szCs w:val="20"/>
        </w:rPr>
      </w:r>
      <w:r w:rsidR="00034863" w:rsidRPr="00034863">
        <w:rPr>
          <w:rFonts w:eastAsia="MS Gothic" w:cs="Arial"/>
          <w:b/>
          <w:bCs/>
          <w:color w:val="002060"/>
          <w:szCs w:val="20"/>
        </w:rPr>
        <w:fldChar w:fldCharType="separate"/>
      </w:r>
      <w:r w:rsidR="003C4BC2" w:rsidRPr="003C4BC2">
        <w:rPr>
          <w:color w:val="002060"/>
        </w:rPr>
        <w:t>Table 70</w:t>
      </w:r>
      <w:r w:rsidR="00034863" w:rsidRPr="00034863">
        <w:rPr>
          <w:rFonts w:eastAsia="MS Gothic" w:cs="Arial"/>
          <w:b/>
          <w:bCs/>
          <w:color w:val="002060"/>
          <w:szCs w:val="20"/>
        </w:rPr>
        <w:fldChar w:fldCharType="end"/>
      </w:r>
      <w:r w:rsidR="00034863">
        <w:rPr>
          <w:rFonts w:eastAsia="MS Gothic" w:cs="Arial"/>
          <w:b/>
          <w:bCs/>
          <w:szCs w:val="20"/>
        </w:rPr>
        <w:t xml:space="preserve"> </w:t>
      </w:r>
      <w:r w:rsidR="00034863" w:rsidRPr="00034863">
        <w:rPr>
          <w:rFonts w:eastAsia="MS Gothic" w:cs="Arial"/>
          <w:szCs w:val="20"/>
        </w:rPr>
        <w:t>shows that f</w:t>
      </w:r>
      <w:r w:rsidRPr="00034863">
        <w:rPr>
          <w:rFonts w:eastAsia="MS Gothic" w:cs="Arial"/>
          <w:szCs w:val="20"/>
        </w:rPr>
        <w:t>or</w:t>
      </w:r>
      <w:r w:rsidRPr="00305C09">
        <w:rPr>
          <w:rFonts w:eastAsia="MS Gothic" w:cs="Arial"/>
          <w:szCs w:val="20"/>
        </w:rPr>
        <w:t xml:space="preserve"> the five pre-defined patient goals, both carer/patient and pharmacist were reported as being responsible in over 50% of cases. </w:t>
      </w:r>
      <w:r w:rsidR="00A2323B" w:rsidRPr="00305C09">
        <w:rPr>
          <w:rFonts w:eastAsia="MS Gothic" w:cs="Arial"/>
          <w:szCs w:val="20"/>
        </w:rPr>
        <w:t>Carer</w:t>
      </w:r>
      <w:r w:rsidR="00A2323B">
        <w:rPr>
          <w:rFonts w:eastAsia="MS Gothic" w:cs="Arial"/>
          <w:szCs w:val="20"/>
        </w:rPr>
        <w:t>s</w:t>
      </w:r>
      <w:r w:rsidR="00A2323B" w:rsidRPr="00305C09">
        <w:rPr>
          <w:rFonts w:eastAsia="MS Gothic" w:cs="Arial"/>
          <w:szCs w:val="20"/>
        </w:rPr>
        <w:t xml:space="preserve">/patients were considered responsible in 75% of cases where the goal was to improve technique of medication devices. </w:t>
      </w:r>
      <w:r w:rsidRPr="00305C09">
        <w:rPr>
          <w:rFonts w:eastAsia="MS Gothic" w:cs="Arial"/>
          <w:szCs w:val="20"/>
        </w:rPr>
        <w:t xml:space="preserve">Pharmacists were considered responsible for improved medication adherence </w:t>
      </w:r>
      <w:r w:rsidR="00A2323B">
        <w:rPr>
          <w:rFonts w:eastAsia="MS Gothic" w:cs="Arial"/>
          <w:szCs w:val="20"/>
        </w:rPr>
        <w:t>by</w:t>
      </w:r>
      <w:r w:rsidRPr="00305C09">
        <w:rPr>
          <w:rFonts w:eastAsia="MS Gothic" w:cs="Arial"/>
          <w:szCs w:val="20"/>
        </w:rPr>
        <w:t xml:space="preserve"> 72% of patients who set this goal and responsible for improved knowledge </w:t>
      </w:r>
      <w:r w:rsidR="00A2323B">
        <w:rPr>
          <w:rFonts w:eastAsia="MS Gothic" w:cs="Arial"/>
          <w:szCs w:val="20"/>
        </w:rPr>
        <w:t>by</w:t>
      </w:r>
      <w:r w:rsidRPr="00305C09">
        <w:rPr>
          <w:rFonts w:eastAsia="MS Gothic" w:cs="Arial"/>
          <w:szCs w:val="20"/>
        </w:rPr>
        <w:t xml:space="preserve"> 84% of patients. Although GPs were less likely to be considered responsible for a goal, GPs were considered responsible for goals relating to optimising dose (64%) and reducing side effects (62%).</w:t>
      </w:r>
    </w:p>
    <w:p w14:paraId="471B96AA" w14:textId="1C3AD3E4" w:rsidR="003106A0" w:rsidRPr="000C3FBF" w:rsidRDefault="003106A0" w:rsidP="003106A0">
      <w:pPr>
        <w:pStyle w:val="tabletitle"/>
      </w:pPr>
      <w:bookmarkStart w:id="478" w:name="_Ref85461938"/>
      <w:r w:rsidRPr="00305C09">
        <w:t>Table </w:t>
      </w:r>
      <w:r w:rsidR="00A61B29">
        <w:fldChar w:fldCharType="begin"/>
      </w:r>
      <w:r w:rsidR="00A61B29">
        <w:instrText xml:space="preserve"> SEQ Table\* ARABIC </w:instrText>
      </w:r>
      <w:r w:rsidR="00A61B29">
        <w:fldChar w:fldCharType="separate"/>
      </w:r>
      <w:r w:rsidR="003C4BC2">
        <w:rPr>
          <w:noProof/>
        </w:rPr>
        <w:t>70</w:t>
      </w:r>
      <w:r w:rsidR="00A61B29">
        <w:rPr>
          <w:noProof/>
        </w:rPr>
        <w:fldChar w:fldCharType="end"/>
      </w:r>
      <w:bookmarkEnd w:id="478"/>
      <w:r w:rsidRPr="00305C09">
        <w:t>: Person responsible for medication management goal</w:t>
      </w:r>
      <w:r w:rsidRPr="000C3FBF">
        <w:t> </w:t>
      </w:r>
    </w:p>
    <w:tbl>
      <w:tblPr>
        <w:tblW w:w="9066" w:type="dxa"/>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085"/>
        <w:gridCol w:w="1495"/>
        <w:gridCol w:w="1495"/>
        <w:gridCol w:w="1495"/>
        <w:gridCol w:w="1496"/>
      </w:tblGrid>
      <w:tr w:rsidR="003106A0" w:rsidRPr="00925C4B" w14:paraId="2C393392" w14:textId="77777777" w:rsidTr="00DE067F">
        <w:tc>
          <w:tcPr>
            <w:tcW w:w="3085" w:type="dxa"/>
            <w:vMerge w:val="restart"/>
            <w:shd w:val="clear" w:color="auto" w:fill="408BCA"/>
            <w:vAlign w:val="center"/>
          </w:tcPr>
          <w:p w14:paraId="086FD6B2" w14:textId="78D2A265" w:rsidR="003106A0" w:rsidRPr="00DE067F" w:rsidRDefault="003106A0" w:rsidP="00DE067F">
            <w:pPr>
              <w:spacing w:after="0"/>
              <w:textAlignment w:val="baseline"/>
              <w:rPr>
                <w:rFonts w:eastAsia="Times New Roman"/>
                <w:b/>
                <w:color w:val="FFFFFF" w:themeColor="background1"/>
                <w:sz w:val="18"/>
              </w:rPr>
            </w:pPr>
            <w:r w:rsidRPr="00DE067F">
              <w:rPr>
                <w:rFonts w:eastAsia="Times New Roman"/>
                <w:b/>
                <w:color w:val="FFFFFF" w:themeColor="background1"/>
                <w:sz w:val="18"/>
              </w:rPr>
              <w:t>Goal</w:t>
            </w:r>
          </w:p>
        </w:tc>
        <w:tc>
          <w:tcPr>
            <w:tcW w:w="5981" w:type="dxa"/>
            <w:gridSpan w:val="4"/>
            <w:shd w:val="clear" w:color="auto" w:fill="408BCA"/>
            <w:vAlign w:val="center"/>
          </w:tcPr>
          <w:p w14:paraId="458C2376" w14:textId="77777777" w:rsidR="003106A0" w:rsidRPr="00DE067F" w:rsidRDefault="003106A0" w:rsidP="00DE067F">
            <w:pPr>
              <w:spacing w:after="0"/>
              <w:textAlignment w:val="baseline"/>
              <w:rPr>
                <w:b/>
                <w:color w:val="FFFFFF" w:themeColor="background1"/>
                <w:sz w:val="18"/>
              </w:rPr>
            </w:pPr>
            <w:r w:rsidRPr="00DE067F">
              <w:rPr>
                <w:b/>
                <w:color w:val="FFFFFF" w:themeColor="background1"/>
                <w:sz w:val="18"/>
              </w:rPr>
              <w:t>Person responsible (% of patients with goal)</w:t>
            </w:r>
          </w:p>
        </w:tc>
      </w:tr>
      <w:tr w:rsidR="003106A0" w:rsidRPr="00925C4B" w14:paraId="7314B7E6" w14:textId="77777777" w:rsidTr="00F11772">
        <w:tc>
          <w:tcPr>
            <w:tcW w:w="3085" w:type="dxa"/>
            <w:vMerge/>
            <w:shd w:val="clear" w:color="auto" w:fill="408BCA"/>
            <w:hideMark/>
          </w:tcPr>
          <w:p w14:paraId="297C2961" w14:textId="77777777" w:rsidR="003106A0" w:rsidRPr="006D0D88" w:rsidRDefault="003106A0" w:rsidP="0032660B">
            <w:pPr>
              <w:spacing w:after="0"/>
              <w:textAlignment w:val="baseline"/>
              <w:rPr>
                <w:rFonts w:ascii="Times New Roman" w:eastAsia="Times New Roman" w:hAnsi="Times New Roman"/>
                <w:color w:val="FFFFFF" w:themeColor="background1"/>
                <w:sz w:val="24"/>
                <w:szCs w:val="24"/>
              </w:rPr>
            </w:pPr>
          </w:p>
        </w:tc>
        <w:tc>
          <w:tcPr>
            <w:tcW w:w="1495" w:type="dxa"/>
            <w:shd w:val="clear" w:color="auto" w:fill="408BCA"/>
            <w:hideMark/>
          </w:tcPr>
          <w:p w14:paraId="1B4C30B4" w14:textId="77777777" w:rsidR="003106A0" w:rsidRPr="00CF10E0" w:rsidRDefault="003106A0" w:rsidP="0032660B">
            <w:pPr>
              <w:spacing w:after="0"/>
              <w:textAlignment w:val="baseline"/>
              <w:rPr>
                <w:rFonts w:ascii="Times New Roman" w:eastAsia="Times New Roman" w:hAnsi="Times New Roman"/>
                <w:b/>
                <w:color w:val="FFFFFF" w:themeColor="background1"/>
                <w:sz w:val="18"/>
              </w:rPr>
            </w:pPr>
            <w:r w:rsidRPr="00CF10E0">
              <w:rPr>
                <w:b/>
                <w:color w:val="FFFFFF" w:themeColor="background1"/>
                <w:sz w:val="18"/>
              </w:rPr>
              <w:t>Patient/carer</w:t>
            </w:r>
          </w:p>
        </w:tc>
        <w:tc>
          <w:tcPr>
            <w:tcW w:w="1495" w:type="dxa"/>
            <w:shd w:val="clear" w:color="auto" w:fill="408BCA"/>
            <w:hideMark/>
          </w:tcPr>
          <w:p w14:paraId="54F52149" w14:textId="77777777" w:rsidR="003106A0" w:rsidRPr="00CF10E0" w:rsidRDefault="003106A0" w:rsidP="0032660B">
            <w:pPr>
              <w:spacing w:after="0"/>
              <w:textAlignment w:val="baseline"/>
              <w:rPr>
                <w:rFonts w:ascii="Times New Roman" w:eastAsia="Times New Roman" w:hAnsi="Times New Roman"/>
                <w:b/>
                <w:color w:val="FFFFFF" w:themeColor="background1"/>
                <w:sz w:val="18"/>
              </w:rPr>
            </w:pPr>
            <w:r w:rsidRPr="00CF10E0">
              <w:rPr>
                <w:b/>
                <w:color w:val="FFFFFF" w:themeColor="background1"/>
                <w:sz w:val="18"/>
              </w:rPr>
              <w:t>Pharmacist</w:t>
            </w:r>
          </w:p>
        </w:tc>
        <w:tc>
          <w:tcPr>
            <w:tcW w:w="1495" w:type="dxa"/>
            <w:shd w:val="clear" w:color="auto" w:fill="408BCA"/>
            <w:hideMark/>
          </w:tcPr>
          <w:p w14:paraId="5B0ADAB0" w14:textId="77777777" w:rsidR="003106A0" w:rsidRPr="00CF10E0" w:rsidRDefault="003106A0" w:rsidP="0032660B">
            <w:pPr>
              <w:spacing w:after="0"/>
              <w:textAlignment w:val="baseline"/>
              <w:rPr>
                <w:rFonts w:ascii="Times New Roman" w:eastAsia="Times New Roman" w:hAnsi="Times New Roman"/>
                <w:b/>
                <w:color w:val="FFFFFF" w:themeColor="background1"/>
                <w:sz w:val="18"/>
              </w:rPr>
            </w:pPr>
            <w:r w:rsidRPr="00CF10E0">
              <w:rPr>
                <w:b/>
                <w:color w:val="FFFFFF" w:themeColor="background1"/>
                <w:sz w:val="18"/>
              </w:rPr>
              <w:t>GP</w:t>
            </w:r>
          </w:p>
        </w:tc>
        <w:tc>
          <w:tcPr>
            <w:tcW w:w="1496" w:type="dxa"/>
            <w:shd w:val="clear" w:color="auto" w:fill="408BCA"/>
            <w:hideMark/>
          </w:tcPr>
          <w:p w14:paraId="4A7484BA" w14:textId="77777777" w:rsidR="003106A0" w:rsidRPr="00CF10E0" w:rsidRDefault="003106A0" w:rsidP="0032660B">
            <w:pPr>
              <w:spacing w:after="0"/>
              <w:textAlignment w:val="baseline"/>
              <w:rPr>
                <w:rFonts w:ascii="Times New Roman" w:eastAsia="Times New Roman" w:hAnsi="Times New Roman"/>
                <w:b/>
                <w:color w:val="FFFFFF" w:themeColor="background1"/>
                <w:sz w:val="18"/>
              </w:rPr>
            </w:pPr>
            <w:r w:rsidRPr="00CF10E0">
              <w:rPr>
                <w:b/>
                <w:color w:val="FFFFFF" w:themeColor="background1"/>
                <w:sz w:val="18"/>
              </w:rPr>
              <w:t>Other</w:t>
            </w:r>
          </w:p>
        </w:tc>
      </w:tr>
      <w:tr w:rsidR="003106A0" w:rsidRPr="00925C4B" w14:paraId="59315C10" w14:textId="77777777" w:rsidTr="00F11772">
        <w:tc>
          <w:tcPr>
            <w:tcW w:w="3085" w:type="dxa"/>
            <w:hideMark/>
          </w:tcPr>
          <w:p w14:paraId="7CDFD4B5"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Improved medication adherence </w:t>
            </w:r>
          </w:p>
        </w:tc>
        <w:tc>
          <w:tcPr>
            <w:tcW w:w="1495" w:type="dxa"/>
            <w:hideMark/>
          </w:tcPr>
          <w:p w14:paraId="31F02229"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488 (74.5%)</w:t>
            </w:r>
          </w:p>
        </w:tc>
        <w:tc>
          <w:tcPr>
            <w:tcW w:w="1495" w:type="dxa"/>
            <w:hideMark/>
          </w:tcPr>
          <w:p w14:paraId="645B42DA"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468 (71.5%)</w:t>
            </w:r>
          </w:p>
        </w:tc>
        <w:tc>
          <w:tcPr>
            <w:tcW w:w="1495" w:type="dxa"/>
            <w:hideMark/>
          </w:tcPr>
          <w:p w14:paraId="1C209BBC"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205 (31.3%)</w:t>
            </w:r>
          </w:p>
        </w:tc>
        <w:tc>
          <w:tcPr>
            <w:tcW w:w="1496" w:type="dxa"/>
            <w:hideMark/>
          </w:tcPr>
          <w:p w14:paraId="2A033C69"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21 (3.2%)</w:t>
            </w:r>
          </w:p>
        </w:tc>
      </w:tr>
      <w:tr w:rsidR="003106A0" w:rsidRPr="00925C4B" w14:paraId="3DC70DA7" w14:textId="77777777" w:rsidTr="00F11772">
        <w:tc>
          <w:tcPr>
            <w:tcW w:w="3085" w:type="dxa"/>
            <w:hideMark/>
          </w:tcPr>
          <w:p w14:paraId="55A5BC6F"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Improved patient knowledge about their medicines leading to improved medication use and disease self-management </w:t>
            </w:r>
          </w:p>
        </w:tc>
        <w:tc>
          <w:tcPr>
            <w:tcW w:w="1495" w:type="dxa"/>
            <w:hideMark/>
          </w:tcPr>
          <w:p w14:paraId="523ADA5F"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516 (75.8%)</w:t>
            </w:r>
          </w:p>
        </w:tc>
        <w:tc>
          <w:tcPr>
            <w:tcW w:w="1495" w:type="dxa"/>
            <w:hideMark/>
          </w:tcPr>
          <w:p w14:paraId="36D84581"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570 (83.7%)</w:t>
            </w:r>
          </w:p>
        </w:tc>
        <w:tc>
          <w:tcPr>
            <w:tcW w:w="1495" w:type="dxa"/>
            <w:hideMark/>
          </w:tcPr>
          <w:p w14:paraId="21EF3B49"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215 (31.6%)</w:t>
            </w:r>
          </w:p>
        </w:tc>
        <w:tc>
          <w:tcPr>
            <w:tcW w:w="1496" w:type="dxa"/>
            <w:hideMark/>
          </w:tcPr>
          <w:p w14:paraId="71C215B1"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20 (2.9%)</w:t>
            </w:r>
          </w:p>
        </w:tc>
      </w:tr>
      <w:tr w:rsidR="003106A0" w:rsidRPr="00925C4B" w14:paraId="0839445F" w14:textId="77777777" w:rsidTr="00F11772">
        <w:tc>
          <w:tcPr>
            <w:tcW w:w="3085" w:type="dxa"/>
            <w:hideMark/>
          </w:tcPr>
          <w:p w14:paraId="18639E4E"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Improved technique/usage of medication devices </w:t>
            </w:r>
          </w:p>
        </w:tc>
        <w:tc>
          <w:tcPr>
            <w:tcW w:w="1495" w:type="dxa"/>
            <w:hideMark/>
          </w:tcPr>
          <w:p w14:paraId="40BCD99F"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182 (74.9%)</w:t>
            </w:r>
          </w:p>
        </w:tc>
        <w:tc>
          <w:tcPr>
            <w:tcW w:w="1495" w:type="dxa"/>
            <w:hideMark/>
          </w:tcPr>
          <w:p w14:paraId="27F586F3"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203 (83.5%)</w:t>
            </w:r>
          </w:p>
        </w:tc>
        <w:tc>
          <w:tcPr>
            <w:tcW w:w="1495" w:type="dxa"/>
            <w:hideMark/>
          </w:tcPr>
          <w:p w14:paraId="1146D81F"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48 (19.8%)</w:t>
            </w:r>
          </w:p>
        </w:tc>
        <w:tc>
          <w:tcPr>
            <w:tcW w:w="1496" w:type="dxa"/>
            <w:hideMark/>
          </w:tcPr>
          <w:p w14:paraId="65DDC772"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5 (2.1%)</w:t>
            </w:r>
          </w:p>
        </w:tc>
      </w:tr>
      <w:tr w:rsidR="003106A0" w:rsidRPr="00925C4B" w14:paraId="5EBB52CC" w14:textId="77777777" w:rsidTr="00F11772">
        <w:tc>
          <w:tcPr>
            <w:tcW w:w="3085" w:type="dxa"/>
            <w:hideMark/>
          </w:tcPr>
          <w:p w14:paraId="1800AFD4"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Optimise the medication dose and/or number or type of medicines </w:t>
            </w:r>
          </w:p>
        </w:tc>
        <w:tc>
          <w:tcPr>
            <w:tcW w:w="1495" w:type="dxa"/>
            <w:hideMark/>
          </w:tcPr>
          <w:p w14:paraId="6D661E25"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173 (60.9%)</w:t>
            </w:r>
          </w:p>
        </w:tc>
        <w:tc>
          <w:tcPr>
            <w:tcW w:w="1495" w:type="dxa"/>
            <w:hideMark/>
          </w:tcPr>
          <w:p w14:paraId="019F723F"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182 (64.1%)</w:t>
            </w:r>
          </w:p>
        </w:tc>
        <w:tc>
          <w:tcPr>
            <w:tcW w:w="1495" w:type="dxa"/>
            <w:hideMark/>
          </w:tcPr>
          <w:p w14:paraId="5CEE97A7"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182 (64.1%)</w:t>
            </w:r>
          </w:p>
        </w:tc>
        <w:tc>
          <w:tcPr>
            <w:tcW w:w="1496" w:type="dxa"/>
            <w:hideMark/>
          </w:tcPr>
          <w:p w14:paraId="483CC76C"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25 (8.8%)</w:t>
            </w:r>
          </w:p>
        </w:tc>
      </w:tr>
      <w:tr w:rsidR="003106A0" w:rsidRPr="00925C4B" w14:paraId="45EBF6F0" w14:textId="77777777" w:rsidTr="00F11772">
        <w:tc>
          <w:tcPr>
            <w:tcW w:w="3085" w:type="dxa"/>
            <w:hideMark/>
          </w:tcPr>
          <w:p w14:paraId="536450C6"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Reduced medication side effects </w:t>
            </w:r>
          </w:p>
        </w:tc>
        <w:tc>
          <w:tcPr>
            <w:tcW w:w="1495" w:type="dxa"/>
            <w:hideMark/>
          </w:tcPr>
          <w:p w14:paraId="4A7B8EA6"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112 (54.6%)</w:t>
            </w:r>
          </w:p>
        </w:tc>
        <w:tc>
          <w:tcPr>
            <w:tcW w:w="1495" w:type="dxa"/>
            <w:hideMark/>
          </w:tcPr>
          <w:p w14:paraId="011C6487"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151 (73.7%)</w:t>
            </w:r>
          </w:p>
        </w:tc>
        <w:tc>
          <w:tcPr>
            <w:tcW w:w="1495" w:type="dxa"/>
            <w:hideMark/>
          </w:tcPr>
          <w:p w14:paraId="394949F0"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126 (61.5%)</w:t>
            </w:r>
          </w:p>
        </w:tc>
        <w:tc>
          <w:tcPr>
            <w:tcW w:w="1496" w:type="dxa"/>
            <w:hideMark/>
          </w:tcPr>
          <w:p w14:paraId="4BA64D30"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20 (9.8%)</w:t>
            </w:r>
          </w:p>
        </w:tc>
      </w:tr>
      <w:tr w:rsidR="003106A0" w:rsidRPr="00925C4B" w14:paraId="7BCE87AF" w14:textId="77777777" w:rsidTr="00F11772">
        <w:tc>
          <w:tcPr>
            <w:tcW w:w="3085" w:type="dxa"/>
            <w:hideMark/>
          </w:tcPr>
          <w:p w14:paraId="086D407D"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Other </w:t>
            </w:r>
          </w:p>
        </w:tc>
        <w:tc>
          <w:tcPr>
            <w:tcW w:w="1495" w:type="dxa"/>
            <w:hideMark/>
          </w:tcPr>
          <w:p w14:paraId="624FB315"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171 (60.9%)</w:t>
            </w:r>
          </w:p>
        </w:tc>
        <w:tc>
          <w:tcPr>
            <w:tcW w:w="1495" w:type="dxa"/>
            <w:hideMark/>
          </w:tcPr>
          <w:p w14:paraId="269604E5"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211 (75.1%)</w:t>
            </w:r>
          </w:p>
        </w:tc>
        <w:tc>
          <w:tcPr>
            <w:tcW w:w="1495" w:type="dxa"/>
            <w:hideMark/>
          </w:tcPr>
          <w:p w14:paraId="64469DFB"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135 (48.0%)</w:t>
            </w:r>
          </w:p>
        </w:tc>
        <w:tc>
          <w:tcPr>
            <w:tcW w:w="1496" w:type="dxa"/>
            <w:hideMark/>
          </w:tcPr>
          <w:p w14:paraId="04278965" w14:textId="77777777" w:rsidR="003106A0" w:rsidRPr="001D595F" w:rsidRDefault="003106A0" w:rsidP="0032660B">
            <w:pPr>
              <w:spacing w:after="0"/>
              <w:ind w:left="90" w:right="90"/>
              <w:textAlignment w:val="baseline"/>
              <w:rPr>
                <w:rFonts w:eastAsia="Times New Roman"/>
                <w:color w:val="000000"/>
                <w:sz w:val="18"/>
              </w:rPr>
            </w:pPr>
            <w:r w:rsidRPr="005671E2">
              <w:rPr>
                <w:rFonts w:eastAsia="Times New Roman"/>
                <w:color w:val="000000"/>
                <w:sz w:val="18"/>
              </w:rPr>
              <w:t>32 (11.4%)</w:t>
            </w:r>
          </w:p>
        </w:tc>
      </w:tr>
    </w:tbl>
    <w:p w14:paraId="3D3833EB" w14:textId="6BA62628" w:rsidR="00552285" w:rsidRDefault="003106A0" w:rsidP="003106A0">
      <w:pPr>
        <w:pStyle w:val="Chartortablefootnote"/>
        <w:rPr>
          <w:lang w:eastAsia="en-AU"/>
        </w:rPr>
      </w:pPr>
      <w:r w:rsidRPr="00305C09">
        <w:rPr>
          <w:lang w:eastAsia="en-AU"/>
        </w:rPr>
        <w:t>Source: Health Outcomes data set provided by the Pharmacy Guild, to 30 June 2021.</w:t>
      </w:r>
      <w:r w:rsidRPr="0036194D">
        <w:rPr>
          <w:lang w:eastAsia="en-AU"/>
        </w:rPr>
        <w:t> </w:t>
      </w:r>
    </w:p>
    <w:p w14:paraId="1C3293B1" w14:textId="77777777" w:rsidR="00552285" w:rsidRDefault="00552285">
      <w:pPr>
        <w:spacing w:after="160" w:line="259" w:lineRule="auto"/>
        <w:rPr>
          <w:rFonts w:eastAsia="Calibri" w:cs="Times New Roman"/>
          <w:i/>
          <w:sz w:val="16"/>
          <w:szCs w:val="18"/>
          <w:lang w:eastAsia="en-AU"/>
        </w:rPr>
      </w:pPr>
      <w:r>
        <w:rPr>
          <w:lang w:eastAsia="en-AU"/>
        </w:rPr>
        <w:br w:type="page"/>
      </w:r>
    </w:p>
    <w:p w14:paraId="302C9537" w14:textId="0C38363F" w:rsidR="003106A0" w:rsidRPr="000C3FBF" w:rsidRDefault="003106A0" w:rsidP="003106A0">
      <w:pPr>
        <w:pStyle w:val="tabletitle"/>
      </w:pPr>
      <w:bookmarkStart w:id="479" w:name="_Ref85461925"/>
      <w:r w:rsidRPr="00305C09">
        <w:lastRenderedPageBreak/>
        <w:t>Table </w:t>
      </w:r>
      <w:r w:rsidR="00A61B29">
        <w:fldChar w:fldCharType="begin"/>
      </w:r>
      <w:r w:rsidR="00A61B29">
        <w:instrText xml:space="preserve"> SEQ Table\* ARABIC </w:instrText>
      </w:r>
      <w:r w:rsidR="00A61B29">
        <w:fldChar w:fldCharType="separate"/>
      </w:r>
      <w:r w:rsidR="003C4BC2">
        <w:rPr>
          <w:noProof/>
        </w:rPr>
        <w:t>71</w:t>
      </w:r>
      <w:r w:rsidR="00A61B29">
        <w:rPr>
          <w:noProof/>
        </w:rPr>
        <w:fldChar w:fldCharType="end"/>
      </w:r>
      <w:bookmarkEnd w:id="479"/>
      <w:r w:rsidRPr="00305C09">
        <w:t>: Number of people responsible for medication management goal</w:t>
      </w:r>
      <w:r w:rsidRPr="000C3FBF">
        <w:t> </w:t>
      </w:r>
    </w:p>
    <w:tbl>
      <w:tblPr>
        <w:tblW w:w="9066" w:type="dxa"/>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3085"/>
        <w:gridCol w:w="1495"/>
        <w:gridCol w:w="1495"/>
        <w:gridCol w:w="1495"/>
        <w:gridCol w:w="1496"/>
      </w:tblGrid>
      <w:tr w:rsidR="00D13E5F" w:rsidRPr="00D13E5F" w14:paraId="168BDC8C" w14:textId="77777777" w:rsidTr="00D13E5F">
        <w:tc>
          <w:tcPr>
            <w:tcW w:w="3085" w:type="dxa"/>
            <w:vMerge w:val="restart"/>
            <w:shd w:val="clear" w:color="auto" w:fill="408BCA"/>
            <w:vAlign w:val="center"/>
          </w:tcPr>
          <w:p w14:paraId="39652676" w14:textId="2A1F0954" w:rsidR="003106A0" w:rsidRPr="00D13E5F" w:rsidRDefault="003106A0" w:rsidP="00D13E5F">
            <w:pPr>
              <w:spacing w:after="0"/>
              <w:textAlignment w:val="baseline"/>
              <w:rPr>
                <w:rFonts w:eastAsia="Times New Roman"/>
                <w:b/>
                <w:color w:val="FFFFFF" w:themeColor="background1"/>
                <w:sz w:val="18"/>
              </w:rPr>
            </w:pPr>
            <w:r w:rsidRPr="00D13E5F">
              <w:rPr>
                <w:rFonts w:eastAsia="Times New Roman"/>
                <w:b/>
                <w:color w:val="FFFFFF" w:themeColor="background1"/>
                <w:sz w:val="18"/>
              </w:rPr>
              <w:t>Goal</w:t>
            </w:r>
          </w:p>
        </w:tc>
        <w:tc>
          <w:tcPr>
            <w:tcW w:w="5981" w:type="dxa"/>
            <w:gridSpan w:val="4"/>
            <w:shd w:val="clear" w:color="auto" w:fill="408BCA"/>
            <w:vAlign w:val="center"/>
          </w:tcPr>
          <w:p w14:paraId="788161A5" w14:textId="77777777" w:rsidR="003106A0" w:rsidRPr="00D13E5F" w:rsidRDefault="003106A0" w:rsidP="00D13E5F">
            <w:pPr>
              <w:spacing w:after="0"/>
              <w:textAlignment w:val="baseline"/>
              <w:rPr>
                <w:b/>
                <w:color w:val="FFFFFF" w:themeColor="background1"/>
                <w:sz w:val="18"/>
              </w:rPr>
            </w:pPr>
            <w:r w:rsidRPr="00D13E5F">
              <w:rPr>
                <w:b/>
                <w:color w:val="FFFFFF" w:themeColor="background1"/>
                <w:sz w:val="18"/>
              </w:rPr>
              <w:t>Number of person types responsible (% of patients with goal)</w:t>
            </w:r>
          </w:p>
        </w:tc>
      </w:tr>
      <w:tr w:rsidR="003106A0" w:rsidRPr="00925C4B" w14:paraId="4CBEC407" w14:textId="77777777" w:rsidTr="00F11772">
        <w:tc>
          <w:tcPr>
            <w:tcW w:w="3085" w:type="dxa"/>
            <w:vMerge/>
            <w:shd w:val="clear" w:color="auto" w:fill="408BCA"/>
            <w:hideMark/>
          </w:tcPr>
          <w:p w14:paraId="0E98A607" w14:textId="77777777" w:rsidR="003106A0" w:rsidRPr="006D0D88" w:rsidRDefault="003106A0" w:rsidP="0032660B">
            <w:pPr>
              <w:spacing w:after="0"/>
              <w:textAlignment w:val="baseline"/>
              <w:rPr>
                <w:rFonts w:ascii="Times New Roman" w:eastAsia="Times New Roman" w:hAnsi="Times New Roman"/>
                <w:color w:val="FFFFFF" w:themeColor="background1"/>
                <w:sz w:val="24"/>
                <w:szCs w:val="24"/>
              </w:rPr>
            </w:pPr>
          </w:p>
        </w:tc>
        <w:tc>
          <w:tcPr>
            <w:tcW w:w="1495" w:type="dxa"/>
            <w:shd w:val="clear" w:color="auto" w:fill="408BCA"/>
          </w:tcPr>
          <w:p w14:paraId="112612BE" w14:textId="77777777" w:rsidR="003106A0" w:rsidRPr="00CF10E0" w:rsidRDefault="003106A0" w:rsidP="0032660B">
            <w:pPr>
              <w:spacing w:after="0"/>
              <w:textAlignment w:val="baseline"/>
              <w:rPr>
                <w:rFonts w:eastAsia="Times New Roman"/>
                <w:b/>
                <w:color w:val="FFFFFF" w:themeColor="background1"/>
                <w:sz w:val="18"/>
              </w:rPr>
            </w:pPr>
            <w:r w:rsidRPr="00CF10E0">
              <w:rPr>
                <w:rFonts w:eastAsia="Times New Roman"/>
                <w:b/>
                <w:color w:val="FFFFFF" w:themeColor="background1"/>
                <w:sz w:val="18"/>
              </w:rPr>
              <w:t>1</w:t>
            </w:r>
          </w:p>
        </w:tc>
        <w:tc>
          <w:tcPr>
            <w:tcW w:w="1495" w:type="dxa"/>
            <w:shd w:val="clear" w:color="auto" w:fill="408BCA"/>
          </w:tcPr>
          <w:p w14:paraId="7CA9BF56" w14:textId="77777777" w:rsidR="003106A0" w:rsidRPr="00CF10E0" w:rsidRDefault="003106A0" w:rsidP="0032660B">
            <w:pPr>
              <w:spacing w:after="0"/>
              <w:textAlignment w:val="baseline"/>
              <w:rPr>
                <w:rFonts w:eastAsia="Times New Roman"/>
                <w:b/>
                <w:color w:val="FFFFFF" w:themeColor="background1"/>
                <w:sz w:val="18"/>
              </w:rPr>
            </w:pPr>
            <w:r w:rsidRPr="00CF10E0">
              <w:rPr>
                <w:rFonts w:eastAsia="Times New Roman"/>
                <w:b/>
                <w:color w:val="FFFFFF" w:themeColor="background1"/>
                <w:sz w:val="18"/>
              </w:rPr>
              <w:t>2</w:t>
            </w:r>
          </w:p>
        </w:tc>
        <w:tc>
          <w:tcPr>
            <w:tcW w:w="1495" w:type="dxa"/>
            <w:shd w:val="clear" w:color="auto" w:fill="408BCA"/>
          </w:tcPr>
          <w:p w14:paraId="171E4EEA" w14:textId="77777777" w:rsidR="003106A0" w:rsidRPr="00CF10E0" w:rsidRDefault="003106A0" w:rsidP="0032660B">
            <w:pPr>
              <w:spacing w:after="0"/>
              <w:textAlignment w:val="baseline"/>
              <w:rPr>
                <w:rFonts w:eastAsia="Times New Roman"/>
                <w:b/>
                <w:color w:val="FFFFFF" w:themeColor="background1"/>
                <w:sz w:val="18"/>
              </w:rPr>
            </w:pPr>
            <w:r w:rsidRPr="00CF10E0">
              <w:rPr>
                <w:rFonts w:eastAsia="Times New Roman"/>
                <w:b/>
                <w:color w:val="FFFFFF" w:themeColor="background1"/>
                <w:sz w:val="18"/>
              </w:rPr>
              <w:t>3</w:t>
            </w:r>
          </w:p>
        </w:tc>
        <w:tc>
          <w:tcPr>
            <w:tcW w:w="1496" w:type="dxa"/>
            <w:shd w:val="clear" w:color="auto" w:fill="408BCA"/>
          </w:tcPr>
          <w:p w14:paraId="00C6267A" w14:textId="77777777" w:rsidR="003106A0" w:rsidRPr="00CF10E0" w:rsidRDefault="003106A0" w:rsidP="0032660B">
            <w:pPr>
              <w:spacing w:after="0"/>
              <w:textAlignment w:val="baseline"/>
              <w:rPr>
                <w:rFonts w:eastAsia="Times New Roman"/>
                <w:b/>
                <w:color w:val="FFFFFF" w:themeColor="background1"/>
                <w:sz w:val="18"/>
              </w:rPr>
            </w:pPr>
            <w:r w:rsidRPr="00CF10E0">
              <w:rPr>
                <w:rFonts w:eastAsia="Times New Roman"/>
                <w:b/>
                <w:color w:val="FFFFFF" w:themeColor="background1"/>
                <w:sz w:val="18"/>
              </w:rPr>
              <w:t>4</w:t>
            </w:r>
          </w:p>
        </w:tc>
      </w:tr>
      <w:tr w:rsidR="003106A0" w:rsidRPr="00925C4B" w14:paraId="064968BC" w14:textId="77777777" w:rsidTr="00F11772">
        <w:tc>
          <w:tcPr>
            <w:tcW w:w="3085" w:type="dxa"/>
            <w:hideMark/>
          </w:tcPr>
          <w:p w14:paraId="4D7312BD"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Improved medication adherence </w:t>
            </w:r>
          </w:p>
        </w:tc>
        <w:tc>
          <w:tcPr>
            <w:tcW w:w="1495" w:type="dxa"/>
            <w:hideMark/>
          </w:tcPr>
          <w:p w14:paraId="52A2CBEE"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212 (32.4%)</w:t>
            </w:r>
          </w:p>
        </w:tc>
        <w:tc>
          <w:tcPr>
            <w:tcW w:w="1495" w:type="dxa"/>
            <w:hideMark/>
          </w:tcPr>
          <w:p w14:paraId="4A76392F"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364 (55.6%)</w:t>
            </w:r>
          </w:p>
        </w:tc>
        <w:tc>
          <w:tcPr>
            <w:tcW w:w="1495" w:type="dxa"/>
            <w:hideMark/>
          </w:tcPr>
          <w:p w14:paraId="347CA41B"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74 (11.3%)</w:t>
            </w:r>
          </w:p>
        </w:tc>
        <w:tc>
          <w:tcPr>
            <w:tcW w:w="1496" w:type="dxa"/>
            <w:hideMark/>
          </w:tcPr>
          <w:p w14:paraId="2CB06618"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5 (0.8%)</w:t>
            </w:r>
          </w:p>
        </w:tc>
      </w:tr>
      <w:tr w:rsidR="003106A0" w:rsidRPr="00925C4B" w14:paraId="5BFBF4F6" w14:textId="77777777" w:rsidTr="00F11772">
        <w:tc>
          <w:tcPr>
            <w:tcW w:w="3085" w:type="dxa"/>
            <w:hideMark/>
          </w:tcPr>
          <w:p w14:paraId="4943A8BF"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Improved patient knowledge about their medicines leading to improved medication use and disease self-management </w:t>
            </w:r>
          </w:p>
        </w:tc>
        <w:tc>
          <w:tcPr>
            <w:tcW w:w="1495" w:type="dxa"/>
            <w:hideMark/>
          </w:tcPr>
          <w:p w14:paraId="43AD86EC"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232 (34.1%)</w:t>
            </w:r>
          </w:p>
        </w:tc>
        <w:tc>
          <w:tcPr>
            <w:tcW w:w="1495" w:type="dxa"/>
            <w:hideMark/>
          </w:tcPr>
          <w:p w14:paraId="731DD5E9"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268 (39.4%)</w:t>
            </w:r>
          </w:p>
        </w:tc>
        <w:tc>
          <w:tcPr>
            <w:tcW w:w="1495" w:type="dxa"/>
            <w:hideMark/>
          </w:tcPr>
          <w:p w14:paraId="5AA4451A"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171 (25.1%)</w:t>
            </w:r>
          </w:p>
        </w:tc>
        <w:tc>
          <w:tcPr>
            <w:tcW w:w="1496" w:type="dxa"/>
            <w:hideMark/>
          </w:tcPr>
          <w:p w14:paraId="6AFBE137"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10 (1.5%)</w:t>
            </w:r>
          </w:p>
        </w:tc>
      </w:tr>
      <w:tr w:rsidR="003106A0" w:rsidRPr="00925C4B" w14:paraId="75CE136B" w14:textId="77777777" w:rsidTr="00F11772">
        <w:tc>
          <w:tcPr>
            <w:tcW w:w="3085" w:type="dxa"/>
            <w:hideMark/>
          </w:tcPr>
          <w:p w14:paraId="6BF1767A"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Improved technique/usage of medication devices </w:t>
            </w:r>
          </w:p>
        </w:tc>
        <w:tc>
          <w:tcPr>
            <w:tcW w:w="1495" w:type="dxa"/>
            <w:hideMark/>
          </w:tcPr>
          <w:p w14:paraId="295B22DA"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87 (35.8%)</w:t>
            </w:r>
          </w:p>
        </w:tc>
        <w:tc>
          <w:tcPr>
            <w:tcW w:w="1495" w:type="dxa"/>
            <w:hideMark/>
          </w:tcPr>
          <w:p w14:paraId="2854DAD7"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119 (49.0%)</w:t>
            </w:r>
          </w:p>
        </w:tc>
        <w:tc>
          <w:tcPr>
            <w:tcW w:w="1495" w:type="dxa"/>
            <w:hideMark/>
          </w:tcPr>
          <w:p w14:paraId="5A5C352F"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35 (14.4%)</w:t>
            </w:r>
          </w:p>
        </w:tc>
        <w:tc>
          <w:tcPr>
            <w:tcW w:w="1496" w:type="dxa"/>
            <w:hideMark/>
          </w:tcPr>
          <w:p w14:paraId="1E712611"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2 (0.8%)</w:t>
            </w:r>
          </w:p>
        </w:tc>
      </w:tr>
      <w:tr w:rsidR="003106A0" w:rsidRPr="00925C4B" w14:paraId="52F80105" w14:textId="77777777" w:rsidTr="00F11772">
        <w:tc>
          <w:tcPr>
            <w:tcW w:w="3085" w:type="dxa"/>
            <w:hideMark/>
          </w:tcPr>
          <w:p w14:paraId="7DCBE761"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Optimise the medication dose and/or number or type of medicines </w:t>
            </w:r>
          </w:p>
        </w:tc>
        <w:tc>
          <w:tcPr>
            <w:tcW w:w="1495" w:type="dxa"/>
            <w:hideMark/>
          </w:tcPr>
          <w:p w14:paraId="127869A7"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95 (33.5%)</w:t>
            </w:r>
          </w:p>
        </w:tc>
        <w:tc>
          <w:tcPr>
            <w:tcW w:w="1495" w:type="dxa"/>
            <w:hideMark/>
          </w:tcPr>
          <w:p w14:paraId="3079F76C"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105 (37.0%)</w:t>
            </w:r>
          </w:p>
        </w:tc>
        <w:tc>
          <w:tcPr>
            <w:tcW w:w="1495" w:type="dxa"/>
            <w:hideMark/>
          </w:tcPr>
          <w:p w14:paraId="5215B636"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79 (27.8%)</w:t>
            </w:r>
          </w:p>
        </w:tc>
        <w:tc>
          <w:tcPr>
            <w:tcW w:w="1496" w:type="dxa"/>
            <w:hideMark/>
          </w:tcPr>
          <w:p w14:paraId="25FC1680"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5 (1.8%)</w:t>
            </w:r>
          </w:p>
        </w:tc>
      </w:tr>
      <w:tr w:rsidR="003106A0" w:rsidRPr="00925C4B" w14:paraId="35EA75AB" w14:textId="77777777" w:rsidTr="00F11772">
        <w:tc>
          <w:tcPr>
            <w:tcW w:w="3085" w:type="dxa"/>
            <w:hideMark/>
          </w:tcPr>
          <w:p w14:paraId="0F4BF276"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Reduced medication side effects </w:t>
            </w:r>
          </w:p>
        </w:tc>
        <w:tc>
          <w:tcPr>
            <w:tcW w:w="1495" w:type="dxa"/>
            <w:hideMark/>
          </w:tcPr>
          <w:p w14:paraId="6FA163F1"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56 (27.3%)</w:t>
            </w:r>
          </w:p>
        </w:tc>
        <w:tc>
          <w:tcPr>
            <w:tcW w:w="1495" w:type="dxa"/>
            <w:hideMark/>
          </w:tcPr>
          <w:p w14:paraId="1D8414E8"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99 (48.3%)</w:t>
            </w:r>
          </w:p>
        </w:tc>
        <w:tc>
          <w:tcPr>
            <w:tcW w:w="1495" w:type="dxa"/>
            <w:hideMark/>
          </w:tcPr>
          <w:p w14:paraId="6F22C199"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45 (22.0%)</w:t>
            </w:r>
          </w:p>
        </w:tc>
        <w:tc>
          <w:tcPr>
            <w:tcW w:w="1496" w:type="dxa"/>
            <w:hideMark/>
          </w:tcPr>
          <w:p w14:paraId="236A0910"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5 (2.4%)</w:t>
            </w:r>
          </w:p>
        </w:tc>
      </w:tr>
      <w:tr w:rsidR="003106A0" w:rsidRPr="00925C4B" w14:paraId="555ADDDD" w14:textId="77777777" w:rsidTr="00F11772">
        <w:tc>
          <w:tcPr>
            <w:tcW w:w="3085" w:type="dxa"/>
            <w:hideMark/>
          </w:tcPr>
          <w:p w14:paraId="7EB0E634" w14:textId="77777777" w:rsidR="003106A0" w:rsidRPr="00925C4B" w:rsidRDefault="003106A0" w:rsidP="0032660B">
            <w:pPr>
              <w:spacing w:after="0"/>
              <w:ind w:left="90" w:right="90"/>
              <w:textAlignment w:val="baseline"/>
              <w:rPr>
                <w:rFonts w:ascii="Times New Roman" w:eastAsia="Times New Roman" w:hAnsi="Times New Roman"/>
                <w:sz w:val="24"/>
                <w:szCs w:val="24"/>
              </w:rPr>
            </w:pPr>
            <w:r w:rsidRPr="00925C4B">
              <w:rPr>
                <w:rFonts w:eastAsia="Times New Roman"/>
                <w:color w:val="000000"/>
                <w:sz w:val="18"/>
              </w:rPr>
              <w:t>Other </w:t>
            </w:r>
          </w:p>
        </w:tc>
        <w:tc>
          <w:tcPr>
            <w:tcW w:w="1495" w:type="dxa"/>
            <w:hideMark/>
          </w:tcPr>
          <w:p w14:paraId="637C44DC"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107 (38.1%)</w:t>
            </w:r>
          </w:p>
        </w:tc>
        <w:tc>
          <w:tcPr>
            <w:tcW w:w="1495" w:type="dxa"/>
            <w:hideMark/>
          </w:tcPr>
          <w:p w14:paraId="316AA262"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91 (32.4%)</w:t>
            </w:r>
          </w:p>
        </w:tc>
        <w:tc>
          <w:tcPr>
            <w:tcW w:w="1495" w:type="dxa"/>
            <w:hideMark/>
          </w:tcPr>
          <w:p w14:paraId="62E46A1B"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72 (25.6%)</w:t>
            </w:r>
          </w:p>
        </w:tc>
        <w:tc>
          <w:tcPr>
            <w:tcW w:w="1496" w:type="dxa"/>
            <w:hideMark/>
          </w:tcPr>
          <w:p w14:paraId="6FC78C36" w14:textId="77777777" w:rsidR="003106A0" w:rsidRPr="001D595F" w:rsidRDefault="003106A0" w:rsidP="0032660B">
            <w:pPr>
              <w:spacing w:after="0"/>
              <w:ind w:left="90" w:right="90"/>
              <w:textAlignment w:val="baseline"/>
              <w:rPr>
                <w:rFonts w:eastAsia="Times New Roman"/>
                <w:color w:val="000000"/>
                <w:sz w:val="18"/>
              </w:rPr>
            </w:pPr>
            <w:r w:rsidRPr="00687FA0">
              <w:rPr>
                <w:rFonts w:eastAsia="Times New Roman"/>
                <w:color w:val="000000"/>
                <w:sz w:val="18"/>
              </w:rPr>
              <w:t>11 (3.9%)</w:t>
            </w:r>
          </w:p>
        </w:tc>
      </w:tr>
    </w:tbl>
    <w:p w14:paraId="19FE5702" w14:textId="23DDAB92" w:rsidR="003106A0" w:rsidRDefault="003106A0" w:rsidP="003106A0">
      <w:pPr>
        <w:pStyle w:val="Chartortablefootnote"/>
        <w:rPr>
          <w:lang w:eastAsia="en-AU"/>
        </w:rPr>
      </w:pPr>
      <w:r w:rsidRPr="002553E0">
        <w:rPr>
          <w:lang w:eastAsia="en-AU"/>
        </w:rPr>
        <w:t>Source: Health Outcomes data set provided by the Pharmacy Guild, to 30 June 2021.</w:t>
      </w:r>
      <w:r w:rsidRPr="0036194D">
        <w:rPr>
          <w:lang w:eastAsia="en-AU"/>
        </w:rPr>
        <w:t> </w:t>
      </w:r>
    </w:p>
    <w:p w14:paraId="24FDF64D" w14:textId="449C6C2E" w:rsidR="00047500" w:rsidRDefault="00DA57EF" w:rsidP="003106A0">
      <w:r>
        <w:t xml:space="preserve">There was a </w:t>
      </w:r>
      <w:r w:rsidR="009E6387">
        <w:t>significant downward trend</w:t>
      </w:r>
      <w:r w:rsidR="0005484E">
        <w:t xml:space="preserve"> over the re</w:t>
      </w:r>
      <w:r w:rsidR="00154B73">
        <w:t>views</w:t>
      </w:r>
      <w:r>
        <w:t xml:space="preserve"> in </w:t>
      </w:r>
      <w:r w:rsidR="00C13605">
        <w:t>the percentage of patients whose goal was to improve their adherence to medication</w:t>
      </w:r>
      <w:r w:rsidR="001E64F9">
        <w:t xml:space="preserve"> (</w:t>
      </w:r>
      <w:r w:rsidR="001E64F9" w:rsidRPr="00FA41EE">
        <w:rPr>
          <w:rFonts w:eastAsia="Calibri" w:cs="Times New Roman"/>
          <w:color w:val="1D2455"/>
          <w:szCs w:val="16"/>
        </w:rPr>
        <w:fldChar w:fldCharType="begin"/>
      </w:r>
      <w:r w:rsidR="001E64F9" w:rsidRPr="00FA41EE">
        <w:rPr>
          <w:rFonts w:eastAsia="Calibri" w:cs="Times New Roman"/>
          <w:color w:val="1D2455"/>
          <w:szCs w:val="16"/>
        </w:rPr>
        <w:instrText xml:space="preserve"> REF _Ref98851460 \h </w:instrText>
      </w:r>
      <w:r w:rsidR="00FA41EE">
        <w:rPr>
          <w:rFonts w:eastAsia="Calibri" w:cs="Times New Roman"/>
          <w:color w:val="1D2455"/>
          <w:szCs w:val="16"/>
        </w:rPr>
        <w:instrText xml:space="preserve"> \* MERGEFORMAT </w:instrText>
      </w:r>
      <w:r w:rsidR="001E64F9" w:rsidRPr="00FA41EE">
        <w:rPr>
          <w:rFonts w:eastAsia="Calibri" w:cs="Times New Roman"/>
          <w:color w:val="1D2455"/>
          <w:szCs w:val="16"/>
        </w:rPr>
      </w:r>
      <w:r w:rsidR="001E64F9" w:rsidRPr="00FA41EE">
        <w:rPr>
          <w:rFonts w:eastAsia="Calibri" w:cs="Times New Roman"/>
          <w:color w:val="1D2455"/>
          <w:szCs w:val="16"/>
        </w:rPr>
        <w:fldChar w:fldCharType="separate"/>
      </w:r>
      <w:r w:rsidR="003C4BC2" w:rsidRPr="003C4BC2">
        <w:rPr>
          <w:rFonts w:eastAsia="Calibri" w:cs="Times New Roman"/>
          <w:color w:val="1D2455"/>
          <w:szCs w:val="16"/>
        </w:rPr>
        <w:t>Table 72</w:t>
      </w:r>
      <w:r w:rsidR="001E64F9" w:rsidRPr="00FA41EE">
        <w:rPr>
          <w:rFonts w:eastAsia="Calibri" w:cs="Times New Roman"/>
          <w:color w:val="1D2455"/>
          <w:szCs w:val="16"/>
        </w:rPr>
        <w:fldChar w:fldCharType="end"/>
      </w:r>
      <w:r w:rsidR="001E64F9">
        <w:t>)</w:t>
      </w:r>
      <w:r w:rsidR="00C13605">
        <w:t xml:space="preserve">. And although there appeared to be an increase in the goal of improved knowledge </w:t>
      </w:r>
      <w:r w:rsidR="009E6387">
        <w:t xml:space="preserve">about their medicines between the initial consultation and the first review, there was not a significant trend over the reviews. </w:t>
      </w:r>
      <w:r w:rsidR="00F30EBE">
        <w:t>There was a slight</w:t>
      </w:r>
      <w:r w:rsidR="00AC5DE9">
        <w:t>, non-significant,</w:t>
      </w:r>
      <w:r w:rsidR="00F30EBE">
        <w:t xml:space="preserve"> decrease in the goal to optimise medication </w:t>
      </w:r>
      <w:r w:rsidR="00AC5DE9">
        <w:t>dose</w:t>
      </w:r>
      <w:r w:rsidR="00E12605">
        <w:t>,</w:t>
      </w:r>
      <w:r w:rsidR="00AC5DE9">
        <w:t xml:space="preserve"> </w:t>
      </w:r>
      <w:r w:rsidR="00E12605">
        <w:t>and inconsistent changes in the other two goals.</w:t>
      </w:r>
    </w:p>
    <w:p w14:paraId="4D09761E" w14:textId="355B0BA5" w:rsidR="00FE23B9" w:rsidRPr="000C3FBF" w:rsidRDefault="00FE23B9" w:rsidP="00FE23B9">
      <w:pPr>
        <w:pStyle w:val="tabletitle"/>
      </w:pPr>
      <w:bookmarkStart w:id="480" w:name="_Ref98851460"/>
      <w:r w:rsidRPr="002553E0">
        <w:t>Table </w:t>
      </w:r>
      <w:r w:rsidR="00A61B29">
        <w:fldChar w:fldCharType="begin"/>
      </w:r>
      <w:r w:rsidR="00A61B29">
        <w:instrText xml:space="preserve"> SEQ Table\* ARABIC </w:instrText>
      </w:r>
      <w:r w:rsidR="00A61B29">
        <w:fldChar w:fldCharType="separate"/>
      </w:r>
      <w:r w:rsidR="003C4BC2">
        <w:rPr>
          <w:noProof/>
        </w:rPr>
        <w:t>72</w:t>
      </w:r>
      <w:r w:rsidR="00A61B29">
        <w:rPr>
          <w:noProof/>
        </w:rPr>
        <w:fldChar w:fldCharType="end"/>
      </w:r>
      <w:bookmarkEnd w:id="480"/>
      <w:r w:rsidRPr="002553E0">
        <w:t>: </w:t>
      </w:r>
      <w:r w:rsidR="0058017A" w:rsidRPr="0058017A">
        <w:t>Goals identified in medications review</w:t>
      </w:r>
      <w:r w:rsidR="00445866">
        <w:t>,</w:t>
      </w:r>
      <w:r w:rsidR="0058017A">
        <w:t xml:space="preserve"> by </w:t>
      </w:r>
      <w:r w:rsidR="00445866">
        <w:t>initial consultation and follow-up reviews</w:t>
      </w:r>
    </w:p>
    <w:tbl>
      <w:tblPr>
        <w:tblW w:w="5000" w:type="pct"/>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388"/>
        <w:gridCol w:w="1459"/>
        <w:gridCol w:w="1386"/>
        <w:gridCol w:w="1386"/>
        <w:gridCol w:w="1386"/>
        <w:gridCol w:w="1011"/>
      </w:tblGrid>
      <w:tr w:rsidR="005134A0" w:rsidRPr="00DE067F" w14:paraId="6B52F696" w14:textId="58E199A0" w:rsidTr="00DE067F">
        <w:trPr>
          <w:tblHeader/>
        </w:trPr>
        <w:tc>
          <w:tcPr>
            <w:tcW w:w="2618" w:type="dxa"/>
            <w:shd w:val="clear" w:color="auto" w:fill="408BCA"/>
            <w:vAlign w:val="center"/>
            <w:hideMark/>
          </w:tcPr>
          <w:p w14:paraId="63647A67" w14:textId="7CEB66D3" w:rsidR="00E1166C" w:rsidRPr="00445866" w:rsidRDefault="00E1166C" w:rsidP="00DE067F">
            <w:pPr>
              <w:spacing w:after="0"/>
              <w:rPr>
                <w:rFonts w:ascii="Times New Roman" w:eastAsia="Times New Roman" w:hAnsi="Times New Roman"/>
                <w:b/>
                <w:sz w:val="18"/>
                <w:szCs w:val="18"/>
              </w:rPr>
            </w:pPr>
            <w:r w:rsidRPr="00445866">
              <w:rPr>
                <w:rFonts w:eastAsia="Century Gothic" w:cs="Century Gothic"/>
                <w:b/>
                <w:color w:val="FFFFFF"/>
                <w:sz w:val="18"/>
                <w:szCs w:val="18"/>
              </w:rPr>
              <w:t>Outcome</w:t>
            </w:r>
          </w:p>
        </w:tc>
        <w:tc>
          <w:tcPr>
            <w:tcW w:w="1531" w:type="dxa"/>
            <w:shd w:val="clear" w:color="auto" w:fill="408BCA"/>
            <w:vAlign w:val="center"/>
            <w:hideMark/>
          </w:tcPr>
          <w:p w14:paraId="20B8B94E" w14:textId="77777777" w:rsidR="00E1166C" w:rsidRPr="00445866" w:rsidRDefault="00E1166C" w:rsidP="00445866">
            <w:pPr>
              <w:spacing w:after="0"/>
              <w:jc w:val="center"/>
              <w:textAlignment w:val="baseline"/>
              <w:rPr>
                <w:rFonts w:eastAsia="Times New Roman"/>
                <w:b/>
                <w:sz w:val="18"/>
                <w:szCs w:val="18"/>
              </w:rPr>
            </w:pPr>
            <w:r w:rsidRPr="00445866">
              <w:rPr>
                <w:rFonts w:eastAsia="Century Gothic" w:cs="Century Gothic"/>
                <w:b/>
                <w:color w:val="FFFFFF"/>
                <w:sz w:val="18"/>
                <w:szCs w:val="18"/>
              </w:rPr>
              <w:t>Initial consultation</w:t>
            </w:r>
            <w:r w:rsidRPr="00445866">
              <w:rPr>
                <w:rFonts w:eastAsia="Century Gothic" w:cs="Century Gothic"/>
                <w:b/>
                <w:color w:val="FFFFFF"/>
                <w:sz w:val="18"/>
                <w:szCs w:val="18"/>
              </w:rPr>
              <w:br/>
              <w:t xml:space="preserve"> (n = 1,531)</w:t>
            </w:r>
          </w:p>
        </w:tc>
        <w:tc>
          <w:tcPr>
            <w:tcW w:w="1531" w:type="dxa"/>
            <w:shd w:val="clear" w:color="auto" w:fill="408BCA"/>
            <w:vAlign w:val="center"/>
            <w:hideMark/>
          </w:tcPr>
          <w:p w14:paraId="69A9B0C9" w14:textId="77777777" w:rsidR="00E1166C" w:rsidRPr="00445866" w:rsidRDefault="00E1166C" w:rsidP="00445866">
            <w:pPr>
              <w:spacing w:after="0"/>
              <w:jc w:val="center"/>
              <w:textAlignment w:val="baseline"/>
              <w:rPr>
                <w:rFonts w:eastAsia="Times New Roman"/>
                <w:b/>
                <w:sz w:val="18"/>
                <w:szCs w:val="18"/>
              </w:rPr>
            </w:pPr>
            <w:r w:rsidRPr="00445866">
              <w:rPr>
                <w:rFonts w:eastAsia="Century Gothic" w:cs="Century Gothic"/>
                <w:b/>
                <w:color w:val="FFFFFF"/>
                <w:sz w:val="18"/>
                <w:szCs w:val="18"/>
              </w:rPr>
              <w:t>1</w:t>
            </w:r>
            <w:r w:rsidRPr="00445866">
              <w:rPr>
                <w:rFonts w:eastAsia="Century Gothic" w:cs="Century Gothic"/>
                <w:b/>
                <w:color w:val="FFFFFF"/>
                <w:sz w:val="18"/>
                <w:szCs w:val="18"/>
                <w:vertAlign w:val="superscript"/>
              </w:rPr>
              <w:t>st</w:t>
            </w:r>
            <w:r w:rsidRPr="00445866">
              <w:rPr>
                <w:rFonts w:eastAsia="Century Gothic" w:cs="Century Gothic"/>
                <w:b/>
                <w:color w:val="FFFFFF"/>
                <w:sz w:val="18"/>
                <w:szCs w:val="18"/>
              </w:rPr>
              <w:t xml:space="preserve"> review </w:t>
            </w:r>
            <w:r w:rsidRPr="00445866">
              <w:rPr>
                <w:rFonts w:eastAsia="Century Gothic" w:cs="Century Gothic"/>
                <w:b/>
                <w:color w:val="FFFFFF"/>
                <w:sz w:val="18"/>
                <w:szCs w:val="18"/>
              </w:rPr>
              <w:br/>
              <w:t xml:space="preserve"> (n = 845)</w:t>
            </w:r>
          </w:p>
        </w:tc>
        <w:tc>
          <w:tcPr>
            <w:tcW w:w="1531" w:type="dxa"/>
            <w:shd w:val="clear" w:color="auto" w:fill="408BCA"/>
            <w:vAlign w:val="center"/>
            <w:hideMark/>
          </w:tcPr>
          <w:p w14:paraId="2DF00BDA" w14:textId="77777777" w:rsidR="00E1166C" w:rsidRPr="00445866" w:rsidRDefault="00E1166C" w:rsidP="00445866">
            <w:pPr>
              <w:spacing w:after="0"/>
              <w:jc w:val="center"/>
              <w:textAlignment w:val="baseline"/>
              <w:rPr>
                <w:rFonts w:eastAsia="Times New Roman"/>
                <w:b/>
                <w:sz w:val="18"/>
                <w:szCs w:val="18"/>
              </w:rPr>
            </w:pPr>
            <w:r w:rsidRPr="00445866">
              <w:rPr>
                <w:rFonts w:eastAsia="Century Gothic" w:cs="Century Gothic"/>
                <w:b/>
                <w:color w:val="FFFFFF"/>
                <w:sz w:val="18"/>
                <w:szCs w:val="18"/>
              </w:rPr>
              <w:t>2</w:t>
            </w:r>
            <w:r w:rsidRPr="00445866">
              <w:rPr>
                <w:rFonts w:eastAsia="Century Gothic" w:cs="Century Gothic"/>
                <w:b/>
                <w:color w:val="FFFFFF"/>
                <w:sz w:val="18"/>
                <w:szCs w:val="18"/>
                <w:vertAlign w:val="superscript"/>
              </w:rPr>
              <w:t>nd</w:t>
            </w:r>
            <w:r w:rsidRPr="00445866">
              <w:rPr>
                <w:rFonts w:eastAsia="Century Gothic" w:cs="Century Gothic"/>
                <w:b/>
                <w:color w:val="FFFFFF"/>
                <w:sz w:val="18"/>
                <w:szCs w:val="18"/>
              </w:rPr>
              <w:t xml:space="preserve"> review</w:t>
            </w:r>
            <w:r w:rsidRPr="00445866">
              <w:rPr>
                <w:rFonts w:eastAsia="Century Gothic" w:cs="Century Gothic"/>
                <w:b/>
                <w:color w:val="FFFFFF"/>
                <w:sz w:val="18"/>
                <w:szCs w:val="18"/>
              </w:rPr>
              <w:br/>
              <w:t xml:space="preserve"> (n = 588)</w:t>
            </w:r>
          </w:p>
        </w:tc>
        <w:tc>
          <w:tcPr>
            <w:tcW w:w="1531" w:type="dxa"/>
            <w:shd w:val="clear" w:color="auto" w:fill="408BCA"/>
            <w:vAlign w:val="center"/>
          </w:tcPr>
          <w:p w14:paraId="6D037532" w14:textId="77777777" w:rsidR="00E1166C" w:rsidRPr="00445866" w:rsidRDefault="00E1166C" w:rsidP="00445866">
            <w:pPr>
              <w:spacing w:after="0"/>
              <w:jc w:val="center"/>
              <w:textAlignment w:val="baseline"/>
              <w:rPr>
                <w:rFonts w:eastAsia="Times New Roman"/>
                <w:b/>
                <w:color w:val="FFFFFF"/>
                <w:sz w:val="18"/>
                <w:szCs w:val="18"/>
              </w:rPr>
            </w:pPr>
            <w:r w:rsidRPr="00445866">
              <w:rPr>
                <w:rFonts w:eastAsia="Century Gothic" w:cs="Century Gothic"/>
                <w:b/>
                <w:color w:val="FFFFFF"/>
                <w:sz w:val="18"/>
                <w:szCs w:val="18"/>
              </w:rPr>
              <w:t>3</w:t>
            </w:r>
            <w:r w:rsidRPr="00445866">
              <w:rPr>
                <w:rFonts w:eastAsia="Century Gothic" w:cs="Century Gothic"/>
                <w:b/>
                <w:color w:val="FFFFFF"/>
                <w:sz w:val="18"/>
                <w:szCs w:val="18"/>
                <w:vertAlign w:val="superscript"/>
              </w:rPr>
              <w:t>rd</w:t>
            </w:r>
            <w:r w:rsidRPr="00445866">
              <w:rPr>
                <w:rFonts w:eastAsia="Century Gothic" w:cs="Century Gothic"/>
                <w:b/>
                <w:color w:val="FFFFFF"/>
                <w:sz w:val="18"/>
                <w:szCs w:val="18"/>
              </w:rPr>
              <w:t xml:space="preserve"> review</w:t>
            </w:r>
            <w:r w:rsidRPr="00445866">
              <w:rPr>
                <w:rFonts w:eastAsia="Century Gothic" w:cs="Century Gothic"/>
                <w:b/>
                <w:color w:val="FFFFFF"/>
                <w:sz w:val="18"/>
                <w:szCs w:val="18"/>
              </w:rPr>
              <w:br/>
              <w:t xml:space="preserve"> (n = 402)</w:t>
            </w:r>
          </w:p>
        </w:tc>
        <w:tc>
          <w:tcPr>
            <w:tcW w:w="1021" w:type="dxa"/>
            <w:shd w:val="clear" w:color="auto" w:fill="408BCA"/>
            <w:vAlign w:val="center"/>
          </w:tcPr>
          <w:p w14:paraId="19C9DD1F" w14:textId="3A91DB0C" w:rsidR="006A690A" w:rsidRPr="00445866" w:rsidRDefault="006A690A" w:rsidP="00445866">
            <w:pPr>
              <w:spacing w:after="0"/>
              <w:jc w:val="center"/>
              <w:textAlignment w:val="baseline"/>
              <w:rPr>
                <w:rFonts w:eastAsia="Century Gothic" w:cs="Century Gothic"/>
                <w:b/>
                <w:color w:val="FFFFFF"/>
                <w:sz w:val="18"/>
                <w:szCs w:val="18"/>
              </w:rPr>
            </w:pPr>
            <w:r w:rsidRPr="00445866">
              <w:rPr>
                <w:rFonts w:eastAsia="Century Gothic" w:cs="Century Gothic"/>
                <w:b/>
                <w:color w:val="FFFFFF"/>
                <w:sz w:val="18"/>
                <w:szCs w:val="18"/>
              </w:rPr>
              <w:t>P</w:t>
            </w:r>
            <w:r w:rsidR="006F5190" w:rsidRPr="00445866">
              <w:rPr>
                <w:rFonts w:eastAsia="Century Gothic" w:cs="Century Gothic"/>
                <w:b/>
                <w:color w:val="FFFFFF"/>
                <w:sz w:val="18"/>
                <w:szCs w:val="18"/>
              </w:rPr>
              <w:t>†</w:t>
            </w:r>
          </w:p>
        </w:tc>
      </w:tr>
      <w:tr w:rsidR="00E1166C" w:rsidRPr="00E1166C" w14:paraId="082A84C1" w14:textId="6BAC0DF2" w:rsidTr="00F11772">
        <w:tc>
          <w:tcPr>
            <w:tcW w:w="2618" w:type="dxa"/>
            <w:hideMark/>
          </w:tcPr>
          <w:p w14:paraId="68CACFA0" w14:textId="77777777" w:rsidR="00E1166C" w:rsidRPr="00445866" w:rsidRDefault="00E1166C" w:rsidP="00E5716F">
            <w:pPr>
              <w:spacing w:after="0"/>
              <w:ind w:left="90" w:right="90"/>
              <w:textAlignment w:val="baseline"/>
              <w:rPr>
                <w:rFonts w:ascii="Times New Roman" w:eastAsia="Times New Roman" w:hAnsi="Times New Roman"/>
                <w:sz w:val="18"/>
                <w:szCs w:val="18"/>
              </w:rPr>
            </w:pPr>
            <w:r w:rsidRPr="00445866">
              <w:rPr>
                <w:sz w:val="18"/>
                <w:szCs w:val="18"/>
              </w:rPr>
              <w:t>Improved medication adherence</w:t>
            </w:r>
          </w:p>
        </w:tc>
        <w:tc>
          <w:tcPr>
            <w:tcW w:w="1531" w:type="dxa"/>
            <w:hideMark/>
          </w:tcPr>
          <w:p w14:paraId="478C2622" w14:textId="0EDD5E1E" w:rsidR="00E1166C" w:rsidRPr="00445866" w:rsidRDefault="00E1166C" w:rsidP="00E5716F">
            <w:pPr>
              <w:spacing w:after="0"/>
              <w:ind w:left="90" w:right="90"/>
              <w:textAlignment w:val="baseline"/>
              <w:rPr>
                <w:rFonts w:eastAsia="Times New Roman"/>
                <w:color w:val="000000"/>
                <w:sz w:val="18"/>
                <w:szCs w:val="18"/>
              </w:rPr>
            </w:pPr>
            <w:r w:rsidRPr="00445866">
              <w:rPr>
                <w:sz w:val="18"/>
                <w:szCs w:val="18"/>
              </w:rPr>
              <w:t>655 (</w:t>
            </w:r>
            <w:r w:rsidR="006A690A" w:rsidRPr="00445866">
              <w:rPr>
                <w:sz w:val="18"/>
                <w:szCs w:val="18"/>
              </w:rPr>
              <w:t>42</w:t>
            </w:r>
            <w:r w:rsidRPr="00445866">
              <w:rPr>
                <w:sz w:val="18"/>
                <w:szCs w:val="18"/>
              </w:rPr>
              <w:t>.9%)</w:t>
            </w:r>
          </w:p>
        </w:tc>
        <w:tc>
          <w:tcPr>
            <w:tcW w:w="1531" w:type="dxa"/>
            <w:hideMark/>
          </w:tcPr>
          <w:p w14:paraId="669FCD9A" w14:textId="3AE9C1D0" w:rsidR="00E1166C" w:rsidRPr="00445866" w:rsidRDefault="00E1166C" w:rsidP="00E5716F">
            <w:pPr>
              <w:spacing w:after="0"/>
              <w:ind w:left="90" w:right="90"/>
              <w:textAlignment w:val="baseline"/>
              <w:rPr>
                <w:rFonts w:eastAsia="Times New Roman"/>
                <w:color w:val="000000"/>
                <w:sz w:val="18"/>
                <w:szCs w:val="18"/>
              </w:rPr>
            </w:pPr>
            <w:r w:rsidRPr="00445866">
              <w:rPr>
                <w:sz w:val="18"/>
                <w:szCs w:val="18"/>
              </w:rPr>
              <w:t>327 (</w:t>
            </w:r>
            <w:r w:rsidR="006A690A" w:rsidRPr="00445866">
              <w:rPr>
                <w:sz w:val="18"/>
                <w:szCs w:val="18"/>
              </w:rPr>
              <w:t>38.7</w:t>
            </w:r>
            <w:r w:rsidRPr="00445866">
              <w:rPr>
                <w:sz w:val="18"/>
                <w:szCs w:val="18"/>
              </w:rPr>
              <w:t>%)</w:t>
            </w:r>
          </w:p>
        </w:tc>
        <w:tc>
          <w:tcPr>
            <w:tcW w:w="1531" w:type="dxa"/>
            <w:hideMark/>
          </w:tcPr>
          <w:p w14:paraId="1B9F7253" w14:textId="5747F64E" w:rsidR="00E1166C" w:rsidRPr="00445866" w:rsidRDefault="00E1166C" w:rsidP="00E5716F">
            <w:pPr>
              <w:spacing w:after="0"/>
              <w:ind w:left="90" w:right="90"/>
              <w:textAlignment w:val="baseline"/>
              <w:rPr>
                <w:rFonts w:eastAsia="Times New Roman"/>
                <w:color w:val="000000"/>
                <w:sz w:val="18"/>
                <w:szCs w:val="18"/>
              </w:rPr>
            </w:pPr>
            <w:r w:rsidRPr="00445866">
              <w:rPr>
                <w:sz w:val="18"/>
                <w:szCs w:val="18"/>
              </w:rPr>
              <w:t>210 (</w:t>
            </w:r>
            <w:r w:rsidR="006A690A" w:rsidRPr="00445866">
              <w:rPr>
                <w:sz w:val="18"/>
                <w:szCs w:val="18"/>
              </w:rPr>
              <w:t>35.5</w:t>
            </w:r>
            <w:r w:rsidRPr="00445866">
              <w:rPr>
                <w:sz w:val="18"/>
                <w:szCs w:val="18"/>
              </w:rPr>
              <w:t>%)</w:t>
            </w:r>
          </w:p>
        </w:tc>
        <w:tc>
          <w:tcPr>
            <w:tcW w:w="1531" w:type="dxa"/>
          </w:tcPr>
          <w:p w14:paraId="4EF1AAC6" w14:textId="49ABF71D" w:rsidR="00E1166C" w:rsidRPr="00445866" w:rsidRDefault="00E1166C" w:rsidP="00E5716F">
            <w:pPr>
              <w:spacing w:after="0"/>
              <w:ind w:left="90" w:right="90"/>
              <w:textAlignment w:val="baseline"/>
              <w:rPr>
                <w:rFonts w:eastAsia="Times New Roman"/>
                <w:color w:val="000000"/>
                <w:sz w:val="18"/>
                <w:szCs w:val="18"/>
              </w:rPr>
            </w:pPr>
            <w:r w:rsidRPr="00445866">
              <w:rPr>
                <w:sz w:val="18"/>
                <w:szCs w:val="18"/>
              </w:rPr>
              <w:t>139 (</w:t>
            </w:r>
            <w:r w:rsidR="006A690A" w:rsidRPr="00445866">
              <w:rPr>
                <w:sz w:val="18"/>
                <w:szCs w:val="18"/>
              </w:rPr>
              <w:t>34.5</w:t>
            </w:r>
            <w:r w:rsidRPr="00445866">
              <w:rPr>
                <w:sz w:val="18"/>
                <w:szCs w:val="18"/>
              </w:rPr>
              <w:t>%)</w:t>
            </w:r>
          </w:p>
        </w:tc>
        <w:tc>
          <w:tcPr>
            <w:tcW w:w="1021" w:type="dxa"/>
          </w:tcPr>
          <w:p w14:paraId="60D8122F" w14:textId="79C8BE4A" w:rsidR="006A690A" w:rsidRPr="00445866" w:rsidRDefault="006A690A" w:rsidP="006A690A">
            <w:pPr>
              <w:spacing w:after="0"/>
              <w:ind w:left="90" w:right="90"/>
              <w:textAlignment w:val="baseline"/>
              <w:rPr>
                <w:sz w:val="18"/>
                <w:szCs w:val="18"/>
              </w:rPr>
            </w:pPr>
            <w:r w:rsidRPr="00445866">
              <w:rPr>
                <w:sz w:val="18"/>
                <w:szCs w:val="18"/>
              </w:rPr>
              <w:t>0.0025</w:t>
            </w:r>
          </w:p>
        </w:tc>
      </w:tr>
      <w:tr w:rsidR="00E1166C" w:rsidRPr="00E1166C" w14:paraId="3C638351" w14:textId="2754F942" w:rsidTr="00F11772">
        <w:tc>
          <w:tcPr>
            <w:tcW w:w="2618" w:type="dxa"/>
            <w:hideMark/>
          </w:tcPr>
          <w:p w14:paraId="6233A69E" w14:textId="77777777" w:rsidR="00E1166C" w:rsidRPr="00445866" w:rsidRDefault="00E1166C" w:rsidP="00E5716F">
            <w:pPr>
              <w:spacing w:after="0"/>
              <w:ind w:left="90" w:right="90"/>
              <w:textAlignment w:val="baseline"/>
              <w:rPr>
                <w:rFonts w:ascii="Times New Roman" w:eastAsia="Times New Roman" w:hAnsi="Times New Roman"/>
                <w:sz w:val="18"/>
                <w:szCs w:val="18"/>
                <w:highlight w:val="yellow"/>
              </w:rPr>
            </w:pPr>
            <w:r w:rsidRPr="00445866">
              <w:rPr>
                <w:sz w:val="18"/>
                <w:szCs w:val="18"/>
              </w:rPr>
              <w:t>Improved patient knowledge about their medicines leading to improved medication use and disease self-management</w:t>
            </w:r>
          </w:p>
        </w:tc>
        <w:tc>
          <w:tcPr>
            <w:tcW w:w="1531" w:type="dxa"/>
            <w:hideMark/>
          </w:tcPr>
          <w:p w14:paraId="728BF8AD" w14:textId="1584FDC6" w:rsidR="00E1166C" w:rsidRPr="00445866" w:rsidRDefault="00E1166C" w:rsidP="00E5716F">
            <w:pPr>
              <w:spacing w:after="0"/>
              <w:ind w:left="90" w:right="90"/>
              <w:textAlignment w:val="baseline"/>
              <w:rPr>
                <w:rFonts w:eastAsia="Times New Roman"/>
                <w:color w:val="000000"/>
                <w:sz w:val="18"/>
                <w:szCs w:val="18"/>
                <w:highlight w:val="yellow"/>
              </w:rPr>
            </w:pPr>
            <w:r w:rsidRPr="00445866">
              <w:rPr>
                <w:sz w:val="18"/>
                <w:szCs w:val="18"/>
              </w:rPr>
              <w:t>681 (</w:t>
            </w:r>
            <w:r w:rsidR="006A690A" w:rsidRPr="00445866">
              <w:rPr>
                <w:sz w:val="18"/>
                <w:szCs w:val="18"/>
              </w:rPr>
              <w:t>44.6</w:t>
            </w:r>
            <w:r w:rsidRPr="00445866">
              <w:rPr>
                <w:sz w:val="18"/>
                <w:szCs w:val="18"/>
              </w:rPr>
              <w:t>%)</w:t>
            </w:r>
          </w:p>
        </w:tc>
        <w:tc>
          <w:tcPr>
            <w:tcW w:w="1531" w:type="dxa"/>
            <w:hideMark/>
          </w:tcPr>
          <w:p w14:paraId="7ECFF9A8" w14:textId="1A221737" w:rsidR="00E1166C" w:rsidRPr="00445866" w:rsidRDefault="00E1166C" w:rsidP="00E5716F">
            <w:pPr>
              <w:spacing w:after="0"/>
              <w:ind w:left="90" w:right="90"/>
              <w:textAlignment w:val="baseline"/>
              <w:rPr>
                <w:rFonts w:eastAsia="Times New Roman"/>
                <w:color w:val="000000"/>
                <w:sz w:val="18"/>
                <w:szCs w:val="18"/>
                <w:highlight w:val="yellow"/>
              </w:rPr>
            </w:pPr>
            <w:r w:rsidRPr="00445866">
              <w:rPr>
                <w:sz w:val="18"/>
                <w:szCs w:val="18"/>
              </w:rPr>
              <w:t>447 (</w:t>
            </w:r>
            <w:r w:rsidR="006A690A" w:rsidRPr="00445866">
              <w:rPr>
                <w:sz w:val="18"/>
                <w:szCs w:val="18"/>
              </w:rPr>
              <w:t>53.0</w:t>
            </w:r>
            <w:r w:rsidRPr="00445866">
              <w:rPr>
                <w:sz w:val="18"/>
                <w:szCs w:val="18"/>
              </w:rPr>
              <w:t>%)</w:t>
            </w:r>
          </w:p>
        </w:tc>
        <w:tc>
          <w:tcPr>
            <w:tcW w:w="1531" w:type="dxa"/>
            <w:hideMark/>
          </w:tcPr>
          <w:p w14:paraId="0BA9A921" w14:textId="68BD1977" w:rsidR="00E1166C" w:rsidRPr="00445866" w:rsidRDefault="00E1166C" w:rsidP="00E5716F">
            <w:pPr>
              <w:spacing w:after="0"/>
              <w:ind w:left="90" w:right="90"/>
              <w:textAlignment w:val="baseline"/>
              <w:rPr>
                <w:rFonts w:eastAsia="Times New Roman"/>
                <w:color w:val="000000"/>
                <w:sz w:val="18"/>
                <w:szCs w:val="18"/>
                <w:highlight w:val="yellow"/>
              </w:rPr>
            </w:pPr>
            <w:r w:rsidRPr="00445866">
              <w:rPr>
                <w:sz w:val="18"/>
                <w:szCs w:val="18"/>
              </w:rPr>
              <w:t>324 (</w:t>
            </w:r>
            <w:r w:rsidR="006A690A" w:rsidRPr="00445866">
              <w:rPr>
                <w:sz w:val="18"/>
                <w:szCs w:val="18"/>
              </w:rPr>
              <w:t>54.7</w:t>
            </w:r>
            <w:r w:rsidRPr="00445866">
              <w:rPr>
                <w:sz w:val="18"/>
                <w:szCs w:val="18"/>
              </w:rPr>
              <w:t>%)</w:t>
            </w:r>
          </w:p>
        </w:tc>
        <w:tc>
          <w:tcPr>
            <w:tcW w:w="1531" w:type="dxa"/>
          </w:tcPr>
          <w:p w14:paraId="06CA1DA6" w14:textId="02EBAEE7" w:rsidR="00E1166C" w:rsidRPr="00445866" w:rsidRDefault="00E1166C" w:rsidP="00E5716F">
            <w:pPr>
              <w:spacing w:after="0"/>
              <w:ind w:left="90" w:right="90"/>
              <w:textAlignment w:val="baseline"/>
              <w:rPr>
                <w:rFonts w:eastAsia="Times New Roman"/>
                <w:color w:val="000000"/>
                <w:sz w:val="18"/>
                <w:szCs w:val="18"/>
                <w:highlight w:val="yellow"/>
              </w:rPr>
            </w:pPr>
            <w:r w:rsidRPr="00445866">
              <w:rPr>
                <w:sz w:val="18"/>
                <w:szCs w:val="18"/>
              </w:rPr>
              <w:t>224 (</w:t>
            </w:r>
            <w:r w:rsidR="006A690A" w:rsidRPr="00445866">
              <w:rPr>
                <w:sz w:val="18"/>
                <w:szCs w:val="18"/>
              </w:rPr>
              <w:t>55.6</w:t>
            </w:r>
            <w:r w:rsidRPr="00445866">
              <w:rPr>
                <w:sz w:val="18"/>
                <w:szCs w:val="18"/>
              </w:rPr>
              <w:t>%)</w:t>
            </w:r>
          </w:p>
        </w:tc>
        <w:tc>
          <w:tcPr>
            <w:tcW w:w="1021" w:type="dxa"/>
          </w:tcPr>
          <w:p w14:paraId="6F25C803" w14:textId="25391A8A" w:rsidR="006A690A" w:rsidRPr="00445866" w:rsidRDefault="006A690A" w:rsidP="006A690A">
            <w:pPr>
              <w:spacing w:after="0"/>
              <w:ind w:left="90" w:right="90"/>
              <w:textAlignment w:val="baseline"/>
              <w:rPr>
                <w:sz w:val="18"/>
                <w:szCs w:val="18"/>
              </w:rPr>
            </w:pPr>
            <w:r w:rsidRPr="00445866">
              <w:rPr>
                <w:sz w:val="18"/>
                <w:szCs w:val="18"/>
              </w:rPr>
              <w:t>0.3448</w:t>
            </w:r>
          </w:p>
        </w:tc>
      </w:tr>
      <w:tr w:rsidR="00E1166C" w:rsidRPr="00E1166C" w14:paraId="1C25927D" w14:textId="68493514" w:rsidTr="00F11772">
        <w:tc>
          <w:tcPr>
            <w:tcW w:w="2618" w:type="dxa"/>
            <w:hideMark/>
          </w:tcPr>
          <w:p w14:paraId="50B19BD5" w14:textId="77777777" w:rsidR="00E1166C" w:rsidRPr="00445866" w:rsidRDefault="00E1166C" w:rsidP="00E5716F">
            <w:pPr>
              <w:spacing w:after="0"/>
              <w:ind w:left="90" w:right="90"/>
              <w:textAlignment w:val="baseline"/>
              <w:rPr>
                <w:rFonts w:ascii="Times New Roman" w:eastAsia="Times New Roman" w:hAnsi="Times New Roman"/>
                <w:sz w:val="18"/>
                <w:szCs w:val="18"/>
              </w:rPr>
            </w:pPr>
            <w:r w:rsidRPr="00445866">
              <w:rPr>
                <w:sz w:val="18"/>
                <w:szCs w:val="18"/>
              </w:rPr>
              <w:t>Improved technique/usage of medication devices</w:t>
            </w:r>
          </w:p>
        </w:tc>
        <w:tc>
          <w:tcPr>
            <w:tcW w:w="1531" w:type="dxa"/>
            <w:hideMark/>
          </w:tcPr>
          <w:p w14:paraId="48B41950" w14:textId="1F49AE8E" w:rsidR="00E1166C" w:rsidRPr="00445866" w:rsidRDefault="00E1166C" w:rsidP="00E5716F">
            <w:pPr>
              <w:spacing w:after="0"/>
              <w:ind w:left="90" w:right="90"/>
              <w:textAlignment w:val="baseline"/>
              <w:rPr>
                <w:rFonts w:eastAsia="Times New Roman"/>
                <w:color w:val="000000"/>
                <w:sz w:val="18"/>
                <w:szCs w:val="18"/>
                <w:highlight w:val="yellow"/>
              </w:rPr>
            </w:pPr>
            <w:r w:rsidRPr="00445866">
              <w:rPr>
                <w:sz w:val="18"/>
                <w:szCs w:val="18"/>
              </w:rPr>
              <w:t>243 (</w:t>
            </w:r>
            <w:r w:rsidR="006A690A" w:rsidRPr="00445866">
              <w:rPr>
                <w:sz w:val="18"/>
                <w:szCs w:val="18"/>
              </w:rPr>
              <w:t>15.9</w:t>
            </w:r>
            <w:r w:rsidRPr="00445866">
              <w:rPr>
                <w:sz w:val="18"/>
                <w:szCs w:val="18"/>
              </w:rPr>
              <w:t>%)</w:t>
            </w:r>
          </w:p>
        </w:tc>
        <w:tc>
          <w:tcPr>
            <w:tcW w:w="1531" w:type="dxa"/>
            <w:hideMark/>
          </w:tcPr>
          <w:p w14:paraId="403BF139" w14:textId="4D8DFB3B" w:rsidR="00E1166C" w:rsidRPr="00445866" w:rsidRDefault="00E1166C" w:rsidP="00E5716F">
            <w:pPr>
              <w:spacing w:after="0"/>
              <w:ind w:left="90" w:right="90"/>
              <w:textAlignment w:val="baseline"/>
              <w:rPr>
                <w:rFonts w:eastAsia="Times New Roman"/>
                <w:color w:val="000000"/>
                <w:sz w:val="18"/>
                <w:szCs w:val="18"/>
                <w:highlight w:val="yellow"/>
              </w:rPr>
            </w:pPr>
            <w:r w:rsidRPr="00445866">
              <w:rPr>
                <w:sz w:val="18"/>
                <w:szCs w:val="18"/>
              </w:rPr>
              <w:t>141 (</w:t>
            </w:r>
            <w:r w:rsidR="006A690A" w:rsidRPr="00445866">
              <w:rPr>
                <w:sz w:val="18"/>
                <w:szCs w:val="18"/>
              </w:rPr>
              <w:t>16.7</w:t>
            </w:r>
            <w:r w:rsidRPr="00445866">
              <w:rPr>
                <w:sz w:val="18"/>
                <w:szCs w:val="18"/>
              </w:rPr>
              <w:t>%)</w:t>
            </w:r>
          </w:p>
        </w:tc>
        <w:tc>
          <w:tcPr>
            <w:tcW w:w="1531" w:type="dxa"/>
            <w:hideMark/>
          </w:tcPr>
          <w:p w14:paraId="56A1E568" w14:textId="246CA199" w:rsidR="00E1166C" w:rsidRPr="00445866" w:rsidRDefault="00E1166C" w:rsidP="00E5716F">
            <w:pPr>
              <w:spacing w:after="0"/>
              <w:ind w:left="90" w:right="90"/>
              <w:textAlignment w:val="baseline"/>
              <w:rPr>
                <w:rFonts w:eastAsia="Times New Roman"/>
                <w:color w:val="000000"/>
                <w:sz w:val="18"/>
                <w:szCs w:val="18"/>
                <w:highlight w:val="yellow"/>
              </w:rPr>
            </w:pPr>
            <w:r w:rsidRPr="00445866">
              <w:rPr>
                <w:sz w:val="18"/>
                <w:szCs w:val="18"/>
              </w:rPr>
              <w:t>93 (</w:t>
            </w:r>
            <w:r w:rsidR="006A690A" w:rsidRPr="00445866">
              <w:rPr>
                <w:sz w:val="18"/>
                <w:szCs w:val="18"/>
              </w:rPr>
              <w:t>15.7</w:t>
            </w:r>
            <w:r w:rsidRPr="00445866">
              <w:rPr>
                <w:sz w:val="18"/>
                <w:szCs w:val="18"/>
              </w:rPr>
              <w:t>%)</w:t>
            </w:r>
          </w:p>
        </w:tc>
        <w:tc>
          <w:tcPr>
            <w:tcW w:w="1531" w:type="dxa"/>
          </w:tcPr>
          <w:p w14:paraId="1BEAAE7C" w14:textId="2E107FF9" w:rsidR="00E1166C" w:rsidRPr="00445866" w:rsidRDefault="00E1166C" w:rsidP="00E5716F">
            <w:pPr>
              <w:spacing w:after="0"/>
              <w:ind w:left="90" w:right="90"/>
              <w:textAlignment w:val="baseline"/>
              <w:rPr>
                <w:rFonts w:eastAsia="Times New Roman"/>
                <w:color w:val="000000"/>
                <w:sz w:val="18"/>
                <w:szCs w:val="18"/>
                <w:highlight w:val="yellow"/>
              </w:rPr>
            </w:pPr>
            <w:r w:rsidRPr="00445866">
              <w:rPr>
                <w:sz w:val="18"/>
                <w:szCs w:val="18"/>
              </w:rPr>
              <w:t>59 (</w:t>
            </w:r>
            <w:r w:rsidR="006A690A" w:rsidRPr="00445866">
              <w:rPr>
                <w:sz w:val="18"/>
                <w:szCs w:val="18"/>
              </w:rPr>
              <w:t>14.6</w:t>
            </w:r>
            <w:r w:rsidRPr="00445866">
              <w:rPr>
                <w:sz w:val="18"/>
                <w:szCs w:val="18"/>
              </w:rPr>
              <w:t>%)</w:t>
            </w:r>
          </w:p>
        </w:tc>
        <w:tc>
          <w:tcPr>
            <w:tcW w:w="1021" w:type="dxa"/>
          </w:tcPr>
          <w:p w14:paraId="59F357B9" w14:textId="1ABBEB23" w:rsidR="006A690A" w:rsidRPr="00445866" w:rsidRDefault="006A690A" w:rsidP="006A690A">
            <w:pPr>
              <w:spacing w:after="0"/>
              <w:ind w:left="90" w:right="90"/>
              <w:textAlignment w:val="baseline"/>
              <w:rPr>
                <w:sz w:val="18"/>
                <w:szCs w:val="18"/>
              </w:rPr>
            </w:pPr>
            <w:r w:rsidRPr="00445866">
              <w:rPr>
                <w:sz w:val="18"/>
                <w:szCs w:val="18"/>
              </w:rPr>
              <w:t>0.8244</w:t>
            </w:r>
          </w:p>
        </w:tc>
      </w:tr>
      <w:tr w:rsidR="00E1166C" w:rsidRPr="00E1166C" w14:paraId="4DF8EE43" w14:textId="19E8BE6B" w:rsidTr="00F11772">
        <w:tc>
          <w:tcPr>
            <w:tcW w:w="2618" w:type="dxa"/>
            <w:hideMark/>
          </w:tcPr>
          <w:p w14:paraId="68718C37" w14:textId="77777777" w:rsidR="00E1166C" w:rsidRPr="00445866" w:rsidRDefault="00E1166C" w:rsidP="00E5716F">
            <w:pPr>
              <w:spacing w:after="0"/>
              <w:ind w:left="90" w:right="90"/>
              <w:textAlignment w:val="baseline"/>
              <w:rPr>
                <w:rFonts w:ascii="Times New Roman" w:eastAsia="Times New Roman" w:hAnsi="Times New Roman"/>
                <w:sz w:val="18"/>
                <w:szCs w:val="18"/>
              </w:rPr>
            </w:pPr>
            <w:r w:rsidRPr="00445866">
              <w:rPr>
                <w:sz w:val="18"/>
                <w:szCs w:val="18"/>
              </w:rPr>
              <w:t>Optimise the medication dose and/or number or type of medicines</w:t>
            </w:r>
          </w:p>
        </w:tc>
        <w:tc>
          <w:tcPr>
            <w:tcW w:w="1531" w:type="dxa"/>
            <w:hideMark/>
          </w:tcPr>
          <w:p w14:paraId="671D0CC5" w14:textId="06E57E10" w:rsidR="00E1166C" w:rsidRPr="00445866" w:rsidRDefault="00E1166C" w:rsidP="00E5716F">
            <w:pPr>
              <w:spacing w:after="0"/>
              <w:ind w:left="90" w:right="90"/>
              <w:textAlignment w:val="baseline"/>
              <w:rPr>
                <w:rFonts w:eastAsia="Times New Roman"/>
                <w:color w:val="000000"/>
                <w:sz w:val="18"/>
                <w:szCs w:val="18"/>
              </w:rPr>
            </w:pPr>
            <w:r w:rsidRPr="00445866">
              <w:rPr>
                <w:sz w:val="18"/>
                <w:szCs w:val="18"/>
              </w:rPr>
              <w:t>284 (</w:t>
            </w:r>
            <w:r w:rsidR="006A690A" w:rsidRPr="00445866">
              <w:rPr>
                <w:sz w:val="18"/>
                <w:szCs w:val="18"/>
              </w:rPr>
              <w:t>18.6</w:t>
            </w:r>
            <w:r w:rsidRPr="00445866">
              <w:rPr>
                <w:sz w:val="18"/>
                <w:szCs w:val="18"/>
              </w:rPr>
              <w:t>%)</w:t>
            </w:r>
          </w:p>
        </w:tc>
        <w:tc>
          <w:tcPr>
            <w:tcW w:w="1531" w:type="dxa"/>
            <w:hideMark/>
          </w:tcPr>
          <w:p w14:paraId="607FC5E5" w14:textId="0809E55A" w:rsidR="00E1166C" w:rsidRPr="00445866" w:rsidRDefault="00E1166C" w:rsidP="00E5716F">
            <w:pPr>
              <w:spacing w:after="0"/>
              <w:ind w:left="90" w:right="90"/>
              <w:textAlignment w:val="baseline"/>
              <w:rPr>
                <w:rFonts w:eastAsia="Times New Roman"/>
                <w:color w:val="000000"/>
                <w:sz w:val="18"/>
                <w:szCs w:val="18"/>
              </w:rPr>
            </w:pPr>
            <w:r w:rsidRPr="00445866">
              <w:rPr>
                <w:sz w:val="18"/>
                <w:szCs w:val="18"/>
              </w:rPr>
              <w:t>145 (</w:t>
            </w:r>
            <w:r w:rsidR="006A690A" w:rsidRPr="00445866">
              <w:rPr>
                <w:sz w:val="18"/>
                <w:szCs w:val="18"/>
              </w:rPr>
              <w:t>17.2</w:t>
            </w:r>
            <w:r w:rsidRPr="00445866">
              <w:rPr>
                <w:sz w:val="18"/>
                <w:szCs w:val="18"/>
              </w:rPr>
              <w:t>%)</w:t>
            </w:r>
          </w:p>
        </w:tc>
        <w:tc>
          <w:tcPr>
            <w:tcW w:w="1531" w:type="dxa"/>
            <w:hideMark/>
          </w:tcPr>
          <w:p w14:paraId="20D7C45A" w14:textId="4E9571C7" w:rsidR="00E1166C" w:rsidRPr="00445866" w:rsidRDefault="00E1166C" w:rsidP="00E5716F">
            <w:pPr>
              <w:spacing w:after="0"/>
              <w:ind w:left="90" w:right="90"/>
              <w:textAlignment w:val="baseline"/>
              <w:rPr>
                <w:rFonts w:eastAsia="Times New Roman"/>
                <w:color w:val="000000"/>
                <w:sz w:val="18"/>
                <w:szCs w:val="18"/>
              </w:rPr>
            </w:pPr>
            <w:r w:rsidRPr="00445866">
              <w:rPr>
                <w:sz w:val="18"/>
                <w:szCs w:val="18"/>
              </w:rPr>
              <w:t>91 (</w:t>
            </w:r>
            <w:r w:rsidR="006A690A" w:rsidRPr="00445866">
              <w:rPr>
                <w:sz w:val="18"/>
                <w:szCs w:val="18"/>
              </w:rPr>
              <w:t>15.4</w:t>
            </w:r>
            <w:r w:rsidRPr="00445866">
              <w:rPr>
                <w:sz w:val="18"/>
                <w:szCs w:val="18"/>
              </w:rPr>
              <w:t>%)</w:t>
            </w:r>
          </w:p>
        </w:tc>
        <w:tc>
          <w:tcPr>
            <w:tcW w:w="1531" w:type="dxa"/>
          </w:tcPr>
          <w:p w14:paraId="1094623A" w14:textId="272A9006" w:rsidR="00E1166C" w:rsidRPr="00445866" w:rsidRDefault="00E1166C" w:rsidP="00E5716F">
            <w:pPr>
              <w:spacing w:after="0"/>
              <w:ind w:left="90" w:right="90"/>
              <w:textAlignment w:val="baseline"/>
              <w:rPr>
                <w:rFonts w:eastAsia="Times New Roman"/>
                <w:color w:val="000000"/>
                <w:sz w:val="18"/>
                <w:szCs w:val="18"/>
              </w:rPr>
            </w:pPr>
            <w:r w:rsidRPr="00445866">
              <w:rPr>
                <w:sz w:val="18"/>
                <w:szCs w:val="18"/>
              </w:rPr>
              <w:t>47 (</w:t>
            </w:r>
            <w:r w:rsidR="006A690A" w:rsidRPr="00445866">
              <w:rPr>
                <w:sz w:val="18"/>
                <w:szCs w:val="18"/>
              </w:rPr>
              <w:t>11.7</w:t>
            </w:r>
            <w:r w:rsidRPr="00445866">
              <w:rPr>
                <w:sz w:val="18"/>
                <w:szCs w:val="18"/>
              </w:rPr>
              <w:t>%)</w:t>
            </w:r>
          </w:p>
        </w:tc>
        <w:tc>
          <w:tcPr>
            <w:tcW w:w="1021" w:type="dxa"/>
          </w:tcPr>
          <w:p w14:paraId="51C04D3F" w14:textId="363870BC" w:rsidR="006A690A" w:rsidRPr="00445866" w:rsidRDefault="006A690A" w:rsidP="006A690A">
            <w:pPr>
              <w:spacing w:after="0"/>
              <w:ind w:left="90" w:right="90"/>
              <w:textAlignment w:val="baseline"/>
              <w:rPr>
                <w:sz w:val="18"/>
                <w:szCs w:val="18"/>
              </w:rPr>
            </w:pPr>
            <w:r w:rsidRPr="00445866">
              <w:rPr>
                <w:sz w:val="18"/>
                <w:szCs w:val="18"/>
              </w:rPr>
              <w:t>0.1083</w:t>
            </w:r>
          </w:p>
        </w:tc>
      </w:tr>
      <w:tr w:rsidR="00E1166C" w:rsidRPr="00E1166C" w14:paraId="78A4598A" w14:textId="2445DE76" w:rsidTr="00F11772">
        <w:tc>
          <w:tcPr>
            <w:tcW w:w="2618" w:type="dxa"/>
            <w:hideMark/>
          </w:tcPr>
          <w:p w14:paraId="61D96B30" w14:textId="77777777" w:rsidR="00E1166C" w:rsidRPr="00445866" w:rsidRDefault="00E1166C" w:rsidP="00E5716F">
            <w:pPr>
              <w:spacing w:after="0"/>
              <w:ind w:left="90" w:right="90"/>
              <w:textAlignment w:val="baseline"/>
              <w:rPr>
                <w:rFonts w:ascii="Times New Roman" w:eastAsia="Times New Roman" w:hAnsi="Times New Roman"/>
                <w:sz w:val="18"/>
                <w:szCs w:val="18"/>
              </w:rPr>
            </w:pPr>
            <w:r w:rsidRPr="00445866">
              <w:rPr>
                <w:sz w:val="18"/>
                <w:szCs w:val="18"/>
              </w:rPr>
              <w:t>Reduced medication side effects</w:t>
            </w:r>
          </w:p>
        </w:tc>
        <w:tc>
          <w:tcPr>
            <w:tcW w:w="1531" w:type="dxa"/>
            <w:hideMark/>
          </w:tcPr>
          <w:p w14:paraId="6CF1EB06" w14:textId="138FC0CA" w:rsidR="00E1166C" w:rsidRPr="00445866" w:rsidRDefault="00E1166C" w:rsidP="00E5716F">
            <w:pPr>
              <w:spacing w:after="0"/>
              <w:ind w:left="90" w:right="90"/>
              <w:textAlignment w:val="baseline"/>
              <w:rPr>
                <w:rFonts w:eastAsia="Times New Roman"/>
                <w:color w:val="000000"/>
                <w:sz w:val="18"/>
                <w:szCs w:val="18"/>
                <w:highlight w:val="yellow"/>
              </w:rPr>
            </w:pPr>
            <w:r w:rsidRPr="00445866">
              <w:rPr>
                <w:sz w:val="18"/>
                <w:szCs w:val="18"/>
              </w:rPr>
              <w:t>205 (</w:t>
            </w:r>
            <w:r w:rsidR="006A690A" w:rsidRPr="00445866">
              <w:rPr>
                <w:sz w:val="18"/>
                <w:szCs w:val="18"/>
              </w:rPr>
              <w:t>13.4</w:t>
            </w:r>
            <w:r w:rsidRPr="00445866">
              <w:rPr>
                <w:sz w:val="18"/>
                <w:szCs w:val="18"/>
              </w:rPr>
              <w:t>%)</w:t>
            </w:r>
          </w:p>
        </w:tc>
        <w:tc>
          <w:tcPr>
            <w:tcW w:w="1531" w:type="dxa"/>
            <w:hideMark/>
          </w:tcPr>
          <w:p w14:paraId="17D2362D" w14:textId="1720A2A2" w:rsidR="00E1166C" w:rsidRPr="00445866" w:rsidRDefault="00E1166C" w:rsidP="00E5716F">
            <w:pPr>
              <w:spacing w:after="0"/>
              <w:ind w:left="90" w:right="90"/>
              <w:textAlignment w:val="baseline"/>
              <w:rPr>
                <w:rFonts w:eastAsia="Times New Roman"/>
                <w:color w:val="000000"/>
                <w:sz w:val="18"/>
                <w:szCs w:val="18"/>
                <w:highlight w:val="yellow"/>
              </w:rPr>
            </w:pPr>
            <w:r w:rsidRPr="00445866">
              <w:rPr>
                <w:sz w:val="18"/>
                <w:szCs w:val="18"/>
              </w:rPr>
              <w:t>146 (</w:t>
            </w:r>
            <w:r w:rsidR="006A690A" w:rsidRPr="00445866">
              <w:rPr>
                <w:sz w:val="18"/>
                <w:szCs w:val="18"/>
              </w:rPr>
              <w:t>17.3</w:t>
            </w:r>
            <w:r w:rsidRPr="00445866">
              <w:rPr>
                <w:sz w:val="18"/>
                <w:szCs w:val="18"/>
              </w:rPr>
              <w:t>%)</w:t>
            </w:r>
          </w:p>
        </w:tc>
        <w:tc>
          <w:tcPr>
            <w:tcW w:w="1531" w:type="dxa"/>
            <w:hideMark/>
          </w:tcPr>
          <w:p w14:paraId="76750C86" w14:textId="11FD3647" w:rsidR="00E1166C" w:rsidRPr="00445866" w:rsidRDefault="00E1166C" w:rsidP="00E5716F">
            <w:pPr>
              <w:spacing w:after="0"/>
              <w:ind w:left="90" w:right="90"/>
              <w:textAlignment w:val="baseline"/>
              <w:rPr>
                <w:rFonts w:eastAsia="Times New Roman"/>
                <w:color w:val="000000"/>
                <w:sz w:val="18"/>
                <w:szCs w:val="18"/>
                <w:highlight w:val="yellow"/>
              </w:rPr>
            </w:pPr>
            <w:r w:rsidRPr="00445866">
              <w:rPr>
                <w:sz w:val="18"/>
                <w:szCs w:val="18"/>
              </w:rPr>
              <w:t>90 (</w:t>
            </w:r>
            <w:r w:rsidR="006A690A" w:rsidRPr="00445866">
              <w:rPr>
                <w:sz w:val="18"/>
                <w:szCs w:val="18"/>
              </w:rPr>
              <w:t>15.2</w:t>
            </w:r>
            <w:r w:rsidRPr="00445866">
              <w:rPr>
                <w:sz w:val="18"/>
                <w:szCs w:val="18"/>
              </w:rPr>
              <w:t>%)</w:t>
            </w:r>
          </w:p>
        </w:tc>
        <w:tc>
          <w:tcPr>
            <w:tcW w:w="1531" w:type="dxa"/>
          </w:tcPr>
          <w:p w14:paraId="036E6905" w14:textId="4645916D" w:rsidR="00E1166C" w:rsidRPr="00445866" w:rsidRDefault="00E1166C" w:rsidP="00E5716F">
            <w:pPr>
              <w:spacing w:after="0"/>
              <w:ind w:left="90" w:right="90"/>
              <w:textAlignment w:val="baseline"/>
              <w:rPr>
                <w:rFonts w:eastAsia="Times New Roman"/>
                <w:color w:val="000000"/>
                <w:sz w:val="18"/>
                <w:szCs w:val="18"/>
                <w:highlight w:val="yellow"/>
              </w:rPr>
            </w:pPr>
            <w:r w:rsidRPr="00445866">
              <w:rPr>
                <w:sz w:val="18"/>
                <w:szCs w:val="18"/>
              </w:rPr>
              <w:t>42 (</w:t>
            </w:r>
            <w:r w:rsidR="006A690A" w:rsidRPr="00445866">
              <w:rPr>
                <w:sz w:val="18"/>
                <w:szCs w:val="18"/>
              </w:rPr>
              <w:t>10.4</w:t>
            </w:r>
            <w:r w:rsidRPr="00445866">
              <w:rPr>
                <w:sz w:val="18"/>
                <w:szCs w:val="18"/>
              </w:rPr>
              <w:t>%)</w:t>
            </w:r>
          </w:p>
        </w:tc>
        <w:tc>
          <w:tcPr>
            <w:tcW w:w="1021" w:type="dxa"/>
          </w:tcPr>
          <w:p w14:paraId="170792DD" w14:textId="2E49C007" w:rsidR="006A690A" w:rsidRPr="00445866" w:rsidRDefault="006A690A" w:rsidP="006A690A">
            <w:pPr>
              <w:spacing w:after="0"/>
              <w:ind w:left="90" w:right="90"/>
              <w:textAlignment w:val="baseline"/>
              <w:rPr>
                <w:sz w:val="18"/>
                <w:szCs w:val="18"/>
              </w:rPr>
            </w:pPr>
            <w:r w:rsidRPr="00445866">
              <w:rPr>
                <w:sz w:val="18"/>
                <w:szCs w:val="18"/>
              </w:rPr>
              <w:t>0.2710</w:t>
            </w:r>
          </w:p>
        </w:tc>
      </w:tr>
    </w:tbl>
    <w:p w14:paraId="35C35908" w14:textId="60D862B0" w:rsidR="002B2B71" w:rsidRDefault="002B2B71" w:rsidP="002B2B71">
      <w:pPr>
        <w:pStyle w:val="Chartortablefootnote"/>
        <w:contextualSpacing/>
      </w:pPr>
      <w:r>
        <w:t xml:space="preserve">Notes: </w:t>
      </w:r>
      <w:r w:rsidR="006F5190" w:rsidRPr="008A7ACB">
        <w:t>†</w:t>
      </w:r>
      <w:r w:rsidR="005C51FA" w:rsidRPr="008A7ACB">
        <w:t xml:space="preserve">P value for trend </w:t>
      </w:r>
      <w:r w:rsidR="00C75391" w:rsidRPr="008A7ACB">
        <w:t>across reviews</w:t>
      </w:r>
      <w:r w:rsidR="00B92DFC" w:rsidRPr="008A7ACB">
        <w:t xml:space="preserve"> derived from a generalised lin</w:t>
      </w:r>
      <w:r w:rsidR="006F5190" w:rsidRPr="008A7ACB">
        <w:t>ear</w:t>
      </w:r>
      <w:r w:rsidR="00B92DFC" w:rsidRPr="008A7ACB">
        <w:t xml:space="preserve"> mixed model</w:t>
      </w:r>
      <w:r w:rsidR="008A7ACB">
        <w:t>.</w:t>
      </w:r>
      <w:r w:rsidRPr="002B2B71">
        <w:t xml:space="preserve"> </w:t>
      </w:r>
    </w:p>
    <w:p w14:paraId="7975AD82" w14:textId="3A2843F1" w:rsidR="00FE23B9" w:rsidRPr="008A7ACB" w:rsidRDefault="00FE23B9" w:rsidP="008A7ACB">
      <w:pPr>
        <w:pStyle w:val="Chartortablefootnote"/>
        <w:contextualSpacing/>
      </w:pPr>
      <w:r w:rsidRPr="008A7ACB">
        <w:t>Source: Health Outcomes data set provided by the Pharmacy Guild, to 30 June 2021. </w:t>
      </w:r>
    </w:p>
    <w:p w14:paraId="38C5801B" w14:textId="328E5135" w:rsidR="00F77866" w:rsidRPr="008A7ACB" w:rsidRDefault="00F77866" w:rsidP="008A7ACB">
      <w:pPr>
        <w:pStyle w:val="Chartortablefootnote"/>
      </w:pPr>
    </w:p>
    <w:p w14:paraId="74E5292E" w14:textId="0DF8B440" w:rsidR="00740A14" w:rsidRPr="00552285" w:rsidRDefault="003106A0" w:rsidP="00552285">
      <w:pPr>
        <w:rPr>
          <w:szCs w:val="20"/>
        </w:rPr>
      </w:pPr>
      <w:r w:rsidRPr="00552285">
        <w:rPr>
          <w:szCs w:val="20"/>
        </w:rPr>
        <w:lastRenderedPageBreak/>
        <w:t>Outcomes of the MMP (</w:t>
      </w:r>
      <w:r w:rsidR="0010747B" w:rsidRPr="00552285">
        <w:rPr>
          <w:szCs w:val="20"/>
        </w:rPr>
        <w:t>that is,</w:t>
      </w:r>
      <w:r w:rsidRPr="00552285">
        <w:rPr>
          <w:szCs w:val="20"/>
        </w:rPr>
        <w:t xml:space="preserve"> what the pharmacist did) are shown in </w:t>
      </w:r>
      <w:r w:rsidR="00BD42CE" w:rsidRPr="00552285">
        <w:rPr>
          <w:rFonts w:eastAsia="Calibri" w:cs="Times New Roman"/>
          <w:color w:val="1D2455"/>
          <w:szCs w:val="20"/>
        </w:rPr>
        <w:fldChar w:fldCharType="begin"/>
      </w:r>
      <w:r w:rsidR="00BD42CE" w:rsidRPr="00FA41EE">
        <w:rPr>
          <w:rFonts w:eastAsia="Calibri" w:cs="Times New Roman"/>
          <w:color w:val="1D2455"/>
          <w:szCs w:val="16"/>
        </w:rPr>
        <w:instrText xml:space="preserve"> REF _Ref99127054 \h </w:instrText>
      </w:r>
      <w:r w:rsidR="00FA41EE">
        <w:rPr>
          <w:rFonts w:eastAsia="Calibri" w:cs="Times New Roman"/>
          <w:color w:val="1D2455"/>
          <w:szCs w:val="16"/>
        </w:rPr>
        <w:instrText xml:space="preserve"> \* MERGEFORMAT </w:instrText>
      </w:r>
      <w:r w:rsidR="00BD42CE" w:rsidRPr="00552285">
        <w:rPr>
          <w:rFonts w:eastAsia="Calibri" w:cs="Times New Roman"/>
          <w:color w:val="1D2455"/>
          <w:szCs w:val="20"/>
        </w:rPr>
      </w:r>
      <w:r w:rsidR="00BD42CE" w:rsidRPr="00552285">
        <w:rPr>
          <w:rFonts w:eastAsia="Calibri" w:cs="Times New Roman"/>
          <w:color w:val="1D2455"/>
          <w:szCs w:val="20"/>
        </w:rPr>
        <w:fldChar w:fldCharType="separate"/>
      </w:r>
      <w:r w:rsidR="003C4BC2" w:rsidRPr="003C4BC2">
        <w:rPr>
          <w:rFonts w:eastAsia="Calibri" w:cs="Times New Roman"/>
          <w:color w:val="1D2455"/>
          <w:szCs w:val="20"/>
        </w:rPr>
        <w:t>Table 73</w:t>
      </w:r>
      <w:r w:rsidR="00BD42CE" w:rsidRPr="00552285">
        <w:rPr>
          <w:rFonts w:eastAsia="Calibri" w:cs="Times New Roman"/>
          <w:color w:val="1D2455"/>
          <w:szCs w:val="20"/>
        </w:rPr>
        <w:fldChar w:fldCharType="end"/>
      </w:r>
      <w:r w:rsidR="00BD42CE" w:rsidRPr="00552285">
        <w:rPr>
          <w:szCs w:val="20"/>
        </w:rPr>
        <w:t xml:space="preserve">. </w:t>
      </w:r>
      <w:r w:rsidRPr="00552285">
        <w:rPr>
          <w:szCs w:val="20"/>
        </w:rPr>
        <w:t xml:space="preserve">The most common outcomes for the first review included: the pharmacist updating reconciled medication list (95%), the pharmacist providing the patient with medicine education (78%), and the pharmacist providing the patient with disease state information (62%). </w:t>
      </w:r>
      <w:r w:rsidR="006D48F0" w:rsidRPr="00552285">
        <w:rPr>
          <w:szCs w:val="20"/>
        </w:rPr>
        <w:t>The</w:t>
      </w:r>
      <w:r w:rsidR="0066542A" w:rsidRPr="00552285">
        <w:rPr>
          <w:szCs w:val="20"/>
        </w:rPr>
        <w:t xml:space="preserve"> very high reporting of reconciled medication list </w:t>
      </w:r>
      <w:r w:rsidR="006D48F0" w:rsidRPr="00552285">
        <w:rPr>
          <w:szCs w:val="20"/>
        </w:rPr>
        <w:t xml:space="preserve">continued in subsequent reviews, </w:t>
      </w:r>
      <w:r w:rsidR="0066542A" w:rsidRPr="00552285">
        <w:rPr>
          <w:szCs w:val="20"/>
        </w:rPr>
        <w:t>but there was a tendency for lower levels of many of the other outcomes.</w:t>
      </w:r>
      <w:r w:rsidR="006D48F0" w:rsidRPr="00552285">
        <w:rPr>
          <w:szCs w:val="20"/>
        </w:rPr>
        <w:t xml:space="preserve"> Notably there was a substantial reduction in Health Care Home/GP verbally consulted about patient</w:t>
      </w:r>
      <w:r w:rsidR="00C86495" w:rsidRPr="00552285">
        <w:rPr>
          <w:szCs w:val="20"/>
        </w:rPr>
        <w:t>, and although starting from a very low level, pharmacist participated in HCH team care meetings.</w:t>
      </w:r>
      <w:bookmarkStart w:id="481" w:name="_Ref85043312"/>
      <w:r w:rsidR="008374D2" w:rsidRPr="00552285">
        <w:rPr>
          <w:szCs w:val="20"/>
        </w:rPr>
        <w:tab/>
      </w:r>
    </w:p>
    <w:p w14:paraId="73BB1712" w14:textId="05CBF0B8" w:rsidR="003106A0" w:rsidRDefault="003106A0" w:rsidP="003106A0">
      <w:pPr>
        <w:pStyle w:val="tabletitle"/>
      </w:pPr>
      <w:bookmarkStart w:id="482" w:name="_Ref99127054"/>
      <w:bookmarkStart w:id="483" w:name="_Hlk98931857"/>
      <w:r w:rsidRPr="002553E0">
        <w:t>Table </w:t>
      </w:r>
      <w:r w:rsidR="00A61B29">
        <w:fldChar w:fldCharType="begin"/>
      </w:r>
      <w:r w:rsidR="00A61B29">
        <w:instrText xml:space="preserve"> SEQ Table\* ARABIC </w:instrText>
      </w:r>
      <w:r w:rsidR="00A61B29">
        <w:fldChar w:fldCharType="separate"/>
      </w:r>
      <w:r w:rsidR="003C4BC2">
        <w:rPr>
          <w:noProof/>
        </w:rPr>
        <w:t>73</w:t>
      </w:r>
      <w:r w:rsidR="00A61B29">
        <w:rPr>
          <w:noProof/>
        </w:rPr>
        <w:fldChar w:fldCharType="end"/>
      </w:r>
      <w:bookmarkEnd w:id="481"/>
      <w:bookmarkEnd w:id="482"/>
      <w:r w:rsidRPr="002553E0">
        <w:t>: Outcomes of medication management plan</w:t>
      </w:r>
      <w:r w:rsidRPr="000C3FBF">
        <w:t> </w:t>
      </w:r>
    </w:p>
    <w:tbl>
      <w:tblPr>
        <w:tblW w:w="5000"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2341"/>
        <w:gridCol w:w="1335"/>
        <w:gridCol w:w="1335"/>
        <w:gridCol w:w="1335"/>
        <w:gridCol w:w="1335"/>
        <w:gridCol w:w="1335"/>
      </w:tblGrid>
      <w:tr w:rsidR="00740A14" w14:paraId="79BCA8EB" w14:textId="77777777" w:rsidTr="00902DE9">
        <w:trPr>
          <w:cantSplit/>
          <w:tblHeader/>
          <w:jc w:val="center"/>
        </w:trPr>
        <w:tc>
          <w:tcPr>
            <w:tcW w:w="2381" w:type="dxa"/>
            <w:shd w:val="clear" w:color="auto" w:fill="408BCA"/>
            <w:tcMar>
              <w:top w:w="0" w:type="dxa"/>
              <w:left w:w="0" w:type="dxa"/>
              <w:bottom w:w="0" w:type="dxa"/>
              <w:right w:w="0" w:type="dxa"/>
            </w:tcMar>
            <w:vAlign w:val="center"/>
          </w:tcPr>
          <w:bookmarkEnd w:id="483"/>
          <w:p w14:paraId="593F5554" w14:textId="0B6D5891" w:rsidR="00740A14" w:rsidRPr="003920C1" w:rsidRDefault="003920C1" w:rsidP="003920C1">
            <w:pPr>
              <w:spacing w:after="0"/>
              <w:jc w:val="center"/>
              <w:rPr>
                <w:rFonts w:eastAsia="Century Gothic" w:cs="Century Gothic"/>
                <w:b/>
                <w:bCs/>
                <w:color w:val="FFFFFF"/>
                <w:sz w:val="18"/>
                <w:szCs w:val="18"/>
              </w:rPr>
            </w:pPr>
            <w:r w:rsidRPr="003920C1">
              <w:rPr>
                <w:rFonts w:eastAsia="Century Gothic" w:cs="Century Gothic"/>
                <w:b/>
                <w:bCs/>
                <w:color w:val="FFFFFF"/>
                <w:sz w:val="18"/>
                <w:szCs w:val="18"/>
              </w:rPr>
              <w:t>Outcome</w:t>
            </w:r>
          </w:p>
        </w:tc>
        <w:tc>
          <w:tcPr>
            <w:tcW w:w="1358" w:type="dxa"/>
            <w:shd w:val="clear" w:color="auto" w:fill="408BCA"/>
            <w:tcMar>
              <w:top w:w="0" w:type="dxa"/>
              <w:left w:w="0" w:type="dxa"/>
              <w:bottom w:w="0" w:type="dxa"/>
              <w:right w:w="0" w:type="dxa"/>
            </w:tcMar>
            <w:vAlign w:val="center"/>
          </w:tcPr>
          <w:p w14:paraId="6DB94B48" w14:textId="77777777" w:rsidR="00740A14" w:rsidRPr="003920C1" w:rsidRDefault="00740A14" w:rsidP="003920C1">
            <w:pPr>
              <w:spacing w:after="0"/>
              <w:jc w:val="center"/>
              <w:rPr>
                <w:rFonts w:eastAsia="Century Gothic" w:cs="Century Gothic"/>
                <w:b/>
                <w:bCs/>
                <w:color w:val="FFFFFF"/>
                <w:sz w:val="18"/>
                <w:szCs w:val="18"/>
              </w:rPr>
            </w:pPr>
            <w:r w:rsidRPr="003920C1">
              <w:rPr>
                <w:rFonts w:eastAsia="Century Gothic" w:cs="Century Gothic"/>
                <w:b/>
                <w:bCs/>
                <w:color w:val="FFFFFF"/>
                <w:sz w:val="18"/>
                <w:szCs w:val="18"/>
              </w:rPr>
              <w:t xml:space="preserve">Initial consultation </w:t>
            </w:r>
            <w:r w:rsidRPr="003920C1">
              <w:rPr>
                <w:rFonts w:eastAsia="Century Gothic" w:cs="Century Gothic"/>
                <w:b/>
                <w:bCs/>
                <w:color w:val="FFFFFF"/>
                <w:sz w:val="18"/>
                <w:szCs w:val="18"/>
              </w:rPr>
              <w:br/>
              <w:t xml:space="preserve"> (n = 1531)</w:t>
            </w:r>
          </w:p>
        </w:tc>
        <w:tc>
          <w:tcPr>
            <w:tcW w:w="1358" w:type="dxa"/>
            <w:shd w:val="clear" w:color="auto" w:fill="408BCA"/>
            <w:tcMar>
              <w:top w:w="0" w:type="dxa"/>
              <w:left w:w="0" w:type="dxa"/>
              <w:bottom w:w="0" w:type="dxa"/>
              <w:right w:w="0" w:type="dxa"/>
            </w:tcMar>
            <w:vAlign w:val="center"/>
          </w:tcPr>
          <w:p w14:paraId="788A0C34" w14:textId="77777777" w:rsidR="00740A14" w:rsidRPr="003920C1" w:rsidRDefault="00740A14" w:rsidP="003920C1">
            <w:pPr>
              <w:spacing w:after="0"/>
              <w:jc w:val="center"/>
              <w:rPr>
                <w:rFonts w:eastAsia="Century Gothic" w:cs="Century Gothic"/>
                <w:b/>
                <w:bCs/>
                <w:color w:val="FFFFFF"/>
                <w:sz w:val="18"/>
                <w:szCs w:val="18"/>
              </w:rPr>
            </w:pPr>
            <w:r w:rsidRPr="003920C1">
              <w:rPr>
                <w:rFonts w:eastAsia="Century Gothic" w:cs="Century Gothic"/>
                <w:b/>
                <w:bCs/>
                <w:color w:val="FFFFFF"/>
                <w:sz w:val="18"/>
                <w:szCs w:val="18"/>
              </w:rPr>
              <w:t xml:space="preserve">1st review </w:t>
            </w:r>
            <w:r w:rsidRPr="003920C1">
              <w:rPr>
                <w:rFonts w:eastAsia="Century Gothic" w:cs="Century Gothic"/>
                <w:b/>
                <w:bCs/>
                <w:color w:val="FFFFFF"/>
                <w:sz w:val="18"/>
                <w:szCs w:val="18"/>
              </w:rPr>
              <w:br/>
              <w:t xml:space="preserve"> (n = 845)</w:t>
            </w:r>
          </w:p>
        </w:tc>
        <w:tc>
          <w:tcPr>
            <w:tcW w:w="1358" w:type="dxa"/>
            <w:shd w:val="clear" w:color="auto" w:fill="408BCA"/>
            <w:tcMar>
              <w:top w:w="0" w:type="dxa"/>
              <w:left w:w="0" w:type="dxa"/>
              <w:bottom w:w="0" w:type="dxa"/>
              <w:right w:w="0" w:type="dxa"/>
            </w:tcMar>
            <w:vAlign w:val="center"/>
          </w:tcPr>
          <w:p w14:paraId="63031B41" w14:textId="77777777" w:rsidR="00740A14" w:rsidRPr="003920C1" w:rsidRDefault="00740A14" w:rsidP="003920C1">
            <w:pPr>
              <w:spacing w:after="0"/>
              <w:jc w:val="center"/>
              <w:rPr>
                <w:rFonts w:eastAsia="Century Gothic" w:cs="Century Gothic"/>
                <w:b/>
                <w:bCs/>
                <w:color w:val="FFFFFF"/>
                <w:sz w:val="18"/>
                <w:szCs w:val="18"/>
              </w:rPr>
            </w:pPr>
            <w:r w:rsidRPr="003920C1">
              <w:rPr>
                <w:rFonts w:eastAsia="Century Gothic" w:cs="Century Gothic"/>
                <w:b/>
                <w:bCs/>
                <w:color w:val="FFFFFF"/>
                <w:sz w:val="18"/>
                <w:szCs w:val="18"/>
              </w:rPr>
              <w:t xml:space="preserve">2nd review </w:t>
            </w:r>
            <w:r w:rsidRPr="003920C1">
              <w:rPr>
                <w:rFonts w:eastAsia="Century Gothic" w:cs="Century Gothic"/>
                <w:b/>
                <w:bCs/>
                <w:color w:val="FFFFFF"/>
                <w:sz w:val="18"/>
                <w:szCs w:val="18"/>
              </w:rPr>
              <w:br/>
              <w:t xml:space="preserve"> (n = 588)</w:t>
            </w:r>
          </w:p>
        </w:tc>
        <w:tc>
          <w:tcPr>
            <w:tcW w:w="1358" w:type="dxa"/>
            <w:shd w:val="clear" w:color="auto" w:fill="408BCA"/>
            <w:tcMar>
              <w:top w:w="0" w:type="dxa"/>
              <w:left w:w="0" w:type="dxa"/>
              <w:bottom w:w="0" w:type="dxa"/>
              <w:right w:w="0" w:type="dxa"/>
            </w:tcMar>
            <w:vAlign w:val="center"/>
          </w:tcPr>
          <w:p w14:paraId="093969E7" w14:textId="77777777" w:rsidR="00740A14" w:rsidRPr="003920C1" w:rsidRDefault="00740A14" w:rsidP="003920C1">
            <w:pPr>
              <w:spacing w:after="0"/>
              <w:jc w:val="center"/>
              <w:rPr>
                <w:rFonts w:eastAsia="Century Gothic" w:cs="Century Gothic"/>
                <w:b/>
                <w:bCs/>
                <w:color w:val="FFFFFF"/>
                <w:sz w:val="18"/>
                <w:szCs w:val="18"/>
              </w:rPr>
            </w:pPr>
            <w:r w:rsidRPr="003920C1">
              <w:rPr>
                <w:rFonts w:eastAsia="Century Gothic" w:cs="Century Gothic"/>
                <w:b/>
                <w:bCs/>
                <w:color w:val="FFFFFF"/>
                <w:sz w:val="18"/>
                <w:szCs w:val="18"/>
              </w:rPr>
              <w:t xml:space="preserve">3rd review </w:t>
            </w:r>
            <w:r w:rsidRPr="003920C1">
              <w:rPr>
                <w:rFonts w:eastAsia="Century Gothic" w:cs="Century Gothic"/>
                <w:b/>
                <w:bCs/>
                <w:color w:val="FFFFFF"/>
                <w:sz w:val="18"/>
                <w:szCs w:val="18"/>
              </w:rPr>
              <w:br/>
              <w:t xml:space="preserve"> (n = 402)</w:t>
            </w:r>
          </w:p>
        </w:tc>
        <w:tc>
          <w:tcPr>
            <w:tcW w:w="1358" w:type="dxa"/>
            <w:shd w:val="clear" w:color="auto" w:fill="408BCA"/>
            <w:tcMar>
              <w:top w:w="0" w:type="dxa"/>
              <w:left w:w="0" w:type="dxa"/>
              <w:bottom w:w="0" w:type="dxa"/>
              <w:right w:w="0" w:type="dxa"/>
            </w:tcMar>
            <w:vAlign w:val="center"/>
          </w:tcPr>
          <w:p w14:paraId="7AA07BDC" w14:textId="1A60BA44" w:rsidR="00740A14" w:rsidRPr="003920C1" w:rsidRDefault="004F72AF" w:rsidP="003920C1">
            <w:pPr>
              <w:spacing w:after="0"/>
              <w:jc w:val="center"/>
              <w:rPr>
                <w:rFonts w:eastAsia="Century Gothic" w:cs="Century Gothic"/>
                <w:b/>
                <w:bCs/>
                <w:color w:val="FFFFFF"/>
                <w:sz w:val="18"/>
                <w:szCs w:val="18"/>
              </w:rPr>
            </w:pPr>
            <w:r>
              <w:rPr>
                <w:rFonts w:eastAsia="Century Gothic" w:cs="Century Gothic"/>
                <w:color w:val="FFFFFF"/>
                <w:sz w:val="18"/>
                <w:szCs w:val="18"/>
              </w:rPr>
              <w:t>P†</w:t>
            </w:r>
          </w:p>
        </w:tc>
      </w:tr>
      <w:tr w:rsidR="00740A14" w14:paraId="08DEAD6F" w14:textId="77777777" w:rsidTr="00902DE9">
        <w:trPr>
          <w:cantSplit/>
          <w:jc w:val="center"/>
        </w:trPr>
        <w:tc>
          <w:tcPr>
            <w:tcW w:w="2381" w:type="dxa"/>
            <w:shd w:val="clear" w:color="auto" w:fill="FFFFFF"/>
            <w:tcMar>
              <w:top w:w="0" w:type="dxa"/>
              <w:left w:w="0" w:type="dxa"/>
              <w:bottom w:w="0" w:type="dxa"/>
              <w:right w:w="0" w:type="dxa"/>
            </w:tcMar>
            <w:vAlign w:val="center"/>
          </w:tcPr>
          <w:p w14:paraId="163E4DDB" w14:textId="77777777" w:rsidR="00740A14" w:rsidRPr="00740A14" w:rsidRDefault="00740A14" w:rsidP="00740A14">
            <w:pPr>
              <w:spacing w:after="0"/>
              <w:ind w:left="90" w:right="90"/>
              <w:textAlignment w:val="baseline"/>
              <w:rPr>
                <w:sz w:val="18"/>
                <w:szCs w:val="18"/>
              </w:rPr>
            </w:pPr>
            <w:r w:rsidRPr="00740A14">
              <w:rPr>
                <w:sz w:val="18"/>
                <w:szCs w:val="18"/>
              </w:rPr>
              <w:t>M01 Pharmacist updated reconciled mediation list</w:t>
            </w:r>
          </w:p>
        </w:tc>
        <w:tc>
          <w:tcPr>
            <w:tcW w:w="1358" w:type="dxa"/>
            <w:shd w:val="clear" w:color="auto" w:fill="FFFFFF"/>
            <w:tcMar>
              <w:top w:w="0" w:type="dxa"/>
              <w:left w:w="0" w:type="dxa"/>
              <w:bottom w:w="0" w:type="dxa"/>
              <w:right w:w="0" w:type="dxa"/>
            </w:tcMar>
            <w:vAlign w:val="center"/>
          </w:tcPr>
          <w:p w14:paraId="6F3D8AC5" w14:textId="77777777" w:rsidR="00740A14" w:rsidRPr="00740A14" w:rsidRDefault="00740A14" w:rsidP="00740A14">
            <w:pPr>
              <w:spacing w:after="0"/>
              <w:ind w:left="90" w:right="90"/>
              <w:jc w:val="center"/>
              <w:textAlignment w:val="baseline"/>
              <w:rPr>
                <w:sz w:val="18"/>
                <w:szCs w:val="18"/>
              </w:rPr>
            </w:pPr>
            <w:r w:rsidRPr="00740A14">
              <w:rPr>
                <w:sz w:val="18"/>
                <w:szCs w:val="18"/>
              </w:rPr>
              <w:t>1,457 (95.2%)</w:t>
            </w:r>
          </w:p>
        </w:tc>
        <w:tc>
          <w:tcPr>
            <w:tcW w:w="1358" w:type="dxa"/>
            <w:shd w:val="clear" w:color="auto" w:fill="FFFFFF"/>
            <w:tcMar>
              <w:top w:w="0" w:type="dxa"/>
              <w:left w:w="0" w:type="dxa"/>
              <w:bottom w:w="0" w:type="dxa"/>
              <w:right w:w="0" w:type="dxa"/>
            </w:tcMar>
            <w:vAlign w:val="center"/>
          </w:tcPr>
          <w:p w14:paraId="27019AF5" w14:textId="77777777" w:rsidR="00740A14" w:rsidRPr="00740A14" w:rsidRDefault="00740A14" w:rsidP="00740A14">
            <w:pPr>
              <w:spacing w:after="0"/>
              <w:ind w:left="90" w:right="90"/>
              <w:jc w:val="center"/>
              <w:textAlignment w:val="baseline"/>
              <w:rPr>
                <w:sz w:val="18"/>
                <w:szCs w:val="18"/>
              </w:rPr>
            </w:pPr>
            <w:r w:rsidRPr="00740A14">
              <w:rPr>
                <w:sz w:val="18"/>
                <w:szCs w:val="18"/>
              </w:rPr>
              <w:t>797 (94.3%)</w:t>
            </w:r>
          </w:p>
        </w:tc>
        <w:tc>
          <w:tcPr>
            <w:tcW w:w="1358" w:type="dxa"/>
            <w:shd w:val="clear" w:color="auto" w:fill="FFFFFF"/>
            <w:tcMar>
              <w:top w:w="0" w:type="dxa"/>
              <w:left w:w="0" w:type="dxa"/>
              <w:bottom w:w="0" w:type="dxa"/>
              <w:right w:w="0" w:type="dxa"/>
            </w:tcMar>
            <w:vAlign w:val="center"/>
          </w:tcPr>
          <w:p w14:paraId="03A2785B" w14:textId="77777777" w:rsidR="00740A14" w:rsidRPr="00740A14" w:rsidRDefault="00740A14" w:rsidP="00740A14">
            <w:pPr>
              <w:spacing w:after="0"/>
              <w:ind w:left="90" w:right="90"/>
              <w:jc w:val="center"/>
              <w:textAlignment w:val="baseline"/>
              <w:rPr>
                <w:sz w:val="18"/>
                <w:szCs w:val="18"/>
              </w:rPr>
            </w:pPr>
            <w:r w:rsidRPr="00740A14">
              <w:rPr>
                <w:sz w:val="18"/>
                <w:szCs w:val="18"/>
              </w:rPr>
              <w:t>560 (95.2%)</w:t>
            </w:r>
          </w:p>
        </w:tc>
        <w:tc>
          <w:tcPr>
            <w:tcW w:w="1358" w:type="dxa"/>
            <w:shd w:val="clear" w:color="auto" w:fill="FFFFFF"/>
            <w:tcMar>
              <w:top w:w="0" w:type="dxa"/>
              <w:left w:w="0" w:type="dxa"/>
              <w:bottom w:w="0" w:type="dxa"/>
              <w:right w:w="0" w:type="dxa"/>
            </w:tcMar>
            <w:vAlign w:val="center"/>
          </w:tcPr>
          <w:p w14:paraId="0AEFFC40" w14:textId="77777777" w:rsidR="00740A14" w:rsidRPr="00740A14" w:rsidRDefault="00740A14" w:rsidP="00740A14">
            <w:pPr>
              <w:spacing w:after="0"/>
              <w:ind w:left="90" w:right="90"/>
              <w:jc w:val="center"/>
              <w:textAlignment w:val="baseline"/>
              <w:rPr>
                <w:sz w:val="18"/>
                <w:szCs w:val="18"/>
              </w:rPr>
            </w:pPr>
            <w:r w:rsidRPr="00740A14">
              <w:rPr>
                <w:sz w:val="18"/>
                <w:szCs w:val="18"/>
              </w:rPr>
              <w:t>391 (97.3%)</w:t>
            </w:r>
          </w:p>
        </w:tc>
        <w:tc>
          <w:tcPr>
            <w:tcW w:w="1358" w:type="dxa"/>
            <w:shd w:val="clear" w:color="auto" w:fill="FFFFFF"/>
            <w:tcMar>
              <w:top w:w="0" w:type="dxa"/>
              <w:left w:w="0" w:type="dxa"/>
              <w:bottom w:w="0" w:type="dxa"/>
              <w:right w:w="0" w:type="dxa"/>
            </w:tcMar>
            <w:vAlign w:val="center"/>
          </w:tcPr>
          <w:p w14:paraId="33ACD7C7" w14:textId="77777777" w:rsidR="00740A14" w:rsidRPr="00740A14" w:rsidRDefault="00740A14" w:rsidP="00740A14">
            <w:pPr>
              <w:spacing w:after="0"/>
              <w:ind w:left="90" w:right="90"/>
              <w:jc w:val="center"/>
              <w:textAlignment w:val="baseline"/>
              <w:rPr>
                <w:sz w:val="18"/>
                <w:szCs w:val="18"/>
              </w:rPr>
            </w:pPr>
            <w:r w:rsidRPr="00740A14">
              <w:rPr>
                <w:sz w:val="18"/>
                <w:szCs w:val="18"/>
              </w:rPr>
              <w:t>0.557</w:t>
            </w:r>
          </w:p>
        </w:tc>
      </w:tr>
      <w:tr w:rsidR="00740A14" w14:paraId="44A95092" w14:textId="77777777" w:rsidTr="00902DE9">
        <w:trPr>
          <w:cantSplit/>
          <w:jc w:val="center"/>
        </w:trPr>
        <w:tc>
          <w:tcPr>
            <w:tcW w:w="2381" w:type="dxa"/>
            <w:shd w:val="clear" w:color="auto" w:fill="FFFFFF"/>
            <w:tcMar>
              <w:top w:w="0" w:type="dxa"/>
              <w:left w:w="0" w:type="dxa"/>
              <w:bottom w:w="0" w:type="dxa"/>
              <w:right w:w="0" w:type="dxa"/>
            </w:tcMar>
            <w:vAlign w:val="center"/>
          </w:tcPr>
          <w:p w14:paraId="61B04161" w14:textId="77777777" w:rsidR="00740A14" w:rsidRPr="00740A14" w:rsidRDefault="00740A14" w:rsidP="00740A14">
            <w:pPr>
              <w:spacing w:after="0"/>
              <w:ind w:left="90" w:right="90"/>
              <w:textAlignment w:val="baseline"/>
              <w:rPr>
                <w:sz w:val="18"/>
                <w:szCs w:val="18"/>
              </w:rPr>
            </w:pPr>
            <w:r w:rsidRPr="00740A14">
              <w:rPr>
                <w:sz w:val="18"/>
                <w:szCs w:val="18"/>
              </w:rPr>
              <w:t>M02 Pharmacist provided patient with medicine education</w:t>
            </w:r>
          </w:p>
        </w:tc>
        <w:tc>
          <w:tcPr>
            <w:tcW w:w="1358" w:type="dxa"/>
            <w:shd w:val="clear" w:color="auto" w:fill="FFFFFF"/>
            <w:tcMar>
              <w:top w:w="0" w:type="dxa"/>
              <w:left w:w="0" w:type="dxa"/>
              <w:bottom w:w="0" w:type="dxa"/>
              <w:right w:w="0" w:type="dxa"/>
            </w:tcMar>
            <w:vAlign w:val="center"/>
          </w:tcPr>
          <w:p w14:paraId="41C92012" w14:textId="77777777" w:rsidR="00740A14" w:rsidRPr="00740A14" w:rsidRDefault="00740A14" w:rsidP="00740A14">
            <w:pPr>
              <w:spacing w:after="0"/>
              <w:ind w:left="90" w:right="90"/>
              <w:jc w:val="center"/>
              <w:textAlignment w:val="baseline"/>
              <w:rPr>
                <w:sz w:val="18"/>
                <w:szCs w:val="18"/>
              </w:rPr>
            </w:pPr>
            <w:r w:rsidRPr="00740A14">
              <w:rPr>
                <w:sz w:val="18"/>
                <w:szCs w:val="18"/>
              </w:rPr>
              <w:t>1,197 (78.2%)</w:t>
            </w:r>
          </w:p>
        </w:tc>
        <w:tc>
          <w:tcPr>
            <w:tcW w:w="1358" w:type="dxa"/>
            <w:shd w:val="clear" w:color="auto" w:fill="FFFFFF"/>
            <w:tcMar>
              <w:top w:w="0" w:type="dxa"/>
              <w:left w:w="0" w:type="dxa"/>
              <w:bottom w:w="0" w:type="dxa"/>
              <w:right w:w="0" w:type="dxa"/>
            </w:tcMar>
            <w:vAlign w:val="center"/>
          </w:tcPr>
          <w:p w14:paraId="5BE039B7" w14:textId="77777777" w:rsidR="00740A14" w:rsidRPr="00740A14" w:rsidRDefault="00740A14" w:rsidP="00740A14">
            <w:pPr>
              <w:spacing w:after="0"/>
              <w:ind w:left="90" w:right="90"/>
              <w:jc w:val="center"/>
              <w:textAlignment w:val="baseline"/>
              <w:rPr>
                <w:sz w:val="18"/>
                <w:szCs w:val="18"/>
              </w:rPr>
            </w:pPr>
            <w:r w:rsidRPr="00740A14">
              <w:rPr>
                <w:sz w:val="18"/>
                <w:szCs w:val="18"/>
              </w:rPr>
              <w:t>519 (61.4%)</w:t>
            </w:r>
          </w:p>
        </w:tc>
        <w:tc>
          <w:tcPr>
            <w:tcW w:w="1358" w:type="dxa"/>
            <w:shd w:val="clear" w:color="auto" w:fill="FFFFFF"/>
            <w:tcMar>
              <w:top w:w="0" w:type="dxa"/>
              <w:left w:w="0" w:type="dxa"/>
              <w:bottom w:w="0" w:type="dxa"/>
              <w:right w:w="0" w:type="dxa"/>
            </w:tcMar>
            <w:vAlign w:val="center"/>
          </w:tcPr>
          <w:p w14:paraId="4412FFE4" w14:textId="77777777" w:rsidR="00740A14" w:rsidRPr="00740A14" w:rsidRDefault="00740A14" w:rsidP="00740A14">
            <w:pPr>
              <w:spacing w:after="0"/>
              <w:ind w:left="90" w:right="90"/>
              <w:jc w:val="center"/>
              <w:textAlignment w:val="baseline"/>
              <w:rPr>
                <w:sz w:val="18"/>
                <w:szCs w:val="18"/>
              </w:rPr>
            </w:pPr>
            <w:r w:rsidRPr="00740A14">
              <w:rPr>
                <w:sz w:val="18"/>
                <w:szCs w:val="18"/>
              </w:rPr>
              <w:t>385 (65.5%)</w:t>
            </w:r>
          </w:p>
        </w:tc>
        <w:tc>
          <w:tcPr>
            <w:tcW w:w="1358" w:type="dxa"/>
            <w:shd w:val="clear" w:color="auto" w:fill="FFFFFF"/>
            <w:tcMar>
              <w:top w:w="0" w:type="dxa"/>
              <w:left w:w="0" w:type="dxa"/>
              <w:bottom w:w="0" w:type="dxa"/>
              <w:right w:w="0" w:type="dxa"/>
            </w:tcMar>
            <w:vAlign w:val="center"/>
          </w:tcPr>
          <w:p w14:paraId="27EFA293" w14:textId="77777777" w:rsidR="00740A14" w:rsidRPr="00740A14" w:rsidRDefault="00740A14" w:rsidP="00740A14">
            <w:pPr>
              <w:spacing w:after="0"/>
              <w:ind w:left="90" w:right="90"/>
              <w:jc w:val="center"/>
              <w:textAlignment w:val="baseline"/>
              <w:rPr>
                <w:sz w:val="18"/>
                <w:szCs w:val="18"/>
              </w:rPr>
            </w:pPr>
            <w:r w:rsidRPr="00740A14">
              <w:rPr>
                <w:sz w:val="18"/>
                <w:szCs w:val="18"/>
              </w:rPr>
              <w:t>288 (71.6%)</w:t>
            </w:r>
          </w:p>
        </w:tc>
        <w:tc>
          <w:tcPr>
            <w:tcW w:w="1358" w:type="dxa"/>
            <w:shd w:val="clear" w:color="auto" w:fill="FFFFFF"/>
            <w:tcMar>
              <w:top w:w="0" w:type="dxa"/>
              <w:left w:w="0" w:type="dxa"/>
              <w:bottom w:w="0" w:type="dxa"/>
              <w:right w:w="0" w:type="dxa"/>
            </w:tcMar>
            <w:vAlign w:val="center"/>
          </w:tcPr>
          <w:p w14:paraId="2F3CA597" w14:textId="77777777" w:rsidR="00740A14" w:rsidRPr="00740A14" w:rsidRDefault="00740A14" w:rsidP="00740A14">
            <w:pPr>
              <w:spacing w:after="0"/>
              <w:ind w:left="90" w:right="90"/>
              <w:jc w:val="center"/>
              <w:textAlignment w:val="baseline"/>
              <w:rPr>
                <w:sz w:val="18"/>
                <w:szCs w:val="18"/>
              </w:rPr>
            </w:pPr>
            <w:r w:rsidRPr="00740A14">
              <w:rPr>
                <w:sz w:val="18"/>
                <w:szCs w:val="18"/>
              </w:rPr>
              <w:t>&lt;0.001</w:t>
            </w:r>
          </w:p>
        </w:tc>
      </w:tr>
      <w:tr w:rsidR="00740A14" w14:paraId="6930B49A" w14:textId="77777777" w:rsidTr="00902DE9">
        <w:trPr>
          <w:cantSplit/>
          <w:jc w:val="center"/>
        </w:trPr>
        <w:tc>
          <w:tcPr>
            <w:tcW w:w="2381" w:type="dxa"/>
            <w:shd w:val="clear" w:color="auto" w:fill="FFFFFF"/>
            <w:tcMar>
              <w:top w:w="0" w:type="dxa"/>
              <w:left w:w="0" w:type="dxa"/>
              <w:bottom w:w="0" w:type="dxa"/>
              <w:right w:w="0" w:type="dxa"/>
            </w:tcMar>
            <w:vAlign w:val="center"/>
          </w:tcPr>
          <w:p w14:paraId="2E84CC27" w14:textId="77777777" w:rsidR="00740A14" w:rsidRPr="00740A14" w:rsidRDefault="00740A14" w:rsidP="00740A14">
            <w:pPr>
              <w:spacing w:after="0"/>
              <w:ind w:left="90" w:right="90"/>
              <w:textAlignment w:val="baseline"/>
              <w:rPr>
                <w:sz w:val="18"/>
                <w:szCs w:val="18"/>
              </w:rPr>
            </w:pPr>
            <w:r w:rsidRPr="00740A14">
              <w:rPr>
                <w:sz w:val="18"/>
                <w:szCs w:val="18"/>
              </w:rPr>
              <w:t>M03 Pharmacist provided patient with disease-state information</w:t>
            </w:r>
          </w:p>
        </w:tc>
        <w:tc>
          <w:tcPr>
            <w:tcW w:w="1358" w:type="dxa"/>
            <w:shd w:val="clear" w:color="auto" w:fill="FFFFFF"/>
            <w:tcMar>
              <w:top w:w="0" w:type="dxa"/>
              <w:left w:w="0" w:type="dxa"/>
              <w:bottom w:w="0" w:type="dxa"/>
              <w:right w:w="0" w:type="dxa"/>
            </w:tcMar>
            <w:vAlign w:val="center"/>
          </w:tcPr>
          <w:p w14:paraId="3798C936" w14:textId="77777777" w:rsidR="00740A14" w:rsidRPr="00740A14" w:rsidRDefault="00740A14" w:rsidP="00740A14">
            <w:pPr>
              <w:spacing w:after="0"/>
              <w:ind w:left="90" w:right="90"/>
              <w:jc w:val="center"/>
              <w:textAlignment w:val="baseline"/>
              <w:rPr>
                <w:sz w:val="18"/>
                <w:szCs w:val="18"/>
              </w:rPr>
            </w:pPr>
            <w:r w:rsidRPr="00740A14">
              <w:rPr>
                <w:sz w:val="18"/>
                <w:szCs w:val="18"/>
              </w:rPr>
              <w:t>955 (62.4%)</w:t>
            </w:r>
          </w:p>
        </w:tc>
        <w:tc>
          <w:tcPr>
            <w:tcW w:w="1358" w:type="dxa"/>
            <w:shd w:val="clear" w:color="auto" w:fill="FFFFFF"/>
            <w:tcMar>
              <w:top w:w="0" w:type="dxa"/>
              <w:left w:w="0" w:type="dxa"/>
              <w:bottom w:w="0" w:type="dxa"/>
              <w:right w:w="0" w:type="dxa"/>
            </w:tcMar>
            <w:vAlign w:val="center"/>
          </w:tcPr>
          <w:p w14:paraId="7B6BFCAC" w14:textId="77777777" w:rsidR="00740A14" w:rsidRPr="00740A14" w:rsidRDefault="00740A14" w:rsidP="00740A14">
            <w:pPr>
              <w:spacing w:after="0"/>
              <w:ind w:left="90" w:right="90"/>
              <w:jc w:val="center"/>
              <w:textAlignment w:val="baseline"/>
              <w:rPr>
                <w:sz w:val="18"/>
                <w:szCs w:val="18"/>
              </w:rPr>
            </w:pPr>
            <w:r w:rsidRPr="00740A14">
              <w:rPr>
                <w:sz w:val="18"/>
                <w:szCs w:val="18"/>
              </w:rPr>
              <w:t>442 (52.3%)</w:t>
            </w:r>
          </w:p>
        </w:tc>
        <w:tc>
          <w:tcPr>
            <w:tcW w:w="1358" w:type="dxa"/>
            <w:shd w:val="clear" w:color="auto" w:fill="FFFFFF"/>
            <w:tcMar>
              <w:top w:w="0" w:type="dxa"/>
              <w:left w:w="0" w:type="dxa"/>
              <w:bottom w:w="0" w:type="dxa"/>
              <w:right w:w="0" w:type="dxa"/>
            </w:tcMar>
            <w:vAlign w:val="center"/>
          </w:tcPr>
          <w:p w14:paraId="78C94D70" w14:textId="77777777" w:rsidR="00740A14" w:rsidRPr="00740A14" w:rsidRDefault="00740A14" w:rsidP="00740A14">
            <w:pPr>
              <w:spacing w:after="0"/>
              <w:ind w:left="90" w:right="90"/>
              <w:jc w:val="center"/>
              <w:textAlignment w:val="baseline"/>
              <w:rPr>
                <w:sz w:val="18"/>
                <w:szCs w:val="18"/>
              </w:rPr>
            </w:pPr>
            <w:r w:rsidRPr="00740A14">
              <w:rPr>
                <w:sz w:val="18"/>
                <w:szCs w:val="18"/>
              </w:rPr>
              <w:t>333 (56.6%)</w:t>
            </w:r>
          </w:p>
        </w:tc>
        <w:tc>
          <w:tcPr>
            <w:tcW w:w="1358" w:type="dxa"/>
            <w:shd w:val="clear" w:color="auto" w:fill="FFFFFF"/>
            <w:tcMar>
              <w:top w:w="0" w:type="dxa"/>
              <w:left w:w="0" w:type="dxa"/>
              <w:bottom w:w="0" w:type="dxa"/>
              <w:right w:w="0" w:type="dxa"/>
            </w:tcMar>
            <w:vAlign w:val="center"/>
          </w:tcPr>
          <w:p w14:paraId="5DACC4BC" w14:textId="77777777" w:rsidR="00740A14" w:rsidRPr="00740A14" w:rsidRDefault="00740A14" w:rsidP="00740A14">
            <w:pPr>
              <w:spacing w:after="0"/>
              <w:ind w:left="90" w:right="90"/>
              <w:jc w:val="center"/>
              <w:textAlignment w:val="baseline"/>
              <w:rPr>
                <w:sz w:val="18"/>
                <w:szCs w:val="18"/>
              </w:rPr>
            </w:pPr>
            <w:r w:rsidRPr="00740A14">
              <w:rPr>
                <w:sz w:val="18"/>
                <w:szCs w:val="18"/>
              </w:rPr>
              <w:t>273 (67.9%)</w:t>
            </w:r>
          </w:p>
        </w:tc>
        <w:tc>
          <w:tcPr>
            <w:tcW w:w="1358" w:type="dxa"/>
            <w:shd w:val="clear" w:color="auto" w:fill="FFFFFF"/>
            <w:tcMar>
              <w:top w:w="0" w:type="dxa"/>
              <w:left w:w="0" w:type="dxa"/>
              <w:bottom w:w="0" w:type="dxa"/>
              <w:right w:w="0" w:type="dxa"/>
            </w:tcMar>
            <w:vAlign w:val="center"/>
          </w:tcPr>
          <w:p w14:paraId="480454A9" w14:textId="77777777" w:rsidR="00740A14" w:rsidRPr="00740A14" w:rsidRDefault="00740A14" w:rsidP="00740A14">
            <w:pPr>
              <w:spacing w:after="0"/>
              <w:ind w:left="90" w:right="90"/>
              <w:jc w:val="center"/>
              <w:textAlignment w:val="baseline"/>
              <w:rPr>
                <w:sz w:val="18"/>
                <w:szCs w:val="18"/>
              </w:rPr>
            </w:pPr>
            <w:r w:rsidRPr="00740A14">
              <w:rPr>
                <w:sz w:val="18"/>
                <w:szCs w:val="18"/>
              </w:rPr>
              <w:t>0.015</w:t>
            </w:r>
          </w:p>
        </w:tc>
      </w:tr>
      <w:tr w:rsidR="00740A14" w14:paraId="6D61A104" w14:textId="77777777" w:rsidTr="00902DE9">
        <w:trPr>
          <w:cantSplit/>
          <w:jc w:val="center"/>
        </w:trPr>
        <w:tc>
          <w:tcPr>
            <w:tcW w:w="2381" w:type="dxa"/>
            <w:shd w:val="clear" w:color="auto" w:fill="FFFFFF"/>
            <w:tcMar>
              <w:top w:w="0" w:type="dxa"/>
              <w:left w:w="0" w:type="dxa"/>
              <w:bottom w:w="0" w:type="dxa"/>
              <w:right w:w="0" w:type="dxa"/>
            </w:tcMar>
            <w:vAlign w:val="center"/>
          </w:tcPr>
          <w:p w14:paraId="0C8D76A7" w14:textId="77777777" w:rsidR="00740A14" w:rsidRPr="00740A14" w:rsidRDefault="00740A14" w:rsidP="00740A14">
            <w:pPr>
              <w:spacing w:after="0"/>
              <w:ind w:left="90" w:right="90"/>
              <w:textAlignment w:val="baseline"/>
              <w:rPr>
                <w:sz w:val="18"/>
                <w:szCs w:val="18"/>
              </w:rPr>
            </w:pPr>
            <w:r w:rsidRPr="00740A14">
              <w:rPr>
                <w:sz w:val="18"/>
                <w:szCs w:val="18"/>
              </w:rPr>
              <w:t>M04 HCH/GP advised of issues identified through other communication</w:t>
            </w:r>
          </w:p>
        </w:tc>
        <w:tc>
          <w:tcPr>
            <w:tcW w:w="1358" w:type="dxa"/>
            <w:shd w:val="clear" w:color="auto" w:fill="FFFFFF"/>
            <w:tcMar>
              <w:top w:w="0" w:type="dxa"/>
              <w:left w:w="0" w:type="dxa"/>
              <w:bottom w:w="0" w:type="dxa"/>
              <w:right w:w="0" w:type="dxa"/>
            </w:tcMar>
            <w:vAlign w:val="center"/>
          </w:tcPr>
          <w:p w14:paraId="2A0D9E11" w14:textId="77777777" w:rsidR="00740A14" w:rsidRPr="00740A14" w:rsidRDefault="00740A14" w:rsidP="00740A14">
            <w:pPr>
              <w:spacing w:after="0"/>
              <w:ind w:left="90" w:right="90"/>
              <w:jc w:val="center"/>
              <w:textAlignment w:val="baseline"/>
              <w:rPr>
                <w:sz w:val="18"/>
                <w:szCs w:val="18"/>
              </w:rPr>
            </w:pPr>
            <w:r w:rsidRPr="00740A14">
              <w:rPr>
                <w:sz w:val="18"/>
                <w:szCs w:val="18"/>
              </w:rPr>
              <w:t>439 (28.7%)</w:t>
            </w:r>
          </w:p>
        </w:tc>
        <w:tc>
          <w:tcPr>
            <w:tcW w:w="1358" w:type="dxa"/>
            <w:shd w:val="clear" w:color="auto" w:fill="FFFFFF"/>
            <w:tcMar>
              <w:top w:w="0" w:type="dxa"/>
              <w:left w:w="0" w:type="dxa"/>
              <w:bottom w:w="0" w:type="dxa"/>
              <w:right w:w="0" w:type="dxa"/>
            </w:tcMar>
            <w:vAlign w:val="center"/>
          </w:tcPr>
          <w:p w14:paraId="6775AAE5" w14:textId="77777777" w:rsidR="00740A14" w:rsidRPr="00740A14" w:rsidRDefault="00740A14" w:rsidP="00740A14">
            <w:pPr>
              <w:spacing w:after="0"/>
              <w:ind w:left="90" w:right="90"/>
              <w:jc w:val="center"/>
              <w:textAlignment w:val="baseline"/>
              <w:rPr>
                <w:sz w:val="18"/>
                <w:szCs w:val="18"/>
              </w:rPr>
            </w:pPr>
            <w:r w:rsidRPr="00740A14">
              <w:rPr>
                <w:sz w:val="18"/>
                <w:szCs w:val="18"/>
              </w:rPr>
              <w:t>128 (15.1%)</w:t>
            </w:r>
          </w:p>
        </w:tc>
        <w:tc>
          <w:tcPr>
            <w:tcW w:w="1358" w:type="dxa"/>
            <w:shd w:val="clear" w:color="auto" w:fill="FFFFFF"/>
            <w:tcMar>
              <w:top w:w="0" w:type="dxa"/>
              <w:left w:w="0" w:type="dxa"/>
              <w:bottom w:w="0" w:type="dxa"/>
              <w:right w:w="0" w:type="dxa"/>
            </w:tcMar>
            <w:vAlign w:val="center"/>
          </w:tcPr>
          <w:p w14:paraId="282A004A" w14:textId="77777777" w:rsidR="00740A14" w:rsidRPr="00740A14" w:rsidRDefault="00740A14" w:rsidP="00740A14">
            <w:pPr>
              <w:spacing w:after="0"/>
              <w:ind w:left="90" w:right="90"/>
              <w:jc w:val="center"/>
              <w:textAlignment w:val="baseline"/>
              <w:rPr>
                <w:sz w:val="18"/>
                <w:szCs w:val="18"/>
              </w:rPr>
            </w:pPr>
            <w:r w:rsidRPr="00740A14">
              <w:rPr>
                <w:sz w:val="18"/>
                <w:szCs w:val="18"/>
              </w:rPr>
              <w:t>87 (14.8%)</w:t>
            </w:r>
          </w:p>
        </w:tc>
        <w:tc>
          <w:tcPr>
            <w:tcW w:w="1358" w:type="dxa"/>
            <w:shd w:val="clear" w:color="auto" w:fill="FFFFFF"/>
            <w:tcMar>
              <w:top w:w="0" w:type="dxa"/>
              <w:left w:w="0" w:type="dxa"/>
              <w:bottom w:w="0" w:type="dxa"/>
              <w:right w:w="0" w:type="dxa"/>
            </w:tcMar>
            <w:vAlign w:val="center"/>
          </w:tcPr>
          <w:p w14:paraId="6E59DC57" w14:textId="77777777" w:rsidR="00740A14" w:rsidRPr="00740A14" w:rsidRDefault="00740A14" w:rsidP="00740A14">
            <w:pPr>
              <w:spacing w:after="0"/>
              <w:ind w:left="90" w:right="90"/>
              <w:jc w:val="center"/>
              <w:textAlignment w:val="baseline"/>
              <w:rPr>
                <w:sz w:val="18"/>
                <w:szCs w:val="18"/>
              </w:rPr>
            </w:pPr>
            <w:r w:rsidRPr="00740A14">
              <w:rPr>
                <w:sz w:val="18"/>
                <w:szCs w:val="18"/>
              </w:rPr>
              <w:t>70 (17.4%)</w:t>
            </w:r>
          </w:p>
        </w:tc>
        <w:tc>
          <w:tcPr>
            <w:tcW w:w="1358" w:type="dxa"/>
            <w:shd w:val="clear" w:color="auto" w:fill="FFFFFF"/>
            <w:tcMar>
              <w:top w:w="0" w:type="dxa"/>
              <w:left w:w="0" w:type="dxa"/>
              <w:bottom w:w="0" w:type="dxa"/>
              <w:right w:w="0" w:type="dxa"/>
            </w:tcMar>
            <w:vAlign w:val="center"/>
          </w:tcPr>
          <w:p w14:paraId="0866DE0F" w14:textId="77777777" w:rsidR="00740A14" w:rsidRPr="00740A14" w:rsidRDefault="00740A14" w:rsidP="00740A14">
            <w:pPr>
              <w:spacing w:after="0"/>
              <w:ind w:left="90" w:right="90"/>
              <w:jc w:val="center"/>
              <w:textAlignment w:val="baseline"/>
              <w:rPr>
                <w:sz w:val="18"/>
                <w:szCs w:val="18"/>
              </w:rPr>
            </w:pPr>
            <w:r w:rsidRPr="00740A14">
              <w:rPr>
                <w:sz w:val="18"/>
                <w:szCs w:val="18"/>
              </w:rPr>
              <w:t>&lt;0.001</w:t>
            </w:r>
          </w:p>
        </w:tc>
      </w:tr>
      <w:tr w:rsidR="00740A14" w14:paraId="180C556F" w14:textId="77777777" w:rsidTr="00902DE9">
        <w:trPr>
          <w:cantSplit/>
          <w:jc w:val="center"/>
        </w:trPr>
        <w:tc>
          <w:tcPr>
            <w:tcW w:w="2381" w:type="dxa"/>
            <w:shd w:val="clear" w:color="auto" w:fill="FFFFFF"/>
            <w:tcMar>
              <w:top w:w="0" w:type="dxa"/>
              <w:left w:w="0" w:type="dxa"/>
              <w:bottom w:w="0" w:type="dxa"/>
              <w:right w:w="0" w:type="dxa"/>
            </w:tcMar>
            <w:vAlign w:val="center"/>
          </w:tcPr>
          <w:p w14:paraId="556AFFCD" w14:textId="04201EA1" w:rsidR="00740A14" w:rsidRPr="00740A14" w:rsidRDefault="00740A14" w:rsidP="00740A14">
            <w:pPr>
              <w:spacing w:after="0"/>
              <w:ind w:left="90" w:right="90"/>
              <w:textAlignment w:val="baseline"/>
              <w:rPr>
                <w:sz w:val="18"/>
                <w:szCs w:val="18"/>
              </w:rPr>
            </w:pPr>
            <w:r w:rsidRPr="00740A14">
              <w:rPr>
                <w:sz w:val="18"/>
                <w:szCs w:val="18"/>
              </w:rPr>
              <w:t>M05 Pharmacist used technology-assisted follow-up reminders (</w:t>
            </w:r>
            <w:r w:rsidR="0010747B">
              <w:rPr>
                <w:sz w:val="18"/>
                <w:szCs w:val="18"/>
              </w:rPr>
              <w:t>for example,</w:t>
            </w:r>
            <w:r w:rsidRPr="00740A14">
              <w:rPr>
                <w:sz w:val="18"/>
                <w:szCs w:val="18"/>
              </w:rPr>
              <w:t xml:space="preserve"> text messages, email messages)</w:t>
            </w:r>
          </w:p>
        </w:tc>
        <w:tc>
          <w:tcPr>
            <w:tcW w:w="1358" w:type="dxa"/>
            <w:shd w:val="clear" w:color="auto" w:fill="FFFFFF"/>
            <w:tcMar>
              <w:top w:w="0" w:type="dxa"/>
              <w:left w:w="0" w:type="dxa"/>
              <w:bottom w:w="0" w:type="dxa"/>
              <w:right w:w="0" w:type="dxa"/>
            </w:tcMar>
            <w:vAlign w:val="center"/>
          </w:tcPr>
          <w:p w14:paraId="04E4444D" w14:textId="77777777" w:rsidR="00740A14" w:rsidRPr="00740A14" w:rsidRDefault="00740A14" w:rsidP="00740A14">
            <w:pPr>
              <w:spacing w:after="0"/>
              <w:ind w:left="90" w:right="90"/>
              <w:jc w:val="center"/>
              <w:textAlignment w:val="baseline"/>
              <w:rPr>
                <w:sz w:val="18"/>
                <w:szCs w:val="18"/>
              </w:rPr>
            </w:pPr>
            <w:r w:rsidRPr="00740A14">
              <w:rPr>
                <w:sz w:val="18"/>
                <w:szCs w:val="18"/>
              </w:rPr>
              <w:t>232 (15.2%)</w:t>
            </w:r>
          </w:p>
        </w:tc>
        <w:tc>
          <w:tcPr>
            <w:tcW w:w="1358" w:type="dxa"/>
            <w:shd w:val="clear" w:color="auto" w:fill="FFFFFF"/>
            <w:tcMar>
              <w:top w:w="0" w:type="dxa"/>
              <w:left w:w="0" w:type="dxa"/>
              <w:bottom w:w="0" w:type="dxa"/>
              <w:right w:w="0" w:type="dxa"/>
            </w:tcMar>
            <w:vAlign w:val="center"/>
          </w:tcPr>
          <w:p w14:paraId="441CF5DF" w14:textId="77777777" w:rsidR="00740A14" w:rsidRPr="00740A14" w:rsidRDefault="00740A14" w:rsidP="00740A14">
            <w:pPr>
              <w:spacing w:after="0"/>
              <w:ind w:left="90" w:right="90"/>
              <w:jc w:val="center"/>
              <w:textAlignment w:val="baseline"/>
              <w:rPr>
                <w:sz w:val="18"/>
                <w:szCs w:val="18"/>
              </w:rPr>
            </w:pPr>
            <w:r w:rsidRPr="00740A14">
              <w:rPr>
                <w:sz w:val="18"/>
                <w:szCs w:val="18"/>
              </w:rPr>
              <w:t>113 (13.4%)</w:t>
            </w:r>
          </w:p>
        </w:tc>
        <w:tc>
          <w:tcPr>
            <w:tcW w:w="1358" w:type="dxa"/>
            <w:shd w:val="clear" w:color="auto" w:fill="FFFFFF"/>
            <w:tcMar>
              <w:top w:w="0" w:type="dxa"/>
              <w:left w:w="0" w:type="dxa"/>
              <w:bottom w:w="0" w:type="dxa"/>
              <w:right w:w="0" w:type="dxa"/>
            </w:tcMar>
            <w:vAlign w:val="center"/>
          </w:tcPr>
          <w:p w14:paraId="261132D2" w14:textId="77777777" w:rsidR="00740A14" w:rsidRPr="00740A14" w:rsidRDefault="00740A14" w:rsidP="00740A14">
            <w:pPr>
              <w:spacing w:after="0"/>
              <w:ind w:left="90" w:right="90"/>
              <w:jc w:val="center"/>
              <w:textAlignment w:val="baseline"/>
              <w:rPr>
                <w:sz w:val="18"/>
                <w:szCs w:val="18"/>
              </w:rPr>
            </w:pPr>
            <w:r w:rsidRPr="00740A14">
              <w:rPr>
                <w:sz w:val="18"/>
                <w:szCs w:val="18"/>
              </w:rPr>
              <w:t>98 (16.7%)</w:t>
            </w:r>
          </w:p>
        </w:tc>
        <w:tc>
          <w:tcPr>
            <w:tcW w:w="1358" w:type="dxa"/>
            <w:shd w:val="clear" w:color="auto" w:fill="FFFFFF"/>
            <w:tcMar>
              <w:top w:w="0" w:type="dxa"/>
              <w:left w:w="0" w:type="dxa"/>
              <w:bottom w:w="0" w:type="dxa"/>
              <w:right w:w="0" w:type="dxa"/>
            </w:tcMar>
            <w:vAlign w:val="center"/>
          </w:tcPr>
          <w:p w14:paraId="7CD76EB6" w14:textId="77777777" w:rsidR="00740A14" w:rsidRPr="00740A14" w:rsidRDefault="00740A14" w:rsidP="00740A14">
            <w:pPr>
              <w:spacing w:after="0"/>
              <w:ind w:left="90" w:right="90"/>
              <w:jc w:val="center"/>
              <w:textAlignment w:val="baseline"/>
              <w:rPr>
                <w:sz w:val="18"/>
                <w:szCs w:val="18"/>
              </w:rPr>
            </w:pPr>
            <w:r w:rsidRPr="00740A14">
              <w:rPr>
                <w:sz w:val="18"/>
                <w:szCs w:val="18"/>
              </w:rPr>
              <w:t>73 (18.2%)</w:t>
            </w:r>
          </w:p>
        </w:tc>
        <w:tc>
          <w:tcPr>
            <w:tcW w:w="1358" w:type="dxa"/>
            <w:shd w:val="clear" w:color="auto" w:fill="FFFFFF"/>
            <w:tcMar>
              <w:top w:w="0" w:type="dxa"/>
              <w:left w:w="0" w:type="dxa"/>
              <w:bottom w:w="0" w:type="dxa"/>
              <w:right w:w="0" w:type="dxa"/>
            </w:tcMar>
            <w:vAlign w:val="center"/>
          </w:tcPr>
          <w:p w14:paraId="6FBF46CF" w14:textId="77777777" w:rsidR="00740A14" w:rsidRPr="00740A14" w:rsidRDefault="00740A14" w:rsidP="00740A14">
            <w:pPr>
              <w:spacing w:after="0"/>
              <w:ind w:left="90" w:right="90"/>
              <w:jc w:val="center"/>
              <w:textAlignment w:val="baseline"/>
              <w:rPr>
                <w:sz w:val="18"/>
                <w:szCs w:val="18"/>
              </w:rPr>
            </w:pPr>
            <w:r w:rsidRPr="00740A14">
              <w:rPr>
                <w:sz w:val="18"/>
                <w:szCs w:val="18"/>
              </w:rPr>
              <w:t>0.658</w:t>
            </w:r>
          </w:p>
        </w:tc>
      </w:tr>
      <w:tr w:rsidR="00740A14" w14:paraId="0FA8FCC5" w14:textId="77777777" w:rsidTr="00902DE9">
        <w:trPr>
          <w:cantSplit/>
          <w:jc w:val="center"/>
        </w:trPr>
        <w:tc>
          <w:tcPr>
            <w:tcW w:w="2381" w:type="dxa"/>
            <w:shd w:val="clear" w:color="auto" w:fill="FFFFFF"/>
            <w:tcMar>
              <w:top w:w="0" w:type="dxa"/>
              <w:left w:w="0" w:type="dxa"/>
              <w:bottom w:w="0" w:type="dxa"/>
              <w:right w:w="0" w:type="dxa"/>
            </w:tcMar>
            <w:vAlign w:val="center"/>
          </w:tcPr>
          <w:p w14:paraId="2C363BE6" w14:textId="77777777" w:rsidR="00740A14" w:rsidRPr="00740A14" w:rsidRDefault="00740A14" w:rsidP="00740A14">
            <w:pPr>
              <w:spacing w:after="0"/>
              <w:ind w:left="90" w:right="90"/>
              <w:textAlignment w:val="baseline"/>
              <w:rPr>
                <w:sz w:val="18"/>
                <w:szCs w:val="18"/>
              </w:rPr>
            </w:pPr>
            <w:r w:rsidRPr="00740A14">
              <w:rPr>
                <w:sz w:val="18"/>
                <w:szCs w:val="18"/>
              </w:rPr>
              <w:t>M06 Health Care Home/GP verbally consulted about patient</w:t>
            </w:r>
          </w:p>
        </w:tc>
        <w:tc>
          <w:tcPr>
            <w:tcW w:w="1358" w:type="dxa"/>
            <w:shd w:val="clear" w:color="auto" w:fill="FFFFFF"/>
            <w:tcMar>
              <w:top w:w="0" w:type="dxa"/>
              <w:left w:w="0" w:type="dxa"/>
              <w:bottom w:w="0" w:type="dxa"/>
              <w:right w:w="0" w:type="dxa"/>
            </w:tcMar>
            <w:vAlign w:val="center"/>
          </w:tcPr>
          <w:p w14:paraId="37A49F5A" w14:textId="77777777" w:rsidR="00740A14" w:rsidRPr="00740A14" w:rsidRDefault="00740A14" w:rsidP="00740A14">
            <w:pPr>
              <w:spacing w:after="0"/>
              <w:ind w:left="90" w:right="90"/>
              <w:jc w:val="center"/>
              <w:textAlignment w:val="baseline"/>
              <w:rPr>
                <w:sz w:val="18"/>
                <w:szCs w:val="18"/>
              </w:rPr>
            </w:pPr>
            <w:r w:rsidRPr="00740A14">
              <w:rPr>
                <w:sz w:val="18"/>
                <w:szCs w:val="18"/>
              </w:rPr>
              <w:t>336 (21.9%)</w:t>
            </w:r>
          </w:p>
        </w:tc>
        <w:tc>
          <w:tcPr>
            <w:tcW w:w="1358" w:type="dxa"/>
            <w:shd w:val="clear" w:color="auto" w:fill="FFFFFF"/>
            <w:tcMar>
              <w:top w:w="0" w:type="dxa"/>
              <w:left w:w="0" w:type="dxa"/>
              <w:bottom w:w="0" w:type="dxa"/>
              <w:right w:w="0" w:type="dxa"/>
            </w:tcMar>
            <w:vAlign w:val="center"/>
          </w:tcPr>
          <w:p w14:paraId="41820D65" w14:textId="77777777" w:rsidR="00740A14" w:rsidRPr="00740A14" w:rsidRDefault="00740A14" w:rsidP="00740A14">
            <w:pPr>
              <w:spacing w:after="0"/>
              <w:ind w:left="90" w:right="90"/>
              <w:jc w:val="center"/>
              <w:textAlignment w:val="baseline"/>
              <w:rPr>
                <w:sz w:val="18"/>
                <w:szCs w:val="18"/>
              </w:rPr>
            </w:pPr>
            <w:r w:rsidRPr="00740A14">
              <w:rPr>
                <w:sz w:val="18"/>
                <w:szCs w:val="18"/>
              </w:rPr>
              <w:t>49 (5.8%)</w:t>
            </w:r>
          </w:p>
        </w:tc>
        <w:tc>
          <w:tcPr>
            <w:tcW w:w="1358" w:type="dxa"/>
            <w:shd w:val="clear" w:color="auto" w:fill="FFFFFF"/>
            <w:tcMar>
              <w:top w:w="0" w:type="dxa"/>
              <w:left w:w="0" w:type="dxa"/>
              <w:bottom w:w="0" w:type="dxa"/>
              <w:right w:w="0" w:type="dxa"/>
            </w:tcMar>
            <w:vAlign w:val="center"/>
          </w:tcPr>
          <w:p w14:paraId="3548C365" w14:textId="77777777" w:rsidR="00740A14" w:rsidRPr="00740A14" w:rsidRDefault="00740A14" w:rsidP="00740A14">
            <w:pPr>
              <w:spacing w:after="0"/>
              <w:ind w:left="90" w:right="90"/>
              <w:jc w:val="center"/>
              <w:textAlignment w:val="baseline"/>
              <w:rPr>
                <w:sz w:val="18"/>
                <w:szCs w:val="18"/>
              </w:rPr>
            </w:pPr>
            <w:r w:rsidRPr="00740A14">
              <w:rPr>
                <w:sz w:val="18"/>
                <w:szCs w:val="18"/>
              </w:rPr>
              <w:t>27 (4.6%)</w:t>
            </w:r>
          </w:p>
        </w:tc>
        <w:tc>
          <w:tcPr>
            <w:tcW w:w="1358" w:type="dxa"/>
            <w:shd w:val="clear" w:color="auto" w:fill="FFFFFF"/>
            <w:tcMar>
              <w:top w:w="0" w:type="dxa"/>
              <w:left w:w="0" w:type="dxa"/>
              <w:bottom w:w="0" w:type="dxa"/>
              <w:right w:w="0" w:type="dxa"/>
            </w:tcMar>
            <w:vAlign w:val="center"/>
          </w:tcPr>
          <w:p w14:paraId="437CBC27" w14:textId="77777777" w:rsidR="00740A14" w:rsidRPr="00740A14" w:rsidRDefault="00740A14" w:rsidP="00740A14">
            <w:pPr>
              <w:spacing w:after="0"/>
              <w:ind w:left="90" w:right="90"/>
              <w:jc w:val="center"/>
              <w:textAlignment w:val="baseline"/>
              <w:rPr>
                <w:sz w:val="18"/>
                <w:szCs w:val="18"/>
              </w:rPr>
            </w:pPr>
            <w:r w:rsidRPr="00740A14">
              <w:rPr>
                <w:sz w:val="18"/>
                <w:szCs w:val="18"/>
              </w:rPr>
              <w:t>13 (3.2%)</w:t>
            </w:r>
          </w:p>
        </w:tc>
        <w:tc>
          <w:tcPr>
            <w:tcW w:w="1358" w:type="dxa"/>
            <w:shd w:val="clear" w:color="auto" w:fill="FFFFFF"/>
            <w:tcMar>
              <w:top w:w="0" w:type="dxa"/>
              <w:left w:w="0" w:type="dxa"/>
              <w:bottom w:w="0" w:type="dxa"/>
              <w:right w:w="0" w:type="dxa"/>
            </w:tcMar>
            <w:vAlign w:val="center"/>
          </w:tcPr>
          <w:p w14:paraId="234B026E" w14:textId="77777777" w:rsidR="00740A14" w:rsidRPr="00740A14" w:rsidRDefault="00740A14" w:rsidP="00740A14">
            <w:pPr>
              <w:spacing w:after="0"/>
              <w:ind w:left="90" w:right="90"/>
              <w:jc w:val="center"/>
              <w:textAlignment w:val="baseline"/>
              <w:rPr>
                <w:sz w:val="18"/>
                <w:szCs w:val="18"/>
              </w:rPr>
            </w:pPr>
            <w:r w:rsidRPr="00740A14">
              <w:rPr>
                <w:sz w:val="18"/>
                <w:szCs w:val="18"/>
              </w:rPr>
              <w:t>&lt;0.001</w:t>
            </w:r>
          </w:p>
        </w:tc>
      </w:tr>
      <w:tr w:rsidR="00740A14" w14:paraId="10A129D5" w14:textId="77777777" w:rsidTr="00902DE9">
        <w:trPr>
          <w:cantSplit/>
          <w:jc w:val="center"/>
        </w:trPr>
        <w:tc>
          <w:tcPr>
            <w:tcW w:w="2381" w:type="dxa"/>
            <w:shd w:val="clear" w:color="auto" w:fill="FFFFFF"/>
            <w:tcMar>
              <w:top w:w="0" w:type="dxa"/>
              <w:left w:w="0" w:type="dxa"/>
              <w:bottom w:w="0" w:type="dxa"/>
              <w:right w:w="0" w:type="dxa"/>
            </w:tcMar>
            <w:vAlign w:val="center"/>
          </w:tcPr>
          <w:p w14:paraId="60F5DDFE" w14:textId="14937D85" w:rsidR="00740A14" w:rsidRPr="00740A14" w:rsidRDefault="00740A14" w:rsidP="00740A14">
            <w:pPr>
              <w:spacing w:after="0"/>
              <w:ind w:left="90" w:right="90"/>
              <w:textAlignment w:val="baseline"/>
              <w:rPr>
                <w:sz w:val="18"/>
                <w:szCs w:val="18"/>
              </w:rPr>
            </w:pPr>
            <w:r w:rsidRPr="00740A14">
              <w:rPr>
                <w:sz w:val="18"/>
                <w:szCs w:val="18"/>
              </w:rPr>
              <w:t>M07 Pharmacist suggested patient referred to other health provider (</w:t>
            </w:r>
            <w:r w:rsidR="002554A1" w:rsidRPr="00740A14">
              <w:rPr>
                <w:sz w:val="18"/>
                <w:szCs w:val="18"/>
              </w:rPr>
              <w:t>e.g.</w:t>
            </w:r>
            <w:r w:rsidRPr="00740A14">
              <w:rPr>
                <w:sz w:val="18"/>
                <w:szCs w:val="18"/>
              </w:rPr>
              <w:t xml:space="preserve"> allied health)</w:t>
            </w:r>
          </w:p>
        </w:tc>
        <w:tc>
          <w:tcPr>
            <w:tcW w:w="1358" w:type="dxa"/>
            <w:shd w:val="clear" w:color="auto" w:fill="FFFFFF"/>
            <w:tcMar>
              <w:top w:w="0" w:type="dxa"/>
              <w:left w:w="0" w:type="dxa"/>
              <w:bottom w:w="0" w:type="dxa"/>
              <w:right w:w="0" w:type="dxa"/>
            </w:tcMar>
            <w:vAlign w:val="center"/>
          </w:tcPr>
          <w:p w14:paraId="53523D9A" w14:textId="77777777" w:rsidR="00740A14" w:rsidRPr="00740A14" w:rsidRDefault="00740A14" w:rsidP="00740A14">
            <w:pPr>
              <w:spacing w:after="0"/>
              <w:ind w:left="90" w:right="90"/>
              <w:jc w:val="center"/>
              <w:textAlignment w:val="baseline"/>
              <w:rPr>
                <w:sz w:val="18"/>
                <w:szCs w:val="18"/>
              </w:rPr>
            </w:pPr>
            <w:r w:rsidRPr="00740A14">
              <w:rPr>
                <w:sz w:val="18"/>
                <w:szCs w:val="18"/>
              </w:rPr>
              <w:t>158 (10.3%)</w:t>
            </w:r>
          </w:p>
        </w:tc>
        <w:tc>
          <w:tcPr>
            <w:tcW w:w="1358" w:type="dxa"/>
            <w:shd w:val="clear" w:color="auto" w:fill="FFFFFF"/>
            <w:tcMar>
              <w:top w:w="0" w:type="dxa"/>
              <w:left w:w="0" w:type="dxa"/>
              <w:bottom w:w="0" w:type="dxa"/>
              <w:right w:w="0" w:type="dxa"/>
            </w:tcMar>
            <w:vAlign w:val="center"/>
          </w:tcPr>
          <w:p w14:paraId="15121F1B" w14:textId="77777777" w:rsidR="00740A14" w:rsidRPr="00740A14" w:rsidRDefault="00740A14" w:rsidP="00740A14">
            <w:pPr>
              <w:spacing w:after="0"/>
              <w:ind w:left="90" w:right="90"/>
              <w:jc w:val="center"/>
              <w:textAlignment w:val="baseline"/>
              <w:rPr>
                <w:sz w:val="18"/>
                <w:szCs w:val="18"/>
              </w:rPr>
            </w:pPr>
            <w:r w:rsidRPr="00740A14">
              <w:rPr>
                <w:sz w:val="18"/>
                <w:szCs w:val="18"/>
              </w:rPr>
              <w:t>64 (7.6%)</w:t>
            </w:r>
          </w:p>
        </w:tc>
        <w:tc>
          <w:tcPr>
            <w:tcW w:w="1358" w:type="dxa"/>
            <w:shd w:val="clear" w:color="auto" w:fill="FFFFFF"/>
            <w:tcMar>
              <w:top w:w="0" w:type="dxa"/>
              <w:left w:w="0" w:type="dxa"/>
              <w:bottom w:w="0" w:type="dxa"/>
              <w:right w:w="0" w:type="dxa"/>
            </w:tcMar>
            <w:vAlign w:val="center"/>
          </w:tcPr>
          <w:p w14:paraId="73400055" w14:textId="77777777" w:rsidR="00740A14" w:rsidRPr="00740A14" w:rsidRDefault="00740A14" w:rsidP="00740A14">
            <w:pPr>
              <w:spacing w:after="0"/>
              <w:ind w:left="90" w:right="90"/>
              <w:jc w:val="center"/>
              <w:textAlignment w:val="baseline"/>
              <w:rPr>
                <w:sz w:val="18"/>
                <w:szCs w:val="18"/>
              </w:rPr>
            </w:pPr>
            <w:r w:rsidRPr="00740A14">
              <w:rPr>
                <w:sz w:val="18"/>
                <w:szCs w:val="18"/>
              </w:rPr>
              <w:t>62 (10.5%)</w:t>
            </w:r>
          </w:p>
        </w:tc>
        <w:tc>
          <w:tcPr>
            <w:tcW w:w="1358" w:type="dxa"/>
            <w:shd w:val="clear" w:color="auto" w:fill="FFFFFF"/>
            <w:tcMar>
              <w:top w:w="0" w:type="dxa"/>
              <w:left w:w="0" w:type="dxa"/>
              <w:bottom w:w="0" w:type="dxa"/>
              <w:right w:w="0" w:type="dxa"/>
            </w:tcMar>
            <w:vAlign w:val="center"/>
          </w:tcPr>
          <w:p w14:paraId="7959BF8D" w14:textId="77777777" w:rsidR="00740A14" w:rsidRPr="00740A14" w:rsidRDefault="00740A14" w:rsidP="00740A14">
            <w:pPr>
              <w:spacing w:after="0"/>
              <w:ind w:left="90" w:right="90"/>
              <w:jc w:val="center"/>
              <w:textAlignment w:val="baseline"/>
              <w:rPr>
                <w:sz w:val="18"/>
                <w:szCs w:val="18"/>
              </w:rPr>
            </w:pPr>
            <w:r w:rsidRPr="00740A14">
              <w:rPr>
                <w:sz w:val="18"/>
                <w:szCs w:val="18"/>
              </w:rPr>
              <w:t>66 (16.4%)</w:t>
            </w:r>
          </w:p>
        </w:tc>
        <w:tc>
          <w:tcPr>
            <w:tcW w:w="1358" w:type="dxa"/>
            <w:shd w:val="clear" w:color="auto" w:fill="FFFFFF"/>
            <w:tcMar>
              <w:top w:w="0" w:type="dxa"/>
              <w:left w:w="0" w:type="dxa"/>
              <w:bottom w:w="0" w:type="dxa"/>
              <w:right w:w="0" w:type="dxa"/>
            </w:tcMar>
            <w:vAlign w:val="center"/>
          </w:tcPr>
          <w:p w14:paraId="03167C09" w14:textId="77777777" w:rsidR="00740A14" w:rsidRPr="00740A14" w:rsidRDefault="00740A14" w:rsidP="00740A14">
            <w:pPr>
              <w:spacing w:after="0"/>
              <w:ind w:left="90" w:right="90"/>
              <w:jc w:val="center"/>
              <w:textAlignment w:val="baseline"/>
              <w:rPr>
                <w:sz w:val="18"/>
                <w:szCs w:val="18"/>
              </w:rPr>
            </w:pPr>
            <w:r w:rsidRPr="00740A14">
              <w:rPr>
                <w:sz w:val="18"/>
                <w:szCs w:val="18"/>
              </w:rPr>
              <w:t>0.039</w:t>
            </w:r>
          </w:p>
        </w:tc>
      </w:tr>
      <w:tr w:rsidR="00740A14" w14:paraId="10E264D2" w14:textId="77777777" w:rsidTr="00902DE9">
        <w:trPr>
          <w:cantSplit/>
          <w:jc w:val="center"/>
        </w:trPr>
        <w:tc>
          <w:tcPr>
            <w:tcW w:w="2381" w:type="dxa"/>
            <w:shd w:val="clear" w:color="auto" w:fill="FFFFFF"/>
            <w:tcMar>
              <w:top w:w="0" w:type="dxa"/>
              <w:left w:w="0" w:type="dxa"/>
              <w:bottom w:w="0" w:type="dxa"/>
              <w:right w:w="0" w:type="dxa"/>
            </w:tcMar>
            <w:vAlign w:val="center"/>
          </w:tcPr>
          <w:p w14:paraId="11CE8B94" w14:textId="77777777" w:rsidR="00740A14" w:rsidRPr="00740A14" w:rsidRDefault="00740A14" w:rsidP="00740A14">
            <w:pPr>
              <w:spacing w:after="0"/>
              <w:ind w:left="90" w:right="90"/>
              <w:textAlignment w:val="baseline"/>
              <w:rPr>
                <w:sz w:val="18"/>
                <w:szCs w:val="18"/>
              </w:rPr>
            </w:pPr>
            <w:r w:rsidRPr="00740A14">
              <w:rPr>
                <w:sz w:val="18"/>
                <w:szCs w:val="18"/>
              </w:rPr>
              <w:t>M08 Pharmacist participated in HCH team care meetings</w:t>
            </w:r>
          </w:p>
        </w:tc>
        <w:tc>
          <w:tcPr>
            <w:tcW w:w="1358" w:type="dxa"/>
            <w:shd w:val="clear" w:color="auto" w:fill="FFFFFF"/>
            <w:tcMar>
              <w:top w:w="0" w:type="dxa"/>
              <w:left w:w="0" w:type="dxa"/>
              <w:bottom w:w="0" w:type="dxa"/>
              <w:right w:w="0" w:type="dxa"/>
            </w:tcMar>
            <w:vAlign w:val="center"/>
          </w:tcPr>
          <w:p w14:paraId="3BCD63EA" w14:textId="77777777" w:rsidR="00740A14" w:rsidRPr="00740A14" w:rsidRDefault="00740A14" w:rsidP="00740A14">
            <w:pPr>
              <w:spacing w:after="0"/>
              <w:ind w:left="90" w:right="90"/>
              <w:jc w:val="center"/>
              <w:textAlignment w:val="baseline"/>
              <w:rPr>
                <w:sz w:val="18"/>
                <w:szCs w:val="18"/>
              </w:rPr>
            </w:pPr>
            <w:r w:rsidRPr="00740A14">
              <w:rPr>
                <w:sz w:val="18"/>
                <w:szCs w:val="18"/>
              </w:rPr>
              <w:t>58 (3.8%)</w:t>
            </w:r>
          </w:p>
        </w:tc>
        <w:tc>
          <w:tcPr>
            <w:tcW w:w="1358" w:type="dxa"/>
            <w:shd w:val="clear" w:color="auto" w:fill="FFFFFF"/>
            <w:tcMar>
              <w:top w:w="0" w:type="dxa"/>
              <w:left w:w="0" w:type="dxa"/>
              <w:bottom w:w="0" w:type="dxa"/>
              <w:right w:w="0" w:type="dxa"/>
            </w:tcMar>
            <w:vAlign w:val="center"/>
          </w:tcPr>
          <w:p w14:paraId="517ED5DC" w14:textId="77777777" w:rsidR="00740A14" w:rsidRPr="00740A14" w:rsidRDefault="00740A14" w:rsidP="00740A14">
            <w:pPr>
              <w:spacing w:after="0"/>
              <w:ind w:left="90" w:right="90"/>
              <w:jc w:val="center"/>
              <w:textAlignment w:val="baseline"/>
              <w:rPr>
                <w:sz w:val="18"/>
                <w:szCs w:val="18"/>
              </w:rPr>
            </w:pPr>
            <w:r w:rsidRPr="00740A14">
              <w:rPr>
                <w:sz w:val="18"/>
                <w:szCs w:val="18"/>
              </w:rPr>
              <w:t>9 (1.1%)</w:t>
            </w:r>
          </w:p>
        </w:tc>
        <w:tc>
          <w:tcPr>
            <w:tcW w:w="1358" w:type="dxa"/>
            <w:shd w:val="clear" w:color="auto" w:fill="FFFFFF"/>
            <w:tcMar>
              <w:top w:w="0" w:type="dxa"/>
              <w:left w:w="0" w:type="dxa"/>
              <w:bottom w:w="0" w:type="dxa"/>
              <w:right w:w="0" w:type="dxa"/>
            </w:tcMar>
            <w:vAlign w:val="center"/>
          </w:tcPr>
          <w:p w14:paraId="09DF2833" w14:textId="77777777" w:rsidR="00740A14" w:rsidRPr="00740A14" w:rsidRDefault="00740A14" w:rsidP="00740A14">
            <w:pPr>
              <w:spacing w:after="0"/>
              <w:ind w:left="90" w:right="90"/>
              <w:jc w:val="center"/>
              <w:textAlignment w:val="baseline"/>
              <w:rPr>
                <w:sz w:val="18"/>
                <w:szCs w:val="18"/>
              </w:rPr>
            </w:pPr>
            <w:r w:rsidRPr="00740A14">
              <w:rPr>
                <w:sz w:val="18"/>
                <w:szCs w:val="18"/>
              </w:rPr>
              <w:t>6 (1.0%)</w:t>
            </w:r>
          </w:p>
        </w:tc>
        <w:tc>
          <w:tcPr>
            <w:tcW w:w="1358" w:type="dxa"/>
            <w:shd w:val="clear" w:color="auto" w:fill="FFFFFF"/>
            <w:tcMar>
              <w:top w:w="0" w:type="dxa"/>
              <w:left w:w="0" w:type="dxa"/>
              <w:bottom w:w="0" w:type="dxa"/>
              <w:right w:w="0" w:type="dxa"/>
            </w:tcMar>
            <w:vAlign w:val="center"/>
          </w:tcPr>
          <w:p w14:paraId="5115E6BF" w14:textId="77777777" w:rsidR="00740A14" w:rsidRPr="00740A14" w:rsidRDefault="00740A14" w:rsidP="00740A14">
            <w:pPr>
              <w:spacing w:after="0"/>
              <w:ind w:left="90" w:right="90"/>
              <w:jc w:val="center"/>
              <w:textAlignment w:val="baseline"/>
              <w:rPr>
                <w:sz w:val="18"/>
                <w:szCs w:val="18"/>
              </w:rPr>
            </w:pPr>
            <w:r w:rsidRPr="00740A14">
              <w:rPr>
                <w:sz w:val="18"/>
                <w:szCs w:val="18"/>
              </w:rPr>
              <w:t>2 (0.5%)</w:t>
            </w:r>
          </w:p>
        </w:tc>
        <w:tc>
          <w:tcPr>
            <w:tcW w:w="1358" w:type="dxa"/>
            <w:shd w:val="clear" w:color="auto" w:fill="FFFFFF"/>
            <w:tcMar>
              <w:top w:w="0" w:type="dxa"/>
              <w:left w:w="0" w:type="dxa"/>
              <w:bottom w:w="0" w:type="dxa"/>
              <w:right w:w="0" w:type="dxa"/>
            </w:tcMar>
            <w:vAlign w:val="center"/>
          </w:tcPr>
          <w:p w14:paraId="50420C65" w14:textId="77777777" w:rsidR="00740A14" w:rsidRPr="00740A14" w:rsidRDefault="00740A14" w:rsidP="00740A14">
            <w:pPr>
              <w:spacing w:after="0"/>
              <w:ind w:left="90" w:right="90"/>
              <w:jc w:val="center"/>
              <w:textAlignment w:val="baseline"/>
              <w:rPr>
                <w:sz w:val="18"/>
                <w:szCs w:val="18"/>
              </w:rPr>
            </w:pPr>
            <w:r w:rsidRPr="00740A14">
              <w:rPr>
                <w:sz w:val="18"/>
                <w:szCs w:val="18"/>
              </w:rPr>
              <w:t>&lt;0.001</w:t>
            </w:r>
          </w:p>
        </w:tc>
      </w:tr>
      <w:tr w:rsidR="00740A14" w14:paraId="262499D8" w14:textId="77777777" w:rsidTr="00902DE9">
        <w:trPr>
          <w:cantSplit/>
          <w:jc w:val="center"/>
        </w:trPr>
        <w:tc>
          <w:tcPr>
            <w:tcW w:w="2381" w:type="dxa"/>
            <w:shd w:val="clear" w:color="auto" w:fill="FFFFFF"/>
            <w:tcMar>
              <w:top w:w="0" w:type="dxa"/>
              <w:left w:w="0" w:type="dxa"/>
              <w:bottom w:w="0" w:type="dxa"/>
              <w:right w:w="0" w:type="dxa"/>
            </w:tcMar>
            <w:vAlign w:val="center"/>
          </w:tcPr>
          <w:p w14:paraId="584295DE" w14:textId="77777777" w:rsidR="00740A14" w:rsidRPr="00740A14" w:rsidRDefault="00740A14" w:rsidP="00740A14">
            <w:pPr>
              <w:spacing w:after="0"/>
              <w:ind w:left="90" w:right="90"/>
              <w:textAlignment w:val="baseline"/>
              <w:rPr>
                <w:sz w:val="18"/>
                <w:szCs w:val="18"/>
              </w:rPr>
            </w:pPr>
            <w:r w:rsidRPr="00740A14">
              <w:rPr>
                <w:sz w:val="18"/>
                <w:szCs w:val="18"/>
              </w:rPr>
              <w:t>M09 Pharmacist referred patient for an additional medication management service</w:t>
            </w:r>
          </w:p>
        </w:tc>
        <w:tc>
          <w:tcPr>
            <w:tcW w:w="1358" w:type="dxa"/>
            <w:shd w:val="clear" w:color="auto" w:fill="FFFFFF"/>
            <w:tcMar>
              <w:top w:w="0" w:type="dxa"/>
              <w:left w:w="0" w:type="dxa"/>
              <w:bottom w:w="0" w:type="dxa"/>
              <w:right w:w="0" w:type="dxa"/>
            </w:tcMar>
            <w:vAlign w:val="center"/>
          </w:tcPr>
          <w:p w14:paraId="0D7C4DBA" w14:textId="77777777" w:rsidR="00740A14" w:rsidRPr="00740A14" w:rsidRDefault="00740A14" w:rsidP="00740A14">
            <w:pPr>
              <w:spacing w:after="0"/>
              <w:ind w:left="90" w:right="90"/>
              <w:jc w:val="center"/>
              <w:textAlignment w:val="baseline"/>
              <w:rPr>
                <w:sz w:val="18"/>
                <w:szCs w:val="18"/>
              </w:rPr>
            </w:pPr>
            <w:r w:rsidRPr="00740A14">
              <w:rPr>
                <w:sz w:val="18"/>
                <w:szCs w:val="18"/>
              </w:rPr>
              <w:t>87 (5.7%)</w:t>
            </w:r>
          </w:p>
        </w:tc>
        <w:tc>
          <w:tcPr>
            <w:tcW w:w="1358" w:type="dxa"/>
            <w:shd w:val="clear" w:color="auto" w:fill="FFFFFF"/>
            <w:tcMar>
              <w:top w:w="0" w:type="dxa"/>
              <w:left w:w="0" w:type="dxa"/>
              <w:bottom w:w="0" w:type="dxa"/>
              <w:right w:w="0" w:type="dxa"/>
            </w:tcMar>
            <w:vAlign w:val="center"/>
          </w:tcPr>
          <w:p w14:paraId="74BE9782" w14:textId="77777777" w:rsidR="00740A14" w:rsidRPr="00740A14" w:rsidRDefault="00740A14" w:rsidP="00740A14">
            <w:pPr>
              <w:spacing w:after="0"/>
              <w:ind w:left="90" w:right="90"/>
              <w:jc w:val="center"/>
              <w:textAlignment w:val="baseline"/>
              <w:rPr>
                <w:sz w:val="18"/>
                <w:szCs w:val="18"/>
              </w:rPr>
            </w:pPr>
            <w:r w:rsidRPr="00740A14">
              <w:rPr>
                <w:sz w:val="18"/>
                <w:szCs w:val="18"/>
              </w:rPr>
              <w:t>30 (3.6%)</w:t>
            </w:r>
          </w:p>
        </w:tc>
        <w:tc>
          <w:tcPr>
            <w:tcW w:w="1358" w:type="dxa"/>
            <w:shd w:val="clear" w:color="auto" w:fill="FFFFFF"/>
            <w:tcMar>
              <w:top w:w="0" w:type="dxa"/>
              <w:left w:w="0" w:type="dxa"/>
              <w:bottom w:w="0" w:type="dxa"/>
              <w:right w:w="0" w:type="dxa"/>
            </w:tcMar>
            <w:vAlign w:val="center"/>
          </w:tcPr>
          <w:p w14:paraId="4EC7463E" w14:textId="77777777" w:rsidR="00740A14" w:rsidRPr="00740A14" w:rsidRDefault="00740A14" w:rsidP="00740A14">
            <w:pPr>
              <w:spacing w:after="0"/>
              <w:ind w:left="90" w:right="90"/>
              <w:jc w:val="center"/>
              <w:textAlignment w:val="baseline"/>
              <w:rPr>
                <w:sz w:val="18"/>
                <w:szCs w:val="18"/>
              </w:rPr>
            </w:pPr>
            <w:r w:rsidRPr="00740A14">
              <w:rPr>
                <w:sz w:val="18"/>
                <w:szCs w:val="18"/>
              </w:rPr>
              <w:t>25 (4.3%)</w:t>
            </w:r>
          </w:p>
        </w:tc>
        <w:tc>
          <w:tcPr>
            <w:tcW w:w="1358" w:type="dxa"/>
            <w:shd w:val="clear" w:color="auto" w:fill="FFFFFF"/>
            <w:tcMar>
              <w:top w:w="0" w:type="dxa"/>
              <w:left w:w="0" w:type="dxa"/>
              <w:bottom w:w="0" w:type="dxa"/>
              <w:right w:w="0" w:type="dxa"/>
            </w:tcMar>
            <w:vAlign w:val="center"/>
          </w:tcPr>
          <w:p w14:paraId="4DDEA7A4" w14:textId="77777777" w:rsidR="00740A14" w:rsidRPr="00740A14" w:rsidRDefault="00740A14" w:rsidP="00740A14">
            <w:pPr>
              <w:spacing w:after="0"/>
              <w:ind w:left="90" w:right="90"/>
              <w:jc w:val="center"/>
              <w:textAlignment w:val="baseline"/>
              <w:rPr>
                <w:sz w:val="18"/>
                <w:szCs w:val="18"/>
              </w:rPr>
            </w:pPr>
            <w:r w:rsidRPr="00740A14">
              <w:rPr>
                <w:sz w:val="18"/>
                <w:szCs w:val="18"/>
              </w:rPr>
              <w:t>19 (4.7%)</w:t>
            </w:r>
          </w:p>
        </w:tc>
        <w:tc>
          <w:tcPr>
            <w:tcW w:w="1358" w:type="dxa"/>
            <w:shd w:val="clear" w:color="auto" w:fill="FFFFFF"/>
            <w:tcMar>
              <w:top w:w="0" w:type="dxa"/>
              <w:left w:w="0" w:type="dxa"/>
              <w:bottom w:w="0" w:type="dxa"/>
              <w:right w:w="0" w:type="dxa"/>
            </w:tcMar>
            <w:vAlign w:val="center"/>
          </w:tcPr>
          <w:p w14:paraId="71D226BA" w14:textId="77777777" w:rsidR="00740A14" w:rsidRPr="00740A14" w:rsidRDefault="00740A14" w:rsidP="00740A14">
            <w:pPr>
              <w:spacing w:after="0"/>
              <w:ind w:left="90" w:right="90"/>
              <w:jc w:val="center"/>
              <w:textAlignment w:val="baseline"/>
              <w:rPr>
                <w:sz w:val="18"/>
                <w:szCs w:val="18"/>
              </w:rPr>
            </w:pPr>
            <w:r w:rsidRPr="00740A14">
              <w:rPr>
                <w:sz w:val="18"/>
                <w:szCs w:val="18"/>
              </w:rPr>
              <w:t>0.016</w:t>
            </w:r>
          </w:p>
        </w:tc>
      </w:tr>
    </w:tbl>
    <w:p w14:paraId="3E6A4DCE" w14:textId="3122D51A" w:rsidR="002B2B71" w:rsidRDefault="002B2B71" w:rsidP="002B2B71">
      <w:pPr>
        <w:pStyle w:val="Chartortablefootnote"/>
        <w:spacing w:after="0"/>
        <w:rPr>
          <w:lang w:eastAsia="en-AU"/>
        </w:rPr>
      </w:pPr>
      <w:r>
        <w:t xml:space="preserve">Notes: </w:t>
      </w:r>
      <w:r w:rsidR="004F72AF" w:rsidRPr="008A7ACB">
        <w:t xml:space="preserve">†P value for trend across reviews derived from a </w:t>
      </w:r>
      <w:r w:rsidR="004F72AF">
        <w:t>logistic regression model fitted using generalised estimating equations</w:t>
      </w:r>
      <w:r w:rsidR="006F0798">
        <w:t>.</w:t>
      </w:r>
      <w:r w:rsidRPr="002B2B71">
        <w:rPr>
          <w:lang w:eastAsia="en-AU"/>
        </w:rPr>
        <w:t xml:space="preserve"> </w:t>
      </w:r>
    </w:p>
    <w:p w14:paraId="3F3C08AF" w14:textId="1AFAFB92" w:rsidR="004F72AF" w:rsidRPr="008A7ACB" w:rsidRDefault="002B2B71" w:rsidP="00750232">
      <w:pPr>
        <w:pStyle w:val="Chartortablefootnote"/>
        <w:spacing w:after="0"/>
      </w:pPr>
      <w:r w:rsidRPr="00925C4B">
        <w:rPr>
          <w:lang w:eastAsia="en-AU"/>
        </w:rPr>
        <w:t>Source: Health Outcomes data set provided by the Pharmacy Guild, to 30 June 202</w:t>
      </w:r>
      <w:r>
        <w:rPr>
          <w:lang w:eastAsia="en-AU"/>
        </w:rPr>
        <w:t>1</w:t>
      </w:r>
      <w:r w:rsidRPr="00925C4B">
        <w:rPr>
          <w:lang w:eastAsia="en-AU"/>
        </w:rPr>
        <w:t>. </w:t>
      </w:r>
    </w:p>
    <w:p w14:paraId="24CA8176" w14:textId="77777777" w:rsidR="00552285" w:rsidRDefault="00552285">
      <w:pPr>
        <w:spacing w:after="160" w:line="259" w:lineRule="auto"/>
        <w:rPr>
          <w:rFonts w:ascii="Roboto Slab" w:eastAsia="Times New Roman" w:hAnsi="Roboto Slab" w:cs="Times New Roman"/>
          <w:bCs/>
          <w:color w:val="408BCA"/>
          <w:sz w:val="32"/>
          <w:szCs w:val="36"/>
          <w:lang w:eastAsia="en-AU"/>
        </w:rPr>
      </w:pPr>
      <w:r>
        <w:br w:type="page"/>
      </w:r>
    </w:p>
    <w:p w14:paraId="42E598F4" w14:textId="13A4652F" w:rsidR="00110EA0" w:rsidRPr="00110EA0" w:rsidRDefault="00110EA0" w:rsidP="00110EA0">
      <w:pPr>
        <w:pStyle w:val="Heading2"/>
      </w:pPr>
      <w:bookmarkStart w:id="484" w:name="_Toc109996767"/>
      <w:r w:rsidRPr="00110EA0">
        <w:lastRenderedPageBreak/>
        <w:t>P</w:t>
      </w:r>
      <w:r w:rsidR="00CD6039">
        <w:t>harmacists’ perceptions about p</w:t>
      </w:r>
      <w:r w:rsidRPr="00110EA0">
        <w:t>atient outcomes</w:t>
      </w:r>
      <w:bookmarkEnd w:id="484"/>
    </w:p>
    <w:p w14:paraId="2F6B3D7A" w14:textId="3A9E2D3C" w:rsidR="00110EA0" w:rsidRPr="00F71DF5" w:rsidRDefault="00110EA0" w:rsidP="00110EA0">
      <w:pPr>
        <w:rPr>
          <w:szCs w:val="20"/>
        </w:rPr>
      </w:pPr>
      <w:r w:rsidRPr="00F71DF5">
        <w:rPr>
          <w:szCs w:val="20"/>
        </w:rPr>
        <w:t>The community pharmacists interviewed generally considered that the trial was well received by patients, and in their view, patients’ compliance with</w:t>
      </w:r>
      <w:r>
        <w:rPr>
          <w:szCs w:val="20"/>
        </w:rPr>
        <w:t xml:space="preserve"> and general knowledge of</w:t>
      </w:r>
      <w:r w:rsidRPr="00F71DF5">
        <w:rPr>
          <w:szCs w:val="20"/>
        </w:rPr>
        <w:t xml:space="preserve"> their medications improve</w:t>
      </w:r>
      <w:r w:rsidRPr="0082685D">
        <w:rPr>
          <w:szCs w:val="20"/>
        </w:rPr>
        <w:t>d:</w:t>
      </w:r>
    </w:p>
    <w:p w14:paraId="4022307C" w14:textId="77777777" w:rsidR="00110EA0" w:rsidRPr="00D025D0" w:rsidRDefault="00110EA0" w:rsidP="00FB7D67">
      <w:pPr>
        <w:ind w:left="567" w:right="521"/>
        <w:rPr>
          <w:szCs w:val="20"/>
        </w:rPr>
      </w:pPr>
      <w:r>
        <w:rPr>
          <w:i/>
          <w:iCs/>
          <w:szCs w:val="20"/>
        </w:rPr>
        <w:t>“</w:t>
      </w:r>
      <w:r w:rsidRPr="00C61A77">
        <w:rPr>
          <w:i/>
          <w:iCs/>
          <w:szCs w:val="20"/>
        </w:rPr>
        <w:t>I think, the ones that we started on dosage administration, their compliance obviously improved dramatically, because we deliver the packs to them on a weekly basis</w:t>
      </w:r>
      <w:r>
        <w:rPr>
          <w:i/>
          <w:iCs/>
          <w:szCs w:val="20"/>
        </w:rPr>
        <w:t>…</w:t>
      </w:r>
      <w:r w:rsidRPr="00D025D0">
        <w:rPr>
          <w:i/>
          <w:iCs/>
          <w:szCs w:val="20"/>
        </w:rPr>
        <w:t>I think patients are becoming more aware of their medicines, I think they’re taking a more keener approach, they are more keen compared to before, and they’re more interested in how they control their management plan. So I think they’ve become more knowledgeable and then they know they could get more services under this Health Care Homes program.</w:t>
      </w:r>
      <w:r>
        <w:rPr>
          <w:i/>
          <w:iCs/>
          <w:szCs w:val="20"/>
        </w:rPr>
        <w:t xml:space="preserve">” </w:t>
      </w:r>
      <w:r>
        <w:rPr>
          <w:szCs w:val="20"/>
        </w:rPr>
        <w:t>[CP, Pharmacy 7, R5]</w:t>
      </w:r>
    </w:p>
    <w:p w14:paraId="7AAAE39A" w14:textId="2ECCBD5E" w:rsidR="00110EA0" w:rsidRPr="00F71DF5" w:rsidRDefault="00110EA0" w:rsidP="00FB7D67">
      <w:pPr>
        <w:ind w:left="567" w:right="521"/>
        <w:rPr>
          <w:szCs w:val="20"/>
        </w:rPr>
      </w:pPr>
      <w:r w:rsidRPr="00F71DF5">
        <w:rPr>
          <w:i/>
          <w:iCs/>
          <w:szCs w:val="20"/>
        </w:rPr>
        <w:t xml:space="preserve">“The patients have found it most beneficial. I think of the 11, we have started doing dosage administration for eight of those, which is really good. </w:t>
      </w:r>
      <w:r w:rsidRPr="00EF1C18">
        <w:rPr>
          <w:i/>
          <w:szCs w:val="20"/>
        </w:rPr>
        <w:t xml:space="preserve">Their compliance has increased, their </w:t>
      </w:r>
      <w:proofErr w:type="spellStart"/>
      <w:r w:rsidRPr="00EF1C18">
        <w:rPr>
          <w:i/>
          <w:iCs/>
          <w:szCs w:val="20"/>
        </w:rPr>
        <w:t>Meds</w:t>
      </w:r>
      <w:r w:rsidR="00315BFB" w:rsidRPr="00EF1C18">
        <w:rPr>
          <w:i/>
          <w:iCs/>
          <w:szCs w:val="20"/>
        </w:rPr>
        <w:t>Index</w:t>
      </w:r>
      <w:proofErr w:type="spellEnd"/>
      <w:r w:rsidRPr="00EF1C18">
        <w:rPr>
          <w:i/>
          <w:szCs w:val="20"/>
        </w:rPr>
        <w:t xml:space="preserve"> scores, their average have all increased.</w:t>
      </w:r>
      <w:r w:rsidRPr="00F71DF5">
        <w:rPr>
          <w:i/>
          <w:iCs/>
          <w:szCs w:val="20"/>
        </w:rPr>
        <w:t xml:space="preserve"> I had a quick look at that last night. So, the health care outcomes for the patients have been really remarkable, I would say.”</w:t>
      </w:r>
      <w:r w:rsidRPr="00F71DF5">
        <w:rPr>
          <w:szCs w:val="20"/>
        </w:rPr>
        <w:t xml:space="preserve"> [CP,</w:t>
      </w:r>
      <w:r>
        <w:rPr>
          <w:szCs w:val="20"/>
        </w:rPr>
        <w:t xml:space="preserve"> </w:t>
      </w:r>
      <w:r w:rsidRPr="00F71DF5">
        <w:rPr>
          <w:szCs w:val="20"/>
        </w:rPr>
        <w:t>Pharmacy 3</w:t>
      </w:r>
      <w:r>
        <w:rPr>
          <w:szCs w:val="20"/>
        </w:rPr>
        <w:t>, R4</w:t>
      </w:r>
      <w:r w:rsidRPr="00F71DF5">
        <w:rPr>
          <w:szCs w:val="20"/>
        </w:rPr>
        <w:t>]</w:t>
      </w:r>
    </w:p>
    <w:p w14:paraId="08EA93FE" w14:textId="77777777" w:rsidR="00110EA0" w:rsidRDefault="00110EA0" w:rsidP="00FB7D67">
      <w:pPr>
        <w:ind w:left="567" w:right="521"/>
        <w:rPr>
          <w:szCs w:val="20"/>
        </w:rPr>
      </w:pPr>
      <w:r w:rsidRPr="00F71DF5">
        <w:rPr>
          <w:i/>
          <w:iCs/>
          <w:szCs w:val="20"/>
        </w:rPr>
        <w:t>“Say, for instance, one of the ladies had asthma, and she was still smoking, and so I talked to her about quitting smoking, and I actually got her to quit smoking … Also, there were quite a few people who needed to be reminded to use their puffers the right way, the technique of using them. So, it was quite good that way. And to be using them regularly rather than just when they're sick and that sort of thing. So, there were quite a few incidences where that seemed to be of quite a good benefit.”</w:t>
      </w:r>
      <w:r w:rsidRPr="00F71DF5">
        <w:rPr>
          <w:szCs w:val="20"/>
        </w:rPr>
        <w:t xml:space="preserve"> [CP, Pharmacy 6</w:t>
      </w:r>
      <w:r>
        <w:rPr>
          <w:szCs w:val="20"/>
        </w:rPr>
        <w:t>, R4</w:t>
      </w:r>
      <w:r w:rsidRPr="00F71DF5">
        <w:rPr>
          <w:szCs w:val="20"/>
        </w:rPr>
        <w:t>]</w:t>
      </w:r>
    </w:p>
    <w:p w14:paraId="2A3C334B" w14:textId="1ABB2B50" w:rsidR="00110EA0" w:rsidRDefault="00E84A21" w:rsidP="00110EA0">
      <w:pPr>
        <w:spacing w:after="160" w:line="259" w:lineRule="auto"/>
        <w:ind w:right="522"/>
        <w:rPr>
          <w:szCs w:val="20"/>
        </w:rPr>
      </w:pPr>
      <w:r>
        <w:rPr>
          <w:szCs w:val="20"/>
        </w:rPr>
        <w:t>Some</w:t>
      </w:r>
      <w:r w:rsidR="00110EA0">
        <w:rPr>
          <w:szCs w:val="20"/>
        </w:rPr>
        <w:t xml:space="preserve"> pharmacists </w:t>
      </w:r>
      <w:r>
        <w:rPr>
          <w:szCs w:val="20"/>
        </w:rPr>
        <w:t>repo</w:t>
      </w:r>
      <w:r w:rsidR="00BF0D42">
        <w:rPr>
          <w:szCs w:val="20"/>
        </w:rPr>
        <w:t xml:space="preserve">rted </w:t>
      </w:r>
      <w:r w:rsidR="002F1714">
        <w:rPr>
          <w:szCs w:val="20"/>
        </w:rPr>
        <w:t>impro</w:t>
      </w:r>
      <w:r w:rsidR="00694E9D">
        <w:rPr>
          <w:szCs w:val="20"/>
        </w:rPr>
        <w:t>ved</w:t>
      </w:r>
      <w:r w:rsidR="00110EA0">
        <w:rPr>
          <w:szCs w:val="20"/>
        </w:rPr>
        <w:t xml:space="preserve"> communication</w:t>
      </w:r>
      <w:r w:rsidR="00694E9D">
        <w:rPr>
          <w:szCs w:val="20"/>
        </w:rPr>
        <w:t>s with GPs</w:t>
      </w:r>
      <w:r w:rsidR="00E8585C">
        <w:rPr>
          <w:szCs w:val="20"/>
        </w:rPr>
        <w:t xml:space="preserve"> and other</w:t>
      </w:r>
      <w:r w:rsidR="00694E9D">
        <w:rPr>
          <w:szCs w:val="20"/>
        </w:rPr>
        <w:t xml:space="preserve">, which benefitted their </w:t>
      </w:r>
      <w:r w:rsidR="00E8585C">
        <w:rPr>
          <w:szCs w:val="20"/>
        </w:rPr>
        <w:t>patients</w:t>
      </w:r>
      <w:r w:rsidR="00003069">
        <w:rPr>
          <w:szCs w:val="20"/>
        </w:rPr>
        <w:t>:</w:t>
      </w:r>
    </w:p>
    <w:p w14:paraId="62888AAD" w14:textId="77777777" w:rsidR="00110EA0" w:rsidRDefault="00110EA0" w:rsidP="00FB7D67">
      <w:pPr>
        <w:ind w:left="567" w:right="521"/>
        <w:rPr>
          <w:szCs w:val="20"/>
        </w:rPr>
      </w:pPr>
      <w:r w:rsidRPr="00810A9F">
        <w:rPr>
          <w:i/>
          <w:iCs/>
          <w:szCs w:val="20"/>
        </w:rPr>
        <w:t>“…we converted people from their own packing to our packing to try and make it more formal. To try and link it in with the doctor more.”</w:t>
      </w:r>
      <w:r>
        <w:rPr>
          <w:szCs w:val="20"/>
        </w:rPr>
        <w:t xml:space="preserve"> [CP, Pharmacy 11, R5]</w:t>
      </w:r>
    </w:p>
    <w:p w14:paraId="2B3D0529" w14:textId="0ECE4945" w:rsidR="00110EA0" w:rsidRPr="00E02ED9" w:rsidRDefault="00110EA0" w:rsidP="00FB7D67">
      <w:pPr>
        <w:ind w:left="567" w:right="521"/>
        <w:rPr>
          <w:szCs w:val="20"/>
        </w:rPr>
      </w:pPr>
      <w:r w:rsidRPr="00C85BD8">
        <w:rPr>
          <w:i/>
          <w:iCs/>
          <w:szCs w:val="20"/>
        </w:rPr>
        <w:t xml:space="preserve">“The two that I’m thinking of that have had outcomes but were a couple. They were tier three [patients] and they were the ones that started up on the packs, but they just had a point where they just needed all these supporting services. And through better communication between the pharmacy and the doctor and even the family, we were able to eventually get them the care that they needed, the supporting services and things like that. So, they went from living independently to getting some supporting services from the pharmacy. They were coming and picking up their packs initially but then through a concern of their ability to drive, we spoke to the doctors and the families, and then we eventually started delivering their packs to them. And then eventually they went into supported care services. </w:t>
      </w:r>
      <w:r w:rsidR="00D77432">
        <w:rPr>
          <w:i/>
          <w:iCs/>
          <w:szCs w:val="20"/>
        </w:rPr>
        <w:t xml:space="preserve">I </w:t>
      </w:r>
      <w:r w:rsidRPr="00C85BD8">
        <w:rPr>
          <w:i/>
          <w:iCs/>
          <w:szCs w:val="20"/>
        </w:rPr>
        <w:t xml:space="preserve">think that was all the team working together and just updating each other on what we saw and what we thought would be best for them. I wouldn't say that’s a happy ending, but it’s the biggest outcome that I’ve seen as part of the trial. I had one patient who was seeing her GP who was a Health Care Home trial GP, and then she was seeing a geriatrician who wasn't part of the Health </w:t>
      </w:r>
      <w:r w:rsidRPr="00C85BD8">
        <w:rPr>
          <w:i/>
          <w:iCs/>
          <w:szCs w:val="20"/>
        </w:rPr>
        <w:lastRenderedPageBreak/>
        <w:t>Care Home team. And I picked up through the medication check that she was taking multiple antidepressants, which could have been a bad result for her. So, yes, I went to the doctor and got one of them ceased, and then as a result we were then able to just make sure that the doctor and the geriatrician were communicating better. And just in the pharmacy through some of the recommendations, I’ve had some good results I’ve had with the patients with muscle pain that wasn’t quite being managed as best as it could be with opioids and anti-inflammatories on prescription.”</w:t>
      </w:r>
      <w:r>
        <w:rPr>
          <w:szCs w:val="20"/>
        </w:rPr>
        <w:t xml:space="preserve"> [CP, Pharmac</w:t>
      </w:r>
      <w:r w:rsidR="00915179">
        <w:rPr>
          <w:szCs w:val="20"/>
        </w:rPr>
        <w:t>y</w:t>
      </w:r>
      <w:r>
        <w:rPr>
          <w:szCs w:val="20"/>
        </w:rPr>
        <w:t xml:space="preserve"> 2, R5]</w:t>
      </w:r>
    </w:p>
    <w:p w14:paraId="63D333F4" w14:textId="77777777" w:rsidR="00D02833" w:rsidRPr="00F71DF5" w:rsidRDefault="00D02833" w:rsidP="00D02833">
      <w:pPr>
        <w:rPr>
          <w:szCs w:val="20"/>
        </w:rPr>
      </w:pPr>
      <w:r w:rsidRPr="00F71DF5">
        <w:rPr>
          <w:szCs w:val="20"/>
        </w:rPr>
        <w:t>A few pharmacists reported that it was difficult for some patients to visit the pharmacy for routine care, such as blood pressure checks, due to lack of transport or mobility:</w:t>
      </w:r>
    </w:p>
    <w:p w14:paraId="2AE9CAA7" w14:textId="7AE83564" w:rsidR="00110EA0" w:rsidRDefault="00D02833" w:rsidP="00D02833">
      <w:pPr>
        <w:ind w:left="567" w:right="521"/>
      </w:pPr>
      <w:r w:rsidRPr="00F71DF5">
        <w:rPr>
          <w:i/>
          <w:iCs/>
          <w:szCs w:val="20"/>
        </w:rPr>
        <w:t xml:space="preserve">“But it’s really difficult to get them to follow through. So like with blood pressure checks. You know, can you come into the pharmacy every week? But sometimes it’s a transport issue like </w:t>
      </w:r>
      <w:r w:rsidR="005B2BE3">
        <w:rPr>
          <w:i/>
          <w:iCs/>
          <w:szCs w:val="20"/>
        </w:rPr>
        <w:t xml:space="preserve">[with] </w:t>
      </w:r>
      <w:r w:rsidRPr="00F71DF5">
        <w:rPr>
          <w:i/>
          <w:iCs/>
          <w:szCs w:val="20"/>
        </w:rPr>
        <w:t xml:space="preserve">the elderly. They need someone to come with them. Yes, so you know you put a plan out there. But it may not always be followed through. And then medication list is quite easy to have them involved. You know it’s just making sure that you’ve got the right information and confirming it with them and the doctor. So, yes. I think it’s just those extra services I think which are difficult to follow through with.” </w:t>
      </w:r>
      <w:r w:rsidRPr="00F71DF5">
        <w:rPr>
          <w:szCs w:val="20"/>
        </w:rPr>
        <w:t>[CP, Pharmacy 2</w:t>
      </w:r>
      <w:r>
        <w:rPr>
          <w:szCs w:val="20"/>
        </w:rPr>
        <w:t>, R4</w:t>
      </w:r>
      <w:r w:rsidRPr="00F71DF5">
        <w:rPr>
          <w:szCs w:val="20"/>
        </w:rPr>
        <w:t>]</w:t>
      </w:r>
    </w:p>
    <w:p w14:paraId="49913AA0" w14:textId="0056E9F8" w:rsidR="00F61DA8" w:rsidRDefault="00531C78" w:rsidP="004F72AF">
      <w:pPr>
        <w:autoSpaceDE w:val="0"/>
        <w:autoSpaceDN w:val="0"/>
        <w:adjustRightInd w:val="0"/>
        <w:spacing w:after="0"/>
        <w:rPr>
          <w:szCs w:val="20"/>
        </w:rPr>
      </w:pPr>
      <w:r w:rsidRPr="00531C78">
        <w:rPr>
          <w:szCs w:val="20"/>
        </w:rPr>
        <w:t>Pharmacists were asked for their observation of the patients’ achievement on the patients</w:t>
      </w:r>
      <w:r>
        <w:rPr>
          <w:szCs w:val="20"/>
        </w:rPr>
        <w:t>’</w:t>
      </w:r>
      <w:r w:rsidRPr="00531C78">
        <w:rPr>
          <w:szCs w:val="20"/>
        </w:rPr>
        <w:t xml:space="preserve"> agreed goals since their last review.</w:t>
      </w:r>
      <w:r w:rsidR="00A561EE">
        <w:rPr>
          <w:szCs w:val="20"/>
        </w:rPr>
        <w:t xml:space="preserve"> </w:t>
      </w:r>
      <w:r w:rsidRPr="00531C78">
        <w:rPr>
          <w:szCs w:val="20"/>
        </w:rPr>
        <w:t>Approximately 60% of patients were considered to have had partial or significant improvement for medication adherence</w:t>
      </w:r>
      <w:r w:rsidR="000506D1">
        <w:rPr>
          <w:szCs w:val="20"/>
        </w:rPr>
        <w:t xml:space="preserve"> (</w:t>
      </w:r>
      <w:r w:rsidR="000506D1" w:rsidRPr="000506D1">
        <w:rPr>
          <w:rFonts w:eastAsia="Calibri" w:cs="Times New Roman"/>
          <w:color w:val="1D2455"/>
          <w:szCs w:val="16"/>
        </w:rPr>
        <w:fldChar w:fldCharType="begin"/>
      </w:r>
      <w:r w:rsidR="000506D1" w:rsidRPr="000506D1">
        <w:rPr>
          <w:rFonts w:eastAsia="Calibri" w:cs="Times New Roman"/>
          <w:color w:val="1D2455"/>
          <w:szCs w:val="16"/>
        </w:rPr>
        <w:instrText xml:space="preserve"> REF _Ref102057982 \h </w:instrText>
      </w:r>
      <w:r w:rsidR="000506D1">
        <w:rPr>
          <w:rFonts w:eastAsia="Calibri" w:cs="Times New Roman"/>
          <w:color w:val="1D2455"/>
          <w:szCs w:val="16"/>
        </w:rPr>
        <w:instrText xml:space="preserve"> \* MERGEFORMAT </w:instrText>
      </w:r>
      <w:r w:rsidR="000506D1" w:rsidRPr="000506D1">
        <w:rPr>
          <w:rFonts w:eastAsia="Calibri" w:cs="Times New Roman"/>
          <w:color w:val="1D2455"/>
          <w:szCs w:val="16"/>
        </w:rPr>
      </w:r>
      <w:r w:rsidR="000506D1" w:rsidRPr="000506D1">
        <w:rPr>
          <w:rFonts w:eastAsia="Calibri" w:cs="Times New Roman"/>
          <w:color w:val="1D2455"/>
          <w:szCs w:val="16"/>
        </w:rPr>
        <w:fldChar w:fldCharType="separate"/>
      </w:r>
      <w:r w:rsidR="003C4BC2" w:rsidRPr="003C4BC2">
        <w:rPr>
          <w:rFonts w:eastAsia="Calibri" w:cs="Times New Roman"/>
          <w:color w:val="1D2455"/>
          <w:szCs w:val="16"/>
        </w:rPr>
        <w:t>Table 74</w:t>
      </w:r>
      <w:r w:rsidR="000506D1" w:rsidRPr="000506D1">
        <w:rPr>
          <w:rFonts w:eastAsia="Calibri" w:cs="Times New Roman"/>
          <w:color w:val="1D2455"/>
          <w:szCs w:val="16"/>
        </w:rPr>
        <w:fldChar w:fldCharType="end"/>
      </w:r>
      <w:r w:rsidR="000506D1">
        <w:rPr>
          <w:szCs w:val="20"/>
        </w:rPr>
        <w:t>)</w:t>
      </w:r>
      <w:r w:rsidR="005B2BE3">
        <w:rPr>
          <w:szCs w:val="20"/>
        </w:rPr>
        <w:t>.</w:t>
      </w:r>
      <w:r w:rsidRPr="00531C78">
        <w:rPr>
          <w:szCs w:val="20"/>
        </w:rPr>
        <w:t xml:space="preserve"> </w:t>
      </w:r>
      <w:r w:rsidR="006E73A7">
        <w:rPr>
          <w:szCs w:val="20"/>
        </w:rPr>
        <w:t>There</w:t>
      </w:r>
      <w:r w:rsidRPr="00531C78">
        <w:rPr>
          <w:szCs w:val="20"/>
        </w:rPr>
        <w:t xml:space="preserve"> was over 50% partial or significant improvement in the goals of </w:t>
      </w:r>
      <w:r w:rsidR="005B2BE3">
        <w:rPr>
          <w:szCs w:val="20"/>
        </w:rPr>
        <w:t>“I</w:t>
      </w:r>
      <w:r w:rsidRPr="00531C78">
        <w:rPr>
          <w:szCs w:val="20"/>
        </w:rPr>
        <w:t>mproved patient knowledge about their medicines leading to improved medication use and disease self-management</w:t>
      </w:r>
      <w:r w:rsidR="005B2BE3">
        <w:rPr>
          <w:szCs w:val="20"/>
        </w:rPr>
        <w:t>”</w:t>
      </w:r>
      <w:r w:rsidRPr="00531C78">
        <w:rPr>
          <w:szCs w:val="20"/>
        </w:rPr>
        <w:t xml:space="preserve">, and </w:t>
      </w:r>
      <w:r w:rsidR="005B2BE3">
        <w:rPr>
          <w:szCs w:val="20"/>
        </w:rPr>
        <w:t>“I</w:t>
      </w:r>
      <w:r w:rsidRPr="00531C78">
        <w:rPr>
          <w:szCs w:val="20"/>
        </w:rPr>
        <w:t>mproved technique/usage of medication devices</w:t>
      </w:r>
      <w:r w:rsidR="005B2BE3">
        <w:rPr>
          <w:szCs w:val="20"/>
        </w:rPr>
        <w:t>”</w:t>
      </w:r>
      <w:r w:rsidRPr="00531C78">
        <w:rPr>
          <w:szCs w:val="20"/>
        </w:rPr>
        <w:t xml:space="preserve">. There was also improvement in </w:t>
      </w:r>
      <w:r w:rsidR="005B2BE3">
        <w:rPr>
          <w:szCs w:val="20"/>
        </w:rPr>
        <w:t>“</w:t>
      </w:r>
      <w:r w:rsidR="005B2BE3" w:rsidRPr="005B2BE3">
        <w:rPr>
          <w:szCs w:val="20"/>
        </w:rPr>
        <w:t>Optimise the medication dose and/or number or type of medicines</w:t>
      </w:r>
      <w:r w:rsidR="005B2BE3">
        <w:rPr>
          <w:szCs w:val="20"/>
        </w:rPr>
        <w:t>”</w:t>
      </w:r>
      <w:r w:rsidRPr="00531C78">
        <w:rPr>
          <w:szCs w:val="20"/>
        </w:rPr>
        <w:t xml:space="preserve"> and to a lesser extent </w:t>
      </w:r>
      <w:r w:rsidR="005B2BE3">
        <w:rPr>
          <w:szCs w:val="20"/>
        </w:rPr>
        <w:t>“</w:t>
      </w:r>
      <w:r w:rsidR="005B2BE3" w:rsidRPr="005B2BE3">
        <w:rPr>
          <w:szCs w:val="20"/>
        </w:rPr>
        <w:t>Reduced medication side effects</w:t>
      </w:r>
      <w:r w:rsidR="005B2BE3">
        <w:rPr>
          <w:szCs w:val="20"/>
        </w:rPr>
        <w:t>”</w:t>
      </w:r>
      <w:r w:rsidRPr="00531C78">
        <w:rPr>
          <w:szCs w:val="20"/>
        </w:rPr>
        <w:t>.</w:t>
      </w:r>
      <w:bookmarkStart w:id="485" w:name="_Ref98933180"/>
      <w:r w:rsidR="004F72AF">
        <w:rPr>
          <w:szCs w:val="20"/>
        </w:rPr>
        <w:t xml:space="preserve"> There was no statistically significant change in the</w:t>
      </w:r>
      <w:r w:rsidR="00125825">
        <w:rPr>
          <w:szCs w:val="20"/>
        </w:rPr>
        <w:t xml:space="preserve"> combined outcome of partial or significant improvement</w:t>
      </w:r>
      <w:r w:rsidR="004F72AF">
        <w:rPr>
          <w:szCs w:val="20"/>
        </w:rPr>
        <w:t xml:space="preserve"> over time.</w:t>
      </w:r>
    </w:p>
    <w:p w14:paraId="38287222" w14:textId="77777777" w:rsidR="00F61DA8" w:rsidRDefault="00F61DA8">
      <w:pPr>
        <w:spacing w:after="160" w:line="259" w:lineRule="auto"/>
        <w:rPr>
          <w:szCs w:val="20"/>
        </w:rPr>
      </w:pPr>
      <w:r>
        <w:rPr>
          <w:szCs w:val="20"/>
        </w:rPr>
        <w:br w:type="page"/>
      </w:r>
    </w:p>
    <w:p w14:paraId="69F81947" w14:textId="0957E98E" w:rsidR="00543BEE" w:rsidRDefault="00543BEE" w:rsidP="00543BEE">
      <w:pPr>
        <w:pStyle w:val="tabletitle"/>
      </w:pPr>
      <w:bookmarkStart w:id="486" w:name="_Ref102057982"/>
      <w:r w:rsidRPr="002553E0">
        <w:lastRenderedPageBreak/>
        <w:t>Table </w:t>
      </w:r>
      <w:r w:rsidR="00A61B29">
        <w:fldChar w:fldCharType="begin"/>
      </w:r>
      <w:r w:rsidR="00A61B29">
        <w:instrText xml:space="preserve"> SEQ Table\* ARABIC </w:instrText>
      </w:r>
      <w:r w:rsidR="00A61B29">
        <w:fldChar w:fldCharType="separate"/>
      </w:r>
      <w:r w:rsidR="003C4BC2">
        <w:rPr>
          <w:noProof/>
        </w:rPr>
        <w:t>74</w:t>
      </w:r>
      <w:r w:rsidR="00A61B29">
        <w:rPr>
          <w:noProof/>
        </w:rPr>
        <w:fldChar w:fldCharType="end"/>
      </w:r>
      <w:bookmarkEnd w:id="485"/>
      <w:bookmarkEnd w:id="486"/>
      <w:r w:rsidRPr="002553E0">
        <w:t>: </w:t>
      </w:r>
      <w:r w:rsidR="00846326">
        <w:t>Pharmacists</w:t>
      </w:r>
      <w:r w:rsidR="00D547B8">
        <w:t>’</w:t>
      </w:r>
      <w:r w:rsidR="00846326">
        <w:t xml:space="preserve"> </w:t>
      </w:r>
      <w:r w:rsidR="00D547B8">
        <w:t>observations of patients’ achievements</w:t>
      </w:r>
      <w:r w:rsidRPr="000C3FBF">
        <w:t> </w:t>
      </w:r>
      <w:r w:rsidR="00D83E9C">
        <w:t>of goals</w:t>
      </w:r>
    </w:p>
    <w:tbl>
      <w:tblPr>
        <w:tblW w:w="5000" w:type="pct"/>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2379"/>
        <w:gridCol w:w="2344"/>
        <w:gridCol w:w="1431"/>
        <w:gridCol w:w="1431"/>
        <w:gridCol w:w="1431"/>
      </w:tblGrid>
      <w:tr w:rsidR="003920C1" w14:paraId="0917FB62" w14:textId="77777777" w:rsidTr="00750232">
        <w:trPr>
          <w:cantSplit/>
          <w:tblHeader/>
          <w:jc w:val="center"/>
        </w:trPr>
        <w:tc>
          <w:tcPr>
            <w:tcW w:w="2385" w:type="dxa"/>
            <w:shd w:val="clear" w:color="auto" w:fill="408BCA"/>
            <w:tcMar>
              <w:top w:w="0" w:type="dxa"/>
              <w:left w:w="0" w:type="dxa"/>
              <w:bottom w:w="0" w:type="dxa"/>
              <w:right w:w="0" w:type="dxa"/>
            </w:tcMar>
            <w:vAlign w:val="center"/>
          </w:tcPr>
          <w:p w14:paraId="28A75A6D" w14:textId="58252549" w:rsidR="003920C1" w:rsidRPr="003920C1" w:rsidRDefault="003920C1" w:rsidP="003920C1">
            <w:pPr>
              <w:spacing w:after="0"/>
              <w:jc w:val="center"/>
              <w:rPr>
                <w:rFonts w:eastAsia="Century Gothic" w:cs="Century Gothic"/>
                <w:b/>
                <w:bCs/>
                <w:color w:val="FFFFFF"/>
                <w:sz w:val="18"/>
                <w:szCs w:val="18"/>
              </w:rPr>
            </w:pPr>
            <w:r w:rsidRPr="003920C1">
              <w:rPr>
                <w:rFonts w:eastAsia="Century Gothic" w:cs="Century Gothic"/>
                <w:b/>
                <w:bCs/>
                <w:color w:val="FFFFFF"/>
                <w:sz w:val="18"/>
                <w:szCs w:val="18"/>
              </w:rPr>
              <w:t>Goal</w:t>
            </w:r>
          </w:p>
        </w:tc>
        <w:tc>
          <w:tcPr>
            <w:tcW w:w="2349" w:type="dxa"/>
            <w:shd w:val="clear" w:color="auto" w:fill="408BCA"/>
            <w:tcMar>
              <w:top w:w="0" w:type="dxa"/>
              <w:left w:w="0" w:type="dxa"/>
              <w:bottom w:w="0" w:type="dxa"/>
              <w:right w:w="0" w:type="dxa"/>
            </w:tcMar>
            <w:vAlign w:val="center"/>
          </w:tcPr>
          <w:p w14:paraId="3744D72C" w14:textId="47635B0C" w:rsidR="003920C1" w:rsidRPr="003920C1" w:rsidRDefault="003920C1" w:rsidP="003920C1">
            <w:pPr>
              <w:spacing w:after="0"/>
              <w:jc w:val="center"/>
              <w:rPr>
                <w:rFonts w:eastAsia="Century Gothic" w:cs="Century Gothic"/>
                <w:b/>
                <w:bCs/>
                <w:color w:val="FFFFFF"/>
                <w:sz w:val="18"/>
                <w:szCs w:val="18"/>
              </w:rPr>
            </w:pPr>
            <w:r w:rsidRPr="003920C1">
              <w:rPr>
                <w:rFonts w:eastAsia="Century Gothic" w:cs="Century Gothic"/>
                <w:b/>
                <w:bCs/>
                <w:color w:val="FFFFFF"/>
                <w:sz w:val="18"/>
                <w:szCs w:val="18"/>
              </w:rPr>
              <w:t>Level of achievement</w:t>
            </w:r>
          </w:p>
        </w:tc>
        <w:tc>
          <w:tcPr>
            <w:tcW w:w="1434" w:type="dxa"/>
            <w:shd w:val="clear" w:color="auto" w:fill="408BCA"/>
            <w:tcMar>
              <w:top w:w="0" w:type="dxa"/>
              <w:left w:w="0" w:type="dxa"/>
              <w:bottom w:w="0" w:type="dxa"/>
              <w:right w:w="0" w:type="dxa"/>
            </w:tcMar>
            <w:vAlign w:val="center"/>
          </w:tcPr>
          <w:p w14:paraId="66FF8913" w14:textId="79F05A65" w:rsidR="003920C1" w:rsidRPr="003920C1" w:rsidRDefault="003920C1" w:rsidP="003920C1">
            <w:pPr>
              <w:spacing w:after="0"/>
              <w:jc w:val="center"/>
              <w:rPr>
                <w:rFonts w:eastAsia="Century Gothic" w:cs="Century Gothic"/>
                <w:b/>
                <w:bCs/>
                <w:color w:val="FFFFFF"/>
                <w:sz w:val="18"/>
                <w:szCs w:val="18"/>
              </w:rPr>
            </w:pPr>
            <w:r w:rsidRPr="003920C1">
              <w:rPr>
                <w:rFonts w:eastAsia="Century Gothic" w:cs="Century Gothic"/>
                <w:b/>
                <w:bCs/>
                <w:color w:val="FFFFFF"/>
                <w:sz w:val="18"/>
                <w:szCs w:val="18"/>
              </w:rPr>
              <w:t xml:space="preserve">1st review </w:t>
            </w:r>
            <w:r w:rsidRPr="003920C1">
              <w:rPr>
                <w:rFonts w:eastAsia="Century Gothic" w:cs="Century Gothic"/>
                <w:b/>
                <w:bCs/>
                <w:color w:val="FFFFFF"/>
                <w:sz w:val="18"/>
                <w:szCs w:val="18"/>
              </w:rPr>
              <w:br/>
              <w:t xml:space="preserve"> (n = 845)</w:t>
            </w:r>
          </w:p>
        </w:tc>
        <w:tc>
          <w:tcPr>
            <w:tcW w:w="1434" w:type="dxa"/>
            <w:shd w:val="clear" w:color="auto" w:fill="408BCA"/>
            <w:tcMar>
              <w:top w:w="0" w:type="dxa"/>
              <w:left w:w="0" w:type="dxa"/>
              <w:bottom w:w="0" w:type="dxa"/>
              <w:right w:w="0" w:type="dxa"/>
            </w:tcMar>
            <w:vAlign w:val="center"/>
          </w:tcPr>
          <w:p w14:paraId="743A92CA" w14:textId="73FE9094" w:rsidR="003920C1" w:rsidRPr="003920C1" w:rsidRDefault="003920C1" w:rsidP="003920C1">
            <w:pPr>
              <w:spacing w:after="0"/>
              <w:jc w:val="center"/>
              <w:rPr>
                <w:rFonts w:eastAsia="Century Gothic" w:cs="Century Gothic"/>
                <w:b/>
                <w:bCs/>
                <w:color w:val="FFFFFF"/>
                <w:sz w:val="18"/>
                <w:szCs w:val="18"/>
              </w:rPr>
            </w:pPr>
            <w:r w:rsidRPr="003920C1">
              <w:rPr>
                <w:rFonts w:eastAsia="Century Gothic" w:cs="Century Gothic"/>
                <w:b/>
                <w:bCs/>
                <w:color w:val="FFFFFF"/>
                <w:sz w:val="18"/>
                <w:szCs w:val="18"/>
              </w:rPr>
              <w:t xml:space="preserve">2nd review </w:t>
            </w:r>
            <w:r w:rsidRPr="003920C1">
              <w:rPr>
                <w:rFonts w:eastAsia="Century Gothic" w:cs="Century Gothic"/>
                <w:b/>
                <w:bCs/>
                <w:color w:val="FFFFFF"/>
                <w:sz w:val="18"/>
                <w:szCs w:val="18"/>
              </w:rPr>
              <w:br/>
              <w:t xml:space="preserve"> (n = 588)</w:t>
            </w:r>
          </w:p>
        </w:tc>
        <w:tc>
          <w:tcPr>
            <w:tcW w:w="1434" w:type="dxa"/>
            <w:shd w:val="clear" w:color="auto" w:fill="408BCA"/>
            <w:tcMar>
              <w:top w:w="0" w:type="dxa"/>
              <w:left w:w="0" w:type="dxa"/>
              <w:bottom w:w="0" w:type="dxa"/>
              <w:right w:w="0" w:type="dxa"/>
            </w:tcMar>
            <w:vAlign w:val="center"/>
          </w:tcPr>
          <w:p w14:paraId="061E3703" w14:textId="2174D4AD" w:rsidR="003920C1" w:rsidRPr="003920C1" w:rsidRDefault="003920C1" w:rsidP="003920C1">
            <w:pPr>
              <w:spacing w:after="0"/>
              <w:jc w:val="center"/>
              <w:rPr>
                <w:rFonts w:eastAsia="Century Gothic" w:cs="Century Gothic"/>
                <w:b/>
                <w:bCs/>
                <w:color w:val="FFFFFF"/>
                <w:sz w:val="18"/>
                <w:szCs w:val="18"/>
              </w:rPr>
            </w:pPr>
            <w:r w:rsidRPr="003920C1">
              <w:rPr>
                <w:rFonts w:eastAsia="Century Gothic" w:cs="Century Gothic"/>
                <w:b/>
                <w:bCs/>
                <w:color w:val="FFFFFF"/>
                <w:sz w:val="18"/>
                <w:szCs w:val="18"/>
              </w:rPr>
              <w:t xml:space="preserve">3rd review </w:t>
            </w:r>
            <w:r w:rsidRPr="003920C1">
              <w:rPr>
                <w:rFonts w:eastAsia="Century Gothic" w:cs="Century Gothic"/>
                <w:b/>
                <w:bCs/>
                <w:color w:val="FFFFFF"/>
                <w:sz w:val="18"/>
                <w:szCs w:val="18"/>
              </w:rPr>
              <w:br/>
              <w:t xml:space="preserve"> (n = 402)</w:t>
            </w:r>
          </w:p>
        </w:tc>
      </w:tr>
      <w:tr w:rsidR="006578DE" w14:paraId="52DD2AC8" w14:textId="77777777" w:rsidTr="00750232">
        <w:trPr>
          <w:cantSplit/>
          <w:jc w:val="center"/>
        </w:trPr>
        <w:tc>
          <w:tcPr>
            <w:tcW w:w="2385" w:type="dxa"/>
            <w:vMerge w:val="restart"/>
            <w:shd w:val="clear" w:color="auto" w:fill="FFFFFF"/>
            <w:tcMar>
              <w:top w:w="0" w:type="dxa"/>
              <w:left w:w="0" w:type="dxa"/>
              <w:bottom w:w="0" w:type="dxa"/>
              <w:right w:w="0" w:type="dxa"/>
            </w:tcMar>
            <w:vAlign w:val="center"/>
          </w:tcPr>
          <w:p w14:paraId="7813A0E9" w14:textId="77777777" w:rsidR="006578DE" w:rsidRPr="006578DE" w:rsidRDefault="006578DE" w:rsidP="006578DE">
            <w:pPr>
              <w:spacing w:after="0"/>
              <w:ind w:left="90" w:right="90"/>
              <w:textAlignment w:val="baseline"/>
              <w:rPr>
                <w:sz w:val="18"/>
                <w:szCs w:val="18"/>
              </w:rPr>
            </w:pPr>
            <w:r w:rsidRPr="006578DE">
              <w:rPr>
                <w:sz w:val="18"/>
                <w:szCs w:val="18"/>
              </w:rPr>
              <w:t>Improved medication adherence</w:t>
            </w:r>
          </w:p>
        </w:tc>
        <w:tc>
          <w:tcPr>
            <w:tcW w:w="2349" w:type="dxa"/>
            <w:shd w:val="clear" w:color="auto" w:fill="FFFFFF"/>
            <w:tcMar>
              <w:top w:w="0" w:type="dxa"/>
              <w:left w:w="0" w:type="dxa"/>
              <w:bottom w:w="0" w:type="dxa"/>
              <w:right w:w="0" w:type="dxa"/>
            </w:tcMar>
            <w:vAlign w:val="center"/>
          </w:tcPr>
          <w:p w14:paraId="24110155" w14:textId="77777777" w:rsidR="006578DE" w:rsidRPr="006578DE" w:rsidRDefault="006578DE" w:rsidP="006578DE">
            <w:pPr>
              <w:spacing w:after="0"/>
              <w:ind w:left="90" w:right="90"/>
              <w:textAlignment w:val="baseline"/>
              <w:rPr>
                <w:sz w:val="18"/>
                <w:szCs w:val="18"/>
              </w:rPr>
            </w:pPr>
            <w:r w:rsidRPr="006578DE">
              <w:rPr>
                <w:sz w:val="18"/>
                <w:szCs w:val="18"/>
              </w:rPr>
              <w:t>Deterioration</w:t>
            </w:r>
          </w:p>
        </w:tc>
        <w:tc>
          <w:tcPr>
            <w:tcW w:w="1434" w:type="dxa"/>
            <w:shd w:val="clear" w:color="auto" w:fill="FFFFFF"/>
            <w:tcMar>
              <w:top w:w="0" w:type="dxa"/>
              <w:left w:w="0" w:type="dxa"/>
              <w:bottom w:w="0" w:type="dxa"/>
              <w:right w:w="0" w:type="dxa"/>
            </w:tcMar>
            <w:vAlign w:val="center"/>
          </w:tcPr>
          <w:p w14:paraId="3B6CE8EE" w14:textId="77777777" w:rsidR="006578DE" w:rsidRPr="006578DE" w:rsidRDefault="006578DE" w:rsidP="006578DE">
            <w:pPr>
              <w:spacing w:after="0"/>
              <w:ind w:left="90" w:right="90"/>
              <w:jc w:val="center"/>
              <w:textAlignment w:val="baseline"/>
              <w:rPr>
                <w:sz w:val="18"/>
                <w:szCs w:val="18"/>
              </w:rPr>
            </w:pPr>
            <w:r w:rsidRPr="006578DE">
              <w:rPr>
                <w:sz w:val="18"/>
                <w:szCs w:val="18"/>
              </w:rPr>
              <w:t>11 (1.0%)</w:t>
            </w:r>
          </w:p>
        </w:tc>
        <w:tc>
          <w:tcPr>
            <w:tcW w:w="1434" w:type="dxa"/>
            <w:shd w:val="clear" w:color="auto" w:fill="FFFFFF"/>
            <w:tcMar>
              <w:top w:w="0" w:type="dxa"/>
              <w:left w:w="0" w:type="dxa"/>
              <w:bottom w:w="0" w:type="dxa"/>
              <w:right w:w="0" w:type="dxa"/>
            </w:tcMar>
            <w:vAlign w:val="center"/>
          </w:tcPr>
          <w:p w14:paraId="5C30BE23" w14:textId="77777777" w:rsidR="006578DE" w:rsidRPr="006578DE" w:rsidRDefault="006578DE" w:rsidP="006578DE">
            <w:pPr>
              <w:spacing w:after="0"/>
              <w:ind w:left="90" w:right="90"/>
              <w:jc w:val="center"/>
              <w:textAlignment w:val="baseline"/>
              <w:rPr>
                <w:sz w:val="18"/>
                <w:szCs w:val="18"/>
              </w:rPr>
            </w:pPr>
            <w:r w:rsidRPr="006578DE">
              <w:rPr>
                <w:sz w:val="18"/>
                <w:szCs w:val="18"/>
              </w:rPr>
              <w:t>23 (2.6%)</w:t>
            </w:r>
          </w:p>
        </w:tc>
        <w:tc>
          <w:tcPr>
            <w:tcW w:w="1434" w:type="dxa"/>
            <w:shd w:val="clear" w:color="auto" w:fill="FFFFFF"/>
            <w:tcMar>
              <w:top w:w="0" w:type="dxa"/>
              <w:left w:w="0" w:type="dxa"/>
              <w:bottom w:w="0" w:type="dxa"/>
              <w:right w:w="0" w:type="dxa"/>
            </w:tcMar>
            <w:vAlign w:val="center"/>
          </w:tcPr>
          <w:p w14:paraId="54FB3016" w14:textId="77777777" w:rsidR="006578DE" w:rsidRPr="006578DE" w:rsidRDefault="006578DE" w:rsidP="006578DE">
            <w:pPr>
              <w:spacing w:after="0"/>
              <w:ind w:left="90" w:right="90"/>
              <w:jc w:val="center"/>
              <w:textAlignment w:val="baseline"/>
              <w:rPr>
                <w:sz w:val="18"/>
                <w:szCs w:val="18"/>
              </w:rPr>
            </w:pPr>
            <w:r w:rsidRPr="006578DE">
              <w:rPr>
                <w:sz w:val="18"/>
                <w:szCs w:val="18"/>
              </w:rPr>
              <w:t>8 (1.2%)</w:t>
            </w:r>
          </w:p>
        </w:tc>
      </w:tr>
      <w:tr w:rsidR="006578DE" w14:paraId="24D473B2" w14:textId="77777777" w:rsidTr="00750232">
        <w:trPr>
          <w:cantSplit/>
          <w:jc w:val="center"/>
        </w:trPr>
        <w:tc>
          <w:tcPr>
            <w:tcW w:w="2385" w:type="dxa"/>
            <w:vMerge/>
            <w:shd w:val="clear" w:color="auto" w:fill="FFFFFF"/>
            <w:tcMar>
              <w:top w:w="0" w:type="dxa"/>
              <w:left w:w="0" w:type="dxa"/>
              <w:bottom w:w="0" w:type="dxa"/>
              <w:right w:w="0" w:type="dxa"/>
            </w:tcMar>
            <w:vAlign w:val="center"/>
          </w:tcPr>
          <w:p w14:paraId="09BF13D3"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02683EFA" w14:textId="77777777" w:rsidR="006578DE" w:rsidRPr="006578DE" w:rsidRDefault="006578DE" w:rsidP="006578DE">
            <w:pPr>
              <w:spacing w:after="0"/>
              <w:ind w:left="90" w:right="90"/>
              <w:textAlignment w:val="baseline"/>
              <w:rPr>
                <w:sz w:val="18"/>
                <w:szCs w:val="18"/>
              </w:rPr>
            </w:pPr>
            <w:r w:rsidRPr="006578DE">
              <w:rPr>
                <w:sz w:val="18"/>
                <w:szCs w:val="18"/>
              </w:rPr>
              <w:t>No Change</w:t>
            </w:r>
          </w:p>
        </w:tc>
        <w:tc>
          <w:tcPr>
            <w:tcW w:w="1434" w:type="dxa"/>
            <w:shd w:val="clear" w:color="auto" w:fill="FFFFFF"/>
            <w:tcMar>
              <w:top w:w="0" w:type="dxa"/>
              <w:left w:w="0" w:type="dxa"/>
              <w:bottom w:w="0" w:type="dxa"/>
              <w:right w:w="0" w:type="dxa"/>
            </w:tcMar>
            <w:vAlign w:val="center"/>
          </w:tcPr>
          <w:p w14:paraId="7444AE92" w14:textId="77777777" w:rsidR="006578DE" w:rsidRPr="006578DE" w:rsidRDefault="006578DE" w:rsidP="006578DE">
            <w:pPr>
              <w:spacing w:after="0"/>
              <w:ind w:left="90" w:right="90"/>
              <w:jc w:val="center"/>
              <w:textAlignment w:val="baseline"/>
              <w:rPr>
                <w:sz w:val="18"/>
                <w:szCs w:val="18"/>
              </w:rPr>
            </w:pPr>
            <w:r w:rsidRPr="006578DE">
              <w:rPr>
                <w:sz w:val="18"/>
                <w:szCs w:val="18"/>
              </w:rPr>
              <w:t>390 (35.7%)</w:t>
            </w:r>
          </w:p>
        </w:tc>
        <w:tc>
          <w:tcPr>
            <w:tcW w:w="1434" w:type="dxa"/>
            <w:shd w:val="clear" w:color="auto" w:fill="FFFFFF"/>
            <w:tcMar>
              <w:top w:w="0" w:type="dxa"/>
              <w:left w:w="0" w:type="dxa"/>
              <w:bottom w:w="0" w:type="dxa"/>
              <w:right w:w="0" w:type="dxa"/>
            </w:tcMar>
            <w:vAlign w:val="center"/>
          </w:tcPr>
          <w:p w14:paraId="09EA0843" w14:textId="77777777" w:rsidR="006578DE" w:rsidRPr="006578DE" w:rsidRDefault="006578DE" w:rsidP="006578DE">
            <w:pPr>
              <w:spacing w:after="0"/>
              <w:ind w:left="90" w:right="90"/>
              <w:jc w:val="center"/>
              <w:textAlignment w:val="baseline"/>
              <w:rPr>
                <w:sz w:val="18"/>
                <w:szCs w:val="18"/>
              </w:rPr>
            </w:pPr>
            <w:r w:rsidRPr="006578DE">
              <w:rPr>
                <w:sz w:val="18"/>
                <w:szCs w:val="18"/>
              </w:rPr>
              <w:t>317 (35.8%)</w:t>
            </w:r>
          </w:p>
        </w:tc>
        <w:tc>
          <w:tcPr>
            <w:tcW w:w="1434" w:type="dxa"/>
            <w:shd w:val="clear" w:color="auto" w:fill="FFFFFF"/>
            <w:tcMar>
              <w:top w:w="0" w:type="dxa"/>
              <w:left w:w="0" w:type="dxa"/>
              <w:bottom w:w="0" w:type="dxa"/>
              <w:right w:w="0" w:type="dxa"/>
            </w:tcMar>
            <w:vAlign w:val="center"/>
          </w:tcPr>
          <w:p w14:paraId="724BA810" w14:textId="77777777" w:rsidR="006578DE" w:rsidRPr="006578DE" w:rsidRDefault="006578DE" w:rsidP="006578DE">
            <w:pPr>
              <w:spacing w:after="0"/>
              <w:ind w:left="90" w:right="90"/>
              <w:jc w:val="center"/>
              <w:textAlignment w:val="baseline"/>
              <w:rPr>
                <w:sz w:val="18"/>
                <w:szCs w:val="18"/>
              </w:rPr>
            </w:pPr>
            <w:r w:rsidRPr="006578DE">
              <w:rPr>
                <w:sz w:val="18"/>
                <w:szCs w:val="18"/>
              </w:rPr>
              <w:t>211 (32.8%)</w:t>
            </w:r>
          </w:p>
        </w:tc>
      </w:tr>
      <w:tr w:rsidR="006578DE" w14:paraId="0F45C3E2" w14:textId="77777777" w:rsidTr="00750232">
        <w:trPr>
          <w:cantSplit/>
          <w:jc w:val="center"/>
        </w:trPr>
        <w:tc>
          <w:tcPr>
            <w:tcW w:w="2385" w:type="dxa"/>
            <w:vMerge/>
            <w:shd w:val="clear" w:color="auto" w:fill="FFFFFF"/>
            <w:tcMar>
              <w:top w:w="0" w:type="dxa"/>
              <w:left w:w="0" w:type="dxa"/>
              <w:bottom w:w="0" w:type="dxa"/>
              <w:right w:w="0" w:type="dxa"/>
            </w:tcMar>
            <w:vAlign w:val="center"/>
          </w:tcPr>
          <w:p w14:paraId="056726C5"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61470265" w14:textId="77777777" w:rsidR="006578DE" w:rsidRPr="006578DE" w:rsidRDefault="006578DE" w:rsidP="006578DE">
            <w:pPr>
              <w:spacing w:after="0"/>
              <w:ind w:left="90" w:right="90"/>
              <w:textAlignment w:val="baseline"/>
              <w:rPr>
                <w:sz w:val="18"/>
                <w:szCs w:val="18"/>
              </w:rPr>
            </w:pPr>
            <w:r w:rsidRPr="006578DE">
              <w:rPr>
                <w:sz w:val="18"/>
                <w:szCs w:val="18"/>
              </w:rPr>
              <w:t>Partial improvement</w:t>
            </w:r>
          </w:p>
        </w:tc>
        <w:tc>
          <w:tcPr>
            <w:tcW w:w="1434" w:type="dxa"/>
            <w:shd w:val="clear" w:color="auto" w:fill="FFFFFF"/>
            <w:tcMar>
              <w:top w:w="0" w:type="dxa"/>
              <w:left w:w="0" w:type="dxa"/>
              <w:bottom w:w="0" w:type="dxa"/>
              <w:right w:w="0" w:type="dxa"/>
            </w:tcMar>
            <w:vAlign w:val="center"/>
          </w:tcPr>
          <w:p w14:paraId="7C33CAAF" w14:textId="77777777" w:rsidR="006578DE" w:rsidRPr="006578DE" w:rsidRDefault="006578DE" w:rsidP="006578DE">
            <w:pPr>
              <w:spacing w:after="0"/>
              <w:ind w:left="90" w:right="90"/>
              <w:jc w:val="center"/>
              <w:textAlignment w:val="baseline"/>
              <w:rPr>
                <w:sz w:val="18"/>
                <w:szCs w:val="18"/>
              </w:rPr>
            </w:pPr>
            <w:r w:rsidRPr="006578DE">
              <w:rPr>
                <w:sz w:val="18"/>
                <w:szCs w:val="18"/>
              </w:rPr>
              <w:t>286 (26.2%)</w:t>
            </w:r>
          </w:p>
        </w:tc>
        <w:tc>
          <w:tcPr>
            <w:tcW w:w="1434" w:type="dxa"/>
            <w:shd w:val="clear" w:color="auto" w:fill="FFFFFF"/>
            <w:tcMar>
              <w:top w:w="0" w:type="dxa"/>
              <w:left w:w="0" w:type="dxa"/>
              <w:bottom w:w="0" w:type="dxa"/>
              <w:right w:w="0" w:type="dxa"/>
            </w:tcMar>
            <w:vAlign w:val="center"/>
          </w:tcPr>
          <w:p w14:paraId="69F38E4A" w14:textId="77777777" w:rsidR="006578DE" w:rsidRPr="006578DE" w:rsidRDefault="006578DE" w:rsidP="006578DE">
            <w:pPr>
              <w:spacing w:after="0"/>
              <w:ind w:left="90" w:right="90"/>
              <w:jc w:val="center"/>
              <w:textAlignment w:val="baseline"/>
              <w:rPr>
                <w:sz w:val="18"/>
                <w:szCs w:val="18"/>
              </w:rPr>
            </w:pPr>
            <w:r w:rsidRPr="006578DE">
              <w:rPr>
                <w:sz w:val="18"/>
                <w:szCs w:val="18"/>
              </w:rPr>
              <w:t>278 (31.4%)</w:t>
            </w:r>
          </w:p>
        </w:tc>
        <w:tc>
          <w:tcPr>
            <w:tcW w:w="1434" w:type="dxa"/>
            <w:shd w:val="clear" w:color="auto" w:fill="FFFFFF"/>
            <w:tcMar>
              <w:top w:w="0" w:type="dxa"/>
              <w:left w:w="0" w:type="dxa"/>
              <w:bottom w:w="0" w:type="dxa"/>
              <w:right w:w="0" w:type="dxa"/>
            </w:tcMar>
            <w:vAlign w:val="center"/>
          </w:tcPr>
          <w:p w14:paraId="3FA68A52" w14:textId="77777777" w:rsidR="006578DE" w:rsidRPr="006578DE" w:rsidRDefault="006578DE" w:rsidP="006578DE">
            <w:pPr>
              <w:spacing w:after="0"/>
              <w:ind w:left="90" w:right="90"/>
              <w:jc w:val="center"/>
              <w:textAlignment w:val="baseline"/>
              <w:rPr>
                <w:sz w:val="18"/>
                <w:szCs w:val="18"/>
              </w:rPr>
            </w:pPr>
            <w:r w:rsidRPr="006578DE">
              <w:rPr>
                <w:sz w:val="18"/>
                <w:szCs w:val="18"/>
              </w:rPr>
              <w:t>197 (30.6%)</w:t>
            </w:r>
          </w:p>
        </w:tc>
      </w:tr>
      <w:tr w:rsidR="006578DE" w14:paraId="50EE3A3B" w14:textId="77777777" w:rsidTr="00750232">
        <w:trPr>
          <w:cantSplit/>
          <w:jc w:val="center"/>
        </w:trPr>
        <w:tc>
          <w:tcPr>
            <w:tcW w:w="2385" w:type="dxa"/>
            <w:vMerge/>
            <w:shd w:val="clear" w:color="auto" w:fill="FFFFFF"/>
            <w:tcMar>
              <w:top w:w="0" w:type="dxa"/>
              <w:left w:w="0" w:type="dxa"/>
              <w:bottom w:w="0" w:type="dxa"/>
              <w:right w:w="0" w:type="dxa"/>
            </w:tcMar>
            <w:vAlign w:val="center"/>
          </w:tcPr>
          <w:p w14:paraId="02786F06"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6147FC50" w14:textId="77777777" w:rsidR="006578DE" w:rsidRPr="006578DE" w:rsidRDefault="006578DE" w:rsidP="006578DE">
            <w:pPr>
              <w:spacing w:after="0"/>
              <w:ind w:left="90" w:right="90"/>
              <w:textAlignment w:val="baseline"/>
              <w:rPr>
                <w:sz w:val="18"/>
                <w:szCs w:val="18"/>
              </w:rPr>
            </w:pPr>
            <w:r w:rsidRPr="006578DE">
              <w:rPr>
                <w:sz w:val="18"/>
                <w:szCs w:val="18"/>
              </w:rPr>
              <w:t>Significant improvement</w:t>
            </w:r>
          </w:p>
        </w:tc>
        <w:tc>
          <w:tcPr>
            <w:tcW w:w="1434" w:type="dxa"/>
            <w:shd w:val="clear" w:color="auto" w:fill="FFFFFF"/>
            <w:tcMar>
              <w:top w:w="0" w:type="dxa"/>
              <w:left w:w="0" w:type="dxa"/>
              <w:bottom w:w="0" w:type="dxa"/>
              <w:right w:w="0" w:type="dxa"/>
            </w:tcMar>
            <w:vAlign w:val="center"/>
          </w:tcPr>
          <w:p w14:paraId="21A77FAE" w14:textId="77777777" w:rsidR="006578DE" w:rsidRPr="006578DE" w:rsidRDefault="006578DE" w:rsidP="006578DE">
            <w:pPr>
              <w:spacing w:after="0"/>
              <w:ind w:left="90" w:right="90"/>
              <w:jc w:val="center"/>
              <w:textAlignment w:val="baseline"/>
              <w:rPr>
                <w:sz w:val="18"/>
                <w:szCs w:val="18"/>
              </w:rPr>
            </w:pPr>
            <w:r w:rsidRPr="006578DE">
              <w:rPr>
                <w:sz w:val="18"/>
                <w:szCs w:val="18"/>
              </w:rPr>
              <w:t>349 (31.9%)</w:t>
            </w:r>
          </w:p>
        </w:tc>
        <w:tc>
          <w:tcPr>
            <w:tcW w:w="1434" w:type="dxa"/>
            <w:shd w:val="clear" w:color="auto" w:fill="FFFFFF"/>
            <w:tcMar>
              <w:top w:w="0" w:type="dxa"/>
              <w:left w:w="0" w:type="dxa"/>
              <w:bottom w:w="0" w:type="dxa"/>
              <w:right w:w="0" w:type="dxa"/>
            </w:tcMar>
            <w:vAlign w:val="center"/>
          </w:tcPr>
          <w:p w14:paraId="31D9EEEF" w14:textId="77777777" w:rsidR="006578DE" w:rsidRPr="006578DE" w:rsidRDefault="006578DE" w:rsidP="006578DE">
            <w:pPr>
              <w:spacing w:after="0"/>
              <w:ind w:left="90" w:right="90"/>
              <w:jc w:val="center"/>
              <w:textAlignment w:val="baseline"/>
              <w:rPr>
                <w:sz w:val="18"/>
                <w:szCs w:val="18"/>
              </w:rPr>
            </w:pPr>
            <w:r w:rsidRPr="006578DE">
              <w:rPr>
                <w:sz w:val="18"/>
                <w:szCs w:val="18"/>
              </w:rPr>
              <w:t>241 (27.2%)</w:t>
            </w:r>
          </w:p>
        </w:tc>
        <w:tc>
          <w:tcPr>
            <w:tcW w:w="1434" w:type="dxa"/>
            <w:shd w:val="clear" w:color="auto" w:fill="FFFFFF"/>
            <w:tcMar>
              <w:top w:w="0" w:type="dxa"/>
              <w:left w:w="0" w:type="dxa"/>
              <w:bottom w:w="0" w:type="dxa"/>
              <w:right w:w="0" w:type="dxa"/>
            </w:tcMar>
            <w:vAlign w:val="center"/>
          </w:tcPr>
          <w:p w14:paraId="10B00D8F" w14:textId="77777777" w:rsidR="006578DE" w:rsidRPr="006578DE" w:rsidRDefault="006578DE" w:rsidP="006578DE">
            <w:pPr>
              <w:spacing w:after="0"/>
              <w:ind w:left="90" w:right="90"/>
              <w:jc w:val="center"/>
              <w:textAlignment w:val="baseline"/>
              <w:rPr>
                <w:sz w:val="18"/>
                <w:szCs w:val="18"/>
              </w:rPr>
            </w:pPr>
            <w:r w:rsidRPr="006578DE">
              <w:rPr>
                <w:sz w:val="18"/>
                <w:szCs w:val="18"/>
              </w:rPr>
              <w:t>227 (35.3%)</w:t>
            </w:r>
          </w:p>
        </w:tc>
      </w:tr>
      <w:tr w:rsidR="006578DE" w14:paraId="70608A74" w14:textId="77777777" w:rsidTr="00750232">
        <w:trPr>
          <w:cantSplit/>
          <w:jc w:val="center"/>
        </w:trPr>
        <w:tc>
          <w:tcPr>
            <w:tcW w:w="2385" w:type="dxa"/>
            <w:vMerge/>
            <w:shd w:val="clear" w:color="auto" w:fill="FFFFFF"/>
            <w:tcMar>
              <w:top w:w="0" w:type="dxa"/>
              <w:left w:w="0" w:type="dxa"/>
              <w:bottom w:w="0" w:type="dxa"/>
              <w:right w:w="0" w:type="dxa"/>
            </w:tcMar>
            <w:vAlign w:val="center"/>
          </w:tcPr>
          <w:p w14:paraId="5E3CCB37"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5D4CD864" w14:textId="77777777" w:rsidR="006578DE" w:rsidRPr="006578DE" w:rsidRDefault="006578DE" w:rsidP="006578DE">
            <w:pPr>
              <w:spacing w:after="0"/>
              <w:ind w:left="90" w:right="90"/>
              <w:textAlignment w:val="baseline"/>
              <w:rPr>
                <w:sz w:val="18"/>
                <w:szCs w:val="18"/>
              </w:rPr>
            </w:pPr>
            <w:r w:rsidRPr="006578DE">
              <w:rPr>
                <w:sz w:val="18"/>
                <w:szCs w:val="18"/>
              </w:rPr>
              <w:t>Other</w:t>
            </w:r>
          </w:p>
        </w:tc>
        <w:tc>
          <w:tcPr>
            <w:tcW w:w="1434" w:type="dxa"/>
            <w:shd w:val="clear" w:color="auto" w:fill="FFFFFF"/>
            <w:tcMar>
              <w:top w:w="0" w:type="dxa"/>
              <w:left w:w="0" w:type="dxa"/>
              <w:bottom w:w="0" w:type="dxa"/>
              <w:right w:w="0" w:type="dxa"/>
            </w:tcMar>
            <w:vAlign w:val="center"/>
          </w:tcPr>
          <w:p w14:paraId="6816653E" w14:textId="77777777" w:rsidR="006578DE" w:rsidRPr="006578DE" w:rsidRDefault="006578DE" w:rsidP="006578DE">
            <w:pPr>
              <w:spacing w:after="0"/>
              <w:ind w:left="90" w:right="90"/>
              <w:jc w:val="center"/>
              <w:textAlignment w:val="baseline"/>
              <w:rPr>
                <w:sz w:val="18"/>
                <w:szCs w:val="18"/>
              </w:rPr>
            </w:pPr>
            <w:r w:rsidRPr="006578DE">
              <w:rPr>
                <w:sz w:val="18"/>
                <w:szCs w:val="18"/>
              </w:rPr>
              <w:t>57 (5.2%)</w:t>
            </w:r>
          </w:p>
        </w:tc>
        <w:tc>
          <w:tcPr>
            <w:tcW w:w="1434" w:type="dxa"/>
            <w:shd w:val="clear" w:color="auto" w:fill="FFFFFF"/>
            <w:tcMar>
              <w:top w:w="0" w:type="dxa"/>
              <w:left w:w="0" w:type="dxa"/>
              <w:bottom w:w="0" w:type="dxa"/>
              <w:right w:w="0" w:type="dxa"/>
            </w:tcMar>
            <w:vAlign w:val="center"/>
          </w:tcPr>
          <w:p w14:paraId="3E36F176" w14:textId="77777777" w:rsidR="006578DE" w:rsidRPr="006578DE" w:rsidRDefault="006578DE" w:rsidP="006578DE">
            <w:pPr>
              <w:spacing w:after="0"/>
              <w:ind w:left="90" w:right="90"/>
              <w:jc w:val="center"/>
              <w:textAlignment w:val="baseline"/>
              <w:rPr>
                <w:sz w:val="18"/>
                <w:szCs w:val="18"/>
              </w:rPr>
            </w:pPr>
            <w:r w:rsidRPr="006578DE">
              <w:rPr>
                <w:sz w:val="18"/>
                <w:szCs w:val="18"/>
              </w:rPr>
              <w:t>27 (3.0%)</w:t>
            </w:r>
          </w:p>
        </w:tc>
        <w:tc>
          <w:tcPr>
            <w:tcW w:w="1434" w:type="dxa"/>
            <w:shd w:val="clear" w:color="auto" w:fill="FFFFFF"/>
            <w:tcMar>
              <w:top w:w="0" w:type="dxa"/>
              <w:left w:w="0" w:type="dxa"/>
              <w:bottom w:w="0" w:type="dxa"/>
              <w:right w:w="0" w:type="dxa"/>
            </w:tcMar>
            <w:vAlign w:val="center"/>
          </w:tcPr>
          <w:p w14:paraId="5CDA11F5" w14:textId="77777777" w:rsidR="006578DE" w:rsidRPr="006578DE" w:rsidRDefault="006578DE" w:rsidP="006578DE">
            <w:pPr>
              <w:spacing w:after="0"/>
              <w:ind w:left="90" w:right="90"/>
              <w:jc w:val="center"/>
              <w:textAlignment w:val="baseline"/>
              <w:rPr>
                <w:sz w:val="18"/>
                <w:szCs w:val="18"/>
              </w:rPr>
            </w:pPr>
            <w:r w:rsidRPr="006578DE">
              <w:rPr>
                <w:sz w:val="18"/>
                <w:szCs w:val="18"/>
              </w:rPr>
              <w:t>0 (0%)</w:t>
            </w:r>
          </w:p>
        </w:tc>
      </w:tr>
      <w:tr w:rsidR="006578DE" w14:paraId="1B7C9C95" w14:textId="77777777" w:rsidTr="00750232">
        <w:trPr>
          <w:cantSplit/>
          <w:jc w:val="center"/>
        </w:trPr>
        <w:tc>
          <w:tcPr>
            <w:tcW w:w="2385" w:type="dxa"/>
            <w:vMerge w:val="restart"/>
            <w:shd w:val="clear" w:color="auto" w:fill="FFFFFF"/>
            <w:tcMar>
              <w:top w:w="0" w:type="dxa"/>
              <w:left w:w="0" w:type="dxa"/>
              <w:bottom w:w="0" w:type="dxa"/>
              <w:right w:w="0" w:type="dxa"/>
            </w:tcMar>
            <w:vAlign w:val="center"/>
          </w:tcPr>
          <w:p w14:paraId="42AC65FF" w14:textId="77777777" w:rsidR="006578DE" w:rsidRPr="006578DE" w:rsidRDefault="006578DE" w:rsidP="006578DE">
            <w:pPr>
              <w:spacing w:after="0"/>
              <w:ind w:left="90" w:right="90"/>
              <w:textAlignment w:val="baseline"/>
              <w:rPr>
                <w:sz w:val="18"/>
                <w:szCs w:val="18"/>
              </w:rPr>
            </w:pPr>
            <w:r w:rsidRPr="006578DE">
              <w:rPr>
                <w:sz w:val="18"/>
                <w:szCs w:val="18"/>
              </w:rPr>
              <w:t>Improved patient knowledge about their medicines leading to improved medication use and disease self-management</w:t>
            </w:r>
          </w:p>
        </w:tc>
        <w:tc>
          <w:tcPr>
            <w:tcW w:w="2349" w:type="dxa"/>
            <w:shd w:val="clear" w:color="auto" w:fill="FFFFFF"/>
            <w:tcMar>
              <w:top w:w="0" w:type="dxa"/>
              <w:left w:w="0" w:type="dxa"/>
              <w:bottom w:w="0" w:type="dxa"/>
              <w:right w:w="0" w:type="dxa"/>
            </w:tcMar>
            <w:vAlign w:val="center"/>
          </w:tcPr>
          <w:p w14:paraId="6AD1CA2A" w14:textId="77777777" w:rsidR="006578DE" w:rsidRPr="006578DE" w:rsidRDefault="006578DE" w:rsidP="006578DE">
            <w:pPr>
              <w:spacing w:after="0"/>
              <w:ind w:left="90" w:right="90"/>
              <w:textAlignment w:val="baseline"/>
              <w:rPr>
                <w:sz w:val="18"/>
                <w:szCs w:val="18"/>
              </w:rPr>
            </w:pPr>
            <w:r w:rsidRPr="006578DE">
              <w:rPr>
                <w:sz w:val="18"/>
                <w:szCs w:val="18"/>
              </w:rPr>
              <w:t>Deterioration</w:t>
            </w:r>
          </w:p>
        </w:tc>
        <w:tc>
          <w:tcPr>
            <w:tcW w:w="1434" w:type="dxa"/>
            <w:shd w:val="clear" w:color="auto" w:fill="FFFFFF"/>
            <w:tcMar>
              <w:top w:w="0" w:type="dxa"/>
              <w:left w:w="0" w:type="dxa"/>
              <w:bottom w:w="0" w:type="dxa"/>
              <w:right w:w="0" w:type="dxa"/>
            </w:tcMar>
            <w:vAlign w:val="center"/>
          </w:tcPr>
          <w:p w14:paraId="0D45A7FE" w14:textId="77777777" w:rsidR="006578DE" w:rsidRPr="006578DE" w:rsidRDefault="006578DE" w:rsidP="006578DE">
            <w:pPr>
              <w:spacing w:after="0"/>
              <w:ind w:left="90" w:right="90"/>
              <w:jc w:val="center"/>
              <w:textAlignment w:val="baseline"/>
              <w:rPr>
                <w:sz w:val="18"/>
                <w:szCs w:val="18"/>
              </w:rPr>
            </w:pPr>
            <w:r w:rsidRPr="006578DE">
              <w:rPr>
                <w:sz w:val="18"/>
                <w:szCs w:val="18"/>
              </w:rPr>
              <w:t>61 (3.7%)</w:t>
            </w:r>
          </w:p>
        </w:tc>
        <w:tc>
          <w:tcPr>
            <w:tcW w:w="1434" w:type="dxa"/>
            <w:shd w:val="clear" w:color="auto" w:fill="FFFFFF"/>
            <w:tcMar>
              <w:top w:w="0" w:type="dxa"/>
              <w:left w:w="0" w:type="dxa"/>
              <w:bottom w:w="0" w:type="dxa"/>
              <w:right w:w="0" w:type="dxa"/>
            </w:tcMar>
            <w:vAlign w:val="center"/>
          </w:tcPr>
          <w:p w14:paraId="444A8321" w14:textId="77777777" w:rsidR="006578DE" w:rsidRPr="006578DE" w:rsidRDefault="006578DE" w:rsidP="006578DE">
            <w:pPr>
              <w:spacing w:after="0"/>
              <w:ind w:left="90" w:right="90"/>
              <w:jc w:val="center"/>
              <w:textAlignment w:val="baseline"/>
              <w:rPr>
                <w:sz w:val="18"/>
                <w:szCs w:val="18"/>
              </w:rPr>
            </w:pPr>
            <w:r w:rsidRPr="006578DE">
              <w:rPr>
                <w:sz w:val="18"/>
                <w:szCs w:val="18"/>
              </w:rPr>
              <w:t>66 (4.6%)</w:t>
            </w:r>
          </w:p>
        </w:tc>
        <w:tc>
          <w:tcPr>
            <w:tcW w:w="1434" w:type="dxa"/>
            <w:shd w:val="clear" w:color="auto" w:fill="FFFFFF"/>
            <w:tcMar>
              <w:top w:w="0" w:type="dxa"/>
              <w:left w:w="0" w:type="dxa"/>
              <w:bottom w:w="0" w:type="dxa"/>
              <w:right w:w="0" w:type="dxa"/>
            </w:tcMar>
            <w:vAlign w:val="center"/>
          </w:tcPr>
          <w:p w14:paraId="79956A3E" w14:textId="77777777" w:rsidR="006578DE" w:rsidRPr="006578DE" w:rsidRDefault="006578DE" w:rsidP="006578DE">
            <w:pPr>
              <w:spacing w:after="0"/>
              <w:ind w:left="90" w:right="90"/>
              <w:jc w:val="center"/>
              <w:textAlignment w:val="baseline"/>
              <w:rPr>
                <w:sz w:val="18"/>
                <w:szCs w:val="18"/>
              </w:rPr>
            </w:pPr>
            <w:r w:rsidRPr="006578DE">
              <w:rPr>
                <w:sz w:val="18"/>
                <w:szCs w:val="18"/>
              </w:rPr>
              <w:t>42 (3.9%)</w:t>
            </w:r>
          </w:p>
        </w:tc>
      </w:tr>
      <w:tr w:rsidR="006578DE" w14:paraId="74FDF655" w14:textId="77777777" w:rsidTr="00750232">
        <w:trPr>
          <w:cantSplit/>
          <w:jc w:val="center"/>
        </w:trPr>
        <w:tc>
          <w:tcPr>
            <w:tcW w:w="2385" w:type="dxa"/>
            <w:vMerge/>
            <w:shd w:val="clear" w:color="auto" w:fill="FFFFFF"/>
            <w:tcMar>
              <w:top w:w="0" w:type="dxa"/>
              <w:left w:w="0" w:type="dxa"/>
              <w:bottom w:w="0" w:type="dxa"/>
              <w:right w:w="0" w:type="dxa"/>
            </w:tcMar>
            <w:vAlign w:val="center"/>
          </w:tcPr>
          <w:p w14:paraId="168FADC3"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2109DD12" w14:textId="77777777" w:rsidR="006578DE" w:rsidRPr="006578DE" w:rsidRDefault="006578DE" w:rsidP="006578DE">
            <w:pPr>
              <w:spacing w:after="0"/>
              <w:ind w:left="90" w:right="90"/>
              <w:textAlignment w:val="baseline"/>
              <w:rPr>
                <w:sz w:val="18"/>
                <w:szCs w:val="18"/>
              </w:rPr>
            </w:pPr>
            <w:r w:rsidRPr="006578DE">
              <w:rPr>
                <w:sz w:val="18"/>
                <w:szCs w:val="18"/>
              </w:rPr>
              <w:t>No Change</w:t>
            </w:r>
          </w:p>
        </w:tc>
        <w:tc>
          <w:tcPr>
            <w:tcW w:w="1434" w:type="dxa"/>
            <w:shd w:val="clear" w:color="auto" w:fill="FFFFFF"/>
            <w:tcMar>
              <w:top w:w="0" w:type="dxa"/>
              <w:left w:w="0" w:type="dxa"/>
              <w:bottom w:w="0" w:type="dxa"/>
              <w:right w:w="0" w:type="dxa"/>
            </w:tcMar>
            <w:vAlign w:val="center"/>
          </w:tcPr>
          <w:p w14:paraId="1272BD1B" w14:textId="77777777" w:rsidR="006578DE" w:rsidRPr="006578DE" w:rsidRDefault="006578DE" w:rsidP="006578DE">
            <w:pPr>
              <w:spacing w:after="0"/>
              <w:ind w:left="90" w:right="90"/>
              <w:jc w:val="center"/>
              <w:textAlignment w:val="baseline"/>
              <w:rPr>
                <w:sz w:val="18"/>
                <w:szCs w:val="18"/>
              </w:rPr>
            </w:pPr>
            <w:r w:rsidRPr="006578DE">
              <w:rPr>
                <w:sz w:val="18"/>
                <w:szCs w:val="18"/>
              </w:rPr>
              <w:t>583 (35.2%)</w:t>
            </w:r>
          </w:p>
        </w:tc>
        <w:tc>
          <w:tcPr>
            <w:tcW w:w="1434" w:type="dxa"/>
            <w:shd w:val="clear" w:color="auto" w:fill="FFFFFF"/>
            <w:tcMar>
              <w:top w:w="0" w:type="dxa"/>
              <w:left w:w="0" w:type="dxa"/>
              <w:bottom w:w="0" w:type="dxa"/>
              <w:right w:w="0" w:type="dxa"/>
            </w:tcMar>
            <w:vAlign w:val="center"/>
          </w:tcPr>
          <w:p w14:paraId="56CD65D0" w14:textId="77777777" w:rsidR="006578DE" w:rsidRPr="006578DE" w:rsidRDefault="006578DE" w:rsidP="006578DE">
            <w:pPr>
              <w:spacing w:after="0"/>
              <w:ind w:left="90" w:right="90"/>
              <w:jc w:val="center"/>
              <w:textAlignment w:val="baseline"/>
              <w:rPr>
                <w:sz w:val="18"/>
                <w:szCs w:val="18"/>
              </w:rPr>
            </w:pPr>
            <w:r w:rsidRPr="006578DE">
              <w:rPr>
                <w:sz w:val="18"/>
                <w:szCs w:val="18"/>
              </w:rPr>
              <w:t>535 (37.7%)</w:t>
            </w:r>
          </w:p>
        </w:tc>
        <w:tc>
          <w:tcPr>
            <w:tcW w:w="1434" w:type="dxa"/>
            <w:shd w:val="clear" w:color="auto" w:fill="FFFFFF"/>
            <w:tcMar>
              <w:top w:w="0" w:type="dxa"/>
              <w:left w:w="0" w:type="dxa"/>
              <w:bottom w:w="0" w:type="dxa"/>
              <w:right w:w="0" w:type="dxa"/>
            </w:tcMar>
            <w:vAlign w:val="center"/>
          </w:tcPr>
          <w:p w14:paraId="20C7AE76" w14:textId="77777777" w:rsidR="006578DE" w:rsidRPr="006578DE" w:rsidRDefault="006578DE" w:rsidP="006578DE">
            <w:pPr>
              <w:spacing w:after="0"/>
              <w:ind w:left="90" w:right="90"/>
              <w:jc w:val="center"/>
              <w:textAlignment w:val="baseline"/>
              <w:rPr>
                <w:sz w:val="18"/>
                <w:szCs w:val="18"/>
              </w:rPr>
            </w:pPr>
            <w:r w:rsidRPr="006578DE">
              <w:rPr>
                <w:sz w:val="18"/>
                <w:szCs w:val="18"/>
              </w:rPr>
              <w:t>373 (34.6%)</w:t>
            </w:r>
          </w:p>
        </w:tc>
      </w:tr>
      <w:tr w:rsidR="006578DE" w14:paraId="0E666864" w14:textId="77777777" w:rsidTr="00750232">
        <w:trPr>
          <w:cantSplit/>
          <w:jc w:val="center"/>
        </w:trPr>
        <w:tc>
          <w:tcPr>
            <w:tcW w:w="2385" w:type="dxa"/>
            <w:vMerge/>
            <w:shd w:val="clear" w:color="auto" w:fill="FFFFFF"/>
            <w:tcMar>
              <w:top w:w="0" w:type="dxa"/>
              <w:left w:w="0" w:type="dxa"/>
              <w:bottom w:w="0" w:type="dxa"/>
              <w:right w:w="0" w:type="dxa"/>
            </w:tcMar>
            <w:vAlign w:val="center"/>
          </w:tcPr>
          <w:p w14:paraId="4DE00E1E"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278A7CD3" w14:textId="77777777" w:rsidR="006578DE" w:rsidRPr="006578DE" w:rsidRDefault="006578DE" w:rsidP="006578DE">
            <w:pPr>
              <w:spacing w:after="0"/>
              <w:ind w:left="90" w:right="90"/>
              <w:textAlignment w:val="baseline"/>
              <w:rPr>
                <w:sz w:val="18"/>
                <w:szCs w:val="18"/>
              </w:rPr>
            </w:pPr>
            <w:r w:rsidRPr="006578DE">
              <w:rPr>
                <w:sz w:val="18"/>
                <w:szCs w:val="18"/>
              </w:rPr>
              <w:t>Partial improvement</w:t>
            </w:r>
          </w:p>
        </w:tc>
        <w:tc>
          <w:tcPr>
            <w:tcW w:w="1434" w:type="dxa"/>
            <w:shd w:val="clear" w:color="auto" w:fill="FFFFFF"/>
            <w:tcMar>
              <w:top w:w="0" w:type="dxa"/>
              <w:left w:w="0" w:type="dxa"/>
              <w:bottom w:w="0" w:type="dxa"/>
              <w:right w:w="0" w:type="dxa"/>
            </w:tcMar>
            <w:vAlign w:val="center"/>
          </w:tcPr>
          <w:p w14:paraId="06E38206" w14:textId="77777777" w:rsidR="006578DE" w:rsidRPr="006578DE" w:rsidRDefault="006578DE" w:rsidP="006578DE">
            <w:pPr>
              <w:spacing w:after="0"/>
              <w:ind w:left="90" w:right="90"/>
              <w:jc w:val="center"/>
              <w:textAlignment w:val="baseline"/>
              <w:rPr>
                <w:sz w:val="18"/>
                <w:szCs w:val="18"/>
              </w:rPr>
            </w:pPr>
            <w:r w:rsidRPr="006578DE">
              <w:rPr>
                <w:sz w:val="18"/>
                <w:szCs w:val="18"/>
              </w:rPr>
              <w:t>656 (39.6%)</w:t>
            </w:r>
          </w:p>
        </w:tc>
        <w:tc>
          <w:tcPr>
            <w:tcW w:w="1434" w:type="dxa"/>
            <w:shd w:val="clear" w:color="auto" w:fill="FFFFFF"/>
            <w:tcMar>
              <w:top w:w="0" w:type="dxa"/>
              <w:left w:w="0" w:type="dxa"/>
              <w:bottom w:w="0" w:type="dxa"/>
              <w:right w:w="0" w:type="dxa"/>
            </w:tcMar>
            <w:vAlign w:val="center"/>
          </w:tcPr>
          <w:p w14:paraId="60FFCBB6" w14:textId="77777777" w:rsidR="006578DE" w:rsidRPr="006578DE" w:rsidRDefault="006578DE" w:rsidP="006578DE">
            <w:pPr>
              <w:spacing w:after="0"/>
              <w:ind w:left="90" w:right="90"/>
              <w:jc w:val="center"/>
              <w:textAlignment w:val="baseline"/>
              <w:rPr>
                <w:sz w:val="18"/>
                <w:szCs w:val="18"/>
              </w:rPr>
            </w:pPr>
            <w:r w:rsidRPr="006578DE">
              <w:rPr>
                <w:sz w:val="18"/>
                <w:szCs w:val="18"/>
              </w:rPr>
              <w:t>570 (40.1%)</w:t>
            </w:r>
          </w:p>
        </w:tc>
        <w:tc>
          <w:tcPr>
            <w:tcW w:w="1434" w:type="dxa"/>
            <w:shd w:val="clear" w:color="auto" w:fill="FFFFFF"/>
            <w:tcMar>
              <w:top w:w="0" w:type="dxa"/>
              <w:left w:w="0" w:type="dxa"/>
              <w:bottom w:w="0" w:type="dxa"/>
              <w:right w:w="0" w:type="dxa"/>
            </w:tcMar>
            <w:vAlign w:val="center"/>
          </w:tcPr>
          <w:p w14:paraId="5036F369" w14:textId="77777777" w:rsidR="006578DE" w:rsidRPr="006578DE" w:rsidRDefault="006578DE" w:rsidP="006578DE">
            <w:pPr>
              <w:spacing w:after="0"/>
              <w:ind w:left="90" w:right="90"/>
              <w:jc w:val="center"/>
              <w:textAlignment w:val="baseline"/>
              <w:rPr>
                <w:sz w:val="18"/>
                <w:szCs w:val="18"/>
              </w:rPr>
            </w:pPr>
            <w:r w:rsidRPr="006578DE">
              <w:rPr>
                <w:sz w:val="18"/>
                <w:szCs w:val="18"/>
              </w:rPr>
              <w:t>491 (45.5%)</w:t>
            </w:r>
          </w:p>
        </w:tc>
      </w:tr>
      <w:tr w:rsidR="006578DE" w14:paraId="03F6B819" w14:textId="77777777" w:rsidTr="00750232">
        <w:trPr>
          <w:cantSplit/>
          <w:jc w:val="center"/>
        </w:trPr>
        <w:tc>
          <w:tcPr>
            <w:tcW w:w="2385" w:type="dxa"/>
            <w:vMerge/>
            <w:shd w:val="clear" w:color="auto" w:fill="FFFFFF"/>
            <w:tcMar>
              <w:top w:w="0" w:type="dxa"/>
              <w:left w:w="0" w:type="dxa"/>
              <w:bottom w:w="0" w:type="dxa"/>
              <w:right w:w="0" w:type="dxa"/>
            </w:tcMar>
            <w:vAlign w:val="center"/>
          </w:tcPr>
          <w:p w14:paraId="09BF85BF"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137A9375" w14:textId="77777777" w:rsidR="006578DE" w:rsidRPr="006578DE" w:rsidRDefault="006578DE" w:rsidP="006578DE">
            <w:pPr>
              <w:spacing w:after="0"/>
              <w:ind w:left="90" w:right="90"/>
              <w:textAlignment w:val="baseline"/>
              <w:rPr>
                <w:sz w:val="18"/>
                <w:szCs w:val="18"/>
              </w:rPr>
            </w:pPr>
            <w:r w:rsidRPr="006578DE">
              <w:rPr>
                <w:sz w:val="18"/>
                <w:szCs w:val="18"/>
              </w:rPr>
              <w:t>Significant improvement</w:t>
            </w:r>
          </w:p>
        </w:tc>
        <w:tc>
          <w:tcPr>
            <w:tcW w:w="1434" w:type="dxa"/>
            <w:shd w:val="clear" w:color="auto" w:fill="FFFFFF"/>
            <w:tcMar>
              <w:top w:w="0" w:type="dxa"/>
              <w:left w:w="0" w:type="dxa"/>
              <w:bottom w:w="0" w:type="dxa"/>
              <w:right w:w="0" w:type="dxa"/>
            </w:tcMar>
            <w:vAlign w:val="center"/>
          </w:tcPr>
          <w:p w14:paraId="6077A347" w14:textId="77777777" w:rsidR="006578DE" w:rsidRPr="006578DE" w:rsidRDefault="006578DE" w:rsidP="006578DE">
            <w:pPr>
              <w:spacing w:after="0"/>
              <w:ind w:left="90" w:right="90"/>
              <w:jc w:val="center"/>
              <w:textAlignment w:val="baseline"/>
              <w:rPr>
                <w:sz w:val="18"/>
                <w:szCs w:val="18"/>
              </w:rPr>
            </w:pPr>
            <w:r w:rsidRPr="006578DE">
              <w:rPr>
                <w:sz w:val="18"/>
                <w:szCs w:val="18"/>
              </w:rPr>
              <w:t>269 (16.2%)</w:t>
            </w:r>
          </w:p>
        </w:tc>
        <w:tc>
          <w:tcPr>
            <w:tcW w:w="1434" w:type="dxa"/>
            <w:shd w:val="clear" w:color="auto" w:fill="FFFFFF"/>
            <w:tcMar>
              <w:top w:w="0" w:type="dxa"/>
              <w:left w:w="0" w:type="dxa"/>
              <w:bottom w:w="0" w:type="dxa"/>
              <w:right w:w="0" w:type="dxa"/>
            </w:tcMar>
            <w:vAlign w:val="center"/>
          </w:tcPr>
          <w:p w14:paraId="68BFC856" w14:textId="77777777" w:rsidR="006578DE" w:rsidRPr="006578DE" w:rsidRDefault="006578DE" w:rsidP="006578DE">
            <w:pPr>
              <w:spacing w:after="0"/>
              <w:ind w:left="90" w:right="90"/>
              <w:jc w:val="center"/>
              <w:textAlignment w:val="baseline"/>
              <w:rPr>
                <w:sz w:val="18"/>
                <w:szCs w:val="18"/>
              </w:rPr>
            </w:pPr>
            <w:r w:rsidRPr="006578DE">
              <w:rPr>
                <w:sz w:val="18"/>
                <w:szCs w:val="18"/>
              </w:rPr>
              <w:t>198 (13.9%)</w:t>
            </w:r>
          </w:p>
        </w:tc>
        <w:tc>
          <w:tcPr>
            <w:tcW w:w="1434" w:type="dxa"/>
            <w:shd w:val="clear" w:color="auto" w:fill="FFFFFF"/>
            <w:tcMar>
              <w:top w:w="0" w:type="dxa"/>
              <w:left w:w="0" w:type="dxa"/>
              <w:bottom w:w="0" w:type="dxa"/>
              <w:right w:w="0" w:type="dxa"/>
            </w:tcMar>
            <w:vAlign w:val="center"/>
          </w:tcPr>
          <w:p w14:paraId="20757A83" w14:textId="77777777" w:rsidR="006578DE" w:rsidRPr="006578DE" w:rsidRDefault="006578DE" w:rsidP="006578DE">
            <w:pPr>
              <w:spacing w:after="0"/>
              <w:ind w:left="90" w:right="90"/>
              <w:jc w:val="center"/>
              <w:textAlignment w:val="baseline"/>
              <w:rPr>
                <w:sz w:val="18"/>
                <w:szCs w:val="18"/>
              </w:rPr>
            </w:pPr>
            <w:r w:rsidRPr="006578DE">
              <w:rPr>
                <w:sz w:val="18"/>
                <w:szCs w:val="18"/>
              </w:rPr>
              <w:t>117 (10.9%)</w:t>
            </w:r>
          </w:p>
        </w:tc>
      </w:tr>
      <w:tr w:rsidR="006578DE" w14:paraId="1FB057A4" w14:textId="77777777" w:rsidTr="00750232">
        <w:trPr>
          <w:cantSplit/>
          <w:jc w:val="center"/>
        </w:trPr>
        <w:tc>
          <w:tcPr>
            <w:tcW w:w="2385" w:type="dxa"/>
            <w:vMerge/>
            <w:shd w:val="clear" w:color="auto" w:fill="FFFFFF"/>
            <w:tcMar>
              <w:top w:w="0" w:type="dxa"/>
              <w:left w:w="0" w:type="dxa"/>
              <w:bottom w:w="0" w:type="dxa"/>
              <w:right w:w="0" w:type="dxa"/>
            </w:tcMar>
            <w:vAlign w:val="center"/>
          </w:tcPr>
          <w:p w14:paraId="2B013701"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68A7E35F" w14:textId="77777777" w:rsidR="006578DE" w:rsidRPr="006578DE" w:rsidRDefault="006578DE" w:rsidP="006578DE">
            <w:pPr>
              <w:spacing w:after="0"/>
              <w:ind w:left="90" w:right="90"/>
              <w:textAlignment w:val="baseline"/>
              <w:rPr>
                <w:sz w:val="18"/>
                <w:szCs w:val="18"/>
              </w:rPr>
            </w:pPr>
            <w:r w:rsidRPr="006578DE">
              <w:rPr>
                <w:sz w:val="18"/>
                <w:szCs w:val="18"/>
              </w:rPr>
              <w:t>Other</w:t>
            </w:r>
          </w:p>
        </w:tc>
        <w:tc>
          <w:tcPr>
            <w:tcW w:w="1434" w:type="dxa"/>
            <w:shd w:val="clear" w:color="auto" w:fill="FFFFFF"/>
            <w:tcMar>
              <w:top w:w="0" w:type="dxa"/>
              <w:left w:w="0" w:type="dxa"/>
              <w:bottom w:w="0" w:type="dxa"/>
              <w:right w:w="0" w:type="dxa"/>
            </w:tcMar>
            <w:vAlign w:val="center"/>
          </w:tcPr>
          <w:p w14:paraId="0BCAB4B1" w14:textId="77777777" w:rsidR="006578DE" w:rsidRPr="006578DE" w:rsidRDefault="006578DE" w:rsidP="006578DE">
            <w:pPr>
              <w:spacing w:after="0"/>
              <w:ind w:left="90" w:right="90"/>
              <w:jc w:val="center"/>
              <w:textAlignment w:val="baseline"/>
              <w:rPr>
                <w:sz w:val="18"/>
                <w:szCs w:val="18"/>
              </w:rPr>
            </w:pPr>
            <w:r w:rsidRPr="006578DE">
              <w:rPr>
                <w:sz w:val="18"/>
                <w:szCs w:val="18"/>
              </w:rPr>
              <w:t>88 (5.3%)</w:t>
            </w:r>
          </w:p>
        </w:tc>
        <w:tc>
          <w:tcPr>
            <w:tcW w:w="1434" w:type="dxa"/>
            <w:shd w:val="clear" w:color="auto" w:fill="FFFFFF"/>
            <w:tcMar>
              <w:top w:w="0" w:type="dxa"/>
              <w:left w:w="0" w:type="dxa"/>
              <w:bottom w:w="0" w:type="dxa"/>
              <w:right w:w="0" w:type="dxa"/>
            </w:tcMar>
            <w:vAlign w:val="center"/>
          </w:tcPr>
          <w:p w14:paraId="7A82A378" w14:textId="77777777" w:rsidR="006578DE" w:rsidRPr="006578DE" w:rsidRDefault="006578DE" w:rsidP="006578DE">
            <w:pPr>
              <w:spacing w:after="0"/>
              <w:ind w:left="90" w:right="90"/>
              <w:jc w:val="center"/>
              <w:textAlignment w:val="baseline"/>
              <w:rPr>
                <w:sz w:val="18"/>
                <w:szCs w:val="18"/>
              </w:rPr>
            </w:pPr>
            <w:r w:rsidRPr="006578DE">
              <w:rPr>
                <w:sz w:val="18"/>
                <w:szCs w:val="18"/>
              </w:rPr>
              <w:t>51 (3.6%)</w:t>
            </w:r>
          </w:p>
        </w:tc>
        <w:tc>
          <w:tcPr>
            <w:tcW w:w="1434" w:type="dxa"/>
            <w:shd w:val="clear" w:color="auto" w:fill="FFFFFF"/>
            <w:tcMar>
              <w:top w:w="0" w:type="dxa"/>
              <w:left w:w="0" w:type="dxa"/>
              <w:bottom w:w="0" w:type="dxa"/>
              <w:right w:w="0" w:type="dxa"/>
            </w:tcMar>
            <w:vAlign w:val="center"/>
          </w:tcPr>
          <w:p w14:paraId="00C62324" w14:textId="77777777" w:rsidR="006578DE" w:rsidRPr="006578DE" w:rsidRDefault="006578DE" w:rsidP="006578DE">
            <w:pPr>
              <w:spacing w:after="0"/>
              <w:ind w:left="90" w:right="90"/>
              <w:jc w:val="center"/>
              <w:textAlignment w:val="baseline"/>
              <w:rPr>
                <w:sz w:val="18"/>
                <w:szCs w:val="18"/>
              </w:rPr>
            </w:pPr>
            <w:r w:rsidRPr="006578DE">
              <w:rPr>
                <w:sz w:val="18"/>
                <w:szCs w:val="18"/>
              </w:rPr>
              <w:t>55 (5.1%)</w:t>
            </w:r>
          </w:p>
        </w:tc>
      </w:tr>
      <w:tr w:rsidR="006578DE" w14:paraId="6A80F626" w14:textId="77777777" w:rsidTr="00750232">
        <w:trPr>
          <w:cantSplit/>
          <w:jc w:val="center"/>
        </w:trPr>
        <w:tc>
          <w:tcPr>
            <w:tcW w:w="2385" w:type="dxa"/>
            <w:vMerge w:val="restart"/>
            <w:shd w:val="clear" w:color="auto" w:fill="FFFFFF"/>
            <w:tcMar>
              <w:top w:w="0" w:type="dxa"/>
              <w:left w:w="0" w:type="dxa"/>
              <w:bottom w:w="0" w:type="dxa"/>
              <w:right w:w="0" w:type="dxa"/>
            </w:tcMar>
            <w:vAlign w:val="center"/>
          </w:tcPr>
          <w:p w14:paraId="4B1EFE74" w14:textId="77777777" w:rsidR="006578DE" w:rsidRPr="006578DE" w:rsidRDefault="006578DE" w:rsidP="006578DE">
            <w:pPr>
              <w:spacing w:after="0"/>
              <w:ind w:left="90" w:right="90"/>
              <w:textAlignment w:val="baseline"/>
              <w:rPr>
                <w:sz w:val="18"/>
                <w:szCs w:val="18"/>
              </w:rPr>
            </w:pPr>
            <w:r w:rsidRPr="006578DE">
              <w:rPr>
                <w:sz w:val="18"/>
                <w:szCs w:val="18"/>
              </w:rPr>
              <w:t>Improved technique/usage of medication devices</w:t>
            </w:r>
          </w:p>
        </w:tc>
        <w:tc>
          <w:tcPr>
            <w:tcW w:w="2349" w:type="dxa"/>
            <w:shd w:val="clear" w:color="auto" w:fill="FFFFFF"/>
            <w:tcMar>
              <w:top w:w="0" w:type="dxa"/>
              <w:left w:w="0" w:type="dxa"/>
              <w:bottom w:w="0" w:type="dxa"/>
              <w:right w:w="0" w:type="dxa"/>
            </w:tcMar>
            <w:vAlign w:val="center"/>
          </w:tcPr>
          <w:p w14:paraId="7F1473BD" w14:textId="77777777" w:rsidR="006578DE" w:rsidRPr="006578DE" w:rsidRDefault="006578DE" w:rsidP="006578DE">
            <w:pPr>
              <w:spacing w:after="0"/>
              <w:ind w:left="90" w:right="90"/>
              <w:textAlignment w:val="baseline"/>
              <w:rPr>
                <w:sz w:val="18"/>
                <w:szCs w:val="18"/>
              </w:rPr>
            </w:pPr>
            <w:r w:rsidRPr="006578DE">
              <w:rPr>
                <w:sz w:val="18"/>
                <w:szCs w:val="18"/>
              </w:rPr>
              <w:t>Deterioration</w:t>
            </w:r>
          </w:p>
        </w:tc>
        <w:tc>
          <w:tcPr>
            <w:tcW w:w="1434" w:type="dxa"/>
            <w:shd w:val="clear" w:color="auto" w:fill="FFFFFF"/>
            <w:tcMar>
              <w:top w:w="0" w:type="dxa"/>
              <w:left w:w="0" w:type="dxa"/>
              <w:bottom w:w="0" w:type="dxa"/>
              <w:right w:w="0" w:type="dxa"/>
            </w:tcMar>
            <w:vAlign w:val="center"/>
          </w:tcPr>
          <w:p w14:paraId="4EA9246D" w14:textId="77777777" w:rsidR="006578DE" w:rsidRPr="006578DE" w:rsidRDefault="006578DE" w:rsidP="006578DE">
            <w:pPr>
              <w:spacing w:after="0"/>
              <w:ind w:left="90" w:right="90"/>
              <w:jc w:val="center"/>
              <w:textAlignment w:val="baseline"/>
              <w:rPr>
                <w:sz w:val="18"/>
                <w:szCs w:val="18"/>
              </w:rPr>
            </w:pPr>
            <w:r w:rsidRPr="006578DE">
              <w:rPr>
                <w:sz w:val="18"/>
                <w:szCs w:val="18"/>
              </w:rPr>
              <w:t>8 (1.7%)</w:t>
            </w:r>
          </w:p>
        </w:tc>
        <w:tc>
          <w:tcPr>
            <w:tcW w:w="1434" w:type="dxa"/>
            <w:shd w:val="clear" w:color="auto" w:fill="FFFFFF"/>
            <w:tcMar>
              <w:top w:w="0" w:type="dxa"/>
              <w:left w:w="0" w:type="dxa"/>
              <w:bottom w:w="0" w:type="dxa"/>
              <w:right w:w="0" w:type="dxa"/>
            </w:tcMar>
            <w:vAlign w:val="center"/>
          </w:tcPr>
          <w:p w14:paraId="49E752B9" w14:textId="77777777" w:rsidR="006578DE" w:rsidRPr="006578DE" w:rsidRDefault="006578DE" w:rsidP="006578DE">
            <w:pPr>
              <w:spacing w:after="0"/>
              <w:ind w:left="90" w:right="90"/>
              <w:jc w:val="center"/>
              <w:textAlignment w:val="baseline"/>
              <w:rPr>
                <w:sz w:val="18"/>
                <w:szCs w:val="18"/>
              </w:rPr>
            </w:pPr>
            <w:r w:rsidRPr="006578DE">
              <w:rPr>
                <w:sz w:val="18"/>
                <w:szCs w:val="18"/>
              </w:rPr>
              <w:t>12 (3.4%)</w:t>
            </w:r>
          </w:p>
        </w:tc>
        <w:tc>
          <w:tcPr>
            <w:tcW w:w="1434" w:type="dxa"/>
            <w:shd w:val="clear" w:color="auto" w:fill="FFFFFF"/>
            <w:tcMar>
              <w:top w:w="0" w:type="dxa"/>
              <w:left w:w="0" w:type="dxa"/>
              <w:bottom w:w="0" w:type="dxa"/>
              <w:right w:w="0" w:type="dxa"/>
            </w:tcMar>
            <w:vAlign w:val="center"/>
          </w:tcPr>
          <w:p w14:paraId="4A5D56FA" w14:textId="77777777" w:rsidR="006578DE" w:rsidRPr="006578DE" w:rsidRDefault="006578DE" w:rsidP="006578DE">
            <w:pPr>
              <w:spacing w:after="0"/>
              <w:ind w:left="90" w:right="90"/>
              <w:jc w:val="center"/>
              <w:textAlignment w:val="baseline"/>
              <w:rPr>
                <w:sz w:val="18"/>
                <w:szCs w:val="18"/>
              </w:rPr>
            </w:pPr>
            <w:r w:rsidRPr="006578DE">
              <w:rPr>
                <w:sz w:val="18"/>
                <w:szCs w:val="18"/>
              </w:rPr>
              <w:t>5 (1.9%)</w:t>
            </w:r>
          </w:p>
        </w:tc>
      </w:tr>
      <w:tr w:rsidR="006578DE" w14:paraId="162DDFC5" w14:textId="77777777" w:rsidTr="00750232">
        <w:trPr>
          <w:cantSplit/>
          <w:jc w:val="center"/>
        </w:trPr>
        <w:tc>
          <w:tcPr>
            <w:tcW w:w="2385" w:type="dxa"/>
            <w:vMerge/>
            <w:shd w:val="clear" w:color="auto" w:fill="FFFFFF"/>
            <w:tcMar>
              <w:top w:w="0" w:type="dxa"/>
              <w:left w:w="0" w:type="dxa"/>
              <w:bottom w:w="0" w:type="dxa"/>
              <w:right w:w="0" w:type="dxa"/>
            </w:tcMar>
            <w:vAlign w:val="center"/>
          </w:tcPr>
          <w:p w14:paraId="70700C68"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1598F49C" w14:textId="77777777" w:rsidR="006578DE" w:rsidRPr="006578DE" w:rsidRDefault="006578DE" w:rsidP="006578DE">
            <w:pPr>
              <w:spacing w:after="0"/>
              <w:ind w:left="90" w:right="90"/>
              <w:textAlignment w:val="baseline"/>
              <w:rPr>
                <w:sz w:val="18"/>
                <w:szCs w:val="18"/>
              </w:rPr>
            </w:pPr>
            <w:r w:rsidRPr="006578DE">
              <w:rPr>
                <w:sz w:val="18"/>
                <w:szCs w:val="18"/>
              </w:rPr>
              <w:t>No Change</w:t>
            </w:r>
          </w:p>
        </w:tc>
        <w:tc>
          <w:tcPr>
            <w:tcW w:w="1434" w:type="dxa"/>
            <w:shd w:val="clear" w:color="auto" w:fill="FFFFFF"/>
            <w:tcMar>
              <w:top w:w="0" w:type="dxa"/>
              <w:left w:w="0" w:type="dxa"/>
              <w:bottom w:w="0" w:type="dxa"/>
              <w:right w:w="0" w:type="dxa"/>
            </w:tcMar>
            <w:vAlign w:val="center"/>
          </w:tcPr>
          <w:p w14:paraId="27ECBDD8" w14:textId="77777777" w:rsidR="006578DE" w:rsidRPr="006578DE" w:rsidRDefault="006578DE" w:rsidP="006578DE">
            <w:pPr>
              <w:spacing w:after="0"/>
              <w:ind w:left="90" w:right="90"/>
              <w:jc w:val="center"/>
              <w:textAlignment w:val="baseline"/>
              <w:rPr>
                <w:sz w:val="18"/>
                <w:szCs w:val="18"/>
              </w:rPr>
            </w:pPr>
            <w:r w:rsidRPr="006578DE">
              <w:rPr>
                <w:sz w:val="18"/>
                <w:szCs w:val="18"/>
              </w:rPr>
              <w:t>194 (40.4%)</w:t>
            </w:r>
          </w:p>
        </w:tc>
        <w:tc>
          <w:tcPr>
            <w:tcW w:w="1434" w:type="dxa"/>
            <w:shd w:val="clear" w:color="auto" w:fill="FFFFFF"/>
            <w:tcMar>
              <w:top w:w="0" w:type="dxa"/>
              <w:left w:w="0" w:type="dxa"/>
              <w:bottom w:w="0" w:type="dxa"/>
              <w:right w:w="0" w:type="dxa"/>
            </w:tcMar>
            <w:vAlign w:val="center"/>
          </w:tcPr>
          <w:p w14:paraId="403BD1A6" w14:textId="77777777" w:rsidR="006578DE" w:rsidRPr="006578DE" w:rsidRDefault="006578DE" w:rsidP="006578DE">
            <w:pPr>
              <w:spacing w:after="0"/>
              <w:ind w:left="90" w:right="90"/>
              <w:jc w:val="center"/>
              <w:textAlignment w:val="baseline"/>
              <w:rPr>
                <w:sz w:val="18"/>
                <w:szCs w:val="18"/>
              </w:rPr>
            </w:pPr>
            <w:r w:rsidRPr="006578DE">
              <w:rPr>
                <w:sz w:val="18"/>
                <w:szCs w:val="18"/>
              </w:rPr>
              <w:t>133 (37.5%)</w:t>
            </w:r>
          </w:p>
        </w:tc>
        <w:tc>
          <w:tcPr>
            <w:tcW w:w="1434" w:type="dxa"/>
            <w:shd w:val="clear" w:color="auto" w:fill="FFFFFF"/>
            <w:tcMar>
              <w:top w:w="0" w:type="dxa"/>
              <w:left w:w="0" w:type="dxa"/>
              <w:bottom w:w="0" w:type="dxa"/>
              <w:right w:w="0" w:type="dxa"/>
            </w:tcMar>
            <w:vAlign w:val="center"/>
          </w:tcPr>
          <w:p w14:paraId="51E6A066" w14:textId="77777777" w:rsidR="006578DE" w:rsidRPr="006578DE" w:rsidRDefault="006578DE" w:rsidP="006578DE">
            <w:pPr>
              <w:spacing w:after="0"/>
              <w:ind w:left="90" w:right="90"/>
              <w:jc w:val="center"/>
              <w:textAlignment w:val="baseline"/>
              <w:rPr>
                <w:sz w:val="18"/>
                <w:szCs w:val="18"/>
              </w:rPr>
            </w:pPr>
            <w:r w:rsidRPr="006578DE">
              <w:rPr>
                <w:sz w:val="18"/>
                <w:szCs w:val="18"/>
              </w:rPr>
              <w:t>106 (40.9%)</w:t>
            </w:r>
          </w:p>
        </w:tc>
      </w:tr>
      <w:tr w:rsidR="006578DE" w14:paraId="51ADDE53" w14:textId="77777777" w:rsidTr="00750232">
        <w:trPr>
          <w:cantSplit/>
          <w:jc w:val="center"/>
        </w:trPr>
        <w:tc>
          <w:tcPr>
            <w:tcW w:w="2385" w:type="dxa"/>
            <w:vMerge/>
            <w:shd w:val="clear" w:color="auto" w:fill="FFFFFF"/>
            <w:tcMar>
              <w:top w:w="0" w:type="dxa"/>
              <w:left w:w="0" w:type="dxa"/>
              <w:bottom w:w="0" w:type="dxa"/>
              <w:right w:w="0" w:type="dxa"/>
            </w:tcMar>
            <w:vAlign w:val="center"/>
          </w:tcPr>
          <w:p w14:paraId="78EE3512"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6576EFB1" w14:textId="77777777" w:rsidR="006578DE" w:rsidRPr="006578DE" w:rsidRDefault="006578DE" w:rsidP="006578DE">
            <w:pPr>
              <w:spacing w:after="0"/>
              <w:ind w:left="90" w:right="90"/>
              <w:textAlignment w:val="baseline"/>
              <w:rPr>
                <w:sz w:val="18"/>
                <w:szCs w:val="18"/>
              </w:rPr>
            </w:pPr>
            <w:r w:rsidRPr="006578DE">
              <w:rPr>
                <w:sz w:val="18"/>
                <w:szCs w:val="18"/>
              </w:rPr>
              <w:t>Partial improvement</w:t>
            </w:r>
          </w:p>
        </w:tc>
        <w:tc>
          <w:tcPr>
            <w:tcW w:w="1434" w:type="dxa"/>
            <w:shd w:val="clear" w:color="auto" w:fill="FFFFFF"/>
            <w:tcMar>
              <w:top w:w="0" w:type="dxa"/>
              <w:left w:w="0" w:type="dxa"/>
              <w:bottom w:w="0" w:type="dxa"/>
              <w:right w:w="0" w:type="dxa"/>
            </w:tcMar>
            <w:vAlign w:val="center"/>
          </w:tcPr>
          <w:p w14:paraId="1ED658C2" w14:textId="77777777" w:rsidR="006578DE" w:rsidRPr="006578DE" w:rsidRDefault="006578DE" w:rsidP="006578DE">
            <w:pPr>
              <w:spacing w:after="0"/>
              <w:ind w:left="90" w:right="90"/>
              <w:jc w:val="center"/>
              <w:textAlignment w:val="baseline"/>
              <w:rPr>
                <w:sz w:val="18"/>
                <w:szCs w:val="18"/>
              </w:rPr>
            </w:pPr>
            <w:r w:rsidRPr="006578DE">
              <w:rPr>
                <w:sz w:val="18"/>
                <w:szCs w:val="18"/>
              </w:rPr>
              <w:t>141 (29.4%)</w:t>
            </w:r>
          </w:p>
        </w:tc>
        <w:tc>
          <w:tcPr>
            <w:tcW w:w="1434" w:type="dxa"/>
            <w:shd w:val="clear" w:color="auto" w:fill="FFFFFF"/>
            <w:tcMar>
              <w:top w:w="0" w:type="dxa"/>
              <w:left w:w="0" w:type="dxa"/>
              <w:bottom w:w="0" w:type="dxa"/>
              <w:right w:w="0" w:type="dxa"/>
            </w:tcMar>
            <w:vAlign w:val="center"/>
          </w:tcPr>
          <w:p w14:paraId="2017BCD5" w14:textId="77777777" w:rsidR="006578DE" w:rsidRPr="006578DE" w:rsidRDefault="006578DE" w:rsidP="006578DE">
            <w:pPr>
              <w:spacing w:after="0"/>
              <w:ind w:left="90" w:right="90"/>
              <w:jc w:val="center"/>
              <w:textAlignment w:val="baseline"/>
              <w:rPr>
                <w:sz w:val="18"/>
                <w:szCs w:val="18"/>
              </w:rPr>
            </w:pPr>
            <w:r w:rsidRPr="006578DE">
              <w:rPr>
                <w:sz w:val="18"/>
                <w:szCs w:val="18"/>
              </w:rPr>
              <w:t>169 (47.6%)</w:t>
            </w:r>
          </w:p>
        </w:tc>
        <w:tc>
          <w:tcPr>
            <w:tcW w:w="1434" w:type="dxa"/>
            <w:shd w:val="clear" w:color="auto" w:fill="FFFFFF"/>
            <w:tcMar>
              <w:top w:w="0" w:type="dxa"/>
              <w:left w:w="0" w:type="dxa"/>
              <w:bottom w:w="0" w:type="dxa"/>
              <w:right w:w="0" w:type="dxa"/>
            </w:tcMar>
            <w:vAlign w:val="center"/>
          </w:tcPr>
          <w:p w14:paraId="49B3ED41" w14:textId="77777777" w:rsidR="006578DE" w:rsidRPr="006578DE" w:rsidRDefault="006578DE" w:rsidP="006578DE">
            <w:pPr>
              <w:spacing w:after="0"/>
              <w:ind w:left="90" w:right="90"/>
              <w:jc w:val="center"/>
              <w:textAlignment w:val="baseline"/>
              <w:rPr>
                <w:sz w:val="18"/>
                <w:szCs w:val="18"/>
              </w:rPr>
            </w:pPr>
            <w:r w:rsidRPr="006578DE">
              <w:rPr>
                <w:sz w:val="18"/>
                <w:szCs w:val="18"/>
              </w:rPr>
              <w:t>111 (42.9%)</w:t>
            </w:r>
          </w:p>
        </w:tc>
      </w:tr>
      <w:tr w:rsidR="006578DE" w14:paraId="7C01F0FD" w14:textId="77777777" w:rsidTr="00750232">
        <w:trPr>
          <w:cantSplit/>
          <w:jc w:val="center"/>
        </w:trPr>
        <w:tc>
          <w:tcPr>
            <w:tcW w:w="2385" w:type="dxa"/>
            <w:vMerge/>
            <w:shd w:val="clear" w:color="auto" w:fill="FFFFFF"/>
            <w:tcMar>
              <w:top w:w="0" w:type="dxa"/>
              <w:left w:w="0" w:type="dxa"/>
              <w:bottom w:w="0" w:type="dxa"/>
              <w:right w:w="0" w:type="dxa"/>
            </w:tcMar>
            <w:vAlign w:val="center"/>
          </w:tcPr>
          <w:p w14:paraId="1636F05E"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54B0144C" w14:textId="77777777" w:rsidR="006578DE" w:rsidRPr="006578DE" w:rsidRDefault="006578DE" w:rsidP="006578DE">
            <w:pPr>
              <w:spacing w:after="0"/>
              <w:ind w:left="90" w:right="90"/>
              <w:textAlignment w:val="baseline"/>
              <w:rPr>
                <w:sz w:val="18"/>
                <w:szCs w:val="18"/>
              </w:rPr>
            </w:pPr>
            <w:r w:rsidRPr="006578DE">
              <w:rPr>
                <w:sz w:val="18"/>
                <w:szCs w:val="18"/>
              </w:rPr>
              <w:t>Significant improvement</w:t>
            </w:r>
          </w:p>
        </w:tc>
        <w:tc>
          <w:tcPr>
            <w:tcW w:w="1434" w:type="dxa"/>
            <w:shd w:val="clear" w:color="auto" w:fill="FFFFFF"/>
            <w:tcMar>
              <w:top w:w="0" w:type="dxa"/>
              <w:left w:w="0" w:type="dxa"/>
              <w:bottom w:w="0" w:type="dxa"/>
              <w:right w:w="0" w:type="dxa"/>
            </w:tcMar>
            <w:vAlign w:val="center"/>
          </w:tcPr>
          <w:p w14:paraId="020792C3" w14:textId="77777777" w:rsidR="006578DE" w:rsidRPr="006578DE" w:rsidRDefault="006578DE" w:rsidP="006578DE">
            <w:pPr>
              <w:spacing w:after="0"/>
              <w:ind w:left="90" w:right="90"/>
              <w:jc w:val="center"/>
              <w:textAlignment w:val="baseline"/>
              <w:rPr>
                <w:sz w:val="18"/>
                <w:szCs w:val="18"/>
              </w:rPr>
            </w:pPr>
            <w:r w:rsidRPr="006578DE">
              <w:rPr>
                <w:sz w:val="18"/>
                <w:szCs w:val="18"/>
              </w:rPr>
              <w:t>100 (20.8%)</w:t>
            </w:r>
          </w:p>
        </w:tc>
        <w:tc>
          <w:tcPr>
            <w:tcW w:w="1434" w:type="dxa"/>
            <w:shd w:val="clear" w:color="auto" w:fill="FFFFFF"/>
            <w:tcMar>
              <w:top w:w="0" w:type="dxa"/>
              <w:left w:w="0" w:type="dxa"/>
              <w:bottom w:w="0" w:type="dxa"/>
              <w:right w:w="0" w:type="dxa"/>
            </w:tcMar>
            <w:vAlign w:val="center"/>
          </w:tcPr>
          <w:p w14:paraId="7795EC92" w14:textId="77777777" w:rsidR="006578DE" w:rsidRPr="006578DE" w:rsidRDefault="006578DE" w:rsidP="006578DE">
            <w:pPr>
              <w:spacing w:after="0"/>
              <w:ind w:left="90" w:right="90"/>
              <w:jc w:val="center"/>
              <w:textAlignment w:val="baseline"/>
              <w:rPr>
                <w:sz w:val="18"/>
                <w:szCs w:val="18"/>
              </w:rPr>
            </w:pPr>
            <w:r w:rsidRPr="006578DE">
              <w:rPr>
                <w:sz w:val="18"/>
                <w:szCs w:val="18"/>
              </w:rPr>
              <w:t>41 (11.5%)</w:t>
            </w:r>
          </w:p>
        </w:tc>
        <w:tc>
          <w:tcPr>
            <w:tcW w:w="1434" w:type="dxa"/>
            <w:shd w:val="clear" w:color="auto" w:fill="FFFFFF"/>
            <w:tcMar>
              <w:top w:w="0" w:type="dxa"/>
              <w:left w:w="0" w:type="dxa"/>
              <w:bottom w:w="0" w:type="dxa"/>
              <w:right w:w="0" w:type="dxa"/>
            </w:tcMar>
            <w:vAlign w:val="center"/>
          </w:tcPr>
          <w:p w14:paraId="4DA1A3E9" w14:textId="77777777" w:rsidR="006578DE" w:rsidRPr="006578DE" w:rsidRDefault="006578DE" w:rsidP="006578DE">
            <w:pPr>
              <w:spacing w:after="0"/>
              <w:ind w:left="90" w:right="90"/>
              <w:jc w:val="center"/>
              <w:textAlignment w:val="baseline"/>
              <w:rPr>
                <w:sz w:val="18"/>
                <w:szCs w:val="18"/>
              </w:rPr>
            </w:pPr>
            <w:r w:rsidRPr="006578DE">
              <w:rPr>
                <w:sz w:val="18"/>
                <w:szCs w:val="18"/>
              </w:rPr>
              <w:t>32 (12.4%)</w:t>
            </w:r>
          </w:p>
        </w:tc>
      </w:tr>
      <w:tr w:rsidR="006578DE" w14:paraId="1FC77624" w14:textId="77777777" w:rsidTr="00750232">
        <w:trPr>
          <w:cantSplit/>
          <w:jc w:val="center"/>
        </w:trPr>
        <w:tc>
          <w:tcPr>
            <w:tcW w:w="2385" w:type="dxa"/>
            <w:vMerge/>
            <w:shd w:val="clear" w:color="auto" w:fill="FFFFFF"/>
            <w:tcMar>
              <w:top w:w="0" w:type="dxa"/>
              <w:left w:w="0" w:type="dxa"/>
              <w:bottom w:w="0" w:type="dxa"/>
              <w:right w:w="0" w:type="dxa"/>
            </w:tcMar>
            <w:vAlign w:val="center"/>
          </w:tcPr>
          <w:p w14:paraId="7187062E"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6404FEAE" w14:textId="77777777" w:rsidR="006578DE" w:rsidRPr="006578DE" w:rsidRDefault="006578DE" w:rsidP="006578DE">
            <w:pPr>
              <w:spacing w:after="0"/>
              <w:ind w:left="90" w:right="90"/>
              <w:textAlignment w:val="baseline"/>
              <w:rPr>
                <w:sz w:val="18"/>
                <w:szCs w:val="18"/>
              </w:rPr>
            </w:pPr>
            <w:r w:rsidRPr="006578DE">
              <w:rPr>
                <w:sz w:val="18"/>
                <w:szCs w:val="18"/>
              </w:rPr>
              <w:t>Other</w:t>
            </w:r>
          </w:p>
        </w:tc>
        <w:tc>
          <w:tcPr>
            <w:tcW w:w="1434" w:type="dxa"/>
            <w:shd w:val="clear" w:color="auto" w:fill="FFFFFF"/>
            <w:tcMar>
              <w:top w:w="0" w:type="dxa"/>
              <w:left w:w="0" w:type="dxa"/>
              <w:bottom w:w="0" w:type="dxa"/>
              <w:right w:w="0" w:type="dxa"/>
            </w:tcMar>
            <w:vAlign w:val="center"/>
          </w:tcPr>
          <w:p w14:paraId="2EAB4FAD" w14:textId="77777777" w:rsidR="006578DE" w:rsidRPr="006578DE" w:rsidRDefault="006578DE" w:rsidP="006578DE">
            <w:pPr>
              <w:spacing w:after="0"/>
              <w:ind w:left="90" w:right="90"/>
              <w:jc w:val="center"/>
              <w:textAlignment w:val="baseline"/>
              <w:rPr>
                <w:sz w:val="18"/>
                <w:szCs w:val="18"/>
              </w:rPr>
            </w:pPr>
            <w:r w:rsidRPr="006578DE">
              <w:rPr>
                <w:sz w:val="18"/>
                <w:szCs w:val="18"/>
              </w:rPr>
              <w:t>37 (7.7%)</w:t>
            </w:r>
          </w:p>
        </w:tc>
        <w:tc>
          <w:tcPr>
            <w:tcW w:w="1434" w:type="dxa"/>
            <w:shd w:val="clear" w:color="auto" w:fill="FFFFFF"/>
            <w:tcMar>
              <w:top w:w="0" w:type="dxa"/>
              <w:left w:w="0" w:type="dxa"/>
              <w:bottom w:w="0" w:type="dxa"/>
              <w:right w:w="0" w:type="dxa"/>
            </w:tcMar>
            <w:vAlign w:val="center"/>
          </w:tcPr>
          <w:p w14:paraId="7D1C59FD" w14:textId="77777777" w:rsidR="006578DE" w:rsidRPr="006578DE" w:rsidRDefault="006578DE" w:rsidP="006578DE">
            <w:pPr>
              <w:spacing w:after="0"/>
              <w:ind w:left="90" w:right="90"/>
              <w:jc w:val="center"/>
              <w:textAlignment w:val="baseline"/>
              <w:rPr>
                <w:sz w:val="18"/>
                <w:szCs w:val="18"/>
              </w:rPr>
            </w:pPr>
            <w:r w:rsidRPr="006578DE">
              <w:rPr>
                <w:sz w:val="18"/>
                <w:szCs w:val="18"/>
              </w:rPr>
              <w:t>0 (0%)</w:t>
            </w:r>
          </w:p>
        </w:tc>
        <w:tc>
          <w:tcPr>
            <w:tcW w:w="1434" w:type="dxa"/>
            <w:shd w:val="clear" w:color="auto" w:fill="FFFFFF"/>
            <w:tcMar>
              <w:top w:w="0" w:type="dxa"/>
              <w:left w:w="0" w:type="dxa"/>
              <w:bottom w:w="0" w:type="dxa"/>
              <w:right w:w="0" w:type="dxa"/>
            </w:tcMar>
            <w:vAlign w:val="center"/>
          </w:tcPr>
          <w:p w14:paraId="43B53D50" w14:textId="77777777" w:rsidR="006578DE" w:rsidRPr="006578DE" w:rsidRDefault="006578DE" w:rsidP="006578DE">
            <w:pPr>
              <w:spacing w:after="0"/>
              <w:ind w:left="90" w:right="90"/>
              <w:jc w:val="center"/>
              <w:textAlignment w:val="baseline"/>
              <w:rPr>
                <w:sz w:val="18"/>
                <w:szCs w:val="18"/>
              </w:rPr>
            </w:pPr>
            <w:r w:rsidRPr="006578DE">
              <w:rPr>
                <w:sz w:val="18"/>
                <w:szCs w:val="18"/>
              </w:rPr>
              <w:t>5 (1.9%)</w:t>
            </w:r>
          </w:p>
        </w:tc>
      </w:tr>
      <w:tr w:rsidR="006578DE" w14:paraId="17D8183A" w14:textId="77777777" w:rsidTr="00750232">
        <w:trPr>
          <w:cantSplit/>
          <w:jc w:val="center"/>
        </w:trPr>
        <w:tc>
          <w:tcPr>
            <w:tcW w:w="2385" w:type="dxa"/>
            <w:vMerge w:val="restart"/>
            <w:shd w:val="clear" w:color="auto" w:fill="FFFFFF"/>
            <w:tcMar>
              <w:top w:w="0" w:type="dxa"/>
              <w:left w:w="0" w:type="dxa"/>
              <w:bottom w:w="0" w:type="dxa"/>
              <w:right w:w="0" w:type="dxa"/>
            </w:tcMar>
            <w:vAlign w:val="center"/>
          </w:tcPr>
          <w:p w14:paraId="420C0431" w14:textId="77777777" w:rsidR="006578DE" w:rsidRPr="006578DE" w:rsidRDefault="006578DE" w:rsidP="006578DE">
            <w:pPr>
              <w:spacing w:after="0"/>
              <w:ind w:left="90" w:right="90"/>
              <w:textAlignment w:val="baseline"/>
              <w:rPr>
                <w:sz w:val="18"/>
                <w:szCs w:val="18"/>
              </w:rPr>
            </w:pPr>
            <w:r w:rsidRPr="006578DE">
              <w:rPr>
                <w:sz w:val="18"/>
                <w:szCs w:val="18"/>
              </w:rPr>
              <w:t>Optimise the medication dose and/or number or type of medicines</w:t>
            </w:r>
          </w:p>
        </w:tc>
        <w:tc>
          <w:tcPr>
            <w:tcW w:w="2349" w:type="dxa"/>
            <w:shd w:val="clear" w:color="auto" w:fill="FFFFFF"/>
            <w:tcMar>
              <w:top w:w="0" w:type="dxa"/>
              <w:left w:w="0" w:type="dxa"/>
              <w:bottom w:w="0" w:type="dxa"/>
              <w:right w:w="0" w:type="dxa"/>
            </w:tcMar>
            <w:vAlign w:val="center"/>
          </w:tcPr>
          <w:p w14:paraId="62099FB8" w14:textId="77777777" w:rsidR="006578DE" w:rsidRPr="006578DE" w:rsidRDefault="006578DE" w:rsidP="006578DE">
            <w:pPr>
              <w:spacing w:after="0"/>
              <w:ind w:left="90" w:right="90"/>
              <w:textAlignment w:val="baseline"/>
              <w:rPr>
                <w:sz w:val="18"/>
                <w:szCs w:val="18"/>
              </w:rPr>
            </w:pPr>
            <w:r w:rsidRPr="006578DE">
              <w:rPr>
                <w:sz w:val="18"/>
                <w:szCs w:val="18"/>
              </w:rPr>
              <w:t>Deterioration</w:t>
            </w:r>
          </w:p>
        </w:tc>
        <w:tc>
          <w:tcPr>
            <w:tcW w:w="1434" w:type="dxa"/>
            <w:shd w:val="clear" w:color="auto" w:fill="FFFFFF"/>
            <w:tcMar>
              <w:top w:w="0" w:type="dxa"/>
              <w:left w:w="0" w:type="dxa"/>
              <w:bottom w:w="0" w:type="dxa"/>
              <w:right w:w="0" w:type="dxa"/>
            </w:tcMar>
            <w:vAlign w:val="center"/>
          </w:tcPr>
          <w:p w14:paraId="26414078" w14:textId="77777777" w:rsidR="006578DE" w:rsidRPr="006578DE" w:rsidRDefault="006578DE" w:rsidP="006578DE">
            <w:pPr>
              <w:spacing w:after="0"/>
              <w:ind w:left="90" w:right="90"/>
              <w:jc w:val="center"/>
              <w:textAlignment w:val="baseline"/>
              <w:rPr>
                <w:sz w:val="18"/>
                <w:szCs w:val="18"/>
              </w:rPr>
            </w:pPr>
            <w:r w:rsidRPr="006578DE">
              <w:rPr>
                <w:sz w:val="18"/>
                <w:szCs w:val="18"/>
              </w:rPr>
              <w:t>12 (2.1%)</w:t>
            </w:r>
          </w:p>
        </w:tc>
        <w:tc>
          <w:tcPr>
            <w:tcW w:w="1434" w:type="dxa"/>
            <w:shd w:val="clear" w:color="auto" w:fill="FFFFFF"/>
            <w:tcMar>
              <w:top w:w="0" w:type="dxa"/>
              <w:left w:w="0" w:type="dxa"/>
              <w:bottom w:w="0" w:type="dxa"/>
              <w:right w:w="0" w:type="dxa"/>
            </w:tcMar>
            <w:vAlign w:val="center"/>
          </w:tcPr>
          <w:p w14:paraId="30530147" w14:textId="77777777" w:rsidR="006578DE" w:rsidRPr="006578DE" w:rsidRDefault="006578DE" w:rsidP="006578DE">
            <w:pPr>
              <w:spacing w:after="0"/>
              <w:ind w:left="90" w:right="90"/>
              <w:jc w:val="center"/>
              <w:textAlignment w:val="baseline"/>
              <w:rPr>
                <w:sz w:val="18"/>
                <w:szCs w:val="18"/>
              </w:rPr>
            </w:pPr>
            <w:r w:rsidRPr="006578DE">
              <w:rPr>
                <w:sz w:val="18"/>
                <w:szCs w:val="18"/>
              </w:rPr>
              <w:t>13 (2.7%)</w:t>
            </w:r>
          </w:p>
        </w:tc>
        <w:tc>
          <w:tcPr>
            <w:tcW w:w="1434" w:type="dxa"/>
            <w:shd w:val="clear" w:color="auto" w:fill="FFFFFF"/>
            <w:tcMar>
              <w:top w:w="0" w:type="dxa"/>
              <w:left w:w="0" w:type="dxa"/>
              <w:bottom w:w="0" w:type="dxa"/>
              <w:right w:w="0" w:type="dxa"/>
            </w:tcMar>
            <w:vAlign w:val="center"/>
          </w:tcPr>
          <w:p w14:paraId="7B64D7C8" w14:textId="77777777" w:rsidR="006578DE" w:rsidRPr="006578DE" w:rsidRDefault="006578DE" w:rsidP="006578DE">
            <w:pPr>
              <w:spacing w:after="0"/>
              <w:ind w:left="90" w:right="90"/>
              <w:jc w:val="center"/>
              <w:textAlignment w:val="baseline"/>
              <w:rPr>
                <w:sz w:val="18"/>
                <w:szCs w:val="18"/>
              </w:rPr>
            </w:pPr>
            <w:r w:rsidRPr="006578DE">
              <w:rPr>
                <w:sz w:val="18"/>
                <w:szCs w:val="18"/>
              </w:rPr>
              <w:t>0 (0%)</w:t>
            </w:r>
          </w:p>
        </w:tc>
      </w:tr>
      <w:tr w:rsidR="006578DE" w14:paraId="6E02EBB6" w14:textId="77777777" w:rsidTr="00750232">
        <w:trPr>
          <w:cantSplit/>
          <w:jc w:val="center"/>
        </w:trPr>
        <w:tc>
          <w:tcPr>
            <w:tcW w:w="2385" w:type="dxa"/>
            <w:vMerge/>
            <w:shd w:val="clear" w:color="auto" w:fill="FFFFFF"/>
            <w:tcMar>
              <w:top w:w="0" w:type="dxa"/>
              <w:left w:w="0" w:type="dxa"/>
              <w:bottom w:w="0" w:type="dxa"/>
              <w:right w:w="0" w:type="dxa"/>
            </w:tcMar>
            <w:vAlign w:val="center"/>
          </w:tcPr>
          <w:p w14:paraId="5826290F"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4B0202EF" w14:textId="77777777" w:rsidR="006578DE" w:rsidRPr="006578DE" w:rsidRDefault="006578DE" w:rsidP="006578DE">
            <w:pPr>
              <w:spacing w:after="0"/>
              <w:ind w:left="90" w:right="90"/>
              <w:textAlignment w:val="baseline"/>
              <w:rPr>
                <w:sz w:val="18"/>
                <w:szCs w:val="18"/>
              </w:rPr>
            </w:pPr>
            <w:r w:rsidRPr="006578DE">
              <w:rPr>
                <w:sz w:val="18"/>
                <w:szCs w:val="18"/>
              </w:rPr>
              <w:t>No Change</w:t>
            </w:r>
          </w:p>
        </w:tc>
        <w:tc>
          <w:tcPr>
            <w:tcW w:w="1434" w:type="dxa"/>
            <w:shd w:val="clear" w:color="auto" w:fill="FFFFFF"/>
            <w:tcMar>
              <w:top w:w="0" w:type="dxa"/>
              <w:left w:w="0" w:type="dxa"/>
              <w:bottom w:w="0" w:type="dxa"/>
              <w:right w:w="0" w:type="dxa"/>
            </w:tcMar>
            <w:vAlign w:val="center"/>
          </w:tcPr>
          <w:p w14:paraId="2737668A" w14:textId="77777777" w:rsidR="006578DE" w:rsidRPr="006578DE" w:rsidRDefault="006578DE" w:rsidP="006578DE">
            <w:pPr>
              <w:spacing w:after="0"/>
              <w:ind w:left="90" w:right="90"/>
              <w:jc w:val="center"/>
              <w:textAlignment w:val="baseline"/>
              <w:rPr>
                <w:sz w:val="18"/>
                <w:szCs w:val="18"/>
              </w:rPr>
            </w:pPr>
            <w:r w:rsidRPr="006578DE">
              <w:rPr>
                <w:sz w:val="18"/>
                <w:szCs w:val="18"/>
              </w:rPr>
              <w:t>295 (50.6%)</w:t>
            </w:r>
          </w:p>
        </w:tc>
        <w:tc>
          <w:tcPr>
            <w:tcW w:w="1434" w:type="dxa"/>
            <w:shd w:val="clear" w:color="auto" w:fill="FFFFFF"/>
            <w:tcMar>
              <w:top w:w="0" w:type="dxa"/>
              <w:left w:w="0" w:type="dxa"/>
              <w:bottom w:w="0" w:type="dxa"/>
              <w:right w:w="0" w:type="dxa"/>
            </w:tcMar>
            <w:vAlign w:val="center"/>
          </w:tcPr>
          <w:p w14:paraId="13657C33" w14:textId="77777777" w:rsidR="006578DE" w:rsidRPr="006578DE" w:rsidRDefault="006578DE" w:rsidP="006578DE">
            <w:pPr>
              <w:spacing w:after="0"/>
              <w:ind w:left="90" w:right="90"/>
              <w:jc w:val="center"/>
              <w:textAlignment w:val="baseline"/>
              <w:rPr>
                <w:sz w:val="18"/>
                <w:szCs w:val="18"/>
              </w:rPr>
            </w:pPr>
            <w:r w:rsidRPr="006578DE">
              <w:rPr>
                <w:sz w:val="18"/>
                <w:szCs w:val="18"/>
              </w:rPr>
              <w:t>247 (50.9%)</w:t>
            </w:r>
          </w:p>
        </w:tc>
        <w:tc>
          <w:tcPr>
            <w:tcW w:w="1434" w:type="dxa"/>
            <w:shd w:val="clear" w:color="auto" w:fill="FFFFFF"/>
            <w:tcMar>
              <w:top w:w="0" w:type="dxa"/>
              <w:left w:w="0" w:type="dxa"/>
              <w:bottom w:w="0" w:type="dxa"/>
              <w:right w:w="0" w:type="dxa"/>
            </w:tcMar>
            <w:vAlign w:val="center"/>
          </w:tcPr>
          <w:p w14:paraId="375A6F9E" w14:textId="77777777" w:rsidR="006578DE" w:rsidRPr="006578DE" w:rsidRDefault="006578DE" w:rsidP="006578DE">
            <w:pPr>
              <w:spacing w:after="0"/>
              <w:ind w:left="90" w:right="90"/>
              <w:jc w:val="center"/>
              <w:textAlignment w:val="baseline"/>
              <w:rPr>
                <w:sz w:val="18"/>
                <w:szCs w:val="18"/>
              </w:rPr>
            </w:pPr>
            <w:r w:rsidRPr="006578DE">
              <w:rPr>
                <w:sz w:val="18"/>
                <w:szCs w:val="18"/>
              </w:rPr>
              <w:t>176 (60.3%)</w:t>
            </w:r>
          </w:p>
        </w:tc>
      </w:tr>
      <w:tr w:rsidR="006578DE" w14:paraId="5D83C0C8" w14:textId="77777777" w:rsidTr="00750232">
        <w:trPr>
          <w:cantSplit/>
          <w:jc w:val="center"/>
        </w:trPr>
        <w:tc>
          <w:tcPr>
            <w:tcW w:w="2385" w:type="dxa"/>
            <w:vMerge/>
            <w:shd w:val="clear" w:color="auto" w:fill="FFFFFF"/>
            <w:tcMar>
              <w:top w:w="0" w:type="dxa"/>
              <w:left w:w="0" w:type="dxa"/>
              <w:bottom w:w="0" w:type="dxa"/>
              <w:right w:w="0" w:type="dxa"/>
            </w:tcMar>
            <w:vAlign w:val="center"/>
          </w:tcPr>
          <w:p w14:paraId="0119870D"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4B5EC0C8" w14:textId="77777777" w:rsidR="006578DE" w:rsidRPr="006578DE" w:rsidRDefault="006578DE" w:rsidP="006578DE">
            <w:pPr>
              <w:spacing w:after="0"/>
              <w:ind w:left="90" w:right="90"/>
              <w:textAlignment w:val="baseline"/>
              <w:rPr>
                <w:sz w:val="18"/>
                <w:szCs w:val="18"/>
              </w:rPr>
            </w:pPr>
            <w:r w:rsidRPr="006578DE">
              <w:rPr>
                <w:sz w:val="18"/>
                <w:szCs w:val="18"/>
              </w:rPr>
              <w:t>Partial improvement</w:t>
            </w:r>
          </w:p>
        </w:tc>
        <w:tc>
          <w:tcPr>
            <w:tcW w:w="1434" w:type="dxa"/>
            <w:shd w:val="clear" w:color="auto" w:fill="FFFFFF"/>
            <w:tcMar>
              <w:top w:w="0" w:type="dxa"/>
              <w:left w:w="0" w:type="dxa"/>
              <w:bottom w:w="0" w:type="dxa"/>
              <w:right w:w="0" w:type="dxa"/>
            </w:tcMar>
            <w:vAlign w:val="center"/>
          </w:tcPr>
          <w:p w14:paraId="0D16A84E" w14:textId="77777777" w:rsidR="006578DE" w:rsidRPr="006578DE" w:rsidRDefault="006578DE" w:rsidP="006578DE">
            <w:pPr>
              <w:spacing w:after="0"/>
              <w:ind w:left="90" w:right="90"/>
              <w:jc w:val="center"/>
              <w:textAlignment w:val="baseline"/>
              <w:rPr>
                <w:sz w:val="18"/>
                <w:szCs w:val="18"/>
              </w:rPr>
            </w:pPr>
            <w:r w:rsidRPr="006578DE">
              <w:rPr>
                <w:sz w:val="18"/>
                <w:szCs w:val="18"/>
              </w:rPr>
              <w:t>131 (22.5%)</w:t>
            </w:r>
          </w:p>
        </w:tc>
        <w:tc>
          <w:tcPr>
            <w:tcW w:w="1434" w:type="dxa"/>
            <w:shd w:val="clear" w:color="auto" w:fill="FFFFFF"/>
            <w:tcMar>
              <w:top w:w="0" w:type="dxa"/>
              <w:left w:w="0" w:type="dxa"/>
              <w:bottom w:w="0" w:type="dxa"/>
              <w:right w:w="0" w:type="dxa"/>
            </w:tcMar>
            <w:vAlign w:val="center"/>
          </w:tcPr>
          <w:p w14:paraId="394369A4" w14:textId="77777777" w:rsidR="006578DE" w:rsidRPr="006578DE" w:rsidRDefault="006578DE" w:rsidP="006578DE">
            <w:pPr>
              <w:spacing w:after="0"/>
              <w:ind w:left="90" w:right="90"/>
              <w:jc w:val="center"/>
              <w:textAlignment w:val="baseline"/>
              <w:rPr>
                <w:sz w:val="18"/>
                <w:szCs w:val="18"/>
              </w:rPr>
            </w:pPr>
            <w:r w:rsidRPr="006578DE">
              <w:rPr>
                <w:sz w:val="18"/>
                <w:szCs w:val="18"/>
              </w:rPr>
              <w:t>118 (24.3%)</w:t>
            </w:r>
          </w:p>
        </w:tc>
        <w:tc>
          <w:tcPr>
            <w:tcW w:w="1434" w:type="dxa"/>
            <w:shd w:val="clear" w:color="auto" w:fill="FFFFFF"/>
            <w:tcMar>
              <w:top w:w="0" w:type="dxa"/>
              <w:left w:w="0" w:type="dxa"/>
              <w:bottom w:w="0" w:type="dxa"/>
              <w:right w:w="0" w:type="dxa"/>
            </w:tcMar>
            <w:vAlign w:val="center"/>
          </w:tcPr>
          <w:p w14:paraId="6A387FFC" w14:textId="77777777" w:rsidR="006578DE" w:rsidRPr="006578DE" w:rsidRDefault="006578DE" w:rsidP="006578DE">
            <w:pPr>
              <w:spacing w:after="0"/>
              <w:ind w:left="90" w:right="90"/>
              <w:jc w:val="center"/>
              <w:textAlignment w:val="baseline"/>
              <w:rPr>
                <w:sz w:val="18"/>
                <w:szCs w:val="18"/>
              </w:rPr>
            </w:pPr>
            <w:r w:rsidRPr="006578DE">
              <w:rPr>
                <w:sz w:val="18"/>
                <w:szCs w:val="18"/>
              </w:rPr>
              <w:t>55 (18.8%)</w:t>
            </w:r>
          </w:p>
        </w:tc>
      </w:tr>
      <w:tr w:rsidR="006578DE" w14:paraId="1B4FDDF9" w14:textId="77777777" w:rsidTr="00750232">
        <w:trPr>
          <w:cantSplit/>
          <w:jc w:val="center"/>
        </w:trPr>
        <w:tc>
          <w:tcPr>
            <w:tcW w:w="2385" w:type="dxa"/>
            <w:vMerge/>
            <w:shd w:val="clear" w:color="auto" w:fill="FFFFFF"/>
            <w:tcMar>
              <w:top w:w="0" w:type="dxa"/>
              <w:left w:w="0" w:type="dxa"/>
              <w:bottom w:w="0" w:type="dxa"/>
              <w:right w:w="0" w:type="dxa"/>
            </w:tcMar>
            <w:vAlign w:val="center"/>
          </w:tcPr>
          <w:p w14:paraId="22879DD0"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47BDF048" w14:textId="77777777" w:rsidR="006578DE" w:rsidRPr="006578DE" w:rsidRDefault="006578DE" w:rsidP="006578DE">
            <w:pPr>
              <w:spacing w:after="0"/>
              <w:ind w:left="90" w:right="90"/>
              <w:textAlignment w:val="baseline"/>
              <w:rPr>
                <w:sz w:val="18"/>
                <w:szCs w:val="18"/>
              </w:rPr>
            </w:pPr>
            <w:r w:rsidRPr="006578DE">
              <w:rPr>
                <w:sz w:val="18"/>
                <w:szCs w:val="18"/>
              </w:rPr>
              <w:t>Significant improvement</w:t>
            </w:r>
          </w:p>
        </w:tc>
        <w:tc>
          <w:tcPr>
            <w:tcW w:w="1434" w:type="dxa"/>
            <w:shd w:val="clear" w:color="auto" w:fill="FFFFFF"/>
            <w:tcMar>
              <w:top w:w="0" w:type="dxa"/>
              <w:left w:w="0" w:type="dxa"/>
              <w:bottom w:w="0" w:type="dxa"/>
              <w:right w:w="0" w:type="dxa"/>
            </w:tcMar>
            <w:vAlign w:val="center"/>
          </w:tcPr>
          <w:p w14:paraId="5CB7CB14" w14:textId="77777777" w:rsidR="006578DE" w:rsidRPr="006578DE" w:rsidRDefault="006578DE" w:rsidP="006578DE">
            <w:pPr>
              <w:spacing w:after="0"/>
              <w:ind w:left="90" w:right="90"/>
              <w:jc w:val="center"/>
              <w:textAlignment w:val="baseline"/>
              <w:rPr>
                <w:sz w:val="18"/>
                <w:szCs w:val="18"/>
              </w:rPr>
            </w:pPr>
            <w:r w:rsidRPr="006578DE">
              <w:rPr>
                <w:sz w:val="18"/>
                <w:szCs w:val="18"/>
              </w:rPr>
              <w:t>98 (16.8%)</w:t>
            </w:r>
          </w:p>
        </w:tc>
        <w:tc>
          <w:tcPr>
            <w:tcW w:w="1434" w:type="dxa"/>
            <w:shd w:val="clear" w:color="auto" w:fill="FFFFFF"/>
            <w:tcMar>
              <w:top w:w="0" w:type="dxa"/>
              <w:left w:w="0" w:type="dxa"/>
              <w:bottom w:w="0" w:type="dxa"/>
              <w:right w:w="0" w:type="dxa"/>
            </w:tcMar>
            <w:vAlign w:val="center"/>
          </w:tcPr>
          <w:p w14:paraId="11F69EB4" w14:textId="77777777" w:rsidR="006578DE" w:rsidRPr="006578DE" w:rsidRDefault="006578DE" w:rsidP="006578DE">
            <w:pPr>
              <w:spacing w:after="0"/>
              <w:ind w:left="90" w:right="90"/>
              <w:jc w:val="center"/>
              <w:textAlignment w:val="baseline"/>
              <w:rPr>
                <w:sz w:val="18"/>
                <w:szCs w:val="18"/>
              </w:rPr>
            </w:pPr>
            <w:r w:rsidRPr="006578DE">
              <w:rPr>
                <w:sz w:val="18"/>
                <w:szCs w:val="18"/>
              </w:rPr>
              <w:t>87 (17.9%)</w:t>
            </w:r>
          </w:p>
        </w:tc>
        <w:tc>
          <w:tcPr>
            <w:tcW w:w="1434" w:type="dxa"/>
            <w:shd w:val="clear" w:color="auto" w:fill="FFFFFF"/>
            <w:tcMar>
              <w:top w:w="0" w:type="dxa"/>
              <w:left w:w="0" w:type="dxa"/>
              <w:bottom w:w="0" w:type="dxa"/>
              <w:right w:w="0" w:type="dxa"/>
            </w:tcMar>
            <w:vAlign w:val="center"/>
          </w:tcPr>
          <w:p w14:paraId="3D330A1A" w14:textId="77777777" w:rsidR="006578DE" w:rsidRPr="006578DE" w:rsidRDefault="006578DE" w:rsidP="006578DE">
            <w:pPr>
              <w:spacing w:after="0"/>
              <w:ind w:left="90" w:right="90"/>
              <w:jc w:val="center"/>
              <w:textAlignment w:val="baseline"/>
              <w:rPr>
                <w:sz w:val="18"/>
                <w:szCs w:val="18"/>
              </w:rPr>
            </w:pPr>
            <w:r w:rsidRPr="006578DE">
              <w:rPr>
                <w:sz w:val="18"/>
                <w:szCs w:val="18"/>
              </w:rPr>
              <w:t>53 (18.2%)</w:t>
            </w:r>
          </w:p>
        </w:tc>
      </w:tr>
      <w:tr w:rsidR="006578DE" w14:paraId="63D7E773" w14:textId="77777777" w:rsidTr="00750232">
        <w:trPr>
          <w:cantSplit/>
          <w:jc w:val="center"/>
        </w:trPr>
        <w:tc>
          <w:tcPr>
            <w:tcW w:w="2385" w:type="dxa"/>
            <w:vMerge/>
            <w:shd w:val="clear" w:color="auto" w:fill="FFFFFF"/>
            <w:tcMar>
              <w:top w:w="0" w:type="dxa"/>
              <w:left w:w="0" w:type="dxa"/>
              <w:bottom w:w="0" w:type="dxa"/>
              <w:right w:w="0" w:type="dxa"/>
            </w:tcMar>
            <w:vAlign w:val="center"/>
          </w:tcPr>
          <w:p w14:paraId="62036236"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36DB99C5" w14:textId="77777777" w:rsidR="006578DE" w:rsidRPr="006578DE" w:rsidRDefault="006578DE" w:rsidP="006578DE">
            <w:pPr>
              <w:spacing w:after="0"/>
              <w:ind w:left="90" w:right="90"/>
              <w:textAlignment w:val="baseline"/>
              <w:rPr>
                <w:sz w:val="18"/>
                <w:szCs w:val="18"/>
              </w:rPr>
            </w:pPr>
            <w:r w:rsidRPr="006578DE">
              <w:rPr>
                <w:sz w:val="18"/>
                <w:szCs w:val="18"/>
              </w:rPr>
              <w:t>Other</w:t>
            </w:r>
          </w:p>
        </w:tc>
        <w:tc>
          <w:tcPr>
            <w:tcW w:w="1434" w:type="dxa"/>
            <w:shd w:val="clear" w:color="auto" w:fill="FFFFFF"/>
            <w:tcMar>
              <w:top w:w="0" w:type="dxa"/>
              <w:left w:w="0" w:type="dxa"/>
              <w:bottom w:w="0" w:type="dxa"/>
              <w:right w:w="0" w:type="dxa"/>
            </w:tcMar>
            <w:vAlign w:val="center"/>
          </w:tcPr>
          <w:p w14:paraId="21A6E07A" w14:textId="77777777" w:rsidR="006578DE" w:rsidRPr="006578DE" w:rsidRDefault="006578DE" w:rsidP="006578DE">
            <w:pPr>
              <w:spacing w:after="0"/>
              <w:ind w:left="90" w:right="90"/>
              <w:jc w:val="center"/>
              <w:textAlignment w:val="baseline"/>
              <w:rPr>
                <w:sz w:val="18"/>
                <w:szCs w:val="18"/>
              </w:rPr>
            </w:pPr>
            <w:r w:rsidRPr="006578DE">
              <w:rPr>
                <w:sz w:val="18"/>
                <w:szCs w:val="18"/>
              </w:rPr>
              <w:t>47 (8.1%)</w:t>
            </w:r>
          </w:p>
        </w:tc>
        <w:tc>
          <w:tcPr>
            <w:tcW w:w="1434" w:type="dxa"/>
            <w:shd w:val="clear" w:color="auto" w:fill="FFFFFF"/>
            <w:tcMar>
              <w:top w:w="0" w:type="dxa"/>
              <w:left w:w="0" w:type="dxa"/>
              <w:bottom w:w="0" w:type="dxa"/>
              <w:right w:w="0" w:type="dxa"/>
            </w:tcMar>
            <w:vAlign w:val="center"/>
          </w:tcPr>
          <w:p w14:paraId="19FE6DDB" w14:textId="77777777" w:rsidR="006578DE" w:rsidRPr="006578DE" w:rsidRDefault="006578DE" w:rsidP="006578DE">
            <w:pPr>
              <w:spacing w:after="0"/>
              <w:ind w:left="90" w:right="90"/>
              <w:jc w:val="center"/>
              <w:textAlignment w:val="baseline"/>
              <w:rPr>
                <w:sz w:val="18"/>
                <w:szCs w:val="18"/>
              </w:rPr>
            </w:pPr>
            <w:r w:rsidRPr="006578DE">
              <w:rPr>
                <w:sz w:val="18"/>
                <w:szCs w:val="18"/>
              </w:rPr>
              <w:t>20 (4.1%)</w:t>
            </w:r>
          </w:p>
        </w:tc>
        <w:tc>
          <w:tcPr>
            <w:tcW w:w="1434" w:type="dxa"/>
            <w:shd w:val="clear" w:color="auto" w:fill="FFFFFF"/>
            <w:tcMar>
              <w:top w:w="0" w:type="dxa"/>
              <w:left w:w="0" w:type="dxa"/>
              <w:bottom w:w="0" w:type="dxa"/>
              <w:right w:w="0" w:type="dxa"/>
            </w:tcMar>
            <w:vAlign w:val="center"/>
          </w:tcPr>
          <w:p w14:paraId="50C9339D" w14:textId="77777777" w:rsidR="006578DE" w:rsidRPr="006578DE" w:rsidRDefault="006578DE" w:rsidP="006578DE">
            <w:pPr>
              <w:spacing w:after="0"/>
              <w:ind w:left="90" w:right="90"/>
              <w:jc w:val="center"/>
              <w:textAlignment w:val="baseline"/>
              <w:rPr>
                <w:sz w:val="18"/>
                <w:szCs w:val="18"/>
              </w:rPr>
            </w:pPr>
            <w:r w:rsidRPr="006578DE">
              <w:rPr>
                <w:sz w:val="18"/>
                <w:szCs w:val="18"/>
              </w:rPr>
              <w:t>8 (2.7%)</w:t>
            </w:r>
          </w:p>
        </w:tc>
      </w:tr>
      <w:tr w:rsidR="006578DE" w14:paraId="16BE0B24" w14:textId="77777777" w:rsidTr="00750232">
        <w:trPr>
          <w:cantSplit/>
          <w:jc w:val="center"/>
        </w:trPr>
        <w:tc>
          <w:tcPr>
            <w:tcW w:w="2385" w:type="dxa"/>
            <w:vMerge w:val="restart"/>
            <w:shd w:val="clear" w:color="auto" w:fill="FFFFFF"/>
            <w:tcMar>
              <w:top w:w="0" w:type="dxa"/>
              <w:left w:w="0" w:type="dxa"/>
              <w:bottom w:w="0" w:type="dxa"/>
              <w:right w:w="0" w:type="dxa"/>
            </w:tcMar>
            <w:vAlign w:val="center"/>
          </w:tcPr>
          <w:p w14:paraId="6CD7142C" w14:textId="77777777" w:rsidR="006578DE" w:rsidRPr="006578DE" w:rsidRDefault="006578DE" w:rsidP="006578DE">
            <w:pPr>
              <w:spacing w:after="0"/>
              <w:ind w:left="90" w:right="90"/>
              <w:textAlignment w:val="baseline"/>
              <w:rPr>
                <w:sz w:val="18"/>
                <w:szCs w:val="18"/>
              </w:rPr>
            </w:pPr>
            <w:r w:rsidRPr="006578DE">
              <w:rPr>
                <w:sz w:val="18"/>
                <w:szCs w:val="18"/>
              </w:rPr>
              <w:t>Reduced medication side effects</w:t>
            </w:r>
          </w:p>
        </w:tc>
        <w:tc>
          <w:tcPr>
            <w:tcW w:w="2349" w:type="dxa"/>
            <w:shd w:val="clear" w:color="auto" w:fill="FFFFFF"/>
            <w:tcMar>
              <w:top w:w="0" w:type="dxa"/>
              <w:left w:w="0" w:type="dxa"/>
              <w:bottom w:w="0" w:type="dxa"/>
              <w:right w:w="0" w:type="dxa"/>
            </w:tcMar>
            <w:vAlign w:val="center"/>
          </w:tcPr>
          <w:p w14:paraId="122DBD52" w14:textId="77777777" w:rsidR="006578DE" w:rsidRPr="006578DE" w:rsidRDefault="006578DE" w:rsidP="006578DE">
            <w:pPr>
              <w:spacing w:after="0"/>
              <w:ind w:left="90" w:right="90"/>
              <w:textAlignment w:val="baseline"/>
              <w:rPr>
                <w:sz w:val="18"/>
                <w:szCs w:val="18"/>
              </w:rPr>
            </w:pPr>
            <w:r w:rsidRPr="006578DE">
              <w:rPr>
                <w:sz w:val="18"/>
                <w:szCs w:val="18"/>
              </w:rPr>
              <w:t>Deterioration</w:t>
            </w:r>
          </w:p>
        </w:tc>
        <w:tc>
          <w:tcPr>
            <w:tcW w:w="1434" w:type="dxa"/>
            <w:shd w:val="clear" w:color="auto" w:fill="FFFFFF"/>
            <w:tcMar>
              <w:top w:w="0" w:type="dxa"/>
              <w:left w:w="0" w:type="dxa"/>
              <w:bottom w:w="0" w:type="dxa"/>
              <w:right w:w="0" w:type="dxa"/>
            </w:tcMar>
            <w:vAlign w:val="center"/>
          </w:tcPr>
          <w:p w14:paraId="7FC4A477" w14:textId="77777777" w:rsidR="006578DE" w:rsidRPr="006578DE" w:rsidRDefault="006578DE" w:rsidP="006578DE">
            <w:pPr>
              <w:spacing w:after="0"/>
              <w:ind w:left="90" w:right="90"/>
              <w:jc w:val="center"/>
              <w:textAlignment w:val="baseline"/>
              <w:rPr>
                <w:sz w:val="18"/>
                <w:szCs w:val="18"/>
              </w:rPr>
            </w:pPr>
            <w:r w:rsidRPr="006578DE">
              <w:rPr>
                <w:sz w:val="18"/>
                <w:szCs w:val="18"/>
              </w:rPr>
              <w:t>2 (0.3%)</w:t>
            </w:r>
          </w:p>
        </w:tc>
        <w:tc>
          <w:tcPr>
            <w:tcW w:w="1434" w:type="dxa"/>
            <w:shd w:val="clear" w:color="auto" w:fill="FFFFFF"/>
            <w:tcMar>
              <w:top w:w="0" w:type="dxa"/>
              <w:left w:w="0" w:type="dxa"/>
              <w:bottom w:w="0" w:type="dxa"/>
              <w:right w:w="0" w:type="dxa"/>
            </w:tcMar>
            <w:vAlign w:val="center"/>
          </w:tcPr>
          <w:p w14:paraId="35E6537B" w14:textId="77777777" w:rsidR="006578DE" w:rsidRPr="006578DE" w:rsidRDefault="006578DE" w:rsidP="006578DE">
            <w:pPr>
              <w:spacing w:after="0"/>
              <w:ind w:left="90" w:right="90"/>
              <w:jc w:val="center"/>
              <w:textAlignment w:val="baseline"/>
              <w:rPr>
                <w:sz w:val="18"/>
                <w:szCs w:val="18"/>
              </w:rPr>
            </w:pPr>
            <w:r w:rsidRPr="006578DE">
              <w:rPr>
                <w:sz w:val="18"/>
                <w:szCs w:val="18"/>
              </w:rPr>
              <w:t>0 (0%)</w:t>
            </w:r>
          </w:p>
        </w:tc>
        <w:tc>
          <w:tcPr>
            <w:tcW w:w="1434" w:type="dxa"/>
            <w:shd w:val="clear" w:color="auto" w:fill="FFFFFF"/>
            <w:tcMar>
              <w:top w:w="0" w:type="dxa"/>
              <w:left w:w="0" w:type="dxa"/>
              <w:bottom w:w="0" w:type="dxa"/>
              <w:right w:w="0" w:type="dxa"/>
            </w:tcMar>
            <w:vAlign w:val="center"/>
          </w:tcPr>
          <w:p w14:paraId="601D5F09" w14:textId="77777777" w:rsidR="006578DE" w:rsidRPr="006578DE" w:rsidRDefault="006578DE" w:rsidP="006578DE">
            <w:pPr>
              <w:spacing w:after="0"/>
              <w:ind w:left="90" w:right="90"/>
              <w:jc w:val="center"/>
              <w:textAlignment w:val="baseline"/>
              <w:rPr>
                <w:sz w:val="18"/>
                <w:szCs w:val="18"/>
              </w:rPr>
            </w:pPr>
            <w:r w:rsidRPr="006578DE">
              <w:rPr>
                <w:sz w:val="18"/>
                <w:szCs w:val="18"/>
              </w:rPr>
              <w:t>5 (1.5%)</w:t>
            </w:r>
          </w:p>
        </w:tc>
      </w:tr>
      <w:tr w:rsidR="006578DE" w14:paraId="49877CD2" w14:textId="77777777" w:rsidTr="00750232">
        <w:trPr>
          <w:cantSplit/>
          <w:jc w:val="center"/>
        </w:trPr>
        <w:tc>
          <w:tcPr>
            <w:tcW w:w="2385" w:type="dxa"/>
            <w:vMerge/>
            <w:shd w:val="clear" w:color="auto" w:fill="FFFFFF"/>
            <w:tcMar>
              <w:top w:w="0" w:type="dxa"/>
              <w:left w:w="0" w:type="dxa"/>
              <w:bottom w:w="0" w:type="dxa"/>
              <w:right w:w="0" w:type="dxa"/>
            </w:tcMar>
            <w:vAlign w:val="center"/>
          </w:tcPr>
          <w:p w14:paraId="13BE2C9D"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01C22FEC" w14:textId="77777777" w:rsidR="006578DE" w:rsidRPr="006578DE" w:rsidRDefault="006578DE" w:rsidP="006578DE">
            <w:pPr>
              <w:spacing w:after="0"/>
              <w:ind w:left="90" w:right="90"/>
              <w:textAlignment w:val="baseline"/>
              <w:rPr>
                <w:sz w:val="18"/>
                <w:szCs w:val="18"/>
              </w:rPr>
            </w:pPr>
            <w:r w:rsidRPr="006578DE">
              <w:rPr>
                <w:sz w:val="18"/>
                <w:szCs w:val="18"/>
              </w:rPr>
              <w:t>No Change</w:t>
            </w:r>
          </w:p>
        </w:tc>
        <w:tc>
          <w:tcPr>
            <w:tcW w:w="1434" w:type="dxa"/>
            <w:shd w:val="clear" w:color="auto" w:fill="FFFFFF"/>
            <w:tcMar>
              <w:top w:w="0" w:type="dxa"/>
              <w:left w:w="0" w:type="dxa"/>
              <w:bottom w:w="0" w:type="dxa"/>
              <w:right w:w="0" w:type="dxa"/>
            </w:tcMar>
            <w:vAlign w:val="center"/>
          </w:tcPr>
          <w:p w14:paraId="11B51CA5" w14:textId="77777777" w:rsidR="006578DE" w:rsidRPr="006578DE" w:rsidRDefault="006578DE" w:rsidP="006578DE">
            <w:pPr>
              <w:spacing w:after="0"/>
              <w:ind w:left="90" w:right="90"/>
              <w:jc w:val="center"/>
              <w:textAlignment w:val="baseline"/>
              <w:rPr>
                <w:sz w:val="18"/>
                <w:szCs w:val="18"/>
              </w:rPr>
            </w:pPr>
            <w:r w:rsidRPr="006578DE">
              <w:rPr>
                <w:sz w:val="18"/>
                <w:szCs w:val="18"/>
              </w:rPr>
              <w:t>465 (61.8%)</w:t>
            </w:r>
          </w:p>
        </w:tc>
        <w:tc>
          <w:tcPr>
            <w:tcW w:w="1434" w:type="dxa"/>
            <w:shd w:val="clear" w:color="auto" w:fill="FFFFFF"/>
            <w:tcMar>
              <w:top w:w="0" w:type="dxa"/>
              <w:left w:w="0" w:type="dxa"/>
              <w:bottom w:w="0" w:type="dxa"/>
              <w:right w:w="0" w:type="dxa"/>
            </w:tcMar>
            <w:vAlign w:val="center"/>
          </w:tcPr>
          <w:p w14:paraId="6C18AA5A" w14:textId="77777777" w:rsidR="006578DE" w:rsidRPr="006578DE" w:rsidRDefault="006578DE" w:rsidP="006578DE">
            <w:pPr>
              <w:spacing w:after="0"/>
              <w:ind w:left="90" w:right="90"/>
              <w:jc w:val="center"/>
              <w:textAlignment w:val="baseline"/>
              <w:rPr>
                <w:sz w:val="18"/>
                <w:szCs w:val="18"/>
              </w:rPr>
            </w:pPr>
            <w:r w:rsidRPr="006578DE">
              <w:rPr>
                <w:sz w:val="18"/>
                <w:szCs w:val="18"/>
              </w:rPr>
              <w:t>478 (77.2%)</w:t>
            </w:r>
          </w:p>
        </w:tc>
        <w:tc>
          <w:tcPr>
            <w:tcW w:w="1434" w:type="dxa"/>
            <w:shd w:val="clear" w:color="auto" w:fill="FFFFFF"/>
            <w:tcMar>
              <w:top w:w="0" w:type="dxa"/>
              <w:left w:w="0" w:type="dxa"/>
              <w:bottom w:w="0" w:type="dxa"/>
              <w:right w:w="0" w:type="dxa"/>
            </w:tcMar>
            <w:vAlign w:val="center"/>
          </w:tcPr>
          <w:p w14:paraId="094C2952" w14:textId="77777777" w:rsidR="006578DE" w:rsidRPr="006578DE" w:rsidRDefault="006578DE" w:rsidP="006578DE">
            <w:pPr>
              <w:spacing w:after="0"/>
              <w:ind w:left="90" w:right="90"/>
              <w:jc w:val="center"/>
              <w:textAlignment w:val="baseline"/>
              <w:rPr>
                <w:sz w:val="18"/>
                <w:szCs w:val="18"/>
              </w:rPr>
            </w:pPr>
            <w:r w:rsidRPr="006578DE">
              <w:rPr>
                <w:sz w:val="18"/>
                <w:szCs w:val="18"/>
              </w:rPr>
              <w:t>248 (73.2%)</w:t>
            </w:r>
          </w:p>
        </w:tc>
      </w:tr>
      <w:tr w:rsidR="006578DE" w14:paraId="552A77DC" w14:textId="77777777" w:rsidTr="00750232">
        <w:trPr>
          <w:cantSplit/>
          <w:jc w:val="center"/>
        </w:trPr>
        <w:tc>
          <w:tcPr>
            <w:tcW w:w="2385" w:type="dxa"/>
            <w:vMerge/>
            <w:shd w:val="clear" w:color="auto" w:fill="FFFFFF"/>
            <w:tcMar>
              <w:top w:w="0" w:type="dxa"/>
              <w:left w:w="0" w:type="dxa"/>
              <w:bottom w:w="0" w:type="dxa"/>
              <w:right w:w="0" w:type="dxa"/>
            </w:tcMar>
            <w:vAlign w:val="center"/>
          </w:tcPr>
          <w:p w14:paraId="6DCC5595" w14:textId="77777777" w:rsidR="006578DE" w:rsidRPr="006578DE" w:rsidRDefault="006578DE" w:rsidP="006578DE">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52FC3867" w14:textId="77777777" w:rsidR="006578DE" w:rsidRPr="006578DE" w:rsidRDefault="006578DE" w:rsidP="006578DE">
            <w:pPr>
              <w:spacing w:after="0"/>
              <w:ind w:left="90" w:right="90"/>
              <w:textAlignment w:val="baseline"/>
              <w:rPr>
                <w:sz w:val="18"/>
                <w:szCs w:val="18"/>
              </w:rPr>
            </w:pPr>
            <w:r w:rsidRPr="006578DE">
              <w:rPr>
                <w:sz w:val="18"/>
                <w:szCs w:val="18"/>
              </w:rPr>
              <w:t>Partial improvement</w:t>
            </w:r>
          </w:p>
        </w:tc>
        <w:tc>
          <w:tcPr>
            <w:tcW w:w="1434" w:type="dxa"/>
            <w:shd w:val="clear" w:color="auto" w:fill="FFFFFF"/>
            <w:tcMar>
              <w:top w:w="0" w:type="dxa"/>
              <w:left w:w="0" w:type="dxa"/>
              <w:bottom w:w="0" w:type="dxa"/>
              <w:right w:w="0" w:type="dxa"/>
            </w:tcMar>
            <w:vAlign w:val="center"/>
          </w:tcPr>
          <w:p w14:paraId="310CAA40" w14:textId="77777777" w:rsidR="006578DE" w:rsidRPr="006578DE" w:rsidRDefault="006578DE" w:rsidP="006578DE">
            <w:pPr>
              <w:spacing w:after="0"/>
              <w:ind w:left="90" w:right="90"/>
              <w:jc w:val="center"/>
              <w:textAlignment w:val="baseline"/>
              <w:rPr>
                <w:sz w:val="18"/>
                <w:szCs w:val="18"/>
              </w:rPr>
            </w:pPr>
            <w:r w:rsidRPr="006578DE">
              <w:rPr>
                <w:sz w:val="18"/>
                <w:szCs w:val="18"/>
              </w:rPr>
              <w:t>112 (14.9%)</w:t>
            </w:r>
          </w:p>
        </w:tc>
        <w:tc>
          <w:tcPr>
            <w:tcW w:w="1434" w:type="dxa"/>
            <w:shd w:val="clear" w:color="auto" w:fill="FFFFFF"/>
            <w:tcMar>
              <w:top w:w="0" w:type="dxa"/>
              <w:left w:w="0" w:type="dxa"/>
              <w:bottom w:w="0" w:type="dxa"/>
              <w:right w:w="0" w:type="dxa"/>
            </w:tcMar>
            <w:vAlign w:val="center"/>
          </w:tcPr>
          <w:p w14:paraId="4DEC2321" w14:textId="77777777" w:rsidR="006578DE" w:rsidRPr="006578DE" w:rsidRDefault="006578DE" w:rsidP="006578DE">
            <w:pPr>
              <w:spacing w:after="0"/>
              <w:ind w:left="90" w:right="90"/>
              <w:jc w:val="center"/>
              <w:textAlignment w:val="baseline"/>
              <w:rPr>
                <w:sz w:val="18"/>
                <w:szCs w:val="18"/>
              </w:rPr>
            </w:pPr>
            <w:r w:rsidRPr="006578DE">
              <w:rPr>
                <w:sz w:val="18"/>
                <w:szCs w:val="18"/>
              </w:rPr>
              <w:t>78 (12.6%)</w:t>
            </w:r>
          </w:p>
        </w:tc>
        <w:tc>
          <w:tcPr>
            <w:tcW w:w="1434" w:type="dxa"/>
            <w:shd w:val="clear" w:color="auto" w:fill="FFFFFF"/>
            <w:tcMar>
              <w:top w:w="0" w:type="dxa"/>
              <w:left w:w="0" w:type="dxa"/>
              <w:bottom w:w="0" w:type="dxa"/>
              <w:right w:w="0" w:type="dxa"/>
            </w:tcMar>
            <w:vAlign w:val="center"/>
          </w:tcPr>
          <w:p w14:paraId="770C8692" w14:textId="77777777" w:rsidR="006578DE" w:rsidRPr="006578DE" w:rsidRDefault="006578DE" w:rsidP="006578DE">
            <w:pPr>
              <w:spacing w:after="0"/>
              <w:ind w:left="90" w:right="90"/>
              <w:jc w:val="center"/>
              <w:textAlignment w:val="baseline"/>
              <w:rPr>
                <w:sz w:val="18"/>
                <w:szCs w:val="18"/>
              </w:rPr>
            </w:pPr>
            <w:r w:rsidRPr="006578DE">
              <w:rPr>
                <w:sz w:val="18"/>
                <w:szCs w:val="18"/>
              </w:rPr>
              <w:t>38 (11.2%)</w:t>
            </w:r>
          </w:p>
        </w:tc>
      </w:tr>
      <w:tr w:rsidR="006578DE" w14:paraId="2FF205F7" w14:textId="77777777" w:rsidTr="00750232">
        <w:trPr>
          <w:cantSplit/>
          <w:jc w:val="center"/>
        </w:trPr>
        <w:tc>
          <w:tcPr>
            <w:tcW w:w="2385" w:type="dxa"/>
            <w:vMerge/>
            <w:shd w:val="clear" w:color="auto" w:fill="FFFFFF"/>
            <w:tcMar>
              <w:top w:w="0" w:type="dxa"/>
              <w:left w:w="0" w:type="dxa"/>
              <w:bottom w:w="0" w:type="dxa"/>
              <w:right w:w="0" w:type="dxa"/>
            </w:tcMar>
            <w:vAlign w:val="center"/>
          </w:tcPr>
          <w:p w14:paraId="594513E1" w14:textId="77777777" w:rsidR="006578DE" w:rsidRPr="006B5022" w:rsidRDefault="006578DE" w:rsidP="006B5022">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4A187A3A" w14:textId="77777777" w:rsidR="006578DE" w:rsidRPr="006B5022" w:rsidRDefault="006578DE" w:rsidP="006B5022">
            <w:pPr>
              <w:spacing w:after="0"/>
              <w:ind w:left="90" w:right="90"/>
              <w:textAlignment w:val="baseline"/>
              <w:rPr>
                <w:sz w:val="18"/>
                <w:szCs w:val="18"/>
              </w:rPr>
            </w:pPr>
            <w:r w:rsidRPr="006B5022">
              <w:rPr>
                <w:sz w:val="18"/>
                <w:szCs w:val="18"/>
              </w:rPr>
              <w:t>Significant improvement</w:t>
            </w:r>
          </w:p>
        </w:tc>
        <w:tc>
          <w:tcPr>
            <w:tcW w:w="1434" w:type="dxa"/>
            <w:shd w:val="clear" w:color="auto" w:fill="FFFFFF"/>
            <w:tcMar>
              <w:top w:w="0" w:type="dxa"/>
              <w:left w:w="0" w:type="dxa"/>
              <w:bottom w:w="0" w:type="dxa"/>
              <w:right w:w="0" w:type="dxa"/>
            </w:tcMar>
            <w:vAlign w:val="center"/>
          </w:tcPr>
          <w:p w14:paraId="2815D498" w14:textId="77777777" w:rsidR="006578DE" w:rsidRPr="006B5022" w:rsidRDefault="006578DE" w:rsidP="006B5022">
            <w:pPr>
              <w:spacing w:after="0"/>
              <w:ind w:left="90" w:right="90"/>
              <w:jc w:val="center"/>
              <w:textAlignment w:val="baseline"/>
              <w:rPr>
                <w:sz w:val="18"/>
                <w:szCs w:val="18"/>
              </w:rPr>
            </w:pPr>
            <w:r w:rsidRPr="006B5022">
              <w:rPr>
                <w:sz w:val="18"/>
                <w:szCs w:val="18"/>
              </w:rPr>
              <w:t>51 (6.8%)</w:t>
            </w:r>
          </w:p>
        </w:tc>
        <w:tc>
          <w:tcPr>
            <w:tcW w:w="1434" w:type="dxa"/>
            <w:shd w:val="clear" w:color="auto" w:fill="FFFFFF"/>
            <w:tcMar>
              <w:top w:w="0" w:type="dxa"/>
              <w:left w:w="0" w:type="dxa"/>
              <w:bottom w:w="0" w:type="dxa"/>
              <w:right w:w="0" w:type="dxa"/>
            </w:tcMar>
            <w:vAlign w:val="center"/>
          </w:tcPr>
          <w:p w14:paraId="688996AB" w14:textId="77777777" w:rsidR="006578DE" w:rsidRPr="006B5022" w:rsidRDefault="006578DE" w:rsidP="006B5022">
            <w:pPr>
              <w:spacing w:after="0"/>
              <w:ind w:left="90" w:right="90"/>
              <w:jc w:val="center"/>
              <w:textAlignment w:val="baseline"/>
              <w:rPr>
                <w:sz w:val="18"/>
                <w:szCs w:val="18"/>
              </w:rPr>
            </w:pPr>
            <w:r w:rsidRPr="006B5022">
              <w:rPr>
                <w:sz w:val="18"/>
                <w:szCs w:val="18"/>
              </w:rPr>
              <w:t>51 (8.2%)</w:t>
            </w:r>
          </w:p>
        </w:tc>
        <w:tc>
          <w:tcPr>
            <w:tcW w:w="1434" w:type="dxa"/>
            <w:shd w:val="clear" w:color="auto" w:fill="FFFFFF"/>
            <w:tcMar>
              <w:top w:w="0" w:type="dxa"/>
              <w:left w:w="0" w:type="dxa"/>
              <w:bottom w:w="0" w:type="dxa"/>
              <w:right w:w="0" w:type="dxa"/>
            </w:tcMar>
            <w:vAlign w:val="center"/>
          </w:tcPr>
          <w:p w14:paraId="01661AF5" w14:textId="77777777" w:rsidR="006578DE" w:rsidRPr="006B5022" w:rsidRDefault="006578DE" w:rsidP="006B5022">
            <w:pPr>
              <w:spacing w:after="0"/>
              <w:ind w:left="90" w:right="90"/>
              <w:jc w:val="center"/>
              <w:textAlignment w:val="baseline"/>
              <w:rPr>
                <w:sz w:val="18"/>
                <w:szCs w:val="18"/>
              </w:rPr>
            </w:pPr>
            <w:r w:rsidRPr="006B5022">
              <w:rPr>
                <w:sz w:val="18"/>
                <w:szCs w:val="18"/>
              </w:rPr>
              <w:t>44 (13.0%)</w:t>
            </w:r>
          </w:p>
        </w:tc>
      </w:tr>
      <w:tr w:rsidR="006578DE" w14:paraId="517E9004" w14:textId="77777777" w:rsidTr="00750232">
        <w:trPr>
          <w:cantSplit/>
          <w:jc w:val="center"/>
        </w:trPr>
        <w:tc>
          <w:tcPr>
            <w:tcW w:w="2385" w:type="dxa"/>
            <w:vMerge/>
            <w:shd w:val="clear" w:color="auto" w:fill="FFFFFF"/>
            <w:tcMar>
              <w:top w:w="0" w:type="dxa"/>
              <w:left w:w="0" w:type="dxa"/>
              <w:bottom w:w="0" w:type="dxa"/>
              <w:right w:w="0" w:type="dxa"/>
            </w:tcMar>
            <w:vAlign w:val="center"/>
          </w:tcPr>
          <w:p w14:paraId="72DB9D8F" w14:textId="77777777" w:rsidR="006578DE" w:rsidRPr="006B5022" w:rsidRDefault="006578DE" w:rsidP="006B5022">
            <w:pPr>
              <w:spacing w:after="0"/>
              <w:ind w:left="90" w:right="90"/>
              <w:textAlignment w:val="baseline"/>
              <w:rPr>
                <w:sz w:val="18"/>
                <w:szCs w:val="18"/>
              </w:rPr>
            </w:pPr>
          </w:p>
        </w:tc>
        <w:tc>
          <w:tcPr>
            <w:tcW w:w="2349" w:type="dxa"/>
            <w:shd w:val="clear" w:color="auto" w:fill="FFFFFF"/>
            <w:tcMar>
              <w:top w:w="0" w:type="dxa"/>
              <w:left w:w="0" w:type="dxa"/>
              <w:bottom w:w="0" w:type="dxa"/>
              <w:right w:w="0" w:type="dxa"/>
            </w:tcMar>
            <w:vAlign w:val="center"/>
          </w:tcPr>
          <w:p w14:paraId="6E386611" w14:textId="77777777" w:rsidR="006578DE" w:rsidRPr="006B5022" w:rsidRDefault="006578DE" w:rsidP="006B5022">
            <w:pPr>
              <w:spacing w:after="0"/>
              <w:ind w:left="90" w:right="90"/>
              <w:textAlignment w:val="baseline"/>
              <w:rPr>
                <w:sz w:val="18"/>
                <w:szCs w:val="18"/>
              </w:rPr>
            </w:pPr>
            <w:r w:rsidRPr="006B5022">
              <w:rPr>
                <w:sz w:val="18"/>
                <w:szCs w:val="18"/>
              </w:rPr>
              <w:t>Other</w:t>
            </w:r>
          </w:p>
        </w:tc>
        <w:tc>
          <w:tcPr>
            <w:tcW w:w="1434" w:type="dxa"/>
            <w:shd w:val="clear" w:color="auto" w:fill="FFFFFF"/>
            <w:tcMar>
              <w:top w:w="0" w:type="dxa"/>
              <w:left w:w="0" w:type="dxa"/>
              <w:bottom w:w="0" w:type="dxa"/>
              <w:right w:w="0" w:type="dxa"/>
            </w:tcMar>
            <w:vAlign w:val="center"/>
          </w:tcPr>
          <w:p w14:paraId="04B08268" w14:textId="77777777" w:rsidR="006578DE" w:rsidRPr="006B5022" w:rsidRDefault="006578DE" w:rsidP="006B5022">
            <w:pPr>
              <w:spacing w:after="0"/>
              <w:ind w:left="90" w:right="90"/>
              <w:jc w:val="center"/>
              <w:textAlignment w:val="baseline"/>
              <w:rPr>
                <w:sz w:val="18"/>
                <w:szCs w:val="18"/>
              </w:rPr>
            </w:pPr>
            <w:r w:rsidRPr="006B5022">
              <w:rPr>
                <w:sz w:val="18"/>
                <w:szCs w:val="18"/>
              </w:rPr>
              <w:t>123 (16.3%)</w:t>
            </w:r>
          </w:p>
        </w:tc>
        <w:tc>
          <w:tcPr>
            <w:tcW w:w="1434" w:type="dxa"/>
            <w:shd w:val="clear" w:color="auto" w:fill="FFFFFF"/>
            <w:tcMar>
              <w:top w:w="0" w:type="dxa"/>
              <w:left w:w="0" w:type="dxa"/>
              <w:bottom w:w="0" w:type="dxa"/>
              <w:right w:w="0" w:type="dxa"/>
            </w:tcMar>
            <w:vAlign w:val="center"/>
          </w:tcPr>
          <w:p w14:paraId="02877660" w14:textId="77777777" w:rsidR="006578DE" w:rsidRPr="006B5022" w:rsidRDefault="006578DE" w:rsidP="006B5022">
            <w:pPr>
              <w:spacing w:after="0"/>
              <w:ind w:left="90" w:right="90"/>
              <w:jc w:val="center"/>
              <w:textAlignment w:val="baseline"/>
              <w:rPr>
                <w:sz w:val="18"/>
                <w:szCs w:val="18"/>
              </w:rPr>
            </w:pPr>
            <w:r w:rsidRPr="006B5022">
              <w:rPr>
                <w:sz w:val="18"/>
                <w:szCs w:val="18"/>
              </w:rPr>
              <w:t>12 (1.9%)</w:t>
            </w:r>
          </w:p>
        </w:tc>
        <w:tc>
          <w:tcPr>
            <w:tcW w:w="1434" w:type="dxa"/>
            <w:shd w:val="clear" w:color="auto" w:fill="FFFFFF"/>
            <w:tcMar>
              <w:top w:w="0" w:type="dxa"/>
              <w:left w:w="0" w:type="dxa"/>
              <w:bottom w:w="0" w:type="dxa"/>
              <w:right w:w="0" w:type="dxa"/>
            </w:tcMar>
            <w:vAlign w:val="center"/>
          </w:tcPr>
          <w:p w14:paraId="21D4E2E5" w14:textId="77777777" w:rsidR="006578DE" w:rsidRPr="006B5022" w:rsidRDefault="006578DE" w:rsidP="006B5022">
            <w:pPr>
              <w:spacing w:after="0"/>
              <w:ind w:left="90" w:right="90"/>
              <w:jc w:val="center"/>
              <w:textAlignment w:val="baseline"/>
              <w:rPr>
                <w:sz w:val="18"/>
                <w:szCs w:val="18"/>
              </w:rPr>
            </w:pPr>
            <w:r w:rsidRPr="006B5022">
              <w:rPr>
                <w:sz w:val="18"/>
                <w:szCs w:val="18"/>
              </w:rPr>
              <w:t>4 (1.2%)</w:t>
            </w:r>
          </w:p>
        </w:tc>
      </w:tr>
    </w:tbl>
    <w:p w14:paraId="513F1AFA" w14:textId="77777777" w:rsidR="00750232" w:rsidRPr="008A7ACB" w:rsidRDefault="00750232" w:rsidP="00750232">
      <w:pPr>
        <w:pStyle w:val="Chartortablefootnote"/>
      </w:pPr>
      <w:r w:rsidRPr="00925C4B">
        <w:rPr>
          <w:lang w:eastAsia="en-AU"/>
        </w:rPr>
        <w:t>Source: Health Outcomes data set provided by the Pharmacy Guild, to 30 June 202</w:t>
      </w:r>
      <w:r>
        <w:rPr>
          <w:lang w:eastAsia="en-AU"/>
        </w:rPr>
        <w:t>1</w:t>
      </w:r>
      <w:r w:rsidRPr="00925C4B">
        <w:rPr>
          <w:lang w:eastAsia="en-AU"/>
        </w:rPr>
        <w:t>. </w:t>
      </w: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2E5C83" w14:paraId="54F23B73" w14:textId="77777777" w:rsidTr="0032660B">
        <w:tc>
          <w:tcPr>
            <w:tcW w:w="8996" w:type="dxa"/>
            <w:shd w:val="clear" w:color="auto" w:fill="auto"/>
          </w:tcPr>
          <w:p w14:paraId="0B59309E" w14:textId="52616392" w:rsidR="002E5C83" w:rsidRPr="00E6765F" w:rsidRDefault="002E5C83" w:rsidP="00AF15A5">
            <w:pPr>
              <w:pStyle w:val="Boxheading"/>
              <w:spacing w:after="120"/>
              <w:rPr>
                <w:b/>
                <w:bCs/>
                <w:szCs w:val="20"/>
              </w:rPr>
            </w:pPr>
            <w:r w:rsidRPr="00066E40">
              <w:rPr>
                <w:bCs/>
                <w:szCs w:val="20"/>
              </w:rPr>
              <w:t xml:space="preserve">Box </w:t>
            </w:r>
            <w:r w:rsidR="00A61B29">
              <w:fldChar w:fldCharType="begin"/>
            </w:r>
            <w:r w:rsidR="00A61B29">
              <w:instrText xml:space="preserve"> SEQ Box\* ARABIC </w:instrText>
            </w:r>
            <w:r w:rsidR="00A61B29">
              <w:fldChar w:fldCharType="separate"/>
            </w:r>
            <w:r w:rsidR="003C4BC2">
              <w:rPr>
                <w:noProof/>
              </w:rPr>
              <w:t>30</w:t>
            </w:r>
            <w:r w:rsidR="00A61B29">
              <w:rPr>
                <w:noProof/>
              </w:rPr>
              <w:fldChar w:fldCharType="end"/>
            </w:r>
            <w:r w:rsidRPr="00066E40">
              <w:rPr>
                <w:bCs/>
                <w:szCs w:val="20"/>
              </w:rPr>
              <w:t xml:space="preserve">: </w:t>
            </w:r>
            <w:r w:rsidR="008F4BFE">
              <w:rPr>
                <w:bCs/>
                <w:szCs w:val="20"/>
              </w:rPr>
              <w:t>Brief review of literature on o</w:t>
            </w:r>
            <w:r w:rsidR="00F20F72">
              <w:rPr>
                <w:bCs/>
                <w:szCs w:val="20"/>
              </w:rPr>
              <w:t xml:space="preserve">utcomes of </w:t>
            </w:r>
            <w:r w:rsidR="0088671C">
              <w:rPr>
                <w:bCs/>
                <w:szCs w:val="20"/>
              </w:rPr>
              <w:t>pharmacist</w:t>
            </w:r>
            <w:r w:rsidR="00F67BFF">
              <w:rPr>
                <w:bCs/>
                <w:szCs w:val="20"/>
              </w:rPr>
              <w:t>–PCMH interactions</w:t>
            </w:r>
          </w:p>
          <w:p w14:paraId="580797FA" w14:textId="006E6890" w:rsidR="00F20F72" w:rsidRPr="00F20F72" w:rsidRDefault="00F20F72" w:rsidP="00AF15A5">
            <w:pPr>
              <w:spacing w:after="120"/>
              <w:rPr>
                <w:sz w:val="18"/>
                <w:szCs w:val="18"/>
              </w:rPr>
            </w:pPr>
            <w:r w:rsidRPr="00F20F72">
              <w:rPr>
                <w:sz w:val="18"/>
                <w:szCs w:val="18"/>
              </w:rPr>
              <w:t xml:space="preserve">Several studies have examined </w:t>
            </w:r>
            <w:r>
              <w:rPr>
                <w:sz w:val="18"/>
                <w:szCs w:val="18"/>
              </w:rPr>
              <w:t xml:space="preserve">patient outcomes </w:t>
            </w:r>
            <w:r w:rsidR="004018A3">
              <w:rPr>
                <w:sz w:val="18"/>
                <w:szCs w:val="18"/>
              </w:rPr>
              <w:t>as a result of</w:t>
            </w:r>
            <w:r>
              <w:rPr>
                <w:sz w:val="18"/>
                <w:szCs w:val="18"/>
              </w:rPr>
              <w:t xml:space="preserve"> </w:t>
            </w:r>
            <w:r w:rsidR="00F67BFF">
              <w:rPr>
                <w:sz w:val="18"/>
                <w:szCs w:val="18"/>
              </w:rPr>
              <w:t xml:space="preserve">increased collaboration between </w:t>
            </w:r>
            <w:r w:rsidR="00F67BFF" w:rsidRPr="00F67BFF">
              <w:rPr>
                <w:sz w:val="18"/>
                <w:szCs w:val="18"/>
              </w:rPr>
              <w:t>pharmacist</w:t>
            </w:r>
            <w:r w:rsidR="00F67BFF">
              <w:rPr>
                <w:sz w:val="18"/>
                <w:szCs w:val="18"/>
              </w:rPr>
              <w:t xml:space="preserve">s and </w:t>
            </w:r>
            <w:r w:rsidR="00F67BFF" w:rsidRPr="00F67BFF">
              <w:rPr>
                <w:sz w:val="18"/>
                <w:szCs w:val="18"/>
              </w:rPr>
              <w:t>PCMH</w:t>
            </w:r>
            <w:r w:rsidR="00F67BFF">
              <w:rPr>
                <w:sz w:val="18"/>
                <w:szCs w:val="18"/>
              </w:rPr>
              <w:t>s</w:t>
            </w:r>
            <w:r w:rsidRPr="00F20F72">
              <w:rPr>
                <w:sz w:val="18"/>
                <w:szCs w:val="18"/>
              </w:rPr>
              <w:t>.</w:t>
            </w:r>
            <w:r w:rsidR="002F6ECB">
              <w:rPr>
                <w:sz w:val="18"/>
                <w:szCs w:val="18"/>
              </w:rPr>
              <w:t xml:space="preserve"> Many </w:t>
            </w:r>
            <w:r w:rsidR="004018A3">
              <w:rPr>
                <w:sz w:val="18"/>
                <w:szCs w:val="18"/>
              </w:rPr>
              <w:t>of these</w:t>
            </w:r>
            <w:r w:rsidR="002F6ECB">
              <w:rPr>
                <w:sz w:val="18"/>
                <w:szCs w:val="18"/>
              </w:rPr>
              <w:t xml:space="preserve"> relate to specific chronic </w:t>
            </w:r>
            <w:r w:rsidR="001F6285">
              <w:rPr>
                <w:sz w:val="18"/>
                <w:szCs w:val="18"/>
              </w:rPr>
              <w:t>conditions</w:t>
            </w:r>
            <w:r w:rsidR="002F6ECB">
              <w:rPr>
                <w:sz w:val="18"/>
                <w:szCs w:val="18"/>
              </w:rPr>
              <w:t>.</w:t>
            </w:r>
          </w:p>
          <w:p w14:paraId="365E2BF6" w14:textId="22B98A3E" w:rsidR="00F20F72" w:rsidRPr="00F20F72" w:rsidRDefault="00FF2999" w:rsidP="00AF15A5">
            <w:pPr>
              <w:spacing w:after="120"/>
              <w:rPr>
                <w:sz w:val="18"/>
                <w:szCs w:val="18"/>
              </w:rPr>
            </w:pPr>
            <w:r>
              <w:rPr>
                <w:sz w:val="18"/>
                <w:szCs w:val="18"/>
              </w:rPr>
              <w:t>A systematic review</w:t>
            </w:r>
            <w:r w:rsidR="0066607A">
              <w:rPr>
                <w:sz w:val="18"/>
                <w:szCs w:val="18"/>
              </w:rPr>
              <w:t xml:space="preserve"> by </w:t>
            </w:r>
            <w:r w:rsidR="0066607A" w:rsidRPr="00F20F72">
              <w:rPr>
                <w:sz w:val="18"/>
                <w:szCs w:val="18"/>
              </w:rPr>
              <w:t>Hwang et al</w:t>
            </w:r>
            <w:r w:rsidR="0066607A">
              <w:rPr>
                <w:sz w:val="18"/>
                <w:szCs w:val="18"/>
              </w:rPr>
              <w:t>.</w:t>
            </w:r>
            <w:r w:rsidR="0066607A" w:rsidRPr="000E1027">
              <w:rPr>
                <w:rStyle w:val="FootnoteReference"/>
                <w:color w:val="408BCA"/>
                <w:sz w:val="18"/>
                <w:szCs w:val="18"/>
              </w:rPr>
              <w:footnoteReference w:id="98"/>
            </w:r>
            <w:r w:rsidR="0066607A" w:rsidRPr="00F20F72">
              <w:rPr>
                <w:sz w:val="18"/>
                <w:szCs w:val="18"/>
              </w:rPr>
              <w:t xml:space="preserve"> </w:t>
            </w:r>
            <w:r w:rsidR="0066607A">
              <w:rPr>
                <w:sz w:val="18"/>
                <w:szCs w:val="18"/>
              </w:rPr>
              <w:t>of</w:t>
            </w:r>
            <w:r>
              <w:rPr>
                <w:sz w:val="18"/>
                <w:szCs w:val="18"/>
              </w:rPr>
              <w:t xml:space="preserve"> </w:t>
            </w:r>
            <w:r w:rsidR="0066607A">
              <w:rPr>
                <w:sz w:val="18"/>
                <w:szCs w:val="18"/>
              </w:rPr>
              <w:t>p</w:t>
            </w:r>
            <w:r w:rsidR="0066607A" w:rsidRPr="00F20F72">
              <w:rPr>
                <w:sz w:val="18"/>
                <w:szCs w:val="18"/>
              </w:rPr>
              <w:t xml:space="preserve">hysician-pharmacist collaboration </w:t>
            </w:r>
            <w:r w:rsidR="00F20F72" w:rsidRPr="00F20F72">
              <w:rPr>
                <w:sz w:val="18"/>
                <w:szCs w:val="18"/>
              </w:rPr>
              <w:t xml:space="preserve">concluded that </w:t>
            </w:r>
            <w:r w:rsidR="0066607A">
              <w:rPr>
                <w:sz w:val="18"/>
                <w:szCs w:val="18"/>
              </w:rPr>
              <w:t>the</w:t>
            </w:r>
            <w:r w:rsidR="007B6A5E">
              <w:rPr>
                <w:sz w:val="18"/>
                <w:szCs w:val="18"/>
              </w:rPr>
              <w:t>se</w:t>
            </w:r>
            <w:r w:rsidR="0066607A">
              <w:rPr>
                <w:sz w:val="18"/>
                <w:szCs w:val="18"/>
              </w:rPr>
              <w:t xml:space="preserve"> model</w:t>
            </w:r>
            <w:r w:rsidR="007B6A5E">
              <w:rPr>
                <w:sz w:val="18"/>
                <w:szCs w:val="18"/>
              </w:rPr>
              <w:t>s are</w:t>
            </w:r>
            <w:r w:rsidR="00F20F72" w:rsidRPr="00F20F72">
              <w:rPr>
                <w:sz w:val="18"/>
                <w:szCs w:val="18"/>
              </w:rPr>
              <w:t xml:space="preserve"> effective in improving both blood pressure control and</w:t>
            </w:r>
            <w:r w:rsidR="00016F1F">
              <w:rPr>
                <w:sz w:val="18"/>
                <w:szCs w:val="18"/>
              </w:rPr>
              <w:t xml:space="preserve"> </w:t>
            </w:r>
            <w:r w:rsidR="00016F1F" w:rsidRPr="00016F1F">
              <w:rPr>
                <w:sz w:val="18"/>
                <w:szCs w:val="18"/>
              </w:rPr>
              <w:t>glycated haemoglobin</w:t>
            </w:r>
            <w:r w:rsidR="00016F1F">
              <w:rPr>
                <w:sz w:val="18"/>
                <w:szCs w:val="18"/>
              </w:rPr>
              <w:t xml:space="preserve"> (</w:t>
            </w:r>
            <w:r w:rsidR="00F20F72" w:rsidRPr="00F20F72">
              <w:rPr>
                <w:sz w:val="18"/>
                <w:szCs w:val="18"/>
              </w:rPr>
              <w:t>HbA1c</w:t>
            </w:r>
            <w:r w:rsidR="00016F1F">
              <w:rPr>
                <w:sz w:val="18"/>
                <w:szCs w:val="18"/>
              </w:rPr>
              <w:t>)</w:t>
            </w:r>
            <w:r w:rsidR="00F20F72" w:rsidRPr="00F20F72">
              <w:rPr>
                <w:sz w:val="18"/>
                <w:szCs w:val="18"/>
              </w:rPr>
              <w:t xml:space="preserve"> levels. </w:t>
            </w:r>
            <w:r w:rsidR="00A349B7">
              <w:rPr>
                <w:sz w:val="18"/>
                <w:szCs w:val="18"/>
              </w:rPr>
              <w:t>Another</w:t>
            </w:r>
            <w:r w:rsidR="007B6A5E">
              <w:rPr>
                <w:sz w:val="18"/>
                <w:szCs w:val="18"/>
              </w:rPr>
              <w:t xml:space="preserve"> review by </w:t>
            </w:r>
            <w:proofErr w:type="spellStart"/>
            <w:r w:rsidR="00F20F72" w:rsidRPr="00F20F72">
              <w:rPr>
                <w:sz w:val="18"/>
                <w:szCs w:val="18"/>
              </w:rPr>
              <w:t>Kennalty</w:t>
            </w:r>
            <w:proofErr w:type="spellEnd"/>
            <w:r w:rsidR="00F20F72" w:rsidRPr="00F20F72">
              <w:rPr>
                <w:sz w:val="18"/>
                <w:szCs w:val="18"/>
              </w:rPr>
              <w:t xml:space="preserve"> et al</w:t>
            </w:r>
            <w:r w:rsidR="001F6285" w:rsidRPr="000E1027">
              <w:rPr>
                <w:rStyle w:val="FootnoteReference"/>
                <w:color w:val="408BCA"/>
                <w:sz w:val="18"/>
                <w:szCs w:val="18"/>
              </w:rPr>
              <w:footnoteReference w:id="99"/>
            </w:r>
            <w:r w:rsidR="00F20F72" w:rsidRPr="00F20F72">
              <w:rPr>
                <w:sz w:val="18"/>
                <w:szCs w:val="18"/>
              </w:rPr>
              <w:t xml:space="preserve"> came to similar conclusions and suggested there is potential for positive results for patients with asthma, </w:t>
            </w:r>
            <w:r w:rsidR="00783897">
              <w:rPr>
                <w:sz w:val="18"/>
                <w:szCs w:val="18"/>
              </w:rPr>
              <w:t>chronic obstructive pulmonary disease</w:t>
            </w:r>
            <w:r w:rsidR="00F20F72" w:rsidRPr="00F20F72">
              <w:rPr>
                <w:sz w:val="18"/>
                <w:szCs w:val="18"/>
              </w:rPr>
              <w:t>, kidney disease, heart failure and hyperlipid</w:t>
            </w:r>
            <w:r w:rsidR="00FD3B5C">
              <w:rPr>
                <w:sz w:val="18"/>
                <w:szCs w:val="18"/>
              </w:rPr>
              <w:t>a</w:t>
            </w:r>
            <w:r w:rsidR="00F20F72" w:rsidRPr="00F20F72">
              <w:rPr>
                <w:sz w:val="18"/>
                <w:szCs w:val="18"/>
              </w:rPr>
              <w:t>emia.</w:t>
            </w:r>
            <w:r w:rsidR="00131FC2">
              <w:rPr>
                <w:sz w:val="18"/>
                <w:szCs w:val="18"/>
              </w:rPr>
              <w:t xml:space="preserve"> </w:t>
            </w:r>
            <w:r w:rsidR="00F20F72" w:rsidRPr="00F20F72">
              <w:rPr>
                <w:sz w:val="18"/>
                <w:szCs w:val="18"/>
              </w:rPr>
              <w:t>Both reviews suggested that the principal mechanism in effecting these outcomes is increased health care utilisation (in the form of more visits to the pharmacist rather than the doctor) and medication intensification, with more equivocal evidence for improved medication adherence.</w:t>
            </w:r>
          </w:p>
          <w:p w14:paraId="55C9438C" w14:textId="3998399E" w:rsidR="00F20F72" w:rsidRPr="00F20F72" w:rsidRDefault="00F20F72" w:rsidP="00AF15A5">
            <w:pPr>
              <w:spacing w:after="120"/>
              <w:rPr>
                <w:sz w:val="18"/>
                <w:szCs w:val="18"/>
              </w:rPr>
            </w:pPr>
            <w:r w:rsidRPr="00F20F72">
              <w:rPr>
                <w:sz w:val="18"/>
                <w:szCs w:val="18"/>
              </w:rPr>
              <w:lastRenderedPageBreak/>
              <w:t>Matzke et al</w:t>
            </w:r>
            <w:r w:rsidR="001F6285">
              <w:rPr>
                <w:sz w:val="18"/>
                <w:szCs w:val="18"/>
              </w:rPr>
              <w:t>.</w:t>
            </w:r>
            <w:r w:rsidR="001F6285" w:rsidRPr="000E1027">
              <w:rPr>
                <w:rStyle w:val="FootnoteReference"/>
                <w:color w:val="408BCA"/>
                <w:sz w:val="18"/>
                <w:szCs w:val="18"/>
              </w:rPr>
              <w:footnoteReference w:id="100"/>
            </w:r>
            <w:r w:rsidRPr="00F20F72">
              <w:rPr>
                <w:sz w:val="18"/>
                <w:szCs w:val="18"/>
              </w:rPr>
              <w:t xml:space="preserve"> compared outcomes for a collaboration group involving a pharmacist with a comparison group for a population of 2</w:t>
            </w:r>
            <w:r w:rsidR="00FD3B5C">
              <w:rPr>
                <w:sz w:val="18"/>
                <w:szCs w:val="18"/>
              </w:rPr>
              <w:t>,</w:t>
            </w:r>
            <w:r w:rsidRPr="00F20F72">
              <w:rPr>
                <w:sz w:val="18"/>
                <w:szCs w:val="18"/>
              </w:rPr>
              <w:t xml:space="preserve">480 patients with </w:t>
            </w:r>
            <w:r w:rsidR="00FD3B5C">
              <w:rPr>
                <w:sz w:val="18"/>
                <w:szCs w:val="18"/>
              </w:rPr>
              <w:t>two</w:t>
            </w:r>
            <w:r w:rsidRPr="00F20F72">
              <w:rPr>
                <w:sz w:val="18"/>
                <w:szCs w:val="18"/>
              </w:rPr>
              <w:t xml:space="preserve"> or more of a group of </w:t>
            </w:r>
            <w:r w:rsidR="00FD3B5C">
              <w:rPr>
                <w:sz w:val="18"/>
                <w:szCs w:val="18"/>
              </w:rPr>
              <w:t>seven</w:t>
            </w:r>
            <w:r w:rsidRPr="00F20F72">
              <w:rPr>
                <w:sz w:val="18"/>
                <w:szCs w:val="18"/>
              </w:rPr>
              <w:t xml:space="preserve"> target chronic diseases (congestive heart failure, hypertension, </w:t>
            </w:r>
            <w:r w:rsidR="00FD3B5C" w:rsidRPr="00F20F72">
              <w:rPr>
                <w:sz w:val="18"/>
                <w:szCs w:val="18"/>
              </w:rPr>
              <w:t>hyperlipidaemia</w:t>
            </w:r>
            <w:r w:rsidRPr="00F20F72">
              <w:rPr>
                <w:sz w:val="18"/>
                <w:szCs w:val="18"/>
              </w:rPr>
              <w:t xml:space="preserve">, diabetes, asthma, </w:t>
            </w:r>
            <w:r w:rsidR="00783897">
              <w:rPr>
                <w:sz w:val="18"/>
                <w:szCs w:val="18"/>
              </w:rPr>
              <w:t>chronic obstructive pulmonary disease</w:t>
            </w:r>
            <w:r w:rsidRPr="00F20F72">
              <w:rPr>
                <w:sz w:val="18"/>
                <w:szCs w:val="18"/>
              </w:rPr>
              <w:t>, and depression).</w:t>
            </w:r>
            <w:r w:rsidR="00131FC2">
              <w:rPr>
                <w:sz w:val="18"/>
                <w:szCs w:val="18"/>
              </w:rPr>
              <w:t xml:space="preserve"> </w:t>
            </w:r>
            <w:r w:rsidRPr="00F20F72">
              <w:rPr>
                <w:sz w:val="18"/>
                <w:szCs w:val="18"/>
              </w:rPr>
              <w:t>In comparison to the non-pharmacist group, those with pharmacist involvement showed improved HbA1c, blood pressure</w:t>
            </w:r>
            <w:r w:rsidR="00016F1F">
              <w:rPr>
                <w:sz w:val="18"/>
                <w:szCs w:val="18"/>
              </w:rPr>
              <w:t>,</w:t>
            </w:r>
            <w:r w:rsidRPr="00F20F72">
              <w:rPr>
                <w:sz w:val="18"/>
                <w:szCs w:val="18"/>
              </w:rPr>
              <w:t xml:space="preserve"> </w:t>
            </w:r>
            <w:r w:rsidR="00D0558E">
              <w:rPr>
                <w:sz w:val="18"/>
                <w:szCs w:val="18"/>
              </w:rPr>
              <w:t>or</w:t>
            </w:r>
            <w:r w:rsidRPr="00F20F72">
              <w:rPr>
                <w:sz w:val="18"/>
                <w:szCs w:val="18"/>
              </w:rPr>
              <w:t xml:space="preserve"> total cholesterol levels</w:t>
            </w:r>
            <w:r w:rsidR="00C55E93">
              <w:rPr>
                <w:sz w:val="18"/>
                <w:szCs w:val="18"/>
              </w:rPr>
              <w:t>,</w:t>
            </w:r>
            <w:r w:rsidRPr="00F20F72">
              <w:rPr>
                <w:sz w:val="18"/>
                <w:szCs w:val="18"/>
              </w:rPr>
              <w:t xml:space="preserve"> as relevant</w:t>
            </w:r>
            <w:r w:rsidR="00C55E93">
              <w:rPr>
                <w:sz w:val="18"/>
                <w:szCs w:val="18"/>
              </w:rPr>
              <w:t xml:space="preserve"> to their conditions</w:t>
            </w:r>
            <w:r w:rsidRPr="00F20F72">
              <w:rPr>
                <w:sz w:val="18"/>
                <w:szCs w:val="18"/>
              </w:rPr>
              <w:t>. There were also indications of reduced hospitalisation for these conditions.</w:t>
            </w:r>
          </w:p>
          <w:p w14:paraId="6D9C5EB6" w14:textId="4C696E46" w:rsidR="00F20F72" w:rsidRPr="00F20F72" w:rsidRDefault="00F20F72" w:rsidP="00AF15A5">
            <w:pPr>
              <w:spacing w:after="120"/>
              <w:rPr>
                <w:sz w:val="18"/>
                <w:szCs w:val="18"/>
              </w:rPr>
            </w:pPr>
            <w:proofErr w:type="spellStart"/>
            <w:r w:rsidRPr="00F20F72">
              <w:rPr>
                <w:sz w:val="18"/>
                <w:szCs w:val="18"/>
              </w:rPr>
              <w:t>Kocarnik</w:t>
            </w:r>
            <w:proofErr w:type="spellEnd"/>
            <w:r w:rsidRPr="00F20F72">
              <w:rPr>
                <w:sz w:val="18"/>
                <w:szCs w:val="18"/>
              </w:rPr>
              <w:t xml:space="preserve"> et al</w:t>
            </w:r>
            <w:r w:rsidR="00B17608">
              <w:rPr>
                <w:sz w:val="18"/>
                <w:szCs w:val="18"/>
              </w:rPr>
              <w:t>.</w:t>
            </w:r>
            <w:r w:rsidR="00B17608" w:rsidRPr="000E1027">
              <w:rPr>
                <w:rStyle w:val="FootnoteReference"/>
                <w:color w:val="408BCA"/>
                <w:sz w:val="18"/>
                <w:szCs w:val="18"/>
              </w:rPr>
              <w:footnoteReference w:id="101"/>
            </w:r>
            <w:r w:rsidRPr="00F20F72">
              <w:rPr>
                <w:sz w:val="18"/>
                <w:szCs w:val="18"/>
              </w:rPr>
              <w:t xml:space="preserve"> found no association between the presence of a pharmacist and improved medication adherence</w:t>
            </w:r>
            <w:r w:rsidR="003200F7" w:rsidRPr="00F20F72">
              <w:rPr>
                <w:sz w:val="18"/>
                <w:szCs w:val="18"/>
              </w:rPr>
              <w:t xml:space="preserve"> in a primary care clinic population with diabetes</w:t>
            </w:r>
            <w:r w:rsidRPr="00F20F72">
              <w:rPr>
                <w:sz w:val="18"/>
                <w:szCs w:val="18"/>
              </w:rPr>
              <w:t>.</w:t>
            </w:r>
            <w:r w:rsidR="00131FC2">
              <w:rPr>
                <w:sz w:val="18"/>
                <w:szCs w:val="18"/>
              </w:rPr>
              <w:t xml:space="preserve"> </w:t>
            </w:r>
            <w:r w:rsidRPr="00F20F72">
              <w:rPr>
                <w:sz w:val="18"/>
                <w:szCs w:val="18"/>
              </w:rPr>
              <w:t>They did, however, find that in those clinics where pharmacy services are perceived by other health providers as a service bottleneck, there was decreased adherence.</w:t>
            </w:r>
            <w:r w:rsidR="009713DE">
              <w:rPr>
                <w:sz w:val="18"/>
                <w:szCs w:val="18"/>
              </w:rPr>
              <w:t xml:space="preserve"> Also, </w:t>
            </w:r>
            <w:r w:rsidRPr="00F20F72">
              <w:rPr>
                <w:sz w:val="18"/>
                <w:szCs w:val="18"/>
              </w:rPr>
              <w:t>O’Neill et al</w:t>
            </w:r>
            <w:r w:rsidR="003200F7">
              <w:rPr>
                <w:sz w:val="18"/>
                <w:szCs w:val="18"/>
              </w:rPr>
              <w:t>.</w:t>
            </w:r>
            <w:r w:rsidR="003200F7" w:rsidRPr="008433E9">
              <w:rPr>
                <w:rStyle w:val="FootnoteReference"/>
                <w:color w:val="408BCA"/>
                <w:sz w:val="18"/>
                <w:szCs w:val="18"/>
              </w:rPr>
              <w:footnoteReference w:id="102"/>
            </w:r>
            <w:r w:rsidRPr="00F20F72">
              <w:rPr>
                <w:sz w:val="18"/>
                <w:szCs w:val="18"/>
              </w:rPr>
              <w:t xml:space="preserve"> </w:t>
            </w:r>
            <w:r w:rsidR="003200F7">
              <w:rPr>
                <w:sz w:val="18"/>
                <w:szCs w:val="18"/>
              </w:rPr>
              <w:t xml:space="preserve">in a </w:t>
            </w:r>
            <w:r w:rsidRPr="00F20F72">
              <w:rPr>
                <w:sz w:val="18"/>
                <w:szCs w:val="18"/>
              </w:rPr>
              <w:t>study of collaborative case management in a Veterans Health Administration population found no difference to a comparison group in blood pressure reduction but did find medication intensification in the group involving a pharmacist.</w:t>
            </w:r>
            <w:r w:rsidR="00131FC2">
              <w:rPr>
                <w:sz w:val="18"/>
                <w:szCs w:val="18"/>
              </w:rPr>
              <w:t xml:space="preserve"> </w:t>
            </w:r>
          </w:p>
          <w:p w14:paraId="22EA5026" w14:textId="28639E0F" w:rsidR="00F20F72" w:rsidRPr="00F20F72" w:rsidRDefault="00F20F72" w:rsidP="00AF15A5">
            <w:pPr>
              <w:spacing w:after="120"/>
              <w:rPr>
                <w:sz w:val="18"/>
                <w:szCs w:val="18"/>
              </w:rPr>
            </w:pPr>
            <w:r w:rsidRPr="00F20F72">
              <w:rPr>
                <w:sz w:val="18"/>
                <w:szCs w:val="18"/>
              </w:rPr>
              <w:t>Romanelli et al</w:t>
            </w:r>
            <w:r w:rsidR="001F6285">
              <w:rPr>
                <w:sz w:val="18"/>
                <w:szCs w:val="18"/>
              </w:rPr>
              <w:t>.</w:t>
            </w:r>
            <w:r w:rsidR="001F6285" w:rsidRPr="000E1027">
              <w:rPr>
                <w:rStyle w:val="FootnoteReference"/>
                <w:color w:val="408BCA"/>
                <w:sz w:val="18"/>
                <w:szCs w:val="18"/>
              </w:rPr>
              <w:footnoteReference w:id="103"/>
            </w:r>
            <w:r w:rsidRPr="00F20F72">
              <w:rPr>
                <w:sz w:val="18"/>
                <w:szCs w:val="18"/>
              </w:rPr>
              <w:t xml:space="preserve"> in a controlled study found that patients undergoing a medication management program within a PCMH setting were more likely to experience a larger number of primary care visits </w:t>
            </w:r>
            <w:r w:rsidR="003200F7">
              <w:rPr>
                <w:sz w:val="18"/>
                <w:szCs w:val="18"/>
              </w:rPr>
              <w:t>but</w:t>
            </w:r>
            <w:r w:rsidRPr="00F20F72">
              <w:rPr>
                <w:sz w:val="18"/>
                <w:szCs w:val="18"/>
              </w:rPr>
              <w:t xml:space="preserve"> reduced rate of hospitalisation.</w:t>
            </w:r>
            <w:r w:rsidR="00131FC2">
              <w:rPr>
                <w:sz w:val="18"/>
                <w:szCs w:val="18"/>
              </w:rPr>
              <w:t xml:space="preserve"> </w:t>
            </w:r>
            <w:r w:rsidRPr="00F20F72">
              <w:rPr>
                <w:sz w:val="18"/>
                <w:szCs w:val="18"/>
              </w:rPr>
              <w:t xml:space="preserve">Other measures, including blood pressure or </w:t>
            </w:r>
            <w:r w:rsidR="00061D18" w:rsidRPr="00061D18">
              <w:rPr>
                <w:sz w:val="18"/>
                <w:szCs w:val="18"/>
              </w:rPr>
              <w:t>low-density lipoprotein</w:t>
            </w:r>
            <w:r w:rsidRPr="00F20F72">
              <w:rPr>
                <w:sz w:val="18"/>
                <w:szCs w:val="18"/>
              </w:rPr>
              <w:t xml:space="preserve"> levels</w:t>
            </w:r>
            <w:r w:rsidR="0016102D">
              <w:rPr>
                <w:sz w:val="18"/>
                <w:szCs w:val="18"/>
              </w:rPr>
              <w:t>,</w:t>
            </w:r>
            <w:r w:rsidRPr="00F20F72">
              <w:rPr>
                <w:sz w:val="18"/>
                <w:szCs w:val="18"/>
              </w:rPr>
              <w:t xml:space="preserve"> did not differ between the groups.</w:t>
            </w:r>
          </w:p>
          <w:p w14:paraId="45A17C3D" w14:textId="4B940ED1" w:rsidR="00F20F72" w:rsidRPr="00F20F72" w:rsidRDefault="00F20F72" w:rsidP="00AF15A5">
            <w:pPr>
              <w:spacing w:after="120"/>
              <w:rPr>
                <w:sz w:val="18"/>
                <w:szCs w:val="18"/>
              </w:rPr>
            </w:pPr>
            <w:proofErr w:type="spellStart"/>
            <w:r w:rsidRPr="00F20F72">
              <w:rPr>
                <w:sz w:val="18"/>
                <w:szCs w:val="18"/>
              </w:rPr>
              <w:t>Brunisholz</w:t>
            </w:r>
            <w:proofErr w:type="spellEnd"/>
            <w:r w:rsidRPr="00F20F72">
              <w:rPr>
                <w:sz w:val="18"/>
                <w:szCs w:val="18"/>
              </w:rPr>
              <w:t xml:space="preserve"> et al</w:t>
            </w:r>
            <w:r w:rsidR="001F6285">
              <w:rPr>
                <w:sz w:val="18"/>
                <w:szCs w:val="18"/>
              </w:rPr>
              <w:t>.</w:t>
            </w:r>
            <w:r w:rsidR="001F6285" w:rsidRPr="000E1027">
              <w:rPr>
                <w:rStyle w:val="FootnoteReference"/>
                <w:color w:val="408BCA"/>
                <w:sz w:val="18"/>
                <w:szCs w:val="18"/>
              </w:rPr>
              <w:footnoteReference w:id="104"/>
            </w:r>
            <w:r w:rsidRPr="00F20F72">
              <w:rPr>
                <w:sz w:val="18"/>
                <w:szCs w:val="18"/>
              </w:rPr>
              <w:t xml:space="preserve"> examined outcomes for patients with diabetes of a collaborative model of pharmacy care under which the pharmacist was given responsibility for care management and coordination of the care team.</w:t>
            </w:r>
            <w:r w:rsidR="00131FC2">
              <w:rPr>
                <w:sz w:val="18"/>
                <w:szCs w:val="18"/>
              </w:rPr>
              <w:t xml:space="preserve"> </w:t>
            </w:r>
            <w:r w:rsidRPr="00F20F72">
              <w:rPr>
                <w:sz w:val="18"/>
                <w:szCs w:val="18"/>
              </w:rPr>
              <w:t>Interventions included development and enacting of a treatment plan, medication management and medication adjustment.</w:t>
            </w:r>
            <w:r w:rsidR="00131FC2">
              <w:rPr>
                <w:sz w:val="18"/>
                <w:szCs w:val="18"/>
              </w:rPr>
              <w:t xml:space="preserve"> </w:t>
            </w:r>
            <w:r w:rsidRPr="00F20F72">
              <w:rPr>
                <w:sz w:val="18"/>
                <w:szCs w:val="18"/>
              </w:rPr>
              <w:t>Patients receiving the pharmacist intervention were 93% more likely to have lower blood pressure, more likely to have improved HbA1c levels and 87% more likely to achieve disease management goals than those in the comparison group.</w:t>
            </w:r>
          </w:p>
          <w:p w14:paraId="5F2806DA" w14:textId="5917C937" w:rsidR="00F20F72" w:rsidRPr="00F20F72" w:rsidRDefault="00F20F72" w:rsidP="00AF15A5">
            <w:pPr>
              <w:spacing w:after="120"/>
              <w:rPr>
                <w:sz w:val="18"/>
                <w:szCs w:val="18"/>
              </w:rPr>
            </w:pPr>
            <w:r w:rsidRPr="00F20F72">
              <w:rPr>
                <w:sz w:val="18"/>
                <w:szCs w:val="18"/>
              </w:rPr>
              <w:t>Similarly, Peterson et al</w:t>
            </w:r>
            <w:r w:rsidR="001F6285">
              <w:rPr>
                <w:sz w:val="18"/>
                <w:szCs w:val="18"/>
              </w:rPr>
              <w:t>.</w:t>
            </w:r>
            <w:r w:rsidR="001F6285" w:rsidRPr="000E1027">
              <w:rPr>
                <w:rStyle w:val="FootnoteReference"/>
                <w:color w:val="408BCA"/>
                <w:sz w:val="18"/>
                <w:szCs w:val="18"/>
              </w:rPr>
              <w:footnoteReference w:id="105"/>
            </w:r>
            <w:r w:rsidRPr="00F20F72">
              <w:rPr>
                <w:sz w:val="18"/>
                <w:szCs w:val="18"/>
              </w:rPr>
              <w:t xml:space="preserve"> examined a physician-pharmacist collaborative management model in which the pharmacist identified patients with uncontrolled diabetes and the met with patients </w:t>
            </w:r>
            <w:r w:rsidR="0002675D">
              <w:rPr>
                <w:sz w:val="18"/>
                <w:szCs w:val="18"/>
              </w:rPr>
              <w:t>before</w:t>
            </w:r>
            <w:r w:rsidRPr="00F20F72">
              <w:rPr>
                <w:sz w:val="18"/>
                <w:szCs w:val="18"/>
              </w:rPr>
              <w:t xml:space="preserve"> their physician visit and commenced any intervention such as education or medication management.</w:t>
            </w:r>
            <w:r w:rsidR="00131FC2">
              <w:rPr>
                <w:sz w:val="18"/>
                <w:szCs w:val="18"/>
              </w:rPr>
              <w:t xml:space="preserve"> </w:t>
            </w:r>
            <w:r w:rsidRPr="00F20F72">
              <w:rPr>
                <w:sz w:val="18"/>
                <w:szCs w:val="18"/>
              </w:rPr>
              <w:t>This was in contrast to a model where the patient is seen first by the physician and then referred for a subsequent visit to the pharmacist.</w:t>
            </w:r>
            <w:r w:rsidR="00131FC2">
              <w:rPr>
                <w:sz w:val="18"/>
                <w:szCs w:val="18"/>
              </w:rPr>
              <w:t xml:space="preserve"> </w:t>
            </w:r>
            <w:r w:rsidRPr="00F20F72">
              <w:rPr>
                <w:sz w:val="18"/>
                <w:szCs w:val="18"/>
              </w:rPr>
              <w:t>Under this model there was a significant improvement in</w:t>
            </w:r>
            <w:r w:rsidR="00601589">
              <w:rPr>
                <w:sz w:val="18"/>
                <w:szCs w:val="18"/>
              </w:rPr>
              <w:t xml:space="preserve"> </w:t>
            </w:r>
            <w:r w:rsidRPr="00F20F72">
              <w:rPr>
                <w:sz w:val="18"/>
                <w:szCs w:val="18"/>
              </w:rPr>
              <w:t xml:space="preserve">HbA1c </w:t>
            </w:r>
            <w:r w:rsidRPr="00F20F72">
              <w:rPr>
                <w:sz w:val="18"/>
                <w:szCs w:val="18"/>
              </w:rPr>
              <w:lastRenderedPageBreak/>
              <w:t>levels, but no increase in patients receiving recommended vaccinations or cardiovascular risk reduction medications.</w:t>
            </w:r>
          </w:p>
          <w:p w14:paraId="1D9BB91B" w14:textId="0E48AAD8" w:rsidR="00F20F72" w:rsidRPr="00F20F72" w:rsidRDefault="00F20F72" w:rsidP="00AF15A5">
            <w:pPr>
              <w:spacing w:after="120"/>
              <w:rPr>
                <w:sz w:val="18"/>
                <w:szCs w:val="18"/>
              </w:rPr>
            </w:pPr>
            <w:r w:rsidRPr="00F20F72">
              <w:rPr>
                <w:sz w:val="18"/>
                <w:szCs w:val="18"/>
              </w:rPr>
              <w:t>Edwards et al</w:t>
            </w:r>
            <w:r w:rsidR="00457101">
              <w:rPr>
                <w:sz w:val="18"/>
                <w:szCs w:val="18"/>
              </w:rPr>
              <w:t>.</w:t>
            </w:r>
            <w:r w:rsidR="00457101" w:rsidRPr="000E1027">
              <w:rPr>
                <w:rStyle w:val="FootnoteReference"/>
                <w:color w:val="408BCA"/>
                <w:sz w:val="18"/>
                <w:szCs w:val="18"/>
              </w:rPr>
              <w:footnoteReference w:id="106"/>
            </w:r>
            <w:r w:rsidRPr="00F20F72">
              <w:rPr>
                <w:sz w:val="18"/>
                <w:szCs w:val="18"/>
              </w:rPr>
              <w:t xml:space="preserve"> also studied patients with diabetes, with an intervention involving a pharmacist visit one week </w:t>
            </w:r>
            <w:r w:rsidR="0002675D">
              <w:rPr>
                <w:sz w:val="18"/>
                <w:szCs w:val="18"/>
              </w:rPr>
              <w:t>before</w:t>
            </w:r>
            <w:r w:rsidRPr="00F20F72">
              <w:rPr>
                <w:sz w:val="18"/>
                <w:szCs w:val="18"/>
              </w:rPr>
              <w:t xml:space="preserve"> a scheduled physician visit.</w:t>
            </w:r>
            <w:r w:rsidR="00131FC2">
              <w:rPr>
                <w:sz w:val="18"/>
                <w:szCs w:val="18"/>
              </w:rPr>
              <w:t xml:space="preserve"> </w:t>
            </w:r>
            <w:r w:rsidRPr="00F20F72">
              <w:rPr>
                <w:sz w:val="18"/>
                <w:szCs w:val="18"/>
              </w:rPr>
              <w:t>The focus of the pharmacy appointment was a diabetes assessment service where the pharmacist completed tests recommended by the American Diabetes Association standards of care, resulting in significantly more patients in the intervention group achieving a higher proportion of the standards than those in the comparison group.</w:t>
            </w:r>
            <w:r w:rsidR="00131FC2">
              <w:rPr>
                <w:sz w:val="18"/>
                <w:szCs w:val="18"/>
              </w:rPr>
              <w:t xml:space="preserve"> </w:t>
            </w:r>
          </w:p>
          <w:p w14:paraId="7A190776" w14:textId="2470FD5F" w:rsidR="00F20F72" w:rsidRPr="00F20F72" w:rsidRDefault="00F20F72" w:rsidP="00AF15A5">
            <w:pPr>
              <w:spacing w:after="120"/>
              <w:rPr>
                <w:sz w:val="18"/>
                <w:szCs w:val="18"/>
              </w:rPr>
            </w:pPr>
            <w:r w:rsidRPr="00F20F72">
              <w:rPr>
                <w:sz w:val="18"/>
                <w:szCs w:val="18"/>
              </w:rPr>
              <w:t>Min et al</w:t>
            </w:r>
            <w:r w:rsidR="00457101">
              <w:rPr>
                <w:sz w:val="18"/>
                <w:szCs w:val="18"/>
              </w:rPr>
              <w:t>.</w:t>
            </w:r>
            <w:r w:rsidR="00457101" w:rsidRPr="000E1027">
              <w:rPr>
                <w:rStyle w:val="FootnoteReference"/>
                <w:color w:val="408BCA"/>
                <w:sz w:val="18"/>
                <w:szCs w:val="18"/>
              </w:rPr>
              <w:footnoteReference w:id="107"/>
            </w:r>
            <w:r w:rsidRPr="00F20F72">
              <w:rPr>
                <w:sz w:val="18"/>
                <w:szCs w:val="18"/>
              </w:rPr>
              <w:t xml:space="preserve"> in a direct comparison of a nurse-led and pharmacist-led diabetes patient self-management programs, found both were equally effective in improving lipid control and blood pressure, with the pharmacist-led group associated with a decrease in primary care visits.</w:t>
            </w:r>
          </w:p>
          <w:p w14:paraId="15A7235A" w14:textId="69126DA7" w:rsidR="00F20F72" w:rsidRPr="00F20F72" w:rsidRDefault="00F20F72" w:rsidP="00AF15A5">
            <w:pPr>
              <w:spacing w:after="120"/>
              <w:rPr>
                <w:sz w:val="18"/>
                <w:szCs w:val="18"/>
              </w:rPr>
            </w:pPr>
            <w:r w:rsidRPr="00F20F72">
              <w:rPr>
                <w:sz w:val="18"/>
                <w:szCs w:val="18"/>
              </w:rPr>
              <w:t>Ha</w:t>
            </w:r>
            <w:r w:rsidR="008A04E0">
              <w:rPr>
                <w:sz w:val="18"/>
                <w:szCs w:val="18"/>
              </w:rPr>
              <w:t>w</w:t>
            </w:r>
            <w:r w:rsidRPr="00F20F72">
              <w:rPr>
                <w:sz w:val="18"/>
                <w:szCs w:val="18"/>
              </w:rPr>
              <w:t>es et al</w:t>
            </w:r>
            <w:r w:rsidR="00457101">
              <w:rPr>
                <w:sz w:val="18"/>
                <w:szCs w:val="18"/>
              </w:rPr>
              <w:t>.</w:t>
            </w:r>
            <w:r w:rsidR="00457101" w:rsidRPr="000E1027">
              <w:rPr>
                <w:rStyle w:val="FootnoteReference"/>
                <w:color w:val="408BCA"/>
                <w:sz w:val="18"/>
                <w:szCs w:val="18"/>
              </w:rPr>
              <w:footnoteReference w:id="108"/>
            </w:r>
            <w:r w:rsidRPr="00F20F72">
              <w:rPr>
                <w:sz w:val="18"/>
                <w:szCs w:val="18"/>
              </w:rPr>
              <w:t xml:space="preserve"> in a retrospective cohort study of pharmacy consultations as part of a multidisciplinary primary care post-discharge visit program in which the pharmacist conducted medication reconciliation, patient education as well as identifying and acting on medication related problems found that the pharmacists found 375 such problems among 86 patients.</w:t>
            </w:r>
            <w:r w:rsidR="00131FC2">
              <w:rPr>
                <w:sz w:val="18"/>
                <w:szCs w:val="18"/>
              </w:rPr>
              <w:t xml:space="preserve"> </w:t>
            </w:r>
            <w:r w:rsidRPr="00F20F72">
              <w:rPr>
                <w:sz w:val="18"/>
                <w:szCs w:val="18"/>
              </w:rPr>
              <w:t>The problems included non-adherence, sub-optimal dosing, duration, frequency, administration and sub-optimal drugs.</w:t>
            </w:r>
            <w:r w:rsidR="00131FC2">
              <w:rPr>
                <w:sz w:val="18"/>
                <w:szCs w:val="18"/>
              </w:rPr>
              <w:t xml:space="preserve"> </w:t>
            </w:r>
            <w:r w:rsidRPr="00F20F72">
              <w:rPr>
                <w:sz w:val="18"/>
                <w:szCs w:val="18"/>
              </w:rPr>
              <w:t>The authors also report non-significant improvements in rates of re</w:t>
            </w:r>
            <w:r w:rsidR="00784AD8">
              <w:rPr>
                <w:sz w:val="18"/>
                <w:szCs w:val="18"/>
              </w:rPr>
              <w:t>-</w:t>
            </w:r>
            <w:r w:rsidRPr="00F20F72">
              <w:rPr>
                <w:sz w:val="18"/>
                <w:szCs w:val="18"/>
              </w:rPr>
              <w:t xml:space="preserve">admission and emergency department attendances for the intervention group </w:t>
            </w:r>
            <w:r w:rsidR="00E602FD">
              <w:rPr>
                <w:sz w:val="18"/>
                <w:szCs w:val="18"/>
              </w:rPr>
              <w:t>compared with</w:t>
            </w:r>
            <w:r w:rsidRPr="00F20F72">
              <w:rPr>
                <w:sz w:val="18"/>
                <w:szCs w:val="18"/>
              </w:rPr>
              <w:t xml:space="preserve"> the comparison group.</w:t>
            </w:r>
            <w:r w:rsidR="00131FC2">
              <w:rPr>
                <w:sz w:val="18"/>
                <w:szCs w:val="18"/>
              </w:rPr>
              <w:t xml:space="preserve"> </w:t>
            </w:r>
          </w:p>
          <w:p w14:paraId="10C79D82" w14:textId="39C6F1FD" w:rsidR="002E5C83" w:rsidRPr="002479BC" w:rsidRDefault="00F20F72" w:rsidP="00AF15A5">
            <w:pPr>
              <w:spacing w:after="120"/>
              <w:rPr>
                <w:sz w:val="18"/>
                <w:szCs w:val="18"/>
              </w:rPr>
            </w:pPr>
            <w:r w:rsidRPr="00F20F72">
              <w:rPr>
                <w:sz w:val="18"/>
                <w:szCs w:val="18"/>
              </w:rPr>
              <w:t xml:space="preserve">Overall, </w:t>
            </w:r>
            <w:r w:rsidR="00022BC9">
              <w:rPr>
                <w:sz w:val="18"/>
                <w:szCs w:val="18"/>
              </w:rPr>
              <w:t xml:space="preserve">the </w:t>
            </w:r>
            <w:r w:rsidR="00FC389C">
              <w:rPr>
                <w:sz w:val="18"/>
                <w:szCs w:val="18"/>
              </w:rPr>
              <w:t>literature reviewed shows</w:t>
            </w:r>
            <w:r w:rsidRPr="00F20F72">
              <w:rPr>
                <w:sz w:val="18"/>
                <w:szCs w:val="18"/>
              </w:rPr>
              <w:t xml:space="preserve"> evidence for improved patient outcomes</w:t>
            </w:r>
            <w:r w:rsidR="00FC389C">
              <w:rPr>
                <w:sz w:val="18"/>
                <w:szCs w:val="18"/>
              </w:rPr>
              <w:t xml:space="preserve"> of pharmacist involvement in PCMH </w:t>
            </w:r>
            <w:r w:rsidR="00D34687">
              <w:rPr>
                <w:sz w:val="18"/>
                <w:szCs w:val="18"/>
              </w:rPr>
              <w:t>care delivery</w:t>
            </w:r>
            <w:r w:rsidR="00FC389C">
              <w:rPr>
                <w:sz w:val="18"/>
                <w:szCs w:val="18"/>
              </w:rPr>
              <w:t>,</w:t>
            </w:r>
            <w:r w:rsidRPr="00F20F72">
              <w:rPr>
                <w:sz w:val="18"/>
                <w:szCs w:val="18"/>
              </w:rPr>
              <w:t xml:space="preserve"> in terms of blood pressure control and control of HbA1c levels</w:t>
            </w:r>
            <w:r w:rsidR="008D5B3A">
              <w:rPr>
                <w:sz w:val="18"/>
                <w:szCs w:val="18"/>
              </w:rPr>
              <w:t>,</w:t>
            </w:r>
            <w:r w:rsidRPr="00F20F72">
              <w:rPr>
                <w:sz w:val="18"/>
                <w:szCs w:val="18"/>
              </w:rPr>
              <w:t xml:space="preserve"> and possibly for cholesterol level</w:t>
            </w:r>
            <w:r w:rsidR="00F07CFF">
              <w:rPr>
                <w:sz w:val="18"/>
                <w:szCs w:val="18"/>
              </w:rPr>
              <w:t>s</w:t>
            </w:r>
            <w:r w:rsidR="00084BDD">
              <w:rPr>
                <w:sz w:val="18"/>
                <w:szCs w:val="18"/>
              </w:rPr>
              <w:t>.</w:t>
            </w:r>
            <w:r w:rsidR="006B537D">
              <w:rPr>
                <w:sz w:val="18"/>
                <w:szCs w:val="18"/>
              </w:rPr>
              <w:t xml:space="preserve"> </w:t>
            </w:r>
            <w:r w:rsidR="00D56089">
              <w:rPr>
                <w:sz w:val="18"/>
                <w:szCs w:val="18"/>
              </w:rPr>
              <w:t>Li</w:t>
            </w:r>
            <w:r w:rsidR="00084BDD">
              <w:rPr>
                <w:sz w:val="18"/>
                <w:szCs w:val="18"/>
              </w:rPr>
              <w:t xml:space="preserve">terature on the involvement of pharmacists in team care indicate there are </w:t>
            </w:r>
            <w:r w:rsidR="00D56089">
              <w:rPr>
                <w:sz w:val="18"/>
                <w:szCs w:val="18"/>
              </w:rPr>
              <w:t xml:space="preserve">potential </w:t>
            </w:r>
            <w:r w:rsidR="006B537D">
              <w:rPr>
                <w:sz w:val="18"/>
                <w:szCs w:val="18"/>
              </w:rPr>
              <w:t xml:space="preserve">benefits </w:t>
            </w:r>
            <w:r w:rsidR="00D56089">
              <w:rPr>
                <w:sz w:val="18"/>
                <w:szCs w:val="18"/>
              </w:rPr>
              <w:t xml:space="preserve">for a broad range of chronic </w:t>
            </w:r>
            <w:r w:rsidR="007D67A8">
              <w:rPr>
                <w:sz w:val="18"/>
                <w:szCs w:val="18"/>
              </w:rPr>
              <w:t>conditions.</w:t>
            </w:r>
            <w:r w:rsidR="00131FC2">
              <w:rPr>
                <w:sz w:val="18"/>
                <w:szCs w:val="18"/>
              </w:rPr>
              <w:t xml:space="preserve"> </w:t>
            </w:r>
            <w:r w:rsidRPr="00F20F72">
              <w:rPr>
                <w:sz w:val="18"/>
                <w:szCs w:val="18"/>
              </w:rPr>
              <w:t>The mechanisms by which these results are achieved are less clear, with some evidence for medication intensification as a result of pharmacist involvement, but more equivocal results for medication adherence.</w:t>
            </w:r>
            <w:r w:rsidR="002E5C83" w:rsidRPr="004B43C9">
              <w:rPr>
                <w:sz w:val="18"/>
                <w:szCs w:val="18"/>
              </w:rPr>
              <w:t xml:space="preserve"> </w:t>
            </w:r>
          </w:p>
        </w:tc>
      </w:tr>
    </w:tbl>
    <w:p w14:paraId="6BDF7F98" w14:textId="77777777" w:rsidR="002E5C83" w:rsidRDefault="002E5C83" w:rsidP="002E5C83">
      <w:pPr>
        <w:spacing w:after="0"/>
        <w:rPr>
          <w:lang w:eastAsia="en-AU"/>
        </w:rPr>
      </w:pPr>
    </w:p>
    <w:p w14:paraId="2D3B98AC" w14:textId="77777777" w:rsidR="00545140" w:rsidRDefault="00545140" w:rsidP="00545140"/>
    <w:p w14:paraId="4C25B33B" w14:textId="77777777" w:rsidR="00545140" w:rsidRDefault="00545140" w:rsidP="00545140">
      <w:pPr>
        <w:sectPr w:rsidR="00545140">
          <w:pgSz w:w="11906" w:h="16838"/>
          <w:pgMar w:top="1440" w:right="1440" w:bottom="1440" w:left="1440" w:header="708" w:footer="708" w:gutter="0"/>
          <w:cols w:space="708"/>
          <w:docGrid w:linePitch="360"/>
        </w:sectPr>
      </w:pPr>
    </w:p>
    <w:p w14:paraId="6DC4D4A0" w14:textId="133A50C8" w:rsidR="00A6413A" w:rsidRPr="0094369A" w:rsidRDefault="00072628" w:rsidP="00A6413A">
      <w:pPr>
        <w:pStyle w:val="ChapterNumber"/>
      </w:pPr>
      <w:r>
        <w:lastRenderedPageBreak/>
        <w:fldChar w:fldCharType="begin"/>
      </w:r>
      <w:r>
        <w:instrText xml:space="preserve"> REF _Ref85108770 \r \h </w:instrText>
      </w:r>
      <w:r>
        <w:fldChar w:fldCharType="separate"/>
      </w:r>
      <w:r w:rsidR="003C4BC2">
        <w:t>23</w:t>
      </w:r>
      <w:r>
        <w:fldChar w:fldCharType="end"/>
      </w:r>
    </w:p>
    <w:p w14:paraId="331DED65" w14:textId="6BB003F6" w:rsidR="00A6413A" w:rsidRDefault="00FE76EA" w:rsidP="00A6413A">
      <w:pPr>
        <w:pStyle w:val="Heading1withnumber"/>
        <w:ind w:left="0" w:hanging="851"/>
      </w:pPr>
      <w:bookmarkStart w:id="487" w:name="_Ref85108770"/>
      <w:bookmarkStart w:id="488" w:name="_Ref103763745"/>
      <w:bookmarkStart w:id="489" w:name="_Toc109996768"/>
      <w:r w:rsidRPr="00FE76EA">
        <w:t xml:space="preserve">Community Pharmacy in HCH Trial </w:t>
      </w:r>
      <w:r>
        <w:t xml:space="preserve">– </w:t>
      </w:r>
      <w:r w:rsidR="009E4F86">
        <w:t>e</w:t>
      </w:r>
      <w:r w:rsidR="0043058A">
        <w:t xml:space="preserve">ngagement between </w:t>
      </w:r>
      <w:r w:rsidR="00FA68B1">
        <w:t xml:space="preserve">HCH practices and community </w:t>
      </w:r>
      <w:bookmarkEnd w:id="487"/>
      <w:r w:rsidR="00FA68B1">
        <w:t>pharmac</w:t>
      </w:r>
      <w:r w:rsidR="009E4F86">
        <w:t>ies</w:t>
      </w:r>
      <w:bookmarkEnd w:id="488"/>
      <w:bookmarkEnd w:id="489"/>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A12C14" w:rsidRPr="0048466A" w14:paraId="4B653E59" w14:textId="77777777" w:rsidTr="0032660B">
        <w:tc>
          <w:tcPr>
            <w:tcW w:w="8996" w:type="dxa"/>
            <w:shd w:val="clear" w:color="auto" w:fill="auto"/>
          </w:tcPr>
          <w:p w14:paraId="3E0A1F66" w14:textId="0E2B3C49" w:rsidR="00A12C14" w:rsidRPr="006201AB" w:rsidRDefault="00A12C14" w:rsidP="00AF15A5">
            <w:pPr>
              <w:pStyle w:val="Boxheading"/>
              <w:spacing w:after="120"/>
              <w:rPr>
                <w:bCs/>
                <w:szCs w:val="20"/>
              </w:rPr>
            </w:pPr>
            <w:bookmarkStart w:id="490" w:name="_Toc58256897"/>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31</w:t>
            </w:r>
            <w:r w:rsidRPr="006201AB">
              <w:rPr>
                <w:bCs/>
                <w:noProof/>
              </w:rPr>
              <w:fldChar w:fldCharType="end"/>
            </w:r>
            <w:r w:rsidRPr="006201AB">
              <w:rPr>
                <w:bCs/>
                <w:szCs w:val="20"/>
              </w:rPr>
              <w:t>: Chapter summary</w:t>
            </w:r>
          </w:p>
          <w:p w14:paraId="56553A85" w14:textId="6D9BBEA2" w:rsidR="00493ECF" w:rsidRDefault="00493ECF" w:rsidP="00493ECF">
            <w:pPr>
              <w:spacing w:after="120"/>
              <w:rPr>
                <w:rFonts w:eastAsia="Muli" w:cs="Muli"/>
                <w:color w:val="000000" w:themeColor="text1"/>
                <w:sz w:val="18"/>
                <w:szCs w:val="18"/>
              </w:rPr>
            </w:pPr>
            <w:r w:rsidRPr="0064700C">
              <w:rPr>
                <w:rFonts w:eastAsia="Muli" w:cs="Muli"/>
                <w:color w:val="000000" w:themeColor="text1"/>
                <w:sz w:val="18"/>
                <w:szCs w:val="18"/>
              </w:rPr>
              <w:t xml:space="preserve">Pharmacies </w:t>
            </w:r>
            <w:r w:rsidR="00C246E9" w:rsidRPr="00C246E9">
              <w:rPr>
                <w:rFonts w:eastAsia="Muli" w:cs="Muli"/>
                <w:color w:val="000000" w:themeColor="text1"/>
                <w:sz w:val="18"/>
                <w:szCs w:val="18"/>
              </w:rPr>
              <w:t xml:space="preserve">that had </w:t>
            </w:r>
            <w:r w:rsidR="00202C84">
              <w:rPr>
                <w:rFonts w:eastAsia="Muli" w:cs="Muli"/>
                <w:color w:val="000000" w:themeColor="text1"/>
                <w:sz w:val="18"/>
                <w:szCs w:val="18"/>
              </w:rPr>
              <w:t>long-standing</w:t>
            </w:r>
            <w:r w:rsidR="00C246E9" w:rsidRPr="00C246E9">
              <w:rPr>
                <w:rFonts w:eastAsia="Muli" w:cs="Muli"/>
                <w:color w:val="000000" w:themeColor="text1"/>
                <w:sz w:val="18"/>
                <w:szCs w:val="18"/>
              </w:rPr>
              <w:t xml:space="preserve">, strong relationships with HCHs, they tended to have a higher number of referrals. This was particularly the case where the pharmacy was within the same building or next door to a practice. </w:t>
            </w:r>
            <w:r w:rsidR="00EC3189" w:rsidRPr="00EC3189">
              <w:rPr>
                <w:rFonts w:eastAsia="Muli" w:cs="Muli"/>
                <w:color w:val="000000" w:themeColor="text1"/>
                <w:sz w:val="18"/>
                <w:szCs w:val="18"/>
              </w:rPr>
              <w:t>However, there were instances where practices referred to a pharmacy that they didn’t have a previous relationship with, and this was made possible by pharmacists proactively contacting practices in their area to let them know about their services and the benefits for patients</w:t>
            </w:r>
            <w:r w:rsidR="00B057C9">
              <w:rPr>
                <w:rFonts w:eastAsia="Muli" w:cs="Muli"/>
                <w:color w:val="000000" w:themeColor="text1"/>
                <w:sz w:val="18"/>
                <w:szCs w:val="18"/>
              </w:rPr>
              <w:t>.</w:t>
            </w:r>
          </w:p>
          <w:p w14:paraId="1EB2EFF6" w14:textId="64F58538" w:rsidR="00493ECF" w:rsidRDefault="00FF0B69" w:rsidP="00493ECF">
            <w:pPr>
              <w:spacing w:after="120"/>
              <w:rPr>
                <w:rFonts w:eastAsia="Muli" w:cs="Muli"/>
                <w:color w:val="000000" w:themeColor="text1"/>
                <w:sz w:val="18"/>
                <w:szCs w:val="18"/>
              </w:rPr>
            </w:pPr>
            <w:r>
              <w:rPr>
                <w:rFonts w:eastAsia="Muli" w:cs="Muli"/>
                <w:color w:val="000000" w:themeColor="text1"/>
                <w:sz w:val="18"/>
                <w:szCs w:val="18"/>
              </w:rPr>
              <w:t>P</w:t>
            </w:r>
            <w:r w:rsidR="00493ECF">
              <w:rPr>
                <w:rFonts w:eastAsia="Muli" w:cs="Muli"/>
                <w:color w:val="000000" w:themeColor="text1"/>
                <w:sz w:val="18"/>
                <w:szCs w:val="18"/>
              </w:rPr>
              <w:t>ractices reported</w:t>
            </w:r>
            <w:r w:rsidR="00493ECF" w:rsidRPr="00FE122F">
              <w:rPr>
                <w:rFonts w:eastAsia="Muli" w:cs="Muli"/>
                <w:color w:val="000000" w:themeColor="text1"/>
                <w:sz w:val="18"/>
                <w:szCs w:val="18"/>
              </w:rPr>
              <w:t xml:space="preserve"> barriers </w:t>
            </w:r>
            <w:r w:rsidR="00493ECF" w:rsidRPr="00766156">
              <w:rPr>
                <w:rFonts w:eastAsia="Muli" w:cs="Muli"/>
                <w:color w:val="000000" w:themeColor="text1"/>
                <w:sz w:val="18"/>
                <w:szCs w:val="18"/>
              </w:rPr>
              <w:t xml:space="preserve">with referring patients to community pharmacies. </w:t>
            </w:r>
            <w:r w:rsidR="005E3DB1" w:rsidRPr="00766156">
              <w:rPr>
                <w:rFonts w:eastAsia="Muli" w:cs="Muli"/>
                <w:color w:val="000000" w:themeColor="text1"/>
                <w:sz w:val="18"/>
                <w:szCs w:val="18"/>
              </w:rPr>
              <w:t>This included investment of time</w:t>
            </w:r>
            <w:r w:rsidR="00493ECF" w:rsidRPr="00766156">
              <w:rPr>
                <w:rFonts w:eastAsia="Muli" w:cs="Muli"/>
                <w:color w:val="000000" w:themeColor="text1"/>
                <w:sz w:val="18"/>
                <w:szCs w:val="18"/>
              </w:rPr>
              <w:t xml:space="preserve"> to educate and engage community pharmacies, problems with shared care planning software, needing to be convinced about the benefits of what pharmacists had to offer</w:t>
            </w:r>
            <w:r w:rsidR="00493ECF">
              <w:rPr>
                <w:rFonts w:eastAsia="Muli" w:cs="Muli"/>
                <w:color w:val="000000" w:themeColor="text1"/>
                <w:sz w:val="18"/>
                <w:szCs w:val="18"/>
              </w:rPr>
              <w:t xml:space="preserve"> their</w:t>
            </w:r>
            <w:r w:rsidR="00493ECF" w:rsidRPr="00766156">
              <w:rPr>
                <w:rFonts w:eastAsia="Muli" w:cs="Muli"/>
                <w:color w:val="000000" w:themeColor="text1"/>
                <w:sz w:val="18"/>
                <w:szCs w:val="18"/>
              </w:rPr>
              <w:t xml:space="preserve"> patients, limited patient understanding of the model and the small number of HCH patients in their practice</w:t>
            </w:r>
            <w:r w:rsidR="00493ECF">
              <w:rPr>
                <w:rFonts w:eastAsia="Muli" w:cs="Muli"/>
                <w:color w:val="000000" w:themeColor="text1"/>
                <w:sz w:val="18"/>
                <w:szCs w:val="18"/>
              </w:rPr>
              <w:t xml:space="preserve">. </w:t>
            </w:r>
            <w:r w:rsidR="001F7741">
              <w:rPr>
                <w:rFonts w:eastAsia="Muli" w:cs="Muli"/>
                <w:color w:val="000000" w:themeColor="text1"/>
                <w:sz w:val="18"/>
                <w:szCs w:val="18"/>
              </w:rPr>
              <w:t>Also, some</w:t>
            </w:r>
            <w:r w:rsidR="00493ECF">
              <w:rPr>
                <w:rFonts w:eastAsia="Muli" w:cs="Muli"/>
                <w:color w:val="000000" w:themeColor="text1"/>
                <w:sz w:val="18"/>
                <w:szCs w:val="18"/>
              </w:rPr>
              <w:t xml:space="preserve"> practices </w:t>
            </w:r>
            <w:r w:rsidR="00493ECF" w:rsidRPr="0064700C">
              <w:rPr>
                <w:rFonts w:eastAsia="Muli" w:cs="Muli"/>
                <w:color w:val="000000" w:themeColor="text1"/>
                <w:sz w:val="18"/>
                <w:szCs w:val="18"/>
              </w:rPr>
              <w:t>already had access to a pharmacist through other arrangements</w:t>
            </w:r>
            <w:r w:rsidR="001F7741">
              <w:rPr>
                <w:rFonts w:eastAsia="Muli" w:cs="Muli"/>
                <w:color w:val="000000" w:themeColor="text1"/>
                <w:sz w:val="18"/>
                <w:szCs w:val="18"/>
              </w:rPr>
              <w:t xml:space="preserve"> or</w:t>
            </w:r>
            <w:r w:rsidR="00493ECF" w:rsidRPr="0064700C">
              <w:rPr>
                <w:rFonts w:eastAsia="Muli" w:cs="Muli"/>
                <w:color w:val="000000" w:themeColor="text1"/>
                <w:sz w:val="18"/>
                <w:szCs w:val="18"/>
              </w:rPr>
              <w:t xml:space="preserve"> had arrangements with community pharmacists </w:t>
            </w:r>
            <w:r w:rsidR="00493ECF">
              <w:rPr>
                <w:rFonts w:eastAsia="Muli" w:cs="Muli"/>
                <w:color w:val="000000" w:themeColor="text1"/>
                <w:sz w:val="18"/>
                <w:szCs w:val="18"/>
              </w:rPr>
              <w:t>pre-dating</w:t>
            </w:r>
            <w:r w:rsidR="00493ECF" w:rsidRPr="0064700C">
              <w:rPr>
                <w:rFonts w:eastAsia="Muli" w:cs="Muli"/>
                <w:color w:val="000000" w:themeColor="text1"/>
                <w:sz w:val="18"/>
                <w:szCs w:val="18"/>
              </w:rPr>
              <w:t xml:space="preserve"> of the tria</w:t>
            </w:r>
            <w:r w:rsidR="00493ECF">
              <w:rPr>
                <w:rFonts w:eastAsia="Muli" w:cs="Muli"/>
                <w:color w:val="000000" w:themeColor="text1"/>
                <w:sz w:val="18"/>
                <w:szCs w:val="18"/>
              </w:rPr>
              <w:t xml:space="preserve">l. </w:t>
            </w:r>
          </w:p>
          <w:p w14:paraId="51AC7C92" w14:textId="1F88A381" w:rsidR="00493ECF" w:rsidRDefault="00045587" w:rsidP="00DB0E17">
            <w:pPr>
              <w:spacing w:after="120"/>
              <w:rPr>
                <w:rFonts w:eastAsia="Muli" w:cs="Muli"/>
                <w:color w:val="000000" w:themeColor="text1"/>
                <w:sz w:val="18"/>
                <w:szCs w:val="18"/>
              </w:rPr>
            </w:pPr>
            <w:r>
              <w:rPr>
                <w:rFonts w:eastAsia="Muli" w:cs="Muli"/>
                <w:color w:val="000000" w:themeColor="text1"/>
                <w:sz w:val="18"/>
                <w:szCs w:val="18"/>
              </w:rPr>
              <w:t xml:space="preserve">Other reasons that practices didn’t refer </w:t>
            </w:r>
            <w:r w:rsidR="00DB0E17">
              <w:rPr>
                <w:rFonts w:eastAsia="Muli" w:cs="Muli"/>
                <w:color w:val="000000" w:themeColor="text1"/>
                <w:sz w:val="18"/>
                <w:szCs w:val="18"/>
              </w:rPr>
              <w:t>patients</w:t>
            </w:r>
            <w:r>
              <w:rPr>
                <w:rFonts w:eastAsia="Muli" w:cs="Muli"/>
                <w:color w:val="000000" w:themeColor="text1"/>
                <w:sz w:val="18"/>
                <w:szCs w:val="18"/>
              </w:rPr>
              <w:t xml:space="preserve"> was that they were unaware of the</w:t>
            </w:r>
            <w:r w:rsidR="00DB0E17">
              <w:rPr>
                <w:rFonts w:eastAsia="Muli" w:cs="Muli"/>
                <w:color w:val="000000" w:themeColor="text1"/>
                <w:sz w:val="18"/>
                <w:szCs w:val="18"/>
              </w:rPr>
              <w:t xml:space="preserve"> community pharmacy trial, they were </w:t>
            </w:r>
            <w:r w:rsidR="008975AB" w:rsidRPr="008975AB">
              <w:rPr>
                <w:rFonts w:eastAsia="Muli" w:cs="Muli"/>
                <w:color w:val="000000" w:themeColor="text1"/>
                <w:sz w:val="18"/>
                <w:szCs w:val="18"/>
              </w:rPr>
              <w:t xml:space="preserve">concerned about community pharmacists working outside of their scope or providing unnecessary services to </w:t>
            </w:r>
            <w:r w:rsidR="00001F4C" w:rsidRPr="008975AB">
              <w:rPr>
                <w:rFonts w:eastAsia="Muli" w:cs="Muli"/>
                <w:color w:val="000000" w:themeColor="text1"/>
                <w:sz w:val="18"/>
                <w:szCs w:val="18"/>
              </w:rPr>
              <w:t>patients</w:t>
            </w:r>
            <w:r w:rsidR="00001F4C">
              <w:rPr>
                <w:rFonts w:eastAsia="Muli" w:cs="Muli"/>
                <w:color w:val="000000" w:themeColor="text1"/>
                <w:sz w:val="18"/>
                <w:szCs w:val="18"/>
              </w:rPr>
              <w:t xml:space="preserve"> or</w:t>
            </w:r>
            <w:r w:rsidR="007366AA">
              <w:rPr>
                <w:rFonts w:eastAsia="Muli" w:cs="Muli"/>
                <w:color w:val="000000" w:themeColor="text1"/>
                <w:sz w:val="18"/>
                <w:szCs w:val="18"/>
              </w:rPr>
              <w:t xml:space="preserve"> </w:t>
            </w:r>
            <w:r w:rsidR="00D96AE3">
              <w:rPr>
                <w:rFonts w:eastAsia="Muli" w:cs="Muli"/>
                <w:color w:val="000000" w:themeColor="text1"/>
                <w:sz w:val="18"/>
                <w:szCs w:val="18"/>
              </w:rPr>
              <w:t xml:space="preserve">perceived </w:t>
            </w:r>
            <w:r w:rsidR="001205EF">
              <w:rPr>
                <w:rFonts w:eastAsia="Muli" w:cs="Muli"/>
                <w:color w:val="000000" w:themeColor="text1"/>
                <w:sz w:val="18"/>
                <w:szCs w:val="18"/>
              </w:rPr>
              <w:t>the level of remuneration for pharmacies</w:t>
            </w:r>
            <w:r w:rsidR="004D3607">
              <w:rPr>
                <w:rFonts w:eastAsia="Muli" w:cs="Muli"/>
                <w:color w:val="000000" w:themeColor="text1"/>
                <w:sz w:val="18"/>
                <w:szCs w:val="18"/>
              </w:rPr>
              <w:t xml:space="preserve"> to be too high for trial services.</w:t>
            </w:r>
          </w:p>
          <w:p w14:paraId="1CB2BD03" w14:textId="7A4AA5B8" w:rsidR="00AB499D" w:rsidRDefault="00AB499D" w:rsidP="00AB499D">
            <w:pPr>
              <w:spacing w:after="120"/>
              <w:rPr>
                <w:rFonts w:eastAsia="Muli" w:cs="Muli"/>
                <w:color w:val="000000" w:themeColor="text1"/>
                <w:sz w:val="18"/>
                <w:szCs w:val="18"/>
              </w:rPr>
            </w:pPr>
            <w:r w:rsidRPr="008A57B8">
              <w:rPr>
                <w:rFonts w:eastAsia="Muli" w:cs="Muli"/>
                <w:color w:val="000000" w:themeColor="text1"/>
                <w:sz w:val="18"/>
                <w:szCs w:val="18"/>
              </w:rPr>
              <w:t>Almost one</w:t>
            </w:r>
            <w:r w:rsidR="00D63CA9">
              <w:rPr>
                <w:rFonts w:eastAsia="Muli" w:cs="Muli"/>
                <w:color w:val="000000" w:themeColor="text1"/>
                <w:sz w:val="18"/>
                <w:szCs w:val="18"/>
              </w:rPr>
              <w:t xml:space="preserve"> </w:t>
            </w:r>
            <w:r w:rsidRPr="008A57B8">
              <w:rPr>
                <w:rFonts w:eastAsia="Muli" w:cs="Muli"/>
                <w:color w:val="000000" w:themeColor="text1"/>
                <w:sz w:val="18"/>
                <w:szCs w:val="18"/>
              </w:rPr>
              <w:t xml:space="preserve">third </w:t>
            </w:r>
            <w:r>
              <w:rPr>
                <w:rFonts w:eastAsia="Muli" w:cs="Muli"/>
                <w:color w:val="000000" w:themeColor="text1"/>
                <w:sz w:val="18"/>
                <w:szCs w:val="18"/>
              </w:rPr>
              <w:t xml:space="preserve">of GPs responding to the practice staff survey </w:t>
            </w:r>
            <w:r w:rsidR="00710ACA">
              <w:rPr>
                <w:rFonts w:eastAsia="Muli" w:cs="Muli"/>
                <w:color w:val="000000" w:themeColor="text1"/>
                <w:sz w:val="18"/>
                <w:szCs w:val="18"/>
              </w:rPr>
              <w:t xml:space="preserve">reported that they referred </w:t>
            </w:r>
            <w:r w:rsidRPr="008A57B8">
              <w:rPr>
                <w:rFonts w:eastAsia="Muli" w:cs="Muli"/>
                <w:color w:val="000000" w:themeColor="text1"/>
                <w:sz w:val="18"/>
                <w:szCs w:val="18"/>
              </w:rPr>
              <w:t>no or very few (less than 20%</w:t>
            </w:r>
            <w:r w:rsidR="00710ACA">
              <w:rPr>
                <w:rFonts w:eastAsia="Muli" w:cs="Muli"/>
                <w:color w:val="000000" w:themeColor="text1"/>
                <w:sz w:val="18"/>
                <w:szCs w:val="18"/>
              </w:rPr>
              <w:t>)</w:t>
            </w:r>
            <w:r w:rsidRPr="008A57B8">
              <w:rPr>
                <w:rFonts w:eastAsia="Muli" w:cs="Muli"/>
                <w:color w:val="000000" w:themeColor="text1"/>
                <w:sz w:val="18"/>
                <w:szCs w:val="18"/>
              </w:rPr>
              <w:t xml:space="preserve"> of their patients</w:t>
            </w:r>
            <w:r>
              <w:rPr>
                <w:rFonts w:eastAsia="Muli" w:cs="Muli"/>
                <w:color w:val="000000" w:themeColor="text1"/>
                <w:sz w:val="18"/>
                <w:szCs w:val="18"/>
              </w:rPr>
              <w:t xml:space="preserve"> to a community pharmacist as part of the trial. They gave a range of reasons for this, including p</w:t>
            </w:r>
            <w:r w:rsidRPr="00480674">
              <w:rPr>
                <w:rFonts w:eastAsia="Muli" w:cs="Muli"/>
                <w:color w:val="000000" w:themeColor="text1"/>
                <w:sz w:val="18"/>
                <w:szCs w:val="18"/>
              </w:rPr>
              <w:t>harmacy intervention was not required</w:t>
            </w:r>
            <w:r>
              <w:rPr>
                <w:rFonts w:eastAsia="Muli" w:cs="Muli"/>
                <w:color w:val="000000" w:themeColor="text1"/>
                <w:sz w:val="18"/>
                <w:szCs w:val="18"/>
              </w:rPr>
              <w:t>, l</w:t>
            </w:r>
            <w:r w:rsidRPr="00480674">
              <w:rPr>
                <w:rFonts w:eastAsia="Muli" w:cs="Muli"/>
                <w:color w:val="000000" w:themeColor="text1"/>
                <w:sz w:val="18"/>
                <w:szCs w:val="18"/>
              </w:rPr>
              <w:t>ack of pharmacists available or not participating in HCH</w:t>
            </w:r>
            <w:r w:rsidR="00D85C5F">
              <w:rPr>
                <w:rFonts w:eastAsia="Muli" w:cs="Muli"/>
                <w:color w:val="000000" w:themeColor="text1"/>
                <w:sz w:val="18"/>
                <w:szCs w:val="18"/>
              </w:rPr>
              <w:t>,</w:t>
            </w:r>
            <w:r>
              <w:rPr>
                <w:rFonts w:eastAsia="Muli" w:cs="Muli"/>
                <w:color w:val="000000" w:themeColor="text1"/>
                <w:sz w:val="18"/>
                <w:szCs w:val="18"/>
              </w:rPr>
              <w:t xml:space="preserve"> and l</w:t>
            </w:r>
            <w:r w:rsidRPr="00480674">
              <w:rPr>
                <w:rFonts w:eastAsia="Muli" w:cs="Muli"/>
                <w:color w:val="000000" w:themeColor="text1"/>
                <w:sz w:val="18"/>
                <w:szCs w:val="18"/>
              </w:rPr>
              <w:t>imited patient interest</w:t>
            </w:r>
            <w:r>
              <w:rPr>
                <w:rFonts w:eastAsia="Muli" w:cs="Muli"/>
                <w:color w:val="000000" w:themeColor="text1"/>
                <w:sz w:val="18"/>
                <w:szCs w:val="18"/>
              </w:rPr>
              <w:t>.</w:t>
            </w:r>
          </w:p>
          <w:p w14:paraId="6133BC76" w14:textId="053F0C03" w:rsidR="00493ECF" w:rsidRDefault="00310A60" w:rsidP="00493ECF">
            <w:pPr>
              <w:spacing w:after="120"/>
              <w:rPr>
                <w:rFonts w:eastAsia="Muli" w:cs="Muli"/>
                <w:color w:val="000000" w:themeColor="text1"/>
                <w:sz w:val="18"/>
                <w:szCs w:val="18"/>
              </w:rPr>
            </w:pPr>
            <w:r w:rsidRPr="00310A60">
              <w:rPr>
                <w:rFonts w:eastAsia="Muli" w:cs="Muli"/>
                <w:color w:val="000000" w:themeColor="text1"/>
                <w:sz w:val="18"/>
                <w:szCs w:val="18"/>
              </w:rPr>
              <w:t>Pharmacies mainly communicated</w:t>
            </w:r>
            <w:r w:rsidR="00493ECF" w:rsidRPr="00233A57">
              <w:rPr>
                <w:rFonts w:eastAsia="Muli" w:cs="Muli"/>
                <w:color w:val="000000" w:themeColor="text1"/>
                <w:sz w:val="18"/>
                <w:szCs w:val="18"/>
              </w:rPr>
              <w:t xml:space="preserve"> with practices</w:t>
            </w:r>
            <w:r w:rsidRPr="00310A60">
              <w:rPr>
                <w:rFonts w:eastAsia="Muli" w:cs="Muli"/>
                <w:color w:val="000000" w:themeColor="text1"/>
                <w:sz w:val="18"/>
                <w:szCs w:val="18"/>
              </w:rPr>
              <w:t xml:space="preserve"> via</w:t>
            </w:r>
            <w:r w:rsidR="00493ECF" w:rsidRPr="00233A57">
              <w:rPr>
                <w:rFonts w:eastAsia="Muli" w:cs="Muli"/>
                <w:color w:val="000000" w:themeColor="text1"/>
                <w:sz w:val="18"/>
                <w:szCs w:val="18"/>
              </w:rPr>
              <w:t xml:space="preserve"> the shared care planning software</w:t>
            </w:r>
            <w:r w:rsidRPr="00310A60">
              <w:rPr>
                <w:rFonts w:eastAsia="Muli" w:cs="Muli"/>
                <w:color w:val="000000" w:themeColor="text1"/>
                <w:sz w:val="18"/>
                <w:szCs w:val="18"/>
              </w:rPr>
              <w:t>.</w:t>
            </w:r>
            <w:r w:rsidR="00493ECF">
              <w:rPr>
                <w:rFonts w:eastAsia="Muli" w:cs="Muli"/>
                <w:color w:val="000000" w:themeColor="text1"/>
                <w:sz w:val="18"/>
                <w:szCs w:val="18"/>
              </w:rPr>
              <w:t xml:space="preserve"> In a few instances pharmacists reported that the trial enhanced their communications with the practice. </w:t>
            </w:r>
            <w:r w:rsidR="00493ECF" w:rsidRPr="00233A57">
              <w:rPr>
                <w:rFonts w:eastAsia="Muli" w:cs="Muli"/>
                <w:color w:val="000000" w:themeColor="text1"/>
                <w:sz w:val="18"/>
                <w:szCs w:val="18"/>
              </w:rPr>
              <w:t>Others struggled with communicating with GPs and sharing care</w:t>
            </w:r>
            <w:r w:rsidR="00493ECF">
              <w:rPr>
                <w:rFonts w:eastAsia="Muli" w:cs="Muli"/>
                <w:color w:val="000000" w:themeColor="text1"/>
                <w:sz w:val="18"/>
                <w:szCs w:val="18"/>
              </w:rPr>
              <w:t xml:space="preserve">. They felt that </w:t>
            </w:r>
            <w:r w:rsidR="00493ECF" w:rsidRPr="00233A57">
              <w:rPr>
                <w:rFonts w:eastAsia="Muli" w:cs="Muli"/>
                <w:color w:val="000000" w:themeColor="text1"/>
                <w:sz w:val="18"/>
                <w:szCs w:val="18"/>
              </w:rPr>
              <w:t>there was</w:t>
            </w:r>
            <w:r w:rsidR="00493ECF">
              <w:rPr>
                <w:rFonts w:eastAsia="Muli" w:cs="Muli"/>
                <w:color w:val="000000" w:themeColor="text1"/>
                <w:sz w:val="18"/>
                <w:szCs w:val="18"/>
              </w:rPr>
              <w:t>n’t</w:t>
            </w:r>
            <w:r w:rsidR="00493ECF" w:rsidRPr="00233A57">
              <w:rPr>
                <w:rFonts w:eastAsia="Muli" w:cs="Muli"/>
                <w:color w:val="000000" w:themeColor="text1"/>
                <w:sz w:val="18"/>
                <w:szCs w:val="18"/>
              </w:rPr>
              <w:t xml:space="preserve"> enough trust</w:t>
            </w:r>
            <w:r w:rsidR="00493ECF">
              <w:rPr>
                <w:rFonts w:eastAsia="Muli" w:cs="Muli"/>
                <w:color w:val="000000" w:themeColor="text1"/>
                <w:sz w:val="18"/>
                <w:szCs w:val="18"/>
              </w:rPr>
              <w:t xml:space="preserve"> established</w:t>
            </w:r>
            <w:r w:rsidR="00493ECF" w:rsidRPr="00233A57">
              <w:rPr>
                <w:rFonts w:eastAsia="Muli" w:cs="Muli"/>
                <w:color w:val="000000" w:themeColor="text1"/>
                <w:sz w:val="18"/>
                <w:szCs w:val="18"/>
              </w:rPr>
              <w:t xml:space="preserve"> </w:t>
            </w:r>
            <w:r w:rsidR="00493ECF">
              <w:rPr>
                <w:rFonts w:eastAsia="Muli" w:cs="Muli"/>
                <w:color w:val="000000" w:themeColor="text1"/>
                <w:sz w:val="18"/>
                <w:szCs w:val="18"/>
              </w:rPr>
              <w:t>through the process to effectively collaborate with GPs.</w:t>
            </w:r>
          </w:p>
          <w:p w14:paraId="68798917" w14:textId="6B0113B9" w:rsidR="00E136E8" w:rsidRDefault="00E136E8" w:rsidP="00493ECF">
            <w:pPr>
              <w:spacing w:after="120"/>
              <w:rPr>
                <w:rFonts w:eastAsia="Muli" w:cs="Muli"/>
                <w:color w:val="000000" w:themeColor="text1"/>
                <w:sz w:val="18"/>
                <w:szCs w:val="18"/>
              </w:rPr>
            </w:pPr>
            <w:r>
              <w:rPr>
                <w:rFonts w:eastAsia="Muli" w:cs="Muli"/>
                <w:color w:val="000000" w:themeColor="text1"/>
                <w:sz w:val="18"/>
                <w:szCs w:val="18"/>
              </w:rPr>
              <w:t xml:space="preserve">GPs reported that they </w:t>
            </w:r>
            <w:r w:rsidRPr="00E136E8">
              <w:rPr>
                <w:rFonts w:eastAsia="Muli" w:cs="Muli"/>
                <w:color w:val="000000" w:themeColor="text1"/>
                <w:sz w:val="18"/>
                <w:szCs w:val="18"/>
              </w:rPr>
              <w:t>most frequently interact</w:t>
            </w:r>
            <w:r w:rsidR="00DF60CE">
              <w:rPr>
                <w:rFonts w:eastAsia="Muli" w:cs="Muli"/>
                <w:color w:val="000000" w:themeColor="text1"/>
                <w:sz w:val="18"/>
                <w:szCs w:val="18"/>
              </w:rPr>
              <w:t>ed with a community pharmacist</w:t>
            </w:r>
            <w:r w:rsidRPr="00E136E8">
              <w:rPr>
                <w:rFonts w:eastAsia="Muli" w:cs="Muli"/>
                <w:color w:val="000000" w:themeColor="text1"/>
                <w:sz w:val="18"/>
                <w:szCs w:val="18"/>
              </w:rPr>
              <w:t xml:space="preserve"> 3–4 times </w:t>
            </w:r>
            <w:r w:rsidR="00DF60CE">
              <w:rPr>
                <w:rFonts w:eastAsia="Muli" w:cs="Muli"/>
                <w:color w:val="000000" w:themeColor="text1"/>
                <w:sz w:val="18"/>
                <w:szCs w:val="18"/>
              </w:rPr>
              <w:t>a</w:t>
            </w:r>
            <w:r w:rsidRPr="00E136E8">
              <w:rPr>
                <w:rFonts w:eastAsia="Muli" w:cs="Muli"/>
                <w:color w:val="000000" w:themeColor="text1"/>
                <w:sz w:val="18"/>
                <w:szCs w:val="18"/>
              </w:rPr>
              <w:t xml:space="preserve"> month</w:t>
            </w:r>
            <w:r w:rsidR="00DF60CE">
              <w:rPr>
                <w:rFonts w:eastAsia="Muli" w:cs="Muli"/>
                <w:color w:val="000000" w:themeColor="text1"/>
                <w:sz w:val="18"/>
                <w:szCs w:val="18"/>
              </w:rPr>
              <w:t>.</w:t>
            </w:r>
            <w:r w:rsidR="00C01D9B">
              <w:rPr>
                <w:rFonts w:eastAsia="Muli" w:cs="Muli"/>
                <w:color w:val="000000" w:themeColor="text1"/>
                <w:sz w:val="18"/>
                <w:szCs w:val="18"/>
              </w:rPr>
              <w:t xml:space="preserve"> </w:t>
            </w:r>
            <w:r w:rsidR="008304D0">
              <w:rPr>
                <w:rFonts w:eastAsia="Muli" w:cs="Muli"/>
                <w:color w:val="000000" w:themeColor="text1"/>
                <w:sz w:val="18"/>
                <w:szCs w:val="18"/>
              </w:rPr>
              <w:t>M</w:t>
            </w:r>
            <w:r w:rsidR="00C01D9B">
              <w:rPr>
                <w:rFonts w:eastAsia="Muli" w:cs="Muli"/>
                <w:color w:val="000000" w:themeColor="text1"/>
                <w:sz w:val="18"/>
                <w:szCs w:val="18"/>
              </w:rPr>
              <w:t>ore than half of the GPs that responded to this question in the survey</w:t>
            </w:r>
            <w:r w:rsidR="008304D0">
              <w:rPr>
                <w:rFonts w:eastAsia="Muli" w:cs="Muli"/>
                <w:color w:val="000000" w:themeColor="text1"/>
                <w:sz w:val="18"/>
                <w:szCs w:val="18"/>
              </w:rPr>
              <w:t xml:space="preserve"> did not think that their communications with pharmacists had changed throughout the trial.</w:t>
            </w:r>
          </w:p>
          <w:p w14:paraId="18D1E964" w14:textId="50919881" w:rsidR="00493ECF" w:rsidRDefault="00F34A93" w:rsidP="00493ECF">
            <w:pPr>
              <w:spacing w:after="120"/>
              <w:rPr>
                <w:rFonts w:eastAsia="Muli" w:cs="Muli"/>
                <w:color w:val="000000" w:themeColor="text1"/>
                <w:sz w:val="18"/>
                <w:szCs w:val="18"/>
              </w:rPr>
            </w:pPr>
            <w:r w:rsidRPr="00F34A93">
              <w:rPr>
                <w:rFonts w:eastAsia="Muli" w:cs="Muli"/>
                <w:color w:val="000000" w:themeColor="text1"/>
                <w:sz w:val="18"/>
                <w:szCs w:val="18"/>
              </w:rPr>
              <w:t xml:space="preserve">Where pharmacies had strong relationships with HCH practices, they reported receiving acknowledgment from the GP/practice about their medication recommendations for a patient. </w:t>
            </w:r>
            <w:r w:rsidR="00531447" w:rsidRPr="00F34A93">
              <w:rPr>
                <w:rFonts w:eastAsia="Muli" w:cs="Muli"/>
                <w:color w:val="000000" w:themeColor="text1"/>
                <w:sz w:val="18"/>
                <w:szCs w:val="18"/>
              </w:rPr>
              <w:lastRenderedPageBreak/>
              <w:t>Otherwise,</w:t>
            </w:r>
            <w:r w:rsidRPr="00F34A93">
              <w:rPr>
                <w:rFonts w:eastAsia="Muli" w:cs="Muli"/>
                <w:color w:val="000000" w:themeColor="text1"/>
                <w:sz w:val="18"/>
                <w:szCs w:val="18"/>
              </w:rPr>
              <w:t xml:space="preserve"> they received no feedback and didn’t know whether their recommendations had eve</w:t>
            </w:r>
            <w:r>
              <w:rPr>
                <w:rFonts w:eastAsia="Muli" w:cs="Muli"/>
                <w:color w:val="000000" w:themeColor="text1"/>
                <w:sz w:val="18"/>
                <w:szCs w:val="18"/>
              </w:rPr>
              <w:t>n</w:t>
            </w:r>
            <w:r w:rsidRPr="00F34A93">
              <w:rPr>
                <w:rFonts w:eastAsia="Muli" w:cs="Muli"/>
                <w:color w:val="000000" w:themeColor="text1"/>
                <w:sz w:val="18"/>
                <w:szCs w:val="18"/>
              </w:rPr>
              <w:t xml:space="preserve"> been read</w:t>
            </w:r>
            <w:r w:rsidR="00493ECF">
              <w:rPr>
                <w:rFonts w:eastAsia="Muli" w:cs="Muli"/>
                <w:color w:val="000000" w:themeColor="text1"/>
                <w:sz w:val="18"/>
                <w:szCs w:val="18"/>
              </w:rPr>
              <w:t>.</w:t>
            </w:r>
          </w:p>
          <w:p w14:paraId="48A82F6D" w14:textId="7EADE403" w:rsidR="00172067" w:rsidRDefault="00172067" w:rsidP="00C858E0">
            <w:pPr>
              <w:spacing w:after="120"/>
              <w:rPr>
                <w:rFonts w:eastAsia="Muli" w:cs="Muli"/>
                <w:color w:val="000000" w:themeColor="text1"/>
                <w:sz w:val="18"/>
                <w:szCs w:val="18"/>
              </w:rPr>
            </w:pPr>
            <w:r w:rsidRPr="00172067">
              <w:rPr>
                <w:rFonts w:eastAsia="Muli" w:cs="Muli"/>
                <w:color w:val="000000" w:themeColor="text1"/>
                <w:sz w:val="18"/>
                <w:szCs w:val="18"/>
              </w:rPr>
              <w:t xml:space="preserve">In the final staff survey for the evaluation, </w:t>
            </w:r>
            <w:r w:rsidR="00FF512E">
              <w:rPr>
                <w:rFonts w:eastAsia="Muli" w:cs="Muli"/>
                <w:color w:val="000000" w:themeColor="text1"/>
                <w:sz w:val="18"/>
                <w:szCs w:val="18"/>
              </w:rPr>
              <w:t xml:space="preserve">one-quarter of the </w:t>
            </w:r>
            <w:r w:rsidRPr="00172067">
              <w:rPr>
                <w:rFonts w:eastAsia="Muli" w:cs="Muli"/>
                <w:color w:val="000000" w:themeColor="text1"/>
                <w:sz w:val="18"/>
                <w:szCs w:val="18"/>
              </w:rPr>
              <w:t xml:space="preserve">GPs </w:t>
            </w:r>
            <w:r w:rsidR="00FF512E">
              <w:rPr>
                <w:rFonts w:eastAsia="Muli" w:cs="Muli"/>
                <w:color w:val="000000" w:themeColor="text1"/>
                <w:sz w:val="18"/>
                <w:szCs w:val="18"/>
              </w:rPr>
              <w:t xml:space="preserve">that responded to the question </w:t>
            </w:r>
            <w:r w:rsidR="00FF512E" w:rsidRPr="00172067">
              <w:rPr>
                <w:rFonts w:eastAsia="Muli" w:cs="Muli"/>
                <w:color w:val="000000" w:themeColor="text1"/>
                <w:sz w:val="18"/>
                <w:szCs w:val="18"/>
              </w:rPr>
              <w:t>said</w:t>
            </w:r>
            <w:r w:rsidR="00C858E0">
              <w:rPr>
                <w:rFonts w:eastAsia="Muli" w:cs="Muli"/>
                <w:color w:val="000000" w:themeColor="text1"/>
                <w:sz w:val="18"/>
                <w:szCs w:val="18"/>
              </w:rPr>
              <w:t xml:space="preserve"> that they had </w:t>
            </w:r>
            <w:r w:rsidR="00C858E0" w:rsidRPr="00172067">
              <w:rPr>
                <w:rFonts w:eastAsia="Muli" w:cs="Muli"/>
                <w:color w:val="000000" w:themeColor="text1"/>
                <w:sz w:val="18"/>
                <w:szCs w:val="18"/>
              </w:rPr>
              <w:t>acted on less than 20%</w:t>
            </w:r>
            <w:r w:rsidR="007D67A8">
              <w:rPr>
                <w:rFonts w:eastAsia="Muli" w:cs="Muli"/>
                <w:color w:val="000000" w:themeColor="text1"/>
                <w:sz w:val="18"/>
                <w:szCs w:val="18"/>
              </w:rPr>
              <w:t xml:space="preserve"> </w:t>
            </w:r>
            <w:r w:rsidR="00C858E0" w:rsidRPr="00172067">
              <w:rPr>
                <w:rFonts w:eastAsia="Muli" w:cs="Muli"/>
                <w:color w:val="000000" w:themeColor="text1"/>
                <w:sz w:val="18"/>
                <w:szCs w:val="18"/>
              </w:rPr>
              <w:t>of community pharmacists’ recommendations</w:t>
            </w:r>
            <w:r w:rsidR="00C858E0">
              <w:rPr>
                <w:rFonts w:eastAsia="Muli" w:cs="Muli"/>
                <w:color w:val="000000" w:themeColor="text1"/>
                <w:sz w:val="18"/>
                <w:szCs w:val="18"/>
              </w:rPr>
              <w:t>.</w:t>
            </w:r>
            <w:r w:rsidR="00A561EE">
              <w:rPr>
                <w:rFonts w:eastAsia="Muli" w:cs="Muli"/>
                <w:color w:val="000000" w:themeColor="text1"/>
                <w:sz w:val="18"/>
                <w:szCs w:val="18"/>
              </w:rPr>
              <w:t xml:space="preserve"> </w:t>
            </w:r>
            <w:r w:rsidRPr="00172067">
              <w:rPr>
                <w:rFonts w:eastAsia="Muli" w:cs="Muli"/>
                <w:color w:val="000000" w:themeColor="text1"/>
                <w:sz w:val="18"/>
                <w:szCs w:val="18"/>
              </w:rPr>
              <w:t>Close to two</w:t>
            </w:r>
            <w:r w:rsidR="001D0F94">
              <w:rPr>
                <w:rFonts w:eastAsia="Muli" w:cs="Muli"/>
                <w:color w:val="000000" w:themeColor="text1"/>
                <w:sz w:val="18"/>
                <w:szCs w:val="18"/>
              </w:rPr>
              <w:t xml:space="preserve"> </w:t>
            </w:r>
            <w:r w:rsidRPr="00172067">
              <w:rPr>
                <w:rFonts w:eastAsia="Muli" w:cs="Muli"/>
                <w:color w:val="000000" w:themeColor="text1"/>
                <w:sz w:val="18"/>
                <w:szCs w:val="18"/>
              </w:rPr>
              <w:t>thirds said that</w:t>
            </w:r>
            <w:r w:rsidR="00C858E0">
              <w:rPr>
                <w:rFonts w:eastAsia="Muli" w:cs="Muli"/>
                <w:color w:val="000000" w:themeColor="text1"/>
                <w:sz w:val="18"/>
                <w:szCs w:val="18"/>
              </w:rPr>
              <w:t xml:space="preserve"> the reason</w:t>
            </w:r>
            <w:r w:rsidR="00814CC2">
              <w:rPr>
                <w:rFonts w:eastAsia="Muli" w:cs="Muli"/>
                <w:color w:val="000000" w:themeColor="text1"/>
                <w:sz w:val="18"/>
                <w:szCs w:val="18"/>
              </w:rPr>
              <w:t xml:space="preserve"> for this was</w:t>
            </w:r>
            <w:r w:rsidRPr="00172067">
              <w:rPr>
                <w:rFonts w:eastAsia="Muli" w:cs="Muli"/>
                <w:color w:val="000000" w:themeColor="text1"/>
                <w:sz w:val="18"/>
                <w:szCs w:val="18"/>
              </w:rPr>
              <w:t xml:space="preserve"> they did not agree with the recommendation.</w:t>
            </w:r>
          </w:p>
          <w:p w14:paraId="19902EEF" w14:textId="0F811BD1" w:rsidR="00A12C14" w:rsidRPr="00DF38D9" w:rsidRDefault="00493ECF" w:rsidP="00493ECF">
            <w:pPr>
              <w:spacing w:after="120"/>
              <w:rPr>
                <w:rFonts w:eastAsia="Muli" w:cs="Muli"/>
                <w:color w:val="000000" w:themeColor="text1"/>
                <w:sz w:val="18"/>
                <w:szCs w:val="18"/>
              </w:rPr>
            </w:pPr>
            <w:r>
              <w:rPr>
                <w:rFonts w:eastAsia="Muli" w:cs="Muli"/>
                <w:color w:val="000000" w:themeColor="text1"/>
                <w:sz w:val="18"/>
                <w:szCs w:val="18"/>
              </w:rPr>
              <w:t xml:space="preserve">While some practices </w:t>
            </w:r>
            <w:r w:rsidRPr="002A68B6">
              <w:rPr>
                <w:rFonts w:eastAsia="Muli" w:cs="Muli"/>
                <w:color w:val="000000" w:themeColor="text1"/>
                <w:sz w:val="18"/>
                <w:szCs w:val="18"/>
              </w:rPr>
              <w:t>felt that pharmacists had a vital role in patient care and chronic disease management</w:t>
            </w:r>
            <w:r>
              <w:rPr>
                <w:rFonts w:eastAsia="Muli" w:cs="Muli"/>
                <w:color w:val="000000" w:themeColor="text1"/>
                <w:sz w:val="18"/>
                <w:szCs w:val="18"/>
              </w:rPr>
              <w:t xml:space="preserve"> and </w:t>
            </w:r>
            <w:r w:rsidRPr="002A68B6">
              <w:rPr>
                <w:rFonts w:eastAsia="Muli" w:cs="Muli"/>
                <w:color w:val="000000" w:themeColor="text1"/>
                <w:sz w:val="18"/>
                <w:szCs w:val="18"/>
              </w:rPr>
              <w:t>saw value in the</w:t>
            </w:r>
            <w:r>
              <w:rPr>
                <w:rFonts w:eastAsia="Muli" w:cs="Muli"/>
                <w:color w:val="000000" w:themeColor="text1"/>
                <w:sz w:val="18"/>
                <w:szCs w:val="18"/>
              </w:rPr>
              <w:t xml:space="preserve"> community pharmacy </w:t>
            </w:r>
            <w:r w:rsidRPr="002A68B6">
              <w:rPr>
                <w:rFonts w:eastAsia="Muli" w:cs="Muli"/>
                <w:color w:val="000000" w:themeColor="text1"/>
                <w:sz w:val="18"/>
                <w:szCs w:val="18"/>
              </w:rPr>
              <w:t>trial</w:t>
            </w:r>
            <w:r>
              <w:rPr>
                <w:rFonts w:eastAsia="Muli" w:cs="Muli"/>
                <w:color w:val="000000" w:themeColor="text1"/>
                <w:sz w:val="18"/>
                <w:szCs w:val="18"/>
              </w:rPr>
              <w:t xml:space="preserve">, </w:t>
            </w:r>
            <w:r w:rsidRPr="002A68B6">
              <w:rPr>
                <w:rFonts w:eastAsia="Muli" w:cs="Muli"/>
                <w:color w:val="000000" w:themeColor="text1"/>
                <w:sz w:val="18"/>
                <w:szCs w:val="18"/>
              </w:rPr>
              <w:t>many were unaware of the trial</w:t>
            </w:r>
            <w:r>
              <w:rPr>
                <w:rFonts w:eastAsia="Muli" w:cs="Muli"/>
                <w:color w:val="000000" w:themeColor="text1"/>
                <w:sz w:val="18"/>
                <w:szCs w:val="18"/>
              </w:rPr>
              <w:t>.</w:t>
            </w:r>
            <w:r w:rsidR="005E13D1" w:rsidRPr="00563B66">
              <w:rPr>
                <w:rFonts w:eastAsia="Muli" w:cs="Muli"/>
                <w:color w:val="000000" w:themeColor="text1"/>
                <w:sz w:val="18"/>
                <w:szCs w:val="18"/>
              </w:rPr>
              <w:t xml:space="preserve"> GPs identified “patient education” as the top benefit provided by community pharmacists to patients. </w:t>
            </w:r>
            <w:r w:rsidR="00AB0FE0" w:rsidRPr="00563B66">
              <w:rPr>
                <w:rFonts w:eastAsia="Muli" w:cs="Muli"/>
                <w:color w:val="000000" w:themeColor="text1"/>
                <w:sz w:val="18"/>
                <w:szCs w:val="18"/>
              </w:rPr>
              <w:t xml:space="preserve">“Education and support” </w:t>
            </w:r>
            <w:r w:rsidR="00531447">
              <w:rPr>
                <w:rFonts w:eastAsia="Muli" w:cs="Muli"/>
                <w:color w:val="000000" w:themeColor="text1"/>
                <w:sz w:val="18"/>
                <w:szCs w:val="18"/>
              </w:rPr>
              <w:t>were</w:t>
            </w:r>
            <w:r w:rsidR="00AB0FE0" w:rsidRPr="00563B66">
              <w:rPr>
                <w:rFonts w:eastAsia="Muli" w:cs="Muli"/>
                <w:color w:val="000000" w:themeColor="text1"/>
                <w:sz w:val="18"/>
                <w:szCs w:val="18"/>
              </w:rPr>
              <w:t xml:space="preserve"> also identified by GPs as the top way</w:t>
            </w:r>
            <w:r w:rsidR="00531447">
              <w:rPr>
                <w:rFonts w:eastAsia="Muli" w:cs="Muli"/>
                <w:color w:val="000000" w:themeColor="text1"/>
                <w:sz w:val="18"/>
                <w:szCs w:val="18"/>
              </w:rPr>
              <w:t>s</w:t>
            </w:r>
            <w:r w:rsidR="00AB0FE0" w:rsidRPr="00563B66">
              <w:rPr>
                <w:rFonts w:eastAsia="Muli" w:cs="Muli"/>
                <w:color w:val="000000" w:themeColor="text1"/>
                <w:sz w:val="18"/>
                <w:szCs w:val="18"/>
              </w:rPr>
              <w:t xml:space="preserve"> in which community pharmacists' expertise </w:t>
            </w:r>
            <w:r w:rsidR="0010765C" w:rsidRPr="00563B66">
              <w:rPr>
                <w:rFonts w:eastAsia="Muli" w:cs="Muli"/>
                <w:color w:val="000000" w:themeColor="text1"/>
                <w:sz w:val="18"/>
                <w:szCs w:val="18"/>
              </w:rPr>
              <w:t xml:space="preserve">could be </w:t>
            </w:r>
            <w:r w:rsidR="00AB0FE0" w:rsidRPr="00563B66">
              <w:rPr>
                <w:rFonts w:eastAsia="Muli" w:cs="Muli"/>
                <w:color w:val="000000" w:themeColor="text1"/>
                <w:sz w:val="18"/>
                <w:szCs w:val="18"/>
              </w:rPr>
              <w:t xml:space="preserve">better </w:t>
            </w:r>
            <w:r w:rsidR="00563B66" w:rsidRPr="00563B66">
              <w:rPr>
                <w:rFonts w:eastAsia="Muli" w:cs="Muli"/>
                <w:color w:val="000000" w:themeColor="text1"/>
                <w:sz w:val="18"/>
                <w:szCs w:val="18"/>
              </w:rPr>
              <w:t>used towards improving the care provided for HCH patients and other patients with chronic illnesses</w:t>
            </w:r>
            <w:r w:rsidR="00AB0FE0" w:rsidRPr="00563B66">
              <w:rPr>
                <w:rFonts w:eastAsia="Muli" w:cs="Muli"/>
                <w:color w:val="000000" w:themeColor="text1"/>
                <w:sz w:val="18"/>
                <w:szCs w:val="18"/>
              </w:rPr>
              <w:t>.</w:t>
            </w:r>
            <w:r w:rsidR="0010765C" w:rsidRPr="0010765C">
              <w:rPr>
                <w:rFonts w:eastAsia="Muli" w:cs="Muli"/>
                <w:color w:val="000000" w:themeColor="text1"/>
                <w:sz w:val="18"/>
                <w:szCs w:val="18"/>
              </w:rPr>
              <w:t xml:space="preserve"> </w:t>
            </w:r>
          </w:p>
        </w:tc>
      </w:tr>
    </w:tbl>
    <w:p w14:paraId="0615A6AA" w14:textId="5D468E25" w:rsidR="00ED0DBF" w:rsidRDefault="00ED0DBF" w:rsidP="00A12C14">
      <w:pPr>
        <w:spacing w:after="0"/>
        <w:rPr>
          <w:rFonts w:eastAsia="Muli" w:cs="Muli"/>
          <w:color w:val="000000" w:themeColor="text1"/>
          <w:szCs w:val="20"/>
        </w:rPr>
      </w:pPr>
    </w:p>
    <w:p w14:paraId="510FD292" w14:textId="774E587F" w:rsidR="0058354B" w:rsidRPr="00F71DF5" w:rsidRDefault="0058354B" w:rsidP="0058354B">
      <w:pPr>
        <w:pStyle w:val="Heading2"/>
      </w:pPr>
      <w:bookmarkStart w:id="491" w:name="_Toc109996769"/>
      <w:r w:rsidRPr="00F71DF5">
        <w:t>Patient referrals</w:t>
      </w:r>
      <w:bookmarkEnd w:id="490"/>
      <w:bookmarkEnd w:id="491"/>
    </w:p>
    <w:p w14:paraId="5EEE1377" w14:textId="4AE8D852" w:rsidR="00D605BE" w:rsidRDefault="00CB0758" w:rsidP="00D605BE">
      <w:pPr>
        <w:widowControl w:val="0"/>
        <w:tabs>
          <w:tab w:val="left" w:pos="1134"/>
        </w:tabs>
        <w:rPr>
          <w:rFonts w:cs="Arial"/>
          <w:szCs w:val="20"/>
          <w:lang w:val="en-GB"/>
        </w:rPr>
      </w:pPr>
      <w:r>
        <w:rPr>
          <w:szCs w:val="20"/>
        </w:rPr>
        <w:t>In interviews with p</w:t>
      </w:r>
      <w:r w:rsidR="00D605BE" w:rsidRPr="00D70587">
        <w:rPr>
          <w:szCs w:val="20"/>
        </w:rPr>
        <w:t>harmacies</w:t>
      </w:r>
      <w:r>
        <w:rPr>
          <w:szCs w:val="20"/>
        </w:rPr>
        <w:t>, those</w:t>
      </w:r>
      <w:r w:rsidR="00D605BE" w:rsidRPr="00D70587">
        <w:rPr>
          <w:szCs w:val="20"/>
        </w:rPr>
        <w:t xml:space="preserve"> that had </w:t>
      </w:r>
      <w:r w:rsidR="00202C84">
        <w:rPr>
          <w:szCs w:val="20"/>
        </w:rPr>
        <w:t>long-standing</w:t>
      </w:r>
      <w:r w:rsidR="00D605BE" w:rsidRPr="00D70587">
        <w:rPr>
          <w:szCs w:val="20"/>
        </w:rPr>
        <w:t xml:space="preserve">, strong relationships with </w:t>
      </w:r>
      <w:r w:rsidR="00D605BE">
        <w:rPr>
          <w:szCs w:val="20"/>
        </w:rPr>
        <w:t>HCHs</w:t>
      </w:r>
      <w:r w:rsidR="00D605BE" w:rsidRPr="00D70587">
        <w:rPr>
          <w:szCs w:val="20"/>
        </w:rPr>
        <w:t xml:space="preserve"> </w:t>
      </w:r>
      <w:r w:rsidR="00EF5DB8">
        <w:rPr>
          <w:szCs w:val="20"/>
        </w:rPr>
        <w:t>reported</w:t>
      </w:r>
      <w:r w:rsidR="00D605BE" w:rsidRPr="00D70587">
        <w:rPr>
          <w:szCs w:val="20"/>
        </w:rPr>
        <w:t xml:space="preserve"> a higher number of referrals. This </w:t>
      </w:r>
      <w:r w:rsidR="00D605BE">
        <w:rPr>
          <w:szCs w:val="20"/>
        </w:rPr>
        <w:t>was particularly the case</w:t>
      </w:r>
      <w:r w:rsidR="00D605BE" w:rsidRPr="00D70587">
        <w:rPr>
          <w:szCs w:val="20"/>
        </w:rPr>
        <w:t xml:space="preserve"> where the pharmacy was within</w:t>
      </w:r>
      <w:r w:rsidR="00D605BE">
        <w:rPr>
          <w:szCs w:val="20"/>
        </w:rPr>
        <w:t xml:space="preserve"> the same building</w:t>
      </w:r>
      <w:r w:rsidR="00D605BE" w:rsidRPr="00D70587">
        <w:rPr>
          <w:szCs w:val="20"/>
        </w:rPr>
        <w:t xml:space="preserve"> or next</w:t>
      </w:r>
      <w:r w:rsidR="00D605BE">
        <w:rPr>
          <w:szCs w:val="20"/>
        </w:rPr>
        <w:t xml:space="preserve"> door</w:t>
      </w:r>
      <w:r w:rsidR="00D605BE" w:rsidRPr="00D70587">
        <w:rPr>
          <w:szCs w:val="20"/>
        </w:rPr>
        <w:t xml:space="preserve"> </w:t>
      </w:r>
      <w:r w:rsidR="00D605BE">
        <w:rPr>
          <w:szCs w:val="20"/>
        </w:rPr>
        <w:t>to a practice.</w:t>
      </w:r>
    </w:p>
    <w:p w14:paraId="6E6DA6A0" w14:textId="7B6012D9" w:rsidR="00D605BE" w:rsidRDefault="00E87CF9" w:rsidP="00D605BE">
      <w:pPr>
        <w:rPr>
          <w:szCs w:val="20"/>
        </w:rPr>
      </w:pPr>
      <w:r>
        <w:rPr>
          <w:rFonts w:cs="Arial"/>
          <w:szCs w:val="20"/>
          <w:lang w:val="en-GB"/>
        </w:rPr>
        <w:t xml:space="preserve">In interviews with practices, in some instances </w:t>
      </w:r>
      <w:r w:rsidR="00D605BE">
        <w:rPr>
          <w:szCs w:val="20"/>
        </w:rPr>
        <w:t xml:space="preserve">practices </w:t>
      </w:r>
      <w:r>
        <w:rPr>
          <w:szCs w:val="20"/>
        </w:rPr>
        <w:t>reported referring to c</w:t>
      </w:r>
      <w:r w:rsidR="003452D1">
        <w:rPr>
          <w:szCs w:val="20"/>
        </w:rPr>
        <w:t>ommunity pharmacies</w:t>
      </w:r>
      <w:r w:rsidR="00D605BE">
        <w:rPr>
          <w:szCs w:val="20"/>
        </w:rPr>
        <w:t xml:space="preserve"> where they had </w:t>
      </w:r>
      <w:r w:rsidR="00FC0912">
        <w:rPr>
          <w:szCs w:val="20"/>
        </w:rPr>
        <w:t xml:space="preserve">a </w:t>
      </w:r>
      <w:r w:rsidR="00D605BE">
        <w:rPr>
          <w:szCs w:val="20"/>
        </w:rPr>
        <w:t xml:space="preserve">newly established relationship, initiated by </w:t>
      </w:r>
      <w:r w:rsidR="003452D1">
        <w:rPr>
          <w:szCs w:val="20"/>
        </w:rPr>
        <w:t xml:space="preserve">a </w:t>
      </w:r>
      <w:r w:rsidR="00D605BE">
        <w:rPr>
          <w:szCs w:val="20"/>
        </w:rPr>
        <w:t>proactive pharmac</w:t>
      </w:r>
      <w:r w:rsidR="003452D1">
        <w:rPr>
          <w:szCs w:val="20"/>
        </w:rPr>
        <w:t>ist</w:t>
      </w:r>
      <w:r w:rsidR="00D605BE">
        <w:rPr>
          <w:szCs w:val="20"/>
        </w:rPr>
        <w:t xml:space="preserve"> in the area:</w:t>
      </w:r>
    </w:p>
    <w:p w14:paraId="7F9E45A0" w14:textId="77777777" w:rsidR="00D605BE" w:rsidRDefault="00D605BE" w:rsidP="00D605BE">
      <w:pPr>
        <w:ind w:left="567" w:right="521"/>
        <w:rPr>
          <w:szCs w:val="20"/>
          <w:lang w:val="en-GB"/>
        </w:rPr>
      </w:pPr>
      <w:r>
        <w:rPr>
          <w:i/>
          <w:iCs/>
          <w:szCs w:val="20"/>
          <w:lang w:val="en-GB"/>
        </w:rPr>
        <w:t xml:space="preserve">“Yes. We’ve had one pharmacist actually … So he came and spoke to us and said, you know, what’s the deal here, what do you want me </w:t>
      </w:r>
      <w:r>
        <w:rPr>
          <w:i/>
          <w:iCs/>
          <w:szCs w:val="20"/>
        </w:rPr>
        <w:t>to</w:t>
      </w:r>
      <w:r>
        <w:rPr>
          <w:i/>
          <w:iCs/>
          <w:szCs w:val="20"/>
          <w:lang w:val="en-GB"/>
        </w:rPr>
        <w:t xml:space="preserve"> do? How are we going to sort out referrals and do that? And that was good. And then we had another couple of pharmacies contact us and start doing the reviews through the Health Care Homes model … Yes, we’re making referrals, absolutely.”</w:t>
      </w:r>
      <w:r>
        <w:rPr>
          <w:szCs w:val="20"/>
          <w:lang w:val="en-GB"/>
        </w:rPr>
        <w:t xml:space="preserve"> [GP, Practice 10, R4]</w:t>
      </w:r>
    </w:p>
    <w:p w14:paraId="6CAB34BB" w14:textId="595AB7C6" w:rsidR="00712E28" w:rsidRPr="00F71DF5" w:rsidRDefault="00E87CF9" w:rsidP="00712E28">
      <w:pPr>
        <w:widowControl w:val="0"/>
        <w:tabs>
          <w:tab w:val="left" w:pos="1134"/>
        </w:tabs>
        <w:rPr>
          <w:rFonts w:cs="Arial"/>
          <w:szCs w:val="20"/>
          <w:lang w:val="en-GB"/>
        </w:rPr>
      </w:pPr>
      <w:r>
        <w:rPr>
          <w:rFonts w:cs="Arial"/>
          <w:szCs w:val="20"/>
          <w:lang w:val="en-GB"/>
        </w:rPr>
        <w:t>P</w:t>
      </w:r>
      <w:r w:rsidR="00712E28" w:rsidRPr="00F71DF5">
        <w:rPr>
          <w:rFonts w:cs="Arial"/>
          <w:szCs w:val="20"/>
          <w:lang w:val="en-GB"/>
        </w:rPr>
        <w:t>ractices</w:t>
      </w:r>
      <w:r>
        <w:rPr>
          <w:rFonts w:cs="Arial"/>
          <w:szCs w:val="20"/>
          <w:lang w:val="en-GB"/>
        </w:rPr>
        <w:t xml:space="preserve"> also</w:t>
      </w:r>
      <w:r w:rsidR="00712E28" w:rsidRPr="00F71DF5">
        <w:rPr>
          <w:rFonts w:cs="Arial"/>
          <w:szCs w:val="20"/>
          <w:lang w:val="en-GB"/>
        </w:rPr>
        <w:t xml:space="preserve"> identified barriers with referring patients to </w:t>
      </w:r>
      <w:r w:rsidR="00712E28">
        <w:rPr>
          <w:rFonts w:cs="Arial"/>
          <w:szCs w:val="20"/>
          <w:lang w:val="en-GB"/>
        </w:rPr>
        <w:t xml:space="preserve">community </w:t>
      </w:r>
      <w:r w:rsidR="00712E28" w:rsidRPr="00F71DF5">
        <w:rPr>
          <w:rFonts w:cs="Arial"/>
          <w:szCs w:val="20"/>
          <w:lang w:val="en-GB"/>
        </w:rPr>
        <w:t>pharmaci</w:t>
      </w:r>
      <w:r w:rsidR="00712E28">
        <w:rPr>
          <w:rFonts w:cs="Arial"/>
          <w:szCs w:val="20"/>
          <w:lang w:val="en-GB"/>
        </w:rPr>
        <w:t xml:space="preserve">es. These </w:t>
      </w:r>
      <w:r w:rsidR="005E3DB1">
        <w:rPr>
          <w:rFonts w:cs="Arial"/>
          <w:szCs w:val="20"/>
          <w:lang w:val="en-GB"/>
        </w:rPr>
        <w:t>included time</w:t>
      </w:r>
      <w:r w:rsidR="000C6090">
        <w:rPr>
          <w:rFonts w:cs="Arial"/>
          <w:szCs w:val="20"/>
          <w:lang w:val="en-GB"/>
        </w:rPr>
        <w:t xml:space="preserve"> to educate and engage</w:t>
      </w:r>
      <w:r w:rsidR="00712E28" w:rsidRPr="00F71DF5">
        <w:rPr>
          <w:rFonts w:cs="Arial"/>
          <w:szCs w:val="20"/>
          <w:lang w:val="en-GB"/>
        </w:rPr>
        <w:t xml:space="preserve"> community pharmac</w:t>
      </w:r>
      <w:r w:rsidR="000C6090">
        <w:rPr>
          <w:rFonts w:cs="Arial"/>
          <w:szCs w:val="20"/>
          <w:lang w:val="en-GB"/>
        </w:rPr>
        <w:t>ies</w:t>
      </w:r>
      <w:r w:rsidR="00712E28" w:rsidRPr="00F71DF5">
        <w:rPr>
          <w:rFonts w:cs="Arial"/>
          <w:szCs w:val="20"/>
          <w:lang w:val="en-GB"/>
        </w:rPr>
        <w:t xml:space="preserve">, </w:t>
      </w:r>
      <w:r w:rsidR="000C6090">
        <w:rPr>
          <w:rFonts w:cs="Arial"/>
          <w:szCs w:val="20"/>
          <w:lang w:val="en-GB"/>
        </w:rPr>
        <w:t xml:space="preserve">problems with </w:t>
      </w:r>
      <w:r w:rsidR="00712E28" w:rsidRPr="00F71DF5">
        <w:rPr>
          <w:rFonts w:cs="Arial"/>
          <w:szCs w:val="20"/>
          <w:lang w:val="en-GB"/>
        </w:rPr>
        <w:t xml:space="preserve">shared care planning software, </w:t>
      </w:r>
      <w:r w:rsidR="001C1D42">
        <w:rPr>
          <w:rFonts w:cs="Arial"/>
          <w:szCs w:val="20"/>
          <w:lang w:val="en-GB"/>
        </w:rPr>
        <w:t xml:space="preserve">needing </w:t>
      </w:r>
      <w:r w:rsidR="00C73377">
        <w:rPr>
          <w:rFonts w:cs="Arial"/>
          <w:szCs w:val="20"/>
          <w:lang w:val="en-GB"/>
        </w:rPr>
        <w:t>to be convinced about the benefits</w:t>
      </w:r>
      <w:r w:rsidR="00C7797A">
        <w:rPr>
          <w:rFonts w:cs="Arial"/>
          <w:szCs w:val="20"/>
          <w:lang w:val="en-GB"/>
        </w:rPr>
        <w:t xml:space="preserve"> of what pharmacists had to offer </w:t>
      </w:r>
      <w:r w:rsidR="003E6C44">
        <w:rPr>
          <w:rFonts w:cs="Arial"/>
          <w:szCs w:val="20"/>
          <w:lang w:val="en-GB"/>
        </w:rPr>
        <w:t xml:space="preserve">their </w:t>
      </w:r>
      <w:r w:rsidR="00C7797A">
        <w:rPr>
          <w:rFonts w:cs="Arial"/>
          <w:szCs w:val="20"/>
          <w:lang w:val="en-GB"/>
        </w:rPr>
        <w:t>pa</w:t>
      </w:r>
      <w:r w:rsidR="003708F4">
        <w:rPr>
          <w:rFonts w:cs="Arial"/>
          <w:szCs w:val="20"/>
          <w:lang w:val="en-GB"/>
        </w:rPr>
        <w:t>tients,</w:t>
      </w:r>
      <w:r w:rsidR="00C7797A">
        <w:rPr>
          <w:rFonts w:cs="Arial"/>
          <w:szCs w:val="20"/>
          <w:lang w:val="en-GB"/>
        </w:rPr>
        <w:t xml:space="preserve"> </w:t>
      </w:r>
      <w:r w:rsidR="00712E28">
        <w:rPr>
          <w:rFonts w:cs="Arial"/>
          <w:szCs w:val="20"/>
          <w:lang w:val="en-GB"/>
        </w:rPr>
        <w:t>limited</w:t>
      </w:r>
      <w:r w:rsidR="00712E28" w:rsidRPr="00F71DF5">
        <w:rPr>
          <w:rFonts w:cs="Arial"/>
          <w:szCs w:val="20"/>
          <w:lang w:val="en-GB"/>
        </w:rPr>
        <w:t xml:space="preserve"> patient understanding of the model and the</w:t>
      </w:r>
      <w:r w:rsidR="00712E28">
        <w:rPr>
          <w:rFonts w:cs="Arial"/>
          <w:szCs w:val="20"/>
          <w:lang w:val="en-GB"/>
        </w:rPr>
        <w:t xml:space="preserve"> small</w:t>
      </w:r>
      <w:r w:rsidR="00712E28" w:rsidRPr="00F71DF5">
        <w:rPr>
          <w:rFonts w:cs="Arial"/>
          <w:szCs w:val="20"/>
          <w:lang w:val="en-GB"/>
        </w:rPr>
        <w:t xml:space="preserve"> </w:t>
      </w:r>
      <w:r w:rsidR="00712E28">
        <w:rPr>
          <w:rFonts w:cs="Arial"/>
          <w:szCs w:val="20"/>
          <w:lang w:val="en-GB"/>
        </w:rPr>
        <w:t>number</w:t>
      </w:r>
      <w:r w:rsidR="00712E28" w:rsidRPr="00F71DF5">
        <w:rPr>
          <w:rFonts w:cs="Arial"/>
          <w:szCs w:val="20"/>
          <w:lang w:val="en-GB"/>
        </w:rPr>
        <w:t xml:space="preserve"> of HCH patients in their practice:</w:t>
      </w:r>
    </w:p>
    <w:p w14:paraId="14090E54" w14:textId="2E265126" w:rsidR="00712E28" w:rsidRPr="0079725B" w:rsidRDefault="00712E28" w:rsidP="00712E28">
      <w:pPr>
        <w:ind w:left="567" w:right="521"/>
        <w:rPr>
          <w:rFonts w:cs="Arial"/>
          <w:szCs w:val="20"/>
          <w:lang w:val="en-GB"/>
        </w:rPr>
      </w:pPr>
      <w:r>
        <w:rPr>
          <w:rFonts w:cs="Arial"/>
          <w:i/>
          <w:iCs/>
          <w:szCs w:val="20"/>
          <w:lang w:val="en-GB"/>
        </w:rPr>
        <w:t>“</w:t>
      </w:r>
      <w:r w:rsidRPr="0079725B">
        <w:rPr>
          <w:rFonts w:cs="Arial"/>
          <w:i/>
          <w:iCs/>
          <w:szCs w:val="20"/>
          <w:lang w:val="en-GB"/>
        </w:rPr>
        <w:t xml:space="preserve">I think if they brought the </w:t>
      </w:r>
      <w:r w:rsidR="0002675D">
        <w:rPr>
          <w:rFonts w:cs="Arial"/>
          <w:i/>
          <w:iCs/>
          <w:szCs w:val="20"/>
          <w:lang w:val="en-GB"/>
        </w:rPr>
        <w:t>program</w:t>
      </w:r>
      <w:r w:rsidRPr="0079725B">
        <w:rPr>
          <w:rFonts w:cs="Arial"/>
          <w:i/>
          <w:iCs/>
          <w:szCs w:val="20"/>
          <w:lang w:val="en-GB"/>
        </w:rPr>
        <w:t xml:space="preserve"> out more widespread, and more pharmacies were involved, they’d have actually solved some of that </w:t>
      </w:r>
      <w:r w:rsidR="0002675D">
        <w:rPr>
          <w:rFonts w:cs="Arial"/>
          <w:i/>
          <w:iCs/>
          <w:szCs w:val="20"/>
          <w:lang w:val="en-GB"/>
        </w:rPr>
        <w:t>program</w:t>
      </w:r>
      <w:r w:rsidRPr="0079725B">
        <w:rPr>
          <w:rFonts w:cs="Arial"/>
          <w:i/>
          <w:iCs/>
          <w:szCs w:val="20"/>
          <w:lang w:val="en-GB"/>
        </w:rPr>
        <w:t>. But for a lot of the pharmacies, they just didn’t have enough patients who were under Health Care Homes for them to bother</w:t>
      </w:r>
      <w:r>
        <w:rPr>
          <w:rFonts w:cs="Arial"/>
          <w:i/>
          <w:iCs/>
          <w:szCs w:val="20"/>
          <w:lang w:val="en-GB"/>
        </w:rPr>
        <w:t>…</w:t>
      </w:r>
      <w:r w:rsidRPr="0079725B">
        <w:rPr>
          <w:rFonts w:cs="Arial"/>
          <w:i/>
          <w:iCs/>
          <w:szCs w:val="20"/>
          <w:lang w:val="en-GB"/>
        </w:rPr>
        <w:t xml:space="preserve">what’s that magic threshold, that magic number of patients that makes it </w:t>
      </w:r>
      <w:r w:rsidRPr="00C9389C">
        <w:rPr>
          <w:i/>
          <w:iCs/>
          <w:szCs w:val="20"/>
        </w:rPr>
        <w:t>viable</w:t>
      </w:r>
      <w:r w:rsidRPr="0079725B">
        <w:rPr>
          <w:rFonts w:cs="Arial"/>
          <w:i/>
          <w:iCs/>
          <w:szCs w:val="20"/>
          <w:lang w:val="en-GB"/>
        </w:rPr>
        <w:t xml:space="preserve"> for you to be able to do special things for Health Care Homes patients as opposed to what you’re doing day to day. So it does make that whole role a bit more difficult.</w:t>
      </w:r>
      <w:r>
        <w:rPr>
          <w:rFonts w:cs="Arial"/>
          <w:i/>
          <w:iCs/>
          <w:szCs w:val="20"/>
          <w:lang w:val="en-GB"/>
        </w:rPr>
        <w:t xml:space="preserve"> </w:t>
      </w:r>
      <w:r w:rsidRPr="0079725B">
        <w:rPr>
          <w:rFonts w:cs="Arial"/>
          <w:i/>
          <w:iCs/>
          <w:szCs w:val="20"/>
          <w:lang w:val="en-GB"/>
        </w:rPr>
        <w:t>And I’d actually say that 20 patients was probably the maximum that any of the pharmacies got. Because of the fact that the guys are really housed in such a broad geographical area, they use so many different pharmacies.</w:t>
      </w:r>
      <w:r>
        <w:rPr>
          <w:rFonts w:cs="Arial"/>
          <w:i/>
          <w:iCs/>
          <w:szCs w:val="20"/>
          <w:lang w:val="en-GB"/>
        </w:rPr>
        <w:t xml:space="preserve">” </w:t>
      </w:r>
      <w:r>
        <w:rPr>
          <w:rFonts w:cs="Arial"/>
          <w:szCs w:val="20"/>
          <w:lang w:val="en-GB"/>
        </w:rPr>
        <w:t>[GP, Practice 10, R5]</w:t>
      </w:r>
    </w:p>
    <w:p w14:paraId="3A7755CD" w14:textId="77777777" w:rsidR="00712E28" w:rsidRDefault="00712E28" w:rsidP="00712E28">
      <w:pPr>
        <w:ind w:left="567" w:right="521"/>
        <w:rPr>
          <w:rFonts w:cs="Arial"/>
          <w:szCs w:val="20"/>
          <w:lang w:val="en-GB"/>
        </w:rPr>
      </w:pPr>
      <w:r w:rsidRPr="00F71DF5">
        <w:rPr>
          <w:rFonts w:cs="Arial"/>
          <w:i/>
          <w:iCs/>
          <w:szCs w:val="20"/>
          <w:lang w:val="en-GB"/>
        </w:rPr>
        <w:t xml:space="preserve">“The first reason [we have not referred patients to </w:t>
      </w:r>
      <w:r>
        <w:rPr>
          <w:rFonts w:cs="Arial"/>
          <w:i/>
          <w:iCs/>
          <w:szCs w:val="20"/>
          <w:lang w:val="en-GB"/>
        </w:rPr>
        <w:t xml:space="preserve">community </w:t>
      </w:r>
      <w:r w:rsidRPr="00F71DF5">
        <w:rPr>
          <w:rFonts w:cs="Arial"/>
          <w:i/>
          <w:iCs/>
          <w:szCs w:val="20"/>
          <w:lang w:val="en-GB"/>
        </w:rPr>
        <w:t xml:space="preserve">pharmacies] is that the electronic shared care plan stuff that was part of the deal isn’t implemented </w:t>
      </w:r>
      <w:r w:rsidRPr="00F71DF5">
        <w:rPr>
          <w:rFonts w:cs="Arial"/>
          <w:i/>
          <w:iCs/>
          <w:szCs w:val="20"/>
          <w:lang w:val="en-GB"/>
        </w:rPr>
        <w:lastRenderedPageBreak/>
        <w:t>to anything like an acceptable level or a useful level to actually engage with them. The second is that with a cohort of 39 patients … I’ve probably got people that live between one and 30 kilometres from the practice. So, the number of individual Health Care Home patients that would go to any one particular pharmacy would be probably at maximum two. So, the pharmacies would then have an even greater problem than we do with 39 out of our 6000. Trying to get them to actually run a process for two people out of all the work that do, I just think that’s insane. So, I certainly haven’t tried to engage with them.”</w:t>
      </w:r>
      <w:r w:rsidRPr="00F71DF5">
        <w:rPr>
          <w:rFonts w:cs="Arial"/>
          <w:szCs w:val="20"/>
          <w:lang w:val="en-GB"/>
        </w:rPr>
        <w:t xml:space="preserve"> [GP, Practice 12</w:t>
      </w:r>
      <w:r>
        <w:rPr>
          <w:rFonts w:cs="Arial"/>
          <w:szCs w:val="20"/>
          <w:lang w:val="en-GB"/>
        </w:rPr>
        <w:t>, R4</w:t>
      </w:r>
      <w:r w:rsidRPr="00F71DF5">
        <w:rPr>
          <w:rFonts w:cs="Arial"/>
          <w:szCs w:val="20"/>
          <w:lang w:val="en-GB"/>
        </w:rPr>
        <w:t>]</w:t>
      </w:r>
    </w:p>
    <w:p w14:paraId="0C197967" w14:textId="77777777" w:rsidR="00475684" w:rsidRDefault="00475684" w:rsidP="00475684">
      <w:pPr>
        <w:ind w:left="567" w:right="521"/>
        <w:rPr>
          <w:rFonts w:asciiTheme="minorHAnsi" w:hAnsiTheme="minorHAnsi" w:cs="Arial"/>
          <w:color w:val="000000"/>
          <w:szCs w:val="20"/>
          <w:lang w:val="en-GB"/>
        </w:rPr>
      </w:pPr>
      <w:r>
        <w:rPr>
          <w:rFonts w:cs="Arial"/>
          <w:i/>
          <w:iCs/>
          <w:color w:val="000000"/>
          <w:szCs w:val="20"/>
          <w:lang w:val="en-GB"/>
        </w:rPr>
        <w:t xml:space="preserve">“It is fairly new with our practice. We’re all still trying to work out how this is supposed to </w:t>
      </w:r>
      <w:r>
        <w:rPr>
          <w:rFonts w:cs="Arial"/>
          <w:i/>
          <w:iCs/>
          <w:szCs w:val="20"/>
          <w:lang w:val="en-GB"/>
        </w:rPr>
        <w:t>work</w:t>
      </w:r>
      <w:r>
        <w:rPr>
          <w:rFonts w:cs="Arial"/>
          <w:i/>
          <w:iCs/>
          <w:color w:val="000000"/>
          <w:szCs w:val="20"/>
          <w:lang w:val="en-GB"/>
        </w:rPr>
        <w:t xml:space="preserve"> and to actually see it working in a novel way or to extra benefit than what currently exists … There’s been a few [referrals] …”</w:t>
      </w:r>
      <w:r>
        <w:rPr>
          <w:rFonts w:cs="Arial"/>
          <w:color w:val="000000"/>
          <w:szCs w:val="20"/>
          <w:lang w:val="en-GB"/>
        </w:rPr>
        <w:t xml:space="preserve"> [GP, Practice 9, R4]</w:t>
      </w:r>
    </w:p>
    <w:p w14:paraId="286064CD" w14:textId="4C0A09C6" w:rsidR="00BF163A" w:rsidRDefault="007C3F7A" w:rsidP="00936C7A">
      <w:pPr>
        <w:rPr>
          <w:rFonts w:cs="Arial"/>
          <w:szCs w:val="20"/>
          <w:lang w:val="en-GB"/>
        </w:rPr>
      </w:pPr>
      <w:r>
        <w:rPr>
          <w:rFonts w:cs="Arial"/>
          <w:szCs w:val="20"/>
          <w:lang w:val="en-GB"/>
        </w:rPr>
        <w:t xml:space="preserve">As mentioned earlier, </w:t>
      </w:r>
      <w:r w:rsidR="00BB31D9">
        <w:rPr>
          <w:rFonts w:cs="Arial"/>
          <w:szCs w:val="20"/>
          <w:lang w:val="en-GB"/>
        </w:rPr>
        <w:t>some practices</w:t>
      </w:r>
      <w:r w:rsidR="00BF163A">
        <w:rPr>
          <w:rFonts w:cs="Arial"/>
          <w:szCs w:val="20"/>
          <w:lang w:val="en-GB"/>
        </w:rPr>
        <w:t xml:space="preserve"> chose not to </w:t>
      </w:r>
      <w:r w:rsidR="00DE6353">
        <w:rPr>
          <w:rFonts w:cs="Arial"/>
          <w:szCs w:val="20"/>
          <w:lang w:val="en-GB"/>
        </w:rPr>
        <w:t>refer patients</w:t>
      </w:r>
      <w:r w:rsidR="00BF163A">
        <w:rPr>
          <w:rFonts w:cs="Arial"/>
          <w:szCs w:val="20"/>
          <w:lang w:val="en-GB"/>
        </w:rPr>
        <w:t xml:space="preserve"> because they already had </w:t>
      </w:r>
      <w:r w:rsidR="00C60B11">
        <w:rPr>
          <w:rFonts w:cs="Arial"/>
          <w:szCs w:val="20"/>
          <w:lang w:val="en-GB"/>
        </w:rPr>
        <w:t xml:space="preserve">access to a pharmacist </w:t>
      </w:r>
      <w:r w:rsidR="00F478B9">
        <w:rPr>
          <w:rFonts w:cs="Arial"/>
          <w:szCs w:val="20"/>
          <w:lang w:val="en-GB"/>
        </w:rPr>
        <w:t>through other arrangements</w:t>
      </w:r>
      <w:r w:rsidR="00C60B11">
        <w:rPr>
          <w:rFonts w:cs="Arial"/>
          <w:szCs w:val="20"/>
          <w:lang w:val="en-GB"/>
        </w:rPr>
        <w:t>.</w:t>
      </w:r>
      <w:r w:rsidR="00C60B11" w:rsidRPr="00C60B11">
        <w:rPr>
          <w:szCs w:val="20"/>
        </w:rPr>
        <w:t xml:space="preserve"> </w:t>
      </w:r>
      <w:r w:rsidR="00F478B9">
        <w:rPr>
          <w:szCs w:val="20"/>
        </w:rPr>
        <w:t xml:space="preserve">Also, some had </w:t>
      </w:r>
      <w:r w:rsidR="00BF163A">
        <w:rPr>
          <w:rFonts w:cs="Arial"/>
          <w:szCs w:val="20"/>
          <w:lang w:val="en-GB"/>
        </w:rPr>
        <w:t xml:space="preserve">arrangements with community pharmacists </w:t>
      </w:r>
      <w:r w:rsidR="00776EE9">
        <w:rPr>
          <w:rFonts w:cs="Arial"/>
          <w:szCs w:val="20"/>
          <w:lang w:val="en-GB"/>
        </w:rPr>
        <w:t>that pre-dated</w:t>
      </w:r>
      <w:r w:rsidR="00BF163A">
        <w:rPr>
          <w:rFonts w:cs="Arial"/>
          <w:szCs w:val="20"/>
          <w:lang w:val="en-GB"/>
        </w:rPr>
        <w:t xml:space="preserve"> the trial</w:t>
      </w:r>
      <w:r w:rsidR="008B461C">
        <w:rPr>
          <w:rFonts w:cs="Arial"/>
          <w:szCs w:val="20"/>
          <w:lang w:val="en-GB"/>
        </w:rPr>
        <w:t xml:space="preserve">: </w:t>
      </w:r>
    </w:p>
    <w:p w14:paraId="3F628BE7" w14:textId="77777777" w:rsidR="00BF163A" w:rsidRPr="00DD3AD9" w:rsidRDefault="00BF163A" w:rsidP="00BF163A">
      <w:pPr>
        <w:ind w:left="567" w:right="521"/>
        <w:rPr>
          <w:rFonts w:cs="Arial"/>
          <w:szCs w:val="20"/>
          <w:lang w:val="en-GB"/>
        </w:rPr>
      </w:pPr>
      <w:r>
        <w:rPr>
          <w:rFonts w:cs="Arial"/>
          <w:i/>
          <w:iCs/>
          <w:szCs w:val="20"/>
          <w:lang w:val="en-GB"/>
        </w:rPr>
        <w:t>“</w:t>
      </w:r>
      <w:r w:rsidRPr="00DD3AD9">
        <w:rPr>
          <w:rFonts w:cs="Arial"/>
          <w:i/>
          <w:iCs/>
          <w:szCs w:val="20"/>
          <w:lang w:val="en-GB"/>
        </w:rPr>
        <w:t>No, I didn</w:t>
      </w:r>
      <w:r w:rsidRPr="00DD3AD9">
        <w:rPr>
          <w:rFonts w:cs="Century Gothic"/>
          <w:i/>
          <w:iCs/>
          <w:szCs w:val="20"/>
          <w:lang w:val="en-GB"/>
        </w:rPr>
        <w:t>’</w:t>
      </w:r>
      <w:r w:rsidRPr="00DD3AD9">
        <w:rPr>
          <w:rFonts w:cs="Arial"/>
          <w:i/>
          <w:iCs/>
          <w:szCs w:val="20"/>
          <w:lang w:val="en-GB"/>
        </w:rPr>
        <w:t xml:space="preserve">t, because I tended to use our local pharmacies, because we have such a good… Once again, being a country town, two pharmacies in the town, good relationship with </w:t>
      </w:r>
      <w:r w:rsidRPr="00C9389C">
        <w:rPr>
          <w:i/>
          <w:iCs/>
          <w:szCs w:val="20"/>
        </w:rPr>
        <w:t>both</w:t>
      </w:r>
      <w:r w:rsidRPr="00DD3AD9">
        <w:rPr>
          <w:rFonts w:cs="Arial"/>
          <w:i/>
          <w:iCs/>
          <w:szCs w:val="20"/>
          <w:lang w:val="en-GB"/>
        </w:rPr>
        <w:t xml:space="preserve"> of the pharmacists, and the patients know the pharmacists, that’s what we’ve tended to do.</w:t>
      </w:r>
      <w:r>
        <w:rPr>
          <w:rFonts w:cs="Arial"/>
          <w:i/>
          <w:iCs/>
          <w:szCs w:val="20"/>
          <w:lang w:val="en-GB"/>
        </w:rPr>
        <w:t xml:space="preserve">” </w:t>
      </w:r>
      <w:r>
        <w:rPr>
          <w:rFonts w:cs="Arial"/>
          <w:szCs w:val="20"/>
          <w:lang w:val="en-GB"/>
        </w:rPr>
        <w:t>[GP, Practice 4, R5]</w:t>
      </w:r>
    </w:p>
    <w:p w14:paraId="2904A04A" w14:textId="0ECFB261" w:rsidR="00A65D62" w:rsidRPr="00DD3AD9" w:rsidRDefault="00FC3355" w:rsidP="00FC3355">
      <w:pPr>
        <w:ind w:left="567" w:right="521"/>
        <w:rPr>
          <w:rFonts w:cs="Arial"/>
          <w:szCs w:val="20"/>
          <w:lang w:val="en-GB"/>
        </w:rPr>
      </w:pPr>
      <w:r w:rsidRPr="00FC3355">
        <w:rPr>
          <w:rFonts w:cs="Arial"/>
          <w:szCs w:val="20"/>
          <w:lang w:val="en-GB"/>
        </w:rPr>
        <w:t>“</w:t>
      </w:r>
      <w:r w:rsidRPr="00FC3355">
        <w:rPr>
          <w:rFonts w:cs="Arial"/>
          <w:i/>
          <w:iCs/>
          <w:szCs w:val="20"/>
          <w:lang w:val="en-GB"/>
        </w:rPr>
        <w:t>We looked at whether we would be eligible to have community pharmacy locally and that wasn’t an option. And we haven’t been contacted by anybody to say that I’m providing a service … we currently have somebody who lives in the community who does our home medication and residential medication reviews for us, and we asked [PHN] whether they would consider that person would be appropriate to run community pharmacy locally, and they said no. And so that’s as far as we got with it</w:t>
      </w:r>
      <w:r w:rsidRPr="00FC3355">
        <w:rPr>
          <w:rFonts w:cs="Arial"/>
          <w:szCs w:val="20"/>
          <w:lang w:val="en-GB"/>
        </w:rPr>
        <w:t>.” [GP, Practice 2, R4]</w:t>
      </w:r>
    </w:p>
    <w:p w14:paraId="0F237689" w14:textId="22393418" w:rsidR="00712E28" w:rsidRPr="00F71DF5" w:rsidRDefault="00712E28" w:rsidP="00712E28">
      <w:pPr>
        <w:widowControl w:val="0"/>
        <w:tabs>
          <w:tab w:val="left" w:pos="1134"/>
        </w:tabs>
        <w:rPr>
          <w:rFonts w:cs="Arial"/>
          <w:szCs w:val="20"/>
          <w:lang w:val="en-GB"/>
        </w:rPr>
      </w:pPr>
      <w:r w:rsidRPr="00F71DF5">
        <w:rPr>
          <w:rFonts w:cs="Arial"/>
          <w:szCs w:val="20"/>
          <w:lang w:val="en-GB"/>
        </w:rPr>
        <w:t xml:space="preserve">Some </w:t>
      </w:r>
      <w:r w:rsidR="00936C7A">
        <w:rPr>
          <w:rFonts w:cs="Arial"/>
          <w:szCs w:val="20"/>
          <w:lang w:val="en-GB"/>
        </w:rPr>
        <w:t xml:space="preserve">practices </w:t>
      </w:r>
      <w:r w:rsidR="0048144A">
        <w:rPr>
          <w:rFonts w:cs="Arial"/>
          <w:szCs w:val="20"/>
          <w:lang w:val="en-GB"/>
        </w:rPr>
        <w:t>didn’t</w:t>
      </w:r>
      <w:r w:rsidR="00966C92">
        <w:rPr>
          <w:rFonts w:cs="Arial"/>
          <w:szCs w:val="20"/>
          <w:lang w:val="en-GB"/>
        </w:rPr>
        <w:t xml:space="preserve"> refer</w:t>
      </w:r>
      <w:r w:rsidR="0048144A">
        <w:rPr>
          <w:rFonts w:cs="Arial"/>
          <w:szCs w:val="20"/>
          <w:lang w:val="en-GB"/>
        </w:rPr>
        <w:t xml:space="preserve"> patients</w:t>
      </w:r>
      <w:r w:rsidR="00966C92">
        <w:rPr>
          <w:rFonts w:cs="Arial"/>
          <w:szCs w:val="20"/>
          <w:lang w:val="en-GB"/>
        </w:rPr>
        <w:t xml:space="preserve"> as they </w:t>
      </w:r>
      <w:r w:rsidRPr="00F71DF5">
        <w:rPr>
          <w:rFonts w:cs="Arial"/>
          <w:szCs w:val="20"/>
          <w:lang w:val="en-GB"/>
        </w:rPr>
        <w:t xml:space="preserve">were concerned about community pharmacists working </w:t>
      </w:r>
      <w:r w:rsidR="00966C92">
        <w:rPr>
          <w:rFonts w:cs="Arial"/>
          <w:szCs w:val="20"/>
          <w:lang w:val="en-GB"/>
        </w:rPr>
        <w:t>outside of</w:t>
      </w:r>
      <w:r w:rsidRPr="00F71DF5">
        <w:rPr>
          <w:rFonts w:cs="Arial"/>
          <w:szCs w:val="20"/>
          <w:lang w:val="en-GB"/>
        </w:rPr>
        <w:t xml:space="preserve"> their scope or providing unnecessary services:</w:t>
      </w:r>
    </w:p>
    <w:p w14:paraId="5E87302C" w14:textId="77777777" w:rsidR="00712E28" w:rsidRPr="00F71DF5" w:rsidRDefault="00712E28" w:rsidP="00712E28">
      <w:pPr>
        <w:ind w:left="567" w:right="521"/>
        <w:rPr>
          <w:rFonts w:cs="Arial"/>
          <w:szCs w:val="20"/>
          <w:lang w:val="en-GB"/>
        </w:rPr>
      </w:pPr>
      <w:r w:rsidRPr="00F71DF5">
        <w:rPr>
          <w:rFonts w:cs="Arial"/>
          <w:i/>
          <w:iCs/>
          <w:szCs w:val="20"/>
          <w:lang w:val="en-GB"/>
        </w:rPr>
        <w:t>“… I have got serious concerns about the pharmacy … And they’re immunising children now. And the one across the road has got a resuscitation box outside … But we’ve got oxygen, we’ve got adrenalin. They can’t even give adrenalin. It scares me.”</w:t>
      </w:r>
      <w:r w:rsidRPr="00F71DF5">
        <w:rPr>
          <w:rFonts w:cs="Arial"/>
          <w:szCs w:val="20"/>
          <w:lang w:val="en-GB"/>
        </w:rPr>
        <w:t xml:space="preserve"> [Business Owner, Practice 6</w:t>
      </w:r>
      <w:r>
        <w:rPr>
          <w:rFonts w:cs="Arial"/>
          <w:szCs w:val="20"/>
          <w:lang w:val="en-GB"/>
        </w:rPr>
        <w:t>, R4</w:t>
      </w:r>
      <w:r w:rsidRPr="00F71DF5">
        <w:rPr>
          <w:rFonts w:cs="Arial"/>
          <w:szCs w:val="20"/>
          <w:lang w:val="en-GB"/>
        </w:rPr>
        <w:t>]</w:t>
      </w:r>
    </w:p>
    <w:p w14:paraId="034FEFFD" w14:textId="77777777" w:rsidR="00712E28" w:rsidRDefault="00712E28" w:rsidP="00712E28">
      <w:pPr>
        <w:ind w:left="567" w:right="521"/>
        <w:rPr>
          <w:rFonts w:cs="Arial"/>
          <w:szCs w:val="20"/>
          <w:lang w:val="en-GB"/>
        </w:rPr>
      </w:pPr>
      <w:r w:rsidRPr="00F71DF5">
        <w:rPr>
          <w:rFonts w:cs="Arial"/>
          <w:i/>
          <w:iCs/>
          <w:szCs w:val="20"/>
          <w:lang w:val="en-GB"/>
        </w:rPr>
        <w:t>“There has been a bit of a push by … some pharmacies will send requests to do home medication reviews particularly on patients in aged care facilities. And you’ll get the request to do a home medication review … for a patient who’s on two medications. And the doctor will say, no, that’s not necessary because that’s ridiculous, they’re on two medications, they want them on those two medications, I don’t need a medication review by a pharmacist. So, that, a big push on that and I think that actually makes us all a bit suspicious, the medications reviews. That they’re just a money-making exercise rather than something that’s really going to benefit the patient.”</w:t>
      </w:r>
      <w:r w:rsidRPr="00F71DF5">
        <w:rPr>
          <w:rFonts w:cs="Arial"/>
          <w:szCs w:val="20"/>
          <w:lang w:val="en-GB"/>
        </w:rPr>
        <w:t xml:space="preserve"> [Practice Manager/Nurse, Practice 18</w:t>
      </w:r>
      <w:r>
        <w:rPr>
          <w:rFonts w:cs="Arial"/>
          <w:szCs w:val="20"/>
          <w:lang w:val="en-GB"/>
        </w:rPr>
        <w:t>, R4</w:t>
      </w:r>
      <w:r w:rsidRPr="00F71DF5">
        <w:rPr>
          <w:rFonts w:cs="Arial"/>
          <w:szCs w:val="20"/>
          <w:lang w:val="en-GB"/>
        </w:rPr>
        <w:t>]</w:t>
      </w:r>
    </w:p>
    <w:p w14:paraId="50D5D29F" w14:textId="75982CD6" w:rsidR="00A219C1" w:rsidRPr="00F71DF5" w:rsidRDefault="00A219C1" w:rsidP="00A219C1">
      <w:pPr>
        <w:rPr>
          <w:szCs w:val="20"/>
        </w:rPr>
      </w:pPr>
      <w:r w:rsidRPr="00F71DF5">
        <w:rPr>
          <w:szCs w:val="20"/>
        </w:rPr>
        <w:lastRenderedPageBreak/>
        <w:t xml:space="preserve">Pharmacists </w:t>
      </w:r>
      <w:r w:rsidR="00EF2229">
        <w:rPr>
          <w:szCs w:val="20"/>
        </w:rPr>
        <w:t xml:space="preserve">also </w:t>
      </w:r>
      <w:r w:rsidRPr="00F71DF5">
        <w:rPr>
          <w:szCs w:val="20"/>
        </w:rPr>
        <w:t>reported issues with practice staff awareness of or engagement with the trial. This was sometimes exacerbated by turnover of practice staff. Since pharmacists need</w:t>
      </w:r>
      <w:r>
        <w:rPr>
          <w:szCs w:val="20"/>
        </w:rPr>
        <w:t>ed</w:t>
      </w:r>
      <w:r w:rsidRPr="00F71DF5">
        <w:rPr>
          <w:szCs w:val="20"/>
        </w:rPr>
        <w:t xml:space="preserve"> HCH practices to refer patients to their pharmacy, practice staffs’ awareness of the initiative and engagement with them </w:t>
      </w:r>
      <w:r>
        <w:rPr>
          <w:szCs w:val="20"/>
        </w:rPr>
        <w:t xml:space="preserve">was </w:t>
      </w:r>
      <w:r w:rsidRPr="00F71DF5">
        <w:rPr>
          <w:szCs w:val="20"/>
        </w:rPr>
        <w:t>crucial:</w:t>
      </w:r>
    </w:p>
    <w:p w14:paraId="35FDEBFD" w14:textId="77777777" w:rsidR="00A219C1" w:rsidRPr="00F71DF5" w:rsidRDefault="00A219C1" w:rsidP="00A219C1">
      <w:pPr>
        <w:ind w:left="567" w:right="521"/>
        <w:rPr>
          <w:szCs w:val="20"/>
          <w:highlight w:val="red"/>
        </w:rPr>
      </w:pPr>
      <w:r w:rsidRPr="00F71DF5">
        <w:rPr>
          <w:i/>
          <w:iCs/>
          <w:szCs w:val="20"/>
        </w:rPr>
        <w:t>“Well, we had a really good experience, but it got cut short because our doctor left the surgery, and then … They basically ended our trial … So, we were in full swing in about May and June. And then, at the end of June, all of a sudden, the doctor actually left. So, it was sort of cut short.</w:t>
      </w:r>
      <w:r w:rsidRPr="00F71DF5">
        <w:rPr>
          <w:rFonts w:ascii="Calibri" w:hAnsi="Calibri"/>
          <w:sz w:val="22"/>
        </w:rPr>
        <w:t xml:space="preserve">” </w:t>
      </w:r>
      <w:r w:rsidRPr="00F71DF5">
        <w:rPr>
          <w:szCs w:val="20"/>
        </w:rPr>
        <w:t>[CP, Pharmacy 9</w:t>
      </w:r>
      <w:r>
        <w:rPr>
          <w:szCs w:val="20"/>
        </w:rPr>
        <w:t>, R4</w:t>
      </w:r>
      <w:r w:rsidRPr="00F71DF5">
        <w:rPr>
          <w:szCs w:val="20"/>
        </w:rPr>
        <w:t>]</w:t>
      </w:r>
    </w:p>
    <w:p w14:paraId="695314A9" w14:textId="77777777" w:rsidR="00A219C1" w:rsidRPr="00F71DF5" w:rsidRDefault="00A219C1" w:rsidP="00A219C1">
      <w:pPr>
        <w:ind w:left="567" w:right="521"/>
        <w:rPr>
          <w:szCs w:val="20"/>
        </w:rPr>
      </w:pPr>
      <w:r w:rsidRPr="00F71DF5">
        <w:rPr>
          <w:i/>
          <w:iCs/>
          <w:szCs w:val="20"/>
        </w:rPr>
        <w:t>“We’ve trained our staff. We’ve set up the pharmacy in a workflow … And then, it’s gone quiet, which is really disappointing. But of those 112 active patients, and these are active patients, and many of them … high-risk patients, we have only seen 11 of those 112. And we’ve been working really closely with the medical centre to encourage the practising nurse to really get her team care plans in place. We’ve been going and educating the doctors, and it’s not happening. I feel it’s a very confusing process for them … It’s an extra platform they need to be working on, to then refer to the pharmacy, and they just can’t be bothered. How do I see it? I think they’re busy, and they can’t be bothered doing it.”</w:t>
      </w:r>
      <w:r w:rsidRPr="00F71DF5">
        <w:rPr>
          <w:szCs w:val="20"/>
        </w:rPr>
        <w:t xml:space="preserve"> [CP, Pharmacy 3</w:t>
      </w:r>
      <w:r>
        <w:rPr>
          <w:szCs w:val="20"/>
        </w:rPr>
        <w:t>, R4</w:t>
      </w:r>
      <w:r w:rsidRPr="00F71DF5">
        <w:rPr>
          <w:szCs w:val="20"/>
        </w:rPr>
        <w:t>]</w:t>
      </w:r>
    </w:p>
    <w:p w14:paraId="334C89BC" w14:textId="77777777" w:rsidR="00A219C1" w:rsidRPr="00F71DF5" w:rsidRDefault="00A219C1" w:rsidP="00A219C1">
      <w:pPr>
        <w:ind w:left="567" w:right="521"/>
        <w:rPr>
          <w:szCs w:val="20"/>
        </w:rPr>
      </w:pPr>
      <w:r w:rsidRPr="00F71DF5">
        <w:rPr>
          <w:i/>
          <w:iCs/>
          <w:szCs w:val="20"/>
        </w:rPr>
        <w:t xml:space="preserve">“The other clinic was doing quite a lot of people, but they’ve just moved locations, and at this stage they’re not progressing with it. I don’t know whether they’ll go ahead and start doing them again once they’ve settled, but at the moment they’re not sending any … They’ve verbally told me they’re not doing it for a while … none of the other local doctors’ clinics have sent anybody to us. So, I don’t even know if they’re sending them to anyone.” </w:t>
      </w:r>
      <w:r w:rsidRPr="00F71DF5">
        <w:rPr>
          <w:szCs w:val="20"/>
        </w:rPr>
        <w:t>[CP, Pharmacy 10</w:t>
      </w:r>
      <w:r>
        <w:rPr>
          <w:szCs w:val="20"/>
        </w:rPr>
        <w:t>, R4</w:t>
      </w:r>
      <w:r w:rsidRPr="00F71DF5">
        <w:rPr>
          <w:szCs w:val="20"/>
        </w:rPr>
        <w:t>]</w:t>
      </w:r>
    </w:p>
    <w:p w14:paraId="1A4CD22F" w14:textId="77777777" w:rsidR="00A219C1" w:rsidRPr="00F71DF5" w:rsidRDefault="00A219C1" w:rsidP="00A219C1">
      <w:pPr>
        <w:ind w:left="567" w:right="521"/>
        <w:rPr>
          <w:szCs w:val="20"/>
        </w:rPr>
      </w:pPr>
      <w:r w:rsidRPr="00F71DF5">
        <w:rPr>
          <w:i/>
          <w:iCs/>
          <w:szCs w:val="20"/>
        </w:rPr>
        <w:t>“… I have made contact with other surgeries in the area that are participating in the Health Care Home trial and offered to go and visit them and detail the pharmacy services that are available to their clients. And that hasn’t really met with much uptake, or any uptake. Even the PHN has offered to attend those meetings as well because I think some of the surgeries that side aren’t doing as much with the pharmacy side of Health Care Homes. But they haven’t really pursued that, so without the face-to-face or without the close proximity I don’t think the electronic shared healthcare planning would have worked as well.</w:t>
      </w:r>
      <w:r w:rsidRPr="00F71DF5">
        <w:rPr>
          <w:szCs w:val="20"/>
        </w:rPr>
        <w:t>” [CP, Pharmacy 4</w:t>
      </w:r>
      <w:r>
        <w:rPr>
          <w:szCs w:val="20"/>
        </w:rPr>
        <w:t>, R4</w:t>
      </w:r>
      <w:r w:rsidRPr="00F71DF5">
        <w:rPr>
          <w:szCs w:val="20"/>
        </w:rPr>
        <w:t>]</w:t>
      </w:r>
    </w:p>
    <w:p w14:paraId="1028033C" w14:textId="77777777" w:rsidR="00A219C1" w:rsidRPr="00F71DF5" w:rsidRDefault="00A219C1" w:rsidP="00A219C1">
      <w:pPr>
        <w:rPr>
          <w:szCs w:val="20"/>
        </w:rPr>
      </w:pPr>
      <w:r w:rsidRPr="00F71DF5">
        <w:rPr>
          <w:szCs w:val="20"/>
        </w:rPr>
        <w:t xml:space="preserve">One interviewee felt that it </w:t>
      </w:r>
      <w:r>
        <w:rPr>
          <w:szCs w:val="20"/>
        </w:rPr>
        <w:t xml:space="preserve">was </w:t>
      </w:r>
      <w:r w:rsidRPr="00F71DF5">
        <w:rPr>
          <w:szCs w:val="20"/>
        </w:rPr>
        <w:t>not viable to participate in the initiative and devote time to</w:t>
      </w:r>
      <w:r>
        <w:rPr>
          <w:szCs w:val="20"/>
        </w:rPr>
        <w:t xml:space="preserve"> </w:t>
      </w:r>
      <w:r w:rsidRPr="00F71DF5">
        <w:rPr>
          <w:szCs w:val="20"/>
        </w:rPr>
        <w:t>implementation if a participating practice refer</w:t>
      </w:r>
      <w:r>
        <w:rPr>
          <w:szCs w:val="20"/>
        </w:rPr>
        <w:t xml:space="preserve">red </w:t>
      </w:r>
      <w:r w:rsidRPr="00F71DF5">
        <w:rPr>
          <w:szCs w:val="20"/>
        </w:rPr>
        <w:t>only one or two</w:t>
      </w:r>
      <w:r>
        <w:rPr>
          <w:szCs w:val="20"/>
        </w:rPr>
        <w:t xml:space="preserve"> HCH</w:t>
      </w:r>
      <w:r w:rsidRPr="00F71DF5">
        <w:rPr>
          <w:szCs w:val="20"/>
        </w:rPr>
        <w:t xml:space="preserve"> patients:</w:t>
      </w:r>
    </w:p>
    <w:p w14:paraId="6A10C413" w14:textId="77777777" w:rsidR="00A219C1" w:rsidRDefault="00A219C1" w:rsidP="00A219C1">
      <w:pPr>
        <w:ind w:left="567" w:right="521"/>
        <w:rPr>
          <w:szCs w:val="20"/>
        </w:rPr>
      </w:pPr>
      <w:r w:rsidRPr="00F71DF5">
        <w:rPr>
          <w:i/>
          <w:iCs/>
          <w:szCs w:val="20"/>
        </w:rPr>
        <w:t xml:space="preserve">“So, particularly from a pharmacy point of view. You’d have to spend hours doing the online training, and potentially purchasing the software … And then you’d have to allow hours of time for the pharmacist to provide the service. And if you only got one client out of that it would be a massive loser … there is definitely a threshold that you need to meet in order to make it worthwhile participating in the service … it’s great, if all the stars align and the doctor’s surgery next door to you participates and refers, and … the clients are typically interested, I think once </w:t>
      </w:r>
      <w:r w:rsidRPr="00F71DF5">
        <w:rPr>
          <w:i/>
          <w:iCs/>
          <w:szCs w:val="20"/>
        </w:rPr>
        <w:lastRenderedPageBreak/>
        <w:t>the doctor’s able to refer to you … But if you were reliant on doctors that weren’t interested then, hard work. Hard work.”</w:t>
      </w:r>
      <w:r w:rsidRPr="00F71DF5">
        <w:rPr>
          <w:szCs w:val="20"/>
        </w:rPr>
        <w:t xml:space="preserve"> [CP, </w:t>
      </w:r>
      <w:r>
        <w:rPr>
          <w:szCs w:val="20"/>
        </w:rPr>
        <w:t>P</w:t>
      </w:r>
      <w:r w:rsidRPr="00F71DF5">
        <w:rPr>
          <w:szCs w:val="20"/>
        </w:rPr>
        <w:t>harmacy 4</w:t>
      </w:r>
      <w:r>
        <w:rPr>
          <w:szCs w:val="20"/>
        </w:rPr>
        <w:t>, R4</w:t>
      </w:r>
      <w:r w:rsidRPr="00F71DF5">
        <w:rPr>
          <w:szCs w:val="20"/>
        </w:rPr>
        <w:t>]</w:t>
      </w:r>
    </w:p>
    <w:p w14:paraId="22E5D90B" w14:textId="2987A875" w:rsidR="003E7EDA" w:rsidRPr="00F71DF5" w:rsidRDefault="003E7EDA" w:rsidP="005C2AAF">
      <w:pPr>
        <w:rPr>
          <w:szCs w:val="20"/>
        </w:rPr>
      </w:pPr>
      <w:r w:rsidRPr="00F71DF5">
        <w:rPr>
          <w:szCs w:val="20"/>
        </w:rPr>
        <w:t xml:space="preserve">One pharmacist </w:t>
      </w:r>
      <w:r>
        <w:rPr>
          <w:szCs w:val="20"/>
        </w:rPr>
        <w:t xml:space="preserve">and several PHNs </w:t>
      </w:r>
      <w:r w:rsidRPr="00F71DF5">
        <w:rPr>
          <w:szCs w:val="20"/>
        </w:rPr>
        <w:t>commented that</w:t>
      </w:r>
      <w:r>
        <w:rPr>
          <w:szCs w:val="20"/>
        </w:rPr>
        <w:t xml:space="preserve"> a cause of frustration</w:t>
      </w:r>
      <w:r w:rsidR="00BF06D4">
        <w:rPr>
          <w:szCs w:val="20"/>
        </w:rPr>
        <w:t xml:space="preserve"> for general practices was that </w:t>
      </w:r>
      <w:r w:rsidR="00E801B4" w:rsidRPr="00E801B4">
        <w:rPr>
          <w:szCs w:val="20"/>
        </w:rPr>
        <w:t xml:space="preserve">although paid on a per-session basis, and follow-up sessions were only scheduled where they </w:t>
      </w:r>
      <w:r w:rsidR="00E801B4" w:rsidRPr="00DF71F4">
        <w:rPr>
          <w:szCs w:val="20"/>
        </w:rPr>
        <w:t xml:space="preserve">deemed to be of benefit to the patient, </w:t>
      </w:r>
      <w:r w:rsidR="00754D5C" w:rsidRPr="00DF71F4">
        <w:rPr>
          <w:szCs w:val="20"/>
        </w:rPr>
        <w:t xml:space="preserve">GPs </w:t>
      </w:r>
      <w:r w:rsidR="00E801B4" w:rsidRPr="00DF71F4">
        <w:rPr>
          <w:szCs w:val="20"/>
        </w:rPr>
        <w:t xml:space="preserve">perceived that the overall amount for </w:t>
      </w:r>
      <w:r w:rsidR="00364975">
        <w:rPr>
          <w:szCs w:val="20"/>
        </w:rPr>
        <w:t>four sessions</w:t>
      </w:r>
      <w:r w:rsidR="00E801B4" w:rsidRPr="00DF71F4">
        <w:rPr>
          <w:szCs w:val="20"/>
        </w:rPr>
        <w:t xml:space="preserve"> was almost as high as the bundled payment for practices but involved much less work.</w:t>
      </w:r>
      <w:r w:rsidR="00DF71F4">
        <w:rPr>
          <w:szCs w:val="20"/>
        </w:rPr>
        <w:t xml:space="preserve"> </w:t>
      </w:r>
      <w:r w:rsidR="00D87D8D">
        <w:rPr>
          <w:szCs w:val="20"/>
        </w:rPr>
        <w:t xml:space="preserve">They felt that </w:t>
      </w:r>
      <w:r w:rsidR="00754D5C">
        <w:rPr>
          <w:szCs w:val="20"/>
        </w:rPr>
        <w:t xml:space="preserve">these issues </w:t>
      </w:r>
      <w:r w:rsidR="00D87D8D">
        <w:rPr>
          <w:szCs w:val="20"/>
        </w:rPr>
        <w:t>may have contributed to a lack of practice engagement with the trial</w:t>
      </w:r>
      <w:r w:rsidR="00D87D8D" w:rsidRPr="00F71DF5">
        <w:rPr>
          <w:szCs w:val="20"/>
        </w:rPr>
        <w:t>:</w:t>
      </w:r>
    </w:p>
    <w:p w14:paraId="11C5B2E8" w14:textId="77777777" w:rsidR="005C2AAF" w:rsidRDefault="005C2AAF" w:rsidP="005C2AAF">
      <w:pPr>
        <w:ind w:left="567" w:right="521"/>
        <w:rPr>
          <w:szCs w:val="20"/>
        </w:rPr>
      </w:pPr>
      <w:r w:rsidRPr="00F71DF5">
        <w:rPr>
          <w:i/>
          <w:iCs/>
          <w:szCs w:val="20"/>
        </w:rPr>
        <w:t>“… from a GP’s perspective … he was a little bit peeved at the fact that his perception of the amount of work that the doctors needed to do to do a referral to a pharmacist for a patient to join the Health Care Homes Program. The remuneration they got was miniscule compared with the potential that the pharmacy could earn if they delivered this right through the whole program. That’s just a comment.”</w:t>
      </w:r>
      <w:r w:rsidRPr="00F71DF5">
        <w:rPr>
          <w:szCs w:val="20"/>
        </w:rPr>
        <w:t xml:space="preserve"> [CP, Pharmacy 1</w:t>
      </w:r>
      <w:r>
        <w:rPr>
          <w:szCs w:val="20"/>
        </w:rPr>
        <w:t>, R4</w:t>
      </w:r>
      <w:r w:rsidRPr="00F71DF5">
        <w:rPr>
          <w:szCs w:val="20"/>
        </w:rPr>
        <w:t>]</w:t>
      </w:r>
    </w:p>
    <w:p w14:paraId="686D2294" w14:textId="77777777" w:rsidR="005C2AAF" w:rsidRDefault="005C2AAF" w:rsidP="005C2AAF">
      <w:pPr>
        <w:ind w:left="567" w:right="521"/>
        <w:rPr>
          <w:szCs w:val="20"/>
        </w:rPr>
      </w:pPr>
      <w:r w:rsidRPr="005D0A2C">
        <w:rPr>
          <w:i/>
          <w:iCs/>
          <w:szCs w:val="20"/>
        </w:rPr>
        <w:t>“…GPs were jumping up and down when they saw how much a pharmacist was getting, over the two years, as opposed to the year. There was a lot of confusion around payment to pharmacies, especially from a general practice point of view. What are they giving and they’re getting paid more.”</w:t>
      </w:r>
      <w:r>
        <w:rPr>
          <w:szCs w:val="20"/>
        </w:rPr>
        <w:t xml:space="preserve"> [PHN 2, Interview, R5]</w:t>
      </w:r>
    </w:p>
    <w:p w14:paraId="0E8BA545" w14:textId="5F30A4C3" w:rsidR="005C2AAF" w:rsidRDefault="005C2AAF" w:rsidP="00A4226D">
      <w:pPr>
        <w:ind w:left="567" w:right="521"/>
        <w:rPr>
          <w:szCs w:val="20"/>
        </w:rPr>
      </w:pPr>
      <w:r w:rsidRPr="00276651">
        <w:rPr>
          <w:i/>
          <w:iCs/>
          <w:szCs w:val="20"/>
        </w:rPr>
        <w:t xml:space="preserve">“The issue though, and we heard quite loudly from the GP sector, was the funding, the funding models. They are not too happy about the fact the pharmacists were getting the same if not more funding than they were to do </w:t>
      </w:r>
      <w:r w:rsidR="003B5814">
        <w:rPr>
          <w:i/>
          <w:iCs/>
          <w:szCs w:val="20"/>
        </w:rPr>
        <w:t>medications</w:t>
      </w:r>
      <w:r w:rsidRPr="00276651">
        <w:rPr>
          <w:i/>
          <w:iCs/>
          <w:szCs w:val="20"/>
        </w:rPr>
        <w:t xml:space="preserve"> review or something like that. That was a big barrier to Health Care Homes general practices and engaging with the community pharmacy and engaging with that trial.”</w:t>
      </w:r>
      <w:r>
        <w:rPr>
          <w:szCs w:val="20"/>
        </w:rPr>
        <w:t xml:space="preserve"> [PHN 8, Interview, R5]</w:t>
      </w:r>
    </w:p>
    <w:p w14:paraId="59E2DFFB" w14:textId="79BFBB9B" w:rsidR="00F60FE3" w:rsidRDefault="00BC4AC6" w:rsidP="00BC4AC6">
      <w:pPr>
        <w:ind w:right="521"/>
        <w:rPr>
          <w:rFonts w:cs="Arial"/>
          <w:szCs w:val="20"/>
          <w:lang w:val="en-GB"/>
        </w:rPr>
      </w:pPr>
      <w:r w:rsidRPr="00BC4AC6">
        <w:rPr>
          <w:rFonts w:cs="Arial"/>
          <w:szCs w:val="20"/>
          <w:lang w:val="en-GB"/>
        </w:rPr>
        <w:t>In a written submission for the evaluation, the Guild commented</w:t>
      </w:r>
      <w:r w:rsidR="00ED13EF">
        <w:rPr>
          <w:rFonts w:cs="Arial"/>
          <w:szCs w:val="20"/>
          <w:lang w:val="en-GB"/>
        </w:rPr>
        <w:t xml:space="preserve"> that some of practices’ </w:t>
      </w:r>
      <w:r w:rsidR="00ED13EF" w:rsidRPr="00ED13EF">
        <w:rPr>
          <w:rFonts w:cs="Arial"/>
          <w:szCs w:val="20"/>
          <w:lang w:val="en-GB"/>
        </w:rPr>
        <w:t xml:space="preserve">hesitancy </w:t>
      </w:r>
      <w:r w:rsidR="00ED13EF">
        <w:rPr>
          <w:rFonts w:cs="Arial"/>
          <w:szCs w:val="20"/>
          <w:lang w:val="en-GB"/>
        </w:rPr>
        <w:t xml:space="preserve">to refer patients may have been </w:t>
      </w:r>
      <w:r w:rsidR="00ED13EF" w:rsidRPr="00ED13EF">
        <w:rPr>
          <w:rFonts w:cs="Arial"/>
          <w:szCs w:val="20"/>
          <w:lang w:val="en-GB"/>
        </w:rPr>
        <w:t xml:space="preserve">due to </w:t>
      </w:r>
      <w:r w:rsidR="00ED13EF">
        <w:rPr>
          <w:rFonts w:cs="Arial"/>
          <w:szCs w:val="20"/>
          <w:lang w:val="en-GB"/>
        </w:rPr>
        <w:t>the</w:t>
      </w:r>
      <w:r w:rsidR="00ED13EF" w:rsidRPr="00ED13EF">
        <w:rPr>
          <w:rFonts w:cs="Arial"/>
          <w:szCs w:val="20"/>
          <w:lang w:val="en-GB"/>
        </w:rPr>
        <w:t xml:space="preserve"> lack of understanding </w:t>
      </w:r>
      <w:r w:rsidR="00292706">
        <w:rPr>
          <w:rFonts w:cs="Arial"/>
          <w:szCs w:val="20"/>
          <w:lang w:val="en-GB"/>
        </w:rPr>
        <w:t>of the community pharmacy trial, particularly understanding the difference between</w:t>
      </w:r>
      <w:r w:rsidR="001E03CF">
        <w:rPr>
          <w:rFonts w:cs="Arial"/>
          <w:szCs w:val="20"/>
          <w:lang w:val="en-GB"/>
        </w:rPr>
        <w:t xml:space="preserve"> the trial services and Home Medicines Reviews</w:t>
      </w:r>
      <w:r w:rsidR="00DE2855">
        <w:rPr>
          <w:rFonts w:cs="Arial"/>
          <w:szCs w:val="20"/>
          <w:lang w:val="en-GB"/>
        </w:rPr>
        <w:t xml:space="preserve">, which </w:t>
      </w:r>
      <w:r w:rsidR="001E03CF">
        <w:rPr>
          <w:rFonts w:cs="Arial"/>
          <w:szCs w:val="20"/>
          <w:lang w:val="en-GB"/>
        </w:rPr>
        <w:t xml:space="preserve">practices </w:t>
      </w:r>
      <w:r w:rsidR="00DE2855">
        <w:rPr>
          <w:rFonts w:cs="Arial"/>
          <w:szCs w:val="20"/>
          <w:lang w:val="en-GB"/>
        </w:rPr>
        <w:t>regularly refer patients</w:t>
      </w:r>
      <w:r w:rsidR="000A4F5E">
        <w:rPr>
          <w:rFonts w:cs="Arial"/>
          <w:szCs w:val="20"/>
          <w:lang w:val="en-GB"/>
        </w:rPr>
        <w:t xml:space="preserve"> </w:t>
      </w:r>
      <w:r w:rsidR="002A1640">
        <w:rPr>
          <w:rFonts w:cs="Arial"/>
          <w:szCs w:val="20"/>
          <w:lang w:val="en-GB"/>
        </w:rPr>
        <w:t>to receive</w:t>
      </w:r>
      <w:r w:rsidR="000A4F5E">
        <w:rPr>
          <w:rFonts w:cs="Arial"/>
          <w:szCs w:val="20"/>
          <w:lang w:val="en-GB"/>
        </w:rPr>
        <w:t>.</w:t>
      </w:r>
      <w:r w:rsidR="00D34777">
        <w:rPr>
          <w:rFonts w:cs="Arial"/>
          <w:szCs w:val="20"/>
          <w:lang w:val="en-GB"/>
        </w:rPr>
        <w:t xml:space="preserve"> To overcome this</w:t>
      </w:r>
      <w:r w:rsidR="002A1640">
        <w:rPr>
          <w:rFonts w:cs="Arial"/>
          <w:szCs w:val="20"/>
          <w:lang w:val="en-GB"/>
        </w:rPr>
        <w:t>, the Guild prepared a document for PHNs explaining the differences</w:t>
      </w:r>
      <w:r w:rsidR="008B1937">
        <w:rPr>
          <w:rFonts w:cs="Arial"/>
          <w:szCs w:val="20"/>
          <w:lang w:val="en-GB"/>
        </w:rPr>
        <w:t xml:space="preserve"> (also comparing the </w:t>
      </w:r>
      <w:proofErr w:type="spellStart"/>
      <w:r w:rsidR="008B1937">
        <w:rPr>
          <w:rFonts w:cs="Arial"/>
          <w:szCs w:val="20"/>
          <w:lang w:val="en-GB"/>
        </w:rPr>
        <w:t>MedsCheck</w:t>
      </w:r>
      <w:proofErr w:type="spellEnd"/>
      <w:r w:rsidR="008B1937">
        <w:rPr>
          <w:rFonts w:cs="Arial"/>
          <w:szCs w:val="20"/>
          <w:lang w:val="en-GB"/>
        </w:rPr>
        <w:t xml:space="preserve"> service with the other two)</w:t>
      </w:r>
      <w:r w:rsidR="00050521">
        <w:rPr>
          <w:rFonts w:cs="Arial"/>
          <w:szCs w:val="20"/>
          <w:lang w:val="en-GB"/>
        </w:rPr>
        <w:t>.</w:t>
      </w:r>
      <w:r w:rsidR="002A1640" w:rsidRPr="00912DC4">
        <w:rPr>
          <w:rStyle w:val="FootnoteReference"/>
          <w:rFonts w:cs="Arial"/>
          <w:color w:val="408BCA"/>
          <w:szCs w:val="20"/>
          <w:lang w:val="en-GB"/>
        </w:rPr>
        <w:footnoteReference w:id="109"/>
      </w:r>
      <w:r w:rsidR="00050521">
        <w:rPr>
          <w:rFonts w:cs="Arial"/>
          <w:szCs w:val="20"/>
          <w:lang w:val="en-GB"/>
        </w:rPr>
        <w:t xml:space="preserve"> </w:t>
      </w:r>
      <w:r w:rsidR="00F60FE3">
        <w:rPr>
          <w:rFonts w:cs="Arial"/>
          <w:szCs w:val="20"/>
          <w:lang w:val="en-GB"/>
        </w:rPr>
        <w:t xml:space="preserve">The Guild observed that </w:t>
      </w:r>
      <w:r w:rsidR="00307016">
        <w:rPr>
          <w:rFonts w:cs="Arial"/>
          <w:szCs w:val="20"/>
          <w:lang w:val="en-GB"/>
        </w:rPr>
        <w:t xml:space="preserve">in PHNs </w:t>
      </w:r>
      <w:r w:rsidR="00F60FE3">
        <w:rPr>
          <w:rFonts w:cs="Arial"/>
          <w:szCs w:val="20"/>
          <w:lang w:val="en-GB"/>
        </w:rPr>
        <w:t xml:space="preserve">where it had a relationship </w:t>
      </w:r>
      <w:r w:rsidR="00307016">
        <w:rPr>
          <w:rFonts w:cs="Arial"/>
          <w:szCs w:val="20"/>
          <w:lang w:val="en-GB"/>
        </w:rPr>
        <w:t>with PHN practice facilitators</w:t>
      </w:r>
      <w:r w:rsidR="00FC3584">
        <w:rPr>
          <w:rFonts w:cs="Arial"/>
          <w:szCs w:val="20"/>
          <w:lang w:val="en-GB"/>
        </w:rPr>
        <w:t>,</w:t>
      </w:r>
      <w:r w:rsidR="00F60FE3">
        <w:rPr>
          <w:rFonts w:cs="Arial"/>
          <w:szCs w:val="20"/>
          <w:lang w:val="en-GB"/>
        </w:rPr>
        <w:t xml:space="preserve"> </w:t>
      </w:r>
      <w:r w:rsidR="00FC3584">
        <w:rPr>
          <w:rFonts w:cs="Arial"/>
          <w:szCs w:val="20"/>
          <w:lang w:val="en-GB"/>
        </w:rPr>
        <w:t>referrals were higher, presumably because the facilitators could explain</w:t>
      </w:r>
      <w:r w:rsidR="00FE2DC7">
        <w:rPr>
          <w:rFonts w:cs="Arial"/>
          <w:szCs w:val="20"/>
          <w:lang w:val="en-GB"/>
        </w:rPr>
        <w:t xml:space="preserve"> to their practices</w:t>
      </w:r>
      <w:r w:rsidR="00FC3584">
        <w:rPr>
          <w:rFonts w:cs="Arial"/>
          <w:szCs w:val="20"/>
          <w:lang w:val="en-GB"/>
        </w:rPr>
        <w:t xml:space="preserve"> the differences and benefits of the community pharmacy trial compared with other </w:t>
      </w:r>
      <w:r w:rsidR="00FE2DC7">
        <w:rPr>
          <w:rFonts w:cs="Arial"/>
          <w:szCs w:val="20"/>
          <w:lang w:val="en-GB"/>
        </w:rPr>
        <w:t>programs/services.</w:t>
      </w:r>
    </w:p>
    <w:p w14:paraId="5423A280" w14:textId="3877B704" w:rsidR="00BC4AC6" w:rsidRPr="00BC4AC6" w:rsidRDefault="00050521" w:rsidP="00BC4AC6">
      <w:pPr>
        <w:ind w:right="521"/>
        <w:rPr>
          <w:rFonts w:cs="Arial"/>
          <w:szCs w:val="20"/>
          <w:lang w:val="en-GB"/>
        </w:rPr>
      </w:pPr>
      <w:r>
        <w:rPr>
          <w:rFonts w:cs="Arial"/>
          <w:szCs w:val="20"/>
          <w:lang w:val="en-GB"/>
        </w:rPr>
        <w:t xml:space="preserve">The other </w:t>
      </w:r>
      <w:r w:rsidR="00D71AF7">
        <w:rPr>
          <w:rFonts w:cs="Arial"/>
          <w:szCs w:val="20"/>
          <w:lang w:val="en-GB"/>
        </w:rPr>
        <w:t xml:space="preserve">issue that the Guild raised </w:t>
      </w:r>
      <w:r w:rsidR="00FE2DC7">
        <w:rPr>
          <w:rFonts w:cs="Arial"/>
          <w:szCs w:val="20"/>
          <w:lang w:val="en-GB"/>
        </w:rPr>
        <w:t xml:space="preserve">influencing referrals </w:t>
      </w:r>
      <w:r w:rsidR="00EE58B3">
        <w:rPr>
          <w:rFonts w:cs="Arial"/>
          <w:szCs w:val="20"/>
          <w:lang w:val="en-GB"/>
        </w:rPr>
        <w:t xml:space="preserve">was that </w:t>
      </w:r>
      <w:r w:rsidR="00C85273">
        <w:rPr>
          <w:rFonts w:cs="Arial"/>
          <w:szCs w:val="20"/>
          <w:lang w:val="en-GB"/>
        </w:rPr>
        <w:t>referral for a Home Medicines Review comes with a financial incentive for practices, whereas referral to community pharmacy</w:t>
      </w:r>
      <w:r w:rsidR="00EE58B3">
        <w:rPr>
          <w:rFonts w:cs="Arial"/>
          <w:szCs w:val="20"/>
          <w:lang w:val="en-GB"/>
        </w:rPr>
        <w:t xml:space="preserve"> as part of HCH</w:t>
      </w:r>
      <w:r w:rsidR="00C85273">
        <w:rPr>
          <w:rFonts w:cs="Arial"/>
          <w:szCs w:val="20"/>
          <w:lang w:val="en-GB"/>
        </w:rPr>
        <w:t xml:space="preserve"> </w:t>
      </w:r>
      <w:r w:rsidR="00F60FE3">
        <w:rPr>
          <w:rFonts w:cs="Arial"/>
          <w:szCs w:val="20"/>
          <w:lang w:val="en-GB"/>
        </w:rPr>
        <w:t>did not.</w:t>
      </w:r>
    </w:p>
    <w:p w14:paraId="03EC47F0" w14:textId="77777777" w:rsidR="00EC3CF4" w:rsidRDefault="00EC3CF4">
      <w:pPr>
        <w:spacing w:after="160" w:line="259" w:lineRule="auto"/>
        <w:rPr>
          <w:szCs w:val="20"/>
        </w:rPr>
      </w:pPr>
      <w:r>
        <w:rPr>
          <w:szCs w:val="20"/>
        </w:rPr>
        <w:br w:type="page"/>
      </w:r>
    </w:p>
    <w:p w14:paraId="24354D0F" w14:textId="3D1EA8C6" w:rsidR="00D452B9" w:rsidRDefault="00D452B9" w:rsidP="00D452B9">
      <w:pPr>
        <w:widowControl w:val="0"/>
        <w:tabs>
          <w:tab w:val="left" w:pos="1134"/>
        </w:tabs>
        <w:rPr>
          <w:szCs w:val="20"/>
        </w:rPr>
      </w:pPr>
      <w:r>
        <w:rPr>
          <w:szCs w:val="20"/>
        </w:rPr>
        <w:lastRenderedPageBreak/>
        <w:t>In the final staff survey for the evaluation, GPs were asked a</w:t>
      </w:r>
      <w:r w:rsidRPr="0060720A">
        <w:rPr>
          <w:szCs w:val="20"/>
        </w:rPr>
        <w:t xml:space="preserve">pproximately how many </w:t>
      </w:r>
      <w:r>
        <w:rPr>
          <w:szCs w:val="20"/>
        </w:rPr>
        <w:t xml:space="preserve">of the </w:t>
      </w:r>
      <w:r w:rsidRPr="0060720A">
        <w:rPr>
          <w:szCs w:val="20"/>
        </w:rPr>
        <w:t xml:space="preserve">HCH patients that </w:t>
      </w:r>
      <w:r>
        <w:rPr>
          <w:szCs w:val="20"/>
        </w:rPr>
        <w:t xml:space="preserve">they were </w:t>
      </w:r>
      <w:r w:rsidRPr="0060720A">
        <w:rPr>
          <w:szCs w:val="20"/>
        </w:rPr>
        <w:t>responsible for</w:t>
      </w:r>
      <w:r>
        <w:rPr>
          <w:szCs w:val="20"/>
        </w:rPr>
        <w:t xml:space="preserve"> in the practice they had </w:t>
      </w:r>
      <w:r w:rsidRPr="0060720A">
        <w:rPr>
          <w:szCs w:val="20"/>
        </w:rPr>
        <w:t>referred to a community pharmacist as part of the HCH trial</w:t>
      </w:r>
      <w:r>
        <w:rPr>
          <w:szCs w:val="20"/>
        </w:rPr>
        <w:t xml:space="preserve">. </w:t>
      </w:r>
      <w:r w:rsidRPr="0092110B">
        <w:rPr>
          <w:rFonts w:eastAsiaTheme="minorEastAsia"/>
          <w:noProof/>
          <w:color w:val="1D2455"/>
          <w:szCs w:val="20"/>
          <w:lang w:eastAsia="en-AU"/>
        </w:rPr>
        <w:fldChar w:fldCharType="begin"/>
      </w:r>
      <w:r w:rsidRPr="0092110B">
        <w:rPr>
          <w:rFonts w:eastAsiaTheme="minorEastAsia"/>
          <w:noProof/>
          <w:color w:val="1D2455"/>
          <w:szCs w:val="20"/>
          <w:lang w:eastAsia="en-AU"/>
        </w:rPr>
        <w:instrText xml:space="preserve"> REF _Ref98757952 \h </w:instrText>
      </w:r>
      <w:r>
        <w:rPr>
          <w:rFonts w:eastAsiaTheme="minorEastAsia"/>
          <w:noProof/>
          <w:color w:val="1D2455"/>
          <w:szCs w:val="20"/>
          <w:lang w:eastAsia="en-AU"/>
        </w:rPr>
        <w:instrText xml:space="preserve"> \* MERGEFORMAT </w:instrText>
      </w:r>
      <w:r w:rsidRPr="0092110B">
        <w:rPr>
          <w:rFonts w:eastAsiaTheme="minorEastAsia"/>
          <w:noProof/>
          <w:color w:val="1D2455"/>
          <w:szCs w:val="20"/>
          <w:lang w:eastAsia="en-AU"/>
        </w:rPr>
      </w:r>
      <w:r w:rsidRPr="0092110B">
        <w:rPr>
          <w:rFonts w:eastAsiaTheme="minorEastAsia"/>
          <w:noProof/>
          <w:color w:val="1D2455"/>
          <w:szCs w:val="20"/>
          <w:lang w:eastAsia="en-AU"/>
        </w:rPr>
        <w:fldChar w:fldCharType="separate"/>
      </w:r>
      <w:r w:rsidR="003C4BC2" w:rsidRPr="003C4BC2">
        <w:rPr>
          <w:rFonts w:eastAsiaTheme="minorEastAsia"/>
          <w:noProof/>
          <w:color w:val="1D2455"/>
          <w:szCs w:val="20"/>
          <w:lang w:eastAsia="en-AU"/>
        </w:rPr>
        <w:t>Table 75</w:t>
      </w:r>
      <w:r w:rsidRPr="0092110B">
        <w:rPr>
          <w:rFonts w:eastAsiaTheme="minorEastAsia"/>
          <w:noProof/>
          <w:color w:val="1D2455"/>
          <w:szCs w:val="20"/>
          <w:lang w:eastAsia="en-AU"/>
        </w:rPr>
        <w:fldChar w:fldCharType="end"/>
      </w:r>
      <w:r>
        <w:rPr>
          <w:szCs w:val="20"/>
        </w:rPr>
        <w:t xml:space="preserve"> shows this. Almost one</w:t>
      </w:r>
      <w:r w:rsidR="00D63CA9">
        <w:rPr>
          <w:szCs w:val="20"/>
        </w:rPr>
        <w:t xml:space="preserve"> </w:t>
      </w:r>
      <w:r>
        <w:rPr>
          <w:szCs w:val="20"/>
        </w:rPr>
        <w:t>third who answered the question referred no or very few (less than 20% of their patients).</w:t>
      </w:r>
    </w:p>
    <w:p w14:paraId="2BD9F944" w14:textId="676349C7" w:rsidR="00D452B9" w:rsidRPr="00360C6F" w:rsidRDefault="00D452B9" w:rsidP="00D452B9">
      <w:pPr>
        <w:pStyle w:val="TableorFigurecaptionHPA"/>
      </w:pPr>
      <w:bookmarkStart w:id="492" w:name="_Ref98757952"/>
      <w:r w:rsidRPr="00360C6F">
        <w:t xml:space="preserve">Table </w:t>
      </w:r>
      <w:r w:rsidRPr="00360C6F">
        <w:fldChar w:fldCharType="begin"/>
      </w:r>
      <w:r w:rsidRPr="00360C6F">
        <w:instrText>SEQ Table \* ARABIC</w:instrText>
      </w:r>
      <w:r w:rsidRPr="00360C6F">
        <w:fldChar w:fldCharType="separate"/>
      </w:r>
      <w:r w:rsidR="003C4BC2">
        <w:rPr>
          <w:noProof/>
        </w:rPr>
        <w:t>75</w:t>
      </w:r>
      <w:r w:rsidRPr="00360C6F">
        <w:fldChar w:fldCharType="end"/>
      </w:r>
      <w:bookmarkEnd w:id="492"/>
      <w:r>
        <w:t xml:space="preserve">: </w:t>
      </w:r>
      <w:r w:rsidRPr="00360C6F">
        <w:t>HCH patients referred to a community pharmacist as part of the HCH trial</w:t>
      </w:r>
    </w:p>
    <w:tbl>
      <w:tblPr>
        <w:tblW w:w="5478"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4335"/>
        <w:gridCol w:w="1143"/>
      </w:tblGrid>
      <w:tr w:rsidR="00D452B9" w:rsidRPr="001C3504" w14:paraId="4D26C352" w14:textId="77777777" w:rsidTr="004363CE">
        <w:trPr>
          <w:cantSplit/>
          <w:tblHeader/>
          <w:jc w:val="center"/>
        </w:trPr>
        <w:tc>
          <w:tcPr>
            <w:tcW w:w="4335" w:type="dxa"/>
            <w:shd w:val="clear" w:color="auto" w:fill="408BCA"/>
            <w:tcMar>
              <w:top w:w="0" w:type="dxa"/>
              <w:left w:w="0" w:type="dxa"/>
              <w:bottom w:w="0" w:type="dxa"/>
              <w:right w:w="0" w:type="dxa"/>
            </w:tcMar>
            <w:vAlign w:val="center"/>
          </w:tcPr>
          <w:p w14:paraId="643C5DBF" w14:textId="77777777" w:rsidR="00D452B9" w:rsidRPr="001C3504" w:rsidRDefault="00D452B9" w:rsidP="004363CE">
            <w:pPr>
              <w:spacing w:before="20" w:after="20"/>
              <w:ind w:left="100" w:right="100"/>
              <w:jc w:val="center"/>
              <w:rPr>
                <w:sz w:val="18"/>
                <w:szCs w:val="18"/>
              </w:rPr>
            </w:pPr>
            <w:r w:rsidRPr="001C3504">
              <w:rPr>
                <w:rFonts w:eastAsia="Century Gothic" w:cs="Century Gothic"/>
                <w:b/>
                <w:color w:val="FFFFFF"/>
                <w:sz w:val="18"/>
                <w:szCs w:val="18"/>
              </w:rPr>
              <w:t>Response</w:t>
            </w:r>
          </w:p>
        </w:tc>
        <w:tc>
          <w:tcPr>
            <w:tcW w:w="1143" w:type="dxa"/>
            <w:shd w:val="clear" w:color="auto" w:fill="408BCA"/>
            <w:tcMar>
              <w:top w:w="0" w:type="dxa"/>
              <w:left w:w="0" w:type="dxa"/>
              <w:bottom w:w="0" w:type="dxa"/>
              <w:right w:w="0" w:type="dxa"/>
            </w:tcMar>
            <w:vAlign w:val="center"/>
          </w:tcPr>
          <w:p w14:paraId="7AE5637E" w14:textId="77777777" w:rsidR="00D452B9" w:rsidRPr="001C3504" w:rsidRDefault="00D452B9" w:rsidP="004363CE">
            <w:pPr>
              <w:spacing w:before="20" w:after="20"/>
              <w:ind w:left="100" w:right="100"/>
              <w:jc w:val="center"/>
              <w:rPr>
                <w:sz w:val="18"/>
                <w:szCs w:val="18"/>
              </w:rPr>
            </w:pPr>
            <w:r w:rsidRPr="001C3504">
              <w:rPr>
                <w:rFonts w:eastAsia="Century Gothic" w:cs="Century Gothic"/>
                <w:b/>
                <w:color w:val="FFFFFF"/>
                <w:sz w:val="18"/>
                <w:szCs w:val="18"/>
              </w:rPr>
              <w:t>n (%)</w:t>
            </w:r>
          </w:p>
        </w:tc>
      </w:tr>
      <w:tr w:rsidR="00D452B9" w:rsidRPr="001C3504" w14:paraId="62E711AA" w14:textId="77777777" w:rsidTr="004363CE">
        <w:trPr>
          <w:cantSplit/>
          <w:jc w:val="center"/>
        </w:trPr>
        <w:tc>
          <w:tcPr>
            <w:tcW w:w="4335" w:type="dxa"/>
            <w:shd w:val="clear" w:color="auto" w:fill="FFFFFF"/>
            <w:tcMar>
              <w:top w:w="0" w:type="dxa"/>
              <w:left w:w="0" w:type="dxa"/>
              <w:bottom w:w="0" w:type="dxa"/>
              <w:right w:w="0" w:type="dxa"/>
            </w:tcMar>
            <w:vAlign w:val="center"/>
          </w:tcPr>
          <w:p w14:paraId="63200604" w14:textId="77777777" w:rsidR="00D452B9" w:rsidRPr="001C3504" w:rsidRDefault="00D452B9" w:rsidP="004363CE">
            <w:pPr>
              <w:spacing w:before="20" w:after="20"/>
              <w:ind w:left="100" w:right="100"/>
              <w:rPr>
                <w:sz w:val="18"/>
                <w:szCs w:val="18"/>
              </w:rPr>
            </w:pPr>
            <w:r w:rsidRPr="00E529E7">
              <w:rPr>
                <w:rFonts w:eastAsia="Century Gothic" w:cs="Century Gothic"/>
                <w:color w:val="000000"/>
                <w:sz w:val="18"/>
                <w:szCs w:val="18"/>
              </w:rPr>
              <w:t>All/majority of HCH patients (80–100%)</w:t>
            </w:r>
          </w:p>
        </w:tc>
        <w:tc>
          <w:tcPr>
            <w:tcW w:w="1143" w:type="dxa"/>
            <w:shd w:val="clear" w:color="auto" w:fill="FFFFFF"/>
            <w:tcMar>
              <w:top w:w="0" w:type="dxa"/>
              <w:left w:w="0" w:type="dxa"/>
              <w:bottom w:w="0" w:type="dxa"/>
              <w:right w:w="0" w:type="dxa"/>
            </w:tcMar>
            <w:vAlign w:val="center"/>
          </w:tcPr>
          <w:p w14:paraId="5E93B080" w14:textId="77777777" w:rsidR="00D452B9" w:rsidRPr="001C3504" w:rsidRDefault="00D452B9" w:rsidP="004363CE">
            <w:pPr>
              <w:spacing w:before="20" w:after="20"/>
              <w:ind w:left="100" w:right="100"/>
              <w:jc w:val="right"/>
              <w:rPr>
                <w:sz w:val="18"/>
                <w:szCs w:val="18"/>
              </w:rPr>
            </w:pPr>
            <w:r w:rsidRPr="007E0225">
              <w:rPr>
                <w:rFonts w:eastAsia="Century Gothic" w:cs="Century Gothic"/>
                <w:color w:val="000000"/>
                <w:sz w:val="18"/>
                <w:szCs w:val="18"/>
              </w:rPr>
              <w:t>6 (17%)</w:t>
            </w:r>
          </w:p>
        </w:tc>
      </w:tr>
      <w:tr w:rsidR="00D452B9" w:rsidRPr="001C3504" w14:paraId="552AF1D5" w14:textId="77777777" w:rsidTr="004363CE">
        <w:trPr>
          <w:cantSplit/>
          <w:jc w:val="center"/>
        </w:trPr>
        <w:tc>
          <w:tcPr>
            <w:tcW w:w="4335" w:type="dxa"/>
            <w:shd w:val="clear" w:color="auto" w:fill="FFFFFF"/>
            <w:tcMar>
              <w:top w:w="0" w:type="dxa"/>
              <w:left w:w="0" w:type="dxa"/>
              <w:bottom w:w="0" w:type="dxa"/>
              <w:right w:w="0" w:type="dxa"/>
            </w:tcMar>
            <w:vAlign w:val="center"/>
          </w:tcPr>
          <w:p w14:paraId="559D8790" w14:textId="77777777" w:rsidR="00D452B9" w:rsidRPr="001C3504" w:rsidRDefault="00D452B9" w:rsidP="004363CE">
            <w:pPr>
              <w:spacing w:before="20" w:after="20"/>
              <w:ind w:left="100" w:right="100"/>
              <w:rPr>
                <w:sz w:val="18"/>
                <w:szCs w:val="18"/>
              </w:rPr>
            </w:pPr>
            <w:r w:rsidRPr="002D369D">
              <w:rPr>
                <w:sz w:val="18"/>
                <w:szCs w:val="18"/>
              </w:rPr>
              <w:t>Most HCH patients (50–79%)</w:t>
            </w:r>
          </w:p>
        </w:tc>
        <w:tc>
          <w:tcPr>
            <w:tcW w:w="1143" w:type="dxa"/>
            <w:shd w:val="clear" w:color="auto" w:fill="FFFFFF"/>
            <w:tcMar>
              <w:top w:w="0" w:type="dxa"/>
              <w:left w:w="0" w:type="dxa"/>
              <w:bottom w:w="0" w:type="dxa"/>
              <w:right w:w="0" w:type="dxa"/>
            </w:tcMar>
            <w:vAlign w:val="center"/>
          </w:tcPr>
          <w:p w14:paraId="1766933B" w14:textId="77777777" w:rsidR="00D452B9" w:rsidRPr="001C3504" w:rsidRDefault="00D452B9" w:rsidP="004363CE">
            <w:pPr>
              <w:spacing w:before="20" w:after="20"/>
              <w:ind w:left="100" w:right="100"/>
              <w:jc w:val="right"/>
              <w:rPr>
                <w:sz w:val="18"/>
                <w:szCs w:val="18"/>
              </w:rPr>
            </w:pPr>
            <w:r w:rsidRPr="0097388B">
              <w:rPr>
                <w:sz w:val="18"/>
                <w:szCs w:val="18"/>
              </w:rPr>
              <w:t>4 (11%)</w:t>
            </w:r>
          </w:p>
        </w:tc>
      </w:tr>
      <w:tr w:rsidR="00D452B9" w:rsidRPr="001C3504" w14:paraId="58C0ACF2" w14:textId="77777777" w:rsidTr="004363CE">
        <w:trPr>
          <w:cantSplit/>
          <w:jc w:val="center"/>
        </w:trPr>
        <w:tc>
          <w:tcPr>
            <w:tcW w:w="4335" w:type="dxa"/>
            <w:shd w:val="clear" w:color="auto" w:fill="FFFFFF"/>
            <w:tcMar>
              <w:top w:w="0" w:type="dxa"/>
              <w:left w:w="0" w:type="dxa"/>
              <w:bottom w:w="0" w:type="dxa"/>
              <w:right w:w="0" w:type="dxa"/>
            </w:tcMar>
            <w:vAlign w:val="center"/>
          </w:tcPr>
          <w:p w14:paraId="6B8C6972" w14:textId="77777777" w:rsidR="00D452B9" w:rsidRPr="001C3504" w:rsidRDefault="00D452B9" w:rsidP="004363CE">
            <w:pPr>
              <w:spacing w:before="20" w:after="20"/>
              <w:ind w:left="100" w:right="100"/>
              <w:rPr>
                <w:sz w:val="18"/>
                <w:szCs w:val="18"/>
              </w:rPr>
            </w:pPr>
            <w:r w:rsidRPr="002D369D">
              <w:rPr>
                <w:sz w:val="18"/>
                <w:szCs w:val="18"/>
              </w:rPr>
              <w:t>Some HCH patients (20–49%)</w:t>
            </w:r>
          </w:p>
        </w:tc>
        <w:tc>
          <w:tcPr>
            <w:tcW w:w="1143" w:type="dxa"/>
            <w:shd w:val="clear" w:color="auto" w:fill="FFFFFF"/>
            <w:tcMar>
              <w:top w:w="0" w:type="dxa"/>
              <w:left w:w="0" w:type="dxa"/>
              <w:bottom w:w="0" w:type="dxa"/>
              <w:right w:w="0" w:type="dxa"/>
            </w:tcMar>
            <w:vAlign w:val="center"/>
          </w:tcPr>
          <w:p w14:paraId="04B617EE" w14:textId="77777777" w:rsidR="00D452B9" w:rsidRPr="001C3504" w:rsidRDefault="00D452B9" w:rsidP="004363CE">
            <w:pPr>
              <w:spacing w:before="20" w:after="20"/>
              <w:ind w:left="100" w:right="100"/>
              <w:jc w:val="right"/>
              <w:rPr>
                <w:sz w:val="18"/>
                <w:szCs w:val="18"/>
              </w:rPr>
            </w:pPr>
            <w:r w:rsidRPr="0097388B">
              <w:rPr>
                <w:sz w:val="18"/>
                <w:szCs w:val="18"/>
              </w:rPr>
              <w:t>14 (39%)</w:t>
            </w:r>
          </w:p>
        </w:tc>
      </w:tr>
      <w:tr w:rsidR="00D452B9" w:rsidRPr="001C3504" w14:paraId="408A37EC" w14:textId="77777777" w:rsidTr="004363CE">
        <w:trPr>
          <w:cantSplit/>
          <w:jc w:val="center"/>
        </w:trPr>
        <w:tc>
          <w:tcPr>
            <w:tcW w:w="4335" w:type="dxa"/>
            <w:shd w:val="clear" w:color="auto" w:fill="FFFFFF"/>
            <w:tcMar>
              <w:top w:w="0" w:type="dxa"/>
              <w:left w:w="0" w:type="dxa"/>
              <w:bottom w:w="0" w:type="dxa"/>
              <w:right w:w="0" w:type="dxa"/>
            </w:tcMar>
            <w:vAlign w:val="center"/>
          </w:tcPr>
          <w:p w14:paraId="72B7B58C" w14:textId="77777777" w:rsidR="00D452B9" w:rsidRPr="001C3504" w:rsidRDefault="00D452B9" w:rsidP="004363CE">
            <w:pPr>
              <w:spacing w:before="20" w:after="20"/>
              <w:ind w:left="100" w:right="100"/>
              <w:rPr>
                <w:sz w:val="18"/>
                <w:szCs w:val="18"/>
              </w:rPr>
            </w:pPr>
            <w:r w:rsidRPr="002D369D">
              <w:rPr>
                <w:sz w:val="18"/>
                <w:szCs w:val="18"/>
              </w:rPr>
              <w:t>No/very few HCH patients (</w:t>
            </w:r>
            <w:r>
              <w:rPr>
                <w:sz w:val="18"/>
                <w:szCs w:val="18"/>
              </w:rPr>
              <w:t>l</w:t>
            </w:r>
            <w:r w:rsidRPr="002D369D">
              <w:rPr>
                <w:sz w:val="18"/>
                <w:szCs w:val="18"/>
              </w:rPr>
              <w:t>ess than 20%)</w:t>
            </w:r>
          </w:p>
        </w:tc>
        <w:tc>
          <w:tcPr>
            <w:tcW w:w="1143" w:type="dxa"/>
            <w:shd w:val="clear" w:color="auto" w:fill="FFFFFF"/>
            <w:tcMar>
              <w:top w:w="0" w:type="dxa"/>
              <w:left w:w="0" w:type="dxa"/>
              <w:bottom w:w="0" w:type="dxa"/>
              <w:right w:w="0" w:type="dxa"/>
            </w:tcMar>
            <w:vAlign w:val="center"/>
          </w:tcPr>
          <w:p w14:paraId="0CBCC2CF" w14:textId="77777777" w:rsidR="00D452B9" w:rsidRPr="001C3504" w:rsidRDefault="00D452B9" w:rsidP="004363CE">
            <w:pPr>
              <w:spacing w:before="20" w:after="20"/>
              <w:ind w:left="100" w:right="100"/>
              <w:jc w:val="right"/>
              <w:rPr>
                <w:sz w:val="18"/>
                <w:szCs w:val="18"/>
              </w:rPr>
            </w:pPr>
            <w:r w:rsidRPr="0097388B">
              <w:rPr>
                <w:sz w:val="18"/>
                <w:szCs w:val="18"/>
              </w:rPr>
              <w:t>12 (33%)</w:t>
            </w:r>
          </w:p>
        </w:tc>
      </w:tr>
      <w:tr w:rsidR="00D452B9" w:rsidRPr="001C3504" w14:paraId="57EC4F2C" w14:textId="77777777" w:rsidTr="004363CE">
        <w:trPr>
          <w:cantSplit/>
          <w:jc w:val="center"/>
        </w:trPr>
        <w:tc>
          <w:tcPr>
            <w:tcW w:w="4335" w:type="dxa"/>
            <w:shd w:val="clear" w:color="auto" w:fill="FFFFFF"/>
            <w:tcMar>
              <w:top w:w="0" w:type="dxa"/>
              <w:left w:w="0" w:type="dxa"/>
              <w:bottom w:w="0" w:type="dxa"/>
              <w:right w:w="0" w:type="dxa"/>
            </w:tcMar>
            <w:vAlign w:val="center"/>
          </w:tcPr>
          <w:p w14:paraId="11901F78" w14:textId="77777777" w:rsidR="00D452B9" w:rsidRPr="001C3504" w:rsidRDefault="00D452B9" w:rsidP="004363CE">
            <w:pPr>
              <w:spacing w:before="20" w:after="20"/>
              <w:ind w:left="100" w:right="100"/>
              <w:rPr>
                <w:sz w:val="18"/>
                <w:szCs w:val="18"/>
              </w:rPr>
            </w:pPr>
            <w:r w:rsidRPr="002D369D">
              <w:rPr>
                <w:sz w:val="18"/>
                <w:szCs w:val="18"/>
              </w:rPr>
              <w:t>Don't know/ no response</w:t>
            </w:r>
          </w:p>
        </w:tc>
        <w:tc>
          <w:tcPr>
            <w:tcW w:w="1143" w:type="dxa"/>
            <w:shd w:val="clear" w:color="auto" w:fill="FFFFFF"/>
            <w:tcMar>
              <w:top w:w="0" w:type="dxa"/>
              <w:left w:w="0" w:type="dxa"/>
              <w:bottom w:w="0" w:type="dxa"/>
              <w:right w:w="0" w:type="dxa"/>
            </w:tcMar>
            <w:vAlign w:val="center"/>
          </w:tcPr>
          <w:p w14:paraId="6114040D" w14:textId="77777777" w:rsidR="00D452B9" w:rsidRPr="001C3504" w:rsidRDefault="00D452B9" w:rsidP="004363CE">
            <w:pPr>
              <w:spacing w:before="20" w:after="20"/>
              <w:ind w:left="100" w:right="100"/>
              <w:jc w:val="right"/>
              <w:rPr>
                <w:sz w:val="18"/>
                <w:szCs w:val="18"/>
              </w:rPr>
            </w:pPr>
            <w:r>
              <w:rPr>
                <w:sz w:val="18"/>
                <w:szCs w:val="18"/>
              </w:rPr>
              <w:t xml:space="preserve">0 </w:t>
            </w:r>
          </w:p>
        </w:tc>
      </w:tr>
    </w:tbl>
    <w:p w14:paraId="1FA62CC5" w14:textId="10C273FD" w:rsidR="00D452B9" w:rsidRPr="001C3504" w:rsidRDefault="00D452B9" w:rsidP="00D452B9">
      <w:pPr>
        <w:pStyle w:val="Source"/>
      </w:pPr>
      <w:r w:rsidRPr="001C3504">
        <w:t xml:space="preserve">Source: </w:t>
      </w:r>
      <w:r>
        <w:t>Staff survey</w:t>
      </w:r>
      <w:r w:rsidRPr="001C3504">
        <w:t xml:space="preserve"> </w:t>
      </w:r>
      <w:r>
        <w:t>R</w:t>
      </w:r>
      <w:r w:rsidRPr="001C3504">
        <w:t xml:space="preserve">5 </w:t>
      </w:r>
      <w:r w:rsidR="00B47720">
        <w:t>Mar–May 2021</w:t>
      </w:r>
      <w:r w:rsidRPr="001C3504">
        <w:t xml:space="preserve">, </w:t>
      </w:r>
      <w:r>
        <w:t>question</w:t>
      </w:r>
      <w:r w:rsidRPr="001C3504">
        <w:t xml:space="preserve"> 16A</w:t>
      </w:r>
      <w:r w:rsidR="00B47720">
        <w:t>.</w:t>
      </w:r>
    </w:p>
    <w:p w14:paraId="4510369E" w14:textId="2A7781AB" w:rsidR="00D452B9" w:rsidRDefault="00D452B9" w:rsidP="00D452B9">
      <w:pPr>
        <w:widowControl w:val="0"/>
        <w:tabs>
          <w:tab w:val="left" w:pos="1134"/>
        </w:tabs>
        <w:rPr>
          <w:szCs w:val="20"/>
        </w:rPr>
      </w:pPr>
      <w:r>
        <w:rPr>
          <w:szCs w:val="20"/>
        </w:rPr>
        <w:t>The GPs who had responded “</w:t>
      </w:r>
      <w:r w:rsidRPr="00C41905">
        <w:rPr>
          <w:szCs w:val="20"/>
        </w:rPr>
        <w:t>No/very few HCH patients (</w:t>
      </w:r>
      <w:r>
        <w:rPr>
          <w:szCs w:val="20"/>
        </w:rPr>
        <w:t>l</w:t>
      </w:r>
      <w:r w:rsidRPr="00C41905">
        <w:rPr>
          <w:szCs w:val="20"/>
        </w:rPr>
        <w:t>ess than 20%)</w:t>
      </w:r>
      <w:r>
        <w:rPr>
          <w:szCs w:val="20"/>
        </w:rPr>
        <w:t xml:space="preserve">” were asked for the reasons for this. </w:t>
      </w:r>
      <w:r w:rsidRPr="0092110B">
        <w:rPr>
          <w:rFonts w:eastAsiaTheme="minorEastAsia"/>
          <w:noProof/>
          <w:color w:val="1D2455"/>
          <w:szCs w:val="20"/>
          <w:lang w:eastAsia="en-AU"/>
        </w:rPr>
        <w:fldChar w:fldCharType="begin"/>
      </w:r>
      <w:r w:rsidRPr="0092110B">
        <w:rPr>
          <w:rFonts w:eastAsiaTheme="minorEastAsia"/>
          <w:noProof/>
          <w:color w:val="1D2455"/>
          <w:szCs w:val="20"/>
          <w:lang w:eastAsia="en-AU"/>
        </w:rPr>
        <w:instrText xml:space="preserve"> REF _Ref98757557 \h </w:instrText>
      </w:r>
      <w:r>
        <w:rPr>
          <w:rFonts w:eastAsiaTheme="minorEastAsia"/>
          <w:noProof/>
          <w:color w:val="1D2455"/>
          <w:szCs w:val="20"/>
          <w:lang w:eastAsia="en-AU"/>
        </w:rPr>
        <w:instrText xml:space="preserve"> \* MERGEFORMAT </w:instrText>
      </w:r>
      <w:r w:rsidRPr="0092110B">
        <w:rPr>
          <w:rFonts w:eastAsiaTheme="minorEastAsia"/>
          <w:noProof/>
          <w:color w:val="1D2455"/>
          <w:szCs w:val="20"/>
          <w:lang w:eastAsia="en-AU"/>
        </w:rPr>
      </w:r>
      <w:r w:rsidRPr="0092110B">
        <w:rPr>
          <w:rFonts w:eastAsiaTheme="minorEastAsia"/>
          <w:noProof/>
          <w:color w:val="1D2455"/>
          <w:szCs w:val="20"/>
          <w:lang w:eastAsia="en-AU"/>
        </w:rPr>
        <w:fldChar w:fldCharType="separate"/>
      </w:r>
      <w:r w:rsidR="003C4BC2" w:rsidRPr="003C4BC2">
        <w:rPr>
          <w:rFonts w:eastAsiaTheme="minorEastAsia"/>
          <w:noProof/>
          <w:color w:val="1D2455"/>
          <w:szCs w:val="20"/>
          <w:lang w:eastAsia="en-AU"/>
        </w:rPr>
        <w:t>Table 76</w:t>
      </w:r>
      <w:r w:rsidRPr="0092110B">
        <w:rPr>
          <w:rFonts w:eastAsiaTheme="minorEastAsia"/>
          <w:noProof/>
          <w:color w:val="1D2455"/>
          <w:szCs w:val="20"/>
          <w:lang w:eastAsia="en-AU"/>
        </w:rPr>
        <w:fldChar w:fldCharType="end"/>
      </w:r>
      <w:r>
        <w:rPr>
          <w:szCs w:val="20"/>
        </w:rPr>
        <w:t xml:space="preserve"> shows the range of responses.</w:t>
      </w:r>
    </w:p>
    <w:p w14:paraId="1A0C15F4" w14:textId="13003305" w:rsidR="00D452B9" w:rsidRPr="00360C6F" w:rsidRDefault="00D452B9" w:rsidP="00D452B9">
      <w:pPr>
        <w:pStyle w:val="TableorFigurecaptionHPA"/>
      </w:pPr>
      <w:bookmarkStart w:id="493" w:name="_Ref98757557"/>
      <w:r w:rsidRPr="00360C6F">
        <w:t xml:space="preserve">Table </w:t>
      </w:r>
      <w:r w:rsidRPr="00360C6F">
        <w:fldChar w:fldCharType="begin"/>
      </w:r>
      <w:r w:rsidRPr="00360C6F">
        <w:instrText>SEQ Table \* ARABIC</w:instrText>
      </w:r>
      <w:r w:rsidRPr="00360C6F">
        <w:fldChar w:fldCharType="separate"/>
      </w:r>
      <w:r w:rsidR="003C4BC2">
        <w:rPr>
          <w:noProof/>
        </w:rPr>
        <w:t>76</w:t>
      </w:r>
      <w:r w:rsidRPr="00360C6F">
        <w:fldChar w:fldCharType="end"/>
      </w:r>
      <w:bookmarkEnd w:id="493"/>
      <w:r>
        <w:t xml:space="preserve">: </w:t>
      </w:r>
      <w:r w:rsidRPr="00360C6F">
        <w:t>Key reasons GPs have not referred more HCH patients to a community pharmac</w:t>
      </w:r>
      <w:r>
        <w:t>y</w:t>
      </w:r>
    </w:p>
    <w:tbl>
      <w:tblPr>
        <w:tblW w:w="6435"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5301"/>
        <w:gridCol w:w="1134"/>
      </w:tblGrid>
      <w:tr w:rsidR="00D452B9" w:rsidRPr="001C3504" w14:paraId="41F8B46D" w14:textId="77777777" w:rsidTr="004363CE">
        <w:trPr>
          <w:cantSplit/>
          <w:tblHeader/>
          <w:jc w:val="center"/>
        </w:trPr>
        <w:tc>
          <w:tcPr>
            <w:tcW w:w="5301" w:type="dxa"/>
            <w:shd w:val="clear" w:color="auto" w:fill="408BCA"/>
            <w:tcMar>
              <w:top w:w="0" w:type="dxa"/>
              <w:left w:w="0" w:type="dxa"/>
              <w:bottom w:w="0" w:type="dxa"/>
              <w:right w:w="0" w:type="dxa"/>
            </w:tcMar>
            <w:vAlign w:val="center"/>
          </w:tcPr>
          <w:p w14:paraId="5CB30137" w14:textId="77777777" w:rsidR="00D452B9" w:rsidRPr="001C3504" w:rsidRDefault="00D452B9" w:rsidP="004363CE">
            <w:pPr>
              <w:spacing w:before="20" w:after="20"/>
              <w:ind w:left="100" w:right="100"/>
              <w:jc w:val="center"/>
              <w:rPr>
                <w:sz w:val="18"/>
                <w:szCs w:val="18"/>
              </w:rPr>
            </w:pPr>
            <w:r w:rsidRPr="001C3504">
              <w:rPr>
                <w:rFonts w:eastAsia="Century Gothic" w:cs="Century Gothic"/>
                <w:b/>
                <w:color w:val="FFFFFF"/>
                <w:sz w:val="18"/>
                <w:szCs w:val="18"/>
              </w:rPr>
              <w:t>Response</w:t>
            </w:r>
          </w:p>
        </w:tc>
        <w:tc>
          <w:tcPr>
            <w:tcW w:w="1134" w:type="dxa"/>
            <w:shd w:val="clear" w:color="auto" w:fill="408BCA"/>
            <w:tcMar>
              <w:top w:w="0" w:type="dxa"/>
              <w:left w:w="0" w:type="dxa"/>
              <w:bottom w:w="0" w:type="dxa"/>
              <w:right w:w="0" w:type="dxa"/>
            </w:tcMar>
            <w:vAlign w:val="center"/>
          </w:tcPr>
          <w:p w14:paraId="5A427112" w14:textId="77777777" w:rsidR="00D452B9" w:rsidRPr="001C3504" w:rsidRDefault="00D452B9" w:rsidP="004363CE">
            <w:pPr>
              <w:spacing w:before="20" w:after="20"/>
              <w:ind w:left="100" w:right="100"/>
              <w:jc w:val="center"/>
              <w:rPr>
                <w:sz w:val="18"/>
                <w:szCs w:val="18"/>
              </w:rPr>
            </w:pPr>
            <w:r w:rsidRPr="001C3504">
              <w:rPr>
                <w:rFonts w:eastAsia="Century Gothic" w:cs="Century Gothic"/>
                <w:b/>
                <w:color w:val="FFFFFF"/>
                <w:sz w:val="18"/>
                <w:szCs w:val="18"/>
              </w:rPr>
              <w:t>n (%)</w:t>
            </w:r>
          </w:p>
        </w:tc>
      </w:tr>
      <w:tr w:rsidR="00D452B9" w:rsidRPr="001C3504" w14:paraId="756C1BD7" w14:textId="77777777" w:rsidTr="004363CE">
        <w:trPr>
          <w:cantSplit/>
          <w:jc w:val="center"/>
        </w:trPr>
        <w:tc>
          <w:tcPr>
            <w:tcW w:w="5301" w:type="dxa"/>
            <w:shd w:val="clear" w:color="auto" w:fill="FFFFFF"/>
            <w:tcMar>
              <w:top w:w="0" w:type="dxa"/>
              <w:left w:w="0" w:type="dxa"/>
              <w:bottom w:w="0" w:type="dxa"/>
              <w:right w:w="0" w:type="dxa"/>
            </w:tcMar>
            <w:vAlign w:val="center"/>
          </w:tcPr>
          <w:p w14:paraId="7D2EA138" w14:textId="77777777" w:rsidR="00D452B9" w:rsidRPr="001C3504" w:rsidRDefault="00D452B9" w:rsidP="004363CE">
            <w:pPr>
              <w:spacing w:before="20" w:after="20"/>
              <w:ind w:left="100" w:right="100"/>
              <w:rPr>
                <w:sz w:val="18"/>
                <w:szCs w:val="18"/>
              </w:rPr>
            </w:pPr>
            <w:r w:rsidRPr="001C3504">
              <w:rPr>
                <w:rFonts w:eastAsia="Century Gothic" w:cs="Century Gothic"/>
                <w:color w:val="000000"/>
                <w:sz w:val="18"/>
                <w:szCs w:val="18"/>
              </w:rPr>
              <w:t>Pharmacy intervention was not required</w:t>
            </w:r>
          </w:p>
        </w:tc>
        <w:tc>
          <w:tcPr>
            <w:tcW w:w="1134" w:type="dxa"/>
            <w:shd w:val="clear" w:color="auto" w:fill="FFFFFF"/>
            <w:tcMar>
              <w:top w:w="0" w:type="dxa"/>
              <w:left w:w="0" w:type="dxa"/>
              <w:bottom w:w="0" w:type="dxa"/>
              <w:right w:w="0" w:type="dxa"/>
            </w:tcMar>
            <w:vAlign w:val="center"/>
          </w:tcPr>
          <w:p w14:paraId="00EBE991" w14:textId="77777777" w:rsidR="00D452B9" w:rsidRPr="001C3504" w:rsidRDefault="00D452B9" w:rsidP="004363CE">
            <w:pPr>
              <w:spacing w:before="20" w:after="20"/>
              <w:ind w:left="100" w:right="100"/>
              <w:jc w:val="right"/>
              <w:rPr>
                <w:sz w:val="18"/>
                <w:szCs w:val="18"/>
              </w:rPr>
            </w:pPr>
            <w:r w:rsidRPr="001C3504">
              <w:rPr>
                <w:rFonts w:eastAsia="Century Gothic" w:cs="Century Gothic"/>
                <w:color w:val="000000"/>
                <w:sz w:val="18"/>
                <w:szCs w:val="18"/>
              </w:rPr>
              <w:t>5 (50%)</w:t>
            </w:r>
          </w:p>
        </w:tc>
      </w:tr>
      <w:tr w:rsidR="00D452B9" w:rsidRPr="001C3504" w14:paraId="2DB416F8" w14:textId="77777777" w:rsidTr="004363CE">
        <w:trPr>
          <w:cantSplit/>
          <w:jc w:val="center"/>
        </w:trPr>
        <w:tc>
          <w:tcPr>
            <w:tcW w:w="5301" w:type="dxa"/>
            <w:shd w:val="clear" w:color="auto" w:fill="FFFFFF"/>
            <w:tcMar>
              <w:top w:w="0" w:type="dxa"/>
              <w:left w:w="0" w:type="dxa"/>
              <w:bottom w:w="0" w:type="dxa"/>
              <w:right w:w="0" w:type="dxa"/>
            </w:tcMar>
            <w:vAlign w:val="center"/>
          </w:tcPr>
          <w:p w14:paraId="4F7501D7" w14:textId="77777777" w:rsidR="00D452B9" w:rsidRPr="001C3504" w:rsidRDefault="00D452B9" w:rsidP="004363CE">
            <w:pPr>
              <w:spacing w:before="20" w:after="20"/>
              <w:ind w:left="100" w:right="100"/>
              <w:rPr>
                <w:sz w:val="18"/>
                <w:szCs w:val="18"/>
              </w:rPr>
            </w:pPr>
            <w:r w:rsidRPr="001C3504">
              <w:rPr>
                <w:rFonts w:eastAsia="Century Gothic" w:cs="Century Gothic"/>
                <w:color w:val="000000"/>
                <w:sz w:val="18"/>
                <w:szCs w:val="18"/>
              </w:rPr>
              <w:t>Lack of pharmacists available or not participating in HCH</w:t>
            </w:r>
          </w:p>
        </w:tc>
        <w:tc>
          <w:tcPr>
            <w:tcW w:w="1134" w:type="dxa"/>
            <w:shd w:val="clear" w:color="auto" w:fill="FFFFFF"/>
            <w:tcMar>
              <w:top w:w="0" w:type="dxa"/>
              <w:left w:w="0" w:type="dxa"/>
              <w:bottom w:w="0" w:type="dxa"/>
              <w:right w:w="0" w:type="dxa"/>
            </w:tcMar>
            <w:vAlign w:val="center"/>
          </w:tcPr>
          <w:p w14:paraId="56D4685A" w14:textId="77777777" w:rsidR="00D452B9" w:rsidRPr="001C3504" w:rsidRDefault="00D452B9" w:rsidP="004363CE">
            <w:pPr>
              <w:spacing w:before="20" w:after="20"/>
              <w:ind w:left="100" w:right="100"/>
              <w:jc w:val="right"/>
              <w:rPr>
                <w:sz w:val="18"/>
                <w:szCs w:val="18"/>
              </w:rPr>
            </w:pPr>
            <w:r w:rsidRPr="001C3504">
              <w:rPr>
                <w:rFonts w:eastAsia="Century Gothic" w:cs="Century Gothic"/>
                <w:color w:val="000000"/>
                <w:sz w:val="18"/>
                <w:szCs w:val="18"/>
              </w:rPr>
              <w:t>3 (30%)</w:t>
            </w:r>
          </w:p>
        </w:tc>
      </w:tr>
      <w:tr w:rsidR="00D452B9" w:rsidRPr="001C3504" w14:paraId="3C5C37CC" w14:textId="77777777" w:rsidTr="004363CE">
        <w:trPr>
          <w:cantSplit/>
          <w:jc w:val="center"/>
        </w:trPr>
        <w:tc>
          <w:tcPr>
            <w:tcW w:w="5301" w:type="dxa"/>
            <w:shd w:val="clear" w:color="auto" w:fill="FFFFFF"/>
            <w:tcMar>
              <w:top w:w="0" w:type="dxa"/>
              <w:left w:w="0" w:type="dxa"/>
              <w:bottom w:w="0" w:type="dxa"/>
              <w:right w:w="0" w:type="dxa"/>
            </w:tcMar>
            <w:vAlign w:val="center"/>
          </w:tcPr>
          <w:p w14:paraId="70E1EC80" w14:textId="77777777" w:rsidR="00D452B9" w:rsidRPr="001C3504" w:rsidRDefault="00D452B9" w:rsidP="004363CE">
            <w:pPr>
              <w:spacing w:before="20" w:after="20"/>
              <w:ind w:left="100" w:right="100"/>
              <w:rPr>
                <w:sz w:val="18"/>
                <w:szCs w:val="18"/>
              </w:rPr>
            </w:pPr>
            <w:r w:rsidRPr="001C3504">
              <w:rPr>
                <w:rFonts w:eastAsia="Century Gothic" w:cs="Century Gothic"/>
                <w:color w:val="000000"/>
                <w:sz w:val="18"/>
                <w:szCs w:val="18"/>
              </w:rPr>
              <w:t>Limited patient interest</w:t>
            </w:r>
          </w:p>
        </w:tc>
        <w:tc>
          <w:tcPr>
            <w:tcW w:w="1134" w:type="dxa"/>
            <w:shd w:val="clear" w:color="auto" w:fill="FFFFFF"/>
            <w:tcMar>
              <w:top w:w="0" w:type="dxa"/>
              <w:left w:w="0" w:type="dxa"/>
              <w:bottom w:w="0" w:type="dxa"/>
              <w:right w:w="0" w:type="dxa"/>
            </w:tcMar>
            <w:vAlign w:val="center"/>
          </w:tcPr>
          <w:p w14:paraId="263AE47C" w14:textId="77777777" w:rsidR="00D452B9" w:rsidRPr="001C3504" w:rsidRDefault="00D452B9" w:rsidP="004363CE">
            <w:pPr>
              <w:spacing w:before="20" w:after="20"/>
              <w:ind w:left="100" w:right="100"/>
              <w:jc w:val="right"/>
              <w:rPr>
                <w:sz w:val="18"/>
                <w:szCs w:val="18"/>
              </w:rPr>
            </w:pPr>
            <w:r w:rsidRPr="001C3504">
              <w:rPr>
                <w:rFonts w:eastAsia="Century Gothic" w:cs="Century Gothic"/>
                <w:color w:val="000000"/>
                <w:sz w:val="18"/>
                <w:szCs w:val="18"/>
              </w:rPr>
              <w:t>2 (20%)</w:t>
            </w:r>
          </w:p>
        </w:tc>
      </w:tr>
      <w:tr w:rsidR="00D452B9" w:rsidRPr="001C3504" w14:paraId="75368405" w14:textId="77777777" w:rsidTr="004363CE">
        <w:trPr>
          <w:cantSplit/>
          <w:jc w:val="center"/>
        </w:trPr>
        <w:tc>
          <w:tcPr>
            <w:tcW w:w="5301" w:type="dxa"/>
            <w:shd w:val="clear" w:color="auto" w:fill="FFFFFF"/>
            <w:tcMar>
              <w:top w:w="0" w:type="dxa"/>
              <w:left w:w="0" w:type="dxa"/>
              <w:bottom w:w="0" w:type="dxa"/>
              <w:right w:w="0" w:type="dxa"/>
            </w:tcMar>
            <w:vAlign w:val="center"/>
          </w:tcPr>
          <w:p w14:paraId="38D56347" w14:textId="77777777" w:rsidR="00D452B9" w:rsidRPr="001C3504" w:rsidRDefault="00D452B9" w:rsidP="004363CE">
            <w:pPr>
              <w:spacing w:before="20" w:after="20"/>
              <w:ind w:left="100" w:right="100"/>
              <w:rPr>
                <w:sz w:val="18"/>
                <w:szCs w:val="18"/>
              </w:rPr>
            </w:pPr>
            <w:r w:rsidRPr="001C3504">
              <w:rPr>
                <w:rFonts w:eastAsia="Century Gothic" w:cs="Century Gothic"/>
                <w:color w:val="000000"/>
                <w:sz w:val="18"/>
                <w:szCs w:val="18"/>
              </w:rPr>
              <w:t>Patients dispersed geographically</w:t>
            </w:r>
          </w:p>
        </w:tc>
        <w:tc>
          <w:tcPr>
            <w:tcW w:w="1134" w:type="dxa"/>
            <w:shd w:val="clear" w:color="auto" w:fill="FFFFFF"/>
            <w:tcMar>
              <w:top w:w="0" w:type="dxa"/>
              <w:left w:w="0" w:type="dxa"/>
              <w:bottom w:w="0" w:type="dxa"/>
              <w:right w:w="0" w:type="dxa"/>
            </w:tcMar>
            <w:vAlign w:val="center"/>
          </w:tcPr>
          <w:p w14:paraId="6D4E7049" w14:textId="77777777" w:rsidR="00D452B9" w:rsidRPr="001C3504" w:rsidRDefault="00D452B9" w:rsidP="004363CE">
            <w:pPr>
              <w:spacing w:before="20" w:after="20"/>
              <w:ind w:left="100" w:right="100"/>
              <w:jc w:val="right"/>
              <w:rPr>
                <w:sz w:val="18"/>
                <w:szCs w:val="18"/>
              </w:rPr>
            </w:pPr>
            <w:r w:rsidRPr="001C3504">
              <w:rPr>
                <w:rFonts w:eastAsia="Century Gothic" w:cs="Century Gothic"/>
                <w:color w:val="000000"/>
                <w:sz w:val="18"/>
                <w:szCs w:val="18"/>
              </w:rPr>
              <w:t>1 (10%)</w:t>
            </w:r>
          </w:p>
        </w:tc>
      </w:tr>
      <w:tr w:rsidR="00D452B9" w:rsidRPr="001C3504" w14:paraId="0320C96E" w14:textId="77777777" w:rsidTr="004363CE">
        <w:trPr>
          <w:cantSplit/>
          <w:jc w:val="center"/>
        </w:trPr>
        <w:tc>
          <w:tcPr>
            <w:tcW w:w="5301" w:type="dxa"/>
            <w:shd w:val="clear" w:color="auto" w:fill="FFFFFF"/>
            <w:tcMar>
              <w:top w:w="0" w:type="dxa"/>
              <w:left w:w="0" w:type="dxa"/>
              <w:bottom w:w="0" w:type="dxa"/>
              <w:right w:w="0" w:type="dxa"/>
            </w:tcMar>
            <w:vAlign w:val="center"/>
          </w:tcPr>
          <w:p w14:paraId="4773BC69" w14:textId="77777777" w:rsidR="00D452B9" w:rsidRPr="001C3504" w:rsidRDefault="00D452B9" w:rsidP="004363CE">
            <w:pPr>
              <w:spacing w:before="20" w:after="20"/>
              <w:ind w:left="100" w:right="100"/>
              <w:rPr>
                <w:sz w:val="18"/>
                <w:szCs w:val="18"/>
              </w:rPr>
            </w:pPr>
            <w:r w:rsidRPr="001C3504">
              <w:rPr>
                <w:rFonts w:eastAsia="Century Gothic" w:cs="Century Gothic"/>
                <w:color w:val="000000"/>
                <w:sz w:val="18"/>
                <w:szCs w:val="18"/>
              </w:rPr>
              <w:t>Small scale of HCH patients</w:t>
            </w:r>
          </w:p>
        </w:tc>
        <w:tc>
          <w:tcPr>
            <w:tcW w:w="1134" w:type="dxa"/>
            <w:shd w:val="clear" w:color="auto" w:fill="FFFFFF"/>
            <w:tcMar>
              <w:top w:w="0" w:type="dxa"/>
              <w:left w:w="0" w:type="dxa"/>
              <w:bottom w:w="0" w:type="dxa"/>
              <w:right w:w="0" w:type="dxa"/>
            </w:tcMar>
            <w:vAlign w:val="center"/>
          </w:tcPr>
          <w:p w14:paraId="3E0FE714" w14:textId="77777777" w:rsidR="00D452B9" w:rsidRPr="001C3504" w:rsidRDefault="00D452B9" w:rsidP="004363CE">
            <w:pPr>
              <w:spacing w:before="20" w:after="20"/>
              <w:ind w:left="100" w:right="100"/>
              <w:jc w:val="right"/>
              <w:rPr>
                <w:sz w:val="18"/>
                <w:szCs w:val="18"/>
              </w:rPr>
            </w:pPr>
            <w:r w:rsidRPr="001C3504">
              <w:rPr>
                <w:rFonts w:eastAsia="Century Gothic" w:cs="Century Gothic"/>
                <w:color w:val="000000"/>
                <w:sz w:val="18"/>
                <w:szCs w:val="18"/>
              </w:rPr>
              <w:t>1 (10%)</w:t>
            </w:r>
          </w:p>
        </w:tc>
      </w:tr>
      <w:tr w:rsidR="00D452B9" w:rsidRPr="001C3504" w14:paraId="4F717D87" w14:textId="77777777" w:rsidTr="004363CE">
        <w:trPr>
          <w:cantSplit/>
          <w:jc w:val="center"/>
        </w:trPr>
        <w:tc>
          <w:tcPr>
            <w:tcW w:w="5301" w:type="dxa"/>
            <w:shd w:val="clear" w:color="auto" w:fill="FFFFFF"/>
            <w:tcMar>
              <w:top w:w="0" w:type="dxa"/>
              <w:left w:w="0" w:type="dxa"/>
              <w:bottom w:w="0" w:type="dxa"/>
              <w:right w:w="0" w:type="dxa"/>
            </w:tcMar>
            <w:vAlign w:val="center"/>
          </w:tcPr>
          <w:p w14:paraId="1BDC284D" w14:textId="77777777" w:rsidR="00D452B9" w:rsidRPr="001C3504" w:rsidRDefault="00D452B9" w:rsidP="004363CE">
            <w:pPr>
              <w:spacing w:before="20" w:after="20"/>
              <w:ind w:left="100" w:right="100"/>
              <w:rPr>
                <w:sz w:val="18"/>
                <w:szCs w:val="18"/>
              </w:rPr>
            </w:pPr>
            <w:r w:rsidRPr="001C3504">
              <w:rPr>
                <w:rFonts w:eastAsia="Century Gothic" w:cs="Century Gothic"/>
                <w:color w:val="000000"/>
                <w:sz w:val="18"/>
                <w:szCs w:val="18"/>
              </w:rPr>
              <w:t>Don't know/ no response</w:t>
            </w:r>
          </w:p>
        </w:tc>
        <w:tc>
          <w:tcPr>
            <w:tcW w:w="1134" w:type="dxa"/>
            <w:shd w:val="clear" w:color="auto" w:fill="FFFFFF"/>
            <w:tcMar>
              <w:top w:w="0" w:type="dxa"/>
              <w:left w:w="0" w:type="dxa"/>
              <w:bottom w:w="0" w:type="dxa"/>
              <w:right w:w="0" w:type="dxa"/>
            </w:tcMar>
            <w:vAlign w:val="center"/>
          </w:tcPr>
          <w:p w14:paraId="6802D34F" w14:textId="77777777" w:rsidR="00D452B9" w:rsidRPr="001C3504" w:rsidRDefault="00D452B9" w:rsidP="004363CE">
            <w:pPr>
              <w:spacing w:before="20" w:after="20"/>
              <w:ind w:left="100" w:right="100"/>
              <w:jc w:val="right"/>
              <w:rPr>
                <w:sz w:val="18"/>
                <w:szCs w:val="18"/>
              </w:rPr>
            </w:pPr>
            <w:r w:rsidRPr="001C3504">
              <w:rPr>
                <w:rFonts w:eastAsia="Century Gothic" w:cs="Century Gothic"/>
                <w:color w:val="000000"/>
                <w:sz w:val="18"/>
                <w:szCs w:val="18"/>
              </w:rPr>
              <w:t>2</w:t>
            </w:r>
          </w:p>
        </w:tc>
      </w:tr>
    </w:tbl>
    <w:p w14:paraId="4FE9793C" w14:textId="4B8A5AD8" w:rsidR="00D452B9" w:rsidRPr="001C3504" w:rsidRDefault="00D452B9" w:rsidP="00D452B9">
      <w:pPr>
        <w:pStyle w:val="Source"/>
      </w:pPr>
      <w:r w:rsidRPr="001C3504">
        <w:t xml:space="preserve">Source: </w:t>
      </w:r>
      <w:r>
        <w:t>Staff survey</w:t>
      </w:r>
      <w:r w:rsidRPr="001C3504">
        <w:t xml:space="preserve"> </w:t>
      </w:r>
      <w:r>
        <w:t>R</w:t>
      </w:r>
      <w:r w:rsidRPr="001C3504">
        <w:t>5</w:t>
      </w:r>
      <w:r w:rsidR="00B47720" w:rsidRPr="001C3504">
        <w:t xml:space="preserve"> </w:t>
      </w:r>
      <w:r w:rsidR="00B47720">
        <w:t>Mar–May 2021</w:t>
      </w:r>
      <w:r w:rsidRPr="001C3504">
        <w:t xml:space="preserve">, </w:t>
      </w:r>
      <w:r>
        <w:t>question</w:t>
      </w:r>
      <w:r w:rsidRPr="001C3504">
        <w:t xml:space="preserve"> 16B</w:t>
      </w:r>
      <w:r w:rsidR="00EF703F">
        <w:t>.</w:t>
      </w:r>
    </w:p>
    <w:p w14:paraId="414F31F3" w14:textId="0D45C6A0" w:rsidR="0058354B" w:rsidRPr="00F71DF5" w:rsidRDefault="00D40F11" w:rsidP="0058354B">
      <w:pPr>
        <w:pStyle w:val="Heading2"/>
      </w:pPr>
      <w:bookmarkStart w:id="494" w:name="_Toc58256898"/>
      <w:bookmarkStart w:id="495" w:name="_Toc109996770"/>
      <w:r>
        <w:t>C</w:t>
      </w:r>
      <w:r w:rsidR="00E779E3">
        <w:t>ommunications</w:t>
      </w:r>
      <w:r w:rsidR="0058354B" w:rsidRPr="00415280">
        <w:t xml:space="preserve"> </w:t>
      </w:r>
      <w:r>
        <w:t>between pharmacies and</w:t>
      </w:r>
      <w:r w:rsidR="0058354B" w:rsidRPr="00415280">
        <w:t xml:space="preserve"> general practices</w:t>
      </w:r>
      <w:bookmarkEnd w:id="494"/>
      <w:bookmarkEnd w:id="495"/>
    </w:p>
    <w:p w14:paraId="2F8C3457" w14:textId="03046076" w:rsidR="00B94364" w:rsidRDefault="001D2D72" w:rsidP="0058354B">
      <w:pPr>
        <w:rPr>
          <w:szCs w:val="20"/>
        </w:rPr>
      </w:pPr>
      <w:r>
        <w:rPr>
          <w:szCs w:val="20"/>
        </w:rPr>
        <w:t>Pharmacies mainly communicated with p</w:t>
      </w:r>
      <w:r w:rsidR="00983132">
        <w:rPr>
          <w:szCs w:val="20"/>
        </w:rPr>
        <w:t>r</w:t>
      </w:r>
      <w:r>
        <w:rPr>
          <w:szCs w:val="20"/>
        </w:rPr>
        <w:t xml:space="preserve">actices </w:t>
      </w:r>
      <w:r w:rsidR="00E375FD">
        <w:rPr>
          <w:szCs w:val="20"/>
        </w:rPr>
        <w:t xml:space="preserve">via the </w:t>
      </w:r>
      <w:r w:rsidR="007D67A8">
        <w:rPr>
          <w:szCs w:val="20"/>
        </w:rPr>
        <w:t>shared</w:t>
      </w:r>
      <w:r w:rsidR="00E375FD">
        <w:rPr>
          <w:szCs w:val="20"/>
        </w:rPr>
        <w:t xml:space="preserve"> care planning software</w:t>
      </w:r>
      <w:r w:rsidR="00C6179D">
        <w:rPr>
          <w:szCs w:val="20"/>
        </w:rPr>
        <w:t>:</w:t>
      </w:r>
    </w:p>
    <w:p w14:paraId="0A17A7C3" w14:textId="77777777" w:rsidR="0058354B" w:rsidRPr="00F71DF5" w:rsidRDefault="0058354B" w:rsidP="00365E4A">
      <w:pPr>
        <w:ind w:left="567" w:right="521"/>
        <w:rPr>
          <w:szCs w:val="20"/>
        </w:rPr>
      </w:pPr>
      <w:r w:rsidRPr="00F71DF5">
        <w:rPr>
          <w:i/>
          <w:iCs/>
          <w:szCs w:val="20"/>
        </w:rPr>
        <w:t>“… the main interaction is via the platform, you know [shared care planning software] platform. So, every now and then when I log onto the [shared care] program, there will be a thing on there, for example, to say medication review requested for this patient … There’ll be a message on there … So, I think that</w:t>
      </w:r>
      <w:r w:rsidRPr="00F71DF5">
        <w:rPr>
          <w:rFonts w:cs="Century Gothic"/>
          <w:i/>
          <w:iCs/>
          <w:szCs w:val="20"/>
        </w:rPr>
        <w:t>’</w:t>
      </w:r>
      <w:r w:rsidRPr="00F71DF5">
        <w:rPr>
          <w:i/>
          <w:iCs/>
          <w:szCs w:val="20"/>
        </w:rPr>
        <w:t>s how we communicate. So, each time I do interviews, I</w:t>
      </w:r>
      <w:r w:rsidRPr="00F71DF5">
        <w:rPr>
          <w:rFonts w:cs="Century Gothic"/>
          <w:i/>
          <w:iCs/>
          <w:szCs w:val="20"/>
        </w:rPr>
        <w:t>’</w:t>
      </w:r>
      <w:r w:rsidRPr="00F71DF5">
        <w:rPr>
          <w:i/>
          <w:iCs/>
          <w:szCs w:val="20"/>
        </w:rPr>
        <w:t>ll obviously upload their medication management plan into the platform. So, I think most communication is via the platform, for the [shared care] platform. And then but if there’s anything urgent, I guess, I normally just ring up the doctor.”</w:t>
      </w:r>
      <w:r w:rsidRPr="00F71DF5">
        <w:rPr>
          <w:szCs w:val="20"/>
        </w:rPr>
        <w:t xml:space="preserve"> [CP, Pharmacy 7</w:t>
      </w:r>
      <w:r>
        <w:rPr>
          <w:szCs w:val="20"/>
        </w:rPr>
        <w:t>, R4</w:t>
      </w:r>
      <w:r w:rsidRPr="00F71DF5">
        <w:rPr>
          <w:szCs w:val="20"/>
        </w:rPr>
        <w:t>]</w:t>
      </w:r>
    </w:p>
    <w:p w14:paraId="488B8FD3" w14:textId="77777777" w:rsidR="0058354B" w:rsidRPr="00F71DF5" w:rsidRDefault="0058354B" w:rsidP="0058354B">
      <w:pPr>
        <w:rPr>
          <w:szCs w:val="20"/>
        </w:rPr>
      </w:pPr>
      <w:r w:rsidRPr="00F71DF5">
        <w:rPr>
          <w:szCs w:val="20"/>
        </w:rPr>
        <w:t>In some instances, they said HCH enhanced their communication with the practice:</w:t>
      </w:r>
    </w:p>
    <w:p w14:paraId="2D197406" w14:textId="77777777" w:rsidR="0058354B" w:rsidRDefault="0058354B" w:rsidP="00365E4A">
      <w:pPr>
        <w:ind w:left="567" w:right="521"/>
        <w:rPr>
          <w:szCs w:val="20"/>
        </w:rPr>
      </w:pPr>
      <w:r w:rsidRPr="00F71DF5">
        <w:rPr>
          <w:i/>
          <w:iCs/>
          <w:szCs w:val="20"/>
        </w:rPr>
        <w:t>“It feels like we do have more of an involvement and more communication, so, since I've been here with that program.”</w:t>
      </w:r>
      <w:r w:rsidRPr="00F71DF5">
        <w:rPr>
          <w:szCs w:val="20"/>
        </w:rPr>
        <w:t xml:space="preserve"> [CP, Pharmacy 5</w:t>
      </w:r>
      <w:r>
        <w:rPr>
          <w:szCs w:val="20"/>
        </w:rPr>
        <w:t>, R4</w:t>
      </w:r>
      <w:r w:rsidRPr="00F71DF5">
        <w:rPr>
          <w:szCs w:val="20"/>
        </w:rPr>
        <w:t>]</w:t>
      </w:r>
    </w:p>
    <w:p w14:paraId="4484E7B1" w14:textId="77777777" w:rsidR="0058354B" w:rsidRPr="00F71DF5" w:rsidRDefault="0058354B" w:rsidP="00365E4A">
      <w:pPr>
        <w:ind w:left="567" w:right="521"/>
        <w:rPr>
          <w:szCs w:val="20"/>
        </w:rPr>
      </w:pPr>
      <w:r w:rsidRPr="004A7F47">
        <w:rPr>
          <w:i/>
          <w:iCs/>
          <w:szCs w:val="20"/>
        </w:rPr>
        <w:t xml:space="preserve">“The frequency of contact definitely increased, because, for example, I’ve done a review with a patient and then the patient expressed a few concerns and then </w:t>
      </w:r>
      <w:r w:rsidRPr="004A7F47">
        <w:rPr>
          <w:i/>
          <w:iCs/>
          <w:szCs w:val="20"/>
        </w:rPr>
        <w:lastRenderedPageBreak/>
        <w:t>that triggers us to recommend some changes to the medication and then we liaise with the doctor more frequently because of that.”</w:t>
      </w:r>
      <w:r>
        <w:rPr>
          <w:szCs w:val="20"/>
        </w:rPr>
        <w:t xml:space="preserve"> [CP, Pharmacy 7, R5]</w:t>
      </w:r>
    </w:p>
    <w:p w14:paraId="39B93F27" w14:textId="2CC067B4" w:rsidR="0058354B" w:rsidRPr="00F71DF5" w:rsidRDefault="0058354B" w:rsidP="0058354B">
      <w:pPr>
        <w:rPr>
          <w:szCs w:val="20"/>
        </w:rPr>
      </w:pPr>
      <w:r w:rsidRPr="00F71DF5">
        <w:rPr>
          <w:szCs w:val="20"/>
        </w:rPr>
        <w:t>Others struggled with communicating with GPs and sharing care</w:t>
      </w:r>
      <w:r>
        <w:rPr>
          <w:szCs w:val="20"/>
        </w:rPr>
        <w:t xml:space="preserve">. </w:t>
      </w:r>
      <w:r w:rsidR="00BA42B3">
        <w:rPr>
          <w:szCs w:val="20"/>
        </w:rPr>
        <w:t>A</w:t>
      </w:r>
      <w:r>
        <w:rPr>
          <w:szCs w:val="20"/>
        </w:rPr>
        <w:t xml:space="preserve"> few pharmacists </w:t>
      </w:r>
      <w:r w:rsidR="00C958E6">
        <w:rPr>
          <w:szCs w:val="20"/>
        </w:rPr>
        <w:t xml:space="preserve">felt that </w:t>
      </w:r>
      <w:r w:rsidR="00BA42B3">
        <w:rPr>
          <w:szCs w:val="20"/>
        </w:rPr>
        <w:t>tru</w:t>
      </w:r>
      <w:r>
        <w:rPr>
          <w:szCs w:val="20"/>
        </w:rPr>
        <w:t>st</w:t>
      </w:r>
      <w:r w:rsidR="00BA42B3">
        <w:rPr>
          <w:szCs w:val="20"/>
        </w:rPr>
        <w:t xml:space="preserve"> </w:t>
      </w:r>
      <w:r>
        <w:rPr>
          <w:szCs w:val="20"/>
        </w:rPr>
        <w:t xml:space="preserve">was </w:t>
      </w:r>
      <w:r w:rsidR="00BA42B3">
        <w:rPr>
          <w:szCs w:val="20"/>
        </w:rPr>
        <w:t>not sufficiently</w:t>
      </w:r>
      <w:r>
        <w:rPr>
          <w:szCs w:val="20"/>
        </w:rPr>
        <w:t xml:space="preserve"> established </w:t>
      </w:r>
      <w:r w:rsidR="00BA42B3">
        <w:rPr>
          <w:szCs w:val="20"/>
        </w:rPr>
        <w:t>through the process</w:t>
      </w:r>
      <w:r>
        <w:rPr>
          <w:szCs w:val="20"/>
        </w:rPr>
        <w:t xml:space="preserve"> to facilitate collaboration</w:t>
      </w:r>
      <w:r w:rsidR="009F48FE">
        <w:rPr>
          <w:szCs w:val="20"/>
        </w:rPr>
        <w:t xml:space="preserve"> with GPs</w:t>
      </w:r>
      <w:r w:rsidRPr="00F71DF5">
        <w:rPr>
          <w:szCs w:val="20"/>
        </w:rPr>
        <w:t>:</w:t>
      </w:r>
    </w:p>
    <w:p w14:paraId="12B88A72" w14:textId="2BD41C20" w:rsidR="0058354B" w:rsidRDefault="0058354B" w:rsidP="00365E4A">
      <w:pPr>
        <w:ind w:left="567" w:right="521"/>
        <w:rPr>
          <w:szCs w:val="20"/>
        </w:rPr>
      </w:pPr>
      <w:r w:rsidRPr="00F71DF5">
        <w:rPr>
          <w:i/>
          <w:iCs/>
          <w:szCs w:val="20"/>
        </w:rPr>
        <w:t>“This is the problem we feel about the Health Care Homes … The management of the patients …</w:t>
      </w:r>
      <w:r w:rsidR="00D225A5">
        <w:rPr>
          <w:i/>
          <w:iCs/>
          <w:szCs w:val="20"/>
        </w:rPr>
        <w:t xml:space="preserve"> </w:t>
      </w:r>
      <w:r w:rsidRPr="00F71DF5">
        <w:rPr>
          <w:i/>
          <w:iCs/>
          <w:szCs w:val="20"/>
        </w:rPr>
        <w:t>The reason for that is we find it difficult to get doctors to share those patients … They seem to keep everything … Not, I think, intentionally they want to exclude the process, even though we feel this way. But everything [is] done within the clinic, kept in the clinic, and you have to go and ask for it. And after a couple of times, you just give up, because you feel there’s no encouragement there … they’re busy, they’ve got a lot going on, and the last thing they want on their table is a pharmacist coming and asking about what’s your number for this patient, can we do this for this patient. The communication there we felt is just not as we hoped it to be.”</w:t>
      </w:r>
      <w:r w:rsidRPr="00F71DF5">
        <w:rPr>
          <w:szCs w:val="20"/>
        </w:rPr>
        <w:t xml:space="preserve"> [CP, Pharmacy 8</w:t>
      </w:r>
      <w:r>
        <w:rPr>
          <w:szCs w:val="20"/>
        </w:rPr>
        <w:t>, R4</w:t>
      </w:r>
      <w:r w:rsidRPr="00F71DF5">
        <w:rPr>
          <w:szCs w:val="20"/>
        </w:rPr>
        <w:t>]</w:t>
      </w:r>
    </w:p>
    <w:p w14:paraId="4CA3F1A2" w14:textId="2635C5D0" w:rsidR="0058354B" w:rsidRPr="00F71DF5" w:rsidRDefault="0058354B" w:rsidP="00365E4A">
      <w:pPr>
        <w:ind w:left="567" w:right="521"/>
        <w:rPr>
          <w:szCs w:val="20"/>
        </w:rPr>
      </w:pPr>
      <w:r w:rsidRPr="00CE1283">
        <w:rPr>
          <w:i/>
          <w:iCs/>
          <w:szCs w:val="20"/>
        </w:rPr>
        <w:t xml:space="preserve">“…we didn't have enough trust to be able to put a message through to the doctor on the </w:t>
      </w:r>
      <w:r w:rsidR="0002675D">
        <w:rPr>
          <w:i/>
          <w:iCs/>
          <w:szCs w:val="20"/>
        </w:rPr>
        <w:t>program</w:t>
      </w:r>
      <w:r w:rsidRPr="00CE1283">
        <w:rPr>
          <w:i/>
          <w:iCs/>
          <w:szCs w:val="20"/>
        </w:rPr>
        <w:t xml:space="preserve"> to say, this has now changed. we've witnessed this, we've seen this. Could you please review the medication? … I don't think that was as flexible or as buoyant as we would probably like it.”</w:t>
      </w:r>
      <w:r>
        <w:rPr>
          <w:szCs w:val="20"/>
        </w:rPr>
        <w:t xml:space="preserve"> [CP, Pharmacist 11, R5]</w:t>
      </w:r>
    </w:p>
    <w:p w14:paraId="4879B2DC" w14:textId="77777777" w:rsidR="0058354B" w:rsidRPr="00F71DF5" w:rsidRDefault="0058354B" w:rsidP="0058354B">
      <w:pPr>
        <w:rPr>
          <w:szCs w:val="20"/>
        </w:rPr>
      </w:pPr>
      <w:r w:rsidRPr="00F71DF5">
        <w:rPr>
          <w:szCs w:val="20"/>
        </w:rPr>
        <w:t>Sometimes pharmacists reported that they predominantly communicated with the practice nurses:</w:t>
      </w:r>
    </w:p>
    <w:p w14:paraId="7FCF880C" w14:textId="77777777" w:rsidR="0058354B" w:rsidRPr="00F71DF5" w:rsidRDefault="0058354B" w:rsidP="00365E4A">
      <w:pPr>
        <w:ind w:left="567" w:right="521"/>
        <w:rPr>
          <w:szCs w:val="20"/>
        </w:rPr>
      </w:pPr>
      <w:r w:rsidRPr="00F71DF5">
        <w:rPr>
          <w:i/>
          <w:iCs/>
          <w:szCs w:val="20"/>
        </w:rPr>
        <w:t xml:space="preserve">“I had a little bit more interaction with the nurses to be honest. But that was more about if she was having problems writing up the care plans and stuff, the medication management plans. So, yes, I didn’t really get a lot of interaction between the doctors.” </w:t>
      </w:r>
      <w:r w:rsidRPr="00F71DF5">
        <w:rPr>
          <w:szCs w:val="20"/>
        </w:rPr>
        <w:t>[CP, Pharmacy 6</w:t>
      </w:r>
      <w:r>
        <w:rPr>
          <w:szCs w:val="20"/>
        </w:rPr>
        <w:t>, R4</w:t>
      </w:r>
      <w:r w:rsidRPr="00F71DF5">
        <w:rPr>
          <w:szCs w:val="20"/>
        </w:rPr>
        <w:t>]</w:t>
      </w:r>
    </w:p>
    <w:p w14:paraId="57A3244D" w14:textId="77777777" w:rsidR="0058354B" w:rsidRPr="00F71DF5" w:rsidRDefault="0058354B" w:rsidP="00365E4A">
      <w:pPr>
        <w:ind w:left="567" w:right="521"/>
        <w:rPr>
          <w:szCs w:val="20"/>
          <w:highlight w:val="red"/>
        </w:rPr>
      </w:pPr>
      <w:r w:rsidRPr="00F71DF5">
        <w:rPr>
          <w:i/>
          <w:iCs/>
          <w:szCs w:val="20"/>
        </w:rPr>
        <w:t>“Also the registered nurse next door at the medical centre, she came after I was no longer managing it, she was recruited, and she’s done a very good job of staying in touch with me and letting me know if referrals are coming through.”</w:t>
      </w:r>
      <w:r w:rsidRPr="00F71DF5">
        <w:rPr>
          <w:szCs w:val="20"/>
        </w:rPr>
        <w:t xml:space="preserve"> [CP, Pharmacy 4</w:t>
      </w:r>
      <w:r>
        <w:rPr>
          <w:szCs w:val="20"/>
        </w:rPr>
        <w:t>, R4</w:t>
      </w:r>
      <w:r w:rsidRPr="00F71DF5">
        <w:rPr>
          <w:szCs w:val="20"/>
        </w:rPr>
        <w:t>]</w:t>
      </w:r>
    </w:p>
    <w:p w14:paraId="6578E2B4" w14:textId="56D0D9D3" w:rsidR="0058354B" w:rsidRDefault="00850E5E" w:rsidP="0058354B">
      <w:pPr>
        <w:spacing w:after="160" w:line="259" w:lineRule="auto"/>
        <w:ind w:right="522"/>
        <w:rPr>
          <w:szCs w:val="20"/>
        </w:rPr>
      </w:pPr>
      <w:r>
        <w:rPr>
          <w:szCs w:val="20"/>
        </w:rPr>
        <w:t>P</w:t>
      </w:r>
      <w:r w:rsidR="0058354B">
        <w:rPr>
          <w:szCs w:val="20"/>
        </w:rPr>
        <w:t>harmacists felt there was room for increased collaboration and communication with GPs and general practice staff:</w:t>
      </w:r>
    </w:p>
    <w:p w14:paraId="699DF76B" w14:textId="461C79F4" w:rsidR="00ED0DBF" w:rsidRDefault="0058354B" w:rsidP="00365E4A">
      <w:pPr>
        <w:ind w:left="567" w:right="521"/>
        <w:rPr>
          <w:szCs w:val="20"/>
        </w:rPr>
      </w:pPr>
      <w:r w:rsidRPr="00CE4201">
        <w:rPr>
          <w:i/>
          <w:iCs/>
          <w:szCs w:val="20"/>
        </w:rPr>
        <w:t xml:space="preserve">“I guess one thing that would be positive from a team care arrangement would be that mostly the direction of communication is from us to the doctor. It's usually in that direction. It would be good to get some feedback occasionally…it would be nice for the doctors to be communicating things a little more than they currently are…” </w:t>
      </w:r>
      <w:r>
        <w:rPr>
          <w:szCs w:val="20"/>
        </w:rPr>
        <w:t>[CP, Pharmacy 1, R5]</w:t>
      </w:r>
    </w:p>
    <w:p w14:paraId="0B51A15B" w14:textId="0971F006" w:rsidR="00EC3CF4" w:rsidRDefault="00791045" w:rsidP="0051679F">
      <w:pPr>
        <w:rPr>
          <w:szCs w:val="20"/>
        </w:rPr>
      </w:pPr>
      <w:r>
        <w:rPr>
          <w:szCs w:val="20"/>
        </w:rPr>
        <w:t xml:space="preserve">In the final staff survey </w:t>
      </w:r>
      <w:r w:rsidR="00EC46CE">
        <w:rPr>
          <w:szCs w:val="20"/>
        </w:rPr>
        <w:t>for</w:t>
      </w:r>
      <w:r>
        <w:rPr>
          <w:szCs w:val="20"/>
        </w:rPr>
        <w:t xml:space="preserve"> the evaluation, GPs were asked</w:t>
      </w:r>
      <w:r w:rsidR="002F3738">
        <w:rPr>
          <w:szCs w:val="20"/>
        </w:rPr>
        <w:t xml:space="preserve">, in the last month, </w:t>
      </w:r>
      <w:r>
        <w:rPr>
          <w:szCs w:val="20"/>
        </w:rPr>
        <w:t xml:space="preserve">how often they interacted with </w:t>
      </w:r>
      <w:r w:rsidR="002F3738">
        <w:rPr>
          <w:szCs w:val="20"/>
        </w:rPr>
        <w:t>the community pharmacist that they had most interactions with</w:t>
      </w:r>
      <w:r w:rsidR="0036075E">
        <w:rPr>
          <w:szCs w:val="20"/>
        </w:rPr>
        <w:t xml:space="preserve">. </w:t>
      </w:r>
      <w:r w:rsidR="0036075E" w:rsidRPr="00EC3CF4">
        <w:rPr>
          <w:rFonts w:eastAsiaTheme="minorEastAsia"/>
          <w:color w:val="1D2455"/>
          <w:szCs w:val="20"/>
          <w:lang w:eastAsia="en-AU"/>
        </w:rPr>
        <w:fldChar w:fldCharType="begin"/>
      </w:r>
      <w:r w:rsidR="0036075E" w:rsidRPr="00EC3CF4">
        <w:rPr>
          <w:rFonts w:eastAsiaTheme="minorEastAsia"/>
          <w:color w:val="1D2455"/>
          <w:szCs w:val="20"/>
          <w:lang w:eastAsia="en-AU"/>
        </w:rPr>
        <w:instrText xml:space="preserve"> REF _Ref98759109 \h </w:instrText>
      </w:r>
      <w:r w:rsidR="00EC3CF4">
        <w:rPr>
          <w:rFonts w:eastAsiaTheme="minorEastAsia"/>
          <w:color w:val="1D2455"/>
          <w:szCs w:val="20"/>
          <w:lang w:eastAsia="en-AU"/>
        </w:rPr>
        <w:instrText xml:space="preserve"> \* MERGEFORMAT </w:instrText>
      </w:r>
      <w:r w:rsidR="0036075E" w:rsidRPr="00EC3CF4">
        <w:rPr>
          <w:rFonts w:eastAsiaTheme="minorEastAsia"/>
          <w:color w:val="1D2455"/>
          <w:szCs w:val="20"/>
          <w:lang w:eastAsia="en-AU"/>
        </w:rPr>
      </w:r>
      <w:r w:rsidR="0036075E" w:rsidRPr="00EC3CF4">
        <w:rPr>
          <w:rFonts w:eastAsiaTheme="minorEastAsia"/>
          <w:color w:val="1D2455"/>
          <w:szCs w:val="20"/>
          <w:lang w:eastAsia="en-AU"/>
        </w:rPr>
        <w:fldChar w:fldCharType="separate"/>
      </w:r>
      <w:r w:rsidR="003C4BC2" w:rsidRPr="003C4BC2">
        <w:rPr>
          <w:rFonts w:eastAsiaTheme="minorEastAsia"/>
          <w:color w:val="1D2455"/>
          <w:szCs w:val="20"/>
          <w:lang w:eastAsia="en-AU"/>
        </w:rPr>
        <w:t>Table 77</w:t>
      </w:r>
      <w:r w:rsidR="0036075E" w:rsidRPr="00EC3CF4">
        <w:rPr>
          <w:rFonts w:eastAsiaTheme="minorEastAsia"/>
          <w:color w:val="1D2455"/>
          <w:szCs w:val="20"/>
          <w:lang w:eastAsia="en-AU"/>
        </w:rPr>
        <w:fldChar w:fldCharType="end"/>
      </w:r>
      <w:r w:rsidR="0036075E">
        <w:rPr>
          <w:szCs w:val="20"/>
        </w:rPr>
        <w:t xml:space="preserve"> shows th</w:t>
      </w:r>
      <w:r w:rsidR="0051679F">
        <w:rPr>
          <w:szCs w:val="20"/>
        </w:rPr>
        <w:t xml:space="preserve">ese responses. </w:t>
      </w:r>
      <w:r w:rsidR="007E31EE">
        <w:rPr>
          <w:szCs w:val="20"/>
        </w:rPr>
        <w:t xml:space="preserve">GPs </w:t>
      </w:r>
      <w:r w:rsidR="00EC46CE">
        <w:rPr>
          <w:szCs w:val="20"/>
        </w:rPr>
        <w:t xml:space="preserve">reported </w:t>
      </w:r>
      <w:r w:rsidR="007E31EE">
        <w:rPr>
          <w:szCs w:val="20"/>
        </w:rPr>
        <w:t>most freque</w:t>
      </w:r>
      <w:r w:rsidR="00EC46CE">
        <w:rPr>
          <w:szCs w:val="20"/>
        </w:rPr>
        <w:t>ntly interacting</w:t>
      </w:r>
      <w:r w:rsidR="001644AA">
        <w:rPr>
          <w:szCs w:val="20"/>
        </w:rPr>
        <w:t xml:space="preserve"> 3–4 times in the month.</w:t>
      </w:r>
    </w:p>
    <w:p w14:paraId="4B7A7931" w14:textId="77777777" w:rsidR="00EC3CF4" w:rsidRDefault="00EC3CF4">
      <w:pPr>
        <w:spacing w:after="160" w:line="259" w:lineRule="auto"/>
        <w:rPr>
          <w:szCs w:val="20"/>
        </w:rPr>
      </w:pPr>
      <w:r>
        <w:rPr>
          <w:szCs w:val="20"/>
        </w:rPr>
        <w:br w:type="page"/>
      </w:r>
    </w:p>
    <w:p w14:paraId="55A7D8EE" w14:textId="7C82DB2C" w:rsidR="0066054F" w:rsidRPr="00360C6F" w:rsidRDefault="0066054F" w:rsidP="0066054F">
      <w:pPr>
        <w:pStyle w:val="TableorFigurecaptionHPA"/>
      </w:pPr>
      <w:bookmarkStart w:id="496" w:name="_Ref98759109"/>
      <w:r w:rsidRPr="00360C6F">
        <w:lastRenderedPageBreak/>
        <w:t xml:space="preserve">Table </w:t>
      </w:r>
      <w:r w:rsidRPr="00360C6F">
        <w:fldChar w:fldCharType="begin"/>
      </w:r>
      <w:r w:rsidRPr="00360C6F">
        <w:instrText>SEQ Table \* ARABIC</w:instrText>
      </w:r>
      <w:r w:rsidRPr="00360C6F">
        <w:fldChar w:fldCharType="separate"/>
      </w:r>
      <w:r w:rsidR="003C4BC2">
        <w:rPr>
          <w:noProof/>
        </w:rPr>
        <w:t>77</w:t>
      </w:r>
      <w:r w:rsidRPr="00360C6F">
        <w:fldChar w:fldCharType="end"/>
      </w:r>
      <w:bookmarkEnd w:id="496"/>
      <w:r>
        <w:t xml:space="preserve">: </w:t>
      </w:r>
      <w:r w:rsidR="002F3738" w:rsidRPr="002F3738">
        <w:t>Frequency of</w:t>
      </w:r>
      <w:r w:rsidR="00382532">
        <w:t xml:space="preserve"> GP</w:t>
      </w:r>
      <w:r w:rsidR="002F3738" w:rsidRPr="002F3738">
        <w:t xml:space="preserve"> interaction with community pharmacist</w:t>
      </w:r>
    </w:p>
    <w:tbl>
      <w:tblPr>
        <w:tblW w:w="7832"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6946"/>
        <w:gridCol w:w="886"/>
      </w:tblGrid>
      <w:tr w:rsidR="0066054F" w:rsidRPr="001C3504" w14:paraId="03C00F20" w14:textId="77777777" w:rsidTr="00731ACD">
        <w:trPr>
          <w:cantSplit/>
          <w:tblHeader/>
          <w:jc w:val="center"/>
        </w:trPr>
        <w:tc>
          <w:tcPr>
            <w:tcW w:w="6946" w:type="dxa"/>
            <w:shd w:val="clear" w:color="auto" w:fill="408BCA"/>
            <w:tcMar>
              <w:top w:w="0" w:type="dxa"/>
              <w:left w:w="0" w:type="dxa"/>
              <w:bottom w:w="0" w:type="dxa"/>
              <w:right w:w="0" w:type="dxa"/>
            </w:tcMar>
            <w:vAlign w:val="center"/>
          </w:tcPr>
          <w:p w14:paraId="233A0E20" w14:textId="1AB3E2F0" w:rsidR="0066054F" w:rsidRPr="001C3504" w:rsidRDefault="006825EF" w:rsidP="00F83DE8">
            <w:pPr>
              <w:spacing w:before="20" w:after="20"/>
              <w:ind w:left="100" w:right="100"/>
              <w:jc w:val="center"/>
              <w:rPr>
                <w:sz w:val="18"/>
                <w:szCs w:val="18"/>
              </w:rPr>
            </w:pPr>
            <w:r>
              <w:rPr>
                <w:rFonts w:eastAsia="Century Gothic" w:cs="Century Gothic"/>
                <w:b/>
                <w:color w:val="FFFFFF"/>
                <w:sz w:val="18"/>
                <w:szCs w:val="18"/>
              </w:rPr>
              <w:t>No. of interactions</w:t>
            </w:r>
            <w:r w:rsidR="00DA29D4">
              <w:rPr>
                <w:rFonts w:eastAsia="Century Gothic" w:cs="Century Gothic"/>
                <w:b/>
                <w:color w:val="FFFFFF"/>
                <w:sz w:val="18"/>
                <w:szCs w:val="18"/>
              </w:rPr>
              <w:t xml:space="preserve"> (telephone, face-to-face, email)</w:t>
            </w:r>
            <w:r>
              <w:rPr>
                <w:rFonts w:eastAsia="Century Gothic" w:cs="Century Gothic"/>
                <w:b/>
                <w:color w:val="FFFFFF"/>
                <w:sz w:val="18"/>
                <w:szCs w:val="18"/>
              </w:rPr>
              <w:t xml:space="preserve"> over the last month with the community pharmacist the GP has had</w:t>
            </w:r>
            <w:r w:rsidR="00DA29D4">
              <w:rPr>
                <w:rFonts w:eastAsia="Century Gothic" w:cs="Century Gothic"/>
                <w:b/>
                <w:color w:val="FFFFFF"/>
                <w:sz w:val="18"/>
                <w:szCs w:val="18"/>
              </w:rPr>
              <w:t xml:space="preserve"> the most </w:t>
            </w:r>
            <w:r w:rsidR="0036075E">
              <w:rPr>
                <w:rFonts w:eastAsia="Century Gothic" w:cs="Century Gothic"/>
                <w:b/>
                <w:color w:val="FFFFFF"/>
                <w:sz w:val="18"/>
                <w:szCs w:val="18"/>
              </w:rPr>
              <w:t>interactions</w:t>
            </w:r>
            <w:r w:rsidR="00DA29D4">
              <w:rPr>
                <w:rFonts w:eastAsia="Century Gothic" w:cs="Century Gothic"/>
                <w:b/>
                <w:color w:val="FFFFFF"/>
                <w:sz w:val="18"/>
                <w:szCs w:val="18"/>
              </w:rPr>
              <w:t xml:space="preserve"> with</w:t>
            </w:r>
          </w:p>
        </w:tc>
        <w:tc>
          <w:tcPr>
            <w:tcW w:w="886" w:type="dxa"/>
            <w:shd w:val="clear" w:color="auto" w:fill="408BCA"/>
            <w:tcMar>
              <w:top w:w="0" w:type="dxa"/>
              <w:left w:w="0" w:type="dxa"/>
              <w:bottom w:w="0" w:type="dxa"/>
              <w:right w:w="0" w:type="dxa"/>
            </w:tcMar>
            <w:vAlign w:val="center"/>
          </w:tcPr>
          <w:p w14:paraId="053CACDB" w14:textId="77777777" w:rsidR="0066054F" w:rsidRPr="001C3504" w:rsidRDefault="0066054F" w:rsidP="00F83DE8">
            <w:pPr>
              <w:spacing w:before="20" w:after="20"/>
              <w:ind w:left="100" w:right="100"/>
              <w:jc w:val="center"/>
              <w:rPr>
                <w:sz w:val="18"/>
                <w:szCs w:val="18"/>
              </w:rPr>
            </w:pPr>
            <w:r w:rsidRPr="001C3504">
              <w:rPr>
                <w:rFonts w:eastAsia="Century Gothic" w:cs="Century Gothic"/>
                <w:b/>
                <w:color w:val="FFFFFF"/>
                <w:sz w:val="18"/>
                <w:szCs w:val="18"/>
              </w:rPr>
              <w:t>n (%)</w:t>
            </w:r>
          </w:p>
        </w:tc>
      </w:tr>
      <w:tr w:rsidR="0066054F" w:rsidRPr="001C3504" w14:paraId="1C322EF9" w14:textId="77777777" w:rsidTr="00731ACD">
        <w:trPr>
          <w:cantSplit/>
          <w:jc w:val="center"/>
        </w:trPr>
        <w:tc>
          <w:tcPr>
            <w:tcW w:w="6946" w:type="dxa"/>
            <w:shd w:val="clear" w:color="auto" w:fill="FFFFFF"/>
            <w:tcMar>
              <w:top w:w="0" w:type="dxa"/>
              <w:left w:w="0" w:type="dxa"/>
              <w:bottom w:w="0" w:type="dxa"/>
              <w:right w:w="0" w:type="dxa"/>
            </w:tcMar>
            <w:vAlign w:val="center"/>
          </w:tcPr>
          <w:p w14:paraId="7A10EFA0" w14:textId="37CA2775" w:rsidR="0066054F" w:rsidRPr="001C3504" w:rsidRDefault="00FA450A" w:rsidP="00F83DE8">
            <w:pPr>
              <w:spacing w:before="20" w:after="20"/>
              <w:ind w:left="100" w:right="100"/>
              <w:rPr>
                <w:sz w:val="18"/>
                <w:szCs w:val="18"/>
              </w:rPr>
            </w:pPr>
            <w:r w:rsidRPr="00FA450A">
              <w:rPr>
                <w:sz w:val="18"/>
                <w:szCs w:val="18"/>
              </w:rPr>
              <w:t>5–6 times</w:t>
            </w:r>
          </w:p>
        </w:tc>
        <w:tc>
          <w:tcPr>
            <w:tcW w:w="886" w:type="dxa"/>
            <w:shd w:val="clear" w:color="auto" w:fill="FFFFFF"/>
            <w:tcMar>
              <w:top w:w="0" w:type="dxa"/>
              <w:left w:w="0" w:type="dxa"/>
              <w:bottom w:w="0" w:type="dxa"/>
              <w:right w:w="0" w:type="dxa"/>
            </w:tcMar>
            <w:vAlign w:val="center"/>
          </w:tcPr>
          <w:p w14:paraId="76C5C562" w14:textId="52DA9819" w:rsidR="0066054F" w:rsidRPr="001C3504" w:rsidRDefault="00B770C2" w:rsidP="00F83DE8">
            <w:pPr>
              <w:spacing w:before="20" w:after="20"/>
              <w:ind w:left="100" w:right="100"/>
              <w:jc w:val="right"/>
              <w:rPr>
                <w:sz w:val="18"/>
                <w:szCs w:val="18"/>
              </w:rPr>
            </w:pPr>
            <w:r w:rsidRPr="00B770C2">
              <w:rPr>
                <w:sz w:val="18"/>
                <w:szCs w:val="18"/>
              </w:rPr>
              <w:t>5 (21%)</w:t>
            </w:r>
          </w:p>
        </w:tc>
      </w:tr>
      <w:tr w:rsidR="0066054F" w:rsidRPr="001C3504" w14:paraId="14E74942" w14:textId="77777777" w:rsidTr="00731ACD">
        <w:trPr>
          <w:cantSplit/>
          <w:jc w:val="center"/>
        </w:trPr>
        <w:tc>
          <w:tcPr>
            <w:tcW w:w="6946" w:type="dxa"/>
            <w:shd w:val="clear" w:color="auto" w:fill="FFFFFF"/>
            <w:tcMar>
              <w:top w:w="0" w:type="dxa"/>
              <w:left w:w="0" w:type="dxa"/>
              <w:bottom w:w="0" w:type="dxa"/>
              <w:right w:w="0" w:type="dxa"/>
            </w:tcMar>
            <w:vAlign w:val="center"/>
          </w:tcPr>
          <w:p w14:paraId="4C40CF5D" w14:textId="1E4604F9" w:rsidR="0066054F" w:rsidRPr="001C3504" w:rsidRDefault="00FA450A" w:rsidP="00F83DE8">
            <w:pPr>
              <w:spacing w:before="20" w:after="20"/>
              <w:ind w:left="100" w:right="100"/>
              <w:rPr>
                <w:sz w:val="18"/>
                <w:szCs w:val="18"/>
              </w:rPr>
            </w:pPr>
            <w:r w:rsidRPr="00FA450A">
              <w:rPr>
                <w:sz w:val="18"/>
                <w:szCs w:val="18"/>
              </w:rPr>
              <w:t>3–4 times</w:t>
            </w:r>
          </w:p>
        </w:tc>
        <w:tc>
          <w:tcPr>
            <w:tcW w:w="886" w:type="dxa"/>
            <w:shd w:val="clear" w:color="auto" w:fill="FFFFFF"/>
            <w:tcMar>
              <w:top w:w="0" w:type="dxa"/>
              <w:left w:w="0" w:type="dxa"/>
              <w:bottom w:w="0" w:type="dxa"/>
              <w:right w:w="0" w:type="dxa"/>
            </w:tcMar>
            <w:vAlign w:val="center"/>
          </w:tcPr>
          <w:p w14:paraId="6D5FF282" w14:textId="3DFADAC0" w:rsidR="0066054F" w:rsidRPr="001C3504" w:rsidRDefault="00B770C2" w:rsidP="00F83DE8">
            <w:pPr>
              <w:spacing w:before="20" w:after="20"/>
              <w:ind w:left="100" w:right="100"/>
              <w:jc w:val="right"/>
              <w:rPr>
                <w:sz w:val="18"/>
                <w:szCs w:val="18"/>
              </w:rPr>
            </w:pPr>
            <w:r w:rsidRPr="00B770C2">
              <w:rPr>
                <w:sz w:val="18"/>
                <w:szCs w:val="18"/>
              </w:rPr>
              <w:t>8 (33%)</w:t>
            </w:r>
          </w:p>
        </w:tc>
      </w:tr>
      <w:tr w:rsidR="0066054F" w:rsidRPr="001C3504" w14:paraId="5DCAC466" w14:textId="77777777" w:rsidTr="00731ACD">
        <w:trPr>
          <w:cantSplit/>
          <w:jc w:val="center"/>
        </w:trPr>
        <w:tc>
          <w:tcPr>
            <w:tcW w:w="6946" w:type="dxa"/>
            <w:shd w:val="clear" w:color="auto" w:fill="FFFFFF"/>
            <w:tcMar>
              <w:top w:w="0" w:type="dxa"/>
              <w:left w:w="0" w:type="dxa"/>
              <w:bottom w:w="0" w:type="dxa"/>
              <w:right w:w="0" w:type="dxa"/>
            </w:tcMar>
            <w:vAlign w:val="center"/>
          </w:tcPr>
          <w:p w14:paraId="07F22F57" w14:textId="7ED803D0" w:rsidR="0066054F" w:rsidRPr="001C3504" w:rsidRDefault="00FA450A" w:rsidP="00F83DE8">
            <w:pPr>
              <w:spacing w:before="20" w:after="20"/>
              <w:ind w:left="100" w:right="100"/>
              <w:rPr>
                <w:sz w:val="18"/>
                <w:szCs w:val="18"/>
              </w:rPr>
            </w:pPr>
            <w:r w:rsidRPr="00FA450A">
              <w:rPr>
                <w:sz w:val="18"/>
                <w:szCs w:val="18"/>
              </w:rPr>
              <w:t>1–2 times</w:t>
            </w:r>
          </w:p>
        </w:tc>
        <w:tc>
          <w:tcPr>
            <w:tcW w:w="886" w:type="dxa"/>
            <w:shd w:val="clear" w:color="auto" w:fill="FFFFFF"/>
            <w:tcMar>
              <w:top w:w="0" w:type="dxa"/>
              <w:left w:w="0" w:type="dxa"/>
              <w:bottom w:w="0" w:type="dxa"/>
              <w:right w:w="0" w:type="dxa"/>
            </w:tcMar>
            <w:vAlign w:val="center"/>
          </w:tcPr>
          <w:p w14:paraId="710EBF38" w14:textId="111E271E" w:rsidR="0066054F" w:rsidRPr="001C3504" w:rsidRDefault="00B770C2" w:rsidP="00F83DE8">
            <w:pPr>
              <w:spacing w:before="20" w:after="20"/>
              <w:ind w:left="100" w:right="100"/>
              <w:jc w:val="right"/>
              <w:rPr>
                <w:sz w:val="18"/>
                <w:szCs w:val="18"/>
              </w:rPr>
            </w:pPr>
            <w:r w:rsidRPr="00B770C2">
              <w:rPr>
                <w:sz w:val="18"/>
                <w:szCs w:val="18"/>
              </w:rPr>
              <w:t>5 (21%)</w:t>
            </w:r>
          </w:p>
        </w:tc>
      </w:tr>
      <w:tr w:rsidR="0066054F" w:rsidRPr="001C3504" w14:paraId="032DC2B7" w14:textId="77777777" w:rsidTr="00731ACD">
        <w:trPr>
          <w:cantSplit/>
          <w:jc w:val="center"/>
        </w:trPr>
        <w:tc>
          <w:tcPr>
            <w:tcW w:w="6946" w:type="dxa"/>
            <w:shd w:val="clear" w:color="auto" w:fill="FFFFFF"/>
            <w:tcMar>
              <w:top w:w="0" w:type="dxa"/>
              <w:left w:w="0" w:type="dxa"/>
              <w:bottom w:w="0" w:type="dxa"/>
              <w:right w:w="0" w:type="dxa"/>
            </w:tcMar>
            <w:vAlign w:val="center"/>
          </w:tcPr>
          <w:p w14:paraId="46DD5D0A" w14:textId="65B23CE2" w:rsidR="0066054F" w:rsidRPr="001C3504" w:rsidRDefault="00FA450A" w:rsidP="00F83DE8">
            <w:pPr>
              <w:spacing w:before="20" w:after="20"/>
              <w:ind w:left="100" w:right="100"/>
              <w:rPr>
                <w:sz w:val="18"/>
                <w:szCs w:val="18"/>
              </w:rPr>
            </w:pPr>
            <w:r w:rsidRPr="00FA450A">
              <w:rPr>
                <w:sz w:val="18"/>
                <w:szCs w:val="18"/>
              </w:rPr>
              <w:t>Nil</w:t>
            </w:r>
          </w:p>
        </w:tc>
        <w:tc>
          <w:tcPr>
            <w:tcW w:w="886" w:type="dxa"/>
            <w:shd w:val="clear" w:color="auto" w:fill="FFFFFF"/>
            <w:tcMar>
              <w:top w:w="0" w:type="dxa"/>
              <w:left w:w="0" w:type="dxa"/>
              <w:bottom w:w="0" w:type="dxa"/>
              <w:right w:w="0" w:type="dxa"/>
            </w:tcMar>
            <w:vAlign w:val="center"/>
          </w:tcPr>
          <w:p w14:paraId="35471642" w14:textId="02E404C8" w:rsidR="0066054F" w:rsidRPr="001C3504" w:rsidRDefault="00B770C2" w:rsidP="00F83DE8">
            <w:pPr>
              <w:spacing w:before="20" w:after="20"/>
              <w:ind w:left="100" w:right="100"/>
              <w:jc w:val="right"/>
              <w:rPr>
                <w:sz w:val="18"/>
                <w:szCs w:val="18"/>
              </w:rPr>
            </w:pPr>
            <w:r w:rsidRPr="00B770C2">
              <w:rPr>
                <w:sz w:val="18"/>
                <w:szCs w:val="18"/>
              </w:rPr>
              <w:t>6 (25%)</w:t>
            </w:r>
          </w:p>
        </w:tc>
      </w:tr>
      <w:tr w:rsidR="0066054F" w:rsidRPr="001C3504" w14:paraId="697D1856" w14:textId="77777777" w:rsidTr="00731ACD">
        <w:trPr>
          <w:cantSplit/>
          <w:jc w:val="center"/>
        </w:trPr>
        <w:tc>
          <w:tcPr>
            <w:tcW w:w="6946" w:type="dxa"/>
            <w:shd w:val="clear" w:color="auto" w:fill="FFFFFF"/>
            <w:tcMar>
              <w:top w:w="0" w:type="dxa"/>
              <w:left w:w="0" w:type="dxa"/>
              <w:bottom w:w="0" w:type="dxa"/>
              <w:right w:w="0" w:type="dxa"/>
            </w:tcMar>
            <w:vAlign w:val="center"/>
          </w:tcPr>
          <w:p w14:paraId="0D9386B4" w14:textId="3D1C60A2" w:rsidR="0066054F" w:rsidRPr="001C3504" w:rsidRDefault="00FA450A" w:rsidP="00F83DE8">
            <w:pPr>
              <w:spacing w:before="20" w:after="20"/>
              <w:ind w:left="100" w:right="100"/>
              <w:rPr>
                <w:sz w:val="18"/>
                <w:szCs w:val="18"/>
              </w:rPr>
            </w:pPr>
            <w:r w:rsidRPr="00FA450A">
              <w:rPr>
                <w:sz w:val="18"/>
                <w:szCs w:val="18"/>
              </w:rPr>
              <w:t>Don't know/ no response</w:t>
            </w:r>
          </w:p>
        </w:tc>
        <w:tc>
          <w:tcPr>
            <w:tcW w:w="886" w:type="dxa"/>
            <w:shd w:val="clear" w:color="auto" w:fill="FFFFFF"/>
            <w:tcMar>
              <w:top w:w="0" w:type="dxa"/>
              <w:left w:w="0" w:type="dxa"/>
              <w:bottom w:w="0" w:type="dxa"/>
              <w:right w:w="0" w:type="dxa"/>
            </w:tcMar>
            <w:vAlign w:val="center"/>
          </w:tcPr>
          <w:p w14:paraId="6FA35EEA" w14:textId="7D3D3E84" w:rsidR="0066054F" w:rsidRPr="001C3504" w:rsidRDefault="00B770C2" w:rsidP="00F83DE8">
            <w:pPr>
              <w:spacing w:before="20" w:after="20"/>
              <w:ind w:left="100" w:right="100"/>
              <w:jc w:val="right"/>
              <w:rPr>
                <w:sz w:val="18"/>
                <w:szCs w:val="18"/>
              </w:rPr>
            </w:pPr>
            <w:r>
              <w:rPr>
                <w:sz w:val="18"/>
                <w:szCs w:val="18"/>
              </w:rPr>
              <w:t>0</w:t>
            </w:r>
          </w:p>
        </w:tc>
      </w:tr>
    </w:tbl>
    <w:p w14:paraId="7F1B99A5" w14:textId="6759B20D" w:rsidR="0066054F" w:rsidRDefault="0066054F" w:rsidP="0066054F">
      <w:pPr>
        <w:pStyle w:val="Source"/>
      </w:pPr>
      <w:r w:rsidRPr="001C3504">
        <w:t xml:space="preserve">Source: </w:t>
      </w:r>
      <w:r>
        <w:t>Staff survey</w:t>
      </w:r>
      <w:r w:rsidRPr="001C3504">
        <w:t xml:space="preserve"> </w:t>
      </w:r>
      <w:r>
        <w:t>R</w:t>
      </w:r>
      <w:r w:rsidRPr="001C3504">
        <w:t>5</w:t>
      </w:r>
      <w:r w:rsidR="00B47720" w:rsidRPr="001C3504">
        <w:t xml:space="preserve"> </w:t>
      </w:r>
      <w:r w:rsidR="00B47720">
        <w:t>Mar–May 2021</w:t>
      </w:r>
      <w:r w:rsidRPr="001C3504">
        <w:t xml:space="preserve">, </w:t>
      </w:r>
      <w:r>
        <w:t>question</w:t>
      </w:r>
      <w:r w:rsidRPr="001C3504">
        <w:t xml:space="preserve"> 16A</w:t>
      </w:r>
      <w:r w:rsidR="00DD350A">
        <w:t>.</w:t>
      </w:r>
    </w:p>
    <w:p w14:paraId="64A7F337" w14:textId="0A3E3842" w:rsidR="002B7FED" w:rsidRDefault="00372FF9" w:rsidP="00BB09BA">
      <w:r>
        <w:t>GPs were also asked</w:t>
      </w:r>
      <w:r w:rsidR="005912B3">
        <w:t>, s</w:t>
      </w:r>
      <w:r w:rsidR="005912B3" w:rsidRPr="005912B3">
        <w:t xml:space="preserve">ince the start of the community pharmacy component of the HCH trial, </w:t>
      </w:r>
      <w:r w:rsidR="005912B3">
        <w:t>whether</w:t>
      </w:r>
      <w:r w:rsidR="005912B3" w:rsidRPr="005912B3">
        <w:t xml:space="preserve"> communications between </w:t>
      </w:r>
      <w:r w:rsidR="005912B3">
        <w:t>them</w:t>
      </w:r>
      <w:r w:rsidR="005912B3" w:rsidRPr="005912B3">
        <w:t xml:space="preserve"> and community pharmacists in </w:t>
      </w:r>
      <w:r w:rsidR="005912B3">
        <w:t>their</w:t>
      </w:r>
      <w:r w:rsidR="005912B3" w:rsidRPr="005912B3">
        <w:t xml:space="preserve"> local area improved</w:t>
      </w:r>
      <w:r w:rsidR="005E1558">
        <w:t>. Slightly more GPs said that they didn’t</w:t>
      </w:r>
      <w:r w:rsidR="00F50CF4">
        <w:t xml:space="preserve"> than did (</w:t>
      </w:r>
      <w:r w:rsidR="00F50CF4" w:rsidRPr="00F50CF4">
        <w:rPr>
          <w:rFonts w:eastAsiaTheme="minorEastAsia"/>
          <w:color w:val="1D2455"/>
          <w:szCs w:val="20"/>
          <w:lang w:eastAsia="en-AU"/>
        </w:rPr>
        <w:fldChar w:fldCharType="begin"/>
      </w:r>
      <w:r w:rsidR="00F50CF4" w:rsidRPr="00F50CF4">
        <w:rPr>
          <w:rFonts w:eastAsiaTheme="minorEastAsia"/>
          <w:color w:val="1D2455"/>
          <w:szCs w:val="20"/>
          <w:lang w:eastAsia="en-AU"/>
        </w:rPr>
        <w:instrText xml:space="preserve"> REF _Ref98766999 \h </w:instrText>
      </w:r>
      <w:r w:rsidR="00F50CF4">
        <w:rPr>
          <w:rFonts w:eastAsiaTheme="minorEastAsia"/>
          <w:color w:val="1D2455"/>
          <w:szCs w:val="20"/>
          <w:lang w:eastAsia="en-AU"/>
        </w:rPr>
        <w:instrText xml:space="preserve"> \* MERGEFORMAT </w:instrText>
      </w:r>
      <w:r w:rsidR="00F50CF4" w:rsidRPr="00F50CF4">
        <w:rPr>
          <w:rFonts w:eastAsiaTheme="minorEastAsia"/>
          <w:color w:val="1D2455"/>
          <w:szCs w:val="20"/>
          <w:lang w:eastAsia="en-AU"/>
        </w:rPr>
      </w:r>
      <w:r w:rsidR="00F50CF4" w:rsidRPr="00F50CF4">
        <w:rPr>
          <w:rFonts w:eastAsiaTheme="minorEastAsia"/>
          <w:color w:val="1D2455"/>
          <w:szCs w:val="20"/>
          <w:lang w:eastAsia="en-AU"/>
        </w:rPr>
        <w:fldChar w:fldCharType="separate"/>
      </w:r>
      <w:r w:rsidR="003C4BC2" w:rsidRPr="003C4BC2">
        <w:rPr>
          <w:rFonts w:eastAsiaTheme="minorEastAsia"/>
          <w:color w:val="1D2455"/>
          <w:szCs w:val="20"/>
          <w:lang w:eastAsia="en-AU"/>
        </w:rPr>
        <w:t>Table 78</w:t>
      </w:r>
      <w:r w:rsidR="00F50CF4" w:rsidRPr="00F50CF4">
        <w:rPr>
          <w:rFonts w:eastAsiaTheme="minorEastAsia"/>
          <w:color w:val="1D2455"/>
          <w:szCs w:val="20"/>
          <w:lang w:eastAsia="en-AU"/>
        </w:rPr>
        <w:fldChar w:fldCharType="end"/>
      </w:r>
      <w:r w:rsidR="00F50CF4">
        <w:t>).</w:t>
      </w:r>
    </w:p>
    <w:p w14:paraId="3CABD836" w14:textId="47221D89" w:rsidR="00F012BD" w:rsidRPr="00360C6F" w:rsidRDefault="00F012BD" w:rsidP="00F012BD">
      <w:pPr>
        <w:pStyle w:val="TableorFigurecaptionHPA"/>
      </w:pPr>
      <w:bookmarkStart w:id="497" w:name="_Ref98766999"/>
      <w:r w:rsidRPr="00360C6F">
        <w:t xml:space="preserve">Table </w:t>
      </w:r>
      <w:r w:rsidRPr="00360C6F">
        <w:fldChar w:fldCharType="begin"/>
      </w:r>
      <w:r w:rsidRPr="00360C6F">
        <w:instrText>SEQ Table \* ARABIC</w:instrText>
      </w:r>
      <w:r w:rsidRPr="00360C6F">
        <w:fldChar w:fldCharType="separate"/>
      </w:r>
      <w:r w:rsidR="003C4BC2">
        <w:rPr>
          <w:noProof/>
        </w:rPr>
        <w:t>78</w:t>
      </w:r>
      <w:r w:rsidRPr="00360C6F">
        <w:fldChar w:fldCharType="end"/>
      </w:r>
      <w:bookmarkEnd w:id="497"/>
      <w:r>
        <w:t xml:space="preserve">: </w:t>
      </w:r>
      <w:r w:rsidR="00621394" w:rsidRPr="00621394">
        <w:t>Did communications between GP and community pharmacists in your local area improve</w:t>
      </w:r>
      <w:r>
        <w:t>?</w:t>
      </w:r>
    </w:p>
    <w:tbl>
      <w:tblPr>
        <w:tblW w:w="3700"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2488"/>
        <w:gridCol w:w="1212"/>
      </w:tblGrid>
      <w:tr w:rsidR="00F012BD" w:rsidRPr="001C3504" w14:paraId="02974D57" w14:textId="77777777" w:rsidTr="00F83DE8">
        <w:trPr>
          <w:cantSplit/>
          <w:tblHeader/>
          <w:jc w:val="center"/>
        </w:trPr>
        <w:tc>
          <w:tcPr>
            <w:tcW w:w="2488" w:type="dxa"/>
            <w:shd w:val="clear" w:color="auto" w:fill="408BCA"/>
            <w:tcMar>
              <w:top w:w="0" w:type="dxa"/>
              <w:left w:w="0" w:type="dxa"/>
              <w:bottom w:w="0" w:type="dxa"/>
              <w:right w:w="0" w:type="dxa"/>
            </w:tcMar>
            <w:vAlign w:val="center"/>
          </w:tcPr>
          <w:p w14:paraId="27926FE7" w14:textId="77777777" w:rsidR="00F012BD" w:rsidRPr="001C3504" w:rsidRDefault="00F012BD" w:rsidP="00F83DE8">
            <w:pPr>
              <w:spacing w:before="20" w:after="20"/>
              <w:ind w:left="100" w:right="100"/>
              <w:jc w:val="center"/>
              <w:rPr>
                <w:sz w:val="18"/>
                <w:szCs w:val="18"/>
              </w:rPr>
            </w:pPr>
            <w:r w:rsidRPr="001C3504">
              <w:rPr>
                <w:rFonts w:eastAsia="Century Gothic" w:cs="Century Gothic"/>
                <w:b/>
                <w:color w:val="FFFFFF"/>
                <w:sz w:val="18"/>
                <w:szCs w:val="18"/>
              </w:rPr>
              <w:t>Response</w:t>
            </w:r>
          </w:p>
        </w:tc>
        <w:tc>
          <w:tcPr>
            <w:tcW w:w="1212" w:type="dxa"/>
            <w:shd w:val="clear" w:color="auto" w:fill="408BCA"/>
            <w:tcMar>
              <w:top w:w="0" w:type="dxa"/>
              <w:left w:w="0" w:type="dxa"/>
              <w:bottom w:w="0" w:type="dxa"/>
              <w:right w:w="0" w:type="dxa"/>
            </w:tcMar>
            <w:vAlign w:val="center"/>
          </w:tcPr>
          <w:p w14:paraId="37DBB40E" w14:textId="77777777" w:rsidR="00F012BD" w:rsidRPr="001C3504" w:rsidRDefault="00F012BD" w:rsidP="00F83DE8">
            <w:pPr>
              <w:spacing w:before="20" w:after="20"/>
              <w:ind w:left="100" w:right="100"/>
              <w:jc w:val="center"/>
              <w:rPr>
                <w:sz w:val="18"/>
                <w:szCs w:val="18"/>
              </w:rPr>
            </w:pPr>
            <w:r w:rsidRPr="001C3504">
              <w:rPr>
                <w:rFonts w:eastAsia="Century Gothic" w:cs="Century Gothic"/>
                <w:b/>
                <w:color w:val="FFFFFF"/>
                <w:sz w:val="18"/>
                <w:szCs w:val="18"/>
              </w:rPr>
              <w:t>n (%)</w:t>
            </w:r>
          </w:p>
        </w:tc>
      </w:tr>
      <w:tr w:rsidR="00F012BD" w:rsidRPr="001C3504" w14:paraId="3A3A1346" w14:textId="77777777" w:rsidTr="00F83DE8">
        <w:trPr>
          <w:cantSplit/>
          <w:jc w:val="center"/>
        </w:trPr>
        <w:tc>
          <w:tcPr>
            <w:tcW w:w="2488" w:type="dxa"/>
            <w:shd w:val="clear" w:color="auto" w:fill="FFFFFF"/>
            <w:tcMar>
              <w:top w:w="0" w:type="dxa"/>
              <w:left w:w="0" w:type="dxa"/>
              <w:bottom w:w="0" w:type="dxa"/>
              <w:right w:w="0" w:type="dxa"/>
            </w:tcMar>
            <w:vAlign w:val="center"/>
          </w:tcPr>
          <w:p w14:paraId="017EA454" w14:textId="77777777" w:rsidR="00F012BD" w:rsidRPr="001C3504" w:rsidRDefault="00F012BD" w:rsidP="00F83DE8">
            <w:pPr>
              <w:spacing w:before="20" w:after="20"/>
              <w:ind w:left="100" w:right="100"/>
              <w:rPr>
                <w:sz w:val="18"/>
                <w:szCs w:val="18"/>
              </w:rPr>
            </w:pPr>
            <w:r>
              <w:rPr>
                <w:sz w:val="18"/>
                <w:szCs w:val="18"/>
              </w:rPr>
              <w:t>Yes</w:t>
            </w:r>
          </w:p>
        </w:tc>
        <w:tc>
          <w:tcPr>
            <w:tcW w:w="1212" w:type="dxa"/>
            <w:shd w:val="clear" w:color="auto" w:fill="FFFFFF"/>
            <w:tcMar>
              <w:top w:w="0" w:type="dxa"/>
              <w:left w:w="0" w:type="dxa"/>
              <w:bottom w:w="0" w:type="dxa"/>
              <w:right w:w="0" w:type="dxa"/>
            </w:tcMar>
            <w:vAlign w:val="center"/>
          </w:tcPr>
          <w:p w14:paraId="7272D3F3" w14:textId="5F368E8E" w:rsidR="00F012BD" w:rsidRPr="001C3504" w:rsidRDefault="00372FF9" w:rsidP="00F83DE8">
            <w:pPr>
              <w:spacing w:before="20" w:after="20"/>
              <w:ind w:left="100" w:right="100"/>
              <w:jc w:val="right"/>
              <w:rPr>
                <w:sz w:val="18"/>
                <w:szCs w:val="18"/>
              </w:rPr>
            </w:pPr>
            <w:r w:rsidRPr="00372FF9">
              <w:rPr>
                <w:sz w:val="18"/>
                <w:szCs w:val="18"/>
              </w:rPr>
              <w:t>8 (44%</w:t>
            </w:r>
            <w:r w:rsidRPr="00372FF9">
              <w:rPr>
                <w:sz w:val="18"/>
                <w:szCs w:val="18"/>
              </w:rPr>
              <w:tab/>
            </w:r>
          </w:p>
        </w:tc>
      </w:tr>
      <w:tr w:rsidR="00F012BD" w:rsidRPr="001C3504" w14:paraId="42293BB9" w14:textId="77777777" w:rsidTr="00F83DE8">
        <w:trPr>
          <w:cantSplit/>
          <w:jc w:val="center"/>
        </w:trPr>
        <w:tc>
          <w:tcPr>
            <w:tcW w:w="2488" w:type="dxa"/>
            <w:shd w:val="clear" w:color="auto" w:fill="FFFFFF"/>
            <w:tcMar>
              <w:top w:w="0" w:type="dxa"/>
              <w:left w:w="0" w:type="dxa"/>
              <w:bottom w:w="0" w:type="dxa"/>
              <w:right w:w="0" w:type="dxa"/>
            </w:tcMar>
            <w:vAlign w:val="center"/>
          </w:tcPr>
          <w:p w14:paraId="3914F673" w14:textId="77777777" w:rsidR="00F012BD" w:rsidRPr="001C3504" w:rsidRDefault="00F012BD" w:rsidP="00F83DE8">
            <w:pPr>
              <w:spacing w:before="20" w:after="20"/>
              <w:ind w:left="100" w:right="100"/>
              <w:rPr>
                <w:sz w:val="18"/>
                <w:szCs w:val="18"/>
              </w:rPr>
            </w:pPr>
            <w:r>
              <w:rPr>
                <w:sz w:val="18"/>
                <w:szCs w:val="18"/>
              </w:rPr>
              <w:t>No</w:t>
            </w:r>
          </w:p>
        </w:tc>
        <w:tc>
          <w:tcPr>
            <w:tcW w:w="1212" w:type="dxa"/>
            <w:shd w:val="clear" w:color="auto" w:fill="FFFFFF"/>
            <w:tcMar>
              <w:top w:w="0" w:type="dxa"/>
              <w:left w:w="0" w:type="dxa"/>
              <w:bottom w:w="0" w:type="dxa"/>
              <w:right w:w="0" w:type="dxa"/>
            </w:tcMar>
            <w:vAlign w:val="center"/>
          </w:tcPr>
          <w:p w14:paraId="743F799C" w14:textId="67EF37A4" w:rsidR="00F012BD" w:rsidRPr="001C3504" w:rsidRDefault="00372FF9" w:rsidP="00F83DE8">
            <w:pPr>
              <w:spacing w:before="20" w:after="20"/>
              <w:ind w:left="100" w:right="100"/>
              <w:jc w:val="right"/>
              <w:rPr>
                <w:sz w:val="18"/>
                <w:szCs w:val="18"/>
              </w:rPr>
            </w:pPr>
            <w:r w:rsidRPr="00372FF9">
              <w:rPr>
                <w:sz w:val="18"/>
                <w:szCs w:val="18"/>
              </w:rPr>
              <w:t>10 (56%)</w:t>
            </w:r>
          </w:p>
        </w:tc>
      </w:tr>
      <w:tr w:rsidR="00F012BD" w:rsidRPr="001C3504" w14:paraId="113665FF" w14:textId="77777777" w:rsidTr="00F83DE8">
        <w:trPr>
          <w:cantSplit/>
          <w:jc w:val="center"/>
        </w:trPr>
        <w:tc>
          <w:tcPr>
            <w:tcW w:w="2488" w:type="dxa"/>
            <w:shd w:val="clear" w:color="auto" w:fill="FFFFFF"/>
            <w:tcMar>
              <w:top w:w="0" w:type="dxa"/>
              <w:left w:w="0" w:type="dxa"/>
              <w:bottom w:w="0" w:type="dxa"/>
              <w:right w:w="0" w:type="dxa"/>
            </w:tcMar>
            <w:vAlign w:val="center"/>
          </w:tcPr>
          <w:p w14:paraId="42E51155" w14:textId="77777777" w:rsidR="00F012BD" w:rsidRPr="001C3504" w:rsidRDefault="00F012BD" w:rsidP="00F83DE8">
            <w:pPr>
              <w:spacing w:before="20" w:after="20"/>
              <w:ind w:left="100" w:right="100"/>
              <w:rPr>
                <w:sz w:val="18"/>
                <w:szCs w:val="18"/>
              </w:rPr>
            </w:pPr>
            <w:r w:rsidRPr="002D369D">
              <w:rPr>
                <w:sz w:val="18"/>
                <w:szCs w:val="18"/>
              </w:rPr>
              <w:t>Don't know/ no response</w:t>
            </w:r>
          </w:p>
        </w:tc>
        <w:tc>
          <w:tcPr>
            <w:tcW w:w="1212" w:type="dxa"/>
            <w:shd w:val="clear" w:color="auto" w:fill="FFFFFF"/>
            <w:tcMar>
              <w:top w:w="0" w:type="dxa"/>
              <w:left w:w="0" w:type="dxa"/>
              <w:bottom w:w="0" w:type="dxa"/>
              <w:right w:w="0" w:type="dxa"/>
            </w:tcMar>
            <w:vAlign w:val="center"/>
          </w:tcPr>
          <w:p w14:paraId="68D6BDA6" w14:textId="77777777" w:rsidR="00F012BD" w:rsidRPr="001C3504" w:rsidRDefault="00F012BD" w:rsidP="00F83DE8">
            <w:pPr>
              <w:spacing w:before="20" w:after="20"/>
              <w:ind w:left="100" w:right="100"/>
              <w:jc w:val="right"/>
              <w:rPr>
                <w:sz w:val="18"/>
                <w:szCs w:val="18"/>
              </w:rPr>
            </w:pPr>
            <w:r>
              <w:rPr>
                <w:sz w:val="18"/>
                <w:szCs w:val="18"/>
              </w:rPr>
              <w:t>0</w:t>
            </w:r>
          </w:p>
        </w:tc>
      </w:tr>
    </w:tbl>
    <w:p w14:paraId="6EF38F32" w14:textId="3874792E" w:rsidR="00F012BD" w:rsidRDefault="00F012BD" w:rsidP="00F012BD">
      <w:pPr>
        <w:pStyle w:val="Source"/>
      </w:pPr>
      <w:r w:rsidRPr="001C3504">
        <w:t xml:space="preserve">Source: </w:t>
      </w:r>
      <w:r>
        <w:t>Staff survey</w:t>
      </w:r>
      <w:r w:rsidRPr="001C3504">
        <w:t xml:space="preserve"> </w:t>
      </w:r>
      <w:r>
        <w:t>R</w:t>
      </w:r>
      <w:r w:rsidRPr="001C3504">
        <w:t>5</w:t>
      </w:r>
      <w:r w:rsidR="00DD350A" w:rsidRPr="001C3504">
        <w:t xml:space="preserve"> </w:t>
      </w:r>
      <w:r w:rsidR="00DD350A">
        <w:t>Mar–May 2021</w:t>
      </w:r>
      <w:r w:rsidRPr="001C3504">
        <w:t xml:space="preserve">, </w:t>
      </w:r>
      <w:r>
        <w:t>question</w:t>
      </w:r>
      <w:r w:rsidRPr="001C3504">
        <w:t xml:space="preserve"> 16</w:t>
      </w:r>
      <w:r w:rsidR="00372FF9">
        <w:t>I</w:t>
      </w:r>
      <w:r w:rsidR="00DD350A">
        <w:t>.</w:t>
      </w:r>
    </w:p>
    <w:p w14:paraId="6C29B084" w14:textId="77777777" w:rsidR="0058354B" w:rsidRPr="001B38E3" w:rsidRDefault="0058354B" w:rsidP="001B38E3">
      <w:pPr>
        <w:pStyle w:val="Heading2"/>
      </w:pPr>
      <w:bookmarkStart w:id="498" w:name="_Toc109996771"/>
      <w:r w:rsidRPr="00F861CE">
        <w:t>Pharmacist medication recommendations to GPs</w:t>
      </w:r>
      <w:bookmarkEnd w:id="498"/>
    </w:p>
    <w:p w14:paraId="1665A055" w14:textId="4FE9E38B" w:rsidR="0058354B" w:rsidRPr="00F71DF5" w:rsidRDefault="004D51B9" w:rsidP="0058354B">
      <w:pPr>
        <w:rPr>
          <w:szCs w:val="20"/>
        </w:rPr>
      </w:pPr>
      <w:r w:rsidRPr="004D51B9">
        <w:rPr>
          <w:szCs w:val="20"/>
        </w:rPr>
        <w:t>Some pharmacists had strong working relationships with GPs and HCH practices and actively received feedback or acknowledgment that GPs and practice staff took their recommendatio</w:t>
      </w:r>
      <w:r>
        <w:rPr>
          <w:szCs w:val="20"/>
        </w:rPr>
        <w:t>ns</w:t>
      </w:r>
      <w:r w:rsidRPr="004D51B9">
        <w:rPr>
          <w:szCs w:val="20"/>
        </w:rPr>
        <w:t xml:space="preserve"> into account</w:t>
      </w:r>
      <w:r w:rsidR="0058354B" w:rsidRPr="00F71DF5">
        <w:rPr>
          <w:szCs w:val="20"/>
        </w:rPr>
        <w:t>:</w:t>
      </w:r>
    </w:p>
    <w:p w14:paraId="53C49167" w14:textId="77777777" w:rsidR="0058354B" w:rsidRPr="007A3E85" w:rsidRDefault="0058354B" w:rsidP="00365E4A">
      <w:pPr>
        <w:ind w:left="567" w:right="521"/>
        <w:rPr>
          <w:szCs w:val="20"/>
        </w:rPr>
      </w:pPr>
      <w:r w:rsidRPr="00F71DF5">
        <w:rPr>
          <w:i/>
          <w:iCs/>
          <w:szCs w:val="20"/>
        </w:rPr>
        <w:t>“Yes, certainly, [GPs] would always act on them if you send them a fax or you ring them. As far as what we put out there in the medication management plan that we upload, it’s hard to assess whether they’re reading those and taking all that onboard. But I think generally, yes, would be my gut feeling.”</w:t>
      </w:r>
      <w:r w:rsidRPr="00F71DF5">
        <w:rPr>
          <w:szCs w:val="20"/>
        </w:rPr>
        <w:t xml:space="preserve"> [CP, Pharmacy 1</w:t>
      </w:r>
      <w:r>
        <w:rPr>
          <w:szCs w:val="20"/>
        </w:rPr>
        <w:t>, R4</w:t>
      </w:r>
      <w:r w:rsidRPr="00F71DF5">
        <w:rPr>
          <w:szCs w:val="20"/>
        </w:rPr>
        <w:t>]</w:t>
      </w:r>
    </w:p>
    <w:p w14:paraId="370B02EC" w14:textId="77777777" w:rsidR="0058354B" w:rsidRPr="008A1553" w:rsidRDefault="0058354B" w:rsidP="00365E4A">
      <w:pPr>
        <w:ind w:left="567" w:right="521"/>
        <w:rPr>
          <w:szCs w:val="20"/>
        </w:rPr>
      </w:pPr>
      <w:r w:rsidRPr="00F71DF5">
        <w:rPr>
          <w:i/>
          <w:iCs/>
          <w:szCs w:val="20"/>
        </w:rPr>
        <w:t>“</w:t>
      </w:r>
      <w:r w:rsidRPr="008A1553">
        <w:rPr>
          <w:i/>
          <w:iCs/>
          <w:szCs w:val="20"/>
        </w:rPr>
        <w:t>Yes, I think the doctors are pretty open to accept recommendations. I mean, not just complex matters, but sometimes there’s simple matters as well, for example there’s been a lot of medications which are out of stock at the moment because of COVID and then rather than going without, we recommend the doctor prescribe something else, basically giving ideas to the doctor about what they can prescribe which is similar.</w:t>
      </w:r>
      <w:r>
        <w:rPr>
          <w:i/>
          <w:iCs/>
          <w:szCs w:val="20"/>
        </w:rPr>
        <w:t xml:space="preserve">” </w:t>
      </w:r>
      <w:r>
        <w:rPr>
          <w:szCs w:val="20"/>
        </w:rPr>
        <w:t>[CP, Pharmacy 7, R5]</w:t>
      </w:r>
    </w:p>
    <w:p w14:paraId="3C7BDDCB" w14:textId="77777777" w:rsidR="0058354B" w:rsidRPr="00F71DF5" w:rsidRDefault="0058354B" w:rsidP="0058354B">
      <w:pPr>
        <w:rPr>
          <w:szCs w:val="20"/>
        </w:rPr>
      </w:pPr>
      <w:r w:rsidRPr="00F71DF5">
        <w:rPr>
          <w:szCs w:val="20"/>
        </w:rPr>
        <w:t>Others stated that they have received limited to no engagement from GPs about their patient medication recommendation</w:t>
      </w:r>
      <w:r>
        <w:rPr>
          <w:szCs w:val="20"/>
        </w:rPr>
        <w:t>s</w:t>
      </w:r>
      <w:r w:rsidRPr="00F71DF5">
        <w:rPr>
          <w:szCs w:val="20"/>
        </w:rPr>
        <w:t>:</w:t>
      </w:r>
    </w:p>
    <w:p w14:paraId="76F88837" w14:textId="77777777" w:rsidR="0058354B" w:rsidRPr="00F71DF5" w:rsidRDefault="0058354B" w:rsidP="00C9389C">
      <w:pPr>
        <w:ind w:left="567" w:right="521"/>
        <w:rPr>
          <w:szCs w:val="20"/>
        </w:rPr>
      </w:pPr>
      <w:r w:rsidRPr="00F71DF5">
        <w:rPr>
          <w:i/>
          <w:iCs/>
          <w:szCs w:val="20"/>
        </w:rPr>
        <w:t xml:space="preserve">“… we put any [Home Medicines Reviews] that we’ve been completing, any medication profiles, any monitoring, blood sugar, blood pressure. Anything that we do for the patient is being communicated back through [shared care planning software]. But another part of that is that the GP then needs to review those, and the GPs aren’t reviewing those. So, I think valuable work is being done from our </w:t>
      </w:r>
      <w:r w:rsidRPr="00F71DF5">
        <w:rPr>
          <w:i/>
          <w:iCs/>
          <w:szCs w:val="20"/>
        </w:rPr>
        <w:lastRenderedPageBreak/>
        <w:t>end, and then there</w:t>
      </w:r>
      <w:r w:rsidRPr="00F71DF5">
        <w:rPr>
          <w:rFonts w:cs="Century Gothic"/>
          <w:i/>
          <w:iCs/>
          <w:szCs w:val="20"/>
        </w:rPr>
        <w:t>’</w:t>
      </w:r>
      <w:r w:rsidRPr="00F71DF5">
        <w:rPr>
          <w:i/>
          <w:iCs/>
          <w:szCs w:val="20"/>
        </w:rPr>
        <w:t>s no clinical application of the monitoring that we</w:t>
      </w:r>
      <w:r w:rsidRPr="00F71DF5">
        <w:rPr>
          <w:rFonts w:cs="Century Gothic"/>
          <w:i/>
          <w:iCs/>
          <w:szCs w:val="20"/>
        </w:rPr>
        <w:t>’</w:t>
      </w:r>
      <w:r w:rsidRPr="00F71DF5">
        <w:rPr>
          <w:i/>
          <w:iCs/>
          <w:szCs w:val="20"/>
        </w:rPr>
        <w:t>re actually doing from the pharmacy setting. So, that</w:t>
      </w:r>
      <w:r w:rsidRPr="00F71DF5">
        <w:rPr>
          <w:rFonts w:cs="Century Gothic"/>
          <w:i/>
          <w:iCs/>
          <w:szCs w:val="20"/>
        </w:rPr>
        <w:t>’</w:t>
      </w:r>
      <w:r w:rsidRPr="00F71DF5">
        <w:rPr>
          <w:i/>
          <w:iCs/>
          <w:szCs w:val="20"/>
        </w:rPr>
        <w:t xml:space="preserve">s a bit disappointing as well. It’s just not a priority for them in their practice, I don’t think, at the moment. That’s probably where it’s falling over.” </w:t>
      </w:r>
      <w:r w:rsidRPr="00F71DF5">
        <w:rPr>
          <w:szCs w:val="20"/>
        </w:rPr>
        <w:t>CP, Pharmacy 3</w:t>
      </w:r>
      <w:r>
        <w:rPr>
          <w:szCs w:val="20"/>
        </w:rPr>
        <w:t>, R4</w:t>
      </w:r>
      <w:r w:rsidRPr="00F71DF5">
        <w:rPr>
          <w:szCs w:val="20"/>
        </w:rPr>
        <w:t>]</w:t>
      </w:r>
    </w:p>
    <w:p w14:paraId="378E8D28" w14:textId="6CEA03BE" w:rsidR="0058354B" w:rsidRDefault="0058354B" w:rsidP="00C9389C">
      <w:pPr>
        <w:ind w:left="567" w:right="521"/>
        <w:rPr>
          <w:rFonts w:eastAsia="Times New Roman" w:cs="Arial"/>
          <w:i/>
          <w:iCs/>
          <w:color w:val="000000"/>
          <w:szCs w:val="20"/>
          <w:lang w:eastAsia="en-AU"/>
        </w:rPr>
      </w:pPr>
      <w:r>
        <w:rPr>
          <w:rFonts w:eastAsia="Times New Roman" w:cs="Arial"/>
          <w:i/>
          <w:iCs/>
          <w:color w:val="000000"/>
          <w:szCs w:val="20"/>
          <w:lang w:eastAsia="en-AU"/>
        </w:rPr>
        <w:t>“…</w:t>
      </w:r>
      <w:r w:rsidRPr="00B47F46">
        <w:rPr>
          <w:rFonts w:eastAsia="Times New Roman" w:cs="Arial"/>
          <w:i/>
          <w:iCs/>
          <w:color w:val="000000"/>
          <w:szCs w:val="20"/>
          <w:lang w:eastAsia="en-AU"/>
        </w:rPr>
        <w:t xml:space="preserve">when it comes to medication summary there is room for comments to be put there from us, but I don't think they are most of the time acknowledged or took them into consideration. I've found in my experience at home medicine reviews, when a doctor instigates that as part of a </w:t>
      </w:r>
      <w:r w:rsidRPr="00C9389C">
        <w:rPr>
          <w:i/>
          <w:iCs/>
          <w:szCs w:val="20"/>
        </w:rPr>
        <w:t>team</w:t>
      </w:r>
      <w:r w:rsidRPr="00B47F46">
        <w:rPr>
          <w:rFonts w:eastAsia="Times New Roman" w:cs="Arial"/>
          <w:i/>
          <w:iCs/>
          <w:color w:val="000000"/>
          <w:szCs w:val="20"/>
          <w:lang w:eastAsia="en-AU"/>
        </w:rPr>
        <w:t xml:space="preserve"> care arrangement or whatever they use for their Medicare billing, they tend to review those and take action on those more than what this program did.</w:t>
      </w:r>
      <w:r>
        <w:rPr>
          <w:rFonts w:eastAsia="Times New Roman" w:cs="Arial"/>
          <w:i/>
          <w:iCs/>
          <w:color w:val="000000"/>
          <w:szCs w:val="20"/>
          <w:lang w:eastAsia="en-AU"/>
        </w:rPr>
        <w:t xml:space="preserve">” </w:t>
      </w:r>
      <w:r>
        <w:rPr>
          <w:rFonts w:eastAsia="Times New Roman" w:cs="Arial"/>
          <w:color w:val="000000"/>
          <w:szCs w:val="20"/>
          <w:lang w:eastAsia="en-AU"/>
        </w:rPr>
        <w:t>[CP, Pharmacy 11, R5]</w:t>
      </w:r>
      <w:r w:rsidRPr="00B47F46">
        <w:rPr>
          <w:rFonts w:eastAsia="Times New Roman" w:cs="Arial"/>
          <w:i/>
          <w:iCs/>
          <w:color w:val="000000"/>
          <w:szCs w:val="20"/>
          <w:lang w:eastAsia="en-AU"/>
        </w:rPr>
        <w:t xml:space="preserve"> </w:t>
      </w:r>
    </w:p>
    <w:p w14:paraId="72CA1603" w14:textId="77777777" w:rsidR="0058354B" w:rsidRPr="005956EF" w:rsidRDefault="0058354B" w:rsidP="00C9389C">
      <w:pPr>
        <w:ind w:left="567" w:right="521"/>
        <w:rPr>
          <w:rFonts w:eastAsia="Times New Roman" w:cs="Arial"/>
          <w:color w:val="000000"/>
          <w:szCs w:val="20"/>
          <w:lang w:eastAsia="en-AU"/>
        </w:rPr>
      </w:pPr>
      <w:r>
        <w:rPr>
          <w:rFonts w:eastAsia="Times New Roman" w:cs="Arial"/>
          <w:i/>
          <w:iCs/>
          <w:color w:val="000000"/>
          <w:szCs w:val="20"/>
          <w:lang w:eastAsia="en-AU"/>
        </w:rPr>
        <w:t>“</w:t>
      </w:r>
      <w:r w:rsidRPr="00EA66C4">
        <w:rPr>
          <w:rFonts w:eastAsia="Times New Roman" w:cs="Arial"/>
          <w:i/>
          <w:iCs/>
          <w:color w:val="000000"/>
          <w:szCs w:val="20"/>
          <w:lang w:eastAsia="en-AU"/>
        </w:rPr>
        <w:t>If it’s just put in the notes, it’s probably a 30% chance that they’ll take up that recommendation</w:t>
      </w:r>
      <w:r>
        <w:rPr>
          <w:rFonts w:eastAsia="Times New Roman" w:cs="Arial"/>
          <w:i/>
          <w:iCs/>
          <w:color w:val="000000"/>
          <w:szCs w:val="20"/>
          <w:lang w:eastAsia="en-AU"/>
        </w:rPr>
        <w:t>…</w:t>
      </w:r>
      <w:r w:rsidRPr="005956EF">
        <w:t xml:space="preserve"> </w:t>
      </w:r>
      <w:r w:rsidRPr="005956EF">
        <w:rPr>
          <w:rFonts w:eastAsia="Times New Roman" w:cs="Arial"/>
          <w:i/>
          <w:iCs/>
          <w:color w:val="000000"/>
          <w:szCs w:val="20"/>
          <w:lang w:eastAsia="en-AU"/>
        </w:rPr>
        <w:t xml:space="preserve">If it’s </w:t>
      </w:r>
      <w:r w:rsidRPr="00C9389C">
        <w:rPr>
          <w:i/>
          <w:iCs/>
          <w:szCs w:val="20"/>
        </w:rPr>
        <w:t>urgent</w:t>
      </w:r>
      <w:r w:rsidRPr="005956EF">
        <w:rPr>
          <w:rFonts w:eastAsia="Times New Roman" w:cs="Arial"/>
          <w:i/>
          <w:iCs/>
          <w:color w:val="000000"/>
          <w:szCs w:val="20"/>
          <w:lang w:eastAsia="en-AU"/>
        </w:rPr>
        <w:t>, then I’ll have to call the doctor</w:t>
      </w:r>
      <w:r>
        <w:rPr>
          <w:rFonts w:eastAsia="Times New Roman" w:cs="Arial"/>
          <w:i/>
          <w:iCs/>
          <w:color w:val="000000"/>
          <w:szCs w:val="20"/>
          <w:lang w:eastAsia="en-AU"/>
        </w:rPr>
        <w:t xml:space="preserve">.” </w:t>
      </w:r>
      <w:r>
        <w:rPr>
          <w:rFonts w:eastAsia="Times New Roman" w:cs="Arial"/>
          <w:color w:val="000000"/>
          <w:szCs w:val="20"/>
          <w:lang w:eastAsia="en-AU"/>
        </w:rPr>
        <w:t>[CP, Pharmacy 2, R5]</w:t>
      </w:r>
    </w:p>
    <w:p w14:paraId="4DBB732A" w14:textId="7C3DBA22" w:rsidR="0058354B" w:rsidRPr="00F71DF5" w:rsidRDefault="0058354B" w:rsidP="0058354B">
      <w:pPr>
        <w:rPr>
          <w:szCs w:val="20"/>
        </w:rPr>
      </w:pPr>
      <w:r w:rsidRPr="00F71DF5">
        <w:rPr>
          <w:szCs w:val="20"/>
        </w:rPr>
        <w:t>One pharmacist reported negative comments from a GP about their clinical recommendations:</w:t>
      </w:r>
    </w:p>
    <w:p w14:paraId="2B3DF8B0" w14:textId="71676000" w:rsidR="0058354B" w:rsidRDefault="0058354B" w:rsidP="00C9389C">
      <w:pPr>
        <w:ind w:left="567" w:right="521"/>
        <w:rPr>
          <w:szCs w:val="20"/>
        </w:rPr>
      </w:pPr>
      <w:r w:rsidRPr="00F71DF5">
        <w:rPr>
          <w:i/>
          <w:iCs/>
          <w:szCs w:val="20"/>
        </w:rPr>
        <w:t>“I had a couple of patients where I’d sent through recommendations …</w:t>
      </w:r>
      <w:r w:rsidR="00D225A5">
        <w:rPr>
          <w:i/>
          <w:iCs/>
          <w:szCs w:val="20"/>
        </w:rPr>
        <w:t xml:space="preserve"> </w:t>
      </w:r>
      <w:r w:rsidRPr="00F71DF5">
        <w:rPr>
          <w:i/>
          <w:iCs/>
          <w:szCs w:val="20"/>
        </w:rPr>
        <w:t xml:space="preserve">he had rung me up and had a fair long go at me for doing something he thought was outside my scope of practice … I think he’s rung me twice, and one of them was really unpleasant. And I was just, hang on a minute. And at the end of it I thought, I haven’t done anything that was overstepping the lines, clinically, at all … It’s just that he feels that absolutely everything a pharmacist does is trying to tread on the toes of the GP.” </w:t>
      </w:r>
      <w:r w:rsidRPr="00F71DF5">
        <w:rPr>
          <w:szCs w:val="20"/>
        </w:rPr>
        <w:t>[CP, Pharmacy 10</w:t>
      </w:r>
      <w:r>
        <w:rPr>
          <w:szCs w:val="20"/>
        </w:rPr>
        <w:t>, R4</w:t>
      </w:r>
      <w:r w:rsidRPr="00F71DF5">
        <w:rPr>
          <w:szCs w:val="20"/>
        </w:rPr>
        <w:t>]</w:t>
      </w:r>
    </w:p>
    <w:p w14:paraId="210EA596" w14:textId="4B595C1B" w:rsidR="00EF500E" w:rsidRDefault="005B6ADA" w:rsidP="00EF500E">
      <w:r>
        <w:rPr>
          <w:szCs w:val="20"/>
        </w:rPr>
        <w:t xml:space="preserve">In the final staff survey for the evaluation, GPs were asked </w:t>
      </w:r>
      <w:r w:rsidR="009E763E">
        <w:rPr>
          <w:szCs w:val="20"/>
        </w:rPr>
        <w:t>what p</w:t>
      </w:r>
      <w:r w:rsidR="009E763E" w:rsidRPr="009E763E">
        <w:rPr>
          <w:szCs w:val="20"/>
        </w:rPr>
        <w:t>roportion</w:t>
      </w:r>
      <w:r w:rsidR="009E763E">
        <w:rPr>
          <w:szCs w:val="20"/>
        </w:rPr>
        <w:t xml:space="preserve"> of </w:t>
      </w:r>
      <w:r w:rsidR="009E763E" w:rsidRPr="009E763E">
        <w:rPr>
          <w:szCs w:val="20"/>
        </w:rPr>
        <w:t>community pharmacists</w:t>
      </w:r>
      <w:r w:rsidR="00DA0750">
        <w:rPr>
          <w:szCs w:val="20"/>
        </w:rPr>
        <w:t>’</w:t>
      </w:r>
      <w:r w:rsidR="009E763E" w:rsidRPr="009E763E">
        <w:rPr>
          <w:szCs w:val="20"/>
        </w:rPr>
        <w:t xml:space="preserve"> recommendations that</w:t>
      </w:r>
      <w:r w:rsidR="00DA0750">
        <w:rPr>
          <w:szCs w:val="20"/>
        </w:rPr>
        <w:t xml:space="preserve"> they received for their patients they</w:t>
      </w:r>
      <w:r w:rsidR="009E763E" w:rsidRPr="009E763E">
        <w:rPr>
          <w:szCs w:val="20"/>
        </w:rPr>
        <w:t xml:space="preserve"> GP acted on</w:t>
      </w:r>
      <w:r w:rsidR="00DA0750">
        <w:rPr>
          <w:szCs w:val="20"/>
        </w:rPr>
        <w:t>.</w:t>
      </w:r>
      <w:r w:rsidR="00D41B9F">
        <w:rPr>
          <w:szCs w:val="20"/>
        </w:rPr>
        <w:t xml:space="preserve"> </w:t>
      </w:r>
      <w:r w:rsidR="006417D3">
        <w:rPr>
          <w:szCs w:val="20"/>
        </w:rPr>
        <w:t>The responses were spread, but one-</w:t>
      </w:r>
      <w:r w:rsidR="003A6B87">
        <w:rPr>
          <w:szCs w:val="20"/>
        </w:rPr>
        <w:t>quarter said less than 20%</w:t>
      </w:r>
      <w:r w:rsidR="006417D3">
        <w:rPr>
          <w:szCs w:val="20"/>
        </w:rPr>
        <w:t xml:space="preserve"> (</w:t>
      </w:r>
      <w:r w:rsidR="003E58D8" w:rsidRPr="006417D3">
        <w:rPr>
          <w:rFonts w:eastAsiaTheme="minorEastAsia"/>
          <w:color w:val="1D2455"/>
          <w:szCs w:val="20"/>
          <w:lang w:eastAsia="en-AU"/>
        </w:rPr>
        <w:fldChar w:fldCharType="begin"/>
      </w:r>
      <w:r w:rsidR="003E58D8" w:rsidRPr="006417D3">
        <w:rPr>
          <w:rFonts w:eastAsiaTheme="minorEastAsia"/>
          <w:color w:val="1D2455"/>
          <w:szCs w:val="20"/>
          <w:lang w:eastAsia="en-AU"/>
        </w:rPr>
        <w:instrText xml:space="preserve"> REF _Ref98767616 \h </w:instrText>
      </w:r>
      <w:r w:rsidR="006417D3">
        <w:rPr>
          <w:rFonts w:eastAsiaTheme="minorEastAsia"/>
          <w:color w:val="1D2455"/>
          <w:szCs w:val="20"/>
          <w:lang w:eastAsia="en-AU"/>
        </w:rPr>
        <w:instrText xml:space="preserve"> \* MERGEFORMAT </w:instrText>
      </w:r>
      <w:r w:rsidR="003E58D8" w:rsidRPr="006417D3">
        <w:rPr>
          <w:rFonts w:eastAsiaTheme="minorEastAsia"/>
          <w:color w:val="1D2455"/>
          <w:szCs w:val="20"/>
          <w:lang w:eastAsia="en-AU"/>
        </w:rPr>
      </w:r>
      <w:r w:rsidR="003E58D8" w:rsidRPr="006417D3">
        <w:rPr>
          <w:rFonts w:eastAsiaTheme="minorEastAsia"/>
          <w:color w:val="1D2455"/>
          <w:szCs w:val="20"/>
          <w:lang w:eastAsia="en-AU"/>
        </w:rPr>
        <w:fldChar w:fldCharType="separate"/>
      </w:r>
      <w:r w:rsidR="003C4BC2" w:rsidRPr="003C4BC2">
        <w:rPr>
          <w:rFonts w:eastAsiaTheme="minorEastAsia"/>
          <w:color w:val="1D2455"/>
          <w:szCs w:val="20"/>
          <w:lang w:eastAsia="en-AU"/>
        </w:rPr>
        <w:t>Table 79</w:t>
      </w:r>
      <w:r w:rsidR="003E58D8" w:rsidRPr="006417D3">
        <w:rPr>
          <w:rFonts w:eastAsiaTheme="minorEastAsia"/>
          <w:color w:val="1D2455"/>
          <w:szCs w:val="20"/>
          <w:lang w:eastAsia="en-AU"/>
        </w:rPr>
        <w:fldChar w:fldCharType="end"/>
      </w:r>
      <w:r w:rsidR="006417D3">
        <w:rPr>
          <w:szCs w:val="20"/>
        </w:rPr>
        <w:t>)</w:t>
      </w:r>
      <w:r w:rsidR="003E58D8">
        <w:rPr>
          <w:szCs w:val="20"/>
        </w:rPr>
        <w:t xml:space="preserve">. </w:t>
      </w:r>
      <w:r w:rsidR="003E58D8" w:rsidRPr="0079654C">
        <w:rPr>
          <w:rFonts w:eastAsiaTheme="minorEastAsia"/>
          <w:color w:val="1D2455"/>
          <w:szCs w:val="20"/>
          <w:lang w:eastAsia="en-AU"/>
        </w:rPr>
        <w:fldChar w:fldCharType="begin"/>
      </w:r>
      <w:r w:rsidR="003E58D8" w:rsidRPr="0079654C">
        <w:rPr>
          <w:rFonts w:eastAsiaTheme="minorEastAsia"/>
          <w:color w:val="1D2455"/>
          <w:szCs w:val="20"/>
          <w:lang w:eastAsia="en-AU"/>
        </w:rPr>
        <w:instrText xml:space="preserve"> REF _Ref98767628 \h </w:instrText>
      </w:r>
      <w:r w:rsidR="0079654C">
        <w:rPr>
          <w:rFonts w:eastAsiaTheme="minorEastAsia"/>
          <w:color w:val="1D2455"/>
          <w:szCs w:val="20"/>
          <w:lang w:eastAsia="en-AU"/>
        </w:rPr>
        <w:instrText xml:space="preserve"> \* MERGEFORMAT </w:instrText>
      </w:r>
      <w:r w:rsidR="003E58D8" w:rsidRPr="0079654C">
        <w:rPr>
          <w:rFonts w:eastAsiaTheme="minorEastAsia"/>
          <w:color w:val="1D2455"/>
          <w:szCs w:val="20"/>
          <w:lang w:eastAsia="en-AU"/>
        </w:rPr>
      </w:r>
      <w:r w:rsidR="003E58D8" w:rsidRPr="0079654C">
        <w:rPr>
          <w:rFonts w:eastAsiaTheme="minorEastAsia"/>
          <w:color w:val="1D2455"/>
          <w:szCs w:val="20"/>
          <w:lang w:eastAsia="en-AU"/>
        </w:rPr>
        <w:fldChar w:fldCharType="separate"/>
      </w:r>
      <w:r w:rsidR="003C4BC2" w:rsidRPr="003C4BC2">
        <w:rPr>
          <w:rFonts w:eastAsiaTheme="minorEastAsia"/>
          <w:color w:val="1D2455"/>
          <w:szCs w:val="20"/>
          <w:lang w:eastAsia="en-AU"/>
        </w:rPr>
        <w:t xml:space="preserve">Table </w:t>
      </w:r>
      <w:r w:rsidR="003C4BC2">
        <w:rPr>
          <w:noProof/>
        </w:rPr>
        <w:t>80</w:t>
      </w:r>
      <w:r w:rsidR="003E58D8" w:rsidRPr="0079654C">
        <w:rPr>
          <w:rFonts w:eastAsiaTheme="minorEastAsia"/>
          <w:color w:val="1D2455"/>
          <w:szCs w:val="20"/>
          <w:lang w:eastAsia="en-AU"/>
        </w:rPr>
        <w:fldChar w:fldCharType="end"/>
      </w:r>
      <w:r w:rsidR="006417D3" w:rsidRPr="0079654C">
        <w:rPr>
          <w:rFonts w:eastAsiaTheme="minorEastAsia"/>
          <w:color w:val="1D2455"/>
          <w:szCs w:val="20"/>
          <w:lang w:eastAsia="en-AU"/>
        </w:rPr>
        <w:t xml:space="preserve"> </w:t>
      </w:r>
      <w:r w:rsidR="006417D3">
        <w:rPr>
          <w:szCs w:val="20"/>
        </w:rPr>
        <w:t>shows the reasons that GPs gave</w:t>
      </w:r>
      <w:r w:rsidR="000F26A5">
        <w:rPr>
          <w:szCs w:val="20"/>
        </w:rPr>
        <w:t xml:space="preserve"> for not responding to community pharmacists’ recommendations most of the time. </w:t>
      </w:r>
      <w:r w:rsidR="0091198E">
        <w:rPr>
          <w:szCs w:val="20"/>
        </w:rPr>
        <w:t>Close to two</w:t>
      </w:r>
      <w:r w:rsidR="001D0F94">
        <w:rPr>
          <w:szCs w:val="20"/>
        </w:rPr>
        <w:t xml:space="preserve"> </w:t>
      </w:r>
      <w:r w:rsidR="0091198E">
        <w:rPr>
          <w:szCs w:val="20"/>
        </w:rPr>
        <w:t>thirds said that they did not agree with the recommendation or judged that it wasn’t valuable</w:t>
      </w:r>
      <w:r w:rsidR="0079654C">
        <w:rPr>
          <w:szCs w:val="20"/>
        </w:rPr>
        <w:t>.</w:t>
      </w:r>
    </w:p>
    <w:p w14:paraId="260E6886" w14:textId="7E4C30AC" w:rsidR="00E05E89" w:rsidRPr="00360C6F" w:rsidRDefault="00E05E89" w:rsidP="00E05E89">
      <w:pPr>
        <w:pStyle w:val="TableorFigurecaptionHPA"/>
      </w:pPr>
      <w:bookmarkStart w:id="499" w:name="_Ref98767616"/>
      <w:r w:rsidRPr="00360C6F">
        <w:t xml:space="preserve">Table </w:t>
      </w:r>
      <w:r w:rsidRPr="00360C6F">
        <w:fldChar w:fldCharType="begin"/>
      </w:r>
      <w:r w:rsidRPr="00360C6F">
        <w:instrText>SEQ Table \* ARABIC</w:instrText>
      </w:r>
      <w:r w:rsidRPr="00360C6F">
        <w:fldChar w:fldCharType="separate"/>
      </w:r>
      <w:r w:rsidR="003C4BC2">
        <w:rPr>
          <w:noProof/>
        </w:rPr>
        <w:t>79</w:t>
      </w:r>
      <w:r w:rsidRPr="00360C6F">
        <w:fldChar w:fldCharType="end"/>
      </w:r>
      <w:bookmarkEnd w:id="499"/>
      <w:r>
        <w:t xml:space="preserve">: </w:t>
      </w:r>
      <w:r w:rsidRPr="00360C6F">
        <w:t xml:space="preserve">Proportion </w:t>
      </w:r>
      <w:r w:rsidR="00D83E9C">
        <w:t xml:space="preserve">of </w:t>
      </w:r>
      <w:r w:rsidRPr="00360C6F">
        <w:t>the community pharmacists</w:t>
      </w:r>
      <w:r w:rsidR="004D710B">
        <w:t>’</w:t>
      </w:r>
      <w:r w:rsidRPr="00360C6F">
        <w:t xml:space="preserve"> recommendations that GP</w:t>
      </w:r>
      <w:r w:rsidR="004D710B">
        <w:t>s</w:t>
      </w:r>
      <w:r w:rsidRPr="00360C6F">
        <w:t xml:space="preserve"> acted on</w:t>
      </w:r>
    </w:p>
    <w:tbl>
      <w:tblPr>
        <w:tblW w:w="3981"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2699"/>
        <w:gridCol w:w="1282"/>
      </w:tblGrid>
      <w:tr w:rsidR="00E05E89" w:rsidRPr="001C3504" w14:paraId="26F0934D" w14:textId="77777777" w:rsidTr="00DA0750">
        <w:trPr>
          <w:cantSplit/>
          <w:tblHeader/>
          <w:jc w:val="center"/>
        </w:trPr>
        <w:tc>
          <w:tcPr>
            <w:tcW w:w="2699" w:type="dxa"/>
            <w:shd w:val="clear" w:color="auto" w:fill="408BCA"/>
            <w:tcMar>
              <w:top w:w="0" w:type="dxa"/>
              <w:left w:w="0" w:type="dxa"/>
              <w:bottom w:w="0" w:type="dxa"/>
              <w:right w:w="0" w:type="dxa"/>
            </w:tcMar>
            <w:vAlign w:val="center"/>
          </w:tcPr>
          <w:p w14:paraId="11CCB1BA" w14:textId="77777777" w:rsidR="00E05E89" w:rsidRPr="001C3504" w:rsidRDefault="00E05E89" w:rsidP="00F83DE8">
            <w:pPr>
              <w:spacing w:before="20" w:after="20"/>
              <w:ind w:left="100" w:right="100"/>
              <w:jc w:val="center"/>
              <w:rPr>
                <w:sz w:val="18"/>
                <w:szCs w:val="18"/>
              </w:rPr>
            </w:pPr>
            <w:r w:rsidRPr="001C3504">
              <w:rPr>
                <w:rFonts w:eastAsia="Century Gothic" w:cs="Century Gothic"/>
                <w:b/>
                <w:color w:val="FFFFFF"/>
                <w:sz w:val="18"/>
                <w:szCs w:val="18"/>
              </w:rPr>
              <w:t>Response</w:t>
            </w:r>
          </w:p>
        </w:tc>
        <w:tc>
          <w:tcPr>
            <w:tcW w:w="1282" w:type="dxa"/>
            <w:shd w:val="clear" w:color="auto" w:fill="408BCA"/>
            <w:tcMar>
              <w:top w:w="0" w:type="dxa"/>
              <w:left w:w="0" w:type="dxa"/>
              <w:bottom w:w="0" w:type="dxa"/>
              <w:right w:w="0" w:type="dxa"/>
            </w:tcMar>
            <w:vAlign w:val="center"/>
          </w:tcPr>
          <w:p w14:paraId="74CAE643" w14:textId="77777777" w:rsidR="00E05E89" w:rsidRPr="001C3504" w:rsidRDefault="00E05E89" w:rsidP="00F83DE8">
            <w:pPr>
              <w:spacing w:before="20" w:after="20"/>
              <w:ind w:left="100" w:right="100"/>
              <w:jc w:val="center"/>
              <w:rPr>
                <w:sz w:val="18"/>
                <w:szCs w:val="18"/>
              </w:rPr>
            </w:pPr>
            <w:r w:rsidRPr="001C3504">
              <w:rPr>
                <w:rFonts w:eastAsia="Century Gothic" w:cs="Century Gothic"/>
                <w:b/>
                <w:color w:val="FFFFFF"/>
                <w:sz w:val="18"/>
                <w:szCs w:val="18"/>
              </w:rPr>
              <w:t>n (%)</w:t>
            </w:r>
          </w:p>
        </w:tc>
      </w:tr>
      <w:tr w:rsidR="00E05E89" w:rsidRPr="001C3504" w14:paraId="56064A03" w14:textId="77777777" w:rsidTr="00DA0750">
        <w:trPr>
          <w:cantSplit/>
          <w:jc w:val="center"/>
        </w:trPr>
        <w:tc>
          <w:tcPr>
            <w:tcW w:w="2699" w:type="dxa"/>
            <w:shd w:val="clear" w:color="auto" w:fill="FFFFFF"/>
            <w:tcMar>
              <w:top w:w="0" w:type="dxa"/>
              <w:left w:w="0" w:type="dxa"/>
              <w:bottom w:w="0" w:type="dxa"/>
              <w:right w:w="0" w:type="dxa"/>
            </w:tcMar>
            <w:vAlign w:val="center"/>
          </w:tcPr>
          <w:p w14:paraId="764FA74B" w14:textId="77777777" w:rsidR="00E05E89" w:rsidRPr="001C3504" w:rsidRDefault="00E05E89" w:rsidP="00F83DE8">
            <w:pPr>
              <w:spacing w:before="20" w:after="20"/>
              <w:ind w:left="100" w:right="100"/>
              <w:rPr>
                <w:sz w:val="18"/>
                <w:szCs w:val="18"/>
              </w:rPr>
            </w:pPr>
            <w:r w:rsidRPr="001C3504">
              <w:rPr>
                <w:rFonts w:eastAsia="Century Gothic" w:cs="Century Gothic"/>
                <w:color w:val="000000"/>
                <w:sz w:val="18"/>
                <w:szCs w:val="18"/>
              </w:rPr>
              <w:t>0</w:t>
            </w:r>
            <w:r>
              <w:rPr>
                <w:rFonts w:eastAsia="Century Gothic" w:cs="Century Gothic"/>
                <w:color w:val="000000"/>
                <w:sz w:val="18"/>
                <w:szCs w:val="18"/>
              </w:rPr>
              <w:t>–</w:t>
            </w:r>
            <w:r w:rsidRPr="001C3504">
              <w:rPr>
                <w:rFonts w:eastAsia="Century Gothic" w:cs="Century Gothic"/>
                <w:color w:val="000000"/>
                <w:sz w:val="18"/>
                <w:szCs w:val="18"/>
              </w:rPr>
              <w:t>20%</w:t>
            </w:r>
          </w:p>
        </w:tc>
        <w:tc>
          <w:tcPr>
            <w:tcW w:w="1282" w:type="dxa"/>
            <w:shd w:val="clear" w:color="auto" w:fill="FFFFFF"/>
            <w:tcMar>
              <w:top w:w="0" w:type="dxa"/>
              <w:left w:w="0" w:type="dxa"/>
              <w:bottom w:w="0" w:type="dxa"/>
              <w:right w:w="0" w:type="dxa"/>
            </w:tcMar>
            <w:vAlign w:val="center"/>
          </w:tcPr>
          <w:p w14:paraId="68D1DC88" w14:textId="77777777" w:rsidR="00E05E89" w:rsidRPr="001C3504" w:rsidRDefault="00E05E89" w:rsidP="00F83DE8">
            <w:pPr>
              <w:spacing w:before="20" w:after="20"/>
              <w:ind w:left="100" w:right="100"/>
              <w:jc w:val="right"/>
              <w:rPr>
                <w:sz w:val="18"/>
                <w:szCs w:val="18"/>
              </w:rPr>
            </w:pPr>
            <w:r w:rsidRPr="001C3504">
              <w:rPr>
                <w:rFonts w:eastAsia="Century Gothic" w:cs="Century Gothic"/>
                <w:color w:val="000000"/>
                <w:sz w:val="18"/>
                <w:szCs w:val="18"/>
              </w:rPr>
              <w:t>6 (26%)</w:t>
            </w:r>
          </w:p>
        </w:tc>
      </w:tr>
      <w:tr w:rsidR="00E05E89" w:rsidRPr="001C3504" w14:paraId="1A3395EB" w14:textId="77777777" w:rsidTr="00DA0750">
        <w:trPr>
          <w:cantSplit/>
          <w:jc w:val="center"/>
        </w:trPr>
        <w:tc>
          <w:tcPr>
            <w:tcW w:w="2699" w:type="dxa"/>
            <w:shd w:val="clear" w:color="auto" w:fill="FFFFFF"/>
            <w:tcMar>
              <w:top w:w="0" w:type="dxa"/>
              <w:left w:w="0" w:type="dxa"/>
              <w:bottom w:w="0" w:type="dxa"/>
              <w:right w:w="0" w:type="dxa"/>
            </w:tcMar>
            <w:vAlign w:val="center"/>
          </w:tcPr>
          <w:p w14:paraId="4A52318D" w14:textId="77777777" w:rsidR="00E05E89" w:rsidRPr="001C3504" w:rsidRDefault="00E05E89" w:rsidP="00F83DE8">
            <w:pPr>
              <w:spacing w:before="20" w:after="20"/>
              <w:ind w:left="100" w:right="100"/>
              <w:rPr>
                <w:sz w:val="18"/>
                <w:szCs w:val="18"/>
              </w:rPr>
            </w:pPr>
            <w:r w:rsidRPr="001C3504">
              <w:rPr>
                <w:rFonts w:eastAsia="Century Gothic" w:cs="Century Gothic"/>
                <w:color w:val="000000"/>
                <w:sz w:val="18"/>
                <w:szCs w:val="18"/>
              </w:rPr>
              <w:t>21</w:t>
            </w:r>
            <w:r>
              <w:rPr>
                <w:rFonts w:eastAsia="Century Gothic" w:cs="Century Gothic"/>
                <w:color w:val="000000"/>
                <w:sz w:val="18"/>
                <w:szCs w:val="18"/>
              </w:rPr>
              <w:t>–</w:t>
            </w:r>
            <w:r w:rsidRPr="001C3504">
              <w:rPr>
                <w:rFonts w:eastAsia="Century Gothic" w:cs="Century Gothic"/>
                <w:color w:val="000000"/>
                <w:sz w:val="18"/>
                <w:szCs w:val="18"/>
              </w:rPr>
              <w:t>40%</w:t>
            </w:r>
          </w:p>
        </w:tc>
        <w:tc>
          <w:tcPr>
            <w:tcW w:w="1282" w:type="dxa"/>
            <w:shd w:val="clear" w:color="auto" w:fill="FFFFFF"/>
            <w:tcMar>
              <w:top w:w="0" w:type="dxa"/>
              <w:left w:w="0" w:type="dxa"/>
              <w:bottom w:w="0" w:type="dxa"/>
              <w:right w:w="0" w:type="dxa"/>
            </w:tcMar>
            <w:vAlign w:val="center"/>
          </w:tcPr>
          <w:p w14:paraId="4E43CD9B" w14:textId="77777777" w:rsidR="00E05E89" w:rsidRPr="001C3504" w:rsidRDefault="00E05E89" w:rsidP="00F83DE8">
            <w:pPr>
              <w:spacing w:before="20" w:after="20"/>
              <w:ind w:left="100" w:right="100"/>
              <w:jc w:val="right"/>
              <w:rPr>
                <w:sz w:val="18"/>
                <w:szCs w:val="18"/>
              </w:rPr>
            </w:pPr>
            <w:r w:rsidRPr="001C3504">
              <w:rPr>
                <w:rFonts w:eastAsia="Century Gothic" w:cs="Century Gothic"/>
                <w:color w:val="000000"/>
                <w:sz w:val="18"/>
                <w:szCs w:val="18"/>
              </w:rPr>
              <w:t>2 (9%)</w:t>
            </w:r>
          </w:p>
        </w:tc>
      </w:tr>
      <w:tr w:rsidR="00E05E89" w:rsidRPr="001C3504" w14:paraId="3FA75511" w14:textId="77777777" w:rsidTr="00DA0750">
        <w:trPr>
          <w:cantSplit/>
          <w:jc w:val="center"/>
        </w:trPr>
        <w:tc>
          <w:tcPr>
            <w:tcW w:w="2699" w:type="dxa"/>
            <w:shd w:val="clear" w:color="auto" w:fill="FFFFFF"/>
            <w:tcMar>
              <w:top w:w="0" w:type="dxa"/>
              <w:left w:w="0" w:type="dxa"/>
              <w:bottom w:w="0" w:type="dxa"/>
              <w:right w:w="0" w:type="dxa"/>
            </w:tcMar>
            <w:vAlign w:val="center"/>
          </w:tcPr>
          <w:p w14:paraId="480B0D58" w14:textId="77777777" w:rsidR="00E05E89" w:rsidRPr="001C3504" w:rsidRDefault="00E05E89" w:rsidP="00F83DE8">
            <w:pPr>
              <w:spacing w:before="20" w:after="20"/>
              <w:ind w:left="100" w:right="100"/>
              <w:rPr>
                <w:sz w:val="18"/>
                <w:szCs w:val="18"/>
              </w:rPr>
            </w:pPr>
            <w:r w:rsidRPr="001C3504">
              <w:rPr>
                <w:rFonts w:eastAsia="Century Gothic" w:cs="Century Gothic"/>
                <w:color w:val="000000"/>
                <w:sz w:val="18"/>
                <w:szCs w:val="18"/>
              </w:rPr>
              <w:t>41</w:t>
            </w:r>
            <w:r>
              <w:rPr>
                <w:rFonts w:eastAsia="Century Gothic" w:cs="Century Gothic"/>
                <w:color w:val="000000"/>
                <w:sz w:val="18"/>
                <w:szCs w:val="18"/>
              </w:rPr>
              <w:t>–</w:t>
            </w:r>
            <w:r w:rsidRPr="001C3504">
              <w:rPr>
                <w:rFonts w:eastAsia="Century Gothic" w:cs="Century Gothic"/>
                <w:color w:val="000000"/>
                <w:sz w:val="18"/>
                <w:szCs w:val="18"/>
              </w:rPr>
              <w:t>60%</w:t>
            </w:r>
          </w:p>
        </w:tc>
        <w:tc>
          <w:tcPr>
            <w:tcW w:w="1282" w:type="dxa"/>
            <w:shd w:val="clear" w:color="auto" w:fill="FFFFFF"/>
            <w:tcMar>
              <w:top w:w="0" w:type="dxa"/>
              <w:left w:w="0" w:type="dxa"/>
              <w:bottom w:w="0" w:type="dxa"/>
              <w:right w:w="0" w:type="dxa"/>
            </w:tcMar>
            <w:vAlign w:val="center"/>
          </w:tcPr>
          <w:p w14:paraId="6B0BD2EA" w14:textId="77777777" w:rsidR="00E05E89" w:rsidRPr="001C3504" w:rsidRDefault="00E05E89" w:rsidP="00F83DE8">
            <w:pPr>
              <w:spacing w:before="20" w:after="20"/>
              <w:ind w:left="100" w:right="100"/>
              <w:jc w:val="right"/>
              <w:rPr>
                <w:sz w:val="18"/>
                <w:szCs w:val="18"/>
              </w:rPr>
            </w:pPr>
            <w:r w:rsidRPr="001C3504">
              <w:rPr>
                <w:rFonts w:eastAsia="Century Gothic" w:cs="Century Gothic"/>
                <w:color w:val="000000"/>
                <w:sz w:val="18"/>
                <w:szCs w:val="18"/>
              </w:rPr>
              <w:t>6 (26%)</w:t>
            </w:r>
          </w:p>
        </w:tc>
      </w:tr>
      <w:tr w:rsidR="00E05E89" w:rsidRPr="001C3504" w14:paraId="690AECEB" w14:textId="77777777" w:rsidTr="00DA0750">
        <w:trPr>
          <w:cantSplit/>
          <w:jc w:val="center"/>
        </w:trPr>
        <w:tc>
          <w:tcPr>
            <w:tcW w:w="2699" w:type="dxa"/>
            <w:shd w:val="clear" w:color="auto" w:fill="FFFFFF"/>
            <w:tcMar>
              <w:top w:w="0" w:type="dxa"/>
              <w:left w:w="0" w:type="dxa"/>
              <w:bottom w:w="0" w:type="dxa"/>
              <w:right w:w="0" w:type="dxa"/>
            </w:tcMar>
            <w:vAlign w:val="center"/>
          </w:tcPr>
          <w:p w14:paraId="117742F9" w14:textId="77777777" w:rsidR="00E05E89" w:rsidRPr="001C3504" w:rsidRDefault="00E05E89" w:rsidP="00F83DE8">
            <w:pPr>
              <w:spacing w:before="20" w:after="20"/>
              <w:ind w:left="100" w:right="100"/>
              <w:rPr>
                <w:sz w:val="18"/>
                <w:szCs w:val="18"/>
              </w:rPr>
            </w:pPr>
            <w:r w:rsidRPr="001C3504">
              <w:rPr>
                <w:rFonts w:eastAsia="Century Gothic" w:cs="Century Gothic"/>
                <w:color w:val="000000"/>
                <w:sz w:val="18"/>
                <w:szCs w:val="18"/>
              </w:rPr>
              <w:t>61</w:t>
            </w:r>
            <w:r>
              <w:rPr>
                <w:rFonts w:eastAsia="Century Gothic" w:cs="Century Gothic"/>
                <w:color w:val="000000"/>
                <w:sz w:val="18"/>
                <w:szCs w:val="18"/>
              </w:rPr>
              <w:t>–</w:t>
            </w:r>
            <w:r w:rsidRPr="001C3504">
              <w:rPr>
                <w:rFonts w:eastAsia="Century Gothic" w:cs="Century Gothic"/>
                <w:color w:val="000000"/>
                <w:sz w:val="18"/>
                <w:szCs w:val="18"/>
              </w:rPr>
              <w:t>80%</w:t>
            </w:r>
          </w:p>
        </w:tc>
        <w:tc>
          <w:tcPr>
            <w:tcW w:w="1282" w:type="dxa"/>
            <w:shd w:val="clear" w:color="auto" w:fill="FFFFFF"/>
            <w:tcMar>
              <w:top w:w="0" w:type="dxa"/>
              <w:left w:w="0" w:type="dxa"/>
              <w:bottom w:w="0" w:type="dxa"/>
              <w:right w:w="0" w:type="dxa"/>
            </w:tcMar>
            <w:vAlign w:val="center"/>
          </w:tcPr>
          <w:p w14:paraId="2750FD1C" w14:textId="77777777" w:rsidR="00E05E89" w:rsidRPr="001C3504" w:rsidRDefault="00E05E89" w:rsidP="00F83DE8">
            <w:pPr>
              <w:spacing w:before="20" w:after="20"/>
              <w:ind w:left="100" w:right="100"/>
              <w:jc w:val="right"/>
              <w:rPr>
                <w:sz w:val="18"/>
                <w:szCs w:val="18"/>
              </w:rPr>
            </w:pPr>
            <w:r w:rsidRPr="001C3504">
              <w:rPr>
                <w:rFonts w:eastAsia="Century Gothic" w:cs="Century Gothic"/>
                <w:color w:val="000000"/>
                <w:sz w:val="18"/>
                <w:szCs w:val="18"/>
              </w:rPr>
              <w:t>5 (22%)</w:t>
            </w:r>
          </w:p>
        </w:tc>
      </w:tr>
      <w:tr w:rsidR="00E05E89" w:rsidRPr="001C3504" w14:paraId="241586C3" w14:textId="77777777" w:rsidTr="00DA0750">
        <w:trPr>
          <w:cantSplit/>
          <w:jc w:val="center"/>
        </w:trPr>
        <w:tc>
          <w:tcPr>
            <w:tcW w:w="2699" w:type="dxa"/>
            <w:shd w:val="clear" w:color="auto" w:fill="FFFFFF"/>
            <w:tcMar>
              <w:top w:w="0" w:type="dxa"/>
              <w:left w:w="0" w:type="dxa"/>
              <w:bottom w:w="0" w:type="dxa"/>
              <w:right w:w="0" w:type="dxa"/>
            </w:tcMar>
            <w:vAlign w:val="center"/>
          </w:tcPr>
          <w:p w14:paraId="632FD3BA" w14:textId="77777777" w:rsidR="00E05E89" w:rsidRPr="001C3504" w:rsidRDefault="00E05E89" w:rsidP="00F83DE8">
            <w:pPr>
              <w:spacing w:before="20" w:after="20"/>
              <w:ind w:left="100" w:right="100"/>
              <w:rPr>
                <w:sz w:val="18"/>
                <w:szCs w:val="18"/>
              </w:rPr>
            </w:pPr>
            <w:r w:rsidRPr="001C3504">
              <w:rPr>
                <w:rFonts w:eastAsia="Century Gothic" w:cs="Century Gothic"/>
                <w:color w:val="000000"/>
                <w:sz w:val="18"/>
                <w:szCs w:val="18"/>
              </w:rPr>
              <w:t>81</w:t>
            </w:r>
            <w:r>
              <w:rPr>
                <w:rFonts w:eastAsia="Century Gothic" w:cs="Century Gothic"/>
                <w:color w:val="000000"/>
                <w:sz w:val="18"/>
                <w:szCs w:val="18"/>
              </w:rPr>
              <w:t>–</w:t>
            </w:r>
            <w:r w:rsidRPr="001C3504">
              <w:rPr>
                <w:rFonts w:eastAsia="Century Gothic" w:cs="Century Gothic"/>
                <w:color w:val="000000"/>
                <w:sz w:val="18"/>
                <w:szCs w:val="18"/>
              </w:rPr>
              <w:t>100%</w:t>
            </w:r>
          </w:p>
        </w:tc>
        <w:tc>
          <w:tcPr>
            <w:tcW w:w="1282" w:type="dxa"/>
            <w:shd w:val="clear" w:color="auto" w:fill="FFFFFF"/>
            <w:tcMar>
              <w:top w:w="0" w:type="dxa"/>
              <w:left w:w="0" w:type="dxa"/>
              <w:bottom w:w="0" w:type="dxa"/>
              <w:right w:w="0" w:type="dxa"/>
            </w:tcMar>
            <w:vAlign w:val="center"/>
          </w:tcPr>
          <w:p w14:paraId="3CDA770A" w14:textId="77777777" w:rsidR="00E05E89" w:rsidRPr="001C3504" w:rsidRDefault="00E05E89" w:rsidP="00F83DE8">
            <w:pPr>
              <w:spacing w:before="20" w:after="20"/>
              <w:ind w:left="100" w:right="100"/>
              <w:jc w:val="right"/>
              <w:rPr>
                <w:sz w:val="18"/>
                <w:szCs w:val="18"/>
              </w:rPr>
            </w:pPr>
            <w:r w:rsidRPr="001C3504">
              <w:rPr>
                <w:rFonts w:eastAsia="Century Gothic" w:cs="Century Gothic"/>
                <w:color w:val="000000"/>
                <w:sz w:val="18"/>
                <w:szCs w:val="18"/>
              </w:rPr>
              <w:t>4 (17%)</w:t>
            </w:r>
          </w:p>
        </w:tc>
      </w:tr>
      <w:tr w:rsidR="00E05E89" w:rsidRPr="001C3504" w14:paraId="16C554DC" w14:textId="77777777" w:rsidTr="00DA0750">
        <w:trPr>
          <w:cantSplit/>
          <w:jc w:val="center"/>
        </w:trPr>
        <w:tc>
          <w:tcPr>
            <w:tcW w:w="2699" w:type="dxa"/>
            <w:shd w:val="clear" w:color="auto" w:fill="FFFFFF"/>
            <w:tcMar>
              <w:top w:w="0" w:type="dxa"/>
              <w:left w:w="0" w:type="dxa"/>
              <w:bottom w:w="0" w:type="dxa"/>
              <w:right w:w="0" w:type="dxa"/>
            </w:tcMar>
            <w:vAlign w:val="center"/>
          </w:tcPr>
          <w:p w14:paraId="68DFAF4B" w14:textId="77777777" w:rsidR="00E05E89" w:rsidRPr="001C3504" w:rsidRDefault="00E05E89" w:rsidP="00F83DE8">
            <w:pPr>
              <w:spacing w:before="20" w:after="20"/>
              <w:ind w:left="100" w:right="100"/>
              <w:rPr>
                <w:sz w:val="18"/>
                <w:szCs w:val="18"/>
              </w:rPr>
            </w:pPr>
            <w:r w:rsidRPr="001C3504">
              <w:rPr>
                <w:rFonts w:eastAsia="Century Gothic" w:cs="Century Gothic"/>
                <w:color w:val="000000"/>
                <w:sz w:val="18"/>
                <w:szCs w:val="18"/>
              </w:rPr>
              <w:t>Don't know/ no response</w:t>
            </w:r>
          </w:p>
        </w:tc>
        <w:tc>
          <w:tcPr>
            <w:tcW w:w="1282" w:type="dxa"/>
            <w:shd w:val="clear" w:color="auto" w:fill="FFFFFF"/>
            <w:tcMar>
              <w:top w:w="0" w:type="dxa"/>
              <w:left w:w="0" w:type="dxa"/>
              <w:bottom w:w="0" w:type="dxa"/>
              <w:right w:w="0" w:type="dxa"/>
            </w:tcMar>
            <w:vAlign w:val="center"/>
          </w:tcPr>
          <w:p w14:paraId="6854C2E2" w14:textId="77777777" w:rsidR="00E05E89" w:rsidRPr="001C3504" w:rsidRDefault="00E05E89" w:rsidP="00F83DE8">
            <w:pPr>
              <w:spacing w:before="20" w:after="20"/>
              <w:ind w:left="100" w:right="100"/>
              <w:jc w:val="right"/>
              <w:rPr>
                <w:sz w:val="18"/>
                <w:szCs w:val="18"/>
              </w:rPr>
            </w:pPr>
            <w:r w:rsidRPr="001C3504">
              <w:rPr>
                <w:rFonts w:eastAsia="Century Gothic" w:cs="Century Gothic"/>
                <w:color w:val="000000"/>
                <w:sz w:val="18"/>
                <w:szCs w:val="18"/>
              </w:rPr>
              <w:t>1</w:t>
            </w:r>
          </w:p>
        </w:tc>
      </w:tr>
    </w:tbl>
    <w:p w14:paraId="2B553FF5" w14:textId="4674A160" w:rsidR="00EC3CF4" w:rsidRDefault="00E05E89" w:rsidP="00E05E89">
      <w:pPr>
        <w:pStyle w:val="Source"/>
      </w:pPr>
      <w:r w:rsidRPr="001C3504">
        <w:t xml:space="preserve">Source: </w:t>
      </w:r>
      <w:r>
        <w:t>Staff survey</w:t>
      </w:r>
      <w:r w:rsidRPr="001C3504">
        <w:t xml:space="preserve"> </w:t>
      </w:r>
      <w:r>
        <w:t>R</w:t>
      </w:r>
      <w:r w:rsidRPr="001C3504">
        <w:t>5</w:t>
      </w:r>
      <w:r w:rsidR="00DD350A" w:rsidRPr="001C3504">
        <w:t xml:space="preserve"> </w:t>
      </w:r>
      <w:r w:rsidR="00DD350A">
        <w:t>Mar–May 2021</w:t>
      </w:r>
      <w:r w:rsidRPr="001C3504">
        <w:t xml:space="preserve">, </w:t>
      </w:r>
      <w:r>
        <w:t>question</w:t>
      </w:r>
      <w:r w:rsidRPr="001C3504">
        <w:t xml:space="preserve"> 16F</w:t>
      </w:r>
      <w:r w:rsidR="00DD350A">
        <w:t>.</w:t>
      </w:r>
    </w:p>
    <w:p w14:paraId="61574DF4" w14:textId="77777777" w:rsidR="00EC3CF4" w:rsidRDefault="00EC3CF4">
      <w:pPr>
        <w:spacing w:after="160" w:line="259" w:lineRule="auto"/>
        <w:rPr>
          <w:rFonts w:eastAsiaTheme="minorEastAsia"/>
          <w:bCs/>
          <w:i/>
          <w:sz w:val="16"/>
          <w:szCs w:val="16"/>
          <w:lang w:eastAsia="en-AU"/>
        </w:rPr>
      </w:pPr>
      <w:r>
        <w:br w:type="page"/>
      </w:r>
    </w:p>
    <w:p w14:paraId="00837126" w14:textId="3CAA8543" w:rsidR="00E05E89" w:rsidRPr="00360C6F" w:rsidRDefault="00E05E89" w:rsidP="00E05E89">
      <w:pPr>
        <w:pStyle w:val="TableorFigurecaptionHPA"/>
      </w:pPr>
      <w:bookmarkStart w:id="500" w:name="_Ref98767628"/>
      <w:r w:rsidRPr="00360C6F">
        <w:lastRenderedPageBreak/>
        <w:t xml:space="preserve">Table </w:t>
      </w:r>
      <w:r w:rsidRPr="00360C6F">
        <w:fldChar w:fldCharType="begin"/>
      </w:r>
      <w:r w:rsidRPr="00360C6F">
        <w:instrText>SEQ Table \* ARABIC</w:instrText>
      </w:r>
      <w:r w:rsidRPr="00360C6F">
        <w:fldChar w:fldCharType="separate"/>
      </w:r>
      <w:r w:rsidR="003C4BC2">
        <w:rPr>
          <w:noProof/>
        </w:rPr>
        <w:t>80</w:t>
      </w:r>
      <w:r w:rsidRPr="00360C6F">
        <w:fldChar w:fldCharType="end"/>
      </w:r>
      <w:bookmarkEnd w:id="500"/>
      <w:r>
        <w:t xml:space="preserve">: </w:t>
      </w:r>
      <w:r w:rsidRPr="00360C6F">
        <w:t>Key reasons for GP not acting on the community pharmacist's recommendations most of the time</w:t>
      </w:r>
    </w:p>
    <w:tbl>
      <w:tblPr>
        <w:tblW w:w="0" w:type="auto"/>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7258"/>
        <w:gridCol w:w="1814"/>
      </w:tblGrid>
      <w:tr w:rsidR="00E05E89" w:rsidRPr="001C3504" w14:paraId="2F8C02FC" w14:textId="77777777" w:rsidTr="00F83DE8">
        <w:trPr>
          <w:cantSplit/>
          <w:tblHeader/>
          <w:jc w:val="center"/>
        </w:trPr>
        <w:tc>
          <w:tcPr>
            <w:tcW w:w="7258" w:type="dxa"/>
            <w:shd w:val="clear" w:color="auto" w:fill="408BCA"/>
            <w:tcMar>
              <w:top w:w="0" w:type="dxa"/>
              <w:left w:w="0" w:type="dxa"/>
              <w:bottom w:w="0" w:type="dxa"/>
              <w:right w:w="0" w:type="dxa"/>
            </w:tcMar>
            <w:vAlign w:val="center"/>
          </w:tcPr>
          <w:p w14:paraId="4D987BCC" w14:textId="77777777" w:rsidR="00E05E89" w:rsidRPr="001C3504" w:rsidRDefault="00E05E89" w:rsidP="00F83DE8">
            <w:pPr>
              <w:spacing w:before="20" w:after="20"/>
              <w:ind w:left="100" w:right="100"/>
              <w:jc w:val="center"/>
              <w:rPr>
                <w:sz w:val="18"/>
                <w:szCs w:val="18"/>
              </w:rPr>
            </w:pPr>
            <w:r w:rsidRPr="001C3504">
              <w:rPr>
                <w:rFonts w:eastAsia="Century Gothic" w:cs="Century Gothic"/>
                <w:b/>
                <w:color w:val="FFFFFF"/>
                <w:sz w:val="18"/>
                <w:szCs w:val="18"/>
              </w:rPr>
              <w:t>Response</w:t>
            </w:r>
          </w:p>
        </w:tc>
        <w:tc>
          <w:tcPr>
            <w:tcW w:w="1814" w:type="dxa"/>
            <w:shd w:val="clear" w:color="auto" w:fill="408BCA"/>
            <w:tcMar>
              <w:top w:w="0" w:type="dxa"/>
              <w:left w:w="0" w:type="dxa"/>
              <w:bottom w:w="0" w:type="dxa"/>
              <w:right w:w="0" w:type="dxa"/>
            </w:tcMar>
            <w:vAlign w:val="center"/>
          </w:tcPr>
          <w:p w14:paraId="6DD21567" w14:textId="77777777" w:rsidR="00E05E89" w:rsidRPr="001C3504" w:rsidRDefault="00E05E89" w:rsidP="00F83DE8">
            <w:pPr>
              <w:spacing w:before="20" w:after="20"/>
              <w:ind w:left="100" w:right="100"/>
              <w:jc w:val="center"/>
              <w:rPr>
                <w:sz w:val="18"/>
                <w:szCs w:val="18"/>
              </w:rPr>
            </w:pPr>
            <w:r w:rsidRPr="001C3504">
              <w:rPr>
                <w:rFonts w:eastAsia="Century Gothic" w:cs="Century Gothic"/>
                <w:b/>
                <w:color w:val="FFFFFF"/>
                <w:sz w:val="18"/>
                <w:szCs w:val="18"/>
              </w:rPr>
              <w:t>n (%)</w:t>
            </w:r>
          </w:p>
        </w:tc>
      </w:tr>
      <w:tr w:rsidR="00E05E89" w:rsidRPr="001C3504" w14:paraId="6DF82BB1" w14:textId="77777777" w:rsidTr="00F83DE8">
        <w:trPr>
          <w:cantSplit/>
          <w:jc w:val="center"/>
        </w:trPr>
        <w:tc>
          <w:tcPr>
            <w:tcW w:w="7258" w:type="dxa"/>
            <w:shd w:val="clear" w:color="auto" w:fill="FFFFFF"/>
            <w:tcMar>
              <w:top w:w="0" w:type="dxa"/>
              <w:left w:w="0" w:type="dxa"/>
              <w:bottom w:w="0" w:type="dxa"/>
              <w:right w:w="0" w:type="dxa"/>
            </w:tcMar>
            <w:vAlign w:val="center"/>
          </w:tcPr>
          <w:p w14:paraId="295B4D0C" w14:textId="77777777" w:rsidR="00E05E89" w:rsidRPr="001C3504" w:rsidRDefault="00E05E89" w:rsidP="00F83DE8">
            <w:pPr>
              <w:spacing w:before="20" w:after="20"/>
              <w:ind w:left="100" w:right="100"/>
              <w:rPr>
                <w:sz w:val="18"/>
                <w:szCs w:val="18"/>
              </w:rPr>
            </w:pPr>
            <w:r w:rsidRPr="001C3504">
              <w:rPr>
                <w:rFonts w:eastAsia="Century Gothic" w:cs="Century Gothic"/>
                <w:color w:val="000000"/>
                <w:sz w:val="18"/>
                <w:szCs w:val="18"/>
              </w:rPr>
              <w:t>Did not agree with /or find pharmacist input valuable</w:t>
            </w:r>
          </w:p>
        </w:tc>
        <w:tc>
          <w:tcPr>
            <w:tcW w:w="1814" w:type="dxa"/>
            <w:shd w:val="clear" w:color="auto" w:fill="FFFFFF"/>
            <w:tcMar>
              <w:top w:w="0" w:type="dxa"/>
              <w:left w:w="0" w:type="dxa"/>
              <w:bottom w:w="0" w:type="dxa"/>
              <w:right w:w="0" w:type="dxa"/>
            </w:tcMar>
            <w:vAlign w:val="center"/>
          </w:tcPr>
          <w:p w14:paraId="2EA7947C" w14:textId="77777777" w:rsidR="00E05E89" w:rsidRPr="001C3504" w:rsidRDefault="00E05E89" w:rsidP="00F83DE8">
            <w:pPr>
              <w:spacing w:before="20" w:after="20"/>
              <w:ind w:left="100" w:right="100"/>
              <w:jc w:val="right"/>
              <w:rPr>
                <w:sz w:val="18"/>
                <w:szCs w:val="18"/>
              </w:rPr>
            </w:pPr>
            <w:r w:rsidRPr="001C3504">
              <w:rPr>
                <w:rFonts w:eastAsia="Century Gothic" w:cs="Century Gothic"/>
                <w:color w:val="000000"/>
                <w:sz w:val="18"/>
                <w:szCs w:val="18"/>
              </w:rPr>
              <w:t>8 (62%)</w:t>
            </w:r>
          </w:p>
        </w:tc>
      </w:tr>
      <w:tr w:rsidR="00E05E89" w:rsidRPr="001C3504" w14:paraId="3C483E4F" w14:textId="77777777" w:rsidTr="00F83DE8">
        <w:trPr>
          <w:cantSplit/>
          <w:jc w:val="center"/>
        </w:trPr>
        <w:tc>
          <w:tcPr>
            <w:tcW w:w="7258" w:type="dxa"/>
            <w:shd w:val="clear" w:color="auto" w:fill="FFFFFF"/>
            <w:tcMar>
              <w:top w:w="0" w:type="dxa"/>
              <w:left w:w="0" w:type="dxa"/>
              <w:bottom w:w="0" w:type="dxa"/>
              <w:right w:w="0" w:type="dxa"/>
            </w:tcMar>
            <w:vAlign w:val="center"/>
          </w:tcPr>
          <w:p w14:paraId="64B10C8D" w14:textId="77777777" w:rsidR="00E05E89" w:rsidRPr="001C3504" w:rsidRDefault="00E05E89" w:rsidP="00F83DE8">
            <w:pPr>
              <w:spacing w:before="20" w:after="20"/>
              <w:ind w:left="100" w:right="100"/>
              <w:rPr>
                <w:sz w:val="18"/>
                <w:szCs w:val="18"/>
              </w:rPr>
            </w:pPr>
            <w:r w:rsidRPr="001C3504">
              <w:rPr>
                <w:rFonts w:eastAsia="Century Gothic" w:cs="Century Gothic"/>
                <w:color w:val="000000"/>
                <w:sz w:val="18"/>
                <w:szCs w:val="18"/>
              </w:rPr>
              <w:t>Do not receive any communication from pharmacists</w:t>
            </w:r>
          </w:p>
        </w:tc>
        <w:tc>
          <w:tcPr>
            <w:tcW w:w="1814" w:type="dxa"/>
            <w:shd w:val="clear" w:color="auto" w:fill="FFFFFF"/>
            <w:tcMar>
              <w:top w:w="0" w:type="dxa"/>
              <w:left w:w="0" w:type="dxa"/>
              <w:bottom w:w="0" w:type="dxa"/>
              <w:right w:w="0" w:type="dxa"/>
            </w:tcMar>
            <w:vAlign w:val="center"/>
          </w:tcPr>
          <w:p w14:paraId="773B62BF" w14:textId="77777777" w:rsidR="00E05E89" w:rsidRPr="001C3504" w:rsidRDefault="00E05E89" w:rsidP="00F83DE8">
            <w:pPr>
              <w:spacing w:before="20" w:after="20"/>
              <w:ind w:left="100" w:right="100"/>
              <w:jc w:val="right"/>
              <w:rPr>
                <w:sz w:val="18"/>
                <w:szCs w:val="18"/>
              </w:rPr>
            </w:pPr>
            <w:r w:rsidRPr="001C3504">
              <w:rPr>
                <w:rFonts w:eastAsia="Century Gothic" w:cs="Century Gothic"/>
                <w:color w:val="000000"/>
                <w:sz w:val="18"/>
                <w:szCs w:val="18"/>
              </w:rPr>
              <w:t>2 (15%)</w:t>
            </w:r>
          </w:p>
        </w:tc>
      </w:tr>
      <w:tr w:rsidR="00E05E89" w:rsidRPr="001C3504" w14:paraId="285DE41B" w14:textId="77777777" w:rsidTr="00F83DE8">
        <w:trPr>
          <w:cantSplit/>
          <w:jc w:val="center"/>
        </w:trPr>
        <w:tc>
          <w:tcPr>
            <w:tcW w:w="7258" w:type="dxa"/>
            <w:shd w:val="clear" w:color="auto" w:fill="FFFFFF"/>
            <w:tcMar>
              <w:top w:w="0" w:type="dxa"/>
              <w:left w:w="0" w:type="dxa"/>
              <w:bottom w:w="0" w:type="dxa"/>
              <w:right w:w="0" w:type="dxa"/>
            </w:tcMar>
            <w:vAlign w:val="center"/>
          </w:tcPr>
          <w:p w14:paraId="3A8B3F88" w14:textId="77777777" w:rsidR="00E05E89" w:rsidRPr="001C3504" w:rsidRDefault="00E05E89" w:rsidP="00F83DE8">
            <w:pPr>
              <w:spacing w:before="20" w:after="20"/>
              <w:ind w:left="100" w:right="100"/>
              <w:rPr>
                <w:sz w:val="18"/>
                <w:szCs w:val="18"/>
              </w:rPr>
            </w:pPr>
            <w:r w:rsidRPr="001C3504">
              <w:rPr>
                <w:rFonts w:eastAsia="Century Gothic" w:cs="Century Gothic"/>
                <w:color w:val="000000"/>
                <w:sz w:val="18"/>
                <w:szCs w:val="18"/>
              </w:rPr>
              <w:t>Service provided by GP</w:t>
            </w:r>
          </w:p>
        </w:tc>
        <w:tc>
          <w:tcPr>
            <w:tcW w:w="1814" w:type="dxa"/>
            <w:shd w:val="clear" w:color="auto" w:fill="FFFFFF"/>
            <w:tcMar>
              <w:top w:w="0" w:type="dxa"/>
              <w:left w:w="0" w:type="dxa"/>
              <w:bottom w:w="0" w:type="dxa"/>
              <w:right w:w="0" w:type="dxa"/>
            </w:tcMar>
            <w:vAlign w:val="center"/>
          </w:tcPr>
          <w:p w14:paraId="0B110E4A" w14:textId="77777777" w:rsidR="00E05E89" w:rsidRPr="001C3504" w:rsidRDefault="00E05E89" w:rsidP="00F83DE8">
            <w:pPr>
              <w:spacing w:before="20" w:after="20"/>
              <w:ind w:left="100" w:right="100"/>
              <w:jc w:val="right"/>
              <w:rPr>
                <w:sz w:val="18"/>
                <w:szCs w:val="18"/>
              </w:rPr>
            </w:pPr>
            <w:r w:rsidRPr="001C3504">
              <w:rPr>
                <w:rFonts w:eastAsia="Century Gothic" w:cs="Century Gothic"/>
                <w:color w:val="000000"/>
                <w:sz w:val="18"/>
                <w:szCs w:val="18"/>
              </w:rPr>
              <w:t>1 (8%)</w:t>
            </w:r>
          </w:p>
        </w:tc>
      </w:tr>
      <w:tr w:rsidR="00E05E89" w:rsidRPr="001C3504" w14:paraId="58062789" w14:textId="77777777" w:rsidTr="00F83DE8">
        <w:trPr>
          <w:cantSplit/>
          <w:jc w:val="center"/>
        </w:trPr>
        <w:tc>
          <w:tcPr>
            <w:tcW w:w="7258" w:type="dxa"/>
            <w:shd w:val="clear" w:color="auto" w:fill="FFFFFF"/>
            <w:tcMar>
              <w:top w:w="0" w:type="dxa"/>
              <w:left w:w="0" w:type="dxa"/>
              <w:bottom w:w="0" w:type="dxa"/>
              <w:right w:w="0" w:type="dxa"/>
            </w:tcMar>
            <w:vAlign w:val="center"/>
          </w:tcPr>
          <w:p w14:paraId="3504B4A1" w14:textId="77777777" w:rsidR="00E05E89" w:rsidRPr="001C3504" w:rsidRDefault="00E05E89" w:rsidP="00F83DE8">
            <w:pPr>
              <w:spacing w:before="20" w:after="20"/>
              <w:ind w:left="100" w:right="100"/>
              <w:rPr>
                <w:sz w:val="18"/>
                <w:szCs w:val="18"/>
              </w:rPr>
            </w:pPr>
            <w:r w:rsidRPr="001C3504">
              <w:rPr>
                <w:rFonts w:eastAsia="Century Gothic" w:cs="Century Gothic"/>
                <w:color w:val="000000"/>
                <w:sz w:val="18"/>
                <w:szCs w:val="18"/>
              </w:rPr>
              <w:t>No HCH pharmacists locally</w:t>
            </w:r>
          </w:p>
        </w:tc>
        <w:tc>
          <w:tcPr>
            <w:tcW w:w="1814" w:type="dxa"/>
            <w:shd w:val="clear" w:color="auto" w:fill="FFFFFF"/>
            <w:tcMar>
              <w:top w:w="0" w:type="dxa"/>
              <w:left w:w="0" w:type="dxa"/>
              <w:bottom w:w="0" w:type="dxa"/>
              <w:right w:w="0" w:type="dxa"/>
            </w:tcMar>
            <w:vAlign w:val="center"/>
          </w:tcPr>
          <w:p w14:paraId="10924FA5" w14:textId="77777777" w:rsidR="00E05E89" w:rsidRPr="001C3504" w:rsidRDefault="00E05E89" w:rsidP="00F83DE8">
            <w:pPr>
              <w:spacing w:before="20" w:after="20"/>
              <w:ind w:left="100" w:right="100"/>
              <w:jc w:val="right"/>
              <w:rPr>
                <w:sz w:val="18"/>
                <w:szCs w:val="18"/>
              </w:rPr>
            </w:pPr>
            <w:r w:rsidRPr="001C3504">
              <w:rPr>
                <w:rFonts w:eastAsia="Century Gothic" w:cs="Century Gothic"/>
                <w:color w:val="000000"/>
                <w:sz w:val="18"/>
                <w:szCs w:val="18"/>
              </w:rPr>
              <w:t>1 (8%)</w:t>
            </w:r>
          </w:p>
        </w:tc>
      </w:tr>
      <w:tr w:rsidR="00E05E89" w:rsidRPr="001C3504" w14:paraId="4D2238F4" w14:textId="77777777" w:rsidTr="00F83DE8">
        <w:trPr>
          <w:cantSplit/>
          <w:jc w:val="center"/>
        </w:trPr>
        <w:tc>
          <w:tcPr>
            <w:tcW w:w="7258" w:type="dxa"/>
            <w:shd w:val="clear" w:color="auto" w:fill="FFFFFF"/>
            <w:tcMar>
              <w:top w:w="0" w:type="dxa"/>
              <w:left w:w="0" w:type="dxa"/>
              <w:bottom w:w="0" w:type="dxa"/>
              <w:right w:w="0" w:type="dxa"/>
            </w:tcMar>
            <w:vAlign w:val="center"/>
          </w:tcPr>
          <w:p w14:paraId="7F278E41" w14:textId="77777777" w:rsidR="00E05E89" w:rsidRPr="001C3504" w:rsidRDefault="00E05E89" w:rsidP="00F83DE8">
            <w:pPr>
              <w:spacing w:before="20" w:after="20"/>
              <w:ind w:left="100" w:right="100"/>
              <w:rPr>
                <w:sz w:val="18"/>
                <w:szCs w:val="18"/>
              </w:rPr>
            </w:pPr>
            <w:r w:rsidRPr="001C3504">
              <w:rPr>
                <w:rFonts w:eastAsia="Century Gothic" w:cs="Century Gothic"/>
                <w:color w:val="000000"/>
                <w:sz w:val="18"/>
                <w:szCs w:val="18"/>
              </w:rPr>
              <w:t>GP did not see the use</w:t>
            </w:r>
          </w:p>
        </w:tc>
        <w:tc>
          <w:tcPr>
            <w:tcW w:w="1814" w:type="dxa"/>
            <w:shd w:val="clear" w:color="auto" w:fill="FFFFFF"/>
            <w:tcMar>
              <w:top w:w="0" w:type="dxa"/>
              <w:left w:w="0" w:type="dxa"/>
              <w:bottom w:w="0" w:type="dxa"/>
              <w:right w:w="0" w:type="dxa"/>
            </w:tcMar>
            <w:vAlign w:val="center"/>
          </w:tcPr>
          <w:p w14:paraId="2B894B80" w14:textId="77777777" w:rsidR="00E05E89" w:rsidRPr="001C3504" w:rsidRDefault="00E05E89" w:rsidP="00F83DE8">
            <w:pPr>
              <w:spacing w:before="20" w:after="20"/>
              <w:ind w:left="100" w:right="100"/>
              <w:jc w:val="right"/>
              <w:rPr>
                <w:sz w:val="18"/>
                <w:szCs w:val="18"/>
              </w:rPr>
            </w:pPr>
            <w:r w:rsidRPr="001C3504">
              <w:rPr>
                <w:rFonts w:eastAsia="Century Gothic" w:cs="Century Gothic"/>
                <w:color w:val="000000"/>
                <w:sz w:val="18"/>
                <w:szCs w:val="18"/>
              </w:rPr>
              <w:t>1 (8%)</w:t>
            </w:r>
          </w:p>
        </w:tc>
      </w:tr>
      <w:tr w:rsidR="00E05E89" w:rsidRPr="001C3504" w14:paraId="070D715F" w14:textId="77777777" w:rsidTr="00F83DE8">
        <w:trPr>
          <w:cantSplit/>
          <w:jc w:val="center"/>
        </w:trPr>
        <w:tc>
          <w:tcPr>
            <w:tcW w:w="7258" w:type="dxa"/>
            <w:shd w:val="clear" w:color="auto" w:fill="FFFFFF"/>
            <w:tcMar>
              <w:top w:w="0" w:type="dxa"/>
              <w:left w:w="0" w:type="dxa"/>
              <w:bottom w:w="0" w:type="dxa"/>
              <w:right w:w="0" w:type="dxa"/>
            </w:tcMar>
            <w:vAlign w:val="center"/>
          </w:tcPr>
          <w:p w14:paraId="34EFBF1C" w14:textId="77777777" w:rsidR="00E05E89" w:rsidRPr="001C3504" w:rsidRDefault="00E05E89" w:rsidP="00F83DE8">
            <w:pPr>
              <w:spacing w:before="20" w:after="20"/>
              <w:ind w:left="100" w:right="100"/>
              <w:rPr>
                <w:sz w:val="18"/>
                <w:szCs w:val="18"/>
              </w:rPr>
            </w:pPr>
            <w:r w:rsidRPr="001C3504">
              <w:rPr>
                <w:rFonts w:eastAsia="Century Gothic" w:cs="Century Gothic"/>
                <w:color w:val="000000"/>
                <w:sz w:val="18"/>
                <w:szCs w:val="18"/>
              </w:rPr>
              <w:t>Don't know/ no response</w:t>
            </w:r>
          </w:p>
        </w:tc>
        <w:tc>
          <w:tcPr>
            <w:tcW w:w="1814" w:type="dxa"/>
            <w:shd w:val="clear" w:color="auto" w:fill="FFFFFF"/>
            <w:tcMar>
              <w:top w:w="0" w:type="dxa"/>
              <w:left w:w="0" w:type="dxa"/>
              <w:bottom w:w="0" w:type="dxa"/>
              <w:right w:w="0" w:type="dxa"/>
            </w:tcMar>
            <w:vAlign w:val="center"/>
          </w:tcPr>
          <w:p w14:paraId="6C83602C" w14:textId="77777777" w:rsidR="00E05E89" w:rsidRPr="001C3504" w:rsidRDefault="00E05E89" w:rsidP="00F83DE8">
            <w:pPr>
              <w:spacing w:before="20" w:after="20"/>
              <w:ind w:left="100" w:right="100"/>
              <w:jc w:val="right"/>
              <w:rPr>
                <w:sz w:val="18"/>
                <w:szCs w:val="18"/>
              </w:rPr>
            </w:pPr>
            <w:r w:rsidRPr="001C3504">
              <w:rPr>
                <w:rFonts w:eastAsia="Century Gothic" w:cs="Century Gothic"/>
                <w:color w:val="000000"/>
                <w:sz w:val="18"/>
                <w:szCs w:val="18"/>
              </w:rPr>
              <w:t>1</w:t>
            </w:r>
          </w:p>
        </w:tc>
      </w:tr>
    </w:tbl>
    <w:p w14:paraId="29C306E1" w14:textId="2F666E21" w:rsidR="00E05E89" w:rsidRPr="001C3504" w:rsidRDefault="00E05E89" w:rsidP="00E05E89">
      <w:pPr>
        <w:pStyle w:val="Source"/>
      </w:pPr>
      <w:r w:rsidRPr="001C3504">
        <w:t xml:space="preserve">Source: </w:t>
      </w:r>
      <w:r>
        <w:t>Staff survey</w:t>
      </w:r>
      <w:r w:rsidRPr="001C3504">
        <w:t xml:space="preserve"> </w:t>
      </w:r>
      <w:r>
        <w:t>R</w:t>
      </w:r>
      <w:r w:rsidRPr="001C3504">
        <w:t>5</w:t>
      </w:r>
      <w:r w:rsidR="00DD350A" w:rsidRPr="001C3504">
        <w:t xml:space="preserve"> </w:t>
      </w:r>
      <w:r w:rsidR="00DD350A">
        <w:t>Mar–May 2021</w:t>
      </w:r>
      <w:r w:rsidRPr="001C3504">
        <w:t xml:space="preserve">, </w:t>
      </w:r>
      <w:r>
        <w:t>question</w:t>
      </w:r>
      <w:r w:rsidRPr="001C3504">
        <w:t xml:space="preserve"> 16G</w:t>
      </w:r>
      <w:r w:rsidR="00DD350A">
        <w:t>.</w:t>
      </w:r>
    </w:p>
    <w:p w14:paraId="037A3708" w14:textId="77777777" w:rsidR="0058354B" w:rsidRPr="00F71DF5" w:rsidRDefault="0058354B" w:rsidP="00190337">
      <w:pPr>
        <w:pStyle w:val="Heading2"/>
      </w:pPr>
      <w:bookmarkStart w:id="501" w:name="_Toc58256899"/>
      <w:bookmarkStart w:id="502" w:name="_Toc109996772"/>
      <w:r w:rsidRPr="00F71DF5">
        <w:t>Practice perspectives on the community pharmacy trial</w:t>
      </w:r>
      <w:bookmarkEnd w:id="501"/>
      <w:bookmarkEnd w:id="502"/>
    </w:p>
    <w:p w14:paraId="5BE4865B" w14:textId="294B7E2D" w:rsidR="00861758" w:rsidRPr="001C3504" w:rsidRDefault="0079654C" w:rsidP="0079654C">
      <w:pPr>
        <w:rPr>
          <w:sz w:val="18"/>
          <w:szCs w:val="18"/>
        </w:rPr>
      </w:pPr>
      <w:r>
        <w:t>Also in the staff survey, GPs were ask</w:t>
      </w:r>
      <w:r w:rsidR="00D11A28">
        <w:t>ed what benefits they perceived of services provided by community pharmacists. The responses were varied (</w:t>
      </w:r>
      <w:r w:rsidR="00D11A28" w:rsidRPr="00D11A28">
        <w:rPr>
          <w:rFonts w:eastAsiaTheme="minorEastAsia"/>
          <w:color w:val="1D2455"/>
          <w:szCs w:val="20"/>
          <w:lang w:eastAsia="en-AU"/>
        </w:rPr>
        <w:fldChar w:fldCharType="begin"/>
      </w:r>
      <w:r w:rsidR="00D11A28" w:rsidRPr="00D11A28">
        <w:rPr>
          <w:rFonts w:eastAsiaTheme="minorEastAsia"/>
          <w:color w:val="1D2455"/>
          <w:szCs w:val="20"/>
          <w:lang w:eastAsia="en-AU"/>
        </w:rPr>
        <w:instrText xml:space="preserve"> REF _Ref98768018 \h </w:instrText>
      </w:r>
      <w:r w:rsidR="00D11A28">
        <w:rPr>
          <w:rFonts w:eastAsiaTheme="minorEastAsia"/>
          <w:color w:val="1D2455"/>
          <w:szCs w:val="20"/>
          <w:lang w:eastAsia="en-AU"/>
        </w:rPr>
        <w:instrText xml:space="preserve"> \* MERGEFORMAT </w:instrText>
      </w:r>
      <w:r w:rsidR="00D11A28" w:rsidRPr="00D11A28">
        <w:rPr>
          <w:rFonts w:eastAsiaTheme="minorEastAsia"/>
          <w:color w:val="1D2455"/>
          <w:szCs w:val="20"/>
          <w:lang w:eastAsia="en-AU"/>
        </w:rPr>
      </w:r>
      <w:r w:rsidR="00D11A28" w:rsidRPr="00D11A28">
        <w:rPr>
          <w:rFonts w:eastAsiaTheme="minorEastAsia"/>
          <w:color w:val="1D2455"/>
          <w:szCs w:val="20"/>
          <w:lang w:eastAsia="en-AU"/>
        </w:rPr>
        <w:fldChar w:fldCharType="separate"/>
      </w:r>
      <w:r w:rsidR="003C4BC2" w:rsidRPr="003C4BC2">
        <w:rPr>
          <w:rFonts w:eastAsiaTheme="minorEastAsia"/>
          <w:color w:val="1D2455"/>
          <w:szCs w:val="20"/>
          <w:lang w:eastAsia="en-AU"/>
        </w:rPr>
        <w:t>Table 81</w:t>
      </w:r>
      <w:r w:rsidR="00D11A28" w:rsidRPr="00D11A28">
        <w:rPr>
          <w:rFonts w:eastAsiaTheme="minorEastAsia"/>
          <w:color w:val="1D2455"/>
          <w:szCs w:val="20"/>
          <w:lang w:eastAsia="en-AU"/>
        </w:rPr>
        <w:fldChar w:fldCharType="end"/>
      </w:r>
      <w:r w:rsidR="00D11A28">
        <w:t xml:space="preserve">) but give an idea of the </w:t>
      </w:r>
      <w:r w:rsidR="007F0662">
        <w:t xml:space="preserve">range of benefits identified by GPs. </w:t>
      </w:r>
    </w:p>
    <w:p w14:paraId="69032B92" w14:textId="061BBB30" w:rsidR="00861758" w:rsidRPr="00360C6F" w:rsidRDefault="00861758" w:rsidP="00861758">
      <w:pPr>
        <w:pStyle w:val="TableorFigurecaptionHPA"/>
      </w:pPr>
      <w:bookmarkStart w:id="503" w:name="_Ref98768018"/>
      <w:r w:rsidRPr="00360C6F">
        <w:t xml:space="preserve">Table </w:t>
      </w:r>
      <w:r w:rsidRPr="00360C6F">
        <w:fldChar w:fldCharType="begin"/>
      </w:r>
      <w:r w:rsidRPr="00360C6F">
        <w:instrText>SEQ Table \* ARABIC</w:instrText>
      </w:r>
      <w:r w:rsidRPr="00360C6F">
        <w:fldChar w:fldCharType="separate"/>
      </w:r>
      <w:r w:rsidR="003C4BC2">
        <w:rPr>
          <w:noProof/>
        </w:rPr>
        <w:t>81</w:t>
      </w:r>
      <w:r w:rsidRPr="00360C6F">
        <w:fldChar w:fldCharType="end"/>
      </w:r>
      <w:bookmarkEnd w:id="503"/>
      <w:r>
        <w:t xml:space="preserve">: </w:t>
      </w:r>
      <w:r w:rsidRPr="00360C6F">
        <w:t>GPs</w:t>
      </w:r>
      <w:r w:rsidR="00DA4491">
        <w:t>’</w:t>
      </w:r>
      <w:r w:rsidRPr="00360C6F">
        <w:t xml:space="preserve"> perceptions of benefits of services provided by community pharmacists</w:t>
      </w:r>
    </w:p>
    <w:tbl>
      <w:tblPr>
        <w:tblW w:w="0" w:type="auto"/>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7689"/>
        <w:gridCol w:w="1814"/>
      </w:tblGrid>
      <w:tr w:rsidR="00861758" w:rsidRPr="001C3504" w14:paraId="1E0193EB" w14:textId="77777777" w:rsidTr="00F83DE8">
        <w:trPr>
          <w:cantSplit/>
          <w:tblHeader/>
          <w:jc w:val="center"/>
        </w:trPr>
        <w:tc>
          <w:tcPr>
            <w:tcW w:w="7689" w:type="dxa"/>
            <w:shd w:val="clear" w:color="auto" w:fill="408BCA"/>
            <w:tcMar>
              <w:top w:w="0" w:type="dxa"/>
              <w:left w:w="0" w:type="dxa"/>
              <w:bottom w:w="0" w:type="dxa"/>
              <w:right w:w="0" w:type="dxa"/>
            </w:tcMar>
            <w:vAlign w:val="center"/>
          </w:tcPr>
          <w:p w14:paraId="39AB6A10" w14:textId="77777777" w:rsidR="00861758" w:rsidRPr="001C3504" w:rsidRDefault="00861758" w:rsidP="00F83DE8">
            <w:pPr>
              <w:spacing w:before="20" w:after="20"/>
              <w:ind w:left="100" w:right="100"/>
              <w:jc w:val="center"/>
              <w:rPr>
                <w:sz w:val="18"/>
                <w:szCs w:val="18"/>
              </w:rPr>
            </w:pPr>
            <w:r w:rsidRPr="001C3504">
              <w:rPr>
                <w:rFonts w:eastAsia="Century Gothic" w:cs="Century Gothic"/>
                <w:b/>
                <w:color w:val="FFFFFF"/>
                <w:sz w:val="18"/>
                <w:szCs w:val="18"/>
              </w:rPr>
              <w:t>Response</w:t>
            </w:r>
          </w:p>
        </w:tc>
        <w:tc>
          <w:tcPr>
            <w:tcW w:w="1814" w:type="dxa"/>
            <w:shd w:val="clear" w:color="auto" w:fill="408BCA"/>
            <w:tcMar>
              <w:top w:w="0" w:type="dxa"/>
              <w:left w:w="0" w:type="dxa"/>
              <w:bottom w:w="0" w:type="dxa"/>
              <w:right w:w="0" w:type="dxa"/>
            </w:tcMar>
            <w:vAlign w:val="center"/>
          </w:tcPr>
          <w:p w14:paraId="0010C27B" w14:textId="77777777" w:rsidR="00861758" w:rsidRPr="001C3504" w:rsidRDefault="00861758" w:rsidP="00F83DE8">
            <w:pPr>
              <w:spacing w:before="20" w:after="20"/>
              <w:ind w:left="100" w:right="100"/>
              <w:jc w:val="center"/>
              <w:rPr>
                <w:sz w:val="18"/>
                <w:szCs w:val="18"/>
              </w:rPr>
            </w:pPr>
            <w:r w:rsidRPr="001C3504">
              <w:rPr>
                <w:rFonts w:eastAsia="Century Gothic" w:cs="Century Gothic"/>
                <w:b/>
                <w:color w:val="FFFFFF"/>
                <w:sz w:val="18"/>
                <w:szCs w:val="18"/>
              </w:rPr>
              <w:t>n (%)</w:t>
            </w:r>
          </w:p>
        </w:tc>
      </w:tr>
      <w:tr w:rsidR="00861758" w:rsidRPr="001C3504" w14:paraId="6741028F" w14:textId="77777777" w:rsidTr="00F83DE8">
        <w:trPr>
          <w:cantSplit/>
          <w:jc w:val="center"/>
        </w:trPr>
        <w:tc>
          <w:tcPr>
            <w:tcW w:w="7689" w:type="dxa"/>
            <w:shd w:val="clear" w:color="auto" w:fill="FFFFFF"/>
            <w:tcMar>
              <w:top w:w="0" w:type="dxa"/>
              <w:left w:w="0" w:type="dxa"/>
              <w:bottom w:w="0" w:type="dxa"/>
              <w:right w:w="0" w:type="dxa"/>
            </w:tcMar>
            <w:vAlign w:val="center"/>
          </w:tcPr>
          <w:p w14:paraId="3D9470CB" w14:textId="77777777" w:rsidR="00861758" w:rsidRPr="001C3504" w:rsidRDefault="00861758" w:rsidP="00F83DE8">
            <w:pPr>
              <w:spacing w:before="20" w:after="20"/>
              <w:ind w:left="100" w:right="100"/>
              <w:rPr>
                <w:sz w:val="18"/>
                <w:szCs w:val="18"/>
              </w:rPr>
            </w:pPr>
            <w:r w:rsidRPr="001C3504">
              <w:rPr>
                <w:rFonts w:eastAsia="Century Gothic" w:cs="Century Gothic"/>
                <w:color w:val="000000"/>
                <w:sz w:val="18"/>
                <w:szCs w:val="18"/>
              </w:rPr>
              <w:t>Patient education</w:t>
            </w:r>
          </w:p>
        </w:tc>
        <w:tc>
          <w:tcPr>
            <w:tcW w:w="1814" w:type="dxa"/>
            <w:shd w:val="clear" w:color="auto" w:fill="FFFFFF"/>
            <w:tcMar>
              <w:top w:w="0" w:type="dxa"/>
              <w:left w:w="0" w:type="dxa"/>
              <w:bottom w:w="0" w:type="dxa"/>
              <w:right w:w="0" w:type="dxa"/>
            </w:tcMar>
            <w:vAlign w:val="center"/>
          </w:tcPr>
          <w:p w14:paraId="02B7FBBC" w14:textId="77777777" w:rsidR="00861758" w:rsidRPr="001C3504" w:rsidRDefault="00861758" w:rsidP="00F83DE8">
            <w:pPr>
              <w:spacing w:before="20" w:after="20"/>
              <w:ind w:left="100" w:right="100"/>
              <w:jc w:val="right"/>
              <w:rPr>
                <w:sz w:val="18"/>
                <w:szCs w:val="18"/>
              </w:rPr>
            </w:pPr>
            <w:r w:rsidRPr="001C3504">
              <w:rPr>
                <w:rFonts w:eastAsia="Century Gothic" w:cs="Century Gothic"/>
                <w:color w:val="000000"/>
                <w:sz w:val="18"/>
                <w:szCs w:val="18"/>
              </w:rPr>
              <w:t>3 (21%)</w:t>
            </w:r>
          </w:p>
        </w:tc>
      </w:tr>
      <w:tr w:rsidR="00861758" w:rsidRPr="001C3504" w14:paraId="0D0A9CB7" w14:textId="77777777" w:rsidTr="00F83DE8">
        <w:trPr>
          <w:cantSplit/>
          <w:jc w:val="center"/>
        </w:trPr>
        <w:tc>
          <w:tcPr>
            <w:tcW w:w="7689" w:type="dxa"/>
            <w:shd w:val="clear" w:color="auto" w:fill="FFFFFF"/>
            <w:tcMar>
              <w:top w:w="0" w:type="dxa"/>
              <w:left w:w="0" w:type="dxa"/>
              <w:bottom w:w="0" w:type="dxa"/>
              <w:right w:w="0" w:type="dxa"/>
            </w:tcMar>
            <w:vAlign w:val="center"/>
          </w:tcPr>
          <w:p w14:paraId="440C08AF" w14:textId="77777777" w:rsidR="00861758" w:rsidRPr="001C3504" w:rsidRDefault="00861758" w:rsidP="00F83DE8">
            <w:pPr>
              <w:spacing w:before="20" w:after="20"/>
              <w:ind w:left="100" w:right="100"/>
              <w:rPr>
                <w:sz w:val="18"/>
                <w:szCs w:val="18"/>
              </w:rPr>
            </w:pPr>
            <w:r w:rsidRPr="001C3504">
              <w:rPr>
                <w:rFonts w:eastAsia="Century Gothic" w:cs="Century Gothic"/>
                <w:color w:val="000000"/>
                <w:sz w:val="18"/>
                <w:szCs w:val="18"/>
              </w:rPr>
              <w:t>Aid medication compliance</w:t>
            </w:r>
          </w:p>
        </w:tc>
        <w:tc>
          <w:tcPr>
            <w:tcW w:w="1814" w:type="dxa"/>
            <w:shd w:val="clear" w:color="auto" w:fill="FFFFFF"/>
            <w:tcMar>
              <w:top w:w="0" w:type="dxa"/>
              <w:left w:w="0" w:type="dxa"/>
              <w:bottom w:w="0" w:type="dxa"/>
              <w:right w:w="0" w:type="dxa"/>
            </w:tcMar>
            <w:vAlign w:val="center"/>
          </w:tcPr>
          <w:p w14:paraId="1CB5FF2A" w14:textId="77777777" w:rsidR="00861758" w:rsidRPr="001C3504" w:rsidRDefault="00861758" w:rsidP="00F83DE8">
            <w:pPr>
              <w:spacing w:before="20" w:after="20"/>
              <w:ind w:left="100" w:right="100"/>
              <w:jc w:val="right"/>
              <w:rPr>
                <w:sz w:val="18"/>
                <w:szCs w:val="18"/>
              </w:rPr>
            </w:pPr>
            <w:r w:rsidRPr="001C3504">
              <w:rPr>
                <w:rFonts w:eastAsia="Century Gothic" w:cs="Century Gothic"/>
                <w:color w:val="000000"/>
                <w:sz w:val="18"/>
                <w:szCs w:val="18"/>
              </w:rPr>
              <w:t>2 (14%)</w:t>
            </w:r>
          </w:p>
        </w:tc>
      </w:tr>
      <w:tr w:rsidR="00861758" w:rsidRPr="001C3504" w14:paraId="26B846D7" w14:textId="77777777" w:rsidTr="00F83DE8">
        <w:trPr>
          <w:cantSplit/>
          <w:jc w:val="center"/>
        </w:trPr>
        <w:tc>
          <w:tcPr>
            <w:tcW w:w="7689" w:type="dxa"/>
            <w:shd w:val="clear" w:color="auto" w:fill="FFFFFF"/>
            <w:tcMar>
              <w:top w:w="0" w:type="dxa"/>
              <w:left w:w="0" w:type="dxa"/>
              <w:bottom w:w="0" w:type="dxa"/>
              <w:right w:w="0" w:type="dxa"/>
            </w:tcMar>
            <w:vAlign w:val="center"/>
          </w:tcPr>
          <w:p w14:paraId="6B2AE3A2" w14:textId="77777777" w:rsidR="00861758" w:rsidRPr="001C3504" w:rsidRDefault="00861758" w:rsidP="00F83DE8">
            <w:pPr>
              <w:spacing w:before="20" w:after="20"/>
              <w:ind w:left="100" w:right="100"/>
              <w:rPr>
                <w:sz w:val="18"/>
                <w:szCs w:val="18"/>
              </w:rPr>
            </w:pPr>
            <w:r w:rsidRPr="001C3504">
              <w:rPr>
                <w:rFonts w:eastAsia="Century Gothic" w:cs="Century Gothic"/>
                <w:color w:val="000000"/>
                <w:sz w:val="18"/>
                <w:szCs w:val="18"/>
              </w:rPr>
              <w:t>Reinforce GP decisions and/or provide medications suggestions and improvements</w:t>
            </w:r>
          </w:p>
        </w:tc>
        <w:tc>
          <w:tcPr>
            <w:tcW w:w="1814" w:type="dxa"/>
            <w:shd w:val="clear" w:color="auto" w:fill="FFFFFF"/>
            <w:tcMar>
              <w:top w:w="0" w:type="dxa"/>
              <w:left w:w="0" w:type="dxa"/>
              <w:bottom w:w="0" w:type="dxa"/>
              <w:right w:w="0" w:type="dxa"/>
            </w:tcMar>
            <w:vAlign w:val="center"/>
          </w:tcPr>
          <w:p w14:paraId="676B9ECF" w14:textId="77777777" w:rsidR="00861758" w:rsidRPr="001C3504" w:rsidRDefault="00861758" w:rsidP="00F83DE8">
            <w:pPr>
              <w:spacing w:before="20" w:after="20"/>
              <w:ind w:left="100" w:right="100"/>
              <w:jc w:val="right"/>
              <w:rPr>
                <w:sz w:val="18"/>
                <w:szCs w:val="18"/>
              </w:rPr>
            </w:pPr>
            <w:r w:rsidRPr="001C3504">
              <w:rPr>
                <w:rFonts w:eastAsia="Century Gothic" w:cs="Century Gothic"/>
                <w:color w:val="000000"/>
                <w:sz w:val="18"/>
                <w:szCs w:val="18"/>
              </w:rPr>
              <w:t>2 (14%)</w:t>
            </w:r>
          </w:p>
        </w:tc>
      </w:tr>
      <w:tr w:rsidR="00861758" w:rsidRPr="001C3504" w14:paraId="3C1BE9AA" w14:textId="77777777" w:rsidTr="00F83DE8">
        <w:trPr>
          <w:cantSplit/>
          <w:jc w:val="center"/>
        </w:trPr>
        <w:tc>
          <w:tcPr>
            <w:tcW w:w="7689" w:type="dxa"/>
            <w:shd w:val="clear" w:color="auto" w:fill="FFFFFF"/>
            <w:tcMar>
              <w:top w:w="0" w:type="dxa"/>
              <w:left w:w="0" w:type="dxa"/>
              <w:bottom w:w="0" w:type="dxa"/>
              <w:right w:w="0" w:type="dxa"/>
            </w:tcMar>
            <w:vAlign w:val="center"/>
          </w:tcPr>
          <w:p w14:paraId="06825F34" w14:textId="77777777" w:rsidR="00861758" w:rsidRPr="001C3504" w:rsidRDefault="00861758" w:rsidP="00F83DE8">
            <w:pPr>
              <w:spacing w:before="20" w:after="20"/>
              <w:ind w:left="100" w:right="100"/>
              <w:rPr>
                <w:sz w:val="18"/>
                <w:szCs w:val="18"/>
              </w:rPr>
            </w:pPr>
            <w:r w:rsidRPr="001C3504">
              <w:rPr>
                <w:rFonts w:eastAsia="Century Gothic" w:cs="Century Gothic"/>
                <w:color w:val="000000"/>
                <w:sz w:val="18"/>
                <w:szCs w:val="18"/>
              </w:rPr>
              <w:t>Help identify errors or interactions through checks and medication reconciliation</w:t>
            </w:r>
          </w:p>
        </w:tc>
        <w:tc>
          <w:tcPr>
            <w:tcW w:w="1814" w:type="dxa"/>
            <w:shd w:val="clear" w:color="auto" w:fill="FFFFFF"/>
            <w:tcMar>
              <w:top w:w="0" w:type="dxa"/>
              <w:left w:w="0" w:type="dxa"/>
              <w:bottom w:w="0" w:type="dxa"/>
              <w:right w:w="0" w:type="dxa"/>
            </w:tcMar>
            <w:vAlign w:val="center"/>
          </w:tcPr>
          <w:p w14:paraId="528B111A" w14:textId="77777777" w:rsidR="00861758" w:rsidRPr="001C3504" w:rsidRDefault="00861758" w:rsidP="00F83DE8">
            <w:pPr>
              <w:spacing w:before="20" w:after="20"/>
              <w:ind w:left="100" w:right="100"/>
              <w:jc w:val="right"/>
              <w:rPr>
                <w:sz w:val="18"/>
                <w:szCs w:val="18"/>
              </w:rPr>
            </w:pPr>
            <w:r w:rsidRPr="001C3504">
              <w:rPr>
                <w:rFonts w:eastAsia="Century Gothic" w:cs="Century Gothic"/>
                <w:color w:val="000000"/>
                <w:sz w:val="18"/>
                <w:szCs w:val="18"/>
              </w:rPr>
              <w:t>2 (14%)</w:t>
            </w:r>
          </w:p>
        </w:tc>
      </w:tr>
      <w:tr w:rsidR="00861758" w:rsidRPr="001C3504" w14:paraId="0C0DE9EF" w14:textId="77777777" w:rsidTr="00F83DE8">
        <w:trPr>
          <w:cantSplit/>
          <w:jc w:val="center"/>
        </w:trPr>
        <w:tc>
          <w:tcPr>
            <w:tcW w:w="7689" w:type="dxa"/>
            <w:shd w:val="clear" w:color="auto" w:fill="FFFFFF"/>
            <w:tcMar>
              <w:top w:w="0" w:type="dxa"/>
              <w:left w:w="0" w:type="dxa"/>
              <w:bottom w:w="0" w:type="dxa"/>
              <w:right w:w="0" w:type="dxa"/>
            </w:tcMar>
            <w:vAlign w:val="center"/>
          </w:tcPr>
          <w:p w14:paraId="15DFE2B8" w14:textId="77777777" w:rsidR="00861758" w:rsidRPr="001C3504" w:rsidRDefault="00861758" w:rsidP="00F83DE8">
            <w:pPr>
              <w:spacing w:before="20" w:after="20"/>
              <w:ind w:left="100" w:right="100"/>
              <w:rPr>
                <w:sz w:val="18"/>
                <w:szCs w:val="18"/>
              </w:rPr>
            </w:pPr>
            <w:r w:rsidRPr="001C3504">
              <w:rPr>
                <w:rFonts w:eastAsia="Century Gothic" w:cs="Century Gothic"/>
                <w:color w:val="000000"/>
                <w:sz w:val="18"/>
                <w:szCs w:val="18"/>
              </w:rPr>
              <w:t>Promotes continuity and integration of care</w:t>
            </w:r>
          </w:p>
        </w:tc>
        <w:tc>
          <w:tcPr>
            <w:tcW w:w="1814" w:type="dxa"/>
            <w:shd w:val="clear" w:color="auto" w:fill="FFFFFF"/>
            <w:tcMar>
              <w:top w:w="0" w:type="dxa"/>
              <w:left w:w="0" w:type="dxa"/>
              <w:bottom w:w="0" w:type="dxa"/>
              <w:right w:w="0" w:type="dxa"/>
            </w:tcMar>
            <w:vAlign w:val="center"/>
          </w:tcPr>
          <w:p w14:paraId="49097D04" w14:textId="77777777" w:rsidR="00861758" w:rsidRPr="001C3504" w:rsidRDefault="00861758" w:rsidP="00F83DE8">
            <w:pPr>
              <w:spacing w:before="20" w:after="20"/>
              <w:ind w:left="100" w:right="100"/>
              <w:jc w:val="right"/>
              <w:rPr>
                <w:sz w:val="18"/>
                <w:szCs w:val="18"/>
              </w:rPr>
            </w:pPr>
            <w:r w:rsidRPr="001C3504">
              <w:rPr>
                <w:rFonts w:eastAsia="Century Gothic" w:cs="Century Gothic"/>
                <w:color w:val="000000"/>
                <w:sz w:val="18"/>
                <w:szCs w:val="18"/>
              </w:rPr>
              <w:t>2 (14%)</w:t>
            </w:r>
          </w:p>
        </w:tc>
      </w:tr>
      <w:tr w:rsidR="00861758" w:rsidRPr="001C3504" w14:paraId="549F25F8" w14:textId="77777777" w:rsidTr="00F83DE8">
        <w:trPr>
          <w:cantSplit/>
          <w:jc w:val="center"/>
        </w:trPr>
        <w:tc>
          <w:tcPr>
            <w:tcW w:w="7689" w:type="dxa"/>
            <w:shd w:val="clear" w:color="auto" w:fill="FFFFFF"/>
            <w:tcMar>
              <w:top w:w="0" w:type="dxa"/>
              <w:left w:w="0" w:type="dxa"/>
              <w:bottom w:w="0" w:type="dxa"/>
              <w:right w:w="0" w:type="dxa"/>
            </w:tcMar>
            <w:vAlign w:val="center"/>
          </w:tcPr>
          <w:p w14:paraId="0CD42362" w14:textId="77777777" w:rsidR="00861758" w:rsidRPr="001C3504" w:rsidRDefault="00861758" w:rsidP="00F83DE8">
            <w:pPr>
              <w:spacing w:before="20" w:after="20"/>
              <w:ind w:left="100" w:right="100"/>
              <w:rPr>
                <w:sz w:val="18"/>
                <w:szCs w:val="18"/>
              </w:rPr>
            </w:pPr>
            <w:r w:rsidRPr="001C3504">
              <w:rPr>
                <w:rFonts w:eastAsia="Century Gothic" w:cs="Century Gothic"/>
                <w:color w:val="000000"/>
                <w:sz w:val="18"/>
                <w:szCs w:val="18"/>
              </w:rPr>
              <w:t>Minimal to no benefits</w:t>
            </w:r>
          </w:p>
        </w:tc>
        <w:tc>
          <w:tcPr>
            <w:tcW w:w="1814" w:type="dxa"/>
            <w:shd w:val="clear" w:color="auto" w:fill="FFFFFF"/>
            <w:tcMar>
              <w:top w:w="0" w:type="dxa"/>
              <w:left w:w="0" w:type="dxa"/>
              <w:bottom w:w="0" w:type="dxa"/>
              <w:right w:w="0" w:type="dxa"/>
            </w:tcMar>
            <w:vAlign w:val="center"/>
          </w:tcPr>
          <w:p w14:paraId="415E2ADD" w14:textId="77777777" w:rsidR="00861758" w:rsidRPr="001C3504" w:rsidRDefault="00861758" w:rsidP="00F83DE8">
            <w:pPr>
              <w:spacing w:before="20" w:after="20"/>
              <w:ind w:left="100" w:right="100"/>
              <w:jc w:val="right"/>
              <w:rPr>
                <w:sz w:val="18"/>
                <w:szCs w:val="18"/>
              </w:rPr>
            </w:pPr>
            <w:r w:rsidRPr="001C3504">
              <w:rPr>
                <w:rFonts w:eastAsia="Century Gothic" w:cs="Century Gothic"/>
                <w:color w:val="000000"/>
                <w:sz w:val="18"/>
                <w:szCs w:val="18"/>
              </w:rPr>
              <w:t>2 (14%)</w:t>
            </w:r>
          </w:p>
        </w:tc>
      </w:tr>
      <w:tr w:rsidR="00861758" w:rsidRPr="001C3504" w14:paraId="53E217AE" w14:textId="77777777" w:rsidTr="00F83DE8">
        <w:trPr>
          <w:cantSplit/>
          <w:jc w:val="center"/>
        </w:trPr>
        <w:tc>
          <w:tcPr>
            <w:tcW w:w="7689" w:type="dxa"/>
            <w:shd w:val="clear" w:color="auto" w:fill="FFFFFF"/>
            <w:tcMar>
              <w:top w:w="0" w:type="dxa"/>
              <w:left w:w="0" w:type="dxa"/>
              <w:bottom w:w="0" w:type="dxa"/>
              <w:right w:w="0" w:type="dxa"/>
            </w:tcMar>
            <w:vAlign w:val="center"/>
          </w:tcPr>
          <w:p w14:paraId="78807215" w14:textId="77777777" w:rsidR="00861758" w:rsidRPr="001C3504" w:rsidRDefault="00861758" w:rsidP="00F83DE8">
            <w:pPr>
              <w:spacing w:before="20" w:after="20"/>
              <w:ind w:left="100" w:right="100"/>
              <w:rPr>
                <w:sz w:val="18"/>
                <w:szCs w:val="18"/>
              </w:rPr>
            </w:pPr>
            <w:r w:rsidRPr="001C3504">
              <w:rPr>
                <w:rFonts w:eastAsia="Century Gothic" w:cs="Century Gothic"/>
                <w:color w:val="000000"/>
                <w:sz w:val="18"/>
                <w:szCs w:val="18"/>
              </w:rPr>
              <w:t>Other</w:t>
            </w:r>
          </w:p>
        </w:tc>
        <w:tc>
          <w:tcPr>
            <w:tcW w:w="1814" w:type="dxa"/>
            <w:shd w:val="clear" w:color="auto" w:fill="FFFFFF"/>
            <w:tcMar>
              <w:top w:w="0" w:type="dxa"/>
              <w:left w:w="0" w:type="dxa"/>
              <w:bottom w:w="0" w:type="dxa"/>
              <w:right w:w="0" w:type="dxa"/>
            </w:tcMar>
            <w:vAlign w:val="center"/>
          </w:tcPr>
          <w:p w14:paraId="72A58B68" w14:textId="77777777" w:rsidR="00861758" w:rsidRPr="001C3504" w:rsidRDefault="00861758" w:rsidP="00F83DE8">
            <w:pPr>
              <w:spacing w:before="20" w:after="20"/>
              <w:ind w:left="100" w:right="100"/>
              <w:jc w:val="right"/>
              <w:rPr>
                <w:sz w:val="18"/>
                <w:szCs w:val="18"/>
              </w:rPr>
            </w:pPr>
            <w:r w:rsidRPr="001C3504">
              <w:rPr>
                <w:rFonts w:eastAsia="Century Gothic" w:cs="Century Gothic"/>
                <w:color w:val="000000"/>
                <w:sz w:val="18"/>
                <w:szCs w:val="18"/>
              </w:rPr>
              <w:t>1 (7%)</w:t>
            </w:r>
          </w:p>
        </w:tc>
      </w:tr>
      <w:tr w:rsidR="00861758" w:rsidRPr="001C3504" w14:paraId="1AB235B7" w14:textId="77777777" w:rsidTr="00F83DE8">
        <w:trPr>
          <w:cantSplit/>
          <w:jc w:val="center"/>
        </w:trPr>
        <w:tc>
          <w:tcPr>
            <w:tcW w:w="7689" w:type="dxa"/>
            <w:shd w:val="clear" w:color="auto" w:fill="FFFFFF"/>
            <w:tcMar>
              <w:top w:w="0" w:type="dxa"/>
              <w:left w:w="0" w:type="dxa"/>
              <w:bottom w:w="0" w:type="dxa"/>
              <w:right w:w="0" w:type="dxa"/>
            </w:tcMar>
            <w:vAlign w:val="center"/>
          </w:tcPr>
          <w:p w14:paraId="23B354A4" w14:textId="77777777" w:rsidR="00861758" w:rsidRPr="001C3504" w:rsidRDefault="00861758" w:rsidP="00F83DE8">
            <w:pPr>
              <w:spacing w:before="20" w:after="20"/>
              <w:ind w:left="100" w:right="100"/>
              <w:rPr>
                <w:sz w:val="18"/>
                <w:szCs w:val="18"/>
              </w:rPr>
            </w:pPr>
            <w:r w:rsidRPr="001C3504">
              <w:rPr>
                <w:rFonts w:eastAsia="Century Gothic" w:cs="Century Gothic"/>
                <w:color w:val="000000"/>
                <w:sz w:val="18"/>
                <w:szCs w:val="18"/>
              </w:rPr>
              <w:t>Don't know/ no response</w:t>
            </w:r>
          </w:p>
        </w:tc>
        <w:tc>
          <w:tcPr>
            <w:tcW w:w="1814" w:type="dxa"/>
            <w:shd w:val="clear" w:color="auto" w:fill="FFFFFF"/>
            <w:tcMar>
              <w:top w:w="0" w:type="dxa"/>
              <w:left w:w="0" w:type="dxa"/>
              <w:bottom w:w="0" w:type="dxa"/>
              <w:right w:w="0" w:type="dxa"/>
            </w:tcMar>
            <w:vAlign w:val="center"/>
          </w:tcPr>
          <w:p w14:paraId="31C2D6AB" w14:textId="77777777" w:rsidR="00861758" w:rsidRPr="001C3504" w:rsidRDefault="00861758" w:rsidP="00F83DE8">
            <w:pPr>
              <w:spacing w:before="20" w:after="20"/>
              <w:ind w:left="100" w:right="100"/>
              <w:jc w:val="right"/>
              <w:rPr>
                <w:sz w:val="18"/>
                <w:szCs w:val="18"/>
              </w:rPr>
            </w:pPr>
            <w:r w:rsidRPr="001C3504">
              <w:rPr>
                <w:rFonts w:eastAsia="Century Gothic" w:cs="Century Gothic"/>
                <w:color w:val="000000"/>
                <w:sz w:val="18"/>
                <w:szCs w:val="18"/>
              </w:rPr>
              <w:t>10</w:t>
            </w:r>
          </w:p>
        </w:tc>
      </w:tr>
    </w:tbl>
    <w:p w14:paraId="41C36DEB" w14:textId="5B3E7F2B" w:rsidR="00861758" w:rsidRPr="001C3504" w:rsidRDefault="00861758" w:rsidP="00861758">
      <w:pPr>
        <w:pStyle w:val="Source"/>
      </w:pPr>
      <w:r w:rsidRPr="001C3504">
        <w:t xml:space="preserve">Source: </w:t>
      </w:r>
      <w:r>
        <w:t>Staff survey</w:t>
      </w:r>
      <w:r w:rsidRPr="001C3504">
        <w:t xml:space="preserve"> </w:t>
      </w:r>
      <w:r>
        <w:t>R</w:t>
      </w:r>
      <w:r w:rsidRPr="001C3504">
        <w:t>5</w:t>
      </w:r>
      <w:r w:rsidR="00DD350A" w:rsidRPr="001C3504">
        <w:t xml:space="preserve"> </w:t>
      </w:r>
      <w:r w:rsidR="00DD350A">
        <w:t>Mar–May 2021</w:t>
      </w:r>
      <w:r w:rsidRPr="001C3504">
        <w:t xml:space="preserve">, </w:t>
      </w:r>
      <w:r>
        <w:t>question</w:t>
      </w:r>
      <w:r w:rsidRPr="001C3504">
        <w:t xml:space="preserve"> 16H</w:t>
      </w:r>
      <w:r w:rsidR="00DD350A">
        <w:t>.</w:t>
      </w:r>
    </w:p>
    <w:p w14:paraId="57673909" w14:textId="1FC15E04" w:rsidR="00FC4F0B" w:rsidRDefault="003A193F" w:rsidP="00510344">
      <w:pPr>
        <w:rPr>
          <w:szCs w:val="20"/>
        </w:rPr>
      </w:pPr>
      <w:r>
        <w:rPr>
          <w:szCs w:val="20"/>
        </w:rPr>
        <w:t xml:space="preserve">GPs were also asked </w:t>
      </w:r>
      <w:r w:rsidR="00FC4F0B">
        <w:rPr>
          <w:szCs w:val="20"/>
        </w:rPr>
        <w:t xml:space="preserve">to list the top three ways in </w:t>
      </w:r>
      <w:r w:rsidR="00FC4F0B" w:rsidRPr="00FC4F0B">
        <w:rPr>
          <w:szCs w:val="20"/>
        </w:rPr>
        <w:t xml:space="preserve">which community pharmacists' expertise </w:t>
      </w:r>
      <w:r w:rsidR="00972BBD" w:rsidRPr="00972BBD">
        <w:rPr>
          <w:szCs w:val="20"/>
        </w:rPr>
        <w:t>could</w:t>
      </w:r>
      <w:r w:rsidR="00FC4F0B" w:rsidRPr="00FC4F0B">
        <w:rPr>
          <w:szCs w:val="20"/>
        </w:rPr>
        <w:t xml:space="preserve"> be better </w:t>
      </w:r>
      <w:r w:rsidR="00972BBD" w:rsidRPr="00972BBD">
        <w:rPr>
          <w:szCs w:val="20"/>
        </w:rPr>
        <w:t xml:space="preserve">used towards improving care </w:t>
      </w:r>
      <w:r w:rsidR="00FC4F0B" w:rsidRPr="00FC4F0B">
        <w:rPr>
          <w:szCs w:val="20"/>
        </w:rPr>
        <w:t>for HCH patients and other patients with chronic illnesses</w:t>
      </w:r>
      <w:r w:rsidR="00FC4F0B">
        <w:rPr>
          <w:szCs w:val="20"/>
        </w:rPr>
        <w:t xml:space="preserve">. </w:t>
      </w:r>
      <w:r w:rsidR="00843B77">
        <w:rPr>
          <w:szCs w:val="20"/>
        </w:rPr>
        <w:t>GPs’ top response was “</w:t>
      </w:r>
      <w:r w:rsidR="00843B77" w:rsidRPr="00843B77">
        <w:rPr>
          <w:szCs w:val="20"/>
        </w:rPr>
        <w:t>Provide more education and support</w:t>
      </w:r>
      <w:r w:rsidR="00843B77">
        <w:rPr>
          <w:szCs w:val="20"/>
        </w:rPr>
        <w:t>” (</w:t>
      </w:r>
      <w:r w:rsidR="00FC4F0B" w:rsidRPr="00843B77">
        <w:rPr>
          <w:rFonts w:eastAsiaTheme="minorEastAsia"/>
          <w:color w:val="1D2455"/>
          <w:szCs w:val="20"/>
          <w:lang w:eastAsia="en-AU"/>
        </w:rPr>
        <w:fldChar w:fldCharType="begin"/>
      </w:r>
      <w:r w:rsidR="00FC4F0B" w:rsidRPr="00843B77">
        <w:rPr>
          <w:rFonts w:eastAsiaTheme="minorEastAsia"/>
          <w:color w:val="1D2455"/>
          <w:szCs w:val="20"/>
          <w:lang w:eastAsia="en-AU"/>
        </w:rPr>
        <w:instrText xml:space="preserve"> REF _Ref98768027 \h </w:instrText>
      </w:r>
      <w:r w:rsidR="00843B77">
        <w:rPr>
          <w:rFonts w:eastAsiaTheme="minorEastAsia"/>
          <w:color w:val="1D2455"/>
          <w:szCs w:val="20"/>
          <w:lang w:eastAsia="en-AU"/>
        </w:rPr>
        <w:instrText xml:space="preserve"> \* MERGEFORMAT </w:instrText>
      </w:r>
      <w:r w:rsidR="00FC4F0B" w:rsidRPr="00843B77">
        <w:rPr>
          <w:rFonts w:eastAsiaTheme="minorEastAsia"/>
          <w:color w:val="1D2455"/>
          <w:szCs w:val="20"/>
          <w:lang w:eastAsia="en-AU"/>
        </w:rPr>
      </w:r>
      <w:r w:rsidR="00FC4F0B" w:rsidRPr="00843B77">
        <w:rPr>
          <w:rFonts w:eastAsiaTheme="minorEastAsia"/>
          <w:color w:val="1D2455"/>
          <w:szCs w:val="20"/>
          <w:lang w:eastAsia="en-AU"/>
        </w:rPr>
        <w:fldChar w:fldCharType="separate"/>
      </w:r>
      <w:r w:rsidR="003C4BC2" w:rsidRPr="003C4BC2">
        <w:rPr>
          <w:rFonts w:eastAsiaTheme="minorEastAsia"/>
          <w:color w:val="1D2455"/>
          <w:szCs w:val="20"/>
          <w:lang w:eastAsia="en-AU"/>
        </w:rPr>
        <w:t>Table 82</w:t>
      </w:r>
      <w:r w:rsidR="00FC4F0B" w:rsidRPr="00843B77">
        <w:rPr>
          <w:rFonts w:eastAsiaTheme="minorEastAsia"/>
          <w:color w:val="1D2455"/>
          <w:szCs w:val="20"/>
          <w:lang w:eastAsia="en-AU"/>
        </w:rPr>
        <w:fldChar w:fldCharType="end"/>
      </w:r>
      <w:r w:rsidR="00843B77">
        <w:t>).</w:t>
      </w:r>
    </w:p>
    <w:p w14:paraId="61B0F0F8" w14:textId="1C0F252B" w:rsidR="00A402F5" w:rsidRPr="00360C6F" w:rsidRDefault="00A402F5" w:rsidP="00A402F5">
      <w:pPr>
        <w:pStyle w:val="TableorFigurecaptionHPA"/>
      </w:pPr>
      <w:bookmarkStart w:id="504" w:name="_Ref98768027"/>
      <w:r w:rsidRPr="00360C6F">
        <w:t xml:space="preserve">Table </w:t>
      </w:r>
      <w:r w:rsidRPr="00360C6F">
        <w:fldChar w:fldCharType="begin"/>
      </w:r>
      <w:r w:rsidRPr="00360C6F">
        <w:instrText>SEQ Table \* ARABIC</w:instrText>
      </w:r>
      <w:r w:rsidRPr="00360C6F">
        <w:fldChar w:fldCharType="separate"/>
      </w:r>
      <w:r w:rsidR="003C4BC2">
        <w:rPr>
          <w:noProof/>
        </w:rPr>
        <w:t>82</w:t>
      </w:r>
      <w:r w:rsidRPr="00360C6F">
        <w:fldChar w:fldCharType="end"/>
      </w:r>
      <w:bookmarkEnd w:id="504"/>
      <w:r>
        <w:t xml:space="preserve">: </w:t>
      </w:r>
      <w:r w:rsidRPr="00360C6F">
        <w:t>GP views on top three ways in which community pharmacists' expertise can be better for HCH patients and other patients with chronic illnesses</w:t>
      </w:r>
    </w:p>
    <w:tbl>
      <w:tblPr>
        <w:tblW w:w="9831" w:type="dxa"/>
        <w:jc w:val="center"/>
        <w:tblBorders>
          <w:top w:val="single" w:sz="4" w:space="0" w:color="408BCA"/>
          <w:left w:val="single" w:sz="4" w:space="0" w:color="408BCA"/>
          <w:bottom w:val="single" w:sz="4" w:space="0" w:color="408BCA"/>
          <w:right w:val="single" w:sz="4" w:space="0" w:color="408BCA"/>
          <w:insideH w:val="single" w:sz="4" w:space="0" w:color="BFBFBF" w:themeColor="background1" w:themeShade="BF"/>
          <w:insideV w:val="single" w:sz="4" w:space="0" w:color="BFBFBF" w:themeColor="background1" w:themeShade="BF"/>
        </w:tblBorders>
        <w:tblLayout w:type="fixed"/>
        <w:tblLook w:val="0420" w:firstRow="1" w:lastRow="0" w:firstColumn="0" w:lastColumn="0" w:noHBand="0" w:noVBand="1"/>
      </w:tblPr>
      <w:tblGrid>
        <w:gridCol w:w="8789"/>
        <w:gridCol w:w="1042"/>
      </w:tblGrid>
      <w:tr w:rsidR="00A402F5" w:rsidRPr="001C3504" w14:paraId="4BF942EF" w14:textId="77777777" w:rsidTr="00A402F5">
        <w:trPr>
          <w:cantSplit/>
          <w:tblHeader/>
          <w:jc w:val="center"/>
        </w:trPr>
        <w:tc>
          <w:tcPr>
            <w:tcW w:w="8789" w:type="dxa"/>
            <w:shd w:val="clear" w:color="auto" w:fill="408BCA"/>
            <w:tcMar>
              <w:top w:w="0" w:type="dxa"/>
              <w:left w:w="0" w:type="dxa"/>
              <w:bottom w:w="0" w:type="dxa"/>
              <w:right w:w="0" w:type="dxa"/>
            </w:tcMar>
            <w:vAlign w:val="center"/>
          </w:tcPr>
          <w:p w14:paraId="5C19532D" w14:textId="77777777" w:rsidR="00A402F5" w:rsidRPr="001C3504" w:rsidRDefault="00A402F5" w:rsidP="00F83DE8">
            <w:pPr>
              <w:spacing w:before="20" w:after="20"/>
              <w:ind w:left="100" w:right="100"/>
              <w:jc w:val="center"/>
              <w:rPr>
                <w:sz w:val="18"/>
                <w:szCs w:val="18"/>
              </w:rPr>
            </w:pPr>
            <w:r w:rsidRPr="001C3504">
              <w:rPr>
                <w:rFonts w:eastAsia="Century Gothic" w:cs="Century Gothic"/>
                <w:b/>
                <w:color w:val="FFFFFF"/>
                <w:sz w:val="18"/>
                <w:szCs w:val="18"/>
              </w:rPr>
              <w:t>Response</w:t>
            </w:r>
          </w:p>
        </w:tc>
        <w:tc>
          <w:tcPr>
            <w:tcW w:w="1042" w:type="dxa"/>
            <w:shd w:val="clear" w:color="auto" w:fill="408BCA"/>
            <w:tcMar>
              <w:top w:w="0" w:type="dxa"/>
              <w:left w:w="0" w:type="dxa"/>
              <w:bottom w:w="0" w:type="dxa"/>
              <w:right w:w="0" w:type="dxa"/>
            </w:tcMar>
            <w:vAlign w:val="center"/>
          </w:tcPr>
          <w:p w14:paraId="5298D391" w14:textId="77777777" w:rsidR="00A402F5" w:rsidRPr="001C3504" w:rsidRDefault="00A402F5" w:rsidP="00F83DE8">
            <w:pPr>
              <w:spacing w:before="20" w:after="20"/>
              <w:ind w:left="100" w:right="100"/>
              <w:jc w:val="center"/>
              <w:rPr>
                <w:sz w:val="18"/>
                <w:szCs w:val="18"/>
              </w:rPr>
            </w:pPr>
            <w:r w:rsidRPr="001C3504">
              <w:rPr>
                <w:rFonts w:eastAsia="Century Gothic" w:cs="Century Gothic"/>
                <w:b/>
                <w:color w:val="FFFFFF"/>
                <w:sz w:val="18"/>
                <w:szCs w:val="18"/>
              </w:rPr>
              <w:t>n (%)</w:t>
            </w:r>
          </w:p>
        </w:tc>
      </w:tr>
      <w:tr w:rsidR="00A402F5" w:rsidRPr="001C3504" w14:paraId="0CD98941" w14:textId="77777777" w:rsidTr="00A402F5">
        <w:trPr>
          <w:cantSplit/>
          <w:jc w:val="center"/>
        </w:trPr>
        <w:tc>
          <w:tcPr>
            <w:tcW w:w="8789" w:type="dxa"/>
            <w:shd w:val="clear" w:color="auto" w:fill="FFFFFF"/>
            <w:tcMar>
              <w:top w:w="0" w:type="dxa"/>
              <w:left w:w="0" w:type="dxa"/>
              <w:bottom w:w="0" w:type="dxa"/>
              <w:right w:w="0" w:type="dxa"/>
            </w:tcMar>
            <w:vAlign w:val="center"/>
          </w:tcPr>
          <w:p w14:paraId="34899BD3" w14:textId="77777777" w:rsidR="00A402F5" w:rsidRPr="001C3504" w:rsidRDefault="00A402F5" w:rsidP="00F83DE8">
            <w:pPr>
              <w:spacing w:before="20" w:after="20"/>
              <w:ind w:left="100" w:right="100"/>
              <w:rPr>
                <w:sz w:val="18"/>
                <w:szCs w:val="18"/>
              </w:rPr>
            </w:pPr>
            <w:r w:rsidRPr="001C3504">
              <w:rPr>
                <w:rFonts w:eastAsia="Century Gothic" w:cs="Century Gothic"/>
                <w:color w:val="000000"/>
                <w:sz w:val="18"/>
                <w:szCs w:val="18"/>
              </w:rPr>
              <w:t>Provide more education and support</w:t>
            </w:r>
          </w:p>
        </w:tc>
        <w:tc>
          <w:tcPr>
            <w:tcW w:w="1042" w:type="dxa"/>
            <w:shd w:val="clear" w:color="auto" w:fill="FFFFFF"/>
            <w:tcMar>
              <w:top w:w="0" w:type="dxa"/>
              <w:left w:w="0" w:type="dxa"/>
              <w:bottom w:w="0" w:type="dxa"/>
              <w:right w:w="0" w:type="dxa"/>
            </w:tcMar>
            <w:vAlign w:val="center"/>
          </w:tcPr>
          <w:p w14:paraId="1E2BAEB1" w14:textId="77777777" w:rsidR="00A402F5" w:rsidRPr="001C3504" w:rsidRDefault="00A402F5" w:rsidP="00F83DE8">
            <w:pPr>
              <w:spacing w:before="20" w:after="20"/>
              <w:ind w:left="100" w:right="100"/>
              <w:jc w:val="right"/>
              <w:rPr>
                <w:sz w:val="18"/>
                <w:szCs w:val="18"/>
              </w:rPr>
            </w:pPr>
            <w:r w:rsidRPr="001C3504">
              <w:rPr>
                <w:rFonts w:eastAsia="Century Gothic" w:cs="Century Gothic"/>
                <w:color w:val="000000"/>
                <w:sz w:val="18"/>
                <w:szCs w:val="18"/>
              </w:rPr>
              <w:t>13 (76%)</w:t>
            </w:r>
          </w:p>
        </w:tc>
      </w:tr>
      <w:tr w:rsidR="00A402F5" w:rsidRPr="001C3504" w14:paraId="4C1F676D" w14:textId="77777777" w:rsidTr="00A402F5">
        <w:trPr>
          <w:cantSplit/>
          <w:jc w:val="center"/>
        </w:trPr>
        <w:tc>
          <w:tcPr>
            <w:tcW w:w="8789" w:type="dxa"/>
            <w:shd w:val="clear" w:color="auto" w:fill="FFFFFF"/>
            <w:tcMar>
              <w:top w:w="0" w:type="dxa"/>
              <w:left w:w="0" w:type="dxa"/>
              <w:bottom w:w="0" w:type="dxa"/>
              <w:right w:w="0" w:type="dxa"/>
            </w:tcMar>
            <w:vAlign w:val="center"/>
          </w:tcPr>
          <w:p w14:paraId="10734AFF" w14:textId="1C0B5B44" w:rsidR="00A402F5" w:rsidRPr="001C3504" w:rsidRDefault="00A402F5" w:rsidP="00F83DE8">
            <w:pPr>
              <w:spacing w:before="20" w:after="20"/>
              <w:ind w:left="100" w:right="100"/>
              <w:rPr>
                <w:sz w:val="18"/>
                <w:szCs w:val="18"/>
              </w:rPr>
            </w:pPr>
            <w:r w:rsidRPr="001C3504">
              <w:rPr>
                <w:rFonts w:eastAsia="Century Gothic" w:cs="Century Gothic"/>
                <w:color w:val="000000"/>
                <w:sz w:val="18"/>
                <w:szCs w:val="18"/>
              </w:rPr>
              <w:t>Offer additional services (</w:t>
            </w:r>
            <w:r w:rsidR="0010747B">
              <w:rPr>
                <w:rFonts w:eastAsia="Century Gothic" w:cs="Century Gothic"/>
                <w:color w:val="000000"/>
                <w:sz w:val="18"/>
                <w:szCs w:val="18"/>
              </w:rPr>
              <w:t>that is,</w:t>
            </w:r>
            <w:r w:rsidRPr="001C3504">
              <w:rPr>
                <w:rFonts w:eastAsia="Century Gothic" w:cs="Century Gothic"/>
                <w:color w:val="000000"/>
                <w:sz w:val="18"/>
                <w:szCs w:val="18"/>
              </w:rPr>
              <w:t xml:space="preserve"> delivery, e-scripts, home visits)</w:t>
            </w:r>
          </w:p>
        </w:tc>
        <w:tc>
          <w:tcPr>
            <w:tcW w:w="1042" w:type="dxa"/>
            <w:shd w:val="clear" w:color="auto" w:fill="FFFFFF"/>
            <w:tcMar>
              <w:top w:w="0" w:type="dxa"/>
              <w:left w:w="0" w:type="dxa"/>
              <w:bottom w:w="0" w:type="dxa"/>
              <w:right w:w="0" w:type="dxa"/>
            </w:tcMar>
            <w:vAlign w:val="center"/>
          </w:tcPr>
          <w:p w14:paraId="3210DDF2" w14:textId="77777777" w:rsidR="00A402F5" w:rsidRPr="001C3504" w:rsidRDefault="00A402F5" w:rsidP="00F83DE8">
            <w:pPr>
              <w:spacing w:before="20" w:after="20"/>
              <w:ind w:left="100" w:right="100"/>
              <w:jc w:val="right"/>
              <w:rPr>
                <w:sz w:val="18"/>
                <w:szCs w:val="18"/>
              </w:rPr>
            </w:pPr>
            <w:r w:rsidRPr="001C3504">
              <w:rPr>
                <w:rFonts w:eastAsia="Century Gothic" w:cs="Century Gothic"/>
                <w:color w:val="000000"/>
                <w:sz w:val="18"/>
                <w:szCs w:val="18"/>
              </w:rPr>
              <w:t>7 (41%)</w:t>
            </w:r>
          </w:p>
        </w:tc>
      </w:tr>
      <w:tr w:rsidR="00A402F5" w:rsidRPr="001C3504" w14:paraId="35D2D758" w14:textId="77777777" w:rsidTr="00A402F5">
        <w:trPr>
          <w:cantSplit/>
          <w:jc w:val="center"/>
        </w:trPr>
        <w:tc>
          <w:tcPr>
            <w:tcW w:w="8789" w:type="dxa"/>
            <w:shd w:val="clear" w:color="auto" w:fill="FFFFFF"/>
            <w:tcMar>
              <w:top w:w="0" w:type="dxa"/>
              <w:left w:w="0" w:type="dxa"/>
              <w:bottom w:w="0" w:type="dxa"/>
              <w:right w:w="0" w:type="dxa"/>
            </w:tcMar>
            <w:vAlign w:val="center"/>
          </w:tcPr>
          <w:p w14:paraId="6BCFAA9E" w14:textId="77777777" w:rsidR="00A402F5" w:rsidRPr="001C3504" w:rsidRDefault="00A402F5" w:rsidP="00F83DE8">
            <w:pPr>
              <w:spacing w:before="20" w:after="20"/>
              <w:ind w:left="100" w:right="100"/>
              <w:rPr>
                <w:sz w:val="18"/>
                <w:szCs w:val="18"/>
              </w:rPr>
            </w:pPr>
            <w:r w:rsidRPr="001C3504">
              <w:rPr>
                <w:rFonts w:eastAsia="Century Gothic" w:cs="Century Gothic"/>
                <w:color w:val="000000"/>
                <w:sz w:val="18"/>
                <w:szCs w:val="18"/>
              </w:rPr>
              <w:t>Better communication and feedback</w:t>
            </w:r>
          </w:p>
        </w:tc>
        <w:tc>
          <w:tcPr>
            <w:tcW w:w="1042" w:type="dxa"/>
            <w:shd w:val="clear" w:color="auto" w:fill="FFFFFF"/>
            <w:tcMar>
              <w:top w:w="0" w:type="dxa"/>
              <w:left w:w="0" w:type="dxa"/>
              <w:bottom w:w="0" w:type="dxa"/>
              <w:right w:w="0" w:type="dxa"/>
            </w:tcMar>
            <w:vAlign w:val="center"/>
          </w:tcPr>
          <w:p w14:paraId="18D1706D" w14:textId="77777777" w:rsidR="00A402F5" w:rsidRPr="001C3504" w:rsidRDefault="00A402F5" w:rsidP="00F83DE8">
            <w:pPr>
              <w:spacing w:before="20" w:after="20"/>
              <w:ind w:left="100" w:right="100"/>
              <w:jc w:val="right"/>
              <w:rPr>
                <w:sz w:val="18"/>
                <w:szCs w:val="18"/>
              </w:rPr>
            </w:pPr>
            <w:r w:rsidRPr="001C3504">
              <w:rPr>
                <w:rFonts w:eastAsia="Century Gothic" w:cs="Century Gothic"/>
                <w:color w:val="000000"/>
                <w:sz w:val="18"/>
                <w:szCs w:val="18"/>
              </w:rPr>
              <w:t>6 (35%)</w:t>
            </w:r>
          </w:p>
        </w:tc>
      </w:tr>
      <w:tr w:rsidR="00A402F5" w:rsidRPr="001C3504" w14:paraId="26F942F7" w14:textId="77777777" w:rsidTr="00A402F5">
        <w:trPr>
          <w:cantSplit/>
          <w:jc w:val="center"/>
        </w:trPr>
        <w:tc>
          <w:tcPr>
            <w:tcW w:w="8789" w:type="dxa"/>
            <w:shd w:val="clear" w:color="auto" w:fill="FFFFFF"/>
            <w:tcMar>
              <w:top w:w="0" w:type="dxa"/>
              <w:left w:w="0" w:type="dxa"/>
              <w:bottom w:w="0" w:type="dxa"/>
              <w:right w:w="0" w:type="dxa"/>
            </w:tcMar>
            <w:vAlign w:val="center"/>
          </w:tcPr>
          <w:p w14:paraId="749C2B53" w14:textId="77777777" w:rsidR="00A402F5" w:rsidRPr="001C3504" w:rsidRDefault="00A402F5" w:rsidP="00F83DE8">
            <w:pPr>
              <w:spacing w:before="20" w:after="20"/>
              <w:ind w:left="100" w:right="100"/>
              <w:rPr>
                <w:sz w:val="18"/>
                <w:szCs w:val="18"/>
              </w:rPr>
            </w:pPr>
            <w:r w:rsidRPr="001C3504">
              <w:rPr>
                <w:rFonts w:eastAsia="Century Gothic" w:cs="Century Gothic"/>
                <w:color w:val="000000"/>
                <w:sz w:val="18"/>
                <w:szCs w:val="18"/>
              </w:rPr>
              <w:t>More frequent medication reviews and patient follow up</w:t>
            </w:r>
          </w:p>
        </w:tc>
        <w:tc>
          <w:tcPr>
            <w:tcW w:w="1042" w:type="dxa"/>
            <w:shd w:val="clear" w:color="auto" w:fill="FFFFFF"/>
            <w:tcMar>
              <w:top w:w="0" w:type="dxa"/>
              <w:left w:w="0" w:type="dxa"/>
              <w:bottom w:w="0" w:type="dxa"/>
              <w:right w:w="0" w:type="dxa"/>
            </w:tcMar>
            <w:vAlign w:val="center"/>
          </w:tcPr>
          <w:p w14:paraId="2636FF9F" w14:textId="77777777" w:rsidR="00A402F5" w:rsidRPr="001C3504" w:rsidRDefault="00A402F5" w:rsidP="00F83DE8">
            <w:pPr>
              <w:spacing w:before="20" w:after="20"/>
              <w:ind w:left="100" w:right="100"/>
              <w:jc w:val="right"/>
              <w:rPr>
                <w:sz w:val="18"/>
                <w:szCs w:val="18"/>
              </w:rPr>
            </w:pPr>
            <w:r w:rsidRPr="001C3504">
              <w:rPr>
                <w:rFonts w:eastAsia="Century Gothic" w:cs="Century Gothic"/>
                <w:color w:val="000000"/>
                <w:sz w:val="18"/>
                <w:szCs w:val="18"/>
              </w:rPr>
              <w:t>6 (35%)</w:t>
            </w:r>
          </w:p>
        </w:tc>
      </w:tr>
      <w:tr w:rsidR="00A402F5" w:rsidRPr="001C3504" w14:paraId="2EB119B5" w14:textId="77777777" w:rsidTr="00A402F5">
        <w:trPr>
          <w:cantSplit/>
          <w:jc w:val="center"/>
        </w:trPr>
        <w:tc>
          <w:tcPr>
            <w:tcW w:w="8789" w:type="dxa"/>
            <w:shd w:val="clear" w:color="auto" w:fill="FFFFFF"/>
            <w:tcMar>
              <w:top w:w="0" w:type="dxa"/>
              <w:left w:w="0" w:type="dxa"/>
              <w:bottom w:w="0" w:type="dxa"/>
              <w:right w:w="0" w:type="dxa"/>
            </w:tcMar>
            <w:vAlign w:val="center"/>
          </w:tcPr>
          <w:p w14:paraId="438ACD28" w14:textId="77777777" w:rsidR="00A402F5" w:rsidRPr="001C3504" w:rsidRDefault="00A402F5" w:rsidP="00F83DE8">
            <w:pPr>
              <w:spacing w:before="20" w:after="20"/>
              <w:ind w:left="100" w:right="100"/>
              <w:rPr>
                <w:sz w:val="18"/>
                <w:szCs w:val="18"/>
              </w:rPr>
            </w:pPr>
            <w:r w:rsidRPr="001C3504">
              <w:rPr>
                <w:rFonts w:eastAsia="Century Gothic" w:cs="Century Gothic"/>
                <w:color w:val="000000"/>
                <w:sz w:val="18"/>
                <w:szCs w:val="18"/>
              </w:rPr>
              <w:t>More regular reporting and documentation</w:t>
            </w:r>
          </w:p>
        </w:tc>
        <w:tc>
          <w:tcPr>
            <w:tcW w:w="1042" w:type="dxa"/>
            <w:shd w:val="clear" w:color="auto" w:fill="FFFFFF"/>
            <w:tcMar>
              <w:top w:w="0" w:type="dxa"/>
              <w:left w:w="0" w:type="dxa"/>
              <w:bottom w:w="0" w:type="dxa"/>
              <w:right w:w="0" w:type="dxa"/>
            </w:tcMar>
            <w:vAlign w:val="center"/>
          </w:tcPr>
          <w:p w14:paraId="3EED3FB0" w14:textId="77777777" w:rsidR="00A402F5" w:rsidRPr="001C3504" w:rsidRDefault="00A402F5" w:rsidP="00F83DE8">
            <w:pPr>
              <w:spacing w:before="20" w:after="20"/>
              <w:ind w:left="100" w:right="100"/>
              <w:jc w:val="right"/>
              <w:rPr>
                <w:sz w:val="18"/>
                <w:szCs w:val="18"/>
              </w:rPr>
            </w:pPr>
            <w:r w:rsidRPr="001C3504">
              <w:rPr>
                <w:rFonts w:eastAsia="Century Gothic" w:cs="Century Gothic"/>
                <w:color w:val="000000"/>
                <w:sz w:val="18"/>
                <w:szCs w:val="18"/>
              </w:rPr>
              <w:t>6 (35%)</w:t>
            </w:r>
          </w:p>
        </w:tc>
      </w:tr>
      <w:tr w:rsidR="00A402F5" w:rsidRPr="001C3504" w14:paraId="22EA6B2D" w14:textId="77777777" w:rsidTr="00A402F5">
        <w:trPr>
          <w:cantSplit/>
          <w:jc w:val="center"/>
        </w:trPr>
        <w:tc>
          <w:tcPr>
            <w:tcW w:w="8789" w:type="dxa"/>
            <w:shd w:val="clear" w:color="auto" w:fill="FFFFFF"/>
            <w:tcMar>
              <w:top w:w="0" w:type="dxa"/>
              <w:left w:w="0" w:type="dxa"/>
              <w:bottom w:w="0" w:type="dxa"/>
              <w:right w:w="0" w:type="dxa"/>
            </w:tcMar>
            <w:vAlign w:val="center"/>
          </w:tcPr>
          <w:p w14:paraId="5B33F544" w14:textId="74B72CAD" w:rsidR="00A402F5" w:rsidRPr="001C3504" w:rsidRDefault="00A402F5" w:rsidP="00F83DE8">
            <w:pPr>
              <w:spacing w:before="20" w:after="20"/>
              <w:ind w:left="100" w:right="100"/>
              <w:rPr>
                <w:sz w:val="18"/>
                <w:szCs w:val="18"/>
              </w:rPr>
            </w:pPr>
            <w:r w:rsidRPr="001C3504">
              <w:rPr>
                <w:rFonts w:eastAsia="Century Gothic" w:cs="Century Gothic"/>
                <w:color w:val="000000"/>
                <w:sz w:val="18"/>
                <w:szCs w:val="18"/>
              </w:rPr>
              <w:t xml:space="preserve">Additional involvement with general practice </w:t>
            </w:r>
            <w:r w:rsidR="007D67A8" w:rsidRPr="001C3504">
              <w:rPr>
                <w:rFonts w:eastAsia="Century Gothic" w:cs="Century Gothic"/>
                <w:color w:val="000000"/>
                <w:sz w:val="18"/>
                <w:szCs w:val="18"/>
              </w:rPr>
              <w:t>team-based</w:t>
            </w:r>
            <w:r w:rsidRPr="001C3504">
              <w:rPr>
                <w:rFonts w:eastAsia="Century Gothic" w:cs="Century Gothic"/>
                <w:color w:val="000000"/>
                <w:sz w:val="18"/>
                <w:szCs w:val="18"/>
              </w:rPr>
              <w:t xml:space="preserve"> care arrangements (</w:t>
            </w:r>
            <w:r w:rsidR="007D67A8">
              <w:rPr>
                <w:rFonts w:eastAsia="Century Gothic" w:cs="Century Gothic"/>
                <w:color w:val="000000"/>
                <w:sz w:val="18"/>
                <w:szCs w:val="18"/>
              </w:rPr>
              <w:t>i.e.</w:t>
            </w:r>
            <w:r w:rsidRPr="001C3504">
              <w:rPr>
                <w:rFonts w:eastAsia="Century Gothic" w:cs="Century Gothic"/>
                <w:color w:val="000000"/>
                <w:sz w:val="18"/>
                <w:szCs w:val="18"/>
              </w:rPr>
              <w:t xml:space="preserve"> visits to practice)</w:t>
            </w:r>
          </w:p>
        </w:tc>
        <w:tc>
          <w:tcPr>
            <w:tcW w:w="1042" w:type="dxa"/>
            <w:shd w:val="clear" w:color="auto" w:fill="FFFFFF"/>
            <w:tcMar>
              <w:top w:w="0" w:type="dxa"/>
              <w:left w:w="0" w:type="dxa"/>
              <w:bottom w:w="0" w:type="dxa"/>
              <w:right w:w="0" w:type="dxa"/>
            </w:tcMar>
            <w:vAlign w:val="center"/>
          </w:tcPr>
          <w:p w14:paraId="73551A9A" w14:textId="77777777" w:rsidR="00A402F5" w:rsidRPr="001C3504" w:rsidRDefault="00A402F5" w:rsidP="00F83DE8">
            <w:pPr>
              <w:spacing w:before="20" w:after="20"/>
              <w:ind w:left="100" w:right="100"/>
              <w:jc w:val="right"/>
              <w:rPr>
                <w:sz w:val="18"/>
                <w:szCs w:val="18"/>
              </w:rPr>
            </w:pPr>
            <w:r w:rsidRPr="001C3504">
              <w:rPr>
                <w:rFonts w:eastAsia="Century Gothic" w:cs="Century Gothic"/>
                <w:color w:val="000000"/>
                <w:sz w:val="18"/>
                <w:szCs w:val="18"/>
              </w:rPr>
              <w:t>4 (24%)</w:t>
            </w:r>
          </w:p>
        </w:tc>
      </w:tr>
      <w:tr w:rsidR="00A402F5" w:rsidRPr="001C3504" w14:paraId="61D72B3C" w14:textId="77777777" w:rsidTr="00A402F5">
        <w:trPr>
          <w:cantSplit/>
          <w:jc w:val="center"/>
        </w:trPr>
        <w:tc>
          <w:tcPr>
            <w:tcW w:w="8789" w:type="dxa"/>
            <w:shd w:val="clear" w:color="auto" w:fill="FFFFFF"/>
            <w:tcMar>
              <w:top w:w="0" w:type="dxa"/>
              <w:left w:w="0" w:type="dxa"/>
              <w:bottom w:w="0" w:type="dxa"/>
              <w:right w:w="0" w:type="dxa"/>
            </w:tcMar>
            <w:vAlign w:val="center"/>
          </w:tcPr>
          <w:p w14:paraId="161E601D" w14:textId="77777777" w:rsidR="00A402F5" w:rsidRPr="001C3504" w:rsidRDefault="00A402F5" w:rsidP="00F83DE8">
            <w:pPr>
              <w:spacing w:before="20" w:after="20"/>
              <w:ind w:left="100" w:right="100"/>
              <w:rPr>
                <w:sz w:val="18"/>
                <w:szCs w:val="18"/>
              </w:rPr>
            </w:pPr>
            <w:r w:rsidRPr="001C3504">
              <w:rPr>
                <w:rFonts w:eastAsia="Century Gothic" w:cs="Century Gothic"/>
                <w:color w:val="000000"/>
                <w:sz w:val="18"/>
                <w:szCs w:val="18"/>
              </w:rPr>
              <w:t>Better use of and communication through shared care planning tools</w:t>
            </w:r>
          </w:p>
        </w:tc>
        <w:tc>
          <w:tcPr>
            <w:tcW w:w="1042" w:type="dxa"/>
            <w:shd w:val="clear" w:color="auto" w:fill="FFFFFF"/>
            <w:tcMar>
              <w:top w:w="0" w:type="dxa"/>
              <w:left w:w="0" w:type="dxa"/>
              <w:bottom w:w="0" w:type="dxa"/>
              <w:right w:w="0" w:type="dxa"/>
            </w:tcMar>
            <w:vAlign w:val="center"/>
          </w:tcPr>
          <w:p w14:paraId="2659E5F2" w14:textId="77777777" w:rsidR="00A402F5" w:rsidRPr="001C3504" w:rsidRDefault="00A402F5" w:rsidP="00F83DE8">
            <w:pPr>
              <w:spacing w:before="20" w:after="20"/>
              <w:ind w:left="100" w:right="100"/>
              <w:jc w:val="right"/>
              <w:rPr>
                <w:sz w:val="18"/>
                <w:szCs w:val="18"/>
              </w:rPr>
            </w:pPr>
            <w:r w:rsidRPr="001C3504">
              <w:rPr>
                <w:rFonts w:eastAsia="Century Gothic" w:cs="Century Gothic"/>
                <w:color w:val="000000"/>
                <w:sz w:val="18"/>
                <w:szCs w:val="18"/>
              </w:rPr>
              <w:t>3 (18%)</w:t>
            </w:r>
          </w:p>
        </w:tc>
      </w:tr>
      <w:tr w:rsidR="00A402F5" w:rsidRPr="001C3504" w14:paraId="4EAF0D42" w14:textId="77777777" w:rsidTr="00A402F5">
        <w:trPr>
          <w:cantSplit/>
          <w:jc w:val="center"/>
        </w:trPr>
        <w:tc>
          <w:tcPr>
            <w:tcW w:w="8789" w:type="dxa"/>
            <w:shd w:val="clear" w:color="auto" w:fill="FFFFFF"/>
            <w:tcMar>
              <w:top w:w="0" w:type="dxa"/>
              <w:left w:w="0" w:type="dxa"/>
              <w:bottom w:w="0" w:type="dxa"/>
              <w:right w:w="0" w:type="dxa"/>
            </w:tcMar>
            <w:vAlign w:val="center"/>
          </w:tcPr>
          <w:p w14:paraId="16A29117" w14:textId="77777777" w:rsidR="00A402F5" w:rsidRPr="001C3504" w:rsidRDefault="00A402F5" w:rsidP="00F83DE8">
            <w:pPr>
              <w:spacing w:before="20" w:after="20"/>
              <w:ind w:left="100" w:right="100"/>
              <w:rPr>
                <w:sz w:val="18"/>
                <w:szCs w:val="18"/>
              </w:rPr>
            </w:pPr>
            <w:r w:rsidRPr="001C3504">
              <w:rPr>
                <w:rFonts w:eastAsia="Century Gothic" w:cs="Century Gothic"/>
                <w:color w:val="000000"/>
                <w:sz w:val="18"/>
                <w:szCs w:val="18"/>
              </w:rPr>
              <w:t>Reminders</w:t>
            </w:r>
          </w:p>
        </w:tc>
        <w:tc>
          <w:tcPr>
            <w:tcW w:w="1042" w:type="dxa"/>
            <w:shd w:val="clear" w:color="auto" w:fill="FFFFFF"/>
            <w:tcMar>
              <w:top w:w="0" w:type="dxa"/>
              <w:left w:w="0" w:type="dxa"/>
              <w:bottom w:w="0" w:type="dxa"/>
              <w:right w:w="0" w:type="dxa"/>
            </w:tcMar>
            <w:vAlign w:val="center"/>
          </w:tcPr>
          <w:p w14:paraId="75A4CF3B" w14:textId="77777777" w:rsidR="00A402F5" w:rsidRPr="001C3504" w:rsidRDefault="00A402F5" w:rsidP="00F83DE8">
            <w:pPr>
              <w:spacing w:before="20" w:after="20"/>
              <w:ind w:left="100" w:right="100"/>
              <w:jc w:val="right"/>
              <w:rPr>
                <w:sz w:val="18"/>
                <w:szCs w:val="18"/>
              </w:rPr>
            </w:pPr>
            <w:r w:rsidRPr="001C3504">
              <w:rPr>
                <w:rFonts w:eastAsia="Century Gothic" w:cs="Century Gothic"/>
                <w:color w:val="000000"/>
                <w:sz w:val="18"/>
                <w:szCs w:val="18"/>
              </w:rPr>
              <w:t>1 (6%)</w:t>
            </w:r>
          </w:p>
        </w:tc>
      </w:tr>
      <w:tr w:rsidR="00A402F5" w:rsidRPr="001C3504" w14:paraId="583C93A9" w14:textId="77777777" w:rsidTr="00A402F5">
        <w:trPr>
          <w:cantSplit/>
          <w:jc w:val="center"/>
        </w:trPr>
        <w:tc>
          <w:tcPr>
            <w:tcW w:w="8789" w:type="dxa"/>
            <w:shd w:val="clear" w:color="auto" w:fill="FFFFFF"/>
            <w:tcMar>
              <w:top w:w="0" w:type="dxa"/>
              <w:left w:w="0" w:type="dxa"/>
              <w:bottom w:w="0" w:type="dxa"/>
              <w:right w:w="0" w:type="dxa"/>
            </w:tcMar>
            <w:vAlign w:val="center"/>
          </w:tcPr>
          <w:p w14:paraId="2C9C7C83" w14:textId="77777777" w:rsidR="00A402F5" w:rsidRPr="001C3504" w:rsidRDefault="00A402F5" w:rsidP="00F83DE8">
            <w:pPr>
              <w:spacing w:before="20" w:after="20"/>
              <w:ind w:left="100" w:right="100"/>
              <w:rPr>
                <w:sz w:val="18"/>
                <w:szCs w:val="18"/>
              </w:rPr>
            </w:pPr>
            <w:r w:rsidRPr="001C3504">
              <w:rPr>
                <w:rFonts w:eastAsia="Century Gothic" w:cs="Century Gothic"/>
                <w:color w:val="000000"/>
                <w:sz w:val="18"/>
                <w:szCs w:val="18"/>
              </w:rPr>
              <w:t>Don't know/ no response</w:t>
            </w:r>
          </w:p>
        </w:tc>
        <w:tc>
          <w:tcPr>
            <w:tcW w:w="1042" w:type="dxa"/>
            <w:shd w:val="clear" w:color="auto" w:fill="FFFFFF"/>
            <w:tcMar>
              <w:top w:w="0" w:type="dxa"/>
              <w:left w:w="0" w:type="dxa"/>
              <w:bottom w:w="0" w:type="dxa"/>
              <w:right w:w="0" w:type="dxa"/>
            </w:tcMar>
            <w:vAlign w:val="center"/>
          </w:tcPr>
          <w:p w14:paraId="0A6177C6" w14:textId="77777777" w:rsidR="00A402F5" w:rsidRPr="001C3504" w:rsidRDefault="00A402F5" w:rsidP="00F83DE8">
            <w:pPr>
              <w:spacing w:before="20" w:after="20"/>
              <w:ind w:left="100" w:right="100"/>
              <w:jc w:val="right"/>
              <w:rPr>
                <w:sz w:val="18"/>
                <w:szCs w:val="18"/>
              </w:rPr>
            </w:pPr>
            <w:r w:rsidRPr="001C3504">
              <w:rPr>
                <w:rFonts w:eastAsia="Century Gothic" w:cs="Century Gothic"/>
                <w:color w:val="000000"/>
                <w:sz w:val="18"/>
                <w:szCs w:val="18"/>
              </w:rPr>
              <w:t>7</w:t>
            </w:r>
          </w:p>
        </w:tc>
      </w:tr>
    </w:tbl>
    <w:p w14:paraId="26F9A518" w14:textId="70E1B497" w:rsidR="00A402F5" w:rsidRPr="001C3504" w:rsidRDefault="00A402F5" w:rsidP="00A402F5">
      <w:pPr>
        <w:pStyle w:val="Source"/>
      </w:pPr>
      <w:r w:rsidRPr="001C3504">
        <w:t xml:space="preserve">Source: </w:t>
      </w:r>
      <w:r>
        <w:t>Staff survey</w:t>
      </w:r>
      <w:r w:rsidRPr="001C3504">
        <w:t xml:space="preserve"> </w:t>
      </w:r>
      <w:r>
        <w:t>R</w:t>
      </w:r>
      <w:r w:rsidRPr="001C3504">
        <w:t>5</w:t>
      </w:r>
      <w:r w:rsidR="00DD350A" w:rsidRPr="001C3504">
        <w:t xml:space="preserve"> </w:t>
      </w:r>
      <w:r w:rsidR="00DD350A">
        <w:t>Mar–May 2021</w:t>
      </w:r>
      <w:r w:rsidRPr="001C3504">
        <w:t xml:space="preserve">, </w:t>
      </w:r>
      <w:r>
        <w:t>question</w:t>
      </w:r>
      <w:r w:rsidRPr="001C3504">
        <w:t xml:space="preserve"> 16J</w:t>
      </w:r>
      <w:r w:rsidR="00DD350A">
        <w:t>.</w:t>
      </w:r>
    </w:p>
    <w:p w14:paraId="011FE448" w14:textId="09D7DCE9" w:rsidR="0058354B" w:rsidRPr="00F71DF5" w:rsidRDefault="00843B77" w:rsidP="00510344">
      <w:pPr>
        <w:rPr>
          <w:rFonts w:cs="Arial"/>
          <w:szCs w:val="20"/>
          <w:lang w:val="en-GB"/>
        </w:rPr>
      </w:pPr>
      <w:r>
        <w:rPr>
          <w:szCs w:val="20"/>
        </w:rPr>
        <w:lastRenderedPageBreak/>
        <w:t>In interviews, p</w:t>
      </w:r>
      <w:r w:rsidR="0058354B" w:rsidRPr="00F71DF5">
        <w:rPr>
          <w:szCs w:val="20"/>
        </w:rPr>
        <w:t xml:space="preserve">ractices were asked to reflect on their involvement and/or experience with </w:t>
      </w:r>
      <w:r w:rsidR="00D66B51">
        <w:rPr>
          <w:szCs w:val="20"/>
        </w:rPr>
        <w:t>referring HCH patients to community pharmacies as part of the trial</w:t>
      </w:r>
      <w:r w:rsidR="0058354B" w:rsidRPr="00F71DF5">
        <w:rPr>
          <w:szCs w:val="20"/>
        </w:rPr>
        <w:t>. Some practices</w:t>
      </w:r>
      <w:r w:rsidR="0058354B">
        <w:rPr>
          <w:rFonts w:cs="Arial"/>
          <w:szCs w:val="20"/>
          <w:lang w:val="en-GB"/>
        </w:rPr>
        <w:t xml:space="preserve"> fel</w:t>
      </w:r>
      <w:r w:rsidR="00263BBF">
        <w:rPr>
          <w:rFonts w:cs="Arial"/>
          <w:szCs w:val="20"/>
          <w:lang w:val="en-GB"/>
        </w:rPr>
        <w:t>t</w:t>
      </w:r>
      <w:r w:rsidR="0058354B">
        <w:rPr>
          <w:rFonts w:cs="Arial"/>
          <w:szCs w:val="20"/>
          <w:lang w:val="en-GB"/>
        </w:rPr>
        <w:t xml:space="preserve"> that</w:t>
      </w:r>
      <w:r w:rsidR="0058354B" w:rsidRPr="00F71DF5">
        <w:rPr>
          <w:rFonts w:cs="Arial"/>
          <w:szCs w:val="20"/>
          <w:lang w:val="en-GB"/>
        </w:rPr>
        <w:t xml:space="preserve"> pharmacists</w:t>
      </w:r>
      <w:r w:rsidR="0058354B">
        <w:rPr>
          <w:rFonts w:cs="Arial"/>
          <w:szCs w:val="20"/>
          <w:lang w:val="en-GB"/>
        </w:rPr>
        <w:t xml:space="preserve"> had a vital rol</w:t>
      </w:r>
      <w:r w:rsidR="0058354B" w:rsidRPr="00F71DF5">
        <w:rPr>
          <w:rFonts w:cs="Arial"/>
          <w:szCs w:val="20"/>
          <w:lang w:val="en-GB"/>
        </w:rPr>
        <w:t>e in patient care and chronic disease management</w:t>
      </w:r>
      <w:r w:rsidR="0058354B">
        <w:rPr>
          <w:rFonts w:cs="Arial"/>
          <w:szCs w:val="20"/>
          <w:lang w:val="en-GB"/>
        </w:rPr>
        <w:t xml:space="preserve">. They saw value in the </w:t>
      </w:r>
      <w:r w:rsidR="00C120CF">
        <w:rPr>
          <w:rFonts w:cs="Arial"/>
          <w:szCs w:val="20"/>
          <w:lang w:val="en-GB"/>
        </w:rPr>
        <w:t xml:space="preserve">community pharmacy trial </w:t>
      </w:r>
      <w:r w:rsidR="0058354B">
        <w:rPr>
          <w:rFonts w:cs="Arial"/>
          <w:szCs w:val="20"/>
          <w:lang w:val="en-GB"/>
        </w:rPr>
        <w:t>and elaborated on how pharmacy involvement benefitted their patients’ care</w:t>
      </w:r>
      <w:r w:rsidR="0058354B" w:rsidRPr="00F71DF5">
        <w:rPr>
          <w:rFonts w:cs="Arial"/>
          <w:szCs w:val="20"/>
          <w:lang w:val="en-GB"/>
        </w:rPr>
        <w:t>:</w:t>
      </w:r>
    </w:p>
    <w:p w14:paraId="3F853D07" w14:textId="77777777" w:rsidR="0058354B" w:rsidRDefault="0058354B" w:rsidP="00C9389C">
      <w:pPr>
        <w:ind w:left="567" w:right="521"/>
        <w:rPr>
          <w:rFonts w:cs="Arial"/>
          <w:szCs w:val="20"/>
          <w:lang w:val="en-GB"/>
        </w:rPr>
      </w:pPr>
      <w:r w:rsidRPr="00F71DF5">
        <w:rPr>
          <w:rFonts w:cs="Arial"/>
          <w:i/>
          <w:iCs/>
          <w:szCs w:val="20"/>
          <w:lang w:val="en-GB"/>
        </w:rPr>
        <w:t>“Pharmacists are coming at things from a different angle, different knowledge … And there’s always new information. But I don’t think I’ve ever done one pharmacy review where I haven’t [learned] something I didn’t know.”</w:t>
      </w:r>
      <w:r w:rsidRPr="00F71DF5">
        <w:rPr>
          <w:rFonts w:cs="Arial"/>
          <w:szCs w:val="20"/>
          <w:lang w:val="en-GB"/>
        </w:rPr>
        <w:t xml:space="preserve"> [GP, Practice 10</w:t>
      </w:r>
      <w:r>
        <w:rPr>
          <w:rFonts w:cs="Arial"/>
          <w:szCs w:val="20"/>
          <w:lang w:val="en-GB"/>
        </w:rPr>
        <w:t>, R4</w:t>
      </w:r>
      <w:r w:rsidRPr="00F71DF5">
        <w:rPr>
          <w:rFonts w:cs="Arial"/>
          <w:szCs w:val="20"/>
          <w:lang w:val="en-GB"/>
        </w:rPr>
        <w:t>]</w:t>
      </w:r>
    </w:p>
    <w:p w14:paraId="75830916" w14:textId="77777777" w:rsidR="0058354B" w:rsidRDefault="0058354B" w:rsidP="00C9389C">
      <w:pPr>
        <w:ind w:left="567" w:right="521"/>
        <w:rPr>
          <w:rFonts w:cs="Arial"/>
          <w:szCs w:val="20"/>
          <w:lang w:val="en-GB"/>
        </w:rPr>
      </w:pPr>
      <w:r w:rsidRPr="007249CA">
        <w:rPr>
          <w:rFonts w:cs="Arial"/>
          <w:i/>
          <w:iCs/>
          <w:szCs w:val="20"/>
          <w:lang w:val="en-GB"/>
        </w:rPr>
        <w:t>“This is a great scheme because half of the time, the patient comes and sees the doctors and nurse, they don’t tell them what they take. Their extra supplement and things, some of them are dangerous, and some of them [are] taking the medicine, the time is wrong. Some of them, the two they have to take before food and they don’t care. They don’t pay attention to that, so this advice from [the pharmacist] is excellent. Very good. They help a lot, in my own experience.”</w:t>
      </w:r>
      <w:r>
        <w:rPr>
          <w:rFonts w:cs="Arial"/>
          <w:szCs w:val="20"/>
          <w:lang w:val="en-GB"/>
        </w:rPr>
        <w:t xml:space="preserve"> [GP, Practice 3, R5]</w:t>
      </w:r>
    </w:p>
    <w:p w14:paraId="3F008A9A" w14:textId="77777777" w:rsidR="0058354B" w:rsidRPr="00F71DF5" w:rsidRDefault="0058354B" w:rsidP="00C9389C">
      <w:pPr>
        <w:ind w:left="567" w:right="521"/>
        <w:rPr>
          <w:rFonts w:cs="Arial"/>
          <w:szCs w:val="20"/>
          <w:lang w:val="en-GB"/>
        </w:rPr>
      </w:pPr>
      <w:r>
        <w:rPr>
          <w:rFonts w:cs="Arial"/>
          <w:i/>
          <w:iCs/>
          <w:szCs w:val="20"/>
          <w:lang w:val="en-GB"/>
        </w:rPr>
        <w:t>“</w:t>
      </w:r>
      <w:r w:rsidRPr="005E44DD">
        <w:rPr>
          <w:rFonts w:cs="Arial"/>
          <w:i/>
          <w:iCs/>
          <w:szCs w:val="20"/>
          <w:lang w:val="en-GB"/>
        </w:rPr>
        <w:t>Yes, I think [there is overlap between what the pharmacist and the GP does], in that we both have the same responsibility of looking for those errors and looking for medication problems and things like that. So yes, I guess it’s both of our responsibilities…[which is] a positive thing. I guess it</w:t>
      </w:r>
      <w:r w:rsidRPr="005E44DD">
        <w:rPr>
          <w:rFonts w:cs="Century Gothic"/>
          <w:i/>
          <w:iCs/>
          <w:szCs w:val="20"/>
          <w:lang w:val="en-GB"/>
        </w:rPr>
        <w:t>’</w:t>
      </w:r>
      <w:r w:rsidRPr="005E44DD">
        <w:rPr>
          <w:rFonts w:cs="Arial"/>
          <w:i/>
          <w:iCs/>
          <w:szCs w:val="20"/>
          <w:lang w:val="en-GB"/>
        </w:rPr>
        <w:t>s like the swiss cheese there</w:t>
      </w:r>
      <w:r w:rsidRPr="005E44DD">
        <w:rPr>
          <w:rFonts w:cs="Century Gothic"/>
          <w:i/>
          <w:iCs/>
          <w:szCs w:val="20"/>
          <w:lang w:val="en-GB"/>
        </w:rPr>
        <w:t>’</w:t>
      </w:r>
      <w:r w:rsidRPr="005E44DD">
        <w:rPr>
          <w:rFonts w:cs="Arial"/>
          <w:i/>
          <w:iCs/>
          <w:szCs w:val="20"/>
          <w:lang w:val="en-GB"/>
        </w:rPr>
        <w:t>s two of us to make sure that those things don</w:t>
      </w:r>
      <w:r w:rsidRPr="005E44DD">
        <w:rPr>
          <w:rFonts w:cs="Century Gothic"/>
          <w:i/>
          <w:iCs/>
          <w:szCs w:val="20"/>
          <w:lang w:val="en-GB"/>
        </w:rPr>
        <w:t>’</w:t>
      </w:r>
      <w:r w:rsidRPr="005E44DD">
        <w:rPr>
          <w:rFonts w:cs="Arial"/>
          <w:i/>
          <w:iCs/>
          <w:szCs w:val="20"/>
          <w:lang w:val="en-GB"/>
        </w:rPr>
        <w:t>t happen.”</w:t>
      </w:r>
      <w:r>
        <w:rPr>
          <w:rFonts w:cs="Arial"/>
          <w:szCs w:val="20"/>
          <w:lang w:val="en-GB"/>
        </w:rPr>
        <w:t xml:space="preserve"> [GP2, Practice 24, R5]</w:t>
      </w:r>
    </w:p>
    <w:p w14:paraId="7E8F1BA2" w14:textId="13E73BB6" w:rsidR="008F24CB" w:rsidRPr="00783FAF" w:rsidRDefault="008F24CB" w:rsidP="00783FAF">
      <w:pPr>
        <w:rPr>
          <w:szCs w:val="20"/>
        </w:rPr>
      </w:pPr>
      <w:r w:rsidRPr="00F71DF5">
        <w:rPr>
          <w:szCs w:val="20"/>
        </w:rPr>
        <w:t>However, many</w:t>
      </w:r>
      <w:r>
        <w:rPr>
          <w:szCs w:val="20"/>
        </w:rPr>
        <w:t xml:space="preserve"> </w:t>
      </w:r>
      <w:r w:rsidR="00B27C6B">
        <w:rPr>
          <w:szCs w:val="20"/>
        </w:rPr>
        <w:t xml:space="preserve">practices </w:t>
      </w:r>
      <w:r w:rsidRPr="00F71DF5">
        <w:rPr>
          <w:szCs w:val="20"/>
        </w:rPr>
        <w:t>were unaware of the trial</w:t>
      </w:r>
      <w:r w:rsidR="00783FAF">
        <w:rPr>
          <w:szCs w:val="20"/>
        </w:rPr>
        <w:t>.</w:t>
      </w: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317DF9" w14:paraId="6B114C7D" w14:textId="77777777" w:rsidTr="0032660B">
        <w:tc>
          <w:tcPr>
            <w:tcW w:w="8996" w:type="dxa"/>
            <w:shd w:val="clear" w:color="auto" w:fill="auto"/>
          </w:tcPr>
          <w:p w14:paraId="142FCFC9" w14:textId="1DF05276" w:rsidR="00317DF9" w:rsidRPr="00E6765F" w:rsidRDefault="00317DF9" w:rsidP="00AF15A5">
            <w:pPr>
              <w:pStyle w:val="Boxheading"/>
              <w:spacing w:after="120"/>
              <w:rPr>
                <w:b/>
                <w:bCs/>
                <w:szCs w:val="20"/>
              </w:rPr>
            </w:pPr>
            <w:r w:rsidRPr="00066E40">
              <w:rPr>
                <w:bCs/>
                <w:szCs w:val="20"/>
              </w:rPr>
              <w:t xml:space="preserve">Box </w:t>
            </w:r>
            <w:r w:rsidR="00A61B29">
              <w:fldChar w:fldCharType="begin"/>
            </w:r>
            <w:r w:rsidR="00A61B29">
              <w:instrText xml:space="preserve"> SEQ Box\* ARABIC </w:instrText>
            </w:r>
            <w:r w:rsidR="00A61B29">
              <w:fldChar w:fldCharType="separate"/>
            </w:r>
            <w:r w:rsidR="003C4BC2">
              <w:rPr>
                <w:noProof/>
              </w:rPr>
              <w:t>32</w:t>
            </w:r>
            <w:r w:rsidR="00A61B29">
              <w:rPr>
                <w:noProof/>
              </w:rPr>
              <w:fldChar w:fldCharType="end"/>
            </w:r>
            <w:r w:rsidRPr="00066E40">
              <w:rPr>
                <w:bCs/>
                <w:szCs w:val="20"/>
              </w:rPr>
              <w:t xml:space="preserve">: </w:t>
            </w:r>
            <w:r w:rsidR="008F4BFE">
              <w:rPr>
                <w:bCs/>
                <w:szCs w:val="20"/>
              </w:rPr>
              <w:t>Brief review of literature of f</w:t>
            </w:r>
            <w:r w:rsidR="006A1AAD">
              <w:rPr>
                <w:bCs/>
                <w:szCs w:val="20"/>
              </w:rPr>
              <w:t>actors affecting</w:t>
            </w:r>
            <w:r w:rsidR="00B414A7">
              <w:rPr>
                <w:bCs/>
                <w:szCs w:val="20"/>
              </w:rPr>
              <w:t xml:space="preserve"> pharmacists</w:t>
            </w:r>
            <w:r w:rsidR="006A1AAD">
              <w:rPr>
                <w:bCs/>
                <w:szCs w:val="20"/>
              </w:rPr>
              <w:t>’ in</w:t>
            </w:r>
            <w:r w:rsidR="005D0FDF">
              <w:rPr>
                <w:bCs/>
                <w:szCs w:val="20"/>
              </w:rPr>
              <w:t>tegration with PCMH practices</w:t>
            </w:r>
          </w:p>
          <w:p w14:paraId="55ECED17" w14:textId="3F6B2907" w:rsidR="000006B0" w:rsidRDefault="000006B0" w:rsidP="00AF15A5">
            <w:pPr>
              <w:spacing w:after="120"/>
              <w:rPr>
                <w:sz w:val="18"/>
                <w:szCs w:val="18"/>
              </w:rPr>
            </w:pPr>
            <w:r>
              <w:rPr>
                <w:sz w:val="18"/>
                <w:szCs w:val="18"/>
              </w:rPr>
              <w:t>T</w:t>
            </w:r>
            <w:r w:rsidRPr="000006B0">
              <w:rPr>
                <w:sz w:val="18"/>
                <w:szCs w:val="18"/>
              </w:rPr>
              <w:t xml:space="preserve">here is considerable variation </w:t>
            </w:r>
            <w:r>
              <w:rPr>
                <w:sz w:val="18"/>
                <w:szCs w:val="18"/>
              </w:rPr>
              <w:t xml:space="preserve">in the literature </w:t>
            </w:r>
            <w:r w:rsidRPr="000006B0">
              <w:rPr>
                <w:sz w:val="18"/>
                <w:szCs w:val="18"/>
              </w:rPr>
              <w:t>in the scope of activities of pharmacist</w:t>
            </w:r>
            <w:r w:rsidR="00E87711">
              <w:rPr>
                <w:sz w:val="18"/>
                <w:szCs w:val="18"/>
              </w:rPr>
              <w:t xml:space="preserve">s with </w:t>
            </w:r>
            <w:r w:rsidR="00D51AC2">
              <w:rPr>
                <w:sz w:val="18"/>
                <w:szCs w:val="18"/>
              </w:rPr>
              <w:t xml:space="preserve">patients of </w:t>
            </w:r>
            <w:r w:rsidR="00E87711">
              <w:rPr>
                <w:sz w:val="18"/>
                <w:szCs w:val="18"/>
              </w:rPr>
              <w:t>PCMH</w:t>
            </w:r>
            <w:r w:rsidR="00D51AC2">
              <w:rPr>
                <w:sz w:val="18"/>
                <w:szCs w:val="18"/>
              </w:rPr>
              <w:t>s</w:t>
            </w:r>
            <w:r w:rsidRPr="000006B0">
              <w:rPr>
                <w:sz w:val="18"/>
                <w:szCs w:val="18"/>
              </w:rPr>
              <w:t xml:space="preserve">. </w:t>
            </w:r>
            <w:r w:rsidR="00D51AC2">
              <w:rPr>
                <w:sz w:val="18"/>
                <w:szCs w:val="18"/>
              </w:rPr>
              <w:t>A</w:t>
            </w:r>
            <w:r w:rsidRPr="000006B0">
              <w:rPr>
                <w:sz w:val="18"/>
                <w:szCs w:val="18"/>
              </w:rPr>
              <w:t>ctivities</w:t>
            </w:r>
            <w:r w:rsidR="00D51AC2">
              <w:rPr>
                <w:sz w:val="18"/>
                <w:szCs w:val="18"/>
              </w:rPr>
              <w:t xml:space="preserve"> range</w:t>
            </w:r>
            <w:r w:rsidRPr="000006B0">
              <w:rPr>
                <w:sz w:val="18"/>
                <w:szCs w:val="18"/>
              </w:rPr>
              <w:t xml:space="preserve"> from those that are administrative and broadly educational</w:t>
            </w:r>
            <w:r w:rsidR="00F33518">
              <w:rPr>
                <w:sz w:val="18"/>
                <w:szCs w:val="18"/>
              </w:rPr>
              <w:t>,</w:t>
            </w:r>
            <w:r w:rsidR="00D51AC2">
              <w:rPr>
                <w:sz w:val="18"/>
                <w:szCs w:val="18"/>
              </w:rPr>
              <w:t xml:space="preserve"> </w:t>
            </w:r>
            <w:r w:rsidRPr="000006B0">
              <w:rPr>
                <w:sz w:val="18"/>
                <w:szCs w:val="18"/>
              </w:rPr>
              <w:t>to clinical activities such as medication reviews, which may involve providing recommendations to prescribers, to more advanced clinical activities such as independent medication and disease management.</w:t>
            </w:r>
            <w:r w:rsidR="00A561EE">
              <w:rPr>
                <w:sz w:val="18"/>
                <w:szCs w:val="18"/>
              </w:rPr>
              <w:t xml:space="preserve"> </w:t>
            </w:r>
          </w:p>
          <w:p w14:paraId="6004EAF8" w14:textId="73DBE4FF" w:rsidR="004B43C9" w:rsidRPr="004B43C9" w:rsidRDefault="00D01920" w:rsidP="00AF15A5">
            <w:pPr>
              <w:spacing w:after="120"/>
              <w:rPr>
                <w:sz w:val="18"/>
                <w:szCs w:val="18"/>
              </w:rPr>
            </w:pPr>
            <w:r>
              <w:rPr>
                <w:sz w:val="18"/>
                <w:szCs w:val="18"/>
              </w:rPr>
              <w:t>T</w:t>
            </w:r>
            <w:r w:rsidRPr="00963134">
              <w:rPr>
                <w:sz w:val="18"/>
                <w:szCs w:val="18"/>
              </w:rPr>
              <w:t>rust</w:t>
            </w:r>
            <w:r>
              <w:rPr>
                <w:sz w:val="18"/>
                <w:szCs w:val="18"/>
              </w:rPr>
              <w:t xml:space="preserve"> in the pharmacist</w:t>
            </w:r>
            <w:r w:rsidRPr="00963134">
              <w:rPr>
                <w:sz w:val="18"/>
                <w:szCs w:val="18"/>
              </w:rPr>
              <w:t xml:space="preserve"> by other health professionals, particularly doctors</w:t>
            </w:r>
            <w:r>
              <w:rPr>
                <w:sz w:val="18"/>
                <w:szCs w:val="18"/>
              </w:rPr>
              <w:t>,</w:t>
            </w:r>
            <w:r w:rsidR="00CE5146">
              <w:rPr>
                <w:sz w:val="18"/>
                <w:szCs w:val="18"/>
              </w:rPr>
              <w:t xml:space="preserve"> leads to </w:t>
            </w:r>
            <w:r w:rsidR="004B43C9" w:rsidRPr="004B43C9">
              <w:rPr>
                <w:sz w:val="18"/>
                <w:szCs w:val="18"/>
              </w:rPr>
              <w:t>greater acceptance of a broader role for pharmacist</w:t>
            </w:r>
            <w:r w:rsidR="004C322E">
              <w:rPr>
                <w:sz w:val="18"/>
                <w:szCs w:val="18"/>
              </w:rPr>
              <w:t>s</w:t>
            </w:r>
            <w:r w:rsidR="008B54CD">
              <w:rPr>
                <w:sz w:val="18"/>
                <w:szCs w:val="18"/>
              </w:rPr>
              <w:t xml:space="preserve"> in primary care</w:t>
            </w:r>
            <w:r w:rsidR="004B43C9" w:rsidRPr="004B43C9">
              <w:rPr>
                <w:sz w:val="18"/>
                <w:szCs w:val="18"/>
              </w:rPr>
              <w:t xml:space="preserve"> and a greater likelihood that their recommendations will be listened to and acted on.</w:t>
            </w:r>
            <w:r w:rsidR="004824D6">
              <w:rPr>
                <w:sz w:val="18"/>
                <w:szCs w:val="18"/>
              </w:rPr>
              <w:t xml:space="preserve"> </w:t>
            </w:r>
            <w:r w:rsidR="004B43C9" w:rsidRPr="004B43C9">
              <w:rPr>
                <w:sz w:val="18"/>
                <w:szCs w:val="18"/>
              </w:rPr>
              <w:t xml:space="preserve">Levels of trust are in turn influenced by factors such as the doctor’s </w:t>
            </w:r>
            <w:r w:rsidR="00C9542D">
              <w:rPr>
                <w:sz w:val="18"/>
                <w:szCs w:val="18"/>
              </w:rPr>
              <w:t xml:space="preserve">and other staff’s </w:t>
            </w:r>
            <w:r w:rsidR="004B43C9" w:rsidRPr="004B43C9">
              <w:rPr>
                <w:sz w:val="18"/>
                <w:szCs w:val="18"/>
              </w:rPr>
              <w:t xml:space="preserve">understanding of the pharmacist’s role and competencies, the degree to which the pharmacist is integrated </w:t>
            </w:r>
            <w:r w:rsidR="008B54CD">
              <w:rPr>
                <w:sz w:val="18"/>
                <w:szCs w:val="18"/>
              </w:rPr>
              <w:t>with</w:t>
            </w:r>
            <w:r w:rsidR="004B43C9" w:rsidRPr="004B43C9">
              <w:rPr>
                <w:sz w:val="18"/>
                <w:szCs w:val="18"/>
              </w:rPr>
              <w:t xml:space="preserve"> the primary care team </w:t>
            </w:r>
            <w:r w:rsidR="007C5651">
              <w:rPr>
                <w:sz w:val="18"/>
                <w:szCs w:val="18"/>
              </w:rPr>
              <w:t>versus</w:t>
            </w:r>
            <w:r w:rsidR="004B43C9" w:rsidRPr="004B43C9">
              <w:rPr>
                <w:sz w:val="18"/>
                <w:szCs w:val="18"/>
              </w:rPr>
              <w:t xml:space="preserve"> seen as an outsider, the degree to which the pharmacist is an active collaborator in team care</w:t>
            </w:r>
            <w:r w:rsidR="007C5651">
              <w:rPr>
                <w:sz w:val="18"/>
                <w:szCs w:val="18"/>
              </w:rPr>
              <w:t>,</w:t>
            </w:r>
            <w:r w:rsidR="004B43C9" w:rsidRPr="004B43C9">
              <w:rPr>
                <w:sz w:val="18"/>
                <w:szCs w:val="18"/>
              </w:rPr>
              <w:t xml:space="preserve"> and the extent of face-to-face interaction between the pharmacist and other team members.</w:t>
            </w:r>
          </w:p>
          <w:p w14:paraId="37B7178B" w14:textId="03EAE078" w:rsidR="004B43C9" w:rsidRPr="004B43C9" w:rsidRDefault="004B43C9" w:rsidP="00AF15A5">
            <w:pPr>
              <w:spacing w:after="120"/>
              <w:rPr>
                <w:sz w:val="18"/>
                <w:szCs w:val="18"/>
              </w:rPr>
            </w:pPr>
            <w:r w:rsidRPr="004B43C9">
              <w:rPr>
                <w:sz w:val="18"/>
                <w:szCs w:val="18"/>
              </w:rPr>
              <w:t>Stafford et al</w:t>
            </w:r>
            <w:r w:rsidR="0042713E">
              <w:rPr>
                <w:sz w:val="18"/>
                <w:szCs w:val="18"/>
              </w:rPr>
              <w:t>.</w:t>
            </w:r>
            <w:r w:rsidR="00FB48C2" w:rsidRPr="00912DC4">
              <w:rPr>
                <w:rStyle w:val="FootnoteReference"/>
                <w:color w:val="408BCA"/>
                <w:sz w:val="18"/>
                <w:szCs w:val="18"/>
              </w:rPr>
              <w:footnoteReference w:id="110"/>
            </w:r>
            <w:r w:rsidRPr="004B43C9">
              <w:rPr>
                <w:sz w:val="18"/>
                <w:szCs w:val="18"/>
              </w:rPr>
              <w:t xml:space="preserve"> </w:t>
            </w:r>
            <w:r w:rsidR="00FB48C2">
              <w:rPr>
                <w:sz w:val="18"/>
                <w:szCs w:val="18"/>
              </w:rPr>
              <w:t>examined</w:t>
            </w:r>
            <w:r w:rsidRPr="004B43C9">
              <w:rPr>
                <w:sz w:val="18"/>
                <w:szCs w:val="18"/>
              </w:rPr>
              <w:t xml:space="preserve"> a collaboration between a community pharmacy and </w:t>
            </w:r>
            <w:r w:rsidR="009C0691">
              <w:rPr>
                <w:sz w:val="18"/>
                <w:szCs w:val="18"/>
              </w:rPr>
              <w:t>PCMH</w:t>
            </w:r>
            <w:r w:rsidR="008C57B5">
              <w:rPr>
                <w:sz w:val="18"/>
                <w:szCs w:val="18"/>
              </w:rPr>
              <w:t xml:space="preserve"> practices</w:t>
            </w:r>
            <w:r w:rsidR="00EF03DE">
              <w:rPr>
                <w:sz w:val="18"/>
                <w:szCs w:val="18"/>
              </w:rPr>
              <w:t xml:space="preserve">. They </w:t>
            </w:r>
            <w:r w:rsidRPr="004B43C9">
              <w:rPr>
                <w:sz w:val="18"/>
                <w:szCs w:val="18"/>
              </w:rPr>
              <w:t>found that as the pharmacist spent longer with the primary care team and trust was established, their activities changed from mainly logistic</w:t>
            </w:r>
            <w:r w:rsidR="00C9542D">
              <w:rPr>
                <w:sz w:val="18"/>
                <w:szCs w:val="18"/>
              </w:rPr>
              <w:t>s</w:t>
            </w:r>
            <w:r w:rsidRPr="004B43C9">
              <w:rPr>
                <w:sz w:val="18"/>
                <w:szCs w:val="18"/>
              </w:rPr>
              <w:t xml:space="preserve"> and education to therapy modification and </w:t>
            </w:r>
            <w:r w:rsidRPr="004B43C9">
              <w:rPr>
                <w:sz w:val="18"/>
                <w:szCs w:val="18"/>
              </w:rPr>
              <w:lastRenderedPageBreak/>
              <w:t xml:space="preserve">initiation </w:t>
            </w:r>
            <w:r w:rsidR="00BF31A2">
              <w:rPr>
                <w:sz w:val="18"/>
                <w:szCs w:val="18"/>
              </w:rPr>
              <w:t xml:space="preserve">of </w:t>
            </w:r>
            <w:r w:rsidRPr="004B43C9">
              <w:rPr>
                <w:sz w:val="18"/>
                <w:szCs w:val="18"/>
              </w:rPr>
              <w:t>recommendations. The authors noted the importance of rapport-building by the implementation team</w:t>
            </w:r>
            <w:r w:rsidR="00BF31A2">
              <w:rPr>
                <w:sz w:val="18"/>
                <w:szCs w:val="18"/>
              </w:rPr>
              <w:t>,</w:t>
            </w:r>
            <w:r w:rsidRPr="004B43C9">
              <w:rPr>
                <w:sz w:val="18"/>
                <w:szCs w:val="18"/>
              </w:rPr>
              <w:t xml:space="preserve"> which allotted significant face-to-face time between the pharmacist and physician.</w:t>
            </w:r>
          </w:p>
          <w:p w14:paraId="060EF51C" w14:textId="57242CDA" w:rsidR="004B43C9" w:rsidRPr="004B43C9" w:rsidRDefault="004B43C9" w:rsidP="00AF15A5">
            <w:pPr>
              <w:spacing w:after="120"/>
              <w:rPr>
                <w:sz w:val="18"/>
                <w:szCs w:val="18"/>
              </w:rPr>
            </w:pPr>
            <w:r w:rsidRPr="004B43C9">
              <w:rPr>
                <w:sz w:val="18"/>
                <w:szCs w:val="18"/>
              </w:rPr>
              <w:t>Bergman et al</w:t>
            </w:r>
            <w:r w:rsidR="007E22CF">
              <w:rPr>
                <w:sz w:val="18"/>
                <w:szCs w:val="18"/>
              </w:rPr>
              <w:t>.</w:t>
            </w:r>
            <w:r w:rsidR="0071571B">
              <w:rPr>
                <w:sz w:val="18"/>
                <w:szCs w:val="18"/>
              </w:rPr>
              <w:t>,</w:t>
            </w:r>
            <w:r w:rsidR="007E22CF" w:rsidRPr="00912DC4">
              <w:rPr>
                <w:rStyle w:val="FootnoteReference"/>
                <w:color w:val="408BCA"/>
                <w:sz w:val="18"/>
                <w:szCs w:val="18"/>
              </w:rPr>
              <w:footnoteReference w:id="111"/>
            </w:r>
            <w:r w:rsidR="007E22CF">
              <w:rPr>
                <w:sz w:val="18"/>
                <w:szCs w:val="18"/>
              </w:rPr>
              <w:t xml:space="preserve"> </w:t>
            </w:r>
            <w:r w:rsidRPr="004B43C9">
              <w:rPr>
                <w:sz w:val="18"/>
                <w:szCs w:val="18"/>
              </w:rPr>
              <w:t>in a qualitative study examin</w:t>
            </w:r>
            <w:r w:rsidR="007E22CF">
              <w:rPr>
                <w:sz w:val="18"/>
                <w:szCs w:val="18"/>
              </w:rPr>
              <w:t>ing</w:t>
            </w:r>
            <w:r w:rsidRPr="004B43C9">
              <w:rPr>
                <w:sz w:val="18"/>
                <w:szCs w:val="18"/>
              </w:rPr>
              <w:t xml:space="preserve"> the relationship between the pharmacist and primary care provider</w:t>
            </w:r>
            <w:r w:rsidR="007E22CF">
              <w:rPr>
                <w:sz w:val="18"/>
                <w:szCs w:val="18"/>
              </w:rPr>
              <w:t xml:space="preserve">, </w:t>
            </w:r>
            <w:r w:rsidRPr="004B43C9">
              <w:rPr>
                <w:sz w:val="18"/>
                <w:szCs w:val="18"/>
              </w:rPr>
              <w:t>identified three themes affecting this relationship</w:t>
            </w:r>
            <w:r w:rsidR="001E2BE9">
              <w:rPr>
                <w:sz w:val="18"/>
                <w:szCs w:val="18"/>
              </w:rPr>
              <w:t>. F</w:t>
            </w:r>
            <w:r w:rsidRPr="004B43C9">
              <w:rPr>
                <w:sz w:val="18"/>
                <w:szCs w:val="18"/>
              </w:rPr>
              <w:t>irstly, the complexity of electronic communication and the potential for relationship breakdown due to electronic communication complexity or ambiguity</w:t>
            </w:r>
            <w:r w:rsidR="006D24D2">
              <w:rPr>
                <w:sz w:val="18"/>
                <w:szCs w:val="18"/>
              </w:rPr>
              <w:t>. S</w:t>
            </w:r>
            <w:r w:rsidRPr="004B43C9">
              <w:rPr>
                <w:sz w:val="18"/>
                <w:szCs w:val="18"/>
              </w:rPr>
              <w:t>econdly, difficulties in navigating new roles and traditional hierarchies where the primary care provider believes the pharmacist is questioning their judgement or going outside their traditional role.</w:t>
            </w:r>
            <w:r w:rsidR="00D225A5">
              <w:rPr>
                <w:sz w:val="18"/>
                <w:szCs w:val="18"/>
              </w:rPr>
              <w:t xml:space="preserve"> </w:t>
            </w:r>
            <w:r w:rsidRPr="004B43C9">
              <w:rPr>
                <w:sz w:val="18"/>
                <w:szCs w:val="18"/>
              </w:rPr>
              <w:t>This can in turn lead to the pharmacist using softer, more indirect language in their recommendations, which are less likely to be acted on, or not making recommendations at all.</w:t>
            </w:r>
            <w:r w:rsidR="00D225A5">
              <w:rPr>
                <w:sz w:val="18"/>
                <w:szCs w:val="18"/>
              </w:rPr>
              <w:t xml:space="preserve"> </w:t>
            </w:r>
            <w:r w:rsidRPr="004B43C9">
              <w:rPr>
                <w:sz w:val="18"/>
                <w:szCs w:val="18"/>
              </w:rPr>
              <w:t>Thirdly</w:t>
            </w:r>
            <w:r w:rsidR="006D24D2">
              <w:rPr>
                <w:sz w:val="18"/>
                <w:szCs w:val="18"/>
              </w:rPr>
              <w:t>,</w:t>
            </w:r>
            <w:r w:rsidRPr="004B43C9">
              <w:rPr>
                <w:sz w:val="18"/>
                <w:szCs w:val="18"/>
              </w:rPr>
              <w:t xml:space="preserve"> there is a strong preference for on-site collaboration </w:t>
            </w:r>
            <w:r w:rsidR="00B332BF">
              <w:rPr>
                <w:sz w:val="18"/>
                <w:szCs w:val="18"/>
              </w:rPr>
              <w:t>instead of</w:t>
            </w:r>
            <w:r w:rsidRPr="004B43C9">
              <w:rPr>
                <w:sz w:val="18"/>
                <w:szCs w:val="18"/>
              </w:rPr>
              <w:t xml:space="preserve"> virtual collaboration via electronic means.</w:t>
            </w:r>
          </w:p>
          <w:p w14:paraId="06DDDCD6" w14:textId="78F99B45" w:rsidR="004B43C9" w:rsidRPr="004B43C9" w:rsidRDefault="004B43C9" w:rsidP="00AF15A5">
            <w:pPr>
              <w:spacing w:after="120"/>
              <w:rPr>
                <w:sz w:val="18"/>
                <w:szCs w:val="18"/>
              </w:rPr>
            </w:pPr>
            <w:r w:rsidRPr="004B43C9">
              <w:rPr>
                <w:sz w:val="18"/>
                <w:szCs w:val="18"/>
              </w:rPr>
              <w:t>Similarly, Albanese et al</w:t>
            </w:r>
            <w:r w:rsidR="00E869E0">
              <w:rPr>
                <w:sz w:val="18"/>
                <w:szCs w:val="18"/>
              </w:rPr>
              <w:t>.</w:t>
            </w:r>
            <w:r w:rsidR="00DB4F3A" w:rsidRPr="00912DC4">
              <w:rPr>
                <w:rStyle w:val="FootnoteReference"/>
                <w:color w:val="408BCA"/>
                <w:sz w:val="18"/>
                <w:szCs w:val="18"/>
              </w:rPr>
              <w:footnoteReference w:id="112"/>
            </w:r>
            <w:r w:rsidRPr="004B43C9">
              <w:rPr>
                <w:sz w:val="18"/>
                <w:szCs w:val="18"/>
              </w:rPr>
              <w:t xml:space="preserve"> reported that doctors were more than twice as likely to see pharmacy services as valuable if they </w:t>
            </w:r>
            <w:r w:rsidR="00DB4F3A">
              <w:rPr>
                <w:sz w:val="18"/>
                <w:szCs w:val="18"/>
              </w:rPr>
              <w:t>were</w:t>
            </w:r>
            <w:r w:rsidRPr="004B43C9">
              <w:rPr>
                <w:sz w:val="18"/>
                <w:szCs w:val="18"/>
              </w:rPr>
              <w:t xml:space="preserve"> delivered on-site rather than virtually</w:t>
            </w:r>
            <w:r w:rsidR="00001F6E">
              <w:rPr>
                <w:sz w:val="18"/>
                <w:szCs w:val="18"/>
              </w:rPr>
              <w:t xml:space="preserve">. </w:t>
            </w:r>
            <w:proofErr w:type="spellStart"/>
            <w:r w:rsidRPr="004B43C9">
              <w:rPr>
                <w:sz w:val="18"/>
                <w:szCs w:val="18"/>
              </w:rPr>
              <w:t>Arenz</w:t>
            </w:r>
            <w:proofErr w:type="spellEnd"/>
            <w:r w:rsidRPr="004B43C9">
              <w:rPr>
                <w:sz w:val="18"/>
                <w:szCs w:val="18"/>
              </w:rPr>
              <w:t xml:space="preserve"> et al</w:t>
            </w:r>
            <w:r w:rsidR="00E869E0">
              <w:rPr>
                <w:sz w:val="18"/>
                <w:szCs w:val="18"/>
              </w:rPr>
              <w:t>,</w:t>
            </w:r>
            <w:r w:rsidR="0038690B" w:rsidRPr="00912DC4">
              <w:rPr>
                <w:rStyle w:val="FootnoteReference"/>
                <w:color w:val="408BCA"/>
                <w:sz w:val="18"/>
                <w:szCs w:val="18"/>
              </w:rPr>
              <w:footnoteReference w:id="113"/>
            </w:r>
            <w:r w:rsidRPr="004B43C9">
              <w:rPr>
                <w:sz w:val="18"/>
                <w:szCs w:val="18"/>
              </w:rPr>
              <w:t xml:space="preserve"> examining drug safety alerts</w:t>
            </w:r>
            <w:r w:rsidR="00DB4F3A">
              <w:rPr>
                <w:sz w:val="18"/>
                <w:szCs w:val="18"/>
              </w:rPr>
              <w:t>,</w:t>
            </w:r>
            <w:r w:rsidRPr="004B43C9">
              <w:rPr>
                <w:sz w:val="18"/>
                <w:szCs w:val="18"/>
              </w:rPr>
              <w:t xml:space="preserve"> </w:t>
            </w:r>
            <w:r w:rsidR="00001F6E">
              <w:rPr>
                <w:sz w:val="18"/>
                <w:szCs w:val="18"/>
              </w:rPr>
              <w:t xml:space="preserve">also </w:t>
            </w:r>
            <w:r w:rsidRPr="004B43C9">
              <w:rPr>
                <w:sz w:val="18"/>
                <w:szCs w:val="18"/>
              </w:rPr>
              <w:t>found that doctors were more likely to accept recommendations where there is a direct working relationship, rather than a virtual one. The authors also identified patient lack of understanding of the pharmacist role as an important barrier to successful integration.</w:t>
            </w:r>
          </w:p>
          <w:p w14:paraId="36D84727" w14:textId="77777777" w:rsidR="00317DF9" w:rsidRDefault="004B43C9" w:rsidP="00AF15A5">
            <w:pPr>
              <w:spacing w:after="120"/>
              <w:rPr>
                <w:sz w:val="18"/>
                <w:szCs w:val="18"/>
              </w:rPr>
            </w:pPr>
            <w:r w:rsidRPr="004B43C9">
              <w:rPr>
                <w:sz w:val="18"/>
                <w:szCs w:val="18"/>
              </w:rPr>
              <w:t>Farrell et al</w:t>
            </w:r>
            <w:r w:rsidR="00E869E0">
              <w:rPr>
                <w:sz w:val="18"/>
                <w:szCs w:val="18"/>
              </w:rPr>
              <w:t>.</w:t>
            </w:r>
            <w:r w:rsidR="0038690B" w:rsidRPr="00912DC4">
              <w:rPr>
                <w:rStyle w:val="FootnoteReference"/>
                <w:color w:val="408BCA"/>
                <w:sz w:val="18"/>
                <w:szCs w:val="18"/>
              </w:rPr>
              <w:footnoteReference w:id="114"/>
            </w:r>
            <w:r w:rsidRPr="004B43C9">
              <w:rPr>
                <w:sz w:val="18"/>
                <w:szCs w:val="18"/>
              </w:rPr>
              <w:t xml:space="preserve"> found that pharmacist characteristics also play a part in developing trust between the doctor and pharmacist. They identified two types of pharmacist role</w:t>
            </w:r>
            <w:r w:rsidR="00617BD6">
              <w:rPr>
                <w:sz w:val="18"/>
                <w:szCs w:val="18"/>
              </w:rPr>
              <w:t>s:</w:t>
            </w:r>
            <w:r w:rsidRPr="004B43C9">
              <w:rPr>
                <w:sz w:val="18"/>
                <w:szCs w:val="18"/>
              </w:rPr>
              <w:t xml:space="preserve"> a physician responsive role</w:t>
            </w:r>
            <w:r w:rsidR="00D225A5">
              <w:rPr>
                <w:sz w:val="18"/>
                <w:szCs w:val="18"/>
              </w:rPr>
              <w:t xml:space="preserve"> </w:t>
            </w:r>
            <w:r w:rsidRPr="004B43C9">
              <w:rPr>
                <w:sz w:val="18"/>
                <w:szCs w:val="18"/>
              </w:rPr>
              <w:t>where the pharmacist saw themselves as a direct support to the doctor; and a patient-centred medication management role, where the relationship was a collaborative one with the whole primary care team.</w:t>
            </w:r>
            <w:r w:rsidR="00617BD6">
              <w:rPr>
                <w:sz w:val="18"/>
                <w:szCs w:val="18"/>
              </w:rPr>
              <w:t xml:space="preserve"> </w:t>
            </w:r>
            <w:r w:rsidRPr="004B43C9">
              <w:rPr>
                <w:sz w:val="18"/>
                <w:szCs w:val="18"/>
              </w:rPr>
              <w:t xml:space="preserve">These roles partly represent personal preferences by pharmacists, driven by </w:t>
            </w:r>
            <w:r w:rsidR="00F3637D">
              <w:rPr>
                <w:sz w:val="18"/>
                <w:szCs w:val="18"/>
              </w:rPr>
              <w:t>factors</w:t>
            </w:r>
            <w:r w:rsidRPr="004B43C9">
              <w:rPr>
                <w:sz w:val="18"/>
                <w:szCs w:val="18"/>
              </w:rPr>
              <w:t xml:space="preserve"> such as their ideological stance regarding the role of pharmacy, their age and educational background.</w:t>
            </w:r>
            <w:r w:rsidR="00D225A5">
              <w:rPr>
                <w:sz w:val="18"/>
                <w:szCs w:val="18"/>
              </w:rPr>
              <w:t xml:space="preserve"> </w:t>
            </w:r>
            <w:r w:rsidRPr="004B43C9">
              <w:rPr>
                <w:sz w:val="18"/>
                <w:szCs w:val="18"/>
              </w:rPr>
              <w:t>The authors also identified the need to more clearly define and agree the pharmacist</w:t>
            </w:r>
            <w:r w:rsidR="0071571B">
              <w:rPr>
                <w:sz w:val="18"/>
                <w:szCs w:val="18"/>
              </w:rPr>
              <w:t>’s</w:t>
            </w:r>
            <w:r w:rsidRPr="004B43C9">
              <w:rPr>
                <w:sz w:val="18"/>
                <w:szCs w:val="18"/>
              </w:rPr>
              <w:t xml:space="preserve"> role in the primary care team, the allocation of significant time to develop relationships and administrative systems that promote cooperative practice.</w:t>
            </w:r>
          </w:p>
          <w:p w14:paraId="09430486" w14:textId="32277848" w:rsidR="00BC4610" w:rsidRPr="002479BC" w:rsidRDefault="00BC4610" w:rsidP="00AF15A5">
            <w:pPr>
              <w:spacing w:after="120"/>
              <w:rPr>
                <w:sz w:val="18"/>
                <w:szCs w:val="18"/>
              </w:rPr>
            </w:pPr>
            <w:r w:rsidRPr="00BC4610">
              <w:rPr>
                <w:sz w:val="18"/>
                <w:szCs w:val="18"/>
              </w:rPr>
              <w:t xml:space="preserve">Overall, the literature </w:t>
            </w:r>
            <w:r w:rsidR="00FF099F">
              <w:rPr>
                <w:sz w:val="18"/>
                <w:szCs w:val="18"/>
              </w:rPr>
              <w:t>points to the important of</w:t>
            </w:r>
            <w:r w:rsidRPr="00BC4610">
              <w:rPr>
                <w:sz w:val="18"/>
                <w:szCs w:val="18"/>
              </w:rPr>
              <w:t xml:space="preserve"> trust between GPs/practices and pharmacists, which mostly arises from models in which the pharmacist is embedded in the practice and practice staff have an opportunity to build a relationship and observe the type of input that the pharmacist could have for patients.</w:t>
            </w:r>
          </w:p>
        </w:tc>
      </w:tr>
    </w:tbl>
    <w:p w14:paraId="3600049A" w14:textId="77777777" w:rsidR="00545140" w:rsidRDefault="00545140" w:rsidP="00545140"/>
    <w:p w14:paraId="2EE4CA25" w14:textId="77777777" w:rsidR="00545140" w:rsidRDefault="00545140" w:rsidP="00545140"/>
    <w:p w14:paraId="2AE43EE8" w14:textId="77777777" w:rsidR="00055C5A" w:rsidRDefault="00055C5A" w:rsidP="00DC72D8"/>
    <w:p w14:paraId="253672C5" w14:textId="65DB58A2" w:rsidR="00055C5A" w:rsidRDefault="00055C5A" w:rsidP="00DC72D8">
      <w:pPr>
        <w:sectPr w:rsidR="00055C5A">
          <w:pgSz w:w="11906" w:h="16838"/>
          <w:pgMar w:top="1440" w:right="1440" w:bottom="1440" w:left="1440" w:header="708" w:footer="708" w:gutter="0"/>
          <w:cols w:space="708"/>
          <w:docGrid w:linePitch="360"/>
        </w:sectPr>
      </w:pPr>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2A4D96" w14:paraId="24AB4615" w14:textId="77777777" w:rsidTr="00E35CC7">
        <w:tc>
          <w:tcPr>
            <w:tcW w:w="9016" w:type="dxa"/>
            <w:vAlign w:val="center"/>
          </w:tcPr>
          <w:p w14:paraId="591B370E" w14:textId="7C07D60B" w:rsidR="00E35CC7" w:rsidRDefault="002A4D96" w:rsidP="00E35CC7">
            <w:pPr>
              <w:jc w:val="center"/>
              <w:rPr>
                <w:rFonts w:ascii="Roboto Slab" w:hAnsi="Roboto Slab"/>
                <w:color w:val="408BCA"/>
                <w:sz w:val="40"/>
                <w:szCs w:val="40"/>
              </w:rPr>
            </w:pPr>
            <w:r>
              <w:lastRenderedPageBreak/>
              <w:br w:type="page"/>
            </w:r>
          </w:p>
          <w:p w14:paraId="7889E8F2" w14:textId="5DBA8F60" w:rsidR="00E35CC7" w:rsidRDefault="002A4D96" w:rsidP="00E35CC7">
            <w:pPr>
              <w:jc w:val="center"/>
              <w:rPr>
                <w:rFonts w:ascii="Roboto Slab" w:hAnsi="Roboto Slab"/>
                <w:color w:val="408BCA"/>
                <w:sz w:val="40"/>
                <w:szCs w:val="40"/>
              </w:rPr>
            </w:pPr>
            <w:r w:rsidRPr="002A4D96">
              <w:rPr>
                <w:rFonts w:ascii="Roboto Slab" w:hAnsi="Roboto Slab"/>
                <w:color w:val="408BCA"/>
                <w:sz w:val="40"/>
                <w:szCs w:val="40"/>
              </w:rPr>
              <w:t>Evaluation c</w:t>
            </w:r>
            <w:r>
              <w:rPr>
                <w:rFonts w:ascii="Roboto Slab" w:hAnsi="Roboto Slab"/>
                <w:color w:val="408BCA"/>
                <w:sz w:val="40"/>
                <w:szCs w:val="40"/>
              </w:rPr>
              <w:t>onclusions</w:t>
            </w:r>
          </w:p>
          <w:p w14:paraId="76FEB679" w14:textId="272CB0DD" w:rsidR="00E35CC7" w:rsidRPr="00E35CC7" w:rsidRDefault="00E35CC7" w:rsidP="00E35CC7">
            <w:pPr>
              <w:jc w:val="center"/>
              <w:rPr>
                <w:rFonts w:ascii="Roboto Slab" w:hAnsi="Roboto Slab"/>
                <w:color w:val="408BCA"/>
                <w:sz w:val="40"/>
                <w:szCs w:val="40"/>
              </w:rPr>
            </w:pPr>
          </w:p>
        </w:tc>
      </w:tr>
    </w:tbl>
    <w:p w14:paraId="71F41170" w14:textId="77777777" w:rsidR="002A4D96" w:rsidRDefault="002A4D96" w:rsidP="00DC72D8">
      <w:pPr>
        <w:sectPr w:rsidR="002A4D96" w:rsidSect="002A4D96">
          <w:headerReference w:type="default" r:id="rId118"/>
          <w:pgSz w:w="11906" w:h="16838"/>
          <w:pgMar w:top="1440" w:right="1440" w:bottom="1440" w:left="1440" w:header="709" w:footer="709" w:gutter="0"/>
          <w:cols w:space="708"/>
          <w:vAlign w:val="center"/>
          <w:docGrid w:linePitch="360"/>
        </w:sectPr>
      </w:pPr>
    </w:p>
    <w:p w14:paraId="6BE4C2E5" w14:textId="174B36B7" w:rsidR="002A4FEE" w:rsidRPr="0094369A" w:rsidRDefault="00620032" w:rsidP="002A4FEE">
      <w:pPr>
        <w:pStyle w:val="ChapterNumber"/>
      </w:pPr>
      <w:r>
        <w:lastRenderedPageBreak/>
        <w:fldChar w:fldCharType="begin"/>
      </w:r>
      <w:r>
        <w:instrText xml:space="preserve"> REF _Ref103966136 \r \h </w:instrText>
      </w:r>
      <w:r>
        <w:fldChar w:fldCharType="separate"/>
      </w:r>
      <w:r w:rsidR="003C4BC2">
        <w:t>24</w:t>
      </w:r>
      <w:r>
        <w:fldChar w:fldCharType="end"/>
      </w:r>
    </w:p>
    <w:p w14:paraId="4215A960" w14:textId="53028D05" w:rsidR="002A4FEE" w:rsidRDefault="00006930" w:rsidP="002A4FEE">
      <w:pPr>
        <w:pStyle w:val="Heading1withnumber"/>
        <w:ind w:left="0" w:hanging="851"/>
      </w:pPr>
      <w:bookmarkStart w:id="505" w:name="_Ref103966136"/>
      <w:bookmarkStart w:id="506" w:name="_Toc109996773"/>
      <w:r>
        <w:t>Analysis of implementation</w:t>
      </w:r>
      <w:r w:rsidR="008F1B67">
        <w:t xml:space="preserve"> issues</w:t>
      </w:r>
      <w:bookmarkEnd w:id="505"/>
      <w:bookmarkEnd w:id="506"/>
    </w:p>
    <w:tbl>
      <w:tblPr>
        <w:tblW w:w="0" w:type="auto"/>
        <w:tblBorders>
          <w:top w:val="single" w:sz="12" w:space="0" w:color="408BCA"/>
          <w:left w:val="single" w:sz="12" w:space="0" w:color="408BCA"/>
          <w:bottom w:val="single" w:sz="12" w:space="0" w:color="408BCA"/>
          <w:right w:val="single" w:sz="12" w:space="0" w:color="408BCA"/>
          <w:insideH w:val="single" w:sz="12" w:space="0" w:color="408BCA"/>
          <w:insideV w:val="single" w:sz="12" w:space="0" w:color="408BCA"/>
        </w:tblBorders>
        <w:tblLook w:val="04A0" w:firstRow="1" w:lastRow="0" w:firstColumn="1" w:lastColumn="0" w:noHBand="0" w:noVBand="1"/>
      </w:tblPr>
      <w:tblGrid>
        <w:gridCol w:w="8996"/>
      </w:tblGrid>
      <w:tr w:rsidR="0016268F" w:rsidRPr="0048466A" w14:paraId="651AAA83" w14:textId="77777777" w:rsidTr="00CB5DB9">
        <w:tc>
          <w:tcPr>
            <w:tcW w:w="8996" w:type="dxa"/>
            <w:shd w:val="clear" w:color="auto" w:fill="auto"/>
          </w:tcPr>
          <w:p w14:paraId="43606D80" w14:textId="61DA4D4F" w:rsidR="0016268F" w:rsidRPr="006201AB" w:rsidRDefault="0016268F" w:rsidP="00CB5DB9">
            <w:pPr>
              <w:pStyle w:val="Boxheading"/>
              <w:spacing w:after="120"/>
              <w:rPr>
                <w:bCs/>
                <w:szCs w:val="20"/>
              </w:rPr>
            </w:pPr>
            <w:r w:rsidRPr="006201AB">
              <w:rPr>
                <w:bCs/>
                <w:szCs w:val="20"/>
              </w:rPr>
              <w:t xml:space="preserve">Box </w:t>
            </w:r>
            <w:r w:rsidRPr="006201AB">
              <w:rPr>
                <w:bCs/>
              </w:rPr>
              <w:fldChar w:fldCharType="begin"/>
            </w:r>
            <w:r w:rsidRPr="006201AB">
              <w:rPr>
                <w:bCs/>
              </w:rPr>
              <w:instrText xml:space="preserve"> SEQ Box \* ARABIC </w:instrText>
            </w:r>
            <w:r w:rsidRPr="006201AB">
              <w:rPr>
                <w:bCs/>
              </w:rPr>
              <w:fldChar w:fldCharType="separate"/>
            </w:r>
            <w:r w:rsidR="003C4BC2">
              <w:rPr>
                <w:bCs/>
                <w:noProof/>
              </w:rPr>
              <w:t>33</w:t>
            </w:r>
            <w:r w:rsidRPr="006201AB">
              <w:rPr>
                <w:bCs/>
                <w:noProof/>
              </w:rPr>
              <w:fldChar w:fldCharType="end"/>
            </w:r>
            <w:r w:rsidRPr="006201AB">
              <w:rPr>
                <w:bCs/>
                <w:szCs w:val="20"/>
              </w:rPr>
              <w:t>: Chapter summary</w:t>
            </w:r>
          </w:p>
          <w:p w14:paraId="6FFD908A" w14:textId="501D0AF1" w:rsidR="005E36A8" w:rsidRDefault="00942155" w:rsidP="00F95E6D">
            <w:pPr>
              <w:rPr>
                <w:sz w:val="18"/>
                <w:szCs w:val="18"/>
              </w:rPr>
            </w:pPr>
            <w:r>
              <w:rPr>
                <w:sz w:val="18"/>
                <w:szCs w:val="18"/>
              </w:rPr>
              <w:t>M</w:t>
            </w:r>
            <w:r w:rsidR="008F2D8E" w:rsidRPr="00D41552">
              <w:rPr>
                <w:sz w:val="18"/>
                <w:szCs w:val="18"/>
              </w:rPr>
              <w:t>ore than half of the practices (53%) withdrew from the</w:t>
            </w:r>
            <w:r>
              <w:rPr>
                <w:sz w:val="18"/>
                <w:szCs w:val="18"/>
              </w:rPr>
              <w:t xml:space="preserve"> HCH</w:t>
            </w:r>
            <w:r w:rsidR="008F2D8E" w:rsidRPr="00D41552">
              <w:rPr>
                <w:sz w:val="18"/>
                <w:szCs w:val="18"/>
              </w:rPr>
              <w:t xml:space="preserve"> trial</w:t>
            </w:r>
            <w:r w:rsidR="00552AF4">
              <w:rPr>
                <w:sz w:val="18"/>
                <w:szCs w:val="18"/>
              </w:rPr>
              <w:t xml:space="preserve">. Also, </w:t>
            </w:r>
            <w:r w:rsidR="00942933">
              <w:rPr>
                <w:sz w:val="18"/>
                <w:szCs w:val="18"/>
              </w:rPr>
              <w:t>about</w:t>
            </w:r>
            <w:r w:rsidR="000A46C6">
              <w:rPr>
                <w:sz w:val="18"/>
                <w:szCs w:val="18"/>
              </w:rPr>
              <w:t xml:space="preserve"> half of the GPs </w:t>
            </w:r>
            <w:r w:rsidR="00DA6C77">
              <w:rPr>
                <w:sz w:val="18"/>
                <w:szCs w:val="18"/>
              </w:rPr>
              <w:t>from each practice participated</w:t>
            </w:r>
            <w:r w:rsidR="008F2D8E" w:rsidRPr="00D41552">
              <w:rPr>
                <w:sz w:val="18"/>
                <w:szCs w:val="18"/>
              </w:rPr>
              <w:t xml:space="preserve"> and close to half of the practices remaining in the trial until the end had less than 50 patients enrolled, limiting their ability to making any significant changes to practice</w:t>
            </w:r>
            <w:r w:rsidR="00F12C92" w:rsidRPr="00D41552">
              <w:rPr>
                <w:sz w:val="18"/>
                <w:szCs w:val="18"/>
              </w:rPr>
              <w:t xml:space="preserve">. </w:t>
            </w:r>
            <w:r w:rsidR="00905A0F" w:rsidRPr="00D41552">
              <w:rPr>
                <w:sz w:val="18"/>
                <w:szCs w:val="18"/>
              </w:rPr>
              <w:t xml:space="preserve">Therefore, the major issues for the trial were </w:t>
            </w:r>
            <w:r w:rsidR="00990B87" w:rsidRPr="00D41552">
              <w:rPr>
                <w:sz w:val="18"/>
                <w:szCs w:val="18"/>
              </w:rPr>
              <w:t>related</w:t>
            </w:r>
            <w:r w:rsidR="00F95E6D" w:rsidRPr="00D41552">
              <w:rPr>
                <w:sz w:val="18"/>
                <w:szCs w:val="18"/>
              </w:rPr>
              <w:t xml:space="preserve"> to its implementation. </w:t>
            </w:r>
            <w:r w:rsidR="00334DFA" w:rsidRPr="00D41552">
              <w:rPr>
                <w:sz w:val="18"/>
                <w:szCs w:val="18"/>
              </w:rPr>
              <w:t>Given this</w:t>
            </w:r>
            <w:r w:rsidR="005E36A8" w:rsidRPr="00D41552">
              <w:rPr>
                <w:sz w:val="18"/>
                <w:szCs w:val="18"/>
              </w:rPr>
              <w:t>, a detailed analysis of implementation is warranted.</w:t>
            </w:r>
          </w:p>
          <w:p w14:paraId="06D24DBB" w14:textId="1E962BC2" w:rsidR="0016268F" w:rsidRPr="006347A9" w:rsidRDefault="0016268F" w:rsidP="006347A9">
            <w:pPr>
              <w:rPr>
                <w:sz w:val="18"/>
                <w:szCs w:val="18"/>
              </w:rPr>
            </w:pPr>
            <w:r w:rsidRPr="006347A9">
              <w:rPr>
                <w:sz w:val="18"/>
                <w:szCs w:val="18"/>
              </w:rPr>
              <w:t xml:space="preserve">The </w:t>
            </w:r>
            <w:r w:rsidRPr="006347A9">
              <w:rPr>
                <w:i/>
                <w:sz w:val="18"/>
                <w:szCs w:val="18"/>
              </w:rPr>
              <w:t>Consolidated framework for implementation research</w:t>
            </w:r>
            <w:r w:rsidRPr="006347A9">
              <w:rPr>
                <w:sz w:val="18"/>
                <w:szCs w:val="18"/>
              </w:rPr>
              <w:t xml:space="preserve"> (CFIR)</w:t>
            </w:r>
            <w:r>
              <w:rPr>
                <w:sz w:val="18"/>
                <w:szCs w:val="18"/>
              </w:rPr>
              <w:t xml:space="preserve"> </w:t>
            </w:r>
            <w:r w:rsidR="006347A9" w:rsidRPr="006347A9">
              <w:rPr>
                <w:sz w:val="18"/>
                <w:szCs w:val="18"/>
              </w:rPr>
              <w:t xml:space="preserve">incorporates the </w:t>
            </w:r>
            <w:r w:rsidR="006347A9" w:rsidRPr="00E64BDF">
              <w:rPr>
                <w:i/>
                <w:sz w:val="18"/>
                <w:szCs w:val="18"/>
              </w:rPr>
              <w:t>diffusion of innovations theory</w:t>
            </w:r>
            <w:r w:rsidR="006347A9" w:rsidRPr="006347A9">
              <w:rPr>
                <w:sz w:val="18"/>
                <w:szCs w:val="18"/>
              </w:rPr>
              <w:t xml:space="preserve"> and </w:t>
            </w:r>
            <w:r w:rsidRPr="006347A9">
              <w:rPr>
                <w:sz w:val="18"/>
                <w:szCs w:val="18"/>
              </w:rPr>
              <w:t xml:space="preserve">offers a framework for analysing </w:t>
            </w:r>
            <w:r w:rsidR="006347A9" w:rsidRPr="006347A9">
              <w:rPr>
                <w:sz w:val="18"/>
                <w:szCs w:val="18"/>
              </w:rPr>
              <w:t>the factors that led to HCH not getting traction a</w:t>
            </w:r>
            <w:r w:rsidR="006347A9" w:rsidRPr="00334DFA">
              <w:rPr>
                <w:sz w:val="18"/>
                <w:szCs w:val="18"/>
              </w:rPr>
              <w:t>cross and within</w:t>
            </w:r>
            <w:r w:rsidR="00B15663">
              <w:rPr>
                <w:sz w:val="18"/>
                <w:szCs w:val="18"/>
              </w:rPr>
              <w:t xml:space="preserve"> practices</w:t>
            </w:r>
            <w:r w:rsidR="006347A9" w:rsidRPr="006347A9">
              <w:rPr>
                <w:sz w:val="18"/>
                <w:szCs w:val="18"/>
              </w:rPr>
              <w:t>. It also offers a framework</w:t>
            </w:r>
            <w:r w:rsidR="00FA21D1" w:rsidRPr="006347A9">
              <w:rPr>
                <w:sz w:val="18"/>
                <w:szCs w:val="18"/>
              </w:rPr>
              <w:t xml:space="preserve"> for </w:t>
            </w:r>
            <w:r w:rsidR="006347A9" w:rsidRPr="006347A9">
              <w:rPr>
                <w:sz w:val="18"/>
                <w:szCs w:val="18"/>
              </w:rPr>
              <w:t>analysing factors that helped implementation</w:t>
            </w:r>
            <w:r w:rsidR="00B15663">
              <w:rPr>
                <w:sz w:val="18"/>
                <w:szCs w:val="18"/>
              </w:rPr>
              <w:t>, which are important to identify for future change initiatives</w:t>
            </w:r>
            <w:r w:rsidR="005057ED">
              <w:rPr>
                <w:sz w:val="18"/>
                <w:szCs w:val="18"/>
              </w:rPr>
              <w:t xml:space="preserve"> in primary care</w:t>
            </w:r>
            <w:r w:rsidR="006347A9" w:rsidRPr="006347A9">
              <w:rPr>
                <w:sz w:val="18"/>
                <w:szCs w:val="18"/>
              </w:rPr>
              <w:t>.</w:t>
            </w:r>
            <w:r w:rsidRPr="006347A9">
              <w:rPr>
                <w:sz w:val="18"/>
                <w:szCs w:val="18"/>
              </w:rPr>
              <w:t xml:space="preserve"> The CFIR has </w:t>
            </w:r>
            <w:r w:rsidR="00B01AE2">
              <w:rPr>
                <w:sz w:val="18"/>
                <w:szCs w:val="18"/>
              </w:rPr>
              <w:t>five</w:t>
            </w:r>
            <w:r w:rsidRPr="006347A9">
              <w:rPr>
                <w:sz w:val="18"/>
                <w:szCs w:val="18"/>
              </w:rPr>
              <w:t xml:space="preserve"> domains: the characteristics of the intervention (the HCH concept), the outer setting, the inner setting, characteristics of individuals adopting the intervention and the process of implementation.</w:t>
            </w:r>
          </w:p>
          <w:p w14:paraId="6555A96E" w14:textId="7F062E33" w:rsidR="0016268F" w:rsidRDefault="0016268F" w:rsidP="006347A9">
            <w:pPr>
              <w:rPr>
                <w:rFonts w:eastAsia="Muli" w:cs="Muli"/>
                <w:color w:val="000000" w:themeColor="text1"/>
                <w:sz w:val="18"/>
                <w:szCs w:val="18"/>
              </w:rPr>
            </w:pPr>
            <w:r>
              <w:rPr>
                <w:rFonts w:eastAsia="Muli" w:cs="Muli"/>
                <w:color w:val="000000" w:themeColor="text1"/>
                <w:sz w:val="18"/>
                <w:szCs w:val="18"/>
              </w:rPr>
              <w:t>T</w:t>
            </w:r>
            <w:r w:rsidRPr="00DD3F94">
              <w:rPr>
                <w:rFonts w:eastAsia="Muli" w:cs="Muli"/>
                <w:color w:val="000000" w:themeColor="text1"/>
                <w:sz w:val="18"/>
                <w:szCs w:val="18"/>
              </w:rPr>
              <w:t xml:space="preserve">here were many attributes of </w:t>
            </w:r>
            <w:r w:rsidRPr="00714AA4">
              <w:rPr>
                <w:rFonts w:eastAsia="Muli" w:cs="Muli"/>
                <w:i/>
                <w:iCs/>
                <w:color w:val="000000" w:themeColor="text1"/>
                <w:sz w:val="18"/>
                <w:szCs w:val="18"/>
              </w:rPr>
              <w:t>HCH as an intervention</w:t>
            </w:r>
            <w:r w:rsidRPr="00DD3F94">
              <w:rPr>
                <w:rFonts w:eastAsia="Muli" w:cs="Muli"/>
                <w:color w:val="000000" w:themeColor="text1"/>
                <w:sz w:val="18"/>
                <w:szCs w:val="18"/>
              </w:rPr>
              <w:t xml:space="preserve"> that limited its initial uptake and sustainability. These included that the evidence for the PCMH</w:t>
            </w:r>
            <w:r w:rsidR="00F12C92">
              <w:rPr>
                <w:rFonts w:eastAsia="Muli" w:cs="Muli"/>
                <w:color w:val="000000" w:themeColor="text1"/>
                <w:sz w:val="18"/>
                <w:szCs w:val="18"/>
              </w:rPr>
              <w:t>, on which HCH was based</w:t>
            </w:r>
            <w:r w:rsidR="00736025">
              <w:rPr>
                <w:rFonts w:eastAsia="Muli" w:cs="Muli"/>
                <w:color w:val="000000" w:themeColor="text1"/>
                <w:sz w:val="18"/>
                <w:szCs w:val="18"/>
              </w:rPr>
              <w:t>,</w:t>
            </w:r>
            <w:r w:rsidRPr="00DD3F94">
              <w:rPr>
                <w:rFonts w:eastAsia="Muli" w:cs="Muli"/>
                <w:color w:val="000000" w:themeColor="text1"/>
                <w:sz w:val="18"/>
                <w:szCs w:val="18"/>
              </w:rPr>
              <w:t xml:space="preserve"> is nascent, that the relative advantage of the model for practices isn’t clear, that it is an extremely complex intervention and not easily </w:t>
            </w:r>
            <w:proofErr w:type="spellStart"/>
            <w:r w:rsidRPr="00DD3F94">
              <w:rPr>
                <w:rFonts w:eastAsia="Muli" w:cs="Muli"/>
                <w:color w:val="000000" w:themeColor="text1"/>
                <w:sz w:val="18"/>
                <w:szCs w:val="18"/>
              </w:rPr>
              <w:t>trialable</w:t>
            </w:r>
            <w:proofErr w:type="spellEnd"/>
            <w:r w:rsidRPr="00DD3F94">
              <w:rPr>
                <w:rFonts w:eastAsia="Muli" w:cs="Muli"/>
                <w:color w:val="000000" w:themeColor="text1"/>
                <w:sz w:val="18"/>
                <w:szCs w:val="18"/>
              </w:rPr>
              <w:t>, and that practices had reservations about the financial impact of the model both in terms of set</w:t>
            </w:r>
            <w:r w:rsidR="00F12C92">
              <w:rPr>
                <w:rFonts w:eastAsia="Muli" w:cs="Muli"/>
                <w:color w:val="000000" w:themeColor="text1"/>
                <w:sz w:val="18"/>
                <w:szCs w:val="18"/>
              </w:rPr>
              <w:t xml:space="preserve"> </w:t>
            </w:r>
            <w:r w:rsidRPr="00DD3F94">
              <w:rPr>
                <w:rFonts w:eastAsia="Muli" w:cs="Muli"/>
                <w:color w:val="000000" w:themeColor="text1"/>
                <w:sz w:val="18"/>
                <w:szCs w:val="18"/>
              </w:rPr>
              <w:t>up and ongoing income from the bundled payment compared with fee-for-service</w:t>
            </w:r>
            <w:r>
              <w:rPr>
                <w:rFonts w:eastAsia="Muli" w:cs="Muli"/>
                <w:color w:val="000000" w:themeColor="text1"/>
                <w:sz w:val="18"/>
                <w:szCs w:val="18"/>
              </w:rPr>
              <w:t>.</w:t>
            </w:r>
            <w:r w:rsidR="000E49D6">
              <w:rPr>
                <w:rFonts w:eastAsia="Muli" w:cs="Muli"/>
                <w:color w:val="000000" w:themeColor="text1"/>
                <w:sz w:val="18"/>
                <w:szCs w:val="18"/>
              </w:rPr>
              <w:t xml:space="preserve"> </w:t>
            </w:r>
            <w:r w:rsidR="000E49D6" w:rsidRPr="000E49D6">
              <w:rPr>
                <w:rFonts w:eastAsia="Muli" w:cs="Muli"/>
                <w:color w:val="000000" w:themeColor="text1"/>
                <w:sz w:val="18"/>
                <w:szCs w:val="18"/>
              </w:rPr>
              <w:t>If there is a desire in Australian primary care to grow medical homes, the evidence for the PCMH concept needs to be compiled and lessons specifically for the Australian context be drawn out and disseminated to primary care clinicians and practices through various channels. The evidence should also draw out the relative advantage of the model for practices and patients and clearly articulate the problems in primary care that the model can help to address, such as increasing rates of chronic disease amongst the Australian population</w:t>
            </w:r>
            <w:r w:rsidR="00EF144C">
              <w:rPr>
                <w:rFonts w:eastAsia="Muli" w:cs="Muli"/>
                <w:color w:val="000000" w:themeColor="text1"/>
                <w:sz w:val="18"/>
                <w:szCs w:val="18"/>
              </w:rPr>
              <w:t>.</w:t>
            </w:r>
          </w:p>
          <w:p w14:paraId="2251CA50" w14:textId="64362EED" w:rsidR="0016268F" w:rsidRPr="001A51EA" w:rsidRDefault="0016268F" w:rsidP="006347A9">
            <w:pPr>
              <w:rPr>
                <w:rFonts w:eastAsia="Muli" w:cs="Muli"/>
                <w:color w:val="000000" w:themeColor="text1"/>
                <w:sz w:val="18"/>
                <w:szCs w:val="18"/>
              </w:rPr>
            </w:pPr>
            <w:r>
              <w:rPr>
                <w:rFonts w:eastAsia="Muli" w:cs="Muli"/>
                <w:color w:val="000000" w:themeColor="text1"/>
                <w:sz w:val="18"/>
                <w:szCs w:val="18"/>
              </w:rPr>
              <w:t>A</w:t>
            </w:r>
            <w:r w:rsidRPr="001A51EA">
              <w:rPr>
                <w:rFonts w:eastAsia="Muli" w:cs="Muli"/>
                <w:color w:val="000000" w:themeColor="text1"/>
                <w:sz w:val="18"/>
                <w:szCs w:val="18"/>
              </w:rPr>
              <w:t xml:space="preserve">ttributes of the </w:t>
            </w:r>
            <w:r w:rsidRPr="00714AA4">
              <w:rPr>
                <w:rFonts w:eastAsia="Muli" w:cs="Muli"/>
                <w:i/>
                <w:iCs/>
                <w:color w:val="000000" w:themeColor="text1"/>
                <w:sz w:val="18"/>
                <w:szCs w:val="18"/>
              </w:rPr>
              <w:t>outer setting</w:t>
            </w:r>
            <w:r w:rsidRPr="001A51EA">
              <w:rPr>
                <w:rFonts w:eastAsia="Muli" w:cs="Muli"/>
                <w:color w:val="000000" w:themeColor="text1"/>
                <w:sz w:val="18"/>
                <w:szCs w:val="18"/>
              </w:rPr>
              <w:t xml:space="preserve"> had mixed effects for the uptake and sustainability of HCH. Patient needs and attributes were central to HCH. Where practices were tuned into patients’ needs, they were successful in enrolling and keeping patients in the trial, including managing patients’ expectations about </w:t>
            </w:r>
            <w:r w:rsidR="009919E2" w:rsidRPr="009919E2">
              <w:rPr>
                <w:rFonts w:eastAsia="Muli" w:cs="Muli"/>
                <w:color w:val="000000" w:themeColor="text1"/>
                <w:sz w:val="18"/>
                <w:szCs w:val="18"/>
              </w:rPr>
              <w:t xml:space="preserve">being solely looked after by </w:t>
            </w:r>
            <w:r w:rsidRPr="001A51EA">
              <w:rPr>
                <w:rFonts w:eastAsia="Muli" w:cs="Muli"/>
                <w:color w:val="000000" w:themeColor="text1"/>
                <w:sz w:val="18"/>
                <w:szCs w:val="18"/>
              </w:rPr>
              <w:t>their GP</w:t>
            </w:r>
            <w:r w:rsidR="009919E2" w:rsidRPr="009919E2">
              <w:rPr>
                <w:rFonts w:eastAsia="Muli" w:cs="Muli"/>
                <w:color w:val="000000" w:themeColor="text1"/>
                <w:sz w:val="18"/>
                <w:szCs w:val="18"/>
              </w:rPr>
              <w:t xml:space="preserve"> versus a team-based approach</w:t>
            </w:r>
            <w:r w:rsidRPr="001A51EA">
              <w:rPr>
                <w:rFonts w:eastAsia="Muli" w:cs="Muli"/>
                <w:color w:val="000000" w:themeColor="text1"/>
                <w:sz w:val="18"/>
                <w:szCs w:val="18"/>
              </w:rPr>
              <w:t xml:space="preserve">. </w:t>
            </w:r>
            <w:r w:rsidR="00290BAE">
              <w:rPr>
                <w:rFonts w:eastAsia="Muli" w:cs="Muli"/>
                <w:color w:val="000000" w:themeColor="text1"/>
                <w:sz w:val="18"/>
                <w:szCs w:val="18"/>
              </w:rPr>
              <w:t>However</w:t>
            </w:r>
            <w:r w:rsidRPr="001A51EA">
              <w:rPr>
                <w:rFonts w:eastAsia="Muli" w:cs="Muli"/>
                <w:color w:val="000000" w:themeColor="text1"/>
                <w:sz w:val="18"/>
                <w:szCs w:val="18"/>
              </w:rPr>
              <w:t xml:space="preserve">, practices </w:t>
            </w:r>
            <w:r w:rsidR="00290BAE">
              <w:rPr>
                <w:rFonts w:eastAsia="Muli" w:cs="Muli"/>
                <w:color w:val="000000" w:themeColor="text1"/>
                <w:sz w:val="18"/>
                <w:szCs w:val="18"/>
              </w:rPr>
              <w:t xml:space="preserve">tended to </w:t>
            </w:r>
            <w:r w:rsidRPr="001A51EA">
              <w:rPr>
                <w:rFonts w:eastAsia="Muli" w:cs="Muli"/>
                <w:color w:val="000000" w:themeColor="text1"/>
                <w:sz w:val="18"/>
                <w:szCs w:val="18"/>
              </w:rPr>
              <w:t xml:space="preserve">select patients who were already motivated to manage their health and who they thought were activated or were willing to try new things. For any wider rollout of </w:t>
            </w:r>
            <w:r w:rsidR="008C04BA">
              <w:rPr>
                <w:rFonts w:eastAsia="Muli" w:cs="Muli"/>
                <w:color w:val="000000" w:themeColor="text1"/>
                <w:sz w:val="18"/>
                <w:szCs w:val="18"/>
              </w:rPr>
              <w:t>a</w:t>
            </w:r>
            <w:r w:rsidRPr="001A51EA">
              <w:rPr>
                <w:rFonts w:eastAsia="Muli" w:cs="Muli"/>
                <w:color w:val="000000" w:themeColor="text1"/>
                <w:sz w:val="18"/>
                <w:szCs w:val="18"/>
              </w:rPr>
              <w:t xml:space="preserve"> similar initiative, more work </w:t>
            </w:r>
            <w:r w:rsidR="008C04BA">
              <w:rPr>
                <w:rFonts w:eastAsia="Muli" w:cs="Muli"/>
                <w:color w:val="000000" w:themeColor="text1"/>
                <w:sz w:val="18"/>
                <w:szCs w:val="18"/>
              </w:rPr>
              <w:t>is needed</w:t>
            </w:r>
            <w:r w:rsidRPr="001A51EA">
              <w:rPr>
                <w:rFonts w:eastAsia="Muli" w:cs="Muli"/>
                <w:color w:val="000000" w:themeColor="text1"/>
                <w:sz w:val="18"/>
                <w:szCs w:val="18"/>
              </w:rPr>
              <w:t xml:space="preserve"> on strategies to engage patients who are less motivated. This can be helped by public awareness campaigns</w:t>
            </w:r>
            <w:r w:rsidR="00926E4F">
              <w:rPr>
                <w:rFonts w:eastAsia="Muli" w:cs="Muli"/>
                <w:color w:val="000000" w:themeColor="text1"/>
                <w:sz w:val="18"/>
                <w:szCs w:val="18"/>
              </w:rPr>
              <w:t xml:space="preserve"> </w:t>
            </w:r>
            <w:r w:rsidR="00926E4F" w:rsidRPr="00926E4F">
              <w:rPr>
                <w:rFonts w:eastAsia="Muli" w:cs="Muli"/>
                <w:color w:val="000000" w:themeColor="text1"/>
                <w:sz w:val="18"/>
                <w:szCs w:val="18"/>
              </w:rPr>
              <w:t>targeting people with chronic disease</w:t>
            </w:r>
            <w:r w:rsidRPr="001A51EA">
              <w:rPr>
                <w:rFonts w:eastAsia="Muli" w:cs="Muli"/>
                <w:color w:val="000000" w:themeColor="text1"/>
                <w:sz w:val="18"/>
                <w:szCs w:val="18"/>
              </w:rPr>
              <w:t xml:space="preserve"> </w:t>
            </w:r>
            <w:r>
              <w:rPr>
                <w:rFonts w:eastAsia="Muli" w:cs="Muli"/>
                <w:color w:val="000000" w:themeColor="text1"/>
                <w:sz w:val="18"/>
                <w:szCs w:val="18"/>
              </w:rPr>
              <w:t>to convey information in different forms and</w:t>
            </w:r>
            <w:r w:rsidRPr="001A51EA">
              <w:rPr>
                <w:rFonts w:eastAsia="Muli" w:cs="Muli"/>
                <w:color w:val="000000" w:themeColor="text1"/>
                <w:sz w:val="18"/>
                <w:szCs w:val="18"/>
              </w:rPr>
              <w:t xml:space="preserve"> boost messages conveyed by practices.</w:t>
            </w:r>
          </w:p>
          <w:p w14:paraId="36CB2160" w14:textId="5BBC8764" w:rsidR="0016268F" w:rsidRDefault="0016268F" w:rsidP="006347A9">
            <w:pPr>
              <w:rPr>
                <w:rFonts w:eastAsia="Muli" w:cs="Muli"/>
                <w:color w:val="000000" w:themeColor="text1"/>
                <w:sz w:val="18"/>
                <w:szCs w:val="18"/>
              </w:rPr>
            </w:pPr>
            <w:r w:rsidRPr="001A51EA">
              <w:rPr>
                <w:rFonts w:eastAsia="Muli" w:cs="Muli"/>
                <w:color w:val="000000" w:themeColor="text1"/>
                <w:sz w:val="18"/>
                <w:szCs w:val="18"/>
              </w:rPr>
              <w:t>“</w:t>
            </w:r>
            <w:r w:rsidRPr="00B01AE2">
              <w:rPr>
                <w:rFonts w:eastAsia="Muli" w:cs="Muli"/>
                <w:i/>
                <w:color w:val="000000" w:themeColor="text1"/>
                <w:sz w:val="18"/>
                <w:szCs w:val="18"/>
              </w:rPr>
              <w:t>Cosmopolitanism</w:t>
            </w:r>
            <w:r w:rsidRPr="001A51EA">
              <w:rPr>
                <w:rFonts w:eastAsia="Muli" w:cs="Muli"/>
                <w:color w:val="000000" w:themeColor="text1"/>
                <w:sz w:val="18"/>
                <w:szCs w:val="18"/>
              </w:rPr>
              <w:t xml:space="preserve">” or external networking worked negatively for practices in the HCH trial due to the dissenting views about </w:t>
            </w:r>
            <w:r w:rsidR="00F12C92">
              <w:rPr>
                <w:rFonts w:eastAsia="Muli" w:cs="Muli"/>
                <w:color w:val="000000" w:themeColor="text1"/>
                <w:sz w:val="18"/>
                <w:szCs w:val="18"/>
              </w:rPr>
              <w:t>HCH</w:t>
            </w:r>
            <w:r w:rsidRPr="001A51EA">
              <w:rPr>
                <w:rFonts w:eastAsia="Muli" w:cs="Muli"/>
                <w:color w:val="000000" w:themeColor="text1"/>
                <w:sz w:val="18"/>
                <w:szCs w:val="18"/>
              </w:rPr>
              <w:t xml:space="preserve"> from medical professional organisations in particular. Negativity about the trial translated in</w:t>
            </w:r>
            <w:r>
              <w:rPr>
                <w:rFonts w:eastAsia="Muli" w:cs="Muli"/>
                <w:color w:val="000000" w:themeColor="text1"/>
                <w:sz w:val="18"/>
                <w:szCs w:val="18"/>
              </w:rPr>
              <w:t>to</w:t>
            </w:r>
            <w:r w:rsidRPr="001A51EA">
              <w:rPr>
                <w:rFonts w:eastAsia="Muli" w:cs="Muli"/>
                <w:color w:val="000000" w:themeColor="text1"/>
                <w:sz w:val="18"/>
                <w:szCs w:val="18"/>
              </w:rPr>
              <w:t xml:space="preserve"> practices withdrawing or only a fraction of GPs in a practice participating. GPs also commented that HCH lacked a “collegiate feel” compared with other </w:t>
            </w:r>
            <w:r w:rsidRPr="001A51EA">
              <w:rPr>
                <w:rFonts w:eastAsia="Muli" w:cs="Muli"/>
                <w:color w:val="000000" w:themeColor="text1"/>
                <w:sz w:val="18"/>
                <w:szCs w:val="18"/>
              </w:rPr>
              <w:lastRenderedPageBreak/>
              <w:t xml:space="preserve">initiatives </w:t>
            </w:r>
            <w:r w:rsidR="00B01AE2" w:rsidRPr="00B01AE2">
              <w:rPr>
                <w:rFonts w:eastAsia="Muli" w:cs="Muli"/>
                <w:color w:val="000000" w:themeColor="text1"/>
                <w:sz w:val="18"/>
                <w:szCs w:val="18"/>
              </w:rPr>
              <w:t>they</w:t>
            </w:r>
            <w:r w:rsidRPr="001A51EA">
              <w:rPr>
                <w:rFonts w:eastAsia="Muli" w:cs="Muli"/>
                <w:color w:val="000000" w:themeColor="text1"/>
                <w:sz w:val="18"/>
                <w:szCs w:val="18"/>
              </w:rPr>
              <w:t xml:space="preserve"> had been involved in, and </w:t>
            </w:r>
            <w:r w:rsidR="00B01AE2" w:rsidRPr="00B01AE2">
              <w:rPr>
                <w:rFonts w:eastAsia="Muli" w:cs="Muli"/>
                <w:color w:val="000000" w:themeColor="text1"/>
                <w:sz w:val="18"/>
                <w:szCs w:val="18"/>
              </w:rPr>
              <w:t xml:space="preserve">efforts to create this feel </w:t>
            </w:r>
            <w:r w:rsidRPr="001A51EA">
              <w:rPr>
                <w:rFonts w:eastAsia="Muli" w:cs="Muli"/>
                <w:color w:val="000000" w:themeColor="text1"/>
                <w:sz w:val="18"/>
                <w:szCs w:val="18"/>
              </w:rPr>
              <w:t>early in the trial would have been helpful.</w:t>
            </w:r>
          </w:p>
          <w:p w14:paraId="5696967B" w14:textId="25473D56" w:rsidR="002D1D0A" w:rsidRDefault="002D1D0A" w:rsidP="006347A9">
            <w:pPr>
              <w:rPr>
                <w:rFonts w:eastAsia="Muli" w:cs="Muli"/>
                <w:color w:val="000000" w:themeColor="text1"/>
                <w:sz w:val="18"/>
                <w:szCs w:val="18"/>
              </w:rPr>
            </w:pPr>
            <w:r w:rsidRPr="002D1D0A">
              <w:rPr>
                <w:rFonts w:eastAsia="Muli" w:cs="Muli"/>
                <w:color w:val="000000" w:themeColor="text1"/>
                <w:sz w:val="18"/>
                <w:szCs w:val="18"/>
              </w:rPr>
              <w:t>Due to the low number of practices implementing PCMH</w:t>
            </w:r>
            <w:r w:rsidR="005407D4">
              <w:rPr>
                <w:rFonts w:eastAsia="Muli" w:cs="Muli"/>
                <w:color w:val="000000" w:themeColor="text1"/>
                <w:sz w:val="18"/>
                <w:szCs w:val="18"/>
              </w:rPr>
              <w:t>-like models</w:t>
            </w:r>
            <w:r w:rsidRPr="002D1D0A">
              <w:rPr>
                <w:rFonts w:eastAsia="Muli" w:cs="Muli"/>
                <w:color w:val="000000" w:themeColor="text1"/>
                <w:sz w:val="18"/>
                <w:szCs w:val="18"/>
              </w:rPr>
              <w:t xml:space="preserve"> before the trial, peer pressure did not play a role in HCH uptake. Peer pressure is usually a motivator for the “late majority”,</w:t>
            </w:r>
            <w:r w:rsidR="00A561EE">
              <w:rPr>
                <w:rFonts w:eastAsia="Muli" w:cs="Muli"/>
                <w:color w:val="000000" w:themeColor="text1"/>
                <w:sz w:val="18"/>
                <w:szCs w:val="18"/>
              </w:rPr>
              <w:t xml:space="preserve"> </w:t>
            </w:r>
            <w:r w:rsidRPr="002D1D0A">
              <w:rPr>
                <w:rFonts w:eastAsia="Muli" w:cs="Muli"/>
                <w:color w:val="000000" w:themeColor="text1"/>
                <w:sz w:val="18"/>
                <w:szCs w:val="18"/>
              </w:rPr>
              <w:t xml:space="preserve">that is, organisations implementing </w:t>
            </w:r>
            <w:r w:rsidR="00794617">
              <w:rPr>
                <w:rFonts w:eastAsia="Muli" w:cs="Muli"/>
                <w:color w:val="000000" w:themeColor="text1"/>
                <w:sz w:val="18"/>
                <w:szCs w:val="18"/>
              </w:rPr>
              <w:t xml:space="preserve">the initiative </w:t>
            </w:r>
            <w:r w:rsidR="00BB3CBF">
              <w:rPr>
                <w:rFonts w:eastAsia="Muli" w:cs="Muli"/>
                <w:color w:val="000000" w:themeColor="text1"/>
                <w:sz w:val="18"/>
                <w:szCs w:val="18"/>
              </w:rPr>
              <w:t>after</w:t>
            </w:r>
            <w:r w:rsidRPr="002D1D0A">
              <w:rPr>
                <w:rFonts w:eastAsia="Muli" w:cs="Muli"/>
                <w:color w:val="000000" w:themeColor="text1"/>
                <w:sz w:val="18"/>
                <w:szCs w:val="18"/>
              </w:rPr>
              <w:t xml:space="preserve"> the “tipping point”, which is the critical point beyond which a significant and often unstoppable change takes place. HCH implementation did not reach a tipping point amongst Australian general practice.</w:t>
            </w:r>
          </w:p>
          <w:p w14:paraId="5B647071" w14:textId="361288E9" w:rsidR="0016268F" w:rsidRDefault="0016268F" w:rsidP="006347A9">
            <w:pPr>
              <w:rPr>
                <w:rFonts w:eastAsia="Muli" w:cs="Muli"/>
                <w:color w:val="000000" w:themeColor="text1"/>
                <w:sz w:val="18"/>
                <w:szCs w:val="18"/>
              </w:rPr>
            </w:pPr>
            <w:r w:rsidRPr="005C423E">
              <w:rPr>
                <w:rFonts w:eastAsia="Muli" w:cs="Muli"/>
                <w:color w:val="000000" w:themeColor="text1"/>
                <w:sz w:val="18"/>
                <w:szCs w:val="18"/>
              </w:rPr>
              <w:t>The bundled payment as an external policy was both an incentive and a deterrent for practices. Finer-grained payment tiers may be helpful for future initiatives.</w:t>
            </w:r>
          </w:p>
          <w:p w14:paraId="373A8A6D" w14:textId="73AE3DE2" w:rsidR="0016268F" w:rsidRPr="007D1978" w:rsidRDefault="00FA21D1" w:rsidP="006347A9">
            <w:pPr>
              <w:rPr>
                <w:rFonts w:eastAsia="Muli" w:cs="Muli"/>
                <w:color w:val="000000" w:themeColor="text1"/>
                <w:sz w:val="18"/>
                <w:szCs w:val="18"/>
              </w:rPr>
            </w:pPr>
            <w:r w:rsidRPr="00110EA5">
              <w:rPr>
                <w:rFonts w:eastAsia="Muli" w:cs="Muli"/>
                <w:color w:val="000000" w:themeColor="text1"/>
                <w:sz w:val="18"/>
                <w:szCs w:val="18"/>
              </w:rPr>
              <w:t xml:space="preserve">Structural </w:t>
            </w:r>
            <w:r w:rsidR="003556D2" w:rsidRPr="00110EA5">
              <w:rPr>
                <w:rFonts w:eastAsia="Muli" w:cs="Muli"/>
                <w:color w:val="000000" w:themeColor="text1"/>
                <w:sz w:val="18"/>
                <w:szCs w:val="18"/>
              </w:rPr>
              <w:t>characteristics</w:t>
            </w:r>
            <w:r w:rsidRPr="00110EA5">
              <w:rPr>
                <w:rFonts w:eastAsia="Muli" w:cs="Muli"/>
                <w:color w:val="000000" w:themeColor="text1"/>
                <w:sz w:val="18"/>
                <w:szCs w:val="18"/>
              </w:rPr>
              <w:t xml:space="preserve"> are one </w:t>
            </w:r>
            <w:r w:rsidR="003556D2" w:rsidRPr="00110EA5">
              <w:rPr>
                <w:rFonts w:eastAsia="Muli" w:cs="Muli"/>
                <w:color w:val="000000" w:themeColor="text1"/>
                <w:sz w:val="18"/>
                <w:szCs w:val="18"/>
              </w:rPr>
              <w:t>dimension</w:t>
            </w:r>
            <w:r w:rsidRPr="00110EA5">
              <w:rPr>
                <w:rFonts w:eastAsia="Muli" w:cs="Muli"/>
                <w:color w:val="000000" w:themeColor="text1"/>
                <w:sz w:val="18"/>
                <w:szCs w:val="18"/>
              </w:rPr>
              <w:t xml:space="preserve"> of </w:t>
            </w:r>
            <w:r w:rsidR="00B0761F" w:rsidRPr="00110EA5">
              <w:rPr>
                <w:rFonts w:eastAsia="Muli" w:cs="Muli"/>
                <w:color w:val="000000" w:themeColor="text1"/>
                <w:sz w:val="18"/>
                <w:szCs w:val="18"/>
              </w:rPr>
              <w:t>practices’</w:t>
            </w:r>
            <w:r w:rsidRPr="00110EA5">
              <w:rPr>
                <w:rFonts w:eastAsia="Muli" w:cs="Muli"/>
                <w:color w:val="000000" w:themeColor="text1"/>
                <w:sz w:val="18"/>
                <w:szCs w:val="18"/>
              </w:rPr>
              <w:t xml:space="preserve"> </w:t>
            </w:r>
            <w:r w:rsidRPr="00110EA5">
              <w:rPr>
                <w:rFonts w:eastAsia="Muli" w:cs="Muli"/>
                <w:i/>
                <w:color w:val="000000" w:themeColor="text1"/>
                <w:sz w:val="18"/>
                <w:szCs w:val="18"/>
              </w:rPr>
              <w:t>inner setting</w:t>
            </w:r>
            <w:r w:rsidR="003556D2" w:rsidRPr="00110EA5">
              <w:rPr>
                <w:rFonts w:eastAsia="Muli" w:cs="Muli"/>
                <w:color w:val="000000" w:themeColor="text1"/>
                <w:sz w:val="18"/>
                <w:szCs w:val="18"/>
              </w:rPr>
              <w:t>.</w:t>
            </w:r>
            <w:r w:rsidRPr="00110EA5">
              <w:rPr>
                <w:rFonts w:eastAsia="Muli" w:cs="Muli"/>
                <w:color w:val="000000" w:themeColor="text1"/>
                <w:sz w:val="18"/>
                <w:szCs w:val="18"/>
              </w:rPr>
              <w:t xml:space="preserve"> </w:t>
            </w:r>
            <w:r w:rsidR="00DE14CE">
              <w:rPr>
                <w:rFonts w:eastAsia="Muli" w:cs="Muli"/>
                <w:color w:val="000000" w:themeColor="text1"/>
                <w:sz w:val="18"/>
                <w:szCs w:val="18"/>
              </w:rPr>
              <w:t>D</w:t>
            </w:r>
            <w:r w:rsidR="00DE14CE" w:rsidRPr="00DE14CE">
              <w:rPr>
                <w:rFonts w:eastAsia="Muli" w:cs="Muli"/>
                <w:color w:val="000000" w:themeColor="text1"/>
                <w:sz w:val="18"/>
                <w:szCs w:val="18"/>
              </w:rPr>
              <w:t xml:space="preserve">ifferent sized practices faced different challenges. </w:t>
            </w:r>
            <w:r w:rsidR="003E5273" w:rsidRPr="00110EA5">
              <w:rPr>
                <w:rFonts w:eastAsia="Muli" w:cs="Muli"/>
                <w:color w:val="000000" w:themeColor="text1"/>
                <w:sz w:val="18"/>
                <w:szCs w:val="18"/>
              </w:rPr>
              <w:t xml:space="preserve">However, </w:t>
            </w:r>
            <w:r w:rsidR="007D67A8" w:rsidRPr="00DE20C7">
              <w:rPr>
                <w:rFonts w:eastAsia="Muli" w:cs="Muli"/>
                <w:color w:val="000000" w:themeColor="text1"/>
                <w:sz w:val="18"/>
                <w:szCs w:val="18"/>
              </w:rPr>
              <w:t>for</w:t>
            </w:r>
            <w:r w:rsidR="00DE20C7" w:rsidRPr="00DE20C7">
              <w:rPr>
                <w:rFonts w:eastAsia="Muli" w:cs="Muli"/>
                <w:color w:val="000000" w:themeColor="text1"/>
                <w:sz w:val="18"/>
                <w:szCs w:val="18"/>
              </w:rPr>
              <w:t xml:space="preserve"> practices of any size</w:t>
            </w:r>
            <w:r w:rsidR="00DE14CE" w:rsidRPr="00DE14CE">
              <w:rPr>
                <w:rFonts w:eastAsia="Muli" w:cs="Muli"/>
                <w:color w:val="000000" w:themeColor="text1"/>
                <w:sz w:val="18"/>
                <w:szCs w:val="18"/>
              </w:rPr>
              <w:t xml:space="preserve">, </w:t>
            </w:r>
            <w:r w:rsidR="00DE14CE" w:rsidRPr="00DD2C1E">
              <w:rPr>
                <w:rFonts w:eastAsia="Muli" w:cs="Muli"/>
                <w:color w:val="000000" w:themeColor="text1"/>
                <w:sz w:val="18"/>
                <w:szCs w:val="18"/>
              </w:rPr>
              <w:t xml:space="preserve">barriers should be identified and addressed, </w:t>
            </w:r>
            <w:r w:rsidR="00DE14CE" w:rsidRPr="00DE14CE">
              <w:rPr>
                <w:rFonts w:eastAsia="Muli" w:cs="Muli"/>
                <w:color w:val="000000" w:themeColor="text1"/>
                <w:sz w:val="18"/>
                <w:szCs w:val="18"/>
              </w:rPr>
              <w:t>and enablers leveraged to facilitate change.</w:t>
            </w:r>
            <w:r w:rsidR="00110EA5" w:rsidRPr="00110EA5">
              <w:rPr>
                <w:rFonts w:eastAsia="Muli" w:cs="Muli"/>
                <w:color w:val="000000" w:themeColor="text1"/>
                <w:sz w:val="18"/>
                <w:szCs w:val="18"/>
              </w:rPr>
              <w:t xml:space="preserve"> </w:t>
            </w:r>
            <w:r w:rsidR="00DE14CE" w:rsidRPr="00DE14CE">
              <w:rPr>
                <w:rFonts w:eastAsia="Muli" w:cs="Muli"/>
                <w:color w:val="000000" w:themeColor="text1"/>
                <w:sz w:val="18"/>
                <w:szCs w:val="18"/>
              </w:rPr>
              <w:t>Solo GP practices within the trial tended to withdraw at a greater rate than other practice types. While solo GP practices face greater challenges in becoming a medical home, the literature shows that it is possible with appropriate supports</w:t>
            </w:r>
            <w:r w:rsidR="0016268F" w:rsidRPr="00DD2C1E">
              <w:rPr>
                <w:rFonts w:eastAsia="Muli" w:cs="Muli"/>
                <w:color w:val="000000" w:themeColor="text1"/>
                <w:sz w:val="18"/>
                <w:szCs w:val="18"/>
              </w:rPr>
              <w:t>.</w:t>
            </w:r>
            <w:r w:rsidR="0016268F" w:rsidRPr="007D1978">
              <w:rPr>
                <w:rFonts w:eastAsia="Muli" w:cs="Muli"/>
                <w:color w:val="000000" w:themeColor="text1"/>
                <w:sz w:val="18"/>
                <w:szCs w:val="18"/>
              </w:rPr>
              <w:t xml:space="preserve"> </w:t>
            </w:r>
          </w:p>
          <w:p w14:paraId="5BDD363D" w14:textId="405A308A" w:rsidR="0016268F" w:rsidRPr="007D1978" w:rsidRDefault="0016268F" w:rsidP="006347A9">
            <w:pPr>
              <w:rPr>
                <w:rFonts w:eastAsia="Muli" w:cs="Muli"/>
                <w:color w:val="000000" w:themeColor="text1"/>
                <w:sz w:val="18"/>
                <w:szCs w:val="18"/>
              </w:rPr>
            </w:pPr>
            <w:r w:rsidRPr="007D1978">
              <w:rPr>
                <w:rFonts w:eastAsia="Muli" w:cs="Muli"/>
                <w:color w:val="000000" w:themeColor="text1"/>
                <w:sz w:val="18"/>
                <w:szCs w:val="18"/>
              </w:rPr>
              <w:t xml:space="preserve">The focus of the HCH initiative on teamwork was positive for implementation given the enhanced networking and communications when people work as a team. Staff turnover threatened teamwork in the HCH trial, and more effective mechanisms to make teams more resilient would be needed for similar large-scale </w:t>
            </w:r>
            <w:r>
              <w:rPr>
                <w:rFonts w:eastAsia="Muli" w:cs="Muli"/>
                <w:color w:val="000000" w:themeColor="text1"/>
                <w:sz w:val="18"/>
                <w:szCs w:val="18"/>
              </w:rPr>
              <w:t>initiatives</w:t>
            </w:r>
            <w:r w:rsidRPr="007D1978">
              <w:rPr>
                <w:rFonts w:eastAsia="Muli" w:cs="Muli"/>
                <w:color w:val="000000" w:themeColor="text1"/>
                <w:sz w:val="18"/>
                <w:szCs w:val="18"/>
              </w:rPr>
              <w:t xml:space="preserve">. </w:t>
            </w:r>
          </w:p>
          <w:p w14:paraId="5076964E" w14:textId="4B6143B7" w:rsidR="0016268F" w:rsidRPr="007D1978" w:rsidRDefault="0016268F" w:rsidP="006347A9">
            <w:pPr>
              <w:rPr>
                <w:rFonts w:eastAsia="Muli" w:cs="Muli"/>
                <w:color w:val="000000" w:themeColor="text1"/>
                <w:sz w:val="18"/>
                <w:szCs w:val="18"/>
              </w:rPr>
            </w:pPr>
            <w:r w:rsidRPr="007D1978">
              <w:rPr>
                <w:rFonts w:eastAsia="Muli" w:cs="Muli"/>
                <w:color w:val="000000" w:themeColor="text1"/>
                <w:sz w:val="18"/>
                <w:szCs w:val="18"/>
              </w:rPr>
              <w:t xml:space="preserve">For many practices in HCH, culture around patient-centred care was </w:t>
            </w:r>
            <w:r w:rsidR="006347A9" w:rsidRPr="006347A9">
              <w:rPr>
                <w:rFonts w:eastAsia="Muli" w:cs="Muli"/>
                <w:color w:val="000000" w:themeColor="text1"/>
                <w:sz w:val="18"/>
                <w:szCs w:val="18"/>
              </w:rPr>
              <w:t>an ena</w:t>
            </w:r>
            <w:r w:rsidR="006347A9" w:rsidRPr="00FC6C3C">
              <w:rPr>
                <w:rFonts w:eastAsia="Muli" w:cs="Muli"/>
                <w:color w:val="000000" w:themeColor="text1"/>
                <w:sz w:val="18"/>
                <w:szCs w:val="18"/>
              </w:rPr>
              <w:t>bler and</w:t>
            </w:r>
            <w:r w:rsidRPr="007D1978">
              <w:rPr>
                <w:rFonts w:eastAsia="Muli" w:cs="Muli"/>
                <w:color w:val="000000" w:themeColor="text1"/>
                <w:sz w:val="18"/>
                <w:szCs w:val="18"/>
              </w:rPr>
              <w:t xml:space="preserve"> one of </w:t>
            </w:r>
            <w:r w:rsidR="006347A9" w:rsidRPr="006347A9">
              <w:rPr>
                <w:rFonts w:eastAsia="Muli" w:cs="Muli"/>
                <w:color w:val="000000" w:themeColor="text1"/>
                <w:sz w:val="18"/>
                <w:szCs w:val="18"/>
              </w:rPr>
              <w:t>the key</w:t>
            </w:r>
            <w:r w:rsidRPr="007D1978">
              <w:rPr>
                <w:rFonts w:eastAsia="Muli" w:cs="Muli"/>
                <w:color w:val="000000" w:themeColor="text1"/>
                <w:sz w:val="18"/>
                <w:szCs w:val="18"/>
              </w:rPr>
              <w:t xml:space="preserve"> motivations </w:t>
            </w:r>
            <w:r w:rsidR="006347A9" w:rsidRPr="006347A9">
              <w:rPr>
                <w:rFonts w:eastAsia="Muli" w:cs="Muli"/>
                <w:color w:val="000000" w:themeColor="text1"/>
                <w:sz w:val="18"/>
                <w:szCs w:val="18"/>
              </w:rPr>
              <w:t>f</w:t>
            </w:r>
            <w:r w:rsidR="006347A9" w:rsidRPr="00A561EE">
              <w:rPr>
                <w:rFonts w:eastAsia="Muli" w:cs="Muli"/>
                <w:color w:val="000000" w:themeColor="text1"/>
                <w:sz w:val="18"/>
                <w:szCs w:val="18"/>
              </w:rPr>
              <w:t>or practices</w:t>
            </w:r>
            <w:r w:rsidR="006347A9" w:rsidRPr="006347A9">
              <w:rPr>
                <w:rFonts w:eastAsia="Muli" w:cs="Muli"/>
                <w:color w:val="000000" w:themeColor="text1"/>
                <w:sz w:val="18"/>
                <w:szCs w:val="18"/>
              </w:rPr>
              <w:t xml:space="preserve"> to </w:t>
            </w:r>
            <w:r w:rsidRPr="007D1978">
              <w:rPr>
                <w:rFonts w:eastAsia="Muli" w:cs="Muli"/>
                <w:color w:val="000000" w:themeColor="text1"/>
                <w:sz w:val="18"/>
                <w:szCs w:val="18"/>
              </w:rPr>
              <w:t xml:space="preserve">join the trial. However, more work was potentially needed on culture for practices to truly become </w:t>
            </w:r>
            <w:r w:rsidR="00AB1C1C" w:rsidRPr="007D1978">
              <w:rPr>
                <w:rFonts w:eastAsia="Muli" w:cs="Muli"/>
                <w:color w:val="000000" w:themeColor="text1"/>
                <w:sz w:val="18"/>
                <w:szCs w:val="18"/>
              </w:rPr>
              <w:t>patient centred</w:t>
            </w:r>
            <w:r w:rsidRPr="007D1978">
              <w:rPr>
                <w:rFonts w:eastAsia="Muli" w:cs="Muli"/>
                <w:color w:val="000000" w:themeColor="text1"/>
                <w:sz w:val="18"/>
                <w:szCs w:val="18"/>
              </w:rPr>
              <w:t>.</w:t>
            </w:r>
          </w:p>
          <w:p w14:paraId="7071077F" w14:textId="657FF964" w:rsidR="0016268F" w:rsidRPr="007D1978" w:rsidRDefault="0016268F" w:rsidP="006347A9">
            <w:pPr>
              <w:rPr>
                <w:rFonts w:eastAsia="Muli" w:cs="Muli"/>
                <w:color w:val="000000" w:themeColor="text1"/>
                <w:sz w:val="18"/>
                <w:szCs w:val="18"/>
              </w:rPr>
            </w:pPr>
            <w:r w:rsidRPr="007D1978">
              <w:rPr>
                <w:rFonts w:eastAsia="Muli" w:cs="Muli"/>
                <w:color w:val="000000" w:themeColor="text1"/>
                <w:sz w:val="18"/>
                <w:szCs w:val="18"/>
              </w:rPr>
              <w:t xml:space="preserve">In terms of implementation climate, for practices in the HCH trial, there was not an urgency to implement the initiative, as for most practices, it was not solving a problem but enhancing patient-centred care. Coupled with their busy workloads, this meant that it wasn’t the highest priority for practices to implement. Other challenges in the implementation climate were the introduction of new workflows and systems, doctors’ </w:t>
            </w:r>
            <w:r w:rsidR="005D1751">
              <w:rPr>
                <w:rFonts w:eastAsia="Muli" w:cs="Muli"/>
                <w:color w:val="000000" w:themeColor="text1"/>
                <w:sz w:val="18"/>
                <w:szCs w:val="18"/>
              </w:rPr>
              <w:t xml:space="preserve">not </w:t>
            </w:r>
            <w:r w:rsidRPr="007D1978">
              <w:rPr>
                <w:rFonts w:eastAsia="Muli" w:cs="Muli"/>
                <w:color w:val="000000" w:themeColor="text1"/>
                <w:sz w:val="18"/>
                <w:szCs w:val="18"/>
              </w:rPr>
              <w:t xml:space="preserve">willing to delegate responsibilities to other members of the team, high additional workload for some staff (particularly nurses), and </w:t>
            </w:r>
            <w:r w:rsidR="00235FF4">
              <w:rPr>
                <w:rFonts w:eastAsia="Muli" w:cs="Muli"/>
                <w:color w:val="000000" w:themeColor="text1"/>
                <w:sz w:val="18"/>
                <w:szCs w:val="18"/>
              </w:rPr>
              <w:t xml:space="preserve">lack of </w:t>
            </w:r>
            <w:r w:rsidRPr="007D1978">
              <w:rPr>
                <w:rFonts w:eastAsia="Muli" w:cs="Muli"/>
                <w:color w:val="000000" w:themeColor="text1"/>
                <w:sz w:val="18"/>
                <w:szCs w:val="18"/>
              </w:rPr>
              <w:t xml:space="preserve">time to reflect and evaluate. </w:t>
            </w:r>
            <w:r w:rsidR="006C0284" w:rsidRPr="006C0284">
              <w:rPr>
                <w:rFonts w:eastAsia="Muli" w:cs="Muli"/>
                <w:color w:val="000000" w:themeColor="text1"/>
                <w:sz w:val="18"/>
                <w:szCs w:val="18"/>
              </w:rPr>
              <w:t xml:space="preserve">Factors that helped implementation </w:t>
            </w:r>
            <w:r w:rsidR="0017796E">
              <w:rPr>
                <w:rFonts w:eastAsia="Muli" w:cs="Muli"/>
                <w:color w:val="000000" w:themeColor="text1"/>
                <w:sz w:val="18"/>
                <w:szCs w:val="18"/>
              </w:rPr>
              <w:t>were</w:t>
            </w:r>
            <w:r w:rsidR="006C0284" w:rsidRPr="006C0284">
              <w:rPr>
                <w:rFonts w:eastAsia="Muli" w:cs="Muli"/>
                <w:color w:val="000000" w:themeColor="text1"/>
                <w:sz w:val="18"/>
                <w:szCs w:val="18"/>
              </w:rPr>
              <w:t xml:space="preserve"> more explicit rewards for additional workload, including non-financial rewards such as empowerment and increased stature and respect. In the practice survey staff reported that the most rewarding aspect of the model was working towards improved health outcomes for patients, along with the ability to build rapport and establish stronger relationships with patients</w:t>
            </w:r>
            <w:r w:rsidR="00B33E16" w:rsidRPr="00B33E16">
              <w:rPr>
                <w:rFonts w:eastAsia="Muli" w:cs="Muli"/>
                <w:color w:val="000000" w:themeColor="text1"/>
                <w:sz w:val="18"/>
                <w:szCs w:val="18"/>
              </w:rPr>
              <w:t>.</w:t>
            </w:r>
          </w:p>
          <w:p w14:paraId="3B39992F" w14:textId="6433BFC9" w:rsidR="0016268F" w:rsidRPr="007D1978" w:rsidRDefault="0016268F" w:rsidP="006347A9">
            <w:pPr>
              <w:rPr>
                <w:rFonts w:eastAsia="Muli" w:cs="Muli"/>
                <w:color w:val="000000" w:themeColor="text1"/>
                <w:sz w:val="18"/>
                <w:szCs w:val="18"/>
              </w:rPr>
            </w:pPr>
            <w:r w:rsidRPr="007D1978">
              <w:rPr>
                <w:rFonts w:eastAsia="Muli" w:cs="Muli"/>
                <w:color w:val="000000" w:themeColor="text1"/>
                <w:sz w:val="18"/>
                <w:szCs w:val="18"/>
              </w:rPr>
              <w:t xml:space="preserve">The extent to which practices set goals and measured their progress on these was unclear, but many practices reported prioritising enhanced data collection and data quality since becoming </w:t>
            </w:r>
            <w:r w:rsidR="00DB1BD7">
              <w:rPr>
                <w:rFonts w:eastAsia="Muli" w:cs="Muli"/>
                <w:color w:val="000000" w:themeColor="text1"/>
                <w:sz w:val="18"/>
                <w:szCs w:val="18"/>
              </w:rPr>
              <w:t>a HCH</w:t>
            </w:r>
            <w:r w:rsidRPr="007D1978">
              <w:rPr>
                <w:rFonts w:eastAsia="Muli" w:cs="Muli"/>
                <w:color w:val="000000" w:themeColor="text1"/>
                <w:sz w:val="18"/>
                <w:szCs w:val="18"/>
              </w:rPr>
              <w:t xml:space="preserve">. The benchmark reports provided to practices as part of the trial were helpful but could have been </w:t>
            </w:r>
            <w:r w:rsidR="00731906" w:rsidRPr="007D1978">
              <w:rPr>
                <w:rFonts w:eastAsia="Muli" w:cs="Muli"/>
                <w:color w:val="000000" w:themeColor="text1"/>
                <w:sz w:val="18"/>
                <w:szCs w:val="18"/>
              </w:rPr>
              <w:t>timelier</w:t>
            </w:r>
            <w:r w:rsidR="0084335D">
              <w:rPr>
                <w:rFonts w:eastAsia="Muli" w:cs="Muli"/>
                <w:color w:val="000000" w:themeColor="text1"/>
                <w:sz w:val="18"/>
                <w:szCs w:val="18"/>
              </w:rPr>
              <w:t>, and</w:t>
            </w:r>
            <w:r w:rsidR="0084335D" w:rsidRPr="0084335D">
              <w:rPr>
                <w:rFonts w:eastAsia="Muli" w:cs="Muli"/>
                <w:color w:val="000000" w:themeColor="text1"/>
                <w:sz w:val="18"/>
                <w:szCs w:val="18"/>
              </w:rPr>
              <w:t xml:space="preserve"> creating opportunities</w:t>
            </w:r>
            <w:r w:rsidRPr="007D1978">
              <w:rPr>
                <w:rFonts w:eastAsia="Muli" w:cs="Muli"/>
                <w:color w:val="000000" w:themeColor="text1"/>
                <w:sz w:val="18"/>
                <w:szCs w:val="18"/>
              </w:rPr>
              <w:t xml:space="preserve"> for practice staff to have input to </w:t>
            </w:r>
            <w:r w:rsidR="0084335D" w:rsidRPr="0084335D">
              <w:rPr>
                <w:rFonts w:eastAsia="Muli" w:cs="Muli"/>
                <w:color w:val="000000" w:themeColor="text1"/>
                <w:sz w:val="18"/>
                <w:szCs w:val="18"/>
              </w:rPr>
              <w:t>their</w:t>
            </w:r>
            <w:r w:rsidRPr="007D1978">
              <w:rPr>
                <w:rFonts w:eastAsia="Muli" w:cs="Muli"/>
                <w:color w:val="000000" w:themeColor="text1"/>
                <w:sz w:val="18"/>
                <w:szCs w:val="18"/>
              </w:rPr>
              <w:t xml:space="preserve"> content</w:t>
            </w:r>
            <w:r w:rsidR="0084335D" w:rsidRPr="0084335D">
              <w:rPr>
                <w:rFonts w:eastAsia="Muli" w:cs="Muli"/>
                <w:color w:val="000000" w:themeColor="text1"/>
                <w:sz w:val="18"/>
                <w:szCs w:val="18"/>
              </w:rPr>
              <w:t xml:space="preserve"> would have </w:t>
            </w:r>
            <w:r w:rsidR="00314621">
              <w:rPr>
                <w:rFonts w:eastAsia="Muli" w:cs="Muli"/>
                <w:color w:val="000000" w:themeColor="text1"/>
                <w:sz w:val="18"/>
                <w:szCs w:val="18"/>
              </w:rPr>
              <w:t>made them more useful</w:t>
            </w:r>
            <w:r w:rsidRPr="007D1978">
              <w:rPr>
                <w:rFonts w:eastAsia="Muli" w:cs="Muli"/>
                <w:color w:val="000000" w:themeColor="text1"/>
                <w:sz w:val="18"/>
                <w:szCs w:val="18"/>
              </w:rPr>
              <w:t>. Also, different types of reports might be helpful at different stages of implementation.</w:t>
            </w:r>
          </w:p>
          <w:p w14:paraId="52EA2023" w14:textId="7A76ADF4" w:rsidR="006347A9" w:rsidRPr="006347A9" w:rsidRDefault="00A602DD" w:rsidP="006347A9">
            <w:pPr>
              <w:rPr>
                <w:rFonts w:eastAsia="Muli" w:cs="Muli"/>
                <w:color w:val="000000" w:themeColor="text1"/>
                <w:sz w:val="18"/>
                <w:szCs w:val="18"/>
              </w:rPr>
            </w:pPr>
            <w:r w:rsidRPr="00A602DD">
              <w:rPr>
                <w:rFonts w:eastAsia="Muli" w:cs="Muli"/>
                <w:color w:val="000000" w:themeColor="text1"/>
                <w:sz w:val="18"/>
                <w:szCs w:val="18"/>
              </w:rPr>
              <w:t xml:space="preserve">Leadership is a key enabler for implementation and was present in most practices to </w:t>
            </w:r>
            <w:r w:rsidR="00CA5428">
              <w:rPr>
                <w:rFonts w:eastAsia="Muli" w:cs="Muli"/>
                <w:color w:val="000000" w:themeColor="text1"/>
                <w:sz w:val="18"/>
                <w:szCs w:val="18"/>
              </w:rPr>
              <w:t>introduce</w:t>
            </w:r>
            <w:r w:rsidRPr="00A602DD">
              <w:rPr>
                <w:rFonts w:eastAsia="Muli" w:cs="Muli"/>
                <w:color w:val="000000" w:themeColor="text1"/>
                <w:sz w:val="18"/>
                <w:szCs w:val="18"/>
              </w:rPr>
              <w:t xml:space="preserve"> the initiative into the practice. However, leadership was unstable when it came from </w:t>
            </w:r>
            <w:r w:rsidR="000277D5">
              <w:rPr>
                <w:rFonts w:eastAsia="Muli" w:cs="Muli"/>
                <w:color w:val="000000" w:themeColor="text1"/>
                <w:sz w:val="18"/>
                <w:szCs w:val="18"/>
              </w:rPr>
              <w:t>one or two people</w:t>
            </w:r>
            <w:r w:rsidRPr="00A602DD">
              <w:rPr>
                <w:rFonts w:eastAsia="Muli" w:cs="Muli"/>
                <w:color w:val="000000" w:themeColor="text1"/>
                <w:sz w:val="18"/>
                <w:szCs w:val="18"/>
              </w:rPr>
              <w:t xml:space="preserve"> rather than a team, and practices may have benefitted from different types of leadership at different stages of implementation</w:t>
            </w:r>
            <w:r w:rsidR="006347A9" w:rsidRPr="006347A9">
              <w:rPr>
                <w:rFonts w:eastAsia="Muli" w:cs="Muli"/>
                <w:color w:val="000000" w:themeColor="text1"/>
                <w:sz w:val="18"/>
                <w:szCs w:val="18"/>
              </w:rPr>
              <w:t xml:space="preserve">. Resourcing was an issue for practices generally, but they were particularly cautious about investing in the model due to uncertainty about its future in Australian general practice. Practices had access to information and knowledge about HCH through the online training modules and PHN practice facilitators. The training modules were not </w:t>
            </w:r>
            <w:r w:rsidR="005737C3">
              <w:rPr>
                <w:rFonts w:eastAsia="Muli" w:cs="Muli"/>
                <w:color w:val="000000" w:themeColor="text1"/>
                <w:sz w:val="18"/>
                <w:szCs w:val="18"/>
              </w:rPr>
              <w:t>widely</w:t>
            </w:r>
            <w:r w:rsidR="006347A9" w:rsidRPr="006347A9">
              <w:rPr>
                <w:rFonts w:eastAsia="Muli" w:cs="Muli"/>
                <w:color w:val="000000" w:themeColor="text1"/>
                <w:sz w:val="18"/>
                <w:szCs w:val="18"/>
              </w:rPr>
              <w:t xml:space="preserve"> used, and future </w:t>
            </w:r>
            <w:r w:rsidR="006347A9" w:rsidRPr="006347A9">
              <w:rPr>
                <w:rFonts w:eastAsia="Muli" w:cs="Muli"/>
                <w:color w:val="000000" w:themeColor="text1"/>
                <w:sz w:val="18"/>
                <w:szCs w:val="18"/>
              </w:rPr>
              <w:lastRenderedPageBreak/>
              <w:t>initiatives may consider enhancements such as shortening them and making them more practical, as well as offering other modes of training.</w:t>
            </w:r>
          </w:p>
          <w:p w14:paraId="7ADFCDD5" w14:textId="61545898" w:rsidR="006347A9" w:rsidRPr="006347A9" w:rsidRDefault="006347A9" w:rsidP="006347A9">
            <w:pPr>
              <w:rPr>
                <w:rFonts w:eastAsia="Muli" w:cs="Muli"/>
                <w:color w:val="000000" w:themeColor="text1"/>
                <w:sz w:val="18"/>
                <w:szCs w:val="18"/>
              </w:rPr>
            </w:pPr>
            <w:r w:rsidRPr="006347A9">
              <w:rPr>
                <w:rFonts w:eastAsia="Muli" w:cs="Muli"/>
                <w:i/>
                <w:iCs/>
                <w:color w:val="000000" w:themeColor="text1"/>
                <w:sz w:val="18"/>
                <w:szCs w:val="18"/>
              </w:rPr>
              <w:t>Individuals</w:t>
            </w:r>
            <w:r w:rsidRPr="006347A9">
              <w:rPr>
                <w:rFonts w:eastAsia="Muli" w:cs="Muli"/>
                <w:color w:val="000000" w:themeColor="text1"/>
                <w:sz w:val="18"/>
                <w:szCs w:val="18"/>
              </w:rPr>
              <w:t xml:space="preserve"> within practices involved in the HCH implementation were GPs, nurses, other clinical staff, practice managers and administrative staff. GPs’ attitudes towards the HCH concept, particularly the bundled payment, were a key implementation barrier. Addressing factors related to the intervention and reworking the bundled payment to reduce risks for general practices, are key to addressing GPs’ attitudes. Training was identified as a means of increasing staff skills and confidence in new ways of working.</w:t>
            </w:r>
          </w:p>
          <w:p w14:paraId="76E84C87" w14:textId="77777777" w:rsidR="006347A9" w:rsidRPr="006347A9" w:rsidRDefault="006347A9" w:rsidP="006347A9">
            <w:pPr>
              <w:rPr>
                <w:rFonts w:eastAsia="Muli" w:cs="Muli"/>
                <w:color w:val="000000" w:themeColor="text1"/>
                <w:sz w:val="18"/>
                <w:szCs w:val="18"/>
              </w:rPr>
            </w:pPr>
            <w:r w:rsidRPr="006347A9">
              <w:rPr>
                <w:rFonts w:eastAsia="Muli" w:cs="Muli"/>
                <w:color w:val="000000" w:themeColor="text1"/>
                <w:sz w:val="18"/>
                <w:szCs w:val="18"/>
              </w:rPr>
              <w:t>A longer lead time f</w:t>
            </w:r>
            <w:r w:rsidRPr="00F22B6A">
              <w:rPr>
                <w:rFonts w:eastAsia="Muli" w:cs="Muli"/>
                <w:color w:val="000000" w:themeColor="text1"/>
                <w:sz w:val="18"/>
                <w:szCs w:val="18"/>
              </w:rPr>
              <w:t>or practices</w:t>
            </w:r>
            <w:r w:rsidRPr="006347A9">
              <w:rPr>
                <w:rFonts w:eastAsia="Muli" w:cs="Muli"/>
                <w:color w:val="000000" w:themeColor="text1"/>
                <w:sz w:val="18"/>
                <w:szCs w:val="18"/>
              </w:rPr>
              <w:t xml:space="preserve"> to define and implement their model of care before enrolling patients </w:t>
            </w:r>
            <w:r w:rsidRPr="00F22B6A">
              <w:rPr>
                <w:rFonts w:eastAsia="Muli" w:cs="Muli"/>
                <w:color w:val="000000" w:themeColor="text1"/>
                <w:sz w:val="18"/>
                <w:szCs w:val="18"/>
              </w:rPr>
              <w:t xml:space="preserve">would have helped </w:t>
            </w:r>
            <w:r w:rsidRPr="006347A9">
              <w:rPr>
                <w:rFonts w:eastAsia="Muli" w:cs="Muli"/>
                <w:color w:val="000000" w:themeColor="text1"/>
                <w:sz w:val="18"/>
                <w:szCs w:val="18"/>
              </w:rPr>
              <w:t xml:space="preserve">the </w:t>
            </w:r>
            <w:r w:rsidRPr="00F22B6A">
              <w:rPr>
                <w:rFonts w:eastAsia="Muli" w:cs="Muli"/>
                <w:i/>
                <w:iCs/>
                <w:color w:val="000000" w:themeColor="text1"/>
                <w:sz w:val="18"/>
                <w:szCs w:val="18"/>
              </w:rPr>
              <w:t>process of implementation</w:t>
            </w:r>
            <w:r w:rsidRPr="006347A9">
              <w:rPr>
                <w:rFonts w:eastAsia="Muli" w:cs="Muli"/>
                <w:color w:val="000000" w:themeColor="text1"/>
                <w:sz w:val="18"/>
                <w:szCs w:val="18"/>
              </w:rPr>
              <w:t>.</w:t>
            </w:r>
          </w:p>
          <w:p w14:paraId="2ABB7B12" w14:textId="01024198" w:rsidR="006F785A" w:rsidRDefault="006F785A" w:rsidP="006F785A">
            <w:pPr>
              <w:rPr>
                <w:rFonts w:eastAsia="Muli" w:cs="Muli"/>
                <w:color w:val="000000" w:themeColor="text1"/>
                <w:sz w:val="18"/>
                <w:szCs w:val="18"/>
              </w:rPr>
            </w:pPr>
            <w:r w:rsidRPr="00EF0E6B">
              <w:rPr>
                <w:rFonts w:eastAsia="Muli" w:cs="Muli"/>
                <w:color w:val="000000" w:themeColor="text1"/>
                <w:sz w:val="18"/>
                <w:szCs w:val="18"/>
              </w:rPr>
              <w:t>External change agents were enabler</w:t>
            </w:r>
            <w:r>
              <w:rPr>
                <w:rFonts w:eastAsia="Muli" w:cs="Muli"/>
                <w:color w:val="000000" w:themeColor="text1"/>
                <w:sz w:val="18"/>
                <w:szCs w:val="18"/>
              </w:rPr>
              <w:t>s</w:t>
            </w:r>
            <w:r w:rsidRPr="00EF0E6B">
              <w:rPr>
                <w:rFonts w:eastAsia="Muli" w:cs="Muli"/>
                <w:color w:val="000000" w:themeColor="text1"/>
                <w:sz w:val="18"/>
                <w:szCs w:val="18"/>
              </w:rPr>
              <w:t xml:space="preserve"> for practices</w:t>
            </w:r>
            <w:r>
              <w:rPr>
                <w:rFonts w:eastAsia="Muli" w:cs="Muli"/>
                <w:color w:val="000000" w:themeColor="text1"/>
                <w:sz w:val="18"/>
                <w:szCs w:val="18"/>
              </w:rPr>
              <w:t>.</w:t>
            </w:r>
            <w:r w:rsidRPr="00EF0E6B">
              <w:rPr>
                <w:rFonts w:eastAsia="Muli" w:cs="Muli"/>
                <w:color w:val="000000" w:themeColor="text1"/>
                <w:sz w:val="18"/>
                <w:szCs w:val="18"/>
              </w:rPr>
              <w:t xml:space="preserve"> </w:t>
            </w:r>
            <w:r>
              <w:rPr>
                <w:rFonts w:eastAsia="Muli" w:cs="Muli"/>
                <w:color w:val="000000" w:themeColor="text1"/>
                <w:sz w:val="18"/>
                <w:szCs w:val="18"/>
              </w:rPr>
              <w:t>They included external f</w:t>
            </w:r>
            <w:r w:rsidRPr="006347A9">
              <w:rPr>
                <w:rFonts w:eastAsia="Muli" w:cs="Muli"/>
                <w:color w:val="000000" w:themeColor="text1"/>
                <w:sz w:val="18"/>
                <w:szCs w:val="18"/>
              </w:rPr>
              <w:t>acilitation</w:t>
            </w:r>
            <w:r>
              <w:rPr>
                <w:rFonts w:eastAsia="Muli" w:cs="Muli"/>
                <w:color w:val="000000" w:themeColor="text1"/>
                <w:sz w:val="18"/>
                <w:szCs w:val="18"/>
              </w:rPr>
              <w:t xml:space="preserve"> by the PHNs</w:t>
            </w:r>
            <w:r w:rsidR="000061A6">
              <w:rPr>
                <w:rFonts w:eastAsia="Muli" w:cs="Muli"/>
                <w:color w:val="000000" w:themeColor="text1"/>
                <w:sz w:val="18"/>
                <w:szCs w:val="18"/>
              </w:rPr>
              <w:t xml:space="preserve"> (</w:t>
            </w:r>
            <w:r>
              <w:rPr>
                <w:rFonts w:eastAsia="Muli" w:cs="Muli"/>
                <w:color w:val="000000" w:themeColor="text1"/>
                <w:sz w:val="18"/>
                <w:szCs w:val="18"/>
              </w:rPr>
              <w:t>which</w:t>
            </w:r>
            <w:r w:rsidRPr="006347A9">
              <w:rPr>
                <w:rFonts w:eastAsia="Muli" w:cs="Muli"/>
                <w:color w:val="000000" w:themeColor="text1"/>
                <w:sz w:val="18"/>
                <w:szCs w:val="18"/>
              </w:rPr>
              <w:t xml:space="preserve"> was generally well received by practices</w:t>
            </w:r>
            <w:r w:rsidR="000061A6">
              <w:rPr>
                <w:rFonts w:eastAsia="Muli" w:cs="Muli"/>
                <w:color w:val="000000" w:themeColor="text1"/>
                <w:sz w:val="18"/>
                <w:szCs w:val="18"/>
              </w:rPr>
              <w:t>)</w:t>
            </w:r>
            <w:r w:rsidRPr="006347A9">
              <w:rPr>
                <w:rFonts w:eastAsia="Muli" w:cs="Muli"/>
                <w:color w:val="000000" w:themeColor="text1"/>
                <w:sz w:val="18"/>
                <w:szCs w:val="18"/>
              </w:rPr>
              <w:t xml:space="preserve"> </w:t>
            </w:r>
            <w:r w:rsidR="0016268F" w:rsidRPr="00EF0E6B">
              <w:rPr>
                <w:rFonts w:eastAsia="Muli" w:cs="Muli"/>
                <w:color w:val="000000" w:themeColor="text1"/>
                <w:sz w:val="18"/>
                <w:szCs w:val="18"/>
              </w:rPr>
              <w:t xml:space="preserve">and </w:t>
            </w:r>
            <w:r w:rsidR="0016268F">
              <w:rPr>
                <w:rFonts w:eastAsia="Muli" w:cs="Muli"/>
                <w:color w:val="000000" w:themeColor="text1"/>
                <w:sz w:val="18"/>
                <w:szCs w:val="18"/>
              </w:rPr>
              <w:t xml:space="preserve">the network of </w:t>
            </w:r>
            <w:r w:rsidR="0016268F" w:rsidRPr="00EF0E6B">
              <w:rPr>
                <w:rFonts w:eastAsia="Muli" w:cs="Muli"/>
                <w:color w:val="000000" w:themeColor="text1"/>
                <w:sz w:val="18"/>
                <w:szCs w:val="18"/>
              </w:rPr>
              <w:t>clinical champions</w:t>
            </w:r>
            <w:r w:rsidR="0016268F">
              <w:rPr>
                <w:rFonts w:eastAsia="Muli" w:cs="Muli"/>
                <w:color w:val="000000" w:themeColor="text1"/>
                <w:sz w:val="18"/>
                <w:szCs w:val="18"/>
              </w:rPr>
              <w:t xml:space="preserve"> established by the Department of Health</w:t>
            </w:r>
            <w:r w:rsidR="0016268F" w:rsidRPr="00EF0E6B">
              <w:rPr>
                <w:rFonts w:eastAsia="Muli" w:cs="Muli"/>
                <w:color w:val="000000" w:themeColor="text1"/>
                <w:sz w:val="18"/>
                <w:szCs w:val="18"/>
              </w:rPr>
              <w:t xml:space="preserve">. </w:t>
            </w:r>
            <w:r>
              <w:rPr>
                <w:rFonts w:eastAsia="Muli" w:cs="Muli"/>
                <w:color w:val="000000" w:themeColor="text1"/>
                <w:sz w:val="18"/>
                <w:szCs w:val="18"/>
              </w:rPr>
              <w:t>Both would be</w:t>
            </w:r>
            <w:r w:rsidRPr="006347A9">
              <w:rPr>
                <w:rFonts w:eastAsia="Muli" w:cs="Muli"/>
                <w:color w:val="000000" w:themeColor="text1"/>
                <w:sz w:val="18"/>
                <w:szCs w:val="18"/>
              </w:rPr>
              <w:t xml:space="preserve"> important for future initiatives</w:t>
            </w:r>
            <w:r>
              <w:rPr>
                <w:rFonts w:eastAsia="Muli" w:cs="Muli"/>
                <w:color w:val="000000" w:themeColor="text1"/>
                <w:sz w:val="18"/>
                <w:szCs w:val="18"/>
              </w:rPr>
              <w:t xml:space="preserve">. </w:t>
            </w:r>
          </w:p>
          <w:p w14:paraId="4BC87AC5" w14:textId="3036E66D" w:rsidR="0016268F" w:rsidRPr="007773D6" w:rsidRDefault="0016268F" w:rsidP="00CB5DB9">
            <w:pPr>
              <w:spacing w:after="120"/>
              <w:rPr>
                <w:rFonts w:eastAsia="Muli" w:cs="Muli"/>
                <w:color w:val="000000" w:themeColor="text1"/>
                <w:sz w:val="18"/>
                <w:szCs w:val="18"/>
              </w:rPr>
            </w:pPr>
            <w:r w:rsidRPr="00EF0E6B">
              <w:rPr>
                <w:rFonts w:eastAsia="Muli" w:cs="Muli"/>
                <w:color w:val="000000" w:themeColor="text1"/>
                <w:sz w:val="18"/>
                <w:szCs w:val="18"/>
              </w:rPr>
              <w:t>Lack of time limited practices</w:t>
            </w:r>
            <w:r w:rsidRPr="006347A9">
              <w:rPr>
                <w:rFonts w:ascii="Times New Roman" w:eastAsia="Muli" w:hAnsi="Times New Roman" w:cs="Times New Roman"/>
                <w:color w:val="000000" w:themeColor="text1"/>
                <w:sz w:val="18"/>
                <w:szCs w:val="18"/>
              </w:rPr>
              <w:t>’</w:t>
            </w:r>
            <w:r w:rsidRPr="00EF0E6B">
              <w:rPr>
                <w:rFonts w:eastAsia="Muli" w:cs="Muli"/>
                <w:color w:val="000000" w:themeColor="text1"/>
                <w:sz w:val="18"/>
                <w:szCs w:val="18"/>
              </w:rPr>
              <w:t xml:space="preserve"> ability to reflect on and evaluate their implementation of HCH. </w:t>
            </w:r>
            <w:r w:rsidR="006347A9" w:rsidRPr="006347A9">
              <w:rPr>
                <w:rFonts w:eastAsia="Muli" w:cs="Muli"/>
                <w:color w:val="000000" w:themeColor="text1"/>
                <w:sz w:val="18"/>
                <w:szCs w:val="18"/>
              </w:rPr>
              <w:t>Separating implementation of the model and enrolment of patients would have created more space for practices for evaluation and reflection</w:t>
            </w:r>
            <w:r w:rsidRPr="006347A9">
              <w:rPr>
                <w:rFonts w:eastAsia="Muli" w:cs="Muli"/>
                <w:color w:val="000000" w:themeColor="text1"/>
                <w:sz w:val="18"/>
                <w:szCs w:val="18"/>
              </w:rPr>
              <w:t>.</w:t>
            </w:r>
          </w:p>
        </w:tc>
      </w:tr>
    </w:tbl>
    <w:p w14:paraId="4B0C405A" w14:textId="77777777" w:rsidR="0016268F" w:rsidRDefault="0016268F" w:rsidP="0016268F">
      <w:pPr>
        <w:spacing w:after="0"/>
        <w:rPr>
          <w:rFonts w:eastAsia="Muli" w:cs="Muli"/>
          <w:color w:val="000000" w:themeColor="text1"/>
          <w:szCs w:val="20"/>
        </w:rPr>
      </w:pPr>
    </w:p>
    <w:p w14:paraId="655EE496" w14:textId="736BA651" w:rsidR="00B74C72" w:rsidRDefault="00953811" w:rsidP="0046569E">
      <w:r>
        <w:t>P</w:t>
      </w:r>
      <w:r w:rsidR="007100B3" w:rsidRPr="00D41552">
        <w:t>atchy</w:t>
      </w:r>
      <w:r w:rsidR="0053130E" w:rsidRPr="00D41552">
        <w:t xml:space="preserve"> implementation </w:t>
      </w:r>
      <w:r w:rsidRPr="00953811">
        <w:t>limit</w:t>
      </w:r>
      <w:r>
        <w:t>ed</w:t>
      </w:r>
      <w:r w:rsidRPr="00953811">
        <w:t xml:space="preserve"> the success of </w:t>
      </w:r>
      <w:r>
        <w:t xml:space="preserve">the </w:t>
      </w:r>
      <w:r w:rsidRPr="00953811">
        <w:t>HCH</w:t>
      </w:r>
      <w:r>
        <w:t xml:space="preserve"> program</w:t>
      </w:r>
      <w:r w:rsidR="00BA52B5" w:rsidRPr="00D41552">
        <w:t xml:space="preserve">. </w:t>
      </w:r>
      <w:r w:rsidR="00D42012" w:rsidRPr="00D41552">
        <w:t>That is, more than half of the practices (53%) withdrew from the trial</w:t>
      </w:r>
      <w:r w:rsidR="006C545E">
        <w:t xml:space="preserve">. Also, </w:t>
      </w:r>
      <w:r w:rsidR="000535DE">
        <w:t>about</w:t>
      </w:r>
      <w:r w:rsidR="00DA6C77" w:rsidRPr="00DA6C77">
        <w:t xml:space="preserve"> half of the GPs from each practice participated</w:t>
      </w:r>
      <w:r w:rsidR="00D42012" w:rsidRPr="00D41552">
        <w:t xml:space="preserve"> and close to half of the practices remaining in the trial until the end had less than 50 patients enrolled, limiting their ability to making any significant changes to practice.</w:t>
      </w:r>
      <w:r w:rsidR="003E4B47" w:rsidRPr="00D41552">
        <w:t xml:space="preserve"> </w:t>
      </w:r>
      <w:r w:rsidR="00770EED" w:rsidRPr="00D41552">
        <w:t>Given</w:t>
      </w:r>
      <w:r w:rsidR="003E4B47" w:rsidRPr="00D41552">
        <w:t xml:space="preserve"> this, a detailed analysis </w:t>
      </w:r>
      <w:r w:rsidR="00B251AD" w:rsidRPr="00D41552">
        <w:t>of</w:t>
      </w:r>
      <w:r w:rsidR="003E4B47" w:rsidRPr="00D41552">
        <w:t xml:space="preserve"> implementation </w:t>
      </w:r>
      <w:r w:rsidR="005E36A8" w:rsidRPr="00D41552">
        <w:t>is warranted.</w:t>
      </w:r>
    </w:p>
    <w:p w14:paraId="7F179627" w14:textId="5BD590D5" w:rsidR="009203AA" w:rsidRDefault="00DE168D" w:rsidP="00DE168D">
      <w:r>
        <w:t xml:space="preserve">The </w:t>
      </w:r>
      <w:r w:rsidRPr="00C44DAA">
        <w:rPr>
          <w:i/>
          <w:iCs/>
        </w:rPr>
        <w:t>Consolidated framework for implementation research</w:t>
      </w:r>
      <w:r>
        <w:t xml:space="preserve"> (CFIR)</w:t>
      </w:r>
      <w:r w:rsidRPr="006347A9">
        <w:rPr>
          <w:rStyle w:val="FootnoteReference"/>
          <w:color w:val="408BCA"/>
        </w:rPr>
        <w:footnoteReference w:id="115"/>
      </w:r>
      <w:r>
        <w:t xml:space="preserve"> </w:t>
      </w:r>
      <w:r w:rsidR="0034095C">
        <w:t>(</w:t>
      </w:r>
      <w:r w:rsidR="0034095C" w:rsidRPr="00696F0E">
        <w:rPr>
          <w:rFonts w:eastAsia="Calibri" w:cs="Times New Roman"/>
          <w:color w:val="1D2455"/>
          <w:szCs w:val="16"/>
        </w:rPr>
        <w:fldChar w:fldCharType="begin"/>
      </w:r>
      <w:r w:rsidR="0034095C" w:rsidRPr="00696F0E">
        <w:rPr>
          <w:rFonts w:eastAsia="Calibri" w:cs="Times New Roman"/>
          <w:color w:val="1D2455"/>
          <w:szCs w:val="16"/>
        </w:rPr>
        <w:instrText xml:space="preserve"> REF _Ref97829943 \h  \* MERGEFORMAT </w:instrText>
      </w:r>
      <w:r w:rsidR="0034095C" w:rsidRPr="00696F0E">
        <w:rPr>
          <w:rFonts w:eastAsia="Calibri" w:cs="Times New Roman"/>
          <w:color w:val="1D2455"/>
          <w:szCs w:val="16"/>
        </w:rPr>
      </w:r>
      <w:r w:rsidR="0034095C" w:rsidRPr="00696F0E">
        <w:rPr>
          <w:rFonts w:eastAsia="Calibri" w:cs="Times New Roman"/>
          <w:color w:val="1D2455"/>
          <w:szCs w:val="16"/>
        </w:rPr>
        <w:fldChar w:fldCharType="separate"/>
      </w:r>
      <w:r w:rsidR="003C4BC2" w:rsidRPr="003C4BC2">
        <w:rPr>
          <w:rFonts w:eastAsia="Calibri" w:cs="Times New Roman"/>
          <w:color w:val="1D2455"/>
          <w:szCs w:val="16"/>
        </w:rPr>
        <w:t>Figure 85</w:t>
      </w:r>
      <w:r w:rsidR="0034095C" w:rsidRPr="00696F0E">
        <w:rPr>
          <w:rFonts w:eastAsia="Calibri" w:cs="Times New Roman"/>
          <w:color w:val="1D2455"/>
          <w:szCs w:val="16"/>
        </w:rPr>
        <w:fldChar w:fldCharType="end"/>
      </w:r>
      <w:r w:rsidR="0034095C">
        <w:t xml:space="preserve">) </w:t>
      </w:r>
      <w:r>
        <w:t xml:space="preserve">offers a framework for analysing </w:t>
      </w:r>
      <w:r w:rsidR="00D96B56">
        <w:t>factors that helped and hindered implementation</w:t>
      </w:r>
      <w:r>
        <w:t xml:space="preserve">. The CFIR has </w:t>
      </w:r>
      <w:r w:rsidR="00770EED">
        <w:t>five</w:t>
      </w:r>
      <w:r>
        <w:t xml:space="preserve"> domains: the characteristics of the intervention (the HCH concept), the outer setting, the inner setting, characteristics of individuals adopting the intervention and the process of implementation.</w:t>
      </w:r>
    </w:p>
    <w:p w14:paraId="2C0F55A0" w14:textId="77777777" w:rsidR="009203AA" w:rsidRDefault="009203AA">
      <w:pPr>
        <w:spacing w:after="160" w:line="259" w:lineRule="auto"/>
      </w:pPr>
      <w:r>
        <w:br w:type="page"/>
      </w:r>
    </w:p>
    <w:p w14:paraId="0F22113E" w14:textId="4C43F6F2" w:rsidR="000A3081" w:rsidRDefault="0034095C" w:rsidP="0034095C">
      <w:pPr>
        <w:pStyle w:val="tabletitle"/>
        <w:rPr>
          <w:noProof/>
        </w:rPr>
      </w:pPr>
      <w:bookmarkStart w:id="507" w:name="_Ref97829943"/>
      <w:r w:rsidRPr="0002357B">
        <w:lastRenderedPageBreak/>
        <w:t xml:space="preserve">Figure </w:t>
      </w:r>
      <w:r w:rsidR="00A61B29">
        <w:fldChar w:fldCharType="begin"/>
      </w:r>
      <w:r w:rsidR="00A61B29">
        <w:instrText xml:space="preserve"> SEQ Figure \* ARABIC </w:instrText>
      </w:r>
      <w:r w:rsidR="00A61B29">
        <w:fldChar w:fldCharType="separate"/>
      </w:r>
      <w:r w:rsidR="003C4BC2">
        <w:rPr>
          <w:noProof/>
        </w:rPr>
        <w:t>85</w:t>
      </w:r>
      <w:r w:rsidR="00A61B29">
        <w:rPr>
          <w:noProof/>
        </w:rPr>
        <w:fldChar w:fldCharType="end"/>
      </w:r>
      <w:bookmarkEnd w:id="507"/>
      <w:r>
        <w:rPr>
          <w:i/>
          <w:iCs/>
        </w:rPr>
        <w:t xml:space="preserve">: </w:t>
      </w:r>
      <w:r w:rsidRPr="0034095C">
        <w:t xml:space="preserve">Consolidated framework for implementation research </w:t>
      </w:r>
      <w:r>
        <w:t>(CFIR)</w:t>
      </w:r>
      <w:r w:rsidR="00915532" w:rsidRPr="00CE4204">
        <w:rPr>
          <w:rStyle w:val="FootnoteReference"/>
          <w:color w:val="408BCA"/>
        </w:rPr>
        <w:footnoteReference w:id="116"/>
      </w:r>
    </w:p>
    <w:p w14:paraId="05E497CF" w14:textId="4DAB4C1F" w:rsidR="000A3081" w:rsidRDefault="00F169A6" w:rsidP="00DE168D">
      <w:r w:rsidRPr="00F169A6">
        <w:rPr>
          <w:noProof/>
        </w:rPr>
        <w:drawing>
          <wp:inline distT="0" distB="0" distL="0" distR="0" wp14:anchorId="3BF88105" wp14:editId="71569C7D">
            <wp:extent cx="5731510" cy="3134995"/>
            <wp:effectExtent l="0" t="0" r="0" b="0"/>
            <wp:docPr id="13" name="Picture 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10;&#10;Description automatically generated"/>
                    <pic:cNvPicPr/>
                  </pic:nvPicPr>
                  <pic:blipFill>
                    <a:blip r:embed="rId119"/>
                    <a:stretch>
                      <a:fillRect/>
                    </a:stretch>
                  </pic:blipFill>
                  <pic:spPr>
                    <a:xfrm>
                      <a:off x="0" y="0"/>
                      <a:ext cx="5731510" cy="3134995"/>
                    </a:xfrm>
                    <a:prstGeom prst="rect">
                      <a:avLst/>
                    </a:prstGeom>
                  </pic:spPr>
                </pic:pic>
              </a:graphicData>
            </a:graphic>
          </wp:inline>
        </w:drawing>
      </w:r>
    </w:p>
    <w:p w14:paraId="558DE8E2" w14:textId="77777777" w:rsidR="00DE168D" w:rsidRDefault="00DE168D" w:rsidP="00DE168D">
      <w:pPr>
        <w:pStyle w:val="Heading2"/>
      </w:pPr>
      <w:bookmarkStart w:id="508" w:name="_Toc109996774"/>
      <w:r>
        <w:t>C</w:t>
      </w:r>
      <w:r w:rsidRPr="00705A2E">
        <w:t>haracteristics of the intervention</w:t>
      </w:r>
      <w:bookmarkEnd w:id="508"/>
    </w:p>
    <w:p w14:paraId="402C0EC7" w14:textId="77777777" w:rsidR="00DE168D" w:rsidRDefault="00DE168D" w:rsidP="00DE168D">
      <w:r>
        <w:t>HCH was modelled on the PCMH, and included voluntary enrolment of patients with a GP</w:t>
      </w:r>
      <w:r w:rsidRPr="001D6D7E">
        <w:t xml:space="preserve">, </w:t>
      </w:r>
      <w:r>
        <w:t>tools to identify and stratify patients at high risk of hospitalisation and a requirement to develop care plans for these patients and share them with patients’ external care providers. Practices were expected to i</w:t>
      </w:r>
      <w:r w:rsidRPr="00C95028">
        <w:t xml:space="preserve">nvolve patients, families and their </w:t>
      </w:r>
      <w:proofErr w:type="spellStart"/>
      <w:r w:rsidRPr="00C95028">
        <w:t>carers</w:t>
      </w:r>
      <w:proofErr w:type="spellEnd"/>
      <w:r w:rsidRPr="00C95028">
        <w:t xml:space="preserve"> as partners in their care</w:t>
      </w:r>
      <w:r>
        <w:t>, provide enhanced access to care within hours, provide team-based care and deliver high-quality and safe care.</w:t>
      </w:r>
    </w:p>
    <w:p w14:paraId="753FB89D" w14:textId="26263390" w:rsidR="00DE168D" w:rsidRDefault="00DE168D" w:rsidP="00DE168D">
      <w:r>
        <w:t>HCH was enabled by a bundled payment aligned with</w:t>
      </w:r>
      <w:r w:rsidR="002C712F">
        <w:t xml:space="preserve"> the</w:t>
      </w:r>
      <w:r>
        <w:t xml:space="preserve"> risk tier</w:t>
      </w:r>
      <w:r w:rsidR="007115A7">
        <w:t>s that patients were allocated to</w:t>
      </w:r>
      <w:r>
        <w:t xml:space="preserve">. Patients were categorised into one of </w:t>
      </w:r>
      <w:r w:rsidR="00B24A7F">
        <w:t>three</w:t>
      </w:r>
      <w:r>
        <w:t xml:space="preserve"> tiers based on their chronic conditions, service access profile, risk factors, complications, psycho-social issues and readiness to change.</w:t>
      </w:r>
    </w:p>
    <w:p w14:paraId="289A5473" w14:textId="5EE38F2B" w:rsidR="00DE168D" w:rsidRDefault="00DE168D" w:rsidP="00DE168D">
      <w:r>
        <w:t xml:space="preserve">The CFIR identifies </w:t>
      </w:r>
      <w:r w:rsidR="00DD7EAC">
        <w:t>seven</w:t>
      </w:r>
      <w:r>
        <w:t xml:space="preserve"> attributes of an intervention that influence</w:t>
      </w:r>
      <w:r w:rsidR="002C712F">
        <w:t xml:space="preserve"> its</w:t>
      </w:r>
      <w:r>
        <w:t xml:space="preserve"> implementation: the source of the intervention (internal or external), stakeholders’ perceptions of the strength and quality of the evidence underlying the intervention, the perceived relative advantage of implementing the intervention, its adaptability, trialability, complexity and cost.</w:t>
      </w:r>
    </w:p>
    <w:p w14:paraId="43A68B88" w14:textId="6F20DBE2" w:rsidR="00DE168D" w:rsidRDefault="00DE168D" w:rsidP="00DE168D">
      <w:r>
        <w:t xml:space="preserve">Except for a few practices already participating in PCMH readiness programs and some that </w:t>
      </w:r>
      <w:r w:rsidR="00DD4F42">
        <w:t xml:space="preserve">had </w:t>
      </w:r>
      <w:r>
        <w:t xml:space="preserve">already adopted some of the components of the PCMH (such as team-based care), for </w:t>
      </w:r>
      <w:r w:rsidR="008116BD">
        <w:t>many</w:t>
      </w:r>
      <w:r>
        <w:t xml:space="preserve"> practices, </w:t>
      </w:r>
      <w:r w:rsidR="000D29A1">
        <w:t>the</w:t>
      </w:r>
      <w:r w:rsidR="00923267">
        <w:t xml:space="preserve"> </w:t>
      </w:r>
      <w:r w:rsidR="006C0335">
        <w:t>intervention</w:t>
      </w:r>
      <w:r w:rsidR="00923267">
        <w:t xml:space="preserve"> </w:t>
      </w:r>
      <w:r w:rsidR="000D29A1">
        <w:t>entered</w:t>
      </w:r>
      <w:r>
        <w:t xml:space="preserve"> the practice</w:t>
      </w:r>
      <w:r w:rsidR="006C0335">
        <w:t xml:space="preserve"> </w:t>
      </w:r>
      <w:r w:rsidR="006C0335" w:rsidRPr="006C0335">
        <w:rPr>
          <w:i/>
          <w:iCs/>
        </w:rPr>
        <w:t>externally</w:t>
      </w:r>
      <w:r w:rsidR="006C0335">
        <w:t>,</w:t>
      </w:r>
      <w:r>
        <w:t xml:space="preserve"> through an invitation at the national level to apply to participate in the trial</w:t>
      </w:r>
      <w:r w:rsidR="00923267">
        <w:t>.</w:t>
      </w:r>
    </w:p>
    <w:p w14:paraId="3B44913F" w14:textId="070A1DDD" w:rsidR="00DA76C6" w:rsidRDefault="00DE168D" w:rsidP="00DE168D">
      <w:r>
        <w:lastRenderedPageBreak/>
        <w:t xml:space="preserve">For practices where the idea had not grown within, </w:t>
      </w:r>
      <w:r w:rsidRPr="00F4464B">
        <w:t xml:space="preserve">practice owners, practice managers </w:t>
      </w:r>
      <w:r>
        <w:t xml:space="preserve">or </w:t>
      </w:r>
      <w:r w:rsidRPr="00F4464B">
        <w:t>the head office of corporately owned practices had submitted the application to participate in HCH</w:t>
      </w:r>
      <w:r w:rsidR="00A95C26">
        <w:t xml:space="preserve"> without consulting with others in the practice</w:t>
      </w:r>
      <w:r w:rsidR="00374A9C">
        <w:t>:</w:t>
      </w:r>
    </w:p>
    <w:p w14:paraId="79A64726" w14:textId="77777777" w:rsidR="004B146E" w:rsidRPr="00F84B81" w:rsidRDefault="004B146E" w:rsidP="004B146E">
      <w:pPr>
        <w:ind w:left="567" w:right="1089"/>
        <w:rPr>
          <w:rFonts w:eastAsia="Calibri" w:cs="Times New Roman"/>
        </w:rPr>
      </w:pPr>
      <w:r w:rsidRPr="00F84B81">
        <w:rPr>
          <w:rFonts w:eastAsia="Calibri" w:cs="Times New Roman"/>
        </w:rPr>
        <w:t xml:space="preserve">“… </w:t>
      </w:r>
      <w:r w:rsidRPr="00F84B81">
        <w:rPr>
          <w:rFonts w:eastAsia="Calibri" w:cs="Times New Roman"/>
          <w:i/>
        </w:rPr>
        <w:t>when I went out to do a practice presentation on Health Care Homes, I realised, very quickly, that this is the first the doctors were hearing about it. Even though they’d signed a contract and received a $10,000 grant… I had no idea, when I went in, that that’s what the situation was. I just assumed that they knew they were on the trial and they wanted more information</w:t>
      </w:r>
      <w:r w:rsidRPr="00F84B81">
        <w:rPr>
          <w:rFonts w:eastAsia="Calibri" w:cs="Times New Roman"/>
        </w:rPr>
        <w:t>.“</w:t>
      </w:r>
      <w:r>
        <w:rPr>
          <w:rFonts w:eastAsia="Calibri" w:cs="Times New Roman"/>
        </w:rPr>
        <w:t xml:space="preserve"> </w:t>
      </w:r>
      <w:r w:rsidRPr="00F84B81">
        <w:rPr>
          <w:rFonts w:eastAsia="Calibri" w:cs="Times New Roman"/>
        </w:rPr>
        <w:t>[PHN 1, interview, R1]</w:t>
      </w:r>
    </w:p>
    <w:p w14:paraId="6743AC62" w14:textId="2A19109E" w:rsidR="00DE168D" w:rsidRPr="000E1BDB" w:rsidRDefault="00C91F2D" w:rsidP="00DE168D">
      <w:r>
        <w:t>I</w:t>
      </w:r>
      <w:r w:rsidR="00374A9C" w:rsidRPr="00F4464B">
        <w:t xml:space="preserve">nadequate consultation resulted in some </w:t>
      </w:r>
      <w:r w:rsidR="00374A9C">
        <w:t xml:space="preserve">practices </w:t>
      </w:r>
      <w:r w:rsidR="00374A9C" w:rsidRPr="00F4464B">
        <w:t xml:space="preserve">declining the offer to participate, and others who took up the offer to withdraw subsequently or </w:t>
      </w:r>
      <w:r>
        <w:t>take</w:t>
      </w:r>
      <w:r w:rsidR="00374A9C" w:rsidRPr="00F4464B">
        <w:t xml:space="preserve"> longer to start implementing due to needing to get buy-in from key people in the practice</w:t>
      </w:r>
      <w:r w:rsidR="00374A9C">
        <w:t xml:space="preserve">, particularly GPs. </w:t>
      </w:r>
      <w:r w:rsidR="00DE168D">
        <w:t>This is consistent with research that shows that lack of transparency in decision making to adopt an innovation is more likely to result in implementation failure</w:t>
      </w:r>
      <w:r w:rsidR="00DA76C6">
        <w:t>:</w:t>
      </w:r>
      <w:r w:rsidR="00DE168D" w:rsidRPr="006347A9">
        <w:rPr>
          <w:rStyle w:val="FootnoteReference"/>
          <w:color w:val="408BCA"/>
        </w:rPr>
        <w:footnoteReference w:id="117"/>
      </w:r>
      <w:r w:rsidR="00DE168D" w:rsidRPr="006347A9">
        <w:rPr>
          <w:color w:val="408BCA"/>
          <w:vertAlign w:val="superscript"/>
        </w:rPr>
        <w:t>,</w:t>
      </w:r>
      <w:r w:rsidR="00DE168D" w:rsidRPr="006347A9">
        <w:rPr>
          <w:rStyle w:val="FootnoteReference"/>
          <w:color w:val="408BCA"/>
        </w:rPr>
        <w:footnoteReference w:id="118"/>
      </w:r>
      <w:r w:rsidR="00DE168D" w:rsidRPr="006347A9">
        <w:rPr>
          <w:color w:val="408BCA"/>
        </w:rPr>
        <w:t xml:space="preserve"> </w:t>
      </w:r>
    </w:p>
    <w:p w14:paraId="2A390C7C" w14:textId="09642CBF" w:rsidR="00DE168D" w:rsidRDefault="00DE168D" w:rsidP="00DE168D">
      <w:r>
        <w:t xml:space="preserve">Although there is no agreed measure of </w:t>
      </w:r>
      <w:r w:rsidRPr="0039402F">
        <w:rPr>
          <w:i/>
          <w:iCs/>
        </w:rPr>
        <w:t xml:space="preserve">strength and quality of the evidence </w:t>
      </w:r>
      <w:r w:rsidRPr="009D1EBD">
        <w:t xml:space="preserve">for </w:t>
      </w:r>
      <w:r>
        <w:t>an</w:t>
      </w:r>
      <w:r w:rsidRPr="009D1EBD">
        <w:t xml:space="preserve"> intervention</w:t>
      </w:r>
      <w:r>
        <w:t>, nor is it sufficient for adoption,</w:t>
      </w:r>
      <w:r w:rsidRPr="006347A9">
        <w:rPr>
          <w:rStyle w:val="FootnoteReference"/>
          <w:color w:val="408BCA"/>
        </w:rPr>
        <w:footnoteReference w:id="119"/>
      </w:r>
      <w:r>
        <w:t xml:space="preserve"> there is a relationship between evidence strength and quality and implementation.</w:t>
      </w:r>
      <w:r w:rsidRPr="006347A9">
        <w:rPr>
          <w:rStyle w:val="FootnoteReference"/>
          <w:color w:val="408BCA"/>
        </w:rPr>
        <w:footnoteReference w:id="120"/>
      </w:r>
      <w:r>
        <w:t xml:space="preserve"> Trials testing the effectiveness of the PCMH</w:t>
      </w:r>
      <w:r w:rsidR="00192BC4">
        <w:t xml:space="preserve">, on which HCH was based, </w:t>
      </w:r>
      <w:r>
        <w:t>on key measures of interest (hospitalisation, emergency department attendances, staff burnout) have been fairly recent (less than a decade), and results are mixed.</w:t>
      </w:r>
      <w:r w:rsidR="004E0715" w:rsidRPr="00782581">
        <w:rPr>
          <w:rStyle w:val="FootnoteReference"/>
          <w:color w:val="408BCA"/>
        </w:rPr>
        <w:footnoteReference w:id="121"/>
      </w:r>
      <w:r w:rsidR="006D75FB">
        <w:t xml:space="preserve"> </w:t>
      </w:r>
      <w:r w:rsidR="00B86813" w:rsidRPr="00B86813">
        <w:t>Most</w:t>
      </w:r>
      <w:r>
        <w:t xml:space="preserve"> evidence </w:t>
      </w:r>
      <w:r w:rsidR="00B86813" w:rsidRPr="00B86813">
        <w:t xml:space="preserve">has been generated from studies based </w:t>
      </w:r>
      <w:r>
        <w:t xml:space="preserve">in the </w:t>
      </w:r>
      <w:r w:rsidR="00B86813" w:rsidRPr="00B86813">
        <w:t xml:space="preserve">United States, with </w:t>
      </w:r>
      <w:r w:rsidR="00B86813" w:rsidRPr="00B86813">
        <w:lastRenderedPageBreak/>
        <w:t>implementations across diverse institutional settings.</w:t>
      </w:r>
      <w:r w:rsidR="00B86813">
        <w:t xml:space="preserve"> </w:t>
      </w:r>
      <w:r w:rsidR="00410A3C">
        <w:rPr>
          <w:rFonts w:eastAsia="Muli" w:cs="Muli"/>
          <w:color w:val="000000" w:themeColor="text1"/>
          <w:szCs w:val="20"/>
        </w:rPr>
        <w:t xml:space="preserve">With existing evidence not widely disseminated, </w:t>
      </w:r>
      <w:r w:rsidR="00410A3C" w:rsidRPr="00197223">
        <w:t>ambiguous</w:t>
      </w:r>
      <w:r w:rsidR="00410A3C" w:rsidRPr="007C6C8C">
        <w:rPr>
          <w:rFonts w:eastAsia="Muli" w:cs="Muli"/>
          <w:color w:val="000000" w:themeColor="text1"/>
          <w:szCs w:val="20"/>
        </w:rPr>
        <w:t>,</w:t>
      </w:r>
      <w:r w:rsidR="00410A3C">
        <w:rPr>
          <w:rFonts w:eastAsia="Muli" w:cs="Muli"/>
          <w:color w:val="000000" w:themeColor="text1"/>
          <w:szCs w:val="20"/>
        </w:rPr>
        <w:t xml:space="preserve"> or perceived as not relevant to Australia</w:t>
      </w:r>
      <w:r>
        <w:rPr>
          <w:rFonts w:eastAsia="Muli" w:cs="Muli"/>
          <w:color w:val="000000" w:themeColor="text1"/>
          <w:szCs w:val="20"/>
        </w:rPr>
        <w:t xml:space="preserve">, </w:t>
      </w:r>
      <w:r w:rsidRPr="007C6C8C">
        <w:rPr>
          <w:rFonts w:eastAsia="Muli" w:cs="Muli"/>
          <w:color w:val="000000" w:themeColor="text1"/>
          <w:szCs w:val="20"/>
        </w:rPr>
        <w:t>HCH relied on GPs’ own experience</w:t>
      </w:r>
      <w:r w:rsidR="001915FC">
        <w:rPr>
          <w:rFonts w:eastAsia="Muli" w:cs="Muli"/>
          <w:color w:val="000000" w:themeColor="text1"/>
          <w:szCs w:val="20"/>
        </w:rPr>
        <w:t>s</w:t>
      </w:r>
      <w:r w:rsidRPr="007C6C8C">
        <w:rPr>
          <w:rFonts w:eastAsia="Muli" w:cs="Muli"/>
          <w:color w:val="000000" w:themeColor="text1"/>
          <w:szCs w:val="20"/>
        </w:rPr>
        <w:t xml:space="preserve"> of the concept in other systems</w:t>
      </w:r>
      <w:r w:rsidR="005C0CA6">
        <w:rPr>
          <w:rFonts w:eastAsia="Muli" w:cs="Muli"/>
          <w:color w:val="000000" w:themeColor="text1"/>
          <w:szCs w:val="20"/>
        </w:rPr>
        <w:t xml:space="preserve"> and</w:t>
      </w:r>
      <w:r>
        <w:rPr>
          <w:rFonts w:eastAsia="Muli" w:cs="Muli"/>
          <w:color w:val="000000" w:themeColor="text1"/>
          <w:szCs w:val="20"/>
        </w:rPr>
        <w:t xml:space="preserve"> opi</w:t>
      </w:r>
      <w:r w:rsidRPr="007C6C8C">
        <w:rPr>
          <w:rFonts w:eastAsia="Muli" w:cs="Muli"/>
          <w:color w:val="000000" w:themeColor="text1"/>
          <w:szCs w:val="20"/>
        </w:rPr>
        <w:t>nions of trusted peers</w:t>
      </w:r>
      <w:r w:rsidR="005C0CA6">
        <w:rPr>
          <w:rFonts w:eastAsia="Muli" w:cs="Muli"/>
          <w:color w:val="000000" w:themeColor="text1"/>
          <w:szCs w:val="20"/>
        </w:rPr>
        <w:t>. S</w:t>
      </w:r>
      <w:r>
        <w:t>ome decided to build their own evidence by trialling the implementation with only a few patients in their practice:</w:t>
      </w:r>
    </w:p>
    <w:p w14:paraId="69A0C590" w14:textId="77777777" w:rsidR="00DE168D" w:rsidRPr="00633D5F" w:rsidRDefault="00DE168D" w:rsidP="00DE168D">
      <w:pPr>
        <w:ind w:left="567" w:right="521"/>
        <w:rPr>
          <w:szCs w:val="20"/>
        </w:rPr>
      </w:pPr>
      <w:r w:rsidRPr="00633D5F">
        <w:rPr>
          <w:i/>
          <w:iCs/>
          <w:szCs w:val="20"/>
        </w:rPr>
        <w:t xml:space="preserve">“This…is </w:t>
      </w:r>
      <w:r w:rsidRPr="00E13EC6">
        <w:rPr>
          <w:rFonts w:eastAsia="Times New Roman"/>
          <w:i/>
          <w:iCs/>
          <w:szCs w:val="20"/>
        </w:rPr>
        <w:t>why</w:t>
      </w:r>
      <w:r w:rsidRPr="00633D5F">
        <w:rPr>
          <w:i/>
          <w:iCs/>
          <w:szCs w:val="20"/>
        </w:rPr>
        <w:t xml:space="preserve"> we choose 100. Because we want to try this out on all aspects from financial, from the doctor’s happiness, patient’s happiness. All these things we take into consideration. That’s why we do not want to increase [the] number.”</w:t>
      </w:r>
      <w:r w:rsidRPr="00633D5F">
        <w:rPr>
          <w:szCs w:val="20"/>
        </w:rPr>
        <w:t xml:space="preserve"> [GP,</w:t>
      </w:r>
      <w:r>
        <w:rPr>
          <w:szCs w:val="20"/>
        </w:rPr>
        <w:t xml:space="preserve"> </w:t>
      </w:r>
      <w:r w:rsidRPr="00633D5F">
        <w:rPr>
          <w:szCs w:val="20"/>
        </w:rPr>
        <w:t xml:space="preserve">Practice </w:t>
      </w:r>
      <w:r>
        <w:rPr>
          <w:szCs w:val="20"/>
        </w:rPr>
        <w:t>3, R4</w:t>
      </w:r>
      <w:r w:rsidRPr="00633D5F">
        <w:rPr>
          <w:szCs w:val="20"/>
        </w:rPr>
        <w:t>]</w:t>
      </w:r>
    </w:p>
    <w:p w14:paraId="57C82151" w14:textId="5D2B1F95" w:rsidR="00DE168D" w:rsidRDefault="00DE168D" w:rsidP="00DE168D">
      <w:r>
        <w:t xml:space="preserve">The lack of strong evidence for the concept and </w:t>
      </w:r>
      <w:r w:rsidR="00306546">
        <w:t xml:space="preserve">the </w:t>
      </w:r>
      <w:r>
        <w:t>lack of dissemination of existing evidence may have contributed to the concept not having widespread traction.</w:t>
      </w:r>
    </w:p>
    <w:p w14:paraId="33B311DE" w14:textId="5C31B138" w:rsidR="00DE168D" w:rsidRDefault="00DE168D" w:rsidP="00DE168D">
      <w:r w:rsidRPr="0039402F">
        <w:rPr>
          <w:i/>
          <w:iCs/>
        </w:rPr>
        <w:t>Relative advantage</w:t>
      </w:r>
      <w:r>
        <w:t xml:space="preserve"> is also important to users; they will successfully take up an intervention if its benefits are clear and unambiguous.</w:t>
      </w:r>
      <w:r w:rsidRPr="009252C4">
        <w:rPr>
          <w:rStyle w:val="FootnoteReference"/>
          <w:color w:val="408BCA"/>
        </w:rPr>
        <w:footnoteReference w:id="122"/>
      </w:r>
      <w:r>
        <w:t xml:space="preserve"> The benefits </w:t>
      </w:r>
      <w:r w:rsidR="00DD7EAC">
        <w:t xml:space="preserve">of </w:t>
      </w:r>
      <w:r w:rsidR="00B33CFA">
        <w:t>HCH</w:t>
      </w:r>
      <w:r w:rsidR="00DD7EAC">
        <w:t xml:space="preserve"> </w:t>
      </w:r>
      <w:r w:rsidR="00441308">
        <w:t>were</w:t>
      </w:r>
      <w:r>
        <w:t xml:space="preserve"> not immediately observable:</w:t>
      </w:r>
    </w:p>
    <w:p w14:paraId="77C14BA2" w14:textId="3843768E" w:rsidR="00DE168D" w:rsidRPr="00F5631E" w:rsidRDefault="00DE168D" w:rsidP="00DE168D">
      <w:pPr>
        <w:ind w:left="567" w:right="521"/>
        <w:rPr>
          <w:szCs w:val="20"/>
        </w:rPr>
      </w:pPr>
      <w:r w:rsidRPr="005625BA">
        <w:rPr>
          <w:i/>
          <w:iCs/>
          <w:szCs w:val="20"/>
        </w:rPr>
        <w:t>“There is no benefit to us as a practice, apart from making everyone feel good.”</w:t>
      </w:r>
      <w:r w:rsidR="00A561EE">
        <w:rPr>
          <w:szCs w:val="20"/>
        </w:rPr>
        <w:t xml:space="preserve"> </w:t>
      </w:r>
      <w:r>
        <w:rPr>
          <w:szCs w:val="20"/>
        </w:rPr>
        <w:t>[GP, Practice 11, R5]</w:t>
      </w:r>
    </w:p>
    <w:p w14:paraId="4D7F8BD3" w14:textId="31ECB875" w:rsidR="00DE168D" w:rsidRDefault="00DE168D" w:rsidP="00DE168D">
      <w:r>
        <w:t xml:space="preserve">The HCH trial was an opportunity to both build evidence for HCH in Australia and to also show relative advantage for both patients and practice staff. However, it needed </w:t>
      </w:r>
      <w:r w:rsidR="00BD42C6">
        <w:t>more</w:t>
      </w:r>
      <w:r>
        <w:t xml:space="preserve"> time to achieve this.</w:t>
      </w:r>
    </w:p>
    <w:p w14:paraId="3123EECD" w14:textId="77777777" w:rsidR="00DE168D" w:rsidRDefault="00DE168D" w:rsidP="00DE168D">
      <w:r>
        <w:t xml:space="preserve">Interventions that </w:t>
      </w:r>
      <w:r w:rsidRPr="00A845C2">
        <w:rPr>
          <w:i/>
          <w:iCs/>
        </w:rPr>
        <w:t>can be adapted to meet local needs</w:t>
      </w:r>
      <w:r>
        <w:t xml:space="preserve"> are more likely to be implemented.</w:t>
      </w:r>
      <w:r w:rsidRPr="009252C4">
        <w:rPr>
          <w:rStyle w:val="FootnoteReference"/>
          <w:color w:val="408BCA"/>
        </w:rPr>
        <w:footnoteReference w:id="123"/>
      </w:r>
      <w:r w:rsidRPr="009252C4">
        <w:rPr>
          <w:color w:val="408BCA"/>
          <w:vertAlign w:val="superscript"/>
        </w:rPr>
        <w:t>,</w:t>
      </w:r>
      <w:r w:rsidRPr="009252C4">
        <w:rPr>
          <w:rStyle w:val="FootnoteReference"/>
          <w:color w:val="408BCA"/>
        </w:rPr>
        <w:footnoteReference w:id="124"/>
      </w:r>
      <w:r>
        <w:t xml:space="preserve"> The Department of Health did not prescribe a HCH model, allowing practices flexibility to design their own model to meet local needs. One of the effects of this however was that many practices didn’t know what to do:</w:t>
      </w:r>
    </w:p>
    <w:p w14:paraId="4A8CFD72" w14:textId="77777777" w:rsidR="00DE168D" w:rsidRPr="008760C3" w:rsidRDefault="00DE168D" w:rsidP="00DE168D">
      <w:pPr>
        <w:ind w:left="567" w:right="1088"/>
        <w:rPr>
          <w:rFonts w:eastAsia="Times New Roman"/>
          <w:iCs/>
          <w:szCs w:val="20"/>
        </w:rPr>
      </w:pPr>
      <w:r w:rsidRPr="008760C3">
        <w:rPr>
          <w:rFonts w:eastAsia="Times New Roman"/>
          <w:i/>
          <w:iCs/>
          <w:szCs w:val="20"/>
        </w:rPr>
        <w:t>“…it’s very unclear about how we implement it. So, there's nothing wrong with the philosophy, but it’s the execution.”</w:t>
      </w:r>
      <w:r w:rsidRPr="008760C3">
        <w:rPr>
          <w:rFonts w:eastAsia="Times New Roman"/>
          <w:iCs/>
          <w:szCs w:val="20"/>
        </w:rPr>
        <w:t xml:space="preserve"> [GP, Practice 12, interview</w:t>
      </w:r>
      <w:r>
        <w:rPr>
          <w:rFonts w:eastAsia="Times New Roman"/>
          <w:iCs/>
          <w:szCs w:val="20"/>
        </w:rPr>
        <w:t>, R2]</w:t>
      </w:r>
    </w:p>
    <w:p w14:paraId="1DE3E97D" w14:textId="16C18ABB" w:rsidR="00DE168D" w:rsidRDefault="00DE168D" w:rsidP="00DE168D">
      <w:r>
        <w:lastRenderedPageBreak/>
        <w:t xml:space="preserve">There is also a tension between </w:t>
      </w:r>
      <w:r w:rsidRPr="00A845C2">
        <w:t xml:space="preserve">adaptability </w:t>
      </w:r>
      <w:r>
        <w:t>and fidelity of an intervention. Although the flexibility offered in the HCH trial meant that potentially more practices participated, it also meant that practices focussed on different initiatives, making it difficult to identify the extent to which the model was implemented</w:t>
      </w:r>
      <w:r w:rsidR="00FC329F">
        <w:t xml:space="preserve">. </w:t>
      </w:r>
      <w:r w:rsidRPr="00595475">
        <w:t xml:space="preserve">Lack of consistency of </w:t>
      </w:r>
      <w:r>
        <w:t>implementation</w:t>
      </w:r>
      <w:r w:rsidRPr="00595475">
        <w:t xml:space="preserve"> </w:t>
      </w:r>
      <w:r>
        <w:t xml:space="preserve">also </w:t>
      </w:r>
      <w:r w:rsidRPr="00595475">
        <w:t xml:space="preserve">means that where there are positive outcomes, it is difficult to attribute these to </w:t>
      </w:r>
      <w:r>
        <w:t>specific components</w:t>
      </w:r>
      <w:r w:rsidRPr="00595475">
        <w:t xml:space="preserve"> of the model.</w:t>
      </w:r>
    </w:p>
    <w:p w14:paraId="4B81298A" w14:textId="7E9156CE" w:rsidR="00DE168D" w:rsidRDefault="00DE168D" w:rsidP="00DE168D">
      <w:r>
        <w:t xml:space="preserve">The degree to which an intervention can be </w:t>
      </w:r>
      <w:r w:rsidRPr="00A25EBD">
        <w:rPr>
          <w:i/>
          <w:iCs/>
        </w:rPr>
        <w:t>trialled</w:t>
      </w:r>
      <w:r>
        <w:t xml:space="preserve"> will impact its uptake;</w:t>
      </w:r>
      <w:r w:rsidRPr="009252C4">
        <w:rPr>
          <w:rStyle w:val="FootnoteReference"/>
          <w:color w:val="408BCA"/>
        </w:rPr>
        <w:footnoteReference w:id="125"/>
      </w:r>
      <w:r>
        <w:t xml:space="preserve"> users need to be able to stop the intervention if it’s not working and reverse </w:t>
      </w:r>
      <w:r w:rsidR="001869F9">
        <w:t>implementation</w:t>
      </w:r>
      <w:r>
        <w:t xml:space="preserve">. </w:t>
      </w:r>
      <w:r w:rsidR="00DD7EAC">
        <w:t>It is</w:t>
      </w:r>
      <w:r>
        <w:t xml:space="preserve"> not easy to only take up certain components</w:t>
      </w:r>
      <w:r w:rsidR="00DD7EAC">
        <w:t xml:space="preserve"> of </w:t>
      </w:r>
      <w:r w:rsidR="006807B7">
        <w:t>complex interventions like HCH</w:t>
      </w:r>
      <w:r>
        <w:t>. The trial itself was meant to be an opportunity to pilot the concept. However, practices were concerned about whether they could “undo” the implementation:</w:t>
      </w:r>
    </w:p>
    <w:p w14:paraId="352377C3" w14:textId="77777777" w:rsidR="00DE168D" w:rsidRDefault="00DE168D" w:rsidP="00DE168D">
      <w:pPr>
        <w:ind w:left="567" w:right="521"/>
        <w:rPr>
          <w:szCs w:val="20"/>
        </w:rPr>
      </w:pPr>
      <w:r w:rsidRPr="008E661F">
        <w:rPr>
          <w:i/>
          <w:iCs/>
          <w:szCs w:val="20"/>
        </w:rPr>
        <w:t>“… the other reason why we didn't end up [enrolling] too many patients in the program was uncertainty about where the program would be after two years. So, it’s difficult to get … a large cohort of patients used to it and then after two years say well, we’re going to now can it and we’ll have to do things differently.”</w:t>
      </w:r>
      <w:r w:rsidRPr="008E661F">
        <w:rPr>
          <w:szCs w:val="20"/>
        </w:rPr>
        <w:t xml:space="preserve"> [GP, Practice 11</w:t>
      </w:r>
      <w:r>
        <w:rPr>
          <w:szCs w:val="20"/>
        </w:rPr>
        <w:t>, R4</w:t>
      </w:r>
      <w:r w:rsidRPr="008E661F">
        <w:rPr>
          <w:szCs w:val="20"/>
        </w:rPr>
        <w:t>]</w:t>
      </w:r>
    </w:p>
    <w:p w14:paraId="2CB64B82" w14:textId="56833FD2" w:rsidR="00DE168D" w:rsidRDefault="00DE168D" w:rsidP="00DE168D">
      <w:r>
        <w:t>As mentioned earlier, to trial the concept, many practices only enrolled a few patients. However, this was counterproductive, as the small number of patients meant that the initiative was confined to a small part of their practice, and they didn’t have the flexibility with the bundled payment to make any significant changes to their practice:</w:t>
      </w:r>
    </w:p>
    <w:p w14:paraId="687B81A2" w14:textId="77777777" w:rsidR="00DE168D" w:rsidRPr="008760C3" w:rsidRDefault="00DE168D" w:rsidP="00DE168D">
      <w:pPr>
        <w:ind w:left="567" w:right="1088"/>
        <w:rPr>
          <w:szCs w:val="20"/>
        </w:rPr>
      </w:pPr>
      <w:r w:rsidRPr="008760C3">
        <w:rPr>
          <w:i/>
          <w:szCs w:val="20"/>
        </w:rPr>
        <w:t>“… I just think those processes have all just been put into the wrong size, shape, and time …And the staff are brilliant as far as wanting to participate in this stuff. But it’s 35 people out of those numbers I told you… it’s a tiny, tiny piece of what we do.”</w:t>
      </w:r>
      <w:r w:rsidRPr="008760C3">
        <w:rPr>
          <w:szCs w:val="20"/>
        </w:rPr>
        <w:t xml:space="preserve"> [GP, Practice 12, interview</w:t>
      </w:r>
      <w:r>
        <w:rPr>
          <w:szCs w:val="20"/>
        </w:rPr>
        <w:t>, R2]</w:t>
      </w:r>
    </w:p>
    <w:p w14:paraId="652901A9" w14:textId="28BC0609" w:rsidR="00DE168D" w:rsidRDefault="00DE168D" w:rsidP="00DE168D">
      <w:r>
        <w:t>The small number of patients enrolled by some practices impacted on those practices’ successes with the model and on the outcomes of the overall trial.</w:t>
      </w:r>
    </w:p>
    <w:p w14:paraId="71319A1E" w14:textId="50406202" w:rsidR="00DE168D" w:rsidRDefault="00DE168D" w:rsidP="00DE168D">
      <w:r>
        <w:t xml:space="preserve">The perceived </w:t>
      </w:r>
      <w:r w:rsidRPr="007D70F5">
        <w:rPr>
          <w:i/>
          <w:iCs/>
        </w:rPr>
        <w:t>complexity</w:t>
      </w:r>
      <w:r>
        <w:t xml:space="preserve"> of an intervention also has a direct relationship to its implementation.</w:t>
      </w:r>
      <w:r w:rsidRPr="009252C4">
        <w:rPr>
          <w:rStyle w:val="FootnoteReference"/>
          <w:color w:val="408BCA"/>
        </w:rPr>
        <w:footnoteReference w:id="126"/>
      </w:r>
      <w:r>
        <w:t xml:space="preserve"> At the outset, PHN practice facilitators </w:t>
      </w:r>
      <w:r w:rsidRPr="004F354F">
        <w:t>described the change</w:t>
      </w:r>
      <w:r>
        <w:t>s that practices had to undergo to adopt HCH</w:t>
      </w:r>
      <w:r w:rsidRPr="004F354F">
        <w:t xml:space="preserve"> as “a significant paradigm shift” [PHN 2, interview, R1], a “whole mindset change” [PHN 9, interview, R1], “cultural change at several levels” [PHN 1, interview, R1], an “eye opener” [PHN 2, interview, R1] and a “massive transformational change” [PHN 1, interview, R1]. </w:t>
      </w:r>
      <w:r>
        <w:t xml:space="preserve">Some practices failed to appreciate the complexity upfront and withdrew in the middle stages of the trial when they </w:t>
      </w:r>
      <w:r w:rsidRPr="00EA1ACB">
        <w:t>found that they hadn’t yet enrolled any patients or only enrolled a few patients and hadn’t progressed their HCH model. They withdrew as they perceived that the transformation that they would need to undergo would be too challenging.</w:t>
      </w:r>
    </w:p>
    <w:p w14:paraId="16F2560E" w14:textId="08939768" w:rsidR="00DE168D" w:rsidRDefault="00DE168D" w:rsidP="00DE168D">
      <w:r>
        <w:lastRenderedPageBreak/>
        <w:t xml:space="preserve">How the intervention is </w:t>
      </w:r>
      <w:r w:rsidRPr="00C5550F">
        <w:rPr>
          <w:i/>
          <w:iCs/>
        </w:rPr>
        <w:t>packaged</w:t>
      </w:r>
      <w:r>
        <w:t xml:space="preserve"> and presented to stakeholders also has a bearing on its implementation.</w:t>
      </w:r>
      <w:r w:rsidRPr="009252C4">
        <w:rPr>
          <w:rStyle w:val="FootnoteReference"/>
          <w:color w:val="408BCA"/>
        </w:rPr>
        <w:footnoteReference w:id="127"/>
      </w:r>
      <w:r w:rsidR="00A561EE">
        <w:t xml:space="preserve"> </w:t>
      </w:r>
      <w:r>
        <w:t xml:space="preserve">Many of the details of the model were in the </w:t>
      </w:r>
      <w:r w:rsidRPr="00FB2B57">
        <w:rPr>
          <w:i/>
          <w:iCs/>
        </w:rPr>
        <w:t>Handbook for General Practices and Aboriginal Community Controlled Health Services</w:t>
      </w:r>
      <w:r>
        <w:t>, but many practices who signed up to participate in the trial had not read the Handbook:</w:t>
      </w:r>
    </w:p>
    <w:p w14:paraId="69DC12F4" w14:textId="77777777" w:rsidR="00DE168D" w:rsidRPr="008760C3" w:rsidRDefault="00DE168D" w:rsidP="00DE168D">
      <w:pPr>
        <w:ind w:left="567" w:right="1088"/>
      </w:pPr>
      <w:r w:rsidRPr="008760C3">
        <w:rPr>
          <w:i/>
        </w:rPr>
        <w:t>“…understanding what the practices already knew, was difficult for us. We knew that they’d signed the contract, we knew that they had volunteered to be involved. We didn’t understand though… that the contract that they signed was a two-page document. … It wasn’t really involved, as far as the requirements of the program or what the best case scenario requirements of the program were. And it referenced… It only became clear later on that it did actually say there on a one-liner that they must adhere to the Health Care Homes Handbook. And then there’s all of a sudden this 40-page document that none of them ever read</w:t>
      </w:r>
      <w:r w:rsidRPr="008760C3">
        <w:t>.” [PHN 3, interview</w:t>
      </w:r>
      <w:r>
        <w:t>, R1]</w:t>
      </w:r>
    </w:p>
    <w:p w14:paraId="3ACFF980" w14:textId="77777777" w:rsidR="00DE168D" w:rsidRDefault="00DE168D" w:rsidP="00DE168D">
      <w:r>
        <w:t>Other details were also in the online training modules, which were</w:t>
      </w:r>
      <w:r w:rsidRPr="00D17E25">
        <w:t xml:space="preserve"> not widely </w:t>
      </w:r>
      <w:r>
        <w:t>used</w:t>
      </w:r>
      <w:r w:rsidRPr="00D17E25">
        <w:t xml:space="preserve"> by practices, especially by GPs and nurses</w:t>
      </w:r>
      <w:r>
        <w:t>. A</w:t>
      </w:r>
      <w:r w:rsidRPr="00D17E25">
        <w:t>pproximately 5% of the GPs and 9% of the nurses participating in the trial completed the foundational modules (1 to 5)</w:t>
      </w:r>
      <w:r>
        <w:t>, and thus accessed details of how the model was intended to work. The implementation would have been helped by making available more streamlined information about the details of the model and its implementation and making this available in more accessible ways (for example, through peer-to-peer information exchange rather than through online training modules).</w:t>
      </w:r>
    </w:p>
    <w:p w14:paraId="57A37BB1" w14:textId="2F13BEC4" w:rsidR="00DE168D" w:rsidRDefault="00DE168D" w:rsidP="00DE168D">
      <w:r>
        <w:t>Lastly, participating p</w:t>
      </w:r>
      <w:r w:rsidRPr="00703036">
        <w:t xml:space="preserve">ractices described the high </w:t>
      </w:r>
      <w:r w:rsidRPr="004A0016">
        <w:rPr>
          <w:i/>
          <w:iCs/>
        </w:rPr>
        <w:t>cost</w:t>
      </w:r>
      <w:r w:rsidRPr="00703036">
        <w:t xml:space="preserve"> of setting up for HCH. Costs mainly </w:t>
      </w:r>
      <w:r w:rsidRPr="00983A23">
        <w:t>related to IT set-up and loss of productivity associated with training and patient enrolment.</w:t>
      </w:r>
      <w:r w:rsidR="00E5134C" w:rsidRPr="00983A23">
        <w:t xml:space="preserve"> </w:t>
      </w:r>
      <w:r w:rsidR="00F56A10" w:rsidRPr="00983A23">
        <w:t>Although the actual set-up costs were not quantified by the evaluation, s</w:t>
      </w:r>
      <w:r w:rsidRPr="00983A23">
        <w:t xml:space="preserve">everal practices commented the $10,000 grant was insufficient to cover these costs and the amount of time it </w:t>
      </w:r>
      <w:r w:rsidR="00661AB0" w:rsidRPr="00983A23">
        <w:t>took</w:t>
      </w:r>
      <w:r w:rsidRPr="00983A23">
        <w:t xml:space="preserve"> to understand and implement the model. Another concern about cost was the adequacy</w:t>
      </w:r>
      <w:r>
        <w:t xml:space="preserve"> of the bundled payment compared with fee-for-service. Many practices withdrew from the trial because they couldn’t convince their </w:t>
      </w:r>
      <w:r w:rsidR="001B4F7B">
        <w:t>GPs</w:t>
      </w:r>
      <w:r>
        <w:t xml:space="preserve"> that they wouldn’t be worse off under the bundled payment. Enrolling only a few patients also meant that some practices were worse off, because they didn’t have the volumes to offset losses on any individual patients.</w:t>
      </w:r>
    </w:p>
    <w:p w14:paraId="6070C1D6" w14:textId="77777777" w:rsidR="00DE168D" w:rsidRDefault="00DE168D" w:rsidP="00DE168D">
      <w:pPr>
        <w:pStyle w:val="Heading2"/>
      </w:pPr>
      <w:bookmarkStart w:id="509" w:name="_Toc109996775"/>
      <w:r>
        <w:t>The outer setting</w:t>
      </w:r>
      <w:bookmarkEnd w:id="509"/>
    </w:p>
    <w:p w14:paraId="60C9219B" w14:textId="480AC939" w:rsidR="00DE168D" w:rsidRDefault="00DE168D" w:rsidP="00DE168D">
      <w:r>
        <w:t xml:space="preserve">The outer setting includes the economic, political and social context in which organisations operate. In the case of HCH, the key outer elements included the characteristics of the populations that practices provide services to, national and local (PHN) policies and supports, and affiliations and peer networks of practices and individual staff within practices. The CFIR identifies </w:t>
      </w:r>
      <w:r w:rsidR="008D5EE3">
        <w:t>four</w:t>
      </w:r>
      <w:r>
        <w:t xml:space="preserve"> attributes of the outer setting that influence implementation: patient needs and resources, the degree of an organisation is externally networked (“cosmopolitanism”), peer pressure and external policies and incentives.</w:t>
      </w:r>
    </w:p>
    <w:p w14:paraId="1F1B229C" w14:textId="77777777" w:rsidR="00DE168D" w:rsidRDefault="00DE168D" w:rsidP="00DE168D">
      <w:r>
        <w:t>The HCH trial was designed for patients with chronic and complex conditions and focused</w:t>
      </w:r>
      <w:r w:rsidRPr="00D51CB6">
        <w:t xml:space="preserve"> on coordinated and comprehensive primary care </w:t>
      </w:r>
      <w:r>
        <w:t xml:space="preserve">for this group </w:t>
      </w:r>
      <w:r w:rsidRPr="00D51CB6">
        <w:t xml:space="preserve">responsive to </w:t>
      </w:r>
      <w:r w:rsidRPr="00C54FFB">
        <w:rPr>
          <w:i/>
          <w:iCs/>
        </w:rPr>
        <w:t>patients’ needs and preferences</w:t>
      </w:r>
      <w:r w:rsidRPr="00D51CB6">
        <w:t>.</w:t>
      </w:r>
      <w:r>
        <w:t xml:space="preserve"> However, although the target group was identified, patients were at </w:t>
      </w:r>
      <w:r>
        <w:lastRenderedPageBreak/>
        <w:t>different stages of readiness or receptiveness to participate in a trial of this nature, and the extent to which practices tuned into patients’ needs influenced their success in enrolling and keeping patients in the trial.</w:t>
      </w:r>
    </w:p>
    <w:p w14:paraId="6F0B7257" w14:textId="7EF5FCCE" w:rsidR="00DE168D" w:rsidRDefault="00DE168D" w:rsidP="00DE168D">
      <w:r>
        <w:t xml:space="preserve">Although practices used the RST to identify potentially eligible patients, they </w:t>
      </w:r>
      <w:r w:rsidRPr="00AF73CF">
        <w:t>generally approached patients to enrol who were already motivated to manage their health and who they thought were activated or were willing to try new things.</w:t>
      </w:r>
      <w:r>
        <w:t xml:space="preserve"> For any wider rollout of similar initiatives, more work would need to be done on </w:t>
      </w:r>
      <w:r w:rsidRPr="00B01620">
        <w:t>strategies to engage patients who are less motivated, activated and/or willing to try new things.</w:t>
      </w:r>
      <w:r w:rsidR="00D747E8">
        <w:t xml:space="preserve"> </w:t>
      </w:r>
      <w:r w:rsidR="0053501C">
        <w:t>T</w:t>
      </w:r>
      <w:r w:rsidR="00D747E8">
        <w:t>he selected enrolment meant that patients mostly stayed in the trial, and very few (7% of all enrolments) opted out due to personal choice.</w:t>
      </w:r>
    </w:p>
    <w:p w14:paraId="252E723C" w14:textId="156E3B2D" w:rsidR="00DE168D" w:rsidRDefault="00DE168D" w:rsidP="00DE168D">
      <w:r>
        <w:t>Nevertheless, m</w:t>
      </w:r>
      <w:r w:rsidRPr="007F7B9E">
        <w:t>any patients interviewed were not aware of how HCH was different to usual care at their practice. Practices did not always have the time and sometimes the skills or knowledge to explain the model to patients. Patients, their families, carers and the broader community could benefit from receiving information about the program from different sources, and this would also help boost messages conveyed by practices</w:t>
      </w:r>
      <w:r w:rsidR="00A36588">
        <w:t>:</w:t>
      </w:r>
    </w:p>
    <w:p w14:paraId="1D9F18E0" w14:textId="61BD00EB" w:rsidR="00CB098F" w:rsidRDefault="00CB098F" w:rsidP="00CB098F">
      <w:pPr>
        <w:ind w:left="567"/>
      </w:pPr>
      <w:r w:rsidRPr="00CB098F">
        <w:rPr>
          <w:i/>
          <w:iCs/>
        </w:rPr>
        <w:t>“I did find it quite hard to get my head round I don’t know quite why…I know I was given information to read afterwards…but a simple crib sheet or something just with the main points on would be... because it’s quite wordy that document that comes out.”</w:t>
      </w:r>
      <w:r w:rsidRPr="00CB098F">
        <w:t xml:space="preserve"> [Patient 2, Practice 5, interview, R2]</w:t>
      </w:r>
    </w:p>
    <w:p w14:paraId="01E140BE" w14:textId="38C67066" w:rsidR="00DE168D" w:rsidRDefault="00DE168D" w:rsidP="00DE168D">
      <w:r>
        <w:t>A second challenge was managing p</w:t>
      </w:r>
      <w:r w:rsidRPr="00F01145">
        <w:t xml:space="preserve">atients’ expectations that they would see their GP each time they come to the practice. </w:t>
      </w:r>
      <w:r>
        <w:t>Practices reported that the very few patients who opted out</w:t>
      </w:r>
      <w:r w:rsidR="00094715">
        <w:t xml:space="preserve"> of the program</w:t>
      </w:r>
      <w:r>
        <w:t xml:space="preserve"> did so because of this expectation. </w:t>
      </w:r>
      <w:r w:rsidRPr="002D7423">
        <w:t>Where practices overcame this resistance, it was through working on this with</w:t>
      </w:r>
      <w:r w:rsidR="00094715">
        <w:t xml:space="preserve"> their</w:t>
      </w:r>
      <w:r w:rsidRPr="002D7423">
        <w:t xml:space="preserve"> patients. Sometimes PHNs helped as well. Once patients started to see team members other than their GP, they reported positive experiences about what that meant for them – greater access to care and time to discuss their health issues.</w:t>
      </w:r>
    </w:p>
    <w:p w14:paraId="397D5D70" w14:textId="4192A98E" w:rsidR="00DE168D" w:rsidRDefault="00DE168D" w:rsidP="00DE168D">
      <w:r>
        <w:t xml:space="preserve">A higher degree of </w:t>
      </w:r>
      <w:r w:rsidRPr="00BF05BB">
        <w:rPr>
          <w:i/>
          <w:iCs/>
        </w:rPr>
        <w:t>external networking or “cosmopolitanism”</w:t>
      </w:r>
      <w:r>
        <w:t xml:space="preserve"> is linked with earlier adoption of new interventions.</w:t>
      </w:r>
      <w:r w:rsidRPr="009252C4">
        <w:rPr>
          <w:rStyle w:val="FootnoteReference"/>
          <w:color w:val="408BCA"/>
        </w:rPr>
        <w:footnoteReference w:id="128"/>
      </w:r>
      <w:r>
        <w:t xml:space="preserve"> External networking can come through individuals’ professional affiliations/networks, training/skills development (especially opportunities for external training) and keeping up with professional literature and research findings. However, external networking can only help implementation if the advantages of the intervention are clear. In the absence of </w:t>
      </w:r>
      <w:r w:rsidR="00990B87">
        <w:t>clear advantages of</w:t>
      </w:r>
      <w:r>
        <w:t xml:space="preserve"> HCH (see “Characteristics of the intervention”), there was generally negative press and messages about the trial from medical professional organisations, which would have had a negative influence on some GPs. These negative influences translated in some practices withdrawing from the trial because they couldn’t convince GPs within the practice about its benefits, but also created problems for practices that stayed in the trial, where some GPs participated and others didn’t. </w:t>
      </w:r>
      <w:r w:rsidRPr="00D41001">
        <w:t xml:space="preserve">Having only a fraction of </w:t>
      </w:r>
      <w:r>
        <w:t>a</w:t>
      </w:r>
      <w:r w:rsidRPr="00D41001">
        <w:t xml:space="preserve"> practices’ GPs involved</w:t>
      </w:r>
      <w:r>
        <w:t xml:space="preserve"> in HCH</w:t>
      </w:r>
      <w:r w:rsidRPr="00D41001">
        <w:t xml:space="preserve"> create</w:t>
      </w:r>
      <w:r>
        <w:t>d</w:t>
      </w:r>
      <w:r w:rsidRPr="00D41001">
        <w:t xml:space="preserve"> </w:t>
      </w:r>
      <w:r w:rsidR="00484B10">
        <w:t xml:space="preserve">a </w:t>
      </w:r>
      <w:r w:rsidRPr="00D41001">
        <w:t xml:space="preserve">problem similar to having a relatively small number of patients enrolled. That is, the practice </w:t>
      </w:r>
      <w:r>
        <w:t>could</w:t>
      </w:r>
      <w:r w:rsidR="005E4F20">
        <w:t>n’t</w:t>
      </w:r>
      <w:r w:rsidRPr="00D41001">
        <w:t xml:space="preserve"> effectively implement team care, </w:t>
      </w:r>
      <w:r w:rsidRPr="00D41001">
        <w:lastRenderedPageBreak/>
        <w:t xml:space="preserve">and/or introduce different ways of working with patients. Practices talked about the majority of the practices’ GPs being involved for </w:t>
      </w:r>
      <w:r>
        <w:t>a</w:t>
      </w:r>
      <w:r w:rsidRPr="00D41001">
        <w:t xml:space="preserve"> model</w:t>
      </w:r>
      <w:r>
        <w:t xml:space="preserve"> such as HCH</w:t>
      </w:r>
      <w:r w:rsidRPr="00D41001">
        <w:t xml:space="preserve"> to work.</w:t>
      </w:r>
    </w:p>
    <w:p w14:paraId="1976762C" w14:textId="2C18CA88" w:rsidR="00DE168D" w:rsidRDefault="00DE168D" w:rsidP="00DE168D">
      <w:r>
        <w:t>In the HCH trial, practices continually stressed the importance of learning from other practices and ongoing exchange of information and ideas. Some PHNs fostered this type of peer-to-peer engagement and learning by organising community of practice meetings and events. Practices found these vital for discussing issues they were experiencing with HCH, seeking feedback and advice, and sharing ideas. However, for many of the PHNs, these communities of practice weren’t maintained. Reasons included staff turnover, practice withdrawals</w:t>
      </w:r>
      <w:r w:rsidR="00526BC9">
        <w:t xml:space="preserve"> leaving a small number of practices within a region,</w:t>
      </w:r>
      <w:r>
        <w:t xml:space="preserve"> and later COVID-19. </w:t>
      </w:r>
      <w:r w:rsidRPr="00FC12F3">
        <w:t xml:space="preserve">Practices expressed that they would </w:t>
      </w:r>
      <w:r>
        <w:t>have liked more</w:t>
      </w:r>
      <w:r w:rsidRPr="00FC12F3">
        <w:t xml:space="preserve"> engagement with other practices both within their PHN and nationally</w:t>
      </w:r>
      <w:r w:rsidR="00A36588">
        <w:t>.</w:t>
      </w:r>
    </w:p>
    <w:p w14:paraId="70A0305A" w14:textId="77777777" w:rsidR="00DE168D" w:rsidRDefault="00DE168D" w:rsidP="00DE168D">
      <w:r>
        <w:t>Individual GPs also commented that HCH lacked a “collegiate feel” compared with other initiatives practices had been involved in previously. This potentially stifled motivation and hindered their ability to progress with the HCH model:</w:t>
      </w:r>
    </w:p>
    <w:p w14:paraId="4C6BD9A4" w14:textId="77777777" w:rsidR="00DE168D" w:rsidRDefault="00DE168D" w:rsidP="00DE168D">
      <w:pPr>
        <w:ind w:left="567" w:right="1088"/>
      </w:pPr>
      <w:r>
        <w:t>“</w:t>
      </w:r>
      <w:r w:rsidRPr="00E703D7">
        <w:rPr>
          <w:i/>
          <w:iCs/>
        </w:rPr>
        <w:t>So, back when [the Primary Care] Collaborative was run, there was a very strong division of general practice and there was a collegiate feel between the practices as it was. And then when the Collaboratives ran, there were half a dozen practices in this region … And so we would meet regularly through video conference, and then every now and then, we’d all end up at a conference together, whether that’d be in [State] or whatever, and there was a real collegiate feel. People knew who was in it and then there was also that competition that developed where you knew who you were being compared with within your block, in your region … But that collegiate feel’s all been lost when the division went under and the Primary Health Network hasn’t done that</w:t>
      </w:r>
      <w:r>
        <w:t>.” [GP, R4, Practice 2]</w:t>
      </w:r>
    </w:p>
    <w:p w14:paraId="6089469D" w14:textId="4AC325C9" w:rsidR="00DE168D" w:rsidRDefault="00DE168D" w:rsidP="00DE168D">
      <w:r w:rsidRPr="00DD3BDF">
        <w:t xml:space="preserve">In November 2019, the Department of Health hosted a forum for practices participating in HCH and their PHNs. </w:t>
      </w:r>
      <w:r>
        <w:t>This</w:t>
      </w:r>
      <w:r w:rsidRPr="00DD3BDF">
        <w:t xml:space="preserve"> was the first time that the HCH community was brought together.</w:t>
      </w:r>
      <w:r>
        <w:t xml:space="preserve"> </w:t>
      </w:r>
      <w:r w:rsidRPr="00DE3878">
        <w:t>The practices interviewed after the event reported feeling more enthusiastic about HCH and its potential to transform care delivery within their practices</w:t>
      </w:r>
      <w:r>
        <w:t xml:space="preserve">. </w:t>
      </w:r>
      <w:r w:rsidRPr="00974BE3">
        <w:t>Both PHNs and practices also felt the forum should have been held earlier, at the start of the trial or at least while practices were still able to enrol patients</w:t>
      </w:r>
      <w:r w:rsidR="00A36588">
        <w:t>:</w:t>
      </w:r>
    </w:p>
    <w:p w14:paraId="18647D92" w14:textId="32546D22" w:rsidR="00903447" w:rsidRDefault="00903447" w:rsidP="00903447">
      <w:pPr>
        <w:ind w:left="567"/>
      </w:pPr>
      <w:r w:rsidRPr="00903447">
        <w:rPr>
          <w:i/>
          <w:iCs/>
        </w:rPr>
        <w:t xml:space="preserve">“We did feel though and I’ve said this to [practice facilitator], and pretty much everyone that I talked to…if that forum would have happened six months prior to the cut-off date of admissions, you would have seen a lot more people being enrolled…we would have been armed with a lot more information to actually go back and go right, this is what we want to do. And these are the kinds of patients we want to target.” </w:t>
      </w:r>
      <w:r w:rsidRPr="00903447">
        <w:t>[Practice Manager, Practice 15, R4]</w:t>
      </w:r>
    </w:p>
    <w:p w14:paraId="42B87178" w14:textId="6784DDD1" w:rsidR="00903447" w:rsidRDefault="00903447" w:rsidP="00903447">
      <w:pPr>
        <w:ind w:left="567"/>
      </w:pPr>
      <w:r w:rsidRPr="00903447">
        <w:rPr>
          <w:i/>
          <w:iCs/>
        </w:rPr>
        <w:t>“Our nurse and administrator went to [the forum] and were far more enthused, empowered [and] excited.”</w:t>
      </w:r>
      <w:r w:rsidRPr="00903447">
        <w:t xml:space="preserve"> [GP, Practice 7, R4]</w:t>
      </w:r>
    </w:p>
    <w:p w14:paraId="0D66CD4E" w14:textId="7B8A7EE2" w:rsidR="00DE168D" w:rsidRDefault="00DE168D" w:rsidP="00DE168D">
      <w:r w:rsidRPr="00272235">
        <w:rPr>
          <w:i/>
          <w:iCs/>
        </w:rPr>
        <w:t>Peer pressure</w:t>
      </w:r>
      <w:r>
        <w:t xml:space="preserve"> usually contributes to uptake when key peer or competitor organisations have already implemented the intervention. This is not likely to have been a factor in practices’ motivations to participate in the HCH trial given that very few </w:t>
      </w:r>
      <w:r w:rsidR="00AC7C93">
        <w:t>practices</w:t>
      </w:r>
      <w:r>
        <w:t xml:space="preserve"> in Australia were </w:t>
      </w:r>
      <w:r>
        <w:lastRenderedPageBreak/>
        <w:t>participating in PCMH readiness programs preceding the trial. Peer pressure is usually a motivator for the “late majority”,</w:t>
      </w:r>
      <w:r w:rsidRPr="009252C4">
        <w:rPr>
          <w:rStyle w:val="FootnoteReference"/>
          <w:color w:val="408BCA"/>
        </w:rPr>
        <w:footnoteReference w:id="129"/>
      </w:r>
      <w:r>
        <w:t xml:space="preserve"> that is, organisations implementing following the “tipping point”, which is t</w:t>
      </w:r>
      <w:r w:rsidRPr="00FB3E9F">
        <w:t>he critical point beyond which a significant and often unstoppable change takes place</w:t>
      </w:r>
      <w:r>
        <w:t>. HCH implementation did not reach a tipping point amongst Australian general practice.</w:t>
      </w:r>
    </w:p>
    <w:p w14:paraId="3BDEDBC3" w14:textId="2C9F7106" w:rsidR="00DE168D" w:rsidRDefault="00DE168D" w:rsidP="00DE168D">
      <w:r>
        <w:t xml:space="preserve">Two key </w:t>
      </w:r>
      <w:r w:rsidRPr="00E8189C">
        <w:rPr>
          <w:i/>
          <w:iCs/>
        </w:rPr>
        <w:t>external policy or incentive</w:t>
      </w:r>
      <w:r>
        <w:rPr>
          <w:i/>
          <w:iCs/>
        </w:rPr>
        <w:t>s</w:t>
      </w:r>
      <w:r>
        <w:t xml:space="preserve"> offered as part of the trial were a one-off incentive grant ($10,000 GST exclusive) for </w:t>
      </w:r>
      <w:r w:rsidRPr="00C52360">
        <w:t xml:space="preserve">be used </w:t>
      </w:r>
      <w:r>
        <w:t xml:space="preserve">for preparing for HCH, and the bundled payment. The bundled payment motivated some practices to participate but deterred others. While the evaluation didn’t explore reasons practices didn’t join the trial, one of the reasons that practices withdrew was that they </w:t>
      </w:r>
      <w:r w:rsidRPr="00E147C6">
        <w:t>perceived that the bundled payment was inadequate for the care required for patients with chronic illnesses</w:t>
      </w:r>
      <w:r>
        <w:t>. However, this view was often not universal within practices, and some persevered with the trial despite dissenting views within the practice:</w:t>
      </w:r>
    </w:p>
    <w:p w14:paraId="6FA1AB0B" w14:textId="3DA79F15" w:rsidR="00DE168D" w:rsidRPr="00E65AA6" w:rsidRDefault="00DE168D" w:rsidP="00DE168D">
      <w:pPr>
        <w:ind w:left="567" w:right="521"/>
        <w:rPr>
          <w:rFonts w:cs="Arial"/>
          <w:i/>
          <w:iCs/>
          <w:szCs w:val="20"/>
          <w:lang w:val="en-GB"/>
        </w:rPr>
      </w:pPr>
      <w:r w:rsidRPr="00E65AA6">
        <w:rPr>
          <w:rFonts w:cs="Arial"/>
          <w:i/>
          <w:iCs/>
          <w:szCs w:val="20"/>
          <w:lang w:val="en-GB"/>
        </w:rPr>
        <w:t xml:space="preserve">“I think they should definitely embrace it because some model along this line, focusing on preventive </w:t>
      </w:r>
      <w:r w:rsidR="00DA34EA">
        <w:rPr>
          <w:rFonts w:cs="Arial"/>
          <w:i/>
          <w:iCs/>
          <w:szCs w:val="20"/>
          <w:lang w:val="en-GB"/>
        </w:rPr>
        <w:t>health care</w:t>
      </w:r>
      <w:r w:rsidRPr="00E65AA6">
        <w:rPr>
          <w:rFonts w:cs="Arial"/>
          <w:i/>
          <w:iCs/>
          <w:szCs w:val="20"/>
          <w:lang w:val="en-GB"/>
        </w:rPr>
        <w:t xml:space="preserve"> and increasing patient autonomy, will have to be the way of the future. The fee-for-service model is not going to stay. It just can’t.” </w:t>
      </w:r>
      <w:r w:rsidRPr="00F72BCC">
        <w:rPr>
          <w:rFonts w:cs="Arial"/>
          <w:szCs w:val="20"/>
          <w:lang w:val="en-GB"/>
        </w:rPr>
        <w:t>[GP, Practice 4, R5]</w:t>
      </w:r>
    </w:p>
    <w:p w14:paraId="282BB1B8" w14:textId="5772FBC0" w:rsidR="00DE168D" w:rsidRDefault="00DE168D" w:rsidP="00DE168D">
      <w:r>
        <w:t xml:space="preserve">Nevertheless, one of the effects of this was that these practices ended up with a low volume of patients enrolled, leading to an inability to offset any losses with gains and lack of flexibility to use the funds to provide services to </w:t>
      </w:r>
      <w:r w:rsidR="00E460A1">
        <w:t>enable patients to better self-manage</w:t>
      </w:r>
      <w:r>
        <w:t>.</w:t>
      </w:r>
    </w:p>
    <w:p w14:paraId="2F4DA8E6" w14:textId="77777777" w:rsidR="00DE168D" w:rsidRDefault="00DE168D" w:rsidP="00DE168D">
      <w:r>
        <w:t>For practices that stayed in the trial, a key issue was very complex patients, for whom they thought that even the highest tier payment wasn’t enough:</w:t>
      </w:r>
    </w:p>
    <w:p w14:paraId="51555D37" w14:textId="77777777" w:rsidR="00DE168D" w:rsidRPr="0068164A" w:rsidRDefault="00DE168D" w:rsidP="00DE168D">
      <w:pPr>
        <w:ind w:left="567" w:right="521"/>
        <w:rPr>
          <w:szCs w:val="20"/>
          <w:lang w:val="en-GB"/>
        </w:rPr>
      </w:pPr>
      <w:r>
        <w:rPr>
          <w:i/>
          <w:iCs/>
          <w:szCs w:val="20"/>
          <w:lang w:val="en-GB"/>
        </w:rPr>
        <w:t xml:space="preserve">“… </w:t>
      </w:r>
      <w:r w:rsidRPr="00662AEE">
        <w:rPr>
          <w:i/>
          <w:iCs/>
          <w:szCs w:val="20"/>
          <w:lang w:val="en-GB"/>
        </w:rPr>
        <w:t xml:space="preserve">the next thought is that we’ve got some very complex patients at our </w:t>
      </w:r>
      <w:r>
        <w:rPr>
          <w:i/>
          <w:iCs/>
          <w:szCs w:val="20"/>
          <w:lang w:val="en-GB"/>
        </w:rPr>
        <w:t>tier</w:t>
      </w:r>
      <w:r w:rsidRPr="00662AEE">
        <w:rPr>
          <w:i/>
          <w:iCs/>
          <w:szCs w:val="20"/>
          <w:lang w:val="en-GB"/>
        </w:rPr>
        <w:t xml:space="preserve"> 3 level. And there’s no way that the process of payments as they’re coming through in Health</w:t>
      </w:r>
      <w:r>
        <w:rPr>
          <w:i/>
          <w:iCs/>
          <w:szCs w:val="20"/>
          <w:lang w:val="en-GB"/>
        </w:rPr>
        <w:t xml:space="preserve"> C</w:t>
      </w:r>
      <w:r w:rsidRPr="00662AEE">
        <w:rPr>
          <w:i/>
          <w:iCs/>
          <w:szCs w:val="20"/>
          <w:lang w:val="en-GB"/>
        </w:rPr>
        <w:t xml:space="preserve">are Home block funding model would match the Medicare money that we would earn from seeing those more complex patients on a </w:t>
      </w:r>
      <w:r>
        <w:rPr>
          <w:i/>
          <w:iCs/>
          <w:szCs w:val="20"/>
          <w:lang w:val="en-GB"/>
        </w:rPr>
        <w:t>fee-for-service</w:t>
      </w:r>
      <w:r w:rsidRPr="00662AEE">
        <w:rPr>
          <w:i/>
          <w:iCs/>
          <w:szCs w:val="20"/>
          <w:lang w:val="en-GB"/>
        </w:rPr>
        <w:t xml:space="preserve"> basis.”</w:t>
      </w:r>
      <w:r w:rsidRPr="00662AEE">
        <w:rPr>
          <w:szCs w:val="20"/>
          <w:lang w:val="en-GB"/>
        </w:rPr>
        <w:t xml:space="preserve"> [GP, Practice 12</w:t>
      </w:r>
      <w:r>
        <w:rPr>
          <w:szCs w:val="20"/>
          <w:lang w:val="en-GB"/>
        </w:rPr>
        <w:t>, R4</w:t>
      </w:r>
      <w:r w:rsidRPr="00662AEE">
        <w:rPr>
          <w:szCs w:val="20"/>
          <w:lang w:val="en-GB"/>
        </w:rPr>
        <w:t>]</w:t>
      </w:r>
    </w:p>
    <w:p w14:paraId="52E5E2C4" w14:textId="77777777" w:rsidR="00DE168D" w:rsidRDefault="00DE168D" w:rsidP="00DE168D">
      <w:pPr>
        <w:ind w:right="522"/>
        <w:rPr>
          <w:szCs w:val="20"/>
        </w:rPr>
      </w:pPr>
      <w:r>
        <w:rPr>
          <w:szCs w:val="20"/>
        </w:rPr>
        <w:t xml:space="preserve">Several practices and PHNs suggested providing further incentives that focus on prevention and patient outcomes. These included engaging and incentivising other providers and stakeholders </w:t>
      </w:r>
      <w:r w:rsidRPr="00CA640C">
        <w:rPr>
          <w:szCs w:val="20"/>
        </w:rPr>
        <w:t xml:space="preserve">across the health system </w:t>
      </w:r>
      <w:r>
        <w:rPr>
          <w:szCs w:val="20"/>
        </w:rPr>
        <w:t>to work to achieve a common goal:</w:t>
      </w:r>
    </w:p>
    <w:p w14:paraId="58396699" w14:textId="77777777" w:rsidR="00DE168D" w:rsidRDefault="00DE168D" w:rsidP="00DE168D">
      <w:pPr>
        <w:ind w:left="567" w:right="521"/>
        <w:rPr>
          <w:szCs w:val="20"/>
        </w:rPr>
      </w:pPr>
      <w:r w:rsidRPr="00B21A54">
        <w:rPr>
          <w:i/>
          <w:iCs/>
          <w:szCs w:val="20"/>
        </w:rPr>
        <w:t>“…the government sees the big reward as they can keep people out of hospitals, then that’s a lot cheaper for the government. But to really reflect that, it would be, for example, can clinics get paid more if their patients are hospitalised less compared to the expected rate? While in reality, yes, we get paid whether or not we see the patient, but it doesn't in itself incentivise better health outcomes…I think it</w:t>
      </w:r>
      <w:r w:rsidRPr="00B21A54">
        <w:rPr>
          <w:rFonts w:cs="Century Gothic"/>
          <w:i/>
          <w:iCs/>
          <w:szCs w:val="20"/>
        </w:rPr>
        <w:t>’</w:t>
      </w:r>
      <w:r w:rsidRPr="00B21A54">
        <w:rPr>
          <w:i/>
          <w:iCs/>
          <w:szCs w:val="20"/>
        </w:rPr>
        <w:t>s important to recognise that whether it</w:t>
      </w:r>
      <w:r w:rsidRPr="00B21A54">
        <w:rPr>
          <w:rFonts w:cs="Century Gothic"/>
          <w:i/>
          <w:iCs/>
          <w:szCs w:val="20"/>
        </w:rPr>
        <w:t>’</w:t>
      </w:r>
      <w:r w:rsidRPr="00B21A54">
        <w:rPr>
          <w:i/>
          <w:iCs/>
          <w:szCs w:val="20"/>
        </w:rPr>
        <w:t>s intended or not, however a system is set up will incentivise certain behaviours and not others. What</w:t>
      </w:r>
      <w:r w:rsidRPr="00B21A54">
        <w:rPr>
          <w:rFonts w:cs="Century Gothic"/>
          <w:i/>
          <w:iCs/>
          <w:szCs w:val="20"/>
        </w:rPr>
        <w:t>’</w:t>
      </w:r>
      <w:r w:rsidRPr="00B21A54">
        <w:rPr>
          <w:i/>
          <w:iCs/>
          <w:szCs w:val="20"/>
        </w:rPr>
        <w:t xml:space="preserve">s happened with Medicare is Medicare incentivises face-to-face generally quicker </w:t>
      </w:r>
      <w:r w:rsidRPr="00B21A54">
        <w:rPr>
          <w:i/>
          <w:iCs/>
          <w:szCs w:val="20"/>
        </w:rPr>
        <w:lastRenderedPageBreak/>
        <w:t>consults, because it doesn't pay as well for longer, complex care. And Health Care Homes in theory could address that, but it does have those weaknesses in the current format.”</w:t>
      </w:r>
      <w:r>
        <w:rPr>
          <w:szCs w:val="20"/>
        </w:rPr>
        <w:t xml:space="preserve"> [GP, Practice 22, R5]</w:t>
      </w:r>
    </w:p>
    <w:p w14:paraId="2D21DCEA" w14:textId="3E5FDA2E" w:rsidR="00DE168D" w:rsidRDefault="00DE168D" w:rsidP="00DE168D">
      <w:pPr>
        <w:ind w:right="521"/>
      </w:pPr>
      <w:r>
        <w:rPr>
          <w:szCs w:val="20"/>
        </w:rPr>
        <w:t>Benchmarking is an external incentive that can motivate organisations to implement and maintain an intervention. In the HCH trial, a</w:t>
      </w:r>
      <w:r w:rsidRPr="00C22405">
        <w:rPr>
          <w:szCs w:val="20"/>
        </w:rPr>
        <w:t xml:space="preserve">s a means of feeding back data received for the evaluation, the evaluators disseminated benchmark reports </w:t>
      </w:r>
      <w:r>
        <w:rPr>
          <w:szCs w:val="20"/>
        </w:rPr>
        <w:t>to practices and</w:t>
      </w:r>
      <w:r w:rsidRPr="00C22405">
        <w:rPr>
          <w:szCs w:val="20"/>
        </w:rPr>
        <w:t xml:space="preserve"> PHNs at six</w:t>
      </w:r>
      <w:r>
        <w:rPr>
          <w:szCs w:val="20"/>
        </w:rPr>
        <w:t>-</w:t>
      </w:r>
      <w:r w:rsidRPr="00C22405">
        <w:rPr>
          <w:szCs w:val="20"/>
        </w:rPr>
        <w:t xml:space="preserve">monthly intervals. The reports </w:t>
      </w:r>
      <w:r>
        <w:rPr>
          <w:szCs w:val="20"/>
        </w:rPr>
        <w:t>were</w:t>
      </w:r>
      <w:r w:rsidRPr="00C22405">
        <w:rPr>
          <w:szCs w:val="20"/>
        </w:rPr>
        <w:t xml:space="preserve"> largely based on practice data extracts, with selected demographic and enrolment data from the HPOS extracts. </w:t>
      </w:r>
      <w:r w:rsidRPr="00294983">
        <w:rPr>
          <w:szCs w:val="20"/>
        </w:rPr>
        <w:t>One</w:t>
      </w:r>
      <w:r w:rsidR="001D0F94">
        <w:rPr>
          <w:szCs w:val="20"/>
        </w:rPr>
        <w:t xml:space="preserve"> </w:t>
      </w:r>
      <w:r w:rsidRPr="00294983">
        <w:rPr>
          <w:szCs w:val="20"/>
        </w:rPr>
        <w:t>third</w:t>
      </w:r>
      <w:r>
        <w:rPr>
          <w:szCs w:val="20"/>
        </w:rPr>
        <w:t xml:space="preserve"> of practices </w:t>
      </w:r>
      <w:r w:rsidRPr="00294983">
        <w:rPr>
          <w:szCs w:val="20"/>
        </w:rPr>
        <w:t xml:space="preserve">rated the reports as </w:t>
      </w:r>
      <w:r w:rsidRPr="00CD3EC7">
        <w:rPr>
          <w:szCs w:val="20"/>
        </w:rPr>
        <w:t>moderately useful. They commented qualitatively that they generally found the reports valuable, asking for them to be more frequent and automatically emailed to the practice for easier access (they were distributed to practices through the HCH evaluation online portal, which required a secure login for each practice). They expressed an interest in seeing more comparisons of patient outcomes, or proxies for patient outcomes like average HbA1c, and were also interested in seeing deeper comparisons with like practices through more detailed patient demographics</w:t>
      </w:r>
      <w:r>
        <w:rPr>
          <w:szCs w:val="20"/>
        </w:rPr>
        <w:t>:</w:t>
      </w:r>
    </w:p>
    <w:p w14:paraId="0724D4FA" w14:textId="77777777" w:rsidR="00DE168D" w:rsidRDefault="00DE168D" w:rsidP="00DE168D">
      <w:pPr>
        <w:ind w:left="567" w:right="521"/>
        <w:rPr>
          <w:lang w:val="en-GB"/>
        </w:rPr>
      </w:pPr>
      <w:r w:rsidRPr="00747FBA">
        <w:rPr>
          <w:i/>
          <w:iCs/>
          <w:lang w:val="en-GB"/>
        </w:rPr>
        <w:t>“…I think a key weakness of our system and I think it also relates to Health Care Home program is benchmarking…it’s very difficult as the practice principal here to have much data about how do we compare to other practices with almost any metric, you might want to pick…if in theory being part of the Health Care Home program means that we’re more proactive with helping people manage their chronic health issues and that maybe they end up with better targets for blood pressure or fewer relapses or whatever</w:t>
      </w:r>
      <w:r>
        <w:rPr>
          <w:i/>
          <w:iCs/>
          <w:lang w:val="en-GB"/>
        </w:rPr>
        <w:t xml:space="preserve">… </w:t>
      </w:r>
      <w:r w:rsidRPr="00747FBA">
        <w:rPr>
          <w:i/>
          <w:iCs/>
          <w:lang w:val="en-GB"/>
        </w:rPr>
        <w:t>And I think without that level of data tracking, it’s hard for us to understand at an individual level, is this even beneficial in making a difference to anyone.”</w:t>
      </w:r>
      <w:r w:rsidRPr="00747FBA">
        <w:rPr>
          <w:lang w:val="en-GB"/>
        </w:rPr>
        <w:t xml:space="preserve"> [GP, Practice </w:t>
      </w:r>
      <w:r>
        <w:rPr>
          <w:lang w:val="en-GB"/>
        </w:rPr>
        <w:t>22, R4</w:t>
      </w:r>
      <w:r w:rsidRPr="00747FBA">
        <w:rPr>
          <w:lang w:val="en-GB"/>
        </w:rPr>
        <w:t>]</w:t>
      </w:r>
    </w:p>
    <w:p w14:paraId="273AE122" w14:textId="77777777" w:rsidR="00DE168D" w:rsidRDefault="00DE168D" w:rsidP="00DE168D">
      <w:pPr>
        <w:pStyle w:val="Heading2"/>
      </w:pPr>
      <w:bookmarkStart w:id="510" w:name="_Toc109996776"/>
      <w:r>
        <w:t>The inner setting</w:t>
      </w:r>
      <w:bookmarkEnd w:id="510"/>
    </w:p>
    <w:p w14:paraId="18DB89F4" w14:textId="335062CC" w:rsidR="00DE168D" w:rsidRDefault="00DE168D" w:rsidP="00DE168D">
      <w:r>
        <w:t xml:space="preserve">The inner setting includes the structural, political and cultural features </w:t>
      </w:r>
      <w:r w:rsidR="00930207">
        <w:t>of</w:t>
      </w:r>
      <w:r>
        <w:t xml:space="preserve"> organisations. </w:t>
      </w:r>
      <w:r w:rsidR="006F2235">
        <w:t xml:space="preserve">The </w:t>
      </w:r>
      <w:r>
        <w:t xml:space="preserve">CFIR identifies </w:t>
      </w:r>
      <w:r w:rsidR="00236313">
        <w:t>five</w:t>
      </w:r>
      <w:r>
        <w:t xml:space="preserve"> components of the inner setting: structural characteristics, networks and communications, culture, implementation climate and readiness for implementation. The boundary between the outer and inner settings isn’t always clear, and the relationships between the two settings are dynamic. The breadth of the inner setting for any organisation will depend on how the implementation is approached. For example, for </w:t>
      </w:r>
      <w:r w:rsidR="00AB1C1C">
        <w:t>corporately</w:t>
      </w:r>
      <w:r w:rsidR="00371372">
        <w:t>-</w:t>
      </w:r>
      <w:r w:rsidR="00AB1C1C">
        <w:t>owned</w:t>
      </w:r>
      <w:r>
        <w:t xml:space="preserve"> practices, depending on the extent to which the corporate head office is involved in the implementation, the inner setting may include implementation amongst multiple practices.</w:t>
      </w:r>
    </w:p>
    <w:p w14:paraId="39481CC0" w14:textId="54C6628C" w:rsidR="00DE168D" w:rsidRDefault="00DE168D" w:rsidP="00DE168D">
      <w:r w:rsidRPr="00CF05A0">
        <w:rPr>
          <w:i/>
          <w:iCs/>
        </w:rPr>
        <w:t>Structural characteristics</w:t>
      </w:r>
      <w:r>
        <w:t xml:space="preserve"> include the social architecture, age, maturity and size of an organisation. Social architecture means how people are organised and differentiated within an organisation. It includes the number of units/departments and the number of occupational types. Implementation is more effective when there is a wide range of occupational types (due to drawing on a wider knowledge base),</w:t>
      </w:r>
      <w:r w:rsidRPr="00AC0E4C">
        <w:rPr>
          <w:rStyle w:val="FootnoteReference"/>
          <w:color w:val="408BCA"/>
        </w:rPr>
        <w:footnoteReference w:id="130"/>
      </w:r>
      <w:r w:rsidRPr="00AC0E4C">
        <w:rPr>
          <w:color w:val="408BCA"/>
        </w:rPr>
        <w:t xml:space="preserve"> </w:t>
      </w:r>
      <w:r>
        <w:t xml:space="preserve">when more than one </w:t>
      </w:r>
      <w:r>
        <w:lastRenderedPageBreak/>
        <w:t>group participates in decision-making,</w:t>
      </w:r>
      <w:r w:rsidRPr="00AC0E4C">
        <w:rPr>
          <w:rStyle w:val="FootnoteReference"/>
          <w:color w:val="408BCA"/>
        </w:rPr>
        <w:footnoteReference w:id="131"/>
      </w:r>
      <w:r>
        <w:t xml:space="preserve"> and when there is greater managerial/</w:t>
      </w:r>
      <w:r w:rsidR="00CD0CF2">
        <w:t xml:space="preserve"> </w:t>
      </w:r>
      <w:r>
        <w:t>administrative support.</w:t>
      </w:r>
      <w:r w:rsidRPr="00AC0E4C">
        <w:rPr>
          <w:rStyle w:val="FootnoteReference"/>
          <w:color w:val="408BCA"/>
        </w:rPr>
        <w:footnoteReference w:id="132"/>
      </w:r>
      <w:r>
        <w:t xml:space="preserve"> </w:t>
      </w:r>
    </w:p>
    <w:p w14:paraId="1E83B3B0" w14:textId="4C9C4A05" w:rsidR="00DE168D" w:rsidRDefault="003E43E4" w:rsidP="00DE168D">
      <w:r>
        <w:t>In the</w:t>
      </w:r>
      <w:r w:rsidR="00B0482A" w:rsidRPr="00F13C73">
        <w:t xml:space="preserve"> HCH</w:t>
      </w:r>
      <w:r w:rsidR="00F13C73">
        <w:t xml:space="preserve"> trial</w:t>
      </w:r>
      <w:r>
        <w:t xml:space="preserve">, </w:t>
      </w:r>
      <w:r w:rsidR="00F13C73">
        <w:t>solo GP practices</w:t>
      </w:r>
      <w:r>
        <w:t xml:space="preserve"> </w:t>
      </w:r>
      <w:r w:rsidR="00F13C73">
        <w:t>represented the smallest proportion of total practices participating at any time (12%)</w:t>
      </w:r>
      <w:r>
        <w:t xml:space="preserve">. Sixty per cent </w:t>
      </w:r>
      <w:r w:rsidR="00374405">
        <w:t>withdrew</w:t>
      </w:r>
      <w:r w:rsidR="00282135">
        <w:t xml:space="preserve"> over the </w:t>
      </w:r>
      <w:r w:rsidR="007E61AD">
        <w:t>course of the trial</w:t>
      </w:r>
      <w:r w:rsidR="00E23101">
        <w:t>,</w:t>
      </w:r>
      <w:r w:rsidR="007E61AD">
        <w:t xml:space="preserve"> the highest </w:t>
      </w:r>
      <w:r w:rsidR="00E23101">
        <w:t>proportion amongst all other groups by size</w:t>
      </w:r>
      <w:r w:rsidR="00F13C73">
        <w:t>.</w:t>
      </w:r>
      <w:r w:rsidR="003D1B77">
        <w:t xml:space="preserve"> </w:t>
      </w:r>
      <w:r w:rsidR="003D1B77" w:rsidRPr="003D1B77">
        <w:t>While solo GP practices face greater challenges in becoming a medical home, the literature shows that it is possible with appropriate supports such as from nurses and medical practice assistance, and access to practice redesign expertise.</w:t>
      </w:r>
      <w:r w:rsidR="003D1B77" w:rsidRPr="0094777C">
        <w:rPr>
          <w:rStyle w:val="FootnoteReference"/>
          <w:color w:val="408BCA"/>
        </w:rPr>
        <w:footnoteReference w:id="133"/>
      </w:r>
    </w:p>
    <w:p w14:paraId="3D913AC8" w14:textId="7EFA6C12" w:rsidR="00DE168D" w:rsidRDefault="00DE168D" w:rsidP="00DE168D">
      <w:r>
        <w:t xml:space="preserve">As mentioned earlier, where the decision to join the trial was made by a corporate office or </w:t>
      </w:r>
      <w:r w:rsidR="000277D5">
        <w:t>one or two people</w:t>
      </w:r>
      <w:r>
        <w:t xml:space="preserve"> who hadn’t consulted </w:t>
      </w:r>
      <w:r w:rsidR="003D354E">
        <w:t>with others in</w:t>
      </w:r>
      <w:r>
        <w:t xml:space="preserve"> the practice, practices withdrew.</w:t>
      </w:r>
    </w:p>
    <w:p w14:paraId="0788EE51" w14:textId="647D1E58" w:rsidR="00DE168D" w:rsidRDefault="00DE168D" w:rsidP="00DE168D">
      <w:r>
        <w:t xml:space="preserve">Other structural characteristics </w:t>
      </w:r>
      <w:r w:rsidR="0066667F">
        <w:t>for which data was available</w:t>
      </w:r>
      <w:r>
        <w:t xml:space="preserve"> in the evaluation were size and ownership status.</w:t>
      </w:r>
    </w:p>
    <w:p w14:paraId="2B2B3CDE" w14:textId="720B2062" w:rsidR="00DE168D" w:rsidRDefault="00DE168D" w:rsidP="00DE168D">
      <w:r>
        <w:t xml:space="preserve">While larger practices had more staff and infrastructure to implement the model, they also took more time for implementation due to the need to get a larger group of people engaged and a wider set of processes to change. Smaller practices had more flexibility to make and implement decisions, but they had less resources and were more greatly affected by turnover of key staff compared with larger practices. </w:t>
      </w:r>
      <w:r w:rsidRPr="008D422E">
        <w:t xml:space="preserve">Regardless of practice size, PHNs and practices reinforced that strong leadership, staff buy-in and </w:t>
      </w:r>
      <w:r w:rsidR="00960C79">
        <w:t>a larger</w:t>
      </w:r>
      <w:r w:rsidRPr="008D422E">
        <w:t xml:space="preserve"> scale of HCH patients were integral to program success</w:t>
      </w:r>
      <w:r w:rsidR="0066667F">
        <w:t>:</w:t>
      </w:r>
    </w:p>
    <w:p w14:paraId="2F5102CE" w14:textId="5B92DF7A" w:rsidR="002608C0" w:rsidRDefault="002608C0" w:rsidP="002608C0">
      <w:pPr>
        <w:spacing w:after="0" w:line="256" w:lineRule="auto"/>
        <w:ind w:left="567"/>
        <w:rPr>
          <w:color w:val="000000" w:themeColor="text1"/>
          <w:szCs w:val="20"/>
        </w:rPr>
      </w:pPr>
      <w:r w:rsidRPr="007A3889">
        <w:rPr>
          <w:i/>
          <w:iCs/>
          <w:color w:val="000000" w:themeColor="text1"/>
          <w:szCs w:val="20"/>
          <w:lang w:val="en-US"/>
        </w:rPr>
        <w:t>“It</w:t>
      </w:r>
      <w:r w:rsidRPr="007A3889">
        <w:rPr>
          <w:rFonts w:cs="Calibri"/>
          <w:i/>
          <w:iCs/>
          <w:color w:val="000000" w:themeColor="text1"/>
          <w:szCs w:val="20"/>
          <w:lang w:val="en-US"/>
        </w:rPr>
        <w:t>’</w:t>
      </w:r>
      <w:r w:rsidRPr="007A3889">
        <w:rPr>
          <w:i/>
          <w:iCs/>
          <w:color w:val="000000" w:themeColor="text1"/>
          <w:szCs w:val="20"/>
          <w:lang w:val="en-US"/>
        </w:rPr>
        <w:t>s that critical mass to making a practice, it becomes their way of working rather than a model that</w:t>
      </w:r>
      <w:r w:rsidRPr="007A3889">
        <w:rPr>
          <w:rFonts w:cs="Calibri"/>
          <w:i/>
          <w:iCs/>
          <w:color w:val="000000" w:themeColor="text1"/>
          <w:szCs w:val="20"/>
          <w:lang w:val="en-US"/>
        </w:rPr>
        <w:t>’</w:t>
      </w:r>
      <w:r w:rsidRPr="007A3889">
        <w:rPr>
          <w:i/>
          <w:iCs/>
          <w:color w:val="000000" w:themeColor="text1"/>
          <w:szCs w:val="20"/>
          <w:lang w:val="en-US"/>
        </w:rPr>
        <w:t>s running on the side of the desk ultimately.”</w:t>
      </w:r>
      <w:r w:rsidR="007A3889">
        <w:rPr>
          <w:i/>
          <w:iCs/>
          <w:color w:val="000000" w:themeColor="text1"/>
          <w:szCs w:val="20"/>
          <w:lang w:val="en-US"/>
        </w:rPr>
        <w:t xml:space="preserve"> </w:t>
      </w:r>
      <w:r w:rsidR="007A3889">
        <w:rPr>
          <w:color w:val="000000" w:themeColor="text1"/>
          <w:szCs w:val="20"/>
        </w:rPr>
        <w:t>[</w:t>
      </w:r>
      <w:r w:rsidRPr="002608C0">
        <w:rPr>
          <w:color w:val="000000" w:themeColor="text1"/>
          <w:szCs w:val="20"/>
        </w:rPr>
        <w:t>PHN 7, Interview, R5]</w:t>
      </w:r>
    </w:p>
    <w:p w14:paraId="10B39166" w14:textId="77777777" w:rsidR="002608C0" w:rsidRPr="002608C0" w:rsidRDefault="002608C0" w:rsidP="002608C0">
      <w:pPr>
        <w:spacing w:after="0" w:line="256" w:lineRule="auto"/>
        <w:ind w:left="567"/>
        <w:rPr>
          <w:rFonts w:ascii="Century Gothic" w:hAnsi="Century Gothic"/>
          <w:color w:val="000000" w:themeColor="text1"/>
          <w:szCs w:val="20"/>
          <w:lang w:val="en-US"/>
        </w:rPr>
      </w:pPr>
    </w:p>
    <w:p w14:paraId="61757343" w14:textId="5247E708" w:rsidR="00B91F72" w:rsidRPr="002608C0" w:rsidRDefault="002608C0" w:rsidP="002608C0">
      <w:pPr>
        <w:ind w:left="567"/>
        <w:rPr>
          <w:color w:val="000000" w:themeColor="text1"/>
          <w:szCs w:val="20"/>
          <w:lang w:val="en-GB"/>
        </w:rPr>
      </w:pPr>
      <w:r w:rsidRPr="002608C0">
        <w:rPr>
          <w:i/>
          <w:iCs/>
          <w:color w:val="000000" w:themeColor="text1"/>
          <w:szCs w:val="20"/>
          <w:lang w:val="en-GB"/>
        </w:rPr>
        <w:t>“Those practices that have bit piece number of patients, they can’t change that model of care. They just don’t have the volume to justify changing it…I knew, once you get to the tipping point, or mass of patients, you don’t have to worry about the funding.”</w:t>
      </w:r>
      <w:r w:rsidRPr="002608C0">
        <w:rPr>
          <w:color w:val="000000" w:themeColor="text1"/>
          <w:szCs w:val="20"/>
          <w:lang w:val="en-GB"/>
        </w:rPr>
        <w:t xml:space="preserve"> [Practice Owner, Practice 9, R4]</w:t>
      </w:r>
    </w:p>
    <w:p w14:paraId="34CAE744" w14:textId="5FBB23F1" w:rsidR="00DE168D" w:rsidRDefault="00DE168D" w:rsidP="00DE168D">
      <w:r>
        <w:t xml:space="preserve">Similar to practice size, there were advantages and disadvantages to operating HCH in corporate versus </w:t>
      </w:r>
      <w:r w:rsidR="00AB1C1C">
        <w:t>independently owned</w:t>
      </w:r>
      <w:r>
        <w:t xml:space="preserve"> practices. In many instances corporate practices were also large practices and </w:t>
      </w:r>
      <w:r w:rsidR="00AB1C1C">
        <w:t>independently owned</w:t>
      </w:r>
      <w:r>
        <w:t xml:space="preserve"> practices were usually medium-sized</w:t>
      </w:r>
      <w:r w:rsidR="00960C79">
        <w:t xml:space="preserve"> or small</w:t>
      </w:r>
      <w:r>
        <w:t>; therefore, there was some level of overlap when comparing practices’ experiences based on practice size and ownership.</w:t>
      </w:r>
      <w:r w:rsidR="00FC623A">
        <w:t xml:space="preserve"> </w:t>
      </w:r>
      <w:r w:rsidR="00786735">
        <w:rPr>
          <w:rFonts w:eastAsia="Muli" w:cs="Muli"/>
          <w:color w:val="000000" w:themeColor="text1"/>
          <w:szCs w:val="20"/>
        </w:rPr>
        <w:t>Again, similar to practice</w:t>
      </w:r>
      <w:r w:rsidR="00FC623A">
        <w:rPr>
          <w:rFonts w:eastAsia="Muli" w:cs="Muli"/>
          <w:color w:val="000000" w:themeColor="text1"/>
          <w:szCs w:val="20"/>
        </w:rPr>
        <w:t xml:space="preserve"> size, barriers</w:t>
      </w:r>
      <w:r w:rsidR="00786735">
        <w:rPr>
          <w:rFonts w:eastAsia="Muli" w:cs="Muli"/>
          <w:color w:val="000000" w:themeColor="text1"/>
          <w:szCs w:val="20"/>
        </w:rPr>
        <w:t xml:space="preserve"> associated with ownership status</w:t>
      </w:r>
      <w:r w:rsidR="00FC623A">
        <w:rPr>
          <w:rFonts w:eastAsia="Muli" w:cs="Muli"/>
          <w:color w:val="000000" w:themeColor="text1"/>
          <w:szCs w:val="20"/>
        </w:rPr>
        <w:t xml:space="preserve"> should be identified and addressed, and enablers leveraged </w:t>
      </w:r>
      <w:r w:rsidR="00FC623A" w:rsidRPr="00E40E15">
        <w:rPr>
          <w:rFonts w:eastAsia="Muli" w:cs="Muli"/>
          <w:color w:val="000000" w:themeColor="text1"/>
          <w:szCs w:val="20"/>
        </w:rPr>
        <w:t xml:space="preserve">to facilitate </w:t>
      </w:r>
      <w:r w:rsidR="00FC623A">
        <w:rPr>
          <w:rFonts w:eastAsia="Muli" w:cs="Muli"/>
          <w:color w:val="000000" w:themeColor="text1"/>
          <w:szCs w:val="20"/>
        </w:rPr>
        <w:t>change.</w:t>
      </w:r>
    </w:p>
    <w:p w14:paraId="6716F4A4" w14:textId="2EB21A42" w:rsidR="00DE168D" w:rsidRPr="008064EA" w:rsidRDefault="00DE168D" w:rsidP="00DE168D">
      <w:r>
        <w:t xml:space="preserve">Teams enhance the </w:t>
      </w:r>
      <w:r w:rsidRPr="00376F65">
        <w:rPr>
          <w:i/>
          <w:iCs/>
        </w:rPr>
        <w:t>networks and communications</w:t>
      </w:r>
      <w:r>
        <w:t xml:space="preserve"> within an organisation and are an important ingredient for successfully implementing interventions. In the case of HCH, it was </w:t>
      </w:r>
      <w:r>
        <w:lastRenderedPageBreak/>
        <w:t>also one of the components of the intervention itself. Goldberg et al.,</w:t>
      </w:r>
      <w:r w:rsidRPr="005C2536">
        <w:rPr>
          <w:rStyle w:val="FootnoteReference"/>
          <w:color w:val="408BCA"/>
        </w:rPr>
        <w:footnoteReference w:id="134"/>
      </w:r>
      <w:r w:rsidRPr="005C2536">
        <w:rPr>
          <w:color w:val="408BCA"/>
        </w:rPr>
        <w:t xml:space="preserve"> </w:t>
      </w:r>
      <w:r>
        <w:t xml:space="preserve">in a study of primary care practice transformation, identified team-based care as the “most critical method used to successfully transform practices to provide patient-centred care.” </w:t>
      </w:r>
      <w:r w:rsidRPr="005C2536">
        <w:rPr>
          <w:color w:val="408BCA"/>
          <w:vertAlign w:val="superscript"/>
        </w:rPr>
        <w:t>(p. 150)</w:t>
      </w:r>
      <w:r>
        <w:t xml:space="preserve"> </w:t>
      </w:r>
    </w:p>
    <w:p w14:paraId="76B428B8" w14:textId="77777777" w:rsidR="00DE168D" w:rsidRPr="00281415" w:rsidRDefault="00DE168D" w:rsidP="00DE168D">
      <w:r>
        <w:t xml:space="preserve">In </w:t>
      </w:r>
      <w:r w:rsidRPr="00281415">
        <w:t xml:space="preserve">terms of a team-based approach to implementing </w:t>
      </w:r>
      <w:r>
        <w:t xml:space="preserve">the </w:t>
      </w:r>
      <w:r w:rsidRPr="00281415">
        <w:t>initiative within the practice, practices identified this themselves:</w:t>
      </w:r>
    </w:p>
    <w:p w14:paraId="788AFF52" w14:textId="77777777" w:rsidR="00DE168D" w:rsidRPr="00281415" w:rsidRDefault="00DE168D" w:rsidP="00DE168D">
      <w:pPr>
        <w:ind w:left="567" w:right="1088"/>
      </w:pPr>
      <w:r w:rsidRPr="00281415">
        <w:t>“</w:t>
      </w:r>
      <w:r w:rsidRPr="00281415">
        <w:rPr>
          <w:i/>
          <w:iCs/>
        </w:rPr>
        <w:t>You… have to have a group of people that want to make it happen. It’s not a half-hearted exercise</w:t>
      </w:r>
      <w:r w:rsidRPr="00281415">
        <w:t>.” [</w:t>
      </w:r>
      <w:r w:rsidRPr="00281415">
        <w:rPr>
          <w:rFonts w:eastAsia="Times New Roman"/>
          <w:i/>
        </w:rPr>
        <w:t>Practice</w:t>
      </w:r>
      <w:r w:rsidRPr="00281415">
        <w:t xml:space="preserve"> Manager, R4, Practice 4]</w:t>
      </w:r>
    </w:p>
    <w:p w14:paraId="0771DCF6" w14:textId="77777777" w:rsidR="00DE168D" w:rsidRPr="00281415" w:rsidRDefault="00DE168D" w:rsidP="00DE168D">
      <w:r w:rsidRPr="00281415">
        <w:t xml:space="preserve">Having a team to drive change became more important as the </w:t>
      </w:r>
      <w:r>
        <w:t>trial</w:t>
      </w:r>
      <w:r w:rsidRPr="00281415">
        <w:t xml:space="preserve"> progressed as progress stopped altogether in some practices when the person that left was the one key person driving the initiative. </w:t>
      </w:r>
    </w:p>
    <w:p w14:paraId="363679B2" w14:textId="77777777" w:rsidR="00DE168D" w:rsidRDefault="00DE168D" w:rsidP="00DE168D">
      <w:r w:rsidRPr="00281415">
        <w:t>In terms of teams to provide patient-centred</w:t>
      </w:r>
      <w:r>
        <w:t xml:space="preserve"> care, practices identified barriers to developing teams and working as a team that included limited staff engagement in HCH within the practice, patients’ expectations about seeing their GP instead of another member of the team, GPs’ lack of willingness to delegate care responsibilities to other members of the team and time to meet regularly as a team. Effective leadership and behaviours that reinforce teams (such as regular meetings) have been suggested as ways to strengthen team members perceptions of their effectiveness of working as a team.</w:t>
      </w:r>
      <w:r w:rsidRPr="005C2536">
        <w:rPr>
          <w:rStyle w:val="FootnoteReference"/>
          <w:color w:val="408BCA"/>
        </w:rPr>
        <w:footnoteReference w:id="135"/>
      </w:r>
      <w:r>
        <w:t xml:space="preserve"> </w:t>
      </w:r>
    </w:p>
    <w:p w14:paraId="62E78192" w14:textId="77777777" w:rsidR="00DE168D" w:rsidRDefault="00DE168D" w:rsidP="00DE168D">
      <w:r>
        <w:t xml:space="preserve">Effective teams are cohesive, and one factor that threatens cohesion is staff turnover. The HCH trial suffered from staff turnover within practices. Staff turnover was a reason that some practices withdrew from the trial. Staff leaving also </w:t>
      </w:r>
      <w:r w:rsidRPr="004437E0">
        <w:t>often delayed implementation</w:t>
      </w:r>
      <w:r>
        <w:t xml:space="preserve">, </w:t>
      </w:r>
      <w:r w:rsidRPr="004437E0">
        <w:t>decreased motivation</w:t>
      </w:r>
      <w:r>
        <w:t xml:space="preserve"> and</w:t>
      </w:r>
      <w:r w:rsidRPr="004437E0">
        <w:t xml:space="preserve"> enthusiasm for the </w:t>
      </w:r>
      <w:r>
        <w:t>initiative</w:t>
      </w:r>
      <w:r w:rsidRPr="004437E0">
        <w:t xml:space="preserve"> amongst other staff</w:t>
      </w:r>
      <w:r>
        <w:t xml:space="preserve">, and disrupted services for patients. While staff turnover was not necessarily </w:t>
      </w:r>
      <w:r w:rsidRPr="0016623C">
        <w:t xml:space="preserve">a direct result of </w:t>
      </w:r>
      <w:r>
        <w:t>HCH</w:t>
      </w:r>
      <w:r w:rsidRPr="0016623C">
        <w:t xml:space="preserve"> implementation</w:t>
      </w:r>
      <w:r>
        <w:t>, recognition of the potential for job stress associated with change and opportunities to participate in decision making could be helpful in reducing staff turnover.</w:t>
      </w:r>
      <w:r w:rsidRPr="005C2536">
        <w:rPr>
          <w:rStyle w:val="FootnoteReference"/>
          <w:color w:val="408BCA"/>
        </w:rPr>
        <w:footnoteReference w:id="136"/>
      </w:r>
    </w:p>
    <w:p w14:paraId="6662AB0F" w14:textId="77777777" w:rsidR="00DE168D" w:rsidRPr="00281415" w:rsidRDefault="00DE168D" w:rsidP="00DE168D">
      <w:r w:rsidRPr="00281415">
        <w:t>Future initiatives need to focus on making teams more resilient in the face of change, for example, through distributing leadership amongst the team and diversifying skills among team members, so others can take on aspects of a role if someone leaves.</w:t>
      </w:r>
    </w:p>
    <w:p w14:paraId="7249434D" w14:textId="4110A7AE" w:rsidR="00DE168D" w:rsidRDefault="00DE168D" w:rsidP="00DE168D">
      <w:r w:rsidRPr="00240302">
        <w:rPr>
          <w:i/>
          <w:iCs/>
        </w:rPr>
        <w:t>Culture</w:t>
      </w:r>
      <w:r>
        <w:t xml:space="preserve"> is both an input and an outcome to effective implementation of a change initiative. In the HCH trial, practices that joined were likely to have a culture of innovation. </w:t>
      </w:r>
      <w:r w:rsidR="000D3514">
        <w:t>Indeed,</w:t>
      </w:r>
      <w:r>
        <w:t xml:space="preserve"> many were involved in other quality improvement initiatives before and during the trial:</w:t>
      </w:r>
    </w:p>
    <w:p w14:paraId="7FA7CD8A" w14:textId="77777777" w:rsidR="00DE168D" w:rsidRPr="008760C3" w:rsidRDefault="00DE168D" w:rsidP="00DE168D">
      <w:pPr>
        <w:ind w:left="567" w:right="1088"/>
        <w:rPr>
          <w:rFonts w:eastAsia="Times New Roman"/>
          <w:iCs/>
          <w:szCs w:val="20"/>
        </w:rPr>
      </w:pPr>
      <w:r w:rsidRPr="008760C3">
        <w:rPr>
          <w:rFonts w:eastAsia="Times New Roman"/>
          <w:i/>
          <w:iCs/>
          <w:szCs w:val="20"/>
        </w:rPr>
        <w:lastRenderedPageBreak/>
        <w:t xml:space="preserve">“We have been part of a journey towards developing patients in their medical home. Or achieving these attributes and principles for some time. </w:t>
      </w:r>
      <w:r w:rsidRPr="008760C3">
        <w:rPr>
          <w:rFonts w:eastAsia="Times New Roman"/>
          <w:iCs/>
          <w:szCs w:val="20"/>
        </w:rPr>
        <w:t>[The]</w:t>
      </w:r>
      <w:r w:rsidRPr="008760C3">
        <w:rPr>
          <w:rFonts w:eastAsia="Times New Roman"/>
          <w:i/>
          <w:iCs/>
          <w:szCs w:val="20"/>
        </w:rPr>
        <w:t xml:space="preserve"> Health Care Home program just simply enabled us to do that. We have been preparing for a couple of years and been involved heavily with the Primary Health Network and on that journey. Health Care Home was simply something that we could pick up and run with.” </w:t>
      </w:r>
      <w:r w:rsidRPr="008760C3">
        <w:rPr>
          <w:rFonts w:eastAsia="Times New Roman"/>
          <w:iCs/>
          <w:szCs w:val="20"/>
        </w:rPr>
        <w:t>[GP, Practice 5, interview</w:t>
      </w:r>
      <w:r>
        <w:rPr>
          <w:rFonts w:eastAsia="Times New Roman"/>
          <w:iCs/>
          <w:szCs w:val="20"/>
        </w:rPr>
        <w:t>, R2]</w:t>
      </w:r>
      <w:r w:rsidRPr="008760C3">
        <w:rPr>
          <w:rFonts w:eastAsia="Times New Roman"/>
          <w:iCs/>
          <w:szCs w:val="20"/>
        </w:rPr>
        <w:t xml:space="preserve"> </w:t>
      </w:r>
    </w:p>
    <w:p w14:paraId="5D4393F9" w14:textId="33130704" w:rsidR="00AE675B" w:rsidRPr="00BC653D" w:rsidRDefault="00DE168D" w:rsidP="007876F3">
      <w:r w:rsidRPr="00BC653D">
        <w:t xml:space="preserve">Many practices were also motivated to join the trial because HCH aligned with their values of providing patient-centred care, and some claimed that they were already </w:t>
      </w:r>
      <w:r w:rsidR="002C36F7">
        <w:t>practising</w:t>
      </w:r>
      <w:r w:rsidR="00C702D1" w:rsidRPr="00BC653D">
        <w:t xml:space="preserve"> elements</w:t>
      </w:r>
      <w:r w:rsidRPr="00BC653D">
        <w:t xml:space="preserve"> of the model</w:t>
      </w:r>
      <w:r w:rsidR="00C702D1" w:rsidRPr="00BC653D">
        <w:t xml:space="preserve">, such as </w:t>
      </w:r>
      <w:r w:rsidR="007F4978">
        <w:t>chr</w:t>
      </w:r>
      <w:r w:rsidR="00121CE8">
        <w:t xml:space="preserve">onic disease management and </w:t>
      </w:r>
      <w:r w:rsidR="00C702D1" w:rsidRPr="00BC653D">
        <w:t>team-based care</w:t>
      </w:r>
      <w:r w:rsidRPr="00BC653D">
        <w:t>. Nevertheless, for most practices, the PCMH requires an even further shift in culture. For example, Wagner et al.</w:t>
      </w:r>
      <w:r w:rsidRPr="00BC653D">
        <w:rPr>
          <w:rStyle w:val="FootnoteReference"/>
          <w:color w:val="408BCA"/>
        </w:rPr>
        <w:footnoteReference w:id="137"/>
      </w:r>
      <w:r w:rsidRPr="00BC653D">
        <w:t xml:space="preserve"> identify </w:t>
      </w:r>
      <w:r w:rsidR="0005100F" w:rsidRPr="00BC653D">
        <w:t>four</w:t>
      </w:r>
      <w:r w:rsidRPr="00BC653D">
        <w:t xml:space="preserve"> mental models of team-based care</w:t>
      </w:r>
      <w:r w:rsidR="00A561EE" w:rsidRPr="00BC653D">
        <w:t xml:space="preserve">, </w:t>
      </w:r>
      <w:r w:rsidRPr="00BC653D">
        <w:t xml:space="preserve">ranging from “the doctor takes care of patients and hires some people to help him/her,” to use of non-GP clinical staff in direct and circumscribed roles (for example, diabetes care nurses or registered dieticians), to teams delegating meaningful decision making to nurses and allied health in their areas of expertise </w:t>
      </w:r>
      <w:r w:rsidR="00BD19F9">
        <w:t>(</w:t>
      </w:r>
      <w:r w:rsidRPr="00BC653D">
        <w:t>“the doctor takes care of patients but delegates significant work to team members”</w:t>
      </w:r>
      <w:r w:rsidR="00BD19F9">
        <w:t>)</w:t>
      </w:r>
      <w:r w:rsidRPr="00BC653D">
        <w:t xml:space="preserve">, to the fully team-based model </w:t>
      </w:r>
      <w:r w:rsidR="00BD19F9">
        <w:t>(</w:t>
      </w:r>
      <w:r w:rsidRPr="00BC653D">
        <w:t>“</w:t>
      </w:r>
      <w:r w:rsidRPr="00BC653D">
        <w:rPr>
          <w:i/>
          <w:iCs/>
        </w:rPr>
        <w:t>we</w:t>
      </w:r>
      <w:r w:rsidRPr="00BC653D">
        <w:t xml:space="preserve"> take care of patients”</w:t>
      </w:r>
      <w:r w:rsidR="00BD19F9">
        <w:t>)</w:t>
      </w:r>
      <w:r w:rsidRPr="00BC653D">
        <w:t>.</w:t>
      </w:r>
    </w:p>
    <w:p w14:paraId="4033780C" w14:textId="5919ECD6" w:rsidR="005B62FB" w:rsidRDefault="008552DE" w:rsidP="007876F3">
      <w:r>
        <w:t xml:space="preserve">In the HCH trial, </w:t>
      </w:r>
      <w:r w:rsidR="005478E5">
        <w:t>very</w:t>
      </w:r>
      <w:r w:rsidR="00C242C7">
        <w:t xml:space="preserve"> few practices’ models could be described as fully team-based. Therefore, more work was needed for practices to </w:t>
      </w:r>
      <w:r w:rsidR="00BC653D">
        <w:t>become truly patient centred.</w:t>
      </w:r>
    </w:p>
    <w:p w14:paraId="3EA5FE1E" w14:textId="77777777" w:rsidR="00DE168D" w:rsidRDefault="00DE168D" w:rsidP="00DE168D">
      <w:r>
        <w:t xml:space="preserve">The </w:t>
      </w:r>
      <w:r w:rsidRPr="00474366">
        <w:rPr>
          <w:i/>
          <w:iCs/>
        </w:rPr>
        <w:t>implementation climate</w:t>
      </w:r>
      <w:r>
        <w:t xml:space="preserve"> refers to how receptive an organisation is to change. Dimensions include the </w:t>
      </w:r>
      <w:r w:rsidRPr="00F64807">
        <w:t>tension for change</w:t>
      </w:r>
      <w:r>
        <w:t>, compatibility of the intended change with existing workflows and systems and individuals’ own norms, values, risks and needs, relative priority, organisational incentives and rewards, goals and feedback and a learning climate.</w:t>
      </w:r>
    </w:p>
    <w:p w14:paraId="01128EDB" w14:textId="77777777" w:rsidR="00DE168D" w:rsidRDefault="00DE168D" w:rsidP="00DE168D">
      <w:r>
        <w:t>Tension for change can be perceived differently by different individuals within an organisation and is most effective when there is a perceived urgency for change.</w:t>
      </w:r>
      <w:r w:rsidRPr="0005100F">
        <w:rPr>
          <w:rStyle w:val="FootnoteReference"/>
          <w:color w:val="408BCA"/>
        </w:rPr>
        <w:footnoteReference w:id="138"/>
      </w:r>
      <w:r>
        <w:t xml:space="preserve"> For practices in the HCH trial, there was not an acute sense of needing to transform; the HCH initiative was seen as a means of enhancing patient-centred care rather than necessarily solving a problem.</w:t>
      </w:r>
    </w:p>
    <w:p w14:paraId="3FFF25C0" w14:textId="5E04CA76" w:rsidR="00DE168D" w:rsidRDefault="00DE168D" w:rsidP="00DE168D">
      <w:r>
        <w:t>In the HCH trial, while the concept of patient-centred care was compatible with individual staff’s norms and values (as well as the mission of the practice), all practices had to implement new systems and workflows. Administrative systems to enrol and register patients and receive the bundled payment, and the RST were new to all practices. In addition, some had to implement additional new systems and workflows, including those related to team care within the practice and shared care with external providers. As mentioned above, team care was incompatible with some GPs</w:t>
      </w:r>
      <w:r w:rsidR="009A49FD">
        <w:t>’</w:t>
      </w:r>
      <w:r>
        <w:t xml:space="preserve"> norms and values:</w:t>
      </w:r>
    </w:p>
    <w:p w14:paraId="3A580773" w14:textId="77777777" w:rsidR="00DE168D" w:rsidRPr="00234BD0" w:rsidRDefault="00DE168D" w:rsidP="00DE168D">
      <w:pPr>
        <w:ind w:left="567" w:right="521"/>
        <w:rPr>
          <w:szCs w:val="20"/>
        </w:rPr>
      </w:pPr>
      <w:r w:rsidRPr="00756215">
        <w:rPr>
          <w:i/>
          <w:iCs/>
          <w:szCs w:val="20"/>
        </w:rPr>
        <w:lastRenderedPageBreak/>
        <w:t>“I guess many GPs particularly those</w:t>
      </w:r>
      <w:r>
        <w:rPr>
          <w:i/>
          <w:iCs/>
          <w:szCs w:val="20"/>
        </w:rPr>
        <w:t xml:space="preserve"> … </w:t>
      </w:r>
      <w:r w:rsidRPr="00756215">
        <w:rPr>
          <w:i/>
          <w:iCs/>
          <w:szCs w:val="20"/>
        </w:rPr>
        <w:t xml:space="preserve">that have been around for a while struggled to delegate a little bit and feel that </w:t>
      </w:r>
      <w:r>
        <w:rPr>
          <w:i/>
          <w:iCs/>
          <w:szCs w:val="20"/>
        </w:rPr>
        <w:t>[they]</w:t>
      </w:r>
      <w:r w:rsidRPr="00756215">
        <w:rPr>
          <w:i/>
          <w:iCs/>
          <w:szCs w:val="20"/>
        </w:rPr>
        <w:t xml:space="preserve"> have to be in control.”</w:t>
      </w:r>
      <w:r>
        <w:rPr>
          <w:szCs w:val="20"/>
        </w:rPr>
        <w:t xml:space="preserve"> [Nurse, R4, Practice 4]</w:t>
      </w:r>
    </w:p>
    <w:p w14:paraId="5E229DC4" w14:textId="77777777" w:rsidR="00DE168D" w:rsidRDefault="00DE168D" w:rsidP="00DE168D">
      <w:r>
        <w:t>The degree to which practices tackled this was the degree to which they were successful in implementing the model.</w:t>
      </w:r>
    </w:p>
    <w:p w14:paraId="710B63FB" w14:textId="77777777" w:rsidR="00DE168D" w:rsidRDefault="00DE168D" w:rsidP="00DE168D">
      <w:r>
        <w:t>For many practices in the trial, HCH was perceived as additional work on top of their already busy workloads. They talked about fitting the implementation alongside their work rather than it taking centre priority:</w:t>
      </w:r>
    </w:p>
    <w:p w14:paraId="5D079715" w14:textId="5CAED15D" w:rsidR="00DE168D" w:rsidRPr="008760C3" w:rsidRDefault="00DE168D" w:rsidP="00DE168D">
      <w:pPr>
        <w:ind w:left="567" w:right="1088"/>
        <w:rPr>
          <w:szCs w:val="20"/>
        </w:rPr>
      </w:pPr>
      <w:r w:rsidRPr="008760C3">
        <w:rPr>
          <w:i/>
          <w:szCs w:val="20"/>
        </w:rPr>
        <w:t xml:space="preserve">“Probably being such a busy practice, trying to find the space to fit Health Care Homes, the learning, the implementation…” </w:t>
      </w:r>
      <w:r w:rsidRPr="008760C3">
        <w:rPr>
          <w:szCs w:val="20"/>
        </w:rPr>
        <w:t>[Practice manager, Practice 14, interview</w:t>
      </w:r>
      <w:r>
        <w:rPr>
          <w:szCs w:val="20"/>
        </w:rPr>
        <w:t>, R2]</w:t>
      </w:r>
    </w:p>
    <w:p w14:paraId="073BE70F" w14:textId="4EC663E8" w:rsidR="00DE168D" w:rsidRDefault="00DE168D" w:rsidP="00DE168D">
      <w:r>
        <w:t xml:space="preserve">Later in the trial it became an even lower priority alongside of managing the pandemic and due to the uncertainty about </w:t>
      </w:r>
      <w:r w:rsidR="00C525D3">
        <w:t>the trial’s</w:t>
      </w:r>
      <w:r w:rsidR="004044A8">
        <w:t xml:space="preserve"> continuation</w:t>
      </w:r>
      <w:r>
        <w:t>.</w:t>
      </w:r>
    </w:p>
    <w:p w14:paraId="201BE98B" w14:textId="4CA93AA3" w:rsidR="00DE168D" w:rsidRDefault="00DE168D" w:rsidP="00DE168D">
      <w:r>
        <w:t>Organisational incentives and rewards can enhance implementation.</w:t>
      </w:r>
      <w:r w:rsidRPr="00236313">
        <w:rPr>
          <w:rStyle w:val="FootnoteReference"/>
          <w:color w:val="408BCA"/>
        </w:rPr>
        <w:footnoteReference w:id="139"/>
      </w:r>
      <w:r>
        <w:t xml:space="preserve"> In the HCH trial, practices generally </w:t>
      </w:r>
      <w:r w:rsidR="004044A8">
        <w:t xml:space="preserve">didn’t </w:t>
      </w:r>
      <w:r>
        <w:t xml:space="preserve">identify any explicit incentives or rewards within their practices in relation to HCH implementation. An </w:t>
      </w:r>
      <w:r w:rsidR="00AB1C1C">
        <w:t>often-quoted</w:t>
      </w:r>
      <w:r>
        <w:t xml:space="preserve"> disincentive was the increased workload, particularly for nurses:</w:t>
      </w:r>
    </w:p>
    <w:p w14:paraId="69DB2AB9" w14:textId="77777777" w:rsidR="00DE168D" w:rsidRDefault="00DE168D" w:rsidP="00DE168D">
      <w:pPr>
        <w:ind w:left="567" w:right="1088"/>
        <w:rPr>
          <w:rFonts w:eastAsia="Times New Roman"/>
          <w:iCs/>
          <w:szCs w:val="20"/>
        </w:rPr>
      </w:pPr>
      <w:r w:rsidRPr="008760C3">
        <w:rPr>
          <w:rFonts w:eastAsia="Times New Roman"/>
          <w:i/>
          <w:iCs/>
          <w:szCs w:val="20"/>
        </w:rPr>
        <w:t>“I think it’s been a challenge for our practice nurse because it’s like a whole extra workload for her because she’s not confident with the computer so everything takes longer than it would anyway and then she gets quite under pressure because the whole clinic is still running and she’s expected to do these whole extra things. I think it’s really impacted that role and it’s impacted my role because I’ve had to teach and support and go down constantly…”</w:t>
      </w:r>
      <w:r w:rsidRPr="008760C3">
        <w:rPr>
          <w:rFonts w:eastAsia="Times New Roman"/>
          <w:iCs/>
          <w:szCs w:val="20"/>
        </w:rPr>
        <w:t xml:space="preserve"> [Practice nurse, Practice 10, interview</w:t>
      </w:r>
      <w:r>
        <w:rPr>
          <w:rFonts w:eastAsia="Times New Roman"/>
          <w:iCs/>
          <w:szCs w:val="20"/>
        </w:rPr>
        <w:t>, R2]</w:t>
      </w:r>
    </w:p>
    <w:p w14:paraId="1802E203" w14:textId="77777777" w:rsidR="00DE168D" w:rsidRDefault="00DE168D" w:rsidP="00DE168D">
      <w:r>
        <w:t>In some instances the practice compensated for the work with additional pay:</w:t>
      </w:r>
    </w:p>
    <w:p w14:paraId="41A548A8" w14:textId="77777777" w:rsidR="00DE168D" w:rsidRPr="00F566F6" w:rsidRDefault="00DE168D" w:rsidP="00DE168D">
      <w:pPr>
        <w:ind w:left="567" w:right="521"/>
        <w:rPr>
          <w:i/>
          <w:iCs/>
          <w:szCs w:val="20"/>
        </w:rPr>
      </w:pPr>
      <w:r w:rsidRPr="002A69C7">
        <w:rPr>
          <w:i/>
          <w:iCs/>
          <w:szCs w:val="20"/>
        </w:rPr>
        <w:t>“Well, I don’t think [</w:t>
      </w:r>
      <w:r>
        <w:rPr>
          <w:i/>
          <w:iCs/>
          <w:szCs w:val="20"/>
        </w:rPr>
        <w:t>the n</w:t>
      </w:r>
      <w:r w:rsidRPr="002A69C7">
        <w:rPr>
          <w:i/>
          <w:iCs/>
          <w:szCs w:val="20"/>
        </w:rPr>
        <w:t>urse</w:t>
      </w:r>
      <w:r>
        <w:rPr>
          <w:i/>
          <w:iCs/>
          <w:szCs w:val="20"/>
        </w:rPr>
        <w:t xml:space="preserve"> is</w:t>
      </w:r>
      <w:r w:rsidRPr="002A69C7">
        <w:rPr>
          <w:i/>
          <w:iCs/>
          <w:szCs w:val="20"/>
        </w:rPr>
        <w:t xml:space="preserve">] winning in terms of workload but she’s aware of the aim and the benefit of the </w:t>
      </w:r>
      <w:r>
        <w:rPr>
          <w:i/>
          <w:iCs/>
          <w:szCs w:val="20"/>
        </w:rPr>
        <w:t>program</w:t>
      </w:r>
      <w:r w:rsidRPr="002A69C7">
        <w:rPr>
          <w:i/>
          <w:iCs/>
          <w:szCs w:val="20"/>
        </w:rPr>
        <w:t xml:space="preserve"> and she’s recognised, with the workload, we discussed with her, she agreed to take on the role. She’s being financially reimbursed for her role as well.”</w:t>
      </w:r>
      <w:r>
        <w:rPr>
          <w:szCs w:val="20"/>
        </w:rPr>
        <w:t xml:space="preserve"> </w:t>
      </w:r>
      <w:r w:rsidRPr="0006750B">
        <w:rPr>
          <w:szCs w:val="20"/>
        </w:rPr>
        <w:t>[Practice Manager, R4, Practice 3]</w:t>
      </w:r>
    </w:p>
    <w:p w14:paraId="7CE13E61" w14:textId="5182A10B" w:rsidR="00DE168D" w:rsidRPr="00946C36" w:rsidRDefault="00DE168D" w:rsidP="00DE168D">
      <w:r>
        <w:t>Incentives and rewards need not be financial and can include</w:t>
      </w:r>
      <w:r w:rsidR="00C538E6">
        <w:t xml:space="preserve"> empowerment, and</w:t>
      </w:r>
      <w:r>
        <w:t xml:space="preserve"> increased stature and respect. This is likely to have been achieved in some practices with team-based care:</w:t>
      </w:r>
    </w:p>
    <w:p w14:paraId="6822F7E9" w14:textId="77777777" w:rsidR="00DE168D" w:rsidRDefault="00DE168D" w:rsidP="00DE168D">
      <w:pPr>
        <w:ind w:left="567" w:right="1088"/>
        <w:rPr>
          <w:rFonts w:eastAsia="Times New Roman"/>
          <w:iCs/>
          <w:szCs w:val="20"/>
        </w:rPr>
      </w:pPr>
      <w:r w:rsidRPr="008760C3">
        <w:rPr>
          <w:rFonts w:eastAsia="Times New Roman"/>
          <w:i/>
          <w:iCs/>
          <w:szCs w:val="20"/>
        </w:rPr>
        <w:t>“My nursing staff love the autonomy and the extra responsibility, they absolutely thrive on it.”</w:t>
      </w:r>
      <w:r w:rsidRPr="008760C3">
        <w:rPr>
          <w:rFonts w:eastAsia="Times New Roman"/>
          <w:iCs/>
          <w:szCs w:val="20"/>
        </w:rPr>
        <w:t xml:space="preserve"> [GP, Practice 4, interview</w:t>
      </w:r>
      <w:r>
        <w:rPr>
          <w:rFonts w:eastAsia="Times New Roman"/>
          <w:iCs/>
          <w:szCs w:val="20"/>
        </w:rPr>
        <w:t>, R2]</w:t>
      </w:r>
    </w:p>
    <w:p w14:paraId="4C16D9C9" w14:textId="22FFFAD4" w:rsidR="00C538E6" w:rsidRDefault="00C538E6" w:rsidP="00C538E6">
      <w:pPr>
        <w:ind w:left="567" w:right="521"/>
        <w:rPr>
          <w:szCs w:val="20"/>
          <w:lang w:val="en-US"/>
        </w:rPr>
      </w:pPr>
      <w:r w:rsidRPr="00DD495C">
        <w:rPr>
          <w:i/>
          <w:iCs/>
          <w:szCs w:val="20"/>
          <w:lang w:val="en-US"/>
        </w:rPr>
        <w:t>“</w:t>
      </w:r>
      <w:r>
        <w:rPr>
          <w:i/>
          <w:iCs/>
          <w:szCs w:val="20"/>
          <w:lang w:val="en-US"/>
        </w:rPr>
        <w:t>I</w:t>
      </w:r>
      <w:r w:rsidRPr="00DD495C">
        <w:rPr>
          <w:i/>
          <w:iCs/>
          <w:szCs w:val="20"/>
          <w:lang w:val="en-US"/>
        </w:rPr>
        <w:t xml:space="preserve">t’s just fulfilling to be able to do things that we’re so constrained from not being Health </w:t>
      </w:r>
      <w:r w:rsidRPr="00AD5D70">
        <w:rPr>
          <w:i/>
          <w:iCs/>
          <w:szCs w:val="20"/>
        </w:rPr>
        <w:t>Care</w:t>
      </w:r>
      <w:r w:rsidRPr="00DD495C">
        <w:rPr>
          <w:i/>
          <w:iCs/>
          <w:szCs w:val="20"/>
          <w:lang w:val="en-US"/>
        </w:rPr>
        <w:t xml:space="preserve"> Homes nurses and we won’t be able to do our things, but having a </w:t>
      </w:r>
      <w:r w:rsidRPr="00DD495C">
        <w:rPr>
          <w:i/>
          <w:iCs/>
          <w:szCs w:val="20"/>
          <w:lang w:val="en-US"/>
        </w:rPr>
        <w:lastRenderedPageBreak/>
        <w:t>program that really empowered us, the nursing team.”</w:t>
      </w:r>
      <w:r>
        <w:rPr>
          <w:szCs w:val="20"/>
          <w:lang w:val="en-US"/>
        </w:rPr>
        <w:t xml:space="preserve"> [Practice Manager, Practice 24, R5]</w:t>
      </w:r>
    </w:p>
    <w:p w14:paraId="3238B718" w14:textId="2B4CA3A7" w:rsidR="006C0284" w:rsidRDefault="006C0284" w:rsidP="00DE168D">
      <w:r>
        <w:t>Also, i</w:t>
      </w:r>
      <w:r w:rsidRPr="006C0284">
        <w:t>n the practice survey staff reported that the most rewarding aspect of the model was working towards improved health outcomes for patients, along with the ability to build rapport and establish stronger relationships with patients</w:t>
      </w:r>
      <w:r>
        <w:t>.</w:t>
      </w:r>
    </w:p>
    <w:p w14:paraId="208D9C68" w14:textId="499C7FA3" w:rsidR="00DE168D" w:rsidRDefault="00DE168D" w:rsidP="00DE168D">
      <w:r>
        <w:t>Goal setting and providing feedback on progress are fundamental for effective implementation.</w:t>
      </w:r>
      <w:r w:rsidRPr="00236313">
        <w:rPr>
          <w:rStyle w:val="FootnoteReference"/>
          <w:color w:val="408BCA"/>
        </w:rPr>
        <w:footnoteReference w:id="140"/>
      </w:r>
      <w:r>
        <w:t xml:space="preserve"> While the extent to which this occurred within individual practices was unclear, p</w:t>
      </w:r>
      <w:r w:rsidRPr="009366C6">
        <w:t xml:space="preserve">ractices highlighted the importance and value of data in general practice, and many reported prioritising enhanced data collection and data quality since becoming </w:t>
      </w:r>
      <w:r w:rsidR="00DB1BD7">
        <w:t>a HCH</w:t>
      </w:r>
      <w:r w:rsidRPr="009366C6">
        <w:t>. Some PHNs were working hard in this area and practices in their regions found this beneficial. Practices expressed the need for additional external emphasis and work on data quality and benchmarking for enhancing quality of care, establishing targets and more effectively measuring outcomes</w:t>
      </w:r>
      <w:r>
        <w:t xml:space="preserve">. The benchmark reports made available to practices as part of the trial included statistics on enrolments, patient characteristics and process measures (such as frequency of measurement of lipids). Reports of this nature can provide transparency and </w:t>
      </w:r>
      <w:r w:rsidRPr="009F04E6">
        <w:t>stimulate further motivation for improvement</w:t>
      </w:r>
      <w:r>
        <w:t>.</w:t>
      </w:r>
      <w:r w:rsidRPr="00236313">
        <w:rPr>
          <w:rStyle w:val="FootnoteReference"/>
          <w:color w:val="408BCA"/>
        </w:rPr>
        <w:footnoteReference w:id="141"/>
      </w:r>
      <w:r w:rsidRPr="00236313">
        <w:rPr>
          <w:color w:val="408BCA"/>
        </w:rPr>
        <w:t xml:space="preserve"> </w:t>
      </w:r>
      <w:r>
        <w:t>However, to be effective they need to be accurate, timely, agreed by team members and not overly burdensome to collect and compile. Also, different types of reports might be helpful at different stages of implementation. For example, in the short-term, reports of practices’ progress on the various dimensions of the PCMH model and comparisons with other practices in the trial may be more useful.</w:t>
      </w:r>
    </w:p>
    <w:p w14:paraId="1E2BAB81" w14:textId="63AF4066" w:rsidR="00E33E8A" w:rsidRDefault="00DE168D" w:rsidP="00DE168D">
      <w:r>
        <w:t xml:space="preserve">The final dimension of the implementation climate is the </w:t>
      </w:r>
      <w:r w:rsidRPr="00E33E8A">
        <w:t>learning climate</w:t>
      </w:r>
      <w:r>
        <w:t xml:space="preserve">. Climates conducive to successful implementation are ones where all members are involved, members feel safe to </w:t>
      </w:r>
      <w:r w:rsidR="00B768D6">
        <w:t>contribute</w:t>
      </w:r>
      <w:r>
        <w:t>, and members have time to reflect and evaluate.</w:t>
      </w:r>
      <w:r w:rsidRPr="00236313">
        <w:rPr>
          <w:rStyle w:val="FootnoteReference"/>
          <w:color w:val="408BCA"/>
        </w:rPr>
        <w:footnoteReference w:id="142"/>
      </w:r>
      <w:r>
        <w:t xml:space="preserve"> </w:t>
      </w:r>
      <w:r w:rsidR="00D7082D">
        <w:t xml:space="preserve">Time was </w:t>
      </w:r>
      <w:r w:rsidR="006C7C68">
        <w:t>a general issue for the HCH practices, including for reflection and evaluation.</w:t>
      </w:r>
    </w:p>
    <w:p w14:paraId="4793A40E" w14:textId="6E2B380A" w:rsidR="00CA2013" w:rsidRPr="00DC2CA4" w:rsidRDefault="00DE168D" w:rsidP="00CA2013">
      <w:pPr>
        <w:rPr>
          <w:rFonts w:eastAsia="Muli" w:cs="Muli"/>
          <w:color w:val="000000" w:themeColor="text1"/>
          <w:szCs w:val="20"/>
        </w:rPr>
      </w:pPr>
      <w:r>
        <w:t xml:space="preserve">Practices in the HCH trial were at various stages of </w:t>
      </w:r>
      <w:r>
        <w:rPr>
          <w:i/>
          <w:iCs/>
        </w:rPr>
        <w:t>readiness for implementation</w:t>
      </w:r>
      <w:r>
        <w:t xml:space="preserve">. </w:t>
      </w:r>
      <w:r w:rsidR="00CA2013" w:rsidRPr="00364CCE">
        <w:rPr>
          <w:rFonts w:eastAsia="Muli" w:cs="Muli"/>
          <w:color w:val="000000" w:themeColor="text1"/>
          <w:szCs w:val="20"/>
        </w:rPr>
        <w:t xml:space="preserve">As mentioned earlier, </w:t>
      </w:r>
      <w:r w:rsidR="00CA2013">
        <w:rPr>
          <w:rFonts w:eastAsia="Muli" w:cs="Muli"/>
          <w:color w:val="000000" w:themeColor="text1"/>
          <w:szCs w:val="20"/>
        </w:rPr>
        <w:t>a few</w:t>
      </w:r>
      <w:r w:rsidR="00CA2013" w:rsidRPr="00364CCE">
        <w:rPr>
          <w:rFonts w:eastAsia="Muli" w:cs="Muli"/>
          <w:color w:val="000000" w:themeColor="text1"/>
          <w:szCs w:val="20"/>
        </w:rPr>
        <w:t xml:space="preserve"> practices had already participated in PCMH readiness programs before the HCH trial</w:t>
      </w:r>
      <w:r w:rsidR="00CA2013">
        <w:rPr>
          <w:rFonts w:eastAsia="Muli" w:cs="Muli"/>
          <w:color w:val="000000" w:themeColor="text1"/>
          <w:szCs w:val="20"/>
        </w:rPr>
        <w:t xml:space="preserve"> and were prepared for enrolling patients. However, </w:t>
      </w:r>
      <w:r w:rsidR="00E32454">
        <w:rPr>
          <w:rFonts w:eastAsia="Muli" w:cs="Muli"/>
          <w:color w:val="000000" w:themeColor="text1"/>
          <w:szCs w:val="20"/>
        </w:rPr>
        <w:t>most</w:t>
      </w:r>
      <w:r w:rsidR="00CA2013">
        <w:rPr>
          <w:rFonts w:eastAsia="Muli" w:cs="Muli"/>
          <w:color w:val="000000" w:themeColor="text1"/>
          <w:szCs w:val="20"/>
        </w:rPr>
        <w:t xml:space="preserve"> were not. A</w:t>
      </w:r>
      <w:r w:rsidR="00CA2013" w:rsidRPr="00044536">
        <w:rPr>
          <w:rFonts w:eastAsia="Muli" w:cs="Muli"/>
          <w:color w:val="000000" w:themeColor="text1"/>
          <w:szCs w:val="20"/>
        </w:rPr>
        <w:t>llow</w:t>
      </w:r>
      <w:r w:rsidR="00CA2013">
        <w:rPr>
          <w:rFonts w:eastAsia="Muli" w:cs="Muli"/>
          <w:color w:val="000000" w:themeColor="text1"/>
          <w:szCs w:val="20"/>
        </w:rPr>
        <w:t>ing</w:t>
      </w:r>
      <w:r w:rsidR="00CA2013" w:rsidRPr="00044536">
        <w:rPr>
          <w:rFonts w:eastAsia="Muli" w:cs="Muli"/>
          <w:color w:val="000000" w:themeColor="text1"/>
          <w:szCs w:val="20"/>
        </w:rPr>
        <w:t xml:space="preserve"> time for practices to prepare for change </w:t>
      </w:r>
      <w:r w:rsidR="00CA2013">
        <w:rPr>
          <w:rFonts w:eastAsia="Muli" w:cs="Muli"/>
          <w:color w:val="000000" w:themeColor="text1"/>
          <w:szCs w:val="20"/>
        </w:rPr>
        <w:t>before</w:t>
      </w:r>
      <w:r w:rsidR="00CA2013" w:rsidRPr="00044536">
        <w:rPr>
          <w:rFonts w:eastAsia="Muli" w:cs="Muli"/>
          <w:color w:val="000000" w:themeColor="text1"/>
          <w:szCs w:val="20"/>
        </w:rPr>
        <w:t xml:space="preserve"> </w:t>
      </w:r>
      <w:r w:rsidR="00CA2013">
        <w:rPr>
          <w:rFonts w:eastAsia="Muli" w:cs="Muli"/>
          <w:color w:val="000000" w:themeColor="text1"/>
          <w:szCs w:val="20"/>
        </w:rPr>
        <w:t>“going live” with an initiative would be helpful. This is especially important for general practices that usually have very little “absorptive capacity”</w:t>
      </w:r>
      <w:r w:rsidR="001B10BC" w:rsidRPr="001B10BC">
        <w:rPr>
          <w:rStyle w:val="FootnoteReference"/>
          <w:rFonts w:eastAsia="Muli" w:cs="Muli"/>
          <w:color w:val="408BCA"/>
          <w:szCs w:val="20"/>
        </w:rPr>
        <w:footnoteReference w:id="143"/>
      </w:r>
      <w:r w:rsidR="00CA2013">
        <w:rPr>
          <w:rFonts w:eastAsia="Muli" w:cs="Muli"/>
          <w:color w:val="000000" w:themeColor="text1"/>
          <w:szCs w:val="20"/>
        </w:rPr>
        <w:t xml:space="preserve"> for innovation, mostly due to their small size.</w:t>
      </w:r>
    </w:p>
    <w:p w14:paraId="60CE875D" w14:textId="48B1A934" w:rsidR="00DE168D" w:rsidRDefault="00DE168D" w:rsidP="00DE168D">
      <w:r>
        <w:t xml:space="preserve">PHNs usually had a good sense of a practice’s readiness for implementation and advised the Department of Health about this in the second wave of recruiting practices for the trial. PHN </w:t>
      </w:r>
      <w:r>
        <w:lastRenderedPageBreak/>
        <w:t xml:space="preserve">practice facilitators also </w:t>
      </w:r>
      <w:r w:rsidRPr="00B2644D">
        <w:t>discussed providing</w:t>
      </w:r>
      <w:r>
        <w:t xml:space="preserve"> different </w:t>
      </w:r>
      <w:r w:rsidRPr="00B2644D">
        <w:t>support</w:t>
      </w:r>
      <w:r>
        <w:t>s to practices for their implementation</w:t>
      </w:r>
      <w:r w:rsidRPr="00B2644D">
        <w:t xml:space="preserve"> according to individual practice readiness and training needs</w:t>
      </w:r>
      <w:r>
        <w:t>:</w:t>
      </w:r>
    </w:p>
    <w:p w14:paraId="6E2BE33C" w14:textId="77777777" w:rsidR="00DE168D" w:rsidRPr="00CB197C" w:rsidRDefault="00DE168D" w:rsidP="00DE168D">
      <w:pPr>
        <w:ind w:left="567" w:right="1088"/>
        <w:rPr>
          <w:rFonts w:eastAsia="Times New Roman"/>
          <w:i/>
        </w:rPr>
      </w:pPr>
      <w:r w:rsidRPr="00CB197C">
        <w:rPr>
          <w:rFonts w:eastAsia="Times New Roman"/>
          <w:i/>
        </w:rPr>
        <w:t xml:space="preserve">“…Essentially we look at the practice’s focus, we look at their current capacity and capability, we look at their workforce…So it’s do they have the capacity and capability to take on the number of programs, initiatives we have, and then as they sort of move along that continuum, they then move into that real sort of business and clinical optimisation phase, and then we transition them through that business and clinical optimisation up to our transformational practices…” </w:t>
      </w:r>
      <w:r w:rsidRPr="00CB197C">
        <w:rPr>
          <w:rFonts w:eastAsia="Times New Roman"/>
        </w:rPr>
        <w:t>[PHN 4, interview</w:t>
      </w:r>
      <w:r>
        <w:rPr>
          <w:rFonts w:eastAsia="Times New Roman"/>
        </w:rPr>
        <w:t>, R1]</w:t>
      </w:r>
    </w:p>
    <w:p w14:paraId="24B95695" w14:textId="77777777" w:rsidR="00DE168D" w:rsidRDefault="00DE168D" w:rsidP="00DE168D">
      <w:r>
        <w:t>For “t</w:t>
      </w:r>
      <w:r w:rsidRPr="001C3288">
        <w:t>ransactional practices</w:t>
      </w:r>
      <w:r>
        <w:t>” they described providing</w:t>
      </w:r>
      <w:r w:rsidRPr="001C3288">
        <w:t xml:space="preserve"> training and </w:t>
      </w:r>
      <w:r>
        <w:t xml:space="preserve">setting up foundational </w:t>
      </w:r>
      <w:r w:rsidRPr="001C3288">
        <w:t>processes</w:t>
      </w:r>
      <w:r>
        <w:t xml:space="preserve"> such as </w:t>
      </w:r>
      <w:r w:rsidRPr="001C6BEA">
        <w:t>billing, reminders, and recall</w:t>
      </w:r>
      <w:r>
        <w:t>, with “</w:t>
      </w:r>
      <w:r w:rsidRPr="001C3288">
        <w:t>business optimisation</w:t>
      </w:r>
      <w:r>
        <w:t>” practices they described developing and working through quality improvement plans, and with “</w:t>
      </w:r>
      <w:r w:rsidRPr="001C3288">
        <w:t>transformational</w:t>
      </w:r>
      <w:r>
        <w:t>”</w:t>
      </w:r>
      <w:r w:rsidRPr="001C3288">
        <w:t xml:space="preserve"> practices</w:t>
      </w:r>
      <w:r>
        <w:t xml:space="preserve"> they described working on practice-wide initiatives with teams.</w:t>
      </w:r>
    </w:p>
    <w:p w14:paraId="753B4740" w14:textId="77777777" w:rsidR="00DE168D" w:rsidRDefault="00DE168D" w:rsidP="00DE168D">
      <w:r w:rsidRPr="00102D4E">
        <w:t>The CFIR identifies engaged leadership, having resources available and access to knowledge and information as markers of readiness for implementation.</w:t>
      </w:r>
      <w:r>
        <w:t xml:space="preserve"> </w:t>
      </w:r>
    </w:p>
    <w:p w14:paraId="7E295A22" w14:textId="77777777" w:rsidR="00DE168D" w:rsidRDefault="00DE168D" w:rsidP="00DE168D">
      <w:r>
        <w:t>Successful transformation to a PCMH requires e</w:t>
      </w:r>
      <w:r w:rsidRPr="00B534BC">
        <w:t>ngaged, visible leaders</w:t>
      </w:r>
      <w:r>
        <w:t>.</w:t>
      </w:r>
      <w:r w:rsidRPr="00236313">
        <w:rPr>
          <w:rStyle w:val="FootnoteReference"/>
          <w:color w:val="408BCA"/>
        </w:rPr>
        <w:footnoteReference w:id="144"/>
      </w:r>
      <w:r>
        <w:t xml:space="preserve"> HCH practices and PHNs also identified leadership as a key enabler for transformation:</w:t>
      </w:r>
    </w:p>
    <w:p w14:paraId="1373BC2C" w14:textId="77777777" w:rsidR="00DE168D" w:rsidRPr="008760C3" w:rsidRDefault="00DE168D" w:rsidP="00DE168D">
      <w:pPr>
        <w:ind w:left="567" w:right="1088"/>
        <w:rPr>
          <w:rFonts w:eastAsia="Times New Roman"/>
          <w:iCs/>
          <w:szCs w:val="20"/>
        </w:rPr>
      </w:pPr>
      <w:r w:rsidRPr="00BE5254">
        <w:rPr>
          <w:rFonts w:eastAsia="Times New Roman"/>
          <w:i/>
          <w:iCs/>
          <w:szCs w:val="20"/>
        </w:rPr>
        <w:t xml:space="preserve">“…it’s about leadership and distributing leadership within the practice. Now staff are more able to make decisions and get empowered to change something. It’s not us changing something, it’s them changing something.” </w:t>
      </w:r>
      <w:r w:rsidRPr="00BE5254">
        <w:rPr>
          <w:rFonts w:eastAsia="Times New Roman"/>
          <w:iCs/>
          <w:szCs w:val="20"/>
        </w:rPr>
        <w:t>[GP, Practice 5, interview</w:t>
      </w:r>
      <w:r>
        <w:rPr>
          <w:rFonts w:eastAsia="Times New Roman"/>
          <w:iCs/>
          <w:szCs w:val="20"/>
        </w:rPr>
        <w:t>, R2]</w:t>
      </w:r>
    </w:p>
    <w:p w14:paraId="669F49E8" w14:textId="34D3887F" w:rsidR="00CF03AC" w:rsidRDefault="00FF7D39" w:rsidP="00CF03AC">
      <w:r w:rsidRPr="00FF7D39">
        <w:t>Amongst the participating</w:t>
      </w:r>
      <w:r w:rsidR="00DE168D">
        <w:t xml:space="preserve"> practices there were individuals who were strong believers in the model and drove change within their practice. They were often the individuals that applied for the practice to </w:t>
      </w:r>
      <w:r w:rsidR="00DE168D" w:rsidRPr="001375B8">
        <w:t>join the trial. Though some leaders were practice owners or senior GPs, practice managers and nurses often took on this role.</w:t>
      </w:r>
      <w:r w:rsidR="00CF03AC" w:rsidRPr="001375B8">
        <w:t xml:space="preserve"> HCH practices commented that it would have been helpful to have time before patient enrolment started to cultivate leadership within the practice, and PHNs commented that practices should have been assessed for engaged leadership before being accepted to join the trial.</w:t>
      </w:r>
    </w:p>
    <w:p w14:paraId="496EE13B" w14:textId="77777777" w:rsidR="00DE168D" w:rsidRDefault="00DE168D" w:rsidP="00DE168D">
      <w:r>
        <w:t>The literature also discusses the need for different types of leadership at different stages of implementation. For example, McMullen et al.,</w:t>
      </w:r>
      <w:r w:rsidRPr="00236313">
        <w:rPr>
          <w:rStyle w:val="FootnoteReference"/>
          <w:color w:val="408BCA"/>
        </w:rPr>
        <w:footnoteReference w:id="145"/>
      </w:r>
      <w:r w:rsidRPr="00236313">
        <w:rPr>
          <w:color w:val="408BCA"/>
        </w:rPr>
        <w:t xml:space="preserve"> </w:t>
      </w:r>
      <w:r>
        <w:t xml:space="preserve">using ethnography to study leadership required for PCMH implementation, found that: </w:t>
      </w:r>
    </w:p>
    <w:p w14:paraId="3DC36355" w14:textId="77777777" w:rsidR="00DE168D" w:rsidRDefault="00DE168D" w:rsidP="00DE168D">
      <w:pPr>
        <w:ind w:left="567" w:right="1088"/>
      </w:pPr>
      <w:r w:rsidRPr="00344E84">
        <w:t>“</w:t>
      </w:r>
      <w:r w:rsidRPr="000F1394">
        <w:rPr>
          <w:i/>
          <w:iCs/>
        </w:rPr>
        <w:t xml:space="preserve">Facilitative and </w:t>
      </w:r>
      <w:proofErr w:type="spellStart"/>
      <w:r w:rsidRPr="000F1394">
        <w:rPr>
          <w:i/>
          <w:iCs/>
        </w:rPr>
        <w:t>modeling</w:t>
      </w:r>
      <w:proofErr w:type="spellEnd"/>
      <w:r w:rsidRPr="000F1394">
        <w:rPr>
          <w:i/>
          <w:iCs/>
        </w:rPr>
        <w:t xml:space="preserve"> aspects of engaged leadership were most important for code signing a vision and plan for change. Adaptive leadership skills became more important during the implementation phase, when specific operational and management skills were needed to foster </w:t>
      </w:r>
      <w:r w:rsidRPr="000F1394">
        <w:rPr>
          <w:i/>
          <w:iCs/>
        </w:rPr>
        <w:lastRenderedPageBreak/>
        <w:t>standardization and spread of the … initiative throughout participating clinics.</w:t>
      </w:r>
      <w:r w:rsidRPr="00344E84">
        <w:t xml:space="preserve">” </w:t>
      </w:r>
      <w:r w:rsidRPr="00236313">
        <w:rPr>
          <w:color w:val="408BCA"/>
          <w:vertAlign w:val="superscript"/>
        </w:rPr>
        <w:t>(p. S34)</w:t>
      </w:r>
    </w:p>
    <w:p w14:paraId="27B4A88C" w14:textId="7CD10F7A" w:rsidR="00762520" w:rsidRDefault="00F856DD" w:rsidP="00762520">
      <w:r>
        <w:t>These different types of leadership were potentially needed i</w:t>
      </w:r>
      <w:r w:rsidR="00CE1CA4">
        <w:t>n the HCH trial</w:t>
      </w:r>
      <w:r w:rsidR="00762520">
        <w:t xml:space="preserve"> as despite initial enthusiasm, some practices withdrew when they couldn’t get past operational hurdles.</w:t>
      </w:r>
    </w:p>
    <w:p w14:paraId="5CC16BCC" w14:textId="63AEEBB4" w:rsidR="00DE168D" w:rsidRDefault="00DE168D" w:rsidP="00DE168D">
      <w:r>
        <w:t>Availability of resources is positively associated with successful implementation. For example, larger practices tend to be more successful at implementing</w:t>
      </w:r>
      <w:r w:rsidR="000A6A59">
        <w:t xml:space="preserve"> complex </w:t>
      </w:r>
      <w:r w:rsidR="003373AA">
        <w:t>interventions like HCH</w:t>
      </w:r>
      <w:r>
        <w:t xml:space="preserve"> due to having additional resources.</w:t>
      </w:r>
      <w:r w:rsidRPr="00236313">
        <w:rPr>
          <w:rStyle w:val="FootnoteReference"/>
          <w:color w:val="408BCA"/>
        </w:rPr>
        <w:footnoteReference w:id="146"/>
      </w:r>
      <w:r w:rsidRPr="00236313">
        <w:rPr>
          <w:color w:val="408BCA"/>
        </w:rPr>
        <w:t xml:space="preserve"> </w:t>
      </w:r>
      <w:r>
        <w:t>However, small practices have used strategies such as resource sharing to overcome resourcing problems.</w:t>
      </w:r>
      <w:r w:rsidRPr="00236313">
        <w:rPr>
          <w:rStyle w:val="FootnoteReference"/>
          <w:color w:val="408BCA"/>
        </w:rPr>
        <w:footnoteReference w:id="147"/>
      </w:r>
    </w:p>
    <w:p w14:paraId="0351555E" w14:textId="77777777" w:rsidR="00DE168D" w:rsidRDefault="00DE168D" w:rsidP="00DE168D">
      <w:r>
        <w:t>In the HCH trial, practices were concerned about resources. They recognised that transformation would be resource intensive and were concerned about investing in it when they weren’t certain that the model would continue beyond the trial:</w:t>
      </w:r>
    </w:p>
    <w:p w14:paraId="6244ABF9" w14:textId="77777777" w:rsidR="00DE168D" w:rsidRDefault="00DE168D" w:rsidP="00DE168D">
      <w:pPr>
        <w:ind w:left="567" w:right="521"/>
        <w:rPr>
          <w:szCs w:val="20"/>
          <w:lang w:val="en-GB"/>
        </w:rPr>
      </w:pPr>
      <w:r w:rsidRPr="00CE1CC0">
        <w:rPr>
          <w:i/>
          <w:iCs/>
          <w:szCs w:val="20"/>
          <w:lang w:val="en-GB"/>
        </w:rPr>
        <w:t xml:space="preserve">“You’ll get the cynic out of me, but </w:t>
      </w:r>
      <w:r w:rsidRPr="00E13EC6">
        <w:rPr>
          <w:rFonts w:eastAsia="Times New Roman"/>
          <w:i/>
          <w:iCs/>
          <w:szCs w:val="20"/>
        </w:rPr>
        <w:t>generally</w:t>
      </w:r>
      <w:r w:rsidRPr="00CE1CC0">
        <w:rPr>
          <w:i/>
          <w:iCs/>
          <w:szCs w:val="20"/>
          <w:lang w:val="en-GB"/>
        </w:rPr>
        <w:t>, what happens in these situations is the program is started with fanfare and with plenty of funding and then once the hook is set and everybody is using it, it tends to get wound back… there’ll be this expectation about what the care looks like in general practice and the funding will disappear for it.”</w:t>
      </w:r>
      <w:r w:rsidRPr="00CE1CC0">
        <w:rPr>
          <w:szCs w:val="20"/>
          <w:lang w:val="en-GB"/>
        </w:rPr>
        <w:t xml:space="preserve"> [GP, Practice 2</w:t>
      </w:r>
      <w:r>
        <w:rPr>
          <w:szCs w:val="20"/>
          <w:lang w:val="en-GB"/>
        </w:rPr>
        <w:t>, R4</w:t>
      </w:r>
      <w:r w:rsidRPr="00CE1CC0">
        <w:rPr>
          <w:szCs w:val="20"/>
          <w:lang w:val="en-GB"/>
        </w:rPr>
        <w:t>]</w:t>
      </w:r>
    </w:p>
    <w:p w14:paraId="6AF64534" w14:textId="2CB20EF8" w:rsidR="00B91F72" w:rsidRPr="00B91F72" w:rsidRDefault="00B91F72" w:rsidP="00B91F72">
      <w:pPr>
        <w:ind w:left="567" w:right="1089"/>
        <w:rPr>
          <w:rFonts w:ascii="Century Gothic" w:hAnsi="Century Gothic" w:cs="Arial"/>
          <w:szCs w:val="20"/>
          <w:lang w:val="en-GB"/>
        </w:rPr>
      </w:pPr>
      <w:r>
        <w:rPr>
          <w:rFonts w:cs="Arial"/>
          <w:i/>
          <w:szCs w:val="20"/>
          <w:lang w:val="en-GB"/>
        </w:rPr>
        <w:t>“And when you sit down and look at the amount of money that we were paid upfront, the $10,000 upfront, to be able to get the program running in the practice, we’ve spent that probably many times over. Each time we do a module… we were getting them done with two of our nurses that we were going to do the program with. There’s $300 an hour in salaries…And they want us to do all the modules. The money just doesn’t even pay for our staff time to be able to do the modules, let alone anything else we do within the practice.”</w:t>
      </w:r>
      <w:r>
        <w:rPr>
          <w:rFonts w:cs="Arial"/>
          <w:szCs w:val="20"/>
          <w:lang w:val="en-GB"/>
        </w:rPr>
        <w:t xml:space="preserve"> [GP, Practice 17, R2]</w:t>
      </w:r>
    </w:p>
    <w:p w14:paraId="5E0A2D88" w14:textId="0D2AD099" w:rsidR="00DE168D" w:rsidRDefault="00DE168D" w:rsidP="00DE168D">
      <w:r w:rsidRPr="00E87D61">
        <w:t xml:space="preserve">Access to information and knowledge </w:t>
      </w:r>
      <w:r>
        <w:t>is also associated with effective implementation.</w:t>
      </w:r>
      <w:r w:rsidRPr="00236313">
        <w:rPr>
          <w:rStyle w:val="FootnoteReference"/>
          <w:color w:val="408BCA"/>
        </w:rPr>
        <w:footnoteReference w:id="148"/>
      </w:r>
      <w:r>
        <w:t xml:space="preserve"> For the HCH trial, the Department of Health commissioned modules for self-paced online training for practice staff. As mentioned earlier, the modules weren’t widely accessed by practice staff. Key issues were that they weren’t role-specific, they were too long and took too much time to complete</w:t>
      </w:r>
      <w:r w:rsidRPr="00196A4A">
        <w:t xml:space="preserve">, </w:t>
      </w:r>
      <w:r>
        <w:t>they were repetitive</w:t>
      </w:r>
      <w:r w:rsidRPr="00196A4A">
        <w:t xml:space="preserve">, </w:t>
      </w:r>
      <w:r w:rsidR="004F4AC7" w:rsidRPr="004F4AC7">
        <w:t>not suffi</w:t>
      </w:r>
      <w:r w:rsidR="007D67A8">
        <w:t>ci</w:t>
      </w:r>
      <w:r w:rsidR="004F4AC7" w:rsidRPr="004F4AC7">
        <w:t>ently practical</w:t>
      </w:r>
      <w:r w:rsidRPr="00196A4A">
        <w:t>, and pitched at “entry-level”.</w:t>
      </w:r>
      <w:r>
        <w:t xml:space="preserve"> </w:t>
      </w:r>
    </w:p>
    <w:p w14:paraId="4781ACD2" w14:textId="53C336F5" w:rsidR="00DE168D" w:rsidRDefault="005B7E42" w:rsidP="00DE168D">
      <w:r w:rsidRPr="005B7E42">
        <w:rPr>
          <w:i/>
          <w:iCs/>
        </w:rPr>
        <w:t>External facilitation</w:t>
      </w:r>
      <w:r>
        <w:t xml:space="preserve"> can help with readiness. </w:t>
      </w:r>
      <w:r w:rsidR="00DE168D">
        <w:t>The Department of Health funded PHN</w:t>
      </w:r>
      <w:r w:rsidR="00884878">
        <w:t xml:space="preserve"> </w:t>
      </w:r>
      <w:r w:rsidR="00DE168D">
        <w:t xml:space="preserve">practice facilitators to assist practices with their transformation. </w:t>
      </w:r>
      <w:r w:rsidR="00DE168D" w:rsidRPr="00733684">
        <w:t xml:space="preserve">Practices were largely positive about the support they received from their PHN practice facilitators to implement HCH. Where they were critical, it was that they </w:t>
      </w:r>
      <w:r w:rsidR="00DE168D">
        <w:t>didn’t</w:t>
      </w:r>
      <w:r w:rsidR="00DE168D" w:rsidRPr="00733684">
        <w:t xml:space="preserve"> get enough support, or they were frustrated with the turnover of practice facilitators. </w:t>
      </w:r>
      <w:r w:rsidR="00093811">
        <w:t>T</w:t>
      </w:r>
      <w:r w:rsidR="00093811" w:rsidRPr="00093811">
        <w:t xml:space="preserve">he high turnover in PHN practice facilitators suggests that more resilient approaches for delivering practice facilitation are needed. This could be </w:t>
      </w:r>
      <w:r w:rsidR="00093811" w:rsidRPr="00093811">
        <w:lastRenderedPageBreak/>
        <w:t xml:space="preserve">achieved through facilitation provided to practices by a mix of staff within advanced facilitation skills – located in </w:t>
      </w:r>
      <w:r w:rsidR="008F5A48">
        <w:t>meso</w:t>
      </w:r>
      <w:r w:rsidR="00093811" w:rsidRPr="00093811">
        <w:t xml:space="preserve"> or national level organisations – and staff embedded within PHN-based teams responsible for supporting practices in quality improvement. This model would help integrate facilitation with PHN initiatives and continue to replenish skills among the local PHN workforce.</w:t>
      </w:r>
      <w:r w:rsidR="00D268DB">
        <w:t xml:space="preserve"> </w:t>
      </w:r>
    </w:p>
    <w:p w14:paraId="1D8B95BC" w14:textId="77777777" w:rsidR="00DE168D" w:rsidRDefault="00DE168D" w:rsidP="00DE168D">
      <w:pPr>
        <w:pStyle w:val="Heading2"/>
      </w:pPr>
      <w:bookmarkStart w:id="511" w:name="_Toc109996777"/>
      <w:r>
        <w:t>Characteristics of individuals</w:t>
      </w:r>
      <w:bookmarkEnd w:id="511"/>
    </w:p>
    <w:p w14:paraId="0EFC1B60" w14:textId="77777777" w:rsidR="00DE168D" w:rsidRDefault="00DE168D" w:rsidP="00DE168D">
      <w:r>
        <w:t>The knowledge and beliefs of individual staff members, their beliefs in their capabilities, the stages of change of individual staff members and individual identification with the organisation are all known to influence implementation.</w:t>
      </w:r>
    </w:p>
    <w:p w14:paraId="78B2EFB0" w14:textId="3AB579C2" w:rsidR="00DE168D" w:rsidRDefault="00DE168D" w:rsidP="00DE168D">
      <w:r>
        <w:t xml:space="preserve">In terms of knowledge and beliefs of individual staff members, GPs’ attitudes towards the HCH concept, particularly the bundled payment, were discussed earlier. Broadly, there was negativity from many GPs, which resulted in practices withdrawing from the trial, involving only some GPs from the practice in the initiative and/or enrolling only a small number of patients. </w:t>
      </w:r>
      <w:r w:rsidR="00D349CE" w:rsidRPr="00D349CE">
        <w:t xml:space="preserve">Addressing factors related to the intervention (the </w:t>
      </w:r>
      <w:r w:rsidR="000A6A59">
        <w:t>HCH</w:t>
      </w:r>
      <w:r w:rsidR="00D349CE" w:rsidRPr="00D349CE">
        <w:t xml:space="preserve"> concept) and reworking the bundled payment to reduce risks for general practices, are key to addressing GPs’ attitudes.</w:t>
      </w:r>
    </w:p>
    <w:p w14:paraId="03A22D86" w14:textId="77777777" w:rsidR="00DE168D" w:rsidRDefault="00DE168D" w:rsidP="00DE168D">
      <w:r>
        <w:t>In terms of staff members’ beliefs about their capabilities (or self-efficacy), although there was a learning curve for some staff, they gained confidence as the trial progressed:</w:t>
      </w:r>
    </w:p>
    <w:p w14:paraId="7FB92772" w14:textId="77777777" w:rsidR="00DE168D" w:rsidRDefault="00DE168D" w:rsidP="00DE168D">
      <w:pPr>
        <w:ind w:left="567" w:right="521"/>
        <w:rPr>
          <w:szCs w:val="20"/>
        </w:rPr>
      </w:pPr>
      <w:r w:rsidRPr="00536BD9">
        <w:rPr>
          <w:i/>
          <w:iCs/>
          <w:szCs w:val="20"/>
        </w:rPr>
        <w:t>“I’m loving it. It’s really good. I definitely feel more confident in it as well, since I’ve been</w:t>
      </w:r>
      <w:r w:rsidRPr="00730AF8">
        <w:rPr>
          <w:i/>
          <w:iCs/>
        </w:rPr>
        <w:t xml:space="preserve"> doing it for longer. Because at the start, even myself, patients were hesitant seeing me, and I still was a bit worried about seeing them</w:t>
      </w:r>
      <w:r>
        <w:rPr>
          <w:i/>
          <w:iCs/>
        </w:rPr>
        <w:t xml:space="preserve"> … </w:t>
      </w:r>
      <w:r w:rsidRPr="00730AF8">
        <w:rPr>
          <w:i/>
          <w:iCs/>
        </w:rPr>
        <w:t>So, I’ve changed. I think I’m more confident in it now, which is a great thing, and [the] patients can tell that I am as well</w:t>
      </w:r>
      <w:r>
        <w:t>.” [MPA, R4, Practice 5]</w:t>
      </w:r>
    </w:p>
    <w:p w14:paraId="7D2B4256" w14:textId="77777777" w:rsidR="00DE168D" w:rsidRDefault="00DE168D" w:rsidP="00DE168D">
      <w:r>
        <w:t>Practices identified training as a key way to improve staff self-efficacy:</w:t>
      </w:r>
    </w:p>
    <w:p w14:paraId="7F9CDC3E" w14:textId="77777777" w:rsidR="00DE168D" w:rsidRDefault="00DE168D" w:rsidP="00DE168D">
      <w:pPr>
        <w:ind w:left="567" w:right="521"/>
        <w:rPr>
          <w:szCs w:val="20"/>
        </w:rPr>
      </w:pPr>
      <w:r>
        <w:rPr>
          <w:i/>
          <w:iCs/>
          <w:szCs w:val="20"/>
        </w:rPr>
        <w:t xml:space="preserve">“… </w:t>
      </w:r>
      <w:r w:rsidRPr="00DB055A">
        <w:rPr>
          <w:i/>
          <w:iCs/>
          <w:szCs w:val="20"/>
        </w:rPr>
        <w:t>[the] reception staff have all undergone more training. They’ve all received helpful cheat sheets that will help them to manage the patients when they call, or when they come in</w:t>
      </w:r>
      <w:r>
        <w:rPr>
          <w:szCs w:val="20"/>
        </w:rPr>
        <w:t>.” [Practice Manager, R4, Practice 14]</w:t>
      </w:r>
    </w:p>
    <w:p w14:paraId="3FBA323B" w14:textId="77777777" w:rsidR="00DE168D" w:rsidRDefault="00DE168D" w:rsidP="00DE168D">
      <w:r>
        <w:t>They suggested that training through other means than online would be useful:</w:t>
      </w:r>
    </w:p>
    <w:p w14:paraId="6525D713" w14:textId="77777777" w:rsidR="00DE168D" w:rsidRPr="004A66A1" w:rsidRDefault="00DE168D" w:rsidP="00DE168D">
      <w:pPr>
        <w:ind w:left="567" w:right="1088"/>
        <w:rPr>
          <w:rFonts w:cs="Arial"/>
          <w:color w:val="000000"/>
          <w:szCs w:val="20"/>
          <w:lang w:val="en-GB"/>
        </w:rPr>
      </w:pPr>
      <w:r w:rsidRPr="004A66A1">
        <w:rPr>
          <w:rFonts w:cs="Arial"/>
          <w:i/>
          <w:color w:val="000000"/>
          <w:szCs w:val="20"/>
          <w:lang w:val="en-GB"/>
        </w:rPr>
        <w:t>“So for wave 2, I would say some sort of formal training program would be useful, which</w:t>
      </w:r>
      <w:r>
        <w:rPr>
          <w:rFonts w:cs="Arial"/>
          <w:i/>
          <w:color w:val="000000"/>
          <w:szCs w:val="20"/>
          <w:lang w:val="en-GB"/>
        </w:rPr>
        <w:t xml:space="preserve"> </w:t>
      </w:r>
      <w:r w:rsidRPr="004A66A1">
        <w:rPr>
          <w:rFonts w:cs="Arial"/>
          <w:i/>
          <w:color w:val="000000"/>
          <w:szCs w:val="20"/>
          <w:lang w:val="en-GB"/>
        </w:rPr>
        <w:t>is what we didn't have.”</w:t>
      </w:r>
      <w:r w:rsidRPr="004A66A1">
        <w:rPr>
          <w:rFonts w:cs="Arial"/>
          <w:color w:val="000000"/>
          <w:szCs w:val="20"/>
          <w:lang w:val="en-GB"/>
        </w:rPr>
        <w:t xml:space="preserve"> [GP, Practice 9</w:t>
      </w:r>
      <w:r>
        <w:rPr>
          <w:rFonts w:cs="Arial"/>
          <w:color w:val="000000"/>
          <w:szCs w:val="20"/>
          <w:lang w:val="en-GB"/>
        </w:rPr>
        <w:t>, interview, R2]</w:t>
      </w:r>
    </w:p>
    <w:p w14:paraId="77B8E557" w14:textId="77777777" w:rsidR="00DE168D" w:rsidRDefault="00DE168D" w:rsidP="00DE168D">
      <w:r>
        <w:t>Other characteristics of individuals that are important for implementation but not studied in the HCH trial are individual stages of change and individual identification within the organisation.</w:t>
      </w:r>
    </w:p>
    <w:p w14:paraId="1809400E" w14:textId="77777777" w:rsidR="00DE168D" w:rsidRDefault="00DE168D" w:rsidP="00DE168D">
      <w:pPr>
        <w:pStyle w:val="Heading2"/>
      </w:pPr>
      <w:bookmarkStart w:id="512" w:name="_Toc109996778"/>
      <w:r>
        <w:t>Process</w:t>
      </w:r>
      <w:bookmarkEnd w:id="512"/>
    </w:p>
    <w:p w14:paraId="35EB23F1" w14:textId="0FAFC39B" w:rsidR="00DE168D" w:rsidRDefault="00DE168D" w:rsidP="00DE168D">
      <w:r>
        <w:t>The CFIR identifie</w:t>
      </w:r>
      <w:r w:rsidR="00EF1981">
        <w:t>s</w:t>
      </w:r>
      <w:r>
        <w:t xml:space="preserve"> </w:t>
      </w:r>
      <w:r w:rsidR="00EF1981">
        <w:t>four</w:t>
      </w:r>
      <w:r>
        <w:t xml:space="preserve"> components of process that are important for implementation: planning, engaging, executing, and reflecting and evaluating. In the HCH trial, practices were encouraged to use the Plan-Do-Study-Act (PDSA) cycle for implementing their changes, which incorporates the CFIR components.</w:t>
      </w:r>
    </w:p>
    <w:p w14:paraId="18CE99A3" w14:textId="4136B516" w:rsidR="00DE168D" w:rsidRDefault="00DE168D" w:rsidP="00DE168D">
      <w:r>
        <w:lastRenderedPageBreak/>
        <w:t xml:space="preserve">Practices often mentioned having </w:t>
      </w:r>
      <w:r w:rsidR="00922A7E">
        <w:t>one or two people</w:t>
      </w:r>
      <w:r>
        <w:t xml:space="preserve"> in the practice </w:t>
      </w:r>
      <w:r w:rsidR="00922A7E">
        <w:t>who were the</w:t>
      </w:r>
      <w:r>
        <w:t xml:space="preserve"> driver</w:t>
      </w:r>
      <w:r w:rsidR="00922A7E">
        <w:t>s</w:t>
      </w:r>
      <w:r>
        <w:t xml:space="preserve"> of the change. The</w:t>
      </w:r>
      <w:r w:rsidR="001561BB">
        <w:t>se individuals o</w:t>
      </w:r>
      <w:r>
        <w:t xml:space="preserve">ften held dual roles of implementation leader and champion. However, as mentioned previously, having </w:t>
      </w:r>
      <w:r w:rsidR="001561BB">
        <w:t>one or two people</w:t>
      </w:r>
      <w:r>
        <w:t xml:space="preserve"> responsible for these aspects meant that the practice was vulnerable in sustaining the change </w:t>
      </w:r>
      <w:r w:rsidR="003B5752">
        <w:t>i</w:t>
      </w:r>
      <w:r>
        <w:t xml:space="preserve">f </w:t>
      </w:r>
      <w:r w:rsidR="00A76EFF">
        <w:t>one or both of those</w:t>
      </w:r>
      <w:r>
        <w:t xml:space="preserve"> individual</w:t>
      </w:r>
      <w:r w:rsidR="00A76EFF">
        <w:t>s</w:t>
      </w:r>
      <w:r>
        <w:t xml:space="preserve"> left</w:t>
      </w:r>
      <w:r w:rsidR="003B5752">
        <w:t xml:space="preserve"> the practice</w:t>
      </w:r>
      <w:r>
        <w:t xml:space="preserve">. Therefore, practices recognised that a team was more robust. Practice facilitators identified that those practices </w:t>
      </w:r>
      <w:r w:rsidR="00C80CC3">
        <w:t>that</w:t>
      </w:r>
      <w:r>
        <w:t xml:space="preserve"> stayed in the trial and were more successful with implementing change were ones where a team including a GP, a nurse and a practice manager, drove the implementation</w:t>
      </w:r>
      <w:r w:rsidR="00396541">
        <w:t>:</w:t>
      </w:r>
    </w:p>
    <w:p w14:paraId="3F4293AC" w14:textId="5935DCED" w:rsidR="003B5752" w:rsidRPr="00AB1D47" w:rsidRDefault="00AB1D47" w:rsidP="00AB1D47">
      <w:pPr>
        <w:ind w:left="567"/>
        <w:rPr>
          <w:rFonts w:ascii="Century Gothic" w:hAnsi="Century Gothic"/>
          <w:i/>
          <w:iCs/>
          <w:color w:val="000000" w:themeColor="text1"/>
          <w:szCs w:val="20"/>
        </w:rPr>
      </w:pPr>
      <w:r w:rsidRPr="00AB1D47">
        <w:rPr>
          <w:i/>
          <w:iCs/>
          <w:color w:val="000000" w:themeColor="text1"/>
          <w:szCs w:val="20"/>
        </w:rPr>
        <w:t>“You… have to have a group of people that want to make it happen. It’s not a half</w:t>
      </w:r>
      <w:r>
        <w:rPr>
          <w:i/>
          <w:iCs/>
          <w:color w:val="000000" w:themeColor="text1"/>
          <w:szCs w:val="20"/>
        </w:rPr>
        <w:t>-</w:t>
      </w:r>
      <w:r w:rsidRPr="00AB1D47">
        <w:rPr>
          <w:i/>
          <w:iCs/>
          <w:color w:val="000000" w:themeColor="text1"/>
          <w:szCs w:val="20"/>
        </w:rPr>
        <w:t>hearted exercise.”</w:t>
      </w:r>
      <w:r w:rsidRPr="00AB1D47">
        <w:rPr>
          <w:color w:val="000000" w:themeColor="text1"/>
          <w:szCs w:val="20"/>
        </w:rPr>
        <w:t xml:space="preserve"> [Practice Manager, R4, Practice 4]</w:t>
      </w:r>
    </w:p>
    <w:p w14:paraId="48E8C7D3" w14:textId="2C668EA4" w:rsidR="00DE168D" w:rsidRDefault="00DE168D" w:rsidP="00DE168D">
      <w:r>
        <w:t>P</w:t>
      </w:r>
      <w:r w:rsidRPr="00C564C8">
        <w:t>lanning came out as a strong theme in the HCH trial.</w:t>
      </w:r>
      <w:r>
        <w:t xml:space="preserve"> Specifically, practices and PHNs thought that practices should have had a longer lead time to plan and prepare for HCH before they enrolled patients. In the trial, patient enrolment started at the same time as the launch</w:t>
      </w:r>
      <w:r w:rsidR="00396541">
        <w:t>:</w:t>
      </w:r>
    </w:p>
    <w:p w14:paraId="1B51F8DB" w14:textId="3B9A1515" w:rsidR="00AB1D47" w:rsidRDefault="00996D33" w:rsidP="001C5C01">
      <w:pPr>
        <w:ind w:left="567"/>
      </w:pPr>
      <w:r>
        <w:rPr>
          <w:i/>
          <w:iCs/>
        </w:rPr>
        <w:t>“…it's not a race, it is a marathon for us to start to realise true practice transformation…”</w:t>
      </w:r>
      <w:r w:rsidR="001C5C01">
        <w:rPr>
          <w:i/>
          <w:iCs/>
        </w:rPr>
        <w:t xml:space="preserve"> </w:t>
      </w:r>
      <w:r w:rsidR="001C5C01">
        <w:t>[PHN 4, Interview, R5]</w:t>
      </w:r>
    </w:p>
    <w:p w14:paraId="2546B9AD" w14:textId="73D053C2" w:rsidR="00DE168D" w:rsidRDefault="00DE168D" w:rsidP="00DE168D">
      <w:r>
        <w:t>In the HCH implementation, external change agents were provided in the form of practice facilitators from the PHNs supporting practices in their implementation</w:t>
      </w:r>
      <w:r w:rsidR="005F57C5">
        <w:t>, as described above</w:t>
      </w:r>
      <w:r>
        <w:t>. In addition, the Department of Health established a network of clinical champions in April 2018.</w:t>
      </w:r>
      <w:r w:rsidR="00A561EE">
        <w:t xml:space="preserve"> </w:t>
      </w:r>
      <w:r>
        <w:t>Clinical champions came from various backgrounds, including GPs, nurses and practice managers. Their role was to keep practices in the trial, particularly those that were slow to make any changes and promote positive messaging about the model, including to patients. These roles often supported peer-to-peer learning mentioned earlier, particularly for GPs.</w:t>
      </w:r>
    </w:p>
    <w:p w14:paraId="60EDFEC2" w14:textId="7EDF8FFA" w:rsidR="000E4FA0" w:rsidRDefault="00DE168D" w:rsidP="00396541">
      <w:r>
        <w:t xml:space="preserve">Practices mentioned </w:t>
      </w:r>
      <w:r w:rsidR="00507E13">
        <w:t xml:space="preserve">lack of time for </w:t>
      </w:r>
      <w:r>
        <w:t>reflecting and evaluating</w:t>
      </w:r>
      <w:r w:rsidR="00507E13">
        <w:t>.</w:t>
      </w:r>
      <w:r w:rsidR="009908C6">
        <w:t xml:space="preserve"> A preparatory period for practices to achieve transformation </w:t>
      </w:r>
      <w:r w:rsidR="0034786B">
        <w:t>before enrolling patients would have helped with this.</w:t>
      </w:r>
    </w:p>
    <w:p w14:paraId="08306BE3" w14:textId="77777777" w:rsidR="000E4FA0" w:rsidRDefault="000E4FA0" w:rsidP="00396541">
      <w:pPr>
        <w:sectPr w:rsidR="000E4FA0">
          <w:headerReference w:type="default" r:id="rId120"/>
          <w:pgSz w:w="11906" w:h="16838"/>
          <w:pgMar w:top="1440" w:right="1440" w:bottom="1440" w:left="1440" w:header="708" w:footer="708" w:gutter="0"/>
          <w:cols w:space="708"/>
          <w:docGrid w:linePitch="360"/>
        </w:sectPr>
      </w:pPr>
    </w:p>
    <w:p w14:paraId="5C4B13C4" w14:textId="0FEF598D" w:rsidR="004075A3" w:rsidRPr="0094369A" w:rsidRDefault="00620032" w:rsidP="004075A3">
      <w:pPr>
        <w:pStyle w:val="ChapterNumber"/>
      </w:pPr>
      <w:r>
        <w:lastRenderedPageBreak/>
        <w:fldChar w:fldCharType="begin"/>
      </w:r>
      <w:r>
        <w:instrText xml:space="preserve"> REF _Ref103966155 \r \h </w:instrText>
      </w:r>
      <w:r>
        <w:fldChar w:fldCharType="separate"/>
      </w:r>
      <w:r w:rsidR="003C4BC2">
        <w:t>25</w:t>
      </w:r>
      <w:r>
        <w:fldChar w:fldCharType="end"/>
      </w:r>
    </w:p>
    <w:p w14:paraId="474239D1" w14:textId="4BE79593" w:rsidR="004075A3" w:rsidRDefault="004075A3" w:rsidP="004075A3">
      <w:pPr>
        <w:pStyle w:val="Heading1withnumber"/>
        <w:ind w:left="0" w:hanging="851"/>
      </w:pPr>
      <w:bookmarkStart w:id="513" w:name="_Ref103966155"/>
      <w:bookmarkStart w:id="514" w:name="_Toc109996779"/>
      <w:r>
        <w:t>Conclusion</w:t>
      </w:r>
      <w:bookmarkEnd w:id="513"/>
      <w:bookmarkEnd w:id="514"/>
    </w:p>
    <w:p w14:paraId="4D6F82F3" w14:textId="69071C0F" w:rsidR="0072785D" w:rsidRDefault="009203AA" w:rsidP="00907665">
      <w:r w:rsidRPr="005E36A8">
        <w:t>The HCH trial achieved changes to chronic disease management within practices and improved access</w:t>
      </w:r>
      <w:r w:rsidR="00AB5AAF">
        <w:t xml:space="preserve"> for enrolled patients</w:t>
      </w:r>
      <w:r w:rsidRPr="005E36A8">
        <w:t>.</w:t>
      </w:r>
      <w:r w:rsidR="00B464FC">
        <w:t xml:space="preserve"> </w:t>
      </w:r>
      <w:r w:rsidRPr="005E36A8">
        <w:t xml:space="preserve">Improved chronic disease management </w:t>
      </w:r>
      <w:r>
        <w:t>resulted from</w:t>
      </w:r>
      <w:r w:rsidRPr="005E36A8">
        <w:t xml:space="preserve"> improved care planning, which </w:t>
      </w:r>
      <w:r>
        <w:t xml:space="preserve">led to </w:t>
      </w:r>
      <w:r w:rsidRPr="005E36A8">
        <w:t xml:space="preserve">improved regularity of key chronic disease measures, including blood pressure, lipid tests, HbA1c and kidney function tests. </w:t>
      </w:r>
      <w:r w:rsidR="007C2164">
        <w:t>I</w:t>
      </w:r>
      <w:r w:rsidRPr="005E36A8">
        <w:t xml:space="preserve">mproved access </w:t>
      </w:r>
      <w:r w:rsidR="00B51639">
        <w:t xml:space="preserve">was evidenced by </w:t>
      </w:r>
      <w:r w:rsidR="008F15DF">
        <w:t xml:space="preserve">increased </w:t>
      </w:r>
      <w:r w:rsidR="00066805">
        <w:t xml:space="preserve">encounters with practice GPs </w:t>
      </w:r>
      <w:r w:rsidR="00D92914">
        <w:t xml:space="preserve">and </w:t>
      </w:r>
      <w:r w:rsidR="00BB7C8D">
        <w:t>nurses</w:t>
      </w:r>
      <w:r w:rsidR="00907665">
        <w:t xml:space="preserve"> and with allied health outside of the practice</w:t>
      </w:r>
      <w:r w:rsidR="00BB7C8D">
        <w:t xml:space="preserve"> </w:t>
      </w:r>
      <w:r w:rsidR="00066805">
        <w:t>following enrolment</w:t>
      </w:r>
      <w:r w:rsidR="00907665">
        <w:t>.</w:t>
      </w:r>
    </w:p>
    <w:p w14:paraId="2D067947" w14:textId="6CBE35EA" w:rsidR="009203AA" w:rsidRDefault="009203AA" w:rsidP="009203AA">
      <w:r>
        <w:t>However, significant changes to patient activation</w:t>
      </w:r>
      <w:r w:rsidR="005037B0">
        <w:t xml:space="preserve"> were not detected</w:t>
      </w:r>
      <w:r>
        <w:t xml:space="preserve">, and </w:t>
      </w:r>
      <w:r w:rsidR="00D57FD6">
        <w:t xml:space="preserve">compared with </w:t>
      </w:r>
      <w:r w:rsidR="007F6C7E">
        <w:t>matched patients from other practices</w:t>
      </w:r>
      <w:r w:rsidR="004C2FCE">
        <w:t>,</w:t>
      </w:r>
      <w:r w:rsidR="007F6C7E">
        <w:t xml:space="preserve"> </w:t>
      </w:r>
      <w:r w:rsidR="00793B52">
        <w:t xml:space="preserve">there </w:t>
      </w:r>
      <w:r w:rsidR="007F6C7E">
        <w:t xml:space="preserve">was </w:t>
      </w:r>
      <w:r w:rsidR="00793B52">
        <w:t>no significant</w:t>
      </w:r>
      <w:r>
        <w:t xml:space="preserve"> impact on other patient outcomes or the use of secondary or tertiary services.</w:t>
      </w:r>
    </w:p>
    <w:p w14:paraId="2458AFCD" w14:textId="6B62B91F" w:rsidR="00FC460D" w:rsidRDefault="00DC5A11" w:rsidP="003358E6">
      <w:r w:rsidRPr="00A31652">
        <w:t xml:space="preserve">The </w:t>
      </w:r>
      <w:r w:rsidR="00DE75D6" w:rsidRPr="00A31652">
        <w:t xml:space="preserve">major </w:t>
      </w:r>
      <w:r w:rsidR="00676888" w:rsidRPr="00A31652">
        <w:t xml:space="preserve">issue for the HCH </w:t>
      </w:r>
      <w:r w:rsidR="00941DEB">
        <w:t xml:space="preserve">trial </w:t>
      </w:r>
      <w:r w:rsidR="00907665" w:rsidRPr="00A31652">
        <w:t xml:space="preserve">was </w:t>
      </w:r>
      <w:r w:rsidR="00941DEB">
        <w:t>in</w:t>
      </w:r>
      <w:r w:rsidR="00A31652" w:rsidRPr="00A31652">
        <w:t xml:space="preserve"> implementation</w:t>
      </w:r>
      <w:r w:rsidR="00FC460D">
        <w:t xml:space="preserve">, </w:t>
      </w:r>
      <w:r w:rsidR="0010524E" w:rsidRPr="00A31652">
        <w:t xml:space="preserve">which was patchy, limited by scale, and not to the extent envisaged for </w:t>
      </w:r>
      <w:r w:rsidR="0010524E">
        <w:t>the model</w:t>
      </w:r>
      <w:r w:rsidR="0010524E" w:rsidRPr="00A31652">
        <w:t>.</w:t>
      </w:r>
      <w:r w:rsidR="0010524E">
        <w:t xml:space="preserve"> </w:t>
      </w:r>
      <w:r w:rsidR="00862258">
        <w:t xml:space="preserve">Implementation for practices was made more difficult </w:t>
      </w:r>
      <w:r w:rsidR="002615E0">
        <w:t xml:space="preserve">by </w:t>
      </w:r>
      <w:r w:rsidR="00A21D27">
        <w:t xml:space="preserve">the lack of time for practices to </w:t>
      </w:r>
      <w:r w:rsidR="00851F68">
        <w:t xml:space="preserve">set up as a HCH </w:t>
      </w:r>
      <w:r w:rsidR="00A21D27">
        <w:t xml:space="preserve">before </w:t>
      </w:r>
      <w:r w:rsidR="00851F68">
        <w:t xml:space="preserve">enrolling patients, the </w:t>
      </w:r>
      <w:r w:rsidR="003358E6">
        <w:t xml:space="preserve">inadequacy of some of the </w:t>
      </w:r>
      <w:r w:rsidR="00851F68">
        <w:t>tools</w:t>
      </w:r>
      <w:r w:rsidR="003358E6">
        <w:t xml:space="preserve"> and resources</w:t>
      </w:r>
      <w:r w:rsidR="00851F68">
        <w:t xml:space="preserve"> available to them </w:t>
      </w:r>
      <w:r w:rsidR="003358E6">
        <w:t>for operating the model</w:t>
      </w:r>
      <w:r w:rsidR="00D001BF">
        <w:t xml:space="preserve">, as well as </w:t>
      </w:r>
      <w:r w:rsidR="00960E48">
        <w:t>negative</w:t>
      </w:r>
      <w:r w:rsidR="00D001BF">
        <w:t xml:space="preserve"> </w:t>
      </w:r>
      <w:r w:rsidR="009F37CF">
        <w:t xml:space="preserve">sentiments </w:t>
      </w:r>
      <w:r w:rsidR="00462724">
        <w:t>towards</w:t>
      </w:r>
      <w:r w:rsidR="00D001BF">
        <w:t xml:space="preserve"> the </w:t>
      </w:r>
      <w:r w:rsidR="009870E2">
        <w:t>medical</w:t>
      </w:r>
      <w:r w:rsidR="00416969">
        <w:t xml:space="preserve"> home concept </w:t>
      </w:r>
      <w:r w:rsidR="009870E2">
        <w:t>and/or</w:t>
      </w:r>
      <w:r w:rsidR="00416969">
        <w:t xml:space="preserve"> </w:t>
      </w:r>
      <w:r w:rsidR="009870E2">
        <w:t>bundled payment</w:t>
      </w:r>
      <w:r w:rsidR="00FB01F6">
        <w:t xml:space="preserve"> </w:t>
      </w:r>
      <w:r w:rsidR="002A4D6C">
        <w:t>that weren’t adequately addressed before the start</w:t>
      </w:r>
      <w:r w:rsidR="003358E6">
        <w:t xml:space="preserve"> of the trial</w:t>
      </w:r>
      <w:r w:rsidR="002A4D6C">
        <w:t>.</w:t>
      </w:r>
    </w:p>
    <w:p w14:paraId="1D230AC7" w14:textId="4564D478" w:rsidR="006A115F" w:rsidRDefault="006A115F" w:rsidP="006A115F">
      <w:r>
        <w:t xml:space="preserve">There are several methodological issues that may have impacted the capacity to detect changes in some of the outcomes expected from the HCH model. </w:t>
      </w:r>
      <w:r w:rsidR="00DC5A11">
        <w:t>These include:</w:t>
      </w:r>
    </w:p>
    <w:p w14:paraId="21908E13" w14:textId="0857533A" w:rsidR="00F458AF" w:rsidRDefault="00F458AF" w:rsidP="00F458AF">
      <w:pPr>
        <w:pStyle w:val="ListParagraph"/>
        <w:numPr>
          <w:ilvl w:val="0"/>
          <w:numId w:val="62"/>
        </w:numPr>
        <w:ind w:left="714" w:hanging="357"/>
        <w:contextualSpacing w:val="0"/>
      </w:pPr>
      <w:r>
        <w:t xml:space="preserve">Improvements in chronic disease management in a patient population such as the HCH cohort are expected to impact the course of chronic illnesses over the medium- to long-term. The follow-up periods for patients in the HCH trial were a </w:t>
      </w:r>
      <w:r w:rsidRPr="00BB3C52">
        <w:t>mean of 20 months</w:t>
      </w:r>
      <w:r>
        <w:t xml:space="preserve"> for hospitalisation outcomes and </w:t>
      </w:r>
      <w:r w:rsidRPr="008D2ED9">
        <w:t>32 months</w:t>
      </w:r>
      <w:r>
        <w:t xml:space="preserve"> for other outcomes. It is likely that these follow-up periods were too short to realistically detect changes in </w:t>
      </w:r>
      <w:r w:rsidR="00626F16">
        <w:t xml:space="preserve">the trajectories of </w:t>
      </w:r>
      <w:r>
        <w:t>chronic illness</w:t>
      </w:r>
      <w:r w:rsidR="00626F16">
        <w:t xml:space="preserve"> and their consequences</w:t>
      </w:r>
      <w:r>
        <w:t>.</w:t>
      </w:r>
    </w:p>
    <w:p w14:paraId="1853B029" w14:textId="642C7374" w:rsidR="007C7AC9" w:rsidRDefault="006A115F" w:rsidP="007C7AC9">
      <w:pPr>
        <w:pStyle w:val="ListParagraph"/>
        <w:numPr>
          <w:ilvl w:val="0"/>
          <w:numId w:val="62"/>
        </w:numPr>
        <w:ind w:left="714" w:hanging="357"/>
        <w:contextualSpacing w:val="0"/>
      </w:pPr>
      <w:r>
        <w:t>The comparative analysis was based on observational data, and selection biases</w:t>
      </w:r>
      <w:r w:rsidRPr="00C3212B">
        <w:t xml:space="preserve"> </w:t>
      </w:r>
      <w:r>
        <w:t xml:space="preserve">may be present, both in the selection of practices to participate in the trial and in practices’ selection of patients to enrol in the trial. The comparative analysis undertaken for the evaluation used methods (matching HCH patients with comparator patients based on a propensity score) to address observed factors that may bias the estimate of effects. However, there may be unobserved factors at play. For example, as suggested by qualitative data and as shown by the baseline </w:t>
      </w:r>
      <w:r w:rsidR="00FC3CCE">
        <w:t>patient activation measure (PAM)</w:t>
      </w:r>
      <w:r>
        <w:t xml:space="preserve"> scores from the patient survey, GPs and practices may have selected patients </w:t>
      </w:r>
      <w:r w:rsidR="000F5826">
        <w:t>who</w:t>
      </w:r>
      <w:r>
        <w:t xml:space="preserve"> were more activated. This means that the opportunity for improvements in outcome measures were more constrained for the HCH participants, who may have already been receiving and participating in chronic disease management that was closer to “best practice”. </w:t>
      </w:r>
      <w:r w:rsidR="007C7AC9">
        <w:t xml:space="preserve">Additionally, HCH patients were generally patients </w:t>
      </w:r>
      <w:r w:rsidR="000F5826">
        <w:t>who</w:t>
      </w:r>
      <w:r w:rsidR="007C7AC9">
        <w:t xml:space="preserve"> had a long association with their GP and practice, suggesting </w:t>
      </w:r>
      <w:r w:rsidR="007C7AC9">
        <w:lastRenderedPageBreak/>
        <w:t xml:space="preserve">that continuity of primary care for these patients was already higher than other patients. </w:t>
      </w:r>
      <w:r w:rsidR="00607122">
        <w:t>T</w:t>
      </w:r>
      <w:r w:rsidR="003164D1">
        <w:t xml:space="preserve">herefore, </w:t>
      </w:r>
      <w:r w:rsidR="007C7AC9">
        <w:t>HCH patients may have already been benefiting from the superior outcomes that result from continuity.</w:t>
      </w:r>
      <w:r w:rsidR="007C7AC9" w:rsidRPr="003C78B0">
        <w:rPr>
          <w:rStyle w:val="FootnoteReference"/>
          <w:color w:val="408BCA"/>
        </w:rPr>
        <w:footnoteReference w:id="149"/>
      </w:r>
      <w:r w:rsidR="003C78B0" w:rsidRPr="003C78B0">
        <w:rPr>
          <w:color w:val="408BCA"/>
          <w:vertAlign w:val="superscript"/>
        </w:rPr>
        <w:t>,</w:t>
      </w:r>
      <w:r w:rsidR="003C78B0" w:rsidRPr="003C78B0">
        <w:rPr>
          <w:rStyle w:val="FootnoteReference"/>
          <w:color w:val="408BCA"/>
        </w:rPr>
        <w:footnoteReference w:id="150"/>
      </w:r>
      <w:r w:rsidR="007C7AC9" w:rsidRPr="003C78B0">
        <w:rPr>
          <w:color w:val="408BCA"/>
        </w:rPr>
        <w:t xml:space="preserve"> </w:t>
      </w:r>
    </w:p>
    <w:p w14:paraId="1CA6FB0D" w14:textId="069B8C3C" w:rsidR="006A115F" w:rsidRDefault="00176638" w:rsidP="00BB7C8D">
      <w:pPr>
        <w:pStyle w:val="ListParagraph"/>
        <w:numPr>
          <w:ilvl w:val="0"/>
          <w:numId w:val="62"/>
        </w:numPr>
        <w:ind w:left="714" w:hanging="357"/>
        <w:contextualSpacing w:val="0"/>
      </w:pPr>
      <w:r>
        <w:t>T</w:t>
      </w:r>
      <w:r w:rsidR="006A115F">
        <w:t xml:space="preserve">he comparator patients were selected to be as similar as possible to the HCH patients. The estimates of effects therefore do not </w:t>
      </w:r>
      <w:r w:rsidR="00126BF3">
        <w:t xml:space="preserve">necessarily </w:t>
      </w:r>
      <w:r w:rsidR="006A115F">
        <w:t xml:space="preserve">reflect the potential for change in chronic disease management and outcomes in the broader primary care populations, which </w:t>
      </w:r>
      <w:r w:rsidR="00A27F41">
        <w:t xml:space="preserve">– compared with patients in the trial - </w:t>
      </w:r>
      <w:r w:rsidR="006A115F">
        <w:t xml:space="preserve">include patients with more complex conditions and </w:t>
      </w:r>
      <w:r w:rsidR="006A0810">
        <w:t xml:space="preserve">patients with </w:t>
      </w:r>
      <w:r w:rsidR="006A115F">
        <w:t>less complex conditions</w:t>
      </w:r>
      <w:r w:rsidR="007E19E2">
        <w:t xml:space="preserve">. </w:t>
      </w:r>
    </w:p>
    <w:p w14:paraId="29ADFD98" w14:textId="0734E747" w:rsidR="006A115F" w:rsidRDefault="00176638" w:rsidP="00BB7C8D">
      <w:pPr>
        <w:pStyle w:val="ListParagraph"/>
        <w:numPr>
          <w:ilvl w:val="0"/>
          <w:numId w:val="62"/>
        </w:numPr>
        <w:ind w:left="714" w:hanging="357"/>
        <w:contextualSpacing w:val="0"/>
      </w:pPr>
      <w:r>
        <w:t>A</w:t>
      </w:r>
      <w:r w:rsidR="006A115F">
        <w:t xml:space="preserve">chieving changes in some of the outcomes </w:t>
      </w:r>
      <w:r w:rsidR="00881CDC">
        <w:t>intended for the model</w:t>
      </w:r>
      <w:r w:rsidR="006A115F">
        <w:t xml:space="preserve"> requires the involvement of the broader healthcare neighbourhood, </w:t>
      </w:r>
      <w:r w:rsidR="00007068">
        <w:t>that is,</w:t>
      </w:r>
      <w:r w:rsidR="006A115F">
        <w:t xml:space="preserve"> health care providers external to the practice. </w:t>
      </w:r>
      <w:r w:rsidR="006A115F" w:rsidRPr="00A85AFB">
        <w:t>Outcomes such as reduced emergency department attendances and hospital admissions may have needed engagement and incentives for other providers and stakeholders across the health system to work with general practice to achieve</w:t>
      </w:r>
      <w:r w:rsidR="006A115F">
        <w:t xml:space="preserve"> the desired changes</w:t>
      </w:r>
      <w:r w:rsidR="006A115F" w:rsidRPr="00A85AFB">
        <w:t>.</w:t>
      </w:r>
      <w:r w:rsidR="006A115F">
        <w:t xml:space="preserve"> T</w:t>
      </w:r>
      <w:r w:rsidR="006A115F" w:rsidRPr="00A85AFB">
        <w:t xml:space="preserve">he </w:t>
      </w:r>
      <w:r w:rsidR="006A115F">
        <w:t xml:space="preserve">trial included a </w:t>
      </w:r>
      <w:r w:rsidR="006A115F" w:rsidRPr="00A85AFB">
        <w:t>bundled payment</w:t>
      </w:r>
      <w:r w:rsidR="006A115F">
        <w:t xml:space="preserve">, which was essentially intended to </w:t>
      </w:r>
      <w:r w:rsidR="006A115F" w:rsidRPr="00A85AFB">
        <w:t>stimulate changes to chronic disease management within practices</w:t>
      </w:r>
      <w:r w:rsidR="006A115F">
        <w:t>, and a community pharmacy component, which was focussed on achieving engagement between practices</w:t>
      </w:r>
      <w:r w:rsidR="007D276E">
        <w:t xml:space="preserve"> and community pharmacies</w:t>
      </w:r>
      <w:r w:rsidR="00031C79">
        <w:t>, but broader engagement of the health neig</w:t>
      </w:r>
      <w:r w:rsidR="00CD05D0">
        <w:t>hbourhood may be required</w:t>
      </w:r>
      <w:r w:rsidR="006A115F" w:rsidRPr="00A85AFB">
        <w:t xml:space="preserve">. </w:t>
      </w:r>
    </w:p>
    <w:p w14:paraId="25597566" w14:textId="3D1A234E" w:rsidR="006A115F" w:rsidRDefault="00EA0758" w:rsidP="006A115F">
      <w:r>
        <w:t>Overall</w:t>
      </w:r>
      <w:r w:rsidR="006A115F">
        <w:t xml:space="preserve">, </w:t>
      </w:r>
      <w:r w:rsidR="00D845FB">
        <w:t>the evaluation was not able to</w:t>
      </w:r>
      <w:r w:rsidR="006A115F" w:rsidRPr="00A85AFB">
        <w:t xml:space="preserve"> </w:t>
      </w:r>
      <w:r w:rsidR="006A115F">
        <w:t xml:space="preserve">reach </w:t>
      </w:r>
      <w:r w:rsidR="00D845FB">
        <w:t>a</w:t>
      </w:r>
      <w:r w:rsidR="006A115F">
        <w:t xml:space="preserve"> conclusion about the </w:t>
      </w:r>
      <w:r w:rsidR="006A115F" w:rsidRPr="00A85AFB">
        <w:t>value-for-money</w:t>
      </w:r>
      <w:r w:rsidR="006A115F">
        <w:t xml:space="preserve"> of the program.</w:t>
      </w:r>
      <w:r w:rsidR="006A115F" w:rsidRPr="00F5194E">
        <w:t xml:space="preserve"> </w:t>
      </w:r>
      <w:r w:rsidR="0009258D">
        <w:t>Nevertheless, the trial yielded important lessons about voluntary enrolment, risk stratification, bundled payment, processes to support practice transformation, shared care planning, integrating community pharmacists amongst general practice care teams and evaluation, which should be considered for future reform of primary care</w:t>
      </w:r>
      <w:r w:rsidR="006A115F">
        <w:t>.</w:t>
      </w:r>
      <w:r w:rsidR="00DB6D9D">
        <w:t xml:space="preserve"> </w:t>
      </w:r>
      <w:r w:rsidR="006A115F">
        <w:t xml:space="preserve">These lessons are </w:t>
      </w:r>
      <w:r w:rsidR="00DB6D9D">
        <w:t>outlined in the next chapter</w:t>
      </w:r>
      <w:r w:rsidR="006A115F">
        <w:t>.</w:t>
      </w:r>
    </w:p>
    <w:p w14:paraId="3E375C50" w14:textId="0E65673D" w:rsidR="004075A3" w:rsidRDefault="004075A3" w:rsidP="005072A6">
      <w:pPr>
        <w:sectPr w:rsidR="004075A3">
          <w:pgSz w:w="11906" w:h="16838"/>
          <w:pgMar w:top="1440" w:right="1440" w:bottom="1440" w:left="1440" w:header="708" w:footer="708" w:gutter="0"/>
          <w:cols w:space="708"/>
          <w:docGrid w:linePitch="360"/>
        </w:sectPr>
      </w:pPr>
    </w:p>
    <w:p w14:paraId="1A257D2C" w14:textId="1C68B43C" w:rsidR="000E4FA0" w:rsidRPr="0094369A" w:rsidRDefault="000E4FA0" w:rsidP="000E4FA0">
      <w:pPr>
        <w:pStyle w:val="ChapterNumber"/>
      </w:pPr>
      <w:r>
        <w:lastRenderedPageBreak/>
        <w:fldChar w:fldCharType="begin"/>
      </w:r>
      <w:r>
        <w:instrText xml:space="preserve"> REF _Ref99902892 \r \h </w:instrText>
      </w:r>
      <w:r>
        <w:fldChar w:fldCharType="separate"/>
      </w:r>
      <w:r w:rsidR="003C4BC2">
        <w:t>26</w:t>
      </w:r>
      <w:r>
        <w:fldChar w:fldCharType="end"/>
      </w:r>
    </w:p>
    <w:p w14:paraId="2B3FD129" w14:textId="3556673B" w:rsidR="000E4FA0" w:rsidRDefault="000E4FA0" w:rsidP="000E4FA0">
      <w:pPr>
        <w:pStyle w:val="Heading1withnumber"/>
        <w:ind w:left="0" w:hanging="851"/>
      </w:pPr>
      <w:bookmarkStart w:id="515" w:name="_Ref99902892"/>
      <w:bookmarkStart w:id="516" w:name="_Toc109996780"/>
      <w:r>
        <w:t>Key lessons</w:t>
      </w:r>
      <w:bookmarkEnd w:id="515"/>
      <w:bookmarkEnd w:id="516"/>
    </w:p>
    <w:p w14:paraId="0504198B" w14:textId="77777777" w:rsidR="00AA21E8" w:rsidRPr="008E4578" w:rsidRDefault="00AA21E8" w:rsidP="00AA21E8">
      <w:r w:rsidRPr="008E4578">
        <w:t>Important lessons for primary health care reform can be drawn from the HCH trial. These are described below, organised into the following topics:</w:t>
      </w:r>
    </w:p>
    <w:p w14:paraId="0954958F" w14:textId="77777777" w:rsidR="00AA21E8" w:rsidRPr="008E4578" w:rsidRDefault="00AA21E8" w:rsidP="00AE0FBF">
      <w:pPr>
        <w:pStyle w:val="ListParagraph"/>
        <w:numPr>
          <w:ilvl w:val="0"/>
          <w:numId w:val="63"/>
        </w:numPr>
      </w:pPr>
      <w:bookmarkStart w:id="517" w:name="_Ref103682582"/>
      <w:r w:rsidRPr="008E4578">
        <w:t>Laying the foundations</w:t>
      </w:r>
      <w:bookmarkEnd w:id="517"/>
    </w:p>
    <w:p w14:paraId="0CFA3AF0" w14:textId="77777777" w:rsidR="00AA21E8" w:rsidRPr="008E4578" w:rsidRDefault="00AA21E8" w:rsidP="00AE0FBF">
      <w:pPr>
        <w:pStyle w:val="ListParagraph"/>
        <w:numPr>
          <w:ilvl w:val="0"/>
          <w:numId w:val="63"/>
        </w:numPr>
      </w:pPr>
      <w:r w:rsidRPr="008E4578">
        <w:t>Engaging patients, carers and families</w:t>
      </w:r>
    </w:p>
    <w:p w14:paraId="76B3AE33" w14:textId="77777777" w:rsidR="00AA21E8" w:rsidRPr="008E4578" w:rsidRDefault="00AA21E8" w:rsidP="00AE0FBF">
      <w:pPr>
        <w:pStyle w:val="ListParagraph"/>
        <w:numPr>
          <w:ilvl w:val="0"/>
          <w:numId w:val="63"/>
        </w:numPr>
      </w:pPr>
      <w:bookmarkStart w:id="518" w:name="_Ref103682874"/>
      <w:r w:rsidRPr="008E4578">
        <w:t>Change within practices</w:t>
      </w:r>
      <w:bookmarkEnd w:id="518"/>
    </w:p>
    <w:p w14:paraId="662ED063" w14:textId="77777777" w:rsidR="00AA21E8" w:rsidRPr="008E4578" w:rsidRDefault="00AA21E8" w:rsidP="00AE0FBF">
      <w:pPr>
        <w:pStyle w:val="ListParagraph"/>
        <w:numPr>
          <w:ilvl w:val="0"/>
          <w:numId w:val="63"/>
        </w:numPr>
      </w:pPr>
      <w:bookmarkStart w:id="519" w:name="_Ref103681470"/>
      <w:r w:rsidRPr="008E4578">
        <w:t>Risk stratification</w:t>
      </w:r>
      <w:bookmarkEnd w:id="519"/>
    </w:p>
    <w:p w14:paraId="2CFD5B87" w14:textId="77777777" w:rsidR="00AA21E8" w:rsidRPr="008E4578" w:rsidRDefault="00AA21E8" w:rsidP="00AE0FBF">
      <w:pPr>
        <w:pStyle w:val="ListParagraph"/>
        <w:numPr>
          <w:ilvl w:val="0"/>
          <w:numId w:val="63"/>
        </w:numPr>
      </w:pPr>
      <w:bookmarkStart w:id="520" w:name="_Ref103681017"/>
      <w:r w:rsidRPr="008E4578">
        <w:t>Bundled payment</w:t>
      </w:r>
      <w:bookmarkEnd w:id="520"/>
    </w:p>
    <w:p w14:paraId="0EAD23A9" w14:textId="77777777" w:rsidR="00AA21E8" w:rsidRPr="008E4578" w:rsidRDefault="00AA21E8" w:rsidP="00AE0FBF">
      <w:pPr>
        <w:pStyle w:val="ListParagraph"/>
        <w:numPr>
          <w:ilvl w:val="0"/>
          <w:numId w:val="63"/>
        </w:numPr>
      </w:pPr>
      <w:r w:rsidRPr="008E4578">
        <w:t>Shared care planning</w:t>
      </w:r>
    </w:p>
    <w:p w14:paraId="233DC72A" w14:textId="77777777" w:rsidR="00AA21E8" w:rsidRPr="008E4578" w:rsidRDefault="00AA21E8" w:rsidP="00AE0FBF">
      <w:pPr>
        <w:pStyle w:val="ListParagraph"/>
        <w:numPr>
          <w:ilvl w:val="0"/>
          <w:numId w:val="63"/>
        </w:numPr>
      </w:pPr>
      <w:r w:rsidRPr="008E4578">
        <w:t>Community pharmacy</w:t>
      </w:r>
    </w:p>
    <w:p w14:paraId="536E4542" w14:textId="12305FF4" w:rsidR="00D26F22" w:rsidRPr="008E4578" w:rsidRDefault="00D26F22" w:rsidP="00AE0FBF">
      <w:pPr>
        <w:pStyle w:val="ListParagraph"/>
        <w:numPr>
          <w:ilvl w:val="0"/>
          <w:numId w:val="63"/>
        </w:numPr>
      </w:pPr>
      <w:r>
        <w:t>Evaluation</w:t>
      </w:r>
    </w:p>
    <w:p w14:paraId="140E55A6" w14:textId="77777777" w:rsidR="00AA21E8" w:rsidRPr="008E4578" w:rsidRDefault="00AA21E8" w:rsidP="00AA21E8">
      <w:pPr>
        <w:pStyle w:val="Heading2"/>
      </w:pPr>
      <w:bookmarkStart w:id="521" w:name="_Toc109996781"/>
      <w:r w:rsidRPr="008E4578">
        <w:t>Laying the foundations</w:t>
      </w:r>
      <w:bookmarkEnd w:id="521"/>
    </w:p>
    <w:p w14:paraId="04F88E69" w14:textId="77777777" w:rsidR="00AA21E8" w:rsidRPr="008E4578" w:rsidRDefault="00AA21E8" w:rsidP="00BB7C8D">
      <w:pPr>
        <w:pStyle w:val="ListParagraph"/>
        <w:numPr>
          <w:ilvl w:val="0"/>
          <w:numId w:val="57"/>
        </w:numPr>
        <w:ind w:left="426" w:hanging="426"/>
        <w:contextualSpacing w:val="0"/>
        <w:rPr>
          <w:szCs w:val="20"/>
        </w:rPr>
      </w:pPr>
      <w:r w:rsidRPr="008E4578">
        <w:rPr>
          <w:szCs w:val="20"/>
        </w:rPr>
        <w:t xml:space="preserve">For complex programs or innovations such as HCH, </w:t>
      </w:r>
      <w:r w:rsidRPr="008E4578">
        <w:rPr>
          <w:b/>
          <w:bCs/>
          <w:szCs w:val="20"/>
        </w:rPr>
        <w:t>allow adequate time for implementation</w:t>
      </w:r>
      <w:r w:rsidRPr="008E4578">
        <w:rPr>
          <w:szCs w:val="20"/>
        </w:rPr>
        <w:t>, including time for practices to prepare for change before going live with the initiative. Appropriate resourcing and support should be available during this preparatory period. The following should be considered:</w:t>
      </w:r>
    </w:p>
    <w:p w14:paraId="4E7C0219" w14:textId="3F86DC82" w:rsidR="00AA21E8" w:rsidRPr="008E4578" w:rsidRDefault="00AA21E8" w:rsidP="00BB7C8D">
      <w:pPr>
        <w:pStyle w:val="ListParagraph"/>
        <w:numPr>
          <w:ilvl w:val="1"/>
          <w:numId w:val="57"/>
        </w:numPr>
        <w:ind w:left="709" w:hanging="283"/>
        <w:contextualSpacing w:val="0"/>
        <w:rPr>
          <w:szCs w:val="20"/>
        </w:rPr>
      </w:pPr>
      <w:r w:rsidRPr="008E4578">
        <w:rPr>
          <w:szCs w:val="20"/>
        </w:rPr>
        <w:t xml:space="preserve">Allow time for and invest in </w:t>
      </w:r>
      <w:r w:rsidRPr="008E4578">
        <w:rPr>
          <w:b/>
          <w:bCs/>
          <w:szCs w:val="20"/>
        </w:rPr>
        <w:t>developing and communicating information about the initiative to practices</w:t>
      </w:r>
      <w:r w:rsidRPr="008E4578">
        <w:rPr>
          <w:szCs w:val="20"/>
        </w:rPr>
        <w:t xml:space="preserve">. </w:t>
      </w:r>
      <w:r w:rsidR="000D4DDB" w:rsidRPr="008E4578">
        <w:rPr>
          <w:szCs w:val="20"/>
        </w:rPr>
        <w:t>This should include providing information sessions about the initiative for interested practices. Leverage PHN knowledge of practices locally and relationships and us</w:t>
      </w:r>
      <w:r w:rsidR="000D4DDB">
        <w:rPr>
          <w:szCs w:val="20"/>
        </w:rPr>
        <w:t>e</w:t>
      </w:r>
      <w:r w:rsidR="000D4DDB" w:rsidRPr="008E4578">
        <w:rPr>
          <w:szCs w:val="20"/>
        </w:rPr>
        <w:t xml:space="preserve"> knowledge and relationships of national organisations and networks</w:t>
      </w:r>
      <w:r w:rsidRPr="008E4578">
        <w:rPr>
          <w:szCs w:val="20"/>
        </w:rPr>
        <w:t>.</w:t>
      </w:r>
    </w:p>
    <w:p w14:paraId="06695C84" w14:textId="77777777" w:rsidR="00AA21E8" w:rsidRPr="008E4578" w:rsidRDefault="00AA21E8" w:rsidP="00BB7C8D">
      <w:pPr>
        <w:pStyle w:val="ListParagraph"/>
        <w:numPr>
          <w:ilvl w:val="1"/>
          <w:numId w:val="57"/>
        </w:numPr>
        <w:ind w:left="709" w:hanging="283"/>
        <w:contextualSpacing w:val="0"/>
        <w:rPr>
          <w:szCs w:val="20"/>
        </w:rPr>
      </w:pPr>
      <w:r w:rsidRPr="008E4578">
        <w:rPr>
          <w:szCs w:val="20"/>
        </w:rPr>
        <w:t xml:space="preserve">For practices agreeing to participate in future large-scale initiatives, </w:t>
      </w:r>
      <w:r w:rsidRPr="008E4578">
        <w:rPr>
          <w:b/>
          <w:bCs/>
          <w:szCs w:val="20"/>
        </w:rPr>
        <w:t>expectations should be established early</w:t>
      </w:r>
      <w:r w:rsidRPr="008E4578">
        <w:rPr>
          <w:szCs w:val="20"/>
        </w:rPr>
        <w:t xml:space="preserve">, ideally through comprehensive guidance and information and a formal participation agreement. The agreement should describe the enhancements practices commit to, and expectations about GP and staff engagement in the change process. Depending on the nature of the reform, the agreement could include </w:t>
      </w:r>
      <w:r w:rsidRPr="008E4578">
        <w:rPr>
          <w:b/>
          <w:bCs/>
          <w:szCs w:val="20"/>
        </w:rPr>
        <w:t>targets for patient and GP participation, set to reflect the need to achieve an appropriate scale, and whole-of-practice involvement and commitment to change</w:t>
      </w:r>
      <w:r w:rsidRPr="008E4578">
        <w:rPr>
          <w:szCs w:val="20"/>
        </w:rPr>
        <w:t xml:space="preserve">. There should be confirmation that </w:t>
      </w:r>
      <w:r w:rsidRPr="008E4578">
        <w:rPr>
          <w:b/>
          <w:bCs/>
          <w:szCs w:val="20"/>
        </w:rPr>
        <w:t>GPs within the practice have been adequately informed</w:t>
      </w:r>
      <w:r w:rsidRPr="008E4578">
        <w:rPr>
          <w:szCs w:val="20"/>
        </w:rPr>
        <w:t xml:space="preserve"> about the initiative and that they support its implementation.</w:t>
      </w:r>
    </w:p>
    <w:p w14:paraId="130EE8DB" w14:textId="4A6AFE9E" w:rsidR="00AA21E8" w:rsidRPr="008E4578" w:rsidRDefault="00AA21E8" w:rsidP="00BB7C8D">
      <w:pPr>
        <w:pStyle w:val="ListParagraph"/>
        <w:numPr>
          <w:ilvl w:val="1"/>
          <w:numId w:val="57"/>
        </w:numPr>
        <w:ind w:left="709" w:hanging="283"/>
        <w:contextualSpacing w:val="0"/>
        <w:rPr>
          <w:szCs w:val="20"/>
        </w:rPr>
      </w:pPr>
      <w:r w:rsidRPr="008E4578">
        <w:rPr>
          <w:szCs w:val="20"/>
        </w:rPr>
        <w:t xml:space="preserve">After agreeing to participate, practices will need </w:t>
      </w:r>
      <w:r w:rsidR="00E00074">
        <w:rPr>
          <w:b/>
          <w:bCs/>
          <w:szCs w:val="20"/>
        </w:rPr>
        <w:t>six to 12</w:t>
      </w:r>
      <w:r w:rsidRPr="008E4578">
        <w:rPr>
          <w:b/>
          <w:bCs/>
          <w:szCs w:val="20"/>
        </w:rPr>
        <w:t xml:space="preserve"> months to prepare</w:t>
      </w:r>
      <w:r w:rsidRPr="008E4578">
        <w:rPr>
          <w:szCs w:val="20"/>
        </w:rPr>
        <w:t xml:space="preserve"> for the types of changes that were envisaged for HCHs. This period should be used to address changes in administrative and clinical processes, engage GPs and practice staff, decide on changes to the model of care, decide how these will be implemented, and begin to inform and engage patients. Through this period, practices, GPs and other </w:t>
      </w:r>
      <w:r w:rsidRPr="008E4578">
        <w:rPr>
          <w:szCs w:val="20"/>
        </w:rPr>
        <w:lastRenderedPageBreak/>
        <w:t>practice staff, will benefit from support from external facilitators, training opportunities and peer-to-peer exchange at the regional and national levels.</w:t>
      </w:r>
    </w:p>
    <w:p w14:paraId="3E07D62D" w14:textId="2DDC48F6" w:rsidR="00AA21E8" w:rsidRPr="008E4578" w:rsidRDefault="00AA21E8" w:rsidP="00BB7C8D">
      <w:pPr>
        <w:pStyle w:val="ListParagraph"/>
        <w:numPr>
          <w:ilvl w:val="1"/>
          <w:numId w:val="57"/>
        </w:numPr>
        <w:ind w:left="709" w:hanging="283"/>
        <w:contextualSpacing w:val="0"/>
        <w:rPr>
          <w:szCs w:val="20"/>
        </w:rPr>
      </w:pPr>
      <w:r w:rsidRPr="008E4578">
        <w:rPr>
          <w:b/>
          <w:bCs/>
          <w:szCs w:val="20"/>
        </w:rPr>
        <w:t>External facilitation is valuable for practices</w:t>
      </w:r>
      <w:r w:rsidRPr="008E4578">
        <w:rPr>
          <w:szCs w:val="20"/>
        </w:rPr>
        <w:t xml:space="preserve"> </w:t>
      </w:r>
      <w:r w:rsidR="00E5707A" w:rsidRPr="008E4578">
        <w:rPr>
          <w:szCs w:val="20"/>
        </w:rPr>
        <w:t>in undergoing the level of transformation needed to achiev</w:t>
      </w:r>
      <w:r w:rsidR="00E5707A">
        <w:rPr>
          <w:szCs w:val="20"/>
        </w:rPr>
        <w:t>e</w:t>
      </w:r>
      <w:r w:rsidR="00E5707A" w:rsidRPr="008E4578">
        <w:rPr>
          <w:szCs w:val="20"/>
        </w:rPr>
        <w:t xml:space="preserve"> aspirations </w:t>
      </w:r>
      <w:r w:rsidR="00E5707A">
        <w:rPr>
          <w:szCs w:val="20"/>
        </w:rPr>
        <w:t>of</w:t>
      </w:r>
      <w:r w:rsidR="00E5707A" w:rsidRPr="008E4578">
        <w:rPr>
          <w:szCs w:val="20"/>
        </w:rPr>
        <w:t xml:space="preserve"> the HCH model</w:t>
      </w:r>
      <w:r w:rsidRPr="008E4578">
        <w:rPr>
          <w:szCs w:val="20"/>
        </w:rPr>
        <w:t xml:space="preserve">. Facilitation should be offered during the preparatory stage and in the following period, and </w:t>
      </w:r>
      <w:r w:rsidRPr="008E4578">
        <w:rPr>
          <w:b/>
          <w:bCs/>
          <w:szCs w:val="20"/>
        </w:rPr>
        <w:t>expectations about what it entails for practices and their staff be set out clearly in advance</w:t>
      </w:r>
      <w:r w:rsidRPr="008E4578">
        <w:rPr>
          <w:szCs w:val="20"/>
        </w:rPr>
        <w:t xml:space="preserve">. Rapport and trust between the practice facilitator and practice staff are foundations for success, and this requires building relationships over the medium to long term. External facilitation for practices for quality improvement initiatives should be </w:t>
      </w:r>
      <w:r w:rsidRPr="008E4578">
        <w:rPr>
          <w:b/>
          <w:bCs/>
          <w:szCs w:val="20"/>
        </w:rPr>
        <w:t>provided by a mix of staff with advanced facilitation skills</w:t>
      </w:r>
      <w:r w:rsidRPr="008E4578">
        <w:rPr>
          <w:szCs w:val="20"/>
        </w:rPr>
        <w:t xml:space="preserve"> located in </w:t>
      </w:r>
      <w:r w:rsidR="008F5A48">
        <w:rPr>
          <w:szCs w:val="20"/>
        </w:rPr>
        <w:t>meso</w:t>
      </w:r>
      <w:r w:rsidRPr="008E4578">
        <w:rPr>
          <w:szCs w:val="20"/>
        </w:rPr>
        <w:t xml:space="preserve"> or national level organisations and staff embedded within PHN-based teams responsible for supporting practices.</w:t>
      </w:r>
    </w:p>
    <w:p w14:paraId="4DB0542A" w14:textId="77777777" w:rsidR="00AA21E8" w:rsidRPr="008E4578" w:rsidRDefault="00AA21E8" w:rsidP="00BB7C8D">
      <w:pPr>
        <w:pStyle w:val="ListParagraph"/>
        <w:numPr>
          <w:ilvl w:val="1"/>
          <w:numId w:val="57"/>
        </w:numPr>
        <w:ind w:left="709" w:hanging="283"/>
        <w:contextualSpacing w:val="0"/>
        <w:rPr>
          <w:szCs w:val="20"/>
        </w:rPr>
      </w:pPr>
      <w:r w:rsidRPr="008E4578">
        <w:rPr>
          <w:szCs w:val="20"/>
        </w:rPr>
        <w:t xml:space="preserve">Ensure that </w:t>
      </w:r>
      <w:r w:rsidRPr="008E4578">
        <w:rPr>
          <w:b/>
          <w:bCs/>
          <w:szCs w:val="20"/>
        </w:rPr>
        <w:t>training materials are succinct, practically oriented and tailored to reflect different roles with the primary care team</w:t>
      </w:r>
      <w:r w:rsidRPr="008E4578">
        <w:rPr>
          <w:szCs w:val="20"/>
        </w:rPr>
        <w:t xml:space="preserve">. </w:t>
      </w:r>
      <w:r w:rsidRPr="008E4578">
        <w:rPr>
          <w:b/>
          <w:bCs/>
          <w:szCs w:val="20"/>
        </w:rPr>
        <w:t>Online training should be supplemented with other modes of training</w:t>
      </w:r>
      <w:r w:rsidRPr="008E4578">
        <w:rPr>
          <w:szCs w:val="20"/>
        </w:rPr>
        <w:t xml:space="preserve"> and initiatives that involve interactions particularly with peers, for example, communities of practice.</w:t>
      </w:r>
    </w:p>
    <w:p w14:paraId="0099A49B" w14:textId="77777777" w:rsidR="00AA21E8" w:rsidRPr="008E4578" w:rsidRDefault="00AA21E8" w:rsidP="00BB7C8D">
      <w:pPr>
        <w:pStyle w:val="ListParagraph"/>
        <w:numPr>
          <w:ilvl w:val="1"/>
          <w:numId w:val="57"/>
        </w:numPr>
        <w:ind w:left="709" w:hanging="283"/>
        <w:contextualSpacing w:val="0"/>
        <w:rPr>
          <w:szCs w:val="20"/>
        </w:rPr>
      </w:pPr>
      <w:r w:rsidRPr="008E4578">
        <w:rPr>
          <w:szCs w:val="20"/>
        </w:rPr>
        <w:t xml:space="preserve">For future large-scale primary care initiatives, </w:t>
      </w:r>
      <w:r w:rsidRPr="008E4578">
        <w:rPr>
          <w:b/>
          <w:bCs/>
          <w:szCs w:val="20"/>
        </w:rPr>
        <w:t>use a national event at the start of implementation</w:t>
      </w:r>
      <w:r w:rsidRPr="008E4578">
        <w:rPr>
          <w:szCs w:val="20"/>
        </w:rPr>
        <w:t xml:space="preserve"> to efficiently build knowledge about the initiative and its implementation, motivate participating practices, and build relationships between practices and PHNs. Similar forums should then be held at appropriate intervals. </w:t>
      </w:r>
    </w:p>
    <w:p w14:paraId="214C7D84" w14:textId="68FB3820" w:rsidR="00AA21E8" w:rsidRPr="008E4578" w:rsidRDefault="00AA21E8" w:rsidP="00BB7C8D">
      <w:pPr>
        <w:pStyle w:val="ListParagraph"/>
        <w:numPr>
          <w:ilvl w:val="1"/>
          <w:numId w:val="57"/>
        </w:numPr>
        <w:ind w:left="709" w:hanging="283"/>
        <w:contextualSpacing w:val="0"/>
        <w:rPr>
          <w:szCs w:val="20"/>
        </w:rPr>
      </w:pPr>
      <w:r w:rsidRPr="008E4578">
        <w:rPr>
          <w:szCs w:val="20"/>
        </w:rPr>
        <w:t xml:space="preserve">Ensure </w:t>
      </w:r>
      <w:r w:rsidRPr="008E4578">
        <w:rPr>
          <w:b/>
          <w:bCs/>
          <w:szCs w:val="20"/>
        </w:rPr>
        <w:t>processes involving information collection, use and sharing</w:t>
      </w:r>
      <w:r w:rsidRPr="008E4578">
        <w:rPr>
          <w:szCs w:val="20"/>
        </w:rPr>
        <w:t xml:space="preserve"> – for example for enrolment, changed billing procedures, risk stratification and shared care planning – </w:t>
      </w:r>
      <w:r w:rsidRPr="008E4578">
        <w:rPr>
          <w:b/>
          <w:bCs/>
          <w:szCs w:val="20"/>
        </w:rPr>
        <w:t>are</w:t>
      </w:r>
      <w:r w:rsidRPr="008E4578">
        <w:rPr>
          <w:szCs w:val="20"/>
        </w:rPr>
        <w:t xml:space="preserve"> </w:t>
      </w:r>
      <w:r w:rsidRPr="008E4578">
        <w:rPr>
          <w:b/>
          <w:bCs/>
          <w:szCs w:val="20"/>
        </w:rPr>
        <w:t>seamlessly integrated with practice clinical management systems</w:t>
      </w:r>
      <w:r w:rsidRPr="008E4578">
        <w:rPr>
          <w:szCs w:val="20"/>
        </w:rPr>
        <w:t xml:space="preserve">. This is challenging given the diverse systems used by general practices and the need for these to be interoperable with other systems. But future initiatives should aim to avoid the practical roadblocks in installing and integrating IT many practices faced in the HCH trial, which sapped motivation and led some practices to withdraw. </w:t>
      </w:r>
      <w:r w:rsidR="000F6E77" w:rsidRPr="008E4578">
        <w:rPr>
          <w:szCs w:val="20"/>
        </w:rPr>
        <w:t xml:space="preserve">Early engagement of vendors of practice clinical management software is </w:t>
      </w:r>
      <w:r w:rsidR="000F6E77">
        <w:rPr>
          <w:szCs w:val="20"/>
        </w:rPr>
        <w:t>needed</w:t>
      </w:r>
      <w:r w:rsidR="000F6E77" w:rsidRPr="008E4578">
        <w:rPr>
          <w:szCs w:val="20"/>
        </w:rPr>
        <w:t xml:space="preserve"> to ensure enhancements to functionality </w:t>
      </w:r>
      <w:r w:rsidR="000F6E77">
        <w:rPr>
          <w:szCs w:val="20"/>
        </w:rPr>
        <w:t>and</w:t>
      </w:r>
      <w:r w:rsidR="000F6E77" w:rsidRPr="008E4578">
        <w:rPr>
          <w:szCs w:val="20"/>
        </w:rPr>
        <w:t xml:space="preserve"> integration with other critical software can be achieved</w:t>
      </w:r>
      <w:r w:rsidRPr="008E4578">
        <w:rPr>
          <w:szCs w:val="20"/>
        </w:rPr>
        <w:t>.</w:t>
      </w:r>
    </w:p>
    <w:p w14:paraId="0E77F511" w14:textId="63172C2C" w:rsidR="00AA21E8" w:rsidRPr="008E4578" w:rsidRDefault="00AA21E8" w:rsidP="00BB7C8D">
      <w:pPr>
        <w:pStyle w:val="ListParagraph"/>
        <w:numPr>
          <w:ilvl w:val="1"/>
          <w:numId w:val="57"/>
        </w:numPr>
        <w:ind w:left="709" w:hanging="283"/>
        <w:contextualSpacing w:val="0"/>
        <w:rPr>
          <w:szCs w:val="20"/>
        </w:rPr>
      </w:pPr>
      <w:r w:rsidRPr="008E4578">
        <w:rPr>
          <w:szCs w:val="20"/>
        </w:rPr>
        <w:t xml:space="preserve">Participating practices should be offered </w:t>
      </w:r>
      <w:r w:rsidRPr="008E4578">
        <w:rPr>
          <w:b/>
          <w:bCs/>
          <w:szCs w:val="20"/>
        </w:rPr>
        <w:t xml:space="preserve">financial support that </w:t>
      </w:r>
      <w:r w:rsidRPr="008E4578">
        <w:rPr>
          <w:rFonts w:eastAsia="Muli" w:cs="Muli"/>
          <w:b/>
          <w:bCs/>
          <w:color w:val="000000" w:themeColor="text1"/>
          <w:szCs w:val="20"/>
        </w:rPr>
        <w:t>realistically reflects the initial costs of preparing for implementation</w:t>
      </w:r>
      <w:r w:rsidRPr="008E4578">
        <w:rPr>
          <w:rFonts w:eastAsia="Muli" w:cs="Muli"/>
          <w:color w:val="000000" w:themeColor="text1"/>
          <w:szCs w:val="20"/>
        </w:rPr>
        <w:t>.</w:t>
      </w:r>
      <w:r w:rsidR="006D75FB">
        <w:rPr>
          <w:rFonts w:eastAsia="Muli" w:cs="Muli"/>
          <w:color w:val="000000" w:themeColor="text1"/>
          <w:szCs w:val="20"/>
        </w:rPr>
        <w:t xml:space="preserve"> </w:t>
      </w:r>
      <w:r w:rsidRPr="008E4578">
        <w:rPr>
          <w:rFonts w:eastAsia="Muli" w:cs="Muli"/>
          <w:color w:val="000000" w:themeColor="text1"/>
          <w:szCs w:val="20"/>
        </w:rPr>
        <w:t>Set-up costs could be minimised by sorting out IT integration issues before practices install software so that practices don’t have to do this themselves, and by streamlining software to minimise data input at a practice level.</w:t>
      </w:r>
    </w:p>
    <w:p w14:paraId="2B01506D" w14:textId="77777777" w:rsidR="00AA21E8" w:rsidRPr="008E4578" w:rsidRDefault="00AA21E8" w:rsidP="00BB7C8D">
      <w:pPr>
        <w:pStyle w:val="ListParagraph"/>
        <w:numPr>
          <w:ilvl w:val="1"/>
          <w:numId w:val="57"/>
        </w:numPr>
        <w:ind w:left="709" w:hanging="283"/>
        <w:contextualSpacing w:val="0"/>
        <w:rPr>
          <w:szCs w:val="20"/>
        </w:rPr>
      </w:pPr>
      <w:r w:rsidRPr="008E4578">
        <w:rPr>
          <w:szCs w:val="20"/>
        </w:rPr>
        <w:t xml:space="preserve">Before enrolling patients or other initiatives involving direct patient engagement, </w:t>
      </w:r>
      <w:r w:rsidRPr="008E4578">
        <w:rPr>
          <w:b/>
          <w:bCs/>
          <w:szCs w:val="20"/>
        </w:rPr>
        <w:t>practices should have achieved a minimum set of requirements or standards for the operation of the initiative</w:t>
      </w:r>
      <w:r w:rsidRPr="008E4578">
        <w:rPr>
          <w:szCs w:val="20"/>
        </w:rPr>
        <w:t>. The presence of these requirements/ standards could be assessed through an ancillary accreditation process specific to the initiative.</w:t>
      </w:r>
    </w:p>
    <w:p w14:paraId="5576CD58" w14:textId="45AE1E3D" w:rsidR="002C4D7F" w:rsidRPr="005E5CB3" w:rsidRDefault="00837C83" w:rsidP="005E5CB3">
      <w:pPr>
        <w:pStyle w:val="ListParagraph"/>
        <w:numPr>
          <w:ilvl w:val="1"/>
          <w:numId w:val="57"/>
        </w:numPr>
        <w:ind w:left="709" w:hanging="284"/>
        <w:contextualSpacing w:val="0"/>
        <w:rPr>
          <w:rFonts w:ascii="Roboto Slab" w:eastAsia="Times New Roman" w:hAnsi="Roboto Slab" w:cs="Times New Roman"/>
          <w:bCs/>
          <w:color w:val="408BCA"/>
          <w:sz w:val="32"/>
          <w:szCs w:val="36"/>
          <w:lang w:eastAsia="en-AU"/>
        </w:rPr>
      </w:pPr>
      <w:r w:rsidRPr="008E4578">
        <w:rPr>
          <w:szCs w:val="20"/>
        </w:rPr>
        <w:t xml:space="preserve">Consider </w:t>
      </w:r>
      <w:r w:rsidRPr="008E4578">
        <w:rPr>
          <w:b/>
          <w:bCs/>
          <w:szCs w:val="20"/>
        </w:rPr>
        <w:t xml:space="preserve">staggering the time over which cohorts of practices start </w:t>
      </w:r>
      <w:r>
        <w:rPr>
          <w:b/>
          <w:bCs/>
          <w:szCs w:val="20"/>
        </w:rPr>
        <w:t>implementing a</w:t>
      </w:r>
      <w:r w:rsidRPr="008E4578">
        <w:rPr>
          <w:b/>
          <w:bCs/>
          <w:szCs w:val="20"/>
        </w:rPr>
        <w:t xml:space="preserve"> large-scale initiative</w:t>
      </w:r>
      <w:r w:rsidRPr="008E4578">
        <w:rPr>
          <w:szCs w:val="20"/>
        </w:rPr>
        <w:t xml:space="preserve">. Implementation for each cohort would start at reasonably spaced points in time, such as </w:t>
      </w:r>
      <w:r>
        <w:rPr>
          <w:szCs w:val="20"/>
        </w:rPr>
        <w:t xml:space="preserve">six </w:t>
      </w:r>
      <w:r w:rsidRPr="008E4578">
        <w:rPr>
          <w:szCs w:val="20"/>
        </w:rPr>
        <w:t>months apart. The initial cohort would include a small number of practices, with increased numbers in subsequent cohorts</w:t>
      </w:r>
      <w:r w:rsidR="00AA21E8" w:rsidRPr="005E5CB3">
        <w:rPr>
          <w:szCs w:val="20"/>
        </w:rPr>
        <w:t xml:space="preserve">. </w:t>
      </w:r>
      <w:r w:rsidR="005E166E" w:rsidRPr="008E4578">
        <w:rPr>
          <w:szCs w:val="20"/>
        </w:rPr>
        <w:t xml:space="preserve">This will </w:t>
      </w:r>
      <w:r w:rsidR="005E166E" w:rsidRPr="008E4578">
        <w:rPr>
          <w:szCs w:val="20"/>
        </w:rPr>
        <w:lastRenderedPageBreak/>
        <w:t xml:space="preserve">allow processes and information systems to be refined, more efficient and better use of resources provided to support practices, </w:t>
      </w:r>
      <w:r w:rsidR="005E166E">
        <w:rPr>
          <w:szCs w:val="20"/>
        </w:rPr>
        <w:t xml:space="preserve">and </w:t>
      </w:r>
      <w:r w:rsidR="005E166E" w:rsidRPr="008E4578">
        <w:rPr>
          <w:szCs w:val="20"/>
        </w:rPr>
        <w:t xml:space="preserve">lessons gleaned from earlier cohorts </w:t>
      </w:r>
      <w:r w:rsidR="005E166E">
        <w:rPr>
          <w:szCs w:val="20"/>
        </w:rPr>
        <w:t>could</w:t>
      </w:r>
      <w:r w:rsidR="005E166E" w:rsidRPr="008E4578">
        <w:rPr>
          <w:szCs w:val="20"/>
        </w:rPr>
        <w:t xml:space="preserve"> be applied </w:t>
      </w:r>
      <w:r w:rsidR="005E166E">
        <w:rPr>
          <w:szCs w:val="20"/>
        </w:rPr>
        <w:t>to</w:t>
      </w:r>
      <w:r w:rsidR="005E166E" w:rsidRPr="008E4578">
        <w:rPr>
          <w:szCs w:val="20"/>
        </w:rPr>
        <w:t xml:space="preserve"> later cohorts</w:t>
      </w:r>
      <w:r w:rsidR="00AA21E8" w:rsidRPr="005E5CB3">
        <w:rPr>
          <w:szCs w:val="20"/>
        </w:rPr>
        <w:t>. Additionally, this approach is more likely to facilitate application of step</w:t>
      </w:r>
      <w:r w:rsidR="00142413">
        <w:rPr>
          <w:szCs w:val="20"/>
        </w:rPr>
        <w:t>ped</w:t>
      </w:r>
      <w:r w:rsidR="009B6D7E">
        <w:rPr>
          <w:szCs w:val="20"/>
        </w:rPr>
        <w:t xml:space="preserve"> </w:t>
      </w:r>
      <w:r w:rsidR="00AA21E8" w:rsidRPr="005E5CB3">
        <w:rPr>
          <w:szCs w:val="20"/>
        </w:rPr>
        <w:t xml:space="preserve">wedge evaluation design, which is potentially more appropriate for practice level interventions. </w:t>
      </w:r>
    </w:p>
    <w:p w14:paraId="330AACFB" w14:textId="5BAEA182" w:rsidR="00AA21E8" w:rsidRPr="008E4578" w:rsidRDefault="00AA21E8" w:rsidP="00AA21E8">
      <w:pPr>
        <w:pStyle w:val="Heading2"/>
      </w:pPr>
      <w:bookmarkStart w:id="522" w:name="_Toc109996782"/>
      <w:r w:rsidRPr="008E4578">
        <w:t>Engaging patients, carers and families</w:t>
      </w:r>
      <w:bookmarkEnd w:id="522"/>
    </w:p>
    <w:p w14:paraId="3B9AE995" w14:textId="77777777" w:rsidR="00AA21E8" w:rsidRPr="008E4578" w:rsidRDefault="00AA21E8" w:rsidP="00BB7C8D">
      <w:pPr>
        <w:pStyle w:val="ListParagraph"/>
        <w:numPr>
          <w:ilvl w:val="0"/>
          <w:numId w:val="57"/>
        </w:numPr>
        <w:ind w:left="426" w:hanging="426"/>
        <w:contextualSpacing w:val="0"/>
        <w:rPr>
          <w:szCs w:val="20"/>
        </w:rPr>
      </w:pPr>
      <w:r w:rsidRPr="008E4578">
        <w:rPr>
          <w:szCs w:val="20"/>
        </w:rPr>
        <w:t xml:space="preserve">In the implementation of an initiative, </w:t>
      </w:r>
      <w:r w:rsidRPr="008E4578">
        <w:rPr>
          <w:b/>
          <w:bCs/>
          <w:szCs w:val="20"/>
        </w:rPr>
        <w:t xml:space="preserve">engaging patients, their </w:t>
      </w:r>
      <w:proofErr w:type="spellStart"/>
      <w:r w:rsidRPr="008E4578">
        <w:rPr>
          <w:b/>
          <w:bCs/>
          <w:szCs w:val="20"/>
        </w:rPr>
        <w:t>carers</w:t>
      </w:r>
      <w:proofErr w:type="spellEnd"/>
      <w:r w:rsidRPr="008E4578">
        <w:rPr>
          <w:b/>
          <w:bCs/>
          <w:szCs w:val="20"/>
        </w:rPr>
        <w:t xml:space="preserve"> and their families is critical</w:t>
      </w:r>
      <w:r w:rsidRPr="008E4578">
        <w:rPr>
          <w:szCs w:val="20"/>
        </w:rPr>
        <w:t>. This is so that they are aware of the initiative and what they can expect in how services are delivered to them, as well understand the potential benefits of the initiative for their health and quality of life. The following should be considered:</w:t>
      </w:r>
    </w:p>
    <w:p w14:paraId="40FFCF26" w14:textId="77777777" w:rsidR="00AA21E8" w:rsidRPr="008E4578" w:rsidRDefault="00AA21E8" w:rsidP="00BB7C8D">
      <w:pPr>
        <w:pStyle w:val="ListParagraph"/>
        <w:numPr>
          <w:ilvl w:val="1"/>
          <w:numId w:val="57"/>
        </w:numPr>
        <w:ind w:left="709" w:hanging="283"/>
        <w:contextualSpacing w:val="0"/>
        <w:rPr>
          <w:szCs w:val="20"/>
        </w:rPr>
      </w:pPr>
      <w:r w:rsidRPr="008E4578">
        <w:rPr>
          <w:szCs w:val="20"/>
        </w:rPr>
        <w:t xml:space="preserve">Exploit </w:t>
      </w:r>
      <w:r w:rsidRPr="008E4578">
        <w:rPr>
          <w:b/>
          <w:bCs/>
          <w:szCs w:val="20"/>
        </w:rPr>
        <w:t>multiple avenues to build awareness</w:t>
      </w:r>
      <w:r w:rsidRPr="008E4578">
        <w:rPr>
          <w:szCs w:val="20"/>
        </w:rPr>
        <w:t xml:space="preserve"> of an initiative and its benefits amongst communities.</w:t>
      </w:r>
    </w:p>
    <w:p w14:paraId="30BAAC5D" w14:textId="77777777" w:rsidR="00AA21E8" w:rsidRPr="008E4578" w:rsidRDefault="00AA21E8" w:rsidP="00BB7C8D">
      <w:pPr>
        <w:pStyle w:val="ListParagraph"/>
        <w:numPr>
          <w:ilvl w:val="1"/>
          <w:numId w:val="57"/>
        </w:numPr>
        <w:ind w:left="709" w:hanging="283"/>
        <w:contextualSpacing w:val="0"/>
        <w:rPr>
          <w:szCs w:val="20"/>
        </w:rPr>
      </w:pPr>
      <w:r w:rsidRPr="008E4578">
        <w:rPr>
          <w:b/>
          <w:bCs/>
          <w:szCs w:val="20"/>
        </w:rPr>
        <w:t>Encourage and develop the capacity of practices to engage patients, families and carers</w:t>
      </w:r>
      <w:r w:rsidRPr="008E4578">
        <w:rPr>
          <w:szCs w:val="20"/>
        </w:rPr>
        <w:t xml:space="preserve"> in designing and implementing changes they will make through the initiative.</w:t>
      </w:r>
    </w:p>
    <w:p w14:paraId="0473312C" w14:textId="77777777" w:rsidR="00AA21E8" w:rsidRPr="008E4578" w:rsidRDefault="00AA21E8" w:rsidP="00BB7C8D">
      <w:pPr>
        <w:pStyle w:val="ListParagraph"/>
        <w:numPr>
          <w:ilvl w:val="1"/>
          <w:numId w:val="57"/>
        </w:numPr>
        <w:ind w:left="709" w:hanging="283"/>
        <w:contextualSpacing w:val="0"/>
        <w:rPr>
          <w:szCs w:val="20"/>
        </w:rPr>
      </w:pPr>
      <w:r w:rsidRPr="008E4578">
        <w:rPr>
          <w:szCs w:val="20"/>
        </w:rPr>
        <w:t xml:space="preserve">Provide </w:t>
      </w:r>
      <w:r w:rsidRPr="008E4578">
        <w:rPr>
          <w:b/>
          <w:bCs/>
          <w:szCs w:val="20"/>
        </w:rPr>
        <w:t>practical guidance to practices on how to succinctly communicate the benefits of an initiative to patients</w:t>
      </w:r>
      <w:r w:rsidRPr="008E4578">
        <w:rPr>
          <w:szCs w:val="20"/>
        </w:rPr>
        <w:t xml:space="preserve"> and their carers/families and address their concerns.</w:t>
      </w:r>
    </w:p>
    <w:p w14:paraId="45B82C4A" w14:textId="77777777" w:rsidR="000E4FA0" w:rsidRPr="008E4578" w:rsidRDefault="000E4FA0" w:rsidP="00BB7C8D">
      <w:pPr>
        <w:pStyle w:val="ListParagraph"/>
        <w:numPr>
          <w:ilvl w:val="1"/>
          <w:numId w:val="57"/>
        </w:numPr>
        <w:ind w:left="709" w:hanging="283"/>
        <w:contextualSpacing w:val="0"/>
        <w:rPr>
          <w:szCs w:val="20"/>
        </w:rPr>
      </w:pPr>
      <w:r w:rsidRPr="008E4578">
        <w:rPr>
          <w:szCs w:val="20"/>
        </w:rPr>
        <w:t xml:space="preserve">Develop </w:t>
      </w:r>
      <w:r w:rsidRPr="008E4578">
        <w:rPr>
          <w:b/>
          <w:szCs w:val="20"/>
        </w:rPr>
        <w:t>strategies to recruit patients to an initiative who are less motivated, activated and/or willing to try new things</w:t>
      </w:r>
      <w:r w:rsidRPr="008E4578">
        <w:rPr>
          <w:szCs w:val="20"/>
        </w:rPr>
        <w:t>, and for whom the initiative may be most beneficial.</w:t>
      </w:r>
    </w:p>
    <w:p w14:paraId="68066B58" w14:textId="77777777" w:rsidR="00AA21E8" w:rsidRPr="008E4578" w:rsidRDefault="00AA21E8" w:rsidP="00BB7C8D">
      <w:pPr>
        <w:pStyle w:val="ListParagraph"/>
        <w:numPr>
          <w:ilvl w:val="1"/>
          <w:numId w:val="57"/>
        </w:numPr>
        <w:ind w:left="709" w:hanging="283"/>
        <w:contextualSpacing w:val="0"/>
        <w:rPr>
          <w:szCs w:val="20"/>
        </w:rPr>
      </w:pPr>
      <w:r w:rsidRPr="008E4578">
        <w:rPr>
          <w:szCs w:val="20"/>
        </w:rPr>
        <w:t xml:space="preserve">Recognise that </w:t>
      </w:r>
      <w:r w:rsidRPr="008E4578">
        <w:rPr>
          <w:b/>
          <w:bCs/>
          <w:szCs w:val="20"/>
        </w:rPr>
        <w:t>it will take time for patients, families and carers to build confidence in a wider primary care team</w:t>
      </w:r>
      <w:r w:rsidRPr="008E4578">
        <w:rPr>
          <w:szCs w:val="20"/>
        </w:rPr>
        <w:t>.</w:t>
      </w:r>
    </w:p>
    <w:p w14:paraId="5951105E" w14:textId="0FAC4164" w:rsidR="00AA21E8" w:rsidRPr="008E4578" w:rsidRDefault="00AA21E8" w:rsidP="00BB7C8D">
      <w:pPr>
        <w:pStyle w:val="ListParagraph"/>
        <w:numPr>
          <w:ilvl w:val="0"/>
          <w:numId w:val="57"/>
        </w:numPr>
        <w:ind w:left="426" w:hanging="426"/>
        <w:contextualSpacing w:val="0"/>
        <w:rPr>
          <w:szCs w:val="20"/>
        </w:rPr>
      </w:pPr>
      <w:r w:rsidRPr="008E4578">
        <w:rPr>
          <w:szCs w:val="20"/>
        </w:rPr>
        <w:t xml:space="preserve">Additional strategies are required to </w:t>
      </w:r>
      <w:r w:rsidRPr="008E4578">
        <w:rPr>
          <w:b/>
          <w:bCs/>
          <w:szCs w:val="20"/>
        </w:rPr>
        <w:t>enhance the capacity of GPs and practice staff to engage with patients in ways that achieve higher levels of patient activation</w:t>
      </w:r>
      <w:r w:rsidRPr="008E4578">
        <w:rPr>
          <w:szCs w:val="20"/>
        </w:rPr>
        <w:t>. Better chronic disease management and outcomes rely crucially on patient health literacy, motivation, and willingness and capacity to make lifestyle changes and understand and comply with treatment regimes. The HCH trial aspired to prompt practices to make patient activation central to the way GPs and staff engaged with patients. However, the uptake of these components of HCH model were patchy. Additionally, practices tended to focus on enrolling patients who were already at a reasonabl</w:t>
      </w:r>
      <w:r w:rsidR="00B1134E">
        <w:rPr>
          <w:szCs w:val="20"/>
        </w:rPr>
        <w:t>y</w:t>
      </w:r>
      <w:r w:rsidRPr="008E4578">
        <w:rPr>
          <w:szCs w:val="20"/>
        </w:rPr>
        <w:t xml:space="preserve"> high level of activation. The following should be considered:</w:t>
      </w:r>
    </w:p>
    <w:p w14:paraId="15EDDA97" w14:textId="77777777" w:rsidR="00AA21E8" w:rsidRPr="008E4578" w:rsidRDefault="00AA21E8" w:rsidP="00BB7C8D">
      <w:pPr>
        <w:pStyle w:val="ListParagraph"/>
        <w:numPr>
          <w:ilvl w:val="1"/>
          <w:numId w:val="57"/>
        </w:numPr>
        <w:ind w:left="709" w:hanging="283"/>
        <w:contextualSpacing w:val="0"/>
        <w:rPr>
          <w:szCs w:val="20"/>
        </w:rPr>
      </w:pPr>
      <w:r w:rsidRPr="008E4578">
        <w:rPr>
          <w:szCs w:val="20"/>
        </w:rPr>
        <w:t xml:space="preserve">Passive training on patient activation is insufficient and </w:t>
      </w:r>
      <w:r w:rsidRPr="008E4578">
        <w:rPr>
          <w:b/>
          <w:bCs/>
          <w:szCs w:val="20"/>
        </w:rPr>
        <w:t>needs to be supplemented with training involving role plays with others</w:t>
      </w:r>
      <w:r w:rsidRPr="008E4578">
        <w:rPr>
          <w:szCs w:val="20"/>
        </w:rPr>
        <w:t>, in which practitioner skills are developed and refined.</w:t>
      </w:r>
    </w:p>
    <w:p w14:paraId="60E790AB" w14:textId="77777777" w:rsidR="00AA21E8" w:rsidRPr="008E4578" w:rsidRDefault="00AA21E8" w:rsidP="00BB7C8D">
      <w:pPr>
        <w:pStyle w:val="ListParagraph"/>
        <w:numPr>
          <w:ilvl w:val="1"/>
          <w:numId w:val="57"/>
        </w:numPr>
        <w:ind w:left="709" w:hanging="283"/>
        <w:contextualSpacing w:val="0"/>
        <w:rPr>
          <w:szCs w:val="20"/>
        </w:rPr>
      </w:pPr>
      <w:r w:rsidRPr="008E4578">
        <w:rPr>
          <w:b/>
          <w:bCs/>
          <w:szCs w:val="20"/>
        </w:rPr>
        <w:t>PHNs should consider ways in which they can support practices to obtain regular feedback on levels of patient activation</w:t>
      </w:r>
      <w:r w:rsidRPr="008E4578">
        <w:rPr>
          <w:szCs w:val="20"/>
        </w:rPr>
        <w:t xml:space="preserve"> within practices.</w:t>
      </w:r>
    </w:p>
    <w:p w14:paraId="2EA5EAB5" w14:textId="77777777" w:rsidR="00AA21E8" w:rsidRPr="008E4578" w:rsidRDefault="00AA21E8" w:rsidP="00BB7C8D">
      <w:pPr>
        <w:pStyle w:val="ListParagraph"/>
        <w:numPr>
          <w:ilvl w:val="1"/>
          <w:numId w:val="57"/>
        </w:numPr>
        <w:ind w:left="709" w:hanging="283"/>
        <w:contextualSpacing w:val="0"/>
        <w:rPr>
          <w:szCs w:val="20"/>
        </w:rPr>
      </w:pPr>
      <w:r w:rsidRPr="008E4578">
        <w:rPr>
          <w:b/>
          <w:bCs/>
          <w:szCs w:val="20"/>
        </w:rPr>
        <w:t>Strategies to work with less activated and engaged patients</w:t>
      </w:r>
      <w:r w:rsidRPr="008E4578">
        <w:rPr>
          <w:szCs w:val="20"/>
        </w:rPr>
        <w:t xml:space="preserve">, including those from vulnerable groups, should be </w:t>
      </w:r>
      <w:r w:rsidRPr="008E4578">
        <w:rPr>
          <w:b/>
          <w:bCs/>
          <w:szCs w:val="20"/>
        </w:rPr>
        <w:t>developed, evaluated and shared between practices</w:t>
      </w:r>
      <w:r w:rsidRPr="008E4578">
        <w:rPr>
          <w:szCs w:val="20"/>
        </w:rPr>
        <w:t xml:space="preserve">. </w:t>
      </w:r>
    </w:p>
    <w:p w14:paraId="124020E5" w14:textId="4DD43D33" w:rsidR="000E4FA0" w:rsidRPr="008E4578" w:rsidRDefault="000E4FA0" w:rsidP="00AA21E8">
      <w:pPr>
        <w:pStyle w:val="Heading2"/>
      </w:pPr>
      <w:bookmarkStart w:id="523" w:name="_Toc109996783"/>
      <w:r w:rsidRPr="008E4578">
        <w:lastRenderedPageBreak/>
        <w:t>Change within practices</w:t>
      </w:r>
      <w:bookmarkEnd w:id="523"/>
    </w:p>
    <w:p w14:paraId="64394603" w14:textId="62F03D77" w:rsidR="00AA21E8" w:rsidRPr="008E4578" w:rsidRDefault="00AA21E8" w:rsidP="00BB7C8D">
      <w:pPr>
        <w:pStyle w:val="ListParagraph"/>
        <w:numPr>
          <w:ilvl w:val="0"/>
          <w:numId w:val="57"/>
        </w:numPr>
        <w:ind w:left="426" w:hanging="426"/>
        <w:contextualSpacing w:val="0"/>
        <w:rPr>
          <w:szCs w:val="20"/>
        </w:rPr>
      </w:pPr>
      <w:r w:rsidRPr="008E4578">
        <w:rPr>
          <w:szCs w:val="20"/>
        </w:rPr>
        <w:t xml:space="preserve">The HCH trial highlighted there is appetite for changing the focus of primary care toward the principles articulated by the Primary Health Care Advisory Group (PHCAG), but that there are </w:t>
      </w:r>
      <w:r w:rsidRPr="008E4578">
        <w:rPr>
          <w:b/>
          <w:bCs/>
          <w:szCs w:val="20"/>
        </w:rPr>
        <w:t>variable capacities amongst practices to undertake and manage significant change</w:t>
      </w:r>
      <w:r w:rsidRPr="008E4578">
        <w:rPr>
          <w:szCs w:val="20"/>
        </w:rPr>
        <w:t xml:space="preserve">. This reflects that general practices are busy places with little “absorptive capacity” for innovation, mostly due to their small size, and also operate in a culture </w:t>
      </w:r>
      <w:r w:rsidR="00E901DA">
        <w:rPr>
          <w:szCs w:val="20"/>
        </w:rPr>
        <w:t>of</w:t>
      </w:r>
      <w:r w:rsidR="00E813B4">
        <w:rPr>
          <w:szCs w:val="20"/>
        </w:rPr>
        <w:t xml:space="preserve"> </w:t>
      </w:r>
      <w:r w:rsidRPr="008E4578">
        <w:rPr>
          <w:szCs w:val="20"/>
        </w:rPr>
        <w:t xml:space="preserve">fee-for-service </w:t>
      </w:r>
      <w:r w:rsidR="00E901DA">
        <w:rPr>
          <w:szCs w:val="20"/>
        </w:rPr>
        <w:t>as</w:t>
      </w:r>
      <w:r w:rsidR="00E813B4">
        <w:rPr>
          <w:szCs w:val="20"/>
        </w:rPr>
        <w:t xml:space="preserve"> </w:t>
      </w:r>
      <w:r w:rsidRPr="008E4578">
        <w:rPr>
          <w:szCs w:val="20"/>
        </w:rPr>
        <w:t xml:space="preserve">the main payment mechanism. Lessons for practices in managing change include: </w:t>
      </w:r>
    </w:p>
    <w:p w14:paraId="043FCECA" w14:textId="1D054315" w:rsidR="00AA21E8" w:rsidRPr="008E4578" w:rsidRDefault="00AA21E8" w:rsidP="00CD46CF">
      <w:pPr>
        <w:pStyle w:val="ListParagraph"/>
        <w:numPr>
          <w:ilvl w:val="1"/>
          <w:numId w:val="57"/>
        </w:numPr>
        <w:ind w:left="709" w:hanging="283"/>
        <w:contextualSpacing w:val="0"/>
        <w:rPr>
          <w:szCs w:val="20"/>
        </w:rPr>
      </w:pPr>
      <w:r w:rsidRPr="008E4578">
        <w:rPr>
          <w:b/>
          <w:bCs/>
          <w:szCs w:val="20"/>
        </w:rPr>
        <w:t>Make the case for change</w:t>
      </w:r>
      <w:r w:rsidRPr="008E4578">
        <w:rPr>
          <w:szCs w:val="20"/>
        </w:rPr>
        <w:t>. The evidence for the PCMH concept needs to be compiled and lessons specifically for the Australian context drawn out and disseminated to primary care clinicians and practices through various channels. The evidence should also draw out the relative advantage of the model for practices and patients and clearly articulate the problems in primary care that the model can help to address, such as increasing rates of chronic disease amongst the Australian population.</w:t>
      </w:r>
    </w:p>
    <w:p w14:paraId="1EECCBDD" w14:textId="11B2BDB0" w:rsidR="00AA21E8" w:rsidRPr="008E4578" w:rsidRDefault="00AA21E8" w:rsidP="00CD46CF">
      <w:pPr>
        <w:pStyle w:val="ListParagraph"/>
        <w:numPr>
          <w:ilvl w:val="1"/>
          <w:numId w:val="57"/>
        </w:numPr>
        <w:ind w:left="709" w:hanging="283"/>
        <w:contextualSpacing w:val="0"/>
        <w:rPr>
          <w:szCs w:val="20"/>
        </w:rPr>
      </w:pPr>
      <w:r w:rsidRPr="008E4578">
        <w:rPr>
          <w:b/>
          <w:bCs/>
          <w:szCs w:val="20"/>
        </w:rPr>
        <w:t>Use implementation science to match strategies to implementation challenges</w:t>
      </w:r>
      <w:r w:rsidRPr="008E4578">
        <w:rPr>
          <w:szCs w:val="20"/>
        </w:rPr>
        <w:t>. Implementation science is the “</w:t>
      </w:r>
      <w:r w:rsidRPr="008E4578">
        <w:rPr>
          <w:i/>
          <w:iCs/>
          <w:szCs w:val="20"/>
        </w:rPr>
        <w:t>scientific study of methods to promote the systematic uptake of research findings and other evidence-based practices into routine practice, and, hence, to improve the quality and effectiveness of health services and care</w:t>
      </w:r>
      <w:r w:rsidRPr="008E4578">
        <w:rPr>
          <w:szCs w:val="20"/>
        </w:rPr>
        <w:t>”.</w:t>
      </w:r>
      <w:r w:rsidRPr="008E4578">
        <w:rPr>
          <w:rStyle w:val="FootnoteReference"/>
          <w:color w:val="408BCA"/>
          <w:szCs w:val="20"/>
        </w:rPr>
        <w:footnoteReference w:id="151"/>
      </w:r>
      <w:r w:rsidRPr="008E4578">
        <w:rPr>
          <w:color w:val="408BCA"/>
          <w:szCs w:val="20"/>
        </w:rPr>
        <w:t xml:space="preserve"> </w:t>
      </w:r>
      <w:r w:rsidRPr="008E4578">
        <w:rPr>
          <w:szCs w:val="20"/>
        </w:rPr>
        <w:t>Implementation science can help to systematically identify and address barriers to implementation and leverage enablers, and consider system-wide and contextual factors in addition to organisational issues and attitudes and behaviours of individuals.</w:t>
      </w:r>
      <w:r w:rsidR="006D75FB">
        <w:rPr>
          <w:szCs w:val="20"/>
        </w:rPr>
        <w:t xml:space="preserve"> </w:t>
      </w:r>
    </w:p>
    <w:p w14:paraId="7D55A4C3" w14:textId="77777777" w:rsidR="00AA21E8" w:rsidRPr="008E4578" w:rsidRDefault="00AA21E8" w:rsidP="00CD46CF">
      <w:pPr>
        <w:pStyle w:val="ListParagraph"/>
        <w:numPr>
          <w:ilvl w:val="1"/>
          <w:numId w:val="57"/>
        </w:numPr>
        <w:ind w:left="709" w:hanging="283"/>
        <w:contextualSpacing w:val="0"/>
        <w:rPr>
          <w:szCs w:val="20"/>
        </w:rPr>
      </w:pPr>
      <w:r w:rsidRPr="008E4578">
        <w:rPr>
          <w:b/>
          <w:bCs/>
          <w:szCs w:val="20"/>
        </w:rPr>
        <w:t>Get commitment across the practice</w:t>
      </w:r>
      <w:r w:rsidRPr="008E4578">
        <w:rPr>
          <w:szCs w:val="20"/>
        </w:rPr>
        <w:t>. Use m</w:t>
      </w:r>
      <w:r w:rsidRPr="008E4578">
        <w:rPr>
          <w:rFonts w:eastAsia="Muli" w:cs="Muli"/>
          <w:color w:val="000000" w:themeColor="text1"/>
          <w:szCs w:val="20"/>
        </w:rPr>
        <w:t>ultifaceted strategies to address the understanding, attitudes, skills and confidence of staff in an initiative.</w:t>
      </w:r>
    </w:p>
    <w:p w14:paraId="599ED7FB" w14:textId="77777777" w:rsidR="00AA21E8" w:rsidRPr="008E4578" w:rsidRDefault="00AA21E8" w:rsidP="00CD46CF">
      <w:pPr>
        <w:pStyle w:val="ListParagraph"/>
        <w:numPr>
          <w:ilvl w:val="1"/>
          <w:numId w:val="57"/>
        </w:numPr>
        <w:ind w:left="709" w:hanging="283"/>
        <w:contextualSpacing w:val="0"/>
        <w:rPr>
          <w:szCs w:val="20"/>
        </w:rPr>
      </w:pPr>
      <w:r w:rsidRPr="008E4578">
        <w:rPr>
          <w:b/>
          <w:bCs/>
          <w:szCs w:val="20"/>
        </w:rPr>
        <w:t>Use teams to drive change</w:t>
      </w:r>
      <w:r w:rsidRPr="008E4578">
        <w:rPr>
          <w:szCs w:val="20"/>
        </w:rPr>
        <w:t>. A team comprising a GP, a nurse and a practice manager is potentially most effective. Members of this team should be trained and have protected time to plan and work on implementation.</w:t>
      </w:r>
    </w:p>
    <w:p w14:paraId="3DD09DDD" w14:textId="77777777" w:rsidR="00AA21E8" w:rsidRPr="008E4578" w:rsidRDefault="00AA21E8" w:rsidP="00CD46CF">
      <w:pPr>
        <w:pStyle w:val="ListParagraph"/>
        <w:numPr>
          <w:ilvl w:val="1"/>
          <w:numId w:val="57"/>
        </w:numPr>
        <w:ind w:left="709" w:hanging="283"/>
        <w:contextualSpacing w:val="0"/>
        <w:rPr>
          <w:szCs w:val="20"/>
        </w:rPr>
      </w:pPr>
      <w:r w:rsidRPr="008E4578">
        <w:rPr>
          <w:b/>
          <w:bCs/>
          <w:szCs w:val="20"/>
        </w:rPr>
        <w:t>Identify and implement strategies to prepare practices to quickly respond to and adapt to change and reduce dependency/risks associated with a key person</w:t>
      </w:r>
      <w:r w:rsidRPr="008E4578">
        <w:rPr>
          <w:szCs w:val="20"/>
        </w:rPr>
        <w:t>. Strategies might include:</w:t>
      </w:r>
    </w:p>
    <w:p w14:paraId="6530916C" w14:textId="77777777" w:rsidR="000E4FA0" w:rsidRPr="007B1316" w:rsidRDefault="000E4FA0" w:rsidP="00CD46CF">
      <w:pPr>
        <w:pStyle w:val="ListParagraph"/>
        <w:numPr>
          <w:ilvl w:val="2"/>
          <w:numId w:val="57"/>
        </w:numPr>
        <w:ind w:left="1134" w:hanging="141"/>
        <w:rPr>
          <w:szCs w:val="20"/>
        </w:rPr>
      </w:pPr>
      <w:r w:rsidRPr="007B1316">
        <w:rPr>
          <w:szCs w:val="20"/>
        </w:rPr>
        <w:t>Documenting desired practices/systems for new employees to take up.</w:t>
      </w:r>
    </w:p>
    <w:p w14:paraId="1347D8C5" w14:textId="77777777" w:rsidR="000E4FA0" w:rsidRPr="007B1316" w:rsidRDefault="000E4FA0" w:rsidP="00CD46CF">
      <w:pPr>
        <w:pStyle w:val="ListParagraph"/>
        <w:numPr>
          <w:ilvl w:val="2"/>
          <w:numId w:val="57"/>
        </w:numPr>
        <w:ind w:left="1134" w:hanging="141"/>
        <w:rPr>
          <w:szCs w:val="20"/>
        </w:rPr>
      </w:pPr>
      <w:r w:rsidRPr="007B1316">
        <w:rPr>
          <w:szCs w:val="20"/>
        </w:rPr>
        <w:t xml:space="preserve">Making available regular training for new staff </w:t>
      </w:r>
      <w:r>
        <w:rPr>
          <w:szCs w:val="20"/>
        </w:rPr>
        <w:t>who</w:t>
      </w:r>
      <w:r w:rsidRPr="007B1316">
        <w:rPr>
          <w:szCs w:val="20"/>
        </w:rPr>
        <w:t xml:space="preserve"> join the</w:t>
      </w:r>
      <w:r>
        <w:rPr>
          <w:szCs w:val="20"/>
        </w:rPr>
        <w:t xml:space="preserve"> practice</w:t>
      </w:r>
      <w:r w:rsidRPr="007B1316">
        <w:rPr>
          <w:szCs w:val="20"/>
        </w:rPr>
        <w:t>. Make the training part of induction.</w:t>
      </w:r>
    </w:p>
    <w:p w14:paraId="4653ACB2" w14:textId="77777777" w:rsidR="000E4FA0" w:rsidRDefault="000E4FA0" w:rsidP="00CD46CF">
      <w:pPr>
        <w:pStyle w:val="ListParagraph"/>
        <w:numPr>
          <w:ilvl w:val="2"/>
          <w:numId w:val="57"/>
        </w:numPr>
        <w:ind w:left="1134" w:hanging="141"/>
        <w:contextualSpacing w:val="0"/>
        <w:rPr>
          <w:szCs w:val="20"/>
        </w:rPr>
      </w:pPr>
      <w:r w:rsidRPr="007B1316">
        <w:rPr>
          <w:szCs w:val="20"/>
        </w:rPr>
        <w:t>Diversifying skills among team members so others can take on aspects of a role if someone leaves.</w:t>
      </w:r>
    </w:p>
    <w:p w14:paraId="6D60DC0C" w14:textId="77777777" w:rsidR="00AA21E8" w:rsidRPr="008E4578" w:rsidRDefault="00AA21E8" w:rsidP="00AA21E8">
      <w:pPr>
        <w:spacing w:after="160" w:line="259" w:lineRule="auto"/>
        <w:rPr>
          <w:rFonts w:ascii="Roboto Slab" w:eastAsia="Times New Roman" w:hAnsi="Roboto Slab" w:cs="Times New Roman"/>
          <w:bCs/>
          <w:color w:val="408BCA"/>
          <w:sz w:val="32"/>
          <w:szCs w:val="36"/>
        </w:rPr>
      </w:pPr>
      <w:r w:rsidRPr="008E4578">
        <w:br w:type="page"/>
      </w:r>
    </w:p>
    <w:p w14:paraId="37E69785" w14:textId="77777777" w:rsidR="00AA21E8" w:rsidRPr="008E4578" w:rsidRDefault="00AA21E8" w:rsidP="00AA21E8">
      <w:pPr>
        <w:pStyle w:val="Heading2"/>
      </w:pPr>
      <w:bookmarkStart w:id="524" w:name="_Toc109996784"/>
      <w:r w:rsidRPr="008E4578">
        <w:lastRenderedPageBreak/>
        <w:t>Risk stratification</w:t>
      </w:r>
      <w:bookmarkEnd w:id="524"/>
    </w:p>
    <w:p w14:paraId="244F972B" w14:textId="24D76AF9" w:rsidR="00AA21E8" w:rsidRPr="008E4578" w:rsidRDefault="00AA21E8" w:rsidP="00BB7C8D">
      <w:pPr>
        <w:pStyle w:val="ListParagraph"/>
        <w:numPr>
          <w:ilvl w:val="0"/>
          <w:numId w:val="57"/>
        </w:numPr>
        <w:ind w:left="426" w:hanging="426"/>
        <w:contextualSpacing w:val="0"/>
        <w:rPr>
          <w:szCs w:val="20"/>
        </w:rPr>
      </w:pPr>
      <w:r w:rsidRPr="008E4578">
        <w:rPr>
          <w:szCs w:val="20"/>
        </w:rPr>
        <w:t>The HCH trial demonstrated that it is feasible to implement a real-time risk stratification process within Australian primary care services using practice data. Implementing systematic approaches to risk stratification of practice population has uses beyond support of payment innovations such as the bundled payment, including practice population profiling, case finding, benchmarking, utilisation review and support of quality improvement and performance measurement. These are all important for supporting future primary care reforms.</w:t>
      </w:r>
      <w:r w:rsidR="006D75FB">
        <w:rPr>
          <w:szCs w:val="20"/>
        </w:rPr>
        <w:t xml:space="preserve"> </w:t>
      </w:r>
      <w:r w:rsidRPr="008E4578">
        <w:rPr>
          <w:szCs w:val="20"/>
        </w:rPr>
        <w:t xml:space="preserve">The following developments should be considered to support and implement </w:t>
      </w:r>
      <w:r w:rsidRPr="008E4578">
        <w:rPr>
          <w:b/>
          <w:bCs/>
          <w:szCs w:val="20"/>
        </w:rPr>
        <w:t>more robust approaches to risk stratification</w:t>
      </w:r>
      <w:r w:rsidRPr="008E4578">
        <w:rPr>
          <w:szCs w:val="20"/>
        </w:rPr>
        <w:t>:</w:t>
      </w:r>
    </w:p>
    <w:p w14:paraId="1C671BE6" w14:textId="77777777" w:rsidR="00AA21E8" w:rsidRPr="008E4578" w:rsidRDefault="00AA21E8" w:rsidP="00064B0C">
      <w:pPr>
        <w:pStyle w:val="ListParagraph"/>
        <w:numPr>
          <w:ilvl w:val="1"/>
          <w:numId w:val="57"/>
        </w:numPr>
        <w:ind w:left="709" w:hanging="283"/>
        <w:contextualSpacing w:val="0"/>
        <w:rPr>
          <w:szCs w:val="20"/>
        </w:rPr>
      </w:pPr>
      <w:r w:rsidRPr="008E4578">
        <w:rPr>
          <w:b/>
          <w:szCs w:val="20"/>
        </w:rPr>
        <w:t>More robust risk stratification systems will be feasible where practice data can be combined with other data sources in real time, including data on pharmaceutical utilisation, hospitalisations and emergency department attendances</w:t>
      </w:r>
      <w:r w:rsidRPr="008E4578">
        <w:rPr>
          <w:b/>
          <w:bCs/>
          <w:szCs w:val="20"/>
        </w:rPr>
        <w:t>.</w:t>
      </w:r>
      <w:r w:rsidRPr="008E4578">
        <w:rPr>
          <w:szCs w:val="20"/>
        </w:rPr>
        <w:t xml:space="preserve"> These data sources yield additional information on the conditions that patients have experienced, including newly emerging conditions, functional status and measures of health care utilisation. Ideally, risk stratification systems implemented in primary care practices should have automated interfaces with systems in which these data can be accessed and relevant algorithms applied, returning the results of the risk stratification algorithms to the practice and ideally incorporated into the clinical management system. Some states, together with PHNs, have progressed innovations which have achieved some of these elements.</w:t>
      </w:r>
    </w:p>
    <w:p w14:paraId="3AA600C6" w14:textId="764790C1" w:rsidR="00AA21E8" w:rsidRPr="008E4578" w:rsidRDefault="000A690A" w:rsidP="00064B0C">
      <w:pPr>
        <w:pStyle w:val="ListParagraph"/>
        <w:numPr>
          <w:ilvl w:val="1"/>
          <w:numId w:val="57"/>
        </w:numPr>
        <w:ind w:left="709" w:hanging="283"/>
        <w:contextualSpacing w:val="0"/>
        <w:rPr>
          <w:szCs w:val="20"/>
        </w:rPr>
      </w:pPr>
      <w:r w:rsidRPr="000E452C">
        <w:rPr>
          <w:b/>
          <w:szCs w:val="20"/>
        </w:rPr>
        <w:t>Efforts are required to systematically improve the consistency in the recording of health conditions and measurements within practice clinical management systems</w:t>
      </w:r>
      <w:r>
        <w:rPr>
          <w:b/>
          <w:szCs w:val="20"/>
        </w:rPr>
        <w:t xml:space="preserve">. This will </w:t>
      </w:r>
      <w:r w:rsidRPr="000E452C">
        <w:rPr>
          <w:rFonts w:cstheme="minorHAnsi"/>
          <w:b/>
          <w:bCs/>
          <w:szCs w:val="20"/>
        </w:rPr>
        <w:t xml:space="preserve">ensure that information about health conditions and measurements is of sufficient detail and quality </w:t>
      </w:r>
      <w:r>
        <w:rPr>
          <w:rFonts w:cstheme="minorHAnsi"/>
          <w:b/>
          <w:bCs/>
          <w:szCs w:val="20"/>
        </w:rPr>
        <w:t xml:space="preserve">to </w:t>
      </w:r>
      <w:r w:rsidRPr="000E452C">
        <w:rPr>
          <w:b/>
          <w:szCs w:val="20"/>
        </w:rPr>
        <w:t>support a range of purposes, including risk stratification, quality improvement, and quality and performance indicators</w:t>
      </w:r>
      <w:r w:rsidRPr="000E452C">
        <w:rPr>
          <w:szCs w:val="20"/>
        </w:rPr>
        <w:t>. There are currently about 10 clinical management systems used by Australian primary care practices. Most include functionality through which GPs and practice staff can flag that a particular health condition is present for an individual patient</w:t>
      </w:r>
      <w:r>
        <w:rPr>
          <w:szCs w:val="20"/>
        </w:rPr>
        <w:t xml:space="preserve"> and record clinical measurement values</w:t>
      </w:r>
      <w:r w:rsidRPr="000E452C">
        <w:rPr>
          <w:szCs w:val="20"/>
        </w:rPr>
        <w:t>. Additionally, presence of conditions</w:t>
      </w:r>
      <w:r>
        <w:rPr>
          <w:szCs w:val="20"/>
        </w:rPr>
        <w:t xml:space="preserve"> and the results of clinical measures</w:t>
      </w:r>
      <w:r w:rsidRPr="000E452C">
        <w:rPr>
          <w:szCs w:val="20"/>
        </w:rPr>
        <w:t xml:space="preserve"> </w:t>
      </w:r>
      <w:r>
        <w:rPr>
          <w:szCs w:val="20"/>
        </w:rPr>
        <w:t>can</w:t>
      </w:r>
      <w:r w:rsidRPr="000E452C">
        <w:rPr>
          <w:szCs w:val="20"/>
        </w:rPr>
        <w:t xml:space="preserve"> be recorded in clinical notes. The classification schemes and terms used to identify conditions vary between these systems. Ancillary applications that interface with these systems – such as those developed</w:t>
      </w:r>
      <w:r w:rsidRPr="008E4578">
        <w:rPr>
          <w:szCs w:val="20"/>
        </w:rPr>
        <w:t xml:space="preserve"> by NPS MedicineWise for the </w:t>
      </w:r>
      <w:proofErr w:type="spellStart"/>
      <w:r w:rsidRPr="008E4578">
        <w:rPr>
          <w:szCs w:val="20"/>
        </w:rPr>
        <w:t>MedicineInsight</w:t>
      </w:r>
      <w:proofErr w:type="spellEnd"/>
      <w:r w:rsidRPr="008E4578">
        <w:rPr>
          <w:szCs w:val="20"/>
        </w:rPr>
        <w:t xml:space="preserve"> initiative, PEN CS for the CAT 4 and PAT tools and Outcome Health for the POLAR system </w:t>
      </w:r>
      <w:r w:rsidRPr="008E4578">
        <w:t>–</w:t>
      </w:r>
      <w:r w:rsidRPr="008E4578">
        <w:rPr>
          <w:szCs w:val="20"/>
        </w:rPr>
        <w:t xml:space="preserve"> use various means to harmonise data from extracts, although these systems in turn use slightly different approaches and final classifications of conditions. Ideally a set of standards should be developed for how conditions</w:t>
      </w:r>
      <w:r>
        <w:rPr>
          <w:szCs w:val="20"/>
        </w:rPr>
        <w:t xml:space="preserve"> and clinical measures</w:t>
      </w:r>
      <w:r w:rsidRPr="008E4578">
        <w:rPr>
          <w:szCs w:val="20"/>
        </w:rPr>
        <w:t xml:space="preserve"> are recorded and classified within the source practice clinical management systems. Vendors of practice clinical management systems should be encouraged to enhance their systems over time to meet these standards</w:t>
      </w:r>
      <w:r w:rsidR="00AA21E8" w:rsidRPr="008E4578">
        <w:rPr>
          <w:szCs w:val="20"/>
        </w:rPr>
        <w:t xml:space="preserve">. </w:t>
      </w:r>
    </w:p>
    <w:p w14:paraId="0D788AF1" w14:textId="77777777" w:rsidR="00AA21E8" w:rsidRPr="008E4578" w:rsidRDefault="00AA21E8" w:rsidP="00064B0C">
      <w:pPr>
        <w:pStyle w:val="ListParagraph"/>
        <w:numPr>
          <w:ilvl w:val="1"/>
          <w:numId w:val="57"/>
        </w:numPr>
        <w:ind w:left="709" w:hanging="283"/>
        <w:contextualSpacing w:val="0"/>
        <w:rPr>
          <w:szCs w:val="20"/>
        </w:rPr>
      </w:pPr>
      <w:r w:rsidRPr="008E4578">
        <w:rPr>
          <w:b/>
          <w:szCs w:val="20"/>
        </w:rPr>
        <w:t>Where risk stratification relies on additional clinical assessment processes</w:t>
      </w:r>
      <w:r w:rsidRPr="008E4578">
        <w:rPr>
          <w:szCs w:val="20"/>
        </w:rPr>
        <w:t xml:space="preserve"> </w:t>
      </w:r>
      <w:r w:rsidRPr="008E4578">
        <w:rPr>
          <w:b/>
          <w:szCs w:val="20"/>
        </w:rPr>
        <w:t>– such as use of the HARP – provide training for clinicians</w:t>
      </w:r>
      <w:r w:rsidRPr="008E4578">
        <w:rPr>
          <w:szCs w:val="20"/>
        </w:rPr>
        <w:t xml:space="preserve"> on the application of the tools that targets improving clinician understanding of how the tool works and how assessment questions should be interpreted for consistent application. This should include greater clarity on how extreme social disadvantage should be reflected and assessed.</w:t>
      </w:r>
    </w:p>
    <w:p w14:paraId="6476FF50" w14:textId="77777777" w:rsidR="00AA21E8" w:rsidRPr="008E4578" w:rsidRDefault="00AA21E8" w:rsidP="00064B0C">
      <w:pPr>
        <w:pStyle w:val="ListParagraph"/>
        <w:numPr>
          <w:ilvl w:val="1"/>
          <w:numId w:val="57"/>
        </w:numPr>
        <w:ind w:left="709" w:hanging="283"/>
        <w:contextualSpacing w:val="0"/>
        <w:rPr>
          <w:szCs w:val="20"/>
        </w:rPr>
      </w:pPr>
      <w:r w:rsidRPr="008E4578">
        <w:rPr>
          <w:b/>
          <w:szCs w:val="20"/>
        </w:rPr>
        <w:lastRenderedPageBreak/>
        <w:t>For risk stratification in primary care, consider a broader range of outcomes than hospitalisation</w:t>
      </w:r>
      <w:r w:rsidRPr="008E4578">
        <w:rPr>
          <w:szCs w:val="20"/>
        </w:rPr>
        <w:t>. For the HCH trial, the predictive risk model (PRM) was developed to reflect the risk of hospitalisation. The HARP was originally developed to reflect the risk of a hospital readmission. Internationally, similar tools applied to general practice settings have been developed to predict a range of other outcomes or service utilisation, including the risk of emergency hospital admission, the risk of attendance to an emergency department, the risk of progressing to a greater level of use of primary care services, and the use of health care resources more generally</w:t>
      </w:r>
      <w:r w:rsidRPr="00750C14">
        <w:rPr>
          <w:color w:val="408BCA"/>
          <w:szCs w:val="20"/>
        </w:rPr>
        <w:t>.</w:t>
      </w:r>
      <w:r w:rsidRPr="008E4578">
        <w:rPr>
          <w:rStyle w:val="FootnoteReference"/>
          <w:color w:val="408BCA"/>
          <w:szCs w:val="20"/>
        </w:rPr>
        <w:footnoteReference w:id="152"/>
      </w:r>
      <w:r w:rsidRPr="00750C14">
        <w:rPr>
          <w:color w:val="408BCA"/>
          <w:szCs w:val="20"/>
          <w:vertAlign w:val="superscript"/>
        </w:rPr>
        <w:t xml:space="preserve">, </w:t>
      </w:r>
      <w:r w:rsidRPr="008E4578">
        <w:rPr>
          <w:rStyle w:val="FootnoteReference"/>
          <w:color w:val="408BCA"/>
          <w:szCs w:val="20"/>
        </w:rPr>
        <w:footnoteReference w:id="153"/>
      </w:r>
      <w:r w:rsidRPr="008E4578">
        <w:rPr>
          <w:color w:val="408BCA"/>
          <w:szCs w:val="20"/>
          <w:vertAlign w:val="superscript"/>
        </w:rPr>
        <w:t xml:space="preserve">, </w:t>
      </w:r>
      <w:r w:rsidRPr="008E4578">
        <w:rPr>
          <w:rStyle w:val="FootnoteReference"/>
          <w:color w:val="408BCA"/>
          <w:szCs w:val="20"/>
        </w:rPr>
        <w:footnoteReference w:id="154"/>
      </w:r>
      <w:r w:rsidRPr="008E4578">
        <w:rPr>
          <w:szCs w:val="20"/>
        </w:rPr>
        <w:t xml:space="preserve"> These risks are typically correlated, but not perfectly. Focussing on the risk of hospitalisation exclusively misses opportunities to use valuable information that can be generated from a risk stratification process. In particular, risk of hospitalisation may not be the best basis for setting resource requirements in primary care. </w:t>
      </w:r>
    </w:p>
    <w:p w14:paraId="442D9001" w14:textId="3A967436" w:rsidR="00AA21E8" w:rsidRPr="008E4578" w:rsidRDefault="00AA21E8" w:rsidP="00064B0C">
      <w:pPr>
        <w:pStyle w:val="ListParagraph"/>
        <w:numPr>
          <w:ilvl w:val="1"/>
          <w:numId w:val="57"/>
        </w:numPr>
        <w:ind w:left="709" w:hanging="283"/>
        <w:contextualSpacing w:val="0"/>
        <w:rPr>
          <w:szCs w:val="20"/>
        </w:rPr>
      </w:pPr>
      <w:r w:rsidRPr="008E4578">
        <w:rPr>
          <w:b/>
          <w:szCs w:val="20"/>
        </w:rPr>
        <w:t>Make the best use of existing research on RSTs and evaluating how these existing tools perform in Australian primary care, before seeking to further enhance the tools used for the trial or developing other Australian-specific tools.</w:t>
      </w:r>
      <w:r w:rsidRPr="008E4578">
        <w:rPr>
          <w:b/>
          <w:bCs/>
          <w:szCs w:val="20"/>
        </w:rPr>
        <w:t xml:space="preserve"> </w:t>
      </w:r>
      <w:r w:rsidRPr="008E4578">
        <w:rPr>
          <w:szCs w:val="20"/>
        </w:rPr>
        <w:t>For</w:t>
      </w:r>
      <w:r w:rsidRPr="008E4578">
        <w:rPr>
          <w:b/>
          <w:bCs/>
          <w:szCs w:val="20"/>
        </w:rPr>
        <w:t xml:space="preserve"> </w:t>
      </w:r>
      <w:r w:rsidRPr="008E4578">
        <w:rPr>
          <w:szCs w:val="20"/>
        </w:rPr>
        <w:t>the HCH trial, the Department commissioned a review of possible risk stratification systems.</w:t>
      </w:r>
      <w:r w:rsidRPr="008E4578">
        <w:rPr>
          <w:rStyle w:val="FootnoteReference"/>
          <w:color w:val="408BCA"/>
          <w:szCs w:val="20"/>
        </w:rPr>
        <w:footnoteReference w:id="155"/>
      </w:r>
      <w:r w:rsidRPr="008E4578">
        <w:rPr>
          <w:szCs w:val="20"/>
        </w:rPr>
        <w:t xml:space="preserve"> Subsequently, the development of the PRM was commissioned and this occurred within a short period of time, using a limited set of data.</w:t>
      </w:r>
      <w:r w:rsidRPr="008E4578">
        <w:rPr>
          <w:rStyle w:val="FootnoteReference"/>
          <w:color w:val="408BCA"/>
          <w:szCs w:val="20"/>
        </w:rPr>
        <w:footnoteReference w:id="156"/>
      </w:r>
      <w:r w:rsidRPr="008E4578">
        <w:rPr>
          <w:szCs w:val="20"/>
        </w:rPr>
        <w:t xml:space="preserve"> The HARP tool had only limited use in primary care settings before HCH, and limited empirical testing of how it would operate as a basis for a payment model. While both the PRM and the HARP operated moderately well during the trial, it is not clear that they represent optimal approaches in the primary care setting. Additionally, their use </w:t>
      </w:r>
      <w:r w:rsidR="00595FDC">
        <w:t>in</w:t>
      </w:r>
      <w:r w:rsidRPr="008E4578">
        <w:rPr>
          <w:szCs w:val="20"/>
        </w:rPr>
        <w:t xml:space="preserve"> the trial</w:t>
      </w:r>
      <w:r w:rsidR="00595FDC">
        <w:t xml:space="preserve"> was limited</w:t>
      </w:r>
      <w:r w:rsidRPr="008E4578">
        <w:rPr>
          <w:szCs w:val="20"/>
        </w:rPr>
        <w:t>, and the potential for broader utility – case finding, benchmarking, utilisation review and support of quality improvement and performance measurement – has not been explored.</w:t>
      </w:r>
      <w:r w:rsidR="006D75FB">
        <w:rPr>
          <w:szCs w:val="20"/>
        </w:rPr>
        <w:t xml:space="preserve"> </w:t>
      </w:r>
      <w:r w:rsidRPr="008E4578">
        <w:rPr>
          <w:szCs w:val="20"/>
        </w:rPr>
        <w:t>There is a long history of development and application of RSTs internationally, including tools focussed specifically on primary care. The literature emphasises that the technical attributes of these systems, specifically predictive performance, is only one factor in their successful use. Amongst other factors, the systems, particular the classes or tiers –</w:t>
      </w:r>
      <w:r w:rsidR="0020276E">
        <w:rPr>
          <w:szCs w:val="20"/>
        </w:rPr>
        <w:t xml:space="preserve"> </w:t>
      </w:r>
      <w:r w:rsidRPr="008E4578">
        <w:rPr>
          <w:szCs w:val="20"/>
        </w:rPr>
        <w:t xml:space="preserve">need to make sense to clinicians. These systems – like the Australian Refined Diagnosis Groups system used for funding hospitals – need ongoing refinement and calibration. Assessment of costs of options </w:t>
      </w:r>
      <w:r w:rsidRPr="008E4578">
        <w:rPr>
          <w:szCs w:val="20"/>
        </w:rPr>
        <w:lastRenderedPageBreak/>
        <w:t xml:space="preserve">should balance factors such as licence fees for existing risk stratification products and the costs of developing, enhancing and maintaining new tools. </w:t>
      </w:r>
    </w:p>
    <w:p w14:paraId="22FA5E71" w14:textId="36FF135B" w:rsidR="00AA21E8" w:rsidRPr="008E4578" w:rsidRDefault="00AA21E8" w:rsidP="00AA21E8">
      <w:pPr>
        <w:pStyle w:val="Heading2"/>
      </w:pPr>
      <w:bookmarkStart w:id="525" w:name="_Toc109996785"/>
      <w:r w:rsidRPr="008E4578">
        <w:t>Bundled payment</w:t>
      </w:r>
      <w:bookmarkEnd w:id="525"/>
    </w:p>
    <w:p w14:paraId="7A05D3FD" w14:textId="77777777" w:rsidR="00AA21E8" w:rsidRPr="008E4578" w:rsidRDefault="00AA21E8" w:rsidP="00BB7C8D">
      <w:pPr>
        <w:pStyle w:val="ListParagraph"/>
        <w:numPr>
          <w:ilvl w:val="0"/>
          <w:numId w:val="57"/>
        </w:numPr>
        <w:ind w:left="426" w:hanging="426"/>
        <w:contextualSpacing w:val="0"/>
        <w:rPr>
          <w:szCs w:val="20"/>
        </w:rPr>
      </w:pPr>
      <w:r w:rsidRPr="008E4578">
        <w:rPr>
          <w:szCs w:val="20"/>
        </w:rPr>
        <w:t xml:space="preserve">The HCH trial demonstrated that it is feasible to implement a bundled payment approach for Australian primary care services but was unable to reach clear conclusions about the long-term value of this payment reform. Various potential improvements to the approach were identified, and the circumstances in which the approach may be more appropriate, as follows: </w:t>
      </w:r>
    </w:p>
    <w:p w14:paraId="4CA280ED" w14:textId="77777777" w:rsidR="00AA21E8" w:rsidRPr="008E4578" w:rsidRDefault="00AA21E8" w:rsidP="00064B0C">
      <w:pPr>
        <w:pStyle w:val="ListParagraph"/>
        <w:numPr>
          <w:ilvl w:val="1"/>
          <w:numId w:val="57"/>
        </w:numPr>
        <w:ind w:left="709" w:hanging="283"/>
        <w:contextualSpacing w:val="0"/>
        <w:rPr>
          <w:szCs w:val="20"/>
        </w:rPr>
      </w:pPr>
      <w:r w:rsidRPr="008E4578">
        <w:rPr>
          <w:b/>
          <w:szCs w:val="20"/>
        </w:rPr>
        <w:t>Finer-grained tiers for bundled payment are required</w:t>
      </w:r>
      <w:r w:rsidRPr="008E4578">
        <w:rPr>
          <w:szCs w:val="20"/>
        </w:rPr>
        <w:t xml:space="preserve"> that better reflect the complexity of patients assigned to each tier. In particular, consideration should be given to an additional tier that reflects very complex patients.</w:t>
      </w:r>
    </w:p>
    <w:p w14:paraId="1138F338" w14:textId="7C576940" w:rsidR="00AA21E8" w:rsidRPr="008E4578" w:rsidRDefault="00AA21E8" w:rsidP="00064B0C">
      <w:pPr>
        <w:pStyle w:val="ListParagraph"/>
        <w:numPr>
          <w:ilvl w:val="1"/>
          <w:numId w:val="57"/>
        </w:numPr>
        <w:ind w:left="709" w:hanging="283"/>
        <w:contextualSpacing w:val="0"/>
        <w:rPr>
          <w:szCs w:val="20"/>
        </w:rPr>
      </w:pPr>
      <w:r w:rsidRPr="008E4578">
        <w:rPr>
          <w:szCs w:val="20"/>
        </w:rPr>
        <w:t>Consideration be given to re-framing the basis for determining tiers and setting payment rates.</w:t>
      </w:r>
      <w:r w:rsidR="006D75FB">
        <w:rPr>
          <w:szCs w:val="20"/>
        </w:rPr>
        <w:t xml:space="preserve"> </w:t>
      </w:r>
      <w:r w:rsidRPr="008E4578">
        <w:rPr>
          <w:szCs w:val="20"/>
        </w:rPr>
        <w:t xml:space="preserve">As discussed above, risk stratification schemes developed internationally have included </w:t>
      </w:r>
      <w:r w:rsidRPr="008E4578">
        <w:rPr>
          <w:b/>
          <w:szCs w:val="20"/>
        </w:rPr>
        <w:t>tiers/classes that reflect the expected use of or need for primary care resources</w:t>
      </w:r>
      <w:r w:rsidRPr="008E4578">
        <w:rPr>
          <w:szCs w:val="20"/>
        </w:rPr>
        <w:t>.</w:t>
      </w:r>
      <w:r w:rsidR="006D75FB">
        <w:rPr>
          <w:szCs w:val="20"/>
        </w:rPr>
        <w:t xml:space="preserve"> </w:t>
      </w:r>
      <w:r w:rsidRPr="008E4578">
        <w:rPr>
          <w:szCs w:val="20"/>
        </w:rPr>
        <w:t>This approach would be a more appropriate for tiers and payment levels compared with the risk of hospitalisation.</w:t>
      </w:r>
    </w:p>
    <w:p w14:paraId="50D76D21" w14:textId="10F12422" w:rsidR="00AA21E8" w:rsidRPr="008E4578" w:rsidRDefault="00AA21E8" w:rsidP="00064B0C">
      <w:pPr>
        <w:pStyle w:val="ListParagraph"/>
        <w:numPr>
          <w:ilvl w:val="1"/>
          <w:numId w:val="57"/>
        </w:numPr>
        <w:ind w:left="709" w:hanging="283"/>
        <w:contextualSpacing w:val="0"/>
        <w:rPr>
          <w:szCs w:val="20"/>
        </w:rPr>
      </w:pPr>
      <w:r w:rsidRPr="00AE489B">
        <w:rPr>
          <w:b/>
        </w:rPr>
        <w:t>Future initiatives involving bundled payments should be clearer about what is included</w:t>
      </w:r>
      <w:r>
        <w:rPr>
          <w:b/>
        </w:rPr>
        <w:t xml:space="preserve"> in</w:t>
      </w:r>
      <w:r w:rsidRPr="00AE489B">
        <w:rPr>
          <w:b/>
        </w:rPr>
        <w:t xml:space="preserve"> or </w:t>
      </w:r>
      <w:r w:rsidR="001E5E14">
        <w:rPr>
          <w:b/>
          <w:bCs/>
        </w:rPr>
        <w:t xml:space="preserve">is </w:t>
      </w:r>
      <w:r w:rsidRPr="00AE489B">
        <w:rPr>
          <w:b/>
        </w:rPr>
        <w:t xml:space="preserve">outside </w:t>
      </w:r>
      <w:r>
        <w:rPr>
          <w:b/>
        </w:rPr>
        <w:t xml:space="preserve">of </w:t>
      </w:r>
      <w:r w:rsidR="001E5E14">
        <w:rPr>
          <w:b/>
          <w:bCs/>
        </w:rPr>
        <w:t>the</w:t>
      </w:r>
      <w:r w:rsidR="001E5E14" w:rsidRPr="00AE489B">
        <w:rPr>
          <w:b/>
          <w:bCs/>
        </w:rPr>
        <w:t xml:space="preserve"> bundle </w:t>
      </w:r>
      <w:r w:rsidRPr="00374906">
        <w:t xml:space="preserve">rather than GPs and practices </w:t>
      </w:r>
      <w:r w:rsidR="001E5E14" w:rsidRPr="00374906">
        <w:t xml:space="preserve">trying </w:t>
      </w:r>
      <w:r w:rsidRPr="00374906">
        <w:t>to interpret this</w:t>
      </w:r>
      <w:r w:rsidRPr="00AE489B">
        <w:t>, such as determining what is related to a patient’s chronic conditions versus what is acute.</w:t>
      </w:r>
      <w:r w:rsidRPr="00AE489B">
        <w:rPr>
          <w:b/>
        </w:rPr>
        <w:t xml:space="preserve"> </w:t>
      </w:r>
      <w:r w:rsidR="001E5E14" w:rsidRPr="000B1341">
        <w:t>These distinctions may</w:t>
      </w:r>
      <w:r w:rsidRPr="000B1341">
        <w:t xml:space="preserve"> also </w:t>
      </w:r>
      <w:r w:rsidR="001E5E14" w:rsidRPr="000B1341">
        <w:t>not be required, and instead</w:t>
      </w:r>
      <w:r w:rsidRPr="000B1341">
        <w:t xml:space="preserve"> handled through </w:t>
      </w:r>
      <w:r w:rsidRPr="00AE489B">
        <w:rPr>
          <w:b/>
        </w:rPr>
        <w:t>payment design</w:t>
      </w:r>
      <w:r w:rsidR="001E5E14">
        <w:rPr>
          <w:b/>
          <w:bCs/>
        </w:rPr>
        <w:t>. F</w:t>
      </w:r>
      <w:r w:rsidR="001E5E14" w:rsidRPr="00AE489B">
        <w:rPr>
          <w:b/>
          <w:bCs/>
        </w:rPr>
        <w:t>or</w:t>
      </w:r>
      <w:r w:rsidRPr="00AE489B">
        <w:rPr>
          <w:b/>
        </w:rPr>
        <w:t xml:space="preserve"> example, a blended payment </w:t>
      </w:r>
      <w:r w:rsidR="001E5E14">
        <w:rPr>
          <w:b/>
          <w:bCs/>
        </w:rPr>
        <w:t xml:space="preserve">may be used </w:t>
      </w:r>
      <w:r w:rsidRPr="00AE489B">
        <w:rPr>
          <w:b/>
        </w:rPr>
        <w:t xml:space="preserve">in which a modified fee-for-service payment rate </w:t>
      </w:r>
      <w:r w:rsidR="001E5E14">
        <w:rPr>
          <w:b/>
          <w:bCs/>
        </w:rPr>
        <w:t>is used</w:t>
      </w:r>
      <w:r w:rsidRPr="00AE489B">
        <w:rPr>
          <w:b/>
        </w:rPr>
        <w:t xml:space="preserve"> alongside </w:t>
      </w:r>
      <w:r w:rsidR="001E5E14">
        <w:rPr>
          <w:b/>
          <w:bCs/>
        </w:rPr>
        <w:t>a</w:t>
      </w:r>
      <w:r w:rsidRPr="00AE489B">
        <w:rPr>
          <w:b/>
        </w:rPr>
        <w:t xml:space="preserve"> bundled payment </w:t>
      </w:r>
      <w:r w:rsidR="001E5E14">
        <w:rPr>
          <w:b/>
          <w:bCs/>
        </w:rPr>
        <w:t>that covers</w:t>
      </w:r>
      <w:r w:rsidRPr="00AE489B">
        <w:rPr>
          <w:b/>
        </w:rPr>
        <w:t xml:space="preserve"> planning, coordination and other chronic disease management activities</w:t>
      </w:r>
      <w:r w:rsidRPr="008E4578">
        <w:rPr>
          <w:szCs w:val="20"/>
        </w:rPr>
        <w:t xml:space="preserve">. </w:t>
      </w:r>
    </w:p>
    <w:p w14:paraId="73827742" w14:textId="77777777" w:rsidR="00AA21E8" w:rsidRPr="008E4578" w:rsidRDefault="00AA21E8" w:rsidP="00064B0C">
      <w:pPr>
        <w:pStyle w:val="ListParagraph"/>
        <w:numPr>
          <w:ilvl w:val="1"/>
          <w:numId w:val="57"/>
        </w:numPr>
        <w:ind w:left="709" w:hanging="283"/>
        <w:contextualSpacing w:val="0"/>
        <w:rPr>
          <w:szCs w:val="20"/>
        </w:rPr>
      </w:pPr>
      <w:r w:rsidRPr="008E4578">
        <w:rPr>
          <w:b/>
          <w:szCs w:val="20"/>
        </w:rPr>
        <w:t xml:space="preserve">Develop guidance and tools </w:t>
      </w:r>
      <w:r w:rsidRPr="008E4578">
        <w:rPr>
          <w:b/>
          <w:bCs/>
          <w:szCs w:val="20"/>
        </w:rPr>
        <w:t xml:space="preserve">for practice </w:t>
      </w:r>
      <w:r w:rsidRPr="008E4578">
        <w:rPr>
          <w:b/>
          <w:szCs w:val="20"/>
        </w:rPr>
        <w:t>to help with practical implementation of payment reform</w:t>
      </w:r>
      <w:r w:rsidRPr="008E4578">
        <w:rPr>
          <w:b/>
          <w:bCs/>
          <w:szCs w:val="20"/>
        </w:rPr>
        <w:t xml:space="preserve">, </w:t>
      </w:r>
      <w:r w:rsidRPr="008E4578">
        <w:rPr>
          <w:szCs w:val="20"/>
        </w:rPr>
        <w:t>for example reflecting how to address the impact on different revenue sharing schemes for their GPs.</w:t>
      </w:r>
    </w:p>
    <w:p w14:paraId="6F260ADF" w14:textId="77777777" w:rsidR="00AA21E8" w:rsidRPr="008E4578" w:rsidRDefault="00AA21E8" w:rsidP="00064B0C">
      <w:pPr>
        <w:pStyle w:val="ListParagraph"/>
        <w:numPr>
          <w:ilvl w:val="1"/>
          <w:numId w:val="57"/>
        </w:numPr>
        <w:ind w:left="709" w:hanging="283"/>
        <w:contextualSpacing w:val="0"/>
        <w:rPr>
          <w:szCs w:val="20"/>
        </w:rPr>
      </w:pPr>
      <w:r w:rsidRPr="008E4578">
        <w:rPr>
          <w:b/>
          <w:szCs w:val="20"/>
        </w:rPr>
        <w:t>Feedback from ACCHS suggested that the bundled payment – with refinements – may a viable and appropriate approach in these settings</w:t>
      </w:r>
      <w:r w:rsidRPr="008E4578">
        <w:rPr>
          <w:szCs w:val="20"/>
        </w:rPr>
        <w:t xml:space="preserve">. This partly reflects that ACCHS are typically offering a team-based approach in which there is much greater reliance on nurses, Aboriginal health practitioners and workers, and allied health professionals, and that these service providers are only partially and inadequately supported through MBS fee-for-service revenue. Additionally, the bundled payment offered greater predictability in revenue and opportunities to use funds more flexibly in addressing priority needs within the practice population. </w:t>
      </w:r>
    </w:p>
    <w:p w14:paraId="501BBB71" w14:textId="77777777" w:rsidR="00CD46CF" w:rsidRDefault="00CD46CF">
      <w:pPr>
        <w:spacing w:after="160" w:line="259" w:lineRule="auto"/>
        <w:rPr>
          <w:rFonts w:ascii="Roboto Slab" w:eastAsia="Times New Roman" w:hAnsi="Roboto Slab" w:cs="Times New Roman"/>
          <w:bCs/>
          <w:color w:val="408BCA"/>
          <w:sz w:val="32"/>
          <w:szCs w:val="36"/>
          <w:lang w:eastAsia="en-AU"/>
        </w:rPr>
      </w:pPr>
      <w:r>
        <w:br w:type="page"/>
      </w:r>
    </w:p>
    <w:p w14:paraId="217BFC6F" w14:textId="18856260" w:rsidR="00AA21E8" w:rsidRPr="008E4578" w:rsidRDefault="00AA21E8" w:rsidP="00AA21E8">
      <w:pPr>
        <w:pStyle w:val="Heading2"/>
      </w:pPr>
      <w:bookmarkStart w:id="526" w:name="_Toc109996786"/>
      <w:r w:rsidRPr="008E4578">
        <w:lastRenderedPageBreak/>
        <w:t>Shared care planning</w:t>
      </w:r>
      <w:bookmarkEnd w:id="526"/>
    </w:p>
    <w:p w14:paraId="2C8FE5B3" w14:textId="493A6A0C" w:rsidR="00AA21E8" w:rsidRPr="008E4578" w:rsidRDefault="00AA21E8" w:rsidP="00BB7C8D">
      <w:pPr>
        <w:pStyle w:val="ListParagraph"/>
        <w:numPr>
          <w:ilvl w:val="0"/>
          <w:numId w:val="57"/>
        </w:numPr>
        <w:ind w:left="426" w:hanging="426"/>
        <w:contextualSpacing w:val="0"/>
        <w:rPr>
          <w:szCs w:val="20"/>
        </w:rPr>
      </w:pPr>
      <w:bookmarkStart w:id="527" w:name="_Ref103691704"/>
      <w:r w:rsidRPr="008E4578">
        <w:rPr>
          <w:szCs w:val="20"/>
        </w:rPr>
        <w:t>The HCH trial highlighted many of the challenges in providing effective platforms for undertaking shared care planning.</w:t>
      </w:r>
      <w:r w:rsidR="006D75FB">
        <w:rPr>
          <w:szCs w:val="20"/>
        </w:rPr>
        <w:t xml:space="preserve"> </w:t>
      </w:r>
      <w:r w:rsidRPr="008E4578">
        <w:rPr>
          <w:szCs w:val="20"/>
        </w:rPr>
        <w:t>The following lessons can be drawn:</w:t>
      </w:r>
      <w:bookmarkEnd w:id="527"/>
    </w:p>
    <w:p w14:paraId="276BC06C" w14:textId="77777777" w:rsidR="00AA21E8" w:rsidRPr="008E4578" w:rsidRDefault="00AA21E8" w:rsidP="00CD46CF">
      <w:pPr>
        <w:pStyle w:val="ListParagraph"/>
        <w:numPr>
          <w:ilvl w:val="1"/>
          <w:numId w:val="57"/>
        </w:numPr>
        <w:ind w:left="709" w:hanging="283"/>
        <w:contextualSpacing w:val="0"/>
        <w:rPr>
          <w:szCs w:val="20"/>
        </w:rPr>
      </w:pPr>
      <w:r w:rsidRPr="008E4578">
        <w:rPr>
          <w:b/>
          <w:bCs/>
          <w:szCs w:val="20"/>
        </w:rPr>
        <w:t>My Health Record should be considered as the key repository for care plans</w:t>
      </w:r>
      <w:r w:rsidRPr="008E4578">
        <w:rPr>
          <w:szCs w:val="20"/>
        </w:rPr>
        <w:t xml:space="preserve">, as it is the most widely used, accessible and secure system available to patients, GPs and primary care clinicians and other health service providers. </w:t>
      </w:r>
    </w:p>
    <w:p w14:paraId="6BC1B225" w14:textId="77777777" w:rsidR="00AA21E8" w:rsidRPr="008E4578" w:rsidRDefault="00AA21E8" w:rsidP="00CD46CF">
      <w:pPr>
        <w:pStyle w:val="ListParagraph"/>
        <w:numPr>
          <w:ilvl w:val="1"/>
          <w:numId w:val="57"/>
        </w:numPr>
        <w:ind w:left="709" w:hanging="283"/>
        <w:contextualSpacing w:val="0"/>
        <w:rPr>
          <w:szCs w:val="20"/>
        </w:rPr>
      </w:pPr>
      <w:r w:rsidRPr="008E4578">
        <w:rPr>
          <w:szCs w:val="20"/>
        </w:rPr>
        <w:t xml:space="preserve">The major limitation of the current version of My Health Record is that documents that are uploaded are static. There is limited capacity to facilitate communication between diverse service providers and limited functionality to allow patients, GPs and others to track progress against patient goals set in the plans. </w:t>
      </w:r>
      <w:r w:rsidRPr="008E4578">
        <w:rPr>
          <w:b/>
          <w:bCs/>
          <w:szCs w:val="20"/>
        </w:rPr>
        <w:t>Ideally, future enhancements to My Health Record will provide additional functionality that better matches what is required for shared care planning</w:t>
      </w:r>
      <w:r w:rsidRPr="008E4578">
        <w:rPr>
          <w:szCs w:val="20"/>
        </w:rPr>
        <w:t xml:space="preserve">. </w:t>
      </w:r>
    </w:p>
    <w:p w14:paraId="00DC1727" w14:textId="77777777" w:rsidR="00AA21E8" w:rsidRPr="008E4578" w:rsidRDefault="00AA21E8" w:rsidP="00CD46CF">
      <w:pPr>
        <w:pStyle w:val="ListParagraph"/>
        <w:numPr>
          <w:ilvl w:val="1"/>
          <w:numId w:val="57"/>
        </w:numPr>
        <w:ind w:left="709" w:hanging="283"/>
        <w:contextualSpacing w:val="0"/>
        <w:rPr>
          <w:szCs w:val="20"/>
        </w:rPr>
      </w:pPr>
      <w:r w:rsidRPr="008E4578">
        <w:rPr>
          <w:szCs w:val="20"/>
        </w:rPr>
        <w:t xml:space="preserve">In the meantime, </w:t>
      </w:r>
      <w:r w:rsidRPr="008E4578">
        <w:rPr>
          <w:b/>
          <w:bCs/>
          <w:szCs w:val="20"/>
        </w:rPr>
        <w:t>better systems for facilitating shared care planning need to be supported, which integrate with My Health Record</w:t>
      </w:r>
      <w:r w:rsidRPr="008E4578">
        <w:rPr>
          <w:szCs w:val="20"/>
        </w:rPr>
        <w:t xml:space="preserve">. </w:t>
      </w:r>
    </w:p>
    <w:p w14:paraId="1670E140" w14:textId="77777777" w:rsidR="00AA21E8" w:rsidRPr="008E4578" w:rsidRDefault="00AA21E8" w:rsidP="00CD46CF">
      <w:pPr>
        <w:pStyle w:val="ListParagraph"/>
        <w:numPr>
          <w:ilvl w:val="1"/>
          <w:numId w:val="57"/>
        </w:numPr>
        <w:ind w:left="709" w:hanging="283"/>
        <w:contextualSpacing w:val="0"/>
        <w:rPr>
          <w:szCs w:val="20"/>
        </w:rPr>
      </w:pPr>
      <w:r w:rsidRPr="008E4578">
        <w:rPr>
          <w:szCs w:val="20"/>
        </w:rPr>
        <w:t xml:space="preserve">Shared care plans </w:t>
      </w:r>
      <w:r w:rsidRPr="008E4578">
        <w:rPr>
          <w:b/>
          <w:bCs/>
          <w:szCs w:val="20"/>
        </w:rPr>
        <w:t>should be easily visible to clinicians through the clinical management systems that they commonly use in their clinical practice</w:t>
      </w:r>
      <w:r w:rsidRPr="008E4578">
        <w:rPr>
          <w:szCs w:val="20"/>
        </w:rPr>
        <w:t>, together with relevant information that shows progress against the goals included in the plan.</w:t>
      </w:r>
    </w:p>
    <w:p w14:paraId="037E22EE" w14:textId="77777777" w:rsidR="00AA21E8" w:rsidRPr="008E4578" w:rsidRDefault="00AA21E8" w:rsidP="00CD46CF">
      <w:pPr>
        <w:pStyle w:val="ListParagraph"/>
        <w:numPr>
          <w:ilvl w:val="1"/>
          <w:numId w:val="57"/>
        </w:numPr>
        <w:ind w:left="709" w:hanging="283"/>
        <w:contextualSpacing w:val="0"/>
        <w:rPr>
          <w:szCs w:val="20"/>
        </w:rPr>
      </w:pPr>
      <w:r w:rsidRPr="008E4578">
        <w:rPr>
          <w:szCs w:val="20"/>
        </w:rPr>
        <w:t xml:space="preserve">The </w:t>
      </w:r>
      <w:r w:rsidRPr="008E4578">
        <w:rPr>
          <w:b/>
          <w:bCs/>
          <w:szCs w:val="20"/>
        </w:rPr>
        <w:t>uptake of shared care planning will accelerate when most health care providers have access to and actively use shared care plans</w:t>
      </w:r>
      <w:r w:rsidRPr="008E4578">
        <w:rPr>
          <w:szCs w:val="20"/>
        </w:rPr>
        <w:t xml:space="preserve">. This is more likely to occur where a common platform for shared care planning is available – such as an enhanced version of My Health Record – or when shared care planning software meets interoperability standards that allow relevant data on plans to be communicated between platforms. </w:t>
      </w:r>
    </w:p>
    <w:p w14:paraId="190EB8CD" w14:textId="77777777" w:rsidR="00AA21E8" w:rsidRPr="008E4578" w:rsidRDefault="00AA21E8" w:rsidP="00CD46CF">
      <w:pPr>
        <w:pStyle w:val="ListParagraph"/>
        <w:numPr>
          <w:ilvl w:val="1"/>
          <w:numId w:val="57"/>
        </w:numPr>
        <w:ind w:left="709" w:hanging="283"/>
        <w:contextualSpacing w:val="0"/>
        <w:rPr>
          <w:szCs w:val="20"/>
        </w:rPr>
      </w:pPr>
      <w:r w:rsidRPr="008E4578">
        <w:rPr>
          <w:szCs w:val="20"/>
        </w:rPr>
        <w:t xml:space="preserve">In future initiatives designed to improve shared care planning, </w:t>
      </w:r>
      <w:r w:rsidRPr="008E4578">
        <w:rPr>
          <w:b/>
          <w:bCs/>
          <w:szCs w:val="20"/>
        </w:rPr>
        <w:t>strategies are required to raise</w:t>
      </w:r>
      <w:r w:rsidR="000E4FA0" w:rsidRPr="008E4578">
        <w:rPr>
          <w:b/>
          <w:szCs w:val="20"/>
        </w:rPr>
        <w:t xml:space="preserve"> awareness about the initiative among health care providers that general practice works closely with</w:t>
      </w:r>
      <w:r w:rsidR="000E4FA0" w:rsidRPr="007B1316">
        <w:rPr>
          <w:szCs w:val="20"/>
        </w:rPr>
        <w:t xml:space="preserve"> (</w:t>
      </w:r>
      <w:r w:rsidR="000E4FA0">
        <w:rPr>
          <w:szCs w:val="20"/>
        </w:rPr>
        <w:t>for example,</w:t>
      </w:r>
      <w:r w:rsidR="000E4FA0" w:rsidRPr="007B1316">
        <w:rPr>
          <w:szCs w:val="20"/>
        </w:rPr>
        <w:t xml:space="preserve"> allied health providers, hospitals, community pharmacists).</w:t>
      </w:r>
    </w:p>
    <w:p w14:paraId="64D4525F" w14:textId="77777777" w:rsidR="00AA21E8" w:rsidRPr="008E4578" w:rsidRDefault="00AA21E8" w:rsidP="00AA21E8">
      <w:pPr>
        <w:pStyle w:val="Heading2"/>
      </w:pPr>
      <w:bookmarkStart w:id="528" w:name="_Toc109996787"/>
      <w:r w:rsidRPr="008E4578">
        <w:t>Community pharmacy</w:t>
      </w:r>
      <w:bookmarkEnd w:id="528"/>
    </w:p>
    <w:p w14:paraId="2A5D2548" w14:textId="0F823843" w:rsidR="000E4FA0" w:rsidRPr="007B1316" w:rsidRDefault="00AA21E8" w:rsidP="00BB7C8D">
      <w:pPr>
        <w:pStyle w:val="ListParagraph"/>
        <w:numPr>
          <w:ilvl w:val="0"/>
          <w:numId w:val="57"/>
        </w:numPr>
        <w:ind w:left="426" w:hanging="426"/>
        <w:contextualSpacing w:val="0"/>
        <w:rPr>
          <w:szCs w:val="20"/>
        </w:rPr>
      </w:pPr>
      <w:r w:rsidRPr="008E4578">
        <w:rPr>
          <w:szCs w:val="20"/>
        </w:rPr>
        <w:t xml:space="preserve">For any initiatives involving collaboration between community pharmacists and primary care practice teams, </w:t>
      </w:r>
      <w:r w:rsidRPr="008E4578">
        <w:rPr>
          <w:b/>
          <w:bCs/>
          <w:szCs w:val="20"/>
        </w:rPr>
        <w:t>ensure that roles and responsibilities are clear and agreed by both parties</w:t>
      </w:r>
      <w:r w:rsidRPr="008E4578">
        <w:rPr>
          <w:szCs w:val="20"/>
        </w:rPr>
        <w:t xml:space="preserve">. Collaboration can then be further enhanced through maximising opportunities for </w:t>
      </w:r>
      <w:r w:rsidRPr="008E4578">
        <w:rPr>
          <w:b/>
          <w:bCs/>
          <w:szCs w:val="20"/>
        </w:rPr>
        <w:t>interactions that build trust between the teams</w:t>
      </w:r>
      <w:r w:rsidRPr="008E4578">
        <w:rPr>
          <w:szCs w:val="20"/>
        </w:rPr>
        <w:t>.</w:t>
      </w:r>
    </w:p>
    <w:p w14:paraId="7AA8E0F2" w14:textId="77777777" w:rsidR="00E1624C" w:rsidRDefault="00E1624C">
      <w:pPr>
        <w:spacing w:after="160" w:line="259" w:lineRule="auto"/>
        <w:rPr>
          <w:rFonts w:ascii="Roboto Slab" w:eastAsia="Times New Roman" w:hAnsi="Roboto Slab" w:cs="Times New Roman"/>
          <w:bCs/>
          <w:color w:val="408BCA"/>
          <w:sz w:val="32"/>
          <w:szCs w:val="36"/>
          <w:lang w:eastAsia="en-AU"/>
        </w:rPr>
      </w:pPr>
      <w:r>
        <w:br w:type="page"/>
      </w:r>
    </w:p>
    <w:p w14:paraId="36F91D8C" w14:textId="3C52BFE4" w:rsidR="003665ED" w:rsidRDefault="003665ED" w:rsidP="003665ED">
      <w:pPr>
        <w:pStyle w:val="Heading2"/>
      </w:pPr>
      <w:bookmarkStart w:id="529" w:name="_Toc109996788"/>
      <w:r>
        <w:lastRenderedPageBreak/>
        <w:t>Evaluation</w:t>
      </w:r>
      <w:bookmarkEnd w:id="529"/>
    </w:p>
    <w:p w14:paraId="62575AFB" w14:textId="41215793" w:rsidR="00C64435" w:rsidRPr="00C64435" w:rsidRDefault="005C4079" w:rsidP="00BB7C8D">
      <w:pPr>
        <w:pStyle w:val="ListParagraph"/>
        <w:numPr>
          <w:ilvl w:val="0"/>
          <w:numId w:val="57"/>
        </w:numPr>
        <w:ind w:left="426" w:hanging="426"/>
        <w:contextualSpacing w:val="0"/>
      </w:pPr>
      <w:r w:rsidRPr="005C4079">
        <w:t>The HCH trial highlighted the challenges of conducting methodologically sound evaluation of national primary health care programs and initiatives in Australia. The evaluation benefited from existing efforts to bring together data from various sources, specifically data provisions in the Commonwealth and state and territory government Bilateral Agreements on Coordinated Care. However, data sources covered by these Bilateral Agreements were not able to be joined with data from practice extracts. Practice data extracts had to be sourced from multiple existing arrangements, and new arrangements set up specifically for the evaluation which were independent of the Bilateral Agreements. As discussed in point 5b above, patients’ health conditions are recorded in and extracted from practice clinical management systems in different ways. Significant efforts were required to harmonise data across data extraction tools. Another challenge for the evaluation was incomplete information about the characteristics of primary care practices across Australia. The following actions could provide a sounder basis for future evaluation, quality improvement activities and research</w:t>
      </w:r>
      <w:r w:rsidR="006A0312">
        <w:t>:</w:t>
      </w:r>
      <w:r w:rsidR="00924997">
        <w:t xml:space="preserve"> </w:t>
      </w:r>
    </w:p>
    <w:p w14:paraId="2F3678D1" w14:textId="39389C7C" w:rsidR="004113DE" w:rsidRPr="004113DE" w:rsidRDefault="007F43D2" w:rsidP="00BB7C8D">
      <w:pPr>
        <w:pStyle w:val="ListParagraph"/>
        <w:numPr>
          <w:ilvl w:val="1"/>
          <w:numId w:val="57"/>
        </w:numPr>
        <w:ind w:left="709" w:hanging="283"/>
        <w:contextualSpacing w:val="0"/>
        <w:rPr>
          <w:szCs w:val="20"/>
        </w:rPr>
      </w:pPr>
      <w:r w:rsidRPr="007F43D2">
        <w:t xml:space="preserve">Work towards creating </w:t>
      </w:r>
      <w:r w:rsidRPr="007F43D2">
        <w:rPr>
          <w:b/>
          <w:bCs/>
        </w:rPr>
        <w:t xml:space="preserve">an ongoing and enduring research data collection that brings together practice data extracts from a sample of Australian practices, joined with Commonwealth and </w:t>
      </w:r>
      <w:r w:rsidR="00D721AF">
        <w:rPr>
          <w:b/>
          <w:bCs/>
        </w:rPr>
        <w:t>s</w:t>
      </w:r>
      <w:r w:rsidRPr="007F43D2">
        <w:rPr>
          <w:b/>
          <w:bCs/>
        </w:rPr>
        <w:t>tate-based data, including but not limited to MBS, PBS, hospitalisation data, emergency department data, aged care data and mortality data</w:t>
      </w:r>
      <w:r w:rsidRPr="007F43D2">
        <w:t>. Various initiatives across Australia are progressing towards this goal, but these tend to be jurisdiction-specific, limited to practices using specific software systems for patient clinical management, or limited to practices using or participating in a specific data extraction and/or benchmarking system. These initiatives use different methods for harmonising source data. Each has its own governance and research ethics infrastructure and process and not necessarily established to allow wider use for evaluation and research. Availability of an ongoing, enduring linked data resource with streamlined ethics and governance arrangements would allow evaluations to be conducted more rapidly and at lower cost. Furthermore, regular updates to the linked data resource would maximise the follow-up period post program implementation, which was a significant limitation of the HCH evaluation</w:t>
      </w:r>
      <w:r w:rsidR="002B4C0D">
        <w:t>.</w:t>
      </w:r>
      <w:r w:rsidR="00722EC8">
        <w:t xml:space="preserve"> </w:t>
      </w:r>
    </w:p>
    <w:p w14:paraId="4AE0102E" w14:textId="60E2BA27" w:rsidR="006C4B20" w:rsidRPr="00E117E4" w:rsidRDefault="003557C1" w:rsidP="00BB7C8D">
      <w:pPr>
        <w:pStyle w:val="ListParagraph"/>
        <w:numPr>
          <w:ilvl w:val="1"/>
          <w:numId w:val="57"/>
        </w:numPr>
        <w:ind w:left="709" w:hanging="283"/>
        <w:contextualSpacing w:val="0"/>
        <w:rPr>
          <w:b/>
          <w:bCs/>
          <w:szCs w:val="20"/>
        </w:rPr>
      </w:pPr>
      <w:r w:rsidRPr="003557C1">
        <w:t xml:space="preserve">As described in point 5b above, </w:t>
      </w:r>
      <w:r w:rsidRPr="003557C1">
        <w:rPr>
          <w:b/>
          <w:bCs/>
        </w:rPr>
        <w:t>efforts are required to systematically improve the consistency in the recording of health conditions and measurements within practice clinical management systems and to standardise data extraction processes. This will ensure that information about health conditions and measurements is of sufficient detail and quality to support a range of purposes, including risk stratification, quality improvement, and quality and performance indicators</w:t>
      </w:r>
      <w:r w:rsidR="00056801">
        <w:rPr>
          <w:b/>
          <w:bCs/>
        </w:rPr>
        <w:t xml:space="preserve">. </w:t>
      </w:r>
    </w:p>
    <w:p w14:paraId="069597EE" w14:textId="52FE9230" w:rsidR="00DB3805" w:rsidRPr="00CB086D" w:rsidRDefault="001822FC" w:rsidP="00BB7C8D">
      <w:pPr>
        <w:pStyle w:val="ListParagraph"/>
        <w:numPr>
          <w:ilvl w:val="1"/>
          <w:numId w:val="57"/>
        </w:numPr>
        <w:ind w:left="709" w:hanging="283"/>
        <w:contextualSpacing w:val="0"/>
        <w:rPr>
          <w:szCs w:val="20"/>
        </w:rPr>
      </w:pPr>
      <w:r>
        <w:t>W</w:t>
      </w:r>
      <w:r w:rsidR="00A3533B">
        <w:t xml:space="preserve">ork towards </w:t>
      </w:r>
      <w:r w:rsidR="00E13F14">
        <w:t>enhancing</w:t>
      </w:r>
      <w:r w:rsidR="00BE3356">
        <w:t xml:space="preserve"> </w:t>
      </w:r>
      <w:r w:rsidR="0005597C">
        <w:t xml:space="preserve">existing </w:t>
      </w:r>
      <w:r w:rsidR="00651C8D">
        <w:t xml:space="preserve">surveys </w:t>
      </w:r>
      <w:r w:rsidR="008C48C7">
        <w:t xml:space="preserve">focussed on </w:t>
      </w:r>
      <w:r w:rsidR="00651C8D">
        <w:t>patient</w:t>
      </w:r>
      <w:r w:rsidR="008C48C7">
        <w:t xml:space="preserve"> experience of primary care services, with </w:t>
      </w:r>
      <w:r w:rsidR="008C48C7" w:rsidRPr="00847CF8">
        <w:rPr>
          <w:b/>
        </w:rPr>
        <w:t xml:space="preserve">additional measures </w:t>
      </w:r>
      <w:r w:rsidR="00510FCB" w:rsidRPr="00847CF8">
        <w:rPr>
          <w:b/>
          <w:bCs/>
        </w:rPr>
        <w:t>related to patient activation and patient-reported outcomes</w:t>
      </w:r>
      <w:r w:rsidR="00A11D2D" w:rsidRPr="00847CF8">
        <w:rPr>
          <w:b/>
          <w:bCs/>
        </w:rPr>
        <w:t xml:space="preserve"> related to primary care</w:t>
      </w:r>
      <w:r w:rsidR="00751637">
        <w:t xml:space="preserve">. </w:t>
      </w:r>
      <w:r w:rsidR="003B2D93">
        <w:t>Consider d</w:t>
      </w:r>
      <w:r w:rsidR="00751637">
        <w:t>evelop</w:t>
      </w:r>
      <w:r w:rsidR="003B2D93">
        <w:t>ing</w:t>
      </w:r>
      <w:r w:rsidR="00751637">
        <w:t xml:space="preserve"> guidance on </w:t>
      </w:r>
      <w:r w:rsidR="00847CF8">
        <w:t>preferred instruments</w:t>
      </w:r>
      <w:r w:rsidR="004C45CE">
        <w:t xml:space="preserve"> for these areas</w:t>
      </w:r>
      <w:r w:rsidR="003B2D93">
        <w:t xml:space="preserve"> that could be </w:t>
      </w:r>
      <w:r w:rsidR="00B47BFA">
        <w:t xml:space="preserve">more </w:t>
      </w:r>
      <w:r w:rsidR="003B2D93">
        <w:t>commonly used in Australia</w:t>
      </w:r>
      <w:r w:rsidR="00B47BFA">
        <w:t xml:space="preserve"> in evaluations of primary health care</w:t>
      </w:r>
      <w:r w:rsidR="004C1B1B">
        <w:t xml:space="preserve"> and used for the development of quality indicators </w:t>
      </w:r>
      <w:r w:rsidR="007F5C4C">
        <w:t>and quality improvement activities with</w:t>
      </w:r>
      <w:r w:rsidR="004C1B1B">
        <w:t>in the sector</w:t>
      </w:r>
      <w:r w:rsidR="00510FCB">
        <w:t xml:space="preserve">. </w:t>
      </w:r>
      <w:r w:rsidR="004E3C33">
        <w:t>This includes guidance on preferred instruments for Aboriginal and Torres Strait Islander people.</w:t>
      </w:r>
    </w:p>
    <w:p w14:paraId="7F331B55" w14:textId="2F97BDDF" w:rsidR="00E117E4" w:rsidRPr="00921A99" w:rsidRDefault="00D0171B" w:rsidP="00BB7C8D">
      <w:pPr>
        <w:pStyle w:val="ListParagraph"/>
        <w:numPr>
          <w:ilvl w:val="1"/>
          <w:numId w:val="57"/>
        </w:numPr>
        <w:ind w:left="709" w:hanging="283"/>
        <w:contextualSpacing w:val="0"/>
        <w:rPr>
          <w:szCs w:val="20"/>
        </w:rPr>
      </w:pPr>
      <w:r w:rsidRPr="00D0171B">
        <w:lastRenderedPageBreak/>
        <w:t xml:space="preserve">Work towards </w:t>
      </w:r>
      <w:r w:rsidR="003C6294">
        <w:t xml:space="preserve">creating and </w:t>
      </w:r>
      <w:r w:rsidR="00DD6FA8">
        <w:t xml:space="preserve">maintaining a </w:t>
      </w:r>
      <w:r w:rsidRPr="00D0171B">
        <w:t>data</w:t>
      </w:r>
      <w:r w:rsidR="00F735C5">
        <w:t xml:space="preserve"> collection that pulls </w:t>
      </w:r>
      <w:r w:rsidR="00A03A40">
        <w:t xml:space="preserve">together </w:t>
      </w:r>
      <w:r w:rsidR="00CA652C" w:rsidRPr="00CA652C">
        <w:rPr>
          <w:b/>
          <w:bCs/>
        </w:rPr>
        <w:t xml:space="preserve">data </w:t>
      </w:r>
      <w:r w:rsidR="00932617" w:rsidRPr="00CA652C">
        <w:rPr>
          <w:b/>
          <w:bCs/>
        </w:rPr>
        <w:t xml:space="preserve">about the structure and characteristics </w:t>
      </w:r>
      <w:r w:rsidR="007F60B2" w:rsidRPr="00CA652C">
        <w:rPr>
          <w:b/>
          <w:bCs/>
        </w:rPr>
        <w:t xml:space="preserve">of </w:t>
      </w:r>
      <w:r w:rsidR="00410CBB" w:rsidRPr="00CA652C">
        <w:rPr>
          <w:b/>
          <w:bCs/>
        </w:rPr>
        <w:t xml:space="preserve">all general practices and </w:t>
      </w:r>
      <w:r w:rsidR="00174919" w:rsidRPr="00CA652C">
        <w:rPr>
          <w:b/>
          <w:bCs/>
        </w:rPr>
        <w:t xml:space="preserve">services managed by </w:t>
      </w:r>
      <w:r w:rsidR="00410CBB" w:rsidRPr="00CA652C">
        <w:rPr>
          <w:b/>
          <w:bCs/>
        </w:rPr>
        <w:t>ACCH</w:t>
      </w:r>
      <w:r w:rsidR="00F53DC4">
        <w:rPr>
          <w:b/>
          <w:bCs/>
        </w:rPr>
        <w:t>S</w:t>
      </w:r>
      <w:r w:rsidR="00410CBB" w:rsidRPr="00CA652C">
        <w:rPr>
          <w:b/>
          <w:bCs/>
        </w:rPr>
        <w:t xml:space="preserve"> across Australia, supplemented with </w:t>
      </w:r>
      <w:r w:rsidR="00932617" w:rsidRPr="00CA652C">
        <w:rPr>
          <w:b/>
          <w:bCs/>
        </w:rPr>
        <w:t xml:space="preserve">additional information </w:t>
      </w:r>
      <w:r w:rsidR="0092358D" w:rsidRPr="00CA652C">
        <w:rPr>
          <w:b/>
          <w:bCs/>
        </w:rPr>
        <w:t xml:space="preserve">collected through </w:t>
      </w:r>
      <w:r w:rsidR="00163B67" w:rsidRPr="00CA652C">
        <w:rPr>
          <w:b/>
          <w:bCs/>
        </w:rPr>
        <w:t xml:space="preserve">regular surveys of </w:t>
      </w:r>
      <w:r w:rsidR="00226B97">
        <w:rPr>
          <w:b/>
          <w:bCs/>
        </w:rPr>
        <w:t>practices</w:t>
      </w:r>
      <w:r w:rsidR="005A48AA">
        <w:t xml:space="preserve">. </w:t>
      </w:r>
      <w:r w:rsidR="00E84579">
        <w:t xml:space="preserve">While there is comprehensive data on GPs </w:t>
      </w:r>
      <w:r w:rsidR="0053035B">
        <w:t xml:space="preserve">available, </w:t>
      </w:r>
      <w:r w:rsidR="00E04253">
        <w:t>data on the practices within which they work is deficient</w:t>
      </w:r>
      <w:r w:rsidR="00FA6881">
        <w:t>.</w:t>
      </w:r>
      <w:r w:rsidR="00E04253">
        <w:t xml:space="preserve"> </w:t>
      </w:r>
      <w:r w:rsidR="00276C2F">
        <w:t>Current</w:t>
      </w:r>
      <w:r w:rsidR="00302608">
        <w:t xml:space="preserve">ly there are various sources of </w:t>
      </w:r>
      <w:r w:rsidR="004D0A1B">
        <w:t>data about practices</w:t>
      </w:r>
      <w:r w:rsidR="008303DC">
        <w:t xml:space="preserve">, </w:t>
      </w:r>
      <w:r w:rsidR="00164949">
        <w:t xml:space="preserve">such as </w:t>
      </w:r>
      <w:r w:rsidR="003E3B59">
        <w:t xml:space="preserve">the </w:t>
      </w:r>
      <w:r w:rsidR="003E3B59" w:rsidRPr="003E3B59">
        <w:t>National Health Services Directory</w:t>
      </w:r>
      <w:r w:rsidR="003E3B59">
        <w:t xml:space="preserve"> managed by </w:t>
      </w:r>
      <w:proofErr w:type="spellStart"/>
      <w:r w:rsidR="00164949">
        <w:t>HealthDirect</w:t>
      </w:r>
      <w:proofErr w:type="spellEnd"/>
      <w:r w:rsidR="005B0711">
        <w:t xml:space="preserve">, </w:t>
      </w:r>
      <w:r w:rsidR="00271AA5">
        <w:t xml:space="preserve">information held by the Department </w:t>
      </w:r>
      <w:r w:rsidR="00145E92">
        <w:t xml:space="preserve">of Health </w:t>
      </w:r>
      <w:r w:rsidR="00FA6860">
        <w:t xml:space="preserve">and </w:t>
      </w:r>
      <w:r w:rsidR="00226B97">
        <w:t>Services Australia</w:t>
      </w:r>
      <w:r w:rsidR="003E3B59">
        <w:t xml:space="preserve">, </w:t>
      </w:r>
      <w:r w:rsidR="00A0307C">
        <w:t xml:space="preserve">the </w:t>
      </w:r>
      <w:r w:rsidR="00145E92">
        <w:t>AIHW</w:t>
      </w:r>
      <w:r w:rsidR="00040CDE">
        <w:t xml:space="preserve">, PHNs and </w:t>
      </w:r>
      <w:r w:rsidR="00992E4D">
        <w:t xml:space="preserve">accreditation </w:t>
      </w:r>
      <w:r w:rsidR="00226B97">
        <w:t>organisations</w:t>
      </w:r>
      <w:r w:rsidR="003E3B59">
        <w:t>.</w:t>
      </w:r>
      <w:r w:rsidR="004A280B">
        <w:t xml:space="preserve"> </w:t>
      </w:r>
      <w:r w:rsidR="003B7460">
        <w:t xml:space="preserve">The most recent </w:t>
      </w:r>
      <w:r w:rsidR="004A280B">
        <w:t xml:space="preserve">estimate of the </w:t>
      </w:r>
      <w:r w:rsidR="00673B12">
        <w:t xml:space="preserve">number of practices across Australia was </w:t>
      </w:r>
      <w:r w:rsidR="00C40C4E">
        <w:t xml:space="preserve">published in the </w:t>
      </w:r>
      <w:r w:rsidR="00C40C4E" w:rsidRPr="00226B97">
        <w:rPr>
          <w:i/>
          <w:iCs/>
        </w:rPr>
        <w:t>Report o</w:t>
      </w:r>
      <w:r w:rsidR="00226B97" w:rsidRPr="00226B97">
        <w:rPr>
          <w:i/>
          <w:iCs/>
        </w:rPr>
        <w:t>n</w:t>
      </w:r>
      <w:r w:rsidR="00C40C4E" w:rsidRPr="00226B97">
        <w:rPr>
          <w:i/>
          <w:iCs/>
        </w:rPr>
        <w:t xml:space="preserve"> Government Services</w:t>
      </w:r>
      <w:r w:rsidR="00D80FC3">
        <w:rPr>
          <w:i/>
        </w:rPr>
        <w:t xml:space="preserve"> 2020</w:t>
      </w:r>
      <w:r w:rsidR="0074598E">
        <w:t>.</w:t>
      </w:r>
      <w:r w:rsidR="00C40C4E" w:rsidRPr="00AD3B13">
        <w:rPr>
          <w:rStyle w:val="FootnoteReference"/>
          <w:color w:val="408BCA"/>
          <w:sz w:val="18"/>
          <w:szCs w:val="20"/>
        </w:rPr>
        <w:footnoteReference w:id="157"/>
      </w:r>
      <w:r w:rsidR="00992E4D">
        <w:t xml:space="preserve"> </w:t>
      </w:r>
      <w:r w:rsidR="00EC27DA">
        <w:t xml:space="preserve">This included data on </w:t>
      </w:r>
      <w:r w:rsidR="003072C9">
        <w:t xml:space="preserve">location </w:t>
      </w:r>
      <w:r w:rsidR="008E3998">
        <w:t>of services</w:t>
      </w:r>
      <w:r w:rsidR="00455115" w:rsidRPr="002E7EBF">
        <w:rPr>
          <w:rStyle w:val="FootnoteReference"/>
          <w:color w:val="408BCA"/>
        </w:rPr>
        <w:footnoteReference w:id="158"/>
      </w:r>
      <w:r w:rsidR="00A6158A" w:rsidRPr="002E7EBF">
        <w:rPr>
          <w:color w:val="408BCA"/>
        </w:rPr>
        <w:t xml:space="preserve"> </w:t>
      </w:r>
      <w:r w:rsidR="00A6158A">
        <w:t xml:space="preserve">but not </w:t>
      </w:r>
      <w:r w:rsidR="003808C1">
        <w:t xml:space="preserve">on ownership, </w:t>
      </w:r>
      <w:r w:rsidR="00A96515">
        <w:t xml:space="preserve">size, </w:t>
      </w:r>
      <w:r w:rsidR="003808C1">
        <w:t>staffing struct</w:t>
      </w:r>
      <w:r w:rsidR="00A96515">
        <w:t>ure</w:t>
      </w:r>
      <w:r w:rsidR="007549D3">
        <w:t xml:space="preserve">, </w:t>
      </w:r>
      <w:r w:rsidR="008164C0">
        <w:t xml:space="preserve">other </w:t>
      </w:r>
      <w:r w:rsidR="007549D3">
        <w:t xml:space="preserve">structural </w:t>
      </w:r>
      <w:r w:rsidR="008164C0">
        <w:t>attributes</w:t>
      </w:r>
      <w:r w:rsidR="00293358">
        <w:t xml:space="preserve"> and practice population</w:t>
      </w:r>
      <w:r w:rsidR="00927B81">
        <w:t>s</w:t>
      </w:r>
      <w:r w:rsidR="00A96515">
        <w:t>.</w:t>
      </w:r>
      <w:r w:rsidR="00F14583">
        <w:t xml:space="preserve"> </w:t>
      </w:r>
      <w:r w:rsidR="00DD3C5E">
        <w:t xml:space="preserve">General practices are </w:t>
      </w:r>
      <w:r w:rsidR="00C442CA">
        <w:t>changing over time</w:t>
      </w:r>
      <w:r w:rsidR="00726489">
        <w:t xml:space="preserve"> and</w:t>
      </w:r>
      <w:r w:rsidR="00400283">
        <w:t xml:space="preserve"> </w:t>
      </w:r>
      <w:r w:rsidR="006C4D26">
        <w:t xml:space="preserve">the absence of data </w:t>
      </w:r>
      <w:r w:rsidR="000539BA">
        <w:t xml:space="preserve">that tracks these changes and </w:t>
      </w:r>
      <w:r w:rsidR="00941DA4">
        <w:t xml:space="preserve">provides a </w:t>
      </w:r>
      <w:r w:rsidR="00D53B84">
        <w:t xml:space="preserve">more complete picture of practice </w:t>
      </w:r>
      <w:r w:rsidR="007A68E8">
        <w:t>constrains evaluation efforts.</w:t>
      </w:r>
      <w:r w:rsidR="000A1005">
        <w:t xml:space="preserve"> </w:t>
      </w:r>
    </w:p>
    <w:p w14:paraId="744FF8CF" w14:textId="6E28C29B" w:rsidR="00B76C55" w:rsidRDefault="006B7573" w:rsidP="00BB7C8D">
      <w:pPr>
        <w:pStyle w:val="ListParagraph"/>
        <w:numPr>
          <w:ilvl w:val="1"/>
          <w:numId w:val="57"/>
        </w:numPr>
        <w:ind w:left="709" w:hanging="283"/>
        <w:rPr>
          <w:szCs w:val="20"/>
        </w:rPr>
      </w:pPr>
      <w:r>
        <w:rPr>
          <w:szCs w:val="20"/>
        </w:rPr>
        <w:t xml:space="preserve">As discussed in </w:t>
      </w:r>
      <w:r w:rsidR="00B76C55">
        <w:rPr>
          <w:szCs w:val="20"/>
        </w:rPr>
        <w:t>les</w:t>
      </w:r>
      <w:r w:rsidR="001F4A2C">
        <w:rPr>
          <w:szCs w:val="20"/>
        </w:rPr>
        <w:t>s</w:t>
      </w:r>
      <w:r w:rsidR="00B76C55">
        <w:rPr>
          <w:szCs w:val="20"/>
        </w:rPr>
        <w:t xml:space="preserve">on </w:t>
      </w:r>
      <w:r>
        <w:rPr>
          <w:szCs w:val="20"/>
        </w:rPr>
        <w:t>1</w:t>
      </w:r>
      <w:r w:rsidR="00B76C55">
        <w:rPr>
          <w:szCs w:val="20"/>
        </w:rPr>
        <w:t>j</w:t>
      </w:r>
      <w:r>
        <w:rPr>
          <w:szCs w:val="20"/>
        </w:rPr>
        <w:t xml:space="preserve"> above, </w:t>
      </w:r>
      <w:r w:rsidRPr="00064EEE">
        <w:rPr>
          <w:b/>
          <w:szCs w:val="20"/>
        </w:rPr>
        <w:t>consider staggering the time over which cohorts of practices start implementation of large-scale initiatives</w:t>
      </w:r>
      <w:r w:rsidR="00B76C55" w:rsidRPr="00064EEE">
        <w:rPr>
          <w:b/>
          <w:szCs w:val="20"/>
        </w:rPr>
        <w:t xml:space="preserve">, and use this </w:t>
      </w:r>
      <w:r w:rsidR="006452F4">
        <w:rPr>
          <w:b/>
          <w:bCs/>
          <w:szCs w:val="20"/>
        </w:rPr>
        <w:t xml:space="preserve">approach </w:t>
      </w:r>
      <w:r w:rsidR="00B76C55" w:rsidRPr="00064EEE">
        <w:rPr>
          <w:b/>
          <w:szCs w:val="20"/>
        </w:rPr>
        <w:t xml:space="preserve">to implement a </w:t>
      </w:r>
      <w:r w:rsidR="00B76C55" w:rsidRPr="00064EEE">
        <w:rPr>
          <w:b/>
          <w:bCs/>
          <w:szCs w:val="20"/>
        </w:rPr>
        <w:t>step</w:t>
      </w:r>
      <w:r w:rsidR="00335A6F">
        <w:rPr>
          <w:b/>
          <w:bCs/>
          <w:szCs w:val="20"/>
        </w:rPr>
        <w:t>ped</w:t>
      </w:r>
      <w:r w:rsidR="00B76C55" w:rsidRPr="00064EEE">
        <w:rPr>
          <w:b/>
          <w:szCs w:val="20"/>
        </w:rPr>
        <w:t xml:space="preserve"> wedge evaluation design</w:t>
      </w:r>
      <w:r w:rsidR="00884B8F">
        <w:rPr>
          <w:b/>
          <w:bCs/>
          <w:szCs w:val="20"/>
        </w:rPr>
        <w:t>.</w:t>
      </w:r>
      <w:r w:rsidR="006072E7" w:rsidRPr="00884B8F">
        <w:rPr>
          <w:rStyle w:val="FootnoteReference"/>
          <w:color w:val="408BCA"/>
          <w:sz w:val="18"/>
          <w:szCs w:val="20"/>
        </w:rPr>
        <w:footnoteReference w:id="159"/>
      </w:r>
      <w:r w:rsidR="00064EEE">
        <w:rPr>
          <w:b/>
          <w:bCs/>
          <w:szCs w:val="20"/>
        </w:rPr>
        <w:t xml:space="preserve"> </w:t>
      </w:r>
      <w:r w:rsidR="00B4684D" w:rsidRPr="00B4684D">
        <w:rPr>
          <w:szCs w:val="20"/>
        </w:rPr>
        <w:t>In a step</w:t>
      </w:r>
      <w:r w:rsidR="001D51AD">
        <w:rPr>
          <w:szCs w:val="20"/>
        </w:rPr>
        <w:t>ped</w:t>
      </w:r>
      <w:r w:rsidR="00B4684D" w:rsidRPr="00B4684D">
        <w:rPr>
          <w:szCs w:val="20"/>
        </w:rPr>
        <w:t xml:space="preserve"> wedge design</w:t>
      </w:r>
      <w:r w:rsidR="00B4684D">
        <w:rPr>
          <w:szCs w:val="20"/>
        </w:rPr>
        <w:t xml:space="preserve">, </w:t>
      </w:r>
      <w:r w:rsidR="00132CCD">
        <w:rPr>
          <w:szCs w:val="20"/>
        </w:rPr>
        <w:t>the unit randomised is a cluster</w:t>
      </w:r>
      <w:r w:rsidR="007C546C">
        <w:rPr>
          <w:szCs w:val="20"/>
        </w:rPr>
        <w:t xml:space="preserve"> (for example,</w:t>
      </w:r>
      <w:r w:rsidR="00132CCD">
        <w:rPr>
          <w:szCs w:val="20"/>
        </w:rPr>
        <w:t xml:space="preserve"> general practice</w:t>
      </w:r>
      <w:r w:rsidR="007C546C">
        <w:rPr>
          <w:szCs w:val="20"/>
        </w:rPr>
        <w:t>).</w:t>
      </w:r>
      <w:r w:rsidR="006D75FB">
        <w:rPr>
          <w:szCs w:val="20"/>
        </w:rPr>
        <w:t xml:space="preserve"> </w:t>
      </w:r>
      <w:r w:rsidR="009B0F52">
        <w:rPr>
          <w:szCs w:val="20"/>
        </w:rPr>
        <w:t xml:space="preserve">Eligibility for participation is determined first and then the clusters </w:t>
      </w:r>
      <w:r w:rsidR="00BD2F01">
        <w:rPr>
          <w:szCs w:val="20"/>
        </w:rPr>
        <w:t xml:space="preserve">(practices) </w:t>
      </w:r>
      <w:r w:rsidR="009B0F52">
        <w:rPr>
          <w:szCs w:val="20"/>
        </w:rPr>
        <w:t>ar</w:t>
      </w:r>
      <w:r w:rsidR="00C40947">
        <w:rPr>
          <w:szCs w:val="20"/>
        </w:rPr>
        <w:t xml:space="preserve">e randomised to </w:t>
      </w:r>
      <w:r w:rsidR="001472AC">
        <w:rPr>
          <w:szCs w:val="20"/>
        </w:rPr>
        <w:t xml:space="preserve">separate cohorts that </w:t>
      </w:r>
      <w:r w:rsidR="00B12773">
        <w:rPr>
          <w:szCs w:val="20"/>
        </w:rPr>
        <w:t>start</w:t>
      </w:r>
      <w:r w:rsidR="00C40947">
        <w:rPr>
          <w:szCs w:val="20"/>
        </w:rPr>
        <w:t xml:space="preserve"> implementation at different points in time. </w:t>
      </w:r>
      <w:r w:rsidR="00BD2F01">
        <w:rPr>
          <w:szCs w:val="20"/>
        </w:rPr>
        <w:t xml:space="preserve">Comparisons of outcomes are then made between </w:t>
      </w:r>
      <w:r w:rsidR="007D4779">
        <w:rPr>
          <w:szCs w:val="20"/>
        </w:rPr>
        <w:t xml:space="preserve">each of the cohorts of </w:t>
      </w:r>
      <w:r w:rsidR="001D51AD">
        <w:rPr>
          <w:szCs w:val="20"/>
        </w:rPr>
        <w:t xml:space="preserve">practices </w:t>
      </w:r>
      <w:r w:rsidR="007D4779">
        <w:rPr>
          <w:szCs w:val="20"/>
        </w:rPr>
        <w:t>and/</w:t>
      </w:r>
      <w:r w:rsidR="001D51AD">
        <w:rPr>
          <w:szCs w:val="20"/>
        </w:rPr>
        <w:t xml:space="preserve">or patients within </w:t>
      </w:r>
      <w:r w:rsidR="007D4779">
        <w:rPr>
          <w:szCs w:val="20"/>
        </w:rPr>
        <w:t>these</w:t>
      </w:r>
      <w:r w:rsidR="00C40947">
        <w:rPr>
          <w:szCs w:val="20"/>
        </w:rPr>
        <w:t xml:space="preserve"> </w:t>
      </w:r>
      <w:r w:rsidR="00862AC5">
        <w:rPr>
          <w:szCs w:val="20"/>
        </w:rPr>
        <w:t>practices.</w:t>
      </w:r>
      <w:r w:rsidR="00C40947" w:rsidRPr="00DB3B67">
        <w:rPr>
          <w:szCs w:val="20"/>
        </w:rPr>
        <w:t xml:space="preserve"> </w:t>
      </w:r>
      <w:r w:rsidR="00DB3B67" w:rsidRPr="00DB3B67">
        <w:rPr>
          <w:szCs w:val="20"/>
        </w:rPr>
        <w:t>This design</w:t>
      </w:r>
      <w:r w:rsidR="00C40947" w:rsidRPr="00DB3B67">
        <w:rPr>
          <w:szCs w:val="20"/>
        </w:rPr>
        <w:t xml:space="preserve"> </w:t>
      </w:r>
      <w:r w:rsidR="00DB3B67">
        <w:rPr>
          <w:szCs w:val="20"/>
        </w:rPr>
        <w:t>has several advantages</w:t>
      </w:r>
      <w:r w:rsidR="006268BF">
        <w:rPr>
          <w:szCs w:val="20"/>
        </w:rPr>
        <w:t xml:space="preserve"> –</w:t>
      </w:r>
      <w:r w:rsidR="00DB3B67">
        <w:rPr>
          <w:szCs w:val="20"/>
        </w:rPr>
        <w:t xml:space="preserve"> most importantly </w:t>
      </w:r>
      <w:r w:rsidR="00702DC5">
        <w:rPr>
          <w:szCs w:val="20"/>
        </w:rPr>
        <w:t>the use of random</w:t>
      </w:r>
      <w:r w:rsidR="00E95654">
        <w:rPr>
          <w:szCs w:val="20"/>
        </w:rPr>
        <w:t xml:space="preserve"> allocation</w:t>
      </w:r>
      <w:r w:rsidR="006268BF">
        <w:rPr>
          <w:szCs w:val="20"/>
        </w:rPr>
        <w:t xml:space="preserve"> to reduce bias –</w:t>
      </w:r>
      <w:r w:rsidR="00FA6395">
        <w:rPr>
          <w:szCs w:val="20"/>
        </w:rPr>
        <w:t xml:space="preserve"> and is practical </w:t>
      </w:r>
      <w:r w:rsidR="00B12773">
        <w:rPr>
          <w:szCs w:val="20"/>
        </w:rPr>
        <w:t>for</w:t>
      </w:r>
      <w:r w:rsidR="00FB7DBD">
        <w:rPr>
          <w:szCs w:val="20"/>
        </w:rPr>
        <w:t xml:space="preserve"> </w:t>
      </w:r>
      <w:r w:rsidR="00B12773">
        <w:rPr>
          <w:szCs w:val="20"/>
        </w:rPr>
        <w:t>system-</w:t>
      </w:r>
      <w:r w:rsidR="00FB7DBD">
        <w:rPr>
          <w:szCs w:val="20"/>
        </w:rPr>
        <w:t>wide implementation</w:t>
      </w:r>
      <w:r w:rsidR="00B12773">
        <w:rPr>
          <w:szCs w:val="20"/>
        </w:rPr>
        <w:t xml:space="preserve"> of programs or initiatives</w:t>
      </w:r>
      <w:r w:rsidR="00FB7DBD">
        <w:rPr>
          <w:szCs w:val="20"/>
        </w:rPr>
        <w:t>.</w:t>
      </w:r>
      <w:r w:rsidR="00FA6395">
        <w:rPr>
          <w:szCs w:val="20"/>
        </w:rPr>
        <w:t xml:space="preserve"> </w:t>
      </w:r>
    </w:p>
    <w:p w14:paraId="153EFA38" w14:textId="1B313294" w:rsidR="006B7573" w:rsidRPr="006B7573" w:rsidRDefault="006B7573" w:rsidP="00B76C55">
      <w:pPr>
        <w:pStyle w:val="ListParagraph"/>
        <w:ind w:left="1440"/>
        <w:rPr>
          <w:szCs w:val="20"/>
        </w:rPr>
      </w:pPr>
    </w:p>
    <w:p w14:paraId="37FB44AF" w14:textId="77777777" w:rsidR="00921A99" w:rsidRPr="00D0171B" w:rsidRDefault="00921A99" w:rsidP="00764DF1">
      <w:pPr>
        <w:rPr>
          <w:szCs w:val="20"/>
        </w:rPr>
      </w:pPr>
    </w:p>
    <w:p w14:paraId="093FE5F7" w14:textId="784A9974" w:rsidR="00D64F5E" w:rsidRDefault="002D2B7A" w:rsidP="00396541">
      <w:r>
        <w:br w:type="page"/>
      </w:r>
    </w:p>
    <w:p w14:paraId="31B27A77" w14:textId="77777777" w:rsidR="0020384B" w:rsidRDefault="0020384B" w:rsidP="0078347F">
      <w:pPr>
        <w:pStyle w:val="Heading1"/>
        <w:sectPr w:rsidR="0020384B">
          <w:pgSz w:w="11906" w:h="16838"/>
          <w:pgMar w:top="1440" w:right="1440" w:bottom="1440" w:left="1440" w:header="708" w:footer="708" w:gutter="0"/>
          <w:cols w:space="708"/>
          <w:docGrid w:linePitch="360"/>
        </w:sectPr>
      </w:pPr>
      <w:bookmarkStart w:id="530" w:name="_Toc77955414"/>
    </w:p>
    <w:p w14:paraId="4E8A984A" w14:textId="77777777" w:rsidR="00D227AA" w:rsidRDefault="00D227AA" w:rsidP="00D227AA">
      <w:pPr>
        <w:pStyle w:val="Heading1"/>
      </w:pPr>
      <w:bookmarkStart w:id="531" w:name="_Toc97907722"/>
      <w:bookmarkStart w:id="532" w:name="_Toc109996789"/>
      <w:r>
        <w:lastRenderedPageBreak/>
        <w:t>Attachment 1: Responses to evaluation questions</w:t>
      </w:r>
      <w:bookmarkEnd w:id="531"/>
      <w:bookmarkEnd w:id="532"/>
    </w:p>
    <w:p w14:paraId="36013024" w14:textId="77777777" w:rsidR="00D227AA" w:rsidRDefault="00D227AA" w:rsidP="00D227AA">
      <w:pPr>
        <w:pStyle w:val="Heading2"/>
      </w:pPr>
      <w:bookmarkStart w:id="533" w:name="_Toc97907723"/>
      <w:bookmarkStart w:id="534" w:name="_Toc109996790"/>
      <w:r w:rsidRPr="004D0201">
        <w:t>Key evaluation question 1: How was the HCH model implemented and what were the barriers and enablers?</w:t>
      </w:r>
      <w:bookmarkEnd w:id="533"/>
      <w:bookmarkEnd w:id="534"/>
    </w:p>
    <w:p w14:paraId="66A0A613" w14:textId="77777777" w:rsidR="00D227AA" w:rsidRDefault="00D227AA" w:rsidP="00D227AA">
      <w:pPr>
        <w:pStyle w:val="Heading3"/>
      </w:pPr>
      <w:r>
        <w:t>1.01 What program level activities were undertaken to assist implementation?</w:t>
      </w:r>
    </w:p>
    <w:p w14:paraId="3C100E4E" w14:textId="77777777" w:rsidR="00D227AA" w:rsidRDefault="00D227AA" w:rsidP="00D227AA">
      <w:r>
        <w:t>The Department developed and commissioned infrastructure and supports for the trial, which included:</w:t>
      </w:r>
    </w:p>
    <w:p w14:paraId="4F019349" w14:textId="1F15BFC9" w:rsidR="00D227AA" w:rsidRDefault="006C1DA2" w:rsidP="00BB7C8D">
      <w:pPr>
        <w:pStyle w:val="ListParagraph"/>
        <w:numPr>
          <w:ilvl w:val="0"/>
          <w:numId w:val="54"/>
        </w:numPr>
      </w:pPr>
      <w:r>
        <w:t>a</w:t>
      </w:r>
      <w:r w:rsidR="00D227AA">
        <w:t>n incentive grant for practices</w:t>
      </w:r>
    </w:p>
    <w:p w14:paraId="0A7C4644" w14:textId="77777777" w:rsidR="00D227AA" w:rsidRDefault="00D227AA" w:rsidP="00BB7C8D">
      <w:pPr>
        <w:pStyle w:val="ListParagraph"/>
        <w:numPr>
          <w:ilvl w:val="0"/>
          <w:numId w:val="54"/>
        </w:numPr>
      </w:pPr>
      <w:r>
        <w:t>a</w:t>
      </w:r>
      <w:r w:rsidRPr="00EE1C1C">
        <w:t xml:space="preserve"> system for registering enrolled patients within the Department of Human Services Health Professional Online Services (HPOS) system</w:t>
      </w:r>
    </w:p>
    <w:p w14:paraId="5CA06403" w14:textId="77777777" w:rsidR="00D227AA" w:rsidRDefault="00D227AA" w:rsidP="00BB7C8D">
      <w:pPr>
        <w:pStyle w:val="ListParagraph"/>
        <w:numPr>
          <w:ilvl w:val="0"/>
          <w:numId w:val="54"/>
        </w:numPr>
      </w:pPr>
      <w:r>
        <w:t>guidelines for practices and patients</w:t>
      </w:r>
    </w:p>
    <w:p w14:paraId="1029A19B" w14:textId="77777777" w:rsidR="00D227AA" w:rsidRDefault="00D227AA" w:rsidP="00BB7C8D">
      <w:pPr>
        <w:pStyle w:val="ListParagraph"/>
        <w:numPr>
          <w:ilvl w:val="0"/>
          <w:numId w:val="54"/>
        </w:numPr>
      </w:pPr>
      <w:r>
        <w:t>software for risk stratification to identify eligible patients for HCH and assign them to payment tiers reflecting the complexity and severity of their disease and associated health care needs</w:t>
      </w:r>
    </w:p>
    <w:p w14:paraId="28297AF8" w14:textId="206B4EC0" w:rsidR="00D227AA" w:rsidRDefault="00D227AA" w:rsidP="00BB7C8D">
      <w:pPr>
        <w:pStyle w:val="ListParagraph"/>
        <w:numPr>
          <w:ilvl w:val="0"/>
          <w:numId w:val="54"/>
        </w:numPr>
      </w:pPr>
      <w:r>
        <w:t>practice facilitation and support provided through PHNs</w:t>
      </w:r>
    </w:p>
    <w:p w14:paraId="5A5F56C1" w14:textId="4FB8CF3A" w:rsidR="00D227AA" w:rsidRDefault="00D227AA" w:rsidP="00BB7C8D">
      <w:pPr>
        <w:pStyle w:val="ListParagraph"/>
        <w:numPr>
          <w:ilvl w:val="0"/>
          <w:numId w:val="54"/>
        </w:numPr>
      </w:pPr>
      <w:r>
        <w:t>training for practices and practice facilitators based in the PHNs</w:t>
      </w:r>
    </w:p>
    <w:p w14:paraId="16902214" w14:textId="77777777" w:rsidR="00D227AA" w:rsidRDefault="00D227AA" w:rsidP="00BB7C8D">
      <w:pPr>
        <w:pStyle w:val="ListParagraph"/>
        <w:numPr>
          <w:ilvl w:val="0"/>
          <w:numId w:val="54"/>
        </w:numPr>
      </w:pPr>
      <w:r>
        <w:t>changed payment arrangements for HCH patients (the bundled payment) and facilities to support the changed payment mechanisms</w:t>
      </w:r>
    </w:p>
    <w:p w14:paraId="32780553" w14:textId="77777777" w:rsidR="00D227AA" w:rsidRDefault="00D227AA" w:rsidP="00BB7C8D">
      <w:pPr>
        <w:pStyle w:val="ListParagraph"/>
        <w:numPr>
          <w:ilvl w:val="0"/>
          <w:numId w:val="54"/>
        </w:numPr>
      </w:pPr>
      <w:r>
        <w:t>an audit and compliance system</w:t>
      </w:r>
    </w:p>
    <w:p w14:paraId="41711380" w14:textId="77777777" w:rsidR="00D227AA" w:rsidRDefault="00D227AA" w:rsidP="00BB7C8D">
      <w:pPr>
        <w:pStyle w:val="ListParagraph"/>
        <w:numPr>
          <w:ilvl w:val="0"/>
          <w:numId w:val="54"/>
        </w:numPr>
      </w:pPr>
      <w:r>
        <w:t>evaluation.</w:t>
      </w:r>
    </w:p>
    <w:p w14:paraId="2A05E0E1" w14:textId="77777777" w:rsidR="00D227AA" w:rsidRDefault="00D227AA" w:rsidP="00D227AA">
      <w:r>
        <w:t>Nationally, the trial was overseen by an Implementation Advisory Group (IAG). Five specialised working groups reporting to the IAG contributed to the development, design, modification and monitoring of the trial. The Department also met regularly with the 10 participating PHNs throughout the trial, and regional or state-based groups were established within the 10 PHN regions to oversee the trial within their regions.</w:t>
      </w:r>
    </w:p>
    <w:p w14:paraId="3E90E73D" w14:textId="4E6FC5C8" w:rsidR="00D227AA" w:rsidRDefault="00D227AA" w:rsidP="00D227AA">
      <w:r w:rsidRPr="00436C13">
        <w:t xml:space="preserve">In November 2019, the Department hosted a forum for practices participating in HCH and their PHNs. </w:t>
      </w:r>
      <w:r>
        <w:t>More than 200</w:t>
      </w:r>
      <w:r w:rsidRPr="00436C13">
        <w:t xml:space="preserve"> people attended, including representatives from 91 HCH practices participating at the time. It was the first time that the HCH community was brought together.</w:t>
      </w:r>
      <w:r>
        <w:t xml:space="preserve"> </w:t>
      </w:r>
      <w:r w:rsidRPr="005B2733">
        <w:t>The forum involved presentations from HCH practices and experts on specific topics, sessions for discussing the features of the HCH model and approaches to implementation, and opportunities for networking</w:t>
      </w:r>
      <w:r w:rsidR="00E20F4A">
        <w:t>.</w:t>
      </w:r>
    </w:p>
    <w:p w14:paraId="5803DE49" w14:textId="45BAF8A6" w:rsidR="00D227AA" w:rsidRDefault="00D227AA" w:rsidP="00D227AA">
      <w:r>
        <w:t xml:space="preserve">Attendees felt the forum created an opportunity for information sharing on a national scale and found </w:t>
      </w:r>
      <w:r w:rsidR="00E20F4A">
        <w:t>it</w:t>
      </w:r>
      <w:r>
        <w:t xml:space="preserve"> kindled or reignited enthusiasm for HCH, increased knowledge and awareness of opportunities within HCH, allowed sharing of approaches to implementation, created networks between practices, and strengthened relationships between GPs, other practice staff and PHN facilitators.</w:t>
      </w:r>
    </w:p>
    <w:p w14:paraId="2773692B" w14:textId="6AA0058B" w:rsidR="00D227AA" w:rsidRDefault="00D227AA" w:rsidP="00D227AA">
      <w:r>
        <w:lastRenderedPageBreak/>
        <w:t xml:space="preserve">Attendees believed a similar forum held soon following the </w:t>
      </w:r>
      <w:r w:rsidR="00E20F4A">
        <w:t>start</w:t>
      </w:r>
      <w:r>
        <w:t xml:space="preserve"> of </w:t>
      </w:r>
      <w:r w:rsidR="00E20F4A">
        <w:t xml:space="preserve">the </w:t>
      </w:r>
      <w:r>
        <w:t>HCH</w:t>
      </w:r>
      <w:r w:rsidR="00E20F4A">
        <w:t xml:space="preserve"> trial</w:t>
      </w:r>
      <w:r>
        <w:t xml:space="preserve"> would have mobilised additional enthusiasm, created stronger relationships between practices and facilitators and increased </w:t>
      </w:r>
      <w:r w:rsidR="006A70EE">
        <w:t xml:space="preserve">patient </w:t>
      </w:r>
      <w:r>
        <w:t>enrolment</w:t>
      </w:r>
      <w:r w:rsidR="006A70EE">
        <w:t>s</w:t>
      </w:r>
      <w:r>
        <w:t xml:space="preserve">. </w:t>
      </w:r>
    </w:p>
    <w:p w14:paraId="612D3819" w14:textId="0E9025EF" w:rsidR="00790BC1" w:rsidRDefault="00790BC1" w:rsidP="00D227AA">
      <w:r>
        <w:t xml:space="preserve">Implementation activities are </w:t>
      </w:r>
      <w:r w:rsidR="00B27E13">
        <w:t xml:space="preserve">described in more detail in </w:t>
      </w:r>
      <w:r w:rsidR="004C315B">
        <w:t>c</w:t>
      </w:r>
      <w:r w:rsidR="00C973B2">
        <w:t xml:space="preserve">hapters </w:t>
      </w:r>
      <w:r w:rsidR="00C44FDD">
        <w:fldChar w:fldCharType="begin"/>
      </w:r>
      <w:r w:rsidR="00C44FDD">
        <w:instrText xml:space="preserve"> REF _Ref103758821 \r \h </w:instrText>
      </w:r>
      <w:r w:rsidR="00C44FDD">
        <w:fldChar w:fldCharType="separate"/>
      </w:r>
      <w:r w:rsidR="003C4BC2">
        <w:t>4</w:t>
      </w:r>
      <w:r w:rsidR="00C44FDD">
        <w:fldChar w:fldCharType="end"/>
      </w:r>
      <w:r w:rsidR="004C315B">
        <w:t>–</w:t>
      </w:r>
      <w:r w:rsidR="005400B6">
        <w:fldChar w:fldCharType="begin"/>
      </w:r>
      <w:r w:rsidR="005400B6">
        <w:instrText xml:space="preserve"> REF _Ref98410338 \r \h </w:instrText>
      </w:r>
      <w:r w:rsidR="005400B6">
        <w:fldChar w:fldCharType="separate"/>
      </w:r>
      <w:r w:rsidR="003C4BC2">
        <w:t>8</w:t>
      </w:r>
      <w:r w:rsidR="005400B6">
        <w:fldChar w:fldCharType="end"/>
      </w:r>
      <w:r w:rsidR="0052047E">
        <w:t>.</w:t>
      </w:r>
    </w:p>
    <w:p w14:paraId="11965783" w14:textId="77777777" w:rsidR="00D227AA" w:rsidRDefault="00D227AA" w:rsidP="00D227AA">
      <w:pPr>
        <w:pStyle w:val="Heading3"/>
      </w:pPr>
      <w:r>
        <w:t>1.02 How were practices recruited to participate in the HCH program?</w:t>
      </w:r>
    </w:p>
    <w:p w14:paraId="4FA7FB9B" w14:textId="77777777" w:rsidR="00D227AA" w:rsidRDefault="00D227AA" w:rsidP="00D227AA">
      <w:r>
        <w:t xml:space="preserve">Ten PHN regions were selected from which practices would be drawn for the trial. The regions were chosen to maximise geographic and socio-economic diversity amongst the populations represented and leverage chronic disease programs operating in these regions. </w:t>
      </w:r>
    </w:p>
    <w:p w14:paraId="7A6C39EE" w14:textId="77777777" w:rsidR="00D227AA" w:rsidRDefault="00D227AA" w:rsidP="00D227AA">
      <w:r>
        <w:t>Initially practices were recruited through an expression of interest (EOI), and subsequently suggested by the PHNs. Practice recruitment started in 2016 and continued after the launch of the trial in October 2017, through to June 2018. It was necessary to continue to recruit practices after the trial started as some that were selected through the EOI process didn’t take up the offer, and some that were recruited withdrew once they got a better understanding of the requirements. This highlighted that practices needed more information before they applied, and potentially that PHNs could have been more closely involved in the initial recruitment to provide information to practices and advise on practices’ readiness.</w:t>
      </w:r>
    </w:p>
    <w:p w14:paraId="737BAC17" w14:textId="7370B636" w:rsidR="00CD778B" w:rsidRDefault="00CD778B" w:rsidP="00CD778B">
      <w:r>
        <w:t>Process</w:t>
      </w:r>
      <w:r w:rsidR="00120F17">
        <w:t>es</w:t>
      </w:r>
      <w:r>
        <w:t xml:space="preserve"> </w:t>
      </w:r>
      <w:r w:rsidR="00647A84">
        <w:t xml:space="preserve">for </w:t>
      </w:r>
      <w:r>
        <w:t xml:space="preserve">practice recruitment are described in more detail in Chapter </w:t>
      </w:r>
      <w:r>
        <w:fldChar w:fldCharType="begin"/>
      </w:r>
      <w:r>
        <w:instrText xml:space="preserve"> REF _Ref103758821 \r \h </w:instrText>
      </w:r>
      <w:r>
        <w:fldChar w:fldCharType="separate"/>
      </w:r>
      <w:r w:rsidR="003C4BC2">
        <w:t>4</w:t>
      </w:r>
      <w:r>
        <w:fldChar w:fldCharType="end"/>
      </w:r>
      <w:r w:rsidR="00143DAC">
        <w:t xml:space="preserve"> (p. </w:t>
      </w:r>
      <w:r w:rsidR="00647A84">
        <w:fldChar w:fldCharType="begin"/>
      </w:r>
      <w:r w:rsidR="00647A84">
        <w:instrText xml:space="preserve"> PAGEREF _Ref103760331 \h </w:instrText>
      </w:r>
      <w:r w:rsidR="00647A84">
        <w:fldChar w:fldCharType="separate"/>
      </w:r>
      <w:r w:rsidR="003C4BC2">
        <w:rPr>
          <w:noProof/>
        </w:rPr>
        <w:t>23</w:t>
      </w:r>
      <w:r w:rsidR="00647A84">
        <w:fldChar w:fldCharType="end"/>
      </w:r>
      <w:r w:rsidR="00647A84">
        <w:t>)</w:t>
      </w:r>
      <w:r>
        <w:t>.</w:t>
      </w:r>
    </w:p>
    <w:p w14:paraId="24F74A63" w14:textId="77777777" w:rsidR="00D227AA" w:rsidRDefault="00D227AA" w:rsidP="00D227AA">
      <w:pPr>
        <w:pStyle w:val="Heading3"/>
      </w:pPr>
      <w:r>
        <w:t>1.03 How was HCH training strategy implemented?</w:t>
      </w:r>
    </w:p>
    <w:p w14:paraId="3DED733C" w14:textId="77777777" w:rsidR="00D227AA" w:rsidRDefault="00D227AA" w:rsidP="00D227AA">
      <w:r w:rsidRPr="00D17E25">
        <w:t>The Department of Health commissioned online training modules to be developed for practices and PHNs. The modules were not widely accessed by practices, especially by GPs and nurses, where approximately 5% of the GPs and 9% of the nurses participating in the trial completed the foundational modules (1 to 5).</w:t>
      </w:r>
    </w:p>
    <w:p w14:paraId="596A9246" w14:textId="664A45F7" w:rsidR="00D227AA" w:rsidRDefault="00D227AA" w:rsidP="00D227AA">
      <w:r>
        <w:t xml:space="preserve">In keeping with the philosophy of the PCMH, all modules were deemed to be relevant to all roles within the practice (clinical and non-clinical). However, according to practices and PHNs, this was one of the shortcomings of the modules. Others </w:t>
      </w:r>
      <w:r w:rsidR="00AB1C1C">
        <w:t>were</w:t>
      </w:r>
      <w:r>
        <w:t xml:space="preserve"> length and thus time to complete, repetition,</w:t>
      </w:r>
      <w:r w:rsidR="003064B4">
        <w:t xml:space="preserve"> not suffi</w:t>
      </w:r>
      <w:r w:rsidR="007D67A8">
        <w:t>ci</w:t>
      </w:r>
      <w:r w:rsidR="003064B4">
        <w:t>ently practical</w:t>
      </w:r>
      <w:r>
        <w:t>, and pitched at “entry-level”.</w:t>
      </w:r>
    </w:p>
    <w:p w14:paraId="687A5A39" w14:textId="31BB871F" w:rsidR="00D227AA" w:rsidRDefault="00D227AA" w:rsidP="00D227AA">
      <w:r>
        <w:t xml:space="preserve">Nevertheless, individuals who completed the modules reported improved understanding or confidence in the topic area following completion and practices tended to rate the modules as “moderately effective” </w:t>
      </w:r>
      <w:r w:rsidR="003A44E6">
        <w:t>in</w:t>
      </w:r>
      <w:r w:rsidRPr="005F7FCD">
        <w:t xml:space="preserve"> preparing them for implementing HCH</w:t>
      </w:r>
      <w:r>
        <w:t xml:space="preserve">. </w:t>
      </w:r>
    </w:p>
    <w:p w14:paraId="38E431E5" w14:textId="3538398C" w:rsidR="00D227AA" w:rsidRDefault="00D227AA" w:rsidP="00D227AA">
      <w:r>
        <w:t>PHN practice facilitators initially participated in two train-the-trainer workshops in August and November 2017. They described difficult</w:t>
      </w:r>
      <w:r w:rsidR="00D31E56">
        <w:t>ies</w:t>
      </w:r>
      <w:r>
        <w:t xml:space="preserve"> providing support and training to practices at the same time as learning about HCH themselves. They felt they had little guidance or clear expectations of their role at the beginning of the rollout and limited time to develop and foster their understanding of the program </w:t>
      </w:r>
      <w:r w:rsidR="00AB1577">
        <w:t>before</w:t>
      </w:r>
      <w:r>
        <w:t xml:space="preserve"> training practice staff. PHN practice facilitators felt it also would have been beneficial to give practice staff the opportunity to attend training workshops with other HCHs in their PHN region, so they could share information and learn together as a group.</w:t>
      </w:r>
    </w:p>
    <w:p w14:paraId="255AFB54" w14:textId="5AA44291" w:rsidR="00D227AA" w:rsidRDefault="00D227AA" w:rsidP="00D227AA">
      <w:r>
        <w:lastRenderedPageBreak/>
        <w:t>Facilitator turnover was an ongoing issue that negatively impacted both PHNs and practices throughout the trial. The main enabler for PHN practice facilitators was collaboration and networking with other facilitators.</w:t>
      </w:r>
      <w:r w:rsidR="00A561EE">
        <w:t xml:space="preserve"> </w:t>
      </w:r>
    </w:p>
    <w:p w14:paraId="0E070CF4" w14:textId="56D77E89" w:rsidR="00647A84" w:rsidRDefault="00647A84" w:rsidP="00D227AA">
      <w:r>
        <w:t>More detail on the training strateg</w:t>
      </w:r>
      <w:r w:rsidR="00893B4C">
        <w:t xml:space="preserve">y is provided in </w:t>
      </w:r>
      <w:r>
        <w:t xml:space="preserve">Chapter </w:t>
      </w:r>
      <w:r>
        <w:fldChar w:fldCharType="begin"/>
      </w:r>
      <w:r>
        <w:instrText xml:space="preserve"> REF _Ref103758856 \r \h </w:instrText>
      </w:r>
      <w:r>
        <w:fldChar w:fldCharType="separate"/>
      </w:r>
      <w:r w:rsidR="003C4BC2">
        <w:t>5</w:t>
      </w:r>
      <w:r>
        <w:fldChar w:fldCharType="end"/>
      </w:r>
      <w:r w:rsidR="004C315B">
        <w:t xml:space="preserve"> (p. </w:t>
      </w:r>
      <w:r w:rsidR="004C315B">
        <w:fldChar w:fldCharType="begin"/>
      </w:r>
      <w:r w:rsidR="004C315B">
        <w:instrText xml:space="preserve"> PAGEREF _Ref103758856 \h </w:instrText>
      </w:r>
      <w:r w:rsidR="004C315B">
        <w:fldChar w:fldCharType="separate"/>
      </w:r>
      <w:r w:rsidR="003C4BC2">
        <w:rPr>
          <w:noProof/>
        </w:rPr>
        <w:t>32</w:t>
      </w:r>
      <w:r w:rsidR="004C315B">
        <w:fldChar w:fldCharType="end"/>
      </w:r>
      <w:r w:rsidR="004C315B">
        <w:t>)</w:t>
      </w:r>
      <w:r>
        <w:t>.</w:t>
      </w:r>
    </w:p>
    <w:p w14:paraId="2E6896E4" w14:textId="77777777" w:rsidR="00D227AA" w:rsidRDefault="00D227AA" w:rsidP="00D227AA">
      <w:pPr>
        <w:pStyle w:val="Heading3"/>
      </w:pPr>
      <w:r>
        <w:t>1.04 What infrastructure and processes were commissioned to support processes for risk stratification and patient enrolment?</w:t>
      </w:r>
    </w:p>
    <w:p w14:paraId="7D716657" w14:textId="0F1A21D7" w:rsidR="00D227AA" w:rsidRDefault="00D227AA" w:rsidP="00D227AA">
      <w:r>
        <w:t>The Department commissioned</w:t>
      </w:r>
      <w:r w:rsidR="00161B78">
        <w:t xml:space="preserve"> </w:t>
      </w:r>
      <w:r>
        <w:t>a risk stratification tool (RST) for practices to identify patients with high coordination and care team needs. The process involved two steps: a predictive risk model (PRM) to identify patients at high risk of hospitalisation in the next 12 months; and an assessment of clinical factors and factors impinging on self-management using the HARP tool. The HARP score was used to determine the tier of the patient for the purposes of the bundled payment.</w:t>
      </w:r>
    </w:p>
    <w:p w14:paraId="02701CAF" w14:textId="77777777" w:rsidR="00D227AA" w:rsidRDefault="00D227AA" w:rsidP="00D227AA">
      <w:r>
        <w:t>Most practices experienced challenges in installing the RST. Some of the practices that didn’t take up the initial offer to participate in the trial and some that withdrew soon after they joined identified problems with the software (compatibility with their other software and/or hardware or installing it), as reasons for not continuing with HCH.</w:t>
      </w:r>
    </w:p>
    <w:p w14:paraId="4088B544" w14:textId="46768E23" w:rsidR="00DA56A6" w:rsidRDefault="005E15D4" w:rsidP="00D227AA">
      <w:r w:rsidRPr="006D04EA">
        <w:t>While most</w:t>
      </w:r>
      <w:r w:rsidR="00D227AA">
        <w:t xml:space="preserve"> practices</w:t>
      </w:r>
      <w:r w:rsidRPr="006D04EA">
        <w:t xml:space="preserve"> reported that the patients </w:t>
      </w:r>
      <w:r w:rsidR="00D227AA">
        <w:t xml:space="preserve">identified </w:t>
      </w:r>
      <w:r w:rsidRPr="006D04EA">
        <w:t xml:space="preserve">by </w:t>
      </w:r>
      <w:r w:rsidR="0033623D">
        <w:t>the PRM</w:t>
      </w:r>
      <w:r w:rsidRPr="006D04EA">
        <w:t xml:space="preserve"> were suitable for enrolment, there were other</w:t>
      </w:r>
      <w:r w:rsidR="00D227AA">
        <w:t xml:space="preserve"> patients </w:t>
      </w:r>
      <w:r w:rsidR="000F5826">
        <w:t>who</w:t>
      </w:r>
      <w:r w:rsidR="00D227AA">
        <w:t xml:space="preserve"> </w:t>
      </w:r>
      <w:r w:rsidRPr="006D04EA">
        <w:t>were also suitable that the tool didn’t identify.</w:t>
      </w:r>
      <w:r w:rsidR="00D227AA">
        <w:t xml:space="preserve"> This raise</w:t>
      </w:r>
      <w:r w:rsidR="00042FEC">
        <w:t>s</w:t>
      </w:r>
      <w:r w:rsidR="00D227AA">
        <w:t xml:space="preserve"> whether risk of hospitalisation is the right measure for identifying patients for enhanced chronic disease management in primary care. </w:t>
      </w:r>
    </w:p>
    <w:p w14:paraId="22090978" w14:textId="35507A71" w:rsidR="00D227AA" w:rsidRDefault="003E64E9" w:rsidP="00D227AA">
      <w:r>
        <w:t xml:space="preserve">An </w:t>
      </w:r>
      <w:r w:rsidR="00D227AA">
        <w:t>issue</w:t>
      </w:r>
      <w:r w:rsidR="00042FEC">
        <w:t xml:space="preserve"> reported</w:t>
      </w:r>
      <w:r w:rsidR="00D227AA">
        <w:t xml:space="preserve"> with the HARP was that it scored all chronic diseases equally and didn’t consider their severity. Also, some chronic diseases were missing altogether (for example, cancer). Some of the questions in the HARP were also described as “vague” or “subjective”, and stakeholders thought that training and further guidance on interpreting the questions would be helpful. </w:t>
      </w:r>
    </w:p>
    <w:p w14:paraId="4FBCF44C" w14:textId="454898A9" w:rsidR="00D227AA" w:rsidRDefault="00D227AA" w:rsidP="00D227AA">
      <w:r>
        <w:t xml:space="preserve">Some practices completed a HARP for specific patients before they approached those patients to enrol. This was to determine whether the tier allocated would be financially viable for the practice. Almost one third of practices said that they didn’t enrol some patients flagged as potentially eligible by the RST because the payment level would be insufficient to cover the costs of their </w:t>
      </w:r>
      <w:r w:rsidR="00F572DB">
        <w:t>care needs</w:t>
      </w:r>
      <w:r>
        <w:t>.</w:t>
      </w:r>
    </w:p>
    <w:p w14:paraId="1EF4DED4" w14:textId="76486AB2" w:rsidR="00D227AA" w:rsidRDefault="00D227AA" w:rsidP="00D227AA">
      <w:r>
        <w:t xml:space="preserve">ACCHS felt that the </w:t>
      </w:r>
      <w:r w:rsidR="00D42E3C">
        <w:t>RST</w:t>
      </w:r>
      <w:r>
        <w:t xml:space="preserve"> was not suitable for their context as </w:t>
      </w:r>
      <w:r w:rsidR="00B702FC">
        <w:t xml:space="preserve">they perceived that </w:t>
      </w:r>
      <w:r>
        <w:t xml:space="preserve">it </w:t>
      </w:r>
      <w:r w:rsidR="00B702FC">
        <w:t>doesn’t</w:t>
      </w:r>
      <w:r>
        <w:t xml:space="preserve"> consider the cultural, social and geographic issues of their clients. They also faced many issues implementing the software</w:t>
      </w:r>
      <w:r w:rsidR="00021122">
        <w:t xml:space="preserve">, </w:t>
      </w:r>
      <w:r w:rsidR="007D67A8">
        <w:t>some</w:t>
      </w:r>
      <w:r w:rsidR="00021122">
        <w:t xml:space="preserve"> of which were not able to be </w:t>
      </w:r>
      <w:r w:rsidR="00B702FC">
        <w:t>resolved</w:t>
      </w:r>
      <w:r w:rsidR="00021122">
        <w:t xml:space="preserve"> </w:t>
      </w:r>
      <w:r w:rsidR="001D24CA">
        <w:t xml:space="preserve">before the end of </w:t>
      </w:r>
      <w:r w:rsidR="00B702FC">
        <w:t>the</w:t>
      </w:r>
      <w:r w:rsidR="001D24CA">
        <w:t xml:space="preserve"> </w:t>
      </w:r>
      <w:r w:rsidR="007B77AF">
        <w:t>enrolment period</w:t>
      </w:r>
      <w:r>
        <w:t>.</w:t>
      </w:r>
    </w:p>
    <w:p w14:paraId="33152EFA" w14:textId="300B2666" w:rsidR="00D227AA" w:rsidRDefault="00D227AA" w:rsidP="00D227AA">
      <w:r>
        <w:t>Some practices reported not re-stratifying patients as regularly as required by the program rules. Reasons were lack of time, limited face-to-face interactions with patients during the COVD-19 pandemic, few perceived changes in their patients’ conditions and a lack of motivation to do what they considered an administrative activity. When they re-stratified and patients went up a tier, this was usually attributed to a new diagnosis, the progression of a patient’s existing conditions or the natural ageing process. A small number of practices reported slight improvement</w:t>
      </w:r>
      <w:r w:rsidR="00280960">
        <w:t>s</w:t>
      </w:r>
      <w:r>
        <w:t xml:space="preserve"> in some of their HCH patients and had a few move to a </w:t>
      </w:r>
      <w:r w:rsidR="000C7AF1">
        <w:t xml:space="preserve">less </w:t>
      </w:r>
      <w:r w:rsidR="000C7AF1">
        <w:lastRenderedPageBreak/>
        <w:t>complex tier</w:t>
      </w:r>
      <w:r>
        <w:t xml:space="preserve">. However, the payment scheme did not provide an incentive for practices to move patients to a </w:t>
      </w:r>
      <w:r w:rsidR="000C7AF1">
        <w:t>less complex tier</w:t>
      </w:r>
      <w:r>
        <w:t xml:space="preserve"> and some described it as a disincentive because they would receive less funding for a patient that dropped </w:t>
      </w:r>
      <w:r w:rsidR="00F27F39">
        <w:t>a</w:t>
      </w:r>
      <w:r w:rsidR="000C7AF1">
        <w:t xml:space="preserve"> tier</w:t>
      </w:r>
      <w:r>
        <w:t>.</w:t>
      </w:r>
    </w:p>
    <w:p w14:paraId="34D830AC" w14:textId="555F01E1" w:rsidR="00D227AA" w:rsidRDefault="00D227AA" w:rsidP="00D227AA">
      <w:r w:rsidRPr="00E53F23">
        <w:t>The Department of Health funded the 10 PHNs involved with the trial to support practices through the HCH implementation</w:t>
      </w:r>
      <w:r>
        <w:t>, including enrolling patients</w:t>
      </w:r>
      <w:r w:rsidRPr="00E53F23">
        <w:t xml:space="preserve">. </w:t>
      </w:r>
      <w:r>
        <w:t>O</w:t>
      </w:r>
      <w:r w:rsidRPr="00E53F23">
        <w:t>ne</w:t>
      </w:r>
      <w:r>
        <w:t xml:space="preserve"> of three FTEs funded in each PHN was</w:t>
      </w:r>
      <w:r w:rsidRPr="00E53F23">
        <w:t xml:space="preserve"> to help </w:t>
      </w:r>
      <w:r>
        <w:t xml:space="preserve">practices </w:t>
      </w:r>
      <w:r w:rsidRPr="00E53F23">
        <w:t>with enrolling patients.</w:t>
      </w:r>
      <w:r w:rsidR="00B96B23">
        <w:t xml:space="preserve"> </w:t>
      </w:r>
      <w:r>
        <w:t xml:space="preserve">PHN practice facilitators offered practical support with this, such as </w:t>
      </w:r>
      <w:r w:rsidRPr="00C9431E">
        <w:t>such as using the RST</w:t>
      </w:r>
      <w:r>
        <w:t xml:space="preserve"> and</w:t>
      </w:r>
      <w:r w:rsidRPr="00C9431E">
        <w:t xml:space="preserve"> registering patients </w:t>
      </w:r>
      <w:r>
        <w:t xml:space="preserve">in </w:t>
      </w:r>
      <w:r w:rsidRPr="00C9431E">
        <w:t>HPOS</w:t>
      </w:r>
      <w:r>
        <w:t>. One PHN also organised an information seminar for patients for HCH practices within the region.</w:t>
      </w:r>
    </w:p>
    <w:p w14:paraId="555C4959" w14:textId="3EA5EF3C" w:rsidR="002E543F" w:rsidRDefault="00553776" w:rsidP="00D227AA">
      <w:r>
        <w:t xml:space="preserve">The implementation approach adopted for the RST is </w:t>
      </w:r>
      <w:r w:rsidR="002E543F">
        <w:t xml:space="preserve">described in more detail in Chapter </w:t>
      </w:r>
      <w:r w:rsidR="002E543F">
        <w:fldChar w:fldCharType="begin"/>
      </w:r>
      <w:r w:rsidR="002E543F">
        <w:instrText xml:space="preserve"> REF _Ref84157910 \r \h </w:instrText>
      </w:r>
      <w:r w:rsidR="002E543F">
        <w:fldChar w:fldCharType="separate"/>
      </w:r>
      <w:r w:rsidR="003C4BC2">
        <w:t>6</w:t>
      </w:r>
      <w:r w:rsidR="002E543F">
        <w:fldChar w:fldCharType="end"/>
      </w:r>
      <w:r w:rsidR="007D67A8">
        <w:t xml:space="preserve"> (p. </w:t>
      </w:r>
      <w:r w:rsidR="007D67A8">
        <w:fldChar w:fldCharType="begin"/>
      </w:r>
      <w:r w:rsidR="007D67A8">
        <w:instrText xml:space="preserve"> PAGEREF _Ref84157910 \h </w:instrText>
      </w:r>
      <w:r w:rsidR="007D67A8">
        <w:fldChar w:fldCharType="separate"/>
      </w:r>
      <w:r w:rsidR="003C4BC2">
        <w:rPr>
          <w:noProof/>
        </w:rPr>
        <w:t>39</w:t>
      </w:r>
      <w:r w:rsidR="007D67A8">
        <w:fldChar w:fldCharType="end"/>
      </w:r>
      <w:r w:rsidR="007D67A8">
        <w:t>)</w:t>
      </w:r>
      <w:r w:rsidR="002E543F">
        <w:t xml:space="preserve">, </w:t>
      </w:r>
      <w:r>
        <w:t xml:space="preserve">and </w:t>
      </w:r>
      <w:r w:rsidR="00C60403">
        <w:t xml:space="preserve">patient enrolment approach in </w:t>
      </w:r>
      <w:r w:rsidR="007D67A8">
        <w:t>Chapter</w:t>
      </w:r>
      <w:r w:rsidR="00C60403">
        <w:t xml:space="preserve"> </w:t>
      </w:r>
      <w:r w:rsidR="002E543F">
        <w:fldChar w:fldCharType="begin"/>
      </w:r>
      <w:r w:rsidR="002E543F">
        <w:instrText xml:space="preserve"> REF _Ref84158990 \r \h </w:instrText>
      </w:r>
      <w:r w:rsidR="002E543F">
        <w:fldChar w:fldCharType="separate"/>
      </w:r>
      <w:r w:rsidR="003C4BC2">
        <w:t>7</w:t>
      </w:r>
      <w:r w:rsidR="002E543F">
        <w:fldChar w:fldCharType="end"/>
      </w:r>
      <w:r w:rsidR="007D67A8">
        <w:t xml:space="preserve"> (p. </w:t>
      </w:r>
      <w:r w:rsidR="007D67A8">
        <w:fldChar w:fldCharType="begin"/>
      </w:r>
      <w:r w:rsidR="007D67A8">
        <w:instrText xml:space="preserve"> PAGEREF _Ref84158990 \h </w:instrText>
      </w:r>
      <w:r w:rsidR="007D67A8">
        <w:fldChar w:fldCharType="separate"/>
      </w:r>
      <w:r w:rsidR="003C4BC2">
        <w:rPr>
          <w:noProof/>
        </w:rPr>
        <w:t>52</w:t>
      </w:r>
      <w:r w:rsidR="007D67A8">
        <w:fldChar w:fldCharType="end"/>
      </w:r>
      <w:r w:rsidR="007D67A8">
        <w:t>)</w:t>
      </w:r>
      <w:r w:rsidR="002E543F">
        <w:t>.</w:t>
      </w:r>
    </w:p>
    <w:p w14:paraId="64CFFABE" w14:textId="77777777" w:rsidR="00D227AA" w:rsidRDefault="00D227AA" w:rsidP="00D227AA">
      <w:pPr>
        <w:pStyle w:val="Heading3"/>
      </w:pPr>
      <w:r>
        <w:t>1.05 How effective and efficient were the program's administrative processes, including for patient enrolment, claims management, monitoring program processes, and managing program compliance and integrity?</w:t>
      </w:r>
    </w:p>
    <w:p w14:paraId="19D33713" w14:textId="77777777" w:rsidR="00D227AA" w:rsidRDefault="00D227AA" w:rsidP="00D227AA">
      <w:r>
        <w:t>The Department of Health provided guidance to practices on the enrolment processes in the HCH handbook for practices and funded an FTE in each of the 10 participating PHNs to help practices with enrolment.</w:t>
      </w:r>
    </w:p>
    <w:p w14:paraId="56F48488" w14:textId="77777777" w:rsidR="00D227AA" w:rsidRDefault="00D227AA" w:rsidP="00D227AA">
      <w:r>
        <w:t>Practices reported that explaining the program, getting consent, assessing patients’ eligibility, and registering patients on multiple platforms were time-consuming:</w:t>
      </w:r>
    </w:p>
    <w:p w14:paraId="7D8D2AD2" w14:textId="77777777" w:rsidR="00D227AA" w:rsidRDefault="00D227AA" w:rsidP="00D227AA">
      <w:pPr>
        <w:ind w:left="567" w:right="521"/>
        <w:rPr>
          <w:i/>
          <w:iCs/>
        </w:rPr>
      </w:pPr>
      <w:r>
        <w:rPr>
          <w:i/>
          <w:iCs/>
        </w:rPr>
        <w:t xml:space="preserve">“There's a lot of things though, and you must know the extra amount of work that we've done. We had about seven tick boxes to just change one patient here in our system anyway because we had flagged them in Medical Director, </w:t>
      </w:r>
      <w:proofErr w:type="spellStart"/>
      <w:r>
        <w:rPr>
          <w:i/>
          <w:iCs/>
        </w:rPr>
        <w:t>PracSoft</w:t>
      </w:r>
      <w:proofErr w:type="spellEnd"/>
      <w:r>
        <w:rPr>
          <w:i/>
          <w:iCs/>
        </w:rPr>
        <w:t xml:space="preserve">, HPA [evaluation activities], </w:t>
      </w:r>
      <w:proofErr w:type="spellStart"/>
      <w:r>
        <w:rPr>
          <w:i/>
          <w:iCs/>
        </w:rPr>
        <w:t>PRoDA</w:t>
      </w:r>
      <w:proofErr w:type="spellEnd"/>
      <w:r>
        <w:rPr>
          <w:i/>
          <w:iCs/>
        </w:rPr>
        <w:t xml:space="preserve">, that spreadsheet, the top bar. You have to change everything and it's all time and then that takes away from the amount of care planning you do.” </w:t>
      </w:r>
      <w:r>
        <w:t>[Nurse, Practice 4, interview, R5]</w:t>
      </w:r>
    </w:p>
    <w:p w14:paraId="2BB0BD31" w14:textId="77777777" w:rsidR="00D227AA" w:rsidRDefault="00D227AA" w:rsidP="00D227AA">
      <w:r>
        <w:t xml:space="preserve">Practices recommended that these processes be better streamlined for similar programs in the future, especially the IT components. </w:t>
      </w:r>
    </w:p>
    <w:p w14:paraId="3656C0DE" w14:textId="77777777" w:rsidR="00D227AA" w:rsidRDefault="00D227AA" w:rsidP="00D227AA">
      <w:r>
        <w:t>Many practices reported “teething issues” with IT, which were largely resolved as the trial progressed. However, IT issues persisted for many practices in rural and remote locations.</w:t>
      </w:r>
    </w:p>
    <w:p w14:paraId="3931C3BD" w14:textId="74A6DC60" w:rsidR="00D227AA" w:rsidRDefault="00D227AA" w:rsidP="00D227AA">
      <w:r>
        <w:t xml:space="preserve">Implementing the bundled payment also took up a large amount of practices’ time </w:t>
      </w:r>
      <w:r w:rsidR="00D31E68">
        <w:t>in</w:t>
      </w:r>
      <w:r>
        <w:t xml:space="preserve"> the initial stages of the trial, working out how to distribute the payment amongst staff and what services were in the bundle versus what could be charged separately. Managing two systems of charging in the same practice was also an issue for many practices, especially where they had relatively few patients enrolled in HCH.</w:t>
      </w:r>
    </w:p>
    <w:p w14:paraId="452F0140" w14:textId="0CBA6FC8" w:rsidR="00D227AA" w:rsidRDefault="00D227AA" w:rsidP="00D227AA">
      <w:r>
        <w:t xml:space="preserve">Individual staff members interviewed for the evaluation reported that their job satisfaction was initially negatively impacted by the administrative burden associated with </w:t>
      </w:r>
      <w:r w:rsidR="00670606">
        <w:t xml:space="preserve">setting up for </w:t>
      </w:r>
      <w:r>
        <w:t xml:space="preserve">the trial. While this resolved for most, some reported ongoing struggles with the workload created by </w:t>
      </w:r>
      <w:r w:rsidR="00C4378F">
        <w:t xml:space="preserve">the </w:t>
      </w:r>
      <w:r>
        <w:t>administrative aspects of the trial in addition to creating care plans and other ongoing clinical tasks.</w:t>
      </w:r>
    </w:p>
    <w:p w14:paraId="608E3769" w14:textId="6D37B688" w:rsidR="00F216E4" w:rsidRDefault="00F216E4" w:rsidP="00D227AA">
      <w:r>
        <w:lastRenderedPageBreak/>
        <w:t>Program administrative processes are described in various parts of the report</w:t>
      </w:r>
      <w:r w:rsidR="004C315B">
        <w:t>,</w:t>
      </w:r>
      <w:r>
        <w:t xml:space="preserve"> in </w:t>
      </w:r>
      <w:r w:rsidR="007D67A8">
        <w:t>particular</w:t>
      </w:r>
      <w:r>
        <w:t xml:space="preserve"> </w:t>
      </w:r>
      <w:r w:rsidR="004C315B">
        <w:t>c</w:t>
      </w:r>
      <w:r>
        <w:t xml:space="preserve">hapters </w:t>
      </w:r>
      <w:r w:rsidR="004C315B">
        <w:t>4–</w:t>
      </w:r>
      <w:r>
        <w:fldChar w:fldCharType="begin"/>
      </w:r>
      <w:r>
        <w:instrText xml:space="preserve"> REF _Ref98410338 \r \h </w:instrText>
      </w:r>
      <w:r>
        <w:fldChar w:fldCharType="separate"/>
      </w:r>
      <w:r w:rsidR="003C4BC2">
        <w:t>8</w:t>
      </w:r>
      <w:r>
        <w:fldChar w:fldCharType="end"/>
      </w:r>
      <w:r>
        <w:t xml:space="preserve">, and practice experience with these in Chapter </w:t>
      </w:r>
      <w:r>
        <w:fldChar w:fldCharType="begin"/>
      </w:r>
      <w:r>
        <w:instrText xml:space="preserve"> REF _Ref103761803 \r \h </w:instrText>
      </w:r>
      <w:r>
        <w:fldChar w:fldCharType="separate"/>
      </w:r>
      <w:r w:rsidR="003C4BC2">
        <w:t>9</w:t>
      </w:r>
      <w:r>
        <w:fldChar w:fldCharType="end"/>
      </w:r>
      <w:r>
        <w:t xml:space="preserve">. </w:t>
      </w:r>
    </w:p>
    <w:p w14:paraId="374FDB0D" w14:textId="77777777" w:rsidR="00D227AA" w:rsidRDefault="00D227AA" w:rsidP="00D227AA">
      <w:pPr>
        <w:pStyle w:val="Heading3"/>
      </w:pPr>
      <w:r>
        <w:t>1.06 What roles did PHNs play in the HCH implementation?</w:t>
      </w:r>
    </w:p>
    <w:p w14:paraId="5BCDBD77" w14:textId="77777777" w:rsidR="003164CA" w:rsidRDefault="00D227AA" w:rsidP="00BA162D">
      <w:r>
        <w:t xml:space="preserve">The Department managed the selection of practices as a grant program, with selection committees involving its national and state and territory offices. PHNs were not directly involved in selection but were asked to comment on practices the Department was considering </w:t>
      </w:r>
      <w:r w:rsidR="00BA162D">
        <w:t>selecting</w:t>
      </w:r>
      <w:r>
        <w:t xml:space="preserve">. </w:t>
      </w:r>
    </w:p>
    <w:p w14:paraId="47D0ACFB" w14:textId="752B3C29" w:rsidR="00BA162D" w:rsidRDefault="00E76677" w:rsidP="00BA162D">
      <w:r>
        <w:t>PHNs</w:t>
      </w:r>
      <w:r w:rsidR="00950D3D">
        <w:t xml:space="preserve"> thought</w:t>
      </w:r>
      <w:r>
        <w:t xml:space="preserve"> </w:t>
      </w:r>
      <w:r w:rsidR="00BA162D">
        <w:t xml:space="preserve">that they should have been more closely involved, as they have a better understanding of the readiness of their local practices to participate in initiatives such as HCH. They also thought that by being involved earlier, they could have more effectively engaged with </w:t>
      </w:r>
      <w:r w:rsidR="003164CA">
        <w:t xml:space="preserve">their </w:t>
      </w:r>
      <w:r w:rsidR="00BA162D">
        <w:t>practices before the start of the trial and helped them to tailor the model to local needs.</w:t>
      </w:r>
    </w:p>
    <w:p w14:paraId="0D9363A8" w14:textId="6DBC6397" w:rsidR="00D227AA" w:rsidRDefault="00D227AA" w:rsidP="00D227AA">
      <w:r>
        <w:t>Others thought that if PHNs were involved, they might have selected a less representative set of practices</w:t>
      </w:r>
      <w:r w:rsidR="00950D3D">
        <w:t xml:space="preserve"> for the trial</w:t>
      </w:r>
      <w:r>
        <w:t xml:space="preserve">, most likely </w:t>
      </w:r>
      <w:r w:rsidR="00FF3AA6">
        <w:t>ones</w:t>
      </w:r>
      <w:r>
        <w:t xml:space="preserve"> they thought were ready or capable of the changes required. Having practices at all capability levels meant that the </w:t>
      </w:r>
      <w:r w:rsidR="00FF3AA6">
        <w:t>trial would</w:t>
      </w:r>
      <w:r>
        <w:t xml:space="preserve"> better resemble the experiences of practices in a wider rollout of the model. Also, through facilitating practices that weren’t as mature, PHNs gained insight</w:t>
      </w:r>
      <w:r w:rsidR="00FF3AA6">
        <w:t>s</w:t>
      </w:r>
      <w:r>
        <w:t xml:space="preserve"> into their own capabilities of working with these practices.</w:t>
      </w:r>
    </w:p>
    <w:p w14:paraId="6A62E704" w14:textId="77777777" w:rsidR="00D227AA" w:rsidRDefault="00D227AA" w:rsidP="00D227AA">
      <w:r>
        <w:t>PHNs felt there wasn’t enough information given to practices about the trial before they applied. Some ran information sessions themselves for practices within their region. They suggested that they could have helped more with disseminating information about the trial and the model if involved earlier.</w:t>
      </w:r>
    </w:p>
    <w:p w14:paraId="6F456D20" w14:textId="59D3D29F" w:rsidR="00D227AA" w:rsidRDefault="00D227AA" w:rsidP="00D227AA">
      <w:r>
        <w:t>As implementation progressed, a key role for PHNs was supporting practices in their transformation and in enrolling patients through the practice facilitator role. At the beginning of the trial, PHN practice facilitators felt that they had little guidance or clear expectations of this role.</w:t>
      </w:r>
      <w:r w:rsidR="00A561EE">
        <w:t xml:space="preserve"> </w:t>
      </w:r>
      <w:r>
        <w:t xml:space="preserve">They thought that the train-the-trainer workshop that was run before the program launch (August 2017) could have been used to better define the role. As time went on, they developed their own understanding of the role. By the second round of interviews (about a year after the first set of practices started enrolling patients), they thought that they were in a better position to support practices. One of the issues that </w:t>
      </w:r>
      <w:r w:rsidR="003D39FE">
        <w:t>hindered</w:t>
      </w:r>
      <w:r>
        <w:t xml:space="preserve"> the advancement of the role was turnover of facilitators. New facilitators had to re-establish relationships with practices and rebuild trust, in addition to developing their knowledge of HCH and their skills in supporting practices.</w:t>
      </w:r>
    </w:p>
    <w:p w14:paraId="55785B4F" w14:textId="6D4C1EB0" w:rsidR="00D227AA" w:rsidRDefault="00D227AA" w:rsidP="00D227AA">
      <w:r>
        <w:t>A major challenge that practice facilitators faced in their role was getting access to key staff in practices, particularly GPs. Strategies that they used to get around this were being flexible with their time (for example, offering early morning or lunchtime sessions), and establishing expectations around the requirements and frequency of practice</w:t>
      </w:r>
      <w:r w:rsidR="00AB4C3F">
        <w:t>–</w:t>
      </w:r>
      <w:r>
        <w:t>PHN engagement. Facilitators felt that they had little time to engage effectively and establish strong relationships with practices from when they signed their agreements to when HCH was launched.</w:t>
      </w:r>
    </w:p>
    <w:p w14:paraId="0553DB1E" w14:textId="1731244E" w:rsidR="00576AA4" w:rsidRDefault="00D227AA" w:rsidP="00D227AA">
      <w:r>
        <w:lastRenderedPageBreak/>
        <w:t>Practice facilitators reflected that their role as it was designed for the trial was intensive, and potentially not feasible for a nation-wide rollout</w:t>
      </w:r>
      <w:r w:rsidR="00AB4C3F">
        <w:t xml:space="preserve"> of a similar program</w:t>
      </w:r>
      <w:r>
        <w:t xml:space="preserve">. They commented that in the future, the role should evolve to be more about coaching; the ultimate goal is </w:t>
      </w:r>
      <w:r w:rsidR="00B20A0E">
        <w:t>for</w:t>
      </w:r>
      <w:r>
        <w:t xml:space="preserve"> practices </w:t>
      </w:r>
      <w:r w:rsidR="00B20A0E">
        <w:t>to</w:t>
      </w:r>
      <w:r>
        <w:t xml:space="preserve"> drive change and facilitators to guide them through it.</w:t>
      </w:r>
    </w:p>
    <w:p w14:paraId="36679B36" w14:textId="305962D9" w:rsidR="003B5B34" w:rsidRDefault="003B5B34" w:rsidP="003B5B34">
      <w:r>
        <w:t xml:space="preserve">PHN roles in the </w:t>
      </w:r>
      <w:r w:rsidR="00B20A0E">
        <w:t>trial</w:t>
      </w:r>
      <w:r>
        <w:t xml:space="preserve"> are described in various parts of the report</w:t>
      </w:r>
      <w:r w:rsidR="004C315B">
        <w:t>,</w:t>
      </w:r>
      <w:r>
        <w:t xml:space="preserve"> in </w:t>
      </w:r>
      <w:r w:rsidR="007D67A8">
        <w:t>particular</w:t>
      </w:r>
      <w:r>
        <w:t xml:space="preserve"> </w:t>
      </w:r>
      <w:r w:rsidR="004C315B">
        <w:t>c</w:t>
      </w:r>
      <w:r>
        <w:t xml:space="preserve">hapters </w:t>
      </w:r>
      <w:r w:rsidR="004C315B">
        <w:t>4–</w:t>
      </w:r>
      <w:r>
        <w:fldChar w:fldCharType="begin"/>
      </w:r>
      <w:r>
        <w:instrText xml:space="preserve"> REF _Ref98410338 \r \h </w:instrText>
      </w:r>
      <w:r>
        <w:fldChar w:fldCharType="separate"/>
      </w:r>
      <w:r w:rsidR="003C4BC2">
        <w:t>8</w:t>
      </w:r>
      <w:r>
        <w:fldChar w:fldCharType="end"/>
      </w:r>
      <w:r>
        <w:t xml:space="preserve">, and practice </w:t>
      </w:r>
      <w:r w:rsidR="003F269F">
        <w:t xml:space="preserve">assessment of support provided </w:t>
      </w:r>
      <w:r>
        <w:t xml:space="preserve">in </w:t>
      </w:r>
      <w:r w:rsidR="004C315B">
        <w:t>c</w:t>
      </w:r>
      <w:r>
        <w:t>hapter</w:t>
      </w:r>
      <w:r w:rsidR="006279C6">
        <w:t>s</w:t>
      </w:r>
      <w:r>
        <w:t xml:space="preserve"> </w:t>
      </w:r>
      <w:r>
        <w:fldChar w:fldCharType="begin"/>
      </w:r>
      <w:r>
        <w:instrText xml:space="preserve"> REF _Ref103761803 \r \h </w:instrText>
      </w:r>
      <w:r>
        <w:fldChar w:fldCharType="separate"/>
      </w:r>
      <w:r w:rsidR="003C4BC2">
        <w:t>9</w:t>
      </w:r>
      <w:r>
        <w:fldChar w:fldCharType="end"/>
      </w:r>
      <w:r w:rsidR="006279C6">
        <w:t xml:space="preserve"> and </w:t>
      </w:r>
      <w:r w:rsidR="00D0616F">
        <w:fldChar w:fldCharType="begin"/>
      </w:r>
      <w:r w:rsidR="00D0616F">
        <w:instrText xml:space="preserve"> REF _Ref103761982 \r \h </w:instrText>
      </w:r>
      <w:r w:rsidR="00D0616F">
        <w:fldChar w:fldCharType="separate"/>
      </w:r>
      <w:r w:rsidR="003C4BC2">
        <w:t>10</w:t>
      </w:r>
      <w:r w:rsidR="00D0616F">
        <w:fldChar w:fldCharType="end"/>
      </w:r>
      <w:r>
        <w:t xml:space="preserve">. </w:t>
      </w:r>
    </w:p>
    <w:p w14:paraId="49755C6D" w14:textId="77777777" w:rsidR="003B5B34" w:rsidRDefault="003B5B34" w:rsidP="00D227AA"/>
    <w:p w14:paraId="37A95AC2" w14:textId="77777777" w:rsidR="00576AA4" w:rsidRDefault="00576AA4">
      <w:pPr>
        <w:spacing w:after="160" w:line="259" w:lineRule="auto"/>
      </w:pPr>
      <w:r>
        <w:br w:type="page"/>
      </w:r>
    </w:p>
    <w:p w14:paraId="7D09B336" w14:textId="77777777" w:rsidR="00D227AA" w:rsidRDefault="00D227AA" w:rsidP="00D227AA">
      <w:pPr>
        <w:pStyle w:val="Heading2"/>
      </w:pPr>
      <w:bookmarkStart w:id="535" w:name="_Toc97907724"/>
      <w:bookmarkStart w:id="536" w:name="_Toc109996791"/>
      <w:r w:rsidRPr="00B30668">
        <w:lastRenderedPageBreak/>
        <w:t>Key evaluation question 2: How does the HCH model change the way practices approach chronic disease management?</w:t>
      </w:r>
      <w:bookmarkEnd w:id="535"/>
      <w:bookmarkEnd w:id="536"/>
    </w:p>
    <w:p w14:paraId="782D09FD" w14:textId="77777777" w:rsidR="00D227AA" w:rsidRDefault="00D227AA" w:rsidP="00D227AA">
      <w:pPr>
        <w:pStyle w:val="Heading3"/>
      </w:pPr>
      <w:r>
        <w:t>2.01 What did practices do to implement HCH</w:t>
      </w:r>
      <w:r w:rsidRPr="003E0BAC">
        <w:t>, including changes to policies, procedures, systems, administrative processes, changes to manage payment for HCH patients, processes for risk stratification, and patient enrolment</w:t>
      </w:r>
      <w:r>
        <w:t>?</w:t>
      </w:r>
    </w:p>
    <w:p w14:paraId="72E513FC" w14:textId="439265ED" w:rsidR="00D227AA" w:rsidRDefault="00D227AA" w:rsidP="00D227AA">
      <w:r w:rsidRPr="000009FB">
        <w:t xml:space="preserve">Preparation for HCH was complex. It involved new technology, new administrative processes, and new ways of working with patients, as a team internally and with other health care providers outside the practice. Practices needed to develop strategies to explain the benefits of HCH to patients to recruit them to the </w:t>
      </w:r>
      <w:r>
        <w:t>trial</w:t>
      </w:r>
      <w:r w:rsidRPr="000009FB">
        <w:t>. They also needed to transform their processes for chronic disease management, care planning and the sharing of plans</w:t>
      </w:r>
      <w:r w:rsidR="008838CA">
        <w:t>,</w:t>
      </w:r>
      <w:r w:rsidRPr="000009FB">
        <w:t xml:space="preserve"> and define new roles for staff.</w:t>
      </w:r>
    </w:p>
    <w:p w14:paraId="593CAC19" w14:textId="0BC8661C" w:rsidR="00D227AA" w:rsidRDefault="00D227AA" w:rsidP="00D227AA">
      <w:r>
        <w:t>Practices had very little time to establish themselves as a HCH before patient enrolment opened</w:t>
      </w:r>
      <w:r w:rsidR="00303266">
        <w:t>. They</w:t>
      </w:r>
      <w:r w:rsidRPr="00FA324C">
        <w:t xml:space="preserve"> reported that the focus on enrolment in the early phase of HCH competed with transformation</w:t>
      </w:r>
      <w:r w:rsidR="0043627E">
        <w:t xml:space="preserve">. </w:t>
      </w:r>
      <w:r w:rsidR="00303266">
        <w:t>In most practices t</w:t>
      </w:r>
      <w:r w:rsidRPr="00FA324C">
        <w:t xml:space="preserve">ransformation </w:t>
      </w:r>
      <w:r w:rsidR="0043627E">
        <w:t xml:space="preserve">did </w:t>
      </w:r>
      <w:r w:rsidRPr="00FA324C">
        <w:t xml:space="preserve">not begin in earnest until enrolments </w:t>
      </w:r>
      <w:r w:rsidR="00303266">
        <w:t>were</w:t>
      </w:r>
      <w:r w:rsidRPr="00FA324C">
        <w:t xml:space="preserve"> completed.</w:t>
      </w:r>
    </w:p>
    <w:p w14:paraId="07A3172C" w14:textId="4C9DFE68" w:rsidR="00D227AA" w:rsidRDefault="00B15DE9" w:rsidP="00D227AA">
      <w:r>
        <w:t>P</w:t>
      </w:r>
      <w:r w:rsidR="00D227AA">
        <w:t xml:space="preserve">ractices took time to convince their GPs that </w:t>
      </w:r>
      <w:r>
        <w:t xml:space="preserve">the bundled payment </w:t>
      </w:r>
      <w:r w:rsidR="00D227AA">
        <w:t xml:space="preserve">would </w:t>
      </w:r>
      <w:r>
        <w:t xml:space="preserve">be </w:t>
      </w:r>
      <w:r w:rsidR="00AB1C1C">
        <w:t>workable and</w:t>
      </w:r>
      <w:r w:rsidR="00C32B5A">
        <w:t xml:space="preserve"> had to work through </w:t>
      </w:r>
      <w:r w:rsidR="00EC61C9">
        <w:t>revenue sharing arrangements</w:t>
      </w:r>
      <w:r w:rsidR="0024391F">
        <w:t xml:space="preserve">. These issues had to be addressed </w:t>
      </w:r>
      <w:r w:rsidR="00D227AA">
        <w:t xml:space="preserve">before </w:t>
      </w:r>
      <w:r w:rsidR="0024391F">
        <w:t xml:space="preserve">work </w:t>
      </w:r>
      <w:r w:rsidR="00303266">
        <w:t>started</w:t>
      </w:r>
      <w:r w:rsidR="0024391F">
        <w:t xml:space="preserve"> on </w:t>
      </w:r>
      <w:r w:rsidR="00D227AA">
        <w:t>changes to their model of care.</w:t>
      </w:r>
    </w:p>
    <w:p w14:paraId="16BCAF87" w14:textId="18D754F7" w:rsidR="00D227AA" w:rsidRDefault="00D227AA" w:rsidP="00D227AA">
      <w:r>
        <w:t xml:space="preserve">Practices were often unaware of or surprised about the level of training, set up, change management and staff engagement needed to implement HCH. Practices needed to better understand what it meant to be </w:t>
      </w:r>
      <w:r w:rsidR="00DB1BD7">
        <w:t>a HCH</w:t>
      </w:r>
      <w:r>
        <w:t>.</w:t>
      </w:r>
    </w:p>
    <w:p w14:paraId="5FA69EE4" w14:textId="5C34EB82" w:rsidR="00D227AA" w:rsidRDefault="00D227AA" w:rsidP="00D227AA">
      <w:r>
        <w:t>Another factor delaying progress was practices not knowing how to proceed. PHN practice facilitators felt that the HCH model of care had not been sufficiently defined. It was recognised that this may have been deliberate on the Department’s part</w:t>
      </w:r>
      <w:r w:rsidR="009738BB">
        <w:t xml:space="preserve"> – </w:t>
      </w:r>
      <w:r>
        <w:t>to encourage local adaptation and innovation</w:t>
      </w:r>
      <w:r w:rsidR="009738BB">
        <w:t xml:space="preserve"> – </w:t>
      </w:r>
      <w:r>
        <w:t xml:space="preserve">however, some practices just didn’t know what to do. </w:t>
      </w:r>
    </w:p>
    <w:p w14:paraId="162A6A4C" w14:textId="269DA1BE" w:rsidR="00D227AA" w:rsidRDefault="00D227AA" w:rsidP="00D227AA">
      <w:r>
        <w:t>PHNs felt that sometimes practices didn’t appreciate the extent of change that HCH required. They commented that some practices thought that the introduction of a bundled payment was the total sum of the change required</w:t>
      </w:r>
      <w:r w:rsidR="00103E1D">
        <w:t xml:space="preserve"> </w:t>
      </w:r>
      <w:r>
        <w:t>or could not see how HCH was different from meeting quality standards for accreditation.</w:t>
      </w:r>
      <w:r w:rsidR="00103E1D">
        <w:t xml:space="preserve"> W</w:t>
      </w:r>
      <w:r w:rsidR="004C6577">
        <w:t xml:space="preserve">here practices claimed that they were already operating as a HCH </w:t>
      </w:r>
      <w:r w:rsidR="00E166CF">
        <w:t>when</w:t>
      </w:r>
      <w:r w:rsidR="0010647E">
        <w:t xml:space="preserve"> joining the trial, </w:t>
      </w:r>
      <w:r w:rsidR="008C693A" w:rsidRPr="008C693A">
        <w:t>PHN practice facilitators observed that many of these practices had a limited understanding of the model and disagreed that their models aligned with the HCH principles</w:t>
      </w:r>
      <w:r w:rsidR="0010647E" w:rsidRPr="0010647E">
        <w:t>.</w:t>
      </w:r>
    </w:p>
    <w:p w14:paraId="743C9470" w14:textId="44B19F0D" w:rsidR="00D227AA" w:rsidRDefault="00D227AA" w:rsidP="00D227AA">
      <w:r>
        <w:t>PHN practice facilitators thought that practices should have been required to participate in a HCH readiness program before enrolling patients</w:t>
      </w:r>
      <w:r w:rsidR="0034074B">
        <w:t>,</w:t>
      </w:r>
      <w:r>
        <w:t xml:space="preserve"> or </w:t>
      </w:r>
      <w:r w:rsidR="0034074B">
        <w:t xml:space="preserve">there should have </w:t>
      </w:r>
      <w:r w:rsidR="00472EDE">
        <w:t>been</w:t>
      </w:r>
      <w:r>
        <w:t xml:space="preserve"> </w:t>
      </w:r>
      <w:r w:rsidR="00B9494F">
        <w:t>“</w:t>
      </w:r>
      <w:r>
        <w:t>ground rules</w:t>
      </w:r>
      <w:r w:rsidR="00B9494F">
        <w:t>”</w:t>
      </w:r>
      <w:r>
        <w:t xml:space="preserve"> or </w:t>
      </w:r>
      <w:r w:rsidR="00B9494F">
        <w:t>“</w:t>
      </w:r>
      <w:r>
        <w:t>requirements</w:t>
      </w:r>
      <w:r w:rsidR="00B9494F">
        <w:t>”</w:t>
      </w:r>
      <w:r>
        <w:t xml:space="preserve"> </w:t>
      </w:r>
      <w:r w:rsidR="00472EDE">
        <w:t xml:space="preserve">established </w:t>
      </w:r>
      <w:r>
        <w:t xml:space="preserve">directly with the PHNs to ensure that they understood the level of work and change required to become </w:t>
      </w:r>
      <w:r w:rsidR="00DB1BD7">
        <w:t>a HCH</w:t>
      </w:r>
      <w:r>
        <w:t>. Practice readiness programs had been in place in some PHNs before HCH, and other PHNs not involved in HCH had established similar initiatives. Facilitators thought that practices should achieve the first four building blocks of high performing primary care</w:t>
      </w:r>
      <w:r w:rsidR="009738BB">
        <w:t xml:space="preserve"> –</w:t>
      </w:r>
      <w:r>
        <w:t xml:space="preserve">engaged leadership, data driven improvement, empanelment </w:t>
      </w:r>
      <w:r>
        <w:lastRenderedPageBreak/>
        <w:t xml:space="preserve">and team-based care </w:t>
      </w:r>
      <w:r w:rsidR="009738BB">
        <w:t xml:space="preserve">– </w:t>
      </w:r>
      <w:r>
        <w:t>before enrolling patients. During this time they would also address practical issues associated with implementing IT, enrolment processes, and improving the completeness and quality of data.</w:t>
      </w:r>
    </w:p>
    <w:p w14:paraId="7FC1EEE0" w14:textId="1B7B4B0A" w:rsidR="00AE5583" w:rsidRDefault="00BA6319" w:rsidP="00D227AA">
      <w:r>
        <w:t>The</w:t>
      </w:r>
      <w:r w:rsidR="00E65E38">
        <w:t xml:space="preserve"> approach</w:t>
      </w:r>
      <w:r w:rsidR="0029047E">
        <w:t>es</w:t>
      </w:r>
      <w:r w:rsidR="00E65E38">
        <w:t xml:space="preserve"> practices too</w:t>
      </w:r>
      <w:r w:rsidR="002C33AD">
        <w:t>k</w:t>
      </w:r>
      <w:r w:rsidR="00E65E38">
        <w:t xml:space="preserve"> to implementation in the earlier stages of the trial, including risk stratification</w:t>
      </w:r>
      <w:r w:rsidR="00613A5C">
        <w:t xml:space="preserve"> and </w:t>
      </w:r>
      <w:r w:rsidR="00E65E38">
        <w:t>enrolment</w:t>
      </w:r>
      <w:r w:rsidR="00613A5C">
        <w:t xml:space="preserve"> processes</w:t>
      </w:r>
      <w:r w:rsidR="004C315B">
        <w:t>,</w:t>
      </w:r>
      <w:r w:rsidR="00613A5C">
        <w:t xml:space="preserve"> are</w:t>
      </w:r>
      <w:r w:rsidR="006D75FB">
        <w:t xml:space="preserve"> </w:t>
      </w:r>
      <w:r w:rsidR="00613A5C">
        <w:t xml:space="preserve">described </w:t>
      </w:r>
      <w:r w:rsidR="00AE5583">
        <w:t xml:space="preserve">in </w:t>
      </w:r>
      <w:r w:rsidR="00613A5C">
        <w:t xml:space="preserve">more detail in </w:t>
      </w:r>
      <w:r w:rsidR="004C315B">
        <w:t>C</w:t>
      </w:r>
      <w:r w:rsidR="00AE5583">
        <w:t xml:space="preserve">hapter </w:t>
      </w:r>
      <w:r w:rsidR="00AE5583">
        <w:fldChar w:fldCharType="begin"/>
      </w:r>
      <w:r w:rsidR="00AE5583">
        <w:instrText xml:space="preserve"> REF _Ref103761803 \r \h </w:instrText>
      </w:r>
      <w:r w:rsidR="00AE5583">
        <w:fldChar w:fldCharType="separate"/>
      </w:r>
      <w:r w:rsidR="003C4BC2">
        <w:t>9</w:t>
      </w:r>
      <w:r w:rsidR="00AE5583">
        <w:fldChar w:fldCharType="end"/>
      </w:r>
      <w:r w:rsidR="00CB5550">
        <w:t xml:space="preserve"> (</w:t>
      </w:r>
      <w:r w:rsidR="009738BB">
        <w:t xml:space="preserve">p. </w:t>
      </w:r>
      <w:r w:rsidR="009738BB">
        <w:fldChar w:fldCharType="begin"/>
      </w:r>
      <w:r w:rsidR="009738BB">
        <w:instrText xml:space="preserve"> PAGEREF _Ref103761797 \h </w:instrText>
      </w:r>
      <w:r w:rsidR="009738BB">
        <w:fldChar w:fldCharType="separate"/>
      </w:r>
      <w:r w:rsidR="003C4BC2">
        <w:rPr>
          <w:noProof/>
        </w:rPr>
        <w:t>77</w:t>
      </w:r>
      <w:r w:rsidR="009738BB">
        <w:fldChar w:fldCharType="end"/>
      </w:r>
      <w:r w:rsidR="009738BB">
        <w:t>)</w:t>
      </w:r>
      <w:r w:rsidR="00AE5583">
        <w:t xml:space="preserve"> and </w:t>
      </w:r>
      <w:r w:rsidR="004C315B">
        <w:t xml:space="preserve">Chapter </w:t>
      </w:r>
      <w:r w:rsidR="00CB5550">
        <w:fldChar w:fldCharType="begin"/>
      </w:r>
      <w:r w:rsidR="00CB5550">
        <w:instrText xml:space="preserve"> REF _Ref103761982 \r \h </w:instrText>
      </w:r>
      <w:r w:rsidR="00CB5550">
        <w:fldChar w:fldCharType="separate"/>
      </w:r>
      <w:r w:rsidR="003C4BC2">
        <w:t>10</w:t>
      </w:r>
      <w:r w:rsidR="00CB5550">
        <w:fldChar w:fldCharType="end"/>
      </w:r>
      <w:r w:rsidR="00CB5550">
        <w:t xml:space="preserve"> (p. </w:t>
      </w:r>
      <w:r w:rsidR="00CB5550">
        <w:fldChar w:fldCharType="begin"/>
      </w:r>
      <w:r w:rsidR="00CB5550">
        <w:instrText xml:space="preserve"> PAGEREF _Ref103761979 \h </w:instrText>
      </w:r>
      <w:r w:rsidR="00CB5550">
        <w:fldChar w:fldCharType="separate"/>
      </w:r>
      <w:r w:rsidR="003C4BC2">
        <w:rPr>
          <w:noProof/>
        </w:rPr>
        <w:t>83</w:t>
      </w:r>
      <w:r w:rsidR="00CB5550">
        <w:fldChar w:fldCharType="end"/>
      </w:r>
      <w:r w:rsidR="00CB5550">
        <w:t>)</w:t>
      </w:r>
      <w:r w:rsidR="00AE5583">
        <w:t>.</w:t>
      </w:r>
    </w:p>
    <w:p w14:paraId="53177AAE" w14:textId="77777777" w:rsidR="00D227AA" w:rsidRDefault="00D227AA" w:rsidP="00D227AA">
      <w:pPr>
        <w:pStyle w:val="Heading3"/>
      </w:pPr>
      <w:r>
        <w:t>2.02 How did practices approach provision of chronic disease care before the implementation of HCH? What chronic disease management and quality improvement initiatives were in place within the practice at the commencement of the HCH program? Which of these were used and/or enhanced for the HCH implementation?</w:t>
      </w:r>
    </w:p>
    <w:p w14:paraId="46CA57ED" w14:textId="4CDB8F22" w:rsidR="00D227AA" w:rsidRDefault="00D227AA" w:rsidP="00D227AA">
      <w:r>
        <w:t>Practices selected as HCHs needed to meet minimum criteria, including accreditation against standards set for general practice by the RACGP and participation in the PIP eHealth Incentive. P</w:t>
      </w:r>
      <w:r w:rsidRPr="003F6988">
        <w:t xml:space="preserve">ractices </w:t>
      </w:r>
      <w:r>
        <w:t>also commonly reported participating in the</w:t>
      </w:r>
      <w:r w:rsidRPr="003F6988">
        <w:t xml:space="preserve"> Diabetes and Asthma </w:t>
      </w:r>
      <w:r>
        <w:t xml:space="preserve">PIP </w:t>
      </w:r>
      <w:r w:rsidRPr="003F6988">
        <w:t xml:space="preserve">components. Most practices </w:t>
      </w:r>
      <w:r>
        <w:t>also</w:t>
      </w:r>
      <w:r w:rsidRPr="003F6988">
        <w:t xml:space="preserve"> reported involvement in a quality improvement, collaborative, benchmarking, or chronic and complex disease management initiative in the last two years</w:t>
      </w:r>
      <w:r>
        <w:t xml:space="preserve"> before joining the trial. Also, in their self-assessments using the HCH-A tool, </w:t>
      </w:r>
      <w:r w:rsidRPr="00165A78">
        <w:t>practices’ median and mean self-assessment scores were in the range of 6 to 9. These suggest that practices believed that they ha</w:t>
      </w:r>
      <w:r w:rsidR="0008571A">
        <w:t>d</w:t>
      </w:r>
      <w:r w:rsidRPr="00165A78">
        <w:t xml:space="preserve"> many of the elements of a </w:t>
      </w:r>
      <w:r w:rsidR="0008571A">
        <w:t>PCMH</w:t>
      </w:r>
      <w:r w:rsidRPr="00165A78">
        <w:t xml:space="preserve"> in place, but </w:t>
      </w:r>
      <w:r w:rsidR="00022BFD">
        <w:t xml:space="preserve">that </w:t>
      </w:r>
      <w:r w:rsidRPr="00165A78">
        <w:t xml:space="preserve">there </w:t>
      </w:r>
      <w:r>
        <w:t>were</w:t>
      </w:r>
      <w:r w:rsidRPr="00165A78">
        <w:t xml:space="preserve"> opportunities for improvement.</w:t>
      </w:r>
    </w:p>
    <w:p w14:paraId="5B9BFC75" w14:textId="2B3247B4" w:rsidR="00D227AA" w:rsidRDefault="006709E3" w:rsidP="00D227AA">
      <w:r>
        <w:t xml:space="preserve">Some </w:t>
      </w:r>
      <w:r w:rsidR="00D227AA">
        <w:t>practices thought their existing model was aligned with HCH and didn’t do anything new during the trial. PHN practice facilitators thought that some of the practices making this claim had a limited understanding of HCH.</w:t>
      </w:r>
    </w:p>
    <w:p w14:paraId="0A30FAC9" w14:textId="0149E230" w:rsidR="00D227AA" w:rsidRPr="0028384A" w:rsidRDefault="00D227AA" w:rsidP="00D227AA">
      <w:r>
        <w:t xml:space="preserve">Most practices were actively aiming to implement initiatives to improve chronic disease management and patient-centred care as part of the trial. </w:t>
      </w:r>
      <w:r w:rsidR="0028384A" w:rsidRPr="0028384A">
        <w:t>Initiatives that less than half of the HCH practices said they had in place before the trial included: regular meetings of the practice team to review HCH patients and their care needs; reassigning components of care from the GP or nurse to a medical assistant; introducing new roles within the practice; dedicated clinics for patients with specific chronic conditions; group consultations; secure communications/messaging between patients and GP or nurse; and a patient portal. Of these, during their time in the HCH trial, practices made the least progress with group consultations; reassigning components of care from the GP or nurse to a medical assistant; introducing new roles within the practice; dedicated clinics for patients with specific chronic conditions; introducing a patient portal; and joint consultations involving a GP, nurse and allied health</w:t>
      </w:r>
      <w:r w:rsidRPr="0028384A">
        <w:t>.</w:t>
      </w:r>
    </w:p>
    <w:p w14:paraId="1411A22D" w14:textId="28F0ED7E" w:rsidR="00D227AA" w:rsidRDefault="00D227AA" w:rsidP="00D227AA">
      <w:r w:rsidRPr="0028384A">
        <w:t xml:space="preserve">The two </w:t>
      </w:r>
      <w:r w:rsidR="001A3C0F">
        <w:t>Northern Territory</w:t>
      </w:r>
      <w:r w:rsidRPr="0028384A">
        <w:t xml:space="preserve"> ACCHS that implemented</w:t>
      </w:r>
      <w:r>
        <w:t xml:space="preserve"> HCH found that although the HCH model </w:t>
      </w:r>
      <w:r w:rsidR="0008571A">
        <w:t>was</w:t>
      </w:r>
      <w:r>
        <w:t xml:space="preserve"> similar to the way they were already delivering care, implementing HCH meant more frequent reviews of patients’ care plans and, overall, more comprehensive plans. They also found that team meetings were more effective and efficient, mostly due to improved care planning</w:t>
      </w:r>
      <w:r w:rsidR="00C03B8F">
        <w:t>,</w:t>
      </w:r>
      <w:r>
        <w:t xml:space="preserve"> which allowed all members of the team (including visiting allied health and other health professionals) to be across what was happening with individual patients.</w:t>
      </w:r>
    </w:p>
    <w:p w14:paraId="21A2F8E1" w14:textId="30656B46" w:rsidR="0029047E" w:rsidRDefault="00CB5550" w:rsidP="0029047E">
      <w:r>
        <w:lastRenderedPageBreak/>
        <w:t xml:space="preserve">Chapter </w:t>
      </w:r>
      <w:r>
        <w:fldChar w:fldCharType="begin"/>
      </w:r>
      <w:r>
        <w:instrText xml:space="preserve"> REF _Ref103761982 \r \h </w:instrText>
      </w:r>
      <w:r>
        <w:fldChar w:fldCharType="separate"/>
      </w:r>
      <w:r w:rsidR="003C4BC2">
        <w:t>10</w:t>
      </w:r>
      <w:r>
        <w:fldChar w:fldCharType="end"/>
      </w:r>
      <w:r>
        <w:t xml:space="preserve"> (p. </w:t>
      </w:r>
      <w:r>
        <w:fldChar w:fldCharType="begin"/>
      </w:r>
      <w:r>
        <w:instrText xml:space="preserve"> PAGEREF _Ref103761979 \h </w:instrText>
      </w:r>
      <w:r>
        <w:fldChar w:fldCharType="separate"/>
      </w:r>
      <w:r w:rsidR="003C4BC2">
        <w:rPr>
          <w:noProof/>
        </w:rPr>
        <w:t>83</w:t>
      </w:r>
      <w:r>
        <w:fldChar w:fldCharType="end"/>
      </w:r>
      <w:r>
        <w:t xml:space="preserve">) </w:t>
      </w:r>
      <w:r w:rsidR="0055796E">
        <w:t xml:space="preserve">describes in more detail the changes </w:t>
      </w:r>
      <w:r w:rsidR="00586028">
        <w:t xml:space="preserve">practices </w:t>
      </w:r>
      <w:r w:rsidR="00AE3499">
        <w:t xml:space="preserve">made </w:t>
      </w:r>
      <w:r w:rsidR="00D929D6">
        <w:t>to</w:t>
      </w:r>
      <w:r w:rsidR="00AE3499">
        <w:t xml:space="preserve"> chronic disease management</w:t>
      </w:r>
      <w:r w:rsidR="00D929D6">
        <w:t xml:space="preserve"> for their HCH patients</w:t>
      </w:r>
      <w:r w:rsidR="0029047E">
        <w:t>.</w:t>
      </w:r>
    </w:p>
    <w:p w14:paraId="038751D2" w14:textId="77777777" w:rsidR="00D227AA" w:rsidRDefault="00D227AA" w:rsidP="00D227AA">
      <w:pPr>
        <w:pStyle w:val="Heading3"/>
      </w:pPr>
      <w:r>
        <w:t>2.03 How did the mix, roles and activities of primary health care staff change following the HCH program implementation?</w:t>
      </w:r>
    </w:p>
    <w:p w14:paraId="795AA4FA" w14:textId="77777777" w:rsidR="00D227AA" w:rsidRDefault="00D227AA" w:rsidP="00D227AA">
      <w:r>
        <w:t>To keep up with enrolment and ongoing management of HCH patients, some practices hired new staff and/ or established new roles responsible for HCH patients/ activities. New staff included nurses, medical practice assistants, and administrative assistants. Though some practices with a larger proportion of HCH patients would have liked to hire additional staff for HCH they felt that it was still not financially viable to do so or had issues with staff recruitment or retention.</w:t>
      </w:r>
    </w:p>
    <w:p w14:paraId="05D09F05" w14:textId="2D79ACB2" w:rsidR="00D227AA" w:rsidRDefault="00D227AA" w:rsidP="00D227AA">
      <w:r>
        <w:t xml:space="preserve">Several practices reported focusing on team-based care and delegation from the GP to other team members as part of their HCH transformation. For these practices this focus brought about positive results for both staff and patients and was considered a key change resulting from HCH. Team care was reinforced by routine team meetings or </w:t>
      </w:r>
      <w:r w:rsidR="00B9494F">
        <w:t>“</w:t>
      </w:r>
      <w:r>
        <w:t>huddles</w:t>
      </w:r>
      <w:r w:rsidR="00B9494F">
        <w:t>”</w:t>
      </w:r>
      <w:r>
        <w:t xml:space="preserve"> and preparing patients for the team approach. GP </w:t>
      </w:r>
      <w:r w:rsidR="009132DA">
        <w:t xml:space="preserve">lack of </w:t>
      </w:r>
      <w:r>
        <w:t>willingness to delegate care responsibilities (due to mindset or risk management) was a barrier for some practices in enhancing team-based care. Key enablers for team-based care, which were also barriers when not present, were staff engagement with the model, patients’ willingness to be managed by other members of the team and awareness of the goals and mechanisms of the HCH model, and use of practices’ shared care software by some internal practice staff and external providers.</w:t>
      </w:r>
    </w:p>
    <w:p w14:paraId="3320FC5D" w14:textId="72D6FEED" w:rsidR="00D56897" w:rsidRDefault="00D56897" w:rsidP="00D56897">
      <w:r>
        <w:t xml:space="preserve">Chapter </w:t>
      </w:r>
      <w:r>
        <w:fldChar w:fldCharType="begin"/>
      </w:r>
      <w:r>
        <w:instrText xml:space="preserve"> REF _Ref103761982 \r \h </w:instrText>
      </w:r>
      <w:r>
        <w:fldChar w:fldCharType="separate"/>
      </w:r>
      <w:r w:rsidR="003C4BC2">
        <w:t>10</w:t>
      </w:r>
      <w:r>
        <w:fldChar w:fldCharType="end"/>
      </w:r>
      <w:r>
        <w:t xml:space="preserve"> </w:t>
      </w:r>
      <w:r w:rsidR="00CB5550">
        <w:t xml:space="preserve">(p. </w:t>
      </w:r>
      <w:r w:rsidR="00CB5550">
        <w:fldChar w:fldCharType="begin"/>
      </w:r>
      <w:r w:rsidR="00CB5550">
        <w:instrText xml:space="preserve"> PAGEREF _Ref103761979 \h </w:instrText>
      </w:r>
      <w:r w:rsidR="00CB5550">
        <w:fldChar w:fldCharType="separate"/>
      </w:r>
      <w:r w:rsidR="003C4BC2">
        <w:rPr>
          <w:noProof/>
        </w:rPr>
        <w:t>83</w:t>
      </w:r>
      <w:r w:rsidR="00CB5550">
        <w:fldChar w:fldCharType="end"/>
      </w:r>
      <w:r w:rsidR="00CB5550">
        <w:t xml:space="preserve">) </w:t>
      </w:r>
      <w:r>
        <w:t xml:space="preserve">describes in more detail the changes practices made </w:t>
      </w:r>
      <w:r w:rsidR="00F847D8">
        <w:t>in the</w:t>
      </w:r>
      <w:r w:rsidR="00CA3A53">
        <w:t>i</w:t>
      </w:r>
      <w:r w:rsidR="00F847D8">
        <w:t xml:space="preserve">r model of care, and Chapter </w:t>
      </w:r>
      <w:r w:rsidR="0081193D">
        <w:fldChar w:fldCharType="begin"/>
      </w:r>
      <w:r w:rsidR="0081193D">
        <w:instrText xml:space="preserve"> REF _Ref84001465 \r \h </w:instrText>
      </w:r>
      <w:r w:rsidR="0081193D">
        <w:fldChar w:fldCharType="separate"/>
      </w:r>
      <w:r w:rsidR="003C4BC2">
        <w:t>14</w:t>
      </w:r>
      <w:r w:rsidR="0081193D">
        <w:fldChar w:fldCharType="end"/>
      </w:r>
      <w:r w:rsidR="00CA3A53">
        <w:t xml:space="preserve"> </w:t>
      </w:r>
      <w:r w:rsidR="00CB5550">
        <w:t xml:space="preserve">(p. </w:t>
      </w:r>
      <w:r w:rsidR="00CB5550">
        <w:fldChar w:fldCharType="begin"/>
      </w:r>
      <w:r w:rsidR="00CB5550">
        <w:instrText xml:space="preserve"> PAGEREF _Ref84001465 \h </w:instrText>
      </w:r>
      <w:r w:rsidR="00CB5550">
        <w:fldChar w:fldCharType="separate"/>
      </w:r>
      <w:r w:rsidR="003C4BC2">
        <w:rPr>
          <w:noProof/>
        </w:rPr>
        <w:t>162</w:t>
      </w:r>
      <w:r w:rsidR="00CB5550">
        <w:fldChar w:fldCharType="end"/>
      </w:r>
      <w:r w:rsidR="00CB5550">
        <w:t xml:space="preserve">) </w:t>
      </w:r>
      <w:r w:rsidR="00CA3A53">
        <w:t>describes staff perceptions and experience of these changes.</w:t>
      </w:r>
    </w:p>
    <w:p w14:paraId="2F71485A" w14:textId="77777777" w:rsidR="00D227AA" w:rsidRDefault="00D227AA" w:rsidP="00D227AA">
      <w:pPr>
        <w:pStyle w:val="Heading3"/>
      </w:pPr>
      <w:r>
        <w:t>2.04 How did the relationship between the practice and other health care and service providers change during the HCH implementation? Did the HCH program provide opportunities for better coordination of care, information sharing and communication with other health care and service providers?</w:t>
      </w:r>
    </w:p>
    <w:p w14:paraId="27F16DC1" w14:textId="09FAAA70" w:rsidR="00D227AA" w:rsidRDefault="00477306" w:rsidP="00D227AA">
      <w:r>
        <w:t>T</w:t>
      </w:r>
      <w:r w:rsidR="00543D9D">
        <w:t xml:space="preserve">he </w:t>
      </w:r>
      <w:r>
        <w:t xml:space="preserve">shared care planning </w:t>
      </w:r>
      <w:r w:rsidR="00D227AA">
        <w:t>software used by practices</w:t>
      </w:r>
      <w:r>
        <w:t xml:space="preserve"> varied. P</w:t>
      </w:r>
      <w:r w:rsidR="00D227AA">
        <w:t xml:space="preserve">ractices reported </w:t>
      </w:r>
      <w:r w:rsidR="00932675">
        <w:t xml:space="preserve">various </w:t>
      </w:r>
      <w:r w:rsidR="00D227AA">
        <w:t xml:space="preserve">problems, including the software being clunky or cumbersome to use, a lack of templates for some chronic diseases and poor integration with existing clinical management systems. </w:t>
      </w:r>
      <w:r w:rsidR="00260A15">
        <w:t xml:space="preserve">In some </w:t>
      </w:r>
      <w:r w:rsidR="00CB5550">
        <w:t>instances</w:t>
      </w:r>
      <w:r w:rsidR="00260A15">
        <w:t xml:space="preserve"> these issues improved with software enhancements that occurred during the trial.</w:t>
      </w:r>
      <w:r w:rsidR="006D75FB">
        <w:t xml:space="preserve"> </w:t>
      </w:r>
      <w:r w:rsidR="00D14E0F">
        <w:t>However, the challenge</w:t>
      </w:r>
      <w:r w:rsidR="00A4302D">
        <w:t>s</w:t>
      </w:r>
      <w:r w:rsidR="00D14E0F">
        <w:t xml:space="preserve"> face</w:t>
      </w:r>
      <w:r w:rsidR="00A4302D">
        <w:t>d</w:t>
      </w:r>
      <w:r w:rsidR="00D14E0F">
        <w:t xml:space="preserve"> by </w:t>
      </w:r>
      <w:r w:rsidR="00A4302D">
        <w:t>practice</w:t>
      </w:r>
      <w:r w:rsidR="00425E29">
        <w:t>s</w:t>
      </w:r>
      <w:r w:rsidR="00A4302D">
        <w:t xml:space="preserve"> meant </w:t>
      </w:r>
      <w:r w:rsidR="00D227AA">
        <w:t xml:space="preserve">there was only a small movement towards electronic shared care during the trial. </w:t>
      </w:r>
    </w:p>
    <w:p w14:paraId="740C3C68" w14:textId="7781A580" w:rsidR="00D227AA" w:rsidRDefault="00D227AA" w:rsidP="00D227AA">
      <w:r>
        <w:t xml:space="preserve">PHN practice facilitators and practice staff reported limited awareness of HCH and the shared care planning software amongst external providers. Despite some facilitators employing various approaches to improve engagement of the wider healthcare neighbourhood through education, training and community allied health events later on in the trial, facilitators cited </w:t>
      </w:r>
      <w:r w:rsidRPr="00B746BA">
        <w:t>several obstacles in attempting to increase external provider involvement in HCH. One key issue was that for practices with a small number of HCH patients</w:t>
      </w:r>
      <w:r w:rsidR="00425E29">
        <w:t>,</w:t>
      </w:r>
      <w:r w:rsidRPr="00B746BA">
        <w:t xml:space="preserve"> learning to use the software </w:t>
      </w:r>
      <w:r>
        <w:t>was</w:t>
      </w:r>
      <w:r w:rsidRPr="00B746BA">
        <w:t xml:space="preserve"> not a priority for them</w:t>
      </w:r>
      <w:r>
        <w:t>. P</w:t>
      </w:r>
      <w:r w:rsidRPr="009235AA">
        <w:t>atient</w:t>
      </w:r>
      <w:r>
        <w:t xml:space="preserve"> engagement with electronic portals available through some of the software was extremely limited. This was due to technical capabilities, health literacy or interest.</w:t>
      </w:r>
      <w:r w:rsidRPr="009235AA">
        <w:t xml:space="preserve"> </w:t>
      </w:r>
      <w:r>
        <w:t>In addition, a lack of f</w:t>
      </w:r>
      <w:r w:rsidRPr="00A62A2C">
        <w:t>inancial incentive</w:t>
      </w:r>
      <w:r>
        <w:t xml:space="preserve">s </w:t>
      </w:r>
      <w:r>
        <w:lastRenderedPageBreak/>
        <w:t>to devote extra administrative time to learn about and use the new shared care software was</w:t>
      </w:r>
      <w:r w:rsidRPr="00A62A2C">
        <w:t xml:space="preserve"> also an issue for</w:t>
      </w:r>
      <w:r>
        <w:t xml:space="preserve"> internal and external</w:t>
      </w:r>
      <w:r w:rsidRPr="00A62A2C">
        <w:t xml:space="preserve"> allied health </w:t>
      </w:r>
      <w:r>
        <w:t>working with</w:t>
      </w:r>
      <w:r w:rsidRPr="00A62A2C">
        <w:t xml:space="preserve"> HCH practices</w:t>
      </w:r>
      <w:r>
        <w:t xml:space="preserve">. </w:t>
      </w:r>
    </w:p>
    <w:p w14:paraId="79E80680" w14:textId="7B7AA3F1" w:rsidR="00FE643C" w:rsidRDefault="00FE643C" w:rsidP="00D227AA">
      <w:r>
        <w:t>Changes related to shared care planning that occurred during the tr</w:t>
      </w:r>
      <w:r w:rsidR="00AD1201">
        <w:t xml:space="preserve">ial are described in more detail in Chapter </w:t>
      </w:r>
      <w:r w:rsidR="00AF0492">
        <w:fldChar w:fldCharType="begin"/>
      </w:r>
      <w:r w:rsidR="00AF0492">
        <w:instrText xml:space="preserve"> REF _Ref103762868 \r \h </w:instrText>
      </w:r>
      <w:r w:rsidR="00AF0492">
        <w:fldChar w:fldCharType="separate"/>
      </w:r>
      <w:r w:rsidR="003C4BC2">
        <w:t>11</w:t>
      </w:r>
      <w:r w:rsidR="00AF0492">
        <w:fldChar w:fldCharType="end"/>
      </w:r>
      <w:r w:rsidR="00CB5550">
        <w:t xml:space="preserve"> (p. </w:t>
      </w:r>
      <w:r w:rsidR="00CB5550">
        <w:fldChar w:fldCharType="begin"/>
      </w:r>
      <w:r w:rsidR="00CB5550">
        <w:instrText xml:space="preserve"> PAGEREF _Ref103762868 \h </w:instrText>
      </w:r>
      <w:r w:rsidR="00CB5550">
        <w:fldChar w:fldCharType="separate"/>
      </w:r>
      <w:r w:rsidR="003C4BC2">
        <w:rPr>
          <w:noProof/>
        </w:rPr>
        <w:t>128</w:t>
      </w:r>
      <w:r w:rsidR="00CB5550">
        <w:fldChar w:fldCharType="end"/>
      </w:r>
      <w:r w:rsidR="00CB5550">
        <w:t>)</w:t>
      </w:r>
      <w:r w:rsidR="00AF0492">
        <w:t>.</w:t>
      </w:r>
      <w:r w:rsidR="009926EA">
        <w:t xml:space="preserve"> Issues related to shared </w:t>
      </w:r>
      <w:r w:rsidR="00C64073">
        <w:t>care planning and communication through the Community Pharmacy</w:t>
      </w:r>
      <w:r w:rsidR="00CB5550">
        <w:t xml:space="preserve"> in HCH</w:t>
      </w:r>
      <w:r w:rsidR="00C64073">
        <w:t xml:space="preserve"> </w:t>
      </w:r>
      <w:r w:rsidR="00CB5550">
        <w:t>T</w:t>
      </w:r>
      <w:r w:rsidR="00C64073">
        <w:t xml:space="preserve">rial are described in Chapter </w:t>
      </w:r>
      <w:r w:rsidR="002F79CC">
        <w:fldChar w:fldCharType="begin"/>
      </w:r>
      <w:r w:rsidR="002F79CC">
        <w:instrText xml:space="preserve"> REF _Ref103763745 \r \h </w:instrText>
      </w:r>
      <w:r w:rsidR="002F79CC">
        <w:fldChar w:fldCharType="separate"/>
      </w:r>
      <w:r w:rsidR="003C4BC2">
        <w:t>23</w:t>
      </w:r>
      <w:r w:rsidR="002F79CC">
        <w:fldChar w:fldCharType="end"/>
      </w:r>
      <w:r w:rsidR="00274CCC">
        <w:t xml:space="preserve"> </w:t>
      </w:r>
      <w:r w:rsidR="00CB5550">
        <w:t xml:space="preserve">(p. </w:t>
      </w:r>
      <w:r w:rsidR="00CB5550">
        <w:fldChar w:fldCharType="begin"/>
      </w:r>
      <w:r w:rsidR="00CB5550">
        <w:instrText xml:space="preserve"> PAGEREF _Ref103763745 \h </w:instrText>
      </w:r>
      <w:r w:rsidR="00CB5550">
        <w:fldChar w:fldCharType="separate"/>
      </w:r>
      <w:r w:rsidR="003C4BC2">
        <w:rPr>
          <w:noProof/>
        </w:rPr>
        <w:t>305</w:t>
      </w:r>
      <w:r w:rsidR="00CB5550">
        <w:fldChar w:fldCharType="end"/>
      </w:r>
      <w:r w:rsidR="00CB5550">
        <w:t>)</w:t>
      </w:r>
      <w:r w:rsidR="002F79CC">
        <w:t>.</w:t>
      </w:r>
    </w:p>
    <w:p w14:paraId="147663EF" w14:textId="77777777" w:rsidR="00D227AA" w:rsidRDefault="00D227AA" w:rsidP="00D227AA">
      <w:pPr>
        <w:pStyle w:val="Heading3"/>
      </w:pPr>
      <w:r>
        <w:t>2.05 How did the additional flexibility associated with the bundled payment facilitate practice change? Was the value of the bundled payment sufficient to change the way practices provide chronic disease care?</w:t>
      </w:r>
    </w:p>
    <w:p w14:paraId="1CE48EEF" w14:textId="77777777" w:rsidR="00D227AA" w:rsidRDefault="00D227AA" w:rsidP="00D227AA">
      <w:r>
        <w:t>The perceived benefits of the bundled payment for practices and GPs included certainty of funding, additional financial flexibility and potential time savings for GPs as they could delegate certain tasks to other team members. Perceived disadvantages included an increased workload and the amount of time it took to understand and implement the HCH model.</w:t>
      </w:r>
    </w:p>
    <w:p w14:paraId="074C28C4" w14:textId="476E6ABF" w:rsidR="00D227AA" w:rsidRDefault="00D227AA" w:rsidP="00D227AA">
      <w:r>
        <w:t xml:space="preserve">Many practices were interested in testing and/or comparing the bundled payment with the fee-for-service model and thus enrolled only a few patients. Practices with very low numbers of </w:t>
      </w:r>
      <w:r w:rsidR="004A382E">
        <w:t>enrolees</w:t>
      </w:r>
      <w:r>
        <w:t xml:space="preserve"> didn’t have the flexibility from the bundled payments to introduce new or different supports for patients and had difficulties with maintaining the model given that it was such a small part of their practice.</w:t>
      </w:r>
    </w:p>
    <w:p w14:paraId="0FC494B0" w14:textId="7CF794F1" w:rsidR="00D227AA" w:rsidRDefault="00D227AA" w:rsidP="00D227AA">
      <w:r>
        <w:t>Practices that enrolled a higher number of patients were more likely to report that the bundled payment was having a positive financial impact. Nevertheless, some felt that regardless of the number of patients, the financial model would not allow them to provide more services or hire additional staff.</w:t>
      </w:r>
    </w:p>
    <w:p w14:paraId="0388E13C" w14:textId="1585CEE8" w:rsidR="00D227AA" w:rsidRDefault="00D227AA" w:rsidP="00D227AA">
      <w:r>
        <w:t xml:space="preserve">The ACCHS participating in the trial reported that the bundled payment provided certainty of income and enabled staff to get paid for after-hours work that </w:t>
      </w:r>
      <w:r w:rsidR="00E215FA">
        <w:t>they believed was</w:t>
      </w:r>
      <w:r>
        <w:t xml:space="preserve"> not supported under Medicare. ACCHS staff were concerned that at the end of the trial they would not be able to provide the level of care needed by their chronic disease patients without the bundled payment.</w:t>
      </w:r>
    </w:p>
    <w:p w14:paraId="35355E3D" w14:textId="77777777" w:rsidR="00D227AA" w:rsidRDefault="00D227AA" w:rsidP="00D227AA">
      <w:r>
        <w:t>Practices offered a range of ways in which the bundled payment could be improved. Many recommended increasing the level of funding by tier or expanding the tiers to recognise more costly patients to further incentivising practices to focus on prevention and the achievement of positive health outcomes.</w:t>
      </w:r>
    </w:p>
    <w:p w14:paraId="7E9C3337" w14:textId="77C4054D" w:rsidR="005B6033" w:rsidRDefault="000247F4" w:rsidP="00D227AA">
      <w:r>
        <w:t xml:space="preserve">Chapter </w:t>
      </w:r>
      <w:r>
        <w:fldChar w:fldCharType="begin"/>
      </w:r>
      <w:r>
        <w:instrText xml:space="preserve"> REF _Ref98410338 \r \h </w:instrText>
      </w:r>
      <w:r>
        <w:fldChar w:fldCharType="separate"/>
      </w:r>
      <w:r w:rsidR="003C4BC2">
        <w:t>8</w:t>
      </w:r>
      <w:r>
        <w:fldChar w:fldCharType="end"/>
      </w:r>
      <w:r>
        <w:t xml:space="preserve"> </w:t>
      </w:r>
      <w:r w:rsidR="004C315B">
        <w:t xml:space="preserve">(p. </w:t>
      </w:r>
      <w:r w:rsidR="004C315B">
        <w:fldChar w:fldCharType="begin"/>
      </w:r>
      <w:r w:rsidR="004C315B">
        <w:instrText xml:space="preserve"> PAGEREF _Ref98410338 \h </w:instrText>
      </w:r>
      <w:r w:rsidR="004C315B">
        <w:fldChar w:fldCharType="separate"/>
      </w:r>
      <w:r w:rsidR="003C4BC2">
        <w:rPr>
          <w:noProof/>
        </w:rPr>
        <w:t>62</w:t>
      </w:r>
      <w:r w:rsidR="004C315B">
        <w:fldChar w:fldCharType="end"/>
      </w:r>
      <w:r w:rsidR="004C315B">
        <w:t xml:space="preserve">) </w:t>
      </w:r>
      <w:r>
        <w:t xml:space="preserve">provides more detail on the issues </w:t>
      </w:r>
      <w:r w:rsidR="00F73133">
        <w:t>practices experienced with the bundled payment</w:t>
      </w:r>
      <w:r>
        <w:t>.</w:t>
      </w:r>
    </w:p>
    <w:p w14:paraId="5B6D20C7" w14:textId="77777777" w:rsidR="00D227AA" w:rsidRDefault="00D227AA" w:rsidP="00D227AA">
      <w:pPr>
        <w:pStyle w:val="Heading3"/>
      </w:pPr>
      <w:r>
        <w:t>2.06 How did practices change from before the HCH program implementation to the end of the trial in implementing the dimensions of the patient centred medical home?</w:t>
      </w:r>
    </w:p>
    <w:p w14:paraId="2702F4A2" w14:textId="7FE65FCB" w:rsidR="009C0307" w:rsidRPr="004F63E7" w:rsidRDefault="003E5F02" w:rsidP="009C0307">
      <w:r>
        <w:t xml:space="preserve">Practices used the </w:t>
      </w:r>
      <w:r w:rsidR="00E2583C" w:rsidRPr="00E2583C">
        <w:t>HCH-A</w:t>
      </w:r>
      <w:r w:rsidR="00F2795C">
        <w:t xml:space="preserve"> tool to assess themselves against dimensions of the PCMH. The tool </w:t>
      </w:r>
      <w:r w:rsidR="00E215FA">
        <w:t>has</w:t>
      </w:r>
      <w:r w:rsidR="00F2795C">
        <w:t xml:space="preserve"> </w:t>
      </w:r>
      <w:r w:rsidR="00E2583C" w:rsidRPr="00E2583C">
        <w:t xml:space="preserve">eight dimensions. </w:t>
      </w:r>
      <w:r w:rsidR="004808EB">
        <w:t>Acro</w:t>
      </w:r>
      <w:r w:rsidR="002030A5">
        <w:t>ss</w:t>
      </w:r>
      <w:r w:rsidR="009C0307" w:rsidRPr="004F63E7">
        <w:t xml:space="preserve"> </w:t>
      </w:r>
      <w:r w:rsidR="009C0307" w:rsidRPr="00480292">
        <w:t xml:space="preserve">60 practices that reported </w:t>
      </w:r>
      <w:r w:rsidR="004808EB">
        <w:t>their</w:t>
      </w:r>
      <w:r w:rsidR="009C0307" w:rsidRPr="00480292">
        <w:t xml:space="preserve"> score</w:t>
      </w:r>
      <w:r w:rsidR="004808EB">
        <w:t>s</w:t>
      </w:r>
      <w:r w:rsidR="009C0307" w:rsidRPr="00480292">
        <w:t xml:space="preserve"> in </w:t>
      </w:r>
      <w:r w:rsidR="005859CD">
        <w:t>r</w:t>
      </w:r>
      <w:r w:rsidR="009C0307" w:rsidRPr="00480292">
        <w:t xml:space="preserve">ound 1 and </w:t>
      </w:r>
      <w:r w:rsidR="00F2795C">
        <w:t>r</w:t>
      </w:r>
      <w:r w:rsidR="009C0307" w:rsidRPr="00480292">
        <w:t>ound 5</w:t>
      </w:r>
      <w:r w:rsidR="002030A5">
        <w:t xml:space="preserve">, </w:t>
      </w:r>
      <w:r w:rsidR="009C0307" w:rsidRPr="00480292">
        <w:t>the mean scores increased on each item and for each dimension.</w:t>
      </w:r>
      <w:r w:rsidR="009C0307">
        <w:t xml:space="preserve"> </w:t>
      </w:r>
      <w:r w:rsidR="009C0307" w:rsidRPr="00480292">
        <w:t xml:space="preserve">However, the increase was mostly below a value 1, and the increase </w:t>
      </w:r>
      <w:r w:rsidR="00F95344">
        <w:t>was</w:t>
      </w:r>
      <w:r w:rsidR="009C0307" w:rsidRPr="00480292">
        <w:t xml:space="preserve"> statistically significant</w:t>
      </w:r>
      <w:r w:rsidR="00F95344">
        <w:t xml:space="preserve"> </w:t>
      </w:r>
      <w:r w:rsidR="00F95344" w:rsidRPr="00480292">
        <w:t>only</w:t>
      </w:r>
      <w:r w:rsidR="00F95344">
        <w:t xml:space="preserve"> for</w:t>
      </w:r>
      <w:r w:rsidR="00F95344" w:rsidRPr="00480292">
        <w:t xml:space="preserve"> </w:t>
      </w:r>
      <w:r w:rsidR="00F95344" w:rsidRPr="00480292">
        <w:lastRenderedPageBreak/>
        <w:t>selected items</w:t>
      </w:r>
      <w:r w:rsidR="009C0307" w:rsidRPr="00480292">
        <w:t>. We also estimated the number of practices reporting an increase in the assessed scores. Across all dimension</w:t>
      </w:r>
      <w:r w:rsidR="009C0307">
        <w:t>s</w:t>
      </w:r>
      <w:r w:rsidR="009C0307" w:rsidRPr="00480292">
        <w:t xml:space="preserve"> and most items</w:t>
      </w:r>
      <w:r w:rsidR="009C0307">
        <w:t>,</w:t>
      </w:r>
      <w:r w:rsidR="009C0307" w:rsidRPr="00480292">
        <w:t xml:space="preserve"> the proportion of practice</w:t>
      </w:r>
      <w:r w:rsidR="002030A5">
        <w:t xml:space="preserve">s </w:t>
      </w:r>
      <w:r w:rsidR="009C0307" w:rsidRPr="00480292">
        <w:t>reporting an increase in the score was greater than 50%</w:t>
      </w:r>
      <w:r w:rsidR="009C0307" w:rsidRPr="004F63E7">
        <w:t>.</w:t>
      </w:r>
      <w:r w:rsidR="009C0307">
        <w:t xml:space="preserve"> </w:t>
      </w:r>
    </w:p>
    <w:p w14:paraId="20F66759" w14:textId="541A64D4" w:rsidR="00F01C5C" w:rsidRDefault="009C0307" w:rsidP="00D227AA">
      <w:r w:rsidRPr="006B6410">
        <w:t>The dimensions on which the data suggests the greatest level of improvement were “2 Patient enrolment”, “3 Quality improvement strategy”, and “6 Patient-centred interactions”</w:t>
      </w:r>
      <w:r w:rsidRPr="00A810D9">
        <w:t>.</w:t>
      </w:r>
      <w:r w:rsidRPr="004F63E7">
        <w:t xml:space="preserve"> </w:t>
      </w:r>
      <w:r w:rsidRPr="00DA0645">
        <w:t xml:space="preserve">A relatively high proportion of practices (60%) reported improvements </w:t>
      </w:r>
      <w:r w:rsidR="00F95344">
        <w:t>in</w:t>
      </w:r>
      <w:r w:rsidRPr="00DA0645">
        <w:t xml:space="preserve"> the dimension of “5 Organised, evidence-based care”, although the difference</w:t>
      </w:r>
      <w:r w:rsidR="00F95344">
        <w:t>s</w:t>
      </w:r>
      <w:r w:rsidRPr="00DA0645">
        <w:t xml:space="preserve"> in mean scores were generally not significant for this dimension.</w:t>
      </w:r>
      <w:r>
        <w:t xml:space="preserve"> </w:t>
      </w:r>
      <w:r w:rsidRPr="00DA0645">
        <w:t>Other items in which there was a statistically significant improvement in mean scores included “31 Practice approach to linking patients to supportive community-based resources” and “34 Contacting the care team during regular business hours”.</w:t>
      </w:r>
      <w:r w:rsidR="006D75FB">
        <w:t xml:space="preserve"> </w:t>
      </w:r>
    </w:p>
    <w:p w14:paraId="08460794" w14:textId="215DA7AD" w:rsidR="00D227AA" w:rsidRDefault="00D227AA" w:rsidP="00D227AA">
      <w:r>
        <w:t xml:space="preserve">Following the end of the enrolment period, practices that aspired to make changes but didn’t identified staff turnover (especially losing champions who drove the program within their practice), the high administrative burden of the program and COVID-19 as factors that reduced staff enthusiasm and engagement with the program and hindered their progress. </w:t>
      </w:r>
    </w:p>
    <w:p w14:paraId="019D76E3" w14:textId="77777777" w:rsidR="00D227AA" w:rsidRDefault="00D227AA" w:rsidP="00D227AA">
      <w:r>
        <w:t>Most practices participating in the trial anecdotally reported improvements in coordination of care, quality of care and access for their patients.</w:t>
      </w:r>
    </w:p>
    <w:p w14:paraId="10E685D6" w14:textId="336A5F4E" w:rsidR="00D227AA" w:rsidRDefault="00D227AA" w:rsidP="00D227AA">
      <w:r>
        <w:t>Towards the end of the trial, most practices said that they would participate in a program like HCH in the future. Specific elements they identified that they would continue included telehealth, dedicated chronic disease management roles, team-based care and patient recalls. Elements that they would discontinue included use of shared care planning software and wide use of practice nurses due to lack of reimbursement under fee-for-service. While practices believed in the philosophy of HCH, many recommended further enhancements they thought would make it easier to operate the model within their practices or features they felt were necessary for successful implementation.</w:t>
      </w:r>
    </w:p>
    <w:p w14:paraId="76A90C07" w14:textId="77777777" w:rsidR="00D227AA" w:rsidRDefault="00D227AA" w:rsidP="00D227AA">
      <w:r>
        <w:t xml:space="preserve">While COVID-19 slowed some initiatives, it accelerated others such as HCH patients being able to call or email/text the practice about their health concerns or refill scripts without a GP consultation. Practices also reported that some of the initiatives that they had implemented as a HCH helped them better manage patients with chronic conditions during the pandemic. These included alternative communication mechanisms for patients (telephone, email, secure messaging), proactive contact to check on patients’ health and regular meetings of the HCH practice team to review patients’ care needs. </w:t>
      </w:r>
    </w:p>
    <w:p w14:paraId="4E3F511B" w14:textId="77777777" w:rsidR="00D227AA" w:rsidRDefault="00D227AA" w:rsidP="00D227AA">
      <w:r>
        <w:t xml:space="preserve">Some practices expressed that one of the effects of the pandemic was that it negated the need for a program like HCH with the increased use (and acceptance by patients) of telehealth, </w:t>
      </w:r>
      <w:proofErr w:type="spellStart"/>
      <w:r>
        <w:t>eScripts</w:t>
      </w:r>
      <w:proofErr w:type="spellEnd"/>
      <w:r>
        <w:t xml:space="preserve"> and </w:t>
      </w:r>
      <w:proofErr w:type="spellStart"/>
      <w:r>
        <w:t>eReferrals</w:t>
      </w:r>
      <w:proofErr w:type="spellEnd"/>
      <w:r>
        <w:t>. However, this illustrates a narrow interpretation of the HCH model; that it is predominantly about offering patients alternatives to face-to-face contacts.</w:t>
      </w:r>
    </w:p>
    <w:p w14:paraId="6E1751E5" w14:textId="70ACDC17" w:rsidR="00D227AA" w:rsidRDefault="00D227AA" w:rsidP="00D227AA">
      <w:r>
        <w:t xml:space="preserve">ACCHS </w:t>
      </w:r>
      <w:r w:rsidR="003E1801">
        <w:t>clinics</w:t>
      </w:r>
      <w:r>
        <w:t xml:space="preserve"> also increased their use of telehealth during the pandemic. This was for specialist consultations, whereby patients would have a </w:t>
      </w:r>
      <w:proofErr w:type="spellStart"/>
      <w:r>
        <w:t>videoconsult</w:t>
      </w:r>
      <w:proofErr w:type="spellEnd"/>
      <w:r>
        <w:t xml:space="preserve"> with a specialist in the clinic accompanied by a clinical nurse or a GP. ACCHS staff </w:t>
      </w:r>
      <w:r w:rsidR="000069C0" w:rsidRPr="000069C0">
        <w:t>thought</w:t>
      </w:r>
      <w:r>
        <w:t xml:space="preserve"> that telehealth could not entirely replace specialists physically visiting the communities. The reasons are that for many </w:t>
      </w:r>
      <w:r>
        <w:lastRenderedPageBreak/>
        <w:t>patients, English is their second, third or fourth language, and they prefer personal (face-to-face) relationships.</w:t>
      </w:r>
    </w:p>
    <w:p w14:paraId="0FADBD46" w14:textId="440ADA0F" w:rsidR="00D227AA" w:rsidRDefault="00D227AA" w:rsidP="00D227AA">
      <w:r>
        <w:t>All practices reported issues with keeping up with chronic disease management during the pandemic, due to the inability to see patients face-to-face and pressures associated with the pandemic that made it difficult to provide proactive, planned care. Overall, the pandemic stifled HCH activities/progress</w:t>
      </w:r>
      <w:r w:rsidR="00487B9E" w:rsidRPr="00487B9E">
        <w:t xml:space="preserve"> for many practices</w:t>
      </w:r>
      <w:r>
        <w:t>.</w:t>
      </w:r>
    </w:p>
    <w:p w14:paraId="2DAD1170" w14:textId="314EC979" w:rsidR="00F72391" w:rsidRDefault="00F72391" w:rsidP="00F72391">
      <w:r>
        <w:t xml:space="preserve">Chapter </w:t>
      </w:r>
      <w:r>
        <w:fldChar w:fldCharType="begin"/>
      </w:r>
      <w:r>
        <w:instrText xml:space="preserve"> REF _Ref103761982 \r \h </w:instrText>
      </w:r>
      <w:r>
        <w:fldChar w:fldCharType="separate"/>
      </w:r>
      <w:r w:rsidR="003C4BC2">
        <w:t>10</w:t>
      </w:r>
      <w:r>
        <w:fldChar w:fldCharType="end"/>
      </w:r>
      <w:r>
        <w:t xml:space="preserve"> </w:t>
      </w:r>
      <w:r w:rsidR="00274CCC">
        <w:t xml:space="preserve">(p. </w:t>
      </w:r>
      <w:r w:rsidR="00274CCC">
        <w:fldChar w:fldCharType="begin"/>
      </w:r>
      <w:r w:rsidR="00274CCC">
        <w:instrText xml:space="preserve"> PAGEREF _Ref103761979 \h </w:instrText>
      </w:r>
      <w:r w:rsidR="00274CCC">
        <w:fldChar w:fldCharType="separate"/>
      </w:r>
      <w:r w:rsidR="003C4BC2">
        <w:rPr>
          <w:noProof/>
        </w:rPr>
        <w:t>83</w:t>
      </w:r>
      <w:r w:rsidR="00274CCC">
        <w:fldChar w:fldCharType="end"/>
      </w:r>
      <w:r w:rsidR="00274CCC">
        <w:t xml:space="preserve">) </w:t>
      </w:r>
      <w:r>
        <w:t xml:space="preserve">describes in more detail the changes practices made </w:t>
      </w:r>
      <w:r w:rsidR="00F36236">
        <w:t xml:space="preserve">during the trial, including their </w:t>
      </w:r>
      <w:r w:rsidR="009F52C9">
        <w:t>assessment of change related to the dimensions of the PCMH</w:t>
      </w:r>
      <w:r w:rsidR="00274CCC">
        <w:t>.</w:t>
      </w:r>
    </w:p>
    <w:p w14:paraId="1742DC4E" w14:textId="77777777" w:rsidR="00D227AA" w:rsidRDefault="00D227AA" w:rsidP="00D227AA">
      <w:pPr>
        <w:pStyle w:val="Heading3"/>
      </w:pPr>
      <w:r>
        <w:t>2.07 Which practice level approaches to implementation worked well, and in what contexts?</w:t>
      </w:r>
    </w:p>
    <w:p w14:paraId="7B0A66D0" w14:textId="77777777" w:rsidR="00D227AA" w:rsidRDefault="00D227AA" w:rsidP="00D227AA">
      <w:r>
        <w:t>Key enablers for implementing HCH that practices mentioned were leadership and staff participation, adequate enrolments, adequate resources and a focus on team-based and patient-centred care. Staff turnover and workforce shortages, administrative burden, patients’ understanding and expectations of HCH and scale of enrolments were key challenges for practices throughout the trial.</w:t>
      </w:r>
    </w:p>
    <w:p w14:paraId="59172888" w14:textId="445B8D03" w:rsidR="00D227AA" w:rsidRDefault="00D227AA" w:rsidP="00D227AA">
      <w:r>
        <w:t>In ACCHS</w:t>
      </w:r>
      <w:r w:rsidR="003E1801">
        <w:t xml:space="preserve"> clinics</w:t>
      </w:r>
      <w:r>
        <w:t>, the key enablers for implementing programs like HCH were the ACCHS structure (once agreement to participate was achieved, which could sometimes be tricky), the community and relationships of clinical staff with their patients. The key challenges were the transient nature of ACCHS populations, making it difficult for a single clinic to operate as their medical home; suboptimal and inconsistent communications with external health care providers (specialists and hospitals) about their patients; and availability of staff and services to follow through with care plans.</w:t>
      </w:r>
    </w:p>
    <w:p w14:paraId="3519FE2D" w14:textId="1FD026CB" w:rsidR="000F6BC2" w:rsidRDefault="000F6BC2" w:rsidP="00D227AA">
      <w:r>
        <w:t xml:space="preserve">These issues are </w:t>
      </w:r>
      <w:r w:rsidR="00F13767">
        <w:t>a</w:t>
      </w:r>
      <w:r w:rsidR="00FD1F92">
        <w:t>ddressed in various parts of the report</w:t>
      </w:r>
      <w:r w:rsidR="004C315B">
        <w:t>,</w:t>
      </w:r>
      <w:r w:rsidR="00FD1F92">
        <w:t xml:space="preserve"> including </w:t>
      </w:r>
      <w:r w:rsidR="004C315B">
        <w:t>c</w:t>
      </w:r>
      <w:r w:rsidR="00D723E1">
        <w:t xml:space="preserve">hapters </w:t>
      </w:r>
      <w:r w:rsidR="00AA342A">
        <w:fldChar w:fldCharType="begin"/>
      </w:r>
      <w:r w:rsidR="00AA342A">
        <w:instrText xml:space="preserve"> REF _Ref103764758 \r \h </w:instrText>
      </w:r>
      <w:r w:rsidR="00AA342A">
        <w:fldChar w:fldCharType="separate"/>
      </w:r>
      <w:r w:rsidR="003C4BC2">
        <w:t>9</w:t>
      </w:r>
      <w:r w:rsidR="00AA342A">
        <w:fldChar w:fldCharType="end"/>
      </w:r>
      <w:r w:rsidR="00976568">
        <w:t>–</w:t>
      </w:r>
      <w:r w:rsidR="00B33227">
        <w:fldChar w:fldCharType="begin"/>
      </w:r>
      <w:r w:rsidR="00B33227">
        <w:instrText xml:space="preserve"> REF _Ref103764817 \r \h </w:instrText>
      </w:r>
      <w:r w:rsidR="00B33227">
        <w:fldChar w:fldCharType="separate"/>
      </w:r>
      <w:r w:rsidR="003C4BC2">
        <w:t>13</w:t>
      </w:r>
      <w:r w:rsidR="00B33227">
        <w:fldChar w:fldCharType="end"/>
      </w:r>
      <w:r w:rsidR="00B6449E">
        <w:t>.</w:t>
      </w:r>
    </w:p>
    <w:p w14:paraId="687AC3B1" w14:textId="46CBAD2D" w:rsidR="00D227AA" w:rsidRDefault="00D227AA" w:rsidP="00D227AA">
      <w:pPr>
        <w:pStyle w:val="Heading3"/>
      </w:pPr>
      <w:r>
        <w:t>2.08 How did the impact of HCH vary across practices with different characteristics (</w:t>
      </w:r>
      <w:r w:rsidR="0010747B">
        <w:t>for example,</w:t>
      </w:r>
      <w:r>
        <w:t xml:space="preserve"> across different remoteness areas and ownership </w:t>
      </w:r>
      <w:r w:rsidRPr="00FB262E">
        <w:t>arrangements)? How did these characteristics affect the success of the model? What does this tell us about the potential of the HCH program to improve access to primary health care, particularly for vulnerable and disadvantaged populations, and improve equity in health outcomes?</w:t>
      </w:r>
    </w:p>
    <w:p w14:paraId="48B258C8" w14:textId="77777777" w:rsidR="00D227AA" w:rsidRDefault="00D227AA" w:rsidP="00D227AA">
      <w:r>
        <w:t>Different barriers and enablers presented for practices in their implementation and operation of HCH based on their location, size and ownership model.</w:t>
      </w:r>
    </w:p>
    <w:p w14:paraId="7D04D7AE" w14:textId="456A62DD" w:rsidR="00D227AA" w:rsidRDefault="00E602FD" w:rsidP="00D227AA">
      <w:r>
        <w:t>Compared with</w:t>
      </w:r>
      <w:r w:rsidR="00D227AA">
        <w:t xml:space="preserve"> practices in metropolitan and regional areas, rural and remote practices described additional challenges with participating in the trial. These were especially apparent during the implementation phase and included difficulties with IT set-up and internet connections, recruiting and retaining staff, and availability of supports and medical resources within the community resulting in reduced access to services. Collaboration with the PHN and other practices within the region was also more challenging due to the wide geographic distribution. Widespread use and acceptance of telehealth and videoconferencing, </w:t>
      </w:r>
      <w:r w:rsidR="000370D3">
        <w:t xml:space="preserve">which </w:t>
      </w:r>
      <w:r w:rsidR="00D227AA">
        <w:t>accelerated during COVID-19, helped to improve collaboration.</w:t>
      </w:r>
    </w:p>
    <w:p w14:paraId="3DD3250C" w14:textId="77777777" w:rsidR="00D227AA" w:rsidRDefault="00D227AA" w:rsidP="00D227AA">
      <w:r>
        <w:lastRenderedPageBreak/>
        <w:t>On the other hand, due to the lack of services outside of primary care, rural practices tend to have a wider scope of practice and be more holistic and team-oriented in their approach, and the bundled payment supported them in this, providing certainty of funding and backing for clinical staff to work at the top of their scope.</w:t>
      </w:r>
    </w:p>
    <w:p w14:paraId="68411A7E" w14:textId="4A77A1EB" w:rsidR="00D227AA" w:rsidRDefault="00D227AA" w:rsidP="00D227AA">
      <w:r>
        <w:t xml:space="preserve">While larger practices had more staff and infrastructure to implement the model, they also took more time for implementation due to the need to get a larger group of people engaged and a wider set of processes to change. Smaller practices had more flexibility to make and implement decisions, but they had less resources and were more greatly affected by turnover of key staff compared with larger practices. Regardless of practice size, PHNs and practices reinforced that strong leadership, staff buy-in and </w:t>
      </w:r>
      <w:r w:rsidR="005D1DF8">
        <w:t>a larger</w:t>
      </w:r>
      <w:r>
        <w:t xml:space="preserve"> scale of HCH patients were integral to program success.</w:t>
      </w:r>
    </w:p>
    <w:p w14:paraId="24A24B83" w14:textId="679126DB" w:rsidR="00D227AA" w:rsidRDefault="00D227AA" w:rsidP="00D227AA">
      <w:r>
        <w:t xml:space="preserve">Similar to practice size, there were advantages and disadvantages to operating HCH in corporate versus </w:t>
      </w:r>
      <w:r w:rsidR="00AB1C1C">
        <w:t>independently owned</w:t>
      </w:r>
      <w:r>
        <w:t xml:space="preserve"> practices. In many instances corporate practices were also large practices and </w:t>
      </w:r>
      <w:r w:rsidR="00AB1C1C">
        <w:t>independently owned</w:t>
      </w:r>
      <w:r>
        <w:t xml:space="preserve"> practices were usually medium-sized</w:t>
      </w:r>
      <w:r w:rsidR="00960C79">
        <w:t xml:space="preserve"> or small</w:t>
      </w:r>
      <w:r>
        <w:t>; therefore, there was some level of overlap when comparing practices’ experiences based on practice size and ownership.</w:t>
      </w:r>
    </w:p>
    <w:p w14:paraId="360678A1" w14:textId="143A9527" w:rsidR="00576AA4" w:rsidRDefault="00D227AA" w:rsidP="00576AA4">
      <w:r>
        <w:t xml:space="preserve">Practices reported improvements in access to care regardless of location, practice size and ownership model. </w:t>
      </w:r>
      <w:r w:rsidRPr="00BD3936">
        <w:t>Practices reported that they had improved access for HCH patients through offering telephone (and to a much lesser extent) video consultations with the nurse or GP, email correspondence, a direct telephone line for HCH patients to call, streamlined referral processes, and increased nurse involvement in patient care. This was enabled by the bundled payment</w:t>
      </w:r>
      <w:r>
        <w:t xml:space="preserve">. </w:t>
      </w:r>
      <w:r w:rsidRPr="0081395D">
        <w:t xml:space="preserve">The practices reported that these alternative access points and delivery modes reassured patients that their practices are there for them beyond their scheduled appointments, facilitated practices to provide more personalised care and helped both practices and patients more effectively manage their care. Many practices also judged that they had enhanced patient monitoring, care management, and follow-up under the HCH model. Improvements often came in the form of improved monitoring, more frequent care plan reviews, pastoral care, and an overall increase in communication between the practice and their patients. This made practices feel their HCH patients were more closely monitored and would not, </w:t>
      </w:r>
      <w:r w:rsidR="00B9494F">
        <w:t>“</w:t>
      </w:r>
      <w:r w:rsidRPr="00417B22">
        <w:rPr>
          <w:i/>
          <w:iCs/>
        </w:rPr>
        <w:t>slip through the cracks</w:t>
      </w:r>
      <w:r w:rsidR="00B9494F">
        <w:t>”</w:t>
      </w:r>
      <w:r>
        <w:t xml:space="preserve">. </w:t>
      </w:r>
      <w:r w:rsidRPr="00BF33FC">
        <w:t>In addition, some practices implemented new services to help enhance their chronic disease management, including home visits, group sessions, remote monitoring and point-of-care testing</w:t>
      </w:r>
      <w:r>
        <w:t>.</w:t>
      </w:r>
    </w:p>
    <w:p w14:paraId="2AE32B56" w14:textId="3A056BE2" w:rsidR="00C72826" w:rsidRDefault="006D2D4C" w:rsidP="00576AA4">
      <w:r>
        <w:t xml:space="preserve">These issues are </w:t>
      </w:r>
      <w:r w:rsidR="0048477F">
        <w:t xml:space="preserve">described in more detail in </w:t>
      </w:r>
      <w:r w:rsidR="004C315B">
        <w:t>C</w:t>
      </w:r>
      <w:r>
        <w:t xml:space="preserve">hapter </w:t>
      </w:r>
      <w:r>
        <w:fldChar w:fldCharType="begin"/>
      </w:r>
      <w:r>
        <w:instrText xml:space="preserve"> REF _Ref82531819 \r \h </w:instrText>
      </w:r>
      <w:r>
        <w:fldChar w:fldCharType="separate"/>
      </w:r>
      <w:r w:rsidR="003C4BC2">
        <w:t>12</w:t>
      </w:r>
      <w:r>
        <w:fldChar w:fldCharType="end"/>
      </w:r>
      <w:r w:rsidR="009738BB">
        <w:t xml:space="preserve"> (p. </w:t>
      </w:r>
      <w:r w:rsidR="009738BB">
        <w:fldChar w:fldCharType="begin"/>
      </w:r>
      <w:r w:rsidR="009738BB">
        <w:instrText xml:space="preserve"> PAGEREF _Ref82531819 \h </w:instrText>
      </w:r>
      <w:r w:rsidR="009738BB">
        <w:fldChar w:fldCharType="separate"/>
      </w:r>
      <w:r w:rsidR="003C4BC2">
        <w:rPr>
          <w:noProof/>
        </w:rPr>
        <w:t>137</w:t>
      </w:r>
      <w:r w:rsidR="009738BB">
        <w:fldChar w:fldCharType="end"/>
      </w:r>
      <w:r w:rsidR="009738BB">
        <w:t xml:space="preserve">, </w:t>
      </w:r>
      <w:r>
        <w:t>which addresse</w:t>
      </w:r>
      <w:r w:rsidR="009738BB">
        <w:t>s</w:t>
      </w:r>
      <w:r>
        <w:t xml:space="preserve"> the experience of ACCHS</w:t>
      </w:r>
      <w:r w:rsidR="009738BB">
        <w:t>)</w:t>
      </w:r>
      <w:r w:rsidR="0048477F">
        <w:t xml:space="preserve"> </w:t>
      </w:r>
      <w:r>
        <w:t xml:space="preserve">and </w:t>
      </w:r>
      <w:r w:rsidR="004C315B">
        <w:t xml:space="preserve">Chapter </w:t>
      </w:r>
      <w:r>
        <w:fldChar w:fldCharType="begin"/>
      </w:r>
      <w:r>
        <w:instrText xml:space="preserve"> REF _Ref103764817 \r \h </w:instrText>
      </w:r>
      <w:r>
        <w:fldChar w:fldCharType="separate"/>
      </w:r>
      <w:r w:rsidR="003C4BC2">
        <w:t>13</w:t>
      </w:r>
      <w:r>
        <w:fldChar w:fldCharType="end"/>
      </w:r>
      <w:r w:rsidR="0048477F">
        <w:t xml:space="preserve"> </w:t>
      </w:r>
      <w:r w:rsidR="009738BB">
        <w:t xml:space="preserve">(p. </w:t>
      </w:r>
      <w:r w:rsidR="009738BB">
        <w:fldChar w:fldCharType="begin"/>
      </w:r>
      <w:r w:rsidR="009738BB">
        <w:instrText xml:space="preserve"> PAGEREF _Ref103764817 \h </w:instrText>
      </w:r>
      <w:r w:rsidR="009738BB">
        <w:fldChar w:fldCharType="separate"/>
      </w:r>
      <w:r w:rsidR="003C4BC2">
        <w:rPr>
          <w:noProof/>
        </w:rPr>
        <w:t>155</w:t>
      </w:r>
      <w:r w:rsidR="009738BB">
        <w:fldChar w:fldCharType="end"/>
      </w:r>
      <w:r w:rsidR="009738BB">
        <w:t xml:space="preserve">, </w:t>
      </w:r>
      <w:r w:rsidR="0048477F">
        <w:t xml:space="preserve">which describes how challenges varied across practices </w:t>
      </w:r>
      <w:r w:rsidR="00A25217">
        <w:t xml:space="preserve">with different ownership arrangements, size and </w:t>
      </w:r>
      <w:r w:rsidR="0048477F">
        <w:t xml:space="preserve">different </w:t>
      </w:r>
      <w:r w:rsidR="008F61D0">
        <w:t xml:space="preserve">geographic </w:t>
      </w:r>
      <w:r w:rsidR="0048477F">
        <w:t>location</w:t>
      </w:r>
      <w:r w:rsidR="00A25217">
        <w:t>s</w:t>
      </w:r>
      <w:r w:rsidR="009738BB">
        <w:t>)</w:t>
      </w:r>
      <w:r>
        <w:t>.</w:t>
      </w:r>
    </w:p>
    <w:p w14:paraId="4DB95084" w14:textId="77777777" w:rsidR="00D227AA" w:rsidRDefault="00D227AA" w:rsidP="00D227AA">
      <w:pPr>
        <w:pStyle w:val="Heading3"/>
      </w:pPr>
      <w:r>
        <w:t>2.09 How did the HCH implementation change provider experiences of delivering primary care services?</w:t>
      </w:r>
    </w:p>
    <w:p w14:paraId="31F89E22" w14:textId="26E3EDCD" w:rsidR="00576AA4" w:rsidRDefault="00576AA4" w:rsidP="00576AA4">
      <w:r>
        <w:t>The impact of HCH on staff experience differed substantially across practices. Only about one</w:t>
      </w:r>
      <w:r w:rsidR="00757B8B">
        <w:t> </w:t>
      </w:r>
      <w:r>
        <w:t xml:space="preserve">third of staff who had been employed at their practice before the introduction of HCH reported their role had changed </w:t>
      </w:r>
      <w:r w:rsidR="00130DAA" w:rsidRPr="00130DAA">
        <w:t xml:space="preserve">due to </w:t>
      </w:r>
      <w:r>
        <w:t xml:space="preserve">the </w:t>
      </w:r>
      <w:r w:rsidR="00130DAA" w:rsidRPr="00130DAA">
        <w:t>practice’s participation in the program</w:t>
      </w:r>
      <w:r>
        <w:t xml:space="preserve">. Among those who reported a change in role, the majority reported that they delegated more responsibility to others, but this was more common among GPs. Most staff also reported they were delegated more responsibility, and consistent with above, this was less common among </w:t>
      </w:r>
      <w:r>
        <w:lastRenderedPageBreak/>
        <w:t>GPs. Administrative staff and practice managers mainly reported changes in administrative tasks, with some administrative staff had a role in educating people about HCH. Some nurses reported an increase in their scope of practice, particularly in relation to chronic disease management and stronger relationships with patients.</w:t>
      </w:r>
    </w:p>
    <w:p w14:paraId="29D755F2" w14:textId="702C874E" w:rsidR="00576AA4" w:rsidRDefault="00576AA4" w:rsidP="00576AA4">
      <w:r>
        <w:t xml:space="preserve">Approximately half of the staff who completed the staff survey reported the practice was </w:t>
      </w:r>
      <w:r w:rsidR="00757B8B">
        <w:t>“</w:t>
      </w:r>
      <w:r>
        <w:t>busy but reasonable</w:t>
      </w:r>
      <w:r w:rsidR="00757B8B">
        <w:t>”</w:t>
      </w:r>
      <w:r>
        <w:t xml:space="preserve">, and over 30% reported it was </w:t>
      </w:r>
      <w:r w:rsidR="00757B8B">
        <w:t>“</w:t>
      </w:r>
      <w:r>
        <w:t>busier than reasonable</w:t>
      </w:r>
      <w:r w:rsidR="00757B8B">
        <w:t>”</w:t>
      </w:r>
      <w:r>
        <w:t xml:space="preserve">, but this was not significantly different between survey rounds. </w:t>
      </w:r>
    </w:p>
    <w:p w14:paraId="5952C892" w14:textId="6BA7FD8B" w:rsidR="00D227AA" w:rsidRDefault="00576AA4" w:rsidP="00576AA4">
      <w:r>
        <w:t>In the round 5 survey, staff reported positively on seven statements related to their work environment, with approximately 90% indicating they agreed with each of the positive statements. This was only slightly higher than in round 1 (baseline). Responses to the practice survey in round 5 indicated there was either no (24.7%), small (26.0%) or moderate (24.7%) improvement in job satisfaction due to HCH</w:t>
      </w:r>
      <w:r w:rsidR="0034554E">
        <w:t xml:space="preserve"> being implemented in the practice</w:t>
      </w:r>
      <w:r>
        <w:t>. The most rewarding aspect of the model for staff was working towards improved health outcomes for patients, along with the ability to build rapport and establish stronger relationships with patients under the model.</w:t>
      </w:r>
    </w:p>
    <w:p w14:paraId="018EC31C" w14:textId="28309E3C" w:rsidR="006D34AA" w:rsidRDefault="006D34AA" w:rsidP="006D34AA">
      <w:r>
        <w:t xml:space="preserve">Chapter </w:t>
      </w:r>
      <w:r>
        <w:fldChar w:fldCharType="begin"/>
      </w:r>
      <w:r>
        <w:instrText xml:space="preserve"> REF _Ref84001465 \r \h </w:instrText>
      </w:r>
      <w:r>
        <w:fldChar w:fldCharType="separate"/>
      </w:r>
      <w:r w:rsidR="003C4BC2">
        <w:t>14</w:t>
      </w:r>
      <w:r>
        <w:fldChar w:fldCharType="end"/>
      </w:r>
      <w:r w:rsidR="004C315B">
        <w:t xml:space="preserve"> (p. </w:t>
      </w:r>
      <w:r w:rsidR="004C315B">
        <w:fldChar w:fldCharType="begin"/>
      </w:r>
      <w:r w:rsidR="004C315B">
        <w:instrText xml:space="preserve"> PAGEREF _Ref84001465 \h </w:instrText>
      </w:r>
      <w:r w:rsidR="004C315B">
        <w:fldChar w:fldCharType="separate"/>
      </w:r>
      <w:r w:rsidR="003C4BC2">
        <w:rPr>
          <w:noProof/>
        </w:rPr>
        <w:t>162</w:t>
      </w:r>
      <w:r w:rsidR="004C315B">
        <w:fldChar w:fldCharType="end"/>
      </w:r>
      <w:r w:rsidR="004C315B">
        <w:t>)</w:t>
      </w:r>
      <w:r>
        <w:t xml:space="preserve"> describes staff perceptions and experience </w:t>
      </w:r>
      <w:r w:rsidR="002573AF">
        <w:t xml:space="preserve">with changes made </w:t>
      </w:r>
      <w:r w:rsidR="00D2280D">
        <w:t>during the HCH trial</w:t>
      </w:r>
      <w:r>
        <w:t>.</w:t>
      </w:r>
    </w:p>
    <w:p w14:paraId="57E56E91" w14:textId="77777777" w:rsidR="00D227AA" w:rsidRDefault="00D227AA" w:rsidP="00D227AA"/>
    <w:p w14:paraId="17CF8F3D" w14:textId="589E2762" w:rsidR="00D227AA" w:rsidRDefault="00DE242D">
      <w:pPr>
        <w:spacing w:after="160" w:line="259" w:lineRule="auto"/>
      </w:pPr>
      <w:r>
        <w:br w:type="page"/>
      </w:r>
    </w:p>
    <w:p w14:paraId="10B6D37B" w14:textId="77777777" w:rsidR="00D227AA" w:rsidRDefault="00D227AA" w:rsidP="00D227AA">
      <w:pPr>
        <w:pStyle w:val="Heading2"/>
      </w:pPr>
      <w:bookmarkStart w:id="537" w:name="_Toc97907725"/>
      <w:bookmarkStart w:id="538" w:name="_Toc109996792"/>
      <w:r w:rsidRPr="00192B5D">
        <w:lastRenderedPageBreak/>
        <w:t>Key evaluation question 3: Do patients enrolled in HCH experience better quality care?</w:t>
      </w:r>
      <w:bookmarkEnd w:id="537"/>
      <w:bookmarkEnd w:id="538"/>
    </w:p>
    <w:p w14:paraId="50DBD1A0" w14:textId="77777777" w:rsidR="00D227AA" w:rsidRDefault="00D227AA" w:rsidP="00D227AA">
      <w:pPr>
        <w:pStyle w:val="Heading3"/>
      </w:pPr>
      <w:r>
        <w:t>3.01 What changes occurred in the quality of chronic illness care provided for patients enrolled in the HCH program, and how did these compare with patients receiving care from practices not enrolled in HCH?</w:t>
      </w:r>
    </w:p>
    <w:p w14:paraId="5B023C12" w14:textId="1B6E7515" w:rsidR="0022622B" w:rsidRDefault="0022622B" w:rsidP="0022622B">
      <w:r>
        <w:t>Overall, most HCH patients had frequent encounters with a practice GP in the 12 months before enrolment (mean 13.4 encounters, std 9.9, median 11). In the year following enrolment</w:t>
      </w:r>
      <w:r w:rsidR="006D5B1D">
        <w:t>,</w:t>
      </w:r>
      <w:r>
        <w:t xml:space="preserve"> HCH patients had a similarly large number of GP encounters as in the pre-enrolment period (mean=13.7, std=10.3). Comparator patients were matched to HCH patients on pre-enrolment numbers of GP encounters and had a mean of 13.3 (std 9.7, median 11) encounters in the 12 months before enrolment. However, they tended to have fewer GP encounters than HCH patients in the following year (mean=12.0, std=10.2).</w:t>
      </w:r>
    </w:p>
    <w:p w14:paraId="6D4976FC" w14:textId="0D4E8717" w:rsidR="0022622B" w:rsidRDefault="009A65FC" w:rsidP="009A65FC">
      <w:r>
        <w:t xml:space="preserve">In the six months before enrolment, 18.4% of HCH patients had at least one recorded encounter with a practice nurse </w:t>
      </w:r>
      <w:r w:rsidR="00034283">
        <w:t xml:space="preserve">with a mean number of encounters of </w:t>
      </w:r>
      <w:r>
        <w:rPr>
          <w:lang w:val="en-GB"/>
        </w:rPr>
        <w:t>0.8</w:t>
      </w:r>
      <w:r w:rsidR="00034283">
        <w:rPr>
          <w:lang w:val="en-GB"/>
        </w:rPr>
        <w:t xml:space="preserve"> per patient (</w:t>
      </w:r>
      <w:r>
        <w:rPr>
          <w:lang w:val="en-GB"/>
        </w:rPr>
        <w:t>std=3.5, median: zero encounters).</w:t>
      </w:r>
      <w:r>
        <w:t xml:space="preserve"> A small proportion (4.4%) having five or more encounters. At six months following enrolment, the proportion of patients having an encounter with </w:t>
      </w:r>
      <w:r w:rsidR="006D5B1D">
        <w:t xml:space="preserve">a </w:t>
      </w:r>
      <w:r>
        <w:t>practice nurse increased to 22.6% and remained stable thereafter.</w:t>
      </w:r>
      <w:r w:rsidR="005D5D30">
        <w:t xml:space="preserve"> </w:t>
      </w:r>
      <w:r w:rsidR="005D5D30" w:rsidRPr="0031227C">
        <w:t>It should be noted that capture of encounters with a practice nurse in practice clinical management systems is variable</w:t>
      </w:r>
      <w:r w:rsidR="003A4312" w:rsidRPr="0031227C">
        <w:t>, and this measure was not compared with comparator patients</w:t>
      </w:r>
      <w:r w:rsidR="0031227C" w:rsidRPr="0031227C">
        <w:t>, due to inconsistences in data sources.</w:t>
      </w:r>
    </w:p>
    <w:p w14:paraId="354BB4A3" w14:textId="7B5BEF4A" w:rsidR="001F1A51" w:rsidRPr="00555CD2" w:rsidRDefault="001F1A51" w:rsidP="00937766">
      <w:r w:rsidRPr="00555CD2">
        <w:t xml:space="preserve">A small proportion of HCH patients had encounters with podiatrists, dieticians and psychologists </w:t>
      </w:r>
      <w:r w:rsidR="0031227C">
        <w:t xml:space="preserve">recorded </w:t>
      </w:r>
      <w:r w:rsidRPr="00555CD2">
        <w:t xml:space="preserve">within the HCH practice. This proportion changed very </w:t>
      </w:r>
      <w:r w:rsidRPr="00783D08">
        <w:t xml:space="preserve">little following enrolment. </w:t>
      </w:r>
      <w:r w:rsidR="00F43CE5" w:rsidRPr="00783D08">
        <w:t>(</w:t>
      </w:r>
      <w:r w:rsidRPr="00783D08">
        <w:t xml:space="preserve">This information was not available for </w:t>
      </w:r>
      <w:r w:rsidR="007204E2" w:rsidRPr="00783D08">
        <w:t>c</w:t>
      </w:r>
      <w:r w:rsidRPr="00783D08">
        <w:t>omparator patients.</w:t>
      </w:r>
      <w:r w:rsidR="00F43CE5" w:rsidRPr="00783D08">
        <w:t>)</w:t>
      </w:r>
      <w:r w:rsidR="00F74707" w:rsidRPr="00783D08">
        <w:t xml:space="preserve"> However, </w:t>
      </w:r>
      <w:r w:rsidR="00ED1779" w:rsidRPr="00783D08">
        <w:t xml:space="preserve">HCH </w:t>
      </w:r>
      <w:r w:rsidR="00783D08" w:rsidRPr="00783D08">
        <w:t>patients</w:t>
      </w:r>
      <w:r w:rsidR="00ED1779" w:rsidRPr="00783D08">
        <w:t xml:space="preserve"> had </w:t>
      </w:r>
      <w:r w:rsidR="00937766" w:rsidRPr="00783D08">
        <w:t>increased</w:t>
      </w:r>
      <w:r w:rsidR="00ED1779" w:rsidRPr="00783D08">
        <w:t xml:space="preserve"> access to allied health outside the practice.</w:t>
      </w:r>
      <w:r w:rsidR="00783D08" w:rsidRPr="00783D08">
        <w:t xml:space="preserve"> </w:t>
      </w:r>
      <w:r w:rsidR="0041220E" w:rsidRPr="00783D08">
        <w:t>In the year before enrolment, slightly less than half of HCH patients (46.7%) received one or more allied</w:t>
      </w:r>
      <w:r w:rsidR="0041220E">
        <w:t xml:space="preserve"> health services for chronic disease management (mean 1.7, std 2.3). In the year following enrolment, this increased to 52.5% (mean 2.0, std 2.4) and remained at 46.3% (mean 1.7, std 2.2) at year two and 48.3% (mean 1.8, std 2.3) at year three of follow-up. The proportion of comparator patients with one visit or more was 41.9% in the pre-enrolment period (mean 1.5, std 2.2), and this declined to 38.7% at year one (mean 1.5, std 2.2), 37.0% at year two (mean 1.4, std 2.1), and 38.4% at year three (mean 1.4, std 2.1).</w:t>
      </w:r>
    </w:p>
    <w:p w14:paraId="345DA057" w14:textId="710FDF97" w:rsidR="001F1A51" w:rsidRPr="00555CD2" w:rsidRDefault="001F1A51" w:rsidP="001F1A51">
      <w:r w:rsidRPr="00555CD2">
        <w:t xml:space="preserve">Greater proportions of HCH than </w:t>
      </w:r>
      <w:r w:rsidR="007204E2" w:rsidRPr="00555CD2">
        <w:t>c</w:t>
      </w:r>
      <w:r w:rsidRPr="00555CD2">
        <w:t>omparator patients had clinical measurements, including blood pressure, lipid tests, HbA1c and kidney function tests, recorded in the two years following enrolment.</w:t>
      </w:r>
      <w:r w:rsidR="00687C6A">
        <w:t xml:space="preserve"> This was corroborated by other analysis that showed that in the period following enrolment, HCH patients had </w:t>
      </w:r>
      <w:r w:rsidR="00B50235">
        <w:t>a</w:t>
      </w:r>
      <w:r w:rsidR="00687C6A">
        <w:t xml:space="preserve"> significantly higher number of claims for HbA1c tests than comparator patients.</w:t>
      </w:r>
    </w:p>
    <w:p w14:paraId="06DCFC41" w14:textId="7AF7AD48" w:rsidR="001F1A51" w:rsidRDefault="001F1A51" w:rsidP="001F1A51">
      <w:r w:rsidRPr="00555CD2">
        <w:t xml:space="preserve">A larger proportion of HCH patients than </w:t>
      </w:r>
      <w:r w:rsidR="007204E2" w:rsidRPr="00555CD2">
        <w:t>c</w:t>
      </w:r>
      <w:r w:rsidRPr="00555CD2">
        <w:t>omparator patients received an annual influenza vaccination.</w:t>
      </w:r>
    </w:p>
    <w:p w14:paraId="259480B6" w14:textId="1098065E" w:rsidR="00D227AA" w:rsidRDefault="00D227AA" w:rsidP="00D227AA">
      <w:r>
        <w:t>Through the practice survey, practices judged that the HCH model resulted in improved coordination of care for patients, quality of care, access to care, patient engagement/ activation and outcomes.</w:t>
      </w:r>
    </w:p>
    <w:p w14:paraId="4D1A9850" w14:textId="3635677D" w:rsidR="00D227AA" w:rsidRDefault="00D227AA" w:rsidP="00D227AA">
      <w:r>
        <w:lastRenderedPageBreak/>
        <w:t xml:space="preserve">Coordination of patients’ care within practices was improved through regular team meetings or huddles and case conferencing, and nurses’ access to comprehensive, up-to-date information from patients’ care plans. Teamwork also meant that nurses could take more time with care plans and ask for input from patients, resulting in the care plans better reflecting patients’ goals. Respondents had mixed views about whether coordination of care with patients’ external providers was improved. While some indicated improvement, many reported problems with </w:t>
      </w:r>
      <w:r w:rsidRPr="00C15360">
        <w:t xml:space="preserve">software integration </w:t>
      </w:r>
      <w:r>
        <w:t>to share information with external providers</w:t>
      </w:r>
      <w:r w:rsidR="00E232FA">
        <w:t>,</w:t>
      </w:r>
      <w:r>
        <w:t xml:space="preserve"> and </w:t>
      </w:r>
      <w:r w:rsidRPr="00C15360">
        <w:t>specialists’ and allied health providers’ resistance to or inability to use shared care platforms.</w:t>
      </w:r>
    </w:p>
    <w:p w14:paraId="105218DF" w14:textId="77777777" w:rsidR="00D227AA" w:rsidRDefault="00D227AA" w:rsidP="00D227AA">
      <w:r>
        <w:t xml:space="preserve">Practices identified that quality of care was improved for patients through improved practice processes. A commonly mentioned example was scheduling regular reviews/recalls where patients would get the necessary tests and preventative care such as immunisations. Another example was communication between practice clinicians, and between practice clinicians and patients, both in-person and through care plans. Some practices attributed the ability to improve these processes to the flexibility provided by the bundled payment. </w:t>
      </w:r>
    </w:p>
    <w:p w14:paraId="74E98620" w14:textId="297353D6" w:rsidR="00D227AA" w:rsidRDefault="00D227AA" w:rsidP="00D227AA">
      <w:r w:rsidRPr="001538A0">
        <w:t>In addition, some practices implemented new services to help enhance their chronic disease management, including home visits, group sessions, remote monitoring and point-of-care testing</w:t>
      </w:r>
      <w:r>
        <w:t>.</w:t>
      </w:r>
    </w:p>
    <w:p w14:paraId="29852E9F" w14:textId="5914DEF9" w:rsidR="00967C71" w:rsidRDefault="002967E0" w:rsidP="00D227AA">
      <w:r>
        <w:t xml:space="preserve">These </w:t>
      </w:r>
      <w:r w:rsidR="00772271">
        <w:t xml:space="preserve">analyses </w:t>
      </w:r>
      <w:r>
        <w:t xml:space="preserve">are described in more detail in </w:t>
      </w:r>
      <w:r w:rsidR="00435569">
        <w:t xml:space="preserve">Chapter </w:t>
      </w:r>
      <w:r w:rsidR="00976568">
        <w:fldChar w:fldCharType="begin"/>
      </w:r>
      <w:r w:rsidR="00976568">
        <w:instrText xml:space="preserve"> REF _Ref103765169 \r \h </w:instrText>
      </w:r>
      <w:r w:rsidR="00976568">
        <w:fldChar w:fldCharType="separate"/>
      </w:r>
      <w:r w:rsidR="003C4BC2">
        <w:t>15</w:t>
      </w:r>
      <w:r w:rsidR="00976568">
        <w:fldChar w:fldCharType="end"/>
      </w:r>
      <w:r w:rsidR="00976568">
        <w:t xml:space="preserve"> (p. </w:t>
      </w:r>
      <w:r w:rsidR="00976568">
        <w:fldChar w:fldCharType="begin"/>
      </w:r>
      <w:r w:rsidR="00976568">
        <w:instrText xml:space="preserve"> PAGEREF _Ref103765169 \h </w:instrText>
      </w:r>
      <w:r w:rsidR="00976568">
        <w:fldChar w:fldCharType="separate"/>
      </w:r>
      <w:r w:rsidR="003C4BC2">
        <w:rPr>
          <w:noProof/>
        </w:rPr>
        <w:t>173</w:t>
      </w:r>
      <w:r w:rsidR="00976568">
        <w:fldChar w:fldCharType="end"/>
      </w:r>
      <w:r w:rsidR="00976568">
        <w:t>)</w:t>
      </w:r>
      <w:r w:rsidR="00435569">
        <w:t>.</w:t>
      </w:r>
    </w:p>
    <w:p w14:paraId="3DCB6ED0" w14:textId="77777777" w:rsidR="00D227AA" w:rsidRDefault="00D227AA" w:rsidP="00D227AA">
      <w:pPr>
        <w:pStyle w:val="Heading3"/>
      </w:pPr>
      <w:r>
        <w:t>3.02 Did patients enrolled in the HCH program have improved access to primary care services, including through alternate ways of accessing the service? How did the use of primary care services change for HCH patients compared with similar patients receiving care from practices not enrolled in HCH? How did use of services from within the HCH practice change? Did the HCH model result in increased continuity in the provision of primary care?</w:t>
      </w:r>
    </w:p>
    <w:p w14:paraId="4DCCD7C6" w14:textId="06ED3DF8" w:rsidR="000F2D59" w:rsidRDefault="003F38AD" w:rsidP="00E95BFA">
      <w:r>
        <w:t>Increases in access to GP</w:t>
      </w:r>
      <w:r w:rsidR="00E232FA">
        <w:t>s</w:t>
      </w:r>
      <w:r>
        <w:t xml:space="preserve">, practice nurses and allied </w:t>
      </w:r>
      <w:r w:rsidR="00465E3A">
        <w:t>health staff were presented under question 3.01</w:t>
      </w:r>
      <w:r w:rsidR="00E232FA">
        <w:t>.</w:t>
      </w:r>
    </w:p>
    <w:p w14:paraId="2E98420C" w14:textId="2D310D02" w:rsidR="00E95BFA" w:rsidRDefault="00E95BFA" w:rsidP="00E95BFA">
      <w:r>
        <w:t>Practices mentioned that patients were able to have more timely access to clinicians at the practice overall, and specifically to GPs, nurses and allied health, and better access to scripts and referrals. They attributed this to teamwork (especially GPs being able to delegate to other team members, thus being free to see patients when needed), dedicated roles (for example, HCH nurse) and the ability to offer alternative modes of delivery under the bundled payment. Some practice also offered priority access to HCH patients, either when arriving in person or over the telephone.</w:t>
      </w:r>
    </w:p>
    <w:p w14:paraId="4A45EA66" w14:textId="77777777" w:rsidR="00D227AA" w:rsidRDefault="00D227AA" w:rsidP="00D227AA">
      <w:r>
        <w:t xml:space="preserve">Changes in care most noticed by patients included increased access to a practice via telephone or email. This included requesting routine prescriptions or referrals over the phone without an appointment with their GP, and a capacity to telephone a practice nurse, HCH coordinator or doctor to discuss health-related questions or concerns, which put them at ease and helped them manage their condition(s) more effectively. </w:t>
      </w:r>
    </w:p>
    <w:p w14:paraId="773E2EEE" w14:textId="258B36C5" w:rsidR="00D227AA" w:rsidRDefault="00D227AA" w:rsidP="00D227AA">
      <w:r>
        <w:t xml:space="preserve">Some patients found that turnover in staff at the practice – mainly in practice nurses or HCH coordinators – affected the level of contact they had with the practice. The impact of staff </w:t>
      </w:r>
      <w:r>
        <w:lastRenderedPageBreak/>
        <w:t xml:space="preserve">turnover was more </w:t>
      </w:r>
      <w:r w:rsidR="00A2476B">
        <w:t>evident</w:t>
      </w:r>
      <w:r>
        <w:t xml:space="preserve"> to patients in the later phases of the trial, especially during the pandemic when some practices reduced the level of support they provided to their HCH patients. </w:t>
      </w:r>
    </w:p>
    <w:p w14:paraId="279B6589" w14:textId="247B65BE" w:rsidR="00D227AA" w:rsidRDefault="00D227AA" w:rsidP="00D227AA">
      <w:r>
        <w:t>While some practices maintained the same level of service offerings and support to their HCH patients throughout the trial, other practices stated that HCH became less of a priority during the pandemic. This was due to a variety of reasons</w:t>
      </w:r>
      <w:r w:rsidR="008A0550">
        <w:t>,</w:t>
      </w:r>
      <w:r>
        <w:t xml:space="preserve"> including staff turnover and diverting resources and staff to other focus on other areas of practice operations, such as establishing systems to support the provision of telehealth services.</w:t>
      </w:r>
    </w:p>
    <w:p w14:paraId="7B21FAD0" w14:textId="58EA14BD" w:rsidR="00910218" w:rsidRDefault="00733AEB" w:rsidP="00D227AA">
      <w:r>
        <w:t xml:space="preserve">These analyses are described in more detail in </w:t>
      </w:r>
      <w:r w:rsidR="004C315B">
        <w:t>C</w:t>
      </w:r>
      <w:r>
        <w:t xml:space="preserve">hapter </w:t>
      </w:r>
      <w:r>
        <w:fldChar w:fldCharType="begin"/>
      </w:r>
      <w:r>
        <w:instrText xml:space="preserve"> REF _Ref103765169 \r \h </w:instrText>
      </w:r>
      <w:r>
        <w:fldChar w:fldCharType="separate"/>
      </w:r>
      <w:r w:rsidR="003C4BC2">
        <w:t>15</w:t>
      </w:r>
      <w:r>
        <w:fldChar w:fldCharType="end"/>
      </w:r>
      <w:r w:rsidR="00976568">
        <w:t xml:space="preserve"> (p. </w:t>
      </w:r>
      <w:r w:rsidR="00976568">
        <w:fldChar w:fldCharType="begin"/>
      </w:r>
      <w:r w:rsidR="00976568">
        <w:instrText xml:space="preserve"> PAGEREF _Ref103765169 \h </w:instrText>
      </w:r>
      <w:r w:rsidR="00976568">
        <w:fldChar w:fldCharType="separate"/>
      </w:r>
      <w:r w:rsidR="003C4BC2">
        <w:rPr>
          <w:noProof/>
        </w:rPr>
        <w:t>173</w:t>
      </w:r>
      <w:r w:rsidR="00976568">
        <w:fldChar w:fldCharType="end"/>
      </w:r>
      <w:r w:rsidR="00976568">
        <w:t>)</w:t>
      </w:r>
      <w:r w:rsidR="00E11243">
        <w:t xml:space="preserve"> and</w:t>
      </w:r>
      <w:r w:rsidR="004C315B">
        <w:t xml:space="preserve"> Chapter</w:t>
      </w:r>
      <w:r w:rsidR="00E11243">
        <w:t xml:space="preserve"> </w:t>
      </w:r>
      <w:r w:rsidR="00E11243">
        <w:fldChar w:fldCharType="begin"/>
      </w:r>
      <w:r w:rsidR="00E11243">
        <w:instrText xml:space="preserve"> REF _Ref82530191 \r \h </w:instrText>
      </w:r>
      <w:r w:rsidR="00E11243">
        <w:fldChar w:fldCharType="separate"/>
      </w:r>
      <w:r w:rsidR="003C4BC2">
        <w:t>16</w:t>
      </w:r>
      <w:r w:rsidR="00E11243">
        <w:fldChar w:fldCharType="end"/>
      </w:r>
      <w:r w:rsidR="00976568">
        <w:t xml:space="preserve"> (p. </w:t>
      </w:r>
      <w:r w:rsidR="00976568">
        <w:fldChar w:fldCharType="begin"/>
      </w:r>
      <w:r w:rsidR="00976568">
        <w:instrText xml:space="preserve"> PAGEREF _Ref82530191 \h </w:instrText>
      </w:r>
      <w:r w:rsidR="00976568">
        <w:fldChar w:fldCharType="separate"/>
      </w:r>
      <w:r w:rsidR="003C4BC2">
        <w:rPr>
          <w:noProof/>
        </w:rPr>
        <w:t>193</w:t>
      </w:r>
      <w:r w:rsidR="00976568">
        <w:fldChar w:fldCharType="end"/>
      </w:r>
      <w:r w:rsidR="00976568">
        <w:t>)</w:t>
      </w:r>
      <w:r>
        <w:t>.</w:t>
      </w:r>
    </w:p>
    <w:p w14:paraId="0F930307" w14:textId="77777777" w:rsidR="00D227AA" w:rsidRDefault="00D227AA" w:rsidP="00D227AA">
      <w:pPr>
        <w:pStyle w:val="Heading3"/>
      </w:pPr>
      <w:r>
        <w:t>3.03 How did the use of secondary care and other community-based services change for HCH patients compared with similar patients in practices not enrolled in HCH? Was there improved coordination of services between primary care and other service providers?</w:t>
      </w:r>
    </w:p>
    <w:p w14:paraId="2734ECCD" w14:textId="226FE165" w:rsidR="00001861" w:rsidRPr="00576AA4" w:rsidRDefault="00001861" w:rsidP="00001861">
      <w:r w:rsidRPr="00576AA4">
        <w:t xml:space="preserve">Following enrolment, HCH patients had fewer claims for unreferred GP consultations than </w:t>
      </w:r>
      <w:r w:rsidR="000E16C4" w:rsidRPr="00576AA4">
        <w:t>comparator</w:t>
      </w:r>
      <w:r w:rsidRPr="00576AA4">
        <w:t xml:space="preserve"> patients. </w:t>
      </w:r>
    </w:p>
    <w:p w14:paraId="346D4971" w14:textId="3AF5F389" w:rsidR="00001861" w:rsidRPr="00576AA4" w:rsidRDefault="00001861" w:rsidP="00001861">
      <w:r w:rsidRPr="00576AA4">
        <w:t xml:space="preserve">In the pre-enrolment period, greater proportions of HCH patients had a claim for </w:t>
      </w:r>
      <w:r w:rsidR="00A219B0">
        <w:t xml:space="preserve">the </w:t>
      </w:r>
      <w:r w:rsidRPr="00576AA4">
        <w:t xml:space="preserve">development of GP Management Plan, development of Team Care Arrangement and review of these care plans than </w:t>
      </w:r>
      <w:r w:rsidR="000E16C4" w:rsidRPr="00576AA4">
        <w:t>comparator</w:t>
      </w:r>
      <w:r w:rsidRPr="00576AA4">
        <w:t>s. Following enrolment, claims for these items by HCH patients significantly decreased</w:t>
      </w:r>
      <w:r w:rsidR="006E1F46">
        <w:t xml:space="preserve">, </w:t>
      </w:r>
      <w:r w:rsidR="006E1F46" w:rsidRPr="001033AB">
        <w:t xml:space="preserve">reflecting </w:t>
      </w:r>
      <w:r w:rsidR="002D13F9" w:rsidRPr="001033AB">
        <w:t xml:space="preserve">guidance </w:t>
      </w:r>
      <w:r w:rsidR="00A219B0">
        <w:t xml:space="preserve">given </w:t>
      </w:r>
      <w:r w:rsidR="002D13F9" w:rsidRPr="001033AB">
        <w:t xml:space="preserve">to </w:t>
      </w:r>
      <w:r w:rsidR="0063673F">
        <w:t>practices that</w:t>
      </w:r>
      <w:r w:rsidR="002D13F9" w:rsidRPr="001033AB">
        <w:t xml:space="preserve"> </w:t>
      </w:r>
      <w:r w:rsidR="00B90848" w:rsidRPr="001033AB">
        <w:t>GP Management Plans</w:t>
      </w:r>
      <w:r w:rsidR="0063673F">
        <w:t xml:space="preserve"> were </w:t>
      </w:r>
      <w:r w:rsidR="000D5C44">
        <w:t xml:space="preserve">included in the bundled payment for HCH patients and should not </w:t>
      </w:r>
      <w:proofErr w:type="spellStart"/>
      <w:r w:rsidR="000D5C44">
        <w:t>charged</w:t>
      </w:r>
      <w:proofErr w:type="spellEnd"/>
      <w:r w:rsidR="000D5C44">
        <w:t xml:space="preserve"> separately</w:t>
      </w:r>
      <w:r w:rsidR="001033AB" w:rsidRPr="001033AB">
        <w:t>. Claims</w:t>
      </w:r>
      <w:r w:rsidR="004F5B4E" w:rsidRPr="001033AB">
        <w:t xml:space="preserve"> for Indigenous </w:t>
      </w:r>
      <w:r w:rsidR="001033AB" w:rsidRPr="001033AB">
        <w:t xml:space="preserve">Health Assessments (MBS item 715) could continue to </w:t>
      </w:r>
      <w:r w:rsidR="00804EDB">
        <w:t>be</w:t>
      </w:r>
      <w:r w:rsidR="001033AB" w:rsidRPr="001033AB">
        <w:t xml:space="preserve"> made for HCH </w:t>
      </w:r>
      <w:r w:rsidR="004F5B4E" w:rsidRPr="001033AB">
        <w:t>patients</w:t>
      </w:r>
      <w:r w:rsidRPr="001033AB">
        <w:t>.</w:t>
      </w:r>
    </w:p>
    <w:p w14:paraId="5FA74D24" w14:textId="1E99F9EE" w:rsidR="00001861" w:rsidRPr="00576AA4" w:rsidRDefault="00001861" w:rsidP="00001861">
      <w:r w:rsidRPr="00576AA4">
        <w:t xml:space="preserve">HCH patients had similar numbers of claims for </w:t>
      </w:r>
      <w:r w:rsidR="007669C0" w:rsidRPr="00576AA4">
        <w:t xml:space="preserve">specialist </w:t>
      </w:r>
      <w:r w:rsidRPr="00576AA4">
        <w:t xml:space="preserve">consultations </w:t>
      </w:r>
      <w:r w:rsidR="007669C0" w:rsidRPr="00576AA4">
        <w:t>and imaging services</w:t>
      </w:r>
      <w:r w:rsidRPr="00576AA4">
        <w:t xml:space="preserve"> to </w:t>
      </w:r>
      <w:r w:rsidR="000E16C4" w:rsidRPr="00576AA4">
        <w:t>comparator</w:t>
      </w:r>
      <w:r w:rsidRPr="00576AA4">
        <w:t xml:space="preserve"> patients in both pre- and post-enrolment, but greater numbers of claims for allied health services for chronic conditions in the first year following enrolment.</w:t>
      </w:r>
    </w:p>
    <w:p w14:paraId="304736CB" w14:textId="1F7D6327" w:rsidR="00001861" w:rsidRDefault="00001861" w:rsidP="00001861">
      <w:r w:rsidRPr="00576AA4">
        <w:t xml:space="preserve">In the period following enrolment, HCH patients had slightly greater numbers of claims for any pathology test and significantly higher number of claims for HbA1c tests than </w:t>
      </w:r>
      <w:r w:rsidR="000E16C4" w:rsidRPr="00576AA4">
        <w:t>comparator</w:t>
      </w:r>
      <w:r w:rsidRPr="00576AA4">
        <w:t xml:space="preserve"> patient</w:t>
      </w:r>
      <w:r w:rsidR="000E16C4" w:rsidRPr="00576AA4">
        <w:t>s</w:t>
      </w:r>
      <w:r w:rsidRPr="00576AA4">
        <w:t>.</w:t>
      </w:r>
    </w:p>
    <w:p w14:paraId="77518762" w14:textId="03FD9143" w:rsidR="009D05B4" w:rsidRDefault="009D05B4" w:rsidP="009D05B4">
      <w:r>
        <w:t>The trial involved implementation of software to facilitate shared care planning between the HCH practices and external health providers. Although different software was used by different practices, practices reported a myriad of problems, including the software being clunky or cumbersome to use, a lack of templates for some chronic diseases and poor integration with existing clinical management systems. As a result of these problems, there was only a small movement towards electronic shared care.</w:t>
      </w:r>
    </w:p>
    <w:p w14:paraId="0DC3A0F5" w14:textId="7A1F20DF" w:rsidR="009D05B4" w:rsidRDefault="009D05B4" w:rsidP="009D05B4">
      <w:r>
        <w:t xml:space="preserve">PHN practice facilitators and practice staff reported limited awareness of HCH and the shared care planning software amongst external providers. Despite some facilitators employing various approaches to improve engagement of the wider healthcare neighbourhood through education, training and community allied health events later in the trial, facilitators cited </w:t>
      </w:r>
      <w:r w:rsidRPr="00B746BA">
        <w:t xml:space="preserve">several obstacles in attempting to increase external provider involvement in HCH. One key issue was that for practices with a small number of HCH </w:t>
      </w:r>
      <w:r w:rsidRPr="00B746BA">
        <w:lastRenderedPageBreak/>
        <w:t>patients</w:t>
      </w:r>
      <w:r w:rsidR="005B60F9">
        <w:t>,</w:t>
      </w:r>
      <w:r w:rsidRPr="00B746BA">
        <w:t xml:space="preserve"> learning to use the software </w:t>
      </w:r>
      <w:r>
        <w:t>was</w:t>
      </w:r>
      <w:r w:rsidRPr="00B746BA">
        <w:t xml:space="preserve"> not a priority for them</w:t>
      </w:r>
      <w:r>
        <w:t>. P</w:t>
      </w:r>
      <w:r w:rsidRPr="009235AA">
        <w:t>atient</w:t>
      </w:r>
      <w:r>
        <w:t xml:space="preserve"> engagement with electronic portals available through some of the software was extremely limited. This was due to technical capabilities, health literacy or interest.</w:t>
      </w:r>
      <w:r w:rsidRPr="009235AA">
        <w:t xml:space="preserve"> </w:t>
      </w:r>
      <w:r>
        <w:t>In addition, a lack of f</w:t>
      </w:r>
      <w:r w:rsidRPr="00A62A2C">
        <w:t>inancial incentive</w:t>
      </w:r>
      <w:r>
        <w:t>s to devote extra administrative time to learn about and use the new shared care software was</w:t>
      </w:r>
      <w:r w:rsidRPr="00A62A2C">
        <w:t xml:space="preserve"> also an issue for</w:t>
      </w:r>
      <w:r>
        <w:t xml:space="preserve"> internal and external</w:t>
      </w:r>
      <w:r w:rsidRPr="00A62A2C">
        <w:t xml:space="preserve"> allied health </w:t>
      </w:r>
      <w:r>
        <w:t>working with</w:t>
      </w:r>
      <w:r w:rsidRPr="00A62A2C">
        <w:t xml:space="preserve"> HCH practices</w:t>
      </w:r>
      <w:r>
        <w:t xml:space="preserve">. </w:t>
      </w:r>
    </w:p>
    <w:p w14:paraId="6664700E" w14:textId="01838E3E" w:rsidR="002B14B7" w:rsidRDefault="009D05B4" w:rsidP="00D227AA">
      <w:r>
        <w:t>These issues are consistent with the finding from the literature that electronic information exchange is a necessary</w:t>
      </w:r>
      <w:r w:rsidR="00F20B7C" w:rsidRPr="00F20B7C">
        <w:t xml:space="preserve"> </w:t>
      </w:r>
      <w:r w:rsidR="00F20B7C">
        <w:t>precondition</w:t>
      </w:r>
      <w:r>
        <w:t>, although not sufficient, for successful implementation of care collaboration though a medical or healthcare neighbourhood. Software that integrates well with existing systems, is easy to use as a by-product of existing care and provides the foundation for information exchange arrangements with external services is a requirement for any formal arrangement of collaborative care between providers.</w:t>
      </w:r>
    </w:p>
    <w:p w14:paraId="771DC15B" w14:textId="3697D916" w:rsidR="009D5776" w:rsidRDefault="009D5776" w:rsidP="009D5776">
      <w:r>
        <w:t xml:space="preserve">These analyses are described in more detail in Chapter </w:t>
      </w:r>
      <w:r>
        <w:fldChar w:fldCharType="begin"/>
      </w:r>
      <w:r>
        <w:instrText xml:space="preserve"> REF _Ref103765343 \r \h </w:instrText>
      </w:r>
      <w:r>
        <w:fldChar w:fldCharType="separate"/>
      </w:r>
      <w:r w:rsidR="003C4BC2">
        <w:t>18</w:t>
      </w:r>
      <w:r>
        <w:fldChar w:fldCharType="end"/>
      </w:r>
      <w:r w:rsidR="00976568">
        <w:t xml:space="preserve"> (p. </w:t>
      </w:r>
      <w:r w:rsidR="00976568">
        <w:fldChar w:fldCharType="begin"/>
      </w:r>
      <w:r w:rsidR="00976568">
        <w:instrText xml:space="preserve"> PAGEREF _Ref103765343 \h </w:instrText>
      </w:r>
      <w:r w:rsidR="00976568">
        <w:fldChar w:fldCharType="separate"/>
      </w:r>
      <w:r w:rsidR="003C4BC2">
        <w:rPr>
          <w:noProof/>
        </w:rPr>
        <w:t>220</w:t>
      </w:r>
      <w:r w:rsidR="00976568">
        <w:fldChar w:fldCharType="end"/>
      </w:r>
      <w:r w:rsidR="00976568">
        <w:t>)</w:t>
      </w:r>
      <w:r>
        <w:t>.</w:t>
      </w:r>
    </w:p>
    <w:p w14:paraId="7A394C19" w14:textId="77777777" w:rsidR="00D227AA" w:rsidRDefault="00D227AA" w:rsidP="00D227AA">
      <w:pPr>
        <w:pStyle w:val="Heading3"/>
      </w:pPr>
      <w:r>
        <w:t>3.04 Were the patients enrolled in the HCH program and their families/ carers more engaged in managing patients’ health needs? What strategies resulted in the greatest impact on patient activation?</w:t>
      </w:r>
    </w:p>
    <w:p w14:paraId="48CC9EFE" w14:textId="77777777" w:rsidR="00DA7693" w:rsidRDefault="00DA7693" w:rsidP="00DA7693">
      <w:r>
        <w:t>There were no changes to patient activation over the course of the trial. However, HCH patients already started with a high level of activation compared with a sample of patients with chronic disease drawn from the general Australian population.</w:t>
      </w:r>
    </w:p>
    <w:p w14:paraId="6ADFF6C3" w14:textId="421802FB" w:rsidR="00F641E4" w:rsidRPr="00B812E3" w:rsidRDefault="00F641E4" w:rsidP="00F641E4">
      <w:pPr>
        <w:rPr>
          <w:lang w:val="en-GB"/>
        </w:rPr>
      </w:pPr>
      <w:r>
        <w:t>Practices acknowledged that often patients were selected to be enrolled in HCH because they</w:t>
      </w:r>
      <w:r w:rsidRPr="00A61441">
        <w:t xml:space="preserve"> were more activated</w:t>
      </w:r>
      <w:r>
        <w:t xml:space="preserve">. Nevertheless, </w:t>
      </w:r>
      <w:r w:rsidR="00C57B94">
        <w:t>some reported</w:t>
      </w:r>
      <w:r>
        <w:t xml:space="preserve"> improvements in engagement, health literacy and self-management amongst their HCH patients. They attributed these to patient education sessions and team care, where patients had better access to nurses who could take time to talk to them about their conditions through multiple channels of communication.</w:t>
      </w:r>
      <w:r w:rsidR="00A561EE">
        <w:t xml:space="preserve"> </w:t>
      </w:r>
    </w:p>
    <w:p w14:paraId="2D0A7E2B" w14:textId="3131F847" w:rsidR="00F641E4" w:rsidRDefault="00F641E4" w:rsidP="00F641E4">
      <w:pPr>
        <w:rPr>
          <w:lang w:val="en-GB"/>
        </w:rPr>
      </w:pPr>
      <w:r>
        <w:t xml:space="preserve">Practices also thought that patient activation was </w:t>
      </w:r>
      <w:r w:rsidR="003D22A0">
        <w:t>enabled</w:t>
      </w:r>
      <w:r>
        <w:t xml:space="preserve"> by </w:t>
      </w:r>
      <w:r>
        <w:rPr>
          <w:lang w:val="en-GB"/>
        </w:rPr>
        <w:t>the practice being more proactive in looking after their patients, thereby encouraging patients to take more responsibility for their health and be more involved in their care.</w:t>
      </w:r>
    </w:p>
    <w:p w14:paraId="79D3647C" w14:textId="1223DB59" w:rsidR="00F57E59" w:rsidRDefault="00514135" w:rsidP="00F57E59">
      <w:r>
        <w:t>A</w:t>
      </w:r>
      <w:r w:rsidR="00F57E59">
        <w:t xml:space="preserve">nalyses </w:t>
      </w:r>
      <w:r>
        <w:t xml:space="preserve">related to patient activation </w:t>
      </w:r>
      <w:r w:rsidR="00A657FB">
        <w:t xml:space="preserve">and strategies adopted by practices </w:t>
      </w:r>
      <w:r w:rsidR="00F57E59">
        <w:t xml:space="preserve">are described in more detail in Chapter </w:t>
      </w:r>
      <w:r w:rsidR="005D3372">
        <w:fldChar w:fldCharType="begin"/>
      </w:r>
      <w:r w:rsidR="005D3372">
        <w:instrText xml:space="preserve"> REF _Ref103765750 \r \h </w:instrText>
      </w:r>
      <w:r w:rsidR="005D3372">
        <w:fldChar w:fldCharType="separate"/>
      </w:r>
      <w:r w:rsidR="003C4BC2">
        <w:t>10</w:t>
      </w:r>
      <w:r w:rsidR="005D3372">
        <w:fldChar w:fldCharType="end"/>
      </w:r>
      <w:r w:rsidR="005D3372">
        <w:t xml:space="preserve"> </w:t>
      </w:r>
      <w:r w:rsidR="004E0383">
        <w:t>(p.</w:t>
      </w:r>
      <w:r>
        <w:t xml:space="preserve"> </w:t>
      </w:r>
      <w:r>
        <w:fldChar w:fldCharType="begin"/>
      </w:r>
      <w:r>
        <w:instrText xml:space="preserve"> PAGEREF _Ref103765660 \h </w:instrText>
      </w:r>
      <w:r>
        <w:fldChar w:fldCharType="separate"/>
      </w:r>
      <w:r w:rsidR="003C4BC2">
        <w:rPr>
          <w:noProof/>
        </w:rPr>
        <w:t>97</w:t>
      </w:r>
      <w:r>
        <w:fldChar w:fldCharType="end"/>
      </w:r>
      <w:r>
        <w:t>)</w:t>
      </w:r>
      <w:r w:rsidR="005D3372">
        <w:t>.</w:t>
      </w:r>
    </w:p>
    <w:p w14:paraId="62B4474E" w14:textId="77777777" w:rsidR="00D227AA" w:rsidRDefault="00D227AA" w:rsidP="00D227AA">
      <w:pPr>
        <w:pStyle w:val="Heading3"/>
      </w:pPr>
      <w:r>
        <w:t>3.05 Did patients enrolled in the HCH program report an improved experience of primary care, including coordination of their care and communication with their primary care providers? What were the experiences of patients, carers and families in care planning?</w:t>
      </w:r>
    </w:p>
    <w:p w14:paraId="392062E4" w14:textId="13009259" w:rsidR="00D227AA" w:rsidRDefault="00D227AA" w:rsidP="00D227AA">
      <w:r>
        <w:t xml:space="preserve">HCH patients often had </w:t>
      </w:r>
      <w:r w:rsidR="005F6769">
        <w:t>long-standing</w:t>
      </w:r>
      <w:r>
        <w:t xml:space="preserve"> relationships with their practices. The </w:t>
      </w:r>
      <w:r w:rsidR="00ED0A3D">
        <w:t>wave</w:t>
      </w:r>
      <w:r>
        <w:t xml:space="preserve"> 1 patient survey revealed that 65% of HCH patients had been attending their practice for five or more years and a further 16% had attended for three to five years.</w:t>
      </w:r>
    </w:p>
    <w:p w14:paraId="2A7E905C" w14:textId="1EEE4EC8" w:rsidR="00D227AA" w:rsidRDefault="00D227AA" w:rsidP="00D227AA">
      <w:r>
        <w:t xml:space="preserve">Some patients appeared unaware of what </w:t>
      </w:r>
      <w:r w:rsidR="00F74291">
        <w:t xml:space="preserve">enrolment </w:t>
      </w:r>
      <w:r w:rsidR="00ED0A3D">
        <w:t xml:space="preserve">in </w:t>
      </w:r>
      <w:r>
        <w:t xml:space="preserve">HCH </w:t>
      </w:r>
      <w:r w:rsidR="00F74291">
        <w:t>entailed</w:t>
      </w:r>
      <w:r>
        <w:t xml:space="preserve"> and reported that little had changed with their care. Practices attributed patients’ observations of no difference to the fact that they were already operating like </w:t>
      </w:r>
      <w:r w:rsidR="00DB1BD7">
        <w:t>a HCH</w:t>
      </w:r>
      <w:r>
        <w:t xml:space="preserve"> before the trial. Patients generally reported getting good care, but increased awareness may allow them to take full advantage </w:t>
      </w:r>
      <w:r>
        <w:lastRenderedPageBreak/>
        <w:t>of what HCH can offer. This is especially important for HCH with its emphasis on involving patients in their care and patient self-management.</w:t>
      </w:r>
    </w:p>
    <w:p w14:paraId="5474D07E" w14:textId="0E3DDFD7" w:rsidR="00D227AA" w:rsidRDefault="00D227AA" w:rsidP="00D227AA">
      <w:r>
        <w:t xml:space="preserve">Most patients reported that they had strong, long-standing relationships with their GPs and were satisfied with the care received </w:t>
      </w:r>
      <w:r w:rsidR="00ED0A3D">
        <w:t>fro</w:t>
      </w:r>
      <w:r w:rsidR="00BC4A4A">
        <w:t>m</w:t>
      </w:r>
      <w:r>
        <w:t xml:space="preserve"> their practices. Some patients observed </w:t>
      </w:r>
      <w:r w:rsidR="00E74545" w:rsidRPr="00E74545">
        <w:t xml:space="preserve">that a </w:t>
      </w:r>
      <w:r>
        <w:t xml:space="preserve">practice nurse had more active involvement in their care </w:t>
      </w:r>
      <w:r w:rsidR="00E74545" w:rsidRPr="00E74545">
        <w:t>following enrolling in</w:t>
      </w:r>
      <w:r>
        <w:t xml:space="preserve"> HCH. </w:t>
      </w:r>
      <w:r w:rsidR="00E74545" w:rsidRPr="00E74545">
        <w:t>They</w:t>
      </w:r>
      <w:r>
        <w:t xml:space="preserve"> welcomed this change</w:t>
      </w:r>
      <w:r w:rsidR="00E74545" w:rsidRPr="00E74545">
        <w:t>, as</w:t>
      </w:r>
      <w:r>
        <w:t xml:space="preserve"> they were able to ask more questions about their health and </w:t>
      </w:r>
      <w:r w:rsidR="00E74545" w:rsidRPr="00E74545">
        <w:t>how to manage</w:t>
      </w:r>
      <w:r>
        <w:t xml:space="preserve"> their conditions.</w:t>
      </w:r>
    </w:p>
    <w:p w14:paraId="206F5F05" w14:textId="77777777" w:rsidR="00D227AA" w:rsidRDefault="00D227AA" w:rsidP="00D227AA">
      <w:r>
        <w:t>Most patients were aware of the care plan that had been developed at enrolment and received a paper copy of the plan. However, patients had limited awareness of electronic sharing of information from their shared care plan among their providers.</w:t>
      </w:r>
    </w:p>
    <w:p w14:paraId="6B9D1636" w14:textId="2B8F43D7" w:rsidR="00D227AA" w:rsidRDefault="00D227AA" w:rsidP="00D227AA">
      <w:r>
        <w:t xml:space="preserve">Some patients reported positive experiences from involvement in patient groups established by the practice, which contributed to improvements in knowledge and sometimes their physical and psychological health. However, most HCHs did not establish groups, and practices that did introduce groups had to suspend or stop their group sessions altogether </w:t>
      </w:r>
      <w:r w:rsidR="005B1556">
        <w:t>during</w:t>
      </w:r>
      <w:r>
        <w:t xml:space="preserve"> the pandemic.</w:t>
      </w:r>
    </w:p>
    <w:p w14:paraId="0469F5D4" w14:textId="2FA90CF6" w:rsidR="00D227AA" w:rsidRDefault="00D227AA" w:rsidP="00D227AA">
      <w:r>
        <w:t xml:space="preserve">Carers interviewed reflected that the </w:t>
      </w:r>
      <w:r w:rsidR="005B1556">
        <w:t>HCH model</w:t>
      </w:r>
      <w:r>
        <w:t xml:space="preserve"> </w:t>
      </w:r>
      <w:r w:rsidR="00BB5F2F">
        <w:t>was</w:t>
      </w:r>
      <w:r>
        <w:t xml:space="preserve"> a great support to them and the person they care for. Carers mentioned that the ability to request prescriptions and referrals over the phone and having the nurse or coordinator as a clinical resource </w:t>
      </w:r>
      <w:r w:rsidR="00C636C2">
        <w:t>to call upon</w:t>
      </w:r>
      <w:r>
        <w:t xml:space="preserve"> </w:t>
      </w:r>
      <w:r w:rsidR="00BB5F2F">
        <w:t>were</w:t>
      </w:r>
      <w:r>
        <w:t xml:space="preserve"> very beneficial.</w:t>
      </w:r>
    </w:p>
    <w:p w14:paraId="7008822E" w14:textId="062C1A58" w:rsidR="00D227AA" w:rsidRDefault="00D227AA" w:rsidP="00D227AA">
      <w:r>
        <w:t xml:space="preserve">Many practices reported that patients who enrolled in HCH were already motivated </w:t>
      </w:r>
      <w:r w:rsidR="001C005B">
        <w:t>to manage</w:t>
      </w:r>
      <w:r>
        <w:t xml:space="preserve"> their health. GPs also tended to approach patients to enrol whom they thought were activated or were willing to try new things. Some practices observed that through HCH, patients bec</w:t>
      </w:r>
      <w:r w:rsidR="0054173B">
        <w:t>a</w:t>
      </w:r>
      <w:r>
        <w:t>me more aware of their role in managing their health, and this engendered enthusiasm about what patients can achieve for themselves.</w:t>
      </w:r>
    </w:p>
    <w:p w14:paraId="11771972" w14:textId="77777777" w:rsidR="00D227AA" w:rsidRDefault="00D227AA" w:rsidP="00D227AA">
      <w:r>
        <w:t>In the broader rollout of programs like HCH, strategies to engage patients who are less motivated, activated and/or willing to try new things will be important. These patients are more likely have poorly controlled chronic conditions and may benefit significantly from programs like HCH.</w:t>
      </w:r>
    </w:p>
    <w:p w14:paraId="2117F246" w14:textId="2E022228" w:rsidR="00D227AA" w:rsidRDefault="00D227AA" w:rsidP="00D227AA">
      <w:r>
        <w:t xml:space="preserve">Patients of the ACCHS </w:t>
      </w:r>
      <w:r w:rsidR="003E1801">
        <w:t>clinics</w:t>
      </w:r>
      <w:r>
        <w:t xml:space="preserve"> were largely not aware of what the HCH model entailed and did not notice any changes to their care. Most were aware of their care plan and that the doctors monitored their health through regular follow-ups. They understood the association between lifestyle factors and their medical conditions, and the need to modify their lifestyle to improve their health. Some also mentioned working towards specific health goals (for example, quitting smoking). </w:t>
      </w:r>
    </w:p>
    <w:p w14:paraId="2EB62253" w14:textId="1FAC3F75" w:rsidR="00D227AA" w:rsidRDefault="00D227AA" w:rsidP="00D227AA">
      <w:r>
        <w:t>Relationships with clinic staff and continuity of care were important to patients of ACCHS</w:t>
      </w:r>
      <w:r w:rsidR="003E1801">
        <w:t xml:space="preserve"> clinics</w:t>
      </w:r>
      <w:r>
        <w:t>.</w:t>
      </w:r>
    </w:p>
    <w:p w14:paraId="1C4F9B27" w14:textId="77777777" w:rsidR="00D227AA" w:rsidRDefault="00D227AA" w:rsidP="00D227AA">
      <w:r>
        <w:t>The lack of awareness of ACCHS patients of being enrolled in HCH could be due to the similarity of the HCH model to the ACCHS model, but, as with mainstream practices, raising awareness of initiatives is important so that patients know what to expect.</w:t>
      </w:r>
    </w:p>
    <w:p w14:paraId="141CB617" w14:textId="59377300" w:rsidR="00F96430" w:rsidRDefault="00F96430" w:rsidP="00D227AA">
      <w:r>
        <w:t xml:space="preserve">Analyses of patient experience are </w:t>
      </w:r>
      <w:r w:rsidR="00F41FEF">
        <w:t xml:space="preserve">described in more detail in Chapter </w:t>
      </w:r>
      <w:r w:rsidR="00F41FEF">
        <w:fldChar w:fldCharType="begin"/>
      </w:r>
      <w:r w:rsidR="00F41FEF">
        <w:instrText xml:space="preserve"> REF _Ref103765870 \r \h </w:instrText>
      </w:r>
      <w:r w:rsidR="00F41FEF">
        <w:fldChar w:fldCharType="separate"/>
      </w:r>
      <w:r w:rsidR="003C4BC2">
        <w:t>17</w:t>
      </w:r>
      <w:r w:rsidR="00F41FEF">
        <w:fldChar w:fldCharType="end"/>
      </w:r>
      <w:r w:rsidR="00976568">
        <w:t xml:space="preserve"> (p. </w:t>
      </w:r>
      <w:r w:rsidR="00976568">
        <w:fldChar w:fldCharType="begin"/>
      </w:r>
      <w:r w:rsidR="00976568">
        <w:instrText xml:space="preserve"> PAGEREF _Ref103765870 \h </w:instrText>
      </w:r>
      <w:r w:rsidR="00976568">
        <w:fldChar w:fldCharType="separate"/>
      </w:r>
      <w:r w:rsidR="003C4BC2">
        <w:rPr>
          <w:noProof/>
        </w:rPr>
        <w:t>216</w:t>
      </w:r>
      <w:r w:rsidR="00976568">
        <w:fldChar w:fldCharType="end"/>
      </w:r>
      <w:r w:rsidR="00976568">
        <w:t>)</w:t>
      </w:r>
      <w:r w:rsidR="00F41FEF">
        <w:t>.</w:t>
      </w:r>
    </w:p>
    <w:p w14:paraId="34FFE835" w14:textId="77777777" w:rsidR="00D227AA" w:rsidRDefault="00D227AA" w:rsidP="00D227AA">
      <w:pPr>
        <w:pStyle w:val="Heading3"/>
      </w:pPr>
      <w:r>
        <w:lastRenderedPageBreak/>
        <w:t>3.06 How did the utilisation of hospital services (including emergency care), and entry into aged care change for HCH patients compared with similar patients receiving care in practices not enrolled in HCH?</w:t>
      </w:r>
    </w:p>
    <w:p w14:paraId="28FCCE77" w14:textId="41A9A309" w:rsidR="00B54047" w:rsidRPr="00576AA4" w:rsidRDefault="00B54047" w:rsidP="00B54047">
      <w:r w:rsidRPr="00576AA4">
        <w:t xml:space="preserve">More than half of HCH patients used five or more unique medicines before enrolment. This remained consistent, and similar to </w:t>
      </w:r>
      <w:r w:rsidR="000E16C4" w:rsidRPr="00576AA4">
        <w:t>comparator</w:t>
      </w:r>
      <w:r w:rsidRPr="00576AA4">
        <w:t xml:space="preserve"> patients, following enrolment. </w:t>
      </w:r>
    </w:p>
    <w:p w14:paraId="058967DA" w14:textId="77777777" w:rsidR="00B54047" w:rsidRPr="00576AA4" w:rsidRDefault="00B54047" w:rsidP="00B54047">
      <w:r w:rsidRPr="00576AA4">
        <w:t>Meanwhile, very small proportions of both HCH and comparator patients had a claim for Home Medicines Review, both pre- and post-enrolment.</w:t>
      </w:r>
    </w:p>
    <w:p w14:paraId="0361C7A7" w14:textId="774B5673" w:rsidR="00B54047" w:rsidRPr="00576AA4" w:rsidRDefault="00B54047" w:rsidP="00B54047">
      <w:r w:rsidRPr="00576AA4">
        <w:t>Similar patterns of hospital and ED use were seen in HCH and comparator patients in both pre-</w:t>
      </w:r>
      <w:r w:rsidR="009738BB">
        <w:t xml:space="preserve"> </w:t>
      </w:r>
      <w:r w:rsidRPr="00576AA4">
        <w:t xml:space="preserve">and post-enrolment periods, in terms of proportions </w:t>
      </w:r>
      <w:r w:rsidR="007911FF" w:rsidRPr="00576AA4">
        <w:t xml:space="preserve">presenting to </w:t>
      </w:r>
      <w:r w:rsidR="00104DCF">
        <w:t>emergency departments</w:t>
      </w:r>
      <w:r w:rsidR="007911FF" w:rsidRPr="00576AA4">
        <w:t xml:space="preserve">, </w:t>
      </w:r>
      <w:r w:rsidRPr="00576AA4">
        <w:t xml:space="preserve">admitted to hospital </w:t>
      </w:r>
      <w:r w:rsidR="00FD3083" w:rsidRPr="00576AA4">
        <w:t>(</w:t>
      </w:r>
      <w:r w:rsidR="00907309" w:rsidRPr="00576AA4">
        <w:t xml:space="preserve">all-cause, emergency </w:t>
      </w:r>
      <w:r w:rsidR="008D248F" w:rsidRPr="00576AA4">
        <w:t>admission, potentially preventable hospitalisations)</w:t>
      </w:r>
      <w:r w:rsidRPr="00576AA4">
        <w:t xml:space="preserve">, total number of bed-days, </w:t>
      </w:r>
      <w:r w:rsidR="007911FF" w:rsidRPr="00576AA4">
        <w:t>and</w:t>
      </w:r>
      <w:r w:rsidRPr="00576AA4">
        <w:t xml:space="preserve"> weighted intensity of admission episodes (</w:t>
      </w:r>
      <w:r w:rsidR="0010747B" w:rsidRPr="00576AA4">
        <w:t>that is,</w:t>
      </w:r>
      <w:r w:rsidRPr="00576AA4">
        <w:t xml:space="preserve"> National Weighted Activity Units)</w:t>
      </w:r>
      <w:r w:rsidR="007911FF" w:rsidRPr="00576AA4">
        <w:t>.</w:t>
      </w:r>
    </w:p>
    <w:p w14:paraId="5B4B2E91" w14:textId="77777777" w:rsidR="00A760D3" w:rsidRPr="00576AA4" w:rsidRDefault="00A760D3" w:rsidP="00A760D3">
      <w:r w:rsidRPr="00576AA4">
        <w:t>Among patients who had not used residential aged care services before enrolment, small and similar proportions of both HCH and comparator patients had an entry to an aged care facility in the follow-up period.</w:t>
      </w:r>
    </w:p>
    <w:p w14:paraId="593500A6" w14:textId="29BAF09A" w:rsidR="00B54047" w:rsidRDefault="00B54047" w:rsidP="00B54047">
      <w:r w:rsidRPr="00576AA4">
        <w:t xml:space="preserve">Patterns of serious cardiovascular events </w:t>
      </w:r>
      <w:r w:rsidR="00CF0B61" w:rsidRPr="00576AA4">
        <w:t xml:space="preserve">or </w:t>
      </w:r>
      <w:r w:rsidRPr="00576AA4">
        <w:t>mortality in both HCH and comparator patients were comparable, in both the proportions and length of time from enrolment to the event.</w:t>
      </w:r>
    </w:p>
    <w:p w14:paraId="46B62CE8" w14:textId="0236F761" w:rsidR="00F41FEF" w:rsidRPr="00576AA4" w:rsidRDefault="00F41FEF" w:rsidP="00B54047">
      <w:r>
        <w:t xml:space="preserve">These analyses are described in more detail in </w:t>
      </w:r>
      <w:r w:rsidR="00217CD8">
        <w:t xml:space="preserve">Chapter </w:t>
      </w:r>
      <w:r w:rsidR="00217CD8">
        <w:fldChar w:fldCharType="begin"/>
      </w:r>
      <w:r w:rsidR="00217CD8">
        <w:instrText xml:space="preserve"> REF _Ref103765952 \r \h </w:instrText>
      </w:r>
      <w:r w:rsidR="00217CD8">
        <w:fldChar w:fldCharType="separate"/>
      </w:r>
      <w:r w:rsidR="003C4BC2">
        <w:t>18</w:t>
      </w:r>
      <w:r w:rsidR="00217CD8">
        <w:fldChar w:fldCharType="end"/>
      </w:r>
      <w:r w:rsidR="005E56F5">
        <w:t xml:space="preserve"> (</w:t>
      </w:r>
      <w:r w:rsidR="00976568">
        <w:t>p.</w:t>
      </w:r>
      <w:r w:rsidR="004C315B">
        <w:t xml:space="preserve"> </w:t>
      </w:r>
      <w:r w:rsidR="004C315B">
        <w:fldChar w:fldCharType="begin"/>
      </w:r>
      <w:r w:rsidR="004C315B">
        <w:instrText xml:space="preserve"> PAGEREF _Ref103765343 \h </w:instrText>
      </w:r>
      <w:r w:rsidR="004C315B">
        <w:fldChar w:fldCharType="separate"/>
      </w:r>
      <w:r w:rsidR="003C4BC2">
        <w:rPr>
          <w:noProof/>
        </w:rPr>
        <w:t>220</w:t>
      </w:r>
      <w:r w:rsidR="004C315B">
        <w:fldChar w:fldCharType="end"/>
      </w:r>
      <w:r w:rsidR="005E56F5">
        <w:t>)</w:t>
      </w:r>
      <w:r w:rsidR="00D35B00">
        <w:t>.</w:t>
      </w:r>
      <w:r w:rsidR="00217CD8">
        <w:t xml:space="preserve"> </w:t>
      </w:r>
    </w:p>
    <w:p w14:paraId="08F11D87" w14:textId="602901FB" w:rsidR="00D227AA" w:rsidRDefault="00D227AA" w:rsidP="00D227AA">
      <w:pPr>
        <w:pStyle w:val="Heading3"/>
      </w:pPr>
      <w:r>
        <w:t>3.07 Which patients benefited from the HCH program? Are the benefits of the HCH program similar for patients across categories of disadvantage? Was patient participation in the program maintained through the trial? Were movements of patients between risk tiers appropriate? What does this tell us about the potential of the HCH program to improve access to primary health care, particularly for vulnerable and disadvantaged populations, and improved equity in health outcomes?</w:t>
      </w:r>
    </w:p>
    <w:p w14:paraId="1DF72952" w14:textId="63BE313D" w:rsidR="00783E0C" w:rsidRPr="009375FC" w:rsidRDefault="00E0736D" w:rsidP="00460CB9">
      <w:r w:rsidRPr="009375FC">
        <w:t>Demographic</w:t>
      </w:r>
      <w:r w:rsidR="002B0DCA" w:rsidRPr="009375FC">
        <w:t xml:space="preserve"> and socio-economic characteristics of </w:t>
      </w:r>
      <w:r w:rsidR="00097ABD" w:rsidRPr="009375FC">
        <w:t xml:space="preserve">participants in the trial are presented in </w:t>
      </w:r>
      <w:r w:rsidR="00066F5D" w:rsidRPr="009375FC">
        <w:t>various parts of this report</w:t>
      </w:r>
      <w:r w:rsidR="004451B3" w:rsidRPr="009375FC">
        <w:t>.</w:t>
      </w:r>
      <w:r w:rsidR="00F220EA" w:rsidRPr="009375FC">
        <w:t xml:space="preserve"> </w:t>
      </w:r>
    </w:p>
    <w:p w14:paraId="428E1F89" w14:textId="3D5774CE" w:rsidR="00783E0C" w:rsidRPr="00C71C86" w:rsidRDefault="00CD023E" w:rsidP="00BB7C8D">
      <w:pPr>
        <w:pStyle w:val="ListParagraph"/>
        <w:numPr>
          <w:ilvl w:val="0"/>
          <w:numId w:val="61"/>
        </w:numPr>
      </w:pPr>
      <w:r>
        <w:fldChar w:fldCharType="begin"/>
      </w:r>
      <w:r>
        <w:instrText xml:space="preserve"> REF _Ref95833500 \h </w:instrText>
      </w:r>
      <w:r>
        <w:fldChar w:fldCharType="separate"/>
      </w:r>
      <w:r w:rsidR="003C4BC2" w:rsidRPr="00E10ABC">
        <w:rPr>
          <w:rStyle w:val="Strong1"/>
          <w:b w:val="0"/>
          <w:color w:val="1D2455"/>
          <w:sz w:val="20"/>
          <w:szCs w:val="16"/>
        </w:rPr>
        <w:t xml:space="preserve">Table </w:t>
      </w:r>
      <w:r w:rsidR="003C4BC2">
        <w:rPr>
          <w:rStyle w:val="Strong1"/>
          <w:b w:val="0"/>
          <w:noProof/>
          <w:color w:val="1D2455"/>
          <w:sz w:val="20"/>
          <w:szCs w:val="16"/>
        </w:rPr>
        <w:t>6</w:t>
      </w:r>
      <w:r>
        <w:fldChar w:fldCharType="end"/>
      </w:r>
      <w:r>
        <w:t xml:space="preserve"> </w:t>
      </w:r>
      <w:r w:rsidR="0086399E" w:rsidRPr="00C71C86">
        <w:t>(</w:t>
      </w:r>
      <w:r w:rsidR="004451B3" w:rsidRPr="00C71C86">
        <w:t xml:space="preserve">p. </w:t>
      </w:r>
      <w:r w:rsidR="004451B3" w:rsidRPr="00C71C86">
        <w:fldChar w:fldCharType="begin"/>
      </w:r>
      <w:r w:rsidR="004451B3" w:rsidRPr="00C71C86">
        <w:instrText xml:space="preserve"> PAGEREF _Ref103766613 \h </w:instrText>
      </w:r>
      <w:r w:rsidR="004451B3" w:rsidRPr="00C71C86">
        <w:fldChar w:fldCharType="separate"/>
      </w:r>
      <w:r w:rsidR="003C4BC2">
        <w:rPr>
          <w:noProof/>
        </w:rPr>
        <w:t>16</w:t>
      </w:r>
      <w:r w:rsidR="004451B3" w:rsidRPr="00C71C86">
        <w:fldChar w:fldCharType="end"/>
      </w:r>
      <w:r w:rsidR="004451B3" w:rsidRPr="00C71C86">
        <w:t xml:space="preserve">) provides overall general </w:t>
      </w:r>
      <w:r w:rsidR="00E0736D" w:rsidRPr="00C71C86">
        <w:t>demographic</w:t>
      </w:r>
      <w:r w:rsidR="004451B3" w:rsidRPr="00C71C86">
        <w:t xml:space="preserve"> characteristics on HCH </w:t>
      </w:r>
      <w:r w:rsidR="00E0736D" w:rsidRPr="00C71C86">
        <w:t>enrolees</w:t>
      </w:r>
      <w:r w:rsidR="00994451" w:rsidRPr="00C71C86">
        <w:t xml:space="preserve"> (age group and sex)</w:t>
      </w:r>
      <w:r w:rsidR="00DE2F5D" w:rsidRPr="00C71C86">
        <w:t>.</w:t>
      </w:r>
      <w:r w:rsidR="008E7286" w:rsidRPr="00C71C86">
        <w:t xml:space="preserve"> </w:t>
      </w:r>
    </w:p>
    <w:p w14:paraId="3A54A425" w14:textId="77777777" w:rsidR="00783E0C" w:rsidRPr="00C71C86" w:rsidRDefault="00010742" w:rsidP="00BB7C8D">
      <w:pPr>
        <w:pStyle w:val="ListParagraph"/>
        <w:numPr>
          <w:ilvl w:val="0"/>
          <w:numId w:val="61"/>
        </w:numPr>
      </w:pPr>
      <w:r w:rsidRPr="004C315B">
        <w:rPr>
          <w:rStyle w:val="Strong1"/>
          <w:b w:val="0"/>
          <w:bCs/>
          <w:color w:val="1D2455"/>
          <w:sz w:val="20"/>
          <w:szCs w:val="16"/>
        </w:rPr>
        <w:t>Table 13</w:t>
      </w:r>
      <w:r w:rsidRPr="00C71C86">
        <w:t xml:space="preserve"> in Volume 3 </w:t>
      </w:r>
      <w:r w:rsidR="00F850CF" w:rsidRPr="00C71C86">
        <w:t xml:space="preserve">shows demographic characteristics of </w:t>
      </w:r>
      <w:r w:rsidR="0003532C" w:rsidRPr="00C71C86">
        <w:t xml:space="preserve">HCH </w:t>
      </w:r>
      <w:r w:rsidR="00F850CF" w:rsidRPr="00C71C86">
        <w:t xml:space="preserve">patients </w:t>
      </w:r>
      <w:r w:rsidR="0003532C" w:rsidRPr="00C71C86">
        <w:t>and comparato</w:t>
      </w:r>
      <w:r w:rsidR="00127998" w:rsidRPr="00C71C86">
        <w:t>r</w:t>
      </w:r>
      <w:r w:rsidR="0003532C" w:rsidRPr="00C71C86">
        <w:t xml:space="preserve"> </w:t>
      </w:r>
      <w:r w:rsidR="00F850CF" w:rsidRPr="00C71C86">
        <w:t xml:space="preserve">patients based on </w:t>
      </w:r>
      <w:r w:rsidR="008F4B7C" w:rsidRPr="00C71C86">
        <w:t xml:space="preserve">practices extracts, </w:t>
      </w:r>
      <w:r w:rsidR="0003532C" w:rsidRPr="00C71C86">
        <w:t xml:space="preserve">and </w:t>
      </w:r>
      <w:r w:rsidR="0003532C" w:rsidRPr="004C315B">
        <w:rPr>
          <w:rStyle w:val="Strong1"/>
          <w:b w:val="0"/>
          <w:color w:val="1D2455"/>
          <w:sz w:val="20"/>
          <w:szCs w:val="16"/>
        </w:rPr>
        <w:t xml:space="preserve">Table </w:t>
      </w:r>
      <w:r w:rsidR="00325239" w:rsidRPr="004C315B">
        <w:rPr>
          <w:rStyle w:val="Strong1"/>
          <w:b w:val="0"/>
          <w:color w:val="1D2455"/>
          <w:sz w:val="20"/>
          <w:szCs w:val="16"/>
        </w:rPr>
        <w:t>15</w:t>
      </w:r>
      <w:r w:rsidR="00325239" w:rsidRPr="00C71C86">
        <w:t xml:space="preserve"> </w:t>
      </w:r>
      <w:r w:rsidR="00BF11C1" w:rsidRPr="00C71C86">
        <w:t xml:space="preserve">in Volume 3 </w:t>
      </w:r>
      <w:r w:rsidR="00325239" w:rsidRPr="00C71C86">
        <w:t xml:space="preserve">shows </w:t>
      </w:r>
      <w:r w:rsidR="00127998" w:rsidRPr="00C71C86">
        <w:t xml:space="preserve">a similar comparison for </w:t>
      </w:r>
      <w:r w:rsidR="00BF11C1" w:rsidRPr="00C71C86">
        <w:t xml:space="preserve">the linked data. </w:t>
      </w:r>
    </w:p>
    <w:p w14:paraId="5A3A1417" w14:textId="7CE22EE5" w:rsidR="0018700F" w:rsidRPr="00C71C86" w:rsidRDefault="008E7286" w:rsidP="00BB7C8D">
      <w:pPr>
        <w:pStyle w:val="ListParagraph"/>
        <w:numPr>
          <w:ilvl w:val="0"/>
          <w:numId w:val="61"/>
        </w:numPr>
      </w:pPr>
      <w:r w:rsidRPr="004C315B">
        <w:rPr>
          <w:rStyle w:val="Strong1"/>
          <w:b w:val="0"/>
          <w:bCs/>
          <w:color w:val="1D2455"/>
          <w:sz w:val="20"/>
          <w:szCs w:val="16"/>
        </w:rPr>
        <w:t xml:space="preserve">Table </w:t>
      </w:r>
      <w:r w:rsidR="00FB57F7" w:rsidRPr="004C315B">
        <w:rPr>
          <w:rStyle w:val="Strong1"/>
          <w:b w:val="0"/>
          <w:bCs/>
          <w:color w:val="1D2455"/>
          <w:sz w:val="20"/>
          <w:szCs w:val="16"/>
        </w:rPr>
        <w:t>7</w:t>
      </w:r>
      <w:r w:rsidR="003C06AB" w:rsidRPr="004C315B">
        <w:rPr>
          <w:rStyle w:val="Strong1"/>
          <w:b w:val="0"/>
          <w:bCs/>
          <w:color w:val="1D2455"/>
          <w:sz w:val="20"/>
          <w:szCs w:val="16"/>
        </w:rPr>
        <w:t>8</w:t>
      </w:r>
      <w:r w:rsidR="00FB57F7" w:rsidRPr="00C71C86">
        <w:t xml:space="preserve"> in Appendix</w:t>
      </w:r>
      <w:r w:rsidR="00A561A7" w:rsidRPr="00C71C86">
        <w:t xml:space="preserve"> 7 of </w:t>
      </w:r>
      <w:r w:rsidRPr="00C71C86">
        <w:t xml:space="preserve">Volume 3 </w:t>
      </w:r>
      <w:r w:rsidR="00A561A7" w:rsidRPr="00C71C86">
        <w:t xml:space="preserve">provides </w:t>
      </w:r>
      <w:r w:rsidR="00E0736D" w:rsidRPr="00C71C86">
        <w:t>demographic</w:t>
      </w:r>
      <w:r w:rsidR="00A561A7" w:rsidRPr="00C71C86">
        <w:t xml:space="preserve"> a</w:t>
      </w:r>
      <w:r w:rsidR="00316959" w:rsidRPr="00C71C86">
        <w:t xml:space="preserve">nd other socio-economic characteristics of trial participants who responded to the patient surveys, including age group, sex, </w:t>
      </w:r>
      <w:r w:rsidR="004101F5" w:rsidRPr="00C71C86">
        <w:t xml:space="preserve">Indigenous status, </w:t>
      </w:r>
      <w:r w:rsidR="005C516B" w:rsidRPr="00C71C86">
        <w:t xml:space="preserve">country of birth, </w:t>
      </w:r>
      <w:r w:rsidR="00E64161" w:rsidRPr="00C71C86">
        <w:t xml:space="preserve">highest level of education and </w:t>
      </w:r>
      <w:r w:rsidR="00D024C5" w:rsidRPr="00C71C86">
        <w:t>household composition.</w:t>
      </w:r>
      <w:r w:rsidR="006D75FB">
        <w:t xml:space="preserve"> </w:t>
      </w:r>
      <w:r w:rsidR="00CC2DB1" w:rsidRPr="00C71C86">
        <w:t xml:space="preserve">It should be noted that the patient survey was not conducted for </w:t>
      </w:r>
      <w:r w:rsidR="007F38E1" w:rsidRPr="00C71C86">
        <w:t xml:space="preserve">patients of </w:t>
      </w:r>
      <w:r w:rsidR="00905292" w:rsidRPr="00C71C86">
        <w:t>the</w:t>
      </w:r>
      <w:r w:rsidR="007F38E1" w:rsidRPr="00C71C86">
        <w:t xml:space="preserve"> </w:t>
      </w:r>
      <w:r w:rsidR="00E0736D" w:rsidRPr="00C71C86">
        <w:t>participating</w:t>
      </w:r>
      <w:r w:rsidR="00905292" w:rsidRPr="00C71C86">
        <w:t xml:space="preserve"> Northern Territory</w:t>
      </w:r>
      <w:r w:rsidR="007F38E1" w:rsidRPr="00C71C86">
        <w:t xml:space="preserve"> </w:t>
      </w:r>
      <w:r w:rsidR="00E0736D" w:rsidRPr="00C71C86">
        <w:t>ACC</w:t>
      </w:r>
      <w:r w:rsidR="007F38E1" w:rsidRPr="00C71C86">
        <w:t>HS</w:t>
      </w:r>
      <w:r w:rsidR="006D06BE" w:rsidRPr="00C71C86">
        <w:t xml:space="preserve">, a decision made following consultation with </w:t>
      </w:r>
      <w:r w:rsidR="008E279C" w:rsidRPr="00C71C86">
        <w:t xml:space="preserve">these services. </w:t>
      </w:r>
    </w:p>
    <w:p w14:paraId="5E9A947C" w14:textId="5C34E6FE" w:rsidR="00FD0B6E" w:rsidRPr="009375FC" w:rsidRDefault="0018700F" w:rsidP="0018700F">
      <w:r w:rsidRPr="009375FC">
        <w:lastRenderedPageBreak/>
        <w:t xml:space="preserve">The characteristics of participants was influenced by the </w:t>
      </w:r>
      <w:r w:rsidR="00512F82" w:rsidRPr="009375FC">
        <w:t xml:space="preserve">characteristics of practices </w:t>
      </w:r>
      <w:r w:rsidR="00032261" w:rsidRPr="009375FC">
        <w:t xml:space="preserve">selected </w:t>
      </w:r>
      <w:r w:rsidR="00512F82" w:rsidRPr="009375FC">
        <w:t xml:space="preserve">to participate in the </w:t>
      </w:r>
      <w:r w:rsidR="00E0736D" w:rsidRPr="009375FC">
        <w:t>trial, which</w:t>
      </w:r>
      <w:r w:rsidR="00512F82" w:rsidRPr="009375FC">
        <w:t xml:space="preserve"> was</w:t>
      </w:r>
      <w:r w:rsidR="002C76EF" w:rsidRPr="009375FC">
        <w:t xml:space="preserve"> in turn shaped by the sampling frame </w:t>
      </w:r>
      <w:r w:rsidR="00E0736D" w:rsidRPr="009375FC">
        <w:t>developed</w:t>
      </w:r>
      <w:r w:rsidR="002C76EF" w:rsidRPr="009375FC">
        <w:t xml:space="preserve"> for the evaluation.</w:t>
      </w:r>
      <w:r w:rsidR="006D75FB">
        <w:t xml:space="preserve"> </w:t>
      </w:r>
    </w:p>
    <w:p w14:paraId="2B6CC1CE" w14:textId="4BE82389" w:rsidR="008A7DB0" w:rsidRPr="009375FC" w:rsidRDefault="00FD0B6E" w:rsidP="00073D74">
      <w:r w:rsidRPr="009375FC">
        <w:t>Analys</w:t>
      </w:r>
      <w:r w:rsidR="00681DA4">
        <w:t>i</w:t>
      </w:r>
      <w:r w:rsidRPr="009375FC">
        <w:t>s of outcomes by subgroups was not undertaken</w:t>
      </w:r>
      <w:r w:rsidR="009A21CB" w:rsidRPr="009375FC">
        <w:t xml:space="preserve"> for the evaluation. </w:t>
      </w:r>
      <w:r w:rsidR="00A44C1F" w:rsidRPr="009375FC">
        <w:t>Consequently,</w:t>
      </w:r>
      <w:r w:rsidR="009A21CB" w:rsidRPr="009375FC">
        <w:t xml:space="preserve"> conclusions about the </w:t>
      </w:r>
      <w:r w:rsidR="00482237" w:rsidRPr="009375FC">
        <w:t xml:space="preserve">groups for which </w:t>
      </w:r>
      <w:r w:rsidR="009A21CB" w:rsidRPr="009375FC">
        <w:t xml:space="preserve">HCH </w:t>
      </w:r>
      <w:r w:rsidR="00482237" w:rsidRPr="009375FC">
        <w:t xml:space="preserve">would be </w:t>
      </w:r>
      <w:r w:rsidR="00467332" w:rsidRPr="009375FC">
        <w:t xml:space="preserve">of </w:t>
      </w:r>
      <w:r w:rsidR="00482237" w:rsidRPr="009375FC">
        <w:t xml:space="preserve">most </w:t>
      </w:r>
      <w:r w:rsidR="00467332" w:rsidRPr="009375FC">
        <w:t>benefit</w:t>
      </w:r>
      <w:r w:rsidR="00482237" w:rsidRPr="009375FC">
        <w:t xml:space="preserve"> is largely </w:t>
      </w:r>
      <w:r w:rsidR="00467332" w:rsidRPr="009375FC">
        <w:t xml:space="preserve">based on </w:t>
      </w:r>
      <w:r w:rsidR="00642CD4" w:rsidRPr="009375FC">
        <w:t xml:space="preserve">qualitative analysis of perspectives expressed during the trial. </w:t>
      </w:r>
    </w:p>
    <w:p w14:paraId="6BBF7F4A" w14:textId="5041DA5E" w:rsidR="00A04D2B" w:rsidRDefault="00A04D2B" w:rsidP="00073D74">
      <w:r w:rsidRPr="00A04D2B">
        <w:t xml:space="preserve">Practices highlighted difficulties in enrolling patients from different cultures, non-English speaking backgrounds, recent migrants, and homeless people, due to cultural expectations, language barriers and lack of permanent accommodation. </w:t>
      </w:r>
      <w:r>
        <w:t>However, s</w:t>
      </w:r>
      <w:r w:rsidRPr="00A04D2B">
        <w:t>ometimes these barriers arose from what practices were planning to offer as part of HCH (such as telephone consults, which would not work for people with limited English without an interpreter) rather than the model not being suitable for these individuals.</w:t>
      </w:r>
      <w:r w:rsidR="007F0318" w:rsidRPr="007F0318">
        <w:t xml:space="preserve"> </w:t>
      </w:r>
      <w:r w:rsidR="007F0318">
        <w:t>However, t</w:t>
      </w:r>
      <w:r w:rsidR="007F0318" w:rsidRPr="009375FC">
        <w:t>here was a high level of enrolment of Aboriginal and Torres Strait Islander people, largely due to the participation of ACCHS.</w:t>
      </w:r>
    </w:p>
    <w:p w14:paraId="38F405BC" w14:textId="7D024C67" w:rsidR="00F32CB0" w:rsidRPr="009375FC" w:rsidRDefault="00A04D2B" w:rsidP="00073D74">
      <w:r>
        <w:t>P</w:t>
      </w:r>
      <w:r w:rsidR="00E07895" w:rsidRPr="009375FC">
        <w:t xml:space="preserve">articipating practices </w:t>
      </w:r>
      <w:r>
        <w:t>also tended to enrol</w:t>
      </w:r>
      <w:r w:rsidR="00E07895" w:rsidRPr="009375FC">
        <w:t xml:space="preserve"> patients who </w:t>
      </w:r>
      <w:r w:rsidR="007E33DA" w:rsidRPr="009375FC">
        <w:t>were more likely to have a higher level of self-efficacy or patient activation</w:t>
      </w:r>
      <w:r w:rsidR="00FD2A29" w:rsidRPr="009375FC">
        <w:t xml:space="preserve">. </w:t>
      </w:r>
    </w:p>
    <w:p w14:paraId="27772691" w14:textId="31227FAA" w:rsidR="003A0565" w:rsidRPr="00460CB9" w:rsidRDefault="00F32CB0" w:rsidP="00073D74">
      <w:r w:rsidRPr="009375FC">
        <w:t>A</w:t>
      </w:r>
      <w:r w:rsidR="00491B40" w:rsidRPr="009375FC">
        <w:t>s discussed elsewhere</w:t>
      </w:r>
      <w:r w:rsidR="008B273B" w:rsidRPr="009375FC">
        <w:t xml:space="preserve"> in this report, it is </w:t>
      </w:r>
      <w:r w:rsidRPr="009375FC">
        <w:t xml:space="preserve">possible </w:t>
      </w:r>
      <w:r w:rsidR="005F0BA9" w:rsidRPr="009375FC">
        <w:t xml:space="preserve">components of the </w:t>
      </w:r>
      <w:r w:rsidRPr="009375FC">
        <w:t xml:space="preserve">HCH </w:t>
      </w:r>
      <w:r w:rsidR="005F0BA9" w:rsidRPr="009375FC">
        <w:t xml:space="preserve">model of care may be </w:t>
      </w:r>
      <w:r w:rsidR="00B75330" w:rsidRPr="009375FC">
        <w:t xml:space="preserve">appropriate for </w:t>
      </w:r>
      <w:r w:rsidR="009D074B" w:rsidRPr="009375FC">
        <w:t xml:space="preserve">various vulnerable groups. Feedback from ACCHS suggested that the bundled payment better aligned with the approach they </w:t>
      </w:r>
      <w:r w:rsidR="000D7366" w:rsidRPr="009375FC">
        <w:t xml:space="preserve">typically adopted for care – involving team </w:t>
      </w:r>
      <w:r w:rsidR="00664952" w:rsidRPr="009375FC">
        <w:t>care with greater involvement of staff other than GPs</w:t>
      </w:r>
      <w:r w:rsidR="00F14A3C" w:rsidRPr="009375FC">
        <w:t xml:space="preserve">, and that it provided greater certainty in funding, allowing practices to better plan </w:t>
      </w:r>
      <w:r w:rsidR="00422DA8" w:rsidRPr="009375FC">
        <w:t>services delivery.</w:t>
      </w:r>
      <w:r w:rsidR="00A12825" w:rsidRPr="009375FC">
        <w:t xml:space="preserve"> </w:t>
      </w:r>
      <w:r w:rsidR="000A1CB5" w:rsidRPr="009375FC">
        <w:t>I</w:t>
      </w:r>
      <w:r w:rsidR="00A12825" w:rsidRPr="009375FC">
        <w:t xml:space="preserve">t was </w:t>
      </w:r>
      <w:r w:rsidR="000A1CB5" w:rsidRPr="009375FC">
        <w:t xml:space="preserve">also </w:t>
      </w:r>
      <w:r w:rsidR="00EC3755" w:rsidRPr="009375FC">
        <w:t>suggested by some</w:t>
      </w:r>
      <w:r w:rsidR="007C690C" w:rsidRPr="009375FC">
        <w:t xml:space="preserve"> people interviewed that </w:t>
      </w:r>
      <w:r w:rsidR="00E71D07" w:rsidRPr="009375FC">
        <w:t>less activ</w:t>
      </w:r>
      <w:r w:rsidR="000A1CB5" w:rsidRPr="009375FC">
        <w:t>ated patients are more likely to benefit from an approach that emp</w:t>
      </w:r>
      <w:r w:rsidR="00F71854" w:rsidRPr="009375FC">
        <w:t xml:space="preserve">hasises more meaningful engagement </w:t>
      </w:r>
      <w:r w:rsidR="009375FC" w:rsidRPr="009375FC">
        <w:t>with their health care providers</w:t>
      </w:r>
      <w:r w:rsidR="0003347C" w:rsidRPr="009375FC">
        <w:t xml:space="preserve">, with a focus on </w:t>
      </w:r>
      <w:r w:rsidR="00A96536" w:rsidRPr="009375FC">
        <w:t>help them to take a more</w:t>
      </w:r>
      <w:r w:rsidR="00436D85" w:rsidRPr="009375FC">
        <w:t xml:space="preserve"> active role in managing their chronic illnesses.</w:t>
      </w:r>
    </w:p>
    <w:p w14:paraId="1548A4AB" w14:textId="433D3CD1" w:rsidR="00576AA4" w:rsidRDefault="00576AA4" w:rsidP="00576AA4">
      <w:r w:rsidRPr="00576AA4">
        <w:t xml:space="preserve">At the trial end on 30 June 2021, 7,742 (68%) patients remained. </w:t>
      </w:r>
      <w:r>
        <w:t>More than one</w:t>
      </w:r>
      <w:r w:rsidR="001D0F94">
        <w:t xml:space="preserve"> </w:t>
      </w:r>
      <w:r>
        <w:t xml:space="preserve">third of patients who withdrew did so because their practice withdrew. Among all patients who enrolled, 7.3% opted out of the trial. In interviews with practices, staff commented that patients who opted out did not understand the HCH model or wanted more </w:t>
      </w:r>
      <w:r w:rsidR="00787B43">
        <w:t>one-on-one</w:t>
      </w:r>
      <w:r>
        <w:t xml:space="preserve"> time with their GP. Other reasons for withdrawing included: the patient was no longer with the practice, the patient </w:t>
      </w:r>
      <w:r w:rsidR="00AB1C1C">
        <w:t>died,</w:t>
      </w:r>
      <w:r>
        <w:t xml:space="preserve"> or the patient moved from the area.</w:t>
      </w:r>
    </w:p>
    <w:p w14:paraId="10705B96" w14:textId="3A39FF3E" w:rsidR="00576AA4" w:rsidRDefault="00576AA4" w:rsidP="00D227AA">
      <w:r>
        <w:t xml:space="preserve">Among the patients who were still in the trial until 30 June 2021, 1,053 (13.6%) were </w:t>
      </w:r>
      <w:r w:rsidR="00A8609B">
        <w:t>re-allocated</w:t>
      </w:r>
      <w:r>
        <w:t xml:space="preserve"> to a different tier at least once before 30 June 2021. Of the 1,427 patients allocated to tier 1, 381 (26.7%) moved to a </w:t>
      </w:r>
      <w:r w:rsidR="00BA01F9">
        <w:t>more complex tier</w:t>
      </w:r>
      <w:r>
        <w:t xml:space="preserve">. Of patients initially allocated to tier 2, 443 (11.3%) moved to tier 3 and 97 (2.5%) to tier 1. Of patients initially allocated to tier 3, 128 (5.3%) moved to tier 2 and a further 4 (0.2%) to tier 1. </w:t>
      </w:r>
    </w:p>
    <w:p w14:paraId="043DD9D4" w14:textId="77777777" w:rsidR="00D227AA" w:rsidRDefault="00D227AA" w:rsidP="00D227AA">
      <w:pPr>
        <w:pStyle w:val="Heading3"/>
      </w:pPr>
      <w:r>
        <w:t>3.08 What preliminary evidence is there of the impact of the HCH program on health outcomes?</w:t>
      </w:r>
    </w:p>
    <w:p w14:paraId="32A83EBE" w14:textId="77777777" w:rsidR="007922C6" w:rsidRDefault="007922C6" w:rsidP="007922C6">
      <w:r w:rsidRPr="00576AA4">
        <w:t>Among HCH patients with type 2 diabetes who had records of blood pressure and HbA1c tests, the proportion of patients achieving targeted blood pressure (&lt;130/80mmHg) and targeted glycaemic control (HbA1c ≤7%) within the two years following enrolment did not change.</w:t>
      </w:r>
    </w:p>
    <w:p w14:paraId="441B90FC" w14:textId="193C2FB9" w:rsidR="00C02118" w:rsidRDefault="00C02118" w:rsidP="00C02118">
      <w:r>
        <w:lastRenderedPageBreak/>
        <w:t xml:space="preserve">Practices reported that the main way in which patient outcomes were improved </w:t>
      </w:r>
      <w:r w:rsidR="00576AA4">
        <w:t>was</w:t>
      </w:r>
      <w:r>
        <w:t xml:space="preserve"> through chronic disease management, which included patient outreach and recall systems. These systems played a significant part in improving patient compliance with medications and disease-specific cycles of care documented in their care plans. Practices reported that patients had improved blood pressure and HbA1c, and in some instances this improvement was evidenced by the patient being re-stratified to a lower risk tier. There were also mentions that HCH patients had avoided hospitalisation by having a model of care that allowed them to call and discuss issues with the HCH nurse, although there was no detectable effect of HCH compared with comparator patients using the linked data.</w:t>
      </w:r>
    </w:p>
    <w:p w14:paraId="7095F567" w14:textId="43021506" w:rsidR="00C02118" w:rsidRDefault="00C02118" w:rsidP="00C02118">
      <w:r>
        <w:t>While practices reported a perceived improvement in patient outcomes overall, there were concerns that aspects of the model may have led to poorer outcomes for some patients. Practices identified enrolling patients with a specific GP limited options for patients in certain circumstances. For example, limited availability of a GP due to planned leave or other reasons meant that patients had to wait longer to see the GP rather than booking in with another GP at the practice.</w:t>
      </w:r>
      <w:r w:rsidR="00A561EE">
        <w:t xml:space="preserve"> </w:t>
      </w:r>
      <w:r>
        <w:t>Practices also raised negative impacts of telehealth as a form of care delivery. While respondents commented on the patient and practice convenience of telehealth, some had concerns about the potential for missed diagnoses resulting from increased use of telehealth. Lastly, practices also suggested that the increase in administrative work associated with HCH, including the shared care platforms</w:t>
      </w:r>
      <w:r w:rsidR="00DF6870">
        <w:t>,</w:t>
      </w:r>
      <w:r>
        <w:t xml:space="preserve"> may have drawn time away from patient care and improved patient outcomes.</w:t>
      </w:r>
    </w:p>
    <w:p w14:paraId="10FF5925" w14:textId="41ED6F55" w:rsidR="00576AA4" w:rsidRDefault="00C02118" w:rsidP="00C02118">
      <w:pPr>
        <w:rPr>
          <w:lang w:val="en-GB"/>
        </w:rPr>
      </w:pPr>
      <w:r>
        <w:t xml:space="preserve">Many </w:t>
      </w:r>
      <w:r>
        <w:rPr>
          <w:lang w:val="en-GB"/>
        </w:rPr>
        <w:t xml:space="preserve">of the practices interviewed felt it was still too early to tell whether patients’ health had improved as a result of the changes they made as </w:t>
      </w:r>
      <w:r w:rsidR="00DB1BD7">
        <w:rPr>
          <w:lang w:val="en-GB"/>
        </w:rPr>
        <w:t>a HCH</w:t>
      </w:r>
      <w:r>
        <w:rPr>
          <w:lang w:val="en-GB"/>
        </w:rPr>
        <w:t>, and a few felt it had made little to no difference.</w:t>
      </w:r>
    </w:p>
    <w:p w14:paraId="7754D300" w14:textId="49036F1E" w:rsidR="00F64F05" w:rsidRPr="00576AA4" w:rsidRDefault="00F64F05" w:rsidP="00F64F05">
      <w:r>
        <w:t xml:space="preserve">These analyses are described in more detail in </w:t>
      </w:r>
      <w:r w:rsidR="004C315B">
        <w:t>C</w:t>
      </w:r>
      <w:r>
        <w:t>hapter</w:t>
      </w:r>
      <w:r w:rsidR="00D05721">
        <w:t xml:space="preserve"> </w:t>
      </w:r>
      <w:r w:rsidR="00E06242">
        <w:fldChar w:fldCharType="begin"/>
      </w:r>
      <w:r w:rsidR="00E06242">
        <w:instrText xml:space="preserve"> REF _Ref103771651 \r \h </w:instrText>
      </w:r>
      <w:r w:rsidR="00E06242">
        <w:fldChar w:fldCharType="separate"/>
      </w:r>
      <w:r w:rsidR="003C4BC2">
        <w:t>15</w:t>
      </w:r>
      <w:r w:rsidR="00E06242">
        <w:fldChar w:fldCharType="end"/>
      </w:r>
      <w:r w:rsidR="000C1C0F">
        <w:t xml:space="preserve"> (</w:t>
      </w:r>
      <w:r w:rsidR="0087055C">
        <w:t>p.</w:t>
      </w:r>
      <w:r w:rsidR="004C315B">
        <w:t xml:space="preserve"> </w:t>
      </w:r>
      <w:r w:rsidR="004C315B">
        <w:fldChar w:fldCharType="begin"/>
      </w:r>
      <w:r w:rsidR="004C315B">
        <w:instrText xml:space="preserve"> PAGEREF _Ref103765169 \h </w:instrText>
      </w:r>
      <w:r w:rsidR="004C315B">
        <w:fldChar w:fldCharType="separate"/>
      </w:r>
      <w:r w:rsidR="003C4BC2">
        <w:rPr>
          <w:noProof/>
        </w:rPr>
        <w:t>173</w:t>
      </w:r>
      <w:r w:rsidR="004C315B">
        <w:fldChar w:fldCharType="end"/>
      </w:r>
      <w:r w:rsidR="0087055C">
        <w:t>)</w:t>
      </w:r>
      <w:r w:rsidR="00992EB8">
        <w:t>,</w:t>
      </w:r>
      <w:r w:rsidR="00631B5F">
        <w:t xml:space="preserve"> </w:t>
      </w:r>
      <w:r w:rsidR="004C315B">
        <w:t xml:space="preserve">Chapter </w:t>
      </w:r>
      <w:r w:rsidR="00631B5F">
        <w:fldChar w:fldCharType="begin"/>
      </w:r>
      <w:r w:rsidR="00631B5F">
        <w:instrText xml:space="preserve"> REF _Ref103771753 \r \h </w:instrText>
      </w:r>
      <w:r w:rsidR="00631B5F">
        <w:fldChar w:fldCharType="separate"/>
      </w:r>
      <w:r w:rsidR="003C4BC2">
        <w:t>17</w:t>
      </w:r>
      <w:r w:rsidR="00631B5F">
        <w:fldChar w:fldCharType="end"/>
      </w:r>
      <w:r w:rsidR="00631B5F">
        <w:t xml:space="preserve"> </w:t>
      </w:r>
      <w:r w:rsidR="00D81F7B">
        <w:t xml:space="preserve">(p. </w:t>
      </w:r>
      <w:r w:rsidR="00D81F7B">
        <w:fldChar w:fldCharType="begin"/>
      </w:r>
      <w:r w:rsidR="00D81F7B">
        <w:instrText xml:space="preserve"> PAGEREF _Ref103765870 \h </w:instrText>
      </w:r>
      <w:r w:rsidR="00D81F7B">
        <w:fldChar w:fldCharType="separate"/>
      </w:r>
      <w:r w:rsidR="003C4BC2">
        <w:rPr>
          <w:noProof/>
        </w:rPr>
        <w:t>216</w:t>
      </w:r>
      <w:r w:rsidR="00D81F7B">
        <w:fldChar w:fldCharType="end"/>
      </w:r>
      <w:r w:rsidR="00D81F7B">
        <w:t xml:space="preserve">) </w:t>
      </w:r>
      <w:r w:rsidR="00631B5F">
        <w:t xml:space="preserve">and </w:t>
      </w:r>
      <w:r w:rsidR="004C315B">
        <w:t xml:space="preserve">Chapter </w:t>
      </w:r>
      <w:r>
        <w:fldChar w:fldCharType="begin"/>
      </w:r>
      <w:r>
        <w:instrText xml:space="preserve"> REF _Ref103765952 \r \h </w:instrText>
      </w:r>
      <w:r>
        <w:fldChar w:fldCharType="separate"/>
      </w:r>
      <w:r w:rsidR="003C4BC2">
        <w:t>18</w:t>
      </w:r>
      <w:r>
        <w:fldChar w:fldCharType="end"/>
      </w:r>
      <w:r w:rsidR="00D81F7B">
        <w:t xml:space="preserve"> (p. </w:t>
      </w:r>
      <w:r w:rsidR="00D81F7B">
        <w:fldChar w:fldCharType="begin"/>
      </w:r>
      <w:r w:rsidR="00D81F7B">
        <w:instrText xml:space="preserve"> PAGEREF _Ref103765343 \h </w:instrText>
      </w:r>
      <w:r w:rsidR="00D81F7B">
        <w:fldChar w:fldCharType="separate"/>
      </w:r>
      <w:r w:rsidR="003C4BC2">
        <w:rPr>
          <w:noProof/>
        </w:rPr>
        <w:t>220</w:t>
      </w:r>
      <w:r w:rsidR="00D81F7B">
        <w:fldChar w:fldCharType="end"/>
      </w:r>
      <w:r w:rsidR="00D81F7B">
        <w:t>)</w:t>
      </w:r>
      <w:r w:rsidR="00631B5F">
        <w:t>.</w:t>
      </w:r>
      <w:r>
        <w:t xml:space="preserve"> </w:t>
      </w:r>
    </w:p>
    <w:p w14:paraId="753CD095" w14:textId="77777777" w:rsidR="00576AA4" w:rsidRDefault="00576AA4">
      <w:pPr>
        <w:spacing w:after="160" w:line="259" w:lineRule="auto"/>
        <w:rPr>
          <w:lang w:val="en-GB"/>
        </w:rPr>
      </w:pPr>
      <w:r>
        <w:rPr>
          <w:lang w:val="en-GB"/>
        </w:rPr>
        <w:br w:type="page"/>
      </w:r>
    </w:p>
    <w:p w14:paraId="78FB4B05" w14:textId="77777777" w:rsidR="00D227AA" w:rsidRDefault="00D227AA" w:rsidP="00D227AA">
      <w:pPr>
        <w:pStyle w:val="Heading2"/>
      </w:pPr>
      <w:bookmarkStart w:id="539" w:name="_Toc97907726"/>
      <w:bookmarkStart w:id="540" w:name="_Toc109996793"/>
      <w:r w:rsidRPr="009404EF">
        <w:lastRenderedPageBreak/>
        <w:t>Key evaluation question 4: What are the financial effects of the HCH model on governments, providers and individuals?</w:t>
      </w:r>
      <w:bookmarkEnd w:id="539"/>
      <w:bookmarkEnd w:id="540"/>
    </w:p>
    <w:p w14:paraId="5B79F799" w14:textId="77777777" w:rsidR="00D227AA" w:rsidRDefault="00D227AA" w:rsidP="00D227AA">
      <w:pPr>
        <w:pStyle w:val="Heading3"/>
      </w:pPr>
      <w:r>
        <w:t>4.01 What is the cost to governments of care for HCH enrolled patients?</w:t>
      </w:r>
    </w:p>
    <w:p w14:paraId="7D96A460" w14:textId="4CD4D5C9" w:rsidR="00BA35C3" w:rsidRDefault="00BA35C3" w:rsidP="00BA35C3">
      <w:r>
        <w:t xml:space="preserve">From the perspective of government expenditures, the impact of the HCH program was to increase overall expenditures on Medicare services, despite substantial falls in fee-for-service payments. This was due to outlays related to the bundled payment. Although the impact was higher overall, Medicare expenditures gradually fell over time on a per-patient basis. There were no impacts on government expenditures on PBS medicines or hospital admissions. </w:t>
      </w:r>
    </w:p>
    <w:p w14:paraId="16D8EED6" w14:textId="10A422C1" w:rsidR="006B34A4" w:rsidRDefault="00746AFE" w:rsidP="00BA35C3">
      <w:r>
        <w:t xml:space="preserve">For further analysis see Chapter </w:t>
      </w:r>
      <w:r w:rsidR="00B06031">
        <w:fldChar w:fldCharType="begin"/>
      </w:r>
      <w:r w:rsidR="00B06031">
        <w:instrText xml:space="preserve"> REF _Ref98410423 \r \h </w:instrText>
      </w:r>
      <w:r w:rsidR="00B06031">
        <w:fldChar w:fldCharType="separate"/>
      </w:r>
      <w:r w:rsidR="003C4BC2">
        <w:t>19</w:t>
      </w:r>
      <w:r w:rsidR="00B06031">
        <w:fldChar w:fldCharType="end"/>
      </w:r>
      <w:r w:rsidR="00B06031">
        <w:t xml:space="preserve"> (</w:t>
      </w:r>
      <w:r w:rsidR="00EB1B38">
        <w:t>p.</w:t>
      </w:r>
      <w:r w:rsidR="004C315B">
        <w:t xml:space="preserve"> </w:t>
      </w:r>
      <w:r w:rsidR="004C315B">
        <w:fldChar w:fldCharType="begin"/>
      </w:r>
      <w:r w:rsidR="004C315B">
        <w:instrText xml:space="preserve"> PAGEREF _Ref98410423 \h </w:instrText>
      </w:r>
      <w:r w:rsidR="004C315B">
        <w:fldChar w:fldCharType="separate"/>
      </w:r>
      <w:r w:rsidR="003C4BC2">
        <w:rPr>
          <w:noProof/>
        </w:rPr>
        <w:t>248</w:t>
      </w:r>
      <w:r w:rsidR="004C315B">
        <w:fldChar w:fldCharType="end"/>
      </w:r>
      <w:r w:rsidR="00B06031">
        <w:t>)</w:t>
      </w:r>
      <w:r w:rsidR="004C315B">
        <w:t>.</w:t>
      </w:r>
    </w:p>
    <w:p w14:paraId="413B64AF" w14:textId="6F8536F9" w:rsidR="00110B4F" w:rsidRDefault="00D227AA" w:rsidP="00110B4F">
      <w:pPr>
        <w:pStyle w:val="Heading3"/>
      </w:pPr>
      <w:r>
        <w:t>4.02 What is the cost to governments of care for HCH enrolled patients taking into consideration the net of savings due to reduced hospitalisation and other health services?</w:t>
      </w:r>
      <w:r w:rsidR="001C6975" w:rsidRPr="001C6975">
        <w:t xml:space="preserve"> </w:t>
      </w:r>
      <w:r w:rsidR="001C6975">
        <w:t>4.03 Is the current HCH model financially sustainable?</w:t>
      </w:r>
      <w:r w:rsidR="00110B4F" w:rsidRPr="00110B4F">
        <w:t xml:space="preserve"> </w:t>
      </w:r>
      <w:r w:rsidR="00110B4F">
        <w:t>4.06 Does the HCH program deliver value for money?</w:t>
      </w:r>
    </w:p>
    <w:p w14:paraId="15671AC7" w14:textId="44174211" w:rsidR="00D227AA" w:rsidRDefault="001C6975" w:rsidP="00D227AA">
      <w:r>
        <w:t xml:space="preserve">Overall, the government spent $84.7 million on the HCH program. </w:t>
      </w:r>
      <w:r w:rsidR="00D81F7B">
        <w:t>The evaluation was not able to</w:t>
      </w:r>
      <w:r w:rsidR="00D81F7B" w:rsidRPr="00A85AFB">
        <w:t xml:space="preserve"> </w:t>
      </w:r>
      <w:r w:rsidR="00D81F7B">
        <w:t xml:space="preserve">reach a conclusion about the </w:t>
      </w:r>
      <w:r w:rsidR="00D81F7B" w:rsidRPr="00A85AFB">
        <w:t>value-for-money</w:t>
      </w:r>
      <w:r w:rsidR="00D81F7B">
        <w:t xml:space="preserve"> of the program.</w:t>
      </w:r>
    </w:p>
    <w:p w14:paraId="5842E2AB" w14:textId="6B687337" w:rsidR="00B06031" w:rsidRDefault="00B06031" w:rsidP="00B06031">
      <w:r>
        <w:t xml:space="preserve">For further analysis see Chapter </w:t>
      </w:r>
      <w:r>
        <w:fldChar w:fldCharType="begin"/>
      </w:r>
      <w:r>
        <w:instrText xml:space="preserve"> REF _Ref98410423 \r \h </w:instrText>
      </w:r>
      <w:r>
        <w:fldChar w:fldCharType="separate"/>
      </w:r>
      <w:r w:rsidR="003C4BC2">
        <w:t>19</w:t>
      </w:r>
      <w:r>
        <w:fldChar w:fldCharType="end"/>
      </w:r>
      <w:r>
        <w:t xml:space="preserve"> (</w:t>
      </w:r>
      <w:r w:rsidR="004C315B">
        <w:t xml:space="preserve">p. </w:t>
      </w:r>
      <w:r w:rsidR="004C315B">
        <w:fldChar w:fldCharType="begin"/>
      </w:r>
      <w:r w:rsidR="004C315B">
        <w:instrText xml:space="preserve"> PAGEREF _Ref98410423 \h </w:instrText>
      </w:r>
      <w:r w:rsidR="004C315B">
        <w:fldChar w:fldCharType="separate"/>
      </w:r>
      <w:r w:rsidR="003C4BC2">
        <w:rPr>
          <w:noProof/>
        </w:rPr>
        <w:t>248</w:t>
      </w:r>
      <w:r w:rsidR="004C315B">
        <w:fldChar w:fldCharType="end"/>
      </w:r>
      <w:r>
        <w:t>)</w:t>
      </w:r>
      <w:r w:rsidR="004C315B">
        <w:t>.</w:t>
      </w:r>
    </w:p>
    <w:p w14:paraId="0F62BABE" w14:textId="77777777" w:rsidR="00D227AA" w:rsidRDefault="00D227AA" w:rsidP="00D227AA">
      <w:pPr>
        <w:pStyle w:val="Heading3"/>
      </w:pPr>
      <w:r>
        <w:t>4.04 What resources are required to make HCH succeed, and how can these be efficiently used?</w:t>
      </w:r>
    </w:p>
    <w:p w14:paraId="59A2C35E" w14:textId="36001998" w:rsidR="00D227AA" w:rsidRDefault="00110B4F" w:rsidP="00D227AA">
      <w:r>
        <w:t xml:space="preserve">Not </w:t>
      </w:r>
      <w:r w:rsidR="00576AA4">
        <w:t>investigated</w:t>
      </w:r>
      <w:r>
        <w:t>.</w:t>
      </w:r>
    </w:p>
    <w:p w14:paraId="542DDDC4" w14:textId="77777777" w:rsidR="00D227AA" w:rsidRDefault="00D227AA" w:rsidP="00D227AA">
      <w:pPr>
        <w:pStyle w:val="Heading3"/>
      </w:pPr>
      <w:r>
        <w:t>4.05 What will be the financial impact of extending the model to practices across Australia?</w:t>
      </w:r>
    </w:p>
    <w:p w14:paraId="7CDE0AD4" w14:textId="77777777" w:rsidR="00576AA4" w:rsidRDefault="00576AA4" w:rsidP="00576AA4">
      <w:r>
        <w:t>Not investigated.</w:t>
      </w:r>
    </w:p>
    <w:p w14:paraId="39E62E4B" w14:textId="77777777" w:rsidR="00D227AA" w:rsidRDefault="00D227AA" w:rsidP="00D227AA">
      <w:pPr>
        <w:pStyle w:val="Heading3"/>
      </w:pPr>
      <w:r>
        <w:t>4.07 What are the costs to practices of delivering HCH programs? Is this matched by HCH payments? Is the current HCH model financially sustainable for practices?</w:t>
      </w:r>
    </w:p>
    <w:p w14:paraId="75664541" w14:textId="66DDB00C" w:rsidR="00775939" w:rsidRDefault="00775939" w:rsidP="00775939">
      <w:r>
        <w:t xml:space="preserve">For practices, we first measured changes in income derived from fee-for-service delivery of Medicare services. The results showed that as expected, this declined substantially on a per-patient basis, and continued to fall over the follow-up period. This income was more than replaced by the bundled payment, suggesting that while practices had administrative problems with the payment, on average it supported practices’ financial sustainability. </w:t>
      </w:r>
    </w:p>
    <w:p w14:paraId="77C0F970" w14:textId="2C83C38A" w:rsidR="00B9436D" w:rsidRDefault="00B9436D" w:rsidP="00B9436D">
      <w:r>
        <w:t xml:space="preserve">For further analysis see Chapter </w:t>
      </w:r>
      <w:r>
        <w:fldChar w:fldCharType="begin"/>
      </w:r>
      <w:r>
        <w:instrText xml:space="preserve"> REF _Ref98410423 \r \h </w:instrText>
      </w:r>
      <w:r>
        <w:fldChar w:fldCharType="separate"/>
      </w:r>
      <w:r w:rsidR="003C4BC2">
        <w:t>19</w:t>
      </w:r>
      <w:r>
        <w:fldChar w:fldCharType="end"/>
      </w:r>
      <w:r>
        <w:t xml:space="preserve"> (</w:t>
      </w:r>
      <w:r w:rsidR="004C315B">
        <w:t xml:space="preserve">p. </w:t>
      </w:r>
      <w:r w:rsidR="004C315B">
        <w:fldChar w:fldCharType="begin"/>
      </w:r>
      <w:r w:rsidR="004C315B">
        <w:instrText xml:space="preserve"> PAGEREF _Ref98410423 \h </w:instrText>
      </w:r>
      <w:r w:rsidR="004C315B">
        <w:fldChar w:fldCharType="separate"/>
      </w:r>
      <w:r w:rsidR="003C4BC2">
        <w:rPr>
          <w:noProof/>
        </w:rPr>
        <w:t>248</w:t>
      </w:r>
      <w:r w:rsidR="004C315B">
        <w:fldChar w:fldCharType="end"/>
      </w:r>
      <w:r>
        <w:t>)</w:t>
      </w:r>
      <w:r w:rsidR="00BA300C">
        <w:t>.</w:t>
      </w:r>
    </w:p>
    <w:p w14:paraId="033D5F8E" w14:textId="77777777" w:rsidR="007F5022" w:rsidRDefault="007F5022" w:rsidP="00775939"/>
    <w:p w14:paraId="3F5A861C" w14:textId="77777777" w:rsidR="00D227AA" w:rsidRDefault="00D227AA" w:rsidP="00D227AA">
      <w:pPr>
        <w:pStyle w:val="Heading3"/>
      </w:pPr>
      <w:r>
        <w:lastRenderedPageBreak/>
        <w:t>4.08 What is the impact of HCH enrolment on patient, carer and family out-of-pocket costs?</w:t>
      </w:r>
    </w:p>
    <w:p w14:paraId="47A6AA56" w14:textId="77777777" w:rsidR="00BA300C" w:rsidRDefault="003E6764" w:rsidP="00D227AA">
      <w:pPr>
        <w:spacing w:after="160" w:line="259" w:lineRule="auto"/>
      </w:pPr>
      <w:r>
        <w:t>For patients, the HCH program had little impact on out-of-pocket costs for Medicare services, and no impact on patient costs for PBS medicines.</w:t>
      </w:r>
    </w:p>
    <w:p w14:paraId="5FE1823A" w14:textId="272BA8F4" w:rsidR="00BA300C" w:rsidRDefault="00BA300C" w:rsidP="00BA300C">
      <w:r>
        <w:t xml:space="preserve">For further analysis see Chapter </w:t>
      </w:r>
      <w:r>
        <w:fldChar w:fldCharType="begin"/>
      </w:r>
      <w:r>
        <w:instrText xml:space="preserve"> REF _Ref98410423 \r \h </w:instrText>
      </w:r>
      <w:r>
        <w:fldChar w:fldCharType="separate"/>
      </w:r>
      <w:r w:rsidR="003C4BC2">
        <w:t>19</w:t>
      </w:r>
      <w:r>
        <w:fldChar w:fldCharType="end"/>
      </w:r>
      <w:r>
        <w:t xml:space="preserve"> (</w:t>
      </w:r>
      <w:r w:rsidR="00EB1B38">
        <w:t xml:space="preserve">p. </w:t>
      </w:r>
      <w:r w:rsidR="004C315B">
        <w:fldChar w:fldCharType="begin"/>
      </w:r>
      <w:r w:rsidR="004C315B">
        <w:instrText xml:space="preserve"> PAGEREF _Ref98410423 \h </w:instrText>
      </w:r>
      <w:r w:rsidR="004C315B">
        <w:fldChar w:fldCharType="separate"/>
      </w:r>
      <w:r w:rsidR="003C4BC2">
        <w:rPr>
          <w:noProof/>
        </w:rPr>
        <w:t>248</w:t>
      </w:r>
      <w:r w:rsidR="004C315B">
        <w:fldChar w:fldCharType="end"/>
      </w:r>
      <w:r>
        <w:t>).</w:t>
      </w:r>
    </w:p>
    <w:p w14:paraId="0ED7C328" w14:textId="7F645891" w:rsidR="00D227AA" w:rsidRDefault="00D227AA" w:rsidP="00D227AA">
      <w:pPr>
        <w:spacing w:after="160" w:line="259" w:lineRule="auto"/>
      </w:pPr>
      <w:r>
        <w:br w:type="page"/>
      </w:r>
    </w:p>
    <w:p w14:paraId="066686FD" w14:textId="77777777" w:rsidR="00D227AA" w:rsidRDefault="00D227AA" w:rsidP="00D227AA">
      <w:pPr>
        <w:pStyle w:val="Heading2"/>
      </w:pPr>
      <w:bookmarkStart w:id="541" w:name="_Toc97907727"/>
      <w:bookmarkStart w:id="542" w:name="_Toc109996794"/>
      <w:r w:rsidRPr="00740FCC">
        <w:lastRenderedPageBreak/>
        <w:t xml:space="preserve">Key evaluation questions 5–8: </w:t>
      </w:r>
      <w:r>
        <w:t>C</w:t>
      </w:r>
      <w:r w:rsidRPr="00740FCC">
        <w:t>ommunity pharmacy trial</w:t>
      </w:r>
      <w:bookmarkEnd w:id="541"/>
      <w:bookmarkEnd w:id="542"/>
    </w:p>
    <w:p w14:paraId="265546E4" w14:textId="77777777" w:rsidR="00D227AA" w:rsidRDefault="00D227AA" w:rsidP="00D227AA">
      <w:pPr>
        <w:pStyle w:val="Heading3"/>
      </w:pPr>
      <w:r>
        <w:t>Key question 5: Is community pharmacy a beneficial component of the broader HCH coordinated care model and should it be included as part of any future roll out?</w:t>
      </w:r>
    </w:p>
    <w:p w14:paraId="308D6E66" w14:textId="77777777" w:rsidR="00D227AA" w:rsidRDefault="00D227AA" w:rsidP="00D227AA">
      <w:r>
        <w:t>Similar to HCHs, some pharmacies participated the community pharmacy trial in HCH because they were already providing similar services to those expected as part of the initiative, and they thought that the model is the future of pharmacy. Another reason for participating was the benefits of the initiative for patients. For example, pharmacists felt that they have more time to devote to patients than do GPs and are more accessible. Therefore, they felt that they could fill gaps in care that may be overlooked by GPs and reduce the burden on GPs. They were also motivated to participate to strengthen their relationships with HCH practices.</w:t>
      </w:r>
    </w:p>
    <w:p w14:paraId="3CD1032A" w14:textId="77777777" w:rsidR="00D227AA" w:rsidRDefault="00D227AA" w:rsidP="00D227AA">
      <w:r>
        <w:t xml:space="preserve">All pharmacies had to prepare for the trial in some way, at minimum, establish software and processes to register patients, record key information and receive payments. Some had to make more extensive changes that included hiring additional staff or making changes to the role of staff and creating a private physical space to consult with patients. </w:t>
      </w:r>
    </w:p>
    <w:p w14:paraId="342DC596" w14:textId="0BBC3FC1" w:rsidR="00982830" w:rsidRDefault="00982830" w:rsidP="00982830">
      <w:r w:rsidRPr="00AD7CED">
        <w:t xml:space="preserve">While 689 pharmacies registered to participate in the trial, only 95 had undertaken a consultation with at least one patient. These pharmacies each consulted with 16 patients on average (although more than half of the pharmacies had consulted with less than 5 patients). </w:t>
      </w:r>
      <w:r w:rsidR="00C772AD" w:rsidRPr="00C772AD">
        <w:t xml:space="preserve">Patients had been referred from 40 of the 165 </w:t>
      </w:r>
      <w:r w:rsidR="00070CA5">
        <w:t xml:space="preserve">HCH </w:t>
      </w:r>
      <w:r w:rsidR="00C772AD" w:rsidRPr="00C772AD">
        <w:t>practices that enrolled more than one patient</w:t>
      </w:r>
      <w:r w:rsidRPr="00AD7CED">
        <w:t>.</w:t>
      </w:r>
    </w:p>
    <w:p w14:paraId="5B01CEB4" w14:textId="24EE0101" w:rsidR="00982830" w:rsidRDefault="00982830" w:rsidP="00982830">
      <w:r>
        <w:t>The number of patients receiving an initial review was 1,531. Of these, 845 had one follow-up, 588 had two, 402 had three and 150 had four. With some initial consultations not occurring until 2021, there were limited opportunities for follow-up reviews for some patients</w:t>
      </w:r>
      <w:r w:rsidR="00B54F4E">
        <w:t xml:space="preserve"> as part of the trial</w:t>
      </w:r>
      <w:r>
        <w:t>.</w:t>
      </w:r>
    </w:p>
    <w:p w14:paraId="6601C545" w14:textId="77777777" w:rsidR="00D227AA" w:rsidRDefault="00D227AA" w:rsidP="00D227AA">
      <w:r>
        <w:t>The main service provided by pharmacists to HCH patients were medication reviews and support services such as dose administration aids, blood pressure monitoring, medical device education and training, and blood glucose monitoring.</w:t>
      </w:r>
    </w:p>
    <w:p w14:paraId="6CF9CBA5" w14:textId="77777777" w:rsidR="00D227AA" w:rsidRDefault="00D227AA" w:rsidP="00D227AA">
      <w:r>
        <w:t>Pharmacists completing follow-ups with patients reported they would check in with the patient, reinforce what was discussed in the initial consultation and discuss medication changes, what has been beneficial for the patient, treatment goals, patient compliance and patient outcomes related to receiving education.</w:t>
      </w:r>
    </w:p>
    <w:p w14:paraId="46066224" w14:textId="739BAC67" w:rsidR="00D227AA" w:rsidRDefault="00D227AA" w:rsidP="00D227AA">
      <w:r>
        <w:t>Pharmacists reported that COVID-19 affected both their capacity to provide services to HCH patients due to competing demands as well as not having access to patients due to lockdowns.</w:t>
      </w:r>
    </w:p>
    <w:p w14:paraId="7DEFD9D0" w14:textId="77777777" w:rsidR="00D227AA" w:rsidRDefault="00D227AA" w:rsidP="00D227AA">
      <w:r>
        <w:t>Pharmacists largely reported positive experiences with the community pharmacy trial. Benefits included practising what they are professionally trained to do and making a positive difference to patients’ health.</w:t>
      </w:r>
    </w:p>
    <w:p w14:paraId="47FDB41D" w14:textId="41730B5D" w:rsidR="00C57E47" w:rsidRDefault="00DC1EA7" w:rsidP="00D227AA">
      <w:r>
        <w:lastRenderedPageBreak/>
        <w:t>T</w:t>
      </w:r>
      <w:r w:rsidR="005E509F" w:rsidRPr="005E509F">
        <w:t>he literature points to the importan</w:t>
      </w:r>
      <w:r w:rsidR="003430C1">
        <w:t xml:space="preserve">ce of creating opportunities </w:t>
      </w:r>
      <w:r w:rsidR="00BD47BF">
        <w:t>to</w:t>
      </w:r>
      <w:r w:rsidR="003430C1">
        <w:t xml:space="preserve"> build relationship</w:t>
      </w:r>
      <w:r w:rsidR="00BD47BF">
        <w:t>s</w:t>
      </w:r>
      <w:r w:rsidR="003430C1">
        <w:t xml:space="preserve"> and</w:t>
      </w:r>
      <w:r w:rsidR="005E509F" w:rsidRPr="005E509F">
        <w:t xml:space="preserve"> trust between GPs/practices and pharmacists</w:t>
      </w:r>
      <w:r w:rsidR="00D7095D">
        <w:t>. Much of this literature relates to</w:t>
      </w:r>
      <w:r w:rsidR="005E509F" w:rsidRPr="005E509F">
        <w:t xml:space="preserve"> models in which the pharmacist is embedded in the practice and practice staff have an opportunity to observe the type of input that the pharmacist could have for patients.</w:t>
      </w:r>
      <w:r w:rsidR="002D2E4B">
        <w:t xml:space="preserve"> </w:t>
      </w:r>
      <w:r w:rsidR="00BE2E11">
        <w:t xml:space="preserve">Models </w:t>
      </w:r>
      <w:r w:rsidR="002F7DE7">
        <w:t>are required</w:t>
      </w:r>
      <w:r w:rsidR="00BE2E11">
        <w:t xml:space="preserve"> that are reflective of the structure of general practice and </w:t>
      </w:r>
      <w:r w:rsidR="00A24DAD">
        <w:t xml:space="preserve">community </w:t>
      </w:r>
      <w:r w:rsidR="0011368D">
        <w:t>pharmacy in Australia</w:t>
      </w:r>
      <w:r w:rsidR="002F7DE7">
        <w:t xml:space="preserve">, and that </w:t>
      </w:r>
      <w:r w:rsidR="00A24DAD">
        <w:t xml:space="preserve">promote </w:t>
      </w:r>
      <w:r w:rsidR="00921B4B">
        <w:t>better communication</w:t>
      </w:r>
      <w:r w:rsidR="00C2718C">
        <w:t xml:space="preserve">, </w:t>
      </w:r>
      <w:r w:rsidR="00921B4B">
        <w:t>building of trust</w:t>
      </w:r>
      <w:r w:rsidR="00C2718C">
        <w:t xml:space="preserve"> and optimal use of resources</w:t>
      </w:r>
      <w:r w:rsidR="005732C4">
        <w:t>.</w:t>
      </w:r>
    </w:p>
    <w:p w14:paraId="7A2B28DB" w14:textId="0237D810" w:rsidR="001F34E1" w:rsidRDefault="001F34E1" w:rsidP="00D227AA">
      <w:r>
        <w:t xml:space="preserve">Chapter </w:t>
      </w:r>
      <w:r w:rsidR="00A40BA9">
        <w:fldChar w:fldCharType="begin"/>
      </w:r>
      <w:r w:rsidR="00A40BA9">
        <w:instrText xml:space="preserve"> REF _Ref103763745 \r \h </w:instrText>
      </w:r>
      <w:r w:rsidR="00A40BA9">
        <w:fldChar w:fldCharType="separate"/>
      </w:r>
      <w:r w:rsidR="003C4BC2">
        <w:t>23</w:t>
      </w:r>
      <w:r w:rsidR="00A40BA9">
        <w:fldChar w:fldCharType="end"/>
      </w:r>
      <w:r w:rsidR="00325E8C">
        <w:t xml:space="preserve"> </w:t>
      </w:r>
      <w:r w:rsidR="004C315B">
        <w:t xml:space="preserve">(p. </w:t>
      </w:r>
      <w:r w:rsidR="004C315B">
        <w:fldChar w:fldCharType="begin"/>
      </w:r>
      <w:r w:rsidR="004C315B">
        <w:instrText xml:space="preserve"> PAGEREF _Ref103763745 \h </w:instrText>
      </w:r>
      <w:r w:rsidR="004C315B">
        <w:fldChar w:fldCharType="separate"/>
      </w:r>
      <w:r w:rsidR="003C4BC2">
        <w:rPr>
          <w:noProof/>
        </w:rPr>
        <w:t>305</w:t>
      </w:r>
      <w:r w:rsidR="004C315B">
        <w:fldChar w:fldCharType="end"/>
      </w:r>
      <w:r w:rsidR="004C315B">
        <w:t xml:space="preserve">) </w:t>
      </w:r>
      <w:r w:rsidR="00325E8C">
        <w:t xml:space="preserve">provides further </w:t>
      </w:r>
      <w:r w:rsidR="00B95AE0">
        <w:t>discussion of these issues.</w:t>
      </w:r>
    </w:p>
    <w:p w14:paraId="7583FF7D" w14:textId="77777777" w:rsidR="00D227AA" w:rsidRDefault="00D227AA" w:rsidP="00D227AA">
      <w:pPr>
        <w:pStyle w:val="Heading3"/>
      </w:pPr>
      <w:r>
        <w:t>Key question 6: Do patients who received medication management services as part of the HCH trial experience better health outcomes than patients who did not?</w:t>
      </w:r>
    </w:p>
    <w:p w14:paraId="63ED5339" w14:textId="77777777" w:rsidR="00D227AA" w:rsidRDefault="00D227AA" w:rsidP="00D227AA">
      <w:r>
        <w:t>The number of patients receiving an initial review was 1,531. Of these, 845 had one follow-up, 588 had two, 402 had three and 150 had four. With some initial consultations not occurring until 2021, there were limited opportunities for follow-up reviews for some patients.</w:t>
      </w:r>
    </w:p>
    <w:p w14:paraId="229E9271" w14:textId="77777777" w:rsidR="00D227AA" w:rsidRDefault="00D227AA" w:rsidP="00D227AA">
      <w:r>
        <w:t>Most patients interviewed had limited to no awareness of the community pharmacy trial and had not had their medications reviewed by a pharmacist.</w:t>
      </w:r>
    </w:p>
    <w:p w14:paraId="3864BFA2" w14:textId="77777777" w:rsidR="00D227AA" w:rsidRDefault="00D227AA" w:rsidP="00D227AA">
      <w:r>
        <w:t>Some patients stated that they have had medication reviews at home or at their local pharmacy. However, these may have been independent of the community pharmacy in HCH trial. Nevertheless, patients reported that having their medication reviewed by their pharmacist was largely a positive experience and that their pharmacist was able to adjust their medications or provide education.</w:t>
      </w:r>
    </w:p>
    <w:p w14:paraId="0C1887BD" w14:textId="77777777" w:rsidR="00D227AA" w:rsidRDefault="00D227AA" w:rsidP="00D227AA">
      <w:r>
        <w:t>Pharmacists involved in the trial indicated that most patients were receptive to services from them as part of the trial. In some instances, there were HCH patients who felt that the service wasn’t necessary.</w:t>
      </w:r>
    </w:p>
    <w:p w14:paraId="1BF596DC" w14:textId="0BABF54C" w:rsidR="00E0689C" w:rsidRDefault="00E0689C" w:rsidP="00E0689C">
      <w:r>
        <w:rPr>
          <w:lang w:val="en-GB"/>
        </w:rPr>
        <w:t>According to patients’ self</w:t>
      </w:r>
      <w:r w:rsidR="002E3EEF">
        <w:rPr>
          <w:lang w:val="en-GB"/>
        </w:rPr>
        <w:t>-</w:t>
      </w:r>
      <w:r>
        <w:rPr>
          <w:lang w:val="en-GB"/>
        </w:rPr>
        <w:t>report, they had</w:t>
      </w:r>
      <w:r w:rsidRPr="00BA401C">
        <w:rPr>
          <w:lang w:val="en-GB"/>
        </w:rPr>
        <w:t xml:space="preserve"> </w:t>
      </w:r>
      <w:r>
        <w:rPr>
          <w:lang w:val="en-GB"/>
        </w:rPr>
        <w:t>fewer</w:t>
      </w:r>
      <w:r w:rsidRPr="00BA401C">
        <w:rPr>
          <w:lang w:val="en-GB"/>
        </w:rPr>
        <w:t xml:space="preserve"> hospitali</w:t>
      </w:r>
      <w:r>
        <w:rPr>
          <w:lang w:val="en-GB"/>
        </w:rPr>
        <w:t>s</w:t>
      </w:r>
      <w:r w:rsidRPr="00BA401C">
        <w:rPr>
          <w:lang w:val="en-GB"/>
        </w:rPr>
        <w:t>ations</w:t>
      </w:r>
      <w:r w:rsidRPr="00D2211D">
        <w:t xml:space="preserve"> </w:t>
      </w:r>
      <w:r w:rsidRPr="00D2211D">
        <w:rPr>
          <w:lang w:val="en-GB"/>
        </w:rPr>
        <w:t xml:space="preserve">in the six-month period </w:t>
      </w:r>
      <w:r>
        <w:rPr>
          <w:lang w:val="en-GB"/>
        </w:rPr>
        <w:t xml:space="preserve">before </w:t>
      </w:r>
      <w:r w:rsidRPr="00D2211D">
        <w:rPr>
          <w:lang w:val="en-GB"/>
        </w:rPr>
        <w:t xml:space="preserve">the </w:t>
      </w:r>
      <w:r>
        <w:rPr>
          <w:lang w:val="en-GB"/>
        </w:rPr>
        <w:t>later assessments compared with the initial assessments, but</w:t>
      </w:r>
      <w:r w:rsidRPr="00BA401C">
        <w:rPr>
          <w:lang w:val="en-GB"/>
        </w:rPr>
        <w:t xml:space="preserve"> </w:t>
      </w:r>
      <w:r>
        <w:rPr>
          <w:lang w:val="en-GB"/>
        </w:rPr>
        <w:t>this</w:t>
      </w:r>
      <w:r w:rsidRPr="00BA401C">
        <w:rPr>
          <w:lang w:val="en-GB"/>
        </w:rPr>
        <w:t xml:space="preserve"> was not statistically significant</w:t>
      </w:r>
      <w:r>
        <w:rPr>
          <w:lang w:val="en-GB"/>
        </w:rPr>
        <w:t xml:space="preserve">. </w:t>
      </w:r>
      <w:r w:rsidRPr="003E4616">
        <w:rPr>
          <w:lang w:val="en-GB"/>
        </w:rPr>
        <w:t xml:space="preserve">There were however statistically significant improvements in the average patients’ medication adherence score and in the pharmacists’ belief of patients’ adherence to medication regime for tablets </w:t>
      </w:r>
      <w:r>
        <w:rPr>
          <w:lang w:val="en-GB"/>
        </w:rPr>
        <w:t>or capsules.</w:t>
      </w:r>
    </w:p>
    <w:p w14:paraId="6736F5F1" w14:textId="6A80070D" w:rsidR="00D227AA" w:rsidRDefault="00D227AA" w:rsidP="00D227AA">
      <w:r>
        <w:t xml:space="preserve">The most common goals agreed to in the patients’ medication management plan (MMP) were </w:t>
      </w:r>
      <w:r w:rsidR="00B9494F">
        <w:t>“</w:t>
      </w:r>
      <w:r>
        <w:t>improved patient knowledge about their medicines leading to improved medication use and disease self-management</w:t>
      </w:r>
      <w:r w:rsidR="00B9494F">
        <w:t>”</w:t>
      </w:r>
      <w:r>
        <w:t xml:space="preserve"> (45%) and </w:t>
      </w:r>
      <w:r w:rsidR="00B9494F">
        <w:t>“</w:t>
      </w:r>
      <w:r>
        <w:t>improved medication adherence</w:t>
      </w:r>
      <w:r w:rsidR="00B9494F">
        <w:t>”</w:t>
      </w:r>
      <w:r>
        <w:t xml:space="preserve"> (43%), but these varied substantially between tiers.</w:t>
      </w:r>
    </w:p>
    <w:p w14:paraId="42860102" w14:textId="35A758A2" w:rsidR="00D227AA" w:rsidRDefault="00D227AA" w:rsidP="00D227AA">
      <w:r>
        <w:t>For most patients’ goals relat</w:t>
      </w:r>
      <w:r w:rsidR="008B6957">
        <w:t>ing</w:t>
      </w:r>
      <w:r>
        <w:t xml:space="preserve"> to their medication management, at least two people were identified as being responsible for helping the patient achieve their goal, most commonly the carer/patient and pharmacist. Carers/patients were considered mainly responsible where the goal was to improve technique of medication devices. Pharmacists were considered responsible for goals relating to improved medication adherence and improved knowledge. Although GPs were less likely to be considered responsible for a goal, they were considered responsible for goals relating to optimising dose and reducing side effects.</w:t>
      </w:r>
    </w:p>
    <w:p w14:paraId="29E17721" w14:textId="77777777" w:rsidR="00D227AA" w:rsidRDefault="00D227AA" w:rsidP="00D227AA">
      <w:r>
        <w:lastRenderedPageBreak/>
        <w:t>The most common outcomes for the first review included reconciliation of the medication list, medicine education, and the pharmacist providing the patient with disease state information. The same outcomes were also commonly reported for all the subsequent reviews.</w:t>
      </w:r>
    </w:p>
    <w:p w14:paraId="49A3F8D1" w14:textId="6A37B831" w:rsidR="00D227AA" w:rsidRDefault="00D227AA" w:rsidP="00D227AA">
      <w:r>
        <w:t xml:space="preserve">The community pharmacists interviewed generally considered that the trial was well received by patients, and in their view, patients’ compliance with and general knowledge of their medications improved. Some pharmacists reported improved communications with GPs and other, which benefitted their patients. </w:t>
      </w:r>
    </w:p>
    <w:p w14:paraId="328D3CDF" w14:textId="076B4E98" w:rsidR="00D227AA" w:rsidRDefault="00D227AA" w:rsidP="00D227AA">
      <w:r>
        <w:t xml:space="preserve">While the literature shows a potential for improved patient outcomes with pharmacist involvement in PCMHs, the studies vary widely in terms of the nature of pharmacists’ involvement. For example, many of the studies involved locating the pharmacist onsite, embedded into the practice team, which is a different set-up to the HCH </w:t>
      </w:r>
      <w:r w:rsidR="00B70CE5">
        <w:t>model</w:t>
      </w:r>
      <w:r>
        <w:t>.</w:t>
      </w:r>
    </w:p>
    <w:p w14:paraId="2B16DBBA" w14:textId="693D3D24" w:rsidR="00141FE4" w:rsidRDefault="00141FE4" w:rsidP="00D227AA">
      <w:r>
        <w:t xml:space="preserve">Chapter </w:t>
      </w:r>
      <w:r>
        <w:fldChar w:fldCharType="begin"/>
      </w:r>
      <w:r>
        <w:instrText xml:space="preserve"> REF _Ref85108754 \r \h </w:instrText>
      </w:r>
      <w:r>
        <w:fldChar w:fldCharType="separate"/>
      </w:r>
      <w:r w:rsidR="003C4BC2">
        <w:t>22</w:t>
      </w:r>
      <w:r>
        <w:fldChar w:fldCharType="end"/>
      </w:r>
      <w:r w:rsidR="009738BB">
        <w:t xml:space="preserve"> (p. </w:t>
      </w:r>
      <w:r w:rsidR="009738BB">
        <w:fldChar w:fldCharType="begin"/>
      </w:r>
      <w:r w:rsidR="009738BB">
        <w:instrText xml:space="preserve"> PAGEREF _Ref85108754 \h </w:instrText>
      </w:r>
      <w:r w:rsidR="009738BB">
        <w:fldChar w:fldCharType="separate"/>
      </w:r>
      <w:r w:rsidR="003C4BC2">
        <w:rPr>
          <w:noProof/>
        </w:rPr>
        <w:t>290</w:t>
      </w:r>
      <w:r w:rsidR="009738BB">
        <w:fldChar w:fldCharType="end"/>
      </w:r>
      <w:r w:rsidR="009738BB">
        <w:t>)</w:t>
      </w:r>
      <w:r>
        <w:t xml:space="preserve"> provides further description of these issues.</w:t>
      </w:r>
    </w:p>
    <w:p w14:paraId="6F6513C5" w14:textId="77777777" w:rsidR="00D227AA" w:rsidRDefault="00D227AA" w:rsidP="00D227AA">
      <w:pPr>
        <w:pStyle w:val="Heading3"/>
      </w:pPr>
      <w:r>
        <w:t>Key question 7: What was the level of engagement between HCH practices and community pharmacy (care coordination)?</w:t>
      </w:r>
    </w:p>
    <w:p w14:paraId="13B467D4" w14:textId="1EC22A16" w:rsidR="00D227AA" w:rsidRDefault="00D227AA" w:rsidP="00D227AA">
      <w:r w:rsidRPr="00F875A9">
        <w:t>The literature emphasises trust between GPs/practices and pharmacists</w:t>
      </w:r>
      <w:r>
        <w:t xml:space="preserve"> for successful referral of patients and shared care</w:t>
      </w:r>
      <w:r w:rsidRPr="00F875A9">
        <w:t xml:space="preserve">. The HCH model </w:t>
      </w:r>
      <w:r>
        <w:t>didn’t</w:t>
      </w:r>
      <w:r w:rsidRPr="00F875A9">
        <w:t xml:space="preserve"> involve embedding pharmacists in practices nor promoted a relationship between a single pharmacy and a HCH practice. While it is important for patients to have choice, the model also </w:t>
      </w:r>
      <w:r>
        <w:t>meant</w:t>
      </w:r>
      <w:r w:rsidRPr="00F875A9">
        <w:t xml:space="preserve"> that practices </w:t>
      </w:r>
      <w:r>
        <w:t>had to</w:t>
      </w:r>
      <w:r w:rsidRPr="00F875A9">
        <w:t xml:space="preserve"> maintain relationships with multiple pharmacies, diluting opportunities for establishing trust.</w:t>
      </w:r>
      <w:r>
        <w:t xml:space="preserve"> The evaluation found that where pharmacies that had </w:t>
      </w:r>
      <w:r w:rsidR="00202C84">
        <w:t>long-standing</w:t>
      </w:r>
      <w:r>
        <w:t xml:space="preserve"> relationships with HCHs, they tended to have a higher number of referrals. This was particularly the case where the pharmacy was within the same building or next door to a practice. However, there were instances where practices referred to a pharmacy that they didn’t have a previous relationship with, and this was made possible by pharmacists proactively contacting practices in their area to let them know about their services and the benefits for patients.</w:t>
      </w:r>
    </w:p>
    <w:p w14:paraId="0AFFDBDA" w14:textId="77777777" w:rsidR="00D227AA" w:rsidRDefault="00D227AA" w:rsidP="00D227AA">
      <w:r>
        <w:t xml:space="preserve">Many practices reported barriers with referring patients to community pharmacies. These related to the time investment to educate and engage community pharmacies, problems with shared care planning software, needing to be convinced about the benefits of what pharmacists had to offer their patients, limited patient understanding of the model and the small number of HCH patients in their practice. </w:t>
      </w:r>
      <w:r w:rsidRPr="004A582F">
        <w:t>Also, some practices already had access to a pharmacist through other arrangements or had arrangements with community pharmacists pre-dating of the trial</w:t>
      </w:r>
      <w:r>
        <w:t xml:space="preserve">. </w:t>
      </w:r>
    </w:p>
    <w:p w14:paraId="0C029CB1" w14:textId="2DBC9552" w:rsidR="0088127A" w:rsidRDefault="004D3607" w:rsidP="0088127A">
      <w:r w:rsidRPr="004D3607">
        <w:t>Other reasons that practices didn’t refer patients was that they were unaware of the community pharmacy trial, they were concerned about community pharmacists working outside of their scope or providing unnecessary services to patients or perceived the level of remuneration for pharmacies to be too high for trial services.</w:t>
      </w:r>
      <w:r>
        <w:t xml:space="preserve"> </w:t>
      </w:r>
      <w:r w:rsidR="0088127A">
        <w:t xml:space="preserve">In relation to the latter, they perceived that although paid on a per-session basis, and follow-up sessions were only scheduled where they deemed to be of benefit to the patient, </w:t>
      </w:r>
      <w:r w:rsidR="003B7218">
        <w:t>that the</w:t>
      </w:r>
      <w:r w:rsidR="0088127A">
        <w:t xml:space="preserve"> overall amount for</w:t>
      </w:r>
      <w:r>
        <w:t xml:space="preserve"> pharmacies for</w:t>
      </w:r>
      <w:r w:rsidR="0088127A">
        <w:t xml:space="preserve"> </w:t>
      </w:r>
      <w:r w:rsidR="00364975">
        <w:t>four sessions</w:t>
      </w:r>
      <w:r w:rsidR="003B7218">
        <w:t xml:space="preserve"> was </w:t>
      </w:r>
      <w:r w:rsidR="00324119">
        <w:t>almost as high as the bundled payment for practices but involved much less work.</w:t>
      </w:r>
    </w:p>
    <w:p w14:paraId="24A5FFF5" w14:textId="45D7095A" w:rsidR="00D227AA" w:rsidRDefault="00D227AA" w:rsidP="00D227AA">
      <w:r>
        <w:lastRenderedPageBreak/>
        <w:t xml:space="preserve">Where pharmacies had </w:t>
      </w:r>
      <w:r w:rsidR="00314FCB">
        <w:t xml:space="preserve">a </w:t>
      </w:r>
      <w:r>
        <w:t>pre-existing relationship</w:t>
      </w:r>
      <w:r w:rsidR="00314FCB">
        <w:t xml:space="preserve"> with a practice, when </w:t>
      </w:r>
      <w:r>
        <w:t>an issue arose, they could directly contact the GP. In a few instances pharmacists reported that the trial enhanced their communications with the practice. Others struggled with communicating with GPs and sharing care. They felt that there wasn’t enough trust established through the process to effectively collaborate with GPs.</w:t>
      </w:r>
    </w:p>
    <w:p w14:paraId="0F592862" w14:textId="027FD6C3" w:rsidR="00D227AA" w:rsidRDefault="00D227AA" w:rsidP="00D227AA">
      <w:r>
        <w:t>Where pharmacies had strong relationships with HCH practices, they reported receiving acknowledgment from the GP/practice about their medication recommendations for a patient. Otherwise</w:t>
      </w:r>
      <w:r w:rsidR="004C0161">
        <w:t>,</w:t>
      </w:r>
      <w:r>
        <w:t xml:space="preserve"> they received no feedback and didn’t know whether their recommendations had even been read.</w:t>
      </w:r>
    </w:p>
    <w:p w14:paraId="6A6EEAED" w14:textId="77777777" w:rsidR="00D227AA" w:rsidRDefault="00D227AA" w:rsidP="00D227AA">
      <w:r>
        <w:t>While some practices felt that pharmacists had a vital role in patient care and chronic disease management and saw value in the community pharmacy trial, many were unaware of the trial.</w:t>
      </w:r>
    </w:p>
    <w:p w14:paraId="3C377032" w14:textId="2D7B73E3" w:rsidR="00D227AA" w:rsidRDefault="00D227AA" w:rsidP="00D227AA">
      <w:r w:rsidRPr="000A06B7">
        <w:t>Given the issues observed in the trial, it could be expected that practices would feel most comfortable initially with pharmacies focusing on broad education-based interventions and moving to clinical interventions only after a closer relationship has been established. A greater focus on establishing clear roles and responsibilities and having these agreed between the practice and pharmacist is also suggested by the literature.</w:t>
      </w:r>
    </w:p>
    <w:p w14:paraId="730E8DE0" w14:textId="6F2DC5B2" w:rsidR="00B63BB6" w:rsidRDefault="00B63BB6" w:rsidP="00D227AA">
      <w:r>
        <w:t xml:space="preserve">Chapter </w:t>
      </w:r>
      <w:r>
        <w:fldChar w:fldCharType="begin"/>
      </w:r>
      <w:r>
        <w:instrText xml:space="preserve"> REF _Ref103763745 \r \h </w:instrText>
      </w:r>
      <w:r>
        <w:fldChar w:fldCharType="separate"/>
      </w:r>
      <w:r w:rsidR="003C4BC2">
        <w:t>23</w:t>
      </w:r>
      <w:r>
        <w:fldChar w:fldCharType="end"/>
      </w:r>
      <w:r>
        <w:t xml:space="preserve"> </w:t>
      </w:r>
      <w:r w:rsidR="009738BB">
        <w:t xml:space="preserve">(p. </w:t>
      </w:r>
      <w:r w:rsidR="009738BB">
        <w:fldChar w:fldCharType="begin"/>
      </w:r>
      <w:r w:rsidR="009738BB">
        <w:instrText xml:space="preserve"> PAGEREF _Ref103763745 \h </w:instrText>
      </w:r>
      <w:r w:rsidR="009738BB">
        <w:fldChar w:fldCharType="separate"/>
      </w:r>
      <w:r w:rsidR="003C4BC2">
        <w:rPr>
          <w:noProof/>
        </w:rPr>
        <w:t>305</w:t>
      </w:r>
      <w:r w:rsidR="009738BB">
        <w:fldChar w:fldCharType="end"/>
      </w:r>
      <w:r w:rsidR="009738BB">
        <w:t xml:space="preserve">) </w:t>
      </w:r>
      <w:r>
        <w:t>provides further discussion of these issues.</w:t>
      </w:r>
    </w:p>
    <w:p w14:paraId="35D80FCC" w14:textId="77777777" w:rsidR="00D227AA" w:rsidRDefault="00D227AA" w:rsidP="00D227AA">
      <w:pPr>
        <w:pStyle w:val="Heading3"/>
      </w:pPr>
      <w:r>
        <w:t>Key question 8: Is the inclusion of a pharmacy component in HCH financially viable?</w:t>
      </w:r>
    </w:p>
    <w:p w14:paraId="4B4CC07E" w14:textId="77777777" w:rsidR="00D227AA" w:rsidRDefault="00D227AA" w:rsidP="00D227AA">
      <w:r w:rsidRPr="00E45875">
        <w:t xml:space="preserve">Although pharmacists were satisfied with the fees paid to them for their services to HCH patients, due to the very low number of referrals, only a small amount of the funds allocated to the trial were used. </w:t>
      </w:r>
      <w:r w:rsidR="00BD3F64" w:rsidRPr="00E45875">
        <w:t xml:space="preserve">The impact of community pharmacy on quality use of medicines and cost savings </w:t>
      </w:r>
      <w:r w:rsidR="00BD3F64">
        <w:t xml:space="preserve">arising </w:t>
      </w:r>
      <w:r w:rsidR="00BD3F64" w:rsidRPr="00E45875">
        <w:t xml:space="preserve">from this </w:t>
      </w:r>
      <w:r w:rsidR="00BD3F64">
        <w:t>could</w:t>
      </w:r>
      <w:r w:rsidR="00BD3F64" w:rsidRPr="00E45875">
        <w:t xml:space="preserve"> not be determined due to low participation</w:t>
      </w:r>
      <w:r w:rsidR="00BD3F64">
        <w:t xml:space="preserve"> in the trial</w:t>
      </w:r>
      <w:r w:rsidRPr="00E45875">
        <w:t>.</w:t>
      </w:r>
    </w:p>
    <w:p w14:paraId="12E74D3B" w14:textId="287C8024" w:rsidR="00D227AA" w:rsidRDefault="00D227AA" w:rsidP="00D227AA">
      <w:pPr>
        <w:sectPr w:rsidR="00D227AA">
          <w:pgSz w:w="11906" w:h="16838"/>
          <w:pgMar w:top="1440" w:right="1440" w:bottom="1440" w:left="1440" w:header="708" w:footer="708" w:gutter="0"/>
          <w:cols w:space="708"/>
          <w:docGrid w:linePitch="360"/>
        </w:sectPr>
      </w:pPr>
    </w:p>
    <w:p w14:paraId="27A9A981" w14:textId="4B95B4B0" w:rsidR="00D64F5E" w:rsidRPr="00194DCC" w:rsidRDefault="00E343CA" w:rsidP="0078347F">
      <w:pPr>
        <w:pStyle w:val="Heading1"/>
      </w:pPr>
      <w:bookmarkStart w:id="543" w:name="_Toc109996795"/>
      <w:r w:rsidRPr="00194DCC">
        <w:lastRenderedPageBreak/>
        <w:t>References</w:t>
      </w:r>
      <w:bookmarkEnd w:id="530"/>
      <w:bookmarkEnd w:id="543"/>
    </w:p>
    <w:p w14:paraId="476933C3" w14:textId="77777777" w:rsidR="003F2909" w:rsidRPr="003F2909" w:rsidRDefault="00D64F5E" w:rsidP="003F2909">
      <w:pPr>
        <w:pStyle w:val="EndNoteBibliography"/>
        <w:spacing w:after="0"/>
        <w:ind w:left="720" w:hanging="720"/>
        <w:rPr>
          <w:rFonts w:ascii="Muli" w:hAnsi="Muli"/>
          <w:sz w:val="20"/>
          <w:szCs w:val="20"/>
        </w:rPr>
      </w:pPr>
      <w:r w:rsidRPr="003F2909">
        <w:rPr>
          <w:rFonts w:ascii="Muli" w:hAnsi="Muli"/>
          <w:sz w:val="20"/>
          <w:szCs w:val="20"/>
        </w:rPr>
        <w:fldChar w:fldCharType="begin"/>
      </w:r>
      <w:r w:rsidRPr="003F2909">
        <w:rPr>
          <w:rFonts w:ascii="Muli" w:hAnsi="Muli"/>
          <w:sz w:val="20"/>
          <w:szCs w:val="20"/>
        </w:rPr>
        <w:instrText xml:space="preserve"> ADDIN EN.REFLIST </w:instrText>
      </w:r>
      <w:r w:rsidRPr="003F2909">
        <w:rPr>
          <w:rFonts w:ascii="Muli" w:hAnsi="Muli"/>
          <w:sz w:val="20"/>
          <w:szCs w:val="20"/>
        </w:rPr>
        <w:fldChar w:fldCharType="separate"/>
      </w:r>
      <w:r w:rsidR="003F2909" w:rsidRPr="003F2909">
        <w:rPr>
          <w:rFonts w:ascii="Muli" w:hAnsi="Muli"/>
          <w:sz w:val="20"/>
          <w:szCs w:val="20"/>
        </w:rPr>
        <w:t xml:space="preserve">Albanese, N. P., Pignato, A. M., &amp; Monte, S. V. (2017). Provider Perception of Pharmacy Services in the Patient-Centered Medical Home. </w:t>
      </w:r>
      <w:r w:rsidR="003F2909" w:rsidRPr="003F2909">
        <w:rPr>
          <w:rFonts w:ascii="Muli" w:hAnsi="Muli"/>
          <w:i/>
          <w:sz w:val="20"/>
          <w:szCs w:val="20"/>
        </w:rPr>
        <w:t>Journal of pharmacy practice, 30</w:t>
      </w:r>
      <w:r w:rsidR="003F2909" w:rsidRPr="003F2909">
        <w:rPr>
          <w:rFonts w:ascii="Muli" w:hAnsi="Muli"/>
          <w:sz w:val="20"/>
          <w:szCs w:val="20"/>
        </w:rPr>
        <w:t>(6), 612-620.</w:t>
      </w:r>
    </w:p>
    <w:p w14:paraId="6EB075D7"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Arenz, B. J., Diez, H. L., Bostwick, J. R., Kales, H. C., Zivin, K., Dalack, G. W., Fluent, T. E., Standiford, C. J., Stano, C., &amp; Mi Choe, H. (2016). Effectively implementing FDA medication alerts utilizing patient centered medical home clinical pharmacists. </w:t>
      </w:r>
      <w:r w:rsidRPr="003F2909">
        <w:rPr>
          <w:rFonts w:ascii="Muli" w:hAnsi="Muli"/>
          <w:i/>
          <w:sz w:val="20"/>
          <w:szCs w:val="20"/>
        </w:rPr>
        <w:t>Healthcare (Amsterdam, Netherlands), 4</w:t>
      </w:r>
      <w:r w:rsidRPr="003F2909">
        <w:rPr>
          <w:rFonts w:ascii="Muli" w:hAnsi="Muli"/>
          <w:sz w:val="20"/>
          <w:szCs w:val="20"/>
        </w:rPr>
        <w:t>(1), 69-73.</w:t>
      </w:r>
    </w:p>
    <w:p w14:paraId="05CE0FCC"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Augustine, M. R., Nelson, K. M., Fihn, S. D., &amp; Wong, E. S. (2019). Patient-Reported Access in the Patient-Centered Medical Home and Avoidable Hospitalizations: an Observational Analysis of the Veterans Health Administration [Observational Study]. </w:t>
      </w:r>
      <w:r w:rsidRPr="003F2909">
        <w:rPr>
          <w:rFonts w:ascii="Muli" w:hAnsi="Muli"/>
          <w:i/>
          <w:sz w:val="20"/>
          <w:szCs w:val="20"/>
        </w:rPr>
        <w:t>Journal of general internal medicine, 34</w:t>
      </w:r>
      <w:r w:rsidRPr="003F2909">
        <w:rPr>
          <w:rFonts w:ascii="Muli" w:hAnsi="Muli"/>
          <w:sz w:val="20"/>
          <w:szCs w:val="20"/>
        </w:rPr>
        <w:t>(8), 1546-1553.</w:t>
      </w:r>
    </w:p>
    <w:p w14:paraId="463E2C71" w14:textId="44A25A76"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Association of Practice Management. (2017a). </w:t>
      </w:r>
      <w:r w:rsidRPr="003F2909">
        <w:rPr>
          <w:rFonts w:ascii="Muli" w:hAnsi="Muli"/>
          <w:i/>
          <w:sz w:val="20"/>
          <w:szCs w:val="20"/>
        </w:rPr>
        <w:t>Health Care Home Activity Monitoring Guide October 2017</w:t>
      </w:r>
      <w:r w:rsidRPr="003F2909">
        <w:rPr>
          <w:rFonts w:ascii="Muli" w:hAnsi="Muli"/>
          <w:sz w:val="20"/>
          <w:szCs w:val="20"/>
        </w:rPr>
        <w:t xml:space="preserve">. </w:t>
      </w:r>
      <w:hyperlink r:id="rId121" w:history="1">
        <w:r w:rsidRPr="003F2909">
          <w:rPr>
            <w:rStyle w:val="Hyperlink"/>
            <w:rFonts w:ascii="Muli" w:hAnsi="Muli"/>
            <w:sz w:val="20"/>
            <w:szCs w:val="20"/>
          </w:rPr>
          <w:t>https://www.aapm.org.au/Portals/1/documents/Health-Care-Homes/HCH_Activity_Monitoring_Guide_Oct_2017.pdf</w:t>
        </w:r>
      </w:hyperlink>
    </w:p>
    <w:p w14:paraId="01F9838C" w14:textId="23753A1C"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Association of Practice Management. (2017b). </w:t>
      </w:r>
      <w:r w:rsidRPr="003F2909">
        <w:rPr>
          <w:rFonts w:ascii="Muli" w:hAnsi="Muli"/>
          <w:i/>
          <w:sz w:val="20"/>
          <w:szCs w:val="20"/>
        </w:rPr>
        <w:t>Webinar: AAPM Health Care Homes Activity Monitoring Guide</w:t>
      </w:r>
      <w:r w:rsidRPr="003F2909">
        <w:rPr>
          <w:rFonts w:ascii="Muli" w:hAnsi="Muli"/>
          <w:sz w:val="20"/>
          <w:szCs w:val="20"/>
        </w:rPr>
        <w:t xml:space="preserve">. Melbourne. Retrieved 13 September from </w:t>
      </w:r>
      <w:hyperlink r:id="rId122" w:history="1">
        <w:r w:rsidRPr="003F2909">
          <w:rPr>
            <w:rStyle w:val="Hyperlink"/>
            <w:rFonts w:ascii="Muli" w:hAnsi="Muli"/>
            <w:sz w:val="20"/>
            <w:szCs w:val="20"/>
          </w:rPr>
          <w:t>https://www.aapm.org.au/Knowledge-Hub/Healthcare-Homes</w:t>
        </w:r>
      </w:hyperlink>
    </w:p>
    <w:p w14:paraId="364A77A3"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Australian Bureau of Statistics. (2022). Provisional Mortality Statistics methodology.</w:t>
      </w:r>
    </w:p>
    <w:p w14:paraId="60C443CB" w14:textId="63430475"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Government Department of Health. (2016a). </w:t>
      </w:r>
      <w:r w:rsidRPr="003F2909">
        <w:rPr>
          <w:rFonts w:ascii="Muli" w:hAnsi="Muli"/>
          <w:i/>
          <w:sz w:val="20"/>
          <w:szCs w:val="20"/>
        </w:rPr>
        <w:t>Factsheet: Patient eligibility</w:t>
      </w:r>
      <w:r w:rsidRPr="003F2909">
        <w:rPr>
          <w:rFonts w:ascii="Muli" w:hAnsi="Muli"/>
          <w:sz w:val="20"/>
          <w:szCs w:val="20"/>
        </w:rPr>
        <w:t xml:space="preserve">   </w:t>
      </w:r>
      <w:hyperlink r:id="rId123" w:history="1">
        <w:r w:rsidRPr="003F2909">
          <w:rPr>
            <w:rStyle w:val="Hyperlink"/>
            <w:rFonts w:ascii="Muli" w:hAnsi="Muli"/>
            <w:sz w:val="20"/>
            <w:szCs w:val="20"/>
          </w:rPr>
          <w:t>http://www.health.gov.au/internet/main/publishing.nsf/Content/health-care-homes</w:t>
        </w:r>
      </w:hyperlink>
      <w:r w:rsidRPr="003F2909">
        <w:rPr>
          <w:rFonts w:ascii="Muli" w:hAnsi="Muli"/>
          <w:sz w:val="20"/>
          <w:szCs w:val="20"/>
        </w:rPr>
        <w:t xml:space="preserve"> </w:t>
      </w:r>
    </w:p>
    <w:p w14:paraId="1FA43592" w14:textId="1D0EF6DD"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Government Department of Health. (2016b). </w:t>
      </w:r>
      <w:r w:rsidRPr="003F2909">
        <w:rPr>
          <w:rFonts w:ascii="Muli" w:hAnsi="Muli"/>
          <w:i/>
          <w:sz w:val="20"/>
          <w:szCs w:val="20"/>
        </w:rPr>
        <w:t>Factsheet: Stage one modelling</w:t>
      </w:r>
      <w:r w:rsidRPr="003F2909">
        <w:rPr>
          <w:rFonts w:ascii="Muli" w:hAnsi="Muli"/>
          <w:sz w:val="20"/>
          <w:szCs w:val="20"/>
        </w:rPr>
        <w:t xml:space="preserve">   </w:t>
      </w:r>
      <w:hyperlink r:id="rId124" w:history="1">
        <w:r w:rsidRPr="003F2909">
          <w:rPr>
            <w:rStyle w:val="Hyperlink"/>
            <w:rFonts w:ascii="Muli" w:hAnsi="Muli"/>
            <w:sz w:val="20"/>
            <w:szCs w:val="20"/>
          </w:rPr>
          <w:t>http://www.health.gov.au/internet/main/publishing.nsf/Content/health-care-homes</w:t>
        </w:r>
      </w:hyperlink>
      <w:r w:rsidRPr="003F2909">
        <w:rPr>
          <w:rFonts w:ascii="Muli" w:hAnsi="Muli"/>
          <w:sz w:val="20"/>
          <w:szCs w:val="20"/>
        </w:rPr>
        <w:t xml:space="preserve"> </w:t>
      </w:r>
    </w:p>
    <w:p w14:paraId="53770D15" w14:textId="62214783"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Government Department of Health. (2016c). </w:t>
      </w:r>
      <w:r w:rsidRPr="003F2909">
        <w:rPr>
          <w:rFonts w:ascii="Muli" w:hAnsi="Muli"/>
          <w:i/>
          <w:sz w:val="20"/>
          <w:szCs w:val="20"/>
        </w:rPr>
        <w:t>Health Care Homes announcement media release</w:t>
      </w:r>
      <w:r w:rsidRPr="003F2909">
        <w:rPr>
          <w:rFonts w:ascii="Muli" w:hAnsi="Muli"/>
          <w:sz w:val="20"/>
          <w:szCs w:val="20"/>
        </w:rPr>
        <w:t xml:space="preserve"> </w:t>
      </w:r>
      <w:hyperlink r:id="rId125" w:history="1">
        <w:r w:rsidRPr="003F2909">
          <w:rPr>
            <w:rStyle w:val="Hyperlink"/>
            <w:rFonts w:ascii="Muli" w:hAnsi="Muli"/>
            <w:sz w:val="20"/>
            <w:szCs w:val="20"/>
          </w:rPr>
          <w:t>http://pandora.nla.gov.au/pan/154649/20160508-0839/www.pm.gov.au/media/2016-03-31/healthier-medicare-chronically-ill-patients.html</w:t>
        </w:r>
      </w:hyperlink>
    </w:p>
    <w:p w14:paraId="7352DD4D"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Government Department of Health. (2016d). </w:t>
      </w:r>
      <w:r w:rsidRPr="003F2909">
        <w:rPr>
          <w:rFonts w:ascii="Muli" w:hAnsi="Muli"/>
          <w:i/>
          <w:sz w:val="20"/>
          <w:szCs w:val="20"/>
        </w:rPr>
        <w:t>Health Care Homes Grant Guidelines 4 November 2016</w:t>
      </w:r>
      <w:r w:rsidRPr="003F2909">
        <w:rPr>
          <w:rFonts w:ascii="Muli" w:hAnsi="Muli"/>
          <w:sz w:val="20"/>
          <w:szCs w:val="20"/>
        </w:rPr>
        <w:t xml:space="preserve">   </w:t>
      </w:r>
    </w:p>
    <w:p w14:paraId="1C19E56E" w14:textId="31C15484"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Government Department of Health. (2017a). </w:t>
      </w:r>
      <w:r w:rsidRPr="003F2909">
        <w:rPr>
          <w:rFonts w:ascii="Muli" w:hAnsi="Muli"/>
          <w:i/>
          <w:sz w:val="20"/>
          <w:szCs w:val="20"/>
        </w:rPr>
        <w:t>Health Care Homes Patient Information Statement</w:t>
      </w:r>
      <w:r w:rsidRPr="003F2909">
        <w:rPr>
          <w:rFonts w:ascii="Muli" w:hAnsi="Muli"/>
          <w:sz w:val="20"/>
          <w:szCs w:val="20"/>
        </w:rPr>
        <w:t xml:space="preserve">   </w:t>
      </w:r>
      <w:hyperlink r:id="rId126" w:history="1">
        <w:r w:rsidRPr="003F2909">
          <w:rPr>
            <w:rStyle w:val="Hyperlink"/>
            <w:rFonts w:ascii="Muli" w:hAnsi="Muli"/>
            <w:sz w:val="20"/>
            <w:szCs w:val="20"/>
          </w:rPr>
          <w:t>https://www1.health.gov.au/internet/main/publishing.nsf/Content/C6EB6F07C8F62954CA2581A90009CA75/$File/HCH%20Patient%20Consent%20Form%20-%20October%202018.pdf</w:t>
        </w:r>
      </w:hyperlink>
      <w:r w:rsidRPr="003F2909">
        <w:rPr>
          <w:rFonts w:ascii="Muli" w:hAnsi="Muli"/>
          <w:sz w:val="20"/>
          <w:szCs w:val="20"/>
        </w:rPr>
        <w:t xml:space="preserve"> </w:t>
      </w:r>
    </w:p>
    <w:p w14:paraId="131ABF3B" w14:textId="60D42351"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Government Department of Health. (2017b). </w:t>
      </w:r>
      <w:r w:rsidRPr="003F2909">
        <w:rPr>
          <w:rFonts w:ascii="Muli" w:hAnsi="Muli"/>
          <w:i/>
          <w:sz w:val="20"/>
          <w:szCs w:val="20"/>
        </w:rPr>
        <w:t>Minimum requirements of shared care plans</w:t>
      </w:r>
      <w:r w:rsidRPr="003F2909">
        <w:rPr>
          <w:rFonts w:ascii="Muli" w:hAnsi="Muli"/>
          <w:sz w:val="20"/>
          <w:szCs w:val="20"/>
        </w:rPr>
        <w:t xml:space="preserve">   </w:t>
      </w:r>
      <w:hyperlink r:id="rId127" w:history="1">
        <w:r w:rsidRPr="003F2909">
          <w:rPr>
            <w:rStyle w:val="Hyperlink"/>
            <w:rFonts w:ascii="Muli" w:hAnsi="Muli"/>
            <w:sz w:val="20"/>
            <w:szCs w:val="20"/>
          </w:rPr>
          <w:t>http://www.health.gov.au/internet/main/publishing.nsf/Content/health-care-homes-cp/$File/Minimum%20requirements%20shared%20care%20plans_December.pdf</w:t>
        </w:r>
      </w:hyperlink>
      <w:r w:rsidRPr="003F2909">
        <w:rPr>
          <w:rFonts w:ascii="Muli" w:hAnsi="Muli"/>
          <w:sz w:val="20"/>
          <w:szCs w:val="20"/>
        </w:rPr>
        <w:t xml:space="preserve"> </w:t>
      </w:r>
    </w:p>
    <w:p w14:paraId="0367A4CE" w14:textId="455BD2B0"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Government Department of Health. (2017c). </w:t>
      </w:r>
      <w:r w:rsidRPr="003F2909">
        <w:rPr>
          <w:rFonts w:ascii="Muli" w:hAnsi="Muli"/>
          <w:i/>
          <w:sz w:val="20"/>
          <w:szCs w:val="20"/>
        </w:rPr>
        <w:t>Patient Handbook</w:t>
      </w:r>
      <w:r w:rsidRPr="003F2909">
        <w:rPr>
          <w:rFonts w:ascii="Muli" w:hAnsi="Muli"/>
          <w:sz w:val="20"/>
          <w:szCs w:val="20"/>
        </w:rPr>
        <w:t xml:space="preserve">   </w:t>
      </w:r>
      <w:hyperlink r:id="rId128" w:history="1">
        <w:r w:rsidRPr="003F2909">
          <w:rPr>
            <w:rStyle w:val="Hyperlink"/>
            <w:rFonts w:ascii="Muli" w:hAnsi="Muli"/>
            <w:sz w:val="20"/>
            <w:szCs w:val="20"/>
          </w:rPr>
          <w:t>https://www1.health.gov.au/internet/main/publishing.nsf/Content/health-care-homes-more-information</w:t>
        </w:r>
      </w:hyperlink>
      <w:r w:rsidRPr="003F2909">
        <w:rPr>
          <w:rFonts w:ascii="Muli" w:hAnsi="Muli"/>
          <w:sz w:val="20"/>
          <w:szCs w:val="20"/>
        </w:rPr>
        <w:t xml:space="preserve"> </w:t>
      </w:r>
    </w:p>
    <w:p w14:paraId="1DE2F78E" w14:textId="6EAE71DE"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Government Department of Health. (2018a). </w:t>
      </w:r>
      <w:r w:rsidRPr="003F2909">
        <w:rPr>
          <w:rFonts w:ascii="Muli" w:hAnsi="Muli"/>
          <w:i/>
          <w:sz w:val="20"/>
          <w:szCs w:val="20"/>
        </w:rPr>
        <w:t>Community Pharmacy in Health Care Homes Trial Program</w:t>
      </w:r>
      <w:r w:rsidRPr="003F2909">
        <w:rPr>
          <w:rFonts w:ascii="Muli" w:hAnsi="Muli"/>
          <w:sz w:val="20"/>
          <w:szCs w:val="20"/>
        </w:rPr>
        <w:t xml:space="preserve">. Retrieved October 2019 from </w:t>
      </w:r>
      <w:hyperlink r:id="rId129" w:history="1">
        <w:r w:rsidRPr="003F2909">
          <w:rPr>
            <w:rStyle w:val="Hyperlink"/>
            <w:rFonts w:ascii="Muli" w:hAnsi="Muli"/>
            <w:sz w:val="20"/>
            <w:szCs w:val="20"/>
          </w:rPr>
          <w:t>https://www1.health.gov.au/internet/main/publishing.nsf/Content/health-care-</w:t>
        </w:r>
        <w:r w:rsidRPr="003F2909">
          <w:rPr>
            <w:rStyle w:val="Hyperlink"/>
            <w:rFonts w:ascii="Muli" w:hAnsi="Muli"/>
            <w:sz w:val="20"/>
            <w:szCs w:val="20"/>
          </w:rPr>
          <w:lastRenderedPageBreak/>
          <w:t>homes-cp/$File/Community-Pharmacy-in-Health-Care-Homes-Trial-Program-factsheet-Dec-2018.pdf</w:t>
        </w:r>
      </w:hyperlink>
    </w:p>
    <w:p w14:paraId="634651AB" w14:textId="355339E0"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Government Department of Health. (2018b). </w:t>
      </w:r>
      <w:r w:rsidRPr="003F2909">
        <w:rPr>
          <w:rFonts w:ascii="Muli" w:hAnsi="Muli"/>
          <w:i/>
          <w:sz w:val="20"/>
          <w:szCs w:val="20"/>
        </w:rPr>
        <w:t>Health Care Home Funding Assurance Toolkit March 2018</w:t>
      </w:r>
      <w:r w:rsidRPr="003F2909">
        <w:rPr>
          <w:rFonts w:ascii="Muli" w:hAnsi="Muli"/>
          <w:sz w:val="20"/>
          <w:szCs w:val="20"/>
        </w:rPr>
        <w:t xml:space="preserve">. </w:t>
      </w:r>
      <w:hyperlink r:id="rId130" w:history="1">
        <w:r w:rsidRPr="003F2909">
          <w:rPr>
            <w:rStyle w:val="Hyperlink"/>
            <w:rFonts w:ascii="Muli" w:hAnsi="Muli"/>
            <w:sz w:val="20"/>
            <w:szCs w:val="20"/>
          </w:rPr>
          <w:t>https://www1.health.gov.au/internet/main/publishing.nsf/Content/health-care-homes-assurance-compliance</w:t>
        </w:r>
      </w:hyperlink>
    </w:p>
    <w:p w14:paraId="7B99C0B7"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Government Department of Health. (2018c). </w:t>
      </w:r>
      <w:r w:rsidRPr="003F2909">
        <w:rPr>
          <w:rFonts w:ascii="Muli" w:hAnsi="Muli"/>
          <w:i/>
          <w:sz w:val="20"/>
          <w:szCs w:val="20"/>
        </w:rPr>
        <w:t>Health Care Homes Clinical Reference Group Q&amp;As</w:t>
      </w:r>
      <w:r w:rsidRPr="003F2909">
        <w:rPr>
          <w:rFonts w:ascii="Muli" w:hAnsi="Muli"/>
          <w:sz w:val="20"/>
          <w:szCs w:val="20"/>
        </w:rPr>
        <w:t xml:space="preserve">. </w:t>
      </w:r>
    </w:p>
    <w:p w14:paraId="54BD1558"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Government Department of Health. (2018d). </w:t>
      </w:r>
      <w:r w:rsidRPr="003F2909">
        <w:rPr>
          <w:rFonts w:ascii="Muli" w:hAnsi="Muli"/>
          <w:i/>
          <w:sz w:val="20"/>
          <w:szCs w:val="20"/>
        </w:rPr>
        <w:t>Health Care Homes Handbook for general practices and Aboriginal Community Controlled Health Services Version 1.4 August 2018</w:t>
      </w:r>
      <w:r w:rsidRPr="003F2909">
        <w:rPr>
          <w:rFonts w:ascii="Muli" w:hAnsi="Muli"/>
          <w:sz w:val="20"/>
          <w:szCs w:val="20"/>
        </w:rPr>
        <w:t xml:space="preserve">   </w:t>
      </w:r>
    </w:p>
    <w:p w14:paraId="77B4F7BE" w14:textId="54E01353"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Government Department of Health. (2019a). </w:t>
      </w:r>
      <w:r w:rsidRPr="003F2909">
        <w:rPr>
          <w:rFonts w:ascii="Muli" w:hAnsi="Muli"/>
          <w:i/>
          <w:sz w:val="20"/>
          <w:szCs w:val="20"/>
        </w:rPr>
        <w:t>Health Care Homes—Health professionals</w:t>
      </w:r>
      <w:r w:rsidRPr="003F2909">
        <w:rPr>
          <w:rFonts w:ascii="Muli" w:hAnsi="Muli"/>
          <w:sz w:val="20"/>
          <w:szCs w:val="20"/>
        </w:rPr>
        <w:t xml:space="preserve">. Retrieved 7/10/2019 from </w:t>
      </w:r>
      <w:hyperlink r:id="rId131" w:history="1">
        <w:r w:rsidRPr="003F2909">
          <w:rPr>
            <w:rStyle w:val="Hyperlink"/>
            <w:rFonts w:ascii="Muli" w:hAnsi="Muli"/>
            <w:sz w:val="20"/>
            <w:szCs w:val="20"/>
          </w:rPr>
          <w:t>https://www1.health.gov.au/internet/main/publishing.nsf/Content/health-care-homes-professional</w:t>
        </w:r>
      </w:hyperlink>
    </w:p>
    <w:p w14:paraId="504F6BE5" w14:textId="335245E6"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Government Department of Health. (2019b). </w:t>
      </w:r>
      <w:r w:rsidRPr="003F2909">
        <w:rPr>
          <w:rFonts w:ascii="Muli" w:hAnsi="Muli"/>
          <w:i/>
          <w:sz w:val="20"/>
          <w:szCs w:val="20"/>
        </w:rPr>
        <w:t>Health Care Homes Handbook for general practices and Aboriginal Community Controlled Health Services Version 1.7 February 2019</w:t>
      </w:r>
      <w:r w:rsidRPr="003F2909">
        <w:rPr>
          <w:rFonts w:ascii="Muli" w:hAnsi="Muli"/>
          <w:sz w:val="20"/>
          <w:szCs w:val="20"/>
        </w:rPr>
        <w:t xml:space="preserve">. </w:t>
      </w:r>
      <w:hyperlink r:id="rId132" w:history="1">
        <w:r w:rsidRPr="003F2909">
          <w:rPr>
            <w:rStyle w:val="Hyperlink"/>
            <w:rFonts w:ascii="Muli" w:hAnsi="Muli"/>
            <w:sz w:val="20"/>
            <w:szCs w:val="20"/>
          </w:rPr>
          <w:t>https://www1.health.gov.au/internet/main/publishing.nsf/Content/health-care-homes-cp/$File/HCH-Handbook-Feb-2019.pdf</w:t>
        </w:r>
      </w:hyperlink>
    </w:p>
    <w:p w14:paraId="5C572181" w14:textId="76504DDC"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Australian Institute of Health and Welfare. (2019). </w:t>
      </w:r>
      <w:r w:rsidRPr="003F2909">
        <w:rPr>
          <w:rFonts w:ascii="Muli" w:hAnsi="Muli"/>
          <w:i/>
          <w:sz w:val="20"/>
          <w:szCs w:val="20"/>
        </w:rPr>
        <w:t>National Healthcare Agreement: PI 18–Selected potentially preventable hospitalisations, 2019 [METeOR 698954]</w:t>
      </w:r>
      <w:r w:rsidRPr="003F2909">
        <w:rPr>
          <w:rFonts w:ascii="Muli" w:hAnsi="Muli"/>
          <w:sz w:val="20"/>
          <w:szCs w:val="20"/>
        </w:rPr>
        <w:t xml:space="preserve">. </w:t>
      </w:r>
      <w:hyperlink r:id="rId133" w:history="1">
        <w:r w:rsidRPr="003F2909">
          <w:rPr>
            <w:rStyle w:val="Hyperlink"/>
            <w:rFonts w:ascii="Muli" w:hAnsi="Muli"/>
            <w:sz w:val="20"/>
            <w:szCs w:val="20"/>
          </w:rPr>
          <w:t>https://meteor.aihw.gov.au/content/index.phtml/itemId/698954</w:t>
        </w:r>
      </w:hyperlink>
    </w:p>
    <w:p w14:paraId="1410F906"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Aysola, J., Rhodes, K. V., &amp; Polsky, D. (2015). Patient-centered medical homes and access to services for new primary care patients. </w:t>
      </w:r>
      <w:r w:rsidRPr="003F2909">
        <w:rPr>
          <w:rFonts w:ascii="Muli" w:hAnsi="Muli"/>
          <w:i/>
          <w:sz w:val="20"/>
          <w:szCs w:val="20"/>
        </w:rPr>
        <w:t>Medical care, 53</w:t>
      </w:r>
      <w:r w:rsidRPr="003F2909">
        <w:rPr>
          <w:rFonts w:ascii="Muli" w:hAnsi="Muli"/>
          <w:sz w:val="20"/>
          <w:szCs w:val="20"/>
        </w:rPr>
        <w:t>(10), 857-862.</w:t>
      </w:r>
    </w:p>
    <w:p w14:paraId="5E3C48CC"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Barker, I., Steventon, A., &amp; Deeny, S. R. (2017). Association between continuity of care in general practice and hospital admissions for ambulatory care sensitive conditions: cross sectional study of routinely collected, person level data. </w:t>
      </w:r>
      <w:r w:rsidRPr="003F2909">
        <w:rPr>
          <w:rFonts w:ascii="Muli" w:hAnsi="Muli"/>
          <w:i/>
          <w:sz w:val="20"/>
          <w:szCs w:val="20"/>
        </w:rPr>
        <w:t>BMJ, 356</w:t>
      </w:r>
      <w:r w:rsidRPr="003F2909">
        <w:rPr>
          <w:rFonts w:ascii="Muli" w:hAnsi="Muli"/>
          <w:sz w:val="20"/>
          <w:szCs w:val="20"/>
        </w:rPr>
        <w:t>.</w:t>
      </w:r>
    </w:p>
    <w:p w14:paraId="401BFAB5"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Baxter, L., &amp; Nash, D. B. (2013). Implementing the Patient-Centered Medical Home Model for Chronic Disease Care in Small Medical Practices: Practice Group Characteristics and Physician Understanding [Article]. </w:t>
      </w:r>
      <w:r w:rsidRPr="003F2909">
        <w:rPr>
          <w:rFonts w:ascii="Muli" w:hAnsi="Muli"/>
          <w:i/>
          <w:sz w:val="20"/>
          <w:szCs w:val="20"/>
        </w:rPr>
        <w:t>American Journal of Medical Quality, 28</w:t>
      </w:r>
      <w:r w:rsidRPr="003F2909">
        <w:rPr>
          <w:rFonts w:ascii="Muli" w:hAnsi="Muli"/>
          <w:sz w:val="20"/>
          <w:szCs w:val="20"/>
        </w:rPr>
        <w:t>(2), 113-119.</w:t>
      </w:r>
    </w:p>
    <w:p w14:paraId="69B58892"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Beal, A., Hernandez, S., &amp; Doty, M. (2009). Latino access to the patient-centered medical home. </w:t>
      </w:r>
      <w:r w:rsidRPr="003F2909">
        <w:rPr>
          <w:rFonts w:ascii="Muli" w:hAnsi="Muli"/>
          <w:i/>
          <w:sz w:val="20"/>
          <w:szCs w:val="20"/>
        </w:rPr>
        <w:t>Journal of general internal medicine, 24 Suppl 3</w:t>
      </w:r>
      <w:r w:rsidRPr="003F2909">
        <w:rPr>
          <w:rFonts w:ascii="Muli" w:hAnsi="Muli"/>
          <w:sz w:val="20"/>
          <w:szCs w:val="20"/>
        </w:rPr>
        <w:t>, 514-520.</w:t>
      </w:r>
    </w:p>
    <w:p w14:paraId="1AD52745"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Bergman, A. A., Jaynes, H. A., Gonzalvo, J. D., Hudmon, K. S., Frankel, R. M., Kobylinski, A. L., &amp; Zillich, A. J. (2016). Pharmaceutical Role Expansion and Developments in Pharmacist-Physician Communication. </w:t>
      </w:r>
      <w:r w:rsidRPr="003F2909">
        <w:rPr>
          <w:rFonts w:ascii="Muli" w:hAnsi="Muli"/>
          <w:i/>
          <w:sz w:val="20"/>
          <w:szCs w:val="20"/>
        </w:rPr>
        <w:t>Health communication, 31</w:t>
      </w:r>
      <w:r w:rsidRPr="003F2909">
        <w:rPr>
          <w:rFonts w:ascii="Muli" w:hAnsi="Muli"/>
          <w:sz w:val="20"/>
          <w:szCs w:val="20"/>
        </w:rPr>
        <w:t>(2), 161-170.</w:t>
      </w:r>
    </w:p>
    <w:p w14:paraId="152BF613"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Berwick, D. M., Nolan, T. W., &amp; Whittington, J. (2008). The triple aim: care, health, and cost. </w:t>
      </w:r>
      <w:r w:rsidRPr="003F2909">
        <w:rPr>
          <w:rFonts w:ascii="Muli" w:hAnsi="Muli"/>
          <w:i/>
          <w:sz w:val="20"/>
          <w:szCs w:val="20"/>
        </w:rPr>
        <w:t>Health Aff (Millwood), 27</w:t>
      </w:r>
      <w:r w:rsidRPr="003F2909">
        <w:rPr>
          <w:rFonts w:ascii="Muli" w:hAnsi="Muli"/>
          <w:sz w:val="20"/>
          <w:szCs w:val="20"/>
        </w:rPr>
        <w:t>(3), 759-769.</w:t>
      </w:r>
    </w:p>
    <w:p w14:paraId="5F0FA15D"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Bodenheimer, T., Ghorob, A., Willard-Grace, R., &amp; Grumbach, K. (2014). The 10 Building Blocks of High-Performing Primary Care. </w:t>
      </w:r>
      <w:r w:rsidRPr="003F2909">
        <w:rPr>
          <w:rFonts w:ascii="Muli" w:hAnsi="Muli"/>
          <w:i/>
          <w:sz w:val="20"/>
          <w:szCs w:val="20"/>
        </w:rPr>
        <w:t>Annals of family medicine, 12</w:t>
      </w:r>
      <w:r w:rsidRPr="003F2909">
        <w:rPr>
          <w:rFonts w:ascii="Muli" w:hAnsi="Muli"/>
          <w:sz w:val="20"/>
          <w:szCs w:val="20"/>
        </w:rPr>
        <w:t>(2), 166-171.</w:t>
      </w:r>
    </w:p>
    <w:p w14:paraId="684EE08F"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Bodenheimer, T., &amp; Sinsky, C. (2014). From triple to quadruple aim: care of the patient requires care of the provider. </w:t>
      </w:r>
      <w:r w:rsidRPr="003F2909">
        <w:rPr>
          <w:rFonts w:ascii="Muli" w:hAnsi="Muli"/>
          <w:i/>
          <w:sz w:val="20"/>
          <w:szCs w:val="20"/>
        </w:rPr>
        <w:t>Ann Fam Med, 12</w:t>
      </w:r>
      <w:r w:rsidRPr="003F2909">
        <w:rPr>
          <w:rFonts w:ascii="Muli" w:hAnsi="Muli"/>
          <w:sz w:val="20"/>
          <w:szCs w:val="20"/>
        </w:rPr>
        <w:t>(6), 573-576.</w:t>
      </w:r>
    </w:p>
    <w:p w14:paraId="7D95872F"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Boivin, A., Lehoux, P., Lacombe, R., Burgers, J., &amp; Grol, R. (2014). Involving patients in setting priorities for healthcare improvement: a cluster randomized trial. </w:t>
      </w:r>
      <w:r w:rsidRPr="003F2909">
        <w:rPr>
          <w:rFonts w:ascii="Muli" w:hAnsi="Muli"/>
          <w:i/>
          <w:sz w:val="20"/>
          <w:szCs w:val="20"/>
        </w:rPr>
        <w:t>Implementation science : IS, 9</w:t>
      </w:r>
      <w:r w:rsidRPr="003F2909">
        <w:rPr>
          <w:rFonts w:ascii="Muli" w:hAnsi="Muli"/>
          <w:sz w:val="20"/>
          <w:szCs w:val="20"/>
        </w:rPr>
        <w:t>, 24.</w:t>
      </w:r>
    </w:p>
    <w:p w14:paraId="20E92E08"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lastRenderedPageBreak/>
        <w:t xml:space="preserve">Brunisholz, K. D., Olson, J., Anderson, J. W., Hays, E., Tilbury, P. M., Winter, B., Rickard, J., Hamilton, S., &amp; Parkin, G. (2018). "Pharming out" support: a promising approach to integrating clinical pharmacists into established primary care medical home practices. </w:t>
      </w:r>
      <w:r w:rsidRPr="003F2909">
        <w:rPr>
          <w:rFonts w:ascii="Muli" w:hAnsi="Muli"/>
          <w:i/>
          <w:sz w:val="20"/>
          <w:szCs w:val="20"/>
        </w:rPr>
        <w:t>The Journal of international medical research, 46</w:t>
      </w:r>
      <w:r w:rsidRPr="003F2909">
        <w:rPr>
          <w:rFonts w:ascii="Muli" w:hAnsi="Muli"/>
          <w:sz w:val="20"/>
          <w:szCs w:val="20"/>
        </w:rPr>
        <w:t>(1), 234-248.</w:t>
      </w:r>
    </w:p>
    <w:p w14:paraId="092214FA" w14:textId="01C7F1CD"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Canadian Institute for Health Information (CIHI). (2022). </w:t>
      </w:r>
      <w:r w:rsidRPr="003F2909">
        <w:rPr>
          <w:rFonts w:ascii="Muli" w:hAnsi="Muli"/>
          <w:i/>
          <w:sz w:val="20"/>
          <w:szCs w:val="20"/>
        </w:rPr>
        <w:t>Population Grouping Methodology</w:t>
      </w:r>
      <w:r w:rsidRPr="003F2909">
        <w:rPr>
          <w:rFonts w:ascii="Muli" w:hAnsi="Muli"/>
          <w:sz w:val="20"/>
          <w:szCs w:val="20"/>
        </w:rPr>
        <w:t xml:space="preserve">. CIHI. Retrieved 16/5/2022 from </w:t>
      </w:r>
      <w:hyperlink r:id="rId134" w:history="1">
        <w:r w:rsidRPr="003F2909">
          <w:rPr>
            <w:rStyle w:val="Hyperlink"/>
            <w:rFonts w:ascii="Muli" w:hAnsi="Muli"/>
            <w:sz w:val="20"/>
            <w:szCs w:val="20"/>
          </w:rPr>
          <w:t>https://www.cihi.ca/sites/default/files/document/infosheet_popgroupmethod_en_web_0.pdf</w:t>
        </w:r>
      </w:hyperlink>
    </w:p>
    <w:p w14:paraId="2F01EC0F"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Cohen, W. M., &amp; Levinthal, D. A. (1990). Absorptive Capacity: A New Perspective on Learning and Innovation. </w:t>
      </w:r>
      <w:r w:rsidRPr="003F2909">
        <w:rPr>
          <w:rFonts w:ascii="Muli" w:hAnsi="Muli"/>
          <w:i/>
          <w:sz w:val="20"/>
          <w:szCs w:val="20"/>
        </w:rPr>
        <w:t>Administrative Science Quarterly, 35</w:t>
      </w:r>
      <w:r w:rsidRPr="003F2909">
        <w:rPr>
          <w:rFonts w:ascii="Muli" w:hAnsi="Muli"/>
          <w:sz w:val="20"/>
          <w:szCs w:val="20"/>
        </w:rPr>
        <w:t>(1), 128-152.</w:t>
      </w:r>
    </w:p>
    <w:p w14:paraId="7E44E2AD" w14:textId="6E940921"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Consumers Health Forum of Australia. (2019). </w:t>
      </w:r>
      <w:r w:rsidRPr="003F2909">
        <w:rPr>
          <w:rFonts w:ascii="Muli" w:hAnsi="Muli"/>
          <w:i/>
          <w:sz w:val="20"/>
          <w:szCs w:val="20"/>
        </w:rPr>
        <w:t>Patient Activation in Australians with Chronic Illness – Survey Results</w:t>
      </w:r>
      <w:r w:rsidRPr="003F2909">
        <w:rPr>
          <w:rFonts w:ascii="Muli" w:hAnsi="Muli"/>
          <w:sz w:val="20"/>
          <w:szCs w:val="20"/>
        </w:rPr>
        <w:t xml:space="preserve">. </w:t>
      </w:r>
      <w:hyperlink r:id="rId135" w:history="1">
        <w:r w:rsidRPr="003F2909">
          <w:rPr>
            <w:rStyle w:val="Hyperlink"/>
            <w:rFonts w:ascii="Muli" w:hAnsi="Muli"/>
            <w:sz w:val="20"/>
            <w:szCs w:val="20"/>
          </w:rPr>
          <w:t>https://chf.org.au/sites/default/files/20191030_rpt_patient_activation_survey_report_final.pdf</w:t>
        </w:r>
      </w:hyperlink>
    </w:p>
    <w:p w14:paraId="19AA0040"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Damanpour, F. (1991). Organizational Innovation: A Meta-Analysis of Effects of Determinants and Moderators. </w:t>
      </w:r>
      <w:r w:rsidRPr="003F2909">
        <w:rPr>
          <w:rFonts w:ascii="Muli" w:hAnsi="Muli"/>
          <w:i/>
          <w:sz w:val="20"/>
          <w:szCs w:val="20"/>
        </w:rPr>
        <w:t>The Academy of Management Journal, 34</w:t>
      </w:r>
      <w:r w:rsidRPr="003F2909">
        <w:rPr>
          <w:rFonts w:ascii="Muli" w:hAnsi="Muli"/>
          <w:sz w:val="20"/>
          <w:szCs w:val="20"/>
        </w:rPr>
        <w:t>(3), 555-590.</w:t>
      </w:r>
    </w:p>
    <w:p w14:paraId="4BDCC505"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Damschroder, L. J., Aron, D. C., Keith, R. E., Kirsh, S. R., Alexander, J. A., &amp; Lowery, J. C. (2009). Fostering implementation of health services research findings into practice: a consolidated framework for advancing implementation science. </w:t>
      </w:r>
      <w:r w:rsidRPr="003F2909">
        <w:rPr>
          <w:rFonts w:ascii="Muli" w:hAnsi="Muli"/>
          <w:i/>
          <w:sz w:val="20"/>
          <w:szCs w:val="20"/>
        </w:rPr>
        <w:t>Implementation Science, 4</w:t>
      </w:r>
      <w:r w:rsidRPr="003F2909">
        <w:rPr>
          <w:rFonts w:ascii="Muli" w:hAnsi="Muli"/>
          <w:sz w:val="20"/>
          <w:szCs w:val="20"/>
        </w:rPr>
        <w:t>(1), 50.</w:t>
      </w:r>
    </w:p>
    <w:p w14:paraId="10012A3E"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Devlin, N. J., &amp; Krabbe, P. F. (2013). The development of new research methods for the valuation of EQ-5D-5L. </w:t>
      </w:r>
      <w:r w:rsidRPr="003F2909">
        <w:rPr>
          <w:rFonts w:ascii="Muli" w:hAnsi="Muli"/>
          <w:i/>
          <w:sz w:val="20"/>
          <w:szCs w:val="20"/>
        </w:rPr>
        <w:t>Eur J Health Econ, 14 Suppl 1</w:t>
      </w:r>
      <w:r w:rsidRPr="003F2909">
        <w:rPr>
          <w:rFonts w:ascii="Muli" w:hAnsi="Muli"/>
          <w:sz w:val="20"/>
          <w:szCs w:val="20"/>
        </w:rPr>
        <w:t>, S1-3.</w:t>
      </w:r>
    </w:p>
    <w:p w14:paraId="76E9A5D8"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Dopson, S., FitzGerald, L., Ferlie, E., Gabbay, J., &amp; Locock, L. (2010). No magic targets! Changing clinical practice to become more evidence based. </w:t>
      </w:r>
      <w:r w:rsidRPr="003F2909">
        <w:rPr>
          <w:rFonts w:ascii="Muli" w:hAnsi="Muli"/>
          <w:i/>
          <w:sz w:val="20"/>
          <w:szCs w:val="20"/>
        </w:rPr>
        <w:t>Health Care Manage Rev, 35</w:t>
      </w:r>
      <w:r w:rsidRPr="003F2909">
        <w:rPr>
          <w:rFonts w:ascii="Muli" w:hAnsi="Muli"/>
          <w:sz w:val="20"/>
          <w:szCs w:val="20"/>
        </w:rPr>
        <w:t>(1), 2-12.</w:t>
      </w:r>
    </w:p>
    <w:p w14:paraId="04663116"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Eccles, M. P., &amp; Mittman, B. S. (2006). Welcome to Implementation Science. </w:t>
      </w:r>
      <w:r w:rsidRPr="003F2909">
        <w:rPr>
          <w:rFonts w:ascii="Muli" w:hAnsi="Muli"/>
          <w:i/>
          <w:sz w:val="20"/>
          <w:szCs w:val="20"/>
        </w:rPr>
        <w:t>Implementation Science, 1</w:t>
      </w:r>
      <w:r w:rsidRPr="003F2909">
        <w:rPr>
          <w:rFonts w:ascii="Muli" w:hAnsi="Muli"/>
          <w:sz w:val="20"/>
          <w:szCs w:val="20"/>
        </w:rPr>
        <w:t>(1), 1.</w:t>
      </w:r>
    </w:p>
    <w:p w14:paraId="4EAB34F9"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Edwards, H. D., Webb, R. D., Scheid, D. C., Britton, M. L., &amp; Armor, B. L. (2012). A Pharmacist Visit Improves Diabetes Standards in a Patient-Centered Medical Home (PCMH) [Article]. </w:t>
      </w:r>
      <w:r w:rsidRPr="003F2909">
        <w:rPr>
          <w:rFonts w:ascii="Muli" w:hAnsi="Muli"/>
          <w:i/>
          <w:sz w:val="20"/>
          <w:szCs w:val="20"/>
        </w:rPr>
        <w:t>American Journal of Medical Quality, 27</w:t>
      </w:r>
      <w:r w:rsidRPr="003F2909">
        <w:rPr>
          <w:rFonts w:ascii="Muli" w:hAnsi="Muli"/>
          <w:sz w:val="20"/>
          <w:szCs w:val="20"/>
        </w:rPr>
        <w:t>(6), 529-534.</w:t>
      </w:r>
    </w:p>
    <w:p w14:paraId="1345BAF6"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Farrell, B., Ward, N., Dore, N., Russell, G., Geneau, R., &amp; Evans, S. (2013). Working in interprofessional primary health care teams: What do pharmacists do? [Article]. </w:t>
      </w:r>
      <w:r w:rsidRPr="003F2909">
        <w:rPr>
          <w:rFonts w:ascii="Muli" w:hAnsi="Muli"/>
          <w:i/>
          <w:sz w:val="20"/>
          <w:szCs w:val="20"/>
        </w:rPr>
        <w:t>Research in Social &amp; Administrative Pharmacy, 9</w:t>
      </w:r>
      <w:r w:rsidRPr="003F2909">
        <w:rPr>
          <w:rFonts w:ascii="Muli" w:hAnsi="Muli"/>
          <w:sz w:val="20"/>
          <w:szCs w:val="20"/>
        </w:rPr>
        <w:t>(3), 288-301.</w:t>
      </w:r>
    </w:p>
    <w:p w14:paraId="34D4B586"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Fifield, J., Forrest, D. D., Martin-Peele, M., Burleson, J. A., Goyzueta, J., Fujimoto, M., &amp; Gillespie, W. (2013). A randomized, controlled trial of implementing the patient-centered medical home model in solo and small practices. </w:t>
      </w:r>
      <w:r w:rsidRPr="003F2909">
        <w:rPr>
          <w:rFonts w:ascii="Muli" w:hAnsi="Muli"/>
          <w:i/>
          <w:sz w:val="20"/>
          <w:szCs w:val="20"/>
        </w:rPr>
        <w:t>J Gen Intern Med, 28</w:t>
      </w:r>
      <w:r w:rsidRPr="003F2909">
        <w:rPr>
          <w:rFonts w:ascii="Muli" w:hAnsi="Muli"/>
          <w:sz w:val="20"/>
          <w:szCs w:val="20"/>
        </w:rPr>
        <w:t>(6), 770-777.</w:t>
      </w:r>
    </w:p>
    <w:p w14:paraId="666AD161"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Fitzgerald, L., &amp; Dopson, S. (2006). Knowledge, credible evidence, and utilization. In S. Dopson &amp; L. FitzGerald (Eds.), </w:t>
      </w:r>
      <w:r w:rsidRPr="003F2909">
        <w:rPr>
          <w:rFonts w:ascii="Muli" w:hAnsi="Muli"/>
          <w:i/>
          <w:sz w:val="20"/>
          <w:szCs w:val="20"/>
        </w:rPr>
        <w:t>Knowledge to action? Evidence-based health care in context</w:t>
      </w:r>
      <w:r w:rsidRPr="003F2909">
        <w:rPr>
          <w:rFonts w:ascii="Muli" w:hAnsi="Muli"/>
          <w:sz w:val="20"/>
          <w:szCs w:val="20"/>
        </w:rPr>
        <w:t xml:space="preserve">. Oxford University Press. </w:t>
      </w:r>
    </w:p>
    <w:p w14:paraId="1F806991"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Gibbons, C. J., Small, N., Rick, J., Burt, J., Hann, M., &amp; Bower, P. (2017). The Patient Assessment of Chronic Illness Care produces measurements along a single dimension: results from a Mokken analysis. </w:t>
      </w:r>
      <w:r w:rsidRPr="003F2909">
        <w:rPr>
          <w:rFonts w:ascii="Muli" w:hAnsi="Muli"/>
          <w:i/>
          <w:sz w:val="20"/>
          <w:szCs w:val="20"/>
        </w:rPr>
        <w:t>Health Qual Life Outcomes, 15</w:t>
      </w:r>
      <w:r w:rsidRPr="003F2909">
        <w:rPr>
          <w:rFonts w:ascii="Muli" w:hAnsi="Muli"/>
          <w:sz w:val="20"/>
          <w:szCs w:val="20"/>
        </w:rPr>
        <w:t>(1), 61.</w:t>
      </w:r>
    </w:p>
    <w:p w14:paraId="04D8E164"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Glasgow, R. E., Wagner, E. H., Schaefer, J., Mahoney, L. D., Reid, R. J., &amp; Greene, S. M. (2005). Development and Validation of the Patient Assessment of Chronic Illness Care (PACIC) [Journal]. </w:t>
      </w:r>
      <w:r w:rsidRPr="003F2909">
        <w:rPr>
          <w:rFonts w:ascii="Muli" w:hAnsi="Muli"/>
          <w:i/>
          <w:sz w:val="20"/>
          <w:szCs w:val="20"/>
        </w:rPr>
        <w:t>Medical Care, 43</w:t>
      </w:r>
      <w:r w:rsidRPr="003F2909">
        <w:rPr>
          <w:rFonts w:ascii="Muli" w:hAnsi="Muli"/>
          <w:sz w:val="20"/>
          <w:szCs w:val="20"/>
        </w:rPr>
        <w:t>, 436-444.</w:t>
      </w:r>
    </w:p>
    <w:p w14:paraId="5E863CD5"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lastRenderedPageBreak/>
        <w:t xml:space="preserve">Goldberg, D. G., Beeson, T., Kuzel, A. J., Love, L. E., &amp; Carver, M. C. (2013). Team-Based Care: A Critical Element of Primary Care Practice Transformation [Article]. </w:t>
      </w:r>
      <w:r w:rsidRPr="003F2909">
        <w:rPr>
          <w:rFonts w:ascii="Muli" w:hAnsi="Muli"/>
          <w:i/>
          <w:sz w:val="20"/>
          <w:szCs w:val="20"/>
        </w:rPr>
        <w:t>Population health management, 16</w:t>
      </w:r>
      <w:r w:rsidRPr="003F2909">
        <w:rPr>
          <w:rFonts w:ascii="Muli" w:hAnsi="Muli"/>
          <w:sz w:val="20"/>
          <w:szCs w:val="20"/>
        </w:rPr>
        <w:t>(3), 150-156.</w:t>
      </w:r>
    </w:p>
    <w:p w14:paraId="1B4E71E8"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Greenhalgh, T., Robert, G., Macfarlane, F., Bate, P., &amp; Kyriakidou, O. (2004). Diffusion of innovations in service organizations: systematic review and recommendations. </w:t>
      </w:r>
      <w:r w:rsidRPr="003F2909">
        <w:rPr>
          <w:rFonts w:ascii="Muli" w:hAnsi="Muli"/>
          <w:i/>
          <w:sz w:val="20"/>
          <w:szCs w:val="20"/>
        </w:rPr>
        <w:t>Milbank Q, 82</w:t>
      </w:r>
      <w:r w:rsidRPr="003F2909">
        <w:rPr>
          <w:rFonts w:ascii="Muli" w:hAnsi="Muli"/>
          <w:sz w:val="20"/>
          <w:szCs w:val="20"/>
        </w:rPr>
        <w:t>(4), 581-629.</w:t>
      </w:r>
    </w:p>
    <w:p w14:paraId="452C3662"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Grol, R. P., Bosch, M. C., Hulscher, M. E., Eccles, M. P., &amp; Wensing, M. (2007). Planning and studying improvement in patient care: the use of theoretical perspectives. </w:t>
      </w:r>
      <w:r w:rsidRPr="003F2909">
        <w:rPr>
          <w:rFonts w:ascii="Muli" w:hAnsi="Muli"/>
          <w:i/>
          <w:sz w:val="20"/>
          <w:szCs w:val="20"/>
        </w:rPr>
        <w:t>Milbank Q, 85</w:t>
      </w:r>
      <w:r w:rsidRPr="003F2909">
        <w:rPr>
          <w:rFonts w:ascii="Muli" w:hAnsi="Muli"/>
          <w:sz w:val="20"/>
          <w:szCs w:val="20"/>
        </w:rPr>
        <w:t>(1), 93-138.</w:t>
      </w:r>
    </w:p>
    <w:p w14:paraId="48C3C351"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Gustafson, D. H., Sainfort, F., Eichler, M., Adams, L., Bisognano, M., &amp; Steudel, H. (2003). Developing and testing a model to predict outcomes of organizational change. </w:t>
      </w:r>
      <w:r w:rsidRPr="003F2909">
        <w:rPr>
          <w:rFonts w:ascii="Muli" w:hAnsi="Muli"/>
          <w:i/>
          <w:sz w:val="20"/>
          <w:szCs w:val="20"/>
        </w:rPr>
        <w:t>Health Serv Res, 38</w:t>
      </w:r>
      <w:r w:rsidRPr="003F2909">
        <w:rPr>
          <w:rFonts w:ascii="Muli" w:hAnsi="Muli"/>
          <w:sz w:val="20"/>
          <w:szCs w:val="20"/>
        </w:rPr>
        <w:t>(2), 751-776.</w:t>
      </w:r>
    </w:p>
    <w:p w14:paraId="3928A7F0" w14:textId="402F3804"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Gustafson, D. H., Sainfort, F., Eichler, M., Adams, L., Bisognano, M., &amp; Steudel, H. (2003). Developing and Testing a Model to Predict Outcomes of Organizational Change [</w:t>
      </w:r>
      <w:hyperlink r:id="rId136" w:history="1">
        <w:r w:rsidRPr="003F2909">
          <w:rPr>
            <w:rStyle w:val="Hyperlink"/>
            <w:rFonts w:ascii="Muli" w:hAnsi="Muli"/>
            <w:sz w:val="20"/>
            <w:szCs w:val="20"/>
          </w:rPr>
          <w:t>https://doi.org/10.1111/1475-6773.00143</w:t>
        </w:r>
      </w:hyperlink>
      <w:r w:rsidRPr="003F2909">
        <w:rPr>
          <w:rFonts w:ascii="Muli" w:hAnsi="Muli"/>
          <w:sz w:val="20"/>
          <w:szCs w:val="20"/>
        </w:rPr>
        <w:t xml:space="preserve">]. </w:t>
      </w:r>
      <w:r w:rsidRPr="003F2909">
        <w:rPr>
          <w:rFonts w:ascii="Muli" w:hAnsi="Muli"/>
          <w:i/>
          <w:sz w:val="20"/>
          <w:szCs w:val="20"/>
        </w:rPr>
        <w:t>Health Services Research, 38</w:t>
      </w:r>
      <w:r w:rsidRPr="003F2909">
        <w:rPr>
          <w:rFonts w:ascii="Muli" w:hAnsi="Muli"/>
          <w:sz w:val="20"/>
          <w:szCs w:val="20"/>
        </w:rPr>
        <w:t>(2), 751-776.</w:t>
      </w:r>
    </w:p>
    <w:p w14:paraId="35D9435A"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Hawes, E. M., Pinelli, N. R., Sanders, K. A., Lipshutz, A. M., Tong, G., Sievers, L. S., Chao, S., &amp; Gwynne, M. (2018). Post-Hospital Discharge Care: A Retrospective Cohort Study Exploring the Value of Pharmacist-Enhanced Care and Describing Medication-Related Problems. </w:t>
      </w:r>
      <w:r w:rsidRPr="003F2909">
        <w:rPr>
          <w:rFonts w:ascii="Muli" w:hAnsi="Muli"/>
          <w:i/>
          <w:sz w:val="20"/>
          <w:szCs w:val="20"/>
        </w:rPr>
        <w:t>North Carolina medical journal, 79</w:t>
      </w:r>
      <w:r w:rsidRPr="003F2909">
        <w:rPr>
          <w:rFonts w:ascii="Muli" w:hAnsi="Muli"/>
          <w:sz w:val="20"/>
          <w:szCs w:val="20"/>
        </w:rPr>
        <w:t>(1), 4-13.</w:t>
      </w:r>
    </w:p>
    <w:p w14:paraId="1695BF75" w14:textId="6E84DA20"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Health Policy Analysis. (2019a). </w:t>
      </w:r>
      <w:r w:rsidRPr="003F2909">
        <w:rPr>
          <w:rFonts w:ascii="Muli" w:hAnsi="Muli"/>
          <w:i/>
          <w:sz w:val="20"/>
          <w:szCs w:val="20"/>
        </w:rPr>
        <w:t>Evaluation of the Health Care Homes program – Evaluation plan (Updated 2019)</w:t>
      </w:r>
      <w:r w:rsidRPr="003F2909">
        <w:rPr>
          <w:rFonts w:ascii="Muli" w:hAnsi="Muli"/>
          <w:sz w:val="20"/>
          <w:szCs w:val="20"/>
        </w:rPr>
        <w:t xml:space="preserve">. </w:t>
      </w:r>
      <w:hyperlink r:id="rId137" w:history="1">
        <w:r w:rsidRPr="003F2909">
          <w:rPr>
            <w:rStyle w:val="Hyperlink"/>
            <w:rFonts w:ascii="Muli" w:hAnsi="Muli"/>
            <w:sz w:val="20"/>
            <w:szCs w:val="20"/>
          </w:rPr>
          <w:t>https://www1.health.gov.au/internet/main/publishing.nsf/Content/Evaluation-of-the-Health-Care-Homes-Program</w:t>
        </w:r>
      </w:hyperlink>
    </w:p>
    <w:p w14:paraId="3F4BD4EA" w14:textId="79B0F44F" w:rsidR="003F2909" w:rsidRPr="003F2909" w:rsidRDefault="003F2909" w:rsidP="003F2909">
      <w:pPr>
        <w:pStyle w:val="EndNoteBibliography"/>
        <w:spacing w:after="0"/>
        <w:ind w:left="720" w:hanging="720"/>
        <w:rPr>
          <w:rFonts w:ascii="Muli" w:hAnsi="Muli"/>
          <w:sz w:val="20"/>
          <w:szCs w:val="20"/>
          <w:u w:val="single"/>
        </w:rPr>
      </w:pPr>
      <w:r w:rsidRPr="003F2909">
        <w:rPr>
          <w:rFonts w:ascii="Muli" w:hAnsi="Muli"/>
          <w:sz w:val="20"/>
          <w:szCs w:val="20"/>
        </w:rPr>
        <w:t xml:space="preserve">Health Policy Analysis. (2019b). </w:t>
      </w:r>
      <w:r w:rsidRPr="003F2909">
        <w:rPr>
          <w:rFonts w:ascii="Muli" w:hAnsi="Muli"/>
          <w:i/>
          <w:sz w:val="20"/>
          <w:szCs w:val="20"/>
        </w:rPr>
        <w:t>Evaluation of the Health Care Homes program – Interim evaluation report 2019</w:t>
      </w:r>
      <w:r w:rsidRPr="003F2909">
        <w:rPr>
          <w:rFonts w:ascii="Muli" w:hAnsi="Muli"/>
          <w:sz w:val="20"/>
          <w:szCs w:val="20"/>
        </w:rPr>
        <w:t xml:space="preserve">. </w:t>
      </w:r>
      <w:hyperlink r:id="rId138" w:history="1">
        <w:r w:rsidRPr="003F2909">
          <w:rPr>
            <w:rStyle w:val="Hyperlink"/>
            <w:rFonts w:ascii="Muli" w:hAnsi="Muli"/>
            <w:sz w:val="20"/>
            <w:szCs w:val="20"/>
          </w:rPr>
          <w:t>https://www1.health.gov.au/internet/main/publishing.nsf/Content/Evaluation-of-the-Health-Care-Homes-Program</w:t>
        </w:r>
      </w:hyperlink>
    </w:p>
    <w:p w14:paraId="0B1AE2C3" w14:textId="1499701D"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Health Policy Analysis. (2020). </w:t>
      </w:r>
      <w:r w:rsidRPr="003F2909">
        <w:rPr>
          <w:rFonts w:ascii="Muli" w:hAnsi="Muli"/>
          <w:i/>
          <w:sz w:val="20"/>
          <w:szCs w:val="20"/>
        </w:rPr>
        <w:t>Evaluation of the Health Care Homes program – Interim evaluation report 2020</w:t>
      </w:r>
      <w:r w:rsidRPr="003F2909">
        <w:rPr>
          <w:rFonts w:ascii="Muli" w:hAnsi="Muli"/>
          <w:sz w:val="20"/>
          <w:szCs w:val="20"/>
        </w:rPr>
        <w:t xml:space="preserve">. </w:t>
      </w:r>
      <w:hyperlink r:id="rId139" w:history="1">
        <w:r w:rsidRPr="003F2909">
          <w:rPr>
            <w:rStyle w:val="Hyperlink"/>
            <w:rFonts w:ascii="Muli" w:hAnsi="Muli"/>
            <w:sz w:val="20"/>
            <w:szCs w:val="20"/>
          </w:rPr>
          <w:t>https://www1.health.gov.au/internet/main/publishing.nsf/Content/Evaluation-of-the-Health-Care-Homes-Program</w:t>
        </w:r>
      </w:hyperlink>
    </w:p>
    <w:p w14:paraId="556F58C8"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Helfrich, C. D., Weiner, B. J., McKinney, M. M., &amp; Minasian, L. (2007). Determinants of implementation effectiveness: adapting a framework for complex innovations. </w:t>
      </w:r>
      <w:r w:rsidRPr="003F2909">
        <w:rPr>
          <w:rFonts w:ascii="Muli" w:hAnsi="Muli"/>
          <w:i/>
          <w:sz w:val="20"/>
          <w:szCs w:val="20"/>
        </w:rPr>
        <w:t>Med Care Res Rev, 64</w:t>
      </w:r>
      <w:r w:rsidRPr="003F2909">
        <w:rPr>
          <w:rFonts w:ascii="Muli" w:hAnsi="Muli"/>
          <w:sz w:val="20"/>
          <w:szCs w:val="20"/>
        </w:rPr>
        <w:t>(3), 279-303.</w:t>
      </w:r>
    </w:p>
    <w:p w14:paraId="6F3A271D"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Hemming, K., Haines, T. P., Chilton, P. J., Girling, A. J., &amp; Lilford, R. J. (2015). The stepped wedge cluster randomised trial: rationale, design, analysis, and reporting. </w:t>
      </w:r>
      <w:r w:rsidRPr="003F2909">
        <w:rPr>
          <w:rFonts w:ascii="Muli" w:hAnsi="Muli"/>
          <w:i/>
          <w:sz w:val="20"/>
          <w:szCs w:val="20"/>
        </w:rPr>
        <w:t>BMJ, 350</w:t>
      </w:r>
      <w:r w:rsidRPr="003F2909">
        <w:rPr>
          <w:rFonts w:ascii="Muli" w:hAnsi="Muli"/>
          <w:sz w:val="20"/>
          <w:szCs w:val="20"/>
        </w:rPr>
        <w:t>, h391.</w:t>
      </w:r>
    </w:p>
    <w:p w14:paraId="4DEE2FA9"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Herdman, M., Gudex, C., Lloyd, A., Janssen, M., Kind, P., Parkin, D., Bonsel, G., &amp; Badia, X. (2011). Development and preliminary testing of the new five-level version of EQ-5D (EQ-5D-5L). </w:t>
      </w:r>
      <w:r w:rsidRPr="003F2909">
        <w:rPr>
          <w:rFonts w:ascii="Muli" w:hAnsi="Muli"/>
          <w:i/>
          <w:sz w:val="20"/>
          <w:szCs w:val="20"/>
        </w:rPr>
        <w:t>Qual Life Res, 20</w:t>
      </w:r>
      <w:r w:rsidRPr="003F2909">
        <w:rPr>
          <w:rFonts w:ascii="Muli" w:hAnsi="Muli"/>
          <w:sz w:val="20"/>
          <w:szCs w:val="20"/>
        </w:rPr>
        <w:t>(10), 1727-1736.</w:t>
      </w:r>
    </w:p>
    <w:p w14:paraId="3FAAE930"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Hibbard, J. H., Mahoney, E. R., Stockard, J., &amp; Tusler, M. (2005). Development and testing of a short form of the patient activation measure. </w:t>
      </w:r>
      <w:r w:rsidRPr="003F2909">
        <w:rPr>
          <w:rFonts w:ascii="Muli" w:hAnsi="Muli"/>
          <w:i/>
          <w:sz w:val="20"/>
          <w:szCs w:val="20"/>
        </w:rPr>
        <w:t>Health Serv Res, 40</w:t>
      </w:r>
      <w:r w:rsidRPr="003F2909">
        <w:rPr>
          <w:rFonts w:ascii="Muli" w:hAnsi="Muli"/>
          <w:sz w:val="20"/>
          <w:szCs w:val="20"/>
        </w:rPr>
        <w:t>(6 Pt 1), 1918-1930.</w:t>
      </w:r>
    </w:p>
    <w:p w14:paraId="3830E8E8"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Hwang, A. Y., Gums, T. H., &amp; Gums, J. G. (2017). The benefits of physician-pharmacist collaboration. </w:t>
      </w:r>
      <w:r w:rsidRPr="003F2909">
        <w:rPr>
          <w:rFonts w:ascii="Muli" w:hAnsi="Muli"/>
          <w:i/>
          <w:sz w:val="20"/>
          <w:szCs w:val="20"/>
        </w:rPr>
        <w:t>Journal of Family Practice, 66</w:t>
      </w:r>
      <w:r w:rsidRPr="003F2909">
        <w:rPr>
          <w:rFonts w:ascii="Muli" w:hAnsi="Muli"/>
          <w:sz w:val="20"/>
          <w:szCs w:val="20"/>
        </w:rPr>
        <w:t>(12), E1-E8.</w:t>
      </w:r>
    </w:p>
    <w:p w14:paraId="1FE15176" w14:textId="5D6ED449"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Independent Hospital Pricing Authority. (2019). </w:t>
      </w:r>
      <w:r w:rsidRPr="003F2909">
        <w:rPr>
          <w:rFonts w:ascii="Muli" w:hAnsi="Muli"/>
          <w:i/>
          <w:sz w:val="20"/>
          <w:szCs w:val="20"/>
        </w:rPr>
        <w:t>National Weighted Activity Unit (NWAU) calculators</w:t>
      </w:r>
      <w:r w:rsidRPr="003F2909">
        <w:rPr>
          <w:rFonts w:ascii="Muli" w:hAnsi="Muli"/>
          <w:sz w:val="20"/>
          <w:szCs w:val="20"/>
        </w:rPr>
        <w:t xml:space="preserve">. Retrieved June from </w:t>
      </w:r>
      <w:hyperlink r:id="rId140" w:history="1">
        <w:r w:rsidRPr="003F2909">
          <w:rPr>
            <w:rStyle w:val="Hyperlink"/>
            <w:rFonts w:ascii="Muli" w:hAnsi="Muli"/>
            <w:sz w:val="20"/>
            <w:szCs w:val="20"/>
          </w:rPr>
          <w:t>https://www.ihpa.gov.au/what-we-do/national-weighted-activity-unit-nwau-calculators</w:t>
        </w:r>
      </w:hyperlink>
    </w:p>
    <w:p w14:paraId="539AC42B"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lastRenderedPageBreak/>
        <w:t xml:space="preserve">Jackson, G. L., Powers, B. J., Chatterjee, R., Bettger, J. P., Kemper, A. R., Hasselblad, V., Dolor, R. J., Julian Irvine, R., Heidenfelder, B. L., Kendrick, A. S., Gray, R., &amp; Williams Jr, J. W. (2013). The patient-centered medical home: A systematic review. </w:t>
      </w:r>
      <w:r w:rsidRPr="003F2909">
        <w:rPr>
          <w:rFonts w:ascii="Muli" w:hAnsi="Muli"/>
          <w:i/>
          <w:sz w:val="20"/>
          <w:szCs w:val="20"/>
        </w:rPr>
        <w:t>Annals of internal medicine, 158</w:t>
      </w:r>
      <w:r w:rsidRPr="003F2909">
        <w:rPr>
          <w:rFonts w:ascii="Muli" w:hAnsi="Muli"/>
          <w:sz w:val="20"/>
          <w:szCs w:val="20"/>
        </w:rPr>
        <w:t>(3), 169-178.</w:t>
      </w:r>
    </w:p>
    <w:p w14:paraId="1FF1A981"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John, J. R., Jani, H., Peters, K., Agho, K., &amp; Tannous, W. K. (2020). The Effectiveness of Patient-Centred Medical Home-Based Models of Care versus Standard Primary Care in Chronic Disease Management: A Systematic Review and Meta-Analysis of Randomised and Non-Randomised Controlled Trials [Review]. </w:t>
      </w:r>
      <w:r w:rsidRPr="003F2909">
        <w:rPr>
          <w:rFonts w:ascii="Muli" w:hAnsi="Muli"/>
          <w:i/>
          <w:sz w:val="20"/>
          <w:szCs w:val="20"/>
        </w:rPr>
        <w:t>International journal of environmental research and public health, 17</w:t>
      </w:r>
      <w:r w:rsidRPr="003F2909">
        <w:rPr>
          <w:rFonts w:ascii="Muli" w:hAnsi="Muli"/>
          <w:sz w:val="20"/>
          <w:szCs w:val="20"/>
        </w:rPr>
        <w:t>(18), 42, Article 6886.</w:t>
      </w:r>
    </w:p>
    <w:p w14:paraId="6E1DF4E1" w14:textId="7FD2E6DB"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Johns Hopkins ACG® System. (2021). </w:t>
      </w:r>
      <w:r w:rsidRPr="003F2909">
        <w:rPr>
          <w:rFonts w:ascii="Muli" w:hAnsi="Muli"/>
          <w:i/>
          <w:sz w:val="20"/>
          <w:szCs w:val="20"/>
        </w:rPr>
        <w:t>The Johns Hopkins ACG System</w:t>
      </w:r>
      <w:r w:rsidRPr="003F2909">
        <w:rPr>
          <w:rFonts w:ascii="Muli" w:hAnsi="Muli"/>
          <w:sz w:val="20"/>
          <w:szCs w:val="20"/>
        </w:rPr>
        <w:t xml:space="preserve">. Retrieved October from </w:t>
      </w:r>
      <w:hyperlink r:id="rId141" w:anchor="documentation" w:history="1">
        <w:r w:rsidRPr="003F2909">
          <w:rPr>
            <w:rStyle w:val="Hyperlink"/>
            <w:rFonts w:ascii="Muli" w:hAnsi="Muli"/>
            <w:sz w:val="20"/>
            <w:szCs w:val="20"/>
          </w:rPr>
          <w:t>https://www.hopkinsacg.org/resource-center/#documentation</w:t>
        </w:r>
      </w:hyperlink>
    </w:p>
    <w:p w14:paraId="6BCDD77C"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Joshy, G., Korda, R., Abhayaratna, W., Soga, K., &amp; Banks, E. (2015). Categorising major cardiovascular disease hospitalisations from routinely collected data. </w:t>
      </w:r>
      <w:r w:rsidRPr="003F2909">
        <w:rPr>
          <w:rFonts w:ascii="Muli" w:hAnsi="Muli"/>
          <w:i/>
          <w:sz w:val="20"/>
          <w:szCs w:val="20"/>
        </w:rPr>
        <w:t>Public Health Research &amp; Practice</w:t>
      </w:r>
      <w:r w:rsidRPr="003F2909">
        <w:rPr>
          <w:rFonts w:ascii="Muli" w:hAnsi="Muli"/>
          <w:sz w:val="20"/>
          <w:szCs w:val="20"/>
        </w:rPr>
        <w:t>.</w:t>
      </w:r>
    </w:p>
    <w:p w14:paraId="244CD4E4"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Kennelty, K. A., Polgreen, L. A., &amp; Carter, B. L. (2018). Team-Based Care with Pharmacists to Improve Blood Pressure: a Review of Recent Literature. </w:t>
      </w:r>
      <w:r w:rsidRPr="003F2909">
        <w:rPr>
          <w:rFonts w:ascii="Muli" w:hAnsi="Muli"/>
          <w:i/>
          <w:sz w:val="20"/>
          <w:szCs w:val="20"/>
        </w:rPr>
        <w:t>Current Hypertension Reports, 20</w:t>
      </w:r>
      <w:r w:rsidRPr="003F2909">
        <w:rPr>
          <w:rFonts w:ascii="Muli" w:hAnsi="Muli"/>
          <w:sz w:val="20"/>
          <w:szCs w:val="20"/>
        </w:rPr>
        <w:t>(1), Article 1.</w:t>
      </w:r>
    </w:p>
    <w:p w14:paraId="582576C3"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Kern, L. M., Edwards, A., &amp; Kaushal, R. (2014). The Patient-Centered Medical Home, Electronic Health Records, and Quality of Care [Article]. </w:t>
      </w:r>
      <w:r w:rsidRPr="003F2909">
        <w:rPr>
          <w:rFonts w:ascii="Muli" w:hAnsi="Muli"/>
          <w:i/>
          <w:sz w:val="20"/>
          <w:szCs w:val="20"/>
        </w:rPr>
        <w:t>Annals of internal medicine, 160</w:t>
      </w:r>
      <w:r w:rsidRPr="003F2909">
        <w:rPr>
          <w:rFonts w:ascii="Muli" w:hAnsi="Muli"/>
          <w:sz w:val="20"/>
          <w:szCs w:val="20"/>
        </w:rPr>
        <w:t>(11), 741-+.</w:t>
      </w:r>
    </w:p>
    <w:p w14:paraId="018BBCA7"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Khan, S. (2021). Measuring context: balancing implementation research and practice. </w:t>
      </w:r>
      <w:r w:rsidRPr="003F2909">
        <w:rPr>
          <w:rFonts w:ascii="Muli" w:hAnsi="Muli"/>
          <w:i/>
          <w:sz w:val="20"/>
          <w:szCs w:val="20"/>
        </w:rPr>
        <w:t>Implementation in Action Bulletin</w:t>
      </w:r>
      <w:r w:rsidRPr="003F2909">
        <w:rPr>
          <w:rFonts w:ascii="Muli" w:hAnsi="Muli"/>
          <w:sz w:val="20"/>
          <w:szCs w:val="20"/>
        </w:rPr>
        <w:t>.</w:t>
      </w:r>
    </w:p>
    <w:p w14:paraId="7D36651E"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Khanna, S., Rolls, D. A., Boyle, J., Xie, Y., Jayasena, R., Hibbert, M., &amp; Georgeff, M. (2019a). A risk stratification tool for hospitalisation in Australia using primary care data. </w:t>
      </w:r>
      <w:r w:rsidRPr="003F2909">
        <w:rPr>
          <w:rFonts w:ascii="Muli" w:hAnsi="Muli"/>
          <w:i/>
          <w:sz w:val="20"/>
          <w:szCs w:val="20"/>
        </w:rPr>
        <w:t>Sci Rep, 9</w:t>
      </w:r>
      <w:r w:rsidRPr="003F2909">
        <w:rPr>
          <w:rFonts w:ascii="Muli" w:hAnsi="Muli"/>
          <w:sz w:val="20"/>
          <w:szCs w:val="20"/>
        </w:rPr>
        <w:t>(1), 5011.</w:t>
      </w:r>
    </w:p>
    <w:p w14:paraId="6027379F"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Khanna, S., Rolls, D. A., Boyle, J., Xie, Y., Jayasena, R., Hibbert, M., &amp; Georgeff, M. (2019b). A risk stratification tool for hospitalisation in Australia using primary care data [Research Support, Non-U.S. Gov't]. </w:t>
      </w:r>
      <w:r w:rsidRPr="003F2909">
        <w:rPr>
          <w:rFonts w:ascii="Muli" w:hAnsi="Muli"/>
          <w:i/>
          <w:sz w:val="20"/>
          <w:szCs w:val="20"/>
        </w:rPr>
        <w:t>Scientific Reports, 9</w:t>
      </w:r>
      <w:r w:rsidRPr="003F2909">
        <w:rPr>
          <w:rFonts w:ascii="Muli" w:hAnsi="Muli"/>
          <w:sz w:val="20"/>
          <w:szCs w:val="20"/>
        </w:rPr>
        <w:t>(1), 5011.</w:t>
      </w:r>
    </w:p>
    <w:p w14:paraId="02E04062"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Kimberly, J. R., &amp; Evanisko, M. J. (1981). Organizational Innovation: The Influence of Individual, Organizational, and Contextual Factors on Hospital Adoption of Technological and Administrative Innovations. </w:t>
      </w:r>
      <w:r w:rsidRPr="003F2909">
        <w:rPr>
          <w:rFonts w:ascii="Muli" w:hAnsi="Muli"/>
          <w:i/>
          <w:sz w:val="20"/>
          <w:szCs w:val="20"/>
        </w:rPr>
        <w:t>The Academy of Management Journal, 24</w:t>
      </w:r>
      <w:r w:rsidRPr="003F2909">
        <w:rPr>
          <w:rFonts w:ascii="Muli" w:hAnsi="Muli"/>
          <w:sz w:val="20"/>
          <w:szCs w:val="20"/>
        </w:rPr>
        <w:t>(4), 689-713.</w:t>
      </w:r>
    </w:p>
    <w:p w14:paraId="17AD94EF"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Kitson, A., Harvey, G., &amp; McCormack, B. (1998). Enabling the implementation of evidence based practice: a conceptual framework. </w:t>
      </w:r>
      <w:r w:rsidRPr="003F2909">
        <w:rPr>
          <w:rFonts w:ascii="Muli" w:hAnsi="Muli"/>
          <w:i/>
          <w:sz w:val="20"/>
          <w:szCs w:val="20"/>
        </w:rPr>
        <w:t>Qual Health Care, 7</w:t>
      </w:r>
      <w:r w:rsidRPr="003F2909">
        <w:rPr>
          <w:rFonts w:ascii="Muli" w:hAnsi="Muli"/>
          <w:sz w:val="20"/>
          <w:szCs w:val="20"/>
        </w:rPr>
        <w:t>(3), 149-158.</w:t>
      </w:r>
    </w:p>
    <w:p w14:paraId="787525D9"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Klein, K. J., &amp; Sorra, J. S. (1996). The Challenge of Innovation Implementation. </w:t>
      </w:r>
      <w:r w:rsidRPr="003F2909">
        <w:rPr>
          <w:rFonts w:ascii="Muli" w:hAnsi="Muli"/>
          <w:i/>
          <w:sz w:val="20"/>
          <w:szCs w:val="20"/>
        </w:rPr>
        <w:t>The Academy of Management Review, 21</w:t>
      </w:r>
      <w:r w:rsidRPr="003F2909">
        <w:rPr>
          <w:rFonts w:ascii="Muli" w:hAnsi="Muli"/>
          <w:sz w:val="20"/>
          <w:szCs w:val="20"/>
        </w:rPr>
        <w:t>(4), 1055-1080.</w:t>
      </w:r>
    </w:p>
    <w:p w14:paraId="7D0BA22A"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Kocarnik, B. M., Liu, C.-F., Wong, E. S., Perkins, M., Maciejewski, M. L., Yano, E. M., Au, D. H., Piette, J. D., &amp; Bryson, C. L. (2012). Does the presence of a pharmacist in primary care clinics improve diabetes medication adherence? </w:t>
      </w:r>
      <w:r w:rsidRPr="003F2909">
        <w:rPr>
          <w:rFonts w:ascii="Muli" w:hAnsi="Muli"/>
          <w:i/>
          <w:sz w:val="20"/>
          <w:szCs w:val="20"/>
        </w:rPr>
        <w:t>BMC health services research, 12</w:t>
      </w:r>
      <w:r w:rsidRPr="003F2909">
        <w:rPr>
          <w:rFonts w:ascii="Muli" w:hAnsi="Muli"/>
          <w:sz w:val="20"/>
          <w:szCs w:val="20"/>
        </w:rPr>
        <w:t>, 391.</w:t>
      </w:r>
    </w:p>
    <w:p w14:paraId="6245E8CB"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Lukas, C. V., Holmes, S. K., Cohen, A. B., Restuccia, J., Cramer, I. E., Shwartz, M., &amp; Charns, M. P. (2007). Transformational change in health care systems: an organizational model. </w:t>
      </w:r>
      <w:r w:rsidRPr="003F2909">
        <w:rPr>
          <w:rFonts w:ascii="Muli" w:hAnsi="Muli"/>
          <w:i/>
          <w:sz w:val="20"/>
          <w:szCs w:val="20"/>
        </w:rPr>
        <w:t>Health Care Manage Rev, 32</w:t>
      </w:r>
      <w:r w:rsidRPr="003F2909">
        <w:rPr>
          <w:rFonts w:ascii="Muli" w:hAnsi="Muli"/>
          <w:sz w:val="20"/>
          <w:szCs w:val="20"/>
        </w:rPr>
        <w:t>(4), 309-320.</w:t>
      </w:r>
    </w:p>
    <w:p w14:paraId="43FC7CE3"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MacColl Center for Health Care Innovation at Group Health Research Institute, &amp; Qualis Health. (2014). </w:t>
      </w:r>
      <w:r w:rsidRPr="003F2909">
        <w:rPr>
          <w:rFonts w:ascii="Muli" w:hAnsi="Muli"/>
          <w:i/>
          <w:sz w:val="20"/>
          <w:szCs w:val="20"/>
        </w:rPr>
        <w:t>The Patient-Centred Medical Home Assessment Version 4.0.</w:t>
      </w:r>
      <w:r w:rsidRPr="003F2909">
        <w:rPr>
          <w:rFonts w:ascii="Muli" w:hAnsi="Muli"/>
          <w:sz w:val="20"/>
          <w:szCs w:val="20"/>
        </w:rPr>
        <w:t xml:space="preserve"> </w:t>
      </w:r>
    </w:p>
    <w:p w14:paraId="6EB517C6"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MacColl Center for Health Care Innovation at Group Health Research Institute, Qualis Health, WentWest, &amp; AGPAL. (2017). </w:t>
      </w:r>
      <w:r w:rsidRPr="003F2909">
        <w:rPr>
          <w:rFonts w:ascii="Muli" w:hAnsi="Muli"/>
          <w:i/>
          <w:sz w:val="20"/>
          <w:szCs w:val="20"/>
        </w:rPr>
        <w:t>Health Care Home Assessment</w:t>
      </w:r>
      <w:r w:rsidRPr="003F2909">
        <w:rPr>
          <w:rFonts w:ascii="Muli" w:hAnsi="Muli"/>
          <w:sz w:val="20"/>
          <w:szCs w:val="20"/>
        </w:rPr>
        <w:t xml:space="preserve">. </w:t>
      </w:r>
    </w:p>
    <w:p w14:paraId="759E0F87"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lastRenderedPageBreak/>
        <w:t xml:space="preserve">Matzke, G. R., Moczygemba, L. R., Williams, K. J., Czar, M. J., &amp; Lee, W. T. (2018). Impact of a pharmacist-physician collaborative care model on patient outcomes and health services utilization. </w:t>
      </w:r>
      <w:r w:rsidRPr="003F2909">
        <w:rPr>
          <w:rFonts w:ascii="Muli" w:hAnsi="Muli"/>
          <w:i/>
          <w:sz w:val="20"/>
          <w:szCs w:val="20"/>
        </w:rPr>
        <w:t>American journal of health-system pharmacy : AJHP : official journal of the American Society of Health-System Pharmacists, 75</w:t>
      </w:r>
      <w:r w:rsidRPr="003F2909">
        <w:rPr>
          <w:rFonts w:ascii="Muli" w:hAnsi="Muli"/>
          <w:sz w:val="20"/>
          <w:szCs w:val="20"/>
        </w:rPr>
        <w:t>(14), 1039-1047.</w:t>
      </w:r>
    </w:p>
    <w:p w14:paraId="4F6D8E5C"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McGough, P. M., Norris, T. E., Scott, J. D., &amp; Burner, T. G. (2017). Meeting the Demands of the Affordable Care Act: Improving Access to Primary Care. </w:t>
      </w:r>
      <w:r w:rsidRPr="003F2909">
        <w:rPr>
          <w:rFonts w:ascii="Muli" w:hAnsi="Muli"/>
          <w:i/>
          <w:sz w:val="20"/>
          <w:szCs w:val="20"/>
        </w:rPr>
        <w:t>Population health management, 20</w:t>
      </w:r>
      <w:r w:rsidRPr="003F2909">
        <w:rPr>
          <w:rFonts w:ascii="Muli" w:hAnsi="Muli"/>
          <w:sz w:val="20"/>
          <w:szCs w:val="20"/>
        </w:rPr>
        <w:t>(2), 87-89.</w:t>
      </w:r>
    </w:p>
    <w:p w14:paraId="07F5B83F"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McManus, L. S., Dominguez-Cancino, K. A., Stanek, M. K., Leyva-Moral, J. M., Bravo-Tare, C. E., Rivera-Lozada, O., &amp; Palmieri, P. A. (2021). The Patient-centered Medical Home as an Intervention Strategy for Diabetes Mellitus: A Systematic Review of the Literature. </w:t>
      </w:r>
      <w:r w:rsidRPr="003F2909">
        <w:rPr>
          <w:rFonts w:ascii="Muli" w:hAnsi="Muli"/>
          <w:i/>
          <w:sz w:val="20"/>
          <w:szCs w:val="20"/>
        </w:rPr>
        <w:t>Curr Diabetes Rev, 17</w:t>
      </w:r>
      <w:r w:rsidRPr="003F2909">
        <w:rPr>
          <w:rFonts w:ascii="Muli" w:hAnsi="Muli"/>
          <w:sz w:val="20"/>
          <w:szCs w:val="20"/>
        </w:rPr>
        <w:t>(3), 317-331.</w:t>
      </w:r>
    </w:p>
    <w:p w14:paraId="03F69FAB"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McMullen, C. K., Schneider, J., Firemark, A., Davis, J., &amp; Spofford, M. (2013). Cultivating engaged leadership through a learning collaborative: lessons from primary care renewal in Oregon safety net clinics. </w:t>
      </w:r>
      <w:r w:rsidRPr="003F2909">
        <w:rPr>
          <w:rFonts w:ascii="Muli" w:hAnsi="Muli"/>
          <w:i/>
          <w:sz w:val="20"/>
          <w:szCs w:val="20"/>
        </w:rPr>
        <w:t>Annals of family medicine, 11 Suppl 1</w:t>
      </w:r>
      <w:r w:rsidRPr="003F2909">
        <w:rPr>
          <w:rFonts w:ascii="Muli" w:hAnsi="Muli"/>
          <w:sz w:val="20"/>
          <w:szCs w:val="20"/>
        </w:rPr>
        <w:t>, S34-40.</w:t>
      </w:r>
    </w:p>
    <w:p w14:paraId="3342824E"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Meredith, L. S., Hackbarth, N. S., Darling, J., Rodriguez, H. P., Stockdale, S. E., Cordasco, K. M., Yano, E. M., &amp; Rubenstein, L. V. (2015). Emotional Exhaustion in Primary Care During Early Implementation of the VA's Medical Home Transformation Patient-aligned Care Team (PACT) [Article]. </w:t>
      </w:r>
      <w:r w:rsidRPr="003F2909">
        <w:rPr>
          <w:rFonts w:ascii="Muli" w:hAnsi="Muli"/>
          <w:i/>
          <w:sz w:val="20"/>
          <w:szCs w:val="20"/>
        </w:rPr>
        <w:t>Medical care, 53</w:t>
      </w:r>
      <w:r w:rsidRPr="003F2909">
        <w:rPr>
          <w:rFonts w:ascii="Muli" w:hAnsi="Muli"/>
          <w:sz w:val="20"/>
          <w:szCs w:val="20"/>
        </w:rPr>
        <w:t>(3), 253-260.</w:t>
      </w:r>
    </w:p>
    <w:p w14:paraId="723D33A3"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Min, L., Cigolle, C. T., Bernstein, S. J., Ward, K., Moore, T. L., Jinkyung, H., &amp; Blaum, C. S. (2017). Diabetes Care Improvement in Pharmacist-Versus Nurse-Supported Patient-Centered Medical Homes. </w:t>
      </w:r>
      <w:r w:rsidRPr="003F2909">
        <w:rPr>
          <w:rFonts w:ascii="Muli" w:hAnsi="Muli"/>
          <w:i/>
          <w:sz w:val="20"/>
          <w:szCs w:val="20"/>
        </w:rPr>
        <w:t>American Journal of Managed Care, 23</w:t>
      </w:r>
      <w:r w:rsidRPr="003F2909">
        <w:rPr>
          <w:rFonts w:ascii="Muli" w:hAnsi="Muli"/>
          <w:sz w:val="20"/>
          <w:szCs w:val="20"/>
        </w:rPr>
        <w:t>(11), e374-e381.</w:t>
      </w:r>
    </w:p>
    <w:p w14:paraId="7ED068C6"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Murray, C. J. L., &amp; Evans, D. B. (2003). Health systems performance assessment: Goals, framework and overview. In C. J. L. Murray &amp; D. B. Evans (Eds.), </w:t>
      </w:r>
      <w:r w:rsidRPr="003F2909">
        <w:rPr>
          <w:rFonts w:ascii="Muli" w:hAnsi="Muli"/>
          <w:i/>
          <w:sz w:val="20"/>
          <w:szCs w:val="20"/>
        </w:rPr>
        <w:t>Health systems performance assessment: Debates, methids and empiricism</w:t>
      </w:r>
      <w:r w:rsidRPr="003F2909">
        <w:rPr>
          <w:rFonts w:ascii="Muli" w:hAnsi="Muli"/>
          <w:sz w:val="20"/>
          <w:szCs w:val="20"/>
        </w:rPr>
        <w:t xml:space="preserve"> (pp. 3-18). WHO. </w:t>
      </w:r>
    </w:p>
    <w:p w14:paraId="03819990" w14:textId="58EF66CE"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NPS MedicineWise. (2021). </w:t>
      </w:r>
      <w:r w:rsidRPr="003F2909">
        <w:rPr>
          <w:rFonts w:ascii="Muli" w:hAnsi="Muli"/>
          <w:i/>
          <w:sz w:val="20"/>
          <w:szCs w:val="20"/>
        </w:rPr>
        <w:t>General Practice Insights Report July 2019–June 2020 including analyses related to the impact of COVID-19</w:t>
      </w:r>
      <w:r w:rsidRPr="003F2909">
        <w:rPr>
          <w:rFonts w:ascii="Muli" w:hAnsi="Muli"/>
          <w:sz w:val="20"/>
          <w:szCs w:val="20"/>
        </w:rPr>
        <w:t xml:space="preserve">. </w:t>
      </w:r>
      <w:hyperlink r:id="rId142" w:history="1">
        <w:r w:rsidRPr="003F2909">
          <w:rPr>
            <w:rStyle w:val="Hyperlink"/>
            <w:rFonts w:ascii="Muli" w:hAnsi="Muli"/>
            <w:sz w:val="20"/>
            <w:szCs w:val="20"/>
          </w:rPr>
          <w:t>https://www.nps.org.au/assets/NPS/pdf/GPIR-Report-2019-20.pdf</w:t>
        </w:r>
      </w:hyperlink>
    </w:p>
    <w:p w14:paraId="375D3111"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O'Neill, J. L., Cunningham, T. L., Wiitala, W. L., &amp; Bartley, E. P. (2014). Collaborative hypertension case management by registered nurses and clinical pharmacy specialists within the Patient Aligned Care Teams (PACT) model. </w:t>
      </w:r>
      <w:r w:rsidRPr="003F2909">
        <w:rPr>
          <w:rFonts w:ascii="Muli" w:hAnsi="Muli"/>
          <w:i/>
          <w:sz w:val="20"/>
          <w:szCs w:val="20"/>
        </w:rPr>
        <w:t>Journal of general internal medicine, 29 Suppl 2</w:t>
      </w:r>
      <w:r w:rsidRPr="003F2909">
        <w:rPr>
          <w:rFonts w:ascii="Muli" w:hAnsi="Muli"/>
          <w:sz w:val="20"/>
          <w:szCs w:val="20"/>
        </w:rPr>
        <w:t>, S675-681.</w:t>
      </w:r>
    </w:p>
    <w:p w14:paraId="64BCFFEE" w14:textId="7347C16D"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Oliver-Baxter, J., Bywood, P., &amp; Erny-Albrecht, K. (2015). </w:t>
      </w:r>
      <w:r w:rsidRPr="003F2909">
        <w:rPr>
          <w:rFonts w:ascii="Muli" w:hAnsi="Muli"/>
          <w:i/>
          <w:sz w:val="20"/>
          <w:szCs w:val="20"/>
        </w:rPr>
        <w:t>Predictive risk models to identify people with chronic conditions at risk of hospitalisation</w:t>
      </w:r>
      <w:r w:rsidRPr="003F2909">
        <w:rPr>
          <w:rFonts w:ascii="Muli" w:hAnsi="Muli"/>
          <w:sz w:val="20"/>
          <w:szCs w:val="20"/>
        </w:rPr>
        <w:t xml:space="preserve"> (PHCRIS Policy Issue Review, Issue. </w:t>
      </w:r>
      <w:hyperlink r:id="rId143" w:history="1">
        <w:r w:rsidRPr="003F2909">
          <w:rPr>
            <w:rStyle w:val="Hyperlink"/>
            <w:rFonts w:ascii="Muli" w:hAnsi="Muli"/>
            <w:sz w:val="20"/>
            <w:szCs w:val="20"/>
          </w:rPr>
          <w:t>https://dspace.flinders.edu.au/xmlui/bitstream/handle/2328/36226/PIR_Predictive%20risk%20model.pdf?sequence=1&amp;isAllowed=y</w:t>
        </w:r>
      </w:hyperlink>
    </w:p>
    <w:p w14:paraId="3C0EE8E5"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Page, A. T., Falster, M. O., Litchfield, M., Pearson, S. A., &amp; Etherton</w:t>
      </w:r>
      <w:r w:rsidRPr="003F2909">
        <w:rPr>
          <w:rFonts w:ascii="Times New Roman" w:hAnsi="Times New Roman" w:cs="Times New Roman"/>
          <w:sz w:val="20"/>
          <w:szCs w:val="20"/>
        </w:rPr>
        <w:t>‐</w:t>
      </w:r>
      <w:r w:rsidRPr="003F2909">
        <w:rPr>
          <w:rFonts w:ascii="Muli" w:hAnsi="Muli"/>
          <w:sz w:val="20"/>
          <w:szCs w:val="20"/>
        </w:rPr>
        <w:t>Beer, C. (2019). Polypharmacy among older Australians, 2006</w:t>
      </w:r>
      <w:r w:rsidRPr="003F2909">
        <w:rPr>
          <w:rFonts w:ascii="Muli" w:hAnsi="Muli" w:cs="Muli"/>
          <w:sz w:val="20"/>
          <w:szCs w:val="20"/>
        </w:rPr>
        <w:t>–</w:t>
      </w:r>
      <w:r w:rsidRPr="003F2909">
        <w:rPr>
          <w:rFonts w:ascii="Muli" w:hAnsi="Muli"/>
          <w:sz w:val="20"/>
          <w:szCs w:val="20"/>
        </w:rPr>
        <w:t>2017: a population</w:t>
      </w:r>
      <w:r w:rsidRPr="003F2909">
        <w:rPr>
          <w:rFonts w:ascii="Times New Roman" w:hAnsi="Times New Roman" w:cs="Times New Roman"/>
          <w:sz w:val="20"/>
          <w:szCs w:val="20"/>
        </w:rPr>
        <w:t>‐</w:t>
      </w:r>
      <w:r w:rsidRPr="003F2909">
        <w:rPr>
          <w:rFonts w:ascii="Muli" w:hAnsi="Muli"/>
          <w:sz w:val="20"/>
          <w:szCs w:val="20"/>
        </w:rPr>
        <w:t xml:space="preserve">based study. </w:t>
      </w:r>
      <w:r w:rsidRPr="003F2909">
        <w:rPr>
          <w:rFonts w:ascii="Muli" w:hAnsi="Muli"/>
          <w:i/>
          <w:sz w:val="20"/>
          <w:szCs w:val="20"/>
        </w:rPr>
        <w:t>Med J Aust 211</w:t>
      </w:r>
      <w:r w:rsidRPr="003F2909">
        <w:rPr>
          <w:rFonts w:ascii="Muli" w:hAnsi="Muli"/>
          <w:sz w:val="20"/>
          <w:szCs w:val="20"/>
        </w:rPr>
        <w:t>(2), 71-75.</w:t>
      </w:r>
    </w:p>
    <w:p w14:paraId="2602EEEB"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Peikes, D., Zutshi, A., Genevro, J. L., Parchman, M. L., &amp; Meyers, D. S. (2012). Early evaluations of the medical home: building on a promising start. </w:t>
      </w:r>
      <w:r w:rsidRPr="003F2909">
        <w:rPr>
          <w:rFonts w:ascii="Muli" w:hAnsi="Muli"/>
          <w:i/>
          <w:sz w:val="20"/>
          <w:szCs w:val="20"/>
        </w:rPr>
        <w:t>The American journal of managed care, 18</w:t>
      </w:r>
      <w:r w:rsidRPr="003F2909">
        <w:rPr>
          <w:rFonts w:ascii="Muli" w:hAnsi="Muli"/>
          <w:sz w:val="20"/>
          <w:szCs w:val="20"/>
        </w:rPr>
        <w:t>(2), 105-116.</w:t>
      </w:r>
    </w:p>
    <w:p w14:paraId="47180B0B"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Pereira Gray, D. J., Sidaway-Lee, K., White, E., Thorne, A., &amp; Evans, P. H. (2018). Continuity of care with doctors-a matter of life and death? A systematic review of continuity of care and mortality. </w:t>
      </w:r>
      <w:r w:rsidRPr="003F2909">
        <w:rPr>
          <w:rFonts w:ascii="Muli" w:hAnsi="Muli"/>
          <w:i/>
          <w:sz w:val="20"/>
          <w:szCs w:val="20"/>
        </w:rPr>
        <w:t>BMJ Open, 8</w:t>
      </w:r>
      <w:r w:rsidRPr="003F2909">
        <w:rPr>
          <w:rFonts w:ascii="Muli" w:hAnsi="Muli"/>
          <w:sz w:val="20"/>
          <w:szCs w:val="20"/>
        </w:rPr>
        <w:t>(6), e021161.</w:t>
      </w:r>
    </w:p>
    <w:p w14:paraId="0CD5ADC1"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lastRenderedPageBreak/>
        <w:t xml:space="preserve">Peterson, J., Hinds, A., Garza, A., Barner, J., Hill, L., Nguyen, M., Lai, P., &amp; Gums, T. (2020). Impact of Physician-Pharmacists Covisits at a Primary Care Clinic in Patients With Uncontrolled Diabetes. </w:t>
      </w:r>
      <w:r w:rsidRPr="003F2909">
        <w:rPr>
          <w:rFonts w:ascii="Muli" w:hAnsi="Muli"/>
          <w:i/>
          <w:sz w:val="20"/>
          <w:szCs w:val="20"/>
        </w:rPr>
        <w:t>Journal of pharmacy practice, 33</w:t>
      </w:r>
      <w:r w:rsidRPr="003F2909">
        <w:rPr>
          <w:rFonts w:ascii="Muli" w:hAnsi="Muli"/>
          <w:sz w:val="20"/>
          <w:szCs w:val="20"/>
        </w:rPr>
        <w:t>(3), 321-325.</w:t>
      </w:r>
    </w:p>
    <w:p w14:paraId="46FF3306" w14:textId="22D47593"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Pharmaceutical Society of Australia. (2018a). </w:t>
      </w:r>
      <w:r w:rsidRPr="003F2909">
        <w:rPr>
          <w:rFonts w:ascii="Muli" w:hAnsi="Muli"/>
          <w:i/>
          <w:sz w:val="20"/>
          <w:szCs w:val="20"/>
        </w:rPr>
        <w:t>Community Pharmacy in Health Care Homes Trial Program training modules now available</w:t>
      </w:r>
      <w:r w:rsidRPr="003F2909">
        <w:rPr>
          <w:rFonts w:ascii="Muli" w:hAnsi="Muli"/>
          <w:sz w:val="20"/>
          <w:szCs w:val="20"/>
        </w:rPr>
        <w:t xml:space="preserve">. Retrieved June 2021 from </w:t>
      </w:r>
      <w:hyperlink r:id="rId144" w:history="1">
        <w:r w:rsidRPr="003F2909">
          <w:rPr>
            <w:rStyle w:val="Hyperlink"/>
            <w:rFonts w:ascii="Muli" w:hAnsi="Muli"/>
            <w:sz w:val="20"/>
            <w:szCs w:val="20"/>
          </w:rPr>
          <w:t>https://www.psa.org.au/community-pharmacy-in-health-care-homes-trial-program-training-modules-now-available/</w:t>
        </w:r>
      </w:hyperlink>
    </w:p>
    <w:p w14:paraId="2443CA27" w14:textId="4BAF4F5C" w:rsidR="003F2909" w:rsidRPr="003F2909" w:rsidRDefault="003F2909" w:rsidP="003F2909">
      <w:pPr>
        <w:pStyle w:val="EndNoteBibliography"/>
        <w:spacing w:after="0"/>
        <w:ind w:left="720" w:hanging="720"/>
        <w:rPr>
          <w:rFonts w:ascii="Muli" w:hAnsi="Muli"/>
          <w:sz w:val="20"/>
          <w:szCs w:val="20"/>
          <w:u w:val="single"/>
        </w:rPr>
      </w:pPr>
      <w:r w:rsidRPr="003F2909">
        <w:rPr>
          <w:rFonts w:ascii="Muli" w:hAnsi="Muli"/>
          <w:sz w:val="20"/>
          <w:szCs w:val="20"/>
        </w:rPr>
        <w:t xml:space="preserve">Pharmaceutical Society of Australia. (2018b). </w:t>
      </w:r>
      <w:r w:rsidRPr="003F2909">
        <w:rPr>
          <w:rFonts w:ascii="Muli" w:hAnsi="Muli"/>
          <w:i/>
          <w:sz w:val="20"/>
          <w:szCs w:val="20"/>
        </w:rPr>
        <w:t>Guidelines for pharmacists participating in the Community Pharmacy in Health Care Homes Trial Program</w:t>
      </w:r>
      <w:r w:rsidRPr="003F2909">
        <w:rPr>
          <w:rFonts w:ascii="Muli" w:hAnsi="Muli"/>
          <w:sz w:val="20"/>
          <w:szCs w:val="20"/>
        </w:rPr>
        <w:t xml:space="preserve">. </w:t>
      </w:r>
      <w:hyperlink r:id="rId145" w:history="1">
        <w:r w:rsidRPr="003F2909">
          <w:rPr>
            <w:rStyle w:val="Hyperlink"/>
            <w:rFonts w:ascii="Muli" w:hAnsi="Muli"/>
            <w:sz w:val="20"/>
            <w:szCs w:val="20"/>
          </w:rPr>
          <w:t>https://my.psa.org.au/servlet/fileField?entityId=ka10o000000U2NvAAK&amp;field=PDF_File_Member_Content__Body__s</w:t>
        </w:r>
      </w:hyperlink>
    </w:p>
    <w:p w14:paraId="03281E33" w14:textId="1F8456CA"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Primary Health Care Advisory Group. (2015). </w:t>
      </w:r>
      <w:r w:rsidRPr="003F2909">
        <w:rPr>
          <w:rFonts w:ascii="Muli" w:hAnsi="Muli"/>
          <w:i/>
          <w:sz w:val="20"/>
          <w:szCs w:val="20"/>
        </w:rPr>
        <w:t>Better Outcomes for People with Chronic and Complex Health Conditions: Final Report</w:t>
      </w:r>
      <w:r w:rsidRPr="003F2909">
        <w:rPr>
          <w:rFonts w:ascii="Muli" w:hAnsi="Muli"/>
          <w:sz w:val="20"/>
          <w:szCs w:val="20"/>
        </w:rPr>
        <w:t xml:space="preserve">. </w:t>
      </w:r>
      <w:hyperlink r:id="rId146" w:history="1">
        <w:r w:rsidRPr="003F2909">
          <w:rPr>
            <w:rStyle w:val="Hyperlink"/>
            <w:rFonts w:ascii="Muli" w:hAnsi="Muli"/>
            <w:sz w:val="20"/>
            <w:szCs w:val="20"/>
          </w:rPr>
          <w:t>http://www.health.gov.au/internet/main/publishing.nsf/Content/primary-phcag-report</w:t>
        </w:r>
      </w:hyperlink>
    </w:p>
    <w:p w14:paraId="20614540"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Romanelli, R. J., Leahy, A., Jukes, T., &amp; Ishisaka, D. Y. (2015). Pharmacist-led medication management program within a patient-centered medical home. </w:t>
      </w:r>
      <w:r w:rsidRPr="003F2909">
        <w:rPr>
          <w:rFonts w:ascii="Muli" w:hAnsi="Muli"/>
          <w:i/>
          <w:sz w:val="20"/>
          <w:szCs w:val="20"/>
        </w:rPr>
        <w:t>American journal of health-system pharmacy : AJHP : official journal of the American Society of Health-System Pharmacists, 72</w:t>
      </w:r>
      <w:r w:rsidRPr="003F2909">
        <w:rPr>
          <w:rFonts w:ascii="Muli" w:hAnsi="Muli"/>
          <w:sz w:val="20"/>
          <w:szCs w:val="20"/>
        </w:rPr>
        <w:t>(6), 453-459.</w:t>
      </w:r>
    </w:p>
    <w:p w14:paraId="1262F1DB"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Rycroft-Malone, J., Kitson, A., Harvey, G., McCormack, B., Seers, K., Titchen, A., &amp; Estabrooks, C. (2002). Ingredients for change: revisiting a conceptual framework. </w:t>
      </w:r>
      <w:r w:rsidRPr="003F2909">
        <w:rPr>
          <w:rFonts w:ascii="Muli" w:hAnsi="Muli"/>
          <w:i/>
          <w:sz w:val="20"/>
          <w:szCs w:val="20"/>
        </w:rPr>
        <w:t>Qual Saf Health Care, 11</w:t>
      </w:r>
      <w:r w:rsidRPr="003F2909">
        <w:rPr>
          <w:rFonts w:ascii="Muli" w:hAnsi="Muli"/>
          <w:sz w:val="20"/>
          <w:szCs w:val="20"/>
        </w:rPr>
        <w:t>(2), 174-180.</w:t>
      </w:r>
    </w:p>
    <w:p w14:paraId="51E1ED7B"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Schmittdiel, J., Mosen, D. M., Glasgow, R. E., Hibbard, J., Remmers, C., &amp; Bellows, J. (2008). Patient Assessment of Chronic Illness Care (PACIC) and improved patient-centered outcomes for chronic conditions. </w:t>
      </w:r>
      <w:r w:rsidRPr="003F2909">
        <w:rPr>
          <w:rFonts w:ascii="Muli" w:hAnsi="Muli"/>
          <w:i/>
          <w:sz w:val="20"/>
          <w:szCs w:val="20"/>
        </w:rPr>
        <w:t>J Gen Intern Med, 23</w:t>
      </w:r>
      <w:r w:rsidRPr="003F2909">
        <w:rPr>
          <w:rFonts w:ascii="Muli" w:hAnsi="Muli"/>
          <w:sz w:val="20"/>
          <w:szCs w:val="20"/>
        </w:rPr>
        <w:t>, 77-80.</w:t>
      </w:r>
    </w:p>
    <w:p w14:paraId="18063CB6"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Schuttner, L., Gunnink, E., Sylling, P., Taylor, L., Fihn, S. D., &amp; Nelson, K. (2020). Components of the Patient-Centered Medical Home Associated with Perceived Access to Primary Care. </w:t>
      </w:r>
      <w:r w:rsidRPr="003F2909">
        <w:rPr>
          <w:rFonts w:ascii="Muli" w:hAnsi="Muli"/>
          <w:i/>
          <w:sz w:val="20"/>
          <w:szCs w:val="20"/>
        </w:rPr>
        <w:t>Journal of general internal medicine, 35</w:t>
      </w:r>
      <w:r w:rsidRPr="003F2909">
        <w:rPr>
          <w:rFonts w:ascii="Muli" w:hAnsi="Muli"/>
          <w:sz w:val="20"/>
          <w:szCs w:val="20"/>
        </w:rPr>
        <w:t>(6), 1736-1742.</w:t>
      </w:r>
    </w:p>
    <w:p w14:paraId="2388219E"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Singh, J., Dahrouge, S., &amp; Green, M. E. (2019). The impact of the adoption of a patient rostering model on primary care access and continuity of care in urban family practices in Ontario, Canada. </w:t>
      </w:r>
      <w:r w:rsidRPr="003F2909">
        <w:rPr>
          <w:rFonts w:ascii="Muli" w:hAnsi="Muli"/>
          <w:i/>
          <w:sz w:val="20"/>
          <w:szCs w:val="20"/>
        </w:rPr>
        <w:t>BMC family practice, 20</w:t>
      </w:r>
      <w:r w:rsidRPr="003F2909">
        <w:rPr>
          <w:rFonts w:ascii="Muli" w:hAnsi="Muli"/>
          <w:sz w:val="20"/>
          <w:szCs w:val="20"/>
        </w:rPr>
        <w:t>(1), 52.</w:t>
      </w:r>
    </w:p>
    <w:p w14:paraId="48E63CBC"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Stafford, R. A., Garrett, L. N., Bates, K. A., Diemer, T. B., Thomas, J. L., Smith, M. G., Teeter, B. S., &amp; Curran, G. M. (2020). Development and implementation of a collaboration between a patient-centered medical home and community pharmacy. </w:t>
      </w:r>
      <w:r w:rsidRPr="003F2909">
        <w:rPr>
          <w:rFonts w:ascii="Muli" w:hAnsi="Muli"/>
          <w:i/>
          <w:sz w:val="20"/>
          <w:szCs w:val="20"/>
        </w:rPr>
        <w:t>Journal of the American Pharmacists Association, 60</w:t>
      </w:r>
      <w:r w:rsidRPr="003F2909">
        <w:rPr>
          <w:rFonts w:ascii="Muli" w:hAnsi="Muli"/>
          <w:sz w:val="20"/>
          <w:szCs w:val="20"/>
        </w:rPr>
        <w:t>(1), 122-129.</w:t>
      </w:r>
    </w:p>
    <w:p w14:paraId="0CB485F5"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Starfield, B., Weiner, J., Mumford, L., &amp; Steinwachs, D. (1991). Ambulatory care groups: a categorization of diagnoses for research and management. </w:t>
      </w:r>
      <w:r w:rsidRPr="003F2909">
        <w:rPr>
          <w:rFonts w:ascii="Muli" w:hAnsi="Muli"/>
          <w:i/>
          <w:sz w:val="20"/>
          <w:szCs w:val="20"/>
        </w:rPr>
        <w:t>Health Serv Res, 26</w:t>
      </w:r>
      <w:r w:rsidRPr="003F2909">
        <w:rPr>
          <w:rFonts w:ascii="Muli" w:hAnsi="Muli"/>
          <w:sz w:val="20"/>
          <w:szCs w:val="20"/>
        </w:rPr>
        <w:t>(1), 53-74.</w:t>
      </w:r>
    </w:p>
    <w:p w14:paraId="5CA4DE92" w14:textId="3302391C"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Stiefel, M., &amp; Nolan, K. (2012). </w:t>
      </w:r>
      <w:r w:rsidRPr="003F2909">
        <w:rPr>
          <w:rFonts w:ascii="Muli" w:hAnsi="Muli"/>
          <w:i/>
          <w:sz w:val="20"/>
          <w:szCs w:val="20"/>
        </w:rPr>
        <w:t>A Guide to Measuring the Triple Aim: Population Health, Experience of Care, and Per Capita Cost. IHI Innovation Series white paper</w:t>
      </w:r>
      <w:r w:rsidRPr="003F2909">
        <w:rPr>
          <w:rFonts w:ascii="Muli" w:hAnsi="Muli"/>
          <w:sz w:val="20"/>
          <w:szCs w:val="20"/>
        </w:rPr>
        <w:t xml:space="preserve">. </w:t>
      </w:r>
      <w:hyperlink r:id="rId147" w:history="1">
        <w:r w:rsidRPr="003F2909">
          <w:rPr>
            <w:rStyle w:val="Hyperlink"/>
            <w:rFonts w:ascii="Muli" w:hAnsi="Muli"/>
            <w:sz w:val="20"/>
            <w:szCs w:val="20"/>
          </w:rPr>
          <w:t>https://www.jvei.nl/wp-content/uploads/A-Guide-to-Measuring-the-Triple-Aim.pdf</w:t>
        </w:r>
      </w:hyperlink>
    </w:p>
    <w:p w14:paraId="6891487E"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Stout, S., Zallman, L., Arsenault, L., Sayah, A., &amp; Hacker, K. (2017). Developing High-Functioning Teams: Factors Associated With Operating as a "Real Team" and Implications for Patient-Centered Medical Home Development. </w:t>
      </w:r>
      <w:r w:rsidRPr="003F2909">
        <w:rPr>
          <w:rFonts w:ascii="Muli" w:hAnsi="Muli"/>
          <w:i/>
          <w:sz w:val="20"/>
          <w:szCs w:val="20"/>
        </w:rPr>
        <w:t>Inquiry : a journal of medical care organization, provision and financing, 54</w:t>
      </w:r>
      <w:r w:rsidRPr="003F2909">
        <w:rPr>
          <w:rFonts w:ascii="Muli" w:hAnsi="Muli"/>
          <w:sz w:val="20"/>
          <w:szCs w:val="20"/>
        </w:rPr>
        <w:t>, 46958017707296.</w:t>
      </w:r>
    </w:p>
    <w:p w14:paraId="40BDA32A"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The Pharmacy Guild of Australia. (2020a). </w:t>
      </w:r>
      <w:r w:rsidRPr="003F2909">
        <w:rPr>
          <w:rFonts w:ascii="Muli" w:hAnsi="Muli"/>
          <w:i/>
          <w:sz w:val="20"/>
          <w:szCs w:val="20"/>
        </w:rPr>
        <w:t>Brief for HCH PHN Facilitators: Overview of medicine review services</w:t>
      </w:r>
      <w:r w:rsidRPr="003F2909">
        <w:rPr>
          <w:rFonts w:ascii="Muli" w:hAnsi="Muli"/>
          <w:sz w:val="20"/>
          <w:szCs w:val="20"/>
        </w:rPr>
        <w:t xml:space="preserve">. </w:t>
      </w:r>
    </w:p>
    <w:p w14:paraId="7629E7AA" w14:textId="7755A3B6" w:rsidR="003F2909" w:rsidRPr="003F2909" w:rsidRDefault="003F2909" w:rsidP="003F2909">
      <w:pPr>
        <w:pStyle w:val="EndNoteBibliography"/>
        <w:spacing w:after="0"/>
        <w:ind w:left="720" w:hanging="720"/>
        <w:rPr>
          <w:rFonts w:ascii="Muli" w:hAnsi="Muli"/>
          <w:sz w:val="20"/>
          <w:szCs w:val="20"/>
          <w:u w:val="single"/>
        </w:rPr>
      </w:pPr>
      <w:r w:rsidRPr="003F2909">
        <w:rPr>
          <w:rFonts w:ascii="Muli" w:hAnsi="Muli"/>
          <w:sz w:val="20"/>
          <w:szCs w:val="20"/>
        </w:rPr>
        <w:lastRenderedPageBreak/>
        <w:t xml:space="preserve">The Pharmacy Guild of Australia. (2020b). </w:t>
      </w:r>
      <w:r w:rsidRPr="003F2909">
        <w:rPr>
          <w:rFonts w:ascii="Muli" w:hAnsi="Muli"/>
          <w:i/>
          <w:sz w:val="20"/>
          <w:szCs w:val="20"/>
        </w:rPr>
        <w:t>Community Pharmacy in Health Care Homes Trial Program Trial Program Rules</w:t>
      </w:r>
      <w:r w:rsidRPr="003F2909">
        <w:rPr>
          <w:rFonts w:ascii="Muli" w:hAnsi="Muli"/>
          <w:sz w:val="20"/>
          <w:szCs w:val="20"/>
        </w:rPr>
        <w:t xml:space="preserve">. </w:t>
      </w:r>
      <w:hyperlink r:id="rId148" w:history="1">
        <w:r w:rsidRPr="003F2909">
          <w:rPr>
            <w:rStyle w:val="Hyperlink"/>
            <w:rFonts w:ascii="Muli" w:hAnsi="Muli"/>
            <w:sz w:val="20"/>
            <w:szCs w:val="20"/>
          </w:rPr>
          <w:t>http://6cpa.com.au/wp-content/uploads/6CPA_CommunityPharmacyinHeathCareHomes-Program-Rules_Jan2020.pdf</w:t>
        </w:r>
      </w:hyperlink>
    </w:p>
    <w:p w14:paraId="2301B1B3"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van den Berk-Clark, C., Doucette, E., Rottnek, F., Manard, W., Prada, M. A., Hughes, R., Lawrence, T., &amp; Schneider, F. D. (2018). Do Patient-Centered Medical Homes Improve Health Behaviors, Outcomes, and Experiences of Low-Income Patients? A Systematic Review and Meta-Analysis. </w:t>
      </w:r>
      <w:r w:rsidRPr="003F2909">
        <w:rPr>
          <w:rFonts w:ascii="Muli" w:hAnsi="Muli"/>
          <w:i/>
          <w:sz w:val="20"/>
          <w:szCs w:val="20"/>
        </w:rPr>
        <w:t>Health Services Research, 53</w:t>
      </w:r>
      <w:r w:rsidRPr="003F2909">
        <w:rPr>
          <w:rFonts w:ascii="Muli" w:hAnsi="Muli"/>
          <w:sz w:val="20"/>
          <w:szCs w:val="20"/>
        </w:rPr>
        <w:t>(3), 1777-1798.</w:t>
      </w:r>
    </w:p>
    <w:p w14:paraId="7DE23E31"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Veet, C. A., Radomski, T. R., D'Avella, C., Hernandez, I., Wessel, C., Swart, E. C. S., Shrank, W. H., &amp; Parekh, N. (2020). Impact of Healthcare Delivery System Type on Clinical, Utilization, and Cost Outcomes of Patient-Centered Medical Homes: a Systematic Review. </w:t>
      </w:r>
      <w:r w:rsidRPr="003F2909">
        <w:rPr>
          <w:rFonts w:ascii="Muli" w:hAnsi="Muli"/>
          <w:i/>
          <w:sz w:val="20"/>
          <w:szCs w:val="20"/>
        </w:rPr>
        <w:t>Journal of general internal medicine, 35</w:t>
      </w:r>
      <w:r w:rsidRPr="003F2909">
        <w:rPr>
          <w:rFonts w:ascii="Muli" w:hAnsi="Muli"/>
          <w:sz w:val="20"/>
          <w:szCs w:val="20"/>
        </w:rPr>
        <w:t>(4), 1276-1284.</w:t>
      </w:r>
    </w:p>
    <w:p w14:paraId="3EBA6796"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Wagner, E. H., Gupta, R., &amp; Coleman, K. (2014). Practice transformation in the safety net medical home initiative: A qualitative look. </w:t>
      </w:r>
      <w:r w:rsidRPr="003F2909">
        <w:rPr>
          <w:rFonts w:ascii="Muli" w:hAnsi="Muli"/>
          <w:i/>
          <w:sz w:val="20"/>
          <w:szCs w:val="20"/>
        </w:rPr>
        <w:t>Medical care, 52</w:t>
      </w:r>
      <w:r w:rsidRPr="003F2909">
        <w:rPr>
          <w:rFonts w:ascii="Muli" w:hAnsi="Muli"/>
          <w:sz w:val="20"/>
          <w:szCs w:val="20"/>
        </w:rPr>
        <w:t>(Supplement 4), S18-S22.</w:t>
      </w:r>
    </w:p>
    <w:p w14:paraId="26B0ADFB"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Wagner, E. H., Gupta, R., &amp; Coleman, K. (2014). Practice transformation in the safety net medical home initiative: a qualitative look. </w:t>
      </w:r>
      <w:r w:rsidRPr="003F2909">
        <w:rPr>
          <w:rFonts w:ascii="Muli" w:hAnsi="Muli"/>
          <w:i/>
          <w:sz w:val="20"/>
          <w:szCs w:val="20"/>
        </w:rPr>
        <w:t>Medical care, 52</w:t>
      </w:r>
      <w:r w:rsidRPr="003F2909">
        <w:rPr>
          <w:rFonts w:ascii="Muli" w:hAnsi="Muli"/>
          <w:sz w:val="20"/>
          <w:szCs w:val="20"/>
        </w:rPr>
        <w:t>(11 Suppl 4), S18-22.</w:t>
      </w:r>
    </w:p>
    <w:p w14:paraId="5DC8E251"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Wagner, K. K., Austin, J., Toon, L., Barber, T., &amp; Green, L. A. (2019). Differences in Team Mental Models Associated With Medical Home Transformation Success. </w:t>
      </w:r>
      <w:r w:rsidRPr="003F2909">
        <w:rPr>
          <w:rFonts w:ascii="Muli" w:hAnsi="Muli"/>
          <w:i/>
          <w:sz w:val="20"/>
          <w:szCs w:val="20"/>
        </w:rPr>
        <w:t>Annals of family medicine, 17</w:t>
      </w:r>
      <w:r w:rsidRPr="003F2909">
        <w:rPr>
          <w:rFonts w:ascii="Muli" w:hAnsi="Muli"/>
          <w:sz w:val="20"/>
          <w:szCs w:val="20"/>
        </w:rPr>
        <w:t>(Suppl 1), S50-S56.</w:t>
      </w:r>
    </w:p>
    <w:p w14:paraId="02082E0D"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Walston, S. L., Kimberly, J. R., &amp; Burns, L. R. (2001). Institutional and economic influences on the adoption and extensiveness of managerial innovation in hospitals: The case of reengineering. </w:t>
      </w:r>
      <w:r w:rsidRPr="003F2909">
        <w:rPr>
          <w:rFonts w:ascii="Muli" w:hAnsi="Muli"/>
          <w:i/>
          <w:sz w:val="20"/>
          <w:szCs w:val="20"/>
        </w:rPr>
        <w:t>Med Care Res Rev, 58</w:t>
      </w:r>
      <w:r w:rsidRPr="003F2909">
        <w:rPr>
          <w:rFonts w:ascii="Muli" w:hAnsi="Muli"/>
          <w:sz w:val="20"/>
          <w:szCs w:val="20"/>
        </w:rPr>
        <w:t>(2), 194-228; discussion 229-133.</w:t>
      </w:r>
    </w:p>
    <w:p w14:paraId="0EC09579" w14:textId="2B767454"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Western HARP. (2009). </w:t>
      </w:r>
      <w:r w:rsidRPr="003F2909">
        <w:rPr>
          <w:rFonts w:ascii="Muli" w:hAnsi="Muli"/>
          <w:i/>
          <w:sz w:val="20"/>
          <w:szCs w:val="20"/>
        </w:rPr>
        <w:t>Summary: HARP risk calculator</w:t>
      </w:r>
      <w:r w:rsidRPr="003F2909">
        <w:rPr>
          <w:rFonts w:ascii="Muli" w:hAnsi="Muli"/>
          <w:sz w:val="20"/>
          <w:szCs w:val="20"/>
        </w:rPr>
        <w:t xml:space="preserve">. Retrieved 10 September from </w:t>
      </w:r>
      <w:hyperlink r:id="rId149" w:history="1">
        <w:r w:rsidRPr="003F2909">
          <w:rPr>
            <w:rStyle w:val="Hyperlink"/>
            <w:rFonts w:ascii="Muli" w:hAnsi="Muli"/>
            <w:sz w:val="20"/>
            <w:szCs w:val="20"/>
          </w:rPr>
          <w:t>https://adma.org.au/download/western-harp-risk-calculator/</w:t>
        </w:r>
      </w:hyperlink>
    </w:p>
    <w:p w14:paraId="4E36BBCA"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Williams, J. W., Jackson, G. L., Powers, B. J., Chatterjee, R., Bettger, J. P., Kemper, A. R., Hasselblad, V., Dolor, R. J., Irvine, R. J., Heidenfelder, B. L., Kendrick, A. S., &amp; Gray, R. (2012). Closing the quality gap: revisiting the state of the science (vol. 2: the patient-centered medical home). </w:t>
      </w:r>
      <w:r w:rsidRPr="003F2909">
        <w:rPr>
          <w:rFonts w:ascii="Muli" w:hAnsi="Muli"/>
          <w:i/>
          <w:sz w:val="20"/>
          <w:szCs w:val="20"/>
        </w:rPr>
        <w:t>Evid Rep Technol Assess (Full Rep)</w:t>
      </w:r>
      <w:r w:rsidRPr="003F2909">
        <w:rPr>
          <w:rFonts w:ascii="Muli" w:hAnsi="Muli"/>
          <w:sz w:val="20"/>
          <w:szCs w:val="20"/>
        </w:rPr>
        <w:t>(208.2), 1-210.</w:t>
      </w:r>
    </w:p>
    <w:p w14:paraId="18AB7B38" w14:textId="77777777" w:rsidR="003F2909" w:rsidRPr="003F2909" w:rsidRDefault="003F2909" w:rsidP="003F2909">
      <w:pPr>
        <w:pStyle w:val="EndNoteBibliography"/>
        <w:spacing w:after="0"/>
        <w:ind w:left="720" w:hanging="720"/>
        <w:rPr>
          <w:rFonts w:ascii="Muli" w:hAnsi="Muli"/>
          <w:sz w:val="20"/>
          <w:szCs w:val="20"/>
        </w:rPr>
      </w:pPr>
      <w:r w:rsidRPr="003F2909">
        <w:rPr>
          <w:rFonts w:ascii="Muli" w:hAnsi="Muli"/>
          <w:sz w:val="20"/>
          <w:szCs w:val="20"/>
        </w:rPr>
        <w:t xml:space="preserve">World Health Organization. (2000). </w:t>
      </w:r>
      <w:r w:rsidRPr="003F2909">
        <w:rPr>
          <w:rFonts w:ascii="Muli" w:hAnsi="Muli"/>
          <w:i/>
          <w:sz w:val="20"/>
          <w:szCs w:val="20"/>
        </w:rPr>
        <w:t>The World Health Report 2000. Health Systems: Improving Performance</w:t>
      </w:r>
      <w:r w:rsidRPr="003F2909">
        <w:rPr>
          <w:rFonts w:ascii="Muli" w:hAnsi="Muli"/>
          <w:sz w:val="20"/>
          <w:szCs w:val="20"/>
        </w:rPr>
        <w:t xml:space="preserve">. </w:t>
      </w:r>
    </w:p>
    <w:p w14:paraId="0F538DAF" w14:textId="7A59940D" w:rsidR="003F2909" w:rsidRPr="003F2909" w:rsidRDefault="003F2909" w:rsidP="003F2909">
      <w:pPr>
        <w:pStyle w:val="EndNoteBibliography"/>
        <w:ind w:left="720" w:hanging="720"/>
        <w:rPr>
          <w:rFonts w:ascii="Muli" w:hAnsi="Muli"/>
          <w:sz w:val="20"/>
          <w:szCs w:val="20"/>
        </w:rPr>
      </w:pPr>
      <w:r w:rsidRPr="003F2909">
        <w:rPr>
          <w:rFonts w:ascii="Muli" w:hAnsi="Muli"/>
          <w:sz w:val="20"/>
          <w:szCs w:val="20"/>
        </w:rPr>
        <w:t xml:space="preserve">World Health Organization. (2015). </w:t>
      </w:r>
      <w:r w:rsidRPr="003F2909">
        <w:rPr>
          <w:rFonts w:ascii="Muli" w:hAnsi="Muli"/>
          <w:i/>
          <w:sz w:val="20"/>
          <w:szCs w:val="20"/>
        </w:rPr>
        <w:t>WHO global strategy on people-centred and integrated health services: interim report</w:t>
      </w:r>
      <w:r w:rsidRPr="003F2909">
        <w:rPr>
          <w:rFonts w:ascii="Muli" w:hAnsi="Muli"/>
          <w:sz w:val="20"/>
          <w:szCs w:val="20"/>
        </w:rPr>
        <w:t xml:space="preserve">. </w:t>
      </w:r>
      <w:hyperlink r:id="rId150" w:history="1">
        <w:r w:rsidRPr="003F2909">
          <w:rPr>
            <w:rStyle w:val="Hyperlink"/>
            <w:rFonts w:ascii="Muli" w:hAnsi="Muli"/>
            <w:sz w:val="20"/>
            <w:szCs w:val="20"/>
          </w:rPr>
          <w:t>https://apps.who.int/iris/handle/10665/155002</w:t>
        </w:r>
      </w:hyperlink>
    </w:p>
    <w:p w14:paraId="37228BBB" w14:textId="50E8D581" w:rsidR="008C5A35" w:rsidRPr="003F2909" w:rsidRDefault="00D64F5E" w:rsidP="008C5A35">
      <w:pPr>
        <w:rPr>
          <w:szCs w:val="20"/>
        </w:rPr>
      </w:pPr>
      <w:r w:rsidRPr="003F2909">
        <w:rPr>
          <w:szCs w:val="20"/>
        </w:rPr>
        <w:fldChar w:fldCharType="end"/>
      </w:r>
    </w:p>
    <w:sectPr w:rsidR="008C5A35" w:rsidRPr="003F290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781DB28" w14:textId="77777777" w:rsidR="00B44E44" w:rsidRDefault="00B44E44">
      <w:pPr>
        <w:spacing w:after="0"/>
      </w:pPr>
      <w:r>
        <w:separator/>
      </w:r>
    </w:p>
  </w:endnote>
  <w:endnote w:type="continuationSeparator" w:id="0">
    <w:p w14:paraId="153FFDD8" w14:textId="77777777" w:rsidR="00B44E44" w:rsidRDefault="00B44E44">
      <w:pPr>
        <w:spacing w:after="0"/>
      </w:pPr>
      <w:r>
        <w:continuationSeparator/>
      </w:r>
    </w:p>
  </w:endnote>
  <w:endnote w:type="continuationNotice" w:id="1">
    <w:p w14:paraId="5A483128" w14:textId="77777777" w:rsidR="00B44E44" w:rsidRDefault="00B44E44">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Muli">
    <w:charset w:val="00"/>
    <w:family w:val="auto"/>
    <w:pitch w:val="variable"/>
    <w:sig w:usb0="A00000EF" w:usb1="4000204B" w:usb2="00000000" w:usb3="00000000" w:csb0="00000093" w:csb1="00000000"/>
    <w:embedRegular r:id="rId1" w:fontKey="{3633F0AA-A2FA-4B45-9CC0-48F09E32A244}"/>
    <w:embedBold r:id="rId2" w:fontKey="{7157A427-AAF3-4177-801D-1CD7AD8D9256}"/>
    <w:embedItalic r:id="rId3" w:fontKey="{992E922E-C390-4AC4-9916-D224E1143EC2}"/>
    <w:embedBoldItalic r:id="rId4" w:fontKey="{151B658E-F753-41B7-957C-80446A782CE0}"/>
  </w:font>
  <w:font w:name="Yu Mincho">
    <w:altName w:val="游明朝"/>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embedRegular r:id="rId5" w:fontKey="{797E00F7-B5EF-412A-A148-0397D86FD534}"/>
    <w:embedBold r:id="rId6" w:fontKey="{3C6FE142-0F98-4418-960F-3086C9F17745}"/>
    <w:embedItalic r:id="rId7" w:fontKey="{38B25C7E-F92D-47AE-9C24-A28BE16C4DB5}"/>
    <w:embedBoldItalic r:id="rId8" w:fontKey="{ABE5149B-4888-419D-880E-8D5C5AA590D8}"/>
  </w:font>
  <w:font w:name="Courier New">
    <w:panose1 w:val="02070309020205020404"/>
    <w:charset w:val="00"/>
    <w:family w:val="modern"/>
    <w:pitch w:val="fixed"/>
    <w:sig w:usb0="E0002EFF" w:usb1="C0007843" w:usb2="00000009" w:usb3="00000000" w:csb0="000001FF" w:csb1="00000000"/>
    <w:embedRegular r:id="rId9" w:fontKey="{FE69770B-4BAB-44B6-8E59-091A19E42FA5}"/>
  </w:font>
  <w:font w:name="Times New Roman">
    <w:panose1 w:val="02020603050405020304"/>
    <w:charset w:val="00"/>
    <w:family w:val="roman"/>
    <w:pitch w:val="variable"/>
    <w:sig w:usb0="E0002EFF" w:usb1="C000785B" w:usb2="00000009" w:usb3="00000000" w:csb0="000001FF" w:csb1="00000000"/>
    <w:embedRegular r:id="rId10" w:fontKey="{C5E2AF2A-572B-48A6-93B2-EBF254BF660D}"/>
    <w:embedBold r:id="rId11" w:fontKey="{763F59C5-68FB-4226-8450-C15288CCA70C}"/>
    <w:embedItalic r:id="rId12" w:fontKey="{BE54DE09-F686-4B60-AC3A-273B256EF779}"/>
  </w:font>
  <w:font w:name="Wingdings">
    <w:panose1 w:val="05000000000000000000"/>
    <w:charset w:val="02"/>
    <w:family w:val="auto"/>
    <w:pitch w:val="variable"/>
    <w:sig w:usb0="00000000" w:usb1="10000000" w:usb2="00000000" w:usb3="00000000" w:csb0="80000000" w:csb1="00000000"/>
    <w:embedRegular r:id="rId13" w:fontKey="{43891A67-111D-4B78-BC3A-F66AA00B3311}"/>
  </w:font>
  <w:font w:name="Symbol">
    <w:panose1 w:val="05050102010706020507"/>
    <w:charset w:val="02"/>
    <w:family w:val="roman"/>
    <w:pitch w:val="variable"/>
    <w:sig w:usb0="00000000" w:usb1="10000000" w:usb2="00000000" w:usb3="00000000" w:csb0="80000000" w:csb1="00000000"/>
    <w:embedRegular r:id="rId14" w:fontKey="{403B708C-34C1-486B-8F32-80D6B2526A83}"/>
  </w:font>
  <w:font w:name="Century Gothic">
    <w:panose1 w:val="020B0502020202020204"/>
    <w:charset w:val="00"/>
    <w:family w:val="swiss"/>
    <w:pitch w:val="variable"/>
    <w:sig w:usb0="00000287" w:usb1="00000000" w:usb2="00000000" w:usb3="00000000" w:csb0="0000009F" w:csb1="00000000"/>
    <w:embedRegular r:id="rId15" w:fontKey="{4BC831F6-9B77-4415-8AB0-DFFD6DF2A60E}"/>
    <w:embedBold r:id="rId16" w:fontKey="{3D31086C-BF09-4CCF-A477-0317048C181E}"/>
    <w:embedItalic r:id="rId17" w:fontKey="{99102E0A-B5BB-4012-AFA0-9B8C70711F52}"/>
  </w:font>
  <w:font w:name="Calibri">
    <w:panose1 w:val="020F0502020204030204"/>
    <w:charset w:val="00"/>
    <w:family w:val="swiss"/>
    <w:pitch w:val="variable"/>
    <w:sig w:usb0="E4002EFF" w:usb1="C000247B" w:usb2="00000009" w:usb3="00000000" w:csb0="000001FF" w:csb1="00000000"/>
    <w:embedRegular r:id="rId18" w:fontKey="{3424588C-0ADB-4C7C-9467-97E7EC9D5462}"/>
    <w:embedBold r:id="rId19" w:fontKey="{91C9E3ED-E0E1-47E0-A059-99E7C1A2F006}"/>
    <w:embedItalic r:id="rId20" w:fontKey="{7368CBE4-68D0-4D56-AAC9-EFD14FE66B43}"/>
    <w:embedBoldItalic r:id="rId21" w:fontKey="{274AA709-1721-45D4-AA11-A1F088FB579C}"/>
  </w:font>
  <w:font w:name="Roboto Slab">
    <w:charset w:val="00"/>
    <w:family w:val="auto"/>
    <w:pitch w:val="variable"/>
    <w:sig w:usb0="E00002FF" w:usb1="5000205B" w:usb2="00000020" w:usb3="00000000" w:csb0="0000019F" w:csb1="00000000"/>
    <w:embedRegular r:id="rId22" w:fontKey="{38433089-36A9-48BE-8721-C6FEF29196EB}"/>
    <w:embedBold r:id="rId23" w:fontKey="{F7C965F5-A26D-411D-B232-10D47AB06014}"/>
    <w:embedItalic r:id="rId24" w:fontKey="{B4117B4F-A3F9-429D-87B9-38375BA209EF}"/>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embedRegular r:id="rId25" w:fontKey="{6785C4B4-0F1B-4D61-B7B5-8A9634A512D9}"/>
    <w:embedItalic r:id="rId26" w:fontKey="{E632C4FC-5296-4561-8B06-67C07D66C5D2}"/>
  </w:font>
  <w:font w:name="MS Mincho">
    <w:altName w:val="MS Mincho"/>
    <w:panose1 w:val="02020609040205080304"/>
    <w:charset w:val="80"/>
    <w:family w:val="modern"/>
    <w:pitch w:val="fixed"/>
    <w:sig w:usb0="E00002FF" w:usb1="6AC7FDFB" w:usb2="08000012" w:usb3="00000000" w:csb0="0002009F" w:csb1="00000000"/>
  </w:font>
  <w:font w:name="Gill Sans MT">
    <w:panose1 w:val="020B0502020104020203"/>
    <w:charset w:val="00"/>
    <w:family w:val="swiss"/>
    <w:pitch w:val="variable"/>
    <w:sig w:usb0="00000007" w:usb1="00000000" w:usb2="00000000" w:usb3="00000000" w:csb0="00000003" w:csb1="00000000"/>
    <w:embedBold r:id="rId27" w:fontKey="{9DA5A1D7-DC68-43A9-A165-0A23001F8AD8}"/>
  </w:font>
  <w:font w:name="Verdana">
    <w:panose1 w:val="020B0604030504040204"/>
    <w:charset w:val="00"/>
    <w:family w:val="swiss"/>
    <w:pitch w:val="variable"/>
    <w:sig w:usb0="A00006FF" w:usb1="4000205B" w:usb2="00000010" w:usb3="00000000" w:csb0="0000019F" w:csb1="00000000"/>
    <w:embedRegular r:id="rId28" w:fontKey="{AEACEAB6-A1E9-4C3A-8C36-A8B9E02A7C86}"/>
  </w:font>
  <w:font w:name="HelveticaNeueLTPro-Lt">
    <w:altName w:val="Arial"/>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embedRegular r:id="rId29" w:fontKey="{7A6C5EF2-858E-4A69-86AD-9C2C107FC7E5}"/>
    <w:embedItalic r:id="rId30" w:fontKey="{72C61020-A90C-4A10-87D3-43C4FDC9DC97}"/>
  </w:font>
  <w:font w:name="Tahoma">
    <w:panose1 w:val="020B0604030504040204"/>
    <w:charset w:val="00"/>
    <w:family w:val="swiss"/>
    <w:pitch w:val="variable"/>
    <w:sig w:usb0="E1002EFF" w:usb1="C000605B" w:usb2="00000029" w:usb3="00000000" w:csb0="000101FF" w:csb1="00000000"/>
    <w:embedRegular r:id="rId31" w:fontKey="{114A9FFA-5325-44E9-A838-90CC1FCACC9A}"/>
    <w:embedBold r:id="rId32" w:fontKey="{4A25D0C6-2BF8-4924-9A76-52A7D5DF831E}"/>
    <w:embedItalic r:id="rId33" w:fontKey="{60F16F39-4A33-4F5E-B514-34D6F2E7B3F9}"/>
  </w:font>
  <w:font w:name="Calibri (Body)">
    <w:altName w:val="Calibri"/>
    <w:panose1 w:val="00000000000000000000"/>
    <w:charset w:val="00"/>
    <w:family w:val="roman"/>
    <w:notTrueType/>
    <w:pitch w:val="default"/>
    <w:sig w:usb0="00000003" w:usb1="00000000" w:usb2="00000000" w:usb3="00000000" w:csb0="00000001" w:csb1="00000000"/>
  </w:font>
  <w:font w:name="Libre Franklin">
    <w:charset w:val="00"/>
    <w:family w:val="auto"/>
    <w:pitch w:val="variable"/>
    <w:sig w:usb0="A00000FF" w:usb1="4000205B" w:usb2="00000000" w:usb3="00000000" w:csb0="00000193" w:csb1="00000000"/>
    <w:embedRegular r:id="rId34" w:fontKey="{CE498A57-367B-4D5B-A50F-F004C0A7022A}"/>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7C987C" w14:textId="77777777" w:rsidR="003E3EC7" w:rsidRPr="003D0810" w:rsidRDefault="003E3EC7" w:rsidP="0087092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F93969" w14:textId="2D5FEEBD" w:rsidR="007A316C" w:rsidRPr="007A316C" w:rsidRDefault="007A316C" w:rsidP="007A316C">
    <w:pPr>
      <w:pStyle w:val="Footer"/>
      <w:rPr>
        <w:bCs/>
        <w:color w:val="808080" w:themeColor="background1" w:themeShade="80"/>
        <w:sz w:val="16"/>
      </w:rPr>
    </w:pPr>
    <w:r>
      <w:rPr>
        <w:bCs/>
        <w:color w:val="808080" w:themeColor="background1" w:themeShade="80"/>
        <w:sz w:val="16"/>
      </w:rPr>
      <w:tab/>
    </w:r>
    <w:r w:rsidRPr="00C41855">
      <w:rPr>
        <w:bCs/>
        <w:color w:val="808080" w:themeColor="background1" w:themeShade="80"/>
        <w:sz w:val="16"/>
      </w:rPr>
      <w:tab/>
    </w:r>
    <w:sdt>
      <w:sdtPr>
        <w:rPr>
          <w:bCs/>
          <w:color w:val="808080" w:themeColor="background1" w:themeShade="80"/>
          <w:sz w:val="16"/>
        </w:rPr>
        <w:id w:val="1411817135"/>
        <w:docPartObj>
          <w:docPartGallery w:val="Page Numbers (Bottom of Page)"/>
          <w:docPartUnique/>
        </w:docPartObj>
      </w:sdtPr>
      <w:sdtEndPr>
        <w:rPr>
          <w:noProof/>
          <w:color w:val="1292EE"/>
        </w:rPr>
      </w:sdtEndPr>
      <w:sdtContent>
        <w:r w:rsidRPr="00E84057">
          <w:rPr>
            <w:bCs/>
            <w:color w:val="408BCA"/>
            <w:sz w:val="16"/>
          </w:rPr>
          <w:fldChar w:fldCharType="begin"/>
        </w:r>
        <w:r w:rsidRPr="00E84057">
          <w:rPr>
            <w:bCs/>
            <w:color w:val="408BCA"/>
            <w:sz w:val="16"/>
          </w:rPr>
          <w:instrText xml:space="preserve"> PAGE   \* MERGEFORMAT </w:instrText>
        </w:r>
        <w:r w:rsidRPr="00E84057">
          <w:rPr>
            <w:bCs/>
            <w:color w:val="408BCA"/>
            <w:sz w:val="16"/>
          </w:rPr>
          <w:fldChar w:fldCharType="separate"/>
        </w:r>
        <w:r>
          <w:rPr>
            <w:bCs/>
            <w:color w:val="408BCA"/>
            <w:sz w:val="16"/>
          </w:rPr>
          <w:t>4</w:t>
        </w:r>
        <w:r w:rsidRPr="00E84057">
          <w:rPr>
            <w:bCs/>
            <w:noProof/>
            <w:color w:val="408BCA"/>
            <w:sz w:val="16"/>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5C29BF" w14:textId="77777777" w:rsidR="002B36AB" w:rsidRPr="0088451F" w:rsidRDefault="002B36AB" w:rsidP="002B36AB">
    <w:pPr>
      <w:pStyle w:val="Footer"/>
      <w:tabs>
        <w:tab w:val="clear" w:pos="9026"/>
        <w:tab w:val="right" w:pos="13892"/>
      </w:tabs>
      <w:rPr>
        <w:bCs/>
        <w:color w:val="808080" w:themeColor="background1" w:themeShade="80"/>
        <w:sz w:val="16"/>
      </w:rPr>
    </w:pPr>
    <w:r>
      <w:rPr>
        <w:bCs/>
        <w:color w:val="808080" w:themeColor="background1" w:themeShade="80"/>
        <w:sz w:val="16"/>
      </w:rPr>
      <w:tab/>
    </w:r>
    <w:r w:rsidRPr="00C41855">
      <w:rPr>
        <w:bCs/>
        <w:color w:val="808080" w:themeColor="background1" w:themeShade="80"/>
        <w:sz w:val="16"/>
      </w:rPr>
      <w:tab/>
    </w:r>
    <w:sdt>
      <w:sdtPr>
        <w:rPr>
          <w:bCs/>
          <w:color w:val="808080" w:themeColor="background1" w:themeShade="80"/>
          <w:sz w:val="16"/>
        </w:rPr>
        <w:id w:val="-105197733"/>
        <w:docPartObj>
          <w:docPartGallery w:val="Page Numbers (Bottom of Page)"/>
          <w:docPartUnique/>
        </w:docPartObj>
      </w:sdtPr>
      <w:sdtEndPr>
        <w:rPr>
          <w:noProof/>
          <w:color w:val="1292EE"/>
        </w:rPr>
      </w:sdtEndPr>
      <w:sdtContent>
        <w:r w:rsidRPr="00E84057">
          <w:rPr>
            <w:bCs/>
            <w:color w:val="408BCA"/>
            <w:sz w:val="16"/>
          </w:rPr>
          <w:fldChar w:fldCharType="begin"/>
        </w:r>
        <w:r w:rsidRPr="00E84057">
          <w:rPr>
            <w:bCs/>
            <w:color w:val="408BCA"/>
            <w:sz w:val="16"/>
          </w:rPr>
          <w:instrText xml:space="preserve"> PAGE   \* MERGEFORMAT </w:instrText>
        </w:r>
        <w:r w:rsidRPr="00E84057">
          <w:rPr>
            <w:bCs/>
            <w:color w:val="408BCA"/>
            <w:sz w:val="16"/>
          </w:rPr>
          <w:fldChar w:fldCharType="separate"/>
        </w:r>
        <w:r>
          <w:rPr>
            <w:bCs/>
            <w:color w:val="408BCA"/>
            <w:sz w:val="16"/>
          </w:rPr>
          <w:t>2</w:t>
        </w:r>
        <w:r w:rsidRPr="00E84057">
          <w:rPr>
            <w:bCs/>
            <w:noProof/>
            <w:color w:val="408BCA"/>
            <w:sz w:val="16"/>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4A6465" w14:textId="77777777" w:rsidR="002B36AB" w:rsidRPr="0088451F" w:rsidRDefault="002B36AB" w:rsidP="00870926">
    <w:pPr>
      <w:pStyle w:val="Footer"/>
      <w:rPr>
        <w:bCs/>
        <w:color w:val="808080" w:themeColor="background1" w:themeShade="80"/>
        <w:sz w:val="16"/>
      </w:rPr>
    </w:pPr>
    <w:r>
      <w:rPr>
        <w:bCs/>
        <w:color w:val="808080" w:themeColor="background1" w:themeShade="80"/>
        <w:sz w:val="16"/>
      </w:rPr>
      <w:tab/>
    </w:r>
    <w:r w:rsidRPr="00C41855">
      <w:rPr>
        <w:bCs/>
        <w:color w:val="808080" w:themeColor="background1" w:themeShade="80"/>
        <w:sz w:val="16"/>
      </w:rPr>
      <w:tab/>
    </w:r>
    <w:sdt>
      <w:sdtPr>
        <w:rPr>
          <w:bCs/>
          <w:color w:val="808080" w:themeColor="background1" w:themeShade="80"/>
          <w:sz w:val="16"/>
        </w:rPr>
        <w:id w:val="-164250970"/>
        <w:docPartObj>
          <w:docPartGallery w:val="Page Numbers (Bottom of Page)"/>
          <w:docPartUnique/>
        </w:docPartObj>
      </w:sdtPr>
      <w:sdtEndPr>
        <w:rPr>
          <w:noProof/>
          <w:color w:val="1292EE"/>
        </w:rPr>
      </w:sdtEndPr>
      <w:sdtContent>
        <w:r w:rsidRPr="00E84057">
          <w:rPr>
            <w:bCs/>
            <w:color w:val="408BCA"/>
            <w:sz w:val="16"/>
          </w:rPr>
          <w:fldChar w:fldCharType="begin"/>
        </w:r>
        <w:r w:rsidRPr="00E84057">
          <w:rPr>
            <w:bCs/>
            <w:color w:val="408BCA"/>
            <w:sz w:val="16"/>
          </w:rPr>
          <w:instrText xml:space="preserve"> PAGE   \* MERGEFORMAT </w:instrText>
        </w:r>
        <w:r w:rsidRPr="00E84057">
          <w:rPr>
            <w:bCs/>
            <w:color w:val="408BCA"/>
            <w:sz w:val="16"/>
          </w:rPr>
          <w:fldChar w:fldCharType="separate"/>
        </w:r>
        <w:r>
          <w:rPr>
            <w:bCs/>
            <w:color w:val="408BCA"/>
            <w:sz w:val="16"/>
          </w:rPr>
          <w:t>2</w:t>
        </w:r>
        <w:r w:rsidRPr="00E84057">
          <w:rPr>
            <w:bCs/>
            <w:noProof/>
            <w:color w:val="408BCA"/>
            <w:sz w:val="16"/>
          </w:rPr>
          <w:fldChar w:fldCharType="end"/>
        </w:r>
      </w:sdtContent>
    </w:sdt>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4EDB3B" w14:textId="77777777" w:rsidR="002C4050" w:rsidRPr="0088451F" w:rsidRDefault="00BB1DF9" w:rsidP="00BB1DF9">
    <w:pPr>
      <w:pStyle w:val="Footer"/>
      <w:tabs>
        <w:tab w:val="clear" w:pos="9026"/>
        <w:tab w:val="right" w:pos="13892"/>
      </w:tabs>
      <w:rPr>
        <w:color w:val="FFFFFF" w:themeColor="background1"/>
        <w:sz w:val="16"/>
      </w:rPr>
    </w:pPr>
    <w:r>
      <w:rPr>
        <w:bCs/>
        <w:color w:val="808080" w:themeColor="background1" w:themeShade="80"/>
        <w:sz w:val="16"/>
      </w:rPr>
      <w:tab/>
    </w:r>
    <w:r w:rsidRPr="00C41855">
      <w:rPr>
        <w:bCs/>
        <w:color w:val="808080" w:themeColor="background1" w:themeShade="80"/>
        <w:sz w:val="16"/>
      </w:rPr>
      <w:tab/>
    </w:r>
    <w:sdt>
      <w:sdtPr>
        <w:rPr>
          <w:bCs/>
          <w:color w:val="808080" w:themeColor="background1" w:themeShade="80"/>
          <w:sz w:val="16"/>
        </w:rPr>
        <w:id w:val="395868900"/>
        <w:docPartObj>
          <w:docPartGallery w:val="Page Numbers (Bottom of Page)"/>
          <w:docPartUnique/>
        </w:docPartObj>
      </w:sdtPr>
      <w:sdtEndPr>
        <w:rPr>
          <w:noProof/>
          <w:color w:val="1292EE"/>
        </w:rPr>
      </w:sdtEndPr>
      <w:sdtContent>
        <w:r w:rsidRPr="00E84057">
          <w:rPr>
            <w:bCs/>
            <w:color w:val="408BCA"/>
            <w:sz w:val="16"/>
          </w:rPr>
          <w:fldChar w:fldCharType="begin"/>
        </w:r>
        <w:r w:rsidRPr="00E84057">
          <w:rPr>
            <w:bCs/>
            <w:color w:val="408BCA"/>
            <w:sz w:val="16"/>
          </w:rPr>
          <w:instrText xml:space="preserve"> PAGE   \* MERGEFORMAT </w:instrText>
        </w:r>
        <w:r w:rsidRPr="00E84057">
          <w:rPr>
            <w:bCs/>
            <w:color w:val="408BCA"/>
            <w:sz w:val="16"/>
          </w:rPr>
          <w:fldChar w:fldCharType="separate"/>
        </w:r>
        <w:r>
          <w:rPr>
            <w:bCs/>
            <w:color w:val="408BCA"/>
            <w:sz w:val="16"/>
          </w:rPr>
          <w:t>2</w:t>
        </w:r>
        <w:r w:rsidRPr="00E84057">
          <w:rPr>
            <w:bCs/>
            <w:noProof/>
            <w:color w:val="408BCA"/>
            <w:sz w:val="16"/>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CF7206" w14:textId="77777777" w:rsidR="002C4050" w:rsidRPr="0088451F" w:rsidRDefault="00BB1DF9">
    <w:pPr>
      <w:pStyle w:val="Footer"/>
      <w:rPr>
        <w:color w:val="FFFFFF" w:themeColor="background1"/>
        <w:sz w:val="16"/>
      </w:rPr>
    </w:pPr>
    <w:r>
      <w:rPr>
        <w:bCs/>
        <w:color w:val="808080" w:themeColor="background1" w:themeShade="80"/>
        <w:sz w:val="16"/>
      </w:rPr>
      <w:tab/>
    </w:r>
    <w:r w:rsidRPr="00C41855">
      <w:rPr>
        <w:bCs/>
        <w:color w:val="808080" w:themeColor="background1" w:themeShade="80"/>
        <w:sz w:val="16"/>
      </w:rPr>
      <w:tab/>
    </w:r>
    <w:sdt>
      <w:sdtPr>
        <w:rPr>
          <w:bCs/>
          <w:color w:val="808080" w:themeColor="background1" w:themeShade="80"/>
          <w:sz w:val="16"/>
        </w:rPr>
        <w:id w:val="1459837653"/>
        <w:docPartObj>
          <w:docPartGallery w:val="Page Numbers (Bottom of Page)"/>
          <w:docPartUnique/>
        </w:docPartObj>
      </w:sdtPr>
      <w:sdtEndPr>
        <w:rPr>
          <w:noProof/>
          <w:color w:val="1292EE"/>
        </w:rPr>
      </w:sdtEndPr>
      <w:sdtContent>
        <w:r w:rsidRPr="00E84057">
          <w:rPr>
            <w:bCs/>
            <w:color w:val="408BCA"/>
            <w:sz w:val="16"/>
          </w:rPr>
          <w:fldChar w:fldCharType="begin"/>
        </w:r>
        <w:r w:rsidRPr="00E84057">
          <w:rPr>
            <w:bCs/>
            <w:color w:val="408BCA"/>
            <w:sz w:val="16"/>
          </w:rPr>
          <w:instrText xml:space="preserve"> PAGE   \* MERGEFORMAT </w:instrText>
        </w:r>
        <w:r w:rsidRPr="00E84057">
          <w:rPr>
            <w:bCs/>
            <w:color w:val="408BCA"/>
            <w:sz w:val="16"/>
          </w:rPr>
          <w:fldChar w:fldCharType="separate"/>
        </w:r>
        <w:r>
          <w:rPr>
            <w:bCs/>
            <w:color w:val="408BCA"/>
            <w:sz w:val="16"/>
          </w:rPr>
          <w:t>2</w:t>
        </w:r>
        <w:r w:rsidRPr="00E84057">
          <w:rPr>
            <w:bCs/>
            <w:noProof/>
            <w:color w:val="408BCA"/>
            <w:sz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82092E6" w14:textId="77777777" w:rsidR="00B44E44" w:rsidRDefault="00B44E44">
      <w:pPr>
        <w:spacing w:after="0"/>
      </w:pPr>
      <w:r>
        <w:separator/>
      </w:r>
    </w:p>
  </w:footnote>
  <w:footnote w:type="continuationSeparator" w:id="0">
    <w:p w14:paraId="1A535E86" w14:textId="77777777" w:rsidR="00B44E44" w:rsidRDefault="00B44E44">
      <w:pPr>
        <w:spacing w:after="0"/>
      </w:pPr>
      <w:r>
        <w:continuationSeparator/>
      </w:r>
    </w:p>
  </w:footnote>
  <w:footnote w:type="continuationNotice" w:id="1">
    <w:p w14:paraId="30AB21FE" w14:textId="77777777" w:rsidR="00B44E44" w:rsidRDefault="00B44E44">
      <w:pPr>
        <w:spacing w:after="0"/>
      </w:pPr>
    </w:p>
  </w:footnote>
  <w:footnote w:id="2">
    <w:p w14:paraId="74DE8D33" w14:textId="0AA7A58D" w:rsidR="007B7F63" w:rsidRDefault="007B7F63">
      <w:pPr>
        <w:pStyle w:val="FootnoteText"/>
      </w:pPr>
      <w:r w:rsidRPr="0016474D">
        <w:rPr>
          <w:rStyle w:val="FootnoteReference"/>
          <w:color w:val="408BCA"/>
        </w:rPr>
        <w:footnoteRef/>
      </w:r>
      <w:r>
        <w:t xml:space="preserve"> </w:t>
      </w:r>
      <w:r w:rsidR="000A387A">
        <w:fldChar w:fldCharType="begin"/>
      </w:r>
      <w:r w:rsidR="000A387A">
        <w:instrText xml:space="preserve"> ADDIN EN.CITE &lt;EndNote&gt;&lt;Cite&gt;&lt;Author&gt;Health Policy Analysis&lt;/Author&gt;&lt;Year&gt;2019&lt;/Year&gt;&lt;RecNum&gt;1475&lt;/RecNum&gt;&lt;DisplayText&gt;Health Policy Analysis. (2019b). &lt;style face="italic"&gt;Evaluation of the Health Care Homes program – Interim evaluation report 2019&lt;/style&gt;. &lt;style face="underline"&gt;https://www1.health.gov.au/internet/main/publishing.nsf/Content/Evaluation-of-the-Health-Care-Homes-Program&lt;/style&gt;&lt;/DisplayText&gt;&lt;record&gt;&lt;rec-number&gt;1475&lt;/rec-number&gt;&lt;foreign-keys&gt;&lt;key app="EN" db-id="zdz9xax04zr9v0evw2nvrpw9xe9ttzvs5zsv" timestamp="1605051317"&gt;1475&lt;/key&gt;&lt;/foreign-keys&gt;&lt;ref-type name="Report"&gt;27&lt;/ref-type&gt;&lt;contributors&gt;&lt;authors&gt;&lt;author&gt;Health Policy Analysis,,&lt;/author&gt;&lt;/authors&gt;&lt;/contributors&gt;&lt;titles&gt;&lt;title&gt;Evaluation of the Health Care Homes program – Interim evaluation report 2019&lt;/title&gt;&lt;/titles&gt;&lt;dates&gt;&lt;year&gt;2019&lt;/year&gt;&lt;/dates&gt;&lt;pub-location&gt;Canberra&lt;/pub-location&gt;&lt;publisher&gt;Department of Health&lt;/publisher&gt;&lt;urls&gt;&lt;related-urls&gt;&lt;url&gt;&lt;style face="underline" font="default" size="100%"&gt;https://www1.health.gov.au/internet/main/publishing.nsf/Content/Evaluation-of-the-Health-Care-Homes-Program&lt;/style&gt;&lt;/url&gt;&lt;/related-urls&gt;&lt;/urls&gt;&lt;/record&gt;&lt;/Cite&gt;&lt;/EndNote&gt;</w:instrText>
      </w:r>
      <w:r w:rsidR="000A387A">
        <w:fldChar w:fldCharType="separate"/>
      </w:r>
      <w:r w:rsidR="000A387A">
        <w:rPr>
          <w:noProof/>
        </w:rPr>
        <w:t xml:space="preserve">Health Policy Analysis. (2019b). </w:t>
      </w:r>
      <w:r w:rsidR="000A387A" w:rsidRPr="000A387A">
        <w:rPr>
          <w:i/>
          <w:noProof/>
        </w:rPr>
        <w:t>Evaluation of the Health Care Homes program – Interim evaluation report 2019</w:t>
      </w:r>
      <w:r w:rsidR="000A387A">
        <w:rPr>
          <w:noProof/>
        </w:rPr>
        <w:t xml:space="preserve">. </w:t>
      </w:r>
      <w:r w:rsidR="000A387A" w:rsidRPr="000A387A">
        <w:rPr>
          <w:noProof/>
          <w:u w:val="single"/>
        </w:rPr>
        <w:t>https://www1.health.gov.au/internet/main/publishing.nsf/Content/Evaluation-of-the-Health-Care-Homes-Program</w:t>
      </w:r>
      <w:r w:rsidR="000A387A">
        <w:fldChar w:fldCharType="end"/>
      </w:r>
    </w:p>
  </w:footnote>
  <w:footnote w:id="3">
    <w:p w14:paraId="60ABA3A9" w14:textId="7E9395D0" w:rsidR="007B7F63" w:rsidRDefault="007B7F63">
      <w:pPr>
        <w:pStyle w:val="FootnoteText"/>
      </w:pPr>
      <w:r w:rsidRPr="0016474D">
        <w:rPr>
          <w:rStyle w:val="FootnoteReference"/>
          <w:color w:val="408BCA"/>
        </w:rPr>
        <w:footnoteRef/>
      </w:r>
      <w:r>
        <w:t xml:space="preserve"> </w:t>
      </w:r>
      <w:r w:rsidR="000A387A">
        <w:fldChar w:fldCharType="begin"/>
      </w:r>
      <w:r w:rsidR="005626E0">
        <w:instrText xml:space="preserve"> ADDIN EN.CITE &lt;EndNote&gt;&lt;Cite&gt;&lt;Author&gt;Health Policy Analysis&lt;/Author&gt;&lt;Year&gt;2020&lt;/Year&gt;&lt;RecNum&gt;1526&lt;/RecNum&gt;&lt;DisplayText&gt;Health Policy Analysis. (2020). &lt;style face="italic"&gt;Evaluation of the Health Care Homes program – Interim evaluation report 2020&lt;/style&gt;. https://www1.health.gov.au/internet/main/publishing.nsf/Content/Evaluation-of-the-Health-Care-Homes-Program&lt;/DisplayText&gt;&lt;record&gt;&lt;rec-number&gt;1526&lt;/rec-number&gt;&lt;foreign-keys&gt;&lt;key app="EN" db-id="zdz9xax04zr9v0evw2nvrpw9xe9ttzvs5zsv" timestamp="1630990504"&gt;1526&lt;/key&gt;&lt;/foreign-keys&gt;&lt;ref-type name="Report"&gt;27&lt;/ref-type&gt;&lt;contributors&gt;&lt;authors&gt;&lt;author&gt;Health Policy Analysis,,&lt;/author&gt;&lt;/authors&gt;&lt;/contributors&gt;&lt;titles&gt;&lt;title&gt;Evaluation of the Health Care Homes program – Interim evaluation report 2020&lt;/title&gt;&lt;/titles&gt;&lt;dates&gt;&lt;year&gt;2020&lt;/year&gt;&lt;/dates&gt;&lt;pub-location&gt;Canberra&lt;/pub-location&gt;&lt;publisher&gt;Department of Health&lt;/publisher&gt;&lt;urls&gt;&lt;related-urls&gt;&lt;url&gt;https://www1.health.gov.au/internet/main/publishing.nsf/Content/Evaluation-of-the-Health-Care-Homes-Program&lt;/url&gt;&lt;/related-urls&gt;&lt;/urls&gt;&lt;/record&gt;&lt;/Cite&gt;&lt;/EndNote&gt;</w:instrText>
      </w:r>
      <w:r w:rsidR="000A387A">
        <w:fldChar w:fldCharType="separate"/>
      </w:r>
      <w:r w:rsidR="005626E0">
        <w:rPr>
          <w:noProof/>
        </w:rPr>
        <w:t xml:space="preserve">Health Policy Analysis. (2020). </w:t>
      </w:r>
      <w:r w:rsidR="005626E0" w:rsidRPr="005626E0">
        <w:rPr>
          <w:i/>
          <w:noProof/>
        </w:rPr>
        <w:t>Evaluation of the Health Care Homes program – Interim evaluation report 2020</w:t>
      </w:r>
      <w:r w:rsidR="005626E0">
        <w:rPr>
          <w:noProof/>
        </w:rPr>
        <w:t>. https://www1.health.gov.au/internet/main/publishing.nsf/Content/Evaluation-of-the-Health-Care-Homes-Program</w:t>
      </w:r>
      <w:r w:rsidR="000A387A">
        <w:fldChar w:fldCharType="end"/>
      </w:r>
    </w:p>
  </w:footnote>
  <w:footnote w:id="4">
    <w:p w14:paraId="24171F37" w14:textId="0EE0F2C6" w:rsidR="00EF2EA7" w:rsidRPr="00EF2EA7" w:rsidRDefault="00EF2EA7">
      <w:pPr>
        <w:pStyle w:val="FootnoteText"/>
        <w:rPr>
          <w:lang w:val="en-US"/>
        </w:rPr>
      </w:pPr>
      <w:r w:rsidRPr="001F3CA3">
        <w:rPr>
          <w:rStyle w:val="FootnoteReference"/>
          <w:color w:val="408BCA"/>
        </w:rPr>
        <w:footnoteRef/>
      </w:r>
      <w:r>
        <w:t xml:space="preserve"> </w:t>
      </w:r>
      <w:r w:rsidR="005626E0">
        <w:fldChar w:fldCharType="begin"/>
      </w:r>
      <w:r w:rsidR="00A6644E">
        <w:instrText xml:space="preserve"> ADDIN EN.CITE &lt;EndNote&gt;&lt;Cite&gt;&lt;Author&gt;Primary Health Care Advisory Group&lt;/Author&gt;&lt;Year&gt;2015&lt;/Year&gt;&lt;RecNum&gt;477&lt;/RecNum&gt;&lt;DisplayText&gt;Primary Health Care Advisory Group. (2015). &lt;style face="italic"&gt;Better Outcomes for People with Chronic and Complex Health Conditions: Final Report&lt;/style&gt;. http://www.health.gov.au/internet/main/publishing.nsf/Content/primary-phcag-report&lt;/DisplayText&gt;&lt;record&gt;&lt;rec-number&gt;477&lt;/rec-number&gt;&lt;foreign-keys&gt;&lt;key app="EN" db-id="zdz9xax04zr9v0evw2nvrpw9xe9ttzvs5zsv" timestamp="1484969912"&gt;477&lt;/key&gt;&lt;/foreign-keys&gt;&lt;ref-type name="Report"&gt;27&lt;/ref-type&gt;&lt;contributors&gt;&lt;authors&gt;&lt;author&gt;Primary Health Care Advisory Group,,&lt;/author&gt;&lt;/authors&gt;&lt;/contributors&gt;&lt;titles&gt;&lt;title&gt;Better Outcomes for People with Chronic and Complex Health Conditions: Final Report&lt;/title&gt;&lt;/titles&gt;&lt;dates&gt;&lt;year&gt;2015&lt;/year&gt;&lt;/dates&gt;&lt;publisher&gt;Department of Health&lt;/publisher&gt;&lt;label&gt;PHCAG&lt;/label&gt;&lt;urls&gt;&lt;related-urls&gt;&lt;url&gt;http://www.health.gov.au/internet/main/publishing.nsf/Content/primary-phcag-report&lt;/url&gt;&lt;/related-urls&gt;&lt;/urls&gt;&lt;/record&gt;&lt;/Cite&gt;&lt;/EndNote&gt;</w:instrText>
      </w:r>
      <w:r w:rsidR="005626E0">
        <w:fldChar w:fldCharType="separate"/>
      </w:r>
      <w:r w:rsidR="00A6644E">
        <w:rPr>
          <w:noProof/>
        </w:rPr>
        <w:t xml:space="preserve">Primary Health Care Advisory Group. (2015). </w:t>
      </w:r>
      <w:r w:rsidR="00A6644E" w:rsidRPr="00A6644E">
        <w:rPr>
          <w:i/>
          <w:noProof/>
        </w:rPr>
        <w:t>Better Outcomes for People with Chronic and Complex Health Conditions: Final Report</w:t>
      </w:r>
      <w:r w:rsidR="00A6644E">
        <w:rPr>
          <w:noProof/>
        </w:rPr>
        <w:t>. http://www.health.gov.au/internet/main/publishing.nsf/Content/primary-phcag-report</w:t>
      </w:r>
      <w:r w:rsidR="005626E0">
        <w:fldChar w:fldCharType="end"/>
      </w:r>
    </w:p>
  </w:footnote>
  <w:footnote w:id="5">
    <w:p w14:paraId="2B4C4604" w14:textId="3DD0B133" w:rsidR="004F7CA2" w:rsidRDefault="004F7CA2">
      <w:pPr>
        <w:pStyle w:val="FootnoteText"/>
      </w:pPr>
      <w:r w:rsidRPr="0016474D">
        <w:rPr>
          <w:rStyle w:val="FootnoteReference"/>
          <w:color w:val="408BCA"/>
        </w:rPr>
        <w:footnoteRef/>
      </w:r>
      <w:r>
        <w:t xml:space="preserve"> </w:t>
      </w:r>
      <w:r w:rsidR="006C137C">
        <w:fldChar w:fldCharType="begin">
          <w:fldData xml:space="preserve">PEVuZE5vdGU+PENpdGU+PEF1dGhvcj5Cb2RlbmhlaW1lcjwvQXV0aG9yPjxZZWFyPjIwMTQ8L1ll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</w:fldData>
        </w:fldChar>
      </w:r>
      <w:r w:rsidR="00081D00">
        <w:instrText xml:space="preserve"> ADDIN EN.CITE </w:instrText>
      </w:r>
      <w:r w:rsidR="00081D00">
        <w:fldChar w:fldCharType="begin">
          <w:fldData xml:space="preserve">PEVuZE5vdGU+PENpdGU+PEF1dGhvcj5Cb2RlbmhlaW1lcjwvQXV0aG9yPjxZZWFyPjIwMTQ8L1ll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</w:fldData>
        </w:fldChar>
      </w:r>
      <w:r w:rsidR="00081D00">
        <w:instrText xml:space="preserve"> ADDIN EN.CITE.DATA </w:instrText>
      </w:r>
      <w:r w:rsidR="00081D00">
        <w:fldChar w:fldCharType="end"/>
      </w:r>
      <w:r w:rsidR="006C137C">
        <w:fldChar w:fldCharType="separate"/>
      </w:r>
      <w:r w:rsidR="00081D00">
        <w:rPr>
          <w:noProof/>
        </w:rPr>
        <w:t xml:space="preserve">Bodenheimer, T., Ghorob, A., Willard-Grace, R., &amp; Grumbach, K. (2014). The 10 Building Blocks of High-Performing Primary Care. </w:t>
      </w:r>
      <w:r w:rsidR="00081D00" w:rsidRPr="00081D00">
        <w:rPr>
          <w:i/>
          <w:noProof/>
        </w:rPr>
        <w:t>Annals of family medicine, 12</w:t>
      </w:r>
      <w:r w:rsidR="00081D00">
        <w:rPr>
          <w:noProof/>
        </w:rPr>
        <w:t>(2), 166-171.</w:t>
      </w:r>
      <w:r w:rsidR="006C137C">
        <w:fldChar w:fldCharType="end"/>
      </w:r>
    </w:p>
  </w:footnote>
  <w:footnote w:id="6">
    <w:p w14:paraId="539A6B94" w14:textId="6BB07BCF" w:rsidR="006436FB" w:rsidRDefault="006436FB">
      <w:pPr>
        <w:pStyle w:val="FootnoteText"/>
      </w:pPr>
      <w:r w:rsidRPr="0016474D">
        <w:rPr>
          <w:rStyle w:val="FootnoteReference"/>
          <w:color w:val="408BCA"/>
        </w:rPr>
        <w:footnoteRef/>
      </w:r>
      <w:r>
        <w:t xml:space="preserve"> </w:t>
      </w:r>
      <w:r w:rsidR="006C137C">
        <w:fldChar w:fldCharType="begin"/>
      </w:r>
      <w:r w:rsidR="00933EBC">
        <w:instrText xml:space="preserve"> ADDIN EN.CITE &lt;EndNote&gt;&lt;Cite&gt;&lt;Author&gt;Berwick&lt;/Author&gt;&lt;Year&gt;2008&lt;/Year&gt;&lt;RecNum&gt;1022&lt;/RecNum&gt;&lt;DisplayText&gt;Berwick, D. M., Nolan, T. W., &amp;amp; Whittington, J. (2008). The triple aim: care, health, and cost. &lt;style face="italic"&gt;Health Aff (Millwood), 27&lt;/style&gt;(3), 759-769.&lt;/DisplayText&gt;&lt;record&gt;&lt;rec-number&gt;1022&lt;/rec-number&gt;&lt;foreign-keys&gt;&lt;key app="EN" db-id="zdz9xax04zr9v0evw2nvrpw9xe9ttzvs5zsv" timestamp="1526871216"&gt;1022&lt;/key&gt;&lt;/foreign-keys&gt;&lt;ref-type name="Journal Article"&gt;17&lt;/ref-type&gt;&lt;contributors&gt;&lt;authors&gt;&lt;author&gt;Berwick, D. M.&lt;/author&gt;&lt;author&gt;Nolan, T. W.&lt;/author&gt;&lt;author&gt;Whittington, J.&lt;/author&gt;&lt;/authors&gt;&lt;/contributors&gt;&lt;auth-address&gt;Institute for Healthcare Improvement (IHI) in Cambridge, Massachusetts, USA. dberwick1@ihi.org&lt;/auth-address&gt;&lt;titles&gt;&lt;title&gt;The triple aim: care, health, and cost&lt;/title&gt;&lt;secondary-title&gt;Health Aff (Millwood)&lt;/secondary-title&gt;&lt;/titles&gt;&lt;periodical&gt;&lt;full-title&gt;Health Aff (Millwood)&lt;/full-title&gt;&lt;abbr-1&gt;Health affairs (Project Hope)&lt;/abbr-1&gt;&lt;/periodical&gt;&lt;pages&gt;759-69&lt;/pages&gt;&lt;volume&gt;27&lt;/volume&gt;&lt;number&gt;3&lt;/number&gt;&lt;keywords&gt;&lt;keyword&gt;Delivery of Health Care/standards&lt;/keyword&gt;&lt;keyword&gt;Health Care Costs&lt;/keyword&gt;&lt;keyword&gt;Health Care Reform&lt;/keyword&gt;&lt;keyword&gt;*Health Priorities&lt;/keyword&gt;&lt;keyword&gt;Humans&lt;/keyword&gt;&lt;keyword&gt;Primary Health Care/economics/legislation &amp;amp; jurisprudence&lt;/keyword&gt;&lt;keyword&gt;Quality Assurance, Health Care/*methods&lt;/keyword&gt;&lt;keyword&gt;United States&lt;/keyword&gt;&lt;/keywords&gt;&lt;dates&gt;&lt;year&gt;2008&lt;/year&gt;&lt;pub-dates&gt;&lt;date&gt;May-Jun&lt;/date&gt;&lt;/pub-dates&gt;&lt;/dates&gt;&lt;isbn&gt;1544-5208 (Electronic)&amp;#xD;0278-2715 (Linking)&lt;/isbn&gt;&lt;accession-num&gt;18474969&lt;/accession-num&gt;&lt;urls&gt;&lt;related-urls&gt;&lt;url&gt;https://www.ncbi.nlm.nih.gov/pubmed/18474969&lt;/url&gt;&lt;/related-urls&gt;&lt;/urls&gt;&lt;electronic-resource-num&gt;10.1377/hlthaff.27.3.759&lt;/electronic-resource-num&gt;&lt;/record&gt;&lt;/Cite&gt;&lt;/EndNote&gt;</w:instrText>
      </w:r>
      <w:r w:rsidR="006C137C">
        <w:fldChar w:fldCharType="separate"/>
      </w:r>
      <w:r w:rsidR="00933EBC">
        <w:rPr>
          <w:noProof/>
        </w:rPr>
        <w:t xml:space="preserve">Berwick, D. M., Nolan, T. W., &amp; Whittington, J. (2008). The triple aim: care, health, and cost. </w:t>
      </w:r>
      <w:r w:rsidR="00933EBC" w:rsidRPr="00933EBC">
        <w:rPr>
          <w:i/>
          <w:noProof/>
        </w:rPr>
        <w:t>Health Aff (Millwood), 27</w:t>
      </w:r>
      <w:r w:rsidR="00933EBC">
        <w:rPr>
          <w:noProof/>
        </w:rPr>
        <w:t>(3), 759-769.</w:t>
      </w:r>
      <w:r w:rsidR="006C137C">
        <w:fldChar w:fldCharType="end"/>
      </w:r>
    </w:p>
  </w:footnote>
  <w:footnote w:id="7">
    <w:p w14:paraId="65294149" w14:textId="3699577C" w:rsidR="006436FB" w:rsidRDefault="006436FB">
      <w:pPr>
        <w:pStyle w:val="FootnoteText"/>
      </w:pPr>
      <w:r w:rsidRPr="0016474D">
        <w:rPr>
          <w:rStyle w:val="FootnoteReference"/>
          <w:color w:val="408BCA"/>
        </w:rPr>
        <w:footnoteRef/>
      </w:r>
      <w:r>
        <w:t xml:space="preserve"> </w:t>
      </w:r>
      <w:r w:rsidR="006C137C">
        <w:fldChar w:fldCharType="begin">
          <w:fldData xml:space="preserve">PEVuZE5vdGU+PENpdGU+PEF1dGhvcj5Cb2RlbmhlaW1lcjwvQXV0aG9yPjxZZWFyPjIwMTQ8L1ll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</w:fldData>
        </w:fldChar>
      </w:r>
      <w:r w:rsidR="00081D00">
        <w:instrText xml:space="preserve"> ADDIN EN.CITE </w:instrText>
      </w:r>
      <w:r w:rsidR="00081D00">
        <w:fldChar w:fldCharType="begin">
          <w:fldData xml:space="preserve">PEVuZE5vdGU+PENpdGU+PEF1dGhvcj5Cb2RlbmhlaW1lcjwvQXV0aG9yPjxZZWFyPjIwMTQ8L1ll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</w:fldData>
        </w:fldChar>
      </w:r>
      <w:r w:rsidR="00081D00">
        <w:instrText xml:space="preserve"> ADDIN EN.CITE.DATA </w:instrText>
      </w:r>
      <w:r w:rsidR="00081D00">
        <w:fldChar w:fldCharType="end"/>
      </w:r>
      <w:r w:rsidR="006C137C">
        <w:fldChar w:fldCharType="separate"/>
      </w:r>
      <w:r w:rsidR="00081D00">
        <w:rPr>
          <w:noProof/>
        </w:rPr>
        <w:t xml:space="preserve">Bodenheimer, T., &amp; Sinsky, C. (2014). From triple to quadruple aim: care of the patient requires care of the provider. </w:t>
      </w:r>
      <w:r w:rsidR="00081D00" w:rsidRPr="00081D00">
        <w:rPr>
          <w:i/>
          <w:noProof/>
        </w:rPr>
        <w:t>Ann Fam Med, 12</w:t>
      </w:r>
      <w:r w:rsidR="00081D00">
        <w:rPr>
          <w:noProof/>
        </w:rPr>
        <w:t>(6), 573-576.</w:t>
      </w:r>
      <w:r w:rsidR="006C137C">
        <w:fldChar w:fldCharType="end"/>
      </w:r>
    </w:p>
  </w:footnote>
  <w:footnote w:id="8">
    <w:p w14:paraId="120E80C8" w14:textId="57F0EB14" w:rsidR="000A387A" w:rsidRDefault="000A387A">
      <w:pPr>
        <w:pStyle w:val="FootnoteText"/>
      </w:pPr>
      <w:r w:rsidRPr="0016474D">
        <w:rPr>
          <w:rStyle w:val="FootnoteReference"/>
          <w:color w:val="408BCA"/>
        </w:rPr>
        <w:footnoteRef/>
      </w:r>
      <w:r>
        <w:t xml:space="preserve"> </w:t>
      </w:r>
      <w:r w:rsidRPr="000B0211">
        <w:fldChar w:fldCharType="begin"/>
      </w:r>
      <w:r w:rsidR="00C43769">
        <w:instrText xml:space="preserve"> ADDIN EN.CITE &lt;EndNote&gt;&lt;Cite AuthorYear="1"&gt;&lt;Author&gt;Primary Health Care Advisory Group&lt;/Author&gt;&lt;Year&gt;2015&lt;/Year&gt;&lt;RecNum&gt;477&lt;/RecNum&gt;&lt;DisplayText&gt;Primary Health Care Advisory Group. (2015). &lt;style face="italic"&gt;Better Outcomes for People with Chronic and Complex Health Conditions: Final Report&lt;/style&gt;. http://www.health.gov.au/internet/main/publishing.nsf/Content/primary-phcag-report&lt;/DisplayText&gt;&lt;record&gt;&lt;rec-number&gt;477&lt;/rec-number&gt;&lt;foreign-keys&gt;&lt;key app="EN" db-id="zdz9xax04zr9v0evw2nvrpw9xe9ttzvs5zsv" timestamp="1484969912"&gt;477&lt;/key&gt;&lt;/foreign-keys&gt;&lt;ref-type name="Report"&gt;27&lt;/ref-type&gt;&lt;contributors&gt;&lt;authors&gt;&lt;author&gt;Primary Health Care Advisory Group,,&lt;/author&gt;&lt;/authors&gt;&lt;/contributors&gt;&lt;titles&gt;&lt;title&gt;Better Outcomes for People with Chronic and Complex Health Conditions: Final Report&lt;/title&gt;&lt;/titles&gt;&lt;dates&gt;&lt;year&gt;2015&lt;/year&gt;&lt;/dates&gt;&lt;publisher&gt;Department of Health&lt;/publisher&gt;&lt;label&gt;PHCAG&lt;/label&gt;&lt;urls&gt;&lt;related-urls&gt;&lt;url&gt;http://www.health.gov.au/internet/main/publishing.nsf/Content/primary-phcag-report&lt;/url&gt;&lt;/related-urls&gt;&lt;/urls&gt;&lt;/record&gt;&lt;/Cite&gt;&lt;/EndNote&gt;</w:instrText>
      </w:r>
      <w:r w:rsidRPr="000B0211">
        <w:fldChar w:fldCharType="separate"/>
      </w:r>
      <w:r w:rsidR="00C43769">
        <w:rPr>
          <w:noProof/>
        </w:rPr>
        <w:t xml:space="preserve">Primary Health Care Advisory Group. (2015). </w:t>
      </w:r>
      <w:r w:rsidR="00C43769" w:rsidRPr="00C43769">
        <w:rPr>
          <w:i/>
          <w:noProof/>
        </w:rPr>
        <w:t>Better Outcomes for People with Chronic and Complex Health Conditions: Final Report</w:t>
      </w:r>
      <w:r w:rsidR="00C43769">
        <w:rPr>
          <w:noProof/>
        </w:rPr>
        <w:t>. http://www.health.gov.au/internet/main/publishing.nsf/Content/primary-phcag-report</w:t>
      </w:r>
      <w:r w:rsidRPr="000B0211">
        <w:fldChar w:fldCharType="end"/>
      </w:r>
      <w:r w:rsidRPr="000B0211">
        <w:t>.</w:t>
      </w:r>
    </w:p>
  </w:footnote>
  <w:footnote w:id="9">
    <w:p w14:paraId="64E398CA" w14:textId="1E1D1ED9" w:rsidR="000D4227" w:rsidRPr="0066726B" w:rsidRDefault="000D4227" w:rsidP="000D4227">
      <w:pPr>
        <w:pStyle w:val="FootnoteText"/>
        <w:rPr>
          <w:szCs w:val="18"/>
        </w:rPr>
      </w:pPr>
      <w:r w:rsidRPr="0016474D">
        <w:rPr>
          <w:rStyle w:val="FootnoteReference"/>
          <w:color w:val="408BCA"/>
        </w:rPr>
        <w:footnoteRef/>
      </w:r>
      <w:r>
        <w:t xml:space="preserve"> </w:t>
      </w:r>
      <w:r w:rsidR="009C1E16">
        <w:fldChar w:fldCharType="begin"/>
      </w:r>
      <w:r w:rsidR="00E11FF5">
        <w:instrText xml:space="preserve"> ADDIN EN.CITE &lt;EndNote&gt;&lt;Cite&gt;&lt;Author&gt;Health Policy Analysis&lt;/Author&gt;&lt;Year&gt;2019&lt;/Year&gt;&lt;RecNum&gt;1131&lt;/RecNum&gt;&lt;DisplayText&gt;Health Policy Analysis. (2019a). &lt;style face="italic"&gt;Evaluation of the Health Care Homes program – Evaluation plan (Updated 2019)&lt;/style&gt;. https://www1.health.gov.au/internet/main/publishing.nsf/Content/Evaluation-of-the-Health-Care-Homes-Program&lt;/DisplayText&gt;&lt;record&gt;&lt;rec-number&gt;1131&lt;/rec-number&gt;&lt;foreign-keys&gt;&lt;key app="EN" db-id="zdz9xax04zr9v0evw2nvrpw9xe9ttzvs5zsv" timestamp="1571536030"&gt;1131&lt;/key&gt;&lt;/foreign-keys&gt;&lt;ref-type name="Report"&gt;27&lt;/ref-type&gt;&lt;contributors&gt;&lt;authors&gt;&lt;author&gt;Health Policy Analysis,,&lt;/author&gt;&lt;/authors&gt;&lt;/contributors&gt;&lt;titles&gt;&lt;title&gt;Evaluation of the Health Care Homes program – Evaluation plan (Updated 2019)&lt;/title&gt;&lt;/titles&gt;&lt;dates&gt;&lt;year&gt;2019&lt;/year&gt;&lt;/dates&gt;&lt;pub-location&gt;Canberra&lt;/pub-location&gt;&lt;publisher&gt;Department of Health&lt;/publisher&gt;&lt;urls&gt;&lt;related-urls&gt;&lt;url&gt;https://www1.health.gov.au/internet/main/publishing.nsf/Content/Evaluation-of-the-Health-Care-Homes-Program&lt;/url&gt;&lt;/related-urls&gt;&lt;/urls&gt;&lt;/record&gt;&lt;/Cite&gt;&lt;/EndNote&gt;</w:instrText>
      </w:r>
      <w:r w:rsidR="009C1E16">
        <w:fldChar w:fldCharType="separate"/>
      </w:r>
      <w:r w:rsidR="00E11FF5">
        <w:rPr>
          <w:noProof/>
        </w:rPr>
        <w:t xml:space="preserve">Health Policy Analysis. (2019a). </w:t>
      </w:r>
      <w:r w:rsidR="00E11FF5" w:rsidRPr="00E11FF5">
        <w:rPr>
          <w:i/>
          <w:noProof/>
        </w:rPr>
        <w:t>Evaluation of the Health Care Homes program – Evaluation plan (Updated 2019)</w:t>
      </w:r>
      <w:r w:rsidR="00E11FF5">
        <w:rPr>
          <w:noProof/>
        </w:rPr>
        <w:t>. https://www1.health.gov.au/internet/main/publishing.nsf/Content/Evaluation-of-the-Health-Care-Homes-Program</w:t>
      </w:r>
      <w:r w:rsidR="009C1E16">
        <w:fldChar w:fldCharType="end"/>
      </w:r>
      <w:r w:rsidR="00481DE1">
        <w:t>.</w:t>
      </w:r>
      <w:r w:rsidR="009C1E16">
        <w:t xml:space="preserve"> Note that t</w:t>
      </w:r>
      <w:r w:rsidRPr="0066726B">
        <w:rPr>
          <w:szCs w:val="18"/>
        </w:rPr>
        <w:t xml:space="preserve">his reference is to the version of the plan that was updated to accommodate the extension of the </w:t>
      </w:r>
      <w:r w:rsidR="0066726B">
        <w:rPr>
          <w:szCs w:val="18"/>
        </w:rPr>
        <w:t>trial</w:t>
      </w:r>
      <w:r w:rsidRPr="0066726B">
        <w:rPr>
          <w:szCs w:val="18"/>
        </w:rPr>
        <w:t>. The updated plan maintain</w:t>
      </w:r>
      <w:r w:rsidR="0066726B">
        <w:rPr>
          <w:szCs w:val="18"/>
        </w:rPr>
        <w:t>ed</w:t>
      </w:r>
      <w:r w:rsidRPr="0066726B">
        <w:rPr>
          <w:szCs w:val="18"/>
        </w:rPr>
        <w:t xml:space="preserve"> the evaluation approach and measures published in the original </w:t>
      </w:r>
      <w:r w:rsidR="0066726B" w:rsidRPr="0066726B">
        <w:rPr>
          <w:szCs w:val="18"/>
        </w:rPr>
        <w:t>plan</w:t>
      </w:r>
      <w:r w:rsidR="0066726B">
        <w:rPr>
          <w:szCs w:val="18"/>
        </w:rPr>
        <w:t xml:space="preserve"> but added data collection points due to the extension</w:t>
      </w:r>
      <w:r w:rsidRPr="0066726B">
        <w:rPr>
          <w:szCs w:val="18"/>
        </w:rPr>
        <w:t>.</w:t>
      </w:r>
    </w:p>
  </w:footnote>
  <w:footnote w:id="10">
    <w:p w14:paraId="6970EF4E" w14:textId="124B3457" w:rsidR="00396AE0" w:rsidRDefault="00396AE0">
      <w:pPr>
        <w:pStyle w:val="FootnoteText"/>
      </w:pPr>
      <w:r w:rsidRPr="0016474D">
        <w:rPr>
          <w:rStyle w:val="FootnoteReference"/>
          <w:color w:val="408BCA"/>
        </w:rPr>
        <w:footnoteRef/>
      </w:r>
      <w:r>
        <w:t xml:space="preserve"> </w:t>
      </w:r>
      <w:r w:rsidR="00EA5FF7">
        <w:fldChar w:fldCharType="begin"/>
      </w:r>
      <w:r w:rsidR="00EA5FF7">
        <w:instrText xml:space="preserve"> ADDIN EN.CITE &lt;EndNote&gt;&lt;Cite&gt;&lt;Author&gt;Stiefel&lt;/Author&gt;&lt;Year&gt;2012&lt;/Year&gt;&lt;RecNum&gt;803&lt;/RecNum&gt;&lt;DisplayText&gt;Stiefel, M., &amp;amp; Nolan, K. (2012). &lt;style face="italic"&gt;A Guide to Measuring the Triple Aim: Population Health, Experience of Care, and Per Capita Cost. IHI Innovation Series white paper&lt;/style&gt;. https://www.jvei.nl/wp-content/uploads/A-Guide-to-Measuring-the-Triple-Aim.pdf&lt;/DisplayText&gt;&lt;record&gt;&lt;rec-number&gt;803&lt;/rec-number&gt;&lt;foreign-keys&gt;&lt;key app="EN" db-id="zdz9xax04zr9v0evw2nvrpw9xe9ttzvs5zsv" timestamp="1495932772"&gt;803&lt;/key&gt;&lt;/foreign-keys&gt;&lt;ref-type name="Report"&gt;27&lt;/ref-type&gt;&lt;contributors&gt;&lt;authors&gt;&lt;author&gt;Stiefel, M &lt;/author&gt;&lt;author&gt;Nolan, K&lt;/author&gt;&lt;/authors&gt;&lt;/contributors&gt;&lt;titles&gt;&lt;title&gt;A Guide to Measuring the Triple Aim: Population Health, Experience of Care, and Per Capita Cost. IHI Innovation Series white paper&lt;/title&gt;&lt;/titles&gt;&lt;dates&gt;&lt;year&gt;2012&lt;/year&gt;&lt;/dates&gt;&lt;pub-location&gt;Cambridge, Massachusetts&lt;/pub-location&gt;&lt;publisher&gt;Institute for Healthcare Improvement&lt;/publisher&gt;&lt;urls&gt;&lt;related-urls&gt;&lt;url&gt;https://www.jvei.nl/wp-content/uploads/A-Guide-to-Measuring-the-Triple-Aim.pdf&lt;/url&gt;&lt;/related-urls&gt;&lt;/urls&gt;&lt;/record&gt;&lt;/Cite&gt;&lt;/EndNote&gt;</w:instrText>
      </w:r>
      <w:r w:rsidR="00EA5FF7">
        <w:fldChar w:fldCharType="separate"/>
      </w:r>
      <w:r w:rsidR="00EA5FF7">
        <w:rPr>
          <w:noProof/>
        </w:rPr>
        <w:t xml:space="preserve">Stiefel, M., &amp; Nolan, K. (2012). </w:t>
      </w:r>
      <w:r w:rsidR="00EA5FF7" w:rsidRPr="00EA5FF7">
        <w:rPr>
          <w:i/>
          <w:noProof/>
        </w:rPr>
        <w:t>A Guide to Measuring the Triple Aim: Population Health, Experience of Care, and Per Capita Cost. IHI Innovation Series white paper</w:t>
      </w:r>
      <w:r w:rsidR="00EA5FF7">
        <w:rPr>
          <w:noProof/>
        </w:rPr>
        <w:t>. https://www.jvei.nl/wp-content/uploads/A-Guide-to-Measuring-the-Triple-Aim.pdf</w:t>
      </w:r>
      <w:r w:rsidR="00EA5FF7">
        <w:fldChar w:fldCharType="end"/>
      </w:r>
    </w:p>
  </w:footnote>
  <w:footnote w:id="11">
    <w:p w14:paraId="4AB0C1BD" w14:textId="3812F978" w:rsidR="00396AE0" w:rsidRDefault="00EA5FF7">
      <w:pPr>
        <w:pStyle w:val="FootnoteText"/>
      </w:pPr>
      <w:r w:rsidRPr="0016474D">
        <w:rPr>
          <w:rStyle w:val="FootnoteReference"/>
          <w:color w:val="408BCA"/>
        </w:rPr>
        <w:footnoteRef/>
      </w:r>
      <w:r w:rsidR="00D31903" w:rsidRPr="0016474D">
        <w:rPr>
          <w:color w:val="408BCA"/>
        </w:rPr>
        <w:t xml:space="preserve"> </w:t>
      </w:r>
      <w:r w:rsidR="00D31903">
        <w:fldChar w:fldCharType="begin"/>
      </w:r>
      <w:r w:rsidR="00D31903">
        <w:instrText xml:space="preserve"> ADDIN EN.CITE &lt;EndNote&gt;&lt;Cite&gt;&lt;Author&gt;Murray&lt;/Author&gt;&lt;Year&gt;2003&lt;/Year&gt;&lt;RecNum&gt;805&lt;/RecNum&gt;&lt;DisplayText&gt;Murray, C. J. L., &amp;amp; Evans, D. B. (2003). Health systems performance assessment: Goals, framework and overview. In C. J. L. Murray &amp;amp; D. B. Evans (Eds.), &lt;style face="italic"&gt;Health systems performance assessment: Debates, methids and empiricism&lt;/style&gt; (pp. 3-18). WHO. &lt;/DisplayText&gt;&lt;record&gt;&lt;rec-number&gt;805&lt;/rec-number&gt;&lt;foreign-keys&gt;&lt;key app="EN" db-id="zdz9xax04zr9v0evw2nvrpw9xe9ttzvs5zsv" timestamp="1495933188"&gt;805&lt;/key&gt;&lt;/foreign-keys&gt;&lt;ref-type name="Book Section"&gt;5&lt;/ref-type&gt;&lt;contributors&gt;&lt;authors&gt;&lt;author&gt;Murray, C.J.L.&lt;/author&gt;&lt;author&gt;Evans, D.B.&lt;/author&gt;&lt;/authors&gt;&lt;secondary-authors&gt;&lt;author&gt;Murray, C.J.L.&lt;/author&gt;&lt;author&gt;Evans, D.B.&lt;/author&gt;&lt;/secondary-authors&gt;&lt;/contributors&gt;&lt;titles&gt;&lt;title&gt;Health systems performance assessment: Goals, framework and overview&lt;/title&gt;&lt;secondary-title&gt;Health systems performance assessment: Debates, methids and empiricism&lt;/secondary-title&gt;&lt;/titles&gt;&lt;pages&gt;3-18&lt;/pages&gt;&lt;dates&gt;&lt;year&gt;2003&lt;/year&gt;&lt;/dates&gt;&lt;pub-location&gt;Geneva&lt;/pub-location&gt;&lt;publisher&gt;WHO&lt;/publisher&gt;&lt;urls&gt;&lt;/urls&gt;&lt;/record&gt;&lt;/Cite&gt;&lt;/EndNote&gt;</w:instrText>
      </w:r>
      <w:r w:rsidR="00D31903">
        <w:fldChar w:fldCharType="separate"/>
      </w:r>
      <w:r w:rsidR="00D31903">
        <w:rPr>
          <w:noProof/>
        </w:rPr>
        <w:t xml:space="preserve">Murray, C. J. L., &amp; Evans, D. B. (2003). Health systems performance assessment: Goals, framework and overview. In C. J. L. Murray &amp; D. B. Evans (Eds.), </w:t>
      </w:r>
      <w:r w:rsidR="00D31903" w:rsidRPr="00D31903">
        <w:rPr>
          <w:i/>
          <w:noProof/>
        </w:rPr>
        <w:t>Health systems performance assessment: Debates, methids and empiricism</w:t>
      </w:r>
      <w:r w:rsidR="00D31903">
        <w:rPr>
          <w:noProof/>
        </w:rPr>
        <w:t xml:space="preserve"> (pp. 3-18). WHO. </w:t>
      </w:r>
      <w:r w:rsidR="00D31903">
        <w:fldChar w:fldCharType="end"/>
      </w:r>
    </w:p>
  </w:footnote>
  <w:footnote w:id="12">
    <w:p w14:paraId="21CF7CC2" w14:textId="18DB7856" w:rsidR="00220813" w:rsidRDefault="00220813">
      <w:pPr>
        <w:pStyle w:val="FootnoteText"/>
      </w:pPr>
      <w:r w:rsidRPr="0016474D">
        <w:rPr>
          <w:rStyle w:val="FootnoteReference"/>
          <w:color w:val="408BCA"/>
        </w:rPr>
        <w:footnoteRef/>
      </w:r>
      <w:r>
        <w:t xml:space="preserve"> </w:t>
      </w:r>
      <w:r w:rsidR="00D31903">
        <w:fldChar w:fldCharType="begin"/>
      </w:r>
      <w:r w:rsidR="00D31903">
        <w:instrText xml:space="preserve"> ADDIN EN.CITE &lt;EndNote&gt;&lt;Cite&gt;&lt;Author&gt;World Health Organization&lt;/Author&gt;&lt;Year&gt;2000&lt;/Year&gt;&lt;RecNum&gt;804&lt;/RecNum&gt;&lt;DisplayText&gt;World Health Organization. (2000). &lt;style face="italic"&gt;The World Health Report 2000. Health Systems: Improving Performance&lt;/style&gt;. &lt;/DisplayText&gt;&lt;record&gt;&lt;rec-number&gt;804&lt;/rec-number&gt;&lt;foreign-keys&gt;&lt;key app="EN" db-id="zdz9xax04zr9v0evw2nvrpw9xe9ttzvs5zsv" timestamp="1495933026"&gt;804&lt;/key&gt;&lt;/foreign-keys&gt;&lt;ref-type name="Report"&gt;27&lt;/ref-type&gt;&lt;contributors&gt;&lt;authors&gt;&lt;author&gt;World Health Organization,,&lt;/author&gt;&lt;/authors&gt;&lt;/contributors&gt;&lt;titles&gt;&lt;title&gt;The World Health Report 2000. Health Systems: Improving Performance&lt;/title&gt;&lt;/titles&gt;&lt;dates&gt;&lt;year&gt;2000&lt;/year&gt;&lt;/dates&gt;&lt;pub-location&gt;Geneva&lt;/pub-location&gt;&lt;publisher&gt;WHO&lt;/publisher&gt;&lt;urls&gt;&lt;/urls&gt;&lt;/record&gt;&lt;/Cite&gt;&lt;/EndNote&gt;</w:instrText>
      </w:r>
      <w:r w:rsidR="00D31903">
        <w:fldChar w:fldCharType="separate"/>
      </w:r>
      <w:r w:rsidR="00D31903">
        <w:rPr>
          <w:noProof/>
        </w:rPr>
        <w:t xml:space="preserve">World Health Organization. (2000). </w:t>
      </w:r>
      <w:r w:rsidR="00D31903" w:rsidRPr="00D31903">
        <w:rPr>
          <w:i/>
          <w:noProof/>
        </w:rPr>
        <w:t>The World Health Report 2000. Health Systems: Improving Performance</w:t>
      </w:r>
      <w:r w:rsidR="00D31903">
        <w:rPr>
          <w:noProof/>
        </w:rPr>
        <w:t xml:space="preserve">. </w:t>
      </w:r>
      <w:r w:rsidR="00D31903">
        <w:fldChar w:fldCharType="end"/>
      </w:r>
    </w:p>
  </w:footnote>
  <w:footnote w:id="13">
    <w:p w14:paraId="5F571875" w14:textId="13A320F5" w:rsidR="00D050BC" w:rsidRPr="00D050BC" w:rsidRDefault="00D050BC" w:rsidP="00D050BC">
      <w:pPr>
        <w:spacing w:after="0"/>
        <w:rPr>
          <w:sz w:val="18"/>
          <w:szCs w:val="18"/>
        </w:rPr>
      </w:pPr>
      <w:r w:rsidRPr="00D050BC">
        <w:rPr>
          <w:rStyle w:val="FootnoteReference"/>
          <w:color w:val="408BCA"/>
        </w:rPr>
        <w:footnoteRef/>
      </w:r>
      <w:r>
        <w:t xml:space="preserve"> </w:t>
      </w:r>
      <w:r w:rsidRPr="00D10CDC">
        <w:rPr>
          <w:rStyle w:val="Strong1"/>
          <w:rFonts w:eastAsiaTheme="minorEastAsia"/>
          <w:b w:val="0"/>
          <w:color w:val="1D2455"/>
          <w:szCs w:val="18"/>
          <w:lang w:eastAsia="en-AU"/>
        </w:rPr>
        <w:fldChar w:fldCharType="begin"/>
      </w:r>
      <w:r w:rsidRPr="00D10CDC">
        <w:rPr>
          <w:rStyle w:val="Strong1"/>
          <w:rFonts w:eastAsiaTheme="minorEastAsia"/>
          <w:b w:val="0"/>
          <w:color w:val="1D2455"/>
          <w:szCs w:val="18"/>
          <w:lang w:eastAsia="en-AU"/>
        </w:rPr>
        <w:instrText xml:space="preserve"> REF _Ref51836954 \h  \* MERGEFORMAT </w:instrText>
      </w:r>
      <w:r w:rsidRPr="00D10CDC">
        <w:rPr>
          <w:rStyle w:val="Strong1"/>
          <w:rFonts w:eastAsiaTheme="minorEastAsia"/>
          <w:b w:val="0"/>
          <w:color w:val="1D2455"/>
          <w:szCs w:val="18"/>
          <w:lang w:eastAsia="en-AU"/>
        </w:rPr>
      </w:r>
      <w:r w:rsidRPr="00D10CDC">
        <w:rPr>
          <w:rStyle w:val="Strong1"/>
          <w:rFonts w:eastAsiaTheme="minorEastAsia"/>
          <w:b w:val="0"/>
          <w:color w:val="1D2455"/>
          <w:szCs w:val="18"/>
          <w:lang w:eastAsia="en-AU"/>
        </w:rPr>
        <w:fldChar w:fldCharType="separate"/>
      </w:r>
      <w:r w:rsidR="003C4BC2" w:rsidRPr="003C4BC2">
        <w:rPr>
          <w:rStyle w:val="Strong1"/>
          <w:rFonts w:eastAsiaTheme="minorEastAsia"/>
          <w:b w:val="0"/>
          <w:color w:val="1D2455"/>
          <w:szCs w:val="18"/>
          <w:lang w:eastAsia="en-AU"/>
        </w:rPr>
        <w:t>Table 4</w:t>
      </w:r>
      <w:r w:rsidRPr="00D10CDC">
        <w:rPr>
          <w:rStyle w:val="Strong1"/>
          <w:rFonts w:eastAsiaTheme="minorEastAsia"/>
          <w:b w:val="0"/>
          <w:color w:val="1D2455"/>
          <w:szCs w:val="18"/>
          <w:lang w:eastAsia="en-AU"/>
        </w:rPr>
        <w:fldChar w:fldCharType="end"/>
      </w:r>
      <w:r w:rsidRPr="00D10CDC">
        <w:rPr>
          <w:b/>
          <w:sz w:val="18"/>
          <w:szCs w:val="18"/>
        </w:rPr>
        <w:t xml:space="preserve"> </w:t>
      </w:r>
      <w:r w:rsidRPr="00D10CDC">
        <w:rPr>
          <w:bCs/>
          <w:sz w:val="18"/>
          <w:szCs w:val="18"/>
        </w:rPr>
        <w:t>and</w:t>
      </w:r>
      <w:r w:rsidRPr="00D10CDC">
        <w:rPr>
          <w:b/>
          <w:sz w:val="18"/>
          <w:szCs w:val="18"/>
        </w:rPr>
        <w:t xml:space="preserve"> </w:t>
      </w:r>
      <w:r w:rsidRPr="00D10CDC">
        <w:rPr>
          <w:b/>
          <w:sz w:val="18"/>
          <w:szCs w:val="18"/>
        </w:rPr>
        <w:fldChar w:fldCharType="begin"/>
      </w:r>
      <w:r w:rsidRPr="00D10CDC">
        <w:rPr>
          <w:b/>
          <w:sz w:val="18"/>
          <w:szCs w:val="18"/>
        </w:rPr>
        <w:instrText xml:space="preserve"> REF _Ref51236661 \h  \* MERGEFORMAT </w:instrText>
      </w:r>
      <w:r w:rsidRPr="00D10CDC">
        <w:rPr>
          <w:b/>
          <w:sz w:val="18"/>
          <w:szCs w:val="18"/>
        </w:rPr>
      </w:r>
      <w:r w:rsidRPr="00D10CDC">
        <w:rPr>
          <w:b/>
          <w:sz w:val="18"/>
          <w:szCs w:val="18"/>
        </w:rPr>
        <w:fldChar w:fldCharType="separate"/>
      </w:r>
      <w:r w:rsidR="003C4BC2" w:rsidRPr="003C4BC2">
        <w:rPr>
          <w:rStyle w:val="Strong1"/>
          <w:rFonts w:eastAsiaTheme="minorEastAsia"/>
          <w:b w:val="0"/>
          <w:color w:val="1D2455"/>
          <w:szCs w:val="18"/>
          <w:lang w:eastAsia="en-AU"/>
        </w:rPr>
        <w:t>Table 5</w:t>
      </w:r>
      <w:r w:rsidRPr="00D10CDC">
        <w:rPr>
          <w:b/>
          <w:sz w:val="18"/>
          <w:szCs w:val="18"/>
        </w:rPr>
        <w:fldChar w:fldCharType="end"/>
      </w:r>
      <w:r w:rsidRPr="00D10CDC">
        <w:rPr>
          <w:b/>
          <w:sz w:val="18"/>
          <w:szCs w:val="18"/>
        </w:rPr>
        <w:t xml:space="preserve"> </w:t>
      </w:r>
      <w:r w:rsidRPr="00D050BC">
        <w:rPr>
          <w:sz w:val="18"/>
          <w:szCs w:val="18"/>
        </w:rPr>
        <w:t xml:space="preserve">refer to ‘active’ and ‘withdrawn’ practices. ‘Active’ means the practice was participating in the HCH trial </w:t>
      </w:r>
      <w:r w:rsidR="003453D1">
        <w:rPr>
          <w:sz w:val="18"/>
          <w:szCs w:val="18"/>
        </w:rPr>
        <w:t>when it closed on</w:t>
      </w:r>
      <w:r w:rsidRPr="00D050BC">
        <w:rPr>
          <w:sz w:val="18"/>
          <w:szCs w:val="18"/>
        </w:rPr>
        <w:t xml:space="preserve"> 30 June 2021. ‘Withdrawn’ means that the practice was participating at some stage following October 2017 but had withdrawn </w:t>
      </w:r>
      <w:r w:rsidR="003453D1">
        <w:rPr>
          <w:sz w:val="18"/>
          <w:szCs w:val="18"/>
        </w:rPr>
        <w:t>before</w:t>
      </w:r>
      <w:r w:rsidRPr="00D050BC">
        <w:rPr>
          <w:sz w:val="18"/>
          <w:szCs w:val="18"/>
        </w:rPr>
        <w:t xml:space="preserve"> 30 June 2021.</w:t>
      </w:r>
    </w:p>
  </w:footnote>
  <w:footnote w:id="14">
    <w:p w14:paraId="7284EA47" w14:textId="79E5A564" w:rsidR="00135535" w:rsidRPr="009408FE" w:rsidRDefault="00135535" w:rsidP="00135535">
      <w:pPr>
        <w:pStyle w:val="FootnoteText"/>
        <w:rPr>
          <w:szCs w:val="16"/>
        </w:rPr>
      </w:pPr>
      <w:bookmarkStart w:id="35" w:name="_Ref99107531"/>
      <w:r w:rsidRPr="00D050BC">
        <w:rPr>
          <w:rStyle w:val="FootnoteReference"/>
          <w:color w:val="408BCA"/>
        </w:rPr>
        <w:footnoteRef/>
      </w:r>
      <w:r>
        <w:t xml:space="preserve"> </w:t>
      </w:r>
      <w:bookmarkStart w:id="36" w:name="_Hlk26969252"/>
      <w:r w:rsidRPr="009408FE">
        <w:rPr>
          <w:szCs w:val="16"/>
        </w:rPr>
        <w:t xml:space="preserve">Aboriginal Medical Service is used to refer to both Indigenous Health Services and </w:t>
      </w:r>
      <w:r w:rsidR="007233C8">
        <w:rPr>
          <w:szCs w:val="16"/>
        </w:rPr>
        <w:t>Aboriginal Community Cont</w:t>
      </w:r>
      <w:r w:rsidR="00126B84">
        <w:rPr>
          <w:szCs w:val="16"/>
        </w:rPr>
        <w:t>rolled Health Services (</w:t>
      </w:r>
      <w:r>
        <w:rPr>
          <w:szCs w:val="16"/>
        </w:rPr>
        <w:t>ACCHS</w:t>
      </w:r>
      <w:bookmarkEnd w:id="36"/>
      <w:r w:rsidR="00126B84">
        <w:rPr>
          <w:szCs w:val="16"/>
        </w:rPr>
        <w:t>).</w:t>
      </w:r>
      <w:bookmarkEnd w:id="35"/>
    </w:p>
  </w:footnote>
  <w:footnote w:id="15">
    <w:p w14:paraId="71389F72" w14:textId="77777777" w:rsidR="00844AEF" w:rsidRPr="009408FE" w:rsidRDefault="00844AEF" w:rsidP="00844AEF">
      <w:pPr>
        <w:pStyle w:val="FootnoteText"/>
        <w:rPr>
          <w:szCs w:val="16"/>
        </w:rPr>
      </w:pPr>
      <w:bookmarkStart w:id="48" w:name="_Ref529437982"/>
      <w:r w:rsidRPr="002C7CAA">
        <w:rPr>
          <w:rStyle w:val="FootnoteReference"/>
          <w:color w:val="408BCA"/>
        </w:rPr>
        <w:footnoteRef/>
      </w:r>
      <w:r>
        <w:t xml:space="preserve"> </w:t>
      </w:r>
      <w:bookmarkStart w:id="49" w:name="_Hlk26969320"/>
      <w:r w:rsidRPr="009408FE">
        <w:rPr>
          <w:szCs w:val="16"/>
        </w:rPr>
        <w:t xml:space="preserve">MMM classifies metropolitan, regional, rural and remote areas according to both geographical remoteness and town size. It is intended to enhance the Australian Statistical Geographic Standard, Remoteness Areas (ASGS-RA) used by the Australian Bureau of Statistics (ABS). The classification has been adopted by several Government programs, including the General Practice Rural Incentives </w:t>
      </w:r>
      <w:r>
        <w:rPr>
          <w:szCs w:val="16"/>
        </w:rPr>
        <w:t>Program</w:t>
      </w:r>
      <w:r w:rsidRPr="009408FE">
        <w:rPr>
          <w:szCs w:val="16"/>
        </w:rPr>
        <w:t xml:space="preserve"> (GPRIP). MMM 1 aligns fully with the ASGS-RA category of ‘Major cities’. MMM 7 relates to the most remote areas</w:t>
      </w:r>
      <w:bookmarkEnd w:id="49"/>
      <w:r w:rsidRPr="009408FE">
        <w:rPr>
          <w:szCs w:val="16"/>
        </w:rPr>
        <w:t>.</w:t>
      </w:r>
      <w:bookmarkEnd w:id="48"/>
    </w:p>
  </w:footnote>
  <w:footnote w:id="16">
    <w:p w14:paraId="270482FA" w14:textId="4B148000" w:rsidR="00A6507A" w:rsidRDefault="00A6507A">
      <w:pPr>
        <w:pStyle w:val="FootnoteText"/>
      </w:pPr>
      <w:r w:rsidRPr="00A6507A">
        <w:rPr>
          <w:rStyle w:val="FootnoteReference"/>
          <w:color w:val="408BCA"/>
        </w:rPr>
        <w:footnoteRef/>
      </w:r>
      <w:r w:rsidR="00CF107C">
        <w:t xml:space="preserve"> </w:t>
      </w:r>
      <w:r w:rsidR="00081D00">
        <w:fldChar w:fldCharType="begin"/>
      </w:r>
      <w:r w:rsidR="002D49E8">
        <w:instrText xml:space="preserve"> ADDIN EN.CITE &lt;EndNote&gt;&lt;Cite&gt;&lt;Author&gt;Australian Government Department of Health&lt;/Author&gt;&lt;Year&gt;2016&lt;/Year&gt;&lt;RecNum&gt;519&lt;/RecNum&gt;&lt;DisplayText&gt;Australian Government Department of Health. (2016b). &lt;style face="italic"&gt;Factsheet: Stage one modelling&lt;/style&gt;   http://www.health.gov.au/internet/main/publishing.nsf/Content/health-care-homes &lt;/DisplayText&gt;&lt;record&gt;&lt;rec-number&gt;519&lt;/rec-number&gt;&lt;foreign-keys&gt;&lt;key app="EN" db-id="zdz9xax04zr9v0evw2nvrpw9xe9ttzvs5zsv" timestamp="1485909718"&gt;519&lt;/key&gt;&lt;/foreign-keys&gt;&lt;ref-type name="Electronic Book"&gt;44&lt;/ref-type&gt;&lt;contributors&gt;&lt;authors&gt;&lt;author&gt;Australian Government Department of Health,,&lt;/author&gt;&lt;/authors&gt;&lt;/contributors&gt;&lt;titles&gt;&lt;title&gt;Factsheet: Stage one modelling&lt;/title&gt;&lt;/titles&gt;&lt;dates&gt;&lt;year&gt;2016&lt;/year&gt;&lt;/dates&gt;&lt;urls&gt;&lt;related-urls&gt;&lt;url&gt;http://www.health.gov.au/internet/main/publishing.nsf/Content/health-care-homes&lt;/url&gt;&lt;/related-urls&gt;&lt;/urls&gt;&lt;custom2&gt;01/02/2017&lt;/custom2&gt;&lt;/record&gt;&lt;/Cite&gt;&lt;/EndNote&gt;</w:instrText>
      </w:r>
      <w:r w:rsidR="00081D00">
        <w:fldChar w:fldCharType="separate"/>
      </w:r>
      <w:r w:rsidR="002D49E8">
        <w:rPr>
          <w:noProof/>
        </w:rPr>
        <w:t xml:space="preserve">Australian Government Department of Health. (2016b). </w:t>
      </w:r>
      <w:r w:rsidR="002D49E8" w:rsidRPr="002D49E8">
        <w:rPr>
          <w:i/>
          <w:noProof/>
        </w:rPr>
        <w:t>Factsheet: Stage one modelling</w:t>
      </w:r>
      <w:r w:rsidR="002D49E8">
        <w:rPr>
          <w:noProof/>
        </w:rPr>
        <w:t xml:space="preserve">   http://www.health.gov.au/internet/main/publishing.nsf/Content/health-care-homes </w:t>
      </w:r>
      <w:r w:rsidR="00081D00">
        <w:fldChar w:fldCharType="end"/>
      </w:r>
    </w:p>
  </w:footnote>
  <w:footnote w:id="17">
    <w:p w14:paraId="12FC04B6" w14:textId="395BEF46" w:rsidR="00D31903" w:rsidRDefault="00D31903">
      <w:pPr>
        <w:pStyle w:val="FootnoteText"/>
      </w:pPr>
      <w:r w:rsidRPr="0016474D">
        <w:rPr>
          <w:rStyle w:val="FootnoteReference"/>
          <w:color w:val="408BCA"/>
        </w:rPr>
        <w:footnoteRef/>
      </w:r>
      <w:r>
        <w:t xml:space="preserve"> </w:t>
      </w:r>
      <w:r>
        <w:fldChar w:fldCharType="begin"/>
      </w:r>
      <w:r>
        <w:instrText xml:space="preserve"> ADDIN EN.CITE &lt;EndNote&gt;&lt;Cite&gt;&lt;Author&gt;Australian Government Department of Health&lt;/Author&gt;&lt;Year&gt;2016&lt;/Year&gt;&lt;RecNum&gt;526&lt;/RecNum&gt;&lt;DisplayText&gt;Australian Government Department of Health. (2016c). &lt;style face="italic"&gt;Health Care Homes announcement media release&lt;/style&gt; http://pandora.nla.gov.au/pan/154649/20160508-0839/www.pm.gov.au/media/2016-03-31/healthier-medicare-chronically-ill-patients.html&lt;/DisplayText&gt;&lt;record&gt;&lt;rec-number&gt;526&lt;/rec-number&gt;&lt;foreign-keys&gt;&lt;key app="EN" db-id="zdz9xax04zr9v0evw2nvrpw9xe9ttzvs5zsv" timestamp="1485910843"&gt;526&lt;/key&gt;&lt;/foreign-keys&gt;&lt;ref-type name="Press Release"&gt;63&lt;/ref-type&gt;&lt;contributors&gt;&lt;authors&gt;&lt;author&gt;Australian Government Department of Health,,&lt;/author&gt;&lt;/authors&gt;&lt;/contributors&gt;&lt;titles&gt;&lt;title&gt;Health Care Homes announcement media release&lt;/title&gt;&lt;/titles&gt;&lt;dates&gt;&lt;year&gt;2016&lt;/year&gt;&lt;/dates&gt;&lt;urls&gt;&lt;related-urls&gt;&lt;url&gt;http://pandora.nla.gov.au/pan/154649/20160508-0839/www.pm.gov.au/media/2016-03-31/healthier-medicare-chronically-ill-patients.html&lt;/url&gt;&lt;/related-urls&gt;&lt;/urls&gt;&lt;/record&gt;&lt;/Cite&gt;&lt;/EndNote&gt;</w:instrText>
      </w:r>
      <w:r>
        <w:fldChar w:fldCharType="separate"/>
      </w:r>
      <w:r>
        <w:rPr>
          <w:noProof/>
        </w:rPr>
        <w:t xml:space="preserve">Australian Government Department of Health. (2016c). </w:t>
      </w:r>
      <w:r w:rsidRPr="00D31903">
        <w:rPr>
          <w:i/>
          <w:noProof/>
        </w:rPr>
        <w:t>Health Care Homes announcement media release</w:t>
      </w:r>
      <w:r>
        <w:rPr>
          <w:noProof/>
        </w:rPr>
        <w:t xml:space="preserve"> http://pandora.nla.gov.au/pan/154649/20160508-0839/www.pm.gov.au/media/2016-03-31/healthier-medicare-chronically-ill-patients.html</w:t>
      </w:r>
      <w:r>
        <w:fldChar w:fldCharType="end"/>
      </w:r>
      <w:r w:rsidRPr="00066658">
        <w:t>.</w:t>
      </w:r>
    </w:p>
  </w:footnote>
  <w:footnote w:id="18">
    <w:p w14:paraId="440DAE2B" w14:textId="1B413A09" w:rsidR="00D31903" w:rsidRDefault="00D31903">
      <w:pPr>
        <w:pStyle w:val="FootnoteText"/>
      </w:pPr>
      <w:r w:rsidRPr="0016474D">
        <w:rPr>
          <w:rStyle w:val="FootnoteReference"/>
          <w:color w:val="408BCA"/>
        </w:rPr>
        <w:footnoteRef/>
      </w:r>
      <w:r>
        <w:t xml:space="preserve"> </w:t>
      </w:r>
      <w:r w:rsidR="000D4748">
        <w:fldChar w:fldCharType="begin"/>
      </w:r>
      <w:r w:rsidR="002D49E8">
        <w:instrText xml:space="preserve"> ADDIN EN.CITE &lt;EndNote&gt;&lt;Cite&gt;&lt;Author&gt;Australian Government Department of Health&lt;/Author&gt;&lt;Year&gt;2016&lt;/Year&gt;&lt;RecNum&gt;1067&lt;/RecNum&gt;&lt;DisplayText&gt;Australian Government Department of Health. (2016d). &lt;style face="italic"&gt;Health Care Homes Grant Guidelines 4 November 2016&lt;/style&gt;   &lt;/DisplayText&gt;&lt;record&gt;&lt;rec-number&gt;1067&lt;/rec-number&gt;&lt;foreign-keys&gt;&lt;key app="EN" db-id="zdz9xax04zr9v0evw2nvrpw9xe9ttzvs5zsv" timestamp="1536914730"&gt;1067&lt;/key&gt;&lt;/foreign-keys&gt;&lt;ref-type name="Electronic Book"&gt;44&lt;/ref-type&gt;&lt;contributors&gt;&lt;authors&gt;&lt;author&gt;Australian Government Department of Health,,&lt;/author&gt;&lt;/authors&gt;&lt;/contributors&gt;&lt;titles&gt;&lt;title&gt;Health Care Homes Grant Guidelines 4 November 2016&lt;/title&gt;&lt;/titles&gt;&lt;dates&gt;&lt;year&gt;2016&lt;/year&gt;&lt;/dates&gt;&lt;urls&gt;&lt;/urls&gt;&lt;/record&gt;&lt;/Cite&gt;&lt;/EndNote&gt;</w:instrText>
      </w:r>
      <w:r w:rsidR="000D4748">
        <w:fldChar w:fldCharType="separate"/>
      </w:r>
      <w:r w:rsidR="002D49E8">
        <w:rPr>
          <w:noProof/>
        </w:rPr>
        <w:t xml:space="preserve">Australian Government Department of Health. (2016d). </w:t>
      </w:r>
      <w:r w:rsidR="002D49E8" w:rsidRPr="002D49E8">
        <w:rPr>
          <w:i/>
          <w:noProof/>
        </w:rPr>
        <w:t>Health Care Homes Grant Guidelines 4 November 2016</w:t>
      </w:r>
      <w:r w:rsidR="002D49E8">
        <w:rPr>
          <w:noProof/>
        </w:rPr>
        <w:t xml:space="preserve">   </w:t>
      </w:r>
      <w:r w:rsidR="000D4748">
        <w:fldChar w:fldCharType="end"/>
      </w:r>
    </w:p>
  </w:footnote>
  <w:footnote w:id="19">
    <w:p w14:paraId="3D93CCB2" w14:textId="40E2C326" w:rsidR="00D94785" w:rsidRDefault="00D94785" w:rsidP="00D94785">
      <w:pPr>
        <w:pStyle w:val="FootnoteText"/>
      </w:pPr>
      <w:r w:rsidRPr="0016474D">
        <w:rPr>
          <w:rStyle w:val="FootnoteReference"/>
          <w:color w:val="408BCA"/>
        </w:rPr>
        <w:footnoteRef/>
      </w:r>
      <w:r>
        <w:t xml:space="preserve"> </w:t>
      </w:r>
      <w:r w:rsidRPr="002E5EA0">
        <w:rPr>
          <w:szCs w:val="18"/>
        </w:rPr>
        <w:fldChar w:fldCharType="begin"/>
      </w:r>
      <w:r w:rsidR="002D49E8">
        <w:rPr>
          <w:szCs w:val="18"/>
        </w:rPr>
        <w:instrText xml:space="preserve"> ADDIN EN.CITE &lt;EndNote&gt;&lt;Cite AuthorYear="1"&gt;&lt;Author&gt;Australian Government Department of Health&lt;/Author&gt;&lt;Year&gt;2018&lt;/Year&gt;&lt;RecNum&gt;1034&lt;/RecNum&gt;&lt;DisplayText&gt;Australian Government Department of Health. (2018d). &lt;style face="italic"&gt;Health Care Homes Handbook for general practices and Aboriginal Community Controlled Health Services Version 1.4 August 2018&lt;/style&gt;   &lt;/DisplayText&gt;&lt;record&gt;&lt;rec-number&gt;1034&lt;/rec-number&gt;&lt;foreign-keys&gt;&lt;key app="EN" db-id="zdz9xax04zr9v0evw2nvrpw9xe9ttzvs5zsv" timestamp="1535530581"&gt;1034&lt;/key&gt;&lt;/foreign-keys&gt;&lt;ref-type name="Electronic Book"&gt;44&lt;/ref-type&gt;&lt;contributors&gt;&lt;authors&gt;&lt;author&gt;Australian Government Department of Health,,&lt;/author&gt;&lt;/authors&gt;&lt;/contributors&gt;&lt;titles&gt;&lt;title&gt;Health Care Homes Handbook for general practices and Aboriginal Community Controlled Health Services Version 1.4 August 2018&lt;/title&gt;&lt;/titles&gt;&lt;dates&gt;&lt;year&gt;2018&lt;/year&gt;&lt;/dates&gt;&lt;urls&gt;&lt;/urls&gt;&lt;/record&gt;&lt;/Cite&gt;&lt;/EndNote&gt;</w:instrText>
      </w:r>
      <w:r w:rsidRPr="002E5EA0">
        <w:rPr>
          <w:szCs w:val="18"/>
        </w:rPr>
        <w:fldChar w:fldCharType="separate"/>
      </w:r>
      <w:r w:rsidR="002D49E8">
        <w:rPr>
          <w:noProof/>
          <w:szCs w:val="18"/>
        </w:rPr>
        <w:t xml:space="preserve">Australian Government Department of Health. (2018d). </w:t>
      </w:r>
      <w:r w:rsidR="002D49E8" w:rsidRPr="002D49E8">
        <w:rPr>
          <w:i/>
          <w:noProof/>
          <w:szCs w:val="18"/>
        </w:rPr>
        <w:t>Health Care Homes Handbook for general practices and Aboriginal Community Controlled Health Services Version 1.4 August 2018</w:t>
      </w:r>
      <w:r w:rsidR="002D49E8">
        <w:rPr>
          <w:noProof/>
          <w:szCs w:val="18"/>
        </w:rPr>
        <w:t xml:space="preserve">   </w:t>
      </w:r>
      <w:r w:rsidRPr="002E5EA0">
        <w:rPr>
          <w:szCs w:val="18"/>
        </w:rPr>
        <w:fldChar w:fldCharType="end"/>
      </w:r>
    </w:p>
  </w:footnote>
  <w:footnote w:id="20">
    <w:p w14:paraId="5FE617EF" w14:textId="61B339EE" w:rsidR="00675238" w:rsidRDefault="00675238">
      <w:pPr>
        <w:pStyle w:val="FootnoteText"/>
      </w:pPr>
      <w:r w:rsidRPr="0016474D">
        <w:rPr>
          <w:rStyle w:val="FootnoteReference"/>
          <w:color w:val="408BCA"/>
        </w:rPr>
        <w:footnoteRef/>
      </w:r>
      <w:r>
        <w:t xml:space="preserve"> </w:t>
      </w:r>
      <w:r w:rsidRPr="00A108D0">
        <w:fldChar w:fldCharType="begin"/>
      </w:r>
      <w:r w:rsidR="0015206C">
        <w:instrText xml:space="preserve"> ADDIN EN.CITE &lt;EndNote&gt;&lt;Cite&gt;&lt;Author&gt;Australian Government Department of Health&lt;/Author&gt;&lt;Year&gt;2018&lt;/Year&gt;&lt;RecNum&gt;1034&lt;/RecNum&gt;&lt;DisplayText&gt;Ibid.&lt;/DisplayText&gt;&lt;record&gt;&lt;rec-number&gt;1034&lt;/rec-number&gt;&lt;foreign-keys&gt;&lt;key app="EN" db-id="zdz9xax04zr9v0evw2nvrpw9xe9ttzvs5zsv" timestamp="1535530581"&gt;1034&lt;/key&gt;&lt;/foreign-keys&gt;&lt;ref-type name="Electronic Book"&gt;44&lt;/ref-type&gt;&lt;contributors&gt;&lt;authors&gt;&lt;author&gt;Australian Government Department of Health,,&lt;/author&gt;&lt;/authors&gt;&lt;/contributors&gt;&lt;titles&gt;&lt;title&gt;Health Care Homes Handbook for general practices and Aboriginal Community Controlled Health Services Version 1.4 August 2018&lt;/title&gt;&lt;/titles&gt;&lt;dates&gt;&lt;year&gt;2018&lt;/year&gt;&lt;/dates&gt;&lt;urls&gt;&lt;/urls&gt;&lt;/record&gt;&lt;/Cite&gt;&lt;/EndNote&gt;</w:instrText>
      </w:r>
      <w:r w:rsidRPr="00A108D0">
        <w:fldChar w:fldCharType="separate"/>
      </w:r>
      <w:r>
        <w:rPr>
          <w:noProof/>
        </w:rPr>
        <w:t>Ibid.</w:t>
      </w:r>
      <w:r w:rsidRPr="00A108D0">
        <w:fldChar w:fldCharType="end"/>
      </w:r>
    </w:p>
  </w:footnote>
  <w:footnote w:id="21">
    <w:p w14:paraId="6D03BBFB" w14:textId="597D42C1" w:rsidR="00D14DC2" w:rsidRDefault="00D14DC2">
      <w:pPr>
        <w:pStyle w:val="FootnoteText"/>
      </w:pPr>
      <w:r w:rsidRPr="0016474D">
        <w:rPr>
          <w:rStyle w:val="FootnoteReference"/>
          <w:color w:val="408BCA"/>
        </w:rPr>
        <w:footnoteRef/>
      </w:r>
      <w:r w:rsidRPr="0016474D">
        <w:rPr>
          <w:color w:val="408BCA"/>
        </w:rPr>
        <w:t xml:space="preserve"> </w:t>
      </w:r>
      <w:r w:rsidR="00751C5B">
        <w:fldChar w:fldCharType="begin"/>
      </w:r>
      <w:r w:rsidR="002D49E8">
        <w:instrText xml:space="preserve"> ADDIN EN.CITE &lt;EndNote&gt;&lt;Cite&gt;&lt;Author&gt;Australian Government Department of Health&lt;/Author&gt;&lt;Year&gt;2016&lt;/Year&gt;&lt;RecNum&gt;1067&lt;/RecNum&gt;&lt;DisplayText&gt;Australian Government Department of Health. (2016d). &lt;style face="italic"&gt;Health Care Homes Grant Guidelines 4 November 2016&lt;/style&gt;   &lt;/DisplayText&gt;&lt;record&gt;&lt;rec-number&gt;1067&lt;/rec-number&gt;&lt;foreign-keys&gt;&lt;key app="EN" db-id="zdz9xax04zr9v0evw2nvrpw9xe9ttzvs5zsv" timestamp="1536914730"&gt;1067&lt;/key&gt;&lt;/foreign-keys&gt;&lt;ref-type name="Electronic Book"&gt;44&lt;/ref-type&gt;&lt;contributors&gt;&lt;authors&gt;&lt;author&gt;Australian Government Department of Health,,&lt;/author&gt;&lt;/authors&gt;&lt;/contributors&gt;&lt;titles&gt;&lt;title&gt;Health Care Homes Grant Guidelines 4 November 2016&lt;/title&gt;&lt;/titles&gt;&lt;dates&gt;&lt;year&gt;2016&lt;/year&gt;&lt;/dates&gt;&lt;urls&gt;&lt;/urls&gt;&lt;/record&gt;&lt;/Cite&gt;&lt;/EndNote&gt;</w:instrText>
      </w:r>
      <w:r w:rsidR="00751C5B">
        <w:fldChar w:fldCharType="separate"/>
      </w:r>
      <w:r w:rsidR="002D49E8">
        <w:rPr>
          <w:noProof/>
        </w:rPr>
        <w:t xml:space="preserve">Australian Government Department of Health. (2016d). </w:t>
      </w:r>
      <w:r w:rsidR="002D49E8" w:rsidRPr="002D49E8">
        <w:rPr>
          <w:i/>
          <w:noProof/>
        </w:rPr>
        <w:t>Health Care Homes Grant Guidelines 4 November 2016</w:t>
      </w:r>
      <w:r w:rsidR="002D49E8">
        <w:rPr>
          <w:noProof/>
        </w:rPr>
        <w:t xml:space="preserve">   </w:t>
      </w:r>
      <w:r w:rsidR="00751C5B">
        <w:fldChar w:fldCharType="end"/>
      </w:r>
    </w:p>
  </w:footnote>
  <w:footnote w:id="22">
    <w:p w14:paraId="5025877C" w14:textId="6C008CAA" w:rsidR="00D14DC2" w:rsidRDefault="00D14DC2">
      <w:pPr>
        <w:pStyle w:val="FootnoteText"/>
      </w:pPr>
      <w:r w:rsidRPr="0016474D">
        <w:rPr>
          <w:rStyle w:val="FootnoteReference"/>
          <w:color w:val="408BCA"/>
        </w:rPr>
        <w:footnoteRef/>
      </w:r>
      <w:r>
        <w:t xml:space="preserve"> </w:t>
      </w:r>
      <w:r>
        <w:fldChar w:fldCharType="begin"/>
      </w:r>
      <w:r w:rsidR="00AB5AF6">
        <w:instrText xml:space="preserve"> ADDIN EN.CITE &lt;EndNote&gt;&lt;Cite&gt;&lt;Author&gt;Australian Government Department of Health&lt;/Author&gt;&lt;Year&gt;2019&lt;/Year&gt;&lt;RecNum&gt;1126&lt;/RecNum&gt;&lt;DisplayText&gt;Australian Government Department of Health. (2019b). &lt;style face="italic"&gt;Health Care Homes Handbook for general practices and Aboriginal Community Controlled Health Services Version 1.7 February 2019&lt;/style&gt;. https://www1.health.gov.au/internet/main/publishing.nsf/Content/health-care-homes-cp/$File/HCH-Handbook-Feb-2019.pdf&lt;/DisplayText&gt;&lt;record&gt;&lt;rec-number&gt;1126&lt;/rec-number&gt;&lt;foreign-keys&gt;&lt;key app="EN" db-id="zdz9xax04zr9v0evw2nvrpw9xe9ttzvs5zsv" timestamp="1570431811"&gt;1126&lt;/key&gt;&lt;/foreign-keys&gt;&lt;ref-type name="Report"&gt;27&lt;/ref-type&gt;&lt;contributors&gt;&lt;authors&gt;&lt;author&gt;Australian Government Department of Health,,&lt;/author&gt;&lt;/authors&gt;&lt;/contributors&gt;&lt;titles&gt;&lt;title&gt;Health Care Homes Handbook for general practices and Aboriginal Community Controlled Health Services Version 1.7 February 2019&lt;/title&gt;&lt;/titles&gt;&lt;dates&gt;&lt;year&gt;2019&lt;/year&gt;&lt;/dates&gt;&lt;urls&gt;&lt;related-urls&gt;&lt;url&gt;https://www1.health.gov.au/internet/main/publishing.nsf/Content/health-care-homes-cp/$File/HCH-Handbook-Feb-2019.pdf&lt;/url&gt;&lt;/related-urls&gt;&lt;/urls&gt;&lt;/record&gt;&lt;/Cite&gt;&lt;/EndNote&gt;</w:instrText>
      </w:r>
      <w:r>
        <w:fldChar w:fldCharType="separate"/>
      </w:r>
      <w:r w:rsidR="00AB5AF6">
        <w:rPr>
          <w:noProof/>
        </w:rPr>
        <w:t xml:space="preserve">Australian Government Department of Health. (2019b). </w:t>
      </w:r>
      <w:r w:rsidR="00AB5AF6" w:rsidRPr="00AB5AF6">
        <w:rPr>
          <w:i/>
          <w:noProof/>
        </w:rPr>
        <w:t>Health Care Homes Handbook for general practices and Aboriginal Community Controlled Health Services Version 1.7 February 2019</w:t>
      </w:r>
      <w:r w:rsidR="00AB5AF6">
        <w:rPr>
          <w:noProof/>
        </w:rPr>
        <w:t>. https://www1.health.gov.au/internet/main/publishing.nsf/Content/health-care-homes-cp/$File/HCH-Handbook-Feb-2019.pdf</w:t>
      </w:r>
      <w:r>
        <w:fldChar w:fldCharType="end"/>
      </w:r>
      <w:r w:rsidR="006D75FB">
        <w:t xml:space="preserve"> </w:t>
      </w:r>
      <w:r w:rsidR="00E4662B">
        <w:t xml:space="preserve">The initial versions of the Handbook was issued in </w:t>
      </w:r>
      <w:r w:rsidR="00AE1FEB">
        <w:t>2</w:t>
      </w:r>
      <w:r w:rsidR="006916C6">
        <w:t>017.</w:t>
      </w:r>
    </w:p>
  </w:footnote>
  <w:footnote w:id="23">
    <w:p w14:paraId="1655B921" w14:textId="276B0959" w:rsidR="00D14DC2" w:rsidRDefault="00D14DC2">
      <w:pPr>
        <w:pStyle w:val="FootnoteText"/>
      </w:pPr>
      <w:r w:rsidRPr="0016474D">
        <w:rPr>
          <w:rStyle w:val="FootnoteReference"/>
          <w:color w:val="408BCA"/>
        </w:rPr>
        <w:footnoteRef/>
      </w:r>
      <w:r>
        <w:t xml:space="preserve"> </w:t>
      </w:r>
      <w:r>
        <w:fldChar w:fldCharType="begin"/>
      </w:r>
      <w:r w:rsidR="002D49E8">
        <w:instrText xml:space="preserve"> ADDIN EN.CITE &lt;EndNote&gt;&lt;Cite&gt;&lt;Author&gt;Australian Government Department of Health&lt;/Author&gt;&lt;Year&gt;2017&lt;/Year&gt;&lt;RecNum&gt;1052&lt;/RecNum&gt;&lt;DisplayText&gt;Australian Government Department of Health. (2017c). &lt;style face="italic"&gt;Patient Handbook&lt;/style&gt;   https://www1.health.gov.au/internet/main/publishing.nsf/Content/health-care-homes-more-information &lt;/DisplayText&gt;&lt;record&gt;&lt;rec-number&gt;1052&lt;/rec-number&gt;&lt;foreign-keys&gt;&lt;key app="EN" db-id="zdz9xax04zr9v0evw2nvrpw9xe9ttzvs5zsv" timestamp="1536562091"&gt;1052&lt;/key&gt;&lt;/foreign-keys&gt;&lt;ref-type name="Electronic Book"&gt;44&lt;/ref-type&gt;&lt;contributors&gt;&lt;authors&gt;&lt;author&gt;Australian Government Department of Health,,&lt;/author&gt;&lt;/authors&gt;&lt;/contributors&gt;&lt;titles&gt;&lt;title&gt;Patient Handbook&lt;/title&gt;&lt;/titles&gt;&lt;dates&gt;&lt;year&gt;2017&lt;/year&gt;&lt;/dates&gt;&lt;urls&gt;&lt;related-urls&gt;&lt;url&gt;https://www1.health.gov.au/internet/main/publishing.nsf/Content/health-care-homes-more-information&lt;/url&gt;&lt;/related-urls&gt;&lt;/urls&gt;&lt;/record&gt;&lt;/Cite&gt;&lt;/EndNote&gt;</w:instrText>
      </w:r>
      <w:r>
        <w:fldChar w:fldCharType="separate"/>
      </w:r>
      <w:r w:rsidR="002D49E8">
        <w:rPr>
          <w:noProof/>
        </w:rPr>
        <w:t xml:space="preserve">Australian Government Department of Health. (2017c). </w:t>
      </w:r>
      <w:r w:rsidR="002D49E8" w:rsidRPr="002D49E8">
        <w:rPr>
          <w:i/>
          <w:noProof/>
        </w:rPr>
        <w:t>Patient Handbook</w:t>
      </w:r>
      <w:r w:rsidR="002D49E8">
        <w:rPr>
          <w:noProof/>
        </w:rPr>
        <w:t xml:space="preserve">   https://www1.health.gov.au/internet/main/publishing.nsf/Content/health-care-homes-more-information </w:t>
      </w:r>
      <w:r>
        <w:fldChar w:fldCharType="end"/>
      </w:r>
    </w:p>
  </w:footnote>
  <w:footnote w:id="24">
    <w:p w14:paraId="23EEB9F5" w14:textId="5C160803" w:rsidR="00D14DC2" w:rsidRDefault="00D14DC2">
      <w:pPr>
        <w:pStyle w:val="FootnoteText"/>
      </w:pPr>
      <w:r w:rsidRPr="0016474D">
        <w:rPr>
          <w:rStyle w:val="FootnoteReference"/>
          <w:color w:val="408BCA"/>
        </w:rPr>
        <w:footnoteRef/>
      </w:r>
      <w:r>
        <w:t xml:space="preserve"> </w:t>
      </w:r>
      <w:r>
        <w:fldChar w:fldCharType="begin"/>
      </w:r>
      <w:r>
        <w:instrText xml:space="preserve"> ADDIN EN.CITE &lt;EndNote&gt;&lt;Cite&gt;&lt;Author&gt;Australian Government Department of Health&lt;/Author&gt;&lt;Year&gt;2019&lt;/Year&gt;&lt;RecNum&gt;1125&lt;/RecNum&gt;&lt;DisplayText&gt;Australian Government Department of Health. (2019a). &lt;style face="italic"&gt;Health Care Homes—Health professionals&lt;/style&gt;. Retrieved 7/10/2019 from https://www1.health.gov.au/internet/main/publishing.nsf/Content/health-care-homes-professional&lt;/DisplayText&gt;&lt;record&gt;&lt;rec-number&gt;1125&lt;/rec-number&gt;&lt;foreign-keys&gt;&lt;key app="EN" db-id="zdz9xax04zr9v0evw2nvrpw9xe9ttzvs5zsv" timestamp="1570431690"&gt;1125&lt;/key&gt;&lt;/foreign-keys&gt;&lt;ref-type name="Web Page"&gt;12&lt;/ref-type&gt;&lt;contributors&gt;&lt;authors&gt;&lt;author&gt;Australian Government Department of Health,,&lt;/author&gt;&lt;/authors&gt;&lt;/contributors&gt;&lt;titles&gt;&lt;title&gt;Health Care Homes—Health professionals&lt;/title&gt;&lt;/titles&gt;&lt;number&gt;7/10/2019&lt;/number&gt;&lt;dates&gt;&lt;year&gt;2019&lt;/year&gt;&lt;/dates&gt;&lt;urls&gt;&lt;related-urls&gt;&lt;url&gt;https://www1.health.gov.au/internet/main/publishing.nsf/Content/health-care-homes-professional&lt;/url&gt;&lt;/related-urls&gt;&lt;/urls&gt;&lt;/record&gt;&lt;/Cite&gt;&lt;/EndNote&gt;</w:instrText>
      </w:r>
      <w:r>
        <w:fldChar w:fldCharType="separate"/>
      </w:r>
      <w:r>
        <w:rPr>
          <w:noProof/>
        </w:rPr>
        <w:t xml:space="preserve">Australian Government Department of Health. (2019a). </w:t>
      </w:r>
      <w:r w:rsidRPr="00D14DC2">
        <w:rPr>
          <w:i/>
          <w:noProof/>
        </w:rPr>
        <w:t>Health Care Homes—Health professionals</w:t>
      </w:r>
      <w:r>
        <w:rPr>
          <w:noProof/>
        </w:rPr>
        <w:t>. Retrieved 7/10/2019 from https://www1.health.gov.au/internet/main/publishing.nsf/Content/health-care-homes-professional</w:t>
      </w:r>
      <w:r>
        <w:fldChar w:fldCharType="end"/>
      </w:r>
    </w:p>
  </w:footnote>
  <w:footnote w:id="25">
    <w:p w14:paraId="75B8F76D" w14:textId="1DC30A80" w:rsidR="00D14DC2" w:rsidRDefault="00D14DC2">
      <w:pPr>
        <w:pStyle w:val="FootnoteText"/>
      </w:pPr>
      <w:r w:rsidRPr="0016474D">
        <w:rPr>
          <w:rStyle w:val="FootnoteReference"/>
          <w:color w:val="408BCA"/>
        </w:rPr>
        <w:footnoteRef/>
      </w:r>
      <w:r>
        <w:t xml:space="preserve"> </w:t>
      </w:r>
      <w:r>
        <w:fldChar w:fldCharType="begin"/>
      </w:r>
      <w:r w:rsidR="002D49E8">
        <w:instrText xml:space="preserve"> ADDIN EN.CITE &lt;EndNote&gt;&lt;Cite&gt;&lt;Author&gt;Australian Government Department of Health&lt;/Author&gt;&lt;Year&gt;2016&lt;/Year&gt;&lt;RecNum&gt;1067&lt;/RecNum&gt;&lt;Pages&gt;3&lt;/Pages&gt;&lt;DisplayText&gt;Australian Government Department of Health. (2016d). &lt;style face="italic"&gt;Health Care Homes Grant Guidelines 4 November 2016&lt;/style&gt;   &lt;/DisplayText&gt;&lt;record&gt;&lt;rec-number&gt;1067&lt;/rec-number&gt;&lt;foreign-keys&gt;&lt;key app="EN" db-id="zdz9xax04zr9v0evw2nvrpw9xe9ttzvs5zsv" timestamp="1536914730"&gt;1067&lt;/key&gt;&lt;/foreign-keys&gt;&lt;ref-type name="Electronic Book"&gt;44&lt;/ref-type&gt;&lt;contributors&gt;&lt;authors&gt;&lt;author&gt;Australian Government Department of Health,,&lt;/author&gt;&lt;/authors&gt;&lt;/contributors&gt;&lt;titles&gt;&lt;title&gt;Health Care Homes Grant Guidelines 4 November 2016&lt;/title&gt;&lt;/titles&gt;&lt;dates&gt;&lt;year&gt;2016&lt;/year&gt;&lt;/dates&gt;&lt;urls&gt;&lt;/urls&gt;&lt;/record&gt;&lt;/Cite&gt;&lt;/EndNote&gt;</w:instrText>
      </w:r>
      <w:r>
        <w:fldChar w:fldCharType="separate"/>
      </w:r>
      <w:r w:rsidR="002D49E8">
        <w:rPr>
          <w:noProof/>
        </w:rPr>
        <w:t xml:space="preserve">Australian Government Department of Health. (2016d). </w:t>
      </w:r>
      <w:r w:rsidR="002D49E8" w:rsidRPr="002D49E8">
        <w:rPr>
          <w:i/>
          <w:noProof/>
        </w:rPr>
        <w:t>Health Care Homes Grant Guidelines 4 November 2016</w:t>
      </w:r>
      <w:r w:rsidR="002D49E8">
        <w:rPr>
          <w:noProof/>
        </w:rPr>
        <w:t xml:space="preserve">   </w:t>
      </w:r>
      <w:r>
        <w:fldChar w:fldCharType="end"/>
      </w:r>
    </w:p>
  </w:footnote>
  <w:footnote w:id="26">
    <w:p w14:paraId="7D8E439D" w14:textId="4064B77A" w:rsidR="00D14DC2" w:rsidRDefault="00D14DC2">
      <w:pPr>
        <w:pStyle w:val="FootnoteText"/>
      </w:pPr>
      <w:r w:rsidRPr="0016474D">
        <w:rPr>
          <w:rStyle w:val="FootnoteReference"/>
          <w:color w:val="408BCA"/>
        </w:rPr>
        <w:footnoteRef/>
      </w:r>
      <w:r>
        <w:t xml:space="preserve"> </w:t>
      </w:r>
      <w:r>
        <w:fldChar w:fldCharType="begin"/>
      </w:r>
      <w:r>
        <w:instrText xml:space="preserve"> ADDIN EN.CITE &lt;EndNote&gt;&lt;Cite&gt;&lt;Author&gt;Australian Government Department of Health&lt;/Author&gt;&lt;Year&gt;2016&lt;/Year&gt;&lt;RecNum&gt;1067&lt;/RecNum&gt;&lt;DisplayText&gt;Ibid.&lt;/DisplayText&gt;&lt;record&gt;&lt;rec-number&gt;1067&lt;/rec-number&gt;&lt;foreign-keys&gt;&lt;key app="EN" db-id="zdz9xax04zr9v0evw2nvrpw9xe9ttzvs5zsv" timestamp="1536914730"&gt;1067&lt;/key&gt;&lt;/foreign-keys&gt;&lt;ref-type name="Electronic Book"&gt;44&lt;/ref-type&gt;&lt;contributors&gt;&lt;authors&gt;&lt;author&gt;Australian Government Department of Health,,&lt;/author&gt;&lt;/authors&gt;&lt;/contributors&gt;&lt;titles&gt;&lt;title&gt;Health Care Homes Grant Guidelines 4 November 2016&lt;/title&gt;&lt;/titles&gt;&lt;dates&gt;&lt;year&gt;2016&lt;/year&gt;&lt;/dates&gt;&lt;urls&gt;&lt;/urls&gt;&lt;/record&gt;&lt;/Cite&gt;&lt;/EndNote&gt;</w:instrText>
      </w:r>
      <w:r>
        <w:fldChar w:fldCharType="separate"/>
      </w:r>
      <w:r>
        <w:rPr>
          <w:noProof/>
        </w:rPr>
        <w:t>Ibid.</w:t>
      </w:r>
      <w:r>
        <w:fldChar w:fldCharType="end"/>
      </w:r>
    </w:p>
  </w:footnote>
  <w:footnote w:id="27">
    <w:p w14:paraId="45ABA3EF" w14:textId="5C56D4D4" w:rsidR="00D14DC2" w:rsidRDefault="00D14DC2">
      <w:pPr>
        <w:pStyle w:val="FootnoteText"/>
      </w:pPr>
      <w:r w:rsidRPr="0016474D">
        <w:rPr>
          <w:rStyle w:val="FootnoteReference"/>
          <w:color w:val="408BCA"/>
        </w:rPr>
        <w:footnoteRef/>
      </w:r>
      <w:r>
        <w:t xml:space="preserve"> </w:t>
      </w:r>
      <w:r>
        <w:fldChar w:fldCharType="begin"/>
      </w:r>
      <w:r w:rsidR="002D49E8">
        <w:instrText xml:space="preserve"> ADDIN EN.CITE &lt;EndNote&gt;&lt;Cite&gt;&lt;Author&gt;Australian Government Department of Health&lt;/Author&gt;&lt;Year&gt;2016&lt;/Year&gt;&lt;RecNum&gt;519&lt;/RecNum&gt;&lt;DisplayText&gt;Australian Government Department of Health. (2016b). &lt;style face="italic"&gt;Factsheet: Stage one modelling&lt;/style&gt;   http://www.health.gov.au/internet/main/publishing.nsf/Content/health-care-homes &lt;/DisplayText&gt;&lt;record&gt;&lt;rec-number&gt;519&lt;/rec-number&gt;&lt;foreign-keys&gt;&lt;key app="EN" db-id="zdz9xax04zr9v0evw2nvrpw9xe9ttzvs5zsv" timestamp="1485909718"&gt;519&lt;/key&gt;&lt;/foreign-keys&gt;&lt;ref-type name="Electronic Book"&gt;44&lt;/ref-type&gt;&lt;contributors&gt;&lt;authors&gt;&lt;author&gt;Australian Government Department of Health,,&lt;/author&gt;&lt;/authors&gt;&lt;/contributors&gt;&lt;titles&gt;&lt;title&gt;Factsheet: Stage one modelling&lt;/title&gt;&lt;/titles&gt;&lt;dates&gt;&lt;year&gt;2016&lt;/year&gt;&lt;/dates&gt;&lt;urls&gt;&lt;related-urls&gt;&lt;url&gt;http://www.health.gov.au/internet/main/publishing.nsf/Content/health-care-homes&lt;/url&gt;&lt;/related-urls&gt;&lt;/urls&gt;&lt;custom2&gt;01/02/2017&lt;/custom2&gt;&lt;/record&gt;&lt;/Cite&gt;&lt;/EndNote&gt;</w:instrText>
      </w:r>
      <w:r>
        <w:fldChar w:fldCharType="separate"/>
      </w:r>
      <w:r w:rsidR="002D49E8">
        <w:rPr>
          <w:noProof/>
        </w:rPr>
        <w:t xml:space="preserve">Australian Government Department of Health. (2016b). </w:t>
      </w:r>
      <w:r w:rsidR="002D49E8" w:rsidRPr="002D49E8">
        <w:rPr>
          <w:i/>
          <w:noProof/>
        </w:rPr>
        <w:t>Factsheet: Stage one modelling</w:t>
      </w:r>
      <w:r w:rsidR="002D49E8">
        <w:rPr>
          <w:noProof/>
        </w:rPr>
        <w:t xml:space="preserve">   http://www.health.gov.au/internet/main/publishing.nsf/Content/health-care-homes </w:t>
      </w:r>
      <w:r>
        <w:fldChar w:fldCharType="end"/>
      </w:r>
    </w:p>
  </w:footnote>
  <w:footnote w:id="28">
    <w:p w14:paraId="6B05AB31" w14:textId="6D9B5D65" w:rsidR="00D14DC2" w:rsidRDefault="00D14DC2">
      <w:pPr>
        <w:pStyle w:val="FootnoteText"/>
      </w:pPr>
      <w:r w:rsidRPr="0016474D">
        <w:rPr>
          <w:rStyle w:val="FootnoteReference"/>
          <w:color w:val="408BCA"/>
        </w:rPr>
        <w:footnoteRef/>
      </w:r>
      <w:r>
        <w:t xml:space="preserve"> </w:t>
      </w:r>
      <w:r w:rsidRPr="00A032F3">
        <w:fldChar w:fldCharType="begin"/>
      </w:r>
      <w:r w:rsidR="002D49E8">
        <w:instrText xml:space="preserve"> ADDIN EN.CITE &lt;EndNote&gt;&lt;Cite AuthorYear="1"&gt;&lt;Author&gt;Australian Government Department of Health&lt;/Author&gt;&lt;Year&gt;2018&lt;/Year&gt;&lt;RecNum&gt;1034&lt;/RecNum&gt;&lt;DisplayText&gt;Australian Government Department of Health. (2018d). &lt;style face="italic"&gt;Health Care Homes Handbook for general practices and Aboriginal Community Controlled Health Services Version 1.4 August 2018&lt;/style&gt;   &lt;/DisplayText&gt;&lt;record&gt;&lt;rec-number&gt;1034&lt;/rec-number&gt;&lt;foreign-keys&gt;&lt;key app="EN" db-id="zdz9xax04zr9v0evw2nvrpw9xe9ttzvs5zsv" timestamp="1535530581"&gt;1034&lt;/key&gt;&lt;/foreign-keys&gt;&lt;ref-type name="Electronic Book"&gt;44&lt;/ref-type&gt;&lt;contributors&gt;&lt;authors&gt;&lt;author&gt;Australian Government Department of Health,,&lt;/author&gt;&lt;/authors&gt;&lt;/contributors&gt;&lt;titles&gt;&lt;title&gt;Health Care Homes Handbook for general practices and Aboriginal Community Controlled Health Services Version 1.4 August 2018&lt;/title&gt;&lt;/titles&gt;&lt;dates&gt;&lt;year&gt;2018&lt;/year&gt;&lt;/dates&gt;&lt;urls&gt;&lt;/urls&gt;&lt;/record&gt;&lt;/Cite&gt;&lt;/EndNote&gt;</w:instrText>
      </w:r>
      <w:r w:rsidRPr="00A032F3">
        <w:fldChar w:fldCharType="separate"/>
      </w:r>
      <w:r w:rsidR="002D49E8">
        <w:rPr>
          <w:noProof/>
        </w:rPr>
        <w:t xml:space="preserve">Australian Government Department of Health. (2018d). </w:t>
      </w:r>
      <w:r w:rsidR="002D49E8" w:rsidRPr="002D49E8">
        <w:rPr>
          <w:i/>
          <w:noProof/>
        </w:rPr>
        <w:t>Health Care Homes Handbook for general practices and Aboriginal Community Controlled Health Services Version 1.4 August 2018</w:t>
      </w:r>
      <w:r w:rsidR="002D49E8">
        <w:rPr>
          <w:noProof/>
        </w:rPr>
        <w:t xml:space="preserve">   </w:t>
      </w:r>
      <w:r w:rsidRPr="00A032F3">
        <w:fldChar w:fldCharType="end"/>
      </w:r>
      <w:r>
        <w:t>.</w:t>
      </w:r>
    </w:p>
  </w:footnote>
  <w:footnote w:id="29">
    <w:p w14:paraId="593C5566" w14:textId="2740042C" w:rsidR="00C25967" w:rsidRPr="00444CD9" w:rsidRDefault="00C25967" w:rsidP="00E6260A">
      <w:pPr>
        <w:spacing w:after="0"/>
        <w:rPr>
          <w:i/>
        </w:rPr>
      </w:pPr>
      <w:r w:rsidRPr="0016474D">
        <w:rPr>
          <w:rStyle w:val="FootnoteReference"/>
          <w:color w:val="408BCA"/>
        </w:rPr>
        <w:footnoteRef/>
      </w:r>
      <w:r>
        <w:t xml:space="preserve"> </w:t>
      </w:r>
      <w:r w:rsidR="00444CD9" w:rsidRPr="00E6260A">
        <w:rPr>
          <w:i/>
          <w:sz w:val="18"/>
          <w:szCs w:val="18"/>
        </w:rPr>
        <w:fldChar w:fldCharType="begin"/>
      </w:r>
      <w:r w:rsidR="0015206C">
        <w:rPr>
          <w:i/>
          <w:sz w:val="18"/>
          <w:szCs w:val="18"/>
        </w:rPr>
        <w:instrText xml:space="preserve"> ADDIN EN.CITE &lt;EndNote&gt;&lt;Cite AuthorYear="1"&gt;&lt;Author&gt;Australian Government Department of Health&lt;/Author&gt;&lt;Year&gt;2018&lt;/Year&gt;&lt;RecNum&gt;1034&lt;/RecNum&gt;&lt;Pages&gt;20&lt;/Pages&gt;&lt;DisplayText&gt;Ibid.&lt;/DisplayText&gt;&lt;record&gt;&lt;rec-number&gt;1034&lt;/rec-number&gt;&lt;foreign-keys&gt;&lt;key app="EN" db-id="zdz9xax04zr9v0evw2nvrpw9xe9ttzvs5zsv" timestamp="1535530581"&gt;1034&lt;/key&gt;&lt;/foreign-keys&gt;&lt;ref-type name="Electronic Book"&gt;44&lt;/ref-type&gt;&lt;contributors&gt;&lt;authors&gt;&lt;author&gt;Australian Government Department of Health,,&lt;/author&gt;&lt;/authors&gt;&lt;/contributors&gt;&lt;titles&gt;&lt;title&gt;Health Care Homes Handbook for general practices and Aboriginal Community Controlled Health Services Version 1.4 August 2018&lt;/title&gt;&lt;/titles&gt;&lt;dates&gt;&lt;year&gt;2018&lt;/year&gt;&lt;/dates&gt;&lt;urls&gt;&lt;/urls&gt;&lt;/record&gt;&lt;/Cite&gt;&lt;/EndNote&gt;</w:instrText>
      </w:r>
      <w:r w:rsidR="00444CD9" w:rsidRPr="00E6260A">
        <w:rPr>
          <w:i/>
          <w:sz w:val="18"/>
          <w:szCs w:val="18"/>
        </w:rPr>
        <w:fldChar w:fldCharType="separate"/>
      </w:r>
      <w:r w:rsidR="00263FDE">
        <w:rPr>
          <w:i/>
          <w:noProof/>
          <w:sz w:val="18"/>
          <w:szCs w:val="18"/>
        </w:rPr>
        <w:t>Ibid.</w:t>
      </w:r>
      <w:r w:rsidR="00444CD9" w:rsidRPr="00E6260A">
        <w:rPr>
          <w:i/>
          <w:sz w:val="18"/>
          <w:szCs w:val="18"/>
        </w:rPr>
        <w:fldChar w:fldCharType="end"/>
      </w:r>
    </w:p>
  </w:footnote>
  <w:footnote w:id="30">
    <w:p w14:paraId="477A255C" w14:textId="0154778B" w:rsidR="00E6260A" w:rsidRDefault="00E6260A">
      <w:pPr>
        <w:pStyle w:val="FootnoteText"/>
      </w:pPr>
      <w:r w:rsidRPr="0016474D">
        <w:rPr>
          <w:rStyle w:val="FootnoteReference"/>
          <w:color w:val="408BCA"/>
        </w:rPr>
        <w:footnoteRef/>
      </w:r>
      <w:r>
        <w:t xml:space="preserve"> </w:t>
      </w:r>
      <w:r w:rsidRPr="00E25816">
        <w:fldChar w:fldCharType="begin"/>
      </w:r>
      <w:r w:rsidR="00482D9C">
        <w:instrText xml:space="preserve"> ADDIN EN.CITE &lt;EndNote&gt;&lt;Cite&gt;&lt;Author&gt;Australian Government Department of Health&lt;/Author&gt;&lt;Year&gt;2018&lt;/Year&gt;&lt;RecNum&gt;1058&lt;/RecNum&gt;&lt;DisplayText&gt;Australian Government Department of Health. (2018c). &lt;style face="italic"&gt;Health Care Homes Clinical Reference Group Q&amp;amp;As&lt;/style&gt;. &lt;/DisplayText&gt;&lt;record&gt;&lt;rec-number&gt;1058&lt;/rec-number&gt;&lt;foreign-keys&gt;&lt;key app="EN" db-id="zdz9xax04zr9v0evw2nvrpw9xe9ttzvs5zsv" timestamp="1536719165"&gt;1058&lt;/key&gt;&lt;/foreign-keys&gt;&lt;ref-type name="Unpublished Work"&gt;34&lt;/ref-type&gt;&lt;contributors&gt;&lt;authors&gt;&lt;author&gt;Australian Government Department of Health,,&lt;/author&gt;&lt;/authors&gt;&lt;/contributors&gt;&lt;titles&gt;&lt;title&gt;Health Care Homes Clinical Reference Group Q&amp;amp;As&lt;/title&gt;&lt;/titles&gt;&lt;dates&gt;&lt;year&gt;2018&lt;/year&gt;&lt;/dates&gt;&lt;urls&gt;&lt;/urls&gt;&lt;/record&gt;&lt;/Cite&gt;&lt;/EndNote&gt;</w:instrText>
      </w:r>
      <w:r w:rsidRPr="00E25816">
        <w:fldChar w:fldCharType="separate"/>
      </w:r>
      <w:r w:rsidR="00482D9C">
        <w:rPr>
          <w:noProof/>
        </w:rPr>
        <w:t xml:space="preserve">Australian Government Department of Health. (2018c). </w:t>
      </w:r>
      <w:r w:rsidR="00482D9C" w:rsidRPr="00482D9C">
        <w:rPr>
          <w:i/>
          <w:noProof/>
        </w:rPr>
        <w:t>Health Care Homes Clinical Reference Group Q&amp;As</w:t>
      </w:r>
      <w:r w:rsidR="00482D9C">
        <w:rPr>
          <w:noProof/>
        </w:rPr>
        <w:t xml:space="preserve">. </w:t>
      </w:r>
      <w:r w:rsidRPr="00E25816">
        <w:fldChar w:fldCharType="end"/>
      </w:r>
    </w:p>
  </w:footnote>
  <w:footnote w:id="31">
    <w:p w14:paraId="149650DB" w14:textId="260B61E1" w:rsidR="00E6260A" w:rsidRDefault="00E6260A">
      <w:pPr>
        <w:pStyle w:val="FootnoteText"/>
      </w:pPr>
      <w:r w:rsidRPr="0016474D">
        <w:rPr>
          <w:rStyle w:val="FootnoteReference"/>
          <w:color w:val="408BCA"/>
        </w:rPr>
        <w:footnoteRef/>
      </w:r>
      <w:r>
        <w:t xml:space="preserve"> </w:t>
      </w:r>
      <w:r w:rsidRPr="00C0191F">
        <w:fldChar w:fldCharType="begin"/>
      </w:r>
      <w:r w:rsidR="002D49E8">
        <w:instrText xml:space="preserve"> ADDIN EN.CITE &lt;EndNote&gt;&lt;Cite&gt;&lt;Author&gt;Australian Government Department of Health&lt;/Author&gt;&lt;Year&gt;2017&lt;/Year&gt;&lt;RecNum&gt;1053&lt;/RecNum&gt;&lt;DisplayText&gt;Australian Government Department of Health. (2017a). &lt;style face="italic"&gt;Health Care Homes Patient Information Statement&lt;/style&gt;   https://www1.health.gov.au/internet/main/publishing.nsf/Content/C6EB6F07C8F62954CA2581A90009CA75/$File/HCH%20Patient%20Consent%20Form%20-%20October%202018.pdf &lt;/DisplayText&gt;&lt;record&gt;&lt;rec-number&gt;1053&lt;/rec-number&gt;&lt;foreign-keys&gt;&lt;key app="EN" db-id="zdz9xax04zr9v0evw2nvrpw9xe9ttzvs5zsv" timestamp="1536562972"&gt;1053&lt;/key&gt;&lt;/foreign-keys&gt;&lt;ref-type name="Electronic Book"&gt;44&lt;/ref-type&gt;&lt;contributors&gt;&lt;authors&gt;&lt;author&gt;Australian Government Department of Health,,&lt;/author&gt;&lt;/authors&gt;&lt;/contributors&gt;&lt;titles&gt;&lt;title&gt;Health Care Homes Patient Information Statement&lt;/title&gt;&lt;/titles&gt;&lt;dates&gt;&lt;year&gt;2017&lt;/year&gt;&lt;/dates&gt;&lt;urls&gt;&lt;related-urls&gt;&lt;url&gt;https://www1.health.gov.au/internet/main/publishing.nsf/Content/C6EB6F07C8F62954CA2581A90009CA75/$File/HCH%20Patient%20Consent%20Form%20-%20October%202018.pdf&lt;/url&gt;&lt;/related-urls&gt;&lt;/urls&gt;&lt;/record&gt;&lt;/Cite&gt;&lt;/EndNote&gt;</w:instrText>
      </w:r>
      <w:r w:rsidRPr="00C0191F">
        <w:fldChar w:fldCharType="separate"/>
      </w:r>
      <w:r w:rsidR="002D49E8">
        <w:rPr>
          <w:noProof/>
        </w:rPr>
        <w:t xml:space="preserve">Australian Government Department of Health. (2017a). </w:t>
      </w:r>
      <w:r w:rsidR="002D49E8" w:rsidRPr="002D49E8">
        <w:rPr>
          <w:i/>
          <w:noProof/>
        </w:rPr>
        <w:t>Health Care Homes Patient Information Statement</w:t>
      </w:r>
      <w:r w:rsidR="002D49E8">
        <w:rPr>
          <w:noProof/>
        </w:rPr>
        <w:t xml:space="preserve">   https://www1.health.gov.au/internet/main/publishing.nsf/Content/C6EB6F07C8F62954CA2581A90009CA75/$File/HCH%20Patient%20Consent%20Form%20-%20October%202018.pdf </w:t>
      </w:r>
      <w:r w:rsidRPr="00C0191F">
        <w:fldChar w:fldCharType="end"/>
      </w:r>
    </w:p>
  </w:footnote>
  <w:footnote w:id="32">
    <w:p w14:paraId="7E03F73F" w14:textId="7938CBC7" w:rsidR="00364D86" w:rsidRDefault="00364D86">
      <w:pPr>
        <w:pStyle w:val="FootnoteText"/>
      </w:pPr>
      <w:r w:rsidRPr="0016474D">
        <w:rPr>
          <w:rStyle w:val="FootnoteReference"/>
          <w:color w:val="408BCA"/>
        </w:rPr>
        <w:footnoteRef/>
      </w:r>
      <w:r>
        <w:t xml:space="preserve"> </w:t>
      </w:r>
      <w:r w:rsidRPr="00C0191F">
        <w:rPr>
          <w:rFonts w:cs="Tahoma"/>
        </w:rPr>
        <w:fldChar w:fldCharType="begin"/>
      </w:r>
      <w:r w:rsidR="002617BC">
        <w:rPr>
          <w:rFonts w:cs="Tahoma"/>
        </w:rPr>
        <w:instrText xml:space="preserve"> ADDIN EN.CITE &lt;EndNote&gt;&lt;Cite&gt;&lt;Author&gt;Australian Government Department of Health&lt;/Author&gt;&lt;Year&gt;2018&lt;/Year&gt;&lt;RecNum&gt;1064&lt;/RecNum&gt;&lt;Pages&gt;8&lt;/Pages&gt;&lt;DisplayText&gt;Australian Government Department of Health. (2018b). &lt;style face="italic"&gt;Health Care Home Funding Assurance Toolkit March 2018&lt;/style&gt;. https://www1.health.gov.au/internet/main/publishing.nsf/Content/health-care-homes-assurance-compliance&lt;/DisplayText&gt;&lt;record&gt;&lt;rec-number&gt;1064&lt;/rec-number&gt;&lt;foreign-keys&gt;&lt;key app="EN" db-id="zdz9xax04zr9v0evw2nvrpw9xe9ttzvs5zsv" timestamp="1536891525"&gt;1064&lt;/key&gt;&lt;/foreign-keys&gt;&lt;ref-type name="Report"&gt;27&lt;/ref-type&gt;&lt;contributors&gt;&lt;authors&gt;&lt;author&gt;Australian Government Department of Health,,&lt;/author&gt;&lt;/authors&gt;&lt;/contributors&gt;&lt;titles&gt;&lt;title&gt;Health Care Home Funding Assurance Toolkit March 2018&lt;/title&gt;&lt;/titles&gt;&lt;dates&gt;&lt;year&gt;2018&lt;/year&gt;&lt;/dates&gt;&lt;pub-location&gt;Canberra&lt;/pub-location&gt;&lt;urls&gt;&lt;related-urls&gt;&lt;url&gt;https://www1.health.gov.au/internet/main/publishing.nsf/Content/health-care-homes-assurance-compliance&lt;/url&gt;&lt;/related-urls&gt;&lt;/urls&gt;&lt;/record&gt;&lt;/Cite&gt;&lt;/EndNote&gt;</w:instrText>
      </w:r>
      <w:r w:rsidRPr="00C0191F">
        <w:rPr>
          <w:rFonts w:cs="Tahoma"/>
        </w:rPr>
        <w:fldChar w:fldCharType="separate"/>
      </w:r>
      <w:r w:rsidR="002617BC">
        <w:rPr>
          <w:rFonts w:cs="Tahoma"/>
          <w:noProof/>
        </w:rPr>
        <w:t xml:space="preserve">Australian Government Department of Health. (2018b). </w:t>
      </w:r>
      <w:r w:rsidR="002617BC" w:rsidRPr="002617BC">
        <w:rPr>
          <w:rFonts w:cs="Tahoma"/>
          <w:i/>
          <w:noProof/>
        </w:rPr>
        <w:t>Health Care Home Funding Assurance Toolkit March 2018</w:t>
      </w:r>
      <w:r w:rsidR="002617BC">
        <w:rPr>
          <w:rFonts w:cs="Tahoma"/>
          <w:noProof/>
        </w:rPr>
        <w:t>. https://www1.health.gov.au/internet/main/publishing.nsf/Content/health-care-homes-assurance-compliance</w:t>
      </w:r>
      <w:r w:rsidRPr="00C0191F">
        <w:rPr>
          <w:rFonts w:cs="Tahoma"/>
        </w:rPr>
        <w:fldChar w:fldCharType="end"/>
      </w:r>
    </w:p>
  </w:footnote>
  <w:footnote w:id="33">
    <w:p w14:paraId="68CAA2D5" w14:textId="5B039B46" w:rsidR="00782AC7" w:rsidRDefault="00782AC7">
      <w:pPr>
        <w:pStyle w:val="FootnoteText"/>
      </w:pPr>
      <w:r w:rsidRPr="005134A0">
        <w:rPr>
          <w:rStyle w:val="FootnoteReference"/>
          <w:color w:val="408BCA"/>
        </w:rPr>
        <w:footnoteRef/>
      </w:r>
      <w:r>
        <w:t xml:space="preserve"> </w:t>
      </w:r>
      <w:hyperlink r:id="rId1" w:history="1">
        <w:r w:rsidRPr="0046648E">
          <w:rPr>
            <w:rStyle w:val="Hyperlink"/>
          </w:rPr>
          <w:t>http://www.health.gov.au/internet/main/publishing.nsf/Content/health-care-homes-professional</w:t>
        </w:r>
      </w:hyperlink>
    </w:p>
  </w:footnote>
  <w:footnote w:id="34">
    <w:p w14:paraId="70AD10CC" w14:textId="3468A692" w:rsidR="00782AC7" w:rsidRDefault="00782AC7">
      <w:pPr>
        <w:pStyle w:val="FootnoteText"/>
      </w:pPr>
      <w:r w:rsidRPr="005134A0">
        <w:rPr>
          <w:rStyle w:val="FootnoteReference"/>
          <w:color w:val="408BCA"/>
        </w:rPr>
        <w:footnoteRef/>
      </w:r>
      <w:r>
        <w:t xml:space="preserve"> </w:t>
      </w:r>
      <w:hyperlink r:id="rId2" w:history="1">
        <w:r w:rsidR="00AB33FA" w:rsidRPr="00603158">
          <w:rPr>
            <w:rStyle w:val="Hyperlink"/>
          </w:rPr>
          <w:t>http://www.health.gov.au/internet/main/publishing.nsf/Content/health-care-homes-information</w:t>
        </w:r>
      </w:hyperlink>
    </w:p>
  </w:footnote>
  <w:footnote w:id="35">
    <w:p w14:paraId="04229F12" w14:textId="2DCAF639" w:rsidR="00782AC7" w:rsidRDefault="00782AC7">
      <w:pPr>
        <w:pStyle w:val="FootnoteText"/>
      </w:pPr>
      <w:r w:rsidRPr="005134A0">
        <w:rPr>
          <w:rStyle w:val="FootnoteReference"/>
          <w:color w:val="408BCA"/>
        </w:rPr>
        <w:footnoteRef/>
      </w:r>
      <w:r>
        <w:t xml:space="preserve"> </w:t>
      </w:r>
      <w:hyperlink r:id="rId3" w:history="1">
        <w:r w:rsidR="00AB33FA" w:rsidRPr="00603158">
          <w:rPr>
            <w:rStyle w:val="Hyperlink"/>
          </w:rPr>
          <w:t>http://www.health.gov.au/internet/main/publishing.nsf/Content/health-care-homes-resources</w:t>
        </w:r>
      </w:hyperlink>
    </w:p>
  </w:footnote>
  <w:footnote w:id="36">
    <w:p w14:paraId="35BB2D25" w14:textId="5E54B19C" w:rsidR="00782AC7" w:rsidRDefault="00782AC7">
      <w:pPr>
        <w:pStyle w:val="FootnoteText"/>
      </w:pPr>
      <w:r w:rsidRPr="005134A0">
        <w:rPr>
          <w:rStyle w:val="FootnoteReference"/>
          <w:color w:val="408BCA"/>
        </w:rPr>
        <w:footnoteRef/>
      </w:r>
      <w:r>
        <w:t xml:space="preserve"> </w:t>
      </w:r>
      <w:hyperlink r:id="rId4" w:history="1">
        <w:r w:rsidR="0030775E" w:rsidRPr="00603158">
          <w:rPr>
            <w:rStyle w:val="Hyperlink"/>
          </w:rPr>
          <w:t>http://www.health.gov.au/internet/main/publishing.nsf/Content/health-care-homes</w:t>
        </w:r>
      </w:hyperlink>
    </w:p>
  </w:footnote>
  <w:footnote w:id="37">
    <w:p w14:paraId="480DC2DB" w14:textId="55082F0C" w:rsidR="00364D86" w:rsidRDefault="00364D86">
      <w:pPr>
        <w:pStyle w:val="FootnoteText"/>
      </w:pPr>
      <w:r w:rsidRPr="0016474D">
        <w:rPr>
          <w:rStyle w:val="FootnoteReference"/>
          <w:color w:val="408BCA"/>
        </w:rPr>
        <w:footnoteRef/>
      </w:r>
      <w:r>
        <w:t xml:space="preserve"> </w:t>
      </w:r>
      <w:r w:rsidRPr="00657A5E">
        <w:fldChar w:fldCharType="begin"/>
      </w:r>
      <w:r w:rsidR="002617BC">
        <w:instrText xml:space="preserve"> ADDIN EN.CITE &lt;EndNote&gt;&lt;Cite&gt;&lt;Author&gt;Australian Government Department of Health&lt;/Author&gt;&lt;Year&gt;2018&lt;/Year&gt;&lt;RecNum&gt;1064&lt;/RecNum&gt;&lt;DisplayText&gt;Australian Government Department of Health. (2018b). &lt;style face="italic"&gt;Health Care Home Funding Assurance Toolkit March 2018&lt;/style&gt;. https://www1.health.gov.au/internet/main/publishing.nsf/Content/health-care-homes-assurance-compliance&lt;/DisplayText&gt;&lt;record&gt;&lt;rec-number&gt;1064&lt;/rec-number&gt;&lt;foreign-keys&gt;&lt;key app="EN" db-id="zdz9xax04zr9v0evw2nvrpw9xe9ttzvs5zsv" timestamp="1536891525"&gt;1064&lt;/key&gt;&lt;/foreign-keys&gt;&lt;ref-type name="Report"&gt;27&lt;/ref-type&gt;&lt;contributors&gt;&lt;authors&gt;&lt;author&gt;Australian Government Department of Health,,&lt;/author&gt;&lt;/authors&gt;&lt;/contributors&gt;&lt;titles&gt;&lt;title&gt;Health Care Home Funding Assurance Toolkit March 2018&lt;/title&gt;&lt;/titles&gt;&lt;dates&gt;&lt;year&gt;2018&lt;/year&gt;&lt;/dates&gt;&lt;pub-location&gt;Canberra&lt;/pub-location&gt;&lt;urls&gt;&lt;related-urls&gt;&lt;url&gt;https://www1.health.gov.au/internet/main/publishing.nsf/Content/health-care-homes-assurance-compliance&lt;/url&gt;&lt;/related-urls&gt;&lt;/urls&gt;&lt;/record&gt;&lt;/Cite&gt;&lt;/EndNote&gt;</w:instrText>
      </w:r>
      <w:r w:rsidRPr="00657A5E">
        <w:fldChar w:fldCharType="separate"/>
      </w:r>
      <w:r w:rsidR="002617BC">
        <w:rPr>
          <w:noProof/>
        </w:rPr>
        <w:t xml:space="preserve">Australian Government Department of Health. (2018b). </w:t>
      </w:r>
      <w:r w:rsidR="002617BC" w:rsidRPr="002617BC">
        <w:rPr>
          <w:i/>
          <w:noProof/>
        </w:rPr>
        <w:t>Health Care Home Funding Assurance Toolkit March 2018</w:t>
      </w:r>
      <w:r w:rsidR="002617BC">
        <w:rPr>
          <w:noProof/>
        </w:rPr>
        <w:t>. https://www1.health.gov.au/internet/main/publishing.nsf/Content/health-care-homes-assurance-compliance</w:t>
      </w:r>
      <w:r w:rsidRPr="00657A5E">
        <w:fldChar w:fldCharType="end"/>
      </w:r>
    </w:p>
  </w:footnote>
  <w:footnote w:id="38">
    <w:p w14:paraId="411BDFA5" w14:textId="1257471B" w:rsidR="00364D86" w:rsidRDefault="00364D86">
      <w:pPr>
        <w:pStyle w:val="FootnoteText"/>
      </w:pPr>
      <w:r w:rsidRPr="0016474D">
        <w:rPr>
          <w:rStyle w:val="FootnoteReference"/>
          <w:color w:val="408BCA"/>
        </w:rPr>
        <w:footnoteRef/>
      </w:r>
      <w:r>
        <w:t xml:space="preserve"> </w:t>
      </w:r>
      <w:r>
        <w:fldChar w:fldCharType="begin"/>
      </w:r>
      <w:r w:rsidR="002D49E8">
        <w:instrText xml:space="preserve"> ADDIN EN.CITE &lt;EndNote&gt;&lt;Cite&gt;&lt;Author&gt;Australian Government Department of Health&lt;/Author&gt;&lt;Year&gt;2018&lt;/Year&gt;&lt;RecNum&gt;1034&lt;/RecNum&gt;&lt;DisplayText&gt;Australian Government Department of Health. (2018d). &lt;style face="italic"&gt;Health Care Homes Handbook for general practices and Aboriginal Community Controlled Health Services Version 1.4 August 2018&lt;/style&gt;   &lt;/DisplayText&gt;&lt;record&gt;&lt;rec-number&gt;1034&lt;/rec-number&gt;&lt;foreign-keys&gt;&lt;key app="EN" db-id="zdz9xax04zr9v0evw2nvrpw9xe9ttzvs5zsv" timestamp="1535530581"&gt;1034&lt;/key&gt;&lt;/foreign-keys&gt;&lt;ref-type name="Electronic Book"&gt;44&lt;/ref-type&gt;&lt;contributors&gt;&lt;authors&gt;&lt;author&gt;Australian Government Department of Health,,&lt;/author&gt;&lt;/authors&gt;&lt;/contributors&gt;&lt;titles&gt;&lt;title&gt;Health Care Homes Handbook for general practices and Aboriginal Community Controlled Health Services Version 1.4 August 2018&lt;/title&gt;&lt;/titles&gt;&lt;dates&gt;&lt;year&gt;2018&lt;/year&gt;&lt;/dates&gt;&lt;urls&gt;&lt;/urls&gt;&lt;/record&gt;&lt;/Cite&gt;&lt;/EndNote&gt;</w:instrText>
      </w:r>
      <w:r>
        <w:fldChar w:fldCharType="separate"/>
      </w:r>
      <w:r w:rsidR="002D49E8">
        <w:rPr>
          <w:noProof/>
        </w:rPr>
        <w:t xml:space="preserve">Australian Government Department of Health. (2018d). </w:t>
      </w:r>
      <w:r w:rsidR="002D49E8" w:rsidRPr="002D49E8">
        <w:rPr>
          <w:i/>
          <w:noProof/>
        </w:rPr>
        <w:t>Health Care Homes Handbook for general practices and Aboriginal Community Controlled Health Services Version 1.4 August 2018</w:t>
      </w:r>
      <w:r w:rsidR="002D49E8">
        <w:rPr>
          <w:noProof/>
        </w:rPr>
        <w:t xml:space="preserve">   </w:t>
      </w:r>
      <w:r>
        <w:fldChar w:fldCharType="end"/>
      </w:r>
    </w:p>
  </w:footnote>
  <w:footnote w:id="39">
    <w:p w14:paraId="33217D87" w14:textId="4DF376E8" w:rsidR="00364D86" w:rsidRDefault="00364D86">
      <w:pPr>
        <w:pStyle w:val="FootnoteText"/>
      </w:pPr>
      <w:r w:rsidRPr="0016474D">
        <w:rPr>
          <w:rStyle w:val="FootnoteReference"/>
          <w:color w:val="408BCA"/>
        </w:rPr>
        <w:footnoteRef/>
      </w:r>
      <w:r>
        <w:t xml:space="preserve"> </w:t>
      </w:r>
      <w:bookmarkStart w:id="90" w:name="_Hlk82598820"/>
      <w:r w:rsidRPr="00431C7C">
        <w:rPr>
          <w:szCs w:val="18"/>
        </w:rPr>
        <w:fldChar w:fldCharType="begin"/>
      </w:r>
      <w:r w:rsidR="002617BC">
        <w:rPr>
          <w:szCs w:val="18"/>
        </w:rPr>
        <w:instrText xml:space="preserve"> ADDIN EN.CITE &lt;EndNote&gt;&lt;Cite&gt;&lt;Author&gt;Australian Government Department of Health&lt;/Author&gt;&lt;Year&gt;2018&lt;/Year&gt;&lt;RecNum&gt;1064&lt;/RecNum&gt;&lt;DisplayText&gt;Australian Government Department of Health. (2018b). &lt;style face="italic"&gt;Health Care Home Funding Assurance Toolkit March 2018&lt;/style&gt;. https://www1.health.gov.au/internet/main/publishing.nsf/Content/health-care-homes-assurance-compliance&lt;/DisplayText&gt;&lt;record&gt;&lt;rec-number&gt;1064&lt;/rec-number&gt;&lt;foreign-keys&gt;&lt;key app="EN" db-id="zdz9xax04zr9v0evw2nvrpw9xe9ttzvs5zsv" timestamp="1536891525"&gt;1064&lt;/key&gt;&lt;/foreign-keys&gt;&lt;ref-type name="Report"&gt;27&lt;/ref-type&gt;&lt;contributors&gt;&lt;authors&gt;&lt;author&gt;Australian Government Department of Health,,&lt;/author&gt;&lt;/authors&gt;&lt;/contributors&gt;&lt;titles&gt;&lt;title&gt;Health Care Home Funding Assurance Toolkit March 2018&lt;/title&gt;&lt;/titles&gt;&lt;dates&gt;&lt;year&gt;2018&lt;/year&gt;&lt;/dates&gt;&lt;pub-location&gt;Canberra&lt;/pub-location&gt;&lt;urls&gt;&lt;related-urls&gt;&lt;url&gt;https://www1.health.gov.au/internet/main/publishing.nsf/Content/health-care-homes-assurance-compliance&lt;/url&gt;&lt;/related-urls&gt;&lt;/urls&gt;&lt;/record&gt;&lt;/Cite&gt;&lt;/EndNote&gt;</w:instrText>
      </w:r>
      <w:r w:rsidRPr="00431C7C">
        <w:rPr>
          <w:szCs w:val="18"/>
        </w:rPr>
        <w:fldChar w:fldCharType="separate"/>
      </w:r>
      <w:r w:rsidR="002617BC">
        <w:rPr>
          <w:noProof/>
          <w:szCs w:val="18"/>
        </w:rPr>
        <w:t xml:space="preserve">Australian Government Department of Health. (2018b). </w:t>
      </w:r>
      <w:r w:rsidR="002617BC" w:rsidRPr="002617BC">
        <w:rPr>
          <w:i/>
          <w:noProof/>
          <w:szCs w:val="18"/>
        </w:rPr>
        <w:t>Health Care Home Funding Assurance Toolkit March 2018</w:t>
      </w:r>
      <w:r w:rsidR="002617BC">
        <w:rPr>
          <w:noProof/>
          <w:szCs w:val="18"/>
        </w:rPr>
        <w:t>. https://www1.health.gov.au/internet/main/publishing.nsf/Content/health-care-homes-assurance-compliance</w:t>
      </w:r>
      <w:r w:rsidRPr="00431C7C">
        <w:rPr>
          <w:szCs w:val="18"/>
        </w:rPr>
        <w:fldChar w:fldCharType="end"/>
      </w:r>
      <w:bookmarkEnd w:id="90"/>
    </w:p>
  </w:footnote>
  <w:footnote w:id="40">
    <w:p w14:paraId="001F3A51" w14:textId="29B6AAB6" w:rsidR="00482D9C" w:rsidRDefault="00482D9C">
      <w:pPr>
        <w:pStyle w:val="FootnoteText"/>
      </w:pPr>
      <w:r w:rsidRPr="0016474D">
        <w:rPr>
          <w:rStyle w:val="FootnoteReference"/>
          <w:color w:val="408BCA"/>
        </w:rPr>
        <w:footnoteRef/>
      </w:r>
      <w:r>
        <w:t xml:space="preserve"> </w:t>
      </w:r>
      <w:r>
        <w:fldChar w:fldCharType="begin">
          <w:fldData xml:space="preserve">PEVuZE5vdGU+PENpdGU+PEF1dGhvcj5LaGFubmE8L0F1dGhvcj48WWVhcj4yMDE5PC9ZZWFyPjxS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</w:fldData>
        </w:fldChar>
      </w:r>
      <w:r w:rsidR="00081D00">
        <w:instrText xml:space="preserve"> ADDIN EN.CITE </w:instrText>
      </w:r>
      <w:r w:rsidR="00081D00">
        <w:fldChar w:fldCharType="begin">
          <w:fldData xml:space="preserve">PEVuZE5vdGU+PENpdGU+PEF1dGhvcj5LaGFubmE8L0F1dGhvcj48WWVhcj4yMDE5PC9ZZWFyPjxS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</w:fldData>
        </w:fldChar>
      </w:r>
      <w:r w:rsidR="00081D00">
        <w:instrText xml:space="preserve"> ADDIN EN.CITE.DATA </w:instrText>
      </w:r>
      <w:r w:rsidR="00081D00">
        <w:fldChar w:fldCharType="end"/>
      </w:r>
      <w:r>
        <w:fldChar w:fldCharType="separate"/>
      </w:r>
      <w:r w:rsidR="00081D00">
        <w:rPr>
          <w:noProof/>
        </w:rPr>
        <w:t xml:space="preserve">Khanna, S., Rolls, D. A., Boyle, J., Xie, Y., Jayasena, R., Hibbert, M., &amp; Georgeff, M. (2019b). A risk stratification tool for hospitalisation in Australia using primary care data [Research Support, Non-U.S. Gov't]. </w:t>
      </w:r>
      <w:r w:rsidR="00081D00" w:rsidRPr="00081D00">
        <w:rPr>
          <w:i/>
          <w:noProof/>
        </w:rPr>
        <w:t>Scientific Reports, 9</w:t>
      </w:r>
      <w:r w:rsidR="00081D00">
        <w:rPr>
          <w:noProof/>
        </w:rPr>
        <w:t>(1), 5011.</w:t>
      </w:r>
      <w:r>
        <w:fldChar w:fldCharType="end"/>
      </w:r>
    </w:p>
  </w:footnote>
  <w:footnote w:id="41">
    <w:p w14:paraId="1DF9E502" w14:textId="538AB0D0" w:rsidR="00482D9C" w:rsidRDefault="00482D9C">
      <w:pPr>
        <w:pStyle w:val="FootnoteText"/>
      </w:pPr>
      <w:r w:rsidRPr="0016474D">
        <w:rPr>
          <w:rStyle w:val="FootnoteReference"/>
          <w:color w:val="408BCA"/>
        </w:rPr>
        <w:footnoteRef/>
      </w:r>
      <w:r>
        <w:t xml:space="preserve"> </w:t>
      </w:r>
      <w:r>
        <w:fldChar w:fldCharType="begin"/>
      </w:r>
      <w:r w:rsidR="002D49E8">
        <w:instrText xml:space="preserve"> ADDIN EN.CITE &lt;EndNote&gt;&lt;Cite AuthorYear="1"&gt;&lt;Author&gt;Australian Government Department of Health&lt;/Author&gt;&lt;Year&gt;2016&lt;/Year&gt;&lt;RecNum&gt;520&lt;/RecNum&gt;&lt;DisplayText&gt;Australian Government Department of Health. (2016a). &lt;style face="italic"&gt;Factsheet: Patient eligibility&lt;/style&gt;   http://www.health.gov.au/internet/main/publishing.nsf/Content/health-care-homes &lt;/DisplayText&gt;&lt;record&gt;&lt;rec-number&gt;520&lt;/rec-number&gt;&lt;foreign-keys&gt;&lt;key app="EN" db-id="zdz9xax04zr9v0evw2nvrpw9xe9ttzvs5zsv" timestamp="1485909813"&gt;520&lt;/key&gt;&lt;/foreign-keys&gt;&lt;ref-type name="Electronic Book"&gt;44&lt;/ref-type&gt;&lt;contributors&gt;&lt;authors&gt;&lt;author&gt;Australian Government Department of Health,,&lt;/author&gt;&lt;/authors&gt;&lt;/contributors&gt;&lt;titles&gt;&lt;title&gt;Factsheet: Patient eligibility&lt;/title&gt;&lt;/titles&gt;&lt;dates&gt;&lt;year&gt;2016&lt;/year&gt;&lt;/dates&gt;&lt;urls&gt;&lt;related-urls&gt;&lt;url&gt;http://www.health.gov.au/internet/main/publishing.nsf/Content/health-care-homes&lt;/url&gt;&lt;/related-urls&gt;&lt;/urls&gt;&lt;/record&gt;&lt;/Cite&gt;&lt;/EndNote&gt;</w:instrText>
      </w:r>
      <w:r>
        <w:fldChar w:fldCharType="separate"/>
      </w:r>
      <w:r w:rsidR="002D49E8">
        <w:rPr>
          <w:noProof/>
        </w:rPr>
        <w:t xml:space="preserve">Australian Government Department of Health. (2016a). </w:t>
      </w:r>
      <w:r w:rsidR="002D49E8" w:rsidRPr="002D49E8">
        <w:rPr>
          <w:i/>
          <w:noProof/>
        </w:rPr>
        <w:t>Factsheet: Patient eligibility</w:t>
      </w:r>
      <w:r w:rsidR="002D49E8">
        <w:rPr>
          <w:noProof/>
        </w:rPr>
        <w:t xml:space="preserve">   http://www.health.gov.au/internet/main/publishing.nsf/Content/health-care-homes </w:t>
      </w:r>
      <w:r>
        <w:fldChar w:fldCharType="end"/>
      </w:r>
    </w:p>
  </w:footnote>
  <w:footnote w:id="42">
    <w:p w14:paraId="563792B0" w14:textId="54BD854B" w:rsidR="00E64055" w:rsidRDefault="00E64055">
      <w:pPr>
        <w:pStyle w:val="FootnoteText"/>
      </w:pPr>
      <w:r w:rsidRPr="00E64055">
        <w:rPr>
          <w:rStyle w:val="FootnoteReference"/>
          <w:color w:val="408BCA"/>
        </w:rPr>
        <w:footnoteRef/>
      </w:r>
      <w:r>
        <w:t xml:space="preserve"> </w:t>
      </w:r>
      <w:r>
        <w:fldChar w:fldCharType="begin"/>
      </w:r>
      <w:r>
        <w:instrText xml:space="preserve"> ADDIN EN.CITE &lt;EndNote&gt;&lt;Cite&gt;&lt;Author&gt;Australian Government Department of Health&lt;/Author&gt;&lt;Year&gt;2019&lt;/Year&gt;&lt;RecNum&gt;1126&lt;/RecNum&gt;&lt;DisplayText&gt;Australian Government Department of Health. (2019b). &lt;style face="italic"&gt;Health Care Homes Handbook for general practices and Aboriginal Community Controlled Health Services Version 1.7 February 2019&lt;/style&gt;. https://www1.health.gov.au/internet/main/publishing.nsf/Content/health-care-homes-cp/$File/HCH-Handbook-Feb-2019.pdf&lt;/DisplayText&gt;&lt;record&gt;&lt;rec-number&gt;1126&lt;/rec-number&gt;&lt;foreign-keys&gt;&lt;key app="EN" db-id="zdz9xax04zr9v0evw2nvrpw9xe9ttzvs5zsv" timestamp="1570431811"&gt;1126&lt;/key&gt;&lt;/foreign-keys&gt;&lt;ref-type name="Report"&gt;27&lt;/ref-type&gt;&lt;contributors&gt;&lt;authors&gt;&lt;author&gt;Australian Government Department of Health,,&lt;/author&gt;&lt;/authors&gt;&lt;/contributors&gt;&lt;titles&gt;&lt;title&gt;Health Care Homes Handbook for general practices and Aboriginal Community Controlled Health Services Version 1.7 February 2019&lt;/title&gt;&lt;/titles&gt;&lt;dates&gt;&lt;year&gt;2019&lt;/year&gt;&lt;/dates&gt;&lt;urls&gt;&lt;related-urls&gt;&lt;url&gt;https://www1.health.gov.au/internet/main/publishing.nsf/Content/health-care-homes-cp/$File/HCH-Handbook-Feb-2019.pdf&lt;/url&gt;&lt;/related-urls&gt;&lt;/urls&gt;&lt;/record&gt;&lt;/Cite&gt;&lt;/EndNote&gt;</w:instrText>
      </w:r>
      <w:r>
        <w:fldChar w:fldCharType="separate"/>
      </w:r>
      <w:r>
        <w:rPr>
          <w:noProof/>
        </w:rPr>
        <w:t xml:space="preserve">Australian Government Department of Health. (2019b). </w:t>
      </w:r>
      <w:r w:rsidRPr="00E64055">
        <w:rPr>
          <w:i/>
          <w:noProof/>
        </w:rPr>
        <w:t>Health Care Homes Handbook for general practices and Aboriginal Community Controlled Health Services Version 1.7 February 2019</w:t>
      </w:r>
      <w:r>
        <w:rPr>
          <w:noProof/>
        </w:rPr>
        <w:t>. https://www1.health.gov.au/internet/main/publishing.nsf/Content/health-care-homes-cp/$File/HCH-Handbook-Feb-2019.pdf</w:t>
      </w:r>
      <w:r>
        <w:fldChar w:fldCharType="end"/>
      </w:r>
    </w:p>
  </w:footnote>
  <w:footnote w:id="43">
    <w:p w14:paraId="47F2200E" w14:textId="2A83CB67" w:rsidR="00CF6563" w:rsidRDefault="00CF6563">
      <w:pPr>
        <w:pStyle w:val="FootnoteText"/>
      </w:pPr>
      <w:r w:rsidRPr="0016474D">
        <w:rPr>
          <w:rStyle w:val="FootnoteReference"/>
          <w:color w:val="408BCA"/>
        </w:rPr>
        <w:footnoteRef/>
      </w:r>
      <w:r>
        <w:t xml:space="preserve"> </w:t>
      </w:r>
      <w:r w:rsidRPr="001B1EFB">
        <w:fldChar w:fldCharType="begin"/>
      </w:r>
      <w:r w:rsidR="002D49E8">
        <w:instrText xml:space="preserve"> ADDIN EN.CITE &lt;EndNote&gt;&lt;Cite&gt;&lt;Author&gt;Australian Government Department of Health&lt;/Author&gt;&lt;Year&gt;2018&lt;/Year&gt;&lt;RecNum&gt;1034&lt;/RecNum&gt;&lt;DisplayText&gt;Australian Government Department of Health. (2018d). &lt;style face="italic"&gt;Health Care Homes Handbook for general practices and Aboriginal Community Controlled Health Services Version 1.4 August 2018&lt;/style&gt;   &lt;/DisplayText&gt;&lt;record&gt;&lt;rec-number&gt;1034&lt;/rec-number&gt;&lt;foreign-keys&gt;&lt;key app="EN" db-id="zdz9xax04zr9v0evw2nvrpw9xe9ttzvs5zsv" timestamp="1535530581"&gt;1034&lt;/key&gt;&lt;/foreign-keys&gt;&lt;ref-type name="Electronic Book"&gt;44&lt;/ref-type&gt;&lt;contributors&gt;&lt;authors&gt;&lt;author&gt;Australian Government Department of Health,,&lt;/author&gt;&lt;/authors&gt;&lt;/contributors&gt;&lt;titles&gt;&lt;title&gt;Health Care Homes Handbook for general practices and Aboriginal Community Controlled Health Services Version 1.4 August 2018&lt;/title&gt;&lt;/titles&gt;&lt;dates&gt;&lt;year&gt;2018&lt;/year&gt;&lt;/dates&gt;&lt;urls&gt;&lt;/urls&gt;&lt;/record&gt;&lt;/Cite&gt;&lt;/EndNote&gt;</w:instrText>
      </w:r>
      <w:r w:rsidRPr="001B1EFB">
        <w:fldChar w:fldCharType="separate"/>
      </w:r>
      <w:r w:rsidR="002D49E8">
        <w:rPr>
          <w:noProof/>
        </w:rPr>
        <w:t xml:space="preserve">Australian Government Department of Health. (2018d). </w:t>
      </w:r>
      <w:r w:rsidR="002D49E8" w:rsidRPr="002D49E8">
        <w:rPr>
          <w:i/>
          <w:noProof/>
        </w:rPr>
        <w:t>Health Care Homes Handbook for general practices and Aboriginal Community Controlled Health Services Version 1.4 August 2018</w:t>
      </w:r>
      <w:r w:rsidR="002D49E8">
        <w:rPr>
          <w:noProof/>
        </w:rPr>
        <w:t xml:space="preserve">   </w:t>
      </w:r>
      <w:r w:rsidRPr="001B1EFB">
        <w:fldChar w:fldCharType="end"/>
      </w:r>
    </w:p>
  </w:footnote>
  <w:footnote w:id="44">
    <w:p w14:paraId="26BD0F9A" w14:textId="6C9F0D65" w:rsidR="00FC3919" w:rsidRDefault="00FC3919">
      <w:pPr>
        <w:pStyle w:val="FootnoteText"/>
      </w:pPr>
      <w:r w:rsidRPr="0016474D">
        <w:rPr>
          <w:rStyle w:val="FootnoteReference"/>
          <w:color w:val="408BCA"/>
        </w:rPr>
        <w:footnoteRef/>
      </w:r>
      <w:r>
        <w:t xml:space="preserve"> </w:t>
      </w:r>
      <w:r w:rsidR="004F2F83" w:rsidRPr="001B1EFB">
        <w:fldChar w:fldCharType="begin"/>
      </w:r>
      <w:r w:rsidR="0015206C">
        <w:instrText xml:space="preserve"> ADDIN EN.CITE &lt;EndNote&gt;&lt;Cite&gt;&lt;Author&gt;Australian Government Department of Health&lt;/Author&gt;&lt;Year&gt;2018&lt;/Year&gt;&lt;RecNum&gt;1034&lt;/RecNum&gt;&lt;DisplayText&gt;Ibid.&lt;/DisplayText&gt;&lt;record&gt;&lt;rec-number&gt;1034&lt;/rec-number&gt;&lt;foreign-keys&gt;&lt;key app="EN" db-id="zdz9xax04zr9v0evw2nvrpw9xe9ttzvs5zsv" timestamp="1535530581"&gt;1034&lt;/key&gt;&lt;/foreign-keys&gt;&lt;ref-type name="Electronic Book"&gt;44&lt;/ref-type&gt;&lt;contributors&gt;&lt;authors&gt;&lt;author&gt;Australian Government Department of Health,,&lt;/author&gt;&lt;/authors&gt;&lt;/contributors&gt;&lt;titles&gt;&lt;title&gt;Health Care Homes Handbook for general practices and Aboriginal Community Controlled Health Services Version 1.4 August 2018&lt;/title&gt;&lt;/titles&gt;&lt;dates&gt;&lt;year&gt;2018&lt;/year&gt;&lt;/dates&gt;&lt;urls&gt;&lt;/urls&gt;&lt;/record&gt;&lt;/Cite&gt;&lt;/EndNote&gt;</w:instrText>
      </w:r>
      <w:r w:rsidR="004F2F83" w:rsidRPr="001B1EFB">
        <w:fldChar w:fldCharType="separate"/>
      </w:r>
      <w:r w:rsidR="004F2F83">
        <w:rPr>
          <w:noProof/>
        </w:rPr>
        <w:t>Ibid.</w:t>
      </w:r>
      <w:r w:rsidR="004F2F83" w:rsidRPr="001B1EFB">
        <w:fldChar w:fldCharType="end"/>
      </w:r>
    </w:p>
  </w:footnote>
  <w:footnote w:id="45">
    <w:p w14:paraId="4A70C481" w14:textId="58CE086A" w:rsidR="00423629" w:rsidRDefault="00423629">
      <w:pPr>
        <w:pStyle w:val="FootnoteText"/>
      </w:pPr>
      <w:r w:rsidRPr="0016474D">
        <w:rPr>
          <w:rStyle w:val="FootnoteReference"/>
          <w:color w:val="408BCA"/>
        </w:rPr>
        <w:footnoteRef/>
      </w:r>
      <w:r>
        <w:t xml:space="preserve"> </w:t>
      </w:r>
      <w:r w:rsidRPr="00B716C2">
        <w:fldChar w:fldCharType="begin"/>
      </w:r>
      <w:r w:rsidR="002D49E8">
        <w:instrText xml:space="preserve"> ADDIN EN.CITE &lt;EndNote&gt;&lt;Cite&gt;&lt;Author&gt;Australian Government Department of Health&lt;/Author&gt;&lt;Year&gt;2016&lt;/Year&gt;&lt;RecNum&gt;519&lt;/RecNum&gt;&lt;DisplayText&gt;Australian Government Department of Health. (2016b). &lt;style face="italic"&gt;Factsheet: Stage one modelling&lt;/style&gt;   http://www.health.gov.au/internet/main/publishing.nsf/Content/health-care-homes &lt;/DisplayText&gt;&lt;record&gt;&lt;rec-number&gt;519&lt;/rec-number&gt;&lt;foreign-keys&gt;&lt;key app="EN" db-id="zdz9xax04zr9v0evw2nvrpw9xe9ttzvs5zsv" timestamp="1485909718"&gt;519&lt;/key&gt;&lt;/foreign-keys&gt;&lt;ref-type name="Electronic Book"&gt;44&lt;/ref-type&gt;&lt;contributors&gt;&lt;authors&gt;&lt;author&gt;Australian Government Department of Health,,&lt;/author&gt;&lt;/authors&gt;&lt;/contributors&gt;&lt;titles&gt;&lt;title&gt;Factsheet: Stage one modelling&lt;/title&gt;&lt;/titles&gt;&lt;dates&gt;&lt;year&gt;2016&lt;/year&gt;&lt;/dates&gt;&lt;urls&gt;&lt;related-urls&gt;&lt;url&gt;http://www.health.gov.au/internet/main/publishing.nsf/Content/health-care-homes&lt;/url&gt;&lt;/related-urls&gt;&lt;/urls&gt;&lt;custom2&gt;01/02/2017&lt;/custom2&gt;&lt;/record&gt;&lt;/Cite&gt;&lt;/EndNote&gt;</w:instrText>
      </w:r>
      <w:r w:rsidRPr="00B716C2">
        <w:fldChar w:fldCharType="separate"/>
      </w:r>
      <w:r w:rsidR="002D49E8">
        <w:rPr>
          <w:noProof/>
        </w:rPr>
        <w:t xml:space="preserve">Australian Government Department of Health. (2016b). </w:t>
      </w:r>
      <w:r w:rsidR="002D49E8" w:rsidRPr="002D49E8">
        <w:rPr>
          <w:i/>
          <w:noProof/>
        </w:rPr>
        <w:t>Factsheet: Stage one modelling</w:t>
      </w:r>
      <w:r w:rsidR="002D49E8">
        <w:rPr>
          <w:noProof/>
        </w:rPr>
        <w:t xml:space="preserve">   http://www.health.gov.au/internet/main/publishing.nsf/Content/health-care-homes </w:t>
      </w:r>
      <w:r w:rsidRPr="00B716C2">
        <w:fldChar w:fldCharType="end"/>
      </w:r>
    </w:p>
  </w:footnote>
  <w:footnote w:id="46">
    <w:p w14:paraId="2871B4C0" w14:textId="77777777" w:rsidR="00F650F5" w:rsidRDefault="00F650F5" w:rsidP="00F650F5">
      <w:pPr>
        <w:pStyle w:val="FootnoteText"/>
      </w:pPr>
      <w:r w:rsidRPr="0016474D">
        <w:rPr>
          <w:rStyle w:val="FootnoteReference"/>
          <w:color w:val="408BCA"/>
        </w:rPr>
        <w:footnoteRef/>
      </w:r>
      <w:r>
        <w:t xml:space="preserve"> </w:t>
      </w:r>
      <w:r w:rsidRPr="00B716C2">
        <w:rPr>
          <w:i/>
          <w:sz w:val="16"/>
          <w:szCs w:val="16"/>
        </w:rPr>
        <w:fldChar w:fldCharType="begin"/>
      </w:r>
      <w:r>
        <w:rPr>
          <w:i/>
          <w:sz w:val="16"/>
          <w:szCs w:val="16"/>
        </w:rPr>
        <w:instrText xml:space="preserve"> ADDIN EN.CITE &lt;EndNote&gt;&lt;Cite&gt;&lt;Author&gt;Australian Government Department of Health&lt;/Author&gt;&lt;Year&gt;2018&lt;/Year&gt;&lt;RecNum&gt;1034&lt;/RecNum&gt;&lt;DisplayText&gt;Australian Government Department of Health. (2018d). &lt;style face="italic"&gt;Health Care Homes Handbook for general practices and Aboriginal Community Controlled Health Services Version 1.4 August 2018&lt;/style&gt;   &lt;/DisplayText&gt;&lt;record&gt;&lt;rec-number&gt;1034&lt;/rec-number&gt;&lt;foreign-keys&gt;&lt;key app="EN" db-id="zdz9xax04zr9v0evw2nvrpw9xe9ttzvs5zsv" timestamp="1535530581"&gt;1034&lt;/key&gt;&lt;/foreign-keys&gt;&lt;ref-type name="Electronic Book"&gt;44&lt;/ref-type&gt;&lt;contributors&gt;&lt;authors&gt;&lt;author&gt;Australian Government Department of Health,,&lt;/author&gt;&lt;/authors&gt;&lt;/contributors&gt;&lt;titles&gt;&lt;title&gt;Health Care Homes Handbook for general practices and Aboriginal Community Controlled Health Services Version 1.4 August 2018&lt;/title&gt;&lt;/titles&gt;&lt;dates&gt;&lt;year&gt;2018&lt;/year&gt;&lt;/dates&gt;&lt;urls&gt;&lt;/urls&gt;&lt;/record&gt;&lt;/Cite&gt;&lt;/EndNote&gt;</w:instrText>
      </w:r>
      <w:r w:rsidRPr="00B716C2">
        <w:rPr>
          <w:i/>
          <w:sz w:val="16"/>
          <w:szCs w:val="16"/>
        </w:rPr>
        <w:fldChar w:fldCharType="separate"/>
      </w:r>
      <w:r>
        <w:rPr>
          <w:i/>
          <w:noProof/>
          <w:sz w:val="16"/>
          <w:szCs w:val="16"/>
        </w:rPr>
        <w:t xml:space="preserve">Australian Government Department of Health. (2018d). Health Care Homes Handbook for general practices and Aboriginal Community Controlled Health Services Version 1.4 August 2018   </w:t>
      </w:r>
      <w:r w:rsidRPr="00B716C2">
        <w:rPr>
          <w:sz w:val="16"/>
          <w:szCs w:val="16"/>
        </w:rPr>
        <w:fldChar w:fldCharType="end"/>
      </w:r>
    </w:p>
  </w:footnote>
  <w:footnote w:id="47">
    <w:p w14:paraId="37E0494D" w14:textId="1836E496" w:rsidR="009D07D2" w:rsidRDefault="009D07D2">
      <w:pPr>
        <w:pStyle w:val="FootnoteText"/>
      </w:pPr>
      <w:r w:rsidRPr="0016474D">
        <w:rPr>
          <w:rStyle w:val="FootnoteReference"/>
          <w:color w:val="408BCA"/>
        </w:rPr>
        <w:footnoteRef/>
      </w:r>
      <w:r>
        <w:t xml:space="preserve"> </w:t>
      </w:r>
      <w:r w:rsidRPr="00AA1BF8">
        <w:rPr>
          <w:szCs w:val="18"/>
        </w:rPr>
        <w:fldChar w:fldCharType="begin"/>
      </w:r>
      <w:r w:rsidR="0015206C">
        <w:rPr>
          <w:szCs w:val="18"/>
        </w:rPr>
        <w:instrText xml:space="preserve"> ADDIN EN.CITE &lt;EndNote&gt;&lt;Cite&gt;&lt;Author&gt;Australian Government Department of Health&lt;/Author&gt;&lt;Year&gt;2018&lt;/Year&gt;&lt;RecNum&gt;1034&lt;/RecNum&gt;&lt;DisplayText&gt;Ibid.&lt;/DisplayText&gt;&lt;record&gt;&lt;rec-number&gt;1034&lt;/rec-number&gt;&lt;foreign-keys&gt;&lt;key app="EN" db-id="zdz9xax04zr9v0evw2nvrpw9xe9ttzvs5zsv" timestamp="1535530581"&gt;1034&lt;/key&gt;&lt;/foreign-keys&gt;&lt;ref-type name="Electronic Book"&gt;44&lt;/ref-type&gt;&lt;contributors&gt;&lt;authors&gt;&lt;author&gt;Australian Government Department of Health,,&lt;/author&gt;&lt;/authors&gt;&lt;/contributors&gt;&lt;titles&gt;&lt;title&gt;Health Care Homes Handbook for general practices and Aboriginal Community Controlled Health Services Version 1.4 August 2018&lt;/title&gt;&lt;/titles&gt;&lt;dates&gt;&lt;year&gt;2018&lt;/year&gt;&lt;/dates&gt;&lt;urls&gt;&lt;/urls&gt;&lt;/record&gt;&lt;/Cite&gt;&lt;/EndNote&gt;</w:instrText>
      </w:r>
      <w:r w:rsidRPr="00AA1BF8">
        <w:rPr>
          <w:szCs w:val="18"/>
        </w:rPr>
        <w:fldChar w:fldCharType="separate"/>
      </w:r>
      <w:r>
        <w:rPr>
          <w:noProof/>
          <w:szCs w:val="18"/>
        </w:rPr>
        <w:t>Ibid.</w:t>
      </w:r>
      <w:r w:rsidRPr="00AA1BF8">
        <w:rPr>
          <w:szCs w:val="18"/>
        </w:rPr>
        <w:fldChar w:fldCharType="end"/>
      </w:r>
    </w:p>
  </w:footnote>
  <w:footnote w:id="48">
    <w:p w14:paraId="38A7BFDA" w14:textId="7289D350" w:rsidR="009879CC" w:rsidRDefault="009879CC">
      <w:pPr>
        <w:pStyle w:val="FootnoteText"/>
      </w:pPr>
      <w:r w:rsidRPr="0016474D">
        <w:rPr>
          <w:rStyle w:val="FootnoteReference"/>
          <w:color w:val="408BCA"/>
        </w:rPr>
        <w:footnoteRef/>
      </w:r>
      <w:r>
        <w:t xml:space="preserve"> </w:t>
      </w:r>
      <w:r w:rsidRPr="00AA1BF8">
        <w:rPr>
          <w:szCs w:val="18"/>
        </w:rPr>
        <w:fldChar w:fldCharType="begin"/>
      </w:r>
      <w:r>
        <w:rPr>
          <w:szCs w:val="18"/>
        </w:rPr>
        <w:instrText xml:space="preserve"> ADDIN EN.CITE &lt;EndNote&gt;&lt;Cite&gt;&lt;Author&gt;Australian Government Department of Health&lt;/Author&gt;&lt;Year&gt;2018&lt;/Year&gt;&lt;RecNum&gt;1058&lt;/RecNum&gt;&lt;DisplayText&gt;Australian Government Department of Health. (2018c). &lt;style face="italic"&gt;Health Care Homes Clinical Reference Group Q&amp;amp;As&lt;/style&gt;. &lt;/DisplayText&gt;&lt;record&gt;&lt;rec-number&gt;1058&lt;/rec-number&gt;&lt;foreign-keys&gt;&lt;key app="EN" db-id="zdz9xax04zr9v0evw2nvrpw9xe9ttzvs5zsv" timestamp="1536719165"&gt;1058&lt;/key&gt;&lt;/foreign-keys&gt;&lt;ref-type name="Unpublished Work"&gt;34&lt;/ref-type&gt;&lt;contributors&gt;&lt;authors&gt;&lt;author&gt;Australian Government Department of Health,,&lt;/author&gt;&lt;/authors&gt;&lt;/contributors&gt;&lt;titles&gt;&lt;title&gt;Health Care Homes Clinical Reference Group Q&amp;amp;As&lt;/title&gt;&lt;/titles&gt;&lt;dates&gt;&lt;year&gt;2018&lt;/year&gt;&lt;/dates&gt;&lt;urls&gt;&lt;/urls&gt;&lt;/record&gt;&lt;/Cite&gt;&lt;/EndNote&gt;</w:instrText>
      </w:r>
      <w:r w:rsidRPr="00AA1BF8">
        <w:rPr>
          <w:szCs w:val="18"/>
        </w:rPr>
        <w:fldChar w:fldCharType="separate"/>
      </w:r>
      <w:r>
        <w:rPr>
          <w:noProof/>
          <w:szCs w:val="18"/>
        </w:rPr>
        <w:t xml:space="preserve">Australian Government Department of Health. (2018c). </w:t>
      </w:r>
      <w:r w:rsidRPr="009879CC">
        <w:rPr>
          <w:i/>
          <w:noProof/>
          <w:szCs w:val="18"/>
        </w:rPr>
        <w:t>Health Care Homes Clinical Reference Group Q&amp;As</w:t>
      </w:r>
      <w:r>
        <w:rPr>
          <w:noProof/>
          <w:szCs w:val="18"/>
        </w:rPr>
        <w:t xml:space="preserve">. </w:t>
      </w:r>
      <w:r w:rsidRPr="00AA1BF8">
        <w:rPr>
          <w:szCs w:val="18"/>
        </w:rPr>
        <w:fldChar w:fldCharType="end"/>
      </w:r>
    </w:p>
  </w:footnote>
  <w:footnote w:id="49">
    <w:p w14:paraId="5DA7E096" w14:textId="7909D580" w:rsidR="00072F71" w:rsidRDefault="00072F71">
      <w:pPr>
        <w:pStyle w:val="FootnoteText"/>
      </w:pPr>
      <w:r w:rsidRPr="0016474D">
        <w:rPr>
          <w:rStyle w:val="FootnoteReference"/>
          <w:color w:val="408BCA"/>
        </w:rPr>
        <w:footnoteRef/>
      </w:r>
      <w:r>
        <w:t xml:space="preserve"> </w:t>
      </w:r>
      <w:r w:rsidRPr="00936DE3">
        <w:rPr>
          <w:iCs/>
        </w:rPr>
        <w:fldChar w:fldCharType="begin"/>
      </w:r>
      <w:r w:rsidR="002D49E8">
        <w:rPr>
          <w:iCs/>
        </w:rPr>
        <w:instrText xml:space="preserve"> ADDIN EN.CITE &lt;EndNote&gt;&lt;Cite&gt;&lt;Author&gt;Australian Government Department of Health&lt;/Author&gt;&lt;Year&gt;2016&lt;/Year&gt;&lt;RecNum&gt;519&lt;/RecNum&gt;&lt;DisplayText&gt;Australian Government Department of Health. (2016b). &lt;style face="italic"&gt;Factsheet: Stage one modelling&lt;/style&gt;   http://www.health.gov.au/internet/main/publishing.nsf/Content/health-care-homes &lt;/DisplayText&gt;&lt;record&gt;&lt;rec-number&gt;519&lt;/rec-number&gt;&lt;foreign-keys&gt;&lt;key app="EN" db-id="zdz9xax04zr9v0evw2nvrpw9xe9ttzvs5zsv" timestamp="1485909718"&gt;519&lt;/key&gt;&lt;/foreign-keys&gt;&lt;ref-type name="Electronic Book"&gt;44&lt;/ref-type&gt;&lt;contributors&gt;&lt;authors&gt;&lt;author&gt;Australian Government Department of Health,,&lt;/author&gt;&lt;/authors&gt;&lt;/contributors&gt;&lt;titles&gt;&lt;title&gt;Factsheet: Stage one modelling&lt;/title&gt;&lt;/titles&gt;&lt;dates&gt;&lt;year&gt;2016&lt;/year&gt;&lt;/dates&gt;&lt;urls&gt;&lt;related-urls&gt;&lt;url&gt;http://www.health.gov.au/internet/main/publishing.nsf/Content/health-care-homes&lt;/url&gt;&lt;/related-urls&gt;&lt;/urls&gt;&lt;custom2&gt;01/02/2017&lt;/custom2&gt;&lt;/record&gt;&lt;/Cite&gt;&lt;/EndNote&gt;</w:instrText>
      </w:r>
      <w:r w:rsidRPr="00936DE3">
        <w:rPr>
          <w:iCs/>
        </w:rPr>
        <w:fldChar w:fldCharType="separate"/>
      </w:r>
      <w:r w:rsidR="002D49E8">
        <w:rPr>
          <w:iCs/>
          <w:noProof/>
        </w:rPr>
        <w:t xml:space="preserve">Australian Government Department of Health. (2016b). </w:t>
      </w:r>
      <w:r w:rsidR="002D49E8" w:rsidRPr="002D49E8">
        <w:rPr>
          <w:i/>
          <w:iCs/>
          <w:noProof/>
        </w:rPr>
        <w:t>Factsheet: Stage one modelling</w:t>
      </w:r>
      <w:r w:rsidR="002D49E8">
        <w:rPr>
          <w:iCs/>
          <w:noProof/>
        </w:rPr>
        <w:t xml:space="preserve">   http://www.health.gov.au/internet/main/publishing.nsf/Content/health-care-homes </w:t>
      </w:r>
      <w:r w:rsidRPr="00936DE3">
        <w:rPr>
          <w:iCs/>
        </w:rPr>
        <w:fldChar w:fldCharType="end"/>
      </w:r>
    </w:p>
  </w:footnote>
  <w:footnote w:id="50">
    <w:p w14:paraId="78ED5CCC" w14:textId="35E86C98" w:rsidR="00072F71" w:rsidRDefault="00072F71">
      <w:pPr>
        <w:pStyle w:val="FootnoteText"/>
      </w:pPr>
      <w:r w:rsidRPr="0016474D">
        <w:rPr>
          <w:rStyle w:val="FootnoteReference"/>
          <w:color w:val="408BCA"/>
        </w:rPr>
        <w:footnoteRef/>
      </w:r>
      <w:r>
        <w:t xml:space="preserve"> </w:t>
      </w:r>
      <w:r w:rsidRPr="00B57E82">
        <w:rPr>
          <w:iCs/>
        </w:rPr>
        <w:fldChar w:fldCharType="begin"/>
      </w:r>
      <w:r>
        <w:rPr>
          <w:iCs/>
        </w:rPr>
        <w:instrText xml:space="preserve"> ADDIN EN.CITE &lt;EndNote&gt;&lt;Cite&gt;&lt;Author&gt;Australian Government Department of Health&lt;/Author&gt;&lt;Year&gt;2016&lt;/Year&gt;&lt;RecNum&gt;519&lt;/RecNum&gt;&lt;DisplayText&gt;Ibid.&lt;/DisplayText&gt;&lt;record&gt;&lt;rec-number&gt;519&lt;/rec-number&gt;&lt;foreign-keys&gt;&lt;key app="EN" db-id="zdz9xax04zr9v0evw2nvrpw9xe9ttzvs5zsv" timestamp="1485909718"&gt;519&lt;/key&gt;&lt;/foreign-keys&gt;&lt;ref-type name="Electronic Book"&gt;44&lt;/ref-type&gt;&lt;contributors&gt;&lt;authors&gt;&lt;author&gt;Australian Government Department of Health,,&lt;/author&gt;&lt;/authors&gt;&lt;/contributors&gt;&lt;titles&gt;&lt;title&gt;Factsheet: Stage one modelling&lt;/title&gt;&lt;/titles&gt;&lt;dates&gt;&lt;year&gt;2016&lt;/year&gt;&lt;/dates&gt;&lt;urls&gt;&lt;related-urls&gt;&lt;url&gt;http://www.health.gov.au/internet/main/publishing.nsf/Content/health-care-homes&lt;/url&gt;&lt;/related-urls&gt;&lt;/urls&gt;&lt;custom2&gt;01/02/2017&lt;/custom2&gt;&lt;/record&gt;&lt;/Cite&gt;&lt;/EndNote&gt;</w:instrText>
      </w:r>
      <w:r w:rsidRPr="00B57E82">
        <w:rPr>
          <w:iCs/>
        </w:rPr>
        <w:fldChar w:fldCharType="separate"/>
      </w:r>
      <w:r>
        <w:rPr>
          <w:iCs/>
          <w:noProof/>
        </w:rPr>
        <w:t>Ibid.</w:t>
      </w:r>
      <w:r w:rsidRPr="00B57E82">
        <w:rPr>
          <w:iCs/>
        </w:rPr>
        <w:fldChar w:fldCharType="end"/>
      </w:r>
    </w:p>
  </w:footnote>
  <w:footnote w:id="51">
    <w:p w14:paraId="0877893F" w14:textId="5E2259FF" w:rsidR="00072F71" w:rsidRDefault="00072F71">
      <w:pPr>
        <w:pStyle w:val="FootnoteText"/>
      </w:pPr>
      <w:r w:rsidRPr="0016474D">
        <w:rPr>
          <w:rStyle w:val="FootnoteReference"/>
          <w:color w:val="408BCA"/>
        </w:rPr>
        <w:footnoteRef/>
      </w:r>
      <w:r>
        <w:t xml:space="preserve"> </w:t>
      </w:r>
      <w:r w:rsidRPr="00B57E82">
        <w:rPr>
          <w:iCs/>
        </w:rPr>
        <w:fldChar w:fldCharType="begin"/>
      </w:r>
      <w:r w:rsidR="002D49E8">
        <w:rPr>
          <w:iCs/>
        </w:rPr>
        <w:instrText xml:space="preserve"> ADDIN EN.CITE &lt;EndNote&gt;&lt;Cite&gt;&lt;Author&gt;Australian Government Department of Health&lt;/Author&gt;&lt;Year&gt;2018&lt;/Year&gt;&lt;RecNum&gt;1034&lt;/RecNum&gt;&lt;DisplayText&gt;Australian Government Department of Health. (2018d). &lt;style face="italic"&gt;Health Care Homes Handbook for general practices and Aboriginal Community Controlled Health Services Version 1.4 August 2018&lt;/style&gt;   &lt;/DisplayText&gt;&lt;record&gt;&lt;rec-number&gt;1034&lt;/rec-number&gt;&lt;foreign-keys&gt;&lt;key app="EN" db-id="zdz9xax04zr9v0evw2nvrpw9xe9ttzvs5zsv" timestamp="1535530581"&gt;1034&lt;/key&gt;&lt;/foreign-keys&gt;&lt;ref-type name="Electronic Book"&gt;44&lt;/ref-type&gt;&lt;contributors&gt;&lt;authors&gt;&lt;author&gt;Australian Government Department of Health,,&lt;/author&gt;&lt;/authors&gt;&lt;/contributors&gt;&lt;titles&gt;&lt;title&gt;Health Care Homes Handbook for general practices and Aboriginal Community Controlled Health Services Version 1.4 August 2018&lt;/title&gt;&lt;/titles&gt;&lt;dates&gt;&lt;year&gt;2018&lt;/year&gt;&lt;/dates&gt;&lt;urls&gt;&lt;/urls&gt;&lt;/record&gt;&lt;/Cite&gt;&lt;/EndNote&gt;</w:instrText>
      </w:r>
      <w:r w:rsidRPr="00B57E82">
        <w:rPr>
          <w:iCs/>
        </w:rPr>
        <w:fldChar w:fldCharType="separate"/>
      </w:r>
      <w:r w:rsidR="002D49E8">
        <w:rPr>
          <w:iCs/>
          <w:noProof/>
        </w:rPr>
        <w:t xml:space="preserve">Australian Government Department of Health. (2018d). </w:t>
      </w:r>
      <w:r w:rsidR="002D49E8" w:rsidRPr="002D49E8">
        <w:rPr>
          <w:i/>
          <w:iCs/>
          <w:noProof/>
        </w:rPr>
        <w:t>Health Care Homes Handbook for general practices and Aboriginal Community Controlled Health Services Version 1.4 August 2018</w:t>
      </w:r>
      <w:r w:rsidR="002D49E8">
        <w:rPr>
          <w:iCs/>
          <w:noProof/>
        </w:rPr>
        <w:t xml:space="preserve">   </w:t>
      </w:r>
      <w:r w:rsidRPr="00B57E82">
        <w:rPr>
          <w:iCs/>
        </w:rPr>
        <w:fldChar w:fldCharType="end"/>
      </w:r>
    </w:p>
  </w:footnote>
  <w:footnote w:id="52">
    <w:p w14:paraId="27D95690" w14:textId="6CA52130" w:rsidR="00072F71" w:rsidRDefault="00072F71">
      <w:pPr>
        <w:pStyle w:val="FootnoteText"/>
      </w:pPr>
      <w:r w:rsidRPr="0016474D">
        <w:rPr>
          <w:rStyle w:val="FootnoteReference"/>
          <w:color w:val="408BCA"/>
        </w:rPr>
        <w:footnoteRef/>
      </w:r>
      <w:r>
        <w:t xml:space="preserve"> </w:t>
      </w:r>
      <w:r w:rsidRPr="00B57E82">
        <w:rPr>
          <w:iCs/>
        </w:rPr>
        <w:fldChar w:fldCharType="begin"/>
      </w:r>
      <w:r w:rsidR="0015206C">
        <w:rPr>
          <w:iCs/>
        </w:rPr>
        <w:instrText xml:space="preserve"> ADDIN EN.CITE &lt;EndNote&gt;&lt;Cite&gt;&lt;Author&gt;Australian Government Department of Health&lt;/Author&gt;&lt;Year&gt;2018&lt;/Year&gt;&lt;RecNum&gt;1034&lt;/RecNum&gt;&lt;DisplayText&gt;Ibid.&lt;/DisplayText&gt;&lt;record&gt;&lt;rec-number&gt;1034&lt;/rec-number&gt;&lt;foreign-keys&gt;&lt;key app="EN" db-id="zdz9xax04zr9v0evw2nvrpw9xe9ttzvs5zsv" timestamp="1535530581"&gt;1034&lt;/key&gt;&lt;/foreign-keys&gt;&lt;ref-type name="Electronic Book"&gt;44&lt;/ref-type&gt;&lt;contributors&gt;&lt;authors&gt;&lt;author&gt;Australian Government Department of Health,,&lt;/author&gt;&lt;/authors&gt;&lt;/contributors&gt;&lt;titles&gt;&lt;title&gt;Health Care Homes Handbook for general practices and Aboriginal Community Controlled Health Services Version 1.4 August 2018&lt;/title&gt;&lt;/titles&gt;&lt;dates&gt;&lt;year&gt;2018&lt;/year&gt;&lt;/dates&gt;&lt;urls&gt;&lt;/urls&gt;&lt;/record&gt;&lt;/Cite&gt;&lt;/EndNote&gt;</w:instrText>
      </w:r>
      <w:r w:rsidRPr="00B57E82">
        <w:rPr>
          <w:iCs/>
        </w:rPr>
        <w:fldChar w:fldCharType="separate"/>
      </w:r>
      <w:r>
        <w:rPr>
          <w:iCs/>
          <w:noProof/>
        </w:rPr>
        <w:t>Ibid.</w:t>
      </w:r>
      <w:r w:rsidRPr="00B57E82">
        <w:rPr>
          <w:iCs/>
        </w:rPr>
        <w:fldChar w:fldCharType="end"/>
      </w:r>
    </w:p>
  </w:footnote>
  <w:footnote w:id="53">
    <w:p w14:paraId="5F304C79" w14:textId="6A7BAF50" w:rsidR="00072F71" w:rsidRDefault="00072F71">
      <w:pPr>
        <w:pStyle w:val="FootnoteText"/>
      </w:pPr>
      <w:r w:rsidRPr="0016474D">
        <w:rPr>
          <w:rStyle w:val="FootnoteReference"/>
          <w:color w:val="408BCA"/>
        </w:rPr>
        <w:footnoteRef/>
      </w:r>
      <w:r>
        <w:t xml:space="preserve"> </w:t>
      </w:r>
      <w:r w:rsidRPr="00B716C2">
        <w:fldChar w:fldCharType="begin"/>
      </w:r>
      <w:r>
        <w:instrText xml:space="preserve"> ADDIN EN.CITE &lt;EndNote&gt;&lt;Cite&gt;&lt;Author&gt;Australian Government Department of Health&lt;/Author&gt;&lt;Year&gt;2018&lt;/Year&gt;&lt;RecNum&gt;1058&lt;/RecNum&gt;&lt;DisplayText&gt;Australian Government Department of Health. (2018c). &lt;style face="italic"&gt;Health Care Homes Clinical Reference Group Q&amp;amp;As&lt;/style&gt;. &lt;/DisplayText&gt;&lt;record&gt;&lt;rec-number&gt;1058&lt;/rec-number&gt;&lt;foreign-keys&gt;&lt;key app="EN" db-id="zdz9xax04zr9v0evw2nvrpw9xe9ttzvs5zsv" timestamp="1536719165"&gt;1058&lt;/key&gt;&lt;/foreign-keys&gt;&lt;ref-type name="Unpublished Work"&gt;34&lt;/ref-type&gt;&lt;contributors&gt;&lt;authors&gt;&lt;author&gt;Australian Government Department of Health,,&lt;/author&gt;&lt;/authors&gt;&lt;/contributors&gt;&lt;titles&gt;&lt;title&gt;Health Care Homes Clinical Reference Group Q&amp;amp;As&lt;/title&gt;&lt;/titles&gt;&lt;dates&gt;&lt;year&gt;2018&lt;/year&gt;&lt;/dates&gt;&lt;urls&gt;&lt;/urls&gt;&lt;/record&gt;&lt;/Cite&gt;&lt;/EndNote&gt;</w:instrText>
      </w:r>
      <w:r w:rsidRPr="00B716C2">
        <w:fldChar w:fldCharType="separate"/>
      </w:r>
      <w:r>
        <w:rPr>
          <w:noProof/>
        </w:rPr>
        <w:t xml:space="preserve">Australian Government Department of Health. (2018c). </w:t>
      </w:r>
      <w:r w:rsidRPr="00072F71">
        <w:rPr>
          <w:i/>
          <w:noProof/>
        </w:rPr>
        <w:t>Health Care Homes Clinical Reference Group Q&amp;As</w:t>
      </w:r>
      <w:r>
        <w:rPr>
          <w:noProof/>
        </w:rPr>
        <w:t xml:space="preserve">. </w:t>
      </w:r>
      <w:r w:rsidRPr="00B716C2">
        <w:fldChar w:fldCharType="end"/>
      </w:r>
    </w:p>
  </w:footnote>
  <w:footnote w:id="54">
    <w:p w14:paraId="3F74B2C2" w14:textId="19608A2C" w:rsidR="00072F71" w:rsidRDefault="00072F71">
      <w:pPr>
        <w:pStyle w:val="FootnoteText"/>
      </w:pPr>
      <w:r w:rsidRPr="0016474D">
        <w:rPr>
          <w:rStyle w:val="FootnoteReference"/>
          <w:color w:val="408BCA"/>
        </w:rPr>
        <w:footnoteRef/>
      </w:r>
      <w:r>
        <w:t xml:space="preserve"> </w:t>
      </w:r>
      <w:r w:rsidRPr="00B716C2">
        <w:fldChar w:fldCharType="begin"/>
      </w:r>
      <w:r w:rsidR="002D49E8">
        <w:instrText xml:space="preserve"> ADDIN EN.CITE &lt;EndNote&gt;&lt;Cite&gt;&lt;Author&gt;Australian Government Department of Health&lt;/Author&gt;&lt;Year&gt;2017&lt;/Year&gt;&lt;RecNum&gt;1053&lt;/RecNum&gt;&lt;DisplayText&gt;Australian Government Department of Health. (2017a). &lt;style face="italic"&gt;Health Care Homes Patient Information Statement&lt;/style&gt;   https://www1.health.gov.au/internet/main/publishing.nsf/Content/C6EB6F07C8F62954CA2581A90009CA75/$File/HCH%20Patient%20Consent%20Form%20-%20October%202018.pdf &lt;/DisplayText&gt;&lt;record&gt;&lt;rec-number&gt;1053&lt;/rec-number&gt;&lt;foreign-keys&gt;&lt;key app="EN" db-id="zdz9xax04zr9v0evw2nvrpw9xe9ttzvs5zsv" timestamp="1536562972"&gt;1053&lt;/key&gt;&lt;/foreign-keys&gt;&lt;ref-type name="Electronic Book"&gt;44&lt;/ref-type&gt;&lt;contributors&gt;&lt;authors&gt;&lt;author&gt;Australian Government Department of Health,,&lt;/author&gt;&lt;/authors&gt;&lt;/contributors&gt;&lt;titles&gt;&lt;title&gt;Health Care Homes Patient Information Statement&lt;/title&gt;&lt;/titles&gt;&lt;dates&gt;&lt;year&gt;2017&lt;/year&gt;&lt;/dates&gt;&lt;urls&gt;&lt;related-urls&gt;&lt;url&gt;https://www1.health.gov.au/internet/main/publishing.nsf/Content/C6EB6F07C8F62954CA2581A90009CA75/$File/HCH%20Patient%20Consent%20Form%20-%20October%202018.pdf&lt;/url&gt;&lt;/related-urls&gt;&lt;/urls&gt;&lt;/record&gt;&lt;/Cite&gt;&lt;/EndNote&gt;</w:instrText>
      </w:r>
      <w:r w:rsidRPr="00B716C2">
        <w:fldChar w:fldCharType="separate"/>
      </w:r>
      <w:r w:rsidR="002D49E8">
        <w:rPr>
          <w:noProof/>
        </w:rPr>
        <w:t xml:space="preserve">Australian Government Department of Health. (2017a). </w:t>
      </w:r>
      <w:r w:rsidR="002D49E8" w:rsidRPr="002D49E8">
        <w:rPr>
          <w:i/>
          <w:noProof/>
        </w:rPr>
        <w:t>Health Care Homes Patient Information Statement</w:t>
      </w:r>
      <w:r w:rsidR="002D49E8">
        <w:rPr>
          <w:noProof/>
        </w:rPr>
        <w:t xml:space="preserve">   https://www1.health.gov.au/internet/main/publishing.nsf/Content/C6EB6F07C8F62954CA2581A90009CA75/$File/HCH%20Patient%20Consent%20Form%20-%20October%202018.pdf </w:t>
      </w:r>
      <w:r w:rsidRPr="00B716C2">
        <w:fldChar w:fldCharType="end"/>
      </w:r>
    </w:p>
  </w:footnote>
  <w:footnote w:id="55">
    <w:p w14:paraId="6CCD0755" w14:textId="0D240B78" w:rsidR="00072F71" w:rsidRDefault="00072F71">
      <w:pPr>
        <w:pStyle w:val="FootnoteText"/>
      </w:pPr>
      <w:r w:rsidRPr="0016474D">
        <w:rPr>
          <w:rStyle w:val="FootnoteReference"/>
          <w:color w:val="408BCA"/>
        </w:rPr>
        <w:footnoteRef/>
      </w:r>
      <w:r>
        <w:t xml:space="preserve"> </w:t>
      </w:r>
      <w:r w:rsidRPr="00B716C2">
        <w:fldChar w:fldCharType="begin"/>
      </w:r>
      <w:r w:rsidR="002617BC">
        <w:instrText xml:space="preserve"> ADDIN EN.CITE &lt;EndNote&gt;&lt;Cite&gt;&lt;Author&gt;Australian Government Department of Health&lt;/Author&gt;&lt;Year&gt;2018&lt;/Year&gt;&lt;RecNum&gt;1064&lt;/RecNum&gt;&lt;DisplayText&gt;Australian Government Department of Health. (2018b). &lt;style face="italic"&gt;Health Care Home Funding Assurance Toolkit March 2018&lt;/style&gt;. https://www1.health.gov.au/internet/main/publishing.nsf/Content/health-care-homes-assurance-compliance&lt;/DisplayText&gt;&lt;record&gt;&lt;rec-number&gt;1064&lt;/rec-number&gt;&lt;foreign-keys&gt;&lt;key app="EN" db-id="zdz9xax04zr9v0evw2nvrpw9xe9ttzvs5zsv" timestamp="1536891525"&gt;1064&lt;/key&gt;&lt;/foreign-keys&gt;&lt;ref-type name="Report"&gt;27&lt;/ref-type&gt;&lt;contributors&gt;&lt;authors&gt;&lt;author&gt;Australian Government Department of Health,,&lt;/author&gt;&lt;/authors&gt;&lt;/contributors&gt;&lt;titles&gt;&lt;title&gt;Health Care Home Funding Assurance Toolkit March 2018&lt;/title&gt;&lt;/titles&gt;&lt;dates&gt;&lt;year&gt;2018&lt;/year&gt;&lt;/dates&gt;&lt;pub-location&gt;Canberra&lt;/pub-location&gt;&lt;urls&gt;&lt;related-urls&gt;&lt;url&gt;https://www1.health.gov.au/internet/main/publishing.nsf/Content/health-care-homes-assurance-compliance&lt;/url&gt;&lt;/related-urls&gt;&lt;/urls&gt;&lt;/record&gt;&lt;/Cite&gt;&lt;/EndNote&gt;</w:instrText>
      </w:r>
      <w:r w:rsidRPr="00B716C2">
        <w:fldChar w:fldCharType="separate"/>
      </w:r>
      <w:r w:rsidR="002617BC">
        <w:rPr>
          <w:noProof/>
        </w:rPr>
        <w:t xml:space="preserve">Australian Government Department of Health. (2018b). </w:t>
      </w:r>
      <w:r w:rsidR="002617BC" w:rsidRPr="002617BC">
        <w:rPr>
          <w:i/>
          <w:noProof/>
        </w:rPr>
        <w:t>Health Care Home Funding Assurance Toolkit March 2018</w:t>
      </w:r>
      <w:r w:rsidR="002617BC">
        <w:rPr>
          <w:noProof/>
        </w:rPr>
        <w:t>. https://www1.health.gov.au/internet/main/publishing.nsf/Content/health-care-homes-assurance-compliance</w:t>
      </w:r>
      <w:r w:rsidRPr="00B716C2">
        <w:fldChar w:fldCharType="end"/>
      </w:r>
    </w:p>
  </w:footnote>
  <w:footnote w:id="56">
    <w:p w14:paraId="31E3A095" w14:textId="77777777" w:rsidR="007F675C" w:rsidRDefault="007F675C" w:rsidP="007F675C">
      <w:pPr>
        <w:pStyle w:val="FootnoteText"/>
      </w:pPr>
      <w:r w:rsidRPr="0016474D">
        <w:rPr>
          <w:rStyle w:val="FootnoteReference"/>
          <w:color w:val="408BCA"/>
        </w:rPr>
        <w:footnoteRef/>
      </w:r>
      <w:r>
        <w:t xml:space="preserve"> </w:t>
      </w:r>
      <w:r w:rsidRPr="00AA1BF8">
        <w:rPr>
          <w:szCs w:val="18"/>
        </w:rPr>
        <w:fldChar w:fldCharType="begin"/>
      </w:r>
      <w:r>
        <w:rPr>
          <w:szCs w:val="18"/>
        </w:rPr>
        <w:instrText xml:space="preserve"> ADDIN EN.CITE &lt;EndNote&gt;&lt;Cite&gt;&lt;Author&gt;Australian Association of Practice Management&lt;/Author&gt;&lt;Year&gt;2017&lt;/Year&gt;&lt;RecNum&gt;1033&lt;/RecNum&gt;&lt;DisplayText&gt;Australian Association of Practice Management. (2017a). &lt;style face="italic"&gt;Health Care Home Activity Monitoring Guide October 2017&lt;/style&gt;. https://www.aapm.org.au/Portals/1/documents/Health-Care-Homes/HCH_Activity_Monitoring_Guide_Oct_2017.pdf&lt;/DisplayText&gt;&lt;record&gt;&lt;rec-number&gt;1033&lt;/rec-number&gt;&lt;foreign-keys&gt;&lt;key app="EN" db-id="zdz9xax04zr9v0evw2nvrpw9xe9ttzvs5zsv" timestamp="1535440279"&gt;1033&lt;/key&gt;&lt;/foreign-keys&gt;&lt;ref-type name="Report"&gt;27&lt;/ref-type&gt;&lt;contributors&gt;&lt;authors&gt;&lt;author&gt;Australian Association of Practice Management,,&lt;/author&gt;&lt;/authors&gt;&lt;/contributors&gt;&lt;titles&gt;&lt;title&gt;Health Care Home Activity Monitoring Guide October 2017&lt;/title&gt;&lt;/titles&gt;&lt;dates&gt;&lt;year&gt;2017&lt;/year&gt;&lt;/dates&gt;&lt;pub-location&gt;Melbourne&lt;/pub-location&gt;&lt;publisher&gt;AAPM&lt;/publisher&gt;&lt;urls&gt;&lt;related-urls&gt;&lt;url&gt;https://www.aapm.org.au/Portals/1/documents/Health-Care-Homes/HCH_Activity_Monitoring_Guide_Oct_2017.pdf&lt;/url&gt;&lt;/related-urls&gt;&lt;/urls&gt;&lt;/record&gt;&lt;/Cite&gt;&lt;/EndNote&gt;</w:instrText>
      </w:r>
      <w:r w:rsidRPr="00AA1BF8">
        <w:rPr>
          <w:szCs w:val="18"/>
        </w:rPr>
        <w:fldChar w:fldCharType="separate"/>
      </w:r>
      <w:r>
        <w:rPr>
          <w:noProof/>
          <w:szCs w:val="18"/>
        </w:rPr>
        <w:t xml:space="preserve">Australian Association of Practice Management. (2017a). </w:t>
      </w:r>
      <w:r w:rsidRPr="002C07BA">
        <w:rPr>
          <w:i/>
          <w:noProof/>
          <w:szCs w:val="18"/>
        </w:rPr>
        <w:t>Health Care Home Activity Monitoring Guide October 2017</w:t>
      </w:r>
      <w:r>
        <w:rPr>
          <w:noProof/>
          <w:szCs w:val="18"/>
        </w:rPr>
        <w:t>. https://www.aapm.org.au/Portals/1/documents/Health-Care-Homes/HCH_Activity_Monitoring_Guide_Oct_2017.pdf</w:t>
      </w:r>
      <w:r w:rsidRPr="00AA1BF8">
        <w:rPr>
          <w:szCs w:val="18"/>
        </w:rPr>
        <w:fldChar w:fldCharType="end"/>
      </w:r>
    </w:p>
  </w:footnote>
  <w:footnote w:id="57">
    <w:p w14:paraId="271E0B91" w14:textId="77777777" w:rsidR="007F675C" w:rsidRDefault="007F675C" w:rsidP="007F675C">
      <w:pPr>
        <w:pStyle w:val="FootnoteText"/>
      </w:pPr>
      <w:r w:rsidRPr="0016474D">
        <w:rPr>
          <w:rStyle w:val="FootnoteReference"/>
          <w:color w:val="408BCA"/>
        </w:rPr>
        <w:footnoteRef/>
      </w:r>
      <w:r>
        <w:t xml:space="preserve"> </w:t>
      </w:r>
      <w:r w:rsidRPr="00AA1BF8">
        <w:rPr>
          <w:szCs w:val="18"/>
        </w:rPr>
        <w:fldChar w:fldCharType="begin"/>
      </w:r>
      <w:r>
        <w:rPr>
          <w:szCs w:val="18"/>
        </w:rPr>
        <w:instrText xml:space="preserve"> ADDIN EN.CITE &lt;EndNote&gt;&lt;Cite&gt;&lt;Author&gt;Australian Association of Practice Management&lt;/Author&gt;&lt;Year&gt;2017&lt;/Year&gt;&lt;RecNum&gt;1066&lt;/RecNum&gt;&lt;DisplayText&gt;Australian Association of Practice Management. (2017b). &lt;style face="italic"&gt;Webinar: AAPM Health Care Homes Activity Monitoring Guide&lt;/style&gt;. Melbourne. Retrieved 13 September from https://www.aapm.org.au/Knowledge-Hub/Healthcare-Homes&lt;/DisplayText&gt;&lt;record&gt;&lt;rec-number&gt;1066&lt;/rec-number&gt;&lt;foreign-keys&gt;&lt;key app="EN" db-id="zdz9xax04zr9v0evw2nvrpw9xe9ttzvs5zsv" timestamp="1536903535"&gt;1066&lt;/key&gt;&lt;/foreign-keys&gt;&lt;ref-type name="Web Page"&gt;12&lt;/ref-type&gt;&lt;contributors&gt;&lt;authors&gt;&lt;author&gt;Australian Association of Practice Management,,&lt;/author&gt;&lt;/authors&gt;&lt;/contributors&gt;&lt;titles&gt;&lt;title&gt;Webinar: AAPM Health Care Homes Activity Monitoring Guide&lt;/title&gt;&lt;/titles&gt;&lt;volume&gt;2018&lt;/volume&gt;&lt;number&gt;13 September&lt;/number&gt;&lt;dates&gt;&lt;year&gt;2017&lt;/year&gt;&lt;/dates&gt;&lt;pub-location&gt;AAPM&lt;/pub-location&gt;&lt;publisher&gt;Melbourne&lt;/publisher&gt;&lt;urls&gt;&lt;related-urls&gt;&lt;url&gt;https://www.aapm.org.au/Knowledge-Hub/Healthcare-Homes&lt;/url&gt;&lt;/related-urls&gt;&lt;/urls&gt;&lt;/record&gt;&lt;/Cite&gt;&lt;/EndNote&gt;</w:instrText>
      </w:r>
      <w:r w:rsidRPr="00AA1BF8">
        <w:rPr>
          <w:szCs w:val="18"/>
        </w:rPr>
        <w:fldChar w:fldCharType="separate"/>
      </w:r>
      <w:r>
        <w:rPr>
          <w:noProof/>
          <w:szCs w:val="18"/>
        </w:rPr>
        <w:t xml:space="preserve">Australian Association of Practice Management. (2017b). </w:t>
      </w:r>
      <w:r w:rsidRPr="002C07BA">
        <w:rPr>
          <w:i/>
          <w:noProof/>
          <w:szCs w:val="18"/>
        </w:rPr>
        <w:t>Webinar: AAPM Health Care Homes Activity Monitoring Guide</w:t>
      </w:r>
      <w:r>
        <w:rPr>
          <w:noProof/>
          <w:szCs w:val="18"/>
        </w:rPr>
        <w:t>. Melbourne. Retrieved 13 September from https://www.aapm.org.au/Knowledge-Hub/Healthcare-Homes</w:t>
      </w:r>
      <w:r w:rsidRPr="00AA1BF8">
        <w:rPr>
          <w:szCs w:val="18"/>
        </w:rPr>
        <w:fldChar w:fldCharType="end"/>
      </w:r>
    </w:p>
  </w:footnote>
  <w:footnote w:id="58">
    <w:p w14:paraId="53883B59" w14:textId="77777777" w:rsidR="00EB3E36" w:rsidRDefault="00EB3E36" w:rsidP="00EB3E36">
      <w:pPr>
        <w:pStyle w:val="FootnoteText"/>
      </w:pPr>
      <w:r w:rsidRPr="0016474D">
        <w:rPr>
          <w:rStyle w:val="FootnoteReference"/>
          <w:color w:val="408BCA"/>
        </w:rPr>
        <w:footnoteRef/>
      </w:r>
      <w:r>
        <w:t xml:space="preserve"> </w:t>
      </w:r>
      <w:r w:rsidRPr="00AA1BF8">
        <w:rPr>
          <w:szCs w:val="18"/>
        </w:rPr>
        <w:fldChar w:fldCharType="begin"/>
      </w:r>
      <w:r>
        <w:rPr>
          <w:szCs w:val="18"/>
        </w:rPr>
        <w:instrText xml:space="preserve"> ADDIN EN.CITE &lt;EndNote&gt;&lt;Cite&gt;&lt;Author&gt;Australian Association of Practice Management&lt;/Author&gt;&lt;Year&gt;2017&lt;/Year&gt;&lt;RecNum&gt;1033&lt;/RecNum&gt;&lt;DisplayText&gt;Australian Association of Practice Management. (2017a). &lt;style face="italic"&gt;Health Care Home Activity Monitoring Guide October 2017&lt;/style&gt;. https://www.aapm.org.au/Portals/1/documents/Health-Care-Homes/HCH_Activity_Monitoring_Guide_Oct_2017.pdf&lt;/DisplayText&gt;&lt;record&gt;&lt;rec-number&gt;1033&lt;/rec-number&gt;&lt;foreign-keys&gt;&lt;key app="EN" db-id="zdz9xax04zr9v0evw2nvrpw9xe9ttzvs5zsv" timestamp="1535440279"&gt;1033&lt;/key&gt;&lt;/foreign-keys&gt;&lt;ref-type name="Report"&gt;27&lt;/ref-type&gt;&lt;contributors&gt;&lt;authors&gt;&lt;author&gt;Australian Association of Practice Management,,&lt;/author&gt;&lt;/authors&gt;&lt;/contributors&gt;&lt;titles&gt;&lt;title&gt;Health Care Home Activity Monitoring Guide October 2017&lt;/title&gt;&lt;/titles&gt;&lt;dates&gt;&lt;year&gt;2017&lt;/year&gt;&lt;/dates&gt;&lt;pub-location&gt;Melbourne&lt;/pub-location&gt;&lt;publisher&gt;AAPM&lt;/publisher&gt;&lt;urls&gt;&lt;related-urls&gt;&lt;url&gt;https://www.aapm.org.au/Portals/1/documents/Health-Care-Homes/HCH_Activity_Monitoring_Guide_Oct_2017.pdf&lt;/url&gt;&lt;/related-urls&gt;&lt;/urls&gt;&lt;/record&gt;&lt;/Cite&gt;&lt;/EndNote&gt;</w:instrText>
      </w:r>
      <w:r w:rsidRPr="00AA1BF8">
        <w:rPr>
          <w:szCs w:val="18"/>
        </w:rPr>
        <w:fldChar w:fldCharType="separate"/>
      </w:r>
      <w:r>
        <w:rPr>
          <w:noProof/>
          <w:szCs w:val="18"/>
        </w:rPr>
        <w:t xml:space="preserve">Australian Association of Practice Management. (2017a). </w:t>
      </w:r>
      <w:r w:rsidRPr="002C07BA">
        <w:rPr>
          <w:i/>
          <w:noProof/>
          <w:szCs w:val="18"/>
        </w:rPr>
        <w:t>Health Care Home Activity Monitoring Guide October 2017</w:t>
      </w:r>
      <w:r>
        <w:rPr>
          <w:noProof/>
          <w:szCs w:val="18"/>
        </w:rPr>
        <w:t>. https://www.aapm.org.au/Portals/1/documents/Health-Care-Homes/HCH_Activity_Monitoring_Guide_Oct_2017.pdf</w:t>
      </w:r>
      <w:r w:rsidRPr="00AA1BF8">
        <w:rPr>
          <w:szCs w:val="18"/>
        </w:rPr>
        <w:fldChar w:fldCharType="end"/>
      </w:r>
    </w:p>
  </w:footnote>
  <w:footnote w:id="59">
    <w:p w14:paraId="672F31D3" w14:textId="77777777" w:rsidR="008E17A8" w:rsidRDefault="008E17A8" w:rsidP="008E17A8">
      <w:pPr>
        <w:pStyle w:val="FootnoteText"/>
      </w:pPr>
      <w:r w:rsidRPr="00F225A3">
        <w:rPr>
          <w:rStyle w:val="FootnoteReference"/>
          <w:color w:val="408BCA"/>
        </w:rPr>
        <w:footnoteRef/>
      </w:r>
      <w:r>
        <w:t xml:space="preserve"> </w:t>
      </w:r>
      <w:r>
        <w:fldChar w:fldCharType="begin"/>
      </w:r>
      <w:r>
        <w:instrText xml:space="preserve"> ADDIN EN.CITE &lt;EndNote&gt;&lt;Cite&gt;&lt;Author&gt;World Health Organization&lt;/Author&gt;&lt;Year&gt;2015&lt;/Year&gt;&lt;RecNum&gt;11078&lt;/RecNum&gt;&lt;DisplayText&gt;World Health Organization. (2015). &lt;style face="italic"&gt;WHO global strategy on people-centred and integrated health services: interim report&lt;/style&gt;. https://apps.who.int/iris/handle/10665/155002&lt;/DisplayText&gt;&lt;record&gt;&lt;rec-number&gt;11078&lt;/rec-number&gt;&lt;foreign-keys&gt;&lt;key app="EN" db-id="0zf0e9xwqetx57ep9ee5p9skx9zpfpswrx20" timestamp="1656573543" guid="cb22bfd8-d8b6-4c33-88e6-1374ea3e817d"&gt;11078&lt;/key&gt;&lt;/foreign-keys&gt;&lt;ref-type name="Report"&gt;27&lt;/ref-type&gt;&lt;contributors&gt;&lt;authors&gt;&lt;author&gt;World Health Organization,&lt;/author&gt;&lt;/authors&gt;&lt;/contributors&gt;&lt;titles&gt;&lt;title&gt;WHO global strategy on people-centred and integrated health services: interim report&lt;/title&gt;&lt;/titles&gt;&lt;dates&gt;&lt;year&gt;2015&lt;/year&gt;&lt;/dates&gt;&lt;publisher&gt;. World Health Organization&lt;/publisher&gt;&lt;urls&gt;&lt;related-urls&gt;&lt;url&gt;https://apps.who.int/iris/handle/10665/155002&lt;/url&gt;&lt;/related-urls&gt;&lt;/urls&gt;&lt;/record&gt;&lt;/Cite&gt;&lt;/EndNote&gt;</w:instrText>
      </w:r>
      <w:r>
        <w:fldChar w:fldCharType="separate"/>
      </w:r>
      <w:r>
        <w:rPr>
          <w:noProof/>
        </w:rPr>
        <w:t xml:space="preserve">World Health Organization. (2015). </w:t>
      </w:r>
      <w:r w:rsidRPr="00F225A3">
        <w:rPr>
          <w:i/>
          <w:noProof/>
        </w:rPr>
        <w:t>WHO global strategy on people-centred and integrated health services: interim report</w:t>
      </w:r>
      <w:r>
        <w:rPr>
          <w:noProof/>
        </w:rPr>
        <w:t>. https://apps.who.int/iris/handle/10665/155002</w:t>
      </w:r>
      <w:r>
        <w:fldChar w:fldCharType="end"/>
      </w:r>
    </w:p>
  </w:footnote>
  <w:footnote w:id="60">
    <w:p w14:paraId="11A7D92B" w14:textId="77777777" w:rsidR="008106F3" w:rsidRDefault="008106F3" w:rsidP="008106F3">
      <w:pPr>
        <w:pStyle w:val="FootnoteText"/>
      </w:pPr>
      <w:r w:rsidRPr="00983425">
        <w:rPr>
          <w:rStyle w:val="FootnoteReference"/>
          <w:color w:val="408BCA"/>
        </w:rPr>
        <w:footnoteRef/>
      </w:r>
      <w:r>
        <w:t xml:space="preserve"> </w:t>
      </w:r>
      <w:r>
        <w:fldChar w:fldCharType="begin">
          <w:fldData xml:space="preserve">PEVuZE5vdGU+PENpdGU+PEF1dGhvcj5Cb2l2aW48L0F1dGhvcj48WWVhcj4yMDE0PC9ZZWFyPjxS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</w:fldData>
        </w:fldChar>
      </w:r>
      <w:r>
        <w:instrText xml:space="preserve"> ADDIN EN.CITE </w:instrText>
      </w:r>
      <w:r>
        <w:fldChar w:fldCharType="begin">
          <w:fldData xml:space="preserve">PEVuZE5vdGU+PENpdGU+PEF1dGhvcj5Cb2l2aW48L0F1dGhvcj48WWVhcj4yMDE0PC9ZZWFyPjxS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</w:fldData>
        </w:fldChar>
      </w:r>
      <w:r>
        <w:instrText xml:space="preserve"> ADDIN EN.CITE.DATA </w:instrText>
      </w:r>
      <w:r>
        <w:fldChar w:fldCharType="end"/>
      </w:r>
      <w:r>
        <w:fldChar w:fldCharType="separate"/>
      </w:r>
      <w:r>
        <w:rPr>
          <w:noProof/>
        </w:rPr>
        <w:t xml:space="preserve">Boivin, A., Lehoux, P., Lacombe, R., Burgers, J., &amp; Grol, R. (2014). Involving patients in setting priorities for healthcare improvement: a cluster randomized trial. </w:t>
      </w:r>
      <w:r w:rsidRPr="009E5130">
        <w:rPr>
          <w:i/>
          <w:noProof/>
        </w:rPr>
        <w:t>Implementation science : IS, 9</w:t>
      </w:r>
      <w:r>
        <w:rPr>
          <w:noProof/>
        </w:rPr>
        <w:t>, 24.</w:t>
      </w:r>
      <w:r>
        <w:fldChar w:fldCharType="end"/>
      </w:r>
    </w:p>
  </w:footnote>
  <w:footnote w:id="61">
    <w:p w14:paraId="38F070BF" w14:textId="6C1B7405" w:rsidR="00350622" w:rsidRDefault="00350622">
      <w:pPr>
        <w:pStyle w:val="FootnoteText"/>
      </w:pPr>
      <w:r w:rsidRPr="00515D7D">
        <w:rPr>
          <w:rStyle w:val="FootnoteReference"/>
          <w:color w:val="408BCA"/>
        </w:rPr>
        <w:footnoteRef/>
      </w:r>
      <w:r>
        <w:t xml:space="preserve"> </w:t>
      </w:r>
      <w:r w:rsidR="00515D7D">
        <w:t xml:space="preserve">See </w:t>
      </w:r>
      <w:r w:rsidR="001C1FD1" w:rsidRPr="001C1FD1">
        <w:rPr>
          <w:i/>
          <w:iCs/>
        </w:rPr>
        <w:fldChar w:fldCharType="begin"/>
      </w:r>
      <w:r w:rsidR="001C1FD1" w:rsidRPr="001C1FD1">
        <w:rPr>
          <w:i/>
          <w:iCs/>
        </w:rPr>
        <w:instrText xml:space="preserve"> REF _Ref103764569 \h </w:instrText>
      </w:r>
      <w:r w:rsidR="001C1FD1">
        <w:rPr>
          <w:i/>
          <w:iCs/>
        </w:rPr>
        <w:instrText xml:space="preserve"> \* MERGEFORMAT </w:instrText>
      </w:r>
      <w:r w:rsidR="001C1FD1" w:rsidRPr="001C1FD1">
        <w:rPr>
          <w:i/>
          <w:iCs/>
        </w:rPr>
      </w:r>
      <w:r w:rsidR="001C1FD1" w:rsidRPr="001C1FD1">
        <w:rPr>
          <w:i/>
          <w:iCs/>
        </w:rPr>
        <w:fldChar w:fldCharType="separate"/>
      </w:r>
      <w:r w:rsidR="003C4BC2" w:rsidRPr="003C4BC2">
        <w:rPr>
          <w:i/>
          <w:iCs/>
          <w:lang w:val="en-GB"/>
        </w:rPr>
        <w:t xml:space="preserve">Practice self-assessment of </w:t>
      </w:r>
      <w:r w:rsidR="001C1FD1" w:rsidRPr="001C1FD1">
        <w:rPr>
          <w:i/>
          <w:iCs/>
        </w:rPr>
        <w:fldChar w:fldCharType="end"/>
      </w:r>
      <w:r w:rsidR="001C1FD1">
        <w:t xml:space="preserve"> (p. </w:t>
      </w:r>
      <w:r w:rsidR="001C1FD1">
        <w:fldChar w:fldCharType="begin"/>
      </w:r>
      <w:r w:rsidR="001C1FD1">
        <w:instrText xml:space="preserve"> PAGEREF _Ref103764569 \h </w:instrText>
      </w:r>
      <w:r w:rsidR="001C1FD1">
        <w:fldChar w:fldCharType="separate"/>
      </w:r>
      <w:r w:rsidR="001C1FD1">
        <w:rPr>
          <w:noProof/>
        </w:rPr>
        <w:t>116</w:t>
      </w:r>
      <w:r w:rsidR="001C1FD1">
        <w:fldChar w:fldCharType="end"/>
      </w:r>
      <w:r w:rsidR="001C1FD1">
        <w:t xml:space="preserve">) </w:t>
      </w:r>
      <w:r w:rsidR="00515D7D">
        <w:t>for further details of the tool and other results.</w:t>
      </w:r>
    </w:p>
  </w:footnote>
  <w:footnote w:id="62">
    <w:p w14:paraId="15B645D6" w14:textId="664A9F16" w:rsidR="00533E97" w:rsidRDefault="00533E97">
      <w:pPr>
        <w:pStyle w:val="FootnoteText"/>
      </w:pPr>
      <w:r w:rsidRPr="00533E97">
        <w:rPr>
          <w:rStyle w:val="FootnoteReference"/>
          <w:color w:val="408BCA"/>
        </w:rPr>
        <w:footnoteRef/>
      </w:r>
      <w:r>
        <w:t xml:space="preserve"> See Volume 3, Appendix 9, </w:t>
      </w:r>
      <w:r w:rsidRPr="00B45584">
        <w:t>Table 137</w:t>
      </w:r>
      <w:r>
        <w:t xml:space="preserve"> for this analysis.</w:t>
      </w:r>
    </w:p>
  </w:footnote>
  <w:footnote w:id="63">
    <w:p w14:paraId="26E6C92B" w14:textId="3B8B5538" w:rsidR="00AE74AB" w:rsidRPr="007C772B" w:rsidRDefault="00AE74AB" w:rsidP="00AE74AB">
      <w:pPr>
        <w:pStyle w:val="FootnoteText"/>
        <w:rPr>
          <w:lang w:val="en-US"/>
        </w:rPr>
      </w:pPr>
      <w:r w:rsidRPr="00A1698B">
        <w:rPr>
          <w:rStyle w:val="FootnoteReference"/>
          <w:color w:val="408BCA"/>
        </w:rPr>
        <w:footnoteRef/>
      </w:r>
      <w:r>
        <w:t xml:space="preserve"> </w:t>
      </w:r>
      <w:r w:rsidRPr="005461DE">
        <w:fldChar w:fldCharType="begin">
          <w:fldData xml:space="preserve">PEVuZE5vdGU+PENpdGU+PEF1dGhvcj5IaWJiYXJkPC9BdXRob3I+PFllYXI+MjAwNTwvWWVhcj48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</w:fldData>
        </w:fldChar>
      </w:r>
      <w:r w:rsidR="00081D00">
        <w:instrText xml:space="preserve"> ADDIN EN.CITE </w:instrText>
      </w:r>
      <w:r w:rsidR="00081D00">
        <w:fldChar w:fldCharType="begin">
          <w:fldData xml:space="preserve">PEVuZE5vdGU+PENpdGU+PEF1dGhvcj5IaWJiYXJkPC9BdXRob3I+PFllYXI+MjAwNTwvWWVhcj48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</w:fldData>
        </w:fldChar>
      </w:r>
      <w:r w:rsidR="00081D00">
        <w:instrText xml:space="preserve"> ADDIN EN.CITE.DATA </w:instrText>
      </w:r>
      <w:r w:rsidR="00081D00">
        <w:fldChar w:fldCharType="end"/>
      </w:r>
      <w:r w:rsidRPr="005461DE">
        <w:fldChar w:fldCharType="separate"/>
      </w:r>
      <w:r w:rsidR="00081D00">
        <w:rPr>
          <w:noProof/>
        </w:rPr>
        <w:t xml:space="preserve">Hibbard, J. H., Mahoney, E. R., Stockard, J., &amp; Tusler, M. (2005). Development and testing of a short form of the patient activation measure. </w:t>
      </w:r>
      <w:r w:rsidR="00081D00" w:rsidRPr="00081D00">
        <w:rPr>
          <w:i/>
          <w:noProof/>
        </w:rPr>
        <w:t>Health Serv Res, 40</w:t>
      </w:r>
      <w:r w:rsidR="00081D00">
        <w:rPr>
          <w:noProof/>
        </w:rPr>
        <w:t>(6 Pt 1), 1918-1930.</w:t>
      </w:r>
      <w:r w:rsidRPr="005461DE">
        <w:fldChar w:fldCharType="end"/>
      </w:r>
    </w:p>
  </w:footnote>
  <w:footnote w:id="64">
    <w:p w14:paraId="7EC03615" w14:textId="77777777" w:rsidR="00AE74AB" w:rsidRPr="0031678A" w:rsidRDefault="00AE74AB" w:rsidP="00AE74AB">
      <w:pPr>
        <w:pStyle w:val="FootnoteText"/>
        <w:rPr>
          <w:lang w:val="en-US"/>
        </w:rPr>
      </w:pPr>
      <w:r w:rsidRPr="00AE6C60">
        <w:rPr>
          <w:rStyle w:val="FootnoteReference"/>
          <w:color w:val="408BCA"/>
        </w:rPr>
        <w:footnoteRef/>
      </w:r>
      <w:r>
        <w:t xml:space="preserve"> </w:t>
      </w:r>
      <w:r>
        <w:fldChar w:fldCharType="begin"/>
      </w:r>
      <w:r>
        <w:instrText xml:space="preserve"> ADDIN EN.CITE &lt;EndNote&gt;&lt;Cite&gt;&lt;Author&gt;Consumers Health Forum of Australia&lt;/Author&gt;&lt;Year&gt;2019&lt;/Year&gt;&lt;RecNum&gt;1470&lt;/RecNum&gt;&lt;DisplayText&gt;Consumers Health Forum of Australia. (2019). &lt;style face="italic"&gt;Patient Activation in Australians with Chronic Illness – Survey Results&lt;/style&gt;. https://chf.org.au/sites/default/files/20191030_rpt_patient_activation_survey_report_final.pdf&lt;/DisplayText&gt;&lt;record&gt;&lt;rec-number&gt;1470&lt;/rec-number&gt;&lt;foreign-keys&gt;&lt;key app="EN" db-id="zdz9xax04zr9v0evw2nvrpw9xe9ttzvs5zsv" timestamp="1604709530"&gt;1470&lt;/key&gt;&lt;/foreign-keys&gt;&lt;ref-type name="Report"&gt;27&lt;/ref-type&gt;&lt;contributors&gt;&lt;authors&gt;&lt;author&gt;Consumers Health Forum of Australia,,&lt;/author&gt;&lt;/authors&gt;&lt;/contributors&gt;&lt;titles&gt;&lt;title&gt;Patient Activation in Australians with Chronic Illness – Survey Results&lt;/title&gt;&lt;/titles&gt;&lt;dates&gt;&lt;year&gt;2019&lt;/year&gt;&lt;/dates&gt;&lt;pub-location&gt;Canberra&lt;/pub-location&gt;&lt;publisher&gt;CHF&lt;/publisher&gt;&lt;urls&gt;&lt;related-urls&gt;&lt;url&gt;https://chf.org.au/sites/default/files/20191030_rpt_patient_activation_survey_report_final.pdf&lt;/url&gt;&lt;/related-urls&gt;&lt;/urls&gt;&lt;/record&gt;&lt;/Cite&gt;&lt;/EndNote&gt;</w:instrText>
      </w:r>
      <w:r>
        <w:fldChar w:fldCharType="separate"/>
      </w:r>
      <w:r>
        <w:rPr>
          <w:noProof/>
        </w:rPr>
        <w:t xml:space="preserve">Consumers Health Forum of Australia. (2019). </w:t>
      </w:r>
      <w:r w:rsidRPr="00531D90">
        <w:rPr>
          <w:i/>
          <w:noProof/>
        </w:rPr>
        <w:t>Patient Activation in Australians with Chronic Illness – Survey Results</w:t>
      </w:r>
      <w:r>
        <w:rPr>
          <w:noProof/>
        </w:rPr>
        <w:t>. https://chf.org.au/sites/default/files/20191030_rpt_patient_activation_survey_report_final.pdf</w:t>
      </w:r>
      <w:r>
        <w:fldChar w:fldCharType="end"/>
      </w:r>
    </w:p>
  </w:footnote>
  <w:footnote w:id="65">
    <w:p w14:paraId="5F247645" w14:textId="510F94F3" w:rsidR="00AE74AB" w:rsidRDefault="00AE74AB" w:rsidP="00AE74AB">
      <w:pPr>
        <w:pStyle w:val="FootnoteText"/>
      </w:pPr>
      <w:r w:rsidRPr="0054498A">
        <w:rPr>
          <w:rStyle w:val="FootnoteReference"/>
          <w:color w:val="408BCA"/>
        </w:rPr>
        <w:footnoteRef/>
      </w:r>
      <w:r w:rsidRPr="0054498A">
        <w:rPr>
          <w:color w:val="408BCA"/>
        </w:rPr>
        <w:t xml:space="preserve"> </w:t>
      </w:r>
      <w:r>
        <w:fldChar w:fldCharType="begin">
          <w:fldData xml:space="preserve">PEVuZE5vdGU+PENpdGU+PEF1dGhvcj5BeXNvbGE8L0F1dGhvcj48WWVhcj4yMDE1PC9ZZWFyPjxS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</w:fldData>
        </w:fldChar>
      </w:r>
      <w:r w:rsidR="00081D00">
        <w:instrText xml:space="preserve"> ADDIN EN.CITE </w:instrText>
      </w:r>
      <w:r w:rsidR="00081D00">
        <w:fldChar w:fldCharType="begin">
          <w:fldData xml:space="preserve">PEVuZE5vdGU+PENpdGU+PEF1dGhvcj5BeXNvbGE8L0F1dGhvcj48WWVhcj4yMDE1PC9ZZWFyPjxS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</w:fldData>
        </w:fldChar>
      </w:r>
      <w:r w:rsidR="00081D00">
        <w:instrText xml:space="preserve"> ADDIN EN.CITE.DATA </w:instrText>
      </w:r>
      <w:r w:rsidR="00081D00">
        <w:fldChar w:fldCharType="end"/>
      </w:r>
      <w:r>
        <w:fldChar w:fldCharType="separate"/>
      </w:r>
      <w:r w:rsidR="00081D00">
        <w:rPr>
          <w:noProof/>
        </w:rPr>
        <w:t xml:space="preserve">Aysola, J., Rhodes, K. V., &amp; Polsky, D. (2015). Patient-centered medical homes and access to services for new primary care patients. </w:t>
      </w:r>
      <w:r w:rsidR="00081D00" w:rsidRPr="00081D00">
        <w:rPr>
          <w:i/>
          <w:noProof/>
        </w:rPr>
        <w:t>Medical care, 53</w:t>
      </w:r>
      <w:r w:rsidR="00081D00">
        <w:rPr>
          <w:noProof/>
        </w:rPr>
        <w:t>(10), 857-862.</w:t>
      </w:r>
      <w:r>
        <w:fldChar w:fldCharType="end"/>
      </w:r>
    </w:p>
  </w:footnote>
  <w:footnote w:id="66">
    <w:p w14:paraId="14DA2AEE" w14:textId="15C970B5" w:rsidR="00AE74AB" w:rsidRDefault="00AE74AB" w:rsidP="00AE74AB">
      <w:pPr>
        <w:pStyle w:val="FootnoteText"/>
      </w:pPr>
      <w:r w:rsidRPr="0054498A">
        <w:rPr>
          <w:rStyle w:val="FootnoteReference"/>
          <w:color w:val="408BCA"/>
        </w:rPr>
        <w:footnoteRef/>
      </w:r>
      <w:r>
        <w:t xml:space="preserve"> </w:t>
      </w:r>
      <w:r>
        <w:fldChar w:fldCharType="begin">
          <w:fldData xml:space="preserve">PEVuZE5vdGU+PENpdGU+PEF1dGhvcj5CZWFsPC9BdXRob3I+PFllYXI+MjAwOTwvWWVhcj48UmVj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</w:fldData>
        </w:fldChar>
      </w:r>
      <w:r w:rsidR="00081D00">
        <w:instrText xml:space="preserve"> ADDIN EN.CITE </w:instrText>
      </w:r>
      <w:r w:rsidR="00081D00">
        <w:fldChar w:fldCharType="begin">
          <w:fldData xml:space="preserve">PEVuZE5vdGU+PENpdGU+PEF1dGhvcj5CZWFsPC9BdXRob3I+PFllYXI+MjAwOTwvWWVhcj48UmVj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</w:fldData>
        </w:fldChar>
      </w:r>
      <w:r w:rsidR="00081D00">
        <w:instrText xml:space="preserve"> ADDIN EN.CITE.DATA </w:instrText>
      </w:r>
      <w:r w:rsidR="00081D00">
        <w:fldChar w:fldCharType="end"/>
      </w:r>
      <w:r>
        <w:fldChar w:fldCharType="separate"/>
      </w:r>
      <w:r w:rsidR="00081D00">
        <w:rPr>
          <w:noProof/>
        </w:rPr>
        <w:t xml:space="preserve">Beal, A., Hernandez, S., &amp; Doty, M. (2009). Latino access to the patient-centered medical home. </w:t>
      </w:r>
      <w:r w:rsidR="00081D00" w:rsidRPr="00081D00">
        <w:rPr>
          <w:i/>
          <w:noProof/>
        </w:rPr>
        <w:t>Journal of general internal medicine, 24 Suppl 3</w:t>
      </w:r>
      <w:r w:rsidR="00081D00">
        <w:rPr>
          <w:noProof/>
        </w:rPr>
        <w:t>, 514-520.</w:t>
      </w:r>
      <w:r>
        <w:fldChar w:fldCharType="end"/>
      </w:r>
    </w:p>
  </w:footnote>
  <w:footnote w:id="67">
    <w:p w14:paraId="10ADBB97" w14:textId="549063F3" w:rsidR="00AE74AB" w:rsidRDefault="00AE74AB" w:rsidP="00AE74AB">
      <w:pPr>
        <w:pStyle w:val="FootnoteText"/>
      </w:pPr>
      <w:r w:rsidRPr="0054498A">
        <w:rPr>
          <w:rStyle w:val="FootnoteReference"/>
          <w:color w:val="408BCA"/>
        </w:rPr>
        <w:footnoteRef/>
      </w:r>
      <w:r w:rsidRPr="0054498A">
        <w:rPr>
          <w:color w:val="408BCA"/>
        </w:rPr>
        <w:t xml:space="preserve"> </w:t>
      </w:r>
      <w:r>
        <w:fldChar w:fldCharType="begin">
          <w:fldData xml:space="preserve">PEVuZE5vdGU+PENpdGU+PEF1dGhvcj5NY0dvdWdoPC9BdXRob3I+PFllYXI+MjAxNzwvWWVhcj48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</w:fldData>
        </w:fldChar>
      </w:r>
      <w:r w:rsidR="00081D00">
        <w:instrText xml:space="preserve"> ADDIN EN.CITE </w:instrText>
      </w:r>
      <w:r w:rsidR="00081D00">
        <w:fldChar w:fldCharType="begin">
          <w:fldData xml:space="preserve">PEVuZE5vdGU+PENpdGU+PEF1dGhvcj5NY0dvdWdoPC9BdXRob3I+PFllYXI+MjAxNzwvWWVhcj48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</w:fldData>
        </w:fldChar>
      </w:r>
      <w:r w:rsidR="00081D00">
        <w:instrText xml:space="preserve"> ADDIN EN.CITE.DATA </w:instrText>
      </w:r>
      <w:r w:rsidR="00081D00">
        <w:fldChar w:fldCharType="end"/>
      </w:r>
      <w:r>
        <w:fldChar w:fldCharType="separate"/>
      </w:r>
      <w:r w:rsidR="00081D00">
        <w:rPr>
          <w:noProof/>
        </w:rPr>
        <w:t xml:space="preserve">McGough, P. M., Norris, T. E., Scott, J. D., &amp; Burner, T. G. (2017). Meeting the Demands of the Affordable Care Act: Improving Access to Primary Care. </w:t>
      </w:r>
      <w:r w:rsidR="00081D00" w:rsidRPr="00081D00">
        <w:rPr>
          <w:i/>
          <w:noProof/>
        </w:rPr>
        <w:t>Population health management, 20</w:t>
      </w:r>
      <w:r w:rsidR="00081D00">
        <w:rPr>
          <w:noProof/>
        </w:rPr>
        <w:t>(2), 87-89.</w:t>
      </w:r>
      <w:r>
        <w:fldChar w:fldCharType="end"/>
      </w:r>
    </w:p>
  </w:footnote>
  <w:footnote w:id="68">
    <w:p w14:paraId="74023C23" w14:textId="5C78E8A8" w:rsidR="00AE74AB" w:rsidRDefault="00AE74AB" w:rsidP="00AE74AB">
      <w:pPr>
        <w:pStyle w:val="FootnoteText"/>
      </w:pPr>
      <w:r w:rsidRPr="0054498A">
        <w:rPr>
          <w:rStyle w:val="FootnoteReference"/>
          <w:color w:val="408BCA"/>
        </w:rPr>
        <w:footnoteRef/>
      </w:r>
      <w:r>
        <w:t xml:space="preserve"> </w:t>
      </w:r>
      <w:r>
        <w:fldChar w:fldCharType="begin">
          <w:fldData xml:space="preserve">PEVuZE5vdGU+PENpdGU+PEF1dGhvcj5BdWd1c3RpbmU8L0F1dGhvcj48WWVhcj4yMDE5PC9ZZWFy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</w:fldData>
        </w:fldChar>
      </w:r>
      <w:r w:rsidR="00081D00">
        <w:instrText xml:space="preserve"> ADDIN EN.CITE </w:instrText>
      </w:r>
      <w:r w:rsidR="00081D00">
        <w:fldChar w:fldCharType="begin">
          <w:fldData xml:space="preserve">PEVuZE5vdGU+PENpdGU+PEF1dGhvcj5BdWd1c3RpbmU8L0F1dGhvcj48WWVhcj4yMDE5PC9ZZWFy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</w:fldData>
        </w:fldChar>
      </w:r>
      <w:r w:rsidR="00081D00">
        <w:instrText xml:space="preserve"> ADDIN EN.CITE.DATA </w:instrText>
      </w:r>
      <w:r w:rsidR="00081D00">
        <w:fldChar w:fldCharType="end"/>
      </w:r>
      <w:r>
        <w:fldChar w:fldCharType="separate"/>
      </w:r>
      <w:r w:rsidR="00081D00">
        <w:rPr>
          <w:noProof/>
        </w:rPr>
        <w:t xml:space="preserve">Augustine, M. R., Nelson, K. M., Fihn, S. D., &amp; Wong, E. S. (2019). Patient-Reported Access in the Patient-Centered Medical Home and Avoidable Hospitalizations: an Observational Analysis of the Veterans Health Administration [Observational Study]. </w:t>
      </w:r>
      <w:r w:rsidR="00081D00" w:rsidRPr="00081D00">
        <w:rPr>
          <w:i/>
          <w:noProof/>
        </w:rPr>
        <w:t>Journal of general internal medicine, 34</w:t>
      </w:r>
      <w:r w:rsidR="00081D00">
        <w:rPr>
          <w:noProof/>
        </w:rPr>
        <w:t>(8), 1546-1553.</w:t>
      </w:r>
      <w:r>
        <w:fldChar w:fldCharType="end"/>
      </w:r>
    </w:p>
  </w:footnote>
  <w:footnote w:id="69">
    <w:p w14:paraId="14C9F1F8" w14:textId="1E7B9281" w:rsidR="00AE74AB" w:rsidRDefault="00AE74AB" w:rsidP="00AE74AB">
      <w:pPr>
        <w:pStyle w:val="FootnoteText"/>
      </w:pPr>
      <w:r w:rsidRPr="0054498A">
        <w:rPr>
          <w:rStyle w:val="FootnoteReference"/>
          <w:color w:val="408BCA"/>
        </w:rPr>
        <w:footnoteRef/>
      </w:r>
      <w:r>
        <w:t xml:space="preserve"> </w:t>
      </w:r>
      <w:r>
        <w:fldChar w:fldCharType="begin">
          <w:fldData xml:space="preserve">PEVuZE5vdGU+PENpdGU+PEF1dGhvcj5TaW5naDwvQXV0aG9yPjxZZWFyPjIwMTk8L1llYXI+PFJl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</w:fldData>
        </w:fldChar>
      </w:r>
      <w:r w:rsidR="00081D00">
        <w:instrText xml:space="preserve"> ADDIN EN.CITE </w:instrText>
      </w:r>
      <w:r w:rsidR="00081D00">
        <w:fldChar w:fldCharType="begin">
          <w:fldData xml:space="preserve">PEVuZE5vdGU+PENpdGU+PEF1dGhvcj5TaW5naDwvQXV0aG9yPjxZZWFyPjIwMTk8L1llYXI+PFJl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</w:fldData>
        </w:fldChar>
      </w:r>
      <w:r w:rsidR="00081D00">
        <w:instrText xml:space="preserve"> ADDIN EN.CITE.DATA </w:instrText>
      </w:r>
      <w:r w:rsidR="00081D00">
        <w:fldChar w:fldCharType="end"/>
      </w:r>
      <w:r>
        <w:fldChar w:fldCharType="separate"/>
      </w:r>
      <w:r w:rsidR="00081D00">
        <w:rPr>
          <w:noProof/>
        </w:rPr>
        <w:t xml:space="preserve">Singh, J., Dahrouge, S., &amp; Green, M. E. (2019). The impact of the adoption of a patient rostering model on primary care access and continuity of care in urban family practices in Ontario, Canada. </w:t>
      </w:r>
      <w:r w:rsidR="00081D00" w:rsidRPr="00081D00">
        <w:rPr>
          <w:i/>
          <w:noProof/>
        </w:rPr>
        <w:t>BMC family practice, 20</w:t>
      </w:r>
      <w:r w:rsidR="00081D00">
        <w:rPr>
          <w:noProof/>
        </w:rPr>
        <w:t>(1), 52.</w:t>
      </w:r>
      <w:r>
        <w:fldChar w:fldCharType="end"/>
      </w:r>
    </w:p>
  </w:footnote>
  <w:footnote w:id="70">
    <w:p w14:paraId="22547643" w14:textId="60A88087" w:rsidR="00AE74AB" w:rsidRDefault="00AE74AB" w:rsidP="00AE74AB">
      <w:pPr>
        <w:pStyle w:val="FootnoteText"/>
      </w:pPr>
      <w:r w:rsidRPr="0054498A">
        <w:rPr>
          <w:rStyle w:val="FootnoteReference"/>
          <w:color w:val="408BCA"/>
        </w:rPr>
        <w:footnoteRef/>
      </w:r>
      <w:r w:rsidRPr="0054498A">
        <w:rPr>
          <w:color w:val="408BCA"/>
        </w:rPr>
        <w:t xml:space="preserve"> </w:t>
      </w:r>
      <w:r>
        <w:fldChar w:fldCharType="begin">
          <w:fldData xml:space="preserve">PEVuZE5vdGU+PENpdGU+PEF1dGhvcj5TY2h1dHRuZXI8L0F1dGhvcj48WWVhcj4yMDIwPC9ZZWFy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</w:fldData>
        </w:fldChar>
      </w:r>
      <w:r w:rsidR="00081D00">
        <w:instrText xml:space="preserve"> ADDIN EN.CITE </w:instrText>
      </w:r>
      <w:r w:rsidR="00081D00">
        <w:fldChar w:fldCharType="begin">
          <w:fldData xml:space="preserve">PEVuZE5vdGU+PENpdGU+PEF1dGhvcj5TY2h1dHRuZXI8L0F1dGhvcj48WWVhcj4yMDIwPC9ZZWFy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</w:fldData>
        </w:fldChar>
      </w:r>
      <w:r w:rsidR="00081D00">
        <w:instrText xml:space="preserve"> ADDIN EN.CITE.DATA </w:instrText>
      </w:r>
      <w:r w:rsidR="00081D00">
        <w:fldChar w:fldCharType="end"/>
      </w:r>
      <w:r>
        <w:fldChar w:fldCharType="separate"/>
      </w:r>
      <w:r w:rsidR="00081D00">
        <w:rPr>
          <w:noProof/>
        </w:rPr>
        <w:t xml:space="preserve">Schuttner, L., Gunnink, E., Sylling, P., Taylor, L., Fihn, S. D., &amp; Nelson, K. (2020). Components of the Patient-Centered Medical Home Associated with Perceived Access to Primary Care. </w:t>
      </w:r>
      <w:r w:rsidR="00081D00" w:rsidRPr="00081D00">
        <w:rPr>
          <w:i/>
          <w:noProof/>
        </w:rPr>
        <w:t>Journal of general internal medicine, 35</w:t>
      </w:r>
      <w:r w:rsidR="00081D00">
        <w:rPr>
          <w:noProof/>
        </w:rPr>
        <w:t>(6), 1736-1742.</w:t>
      </w:r>
      <w:r>
        <w:fldChar w:fldCharType="end"/>
      </w:r>
    </w:p>
  </w:footnote>
  <w:footnote w:id="71">
    <w:p w14:paraId="77812118" w14:textId="2675FAFA" w:rsidR="00C72D89" w:rsidRPr="00C72D89" w:rsidRDefault="00C72D89">
      <w:pPr>
        <w:pStyle w:val="FootnoteText"/>
        <w:rPr>
          <w:lang w:val="en-US"/>
        </w:rPr>
      </w:pPr>
      <w:r w:rsidRPr="00C72D89">
        <w:rPr>
          <w:rStyle w:val="FootnoteReference"/>
          <w:color w:val="408BCA"/>
        </w:rPr>
        <w:footnoteRef/>
      </w:r>
      <w:r>
        <w:t xml:space="preserve"> </w:t>
      </w:r>
      <w:r w:rsidR="00C1401A">
        <w:fldChar w:fldCharType="begin"/>
      </w:r>
      <w:r w:rsidR="00C1401A">
        <w:instrText xml:space="preserve"> ADDIN EN.CITE &lt;EndNote&gt;&lt;Cite&gt;&lt;Author&gt;MacColl Center for Health Care Innovation at Group Health Research Institute&lt;/Author&gt;&lt;Year&gt;2017&lt;/Year&gt;&lt;RecNum&gt;1&lt;/RecNum&gt;&lt;DisplayText&gt;MacColl Center for Health Care Innovation at Group Health Research Institute, Qualis Health, WentWest, &amp;amp; AGPAL. (2017). &lt;style face="italic"&gt;Health Care Home Assessment&lt;/style&gt;. &lt;/DisplayText&gt;&lt;record&gt;&lt;rec-number&gt;1&lt;/rec-number&gt;&lt;foreign-keys&gt;&lt;key app="EN" db-id="edsasxasbz0fz0eapa2ptdz6rfwfvd5fwtdz" timestamp="1648176093"&gt;1&lt;/key&gt;&lt;/foreign-keys&gt;&lt;ref-type name="Report"&gt;27&lt;/ref-type&gt;&lt;contributors&gt;&lt;authors&gt;&lt;author&gt;MacColl Center for Health Care Innovation at Group Health Research Institute,,&lt;/author&gt;&lt;author&gt;Qualis Health,,&lt;/author&gt;&lt;author&gt;WentWest,,&lt;/author&gt;&lt;author&gt;AGPAL,,&lt;/author&gt;&lt;/authors&gt;&lt;/contributors&gt;&lt;titles&gt;&lt;title&gt;Health Care Home Assessment&lt;/title&gt;&lt;/titles&gt;&lt;dates&gt;&lt;year&gt;2017&lt;/year&gt;&lt;/dates&gt;&lt;pub-location&gt;Brisbane&lt;/pub-location&gt;&lt;urls&gt;&lt;/urls&gt;&lt;/record&gt;&lt;/Cite&gt;&lt;/EndNote&gt;</w:instrText>
      </w:r>
      <w:r w:rsidR="00C1401A">
        <w:fldChar w:fldCharType="separate"/>
      </w:r>
      <w:r w:rsidR="00C1401A">
        <w:rPr>
          <w:noProof/>
        </w:rPr>
        <w:t xml:space="preserve">MacColl Center for Health Care Innovation at Group Health Research Institute, Qualis Health, WentWest, &amp; AGPAL. (2017). </w:t>
      </w:r>
      <w:r w:rsidR="00C1401A" w:rsidRPr="00C1401A">
        <w:rPr>
          <w:i/>
          <w:noProof/>
        </w:rPr>
        <w:t>Health Care Home Assessment</w:t>
      </w:r>
      <w:r w:rsidR="00C1401A">
        <w:rPr>
          <w:noProof/>
        </w:rPr>
        <w:t xml:space="preserve">. </w:t>
      </w:r>
      <w:r w:rsidR="00C1401A">
        <w:fldChar w:fldCharType="end"/>
      </w:r>
    </w:p>
  </w:footnote>
  <w:footnote w:id="72">
    <w:p w14:paraId="179667A0" w14:textId="77777777" w:rsidR="0050335B" w:rsidRPr="00D35583" w:rsidRDefault="0050335B" w:rsidP="0050335B">
      <w:pPr>
        <w:pStyle w:val="FootnoteText"/>
        <w:rPr>
          <w:lang w:val="en-US"/>
        </w:rPr>
      </w:pPr>
      <w:r w:rsidRPr="00C72D89">
        <w:rPr>
          <w:rStyle w:val="FootnoteReference"/>
          <w:color w:val="408BCA"/>
        </w:rPr>
        <w:footnoteRef/>
      </w:r>
      <w:r>
        <w:t xml:space="preserve"> </w:t>
      </w:r>
      <w:r>
        <w:fldChar w:fldCharType="begin"/>
      </w:r>
      <w:r>
        <w:instrText xml:space="preserve"> ADDIN EN.CITE &lt;EndNote&gt;&lt;Cite&gt;&lt;Author&gt;MacColl Center for Health Care Innovation at Group Health Research Institute&lt;/Author&gt;&lt;Year&gt;2014&lt;/Year&gt;&lt;RecNum&gt;918&lt;/RecNum&gt;&lt;DisplayText&gt;MacColl Center for Health Care Innovation at Group Health Research Institute, &amp;amp; Qualis Health. (2014). &lt;style face="italic"&gt;The Patient-Centred Medical Home Assessment Version 4.0.&lt;/style&gt; &lt;/DisplayText&gt;&lt;record&gt;&lt;rec-number&gt;918&lt;/rec-number&gt;&lt;foreign-keys&gt;&lt;key app="EN" db-id="zdz9xax04zr9v0evw2nvrpw9xe9ttzvs5zsv" timestamp="1496562289"&gt;918&lt;/key&gt;&lt;/foreign-keys&gt;&lt;ref-type name="Report"&gt;27&lt;/ref-type&gt;&lt;contributors&gt;&lt;authors&gt;&lt;author&gt;MacColl Center for Health Care Innovation at Group Health Research Institute,,&lt;/author&gt;&lt;author&gt;Qualis Health,,&lt;/author&gt;&lt;/authors&gt;&lt;/contributors&gt;&lt;titles&gt;&lt;title&gt;The Patient-Centred Medical Home Assessment Version 4.0.&lt;/title&gt;&lt;/titles&gt;&lt;dates&gt;&lt;year&gt;2014&lt;/year&gt;&lt;/dates&gt;&lt;pub-location&gt;Seattle&lt;/pub-location&gt;&lt;urls&gt;&lt;/urls&gt;&lt;/record&gt;&lt;/Cite&gt;&lt;/EndNote&gt;</w:instrText>
      </w:r>
      <w:r>
        <w:fldChar w:fldCharType="separate"/>
      </w:r>
      <w:r>
        <w:rPr>
          <w:noProof/>
        </w:rPr>
        <w:t xml:space="preserve">MacColl Center for Health Care Innovation at Group Health Research Institute, &amp; Qualis Health. (2014). </w:t>
      </w:r>
      <w:r w:rsidRPr="00C1401A">
        <w:rPr>
          <w:i/>
          <w:noProof/>
        </w:rPr>
        <w:t>The Patient-Centred Medical Home Assessment Version 4.0.</w:t>
      </w:r>
      <w:r>
        <w:rPr>
          <w:noProof/>
        </w:rPr>
        <w:t xml:space="preserve"> </w:t>
      </w:r>
      <w:r>
        <w:fldChar w:fldCharType="end"/>
      </w:r>
    </w:p>
  </w:footnote>
  <w:footnote w:id="73">
    <w:p w14:paraId="6B50EFF7" w14:textId="71676779" w:rsidR="00086D06" w:rsidRDefault="00086D06" w:rsidP="00086D06">
      <w:pPr>
        <w:pStyle w:val="FootnoteText"/>
      </w:pPr>
      <w:r w:rsidRPr="0054498A">
        <w:rPr>
          <w:rStyle w:val="FootnoteReference"/>
          <w:color w:val="408BCA"/>
        </w:rPr>
        <w:footnoteRef/>
      </w:r>
      <w:r>
        <w:t xml:space="preserve"> </w:t>
      </w:r>
      <w:r>
        <w:fldChar w:fldCharType="begin"/>
      </w:r>
      <w:r w:rsidR="002D49E8">
        <w:instrText xml:space="preserve"> ADDIN EN.CITE &lt;EndNote&gt;&lt;Cite&gt;&lt;Author&gt;Australian Government Department of Health&lt;/Author&gt;&lt;Year&gt;2017&lt;/Year&gt;&lt;RecNum&gt;1055&lt;/RecNum&gt;&lt;DisplayText&gt;Australian Government Department of Health. (2017b). &lt;style face="italic"&gt;Minimum requirements of shared care plans&lt;/style&gt;   http://www.health.gov.au/internet/main/publishing.nsf/Content/health-care-homes-cp/$File/Minimum%20requirements%20shared%20care%20plans_December.pdf &lt;/DisplayText&gt;&lt;record&gt;&lt;rec-number&gt;1055&lt;/rec-number&gt;&lt;foreign-keys&gt;&lt;key app="EN" db-id="zdz9xax04zr9v0evw2nvrpw9xe9ttzvs5zsv" timestamp="1536653853"&gt;1055&lt;/key&gt;&lt;/foreign-keys&gt;&lt;ref-type name="Electronic Book"&gt;44&lt;/ref-type&gt;&lt;contributors&gt;&lt;authors&gt;&lt;author&gt;Australian Government Department of Health,,&lt;/author&gt;&lt;/authors&gt;&lt;/contributors&gt;&lt;titles&gt;&lt;title&gt;Minimum requirements of shared care plans&lt;/title&gt;&lt;/titles&gt;&lt;dates&gt;&lt;year&gt;2017&lt;/year&gt;&lt;/dates&gt;&lt;urls&gt;&lt;related-urls&gt;&lt;url&gt;http://www.health.gov.au/internet/main/publishing.nsf/Content/health-care-homes-cp/$File/Minimum%20requirements%20shared%20care%20plans_December.pdf&lt;/url&gt;&lt;/related-urls&gt;&lt;/urls&gt;&lt;/record&gt;&lt;/Cite&gt;&lt;/EndNote&gt;</w:instrText>
      </w:r>
      <w:r>
        <w:fldChar w:fldCharType="separate"/>
      </w:r>
      <w:r w:rsidR="002D49E8">
        <w:rPr>
          <w:noProof/>
        </w:rPr>
        <w:t xml:space="preserve">Australian Government Department of Health. (2017b). </w:t>
      </w:r>
      <w:r w:rsidR="002D49E8" w:rsidRPr="002D49E8">
        <w:rPr>
          <w:i/>
          <w:noProof/>
        </w:rPr>
        <w:t>Minimum requirements of shared care plans</w:t>
      </w:r>
      <w:r w:rsidR="002D49E8">
        <w:rPr>
          <w:noProof/>
        </w:rPr>
        <w:t xml:space="preserve">   http://www.health.gov.au/internet/main/publishing.nsf/Content/health-care-homes-cp/$File/Minimum%20requirements%20shared%20care%20plans_December.pdf </w:t>
      </w:r>
      <w:r>
        <w:fldChar w:fldCharType="end"/>
      </w:r>
    </w:p>
  </w:footnote>
  <w:footnote w:id="74">
    <w:p w14:paraId="1B12B60B" w14:textId="77777777" w:rsidR="00086D06" w:rsidRDefault="00086D06" w:rsidP="00086D06">
      <w:pPr>
        <w:pStyle w:val="FootnoteText"/>
      </w:pPr>
      <w:r w:rsidRPr="0054498A">
        <w:rPr>
          <w:rStyle w:val="FootnoteReference"/>
          <w:color w:val="408BCA"/>
        </w:rPr>
        <w:footnoteRef/>
      </w:r>
      <w:r>
        <w:t xml:space="preserve"> </w:t>
      </w:r>
      <w:r>
        <w:fldChar w:fldCharType="begin"/>
      </w:r>
      <w:r>
        <w:instrText xml:space="preserve"> ADDIN EN.CITE &lt;EndNote&gt;&lt;Cite&gt;&lt;Author&gt;Australian Government Department of Health&lt;/Author&gt;&lt;Year&gt;2017&lt;/Year&gt;&lt;RecNum&gt;1055&lt;/RecNum&gt;&lt;DisplayText&gt;Ibid.&lt;/DisplayText&gt;&lt;record&gt;&lt;rec-number&gt;1055&lt;/rec-number&gt;&lt;foreign-keys&gt;&lt;key app="EN" db-id="zdz9xax04zr9v0evw2nvrpw9xe9ttzvs5zsv" timestamp="1536653853"&gt;1055&lt;/key&gt;&lt;/foreign-keys&gt;&lt;ref-type name="Electronic Book"&gt;44&lt;/ref-type&gt;&lt;contributors&gt;&lt;authors&gt;&lt;author&gt;Australian Government Department of Health,,&lt;/author&gt;&lt;/authors&gt;&lt;/contributors&gt;&lt;titles&gt;&lt;title&gt;Minimum requirements of shared care plans&lt;/title&gt;&lt;/titles&gt;&lt;dates&gt;&lt;year&gt;2017&lt;/year&gt;&lt;/dates&gt;&lt;urls&gt;&lt;related-urls&gt;&lt;url&gt;http://www.health.gov.au/internet/main/publishing.nsf/Content/health-care-homes-cp/$File/Minimum%20requirements%20shared%20care%20plans_December.pdf&lt;/url&gt;&lt;/related-urls&gt;&lt;/urls&gt;&lt;/record&gt;&lt;/Cite&gt;&lt;/EndNote&gt;</w:instrText>
      </w:r>
      <w:r>
        <w:fldChar w:fldCharType="separate"/>
      </w:r>
      <w:r>
        <w:rPr>
          <w:noProof/>
        </w:rPr>
        <w:t>Ibid.</w:t>
      </w:r>
      <w:r>
        <w:fldChar w:fldCharType="end"/>
      </w:r>
    </w:p>
  </w:footnote>
  <w:footnote w:id="75">
    <w:p w14:paraId="61F59D5A" w14:textId="7A301099" w:rsidR="00876BCD" w:rsidRDefault="00876BCD">
      <w:pPr>
        <w:pStyle w:val="FootnoteText"/>
      </w:pPr>
      <w:r w:rsidRPr="00876BCD">
        <w:rPr>
          <w:rStyle w:val="FootnoteReference"/>
          <w:color w:val="408BCA"/>
        </w:rPr>
        <w:footnoteRef/>
      </w:r>
      <w:r w:rsidRPr="00876BCD">
        <w:rPr>
          <w:color w:val="408BCA"/>
        </w:rPr>
        <w:t xml:space="preserve"> </w:t>
      </w:r>
      <w:r>
        <w:fldChar w:fldCharType="begin"/>
      </w:r>
      <w:r>
        <w:instrText xml:space="preserve"> ADDIN EN.CITE &lt;EndNote&gt;&lt;Cite&gt;&lt;Author&gt;NPS MedicineWise&lt;/Author&gt;&lt;Year&gt;2021&lt;/Year&gt;&lt;RecNum&gt;1533&lt;/RecNum&gt;&lt;DisplayText&gt;NPS MedicineWise. (2021). &lt;style face="italic"&gt;General Practice Insights Report July 2019–June 2020 including analyses related to the impact of COVID-19&lt;/style&gt;. https://www.nps.org.au/assets/NPS/pdf/GPIR-Report-2019-20.pdf&lt;/DisplayText&gt;&lt;record&gt;&lt;rec-number&gt;1533&lt;/rec-number&gt;&lt;foreign-keys&gt;&lt;key app="EN" db-id="zdz9xax04zr9v0evw2nvrpw9xe9ttzvs5zsv" timestamp="1651026972"&gt;1533&lt;/key&gt;&lt;/foreign-keys&gt;&lt;ref-type name="Report"&gt;27&lt;/ref-type&gt;&lt;contributors&gt;&lt;authors&gt;&lt;author&gt;NPS MedicineWise,&lt;/author&gt;&lt;/authors&gt;&lt;/contributors&gt;&lt;titles&gt;&lt;title&gt;General Practice Insights Report July 2019–June 2020 including analyses related to the impact of COVID-19&lt;/title&gt;&lt;/titles&gt;&lt;dates&gt;&lt;year&gt;2021&lt;/year&gt;&lt;/dates&gt;&lt;pub-location&gt;Sydney&lt;/pub-location&gt;&lt;publisher&gt;NPS MedicineWise&lt;/publisher&gt;&lt;urls&gt;&lt;related-urls&gt;&lt;url&gt;https://www.nps.org.au/assets/NPS/pdf/GPIR-Report-2019-20.pdf&lt;/url&gt;&lt;/related-urls&gt;&lt;/urls&gt;&lt;/record&gt;&lt;/Cite&gt;&lt;/EndNote&gt;</w:instrText>
      </w:r>
      <w:r>
        <w:fldChar w:fldCharType="separate"/>
      </w:r>
      <w:r>
        <w:rPr>
          <w:noProof/>
        </w:rPr>
        <w:t xml:space="preserve">NPS MedicineWise. (2021). </w:t>
      </w:r>
      <w:r w:rsidRPr="00876BCD">
        <w:rPr>
          <w:i/>
          <w:noProof/>
        </w:rPr>
        <w:t>General Practice Insights Report July 2019–June 2020 including analyses related to the impact of COVID-19</w:t>
      </w:r>
      <w:r>
        <w:rPr>
          <w:noProof/>
        </w:rPr>
        <w:t>. https://www.nps.org.au/assets/NPS/pdf/GPIR-Report-2019-20.pdf</w:t>
      </w:r>
      <w:r>
        <w:fldChar w:fldCharType="end"/>
      </w:r>
    </w:p>
  </w:footnote>
  <w:footnote w:id="76">
    <w:p w14:paraId="655BF9BD" w14:textId="028BCC23" w:rsidR="000B5CDB" w:rsidRPr="000B5CDB" w:rsidRDefault="000B5CDB">
      <w:pPr>
        <w:pStyle w:val="FootnoteText"/>
        <w:rPr>
          <w:lang w:val="en-US"/>
        </w:rPr>
      </w:pPr>
      <w:r w:rsidRPr="007D130E">
        <w:rPr>
          <w:rStyle w:val="FootnoteReference"/>
          <w:color w:val="408BCA"/>
        </w:rPr>
        <w:footnoteRef/>
      </w:r>
      <w:r>
        <w:t xml:space="preserve"> </w:t>
      </w:r>
      <w:r w:rsidR="00FD2363">
        <w:rPr>
          <w:lang w:val="en-US"/>
        </w:rPr>
        <w:t xml:space="preserve">These estimates </w:t>
      </w:r>
      <w:r w:rsidR="00E66E8A">
        <w:rPr>
          <w:lang w:val="en-US"/>
        </w:rPr>
        <w:t xml:space="preserve">can’t </w:t>
      </w:r>
      <w:r w:rsidR="00802432">
        <w:rPr>
          <w:lang w:val="en-US"/>
        </w:rPr>
        <w:t xml:space="preserve">easily be reconciled with </w:t>
      </w:r>
      <w:r w:rsidR="0025623D">
        <w:rPr>
          <w:lang w:val="en-US"/>
        </w:rPr>
        <w:t xml:space="preserve">estimates based on the </w:t>
      </w:r>
      <w:r w:rsidR="00FD2363">
        <w:rPr>
          <w:lang w:val="en-US"/>
        </w:rPr>
        <w:t>patient surveys</w:t>
      </w:r>
      <w:r w:rsidR="00863929">
        <w:rPr>
          <w:lang w:val="en-US"/>
        </w:rPr>
        <w:t>.</w:t>
      </w:r>
      <w:r w:rsidR="0025623D">
        <w:rPr>
          <w:lang w:val="en-US"/>
        </w:rPr>
        <w:t xml:space="preserve"> In the patient surveys</w:t>
      </w:r>
      <w:r w:rsidR="00F56739">
        <w:rPr>
          <w:lang w:val="en-US"/>
        </w:rPr>
        <w:t xml:space="preserve"> </w:t>
      </w:r>
      <w:r w:rsidR="00376EBA">
        <w:rPr>
          <w:lang w:val="en-US"/>
        </w:rPr>
        <w:t>wave</w:t>
      </w:r>
      <w:r w:rsidR="00F56739">
        <w:rPr>
          <w:lang w:val="en-US"/>
        </w:rPr>
        <w:t xml:space="preserve"> 1</w:t>
      </w:r>
      <w:r w:rsidR="0025623D">
        <w:rPr>
          <w:lang w:val="en-US"/>
        </w:rPr>
        <w:t>, around 5</w:t>
      </w:r>
      <w:r w:rsidR="0048677B">
        <w:rPr>
          <w:lang w:val="en-US"/>
        </w:rPr>
        <w:t>8</w:t>
      </w:r>
      <w:r w:rsidR="0025623D">
        <w:rPr>
          <w:lang w:val="en-US"/>
        </w:rPr>
        <w:t xml:space="preserve">% of patients </w:t>
      </w:r>
      <w:r w:rsidR="0040056A">
        <w:rPr>
          <w:lang w:val="en-US"/>
        </w:rPr>
        <w:t xml:space="preserve">reported </w:t>
      </w:r>
      <w:r w:rsidR="0041671F">
        <w:rPr>
          <w:lang w:val="en-US"/>
        </w:rPr>
        <w:t xml:space="preserve">5 </w:t>
      </w:r>
      <w:r w:rsidR="0040056A">
        <w:rPr>
          <w:lang w:val="en-US"/>
        </w:rPr>
        <w:t xml:space="preserve">or </w:t>
      </w:r>
      <w:r w:rsidR="0040056A" w:rsidRPr="007D130E">
        <w:rPr>
          <w:lang w:val="en-US"/>
        </w:rPr>
        <w:t>more GP consultations</w:t>
      </w:r>
      <w:r w:rsidR="00324BEB" w:rsidRPr="007D130E">
        <w:rPr>
          <w:lang w:val="en-US"/>
        </w:rPr>
        <w:t xml:space="preserve"> </w:t>
      </w:r>
      <w:r w:rsidR="0048677B" w:rsidRPr="007D130E">
        <w:rPr>
          <w:lang w:val="en-US"/>
        </w:rPr>
        <w:t xml:space="preserve">in </w:t>
      </w:r>
      <w:r w:rsidR="00F56739" w:rsidRPr="007D130E">
        <w:rPr>
          <w:lang w:val="en-US"/>
        </w:rPr>
        <w:t xml:space="preserve">the last </w:t>
      </w:r>
      <w:r w:rsidR="00F56739" w:rsidRPr="007D130E">
        <w:rPr>
          <w:u w:val="single"/>
          <w:lang w:val="en-US"/>
        </w:rPr>
        <w:t>six months</w:t>
      </w:r>
      <w:r w:rsidR="0048677B" w:rsidRPr="007D130E">
        <w:rPr>
          <w:lang w:val="en-US"/>
        </w:rPr>
        <w:t>, dropping to</w:t>
      </w:r>
      <w:r w:rsidR="00795E7E" w:rsidRPr="007D130E">
        <w:rPr>
          <w:lang w:val="en-US"/>
        </w:rPr>
        <w:t xml:space="preserve"> 38.3% in wave 3</w:t>
      </w:r>
      <w:r w:rsidR="0048677B" w:rsidRPr="007D130E">
        <w:rPr>
          <w:lang w:val="en-US"/>
        </w:rPr>
        <w:t xml:space="preserve"> </w:t>
      </w:r>
      <w:r w:rsidR="00324BEB" w:rsidRPr="007D130E">
        <w:rPr>
          <w:lang w:val="en-US"/>
        </w:rPr>
        <w:t>(s</w:t>
      </w:r>
      <w:r w:rsidR="0040056A" w:rsidRPr="007D130E">
        <w:rPr>
          <w:lang w:val="en-US"/>
        </w:rPr>
        <w:t xml:space="preserve">ee </w:t>
      </w:r>
      <w:r w:rsidR="00F537D7" w:rsidRPr="00A0227F">
        <w:rPr>
          <w:lang w:val="en-US"/>
        </w:rPr>
        <w:t>Volume 3</w:t>
      </w:r>
      <w:r w:rsidR="00A0227F">
        <w:rPr>
          <w:lang w:val="en-US"/>
        </w:rPr>
        <w:t>,</w:t>
      </w:r>
      <w:r w:rsidR="00F537D7" w:rsidRPr="00A0227F">
        <w:rPr>
          <w:lang w:val="en-US"/>
        </w:rPr>
        <w:t xml:space="preserve"> Appendix </w:t>
      </w:r>
      <w:r w:rsidR="00B7340A" w:rsidRPr="00A0227F">
        <w:rPr>
          <w:lang w:val="en-US"/>
        </w:rPr>
        <w:t>7).</w:t>
      </w:r>
    </w:p>
  </w:footnote>
  <w:footnote w:id="77">
    <w:p w14:paraId="3B2E7D0B" w14:textId="501E9DF2" w:rsidR="00B64620" w:rsidRPr="00B64620" w:rsidRDefault="00B64620">
      <w:pPr>
        <w:pStyle w:val="FootnoteText"/>
        <w:rPr>
          <w:lang w:val="en-US"/>
        </w:rPr>
      </w:pPr>
      <w:r w:rsidRPr="00FA5E3D">
        <w:rPr>
          <w:rStyle w:val="FootnoteReference"/>
          <w:color w:val="408BCA"/>
        </w:rPr>
        <w:footnoteRef/>
      </w:r>
      <w:r w:rsidRPr="00FA5E3D">
        <w:rPr>
          <w:color w:val="408BCA"/>
        </w:rPr>
        <w:t xml:space="preserve"> </w:t>
      </w:r>
      <w:r>
        <w:rPr>
          <w:lang w:val="en-US"/>
        </w:rPr>
        <w:t xml:space="preserve">These estimates are </w:t>
      </w:r>
      <w:r w:rsidR="0048405F">
        <w:rPr>
          <w:lang w:val="en-US"/>
        </w:rPr>
        <w:t xml:space="preserve">lower </w:t>
      </w:r>
      <w:r>
        <w:rPr>
          <w:lang w:val="en-US"/>
        </w:rPr>
        <w:t xml:space="preserve">than </w:t>
      </w:r>
      <w:r w:rsidR="00FA5E3D">
        <w:rPr>
          <w:lang w:val="en-US"/>
        </w:rPr>
        <w:t xml:space="preserve">those </w:t>
      </w:r>
      <w:r>
        <w:rPr>
          <w:lang w:val="en-US"/>
        </w:rPr>
        <w:t xml:space="preserve">based on the </w:t>
      </w:r>
      <w:r w:rsidR="0048405F">
        <w:rPr>
          <w:lang w:val="en-US"/>
        </w:rPr>
        <w:t xml:space="preserve">practice extract data (see </w:t>
      </w:r>
      <w:r w:rsidR="0035480B">
        <w:rPr>
          <w:lang w:val="en-US"/>
        </w:rPr>
        <w:t>Chapter 15</w:t>
      </w:r>
      <w:r w:rsidR="009C25A7">
        <w:rPr>
          <w:lang w:val="en-US"/>
        </w:rPr>
        <w:t>: Encounters with GPs).</w:t>
      </w:r>
      <w:r>
        <w:rPr>
          <w:lang w:val="en-US"/>
        </w:rPr>
        <w:t xml:space="preserve"> </w:t>
      </w:r>
      <w:r w:rsidR="009C25A7">
        <w:rPr>
          <w:lang w:val="en-US"/>
        </w:rPr>
        <w:t xml:space="preserve">The patient extract data </w:t>
      </w:r>
      <w:r w:rsidR="00FE7DE5">
        <w:rPr>
          <w:lang w:val="en-US"/>
        </w:rPr>
        <w:t xml:space="preserve">suggests </w:t>
      </w:r>
      <w:r w:rsidR="00D2279A">
        <w:rPr>
          <w:lang w:val="en-US"/>
        </w:rPr>
        <w:t>87.4</w:t>
      </w:r>
      <w:r>
        <w:rPr>
          <w:lang w:val="en-US"/>
        </w:rPr>
        <w:t xml:space="preserve">% of patients </w:t>
      </w:r>
      <w:r w:rsidR="00D2279A">
        <w:rPr>
          <w:lang w:val="en-US"/>
        </w:rPr>
        <w:t xml:space="preserve">had 5 </w:t>
      </w:r>
      <w:r>
        <w:rPr>
          <w:lang w:val="en-US"/>
        </w:rPr>
        <w:t xml:space="preserve">or more GP consultations in </w:t>
      </w:r>
      <w:r w:rsidR="00D2279A">
        <w:rPr>
          <w:lang w:val="en-US"/>
        </w:rPr>
        <w:t xml:space="preserve">the </w:t>
      </w:r>
      <w:r w:rsidR="004F1E0F">
        <w:rPr>
          <w:lang w:val="en-US"/>
        </w:rPr>
        <w:t xml:space="preserve">12 months </w:t>
      </w:r>
      <w:r w:rsidR="00FA5E3D">
        <w:rPr>
          <w:lang w:val="en-US"/>
        </w:rPr>
        <w:t>before</w:t>
      </w:r>
      <w:r w:rsidR="004F1E0F">
        <w:rPr>
          <w:lang w:val="en-US"/>
        </w:rPr>
        <w:t xml:space="preserve"> enrollment</w:t>
      </w:r>
      <w:r>
        <w:rPr>
          <w:lang w:val="en-US"/>
        </w:rPr>
        <w:t>.</w:t>
      </w:r>
    </w:p>
  </w:footnote>
  <w:footnote w:id="78">
    <w:p w14:paraId="58F5B6A6" w14:textId="02630714" w:rsidR="006A1EAB" w:rsidRDefault="006A1EAB" w:rsidP="006A1EAB">
      <w:pPr>
        <w:pStyle w:val="FootnoteText"/>
      </w:pPr>
      <w:r w:rsidRPr="0054498A">
        <w:rPr>
          <w:rStyle w:val="FootnoteReference"/>
          <w:color w:val="408BCA"/>
        </w:rPr>
        <w:footnoteRef/>
      </w:r>
      <w:r>
        <w:t xml:space="preserve"> </w:t>
      </w:r>
      <w:r>
        <w:fldChar w:fldCharType="begin">
          <w:fldData xml:space="preserve">PEVuZE5vdGU+PENpdGU+PEF1dGhvcj5HaWJib25zPC9BdXRob3I+PFllYXI+MjAxNzwvWWVhcj48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</w:fldData>
        </w:fldChar>
      </w:r>
      <w:r w:rsidR="00081D00">
        <w:instrText xml:space="preserve"> ADDIN EN.CITE </w:instrText>
      </w:r>
      <w:r w:rsidR="00081D00">
        <w:fldChar w:fldCharType="begin">
          <w:fldData xml:space="preserve">PEVuZE5vdGU+PENpdGU+PEF1dGhvcj5HaWJib25zPC9BdXRob3I+PFllYXI+MjAxNzwvWWVhcj48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</w:fldData>
        </w:fldChar>
      </w:r>
      <w:r w:rsidR="00081D00">
        <w:instrText xml:space="preserve"> ADDIN EN.CITE.DATA </w:instrText>
      </w:r>
      <w:r w:rsidR="00081D00">
        <w:fldChar w:fldCharType="end"/>
      </w:r>
      <w:r>
        <w:fldChar w:fldCharType="separate"/>
      </w:r>
      <w:r w:rsidR="00081D00">
        <w:rPr>
          <w:noProof/>
        </w:rPr>
        <w:t xml:space="preserve">Gibbons, C. J., Small, N., Rick, J., Burt, J., Hann, M., &amp; Bower, P. (2017). The Patient Assessment of Chronic Illness Care produces measurements along a single dimension: results from a Mokken analysis. </w:t>
      </w:r>
      <w:r w:rsidR="00081D00" w:rsidRPr="00081D00">
        <w:rPr>
          <w:i/>
          <w:noProof/>
        </w:rPr>
        <w:t>Health Qual Life Outcomes, 15</w:t>
      </w:r>
      <w:r w:rsidR="00081D00">
        <w:rPr>
          <w:noProof/>
        </w:rPr>
        <w:t>(1), 61.</w:t>
      </w:r>
      <w:r>
        <w:fldChar w:fldCharType="end"/>
      </w:r>
    </w:p>
  </w:footnote>
  <w:footnote w:id="79">
    <w:p w14:paraId="656CD166" w14:textId="28C07B03" w:rsidR="006A1EAB" w:rsidRDefault="006A1EAB" w:rsidP="006A1EAB">
      <w:pPr>
        <w:pStyle w:val="FootnoteText"/>
      </w:pPr>
      <w:r w:rsidRPr="0054498A">
        <w:rPr>
          <w:rStyle w:val="FootnoteReference"/>
          <w:color w:val="408BCA"/>
        </w:rPr>
        <w:footnoteRef/>
      </w:r>
      <w:r>
        <w:t xml:space="preserve"> </w:t>
      </w:r>
      <w:r>
        <w:fldChar w:fldCharType="begin"/>
      </w:r>
      <w:r w:rsidR="00DE5AC5">
        <w:instrText xml:space="preserve"> ADDIN EN.CITE &lt;EndNote&gt;&lt;Cite&gt;&lt;Author&gt;Glasgow&lt;/Author&gt;&lt;Year&gt;2005&lt;/Year&gt;&lt;RecNum&gt;1123&lt;/RecNum&gt;&lt;DisplayText&gt;Glasgow, R. E., Wagner, E. H., Schaefer, J., Mahoney, L. D., Reid, R. J., &amp;amp; Greene, S. M. (2005). Development and Validation of the Patient Assessment of Chronic Illness Care (PACIC) [Journal]. &lt;style face="italic"&gt;Medical Care, 43&lt;/style&gt;, 436-444.&lt;/DisplayText&gt;&lt;record&gt;&lt;rec-number&gt;1123&lt;/rec-number&gt;&lt;foreign-keys&gt;&lt;key app="EN" db-id="zdz9xax04zr9v0evw2nvrpw9xe9ttzvs5zsv" timestamp="1570072264"&gt;1123&lt;/key&gt;&lt;/foreign-keys&gt;&lt;ref-type name="Journal Article"&gt;17&lt;/ref-type&gt;&lt;contributors&gt;&lt;authors&gt;&lt;author&gt;Glasgow, R. E.&lt;/author&gt;&lt;author&gt;Wagner, E. H.&lt;/author&gt;&lt;author&gt;Schaefer, J.&lt;/author&gt;&lt;author&gt;Mahoney, L.D.&lt;/author&gt;&lt;author&gt;Reid, R. J.&lt;/author&gt;&lt;author&gt;Greene, S.M.&lt;/author&gt;&lt;/authors&gt;&lt;/contributors&gt;&lt;titles&gt;&lt;title&gt;Development and Validation of the Patient Assessment of Chronic Illness Care (PACIC)&lt;/title&gt;&lt;secondary-title&gt;Medical Care&lt;/secondary-title&gt;&lt;/titles&gt;&lt;periodical&gt;&lt;full-title&gt;Medical Care&lt;/full-title&gt;&lt;/periodical&gt;&lt;pages&gt;436-444&lt;/pages&gt;&lt;volume&gt;43&lt;/volume&gt;&lt;section&gt;436&lt;/section&gt;&lt;dates&gt;&lt;year&gt;2005&lt;/year&gt;&lt;/dates&gt;&lt;work-type&gt;Journal&lt;/work-type&gt;&lt;urls&gt;&lt;/urls&gt;&lt;/record&gt;&lt;/Cite&gt;&lt;/EndNote&gt;</w:instrText>
      </w:r>
      <w:r>
        <w:fldChar w:fldCharType="separate"/>
      </w:r>
      <w:r w:rsidR="00DE5AC5">
        <w:rPr>
          <w:noProof/>
        </w:rPr>
        <w:t xml:space="preserve">Glasgow, R. E., Wagner, E. H., Schaefer, J., Mahoney, L. D., Reid, R. J., &amp; Greene, S. M. (2005). Development and Validation of the Patient Assessment of Chronic Illness Care (PACIC) [Journal]. </w:t>
      </w:r>
      <w:r w:rsidR="00DE5AC5" w:rsidRPr="00DE5AC5">
        <w:rPr>
          <w:i/>
          <w:noProof/>
        </w:rPr>
        <w:t>Medical Care, 43</w:t>
      </w:r>
      <w:r w:rsidR="00DE5AC5">
        <w:rPr>
          <w:noProof/>
        </w:rPr>
        <w:t>, 436-444.</w:t>
      </w:r>
      <w:r>
        <w:fldChar w:fldCharType="end"/>
      </w:r>
    </w:p>
  </w:footnote>
  <w:footnote w:id="80">
    <w:p w14:paraId="1AAA20C1" w14:textId="64B3A8B0" w:rsidR="006A1EAB" w:rsidRDefault="006A1EAB" w:rsidP="006A1EAB">
      <w:pPr>
        <w:pStyle w:val="FootnoteText"/>
      </w:pPr>
      <w:r w:rsidRPr="0054498A">
        <w:rPr>
          <w:rStyle w:val="FootnoteReference"/>
          <w:color w:val="408BCA"/>
        </w:rPr>
        <w:footnoteRef/>
      </w:r>
      <w:r>
        <w:t xml:space="preserve"> </w:t>
      </w:r>
      <w:r>
        <w:fldChar w:fldCharType="begin"/>
      </w:r>
      <w:r w:rsidR="00DE5AC5">
        <w:instrText xml:space="preserve"> ADDIN EN.CITE &lt;EndNote&gt;&lt;Cite&gt;&lt;Author&gt;Schmittdiel&lt;/Author&gt;&lt;Year&gt;2008&lt;/Year&gt;&lt;RecNum&gt;872&lt;/RecNum&gt;&lt;DisplayText&gt;Schmittdiel, J., Mosen, D. M., Glasgow, R. E., Hibbard, J., Remmers, C., &amp;amp; Bellows, J. (2008). Patient Assessment of Chronic Illness Care (PACIC) and improved patient-centered outcomes for chronic conditions. &lt;style face="italic"&gt;J Gen Intern Med, 23&lt;/style&gt;, 77-80.&lt;/DisplayText&gt;&lt;record&gt;&lt;rec-number&gt;872&lt;/rec-number&gt;&lt;foreign-keys&gt;&lt;key app="EN" db-id="zdz9xax04zr9v0evw2nvrpw9xe9ttzvs5zsv" timestamp="1496116929"&gt;872&lt;/key&gt;&lt;/foreign-keys&gt;&lt;ref-type name="Journal Article"&gt;17&lt;/ref-type&gt;&lt;contributors&gt;&lt;authors&gt;&lt;author&gt;Schmittdiel, J.&lt;/author&gt;&lt;author&gt;Mosen, D. M.&lt;/author&gt;&lt;author&gt;Glasgow, R. E.&lt;/author&gt;&lt;author&gt;Hibbard, J.&lt;/author&gt;&lt;author&gt;Remmers, C.&lt;/author&gt;&lt;author&gt;Bellows, J.&lt;/author&gt;&lt;/authors&gt;&lt;/contributors&gt;&lt;titles&gt;&lt;title&gt;Patient Assessment of Chronic Illness Care (PACIC) and improved patient-centered outcomes for chronic conditions&lt;/title&gt;&lt;secondary-title&gt;J Gen Intern Med&lt;/secondary-title&gt;&lt;/titles&gt;&lt;periodical&gt;&lt;full-title&gt;J Gen Intern Med&lt;/full-title&gt;&lt;/periodical&gt;&lt;pages&gt;77-80&lt;/pages&gt;&lt;volume&gt;23&lt;/volume&gt;&lt;section&gt;77&lt;/section&gt;&lt;dates&gt;&lt;year&gt;2008&lt;/year&gt;&lt;pub-dates&gt;&lt;date&gt;2008//&lt;/date&gt;&lt;/pub-dates&gt;&lt;/dates&gt;&lt;urls&gt;&lt;/urls&gt;&lt;/record&gt;&lt;/Cite&gt;&lt;/EndNote&gt;</w:instrText>
      </w:r>
      <w:r>
        <w:fldChar w:fldCharType="separate"/>
      </w:r>
      <w:r w:rsidR="00DE5AC5">
        <w:rPr>
          <w:noProof/>
        </w:rPr>
        <w:t xml:space="preserve">Schmittdiel, J., Mosen, D. M., Glasgow, R. E., Hibbard, J., Remmers, C., &amp; Bellows, J. (2008). Patient Assessment of Chronic Illness Care (PACIC) and improved patient-centered outcomes for chronic conditions. </w:t>
      </w:r>
      <w:r w:rsidR="00DE5AC5" w:rsidRPr="00DE5AC5">
        <w:rPr>
          <w:i/>
          <w:noProof/>
        </w:rPr>
        <w:t>J Gen Intern Med, 23</w:t>
      </w:r>
      <w:r w:rsidR="00DE5AC5">
        <w:rPr>
          <w:noProof/>
        </w:rPr>
        <w:t>, 77-80.</w:t>
      </w:r>
      <w:r>
        <w:fldChar w:fldCharType="end"/>
      </w:r>
    </w:p>
  </w:footnote>
  <w:footnote w:id="81">
    <w:p w14:paraId="4F004861" w14:textId="2730C81B" w:rsidR="0002357B" w:rsidRPr="00756717" w:rsidRDefault="0002357B" w:rsidP="0002357B">
      <w:pPr>
        <w:pStyle w:val="FootnoteText"/>
        <w:rPr>
          <w:lang w:val="en-US"/>
        </w:rPr>
      </w:pPr>
      <w:r w:rsidRPr="00D27ACF">
        <w:rPr>
          <w:rStyle w:val="FootnoteReference"/>
          <w:color w:val="408BCA"/>
        </w:rPr>
        <w:footnoteRef/>
      </w:r>
      <w:r>
        <w:t xml:space="preserve"> </w:t>
      </w:r>
      <w:r w:rsidR="00FF05CA">
        <w:rPr>
          <w:lang w:val="en-US"/>
        </w:rPr>
        <w:t>Th</w:t>
      </w:r>
      <w:r>
        <w:rPr>
          <w:lang w:val="en-US"/>
        </w:rPr>
        <w:t>ese responses</w:t>
      </w:r>
      <w:r w:rsidR="00FF05CA">
        <w:rPr>
          <w:lang w:val="en-US"/>
        </w:rPr>
        <w:t xml:space="preserve"> should be interpreted with caution</w:t>
      </w:r>
      <w:r>
        <w:rPr>
          <w:lang w:val="en-US"/>
        </w:rPr>
        <w:t>, as some studies have shown that patients may have limited awareness of ‘care plans’. They may also confuse the care plan</w:t>
      </w:r>
      <w:r w:rsidR="00D27ACF">
        <w:rPr>
          <w:lang w:val="en-US"/>
        </w:rPr>
        <w:t xml:space="preserve"> created by their general practice</w:t>
      </w:r>
      <w:r>
        <w:rPr>
          <w:lang w:val="en-US"/>
        </w:rPr>
        <w:t xml:space="preserve"> with other plans, such as for aged care and disability services. </w:t>
      </w:r>
    </w:p>
  </w:footnote>
  <w:footnote w:id="82">
    <w:p w14:paraId="5955A50B" w14:textId="3E1BF8EE" w:rsidR="005F1C7C" w:rsidRPr="00AE27CE" w:rsidRDefault="005F1C7C" w:rsidP="005F1C7C">
      <w:pPr>
        <w:pStyle w:val="FootnoteText"/>
      </w:pPr>
      <w:r w:rsidRPr="007D130E">
        <w:rPr>
          <w:rStyle w:val="FootnoteReference"/>
          <w:color w:val="408BCA"/>
        </w:rPr>
        <w:footnoteRef/>
      </w:r>
      <w:r>
        <w:t xml:space="preserve"> </w:t>
      </w:r>
      <w:r w:rsidR="00AE27CE">
        <w:fldChar w:fldCharType="begin"/>
      </w:r>
      <w:r w:rsidR="00DE5AC5">
        <w:instrText xml:space="preserve"> ADDIN EN.CITE &lt;EndNote&gt;&lt;Cite&gt;&lt;Author&gt;Devlin&lt;/Author&gt;&lt;Year&gt;2013&lt;/Year&gt;&lt;RecNum&gt;417&lt;/RecNum&gt;&lt;DisplayText&gt;Devlin, N. J., &amp;amp; Krabbe, P. F. (2013). The development of new research methods for the valuation of EQ-5D-5L. &lt;style face="italic"&gt;Eur J Health Econ, 14 Suppl 1&lt;/style&gt;, S1-3.&lt;/DisplayText&gt;&lt;record&gt;&lt;rec-number&gt;417&lt;/rec-number&gt;&lt;foreign-keys&gt;&lt;key app="EN" db-id="zdz9xax04zr9v0evw2nvrpw9xe9ttzvs5zsv" timestamp="1484969908"&gt;417&lt;/key&gt;&lt;/foreign-keys&gt;&lt;ref-type name="Journal Article"&gt;17&lt;/ref-type&gt;&lt;contributors&gt;&lt;authors&gt;&lt;author&gt;Devlin, N. J.&lt;/author&gt;&lt;author&gt;Krabbe, P. F.&lt;/author&gt;&lt;/authors&gt;&lt;/contributors&gt;&lt;titles&gt;&lt;title&gt;The development of new research methods for the valuation of EQ-5D-5L&lt;/title&gt;&lt;secondary-title&gt;Eur J Health Econ&lt;/secondary-title&gt;&lt;/titles&gt;&lt;periodical&gt;&lt;full-title&gt;Eur J Health Econ&lt;/full-title&gt;&lt;/periodical&gt;&lt;pages&gt;S1-3&lt;/pages&gt;&lt;volume&gt;14 Suppl 1&lt;/volume&gt;&lt;keywords&gt;&lt;keyword&gt;Europe&lt;/keyword&gt;&lt;keyword&gt;Health Services Research/methods&lt;/keyword&gt;&lt;keyword&gt;*Health Status&lt;/keyword&gt;&lt;keyword&gt;Humans&lt;/keyword&gt;&lt;keyword&gt;Quality-Adjusted Life Years&lt;/keyword&gt;&lt;keyword&gt;Surveys and Questionnaires/standards&lt;/keyword&gt;&lt;keyword&gt;Value of Life&lt;/keyword&gt;&lt;/keywords&gt;&lt;dates&gt;&lt;year&gt;2013&lt;/year&gt;&lt;pub-dates&gt;&lt;date&gt;Jul&lt;/date&gt;&lt;/pub-dates&gt;&lt;/dates&gt;&lt;isbn&gt;1618-7601 (Electronic)&amp;#xD;1618-7598 (Linking)&lt;/isbn&gt;&lt;accession-num&gt;23900659&lt;/accession-num&gt;&lt;urls&gt;&lt;related-urls&gt;&lt;url&gt;https://www.ncbi.nlm.nih.gov/pubmed/23900659&lt;/url&gt;&lt;/related-urls&gt;&lt;/urls&gt;&lt;electronic-resource-num&gt;10.1007/s10198-013-0502-3&lt;/electronic-resource-num&gt;&lt;/record&gt;&lt;/Cite&gt;&lt;/EndNote&gt;</w:instrText>
      </w:r>
      <w:r w:rsidR="00AE27CE">
        <w:fldChar w:fldCharType="separate"/>
      </w:r>
      <w:r w:rsidR="00DE5AC5">
        <w:rPr>
          <w:noProof/>
        </w:rPr>
        <w:t xml:space="preserve">Devlin, N. J., &amp; Krabbe, P. F. (2013). The development of new research methods for the valuation of EQ-5D-5L. </w:t>
      </w:r>
      <w:r w:rsidR="00DE5AC5" w:rsidRPr="00DE5AC5">
        <w:rPr>
          <w:i/>
          <w:noProof/>
        </w:rPr>
        <w:t>Eur J Health Econ, 14 Suppl 1</w:t>
      </w:r>
      <w:r w:rsidR="00DE5AC5">
        <w:rPr>
          <w:noProof/>
        </w:rPr>
        <w:t>, S1-3.</w:t>
      </w:r>
      <w:r w:rsidR="00AE27CE">
        <w:fldChar w:fldCharType="end"/>
      </w:r>
    </w:p>
  </w:footnote>
  <w:footnote w:id="83">
    <w:p w14:paraId="41BA80C4" w14:textId="0072296B" w:rsidR="00AE27CE" w:rsidRDefault="00AE27CE">
      <w:pPr>
        <w:pStyle w:val="FootnoteText"/>
      </w:pPr>
      <w:r w:rsidRPr="00AE27CE">
        <w:rPr>
          <w:rStyle w:val="FootnoteReference"/>
          <w:color w:val="408BCA"/>
        </w:rPr>
        <w:footnoteRef/>
      </w:r>
      <w:r>
        <w:t xml:space="preserve"> </w:t>
      </w:r>
      <w:r>
        <w:fldChar w:fldCharType="begin">
          <w:fldData xml:space="preserve">PEVuZE5vdGU+PENpdGU+PEF1dGhvcj5IZXJkbWFuPC9BdXRob3I+PFllYXI+MjAxMTwvWWVhcj48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</w:fldData>
        </w:fldChar>
      </w:r>
      <w:r w:rsidR="00081D00">
        <w:instrText xml:space="preserve"> ADDIN EN.CITE </w:instrText>
      </w:r>
      <w:r w:rsidR="00081D00">
        <w:fldChar w:fldCharType="begin">
          <w:fldData xml:space="preserve">PEVuZE5vdGU+PENpdGU+PEF1dGhvcj5IZXJkbWFuPC9BdXRob3I+PFllYXI+MjAxMTwvWWVhcj48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</w:fldData>
        </w:fldChar>
      </w:r>
      <w:r w:rsidR="00081D00">
        <w:instrText xml:space="preserve"> ADDIN EN.CITE.DATA </w:instrText>
      </w:r>
      <w:r w:rsidR="00081D00">
        <w:fldChar w:fldCharType="end"/>
      </w:r>
      <w:r>
        <w:fldChar w:fldCharType="separate"/>
      </w:r>
      <w:r w:rsidR="00081D00">
        <w:rPr>
          <w:noProof/>
        </w:rPr>
        <w:t xml:space="preserve">Herdman, M., Gudex, C., Lloyd, A., Janssen, M., Kind, P., Parkin, D., Bonsel, G., &amp; Badia, X. (2011). Development and preliminary testing of the new five-level version of EQ-5D (EQ-5D-5L). </w:t>
      </w:r>
      <w:r w:rsidR="00081D00" w:rsidRPr="00081D00">
        <w:rPr>
          <w:i/>
          <w:noProof/>
        </w:rPr>
        <w:t>Qual Life Res, 20</w:t>
      </w:r>
      <w:r w:rsidR="00081D00">
        <w:rPr>
          <w:noProof/>
        </w:rPr>
        <w:t>(10), 1727-1736.</w:t>
      </w:r>
      <w:r>
        <w:fldChar w:fldCharType="end"/>
      </w:r>
    </w:p>
  </w:footnote>
  <w:footnote w:id="84">
    <w:p w14:paraId="2B83AC21" w14:textId="7DA85E5E" w:rsidR="004307BA" w:rsidRPr="004307BA" w:rsidRDefault="004307BA">
      <w:pPr>
        <w:pStyle w:val="FootnoteText"/>
        <w:rPr>
          <w:lang w:val="en-US"/>
        </w:rPr>
      </w:pPr>
      <w:r w:rsidRPr="00377B87">
        <w:rPr>
          <w:rStyle w:val="FootnoteReference"/>
          <w:color w:val="408BCA"/>
          <w:sz w:val="20"/>
          <w:szCs w:val="22"/>
          <w:lang w:val="en-GB"/>
        </w:rPr>
        <w:footnoteRef/>
      </w:r>
      <w:r>
        <w:t xml:space="preserve"> </w:t>
      </w:r>
      <w:r>
        <w:rPr>
          <w:lang w:val="en-GB"/>
        </w:rPr>
        <w:fldChar w:fldCharType="begin"/>
      </w:r>
      <w:r w:rsidR="00C91B1E">
        <w:rPr>
          <w:lang w:val="en-GB"/>
        </w:rPr>
        <w:instrText xml:space="preserve"> ADDIN EN.CITE &lt;EndNote&gt;&lt;Cite&gt;&lt;Author&gt;Page&lt;/Author&gt;&lt;Year&gt;2019&lt;/Year&gt;&lt;RecNum&gt;1563&lt;/RecNum&gt;&lt;DisplayText&gt;Page, A. T., Falster, M. O., Litchfield, M., Pearson, S. A., &amp;amp; Etherton</w:instrText>
      </w:r>
      <w:r w:rsidR="00C91B1E">
        <w:rPr>
          <w:rFonts w:ascii="Times New Roman" w:hAnsi="Times New Roman" w:cs="Times New Roman"/>
          <w:lang w:val="en-GB"/>
        </w:rPr>
        <w:instrText>‐</w:instrText>
      </w:r>
      <w:r w:rsidR="00C91B1E">
        <w:rPr>
          <w:lang w:val="en-GB"/>
        </w:rPr>
        <w:instrText>Beer, C. (2019). Polypharmacy among older Australians, 2006</w:instrText>
      </w:r>
      <w:r w:rsidR="00C91B1E">
        <w:rPr>
          <w:rFonts w:cs="Muli"/>
          <w:lang w:val="en-GB"/>
        </w:rPr>
        <w:instrText>–</w:instrText>
      </w:r>
      <w:r w:rsidR="00C91B1E">
        <w:rPr>
          <w:lang w:val="en-GB"/>
        </w:rPr>
        <w:instrText>2017: a population</w:instrText>
      </w:r>
      <w:r w:rsidR="00C91B1E">
        <w:rPr>
          <w:rFonts w:ascii="Times New Roman" w:hAnsi="Times New Roman" w:cs="Times New Roman"/>
          <w:lang w:val="en-GB"/>
        </w:rPr>
        <w:instrText>‐</w:instrText>
      </w:r>
      <w:r w:rsidR="00C91B1E">
        <w:rPr>
          <w:lang w:val="en-GB"/>
        </w:rPr>
        <w:instrText>based study. &lt;style face="italic"&gt;Med J Aust 211&lt;/style&gt;(2), 71-75.&lt;/DisplayText&gt;&lt;record&gt;&lt;rec-number&gt;1563&lt;/rec-number&gt;&lt;foreign-keys&gt;&lt;key app="EN" db-id="zdz9xax04zr9v0evw2nvrpw9xe9ttzvs5zsv" timestamp="1651648709"&gt;1563&lt;/key&gt;&lt;/foreign-keys&gt;&lt;ref-type name="Journal Article"&gt;17&lt;/ref-type&gt;&lt;contributors&gt;&lt;authors&gt;&lt;author&gt;Amy T Page&lt;/author&gt;&lt;author&gt;Michael O Falster&lt;/author&gt;&lt;author&gt;Melisa Litchfield&lt;/author&gt;&lt;author&gt;Sallie</w:instrText>
      </w:r>
      <w:r w:rsidR="00C91B1E">
        <w:rPr>
          <w:rFonts w:ascii="Times New Roman" w:hAnsi="Times New Roman" w:cs="Times New Roman"/>
          <w:lang w:val="en-GB"/>
        </w:rPr>
        <w:instrText>‐</w:instrText>
      </w:r>
      <w:r w:rsidR="00C91B1E">
        <w:rPr>
          <w:lang w:val="en-GB"/>
        </w:rPr>
        <w:instrText>Anne Pearson&lt;/author&gt;&lt;author&gt;Christopher Etherton</w:instrText>
      </w:r>
      <w:r w:rsidR="00C91B1E">
        <w:rPr>
          <w:rFonts w:ascii="Times New Roman" w:hAnsi="Times New Roman" w:cs="Times New Roman"/>
          <w:lang w:val="en-GB"/>
        </w:rPr>
        <w:instrText>‐</w:instrText>
      </w:r>
      <w:r w:rsidR="00C91B1E">
        <w:rPr>
          <w:lang w:val="en-GB"/>
        </w:rPr>
        <w:instrText>Beer&lt;/author&gt;&lt;/authors&gt;&lt;/contributors&gt;&lt;titles&gt;&lt;title&gt;Polypharmacy among older Australians, 2006</w:instrText>
      </w:r>
      <w:r w:rsidR="00C91B1E">
        <w:rPr>
          <w:rFonts w:cs="Muli"/>
          <w:lang w:val="en-GB"/>
        </w:rPr>
        <w:instrText>–</w:instrText>
      </w:r>
      <w:r w:rsidR="00C91B1E">
        <w:rPr>
          <w:lang w:val="en-GB"/>
        </w:rPr>
        <w:instrText>2017: a population</w:instrText>
      </w:r>
      <w:r w:rsidR="00C91B1E">
        <w:rPr>
          <w:rFonts w:ascii="Times New Roman" w:hAnsi="Times New Roman" w:cs="Times New Roman"/>
          <w:lang w:val="en-GB"/>
        </w:rPr>
        <w:instrText>‐</w:instrText>
      </w:r>
      <w:r w:rsidR="00C91B1E">
        <w:rPr>
          <w:lang w:val="en-GB"/>
        </w:rPr>
        <w:instrText>based study&lt;/title&gt;&lt;secondary-title&gt;Med J Aust &lt;/secondary-title&gt;&lt;/titles&gt;&lt;pages&gt;71-75&lt;/pages&gt;&lt;volume&gt;211&lt;/volume&gt;&lt;number&gt;2&lt;/number&gt;&lt;dates&gt;&lt;year&gt;2019&lt;/year&gt;&lt;/dates&gt;&lt;urls&gt;&lt;/urls&gt;&lt;electronic-resource-num&gt;10.5694/mja2.50244&lt;/electronic-resource-num&gt;&lt;/record&gt;&lt;/Cite&gt;&lt;/EndNote&gt;</w:instrText>
      </w:r>
      <w:r>
        <w:rPr>
          <w:lang w:val="en-GB"/>
        </w:rPr>
        <w:fldChar w:fldCharType="separate"/>
      </w:r>
      <w:r w:rsidR="00C91B1E">
        <w:rPr>
          <w:noProof/>
          <w:lang w:val="en-GB"/>
        </w:rPr>
        <w:t>Page, A. T., Falster, M. O., Litchfield, M., Pearson, S. A., &amp; Etherton</w:t>
      </w:r>
      <w:r w:rsidR="00C91B1E">
        <w:rPr>
          <w:rFonts w:ascii="Times New Roman" w:hAnsi="Times New Roman" w:cs="Times New Roman"/>
          <w:noProof/>
          <w:lang w:val="en-GB"/>
        </w:rPr>
        <w:t>‐</w:t>
      </w:r>
      <w:r w:rsidR="00C91B1E">
        <w:rPr>
          <w:noProof/>
          <w:lang w:val="en-GB"/>
        </w:rPr>
        <w:t>Beer, C. (2019). Polypharmacy among older Australians, 2006</w:t>
      </w:r>
      <w:r w:rsidR="00C91B1E">
        <w:rPr>
          <w:rFonts w:cs="Muli"/>
          <w:noProof/>
          <w:lang w:val="en-GB"/>
        </w:rPr>
        <w:t>–</w:t>
      </w:r>
      <w:r w:rsidR="00C91B1E">
        <w:rPr>
          <w:noProof/>
          <w:lang w:val="en-GB"/>
        </w:rPr>
        <w:t>2017: a population</w:t>
      </w:r>
      <w:r w:rsidR="00C91B1E">
        <w:rPr>
          <w:rFonts w:ascii="Times New Roman" w:hAnsi="Times New Roman" w:cs="Times New Roman"/>
          <w:noProof/>
          <w:lang w:val="en-GB"/>
        </w:rPr>
        <w:t>‐</w:t>
      </w:r>
      <w:r w:rsidR="00C91B1E">
        <w:rPr>
          <w:noProof/>
          <w:lang w:val="en-GB"/>
        </w:rPr>
        <w:t xml:space="preserve">based study. </w:t>
      </w:r>
      <w:r w:rsidR="00C91B1E" w:rsidRPr="00C91B1E">
        <w:rPr>
          <w:i/>
          <w:noProof/>
          <w:lang w:val="en-GB"/>
        </w:rPr>
        <w:t>Med J Aust 211</w:t>
      </w:r>
      <w:r w:rsidR="00C91B1E">
        <w:rPr>
          <w:noProof/>
          <w:lang w:val="en-GB"/>
        </w:rPr>
        <w:t>(2), 71-75.</w:t>
      </w:r>
      <w:r>
        <w:rPr>
          <w:lang w:val="en-GB"/>
        </w:rPr>
        <w:fldChar w:fldCharType="end"/>
      </w:r>
    </w:p>
  </w:footnote>
  <w:footnote w:id="85">
    <w:p w14:paraId="5160320A" w14:textId="20FB6912" w:rsidR="00855319" w:rsidRPr="004307BA" w:rsidRDefault="00855319" w:rsidP="00855319">
      <w:pPr>
        <w:pStyle w:val="FootnoteText"/>
        <w:rPr>
          <w:lang w:val="en-US"/>
        </w:rPr>
      </w:pPr>
      <w:r w:rsidRPr="00377B87">
        <w:rPr>
          <w:rStyle w:val="FootnoteReference"/>
          <w:color w:val="408BCA"/>
          <w:sz w:val="20"/>
          <w:szCs w:val="22"/>
          <w:lang w:val="en-GB"/>
        </w:rPr>
        <w:footnoteRef/>
      </w:r>
      <w:r>
        <w:t xml:space="preserve"> </w:t>
      </w:r>
      <w:r>
        <w:rPr>
          <w:lang w:val="en-GB"/>
        </w:rPr>
        <w:fldChar w:fldCharType="begin"/>
      </w:r>
      <w:r w:rsidR="00AE27CE">
        <w:rPr>
          <w:lang w:val="en-GB"/>
        </w:rPr>
        <w:instrText xml:space="preserve"> ADDIN EN.CITE &lt;EndNote&gt;&lt;Cite&gt;&lt;Author&gt;Page&lt;/Author&gt;&lt;Year&gt;2019&lt;/Year&gt;&lt;RecNum&gt;1563&lt;/RecNum&gt;&lt;DisplayText&gt;Ibid.&lt;/DisplayText&gt;&lt;record&gt;&lt;rec-number&gt;1563&lt;/rec-number&gt;&lt;foreign-keys&gt;&lt;key app="EN" db-id="zdz9xax04zr9v0evw2nvrpw9xe9ttzvs5zsv" timestamp="1651648709"&gt;1563&lt;/key&gt;&lt;/foreign-keys&gt;&lt;ref-type name="Journal Article"&gt;17&lt;/ref-type&gt;&lt;contributors&gt;&lt;authors&gt;&lt;author&gt;Amy T Page&lt;/author&gt;&lt;author&gt;Michael O Falster&lt;/author&gt;&lt;author&gt;Melisa Litchfield&lt;/author&gt;&lt;author&gt;Sallie</w:instrText>
      </w:r>
      <w:r w:rsidR="00AE27CE">
        <w:rPr>
          <w:rFonts w:ascii="Times New Roman" w:hAnsi="Times New Roman" w:cs="Times New Roman"/>
          <w:lang w:val="en-GB"/>
        </w:rPr>
        <w:instrText>‐</w:instrText>
      </w:r>
      <w:r w:rsidR="00AE27CE">
        <w:rPr>
          <w:lang w:val="en-GB"/>
        </w:rPr>
        <w:instrText>Anne Pearson&lt;/author&gt;&lt;author&gt;Christopher Etherton</w:instrText>
      </w:r>
      <w:r w:rsidR="00AE27CE">
        <w:rPr>
          <w:rFonts w:ascii="Times New Roman" w:hAnsi="Times New Roman" w:cs="Times New Roman"/>
          <w:lang w:val="en-GB"/>
        </w:rPr>
        <w:instrText>‐</w:instrText>
      </w:r>
      <w:r w:rsidR="00AE27CE">
        <w:rPr>
          <w:lang w:val="en-GB"/>
        </w:rPr>
        <w:instrText>Beer&lt;/author&gt;&lt;/authors&gt;&lt;/contributors&gt;&lt;titles&gt;&lt;title&gt;Polypharmacy among older Australians, 2006</w:instrText>
      </w:r>
      <w:r w:rsidR="00AE27CE">
        <w:rPr>
          <w:rFonts w:cs="Muli"/>
          <w:lang w:val="en-GB"/>
        </w:rPr>
        <w:instrText>–</w:instrText>
      </w:r>
      <w:r w:rsidR="00AE27CE">
        <w:rPr>
          <w:lang w:val="en-GB"/>
        </w:rPr>
        <w:instrText>2017: a population</w:instrText>
      </w:r>
      <w:r w:rsidR="00AE27CE">
        <w:rPr>
          <w:rFonts w:ascii="Times New Roman" w:hAnsi="Times New Roman" w:cs="Times New Roman"/>
          <w:lang w:val="en-GB"/>
        </w:rPr>
        <w:instrText>‐</w:instrText>
      </w:r>
      <w:r w:rsidR="00AE27CE">
        <w:rPr>
          <w:lang w:val="en-GB"/>
        </w:rPr>
        <w:instrText>based study&lt;/title&gt;&lt;secondary-title&gt;Med J Aust &lt;/secondary-title&gt;&lt;/titles&gt;&lt;pages&gt;71-75&lt;/pages&gt;&lt;volume&gt;211&lt;/volume&gt;&lt;number&gt;2&lt;/number&gt;&lt;dates&gt;&lt;year&gt;2019&lt;/year&gt;&lt;/dates&gt;&lt;urls&gt;&lt;/urls&gt;&lt;electronic-resource-num&gt;10.5694/mja2.50244&lt;/electronic-resource-num&gt;&lt;/record&gt;&lt;/Cite&gt;&lt;/EndNote&gt;</w:instrText>
      </w:r>
      <w:r>
        <w:rPr>
          <w:lang w:val="en-GB"/>
        </w:rPr>
        <w:fldChar w:fldCharType="separate"/>
      </w:r>
      <w:r w:rsidR="006003C1">
        <w:rPr>
          <w:noProof/>
          <w:lang w:val="en-GB"/>
        </w:rPr>
        <w:t>Ibid.</w:t>
      </w:r>
      <w:r>
        <w:rPr>
          <w:lang w:val="en-GB"/>
        </w:rPr>
        <w:fldChar w:fldCharType="end"/>
      </w:r>
    </w:p>
  </w:footnote>
  <w:footnote w:id="86">
    <w:p w14:paraId="0A02864F" w14:textId="5BB79D3B" w:rsidR="00672FBE" w:rsidRPr="00672FBE" w:rsidRDefault="00672FBE">
      <w:pPr>
        <w:pStyle w:val="FootnoteText"/>
        <w:rPr>
          <w:lang w:val="en-US"/>
        </w:rPr>
      </w:pPr>
      <w:r w:rsidRPr="00AE43A8">
        <w:rPr>
          <w:rStyle w:val="FootnoteReference"/>
          <w:color w:val="408BCA"/>
        </w:rPr>
        <w:footnoteRef/>
      </w:r>
      <w:r>
        <w:t xml:space="preserve"> </w:t>
      </w:r>
      <w:r w:rsidR="00AE43A8">
        <w:rPr>
          <w:lang w:val="en-GB"/>
        </w:rPr>
        <w:fldChar w:fldCharType="begin"/>
      </w:r>
      <w:r w:rsidR="006003C1">
        <w:rPr>
          <w:lang w:val="en-GB"/>
        </w:rPr>
        <w:instrText xml:space="preserve"> ADDIN EN.CITE &lt;EndNote&gt;&lt;Cite&gt;&lt;Author&gt;Australian Institute of Health and Welfare&lt;/Author&gt;&lt;Year&gt;2019&lt;/Year&gt;&lt;RecNum&gt;37&lt;/RecNum&gt;&lt;DisplayText&gt;Australian Institute of Health and Welfare. (2019). &lt;style face="italic"&gt;National Healthcare Agreement: PI 18–Selected potentially preventable hospitalisations, 2019 [METeOR 698954]&lt;/style&gt;. https://meteor.aihw.gov.au/content/index.phtml/itemId/698954&lt;/DisplayText&gt;&lt;record&gt;&lt;rec-number&gt;37&lt;/rec-number&gt;&lt;foreign-keys&gt;&lt;key app="EN" db-id="5dxzsadzad0p2sewrwupswp3fxzdrezrpa2a" timestamp="1645963099"&gt;37&lt;/key&gt;&lt;/foreign-keys&gt;&lt;ref-type name="Report"&gt;27&lt;/ref-type&gt;&lt;contributors&gt;&lt;authors&gt;&lt;author&gt;Australian Institute of Health and Welfare,&lt;/author&gt;&lt;/authors&gt;&lt;/contributors&gt;&lt;titles&gt;&lt;title&gt;National Healthcare Agreement: PI 18–Selected potentially preventable hospitalisations, 2019 [METeOR 698954]&lt;/title&gt;&lt;/titles&gt;&lt;dates&gt;&lt;year&gt;2019&lt;/year&gt;&lt;/dates&gt;&lt;pub-location&gt;Canberra&lt;/pub-location&gt;&lt;publisher&gt;AIHW&lt;/publisher&gt;&lt;urls&gt;&lt;related-urls&gt;&lt;url&gt;https://meteor.aihw.gov.au/content/index.phtml/itemId/698954&lt;/url&gt;&lt;/related-urls&gt;&lt;/urls&gt;&lt;/record&gt;&lt;/Cite&gt;&lt;/EndNote&gt;</w:instrText>
      </w:r>
      <w:r w:rsidR="00AE43A8">
        <w:rPr>
          <w:lang w:val="en-GB"/>
        </w:rPr>
        <w:fldChar w:fldCharType="separate"/>
      </w:r>
      <w:r w:rsidR="006003C1">
        <w:rPr>
          <w:noProof/>
          <w:lang w:val="en-GB"/>
        </w:rPr>
        <w:t xml:space="preserve">Australian Institute of Health and Welfare. (2019). </w:t>
      </w:r>
      <w:r w:rsidR="006003C1" w:rsidRPr="006003C1">
        <w:rPr>
          <w:i/>
          <w:noProof/>
          <w:lang w:val="en-GB"/>
        </w:rPr>
        <w:t>National Healthcare Agreement: PI 18–Selected potentially preventable hospitalisations, 2019 [METeOR 698954]</w:t>
      </w:r>
      <w:r w:rsidR="006003C1">
        <w:rPr>
          <w:noProof/>
          <w:lang w:val="en-GB"/>
        </w:rPr>
        <w:t>. https://meteor.aihw.gov.au/content/index.phtml/itemId/698954</w:t>
      </w:r>
      <w:r w:rsidR="00AE43A8">
        <w:rPr>
          <w:lang w:val="en-GB"/>
        </w:rPr>
        <w:fldChar w:fldCharType="end"/>
      </w:r>
    </w:p>
  </w:footnote>
  <w:footnote w:id="87">
    <w:p w14:paraId="15E01727" w14:textId="63E9F530" w:rsidR="00AE43A8" w:rsidRPr="00AE43A8" w:rsidRDefault="00AE43A8">
      <w:pPr>
        <w:pStyle w:val="FootnoteText"/>
        <w:rPr>
          <w:lang w:val="en-US"/>
        </w:rPr>
      </w:pPr>
      <w:r w:rsidRPr="00AE43A8">
        <w:rPr>
          <w:rStyle w:val="FootnoteReference"/>
          <w:color w:val="408BCA"/>
        </w:rPr>
        <w:footnoteRef/>
      </w:r>
      <w:r>
        <w:t xml:space="preserve"> </w:t>
      </w:r>
      <w:r>
        <w:fldChar w:fldCharType="begin"/>
      </w:r>
      <w:r w:rsidR="00AE27CE">
        <w:instrText xml:space="preserve"> ADDIN EN.CITE &lt;EndNote&gt;&lt;Cite&gt;&lt;Author&gt;Independent Hospital Pricing Authority&lt;/Author&gt;&lt;Year&gt;2019&lt;/Year&gt;&lt;RecNum&gt;1557&lt;/RecNum&gt;&lt;DisplayText&gt;Independent Hospital Pricing Authority. (2019). &lt;style face="italic"&gt;National Weighted Activity Unit (NWAU) calculators&lt;/style&gt;. Retrieved June from https://www.ihpa.gov.au/what-we-do/national-weighted-activity-unit-nwau-calculators&lt;/DisplayText&gt;&lt;record&gt;&lt;rec-number&gt;1557&lt;/rec-number&gt;&lt;foreign-keys&gt;&lt;key app="EN" db-id="zdz9xax04zr9v0evw2nvrpw9xe9ttzvs5zsv" timestamp="1651648709"&gt;1557&lt;/key&gt;&lt;/foreign-keys&gt;&lt;ref-type name="Web Page"&gt;12&lt;/ref-type&gt;&lt;contributors&gt;&lt;authors&gt;&lt;author&gt;Independent Hospital Pricing Authority,&lt;/author&gt;&lt;/authors&gt;&lt;/contributors&gt;&lt;titles&gt;&lt;title&gt;National Weighted Activity Unit (NWAU) calculators&lt;/title&gt;&lt;/titles&gt;&lt;volume&gt;2021&lt;/volume&gt;&lt;number&gt;June&lt;/number&gt;&lt;dates&gt;&lt;year&gt;2019&lt;/year&gt;&lt;/dates&gt;&lt;urls&gt;&lt;related-urls&gt;&lt;url&gt;https://www.ihpa.gov.au/what-we-do/national-weighted-activity-unit-nwau-calculators&lt;/url&gt;&lt;/related-urls&gt;&lt;/urls&gt;&lt;/record&gt;&lt;/Cite&gt;&lt;/EndNote&gt;</w:instrText>
      </w:r>
      <w:r>
        <w:fldChar w:fldCharType="separate"/>
      </w:r>
      <w:r w:rsidR="006003C1">
        <w:rPr>
          <w:noProof/>
        </w:rPr>
        <w:t xml:space="preserve">Independent Hospital Pricing Authority. (2019). </w:t>
      </w:r>
      <w:r w:rsidR="006003C1" w:rsidRPr="006003C1">
        <w:rPr>
          <w:i/>
          <w:noProof/>
        </w:rPr>
        <w:t>National Weighted Activity Unit (NWAU) calculators</w:t>
      </w:r>
      <w:r w:rsidR="006003C1">
        <w:rPr>
          <w:noProof/>
        </w:rPr>
        <w:t>. Retrieved June from https://www.ihpa.gov.au/what-we-do/national-weighted-activity-unit-nwau-calculators</w:t>
      </w:r>
      <w:r>
        <w:fldChar w:fldCharType="end"/>
      </w:r>
    </w:p>
  </w:footnote>
  <w:footnote w:id="88">
    <w:p w14:paraId="0E3548D8" w14:textId="6D7A896F" w:rsidR="00AE43A8" w:rsidRPr="00AE43A8" w:rsidRDefault="00AE43A8">
      <w:pPr>
        <w:pStyle w:val="FootnoteText"/>
        <w:rPr>
          <w:lang w:val="en-US"/>
        </w:rPr>
      </w:pPr>
      <w:r w:rsidRPr="00AE43A8">
        <w:rPr>
          <w:rStyle w:val="FootnoteReference"/>
          <w:color w:val="408BCA"/>
        </w:rPr>
        <w:footnoteRef/>
      </w:r>
      <w:r>
        <w:t xml:space="preserve"> </w:t>
      </w:r>
      <w:r>
        <w:fldChar w:fldCharType="begin"/>
      </w:r>
      <w:r w:rsidR="006003C1">
        <w:instrText xml:space="preserve"> ADDIN EN.CITE &lt;EndNote&gt;&lt;Cite&gt;&lt;Author&gt;Australian Institute of Health and Welfare&lt;/Author&gt;&lt;Year&gt;2019&lt;/Year&gt;&lt;RecNum&gt;37&lt;/RecNum&gt;&lt;DisplayText&gt;Australian Institute of Health and Welfare. (2019). &lt;style face="italic"&gt;National Healthcare Agreement: PI 18–Selected potentially preventable hospitalisations, 2019 [METeOR 698954]&lt;/style&gt;. https://meteor.aihw.gov.au/content/index.phtml/itemId/698954&lt;/DisplayText&gt;&lt;record&gt;&lt;rec-number&gt;37&lt;/rec-number&gt;&lt;foreign-keys&gt;&lt;key app="EN" db-id="5dxzsadzad0p2sewrwupswp3fxzdrezrpa2a" timestamp="1645963099"&gt;37&lt;/key&gt;&lt;/foreign-keys&gt;&lt;ref-type name="Report"&gt;27&lt;/ref-type&gt;&lt;contributors&gt;&lt;authors&gt;&lt;author&gt;Australian Institute of Health and Welfare,&lt;/author&gt;&lt;/authors&gt;&lt;/contributors&gt;&lt;titles&gt;&lt;title&gt;National Healthcare Agreement: PI 18–Selected potentially preventable hospitalisations, 2019 [METeOR 698954]&lt;/title&gt;&lt;/titles&gt;&lt;dates&gt;&lt;year&gt;2019&lt;/year&gt;&lt;/dates&gt;&lt;pub-location&gt;Canberra&lt;/pub-location&gt;&lt;publisher&gt;AIHW&lt;/publisher&gt;&lt;urls&gt;&lt;related-urls&gt;&lt;url&gt;https://meteor.aihw.gov.au/content/index.phtml/itemId/698954&lt;/url&gt;&lt;/related-urls&gt;&lt;/urls&gt;&lt;/record&gt;&lt;/Cite&gt;&lt;/EndNote&gt;</w:instrText>
      </w:r>
      <w:r>
        <w:fldChar w:fldCharType="separate"/>
      </w:r>
      <w:r w:rsidR="006003C1">
        <w:rPr>
          <w:noProof/>
        </w:rPr>
        <w:t xml:space="preserve">Australian Institute of Health and Welfare. (2019). </w:t>
      </w:r>
      <w:r w:rsidR="006003C1" w:rsidRPr="006003C1">
        <w:rPr>
          <w:i/>
          <w:noProof/>
        </w:rPr>
        <w:t>National Healthcare Agreement: PI 18–Selected potentially preventable hospitalisations, 2019 [METeOR 698954]</w:t>
      </w:r>
      <w:r w:rsidR="006003C1">
        <w:rPr>
          <w:noProof/>
        </w:rPr>
        <w:t>. https://meteor.aihw.gov.au/content/index.phtml/itemId/698954</w:t>
      </w:r>
      <w:r>
        <w:fldChar w:fldCharType="end"/>
      </w:r>
    </w:p>
  </w:footnote>
  <w:footnote w:id="89">
    <w:p w14:paraId="335AC59D" w14:textId="00157969" w:rsidR="006003C1" w:rsidRPr="006003C1" w:rsidRDefault="006003C1">
      <w:pPr>
        <w:pStyle w:val="FootnoteText"/>
        <w:rPr>
          <w:lang w:val="en-US"/>
        </w:rPr>
      </w:pPr>
      <w:r w:rsidRPr="006003C1">
        <w:rPr>
          <w:rStyle w:val="FootnoteReference"/>
          <w:color w:val="408BCA"/>
        </w:rPr>
        <w:footnoteRef/>
      </w:r>
      <w:r>
        <w:t xml:space="preserve"> </w:t>
      </w:r>
      <w:r>
        <w:fldChar w:fldCharType="begin"/>
      </w:r>
      <w:r w:rsidR="00AE27CE">
        <w:instrText xml:space="preserve"> ADDIN EN.CITE &lt;EndNote&gt;&lt;Cite&gt;&lt;Author&gt;Independent Hospital Pricing Authority&lt;/Author&gt;&lt;Year&gt;2019&lt;/Year&gt;&lt;RecNum&gt;1557&lt;/RecNum&gt;&lt;DisplayText&gt;Independent Hospital Pricing Authority. (2019). &lt;style face="italic"&gt;National Weighted Activity Unit (NWAU) calculators&lt;/style&gt;. Retrieved June from https://www.ihpa.gov.au/what-we-do/national-weighted-activity-unit-nwau-calculators&lt;/DisplayText&gt;&lt;record&gt;&lt;rec-number&gt;1557&lt;/rec-number&gt;&lt;foreign-keys&gt;&lt;key app="EN" db-id="zdz9xax04zr9v0evw2nvrpw9xe9ttzvs5zsv" timestamp="1651648709"&gt;1557&lt;/key&gt;&lt;/foreign-keys&gt;&lt;ref-type name="Web Page"&gt;12&lt;/ref-type&gt;&lt;contributors&gt;&lt;authors&gt;&lt;author&gt;Independent Hospital Pricing Authority,&lt;/author&gt;&lt;/authors&gt;&lt;/contributors&gt;&lt;titles&gt;&lt;title&gt;National Weighted Activity Unit (NWAU) calculators&lt;/title&gt;&lt;/titles&gt;&lt;volume&gt;2021&lt;/volume&gt;&lt;number&gt;June&lt;/number&gt;&lt;dates&gt;&lt;year&gt;2019&lt;/year&gt;&lt;/dates&gt;&lt;urls&gt;&lt;related-urls&gt;&lt;url&gt;https://www.ihpa.gov.au/what-we-do/national-weighted-activity-unit-nwau-calculators&lt;/url&gt;&lt;/related-urls&gt;&lt;/urls&gt;&lt;/record&gt;&lt;/Cite&gt;&lt;/EndNote&gt;</w:instrText>
      </w:r>
      <w:r>
        <w:fldChar w:fldCharType="separate"/>
      </w:r>
      <w:r>
        <w:rPr>
          <w:noProof/>
        </w:rPr>
        <w:t xml:space="preserve">Independent Hospital Pricing Authority. (2019). </w:t>
      </w:r>
      <w:r w:rsidRPr="006003C1">
        <w:rPr>
          <w:i/>
          <w:noProof/>
        </w:rPr>
        <w:t>National Weighted Activity Unit (NWAU) calculators</w:t>
      </w:r>
      <w:r>
        <w:rPr>
          <w:noProof/>
        </w:rPr>
        <w:t>. Retrieved June from https://www.ihpa.gov.au/what-we-do/national-weighted-activity-unit-nwau-calculators</w:t>
      </w:r>
      <w:r>
        <w:fldChar w:fldCharType="end"/>
      </w:r>
    </w:p>
  </w:footnote>
  <w:footnote w:id="90">
    <w:p w14:paraId="49621826" w14:textId="5C9098E9" w:rsidR="006003C1" w:rsidRPr="006003C1" w:rsidRDefault="006003C1">
      <w:pPr>
        <w:pStyle w:val="FootnoteText"/>
        <w:rPr>
          <w:lang w:val="en-US"/>
        </w:rPr>
      </w:pPr>
      <w:r w:rsidRPr="006003C1">
        <w:rPr>
          <w:rStyle w:val="FootnoteReference"/>
          <w:color w:val="408BCA"/>
        </w:rPr>
        <w:footnoteRef/>
      </w:r>
      <w:r>
        <w:t xml:space="preserve"> </w:t>
      </w:r>
      <w:r>
        <w:fldChar w:fldCharType="begin"/>
      </w:r>
      <w:r w:rsidR="00C91B1E">
        <w:instrText xml:space="preserve"> ADDIN EN.CITE &lt;EndNote&gt;&lt;Cite&gt;&lt;Author&gt;Joshy&lt;/Author&gt;&lt;Year&gt;2015&lt;/Year&gt;&lt;RecNum&gt;38&lt;/RecNum&gt;&lt;DisplayText&gt;Joshy, G., Korda, R., Abhayaratna, W., Soga, K., &amp;amp; Banks, E. (2015). Categorising major cardiovascular disease hospitalisations from routinely collected data. &lt;style face="italic"&gt;Public Health Research &amp;amp; Practice&lt;/style&gt;.&lt;/DisplayText&gt;&lt;record&gt;&lt;rec-number&gt;38&lt;/rec-number&gt;&lt;foreign-keys&gt;&lt;key app="EN" db-id="5dxzsadzad0p2sewrwupswp3fxzdrezrpa2a" timestamp="1646023738"&gt;38&lt;/key&gt;&lt;/foreign-keys&gt;&lt;ref-type name="Journal Article"&gt;17&lt;/ref-type&gt;&lt;contributors&gt;&lt;authors&gt;&lt;author&gt;Joshy, Grace&lt;/author&gt;&lt;author&gt;Korda, Rosemary&lt;/author&gt;&lt;author&gt;Abhayaratna, Walter&lt;/author&gt;&lt;author&gt;Soga, Kay&lt;/author&gt;&lt;author&gt;Banks, Emily&lt;/author&gt;&lt;/authors&gt;&lt;/contributors&gt;&lt;titles&gt;&lt;title&gt;Categorising major cardiovascular disease hospitalisations from routinely collected data&lt;/title&gt;&lt;secondary-title&gt;Public Health Research &amp;amp; Practice&lt;/secondary-title&gt;&lt;/titles&gt;&lt;periodical&gt;&lt;full-title&gt;Public Health Research &amp;amp; Practice&lt;/full-title&gt;&lt;/periodical&gt;&lt;dates&gt;&lt;year&gt;2015&lt;/year&gt;&lt;/dates&gt;&lt;urls&gt;&lt;related-urls&gt;&lt;url&gt;https://www.phrp.com.au/issues/july-2015-volume-25-issue-3/categorising-major-cardiovascular-disease-hospitalisations-from-routinely-collected-data/&lt;/url&gt;&lt;/related-urls&gt;&lt;/urls&gt;&lt;/record&gt;&lt;/Cite&gt;&lt;/EndNote&gt;</w:instrText>
      </w:r>
      <w:r>
        <w:fldChar w:fldCharType="separate"/>
      </w:r>
      <w:r w:rsidR="00C91B1E">
        <w:rPr>
          <w:noProof/>
        </w:rPr>
        <w:t xml:space="preserve">Joshy, G., Korda, R., Abhayaratna, W., Soga, K., &amp; Banks, E. (2015). Categorising major cardiovascular disease hospitalisations from routinely collected data. </w:t>
      </w:r>
      <w:r w:rsidR="00C91B1E" w:rsidRPr="00C91B1E">
        <w:rPr>
          <w:i/>
          <w:noProof/>
        </w:rPr>
        <w:t>Public Health Research &amp; Practice</w:t>
      </w:r>
      <w:r w:rsidR="00C91B1E">
        <w:rPr>
          <w:noProof/>
        </w:rPr>
        <w:t>.</w:t>
      </w:r>
      <w:r>
        <w:fldChar w:fldCharType="end"/>
      </w:r>
    </w:p>
  </w:footnote>
  <w:footnote w:id="91">
    <w:p w14:paraId="74BAA6C9" w14:textId="7411B952" w:rsidR="006003C1" w:rsidRPr="006003C1" w:rsidRDefault="006003C1">
      <w:pPr>
        <w:pStyle w:val="FootnoteText"/>
        <w:rPr>
          <w:lang w:val="en-US"/>
        </w:rPr>
      </w:pPr>
      <w:r w:rsidRPr="006003C1">
        <w:rPr>
          <w:rStyle w:val="FootnoteReference"/>
          <w:color w:val="408BCA"/>
        </w:rPr>
        <w:footnoteRef/>
      </w:r>
      <w:r>
        <w:t xml:space="preserve"> </w:t>
      </w:r>
      <w:r>
        <w:fldChar w:fldCharType="begin"/>
      </w:r>
      <w:r w:rsidR="00C91B1E">
        <w:instrText xml:space="preserve"> ADDIN EN.CITE &lt;EndNote&gt;&lt;Cite&gt;&lt;Author&gt;Australian Bureau of Statistics&lt;/Author&gt;&lt;Year&gt;2022&lt;/Year&gt;&lt;RecNum&gt;39&lt;/RecNum&gt;&lt;DisplayText&gt;Australian Bureau of Statistics. (2022). Provisional Mortality Statistics methodology.&lt;/DisplayText&gt;&lt;record&gt;&lt;rec-number&gt;39&lt;/rec-number&gt;&lt;foreign-keys&gt;&lt;key app="EN" db-id="5dxzsadzad0p2sewrwupswp3fxzdrezrpa2a" timestamp="1646023836"&gt;39&lt;/key&gt;&lt;/foreign-keys&gt;&lt;ref-type name="Journal Article"&gt;17&lt;/ref-type&gt;&lt;contributors&gt;&lt;authors&gt;&lt;author&gt;Australian Bureau of Statistics,&lt;/author&gt;&lt;/authors&gt;&lt;/contributors&gt;&lt;titles&gt;&lt;title&gt;Provisional Mortality Statistics methodology&lt;/title&gt;&lt;/titles&gt;&lt;dates&gt;&lt;year&gt;2022&lt;/year&gt;&lt;/dates&gt;&lt;urls&gt;&lt;related-urls&gt;&lt;url&gt;https://www.abs.gov.au/methodologies/provisional-mortality-statistics-methodology/jan-2020-nov-2021&lt;/url&gt;&lt;/related-urls&gt;&lt;/urls&gt;&lt;/record&gt;&lt;/Cite&gt;&lt;/EndNote&gt;</w:instrText>
      </w:r>
      <w:r>
        <w:fldChar w:fldCharType="separate"/>
      </w:r>
      <w:r w:rsidR="00C91B1E">
        <w:rPr>
          <w:noProof/>
        </w:rPr>
        <w:t>Australian Bureau of Statistics. (2022). Provisional Mortality Statistics methodology.</w:t>
      </w:r>
      <w:r>
        <w:fldChar w:fldCharType="end"/>
      </w:r>
    </w:p>
  </w:footnote>
  <w:footnote w:id="92">
    <w:p w14:paraId="705AFC36" w14:textId="3BDA50A7" w:rsidR="0063322B" w:rsidRPr="009B41A7" w:rsidRDefault="0063322B" w:rsidP="0063322B">
      <w:pPr>
        <w:pStyle w:val="FootnoteText"/>
        <w:rPr>
          <w:sz w:val="16"/>
          <w:szCs w:val="16"/>
        </w:rPr>
      </w:pPr>
      <w:r w:rsidRPr="00013607">
        <w:rPr>
          <w:rStyle w:val="FootnoteReference"/>
          <w:color w:val="408BCA"/>
        </w:rPr>
        <w:footnoteRef/>
      </w:r>
      <w:r>
        <w:t xml:space="preserve"> </w:t>
      </w:r>
      <w:r>
        <w:rPr>
          <w:sz w:val="16"/>
          <w:szCs w:val="16"/>
        </w:rPr>
        <w:t>MBS items denoting attendances by GPs are detailed on p.</w:t>
      </w:r>
      <w:r w:rsidR="007D67A8">
        <w:rPr>
          <w:sz w:val="16"/>
          <w:szCs w:val="16"/>
        </w:rPr>
        <w:t xml:space="preserve"> </w:t>
      </w:r>
      <w:r>
        <w:rPr>
          <w:sz w:val="16"/>
          <w:szCs w:val="16"/>
        </w:rPr>
        <w:t xml:space="preserve">51 of the MBS schedule: </w:t>
      </w:r>
      <w:hyperlink r:id="rId5" w:history="1">
        <w:r w:rsidRPr="00C4045E">
          <w:rPr>
            <w:rStyle w:val="Hyperlink"/>
            <w:sz w:val="16"/>
            <w:szCs w:val="16"/>
          </w:rPr>
          <w:t>http://www.mbsonline.gov.au/internet/mbsonline/publishing.nsf/Content/4EFCF78281A91736CA258654001138AF/$File/mbsbook-march2021.pdf</w:t>
        </w:r>
      </w:hyperlink>
      <w:r>
        <w:rPr>
          <w:sz w:val="16"/>
          <w:szCs w:val="16"/>
        </w:rPr>
        <w:t xml:space="preserve"> </w:t>
      </w:r>
    </w:p>
  </w:footnote>
  <w:footnote w:id="93">
    <w:p w14:paraId="61ABE989" w14:textId="043A8D43" w:rsidR="00482D9C" w:rsidRDefault="00482D9C">
      <w:pPr>
        <w:pStyle w:val="FootnoteText"/>
      </w:pPr>
      <w:r w:rsidRPr="0054498A">
        <w:rPr>
          <w:rStyle w:val="FootnoteReference"/>
          <w:color w:val="408BCA"/>
        </w:rPr>
        <w:footnoteRef/>
      </w:r>
      <w:r>
        <w:t xml:space="preserve"> </w:t>
      </w:r>
      <w:r>
        <w:fldChar w:fldCharType="begin"/>
      </w:r>
      <w:r>
        <w:instrText xml:space="preserve"> ADDIN EN.CITE &lt;EndNote&gt;&lt;Cite AuthorYear="1"&gt;&lt;Author&gt;The Pharmacy Guild of Australia&lt;/Author&gt;&lt;Year&gt;2020&lt;/Year&gt;&lt;RecNum&gt;1530&lt;/RecNum&gt;&lt;DisplayText&gt;The Pharmacy Guild of Australia. (2020a). &lt;style face="italic"&gt;Brief for HCH PHN Facilitators: Overview of medicine review services&lt;/style&gt;. &lt;/DisplayText&gt;&lt;record&gt;&lt;rec-number&gt;1530&lt;/rec-number&gt;&lt;foreign-keys&gt;&lt;key app="EN" db-id="zdz9xax04zr9v0evw2nvrpw9xe9ttzvs5zsv" timestamp="1634599139"&gt;1530&lt;/key&gt;&lt;/foreign-keys&gt;&lt;ref-type name="Report"&gt;27&lt;/ref-type&gt;&lt;contributors&gt;&lt;authors&gt;&lt;author&gt;The Pharmacy Guild of Australia,,&lt;/author&gt;&lt;/authors&gt;&lt;/contributors&gt;&lt;titles&gt;&lt;title&gt;Brief for HCH PHN Facilitators: Overview of medicine review services&lt;/title&gt;&lt;/titles&gt;&lt;dates&gt;&lt;year&gt;2020&lt;/year&gt;&lt;/dates&gt;&lt;pub-location&gt;Canberra&lt;/pub-location&gt;&lt;urls&gt;&lt;/urls&gt;&lt;/record&gt;&lt;/Cite&gt;&lt;/EndNote&gt;</w:instrText>
      </w:r>
      <w:r>
        <w:fldChar w:fldCharType="separate"/>
      </w:r>
      <w:r>
        <w:rPr>
          <w:noProof/>
        </w:rPr>
        <w:t xml:space="preserve">The Pharmacy Guild of Australia. (2020a). </w:t>
      </w:r>
      <w:r w:rsidRPr="00482D9C">
        <w:rPr>
          <w:i/>
          <w:noProof/>
        </w:rPr>
        <w:t>Brief for HCH PHN Facilitators: Overview of medicine review services</w:t>
      </w:r>
      <w:r>
        <w:rPr>
          <w:noProof/>
        </w:rPr>
        <w:t xml:space="preserve">. </w:t>
      </w:r>
      <w:r>
        <w:fldChar w:fldCharType="end"/>
      </w:r>
    </w:p>
  </w:footnote>
  <w:footnote w:id="94">
    <w:p w14:paraId="371FB187" w14:textId="77777777" w:rsidR="00302D66" w:rsidRDefault="00302D66" w:rsidP="00302D66">
      <w:pPr>
        <w:pStyle w:val="FootnoteText"/>
      </w:pPr>
      <w:r w:rsidRPr="0054498A">
        <w:rPr>
          <w:rStyle w:val="FootnoteReference"/>
          <w:color w:val="408BCA"/>
        </w:rPr>
        <w:footnoteRef/>
      </w:r>
      <w:r>
        <w:t xml:space="preserve"> </w:t>
      </w:r>
      <w:r>
        <w:fldChar w:fldCharType="begin"/>
      </w:r>
      <w:r>
        <w:instrText xml:space="preserve"> ADDIN EN.CITE &lt;EndNote&gt;&lt;Cite&gt;&lt;Author&gt;The Pharmacy Guild of Australia&lt;/Author&gt;&lt;Year&gt;2020&lt;/Year&gt;&lt;RecNum&gt;1452&lt;/RecNum&gt;&lt;DisplayText&gt;The Pharmacy Guild of Australia. (2020b). &lt;style face="italic"&gt;Community Pharmacy in Health Care Homes Trial Program Trial Program Rules&lt;/style&gt;. &lt;style face="underline"&gt;http://6cpa.com.au/wp-content/uploads/6CPA_CommunityPharmacyinHeathCareHomes-Program-Rules_Jan2020.pdf&lt;/style&gt;&lt;/DisplayText&gt;&lt;record&gt;&lt;rec-number&gt;1452&lt;/rec-number&gt;&lt;foreign-keys&gt;&lt;key app="EN" db-id="zdz9xax04zr9v0evw2nvrpw9xe9ttzvs5zsv" timestamp="1600825585"&gt;1452&lt;/key&gt;&lt;/foreign-keys&gt;&lt;ref-type name="Report"&gt;27&lt;/ref-type&gt;&lt;contributors&gt;&lt;authors&gt;&lt;author&gt;The Pharmacy Guild of Australia,,&lt;/author&gt;&lt;/authors&gt;&lt;/contributors&gt;&lt;titles&gt;&lt;title&gt;Community Pharmacy in Health Care Homes Trial Program Trial Program Rules&lt;/title&gt;&lt;/titles&gt;&lt;dates&gt;&lt;year&gt;2020&lt;/year&gt;&lt;/dates&gt;&lt;pub-location&gt;Canberra&lt;/pub-location&gt;&lt;urls&gt;&lt;related-urls&gt;&lt;url&gt;&lt;style face="underline" font="default" size="100%"&gt;http://6cpa.com.au/wp-content/uploads/6CPA_CommunityPharmacyinHeathCareHomes-Program-Rules_Jan2020.pdf&lt;/style&gt;&lt;/url&gt;&lt;/related-urls&gt;&lt;/urls&gt;&lt;/record&gt;&lt;/Cite&gt;&lt;/EndNote&gt;</w:instrText>
      </w:r>
      <w:r>
        <w:fldChar w:fldCharType="separate"/>
      </w:r>
      <w:r>
        <w:rPr>
          <w:noProof/>
        </w:rPr>
        <w:t xml:space="preserve">The Pharmacy Guild of Australia. (2020b). </w:t>
      </w:r>
      <w:r w:rsidRPr="007B7F63">
        <w:rPr>
          <w:i/>
          <w:noProof/>
        </w:rPr>
        <w:t>Community Pharmacy in Health Care Homes Trial Program Trial Program Rules</w:t>
      </w:r>
      <w:r>
        <w:rPr>
          <w:noProof/>
        </w:rPr>
        <w:t xml:space="preserve">. </w:t>
      </w:r>
      <w:r w:rsidRPr="007B7F63">
        <w:rPr>
          <w:noProof/>
          <w:u w:val="single"/>
        </w:rPr>
        <w:t>http://6cpa.com.au/wp-content/uploads/6CPA_CommunityPharmacyinHeathCareHomes-Program-Rules_Jan2020.pdf</w:t>
      </w:r>
      <w:r>
        <w:fldChar w:fldCharType="end"/>
      </w:r>
    </w:p>
  </w:footnote>
  <w:footnote w:id="95">
    <w:p w14:paraId="0272BB37" w14:textId="77777777" w:rsidR="000D10AC" w:rsidRPr="00501711" w:rsidRDefault="000D10AC" w:rsidP="000D10AC">
      <w:pPr>
        <w:pStyle w:val="Chartortablefootnote"/>
        <w:jc w:val="left"/>
        <w:rPr>
          <w:szCs w:val="20"/>
        </w:rPr>
      </w:pPr>
      <w:r w:rsidRPr="0054498A">
        <w:rPr>
          <w:rStyle w:val="FootnoteReference"/>
          <w:color w:val="408BCA"/>
        </w:rPr>
        <w:footnoteRef/>
      </w:r>
      <w:r>
        <w:t xml:space="preserve"> </w:t>
      </w:r>
      <w:r>
        <w:fldChar w:fldCharType="begin"/>
      </w:r>
      <w:r>
        <w:instrText xml:space="preserve"> ADDIN EN.CITE &lt;EndNote&gt;&lt;Cite&gt;&lt;Author&gt;Australian Government Department of Health&lt;/Author&gt;&lt;Year&gt;2018&lt;/Year&gt;&lt;RecNum&gt;1529&lt;/RecNum&gt;&lt;DisplayText&gt;Australian Government Department of Health. (2018a). &lt;style face="italic"&gt;Community Pharmacy in Health Care Homes Trial Program&lt;/style&gt;. Retrieved October 2019 from https://www1.health.gov.au/internet/main/publishing.nsf/Content/health-care-homes-cp/$File/Community-Pharmacy-in-Health-Care-Homes-Trial-Program-factsheet-Dec-2018.pdf&lt;/DisplayText&gt;&lt;record&gt;&lt;rec-number&gt;1529&lt;/rec-number&gt;&lt;foreign-keys&gt;&lt;key app="EN" db-id="zdz9xax04zr9v0evw2nvrpw9xe9ttzvs5zsv" timestamp="1634251997"&gt;1529&lt;/key&gt;&lt;/foreign-keys&gt;&lt;ref-type name="Web Page"&gt;12&lt;/ref-type&gt;&lt;contributors&gt;&lt;authors&gt;&lt;author&gt;Australian Government Department of Health,,&lt;/author&gt;&lt;/authors&gt;&lt;/contributors&gt;&lt;titles&gt;&lt;title&gt;Community Pharmacy in Health Care Homes Trial Program&lt;/title&gt;&lt;/titles&gt;&lt;number&gt;October 2019&lt;/number&gt;&lt;dates&gt;&lt;year&gt;2018&lt;/year&gt;&lt;/dates&gt;&lt;urls&gt;&lt;related-urls&gt;&lt;url&gt;https://www1.health.gov.au/internet/main/publishing.nsf/Content/health-care-homes-cp/$File/Community-Pharmacy-in-Health-Care-Homes-Trial-Program-factsheet-Dec-2018.pdf&lt;/url&gt;&lt;/related-urls&gt;&lt;/urls&gt;&lt;/record&gt;&lt;/Cite&gt;&lt;/EndNote&gt;</w:instrText>
      </w:r>
      <w:r>
        <w:fldChar w:fldCharType="separate"/>
      </w:r>
      <w:r>
        <w:rPr>
          <w:noProof/>
        </w:rPr>
        <w:t>Australian Government Department of Health. (2018a). Community Pharmacy in Health Care Homes Trial Program. Retrieved October 2019 from https://www1.health.gov.au/internet/main/publishing.nsf/Content/health-care-homes-cp/$File/Community-Pharmacy-in-Health-Care-Homes-Trial-Program-factsheet-Dec-2018.pdf</w:t>
      </w:r>
      <w:r>
        <w:fldChar w:fldCharType="end"/>
      </w:r>
    </w:p>
  </w:footnote>
  <w:footnote w:id="96">
    <w:p w14:paraId="2A92D747" w14:textId="4D05B3D1" w:rsidR="0077384F" w:rsidRDefault="0077384F" w:rsidP="0077384F">
      <w:pPr>
        <w:pStyle w:val="FootnoteText"/>
      </w:pPr>
      <w:r w:rsidRPr="0054498A">
        <w:rPr>
          <w:rStyle w:val="FootnoteReference"/>
          <w:color w:val="408BCA"/>
        </w:rPr>
        <w:footnoteRef/>
      </w:r>
      <w:r>
        <w:t xml:space="preserve"> </w:t>
      </w:r>
      <w:r>
        <w:fldChar w:fldCharType="begin"/>
      </w:r>
      <w:r w:rsidR="003E4618">
        <w:instrText xml:space="preserve"> ADDIN EN.CITE &lt;EndNote&gt;&lt;Cite&gt;&lt;Author&gt;Pharmaceutical Society of Australia&lt;/Author&gt;&lt;Year&gt;2018&lt;/Year&gt;&lt;RecNum&gt;1528&lt;/RecNum&gt;&lt;DisplayText&gt;Pharmaceutical Society of Australia. (2018a). &lt;style face="italic"&gt;Community Pharmacy in Health Care Homes Trial Program training modules now available&lt;/style&gt;. Retrieved June 2021 from https://www.psa.org.au/community-pharmacy-in-health-care-homes-trial-program-training-modules-now-available/&lt;/DisplayText&gt;&lt;record&gt;&lt;rec-number&gt;1528&lt;/rec-number&gt;&lt;foreign-keys&gt;&lt;key app="EN" db-id="zdz9xax04zr9v0evw2nvrpw9xe9ttzvs5zsv" timestamp="1634088725"&gt;1528&lt;/key&gt;&lt;/foreign-keys&gt;&lt;ref-type name="Web Page"&gt;12&lt;/ref-type&gt;&lt;contributors&gt;&lt;authors&gt;&lt;author&gt;Pharmaceutical Society of Australia,&lt;/author&gt;&lt;/authors&gt;&lt;/contributors&gt;&lt;titles&gt;&lt;title&gt;Community Pharmacy in Health Care Homes Trial Program training modules now available&lt;/title&gt;&lt;/titles&gt;&lt;number&gt;June 2021&lt;/number&gt;&lt;dates&gt;&lt;year&gt;2018&lt;/year&gt;&lt;/dates&gt;&lt;urls&gt;&lt;related-urls&gt;&lt;url&gt;https://www.psa.org.au/community-pharmacy-in-health-care-homes-trial-program-training-modules-now-available/&lt;/url&gt;&lt;/related-urls&gt;&lt;/urls&gt;&lt;/record&gt;&lt;/Cite&gt;&lt;/EndNote&gt;</w:instrText>
      </w:r>
      <w:r>
        <w:fldChar w:fldCharType="separate"/>
      </w:r>
      <w:r w:rsidR="003E4618">
        <w:rPr>
          <w:noProof/>
        </w:rPr>
        <w:t xml:space="preserve">Pharmaceutical Society of Australia. (2018a). </w:t>
      </w:r>
      <w:r w:rsidR="003E4618" w:rsidRPr="003E4618">
        <w:rPr>
          <w:i/>
          <w:noProof/>
        </w:rPr>
        <w:t>Community Pharmacy in Health Care Homes Trial Program training modules now available</w:t>
      </w:r>
      <w:r w:rsidR="003E4618">
        <w:rPr>
          <w:noProof/>
        </w:rPr>
        <w:t>. Retrieved June 2021 from https://www.psa.org.au/community-pharmacy-in-health-care-homes-trial-program-training-modules-now-available/</w:t>
      </w:r>
      <w:r>
        <w:fldChar w:fldCharType="end"/>
      </w:r>
      <w:r>
        <w:t xml:space="preserve"> </w:t>
      </w:r>
    </w:p>
  </w:footnote>
  <w:footnote w:id="97">
    <w:p w14:paraId="1DEDD777" w14:textId="5738FC02" w:rsidR="003E4618" w:rsidRDefault="003E4618">
      <w:pPr>
        <w:pStyle w:val="FootnoteText"/>
      </w:pPr>
      <w:r w:rsidRPr="0054498A">
        <w:rPr>
          <w:rStyle w:val="FootnoteReference"/>
          <w:color w:val="408BCA"/>
        </w:rPr>
        <w:footnoteRef/>
      </w:r>
      <w:r>
        <w:t xml:space="preserve"> </w:t>
      </w:r>
      <w:r>
        <w:rPr>
          <w:rFonts w:cs="Calibri"/>
          <w:lang w:eastAsia="en-AU"/>
        </w:rPr>
        <w:fldChar w:fldCharType="begin"/>
      </w:r>
      <w:r>
        <w:rPr>
          <w:rFonts w:cs="Calibri"/>
          <w:lang w:eastAsia="en-AU"/>
        </w:rPr>
        <w:instrText xml:space="preserve"> ADDIN EN.CITE &lt;EndNote&gt;&lt;Cite&gt;&lt;Author&gt;Pharmaceutical Society of Australia&lt;/Author&gt;&lt;Year&gt;2018&lt;/Year&gt;&lt;RecNum&gt;1453&lt;/RecNum&gt;&lt;DisplayText&gt;Pharmaceutical Society of Australia. (2018b). &lt;style face="italic"&gt;Guidelines for pharmacists participating in the Community Pharmacy in Health Care Homes Trial Program&lt;/style&gt;. &lt;style face="underline"&gt;https://my.psa.org.au/servlet/fileField?entityId=ka10o000000U2NvAAK&amp;amp;field=PDF_File_Member_Content__Body__s&lt;/style&gt;&lt;/DisplayText&gt;&lt;record&gt;&lt;rec-number&gt;1453&lt;/rec-number&gt;&lt;foreign-keys&gt;&lt;key app="EN" db-id="zdz9xax04zr9v0evw2nvrpw9xe9ttzvs5zsv" timestamp="1600832473"&gt;1453&lt;/key&gt;&lt;/foreign-keys&gt;&lt;ref-type name="Report"&gt;27&lt;/ref-type&gt;&lt;contributors&gt;&lt;authors&gt;&lt;author&gt; Pharmaceutical Society of Australia,,&lt;/author&gt;&lt;/authors&gt;&lt;/contributors&gt;&lt;titles&gt;&lt;title&gt;Guidelines for pharmacists participating in the Community Pharmacy in Health Care Homes Trial Program&lt;/title&gt;&lt;/titles&gt;&lt;dates&gt;&lt;year&gt;2018&lt;/year&gt;&lt;/dates&gt;&lt;pub-location&gt;Canberra&lt;/pub-location&gt;&lt;publisher&gt;PSA&lt;/publisher&gt;&lt;urls&gt;&lt;related-urls&gt;&lt;url&gt;&lt;style face="underline" font="default" size="100%"&gt;https://my.psa.org.au/servlet/fileField?entityId=ka10o000000U2NvAAK&amp;amp;field=PDF_File_Member_Content__Body__s&lt;/style&gt;&lt;/url&gt;&lt;/related-urls&gt;&lt;/urls&gt;&lt;/record&gt;&lt;/Cite&gt;&lt;/EndNote&gt;</w:instrText>
      </w:r>
      <w:r>
        <w:rPr>
          <w:rFonts w:cs="Calibri"/>
          <w:lang w:eastAsia="en-AU"/>
        </w:rPr>
        <w:fldChar w:fldCharType="separate"/>
      </w:r>
      <w:r>
        <w:rPr>
          <w:rFonts w:cs="Calibri"/>
          <w:noProof/>
          <w:lang w:eastAsia="en-AU"/>
        </w:rPr>
        <w:t xml:space="preserve">Pharmaceutical Society of Australia. (2018b). </w:t>
      </w:r>
      <w:r w:rsidRPr="003E4618">
        <w:rPr>
          <w:rFonts w:cs="Calibri"/>
          <w:i/>
          <w:noProof/>
          <w:lang w:eastAsia="en-AU"/>
        </w:rPr>
        <w:t>Guidelines for pharmacists participating in the Community Pharmacy in Health Care Homes Trial Program</w:t>
      </w:r>
      <w:r>
        <w:rPr>
          <w:rFonts w:cs="Calibri"/>
          <w:noProof/>
          <w:lang w:eastAsia="en-AU"/>
        </w:rPr>
        <w:t xml:space="preserve">. </w:t>
      </w:r>
      <w:r w:rsidRPr="003E4618">
        <w:rPr>
          <w:rFonts w:cs="Calibri"/>
          <w:noProof/>
          <w:u w:val="single"/>
          <w:lang w:eastAsia="en-AU"/>
        </w:rPr>
        <w:t>https://my.psa.org.au/servlet/fileField?entityId=ka10o000000U2NvAAK&amp;field=PDF_File_Member_Content__Body__s</w:t>
      </w:r>
      <w:r>
        <w:rPr>
          <w:rFonts w:cs="Calibri"/>
          <w:lang w:eastAsia="en-AU"/>
        </w:rPr>
        <w:fldChar w:fldCharType="end"/>
      </w:r>
    </w:p>
  </w:footnote>
  <w:footnote w:id="98">
    <w:p w14:paraId="0C6A43F3" w14:textId="4568D6B2" w:rsidR="0066607A" w:rsidRDefault="0066607A" w:rsidP="0066607A">
      <w:pPr>
        <w:pStyle w:val="FootnoteText"/>
      </w:pPr>
      <w:r w:rsidRPr="0054498A">
        <w:rPr>
          <w:rStyle w:val="FootnoteReference"/>
          <w:color w:val="408BCA"/>
        </w:rPr>
        <w:footnoteRef/>
      </w:r>
      <w:r>
        <w:t xml:space="preserve"> </w:t>
      </w:r>
      <w:r>
        <w:fldChar w:fldCharType="begin"/>
      </w:r>
      <w:r w:rsidR="00C91B1E">
        <w:instrText xml:space="preserve"> ADDIN EN.CITE &lt;EndNote&gt;&lt;Cite&gt;&lt;Author&gt;Hwang&lt;/Author&gt;&lt;Year&gt;2017&lt;/Year&gt;&lt;RecNum&gt;4956&lt;/RecNum&gt;&lt;DisplayText&gt;Hwang, A. Y., Gums, T. H., &amp;amp; Gums, J. G. (2017). The benefits of physician-pharmacist collaboration. &lt;style face="italic"&gt;Journal of Family Practice, 66&lt;/style&gt;(12), E1-E8.&lt;/DisplayText&gt;&lt;record&gt;&lt;rec-number&gt;4956&lt;/rec-number&gt;&lt;foreign-keys&gt;&lt;key app="EN" db-id="0zf0e9xwqetx57ep9ee5p9skx9zpfpswrx20" timestamp="1609572803" guid="52daf699-a5d5-482f-b9bb-352b1b3d872e"&gt;4956&lt;/key&gt;&lt;/foreign-keys&gt;&lt;ref-type name="Journal Article"&gt;17&lt;/ref-type&gt;&lt;contributors&gt;&lt;authors&gt;&lt;author&gt;Hwang, A. Y.&lt;/author&gt;&lt;author&gt;Gums, T. H.&lt;/author&gt;&lt;author&gt;Gums, J. G.&lt;/author&gt;&lt;/authors&gt;&lt;/contributors&gt;&lt;titles&gt;&lt;title&gt;The benefits of physician-pharmacist collaboration&lt;/title&gt;&lt;secondary-title&gt;Journal of Family Practice&lt;/secondary-title&gt;&lt;/titles&gt;&lt;periodical&gt;&lt;full-title&gt;Journal of Family Practice&lt;/full-title&gt;&lt;/periodical&gt;&lt;pages&gt;E1-E8&lt;/pages&gt;&lt;volume&gt;66&lt;/volume&gt;&lt;number&gt;12&lt;/number&gt;&lt;dates&gt;&lt;year&gt;2017&lt;/year&gt;&lt;pub-dates&gt;&lt;date&gt;Dec&lt;/date&gt;&lt;/pub-dates&gt;&lt;/dates&gt;&lt;isbn&gt;0094-3509&lt;/isbn&gt;&lt;accession-num&gt;WOS:000427366000001&lt;/accession-num&gt;&lt;urls&gt;&lt;related-urls&gt;&lt;url&gt;&lt;style face="underline" font="default" size="100%"&gt;&amp;lt;Go to ISI&amp;gt;://WOS:000427366000001&lt;/style&gt;&lt;/url&gt;&lt;/related-urls&gt;&lt;/urls&gt;&lt;/record&gt;&lt;/Cite&gt;&lt;/EndNote&gt;</w:instrText>
      </w:r>
      <w:r>
        <w:fldChar w:fldCharType="separate"/>
      </w:r>
      <w:r w:rsidR="00C91B1E">
        <w:rPr>
          <w:noProof/>
        </w:rPr>
        <w:t xml:space="preserve">Hwang, A. Y., Gums, T. H., &amp; Gums, J. G. (2017). The benefits of physician-pharmacist collaboration. </w:t>
      </w:r>
      <w:r w:rsidR="00C91B1E" w:rsidRPr="00C91B1E">
        <w:rPr>
          <w:i/>
          <w:noProof/>
        </w:rPr>
        <w:t>Journal of Family Practice, 66</w:t>
      </w:r>
      <w:r w:rsidR="00C91B1E">
        <w:rPr>
          <w:noProof/>
        </w:rPr>
        <w:t>(12), E1-E8.</w:t>
      </w:r>
      <w:r>
        <w:fldChar w:fldCharType="end"/>
      </w:r>
    </w:p>
  </w:footnote>
  <w:footnote w:id="99">
    <w:p w14:paraId="71FDEEB6" w14:textId="471F1AB0" w:rsidR="001F6285" w:rsidRDefault="001F6285">
      <w:pPr>
        <w:pStyle w:val="FootnoteText"/>
      </w:pPr>
      <w:r w:rsidRPr="0054498A">
        <w:rPr>
          <w:rStyle w:val="FootnoteReference"/>
          <w:color w:val="408BCA"/>
        </w:rPr>
        <w:footnoteRef/>
      </w:r>
      <w:r>
        <w:t xml:space="preserve"> </w:t>
      </w:r>
      <w:r w:rsidR="00BB6A37">
        <w:fldChar w:fldCharType="begin"/>
      </w:r>
      <w:r w:rsidR="00C91B1E">
        <w:instrText xml:space="preserve"> ADDIN EN.CITE &lt;EndNote&gt;&lt;Cite&gt;&lt;Author&gt;Kennelty&lt;/Author&gt;&lt;Year&gt;2018&lt;/Year&gt;&lt;RecNum&gt;4914&lt;/RecNum&gt;&lt;DisplayText&gt;Kennelty, K. A., Polgreen, L. A., &amp;amp; Carter, B. L. (2018). Team-Based Care with Pharmacists to Improve Blood Pressure: a Review of Recent Literature. &lt;style face="italic"&gt;Current Hypertension Reports, 20&lt;/style&gt;(1), Article 1.&lt;/DisplayText&gt;&lt;record&gt;&lt;rec-number&gt;4914&lt;/rec-number&gt;&lt;foreign-keys&gt;&lt;key app="EN" db-id="0zf0e9xwqetx57ep9ee5p9skx9zpfpswrx20" timestamp="1609572803" guid="5079cf91-b22c-4065-89e8-dc89ccd1dc15"&gt;4914&lt;/key&gt;&lt;/foreign-keys&gt;&lt;ref-type name="Journal Article"&gt;17&lt;/ref-type&gt;&lt;contributors&gt;&lt;authors&gt;&lt;author&gt;Kennelty, K. A.&lt;/author&gt;&lt;author&gt;Polgreen, L. A.&lt;/author&gt;&lt;author&gt;Carter, B. L.&lt;/author&gt;&lt;/authors&gt;&lt;/contributors&gt;&lt;titles&gt;&lt;title&gt;Team-Based Care with Pharmacists to Improve Blood Pressure: a Review of Recent Literature&lt;/title&gt;&lt;secondary-title&gt;Current Hypertension Reports&lt;/secondary-title&gt;&lt;/titles&gt;&lt;periodical&gt;&lt;full-title&gt;Current Hypertension Reports&lt;/full-title&gt;&lt;/periodical&gt;&lt;volume&gt;20&lt;/volume&gt;&lt;number&gt;1&lt;/number&gt;&lt;dates&gt;&lt;year&gt;2018&lt;/year&gt;&lt;pub-dates&gt;&lt;date&gt;Jan&lt;/date&gt;&lt;/pub-dates&gt;&lt;/dates&gt;&lt;isbn&gt;1522-6417&lt;/isbn&gt;&lt;accession-num&gt;WOS:000427459900004&lt;/accession-num&gt;&lt;urls&gt;&lt;related-urls&gt;&lt;url&gt;&lt;style face="underline" font="default" size="100%"&gt;&amp;lt;Go to ISI&amp;gt;://WOS:000427459900004&lt;/style&gt;&lt;/url&gt;&lt;/related-urls&gt;&lt;/urls&gt;&lt;custom7&gt;1&lt;/custom7&gt;&lt;electronic-resource-num&gt;10.1007/s11906-018-0803-0&lt;/electronic-resource-num&gt;&lt;/record&gt;&lt;/Cite&gt;&lt;/EndNote&gt;</w:instrText>
      </w:r>
      <w:r w:rsidR="00BB6A37">
        <w:fldChar w:fldCharType="separate"/>
      </w:r>
      <w:r w:rsidR="00C91B1E">
        <w:rPr>
          <w:noProof/>
        </w:rPr>
        <w:t xml:space="preserve">Kennelty, K. A., Polgreen, L. A., &amp; Carter, B. L. (2018). Team-Based Care with Pharmacists to Improve Blood Pressure: a Review of Recent Literature. </w:t>
      </w:r>
      <w:r w:rsidR="00C91B1E" w:rsidRPr="00C91B1E">
        <w:rPr>
          <w:i/>
          <w:noProof/>
        </w:rPr>
        <w:t>Current Hypertension Reports, 20</w:t>
      </w:r>
      <w:r w:rsidR="00C91B1E">
        <w:rPr>
          <w:noProof/>
        </w:rPr>
        <w:t>(1), Article 1.</w:t>
      </w:r>
      <w:r w:rsidR="00BB6A37">
        <w:fldChar w:fldCharType="end"/>
      </w:r>
    </w:p>
  </w:footnote>
  <w:footnote w:id="100">
    <w:p w14:paraId="1138002D" w14:textId="7D0CF543" w:rsidR="001F6285" w:rsidRDefault="001F6285">
      <w:pPr>
        <w:pStyle w:val="FootnoteText"/>
      </w:pPr>
      <w:r w:rsidRPr="0054498A">
        <w:rPr>
          <w:rStyle w:val="FootnoteReference"/>
          <w:color w:val="408BCA"/>
        </w:rPr>
        <w:footnoteRef/>
      </w:r>
      <w:r>
        <w:t xml:space="preserve"> </w:t>
      </w:r>
      <w:r w:rsidR="00AF4E50">
        <w:fldChar w:fldCharType="begin">
          <w:fldData xml:space="preserve">PEVuZE5vdGU+PENpdGU+PEF1dGhvcj5NYXR6a2U8L0F1dGhvcj48WWVhcj4yMDE4PC9ZZWFyPjxS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</w:fldData>
        </w:fldChar>
      </w:r>
      <w:r w:rsidR="00081D00">
        <w:instrText xml:space="preserve"> ADDIN EN.CITE </w:instrText>
      </w:r>
      <w:r w:rsidR="00081D00">
        <w:fldChar w:fldCharType="begin">
          <w:fldData xml:space="preserve">PEVuZE5vdGU+PENpdGU+PEF1dGhvcj5NYXR6a2U8L0F1dGhvcj48WWVhcj4yMDE4PC9ZZWFyPjxS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</w:fldData>
        </w:fldChar>
      </w:r>
      <w:r w:rsidR="00081D00">
        <w:instrText xml:space="preserve"> ADDIN EN.CITE.DATA </w:instrText>
      </w:r>
      <w:r w:rsidR="00081D00">
        <w:fldChar w:fldCharType="end"/>
      </w:r>
      <w:r w:rsidR="00AF4E50">
        <w:fldChar w:fldCharType="separate"/>
      </w:r>
      <w:r w:rsidR="00081D00">
        <w:rPr>
          <w:noProof/>
        </w:rPr>
        <w:t xml:space="preserve">Matzke, G. R., Moczygemba, L. R., Williams, K. J., Czar, M. J., &amp; Lee, W. T. (2018). Impact of a pharmacist-physician collaborative care model on patient outcomes and health services utilization. </w:t>
      </w:r>
      <w:r w:rsidR="00081D00" w:rsidRPr="00081D00">
        <w:rPr>
          <w:i/>
          <w:noProof/>
        </w:rPr>
        <w:t>American journal of health-system pharmacy : AJHP : official journal of the American Society of Health-System Pharmacists, 75</w:t>
      </w:r>
      <w:r w:rsidR="00081D00">
        <w:rPr>
          <w:noProof/>
        </w:rPr>
        <w:t>(14), 1039-1047.</w:t>
      </w:r>
      <w:r w:rsidR="00AF4E50">
        <w:fldChar w:fldCharType="end"/>
      </w:r>
    </w:p>
  </w:footnote>
  <w:footnote w:id="101">
    <w:p w14:paraId="2D94DB1D" w14:textId="7868CE14" w:rsidR="00B17608" w:rsidRDefault="00B17608">
      <w:pPr>
        <w:pStyle w:val="FootnoteText"/>
      </w:pPr>
      <w:r w:rsidRPr="0054498A">
        <w:rPr>
          <w:rStyle w:val="FootnoteReference"/>
          <w:color w:val="408BCA"/>
        </w:rPr>
        <w:footnoteRef/>
      </w:r>
      <w:r>
        <w:t xml:space="preserve"> </w:t>
      </w:r>
      <w:r>
        <w:fldChar w:fldCharType="begin">
          <w:fldData xml:space="preserve">PEVuZE5vdGU+PENpdGU+PEF1dGhvcj5Lb2Nhcm5pazwvQXV0aG9yPjxZZWFyPjIwMTI8L1llYXI+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</w:fldData>
        </w:fldChar>
      </w:r>
      <w:r w:rsidR="00081D00">
        <w:instrText xml:space="preserve"> ADDIN EN.CITE </w:instrText>
      </w:r>
      <w:r w:rsidR="00081D00">
        <w:fldChar w:fldCharType="begin">
          <w:fldData xml:space="preserve">PEVuZE5vdGU+PENpdGU+PEF1dGhvcj5Lb2Nhcm5pazwvQXV0aG9yPjxZZWFyPjIwMTI8L1llYXI+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</w:fldData>
        </w:fldChar>
      </w:r>
      <w:r w:rsidR="00081D00">
        <w:instrText xml:space="preserve"> ADDIN EN.CITE.DATA </w:instrText>
      </w:r>
      <w:r w:rsidR="00081D00">
        <w:fldChar w:fldCharType="end"/>
      </w:r>
      <w:r>
        <w:fldChar w:fldCharType="separate"/>
      </w:r>
      <w:r w:rsidR="00081D00">
        <w:rPr>
          <w:noProof/>
        </w:rPr>
        <w:t xml:space="preserve">Kocarnik, B. M., Liu, C.-F., Wong, E. S., Perkins, M., Maciejewski, M. L., Yano, E. M., Au, D. H., Piette, J. D., &amp; Bryson, C. L. (2012). Does the presence of a pharmacist in primary care clinics improve diabetes medication adherence? </w:t>
      </w:r>
      <w:r w:rsidR="00081D00" w:rsidRPr="00081D00">
        <w:rPr>
          <w:i/>
          <w:noProof/>
        </w:rPr>
        <w:t>BMC health services research, 12</w:t>
      </w:r>
      <w:r w:rsidR="00081D00">
        <w:rPr>
          <w:noProof/>
        </w:rPr>
        <w:t>, 391.</w:t>
      </w:r>
      <w:r>
        <w:fldChar w:fldCharType="end"/>
      </w:r>
    </w:p>
  </w:footnote>
  <w:footnote w:id="102">
    <w:p w14:paraId="3E5E3879" w14:textId="6FAA2095" w:rsidR="003200F7" w:rsidRDefault="003200F7">
      <w:pPr>
        <w:pStyle w:val="FootnoteText"/>
      </w:pPr>
      <w:r w:rsidRPr="0054498A">
        <w:rPr>
          <w:rStyle w:val="FootnoteReference"/>
          <w:color w:val="408BCA"/>
        </w:rPr>
        <w:footnoteRef/>
      </w:r>
      <w:r>
        <w:t xml:space="preserve"> </w:t>
      </w:r>
      <w:r>
        <w:fldChar w:fldCharType="begin">
          <w:fldData xml:space="preserve">PEVuZE5vdGU+PENpdGU+PEF1dGhvcj5PJmFwb3M7TmVpbGw8L0F1dGhvcj48WWVhcj4yMDE0PC9Z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</w:fldData>
        </w:fldChar>
      </w:r>
      <w:r w:rsidR="00081D00">
        <w:instrText xml:space="preserve"> ADDIN EN.CITE </w:instrText>
      </w:r>
      <w:r w:rsidR="00081D00">
        <w:fldChar w:fldCharType="begin">
          <w:fldData xml:space="preserve">PEVuZE5vdGU+PENpdGU+PEF1dGhvcj5PJmFwb3M7TmVpbGw8L0F1dGhvcj48WWVhcj4yMDE0PC9Z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</w:fldData>
        </w:fldChar>
      </w:r>
      <w:r w:rsidR="00081D00">
        <w:instrText xml:space="preserve"> ADDIN EN.CITE.DATA </w:instrText>
      </w:r>
      <w:r w:rsidR="00081D00">
        <w:fldChar w:fldCharType="end"/>
      </w:r>
      <w:r>
        <w:fldChar w:fldCharType="separate"/>
      </w:r>
      <w:r w:rsidR="00081D00">
        <w:rPr>
          <w:noProof/>
        </w:rPr>
        <w:t xml:space="preserve">O'Neill, J. L., Cunningham, T. L., Wiitala, W. L., &amp; Bartley, E. P. (2014). Collaborative hypertension case management by registered nurses and clinical pharmacy specialists within the Patient Aligned Care Teams (PACT) model. </w:t>
      </w:r>
      <w:r w:rsidR="00081D00" w:rsidRPr="00081D00">
        <w:rPr>
          <w:i/>
          <w:noProof/>
        </w:rPr>
        <w:t>Journal of general internal medicine, 29 Suppl 2</w:t>
      </w:r>
      <w:r w:rsidR="00081D00">
        <w:rPr>
          <w:noProof/>
        </w:rPr>
        <w:t>, S675-681.</w:t>
      </w:r>
      <w:r>
        <w:fldChar w:fldCharType="end"/>
      </w:r>
    </w:p>
  </w:footnote>
  <w:footnote w:id="103">
    <w:p w14:paraId="491D2390" w14:textId="39EF061A" w:rsidR="001F6285" w:rsidRDefault="001F6285">
      <w:pPr>
        <w:pStyle w:val="FootnoteText"/>
      </w:pPr>
      <w:r w:rsidRPr="0054498A">
        <w:rPr>
          <w:rStyle w:val="FootnoteReference"/>
          <w:color w:val="408BCA"/>
        </w:rPr>
        <w:footnoteRef/>
      </w:r>
      <w:r>
        <w:t xml:space="preserve"> </w:t>
      </w:r>
      <w:r w:rsidR="003200F7">
        <w:fldChar w:fldCharType="begin">
          <w:fldData xml:space="preserve">PEVuZE5vdGU+PENpdGU+PEF1dGhvcj5Sb21hbmVsbGk8L0F1dGhvcj48WWVhcj4yMDE1PC9ZZWFy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</w:fldData>
        </w:fldChar>
      </w:r>
      <w:r w:rsidR="00081D00">
        <w:instrText xml:space="preserve"> ADDIN EN.CITE </w:instrText>
      </w:r>
      <w:r w:rsidR="00081D00">
        <w:fldChar w:fldCharType="begin">
          <w:fldData xml:space="preserve">PEVuZE5vdGU+PENpdGU+PEF1dGhvcj5Sb21hbmVsbGk8L0F1dGhvcj48WWVhcj4yMDE1PC9ZZWFy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</w:fldData>
        </w:fldChar>
      </w:r>
      <w:r w:rsidR="00081D00">
        <w:instrText xml:space="preserve"> ADDIN EN.CITE.DATA </w:instrText>
      </w:r>
      <w:r w:rsidR="00081D00">
        <w:fldChar w:fldCharType="end"/>
      </w:r>
      <w:r w:rsidR="003200F7">
        <w:fldChar w:fldCharType="separate"/>
      </w:r>
      <w:r w:rsidR="00081D00">
        <w:rPr>
          <w:noProof/>
        </w:rPr>
        <w:t xml:space="preserve">Romanelli, R. J., Leahy, A., Jukes, T., &amp; Ishisaka, D. Y. (2015). Pharmacist-led medication management program within a patient-centered medical home. </w:t>
      </w:r>
      <w:r w:rsidR="00081D00" w:rsidRPr="00081D00">
        <w:rPr>
          <w:i/>
          <w:noProof/>
        </w:rPr>
        <w:t>American journal of health-system pharmacy : AJHP : official journal of the American Society of Health-System Pharmacists, 72</w:t>
      </w:r>
      <w:r w:rsidR="00081D00">
        <w:rPr>
          <w:noProof/>
        </w:rPr>
        <w:t>(6), 453-459.</w:t>
      </w:r>
      <w:r w:rsidR="003200F7">
        <w:fldChar w:fldCharType="end"/>
      </w:r>
    </w:p>
  </w:footnote>
  <w:footnote w:id="104">
    <w:p w14:paraId="1DA51439" w14:textId="334E00BF" w:rsidR="001F6285" w:rsidRDefault="001F6285">
      <w:pPr>
        <w:pStyle w:val="FootnoteText"/>
      </w:pPr>
      <w:r w:rsidRPr="0054498A">
        <w:rPr>
          <w:rStyle w:val="FootnoteReference"/>
          <w:color w:val="408BCA"/>
        </w:rPr>
        <w:footnoteRef/>
      </w:r>
      <w:r>
        <w:t xml:space="preserve"> </w:t>
      </w:r>
      <w:r w:rsidR="003200F7">
        <w:fldChar w:fldCharType="begin">
          <w:fldData xml:space="preserve">PEVuZE5vdGU+PENpdGU+PEF1dGhvcj5CcnVuaXNob2x6PC9BdXRob3I+PFllYXI+MjAxODwvWWVh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</w:fldData>
        </w:fldChar>
      </w:r>
      <w:r w:rsidR="00081D00">
        <w:instrText xml:space="preserve"> ADDIN EN.CITE </w:instrText>
      </w:r>
      <w:r w:rsidR="00081D00">
        <w:fldChar w:fldCharType="begin">
          <w:fldData xml:space="preserve">PEVuZE5vdGU+PENpdGU+PEF1dGhvcj5CcnVuaXNob2x6PC9BdXRob3I+PFllYXI+MjAxODwvWWVh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</w:fldData>
        </w:fldChar>
      </w:r>
      <w:r w:rsidR="00081D00">
        <w:instrText xml:space="preserve"> ADDIN EN.CITE.DATA </w:instrText>
      </w:r>
      <w:r w:rsidR="00081D00">
        <w:fldChar w:fldCharType="end"/>
      </w:r>
      <w:r w:rsidR="003200F7">
        <w:fldChar w:fldCharType="separate"/>
      </w:r>
      <w:r w:rsidR="00081D00">
        <w:rPr>
          <w:noProof/>
        </w:rPr>
        <w:t xml:space="preserve">Brunisholz, K. D., Olson, J., Anderson, J. W., Hays, E., Tilbury, P. M., Winter, B., Rickard, J., Hamilton, S., &amp; Parkin, G. (2018). "Pharming out" support: a promising approach to integrating clinical pharmacists into established primary care medical home practices. </w:t>
      </w:r>
      <w:r w:rsidR="00081D00" w:rsidRPr="00081D00">
        <w:rPr>
          <w:i/>
          <w:noProof/>
        </w:rPr>
        <w:t>The Journal of international medical research, 46</w:t>
      </w:r>
      <w:r w:rsidR="00081D00">
        <w:rPr>
          <w:noProof/>
        </w:rPr>
        <w:t>(1), 234-248.</w:t>
      </w:r>
      <w:r w:rsidR="003200F7">
        <w:fldChar w:fldCharType="end"/>
      </w:r>
    </w:p>
  </w:footnote>
  <w:footnote w:id="105">
    <w:p w14:paraId="49E3A4B6" w14:textId="4912CA77" w:rsidR="001F6285" w:rsidRDefault="001F6285">
      <w:pPr>
        <w:pStyle w:val="FootnoteText"/>
      </w:pPr>
      <w:r w:rsidRPr="0054498A">
        <w:rPr>
          <w:rStyle w:val="FootnoteReference"/>
          <w:color w:val="408BCA"/>
        </w:rPr>
        <w:footnoteRef/>
      </w:r>
      <w:r>
        <w:t xml:space="preserve"> </w:t>
      </w:r>
      <w:r w:rsidR="003200F7">
        <w:fldChar w:fldCharType="begin">
          <w:fldData xml:space="preserve">PEVuZE5vdGU+PENpdGU+PEF1dGhvcj5QZXRlcnNvbjwvQXV0aG9yPjxZZWFyPjIwMjA8L1llYXI+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==
</w:fldData>
        </w:fldChar>
      </w:r>
      <w:r w:rsidR="00081D00">
        <w:instrText xml:space="preserve"> ADDIN EN.CITE </w:instrText>
      </w:r>
      <w:r w:rsidR="00081D00">
        <w:fldChar w:fldCharType="begin">
          <w:fldData xml:space="preserve">PEVuZE5vdGU+PENpdGU+PEF1dGhvcj5QZXRlcnNvbjwvQXV0aG9yPjxZZWFyPjIwMjA8L1llYXI+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==
</w:fldData>
        </w:fldChar>
      </w:r>
      <w:r w:rsidR="00081D00">
        <w:instrText xml:space="preserve"> ADDIN EN.CITE.DATA </w:instrText>
      </w:r>
      <w:r w:rsidR="00081D00">
        <w:fldChar w:fldCharType="end"/>
      </w:r>
      <w:r w:rsidR="003200F7">
        <w:fldChar w:fldCharType="separate"/>
      </w:r>
      <w:r w:rsidR="00081D00">
        <w:rPr>
          <w:noProof/>
        </w:rPr>
        <w:t xml:space="preserve">Peterson, J., Hinds, A., Garza, A., Barner, J., Hill, L., Nguyen, M., Lai, P., &amp; Gums, T. (2020). Impact of Physician-Pharmacists Covisits at a Primary Care Clinic in Patients With Uncontrolled Diabetes. </w:t>
      </w:r>
      <w:r w:rsidR="00081D00" w:rsidRPr="00081D00">
        <w:rPr>
          <w:i/>
          <w:noProof/>
        </w:rPr>
        <w:t>Journal of pharmacy practice, 33</w:t>
      </w:r>
      <w:r w:rsidR="00081D00">
        <w:rPr>
          <w:noProof/>
        </w:rPr>
        <w:t>(3), 321-325.</w:t>
      </w:r>
      <w:r w:rsidR="003200F7">
        <w:fldChar w:fldCharType="end"/>
      </w:r>
    </w:p>
  </w:footnote>
  <w:footnote w:id="106">
    <w:p w14:paraId="747F9C4F" w14:textId="5C4C4E88" w:rsidR="00457101" w:rsidRDefault="00457101">
      <w:pPr>
        <w:pStyle w:val="FootnoteText"/>
      </w:pPr>
      <w:r w:rsidRPr="0054498A">
        <w:rPr>
          <w:rStyle w:val="FootnoteReference"/>
          <w:color w:val="408BCA"/>
        </w:rPr>
        <w:footnoteRef/>
      </w:r>
      <w:r>
        <w:t xml:space="preserve"> </w:t>
      </w:r>
      <w:r w:rsidR="003200F7">
        <w:fldChar w:fldCharType="begin">
          <w:fldData xml:space="preserve">PEVuZE5vdGU+PENpdGU+PEF1dGhvcj5FZHdhcmRzPC9BdXRob3I+PFllYXI+MjAxMjwvWWVhcj48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</w:fldData>
        </w:fldChar>
      </w:r>
      <w:r w:rsidR="00081D00">
        <w:instrText xml:space="preserve"> ADDIN EN.CITE </w:instrText>
      </w:r>
      <w:r w:rsidR="00081D00">
        <w:fldChar w:fldCharType="begin">
          <w:fldData xml:space="preserve">PEVuZE5vdGU+PENpdGU+PEF1dGhvcj5FZHdhcmRzPC9BdXRob3I+PFllYXI+MjAxMjwvWWVhcj48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</w:fldData>
        </w:fldChar>
      </w:r>
      <w:r w:rsidR="00081D00">
        <w:instrText xml:space="preserve"> ADDIN EN.CITE.DATA </w:instrText>
      </w:r>
      <w:r w:rsidR="00081D00">
        <w:fldChar w:fldCharType="end"/>
      </w:r>
      <w:r w:rsidR="003200F7">
        <w:fldChar w:fldCharType="separate"/>
      </w:r>
      <w:r w:rsidR="00081D00">
        <w:rPr>
          <w:noProof/>
        </w:rPr>
        <w:t xml:space="preserve">Edwards, H. D., Webb, R. D., Scheid, D. C., Britton, M. L., &amp; Armor, B. L. (2012). A Pharmacist Visit Improves Diabetes Standards in a Patient-Centered Medical Home (PCMH) [Article]. </w:t>
      </w:r>
      <w:r w:rsidR="00081D00" w:rsidRPr="00081D00">
        <w:rPr>
          <w:i/>
          <w:noProof/>
        </w:rPr>
        <w:t>American Journal of Medical Quality, 27</w:t>
      </w:r>
      <w:r w:rsidR="00081D00">
        <w:rPr>
          <w:noProof/>
        </w:rPr>
        <w:t>(6), 529-534.</w:t>
      </w:r>
      <w:r w:rsidR="003200F7">
        <w:fldChar w:fldCharType="end"/>
      </w:r>
    </w:p>
  </w:footnote>
  <w:footnote w:id="107">
    <w:p w14:paraId="253AF818" w14:textId="1340AFC5" w:rsidR="00457101" w:rsidRDefault="00457101">
      <w:pPr>
        <w:pStyle w:val="FootnoteText"/>
      </w:pPr>
      <w:r w:rsidRPr="0054498A">
        <w:rPr>
          <w:rStyle w:val="FootnoteReference"/>
          <w:color w:val="408BCA"/>
        </w:rPr>
        <w:footnoteRef/>
      </w:r>
      <w:r>
        <w:t xml:space="preserve"> </w:t>
      </w:r>
      <w:r w:rsidR="003200F7">
        <w:fldChar w:fldCharType="begin">
          <w:fldData xml:space="preserve">PEVuZE5vdGU+PENpdGU+PEF1dGhvcj5NaW48L0F1dGhvcj48WWVhcj4yMDE3PC9ZZWFyPjxSZWNO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</w:fldData>
        </w:fldChar>
      </w:r>
      <w:r w:rsidR="00081D00">
        <w:instrText xml:space="preserve"> ADDIN EN.CITE </w:instrText>
      </w:r>
      <w:r w:rsidR="00081D00">
        <w:fldChar w:fldCharType="begin">
          <w:fldData xml:space="preserve">PEVuZE5vdGU+PENpdGU+PEF1dGhvcj5NaW48L0F1dGhvcj48WWVhcj4yMDE3PC9ZZWFyPjxSZWNO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</w:fldData>
        </w:fldChar>
      </w:r>
      <w:r w:rsidR="00081D00">
        <w:instrText xml:space="preserve"> ADDIN EN.CITE.DATA </w:instrText>
      </w:r>
      <w:r w:rsidR="00081D00">
        <w:fldChar w:fldCharType="end"/>
      </w:r>
      <w:r w:rsidR="003200F7">
        <w:fldChar w:fldCharType="separate"/>
      </w:r>
      <w:r w:rsidR="00081D00">
        <w:rPr>
          <w:noProof/>
        </w:rPr>
        <w:t xml:space="preserve">Min, L., Cigolle, C. T., Bernstein, S. J., Ward, K., Moore, T. L., Jinkyung, H., &amp; Blaum, C. S. (2017). Diabetes Care Improvement in Pharmacist-Versus Nurse-Supported Patient-Centered Medical Homes. </w:t>
      </w:r>
      <w:r w:rsidR="00081D00" w:rsidRPr="00081D00">
        <w:rPr>
          <w:i/>
          <w:noProof/>
        </w:rPr>
        <w:t>American Journal of Managed Care, 23</w:t>
      </w:r>
      <w:r w:rsidR="00081D00">
        <w:rPr>
          <w:noProof/>
        </w:rPr>
        <w:t>(11), e374-e381.</w:t>
      </w:r>
      <w:r w:rsidR="003200F7">
        <w:fldChar w:fldCharType="end"/>
      </w:r>
    </w:p>
  </w:footnote>
  <w:footnote w:id="108">
    <w:p w14:paraId="3EE1E1C2" w14:textId="02B8C0AE" w:rsidR="00457101" w:rsidRDefault="00457101">
      <w:pPr>
        <w:pStyle w:val="FootnoteText"/>
      </w:pPr>
      <w:r w:rsidRPr="0054498A">
        <w:rPr>
          <w:rStyle w:val="FootnoteReference"/>
          <w:color w:val="408BCA"/>
        </w:rPr>
        <w:footnoteRef/>
      </w:r>
      <w:r>
        <w:t xml:space="preserve"> </w:t>
      </w:r>
      <w:r w:rsidR="008A04E0">
        <w:fldChar w:fldCharType="begin">
          <w:fldData xml:space="preserve">PEVuZE5vdGU+PENpdGU+PEF1dGhvcj5IYXdlczwvQXV0aG9yPjxZZWFyPjIwMTg8L1llYXI+PFJl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</w:fldData>
        </w:fldChar>
      </w:r>
      <w:r w:rsidR="00081D00">
        <w:instrText xml:space="preserve"> ADDIN EN.CITE </w:instrText>
      </w:r>
      <w:r w:rsidR="00081D00">
        <w:fldChar w:fldCharType="begin">
          <w:fldData xml:space="preserve">PEVuZE5vdGU+PENpdGU+PEF1dGhvcj5IYXdlczwvQXV0aG9yPjxZZWFyPjIwMTg8L1llYXI+PFJl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</w:fldData>
        </w:fldChar>
      </w:r>
      <w:r w:rsidR="00081D00">
        <w:instrText xml:space="preserve"> ADDIN EN.CITE.DATA </w:instrText>
      </w:r>
      <w:r w:rsidR="00081D00">
        <w:fldChar w:fldCharType="end"/>
      </w:r>
      <w:r w:rsidR="008A04E0">
        <w:fldChar w:fldCharType="separate"/>
      </w:r>
      <w:r w:rsidR="00081D00">
        <w:rPr>
          <w:noProof/>
        </w:rPr>
        <w:t xml:space="preserve">Hawes, E. M., Pinelli, N. R., Sanders, K. A., Lipshutz, A. M., Tong, G., Sievers, L. S., Chao, S., &amp; Gwynne, M. (2018). Post-Hospital Discharge Care: A Retrospective Cohort Study Exploring the Value of Pharmacist-Enhanced Care and Describing Medication-Related Problems. </w:t>
      </w:r>
      <w:r w:rsidR="00081D00" w:rsidRPr="00081D00">
        <w:rPr>
          <w:i/>
          <w:noProof/>
        </w:rPr>
        <w:t>North Carolina medical journal, 79</w:t>
      </w:r>
      <w:r w:rsidR="00081D00">
        <w:rPr>
          <w:noProof/>
        </w:rPr>
        <w:t>(1), 4-13.</w:t>
      </w:r>
      <w:r w:rsidR="008A04E0">
        <w:fldChar w:fldCharType="end"/>
      </w:r>
    </w:p>
  </w:footnote>
  <w:footnote w:id="109">
    <w:p w14:paraId="4B0EDDDF" w14:textId="26C43602" w:rsidR="002A1640" w:rsidRPr="002A1640" w:rsidRDefault="002A1640" w:rsidP="002A1640">
      <w:pPr>
        <w:spacing w:after="0"/>
        <w:ind w:right="522"/>
        <w:rPr>
          <w:rFonts w:cs="Arial"/>
          <w:szCs w:val="20"/>
          <w:lang w:val="en-GB"/>
        </w:rPr>
      </w:pPr>
      <w:r w:rsidRPr="0054498A">
        <w:rPr>
          <w:rStyle w:val="FootnoteReference"/>
          <w:color w:val="408BCA"/>
        </w:rPr>
        <w:footnoteRef/>
      </w:r>
      <w:r>
        <w:t xml:space="preserve"> </w:t>
      </w:r>
      <w:r w:rsidRPr="002A1640">
        <w:rPr>
          <w:rFonts w:cs="Arial"/>
          <w:sz w:val="18"/>
          <w:szCs w:val="18"/>
          <w:lang w:val="en-GB"/>
        </w:rPr>
        <w:fldChar w:fldCharType="begin"/>
      </w:r>
      <w:r w:rsidRPr="002A1640">
        <w:rPr>
          <w:rFonts w:cs="Arial"/>
          <w:sz w:val="18"/>
          <w:szCs w:val="18"/>
          <w:lang w:val="en-GB"/>
        </w:rPr>
        <w:instrText xml:space="preserve"> ADDIN EN.CITE &lt;EndNote&gt;&lt;Cite&gt;&lt;Author&gt;The Pharmacy Guild of Australia&lt;/Author&gt;&lt;Year&gt;2020&lt;/Year&gt;&lt;RecNum&gt;1530&lt;/RecNum&gt;&lt;DisplayText&gt;The Pharmacy Guild of Australia. (2020a). &lt;style face="italic"&gt;Brief for HCH PHN Facilitators: Overview of medicine review services&lt;/style&gt;. &lt;/DisplayText&gt;&lt;record&gt;&lt;rec-number&gt;1530&lt;/rec-number&gt;&lt;foreign-keys&gt;&lt;key app="EN" db-id="zdz9xax04zr9v0evw2nvrpw9xe9ttzvs5zsv" timestamp="1634599139"&gt;1530&lt;/key&gt;&lt;/foreign-keys&gt;&lt;ref-type name="Report"&gt;27&lt;/ref-type&gt;&lt;contributors&gt;&lt;authors&gt;&lt;author&gt;The Pharmacy Guild of Australia,,&lt;/author&gt;&lt;/authors&gt;&lt;/contributors&gt;&lt;titles&gt;&lt;title&gt;Brief for HCH PHN Facilitators: Overview of medicine review services&lt;/title&gt;&lt;/titles&gt;&lt;dates&gt;&lt;year&gt;2020&lt;/year&gt;&lt;/dates&gt;&lt;pub-location&gt;Canberra&lt;/pub-location&gt;&lt;urls&gt;&lt;/urls&gt;&lt;/record&gt;&lt;/Cite&gt;&lt;/EndNote&gt;</w:instrText>
      </w:r>
      <w:r w:rsidRPr="002A1640">
        <w:rPr>
          <w:rFonts w:cs="Arial"/>
          <w:sz w:val="18"/>
          <w:szCs w:val="18"/>
          <w:lang w:val="en-GB"/>
        </w:rPr>
        <w:fldChar w:fldCharType="separate"/>
      </w:r>
      <w:r w:rsidRPr="002A1640">
        <w:rPr>
          <w:rFonts w:cs="Arial"/>
          <w:noProof/>
          <w:sz w:val="18"/>
          <w:szCs w:val="18"/>
          <w:lang w:val="en-GB"/>
        </w:rPr>
        <w:t xml:space="preserve">The Pharmacy Guild of Australia. (2020a). </w:t>
      </w:r>
      <w:r w:rsidRPr="002A1640">
        <w:rPr>
          <w:rFonts w:cs="Arial"/>
          <w:i/>
          <w:noProof/>
          <w:sz w:val="18"/>
          <w:szCs w:val="18"/>
          <w:lang w:val="en-GB"/>
        </w:rPr>
        <w:t>Brief for HCH PHN Facilitators: Overview of medicine review services</w:t>
      </w:r>
      <w:r w:rsidRPr="002A1640">
        <w:rPr>
          <w:rFonts w:cs="Arial"/>
          <w:noProof/>
          <w:sz w:val="18"/>
          <w:szCs w:val="18"/>
          <w:lang w:val="en-GB"/>
        </w:rPr>
        <w:t xml:space="preserve">. </w:t>
      </w:r>
      <w:r w:rsidRPr="002A1640">
        <w:rPr>
          <w:rFonts w:cs="Arial"/>
          <w:sz w:val="18"/>
          <w:szCs w:val="18"/>
          <w:lang w:val="en-GB"/>
        </w:rPr>
        <w:fldChar w:fldCharType="end"/>
      </w:r>
    </w:p>
  </w:footnote>
  <w:footnote w:id="110">
    <w:p w14:paraId="4021BB9D" w14:textId="7E151D8A" w:rsidR="00FB48C2" w:rsidRDefault="00FB48C2" w:rsidP="00FB48C2">
      <w:pPr>
        <w:pStyle w:val="FootnoteText"/>
      </w:pPr>
      <w:r w:rsidRPr="0054498A">
        <w:rPr>
          <w:rStyle w:val="FootnoteReference"/>
          <w:color w:val="408BCA"/>
        </w:rPr>
        <w:footnoteRef/>
      </w:r>
      <w:r>
        <w:t xml:space="preserve"> </w:t>
      </w:r>
      <w:r w:rsidR="0042713E">
        <w:fldChar w:fldCharType="begin">
          <w:fldData xml:space="preserve">PEVuZE5vdGU+PENpdGU+PEF1dGhvcj5TdGFmZm9yZDwvQXV0aG9yPjxZZWFyPjIwMjA8L1llYXI+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</w:fldData>
        </w:fldChar>
      </w:r>
      <w:r w:rsidR="00081D00">
        <w:instrText xml:space="preserve"> ADDIN EN.CITE </w:instrText>
      </w:r>
      <w:r w:rsidR="00081D00">
        <w:fldChar w:fldCharType="begin">
          <w:fldData xml:space="preserve">PEVuZE5vdGU+PENpdGU+PEF1dGhvcj5TdGFmZm9yZDwvQXV0aG9yPjxZZWFyPjIwMjA8L1llYXI+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</w:fldData>
        </w:fldChar>
      </w:r>
      <w:r w:rsidR="00081D00">
        <w:instrText xml:space="preserve"> ADDIN EN.CITE.DATA </w:instrText>
      </w:r>
      <w:r w:rsidR="00081D00">
        <w:fldChar w:fldCharType="end"/>
      </w:r>
      <w:r w:rsidR="0042713E">
        <w:fldChar w:fldCharType="separate"/>
      </w:r>
      <w:r w:rsidR="00081D00">
        <w:rPr>
          <w:noProof/>
        </w:rPr>
        <w:t xml:space="preserve">Stafford, R. A., Garrett, L. N., Bates, K. A., Diemer, T. B., Thomas, J. L., Smith, M. G., Teeter, B. S., &amp; Curran, G. M. (2020). Development and implementation of a collaboration between a patient-centered medical home and community pharmacy. </w:t>
      </w:r>
      <w:r w:rsidR="00081D00" w:rsidRPr="00081D00">
        <w:rPr>
          <w:i/>
          <w:noProof/>
        </w:rPr>
        <w:t>Journal of the American Pharmacists Association, 60</w:t>
      </w:r>
      <w:r w:rsidR="00081D00">
        <w:rPr>
          <w:noProof/>
        </w:rPr>
        <w:t>(1), 122-129.</w:t>
      </w:r>
      <w:r w:rsidR="0042713E">
        <w:fldChar w:fldCharType="end"/>
      </w:r>
    </w:p>
  </w:footnote>
  <w:footnote w:id="111">
    <w:p w14:paraId="09DE3CA9" w14:textId="4E085DC4" w:rsidR="007E22CF" w:rsidRDefault="007E22CF" w:rsidP="007E22CF">
      <w:pPr>
        <w:pStyle w:val="FootnoteText"/>
      </w:pPr>
      <w:r w:rsidRPr="0054498A">
        <w:rPr>
          <w:rStyle w:val="FootnoteReference"/>
          <w:color w:val="408BCA"/>
        </w:rPr>
        <w:footnoteRef/>
      </w:r>
      <w:r>
        <w:t xml:space="preserve"> </w:t>
      </w:r>
      <w:r w:rsidR="0042713E">
        <w:fldChar w:fldCharType="begin">
          <w:fldData xml:space="preserve">PEVuZE5vdGU+PENpdGU+PEF1dGhvcj5CZXJnbWFuPC9BdXRob3I+PFllYXI+MjAxNjwvWWVhcj48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</w:fldData>
        </w:fldChar>
      </w:r>
      <w:r w:rsidR="00081D00">
        <w:instrText xml:space="preserve"> ADDIN EN.CITE </w:instrText>
      </w:r>
      <w:r w:rsidR="00081D00">
        <w:fldChar w:fldCharType="begin">
          <w:fldData xml:space="preserve">PEVuZE5vdGU+PENpdGU+PEF1dGhvcj5CZXJnbWFuPC9BdXRob3I+PFllYXI+MjAxNjwvWWVhcj48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</w:fldData>
        </w:fldChar>
      </w:r>
      <w:r w:rsidR="00081D00">
        <w:instrText xml:space="preserve"> ADDIN EN.CITE.DATA </w:instrText>
      </w:r>
      <w:r w:rsidR="00081D00">
        <w:fldChar w:fldCharType="end"/>
      </w:r>
      <w:r w:rsidR="0042713E">
        <w:fldChar w:fldCharType="separate"/>
      </w:r>
      <w:r w:rsidR="00081D00">
        <w:rPr>
          <w:noProof/>
        </w:rPr>
        <w:t xml:space="preserve">Bergman, A. A., Jaynes, H. A., Gonzalvo, J. D., Hudmon, K. S., Frankel, R. M., Kobylinski, A. L., &amp; Zillich, A. J. (2016). Pharmaceutical Role Expansion and Developments in Pharmacist-Physician Communication. </w:t>
      </w:r>
      <w:r w:rsidR="00081D00" w:rsidRPr="00081D00">
        <w:rPr>
          <w:i/>
          <w:noProof/>
        </w:rPr>
        <w:t>Health communication, 31</w:t>
      </w:r>
      <w:r w:rsidR="00081D00">
        <w:rPr>
          <w:noProof/>
        </w:rPr>
        <w:t>(2), 161-170.</w:t>
      </w:r>
      <w:r w:rsidR="0042713E">
        <w:fldChar w:fldCharType="end"/>
      </w:r>
    </w:p>
  </w:footnote>
  <w:footnote w:id="112">
    <w:p w14:paraId="7A0650C6" w14:textId="22B4395C" w:rsidR="00DB4F3A" w:rsidRDefault="00DB4F3A">
      <w:pPr>
        <w:pStyle w:val="FootnoteText"/>
      </w:pPr>
      <w:r w:rsidRPr="0054498A">
        <w:rPr>
          <w:rStyle w:val="FootnoteReference"/>
          <w:color w:val="408BCA"/>
        </w:rPr>
        <w:footnoteRef/>
      </w:r>
      <w:r>
        <w:t xml:space="preserve"> </w:t>
      </w:r>
      <w:r w:rsidR="0042713E">
        <w:fldChar w:fldCharType="begin">
          <w:fldData xml:space="preserve">PEVuZE5vdGU+PENpdGU+PEF1dGhvcj5BbGJhbmVzZTwvQXV0aG9yPjxZZWFyPjIwMTc8L1llYXI+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</w:fldData>
        </w:fldChar>
      </w:r>
      <w:r w:rsidR="00081D00">
        <w:instrText xml:space="preserve"> ADDIN EN.CITE </w:instrText>
      </w:r>
      <w:r w:rsidR="00081D00">
        <w:fldChar w:fldCharType="begin">
          <w:fldData xml:space="preserve">PEVuZE5vdGU+PENpdGU+PEF1dGhvcj5BbGJhbmVzZTwvQXV0aG9yPjxZZWFyPjIwMTc8L1llYXI+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</w:fldData>
        </w:fldChar>
      </w:r>
      <w:r w:rsidR="00081D00">
        <w:instrText xml:space="preserve"> ADDIN EN.CITE.DATA </w:instrText>
      </w:r>
      <w:r w:rsidR="00081D00">
        <w:fldChar w:fldCharType="end"/>
      </w:r>
      <w:r w:rsidR="0042713E">
        <w:fldChar w:fldCharType="separate"/>
      </w:r>
      <w:r w:rsidR="00081D00">
        <w:rPr>
          <w:noProof/>
        </w:rPr>
        <w:t xml:space="preserve">Albanese, N. P., Pignato, A. M., &amp; Monte, S. V. (2017). Provider Perception of Pharmacy Services in the Patient-Centered Medical Home. </w:t>
      </w:r>
      <w:r w:rsidR="00081D00" w:rsidRPr="00081D00">
        <w:rPr>
          <w:i/>
          <w:noProof/>
        </w:rPr>
        <w:t>Journal of pharmacy practice, 30</w:t>
      </w:r>
      <w:r w:rsidR="00081D00">
        <w:rPr>
          <w:noProof/>
        </w:rPr>
        <w:t>(6), 612-620.</w:t>
      </w:r>
      <w:r w:rsidR="0042713E">
        <w:fldChar w:fldCharType="end"/>
      </w:r>
    </w:p>
  </w:footnote>
  <w:footnote w:id="113">
    <w:p w14:paraId="6AD20123" w14:textId="1FDEC9AE" w:rsidR="0038690B" w:rsidRDefault="0038690B">
      <w:pPr>
        <w:pStyle w:val="FootnoteText"/>
      </w:pPr>
      <w:r w:rsidRPr="0054498A">
        <w:rPr>
          <w:rStyle w:val="FootnoteReference"/>
          <w:color w:val="408BCA"/>
        </w:rPr>
        <w:footnoteRef/>
      </w:r>
      <w:r>
        <w:t xml:space="preserve"> </w:t>
      </w:r>
      <w:r w:rsidR="0042713E">
        <w:fldChar w:fldCharType="begin">
          <w:fldData xml:space="preserve">PEVuZE5vdGU+PENpdGU+PEF1dGhvcj5BcmVuejwvQXV0aG9yPjxZZWFyPjIwMTY8L1llYXI+PFJl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</w:fldData>
        </w:fldChar>
      </w:r>
      <w:r w:rsidR="00081D00">
        <w:instrText xml:space="preserve"> ADDIN EN.CITE </w:instrText>
      </w:r>
      <w:r w:rsidR="00081D00">
        <w:fldChar w:fldCharType="begin">
          <w:fldData xml:space="preserve">PEVuZE5vdGU+PENpdGU+PEF1dGhvcj5BcmVuejwvQXV0aG9yPjxZZWFyPjIwMTY8L1llYXI+PFJl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</w:fldData>
        </w:fldChar>
      </w:r>
      <w:r w:rsidR="00081D00">
        <w:instrText xml:space="preserve"> ADDIN EN.CITE.DATA </w:instrText>
      </w:r>
      <w:r w:rsidR="00081D00">
        <w:fldChar w:fldCharType="end"/>
      </w:r>
      <w:r w:rsidR="0042713E">
        <w:fldChar w:fldCharType="separate"/>
      </w:r>
      <w:r w:rsidR="00081D00">
        <w:rPr>
          <w:noProof/>
        </w:rPr>
        <w:t xml:space="preserve">Arenz, B. J., Diez, H. L., Bostwick, J. R., Kales, H. C., Zivin, K., Dalack, G. W., Fluent, T. E., Standiford, C. J., Stano, C., &amp; Mi Choe, H. (2016). Effectively implementing FDA medication alerts utilizing patient centered medical home clinical pharmacists. </w:t>
      </w:r>
      <w:r w:rsidR="00081D00" w:rsidRPr="00081D00">
        <w:rPr>
          <w:i/>
          <w:noProof/>
        </w:rPr>
        <w:t>Healthcare (Amsterdam, Netherlands), 4</w:t>
      </w:r>
      <w:r w:rsidR="00081D00">
        <w:rPr>
          <w:noProof/>
        </w:rPr>
        <w:t>(1), 69-73.</w:t>
      </w:r>
      <w:r w:rsidR="0042713E">
        <w:fldChar w:fldCharType="end"/>
      </w:r>
    </w:p>
  </w:footnote>
  <w:footnote w:id="114">
    <w:p w14:paraId="72F0A55B" w14:textId="655020B2" w:rsidR="0038690B" w:rsidRDefault="0038690B">
      <w:pPr>
        <w:pStyle w:val="FootnoteText"/>
      </w:pPr>
      <w:r w:rsidRPr="0054498A">
        <w:rPr>
          <w:rStyle w:val="FootnoteReference"/>
          <w:color w:val="408BCA"/>
        </w:rPr>
        <w:footnoteRef/>
      </w:r>
      <w:r>
        <w:t xml:space="preserve"> </w:t>
      </w:r>
      <w:r w:rsidR="0042713E">
        <w:fldChar w:fldCharType="begin">
          <w:fldData xml:space="preserve">PEVuZE5vdGU+PENpdGU+PEF1dGhvcj5GYXJyZWxsPC9BdXRob3I+PFllYXI+MjAxMzwvWWVhcj48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</w:fldData>
        </w:fldChar>
      </w:r>
      <w:r w:rsidR="00081D00">
        <w:instrText xml:space="preserve"> ADDIN EN.CITE </w:instrText>
      </w:r>
      <w:r w:rsidR="00081D00">
        <w:fldChar w:fldCharType="begin">
          <w:fldData xml:space="preserve">PEVuZE5vdGU+PENpdGU+PEF1dGhvcj5GYXJyZWxsPC9BdXRob3I+PFllYXI+MjAxMzwvWWVhcj48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</w:fldData>
        </w:fldChar>
      </w:r>
      <w:r w:rsidR="00081D00">
        <w:instrText xml:space="preserve"> ADDIN EN.CITE.DATA </w:instrText>
      </w:r>
      <w:r w:rsidR="00081D00">
        <w:fldChar w:fldCharType="end"/>
      </w:r>
      <w:r w:rsidR="0042713E">
        <w:fldChar w:fldCharType="separate"/>
      </w:r>
      <w:r w:rsidR="00081D00">
        <w:rPr>
          <w:noProof/>
        </w:rPr>
        <w:t xml:space="preserve">Farrell, B., Ward, N., Dore, N., Russell, G., Geneau, R., &amp; Evans, S. (2013). Working in interprofessional primary health care teams: What do pharmacists do? [Article]. </w:t>
      </w:r>
      <w:r w:rsidR="00081D00" w:rsidRPr="00081D00">
        <w:rPr>
          <w:i/>
          <w:noProof/>
        </w:rPr>
        <w:t>Research in Social &amp; Administrative Pharmacy, 9</w:t>
      </w:r>
      <w:r w:rsidR="00081D00">
        <w:rPr>
          <w:noProof/>
        </w:rPr>
        <w:t>(3), 288-301.</w:t>
      </w:r>
      <w:r w:rsidR="0042713E">
        <w:fldChar w:fldCharType="end"/>
      </w:r>
    </w:p>
  </w:footnote>
  <w:footnote w:id="115">
    <w:p w14:paraId="55C26F26" w14:textId="6CCD5FF6" w:rsidR="00DE168D" w:rsidRDefault="00DE168D" w:rsidP="00DE168D">
      <w:pPr>
        <w:pStyle w:val="FootnoteText"/>
      </w:pPr>
      <w:r w:rsidRPr="006347A9">
        <w:rPr>
          <w:rStyle w:val="FootnoteReference"/>
          <w:color w:val="408BCA"/>
        </w:rPr>
        <w:footnoteRef/>
      </w:r>
      <w:r>
        <w:t xml:space="preserve"> </w:t>
      </w:r>
      <w:r>
        <w:fldChar w:fldCharType="begin"/>
      </w:r>
      <w:r w:rsidR="00DC0673">
        <w:instrText xml:space="preserve"> ADDIN EN.CITE &lt;EndNote&gt;&lt;Cite&gt;&lt;Author&gt;Damschroder&lt;/Author&gt;&lt;Year&gt;2009&lt;/Year&gt;&lt;RecNum&gt;640&lt;/RecNum&gt;&lt;DisplayText&gt;Damschroder, L. J., Aron, D. C., Keith, R. E., Kirsh, S. R., Alexander, J. A., &amp;amp; Lowery, J. C. (2009). Fostering implementation of health services research findings into practice: a consolidated framework for advancing implementation science. &lt;style face="italic"&gt;Implementation Science, 4&lt;/style&gt;(1), 50.&lt;/DisplayText&gt;&lt;record&gt;&lt;rec-number&gt;640&lt;/rec-number&gt;&lt;foreign-keys&gt;&lt;key app="EN" db-id="0zf0e9xwqetx57ep9ee5p9skx9zpfpswrx20" timestamp="1608449558" guid="d6ff44f3-3411-42a4-84c2-d075964d6637"&gt;640&lt;/key&gt;&lt;/foreign-keys&gt;&lt;ref-type name="Journal Article"&gt;17&lt;/ref-type&gt;&lt;contributors&gt;&lt;authors&gt;&lt;author&gt;Damschroder, Laura J.&lt;/author&gt;&lt;author&gt;Aron, David C.&lt;/author&gt;&lt;author&gt;Keith, Rosalind E.&lt;/author&gt;&lt;author&gt;Kirsh, Susan R.&lt;/author&gt;&lt;author&gt;Alexander, Jeffery A.&lt;/author&gt;&lt;author&gt;Lowery, Julie C.&lt;/author&gt;&lt;/authors&gt;&lt;/contributors&gt;&lt;titles&gt;&lt;title&gt;Fostering implementation of health services research findings into practice: a consolidated framework for advancing implementation science&lt;/title&gt;&lt;secondary-title&gt;Implementation Science&lt;/secondary-title&gt;&lt;/titles&gt;&lt;periodical&gt;&lt;full-title&gt;Implementation Science&lt;/full-title&gt;&lt;/periodical&gt;&lt;pages&gt;50&lt;/pages&gt;&lt;volume&gt;4&lt;/volume&gt;&lt;number&gt;1&lt;/number&gt;&lt;dates&gt;&lt;year&gt;2009&lt;/year&gt;&lt;/dates&gt;&lt;isbn&gt;1748-5908&lt;/isbn&gt;&lt;urls&gt;&lt;related-urls&gt;&lt;url&gt;&lt;style face="underline" font="default" size="100%"&gt;https://doi.org/10.1186/1748-5908-4-50&lt;/style&gt;&lt;/url&gt;&lt;url&gt;&lt;style face="underline" font="default" size="100%"&gt;https://implementationscience.biomedcentral.com/track/pdf/10.1186/1748-5908-4-50.pdf&lt;/style&gt;&lt;/url&gt;&lt;/related-urls&gt;&lt;/urls&gt;&lt;electronic-resource-num&gt;10.1186/1748-5908-4-50&lt;/electronic-resource-num&gt;&lt;/record&gt;&lt;/Cite&gt;&lt;/EndNote&gt;</w:instrText>
      </w:r>
      <w:r>
        <w:fldChar w:fldCharType="separate"/>
      </w:r>
      <w:r w:rsidR="00DC0673">
        <w:rPr>
          <w:noProof/>
        </w:rPr>
        <w:t xml:space="preserve">Damschroder, L. J., Aron, D. C., Keith, R. E., Kirsh, S. R., Alexander, J. A., &amp; Lowery, J. C. (2009). Fostering implementation of health services research findings into practice: a consolidated framework for advancing implementation science. </w:t>
      </w:r>
      <w:r w:rsidR="00DC0673" w:rsidRPr="00DC0673">
        <w:rPr>
          <w:i/>
          <w:noProof/>
        </w:rPr>
        <w:t>Implementation Science, 4</w:t>
      </w:r>
      <w:r w:rsidR="00DC0673">
        <w:rPr>
          <w:noProof/>
        </w:rPr>
        <w:t>(1), 50.</w:t>
      </w:r>
      <w:r>
        <w:fldChar w:fldCharType="end"/>
      </w:r>
    </w:p>
  </w:footnote>
  <w:footnote w:id="116">
    <w:p w14:paraId="69EDAAC6" w14:textId="3AC1EF70" w:rsidR="00915532" w:rsidRDefault="00915532" w:rsidP="00915532">
      <w:pPr>
        <w:pStyle w:val="FootnoteText"/>
      </w:pPr>
      <w:r w:rsidRPr="00CE4204">
        <w:rPr>
          <w:rStyle w:val="FootnoteReference"/>
          <w:color w:val="408BCA"/>
        </w:rPr>
        <w:footnoteRef/>
      </w:r>
      <w:r>
        <w:t xml:space="preserve"> Figure borrowed from </w:t>
      </w:r>
      <w:r>
        <w:fldChar w:fldCharType="begin"/>
      </w:r>
      <w:r w:rsidR="00A660F3">
        <w:instrText xml:space="preserve"> ADDIN EN.CITE &lt;EndNote&gt;&lt;Cite&gt;&lt;Author&gt;Khan&lt;/Author&gt;&lt;Year&gt;2021&lt;/Year&gt;&lt;RecNum&gt;11070&lt;/RecNum&gt;&lt;DisplayText&gt;Khan, S. (2021). Measuring context: balancing implementation research and practice. &lt;style face="italic"&gt;Implementation in Action Bulletin&lt;/style&gt;.&lt;/DisplayText&gt;&lt;record&gt;&lt;rec-number&gt;11070&lt;/rec-number&gt;&lt;foreign-keys&gt;&lt;key app="EN" db-id="0zf0e9xwqetx57ep9ee5p9skx9zpfpswrx20" timestamp="1653003602" guid="80789048-b15b-44bc-a8ee-a370e144a386"&gt;11070&lt;/key&gt;&lt;/foreign-keys&gt;&lt;ref-type name="Journal Article"&gt;17&lt;/ref-type&gt;&lt;contributors&gt;&lt;authors&gt;&lt;author&gt;Khan, S.&lt;/author&gt;&lt;/authors&gt;&lt;/contributors&gt;&lt;titles&gt;&lt;title&gt;Measuring context: balancing implementation research and practice&lt;/title&gt;&lt;secondary-title&gt;Implementation in Action Bulletin&lt;/secondary-title&gt;&lt;/titles&gt;&lt;periodical&gt;&lt;full-title&gt;Implementation in Action Bulletin&lt;/full-title&gt;&lt;/periodical&gt;&lt;dates&gt;&lt;year&gt;2021&lt;/year&gt;&lt;/dates&gt;&lt;urls&gt;&lt;related-urls&gt;&lt;url&gt;https://thecenterforimplementation.com/implementation-in-action-bulletin/mar-2021&lt;/url&gt;&lt;/related-urls&gt;&lt;/urls&gt;&lt;/record&gt;&lt;/Cite&gt;&lt;/EndNote&gt;</w:instrText>
      </w:r>
      <w:r>
        <w:fldChar w:fldCharType="separate"/>
      </w:r>
      <w:r>
        <w:rPr>
          <w:noProof/>
        </w:rPr>
        <w:t xml:space="preserve">Khan, S. (2021). Measuring context: balancing implementation research and practice. </w:t>
      </w:r>
      <w:r w:rsidRPr="00CE4204">
        <w:rPr>
          <w:i/>
          <w:noProof/>
        </w:rPr>
        <w:t>Implementation in Action Bulletin</w:t>
      </w:r>
      <w:r>
        <w:rPr>
          <w:noProof/>
        </w:rPr>
        <w:t>.</w:t>
      </w:r>
      <w:r>
        <w:fldChar w:fldCharType="end"/>
      </w:r>
    </w:p>
  </w:footnote>
  <w:footnote w:id="117">
    <w:p w14:paraId="1F2EF6EC" w14:textId="140DFF28" w:rsidR="00DE168D" w:rsidRDefault="00DE168D" w:rsidP="00DE168D">
      <w:pPr>
        <w:pStyle w:val="FootnoteText"/>
      </w:pPr>
      <w:r w:rsidRPr="006347A9">
        <w:rPr>
          <w:rStyle w:val="FootnoteReference"/>
          <w:color w:val="408BCA"/>
        </w:rPr>
        <w:footnoteRef/>
      </w:r>
      <w:r>
        <w:t xml:space="preserve"> </w:t>
      </w:r>
      <w:r>
        <w:fldChar w:fldCharType="begin"/>
      </w:r>
      <w:r w:rsidR="00DC0673">
        <w:instrText xml:space="preserve"> ADDIN EN.CITE &lt;EndNote&gt;&lt;Cite&gt;&lt;Author&gt;Kitson&lt;/Author&gt;&lt;Year&gt;1998&lt;/Year&gt;&lt;RecNum&gt;10958&lt;/RecNum&gt;&lt;DisplayText&gt;Kitson, A., Harvey, G., &amp;amp; McCormack, B. (1998). Enabling the implementation of evidence based practice: a conceptual framework. &lt;style face="italic"&gt;Qual Health Care, 7&lt;/style&gt;(3), 149-158.&lt;/DisplayText&gt;&lt;record&gt;&lt;rec-number&gt;10958&lt;/rec-number&gt;&lt;foreign-keys&gt;&lt;key app="EN" db-id="0zf0e9xwqetx57ep9ee5p9skx9zpfpswrx20" timestamp="1646032778" guid="fe7595fa-517c-4d68-8eee-93a796a52c3e"&gt;10958&lt;/key&gt;&lt;/foreign-keys&gt;&lt;ref-type name="Journal Article"&gt;17&lt;/ref-type&gt;&lt;contributors&gt;&lt;authors&gt;&lt;author&gt;Kitson, A.&lt;/author&gt;&lt;author&gt;Harvey, G.&lt;/author&gt;&lt;author&gt;McCormack, B.&lt;/author&gt;&lt;/authors&gt;&lt;/contributors&gt;&lt;auth-address&gt;Royal College of Nursing Institute, Royal College of Nursing, London, UK.&lt;/auth-address&gt;&lt;titles&gt;&lt;title&gt;Enabling the implementation of evidence based practice: a conceptual framework&lt;/title&gt;&lt;secondary-title&gt;Qual Health Care&lt;/secondary-title&gt;&lt;/titles&gt;&lt;periodical&gt;&lt;full-title&gt;Qual Health Care&lt;/full-title&gt;&lt;/periodical&gt;&lt;pages&gt;149-58&lt;/pages&gt;&lt;volume&gt;7&lt;/volume&gt;&lt;number&gt;3&lt;/number&gt;&lt;edition&gt;1998/08/05&lt;/edition&gt;&lt;keywords&gt;&lt;keyword&gt;Evidence-Based Medicine/classification/*organization &amp;amp; administration&lt;/keyword&gt;&lt;keyword&gt;Health Services Research/*methods&lt;/keyword&gt;&lt;keyword&gt;Humans&lt;/keyword&gt;&lt;keyword&gt;*Models, Organizational&lt;/keyword&gt;&lt;keyword&gt;Practice Guidelines as Topic&lt;/keyword&gt;&lt;keyword&gt;Research Design&lt;/keyword&gt;&lt;keyword&gt;State Medicine/organization &amp;amp; administration/standards&lt;/keyword&gt;&lt;keyword&gt;United Kingdom&lt;/keyword&gt;&lt;/keywords&gt;&lt;dates&gt;&lt;year&gt;1998&lt;/year&gt;&lt;pub-dates&gt;&lt;date&gt;Sep&lt;/date&gt;&lt;/pub-dates&gt;&lt;/dates&gt;&lt;isbn&gt;0963-8172 (Print)&amp;#xD;0963-8172 (Linking)&lt;/isbn&gt;&lt;accession-num&gt;10185141&lt;/accession-num&gt;&lt;urls&gt;&lt;related-urls&gt;&lt;url&gt;https://www.ncbi.nlm.nih.gov/pubmed/10185141&lt;/url&gt;&lt;/related-urls&gt;&lt;/urls&gt;&lt;custom2&gt;PMC2483604&lt;/custom2&gt;&lt;electronic-resource-num&gt;10.1136/qshc.7.3.149&lt;/electronic-resource-num&gt;&lt;/record&gt;&lt;/Cite&gt;&lt;/EndNote&gt;</w:instrText>
      </w:r>
      <w:r>
        <w:fldChar w:fldCharType="separate"/>
      </w:r>
      <w:r w:rsidR="00DC0673">
        <w:rPr>
          <w:noProof/>
        </w:rPr>
        <w:t xml:space="preserve">Kitson, A., Harvey, G., &amp; McCormack, B. (1998). Enabling the implementation of evidence based practice: a conceptual framework. </w:t>
      </w:r>
      <w:r w:rsidR="00DC0673" w:rsidRPr="00DC0673">
        <w:rPr>
          <w:i/>
          <w:noProof/>
        </w:rPr>
        <w:t>Qual Health Care, 7</w:t>
      </w:r>
      <w:r w:rsidR="00DC0673">
        <w:rPr>
          <w:noProof/>
        </w:rPr>
        <w:t>(3), 149-158.</w:t>
      </w:r>
      <w:r>
        <w:fldChar w:fldCharType="end"/>
      </w:r>
    </w:p>
  </w:footnote>
  <w:footnote w:id="118">
    <w:p w14:paraId="67C387B6" w14:textId="0D6B6FA5" w:rsidR="00DE168D" w:rsidRDefault="00DE168D" w:rsidP="00DE168D">
      <w:pPr>
        <w:pStyle w:val="FootnoteText"/>
      </w:pPr>
      <w:r w:rsidRPr="006347A9">
        <w:rPr>
          <w:rStyle w:val="FootnoteReference"/>
          <w:color w:val="408BCA"/>
        </w:rPr>
        <w:footnoteRef/>
      </w:r>
      <w:r>
        <w:t xml:space="preserve"> </w:t>
      </w:r>
      <w:r>
        <w:fldChar w:fldCharType="begin">
          <w:fldData xml:space="preserve">PEVuZE5vdGU+PENpdGU+PEF1dGhvcj5SeWNyb2Z0LU1hbG9uZTwvQXV0aG9yPjxZZWFyPjIwMDI8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</w:fldData>
        </w:fldChar>
      </w:r>
      <w:r w:rsidR="00081D00">
        <w:instrText xml:space="preserve"> ADDIN EN.CITE </w:instrText>
      </w:r>
      <w:r w:rsidR="00081D00">
        <w:fldChar w:fldCharType="begin">
          <w:fldData xml:space="preserve">PEVuZE5vdGU+PENpdGU+PEF1dGhvcj5SeWNyb2Z0LU1hbG9uZTwvQXV0aG9yPjxZZWFyPjIwMDI8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</w:fldData>
        </w:fldChar>
      </w:r>
      <w:r w:rsidR="00081D00">
        <w:instrText xml:space="preserve"> ADDIN EN.CITE.DATA </w:instrText>
      </w:r>
      <w:r w:rsidR="00081D00">
        <w:fldChar w:fldCharType="end"/>
      </w:r>
      <w:r>
        <w:fldChar w:fldCharType="separate"/>
      </w:r>
      <w:r w:rsidR="00081D00">
        <w:rPr>
          <w:noProof/>
        </w:rPr>
        <w:t xml:space="preserve">Rycroft-Malone, J., Kitson, A., Harvey, G., McCormack, B., Seers, K., Titchen, A., &amp; Estabrooks, C. (2002). Ingredients for change: revisiting a conceptual framework. </w:t>
      </w:r>
      <w:r w:rsidR="00081D00" w:rsidRPr="00081D00">
        <w:rPr>
          <w:i/>
          <w:noProof/>
        </w:rPr>
        <w:t>Qual Saf Health Care, 11</w:t>
      </w:r>
      <w:r w:rsidR="00081D00">
        <w:rPr>
          <w:noProof/>
        </w:rPr>
        <w:t>(2), 174-180.</w:t>
      </w:r>
      <w:r>
        <w:fldChar w:fldCharType="end"/>
      </w:r>
    </w:p>
  </w:footnote>
  <w:footnote w:id="119">
    <w:p w14:paraId="533A3200" w14:textId="4B5DB65B" w:rsidR="00DE168D" w:rsidRDefault="00DE168D" w:rsidP="00DE168D">
      <w:pPr>
        <w:pStyle w:val="FootnoteText"/>
      </w:pPr>
      <w:r w:rsidRPr="009252C4">
        <w:rPr>
          <w:rStyle w:val="FootnoteReference"/>
          <w:color w:val="408BCA"/>
        </w:rPr>
        <w:footnoteRef/>
      </w:r>
      <w:r>
        <w:t xml:space="preserve"> </w:t>
      </w:r>
      <w:r>
        <w:fldChar w:fldCharType="begin"/>
      </w:r>
      <w:r w:rsidR="00DC0673">
        <w:instrText xml:space="preserve"> ADDIN EN.CITE &lt;EndNote&gt;&lt;Cite&gt;&lt;Author&gt;Fitzgerald&lt;/Author&gt;&lt;Year&gt;2006&lt;/Year&gt;&lt;RecNum&gt;10961&lt;/RecNum&gt;&lt;DisplayText&gt;Fitzgerald, L., &amp;amp; Dopson, S. (2006). Knowledge, credible evidence, and utilization. In S. Dopson &amp;amp; L. FitzGerald (Eds.), &lt;style face="italic"&gt;Knowledge to action? Evidence-based health care in context&lt;/style&gt;. Oxford University Press. &lt;/DisplayText&gt;&lt;record&gt;&lt;rec-number&gt;10961&lt;/rec-number&gt;&lt;foreign-keys&gt;&lt;key app="EN" db-id="0zf0e9xwqetx57ep9ee5p9skx9zpfpswrx20" timestamp="1646033449" guid="7dcb0d5f-d817-4b72-b4f3-f0c29141574f"&gt;10961&lt;/key&gt;&lt;/foreign-keys&gt;&lt;ref-type name="Book Section"&gt;5&lt;/ref-type&gt;&lt;contributors&gt;&lt;authors&gt;&lt;author&gt;Fitzgerald, L&lt;/author&gt;&lt;author&gt;Dopson, S&lt;/author&gt;&lt;/authors&gt;&lt;secondary-authors&gt;&lt;author&gt;Dopson, S&lt;/author&gt;&lt;author&gt;FitzGerald, L&lt;/author&gt;&lt;/secondary-authors&gt;&lt;/contributors&gt;&lt;titles&gt;&lt;title&gt;Knowledge, credible evidence, and utilization&lt;/title&gt;&lt;secondary-title&gt;Knowledge to action? Evidence-based health care in context&lt;/secondary-title&gt;&lt;/titles&gt;&lt;dates&gt;&lt;year&gt;2006&lt;/year&gt;&lt;/dates&gt;&lt;pub-location&gt;Oxford&lt;/pub-location&gt;&lt;publisher&gt;Oxford University Press&lt;/publisher&gt;&lt;urls&gt;&lt;/urls&gt;&lt;/record&gt;&lt;/Cite&gt;&lt;/EndNote&gt;</w:instrText>
      </w:r>
      <w:r>
        <w:fldChar w:fldCharType="separate"/>
      </w:r>
      <w:r>
        <w:rPr>
          <w:noProof/>
        </w:rPr>
        <w:t xml:space="preserve">Fitzgerald, L., &amp; Dopson, S. (2006). Knowledge, credible evidence, and utilization. In S. Dopson &amp; L. FitzGerald (Eds.), </w:t>
      </w:r>
      <w:r w:rsidRPr="00E227E6">
        <w:rPr>
          <w:i/>
          <w:noProof/>
        </w:rPr>
        <w:t>Knowledge to action? Evidence-based health care in context</w:t>
      </w:r>
      <w:r>
        <w:rPr>
          <w:noProof/>
        </w:rPr>
        <w:t xml:space="preserve">. Oxford University Press. </w:t>
      </w:r>
      <w:r>
        <w:fldChar w:fldCharType="end"/>
      </w:r>
    </w:p>
  </w:footnote>
  <w:footnote w:id="120">
    <w:p w14:paraId="7A9CFE84" w14:textId="721EDFAE" w:rsidR="00DE168D" w:rsidRDefault="00DE168D" w:rsidP="00DE168D">
      <w:pPr>
        <w:pStyle w:val="FootnoteText"/>
      </w:pPr>
      <w:r w:rsidRPr="009252C4">
        <w:rPr>
          <w:rStyle w:val="FootnoteReference"/>
          <w:color w:val="408BCA"/>
        </w:rPr>
        <w:footnoteRef/>
      </w:r>
      <w:r>
        <w:t xml:space="preserve"> </w:t>
      </w:r>
      <w:r>
        <w:fldChar w:fldCharType="begin"/>
      </w:r>
      <w:r w:rsidR="00DC0673">
        <w:instrText xml:space="preserve"> ADDIN EN.CITE &lt;EndNote&gt;&lt;Cite&gt;&lt;Author&gt;Dopson&lt;/Author&gt;&lt;Year&gt;2010&lt;/Year&gt;&lt;RecNum&gt;10960&lt;/RecNum&gt;&lt;DisplayText&gt;Dopson, S., FitzGerald, L., Ferlie, E., Gabbay, J., &amp;amp; Locock, L. (2010). No magic targets! Changing clinical practice to become more evidence based. &lt;style face="italic"&gt;Health Care Manage Rev, 35&lt;/style&gt;(1), 2-12.&lt;/DisplayText&gt;&lt;record&gt;&lt;rec-number&gt;10960&lt;/rec-number&gt;&lt;foreign-keys&gt;&lt;key app="EN" db-id="0zf0e9xwqetx57ep9ee5p9skx9zpfpswrx20" timestamp="1646033161" guid="402d37c1-e41a-4a78-962c-14fb27acbe76"&gt;10960&lt;/key&gt;&lt;/foreign-keys&gt;&lt;ref-type name="Journal Article"&gt;17&lt;/ref-type&gt;&lt;contributors&gt;&lt;authors&gt;&lt;author&gt;Dopson, S.&lt;/author&gt;&lt;author&gt;FitzGerald, L.&lt;/author&gt;&lt;author&gt;Ferlie, E.&lt;/author&gt;&lt;author&gt;Gabbay, J.&lt;/author&gt;&lt;author&gt;Locock, L.&lt;/author&gt;&lt;/authors&gt;&lt;/contributors&gt;&lt;auth-address&gt;Said Business School and Fellow in Organisational Behaviour, Templeton College, University of Oxford, U.K.&lt;/auth-address&gt;&lt;titles&gt;&lt;title&gt;No magic targets! Changing clinical practice to become more evidence based&lt;/title&gt;&lt;secondary-title&gt;Health Care Manage Rev&lt;/secondary-title&gt;&lt;/titles&gt;&lt;periodical&gt;&lt;full-title&gt;Health Care Manage Rev&lt;/full-title&gt;&lt;/periodical&gt;&lt;pages&gt;2-12&lt;/pages&gt;&lt;volume&gt;35&lt;/volume&gt;&lt;number&gt;1&lt;/number&gt;&lt;edition&gt;2009/12/17&lt;/edition&gt;&lt;keywords&gt;&lt;keyword&gt;Clinical Medicine/*organization &amp;amp; administration&lt;/keyword&gt;&lt;keyword&gt;Delivery of Health Care/organization &amp;amp; administration&lt;/keyword&gt;&lt;keyword&gt;*Diffusion of Innovation&lt;/keyword&gt;&lt;keyword&gt;Evidence-Based Medicine&lt;/keyword&gt;&lt;keyword&gt;Humans&lt;/keyword&gt;&lt;keyword&gt;United Kingdom&lt;/keyword&gt;&lt;/keywords&gt;&lt;dates&gt;&lt;year&gt;2010&lt;/year&gt;&lt;pub-dates&gt;&lt;date&gt;Jan-Mar&lt;/date&gt;&lt;/pub-dates&gt;&lt;/dates&gt;&lt;isbn&gt;1550-5030 (Electronic)&amp;#xD;0361-6274 (Linking)&lt;/isbn&gt;&lt;accession-num&gt;20010008&lt;/accession-num&gt;&lt;urls&gt;&lt;related-urls&gt;&lt;url&gt;https://www.ncbi.nlm.nih.gov/pubmed/20010008&lt;/url&gt;&lt;/related-urls&gt;&lt;/urls&gt;&lt;electronic-resource-num&gt;10.1097/HMR.0b013e3181c88e79&lt;/electronic-resource-num&gt;&lt;/record&gt;&lt;/Cite&gt;&lt;/EndNote&gt;</w:instrText>
      </w:r>
      <w:r>
        <w:fldChar w:fldCharType="separate"/>
      </w:r>
      <w:r w:rsidR="00DC0673">
        <w:rPr>
          <w:noProof/>
        </w:rPr>
        <w:t xml:space="preserve">Dopson, S., FitzGerald, L., Ferlie, E., Gabbay, J., &amp; Locock, L. (2010). No magic targets! Changing clinical practice to become more evidence based. </w:t>
      </w:r>
      <w:r w:rsidR="00DC0673" w:rsidRPr="00DC0673">
        <w:rPr>
          <w:i/>
          <w:noProof/>
        </w:rPr>
        <w:t>Health Care Manage Rev, 35</w:t>
      </w:r>
      <w:r w:rsidR="00DC0673">
        <w:rPr>
          <w:noProof/>
        </w:rPr>
        <w:t>(1), 2-12.</w:t>
      </w:r>
      <w:r>
        <w:fldChar w:fldCharType="end"/>
      </w:r>
    </w:p>
  </w:footnote>
  <w:footnote w:id="121">
    <w:p w14:paraId="56F1FAB6" w14:textId="77777777" w:rsidR="004E0715" w:rsidRDefault="004E0715" w:rsidP="004E0715">
      <w:pPr>
        <w:pStyle w:val="FootnoteText"/>
        <w:rPr>
          <w:sz w:val="16"/>
          <w:szCs w:val="16"/>
          <w:lang w:val="en-US"/>
        </w:rPr>
      </w:pPr>
      <w:r w:rsidRPr="00782581">
        <w:rPr>
          <w:rStyle w:val="FootnoteReference"/>
          <w:color w:val="408BCA"/>
        </w:rPr>
        <w:footnoteRef/>
      </w:r>
      <w:r w:rsidRPr="00782581">
        <w:rPr>
          <w:color w:val="408BCA"/>
        </w:rPr>
        <w:t xml:space="preserve"> </w:t>
      </w:r>
      <w:r w:rsidRPr="00A075FC">
        <w:rPr>
          <w:sz w:val="16"/>
          <w:szCs w:val="16"/>
          <w:lang w:val="en-US"/>
        </w:rPr>
        <w:t>Systematic reviews published at the time</w:t>
      </w:r>
      <w:r>
        <w:rPr>
          <w:lang w:val="en-US"/>
        </w:rPr>
        <w:t xml:space="preserve"> the </w:t>
      </w:r>
      <w:r w:rsidRPr="009C23F6">
        <w:rPr>
          <w:sz w:val="16"/>
          <w:szCs w:val="16"/>
          <w:lang w:val="en-US"/>
        </w:rPr>
        <w:t>HCH trial was design</w:t>
      </w:r>
      <w:r>
        <w:rPr>
          <w:sz w:val="16"/>
          <w:szCs w:val="16"/>
          <w:lang w:val="en-US"/>
        </w:rPr>
        <w:t xml:space="preserve">ed </w:t>
      </w:r>
      <w:r w:rsidRPr="00D82A70">
        <w:rPr>
          <w:sz w:val="16"/>
          <w:szCs w:val="16"/>
          <w:lang w:val="en-US"/>
        </w:rPr>
        <w:t>provided mixed evidence around effect on outcomes of PCMH initiatives</w:t>
      </w:r>
      <w:r>
        <w:rPr>
          <w:sz w:val="16"/>
          <w:szCs w:val="16"/>
          <w:lang w:val="en-US"/>
        </w:rPr>
        <w:t>. These include:</w:t>
      </w:r>
    </w:p>
    <w:p w14:paraId="1C2C0630" w14:textId="75FB84D5" w:rsidR="004E0715" w:rsidRDefault="004E0715" w:rsidP="00BB7C8D">
      <w:pPr>
        <w:pStyle w:val="FootnoteText"/>
        <w:numPr>
          <w:ilvl w:val="0"/>
          <w:numId w:val="59"/>
        </w:numPr>
        <w:rPr>
          <w:sz w:val="16"/>
          <w:szCs w:val="16"/>
          <w:lang w:val="en-US"/>
        </w:rPr>
      </w:pPr>
      <w:r>
        <w:rPr>
          <w:sz w:val="16"/>
          <w:szCs w:val="16"/>
          <w:lang w:val="en-US"/>
        </w:rPr>
        <w:fldChar w:fldCharType="begin">
          <w:fldData xml:space="preserve">PEVuZE5vdGU+PENpdGU+PEF1dGhvcj5KYWNrc29uPC9BdXRob3I+PFllYXI+MjAxMzwvWWVhcj48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</w:fldData>
        </w:fldChar>
      </w:r>
      <w:r w:rsidR="00081D00">
        <w:rPr>
          <w:sz w:val="16"/>
          <w:szCs w:val="16"/>
          <w:lang w:val="en-US"/>
        </w:rPr>
        <w:instrText xml:space="preserve"> ADDIN EN.CITE </w:instrText>
      </w:r>
      <w:r w:rsidR="00081D00">
        <w:rPr>
          <w:sz w:val="16"/>
          <w:szCs w:val="16"/>
          <w:lang w:val="en-US"/>
        </w:rPr>
        <w:fldChar w:fldCharType="begin">
          <w:fldData xml:space="preserve">PEVuZE5vdGU+PENpdGU+PEF1dGhvcj5KYWNrc29uPC9BdXRob3I+PFllYXI+MjAxMzwvWWVhcj48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</w:fldData>
        </w:fldChar>
      </w:r>
      <w:r w:rsidR="00081D00">
        <w:rPr>
          <w:sz w:val="16"/>
          <w:szCs w:val="16"/>
          <w:lang w:val="en-US"/>
        </w:rPr>
        <w:instrText xml:space="preserve"> ADDIN EN.CITE.DATA </w:instrText>
      </w:r>
      <w:r w:rsidR="00081D00">
        <w:rPr>
          <w:sz w:val="16"/>
          <w:szCs w:val="16"/>
          <w:lang w:val="en-US"/>
        </w:rPr>
      </w:r>
      <w:r w:rsidR="00081D00">
        <w:rPr>
          <w:sz w:val="16"/>
          <w:szCs w:val="16"/>
          <w:lang w:val="en-US"/>
        </w:rPr>
        <w:fldChar w:fldCharType="end"/>
      </w:r>
      <w:r>
        <w:rPr>
          <w:sz w:val="16"/>
          <w:szCs w:val="16"/>
          <w:lang w:val="en-US"/>
        </w:rPr>
      </w:r>
      <w:r>
        <w:rPr>
          <w:sz w:val="16"/>
          <w:szCs w:val="16"/>
          <w:lang w:val="en-US"/>
        </w:rPr>
        <w:fldChar w:fldCharType="separate"/>
      </w:r>
      <w:r w:rsidR="00081D00">
        <w:rPr>
          <w:noProof/>
          <w:sz w:val="16"/>
          <w:szCs w:val="16"/>
          <w:lang w:val="en-US"/>
        </w:rPr>
        <w:t xml:space="preserve">Jackson, G. L., Powers, B. J., Chatterjee, R., Bettger, J. P., Kemper, A. R., Hasselblad, V., Dolor, R. J., Julian Irvine, R., Heidenfelder, B. L., Kendrick, A. S., Gray, R., &amp; Williams Jr, J. W. (2013). The patient-centered medical home: A systematic review. </w:t>
      </w:r>
      <w:r w:rsidR="00081D00" w:rsidRPr="00081D00">
        <w:rPr>
          <w:i/>
          <w:noProof/>
          <w:sz w:val="16"/>
          <w:szCs w:val="16"/>
          <w:lang w:val="en-US"/>
        </w:rPr>
        <w:t>Annals of internal medicine, 158</w:t>
      </w:r>
      <w:r w:rsidR="00081D00">
        <w:rPr>
          <w:noProof/>
          <w:sz w:val="16"/>
          <w:szCs w:val="16"/>
          <w:lang w:val="en-US"/>
        </w:rPr>
        <w:t>(3), 169-178.</w:t>
      </w:r>
      <w:r>
        <w:rPr>
          <w:sz w:val="16"/>
          <w:szCs w:val="16"/>
          <w:lang w:val="en-US"/>
        </w:rPr>
        <w:fldChar w:fldCharType="end"/>
      </w:r>
    </w:p>
    <w:p w14:paraId="5FF632C2" w14:textId="3315D677" w:rsidR="004E0715" w:rsidRDefault="004E0715" w:rsidP="00BB7C8D">
      <w:pPr>
        <w:pStyle w:val="FootnoteText"/>
        <w:numPr>
          <w:ilvl w:val="0"/>
          <w:numId w:val="59"/>
        </w:numPr>
        <w:rPr>
          <w:sz w:val="16"/>
          <w:szCs w:val="16"/>
          <w:lang w:val="en-US"/>
        </w:rPr>
      </w:pPr>
      <w:r>
        <w:rPr>
          <w:sz w:val="16"/>
          <w:szCs w:val="16"/>
          <w:lang w:val="en-US"/>
        </w:rPr>
        <w:fldChar w:fldCharType="begin">
          <w:fldData xml:space="preserve">PEVuZE5vdGU+PENpdGU+PEF1dGhvcj5QZWlrZXM8L0F1dGhvcj48WWVhcj4yMDEyPC9ZZWFyPjxS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</w:fldData>
        </w:fldChar>
      </w:r>
      <w:r w:rsidR="00081D00">
        <w:rPr>
          <w:sz w:val="16"/>
          <w:szCs w:val="16"/>
          <w:lang w:val="en-US"/>
        </w:rPr>
        <w:instrText xml:space="preserve"> ADDIN EN.CITE </w:instrText>
      </w:r>
      <w:r w:rsidR="00081D00">
        <w:rPr>
          <w:sz w:val="16"/>
          <w:szCs w:val="16"/>
          <w:lang w:val="en-US"/>
        </w:rPr>
        <w:fldChar w:fldCharType="begin">
          <w:fldData xml:space="preserve">PEVuZE5vdGU+PENpdGU+PEF1dGhvcj5QZWlrZXM8L0F1dGhvcj48WWVhcj4yMDEyPC9ZZWFyPjxS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</w:fldData>
        </w:fldChar>
      </w:r>
      <w:r w:rsidR="00081D00">
        <w:rPr>
          <w:sz w:val="16"/>
          <w:szCs w:val="16"/>
          <w:lang w:val="en-US"/>
        </w:rPr>
        <w:instrText xml:space="preserve"> ADDIN EN.CITE.DATA </w:instrText>
      </w:r>
      <w:r w:rsidR="00081D00">
        <w:rPr>
          <w:sz w:val="16"/>
          <w:szCs w:val="16"/>
          <w:lang w:val="en-US"/>
        </w:rPr>
      </w:r>
      <w:r w:rsidR="00081D00">
        <w:rPr>
          <w:sz w:val="16"/>
          <w:szCs w:val="16"/>
          <w:lang w:val="en-US"/>
        </w:rPr>
        <w:fldChar w:fldCharType="end"/>
      </w:r>
      <w:r>
        <w:rPr>
          <w:sz w:val="16"/>
          <w:szCs w:val="16"/>
          <w:lang w:val="en-US"/>
        </w:rPr>
      </w:r>
      <w:r>
        <w:rPr>
          <w:sz w:val="16"/>
          <w:szCs w:val="16"/>
          <w:lang w:val="en-US"/>
        </w:rPr>
        <w:fldChar w:fldCharType="separate"/>
      </w:r>
      <w:r w:rsidR="00081D00">
        <w:rPr>
          <w:noProof/>
          <w:sz w:val="16"/>
          <w:szCs w:val="16"/>
          <w:lang w:val="en-US"/>
        </w:rPr>
        <w:t xml:space="preserve">Peikes, D., Zutshi, A., Genevro, J. L., Parchman, M. L., &amp; Meyers, D. S. (2012). Early evaluations of the medical home: building on a promising start. </w:t>
      </w:r>
      <w:r w:rsidR="00081D00" w:rsidRPr="00081D00">
        <w:rPr>
          <w:i/>
          <w:noProof/>
          <w:sz w:val="16"/>
          <w:szCs w:val="16"/>
          <w:lang w:val="en-US"/>
        </w:rPr>
        <w:t>The American journal of managed care, 18</w:t>
      </w:r>
      <w:r w:rsidR="00081D00">
        <w:rPr>
          <w:noProof/>
          <w:sz w:val="16"/>
          <w:szCs w:val="16"/>
          <w:lang w:val="en-US"/>
        </w:rPr>
        <w:t>(2), 105-116.</w:t>
      </w:r>
      <w:r>
        <w:rPr>
          <w:sz w:val="16"/>
          <w:szCs w:val="16"/>
          <w:lang w:val="en-US"/>
        </w:rPr>
        <w:fldChar w:fldCharType="end"/>
      </w:r>
    </w:p>
    <w:p w14:paraId="030615B8" w14:textId="4E4C0F5F" w:rsidR="004E0715" w:rsidRDefault="004E0715" w:rsidP="00BB7C8D">
      <w:pPr>
        <w:pStyle w:val="FootnoteText"/>
        <w:numPr>
          <w:ilvl w:val="0"/>
          <w:numId w:val="59"/>
        </w:numPr>
        <w:rPr>
          <w:sz w:val="16"/>
          <w:szCs w:val="16"/>
          <w:lang w:val="en-US"/>
        </w:rPr>
      </w:pPr>
      <w:r>
        <w:rPr>
          <w:sz w:val="16"/>
          <w:szCs w:val="16"/>
          <w:lang w:val="en-US"/>
        </w:rPr>
        <w:fldChar w:fldCharType="begin">
          <w:fldData xml:space="preserve">PEVuZE5vdGU+PENpdGU+PEF1dGhvcj5XaWxsaWFtczwvQXV0aG9yPjxZZWFyPjIwMTI8L1llYXI+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</w:fldData>
        </w:fldChar>
      </w:r>
      <w:r w:rsidR="00081D00">
        <w:rPr>
          <w:sz w:val="16"/>
          <w:szCs w:val="16"/>
          <w:lang w:val="en-US"/>
        </w:rPr>
        <w:instrText xml:space="preserve"> ADDIN EN.CITE </w:instrText>
      </w:r>
      <w:r w:rsidR="00081D00">
        <w:rPr>
          <w:sz w:val="16"/>
          <w:szCs w:val="16"/>
          <w:lang w:val="en-US"/>
        </w:rPr>
        <w:fldChar w:fldCharType="begin">
          <w:fldData xml:space="preserve">PEVuZE5vdGU+PENpdGU+PEF1dGhvcj5XaWxsaWFtczwvQXV0aG9yPjxZZWFyPjIwMTI8L1llYXI+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</w:fldData>
        </w:fldChar>
      </w:r>
      <w:r w:rsidR="00081D00">
        <w:rPr>
          <w:sz w:val="16"/>
          <w:szCs w:val="16"/>
          <w:lang w:val="en-US"/>
        </w:rPr>
        <w:instrText xml:space="preserve"> ADDIN EN.CITE.DATA </w:instrText>
      </w:r>
      <w:r w:rsidR="00081D00">
        <w:rPr>
          <w:sz w:val="16"/>
          <w:szCs w:val="16"/>
          <w:lang w:val="en-US"/>
        </w:rPr>
      </w:r>
      <w:r w:rsidR="00081D00">
        <w:rPr>
          <w:sz w:val="16"/>
          <w:szCs w:val="16"/>
          <w:lang w:val="en-US"/>
        </w:rPr>
        <w:fldChar w:fldCharType="end"/>
      </w:r>
      <w:r>
        <w:rPr>
          <w:sz w:val="16"/>
          <w:szCs w:val="16"/>
          <w:lang w:val="en-US"/>
        </w:rPr>
      </w:r>
      <w:r>
        <w:rPr>
          <w:sz w:val="16"/>
          <w:szCs w:val="16"/>
          <w:lang w:val="en-US"/>
        </w:rPr>
        <w:fldChar w:fldCharType="separate"/>
      </w:r>
      <w:r w:rsidR="00081D00">
        <w:rPr>
          <w:noProof/>
          <w:sz w:val="16"/>
          <w:szCs w:val="16"/>
          <w:lang w:val="en-US"/>
        </w:rPr>
        <w:t xml:space="preserve">Williams, J. W., Jackson, G. L., Powers, B. J., Chatterjee, R., Bettger, J. P., Kemper, A. R., Hasselblad, V., Dolor, R. J., Irvine, R. J., Heidenfelder, B. L., Kendrick, A. S., &amp; Gray, R. (2012). Closing the quality gap: revisiting the state of the science (vol. 2: the patient-centered medical home). </w:t>
      </w:r>
      <w:r w:rsidR="00081D00" w:rsidRPr="00081D00">
        <w:rPr>
          <w:i/>
          <w:noProof/>
          <w:sz w:val="16"/>
          <w:szCs w:val="16"/>
          <w:lang w:val="en-US"/>
        </w:rPr>
        <w:t>Evid Rep Technol Assess (Full Rep)</w:t>
      </w:r>
      <w:r w:rsidR="00081D00">
        <w:rPr>
          <w:noProof/>
          <w:sz w:val="16"/>
          <w:szCs w:val="16"/>
          <w:lang w:val="en-US"/>
        </w:rPr>
        <w:t>(208.2), 1-210.</w:t>
      </w:r>
      <w:r>
        <w:rPr>
          <w:sz w:val="16"/>
          <w:szCs w:val="16"/>
          <w:lang w:val="en-US"/>
        </w:rPr>
        <w:fldChar w:fldCharType="end"/>
      </w:r>
    </w:p>
    <w:p w14:paraId="1B7BF423" w14:textId="77777777" w:rsidR="004E0715" w:rsidRDefault="004E0715" w:rsidP="004E0715">
      <w:pPr>
        <w:pStyle w:val="FootnoteText"/>
        <w:rPr>
          <w:sz w:val="16"/>
          <w:szCs w:val="16"/>
          <w:lang w:val="en-US"/>
        </w:rPr>
      </w:pPr>
    </w:p>
    <w:p w14:paraId="7D519058" w14:textId="3D4F67D9" w:rsidR="004E0715" w:rsidRDefault="004E0715" w:rsidP="004E0715">
      <w:pPr>
        <w:pStyle w:val="FootnoteText"/>
        <w:rPr>
          <w:sz w:val="16"/>
          <w:szCs w:val="16"/>
          <w:lang w:val="en-US"/>
        </w:rPr>
      </w:pPr>
      <w:r>
        <w:rPr>
          <w:sz w:val="16"/>
          <w:szCs w:val="16"/>
          <w:lang w:val="en-US"/>
        </w:rPr>
        <w:t xml:space="preserve">Subsequent reviews have generally been more </w:t>
      </w:r>
      <w:r w:rsidR="00AB1C1C">
        <w:rPr>
          <w:sz w:val="16"/>
          <w:szCs w:val="16"/>
          <w:lang w:val="en-US"/>
        </w:rPr>
        <w:t>positive but</w:t>
      </w:r>
      <w:r>
        <w:rPr>
          <w:sz w:val="16"/>
          <w:szCs w:val="16"/>
          <w:lang w:val="en-US"/>
        </w:rPr>
        <w:t xml:space="preserve"> highlight that the quality of primary studies is relatively poor. Examples include:</w:t>
      </w:r>
    </w:p>
    <w:p w14:paraId="3D1B8890" w14:textId="6E177E59" w:rsidR="004E0715" w:rsidRDefault="004E0715" w:rsidP="00BB7C8D">
      <w:pPr>
        <w:pStyle w:val="FootnoteText"/>
        <w:numPr>
          <w:ilvl w:val="0"/>
          <w:numId w:val="60"/>
        </w:numPr>
        <w:rPr>
          <w:sz w:val="16"/>
          <w:szCs w:val="16"/>
          <w:lang w:val="en-US"/>
        </w:rPr>
      </w:pPr>
      <w:r>
        <w:rPr>
          <w:sz w:val="16"/>
          <w:szCs w:val="16"/>
          <w:lang w:val="en-US"/>
        </w:rPr>
        <w:fldChar w:fldCharType="begin"/>
      </w:r>
      <w:r w:rsidR="00DC0673">
        <w:rPr>
          <w:sz w:val="16"/>
          <w:szCs w:val="16"/>
          <w:lang w:val="en-US"/>
        </w:rPr>
        <w:instrText xml:space="preserve"> ADDIN EN.CITE &lt;EndNote&gt;&lt;Cite&gt;&lt;Author&gt;van den Berk-Clark&lt;/Author&gt;&lt;Year&gt;2018&lt;/Year&gt;&lt;RecNum&gt;4773&lt;/RecNum&gt;&lt;DisplayText&gt;van den Berk-Clark, C., Doucette, E., Rottnek, F., Manard, W., Prada, M. A., Hughes, R., Lawrence, T., &amp;amp; Schneider, F. D. (2018). Do Patient-Centered Medical Homes Improve Health Behaviors, Outcomes, and Experiences of Low-Income Patients? A Systematic Review and Meta-Analysis. &lt;style face="italic"&gt;Health Services Research, 53&lt;/style&gt;(3), 1777-1798.&lt;/DisplayText&gt;&lt;record&gt;&lt;rec-number&gt;4773&lt;/rec-number&gt;&lt;foreign-keys&gt;&lt;key app="EN" db-id="0zf0e9xwqetx57ep9ee5p9skx9zpfpswrx20" timestamp="1609572802" guid="c60ff62e-399c-4445-840a-4a279e670c96"&gt;4773&lt;/key&gt;&lt;/foreign-keys&gt;&lt;ref-type name="Journal Article"&gt;17&lt;/ref-type&gt;&lt;contributors&gt;&lt;authors&gt;&lt;author&gt;van den Berk-Clark, C.&lt;/author&gt;&lt;author&gt;Doucette, E.&lt;/author&gt;&lt;author&gt;Rottnek, F.&lt;/author&gt;&lt;author&gt;Manard, W.&lt;/author&gt;&lt;author&gt;Prada, M. A.&lt;/author&gt;&lt;author&gt;Hughes, R.&lt;/author&gt;&lt;author&gt;Lawrence, T.&lt;/author&gt;&lt;author&gt;Schneider, F. D.&lt;/author&gt;&lt;/authors&gt;&lt;/contributors&gt;&lt;titles&gt;&lt;title&gt;Do Patient-Centered Medical Homes Improve Health Behaviors, Outcomes, and Experiences of Low-Income Patients? A Systematic Review and Meta-Analysis&lt;/title&gt;&lt;secondary-title&gt;Health Services Research&lt;/secondary-title&gt;&lt;/titles&gt;&lt;periodical&gt;&lt;full-title&gt;Health Services Research&lt;/full-title&gt;&lt;/periodical&gt;&lt;pages&gt;1777-1798&lt;/pages&gt;&lt;volume&gt;53&lt;/volume&gt;&lt;number&gt;3&lt;/number&gt;&lt;dates&gt;&lt;year&gt;2018&lt;/year&gt;&lt;pub-dates&gt;&lt;date&gt;Jun&lt;/date&gt;&lt;/pub-dates&gt;&lt;/dates&gt;&lt;isbn&gt;0017-9124&lt;/isbn&gt;&lt;accession-num&gt;WOS:000434112400025&lt;/accession-num&gt;&lt;urls&gt;&lt;related-urls&gt;&lt;url&gt;&amp;lt;Go to ISI&amp;gt;://WOS:000434112400025&lt;/url&gt;&lt;url&gt;https://www.ncbi.nlm.nih.gov/pmc/articles/PMC5980195/pdf/HESR-53-1777.pdf&lt;/url&gt;&lt;/related-urls&gt;&lt;/urls&gt;&lt;electronic-resource-num&gt;10.1111/1475-6773.12737&lt;/electronic-resource-num&gt;&lt;/record&gt;&lt;/Cite&gt;&lt;/EndNote&gt;</w:instrText>
      </w:r>
      <w:r>
        <w:rPr>
          <w:sz w:val="16"/>
          <w:szCs w:val="16"/>
          <w:lang w:val="en-US"/>
        </w:rPr>
        <w:fldChar w:fldCharType="separate"/>
      </w:r>
      <w:r w:rsidR="00DC0673">
        <w:rPr>
          <w:noProof/>
          <w:sz w:val="16"/>
          <w:szCs w:val="16"/>
          <w:lang w:val="en-US"/>
        </w:rPr>
        <w:t xml:space="preserve">van den Berk-Clark, C., Doucette, E., Rottnek, F., Manard, W., Prada, M. A., Hughes, R., Lawrence, T., &amp; Schneider, F. D. (2018). Do Patient-Centered Medical Homes Improve Health Behaviors, Outcomes, and Experiences of Low-Income Patients? A Systematic Review and Meta-Analysis. </w:t>
      </w:r>
      <w:r w:rsidR="00DC0673" w:rsidRPr="00DC0673">
        <w:rPr>
          <w:i/>
          <w:noProof/>
          <w:sz w:val="16"/>
          <w:szCs w:val="16"/>
          <w:lang w:val="en-US"/>
        </w:rPr>
        <w:t>Health Services Research, 53</w:t>
      </w:r>
      <w:r w:rsidR="00DC0673">
        <w:rPr>
          <w:noProof/>
          <w:sz w:val="16"/>
          <w:szCs w:val="16"/>
          <w:lang w:val="en-US"/>
        </w:rPr>
        <w:t>(3), 1777-1798.</w:t>
      </w:r>
      <w:r>
        <w:rPr>
          <w:sz w:val="16"/>
          <w:szCs w:val="16"/>
          <w:lang w:val="en-US"/>
        </w:rPr>
        <w:fldChar w:fldCharType="end"/>
      </w:r>
    </w:p>
    <w:p w14:paraId="6452DB3F" w14:textId="3CF7506E" w:rsidR="004E0715" w:rsidRDefault="004E0715" w:rsidP="00BB7C8D">
      <w:pPr>
        <w:pStyle w:val="FootnoteText"/>
        <w:numPr>
          <w:ilvl w:val="0"/>
          <w:numId w:val="60"/>
        </w:numPr>
        <w:rPr>
          <w:sz w:val="16"/>
          <w:szCs w:val="16"/>
          <w:lang w:val="en-US"/>
        </w:rPr>
      </w:pPr>
      <w:r>
        <w:rPr>
          <w:sz w:val="16"/>
          <w:szCs w:val="16"/>
          <w:lang w:val="en-US"/>
        </w:rPr>
        <w:fldChar w:fldCharType="begin">
          <w:fldData xml:space="preserve">PEVuZE5vdGU+PENpdGU+PEF1dGhvcj5WZWV0PC9BdXRob3I+PFllYXI+MjAyMDwvWWVhcj48UmVj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</w:fldData>
        </w:fldChar>
      </w:r>
      <w:r w:rsidR="00081D00">
        <w:rPr>
          <w:sz w:val="16"/>
          <w:szCs w:val="16"/>
          <w:lang w:val="en-US"/>
        </w:rPr>
        <w:instrText xml:space="preserve"> ADDIN EN.CITE </w:instrText>
      </w:r>
      <w:r w:rsidR="00081D00">
        <w:rPr>
          <w:sz w:val="16"/>
          <w:szCs w:val="16"/>
          <w:lang w:val="en-US"/>
        </w:rPr>
        <w:fldChar w:fldCharType="begin">
          <w:fldData xml:space="preserve">PEVuZE5vdGU+PENpdGU+PEF1dGhvcj5WZWV0PC9BdXRob3I+PFllYXI+MjAyMDwvWWVhcj48UmVj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</w:fldData>
        </w:fldChar>
      </w:r>
      <w:r w:rsidR="00081D00">
        <w:rPr>
          <w:sz w:val="16"/>
          <w:szCs w:val="16"/>
          <w:lang w:val="en-US"/>
        </w:rPr>
        <w:instrText xml:space="preserve"> ADDIN EN.CITE.DATA </w:instrText>
      </w:r>
      <w:r w:rsidR="00081D00">
        <w:rPr>
          <w:sz w:val="16"/>
          <w:szCs w:val="16"/>
          <w:lang w:val="en-US"/>
        </w:rPr>
      </w:r>
      <w:r w:rsidR="00081D00">
        <w:rPr>
          <w:sz w:val="16"/>
          <w:szCs w:val="16"/>
          <w:lang w:val="en-US"/>
        </w:rPr>
        <w:fldChar w:fldCharType="end"/>
      </w:r>
      <w:r>
        <w:rPr>
          <w:sz w:val="16"/>
          <w:szCs w:val="16"/>
          <w:lang w:val="en-US"/>
        </w:rPr>
      </w:r>
      <w:r>
        <w:rPr>
          <w:sz w:val="16"/>
          <w:szCs w:val="16"/>
          <w:lang w:val="en-US"/>
        </w:rPr>
        <w:fldChar w:fldCharType="separate"/>
      </w:r>
      <w:r w:rsidR="00081D00">
        <w:rPr>
          <w:noProof/>
          <w:sz w:val="16"/>
          <w:szCs w:val="16"/>
          <w:lang w:val="en-US"/>
        </w:rPr>
        <w:t xml:space="preserve">Veet, C. A., Radomski, T. R., D'Avella, C., Hernandez, I., Wessel, C., Swart, E. C. S., Shrank, W. H., &amp; Parekh, N. (2020). Impact of Healthcare Delivery System Type on Clinical, Utilization, and Cost Outcomes of Patient-Centered Medical Homes: a Systematic Review. </w:t>
      </w:r>
      <w:r w:rsidR="00081D00" w:rsidRPr="00081D00">
        <w:rPr>
          <w:i/>
          <w:noProof/>
          <w:sz w:val="16"/>
          <w:szCs w:val="16"/>
          <w:lang w:val="en-US"/>
        </w:rPr>
        <w:t>Journal of general internal medicine, 35</w:t>
      </w:r>
      <w:r w:rsidR="00081D00">
        <w:rPr>
          <w:noProof/>
          <w:sz w:val="16"/>
          <w:szCs w:val="16"/>
          <w:lang w:val="en-US"/>
        </w:rPr>
        <w:t>(4), 1276-1284.</w:t>
      </w:r>
      <w:r>
        <w:rPr>
          <w:sz w:val="16"/>
          <w:szCs w:val="16"/>
          <w:lang w:val="en-US"/>
        </w:rPr>
        <w:fldChar w:fldCharType="end"/>
      </w:r>
    </w:p>
    <w:p w14:paraId="59B1DF0B" w14:textId="7334E03B" w:rsidR="004E0715" w:rsidRDefault="004E0715" w:rsidP="00BB7C8D">
      <w:pPr>
        <w:pStyle w:val="FootnoteText"/>
        <w:numPr>
          <w:ilvl w:val="0"/>
          <w:numId w:val="60"/>
        </w:numPr>
        <w:rPr>
          <w:sz w:val="16"/>
          <w:szCs w:val="16"/>
          <w:lang w:val="en-US"/>
        </w:rPr>
      </w:pPr>
      <w:r>
        <w:rPr>
          <w:sz w:val="16"/>
          <w:szCs w:val="16"/>
          <w:lang w:val="en-US"/>
        </w:rPr>
        <w:fldChar w:fldCharType="begin">
          <w:fldData xml:space="preserve">PEVuZE5vdGU+PENpdGU+PEF1dGhvcj5Kb2huPC9BdXRob3I+PFllYXI+MjAyMDwvWWVhcj48UmVj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</w:fldData>
        </w:fldChar>
      </w:r>
      <w:r w:rsidR="00081D00">
        <w:rPr>
          <w:sz w:val="16"/>
          <w:szCs w:val="16"/>
          <w:lang w:val="en-US"/>
        </w:rPr>
        <w:instrText xml:space="preserve"> ADDIN EN.CITE </w:instrText>
      </w:r>
      <w:r w:rsidR="00081D00">
        <w:rPr>
          <w:sz w:val="16"/>
          <w:szCs w:val="16"/>
          <w:lang w:val="en-US"/>
        </w:rPr>
        <w:fldChar w:fldCharType="begin">
          <w:fldData xml:space="preserve">PEVuZE5vdGU+PENpdGU+PEF1dGhvcj5Kb2huPC9BdXRob3I+PFllYXI+MjAyMDwvWWVhcj48UmVj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</w:fldData>
        </w:fldChar>
      </w:r>
      <w:r w:rsidR="00081D00">
        <w:rPr>
          <w:sz w:val="16"/>
          <w:szCs w:val="16"/>
          <w:lang w:val="en-US"/>
        </w:rPr>
        <w:instrText xml:space="preserve"> ADDIN EN.CITE.DATA </w:instrText>
      </w:r>
      <w:r w:rsidR="00081D00">
        <w:rPr>
          <w:sz w:val="16"/>
          <w:szCs w:val="16"/>
          <w:lang w:val="en-US"/>
        </w:rPr>
      </w:r>
      <w:r w:rsidR="00081D00">
        <w:rPr>
          <w:sz w:val="16"/>
          <w:szCs w:val="16"/>
          <w:lang w:val="en-US"/>
        </w:rPr>
        <w:fldChar w:fldCharType="end"/>
      </w:r>
      <w:r>
        <w:rPr>
          <w:sz w:val="16"/>
          <w:szCs w:val="16"/>
          <w:lang w:val="en-US"/>
        </w:rPr>
      </w:r>
      <w:r>
        <w:rPr>
          <w:sz w:val="16"/>
          <w:szCs w:val="16"/>
          <w:lang w:val="en-US"/>
        </w:rPr>
        <w:fldChar w:fldCharType="separate"/>
      </w:r>
      <w:r w:rsidR="00081D00">
        <w:rPr>
          <w:noProof/>
          <w:sz w:val="16"/>
          <w:szCs w:val="16"/>
          <w:lang w:val="en-US"/>
        </w:rPr>
        <w:t xml:space="preserve">John, J. R., Jani, H., Peters, K., Agho, K., &amp; Tannous, W. K. (2020). The Effectiveness of Patient-Centred Medical Home-Based Models of Care versus Standard Primary Care in Chronic Disease Management: A Systematic Review and Meta-Analysis of Randomised and Non-Randomised Controlled Trials [Review]. </w:t>
      </w:r>
      <w:r w:rsidR="00081D00" w:rsidRPr="00081D00">
        <w:rPr>
          <w:i/>
          <w:noProof/>
          <w:sz w:val="16"/>
          <w:szCs w:val="16"/>
          <w:lang w:val="en-US"/>
        </w:rPr>
        <w:t>International journal of environmental research and public health, 17</w:t>
      </w:r>
      <w:r w:rsidR="00081D00">
        <w:rPr>
          <w:noProof/>
          <w:sz w:val="16"/>
          <w:szCs w:val="16"/>
          <w:lang w:val="en-US"/>
        </w:rPr>
        <w:t>(18), 42, Article 6886.</w:t>
      </w:r>
      <w:r>
        <w:rPr>
          <w:sz w:val="16"/>
          <w:szCs w:val="16"/>
          <w:lang w:val="en-US"/>
        </w:rPr>
        <w:fldChar w:fldCharType="end"/>
      </w:r>
    </w:p>
    <w:p w14:paraId="17C69D10" w14:textId="5C1876DE" w:rsidR="004E0715" w:rsidRPr="00FE3BB8" w:rsidRDefault="004E0715" w:rsidP="00BB7C8D">
      <w:pPr>
        <w:pStyle w:val="FootnoteText"/>
        <w:numPr>
          <w:ilvl w:val="0"/>
          <w:numId w:val="60"/>
        </w:numPr>
        <w:rPr>
          <w:sz w:val="16"/>
          <w:szCs w:val="16"/>
          <w:lang w:val="en-US"/>
        </w:rPr>
      </w:pPr>
      <w:r w:rsidRPr="00FE3BB8">
        <w:rPr>
          <w:sz w:val="16"/>
          <w:szCs w:val="16"/>
          <w:lang w:val="en-US"/>
        </w:rPr>
        <w:fldChar w:fldCharType="begin">
          <w:fldData xml:space="preserve">PEVuZE5vdGU+PENpdGU+PEF1dGhvcj5NY01hbnVzPC9BdXRob3I+PFllYXI+MjAyMTwvWWVhcj48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</w:fldData>
        </w:fldChar>
      </w:r>
      <w:r w:rsidR="00081D00">
        <w:rPr>
          <w:sz w:val="16"/>
          <w:szCs w:val="16"/>
          <w:lang w:val="en-US"/>
        </w:rPr>
        <w:instrText xml:space="preserve"> ADDIN EN.CITE </w:instrText>
      </w:r>
      <w:r w:rsidR="00081D00">
        <w:rPr>
          <w:sz w:val="16"/>
          <w:szCs w:val="16"/>
          <w:lang w:val="en-US"/>
        </w:rPr>
        <w:fldChar w:fldCharType="begin">
          <w:fldData xml:space="preserve">PEVuZE5vdGU+PENpdGU+PEF1dGhvcj5NY01hbnVzPC9BdXRob3I+PFllYXI+MjAyMTwvWWVhcj48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</w:fldData>
        </w:fldChar>
      </w:r>
      <w:r w:rsidR="00081D00">
        <w:rPr>
          <w:sz w:val="16"/>
          <w:szCs w:val="16"/>
          <w:lang w:val="en-US"/>
        </w:rPr>
        <w:instrText xml:space="preserve"> ADDIN EN.CITE.DATA </w:instrText>
      </w:r>
      <w:r w:rsidR="00081D00">
        <w:rPr>
          <w:sz w:val="16"/>
          <w:szCs w:val="16"/>
          <w:lang w:val="en-US"/>
        </w:rPr>
      </w:r>
      <w:r w:rsidR="00081D00">
        <w:rPr>
          <w:sz w:val="16"/>
          <w:szCs w:val="16"/>
          <w:lang w:val="en-US"/>
        </w:rPr>
        <w:fldChar w:fldCharType="end"/>
      </w:r>
      <w:r w:rsidRPr="00FE3BB8">
        <w:rPr>
          <w:sz w:val="16"/>
          <w:szCs w:val="16"/>
          <w:lang w:val="en-US"/>
        </w:rPr>
      </w:r>
      <w:r w:rsidRPr="00FE3BB8">
        <w:rPr>
          <w:sz w:val="16"/>
          <w:szCs w:val="16"/>
          <w:lang w:val="en-US"/>
        </w:rPr>
        <w:fldChar w:fldCharType="separate"/>
      </w:r>
      <w:r w:rsidR="00081D00">
        <w:rPr>
          <w:noProof/>
          <w:sz w:val="16"/>
          <w:szCs w:val="16"/>
          <w:lang w:val="en-US"/>
        </w:rPr>
        <w:t xml:space="preserve">McManus, L. S., Dominguez-Cancino, K. A., Stanek, M. K., Leyva-Moral, J. M., Bravo-Tare, C. E., Rivera-Lozada, O., &amp; Palmieri, P. A. (2021). The Patient-centered Medical Home as an Intervention Strategy for Diabetes Mellitus: A Systematic Review of the Literature. </w:t>
      </w:r>
      <w:r w:rsidR="00081D00" w:rsidRPr="00081D00">
        <w:rPr>
          <w:i/>
          <w:noProof/>
          <w:sz w:val="16"/>
          <w:szCs w:val="16"/>
          <w:lang w:val="en-US"/>
        </w:rPr>
        <w:t>Curr Diabetes Rev, 17</w:t>
      </w:r>
      <w:r w:rsidR="00081D00">
        <w:rPr>
          <w:noProof/>
          <w:sz w:val="16"/>
          <w:szCs w:val="16"/>
          <w:lang w:val="en-US"/>
        </w:rPr>
        <w:t>(3), 317-331.</w:t>
      </w:r>
      <w:r w:rsidRPr="00FE3BB8">
        <w:rPr>
          <w:sz w:val="16"/>
          <w:szCs w:val="16"/>
          <w:lang w:val="en-US"/>
        </w:rPr>
        <w:fldChar w:fldCharType="end"/>
      </w:r>
    </w:p>
    <w:p w14:paraId="39843027" w14:textId="77777777" w:rsidR="004E0715" w:rsidRPr="007A41E6" w:rsidRDefault="004E0715" w:rsidP="004E0715">
      <w:pPr>
        <w:pStyle w:val="FootnoteText"/>
        <w:rPr>
          <w:sz w:val="16"/>
          <w:szCs w:val="16"/>
          <w:lang w:val="en-US"/>
        </w:rPr>
      </w:pPr>
    </w:p>
  </w:footnote>
  <w:footnote w:id="122">
    <w:p w14:paraId="73DD09F5" w14:textId="2952E4CA" w:rsidR="00DE168D" w:rsidRDefault="00DE168D" w:rsidP="00DE168D">
      <w:pPr>
        <w:pStyle w:val="FootnoteText"/>
      </w:pPr>
      <w:r w:rsidRPr="009252C4">
        <w:rPr>
          <w:rStyle w:val="FootnoteReference"/>
          <w:color w:val="408BCA"/>
        </w:rPr>
        <w:footnoteRef/>
      </w:r>
      <w:r>
        <w:t xml:space="preserve"> </w:t>
      </w:r>
      <w:r>
        <w:fldChar w:fldCharType="begin"/>
      </w:r>
      <w:r w:rsidR="00DC0673">
        <w:instrText xml:space="preserve"> ADDIN EN.CITE &lt;EndNote&gt;&lt;Cite&gt;&lt;Author&gt;Greenhalgh&lt;/Author&gt;&lt;Year&gt;2004&lt;/Year&gt;&lt;RecNum&gt;10810&lt;/RecNum&gt;&lt;DisplayText&gt;Greenhalgh, T., Robert, G., Macfarlane, F., Bate, P., &amp;amp; Kyriakidou, O. (2004). Diffusion of innovations in service organizations: systematic review and recommendations. &lt;style face="italic"&gt;Milbank Q, 82&lt;/style&gt;(4), 581-629.&lt;/DisplayText&gt;&lt;record&gt;&lt;rec-number&gt;10810&lt;/rec-number&gt;&lt;foreign-keys&gt;&lt;key app="EN" db-id="0zf0e9xwqetx57ep9ee5p9skx9zpfpswrx20" timestamp="1627713484" guid="54793a56-a52a-488b-9a56-70294d6bf9b5"&gt;10810&lt;/key&gt;&lt;/foreign-keys&gt;&lt;ref-type name="Journal Article"&gt;17&lt;/ref-type&gt;&lt;contributors&gt;&lt;authors&gt;&lt;author&gt;Greenhalgh, T.&lt;/author&gt;&lt;author&gt;Robert, G.&lt;/author&gt;&lt;author&gt;Macfarlane, F.&lt;/author&gt;&lt;author&gt;Bate, P.&lt;/author&gt;&lt;author&gt;Kyriakidou, O.&lt;/author&gt;&lt;/authors&gt;&lt;/contributors&gt;&lt;auth-address&gt;University College London, Room 403, Holborn Union Building, Highgate Hill, London N19 5LW, UK. p.greenhalgh@pcps.ucl.ac.uk&lt;/auth-address&gt;&lt;titles&gt;&lt;title&gt;Diffusion of innovations in service organizations: systematic review and recommendations&lt;/title&gt;&lt;secondary-title&gt;Milbank Q&lt;/secondary-title&gt;&lt;/titles&gt;&lt;periodical&gt;&lt;full-title&gt;Milbank Q&lt;/full-title&gt;&lt;/periodical&gt;&lt;pages&gt;581-629&lt;/pages&gt;&lt;volume&gt;82&lt;/volume&gt;&lt;number&gt;4&lt;/number&gt;&lt;edition&gt;2004/12/15&lt;/edition&gt;&lt;keywords&gt;&lt;keyword&gt;*Diffusion of Innovation&lt;/keyword&gt;&lt;keyword&gt;Evidence-Based Medicine&lt;/keyword&gt;&lt;keyword&gt;*Health Facility Administration&lt;/keyword&gt;&lt;keyword&gt;Models, Organizational&lt;/keyword&gt;&lt;keyword&gt;State Medicine&lt;/keyword&gt;&lt;keyword&gt;United Kingdom&lt;/keyword&gt;&lt;/keywords&gt;&lt;dates&gt;&lt;year&gt;2004&lt;/year&gt;&lt;/dates&gt;&lt;isbn&gt;0887-378X (Print)&amp;#xD;0887-378x&lt;/isbn&gt;&lt;accession-num&gt;15595944&lt;/accession-num&gt;&lt;urls&gt;&lt;related-urls&gt;&lt;url&gt;https://www.ncbi.nlm.nih.gov/pmc/articles/PMC2690184/pdf/milq0082-0581.pdf&lt;/url&gt;&lt;/related-urls&gt;&lt;/urls&gt;&lt;custom2&gt;PMC2690184&lt;/custom2&gt;&lt;electronic-resource-num&gt;10.1111/j.0887-378X.2004.00325.x&lt;/electronic-resource-num&gt;&lt;remote-database-provider&gt;NLM&lt;/remote-database-provider&gt;&lt;language&gt;eng&lt;/language&gt;&lt;/record&gt;&lt;/Cite&gt;&lt;/EndNote&gt;</w:instrText>
      </w:r>
      <w:r>
        <w:fldChar w:fldCharType="separate"/>
      </w:r>
      <w:r w:rsidR="00DC0673">
        <w:rPr>
          <w:noProof/>
        </w:rPr>
        <w:t xml:space="preserve">Greenhalgh, T., Robert, G., Macfarlane, F., Bate, P., &amp; Kyriakidou, O. (2004). Diffusion of innovations in service organizations: systematic review and recommendations. </w:t>
      </w:r>
      <w:r w:rsidR="00DC0673" w:rsidRPr="00DC0673">
        <w:rPr>
          <w:i/>
          <w:noProof/>
        </w:rPr>
        <w:t>Milbank Q, 82</w:t>
      </w:r>
      <w:r w:rsidR="00DC0673">
        <w:rPr>
          <w:noProof/>
        </w:rPr>
        <w:t>(4), 581-629.</w:t>
      </w:r>
      <w:r>
        <w:fldChar w:fldCharType="end"/>
      </w:r>
    </w:p>
  </w:footnote>
  <w:footnote w:id="123">
    <w:p w14:paraId="01D3ED86" w14:textId="0B2B88F2" w:rsidR="00DE168D" w:rsidRDefault="00DE168D" w:rsidP="00DE168D">
      <w:pPr>
        <w:pStyle w:val="FootnoteText"/>
      </w:pPr>
      <w:r w:rsidRPr="009252C4">
        <w:rPr>
          <w:rStyle w:val="FootnoteReference"/>
          <w:color w:val="408BCA"/>
        </w:rPr>
        <w:footnoteRef/>
      </w:r>
      <w:r>
        <w:t xml:space="preserve"> </w:t>
      </w:r>
      <w:r>
        <w:fldChar w:fldCharType="begin"/>
      </w:r>
      <w:r w:rsidR="00DC0673">
        <w:instrText xml:space="preserve"> ADDIN EN.CITE &lt;EndNote&gt;&lt;Cite&gt;&lt;Author&gt;Gustafson&lt;/Author&gt;&lt;Year&gt;2003&lt;/Year&gt;&lt;RecNum&gt;584&lt;/RecNum&gt;&lt;DisplayText&gt;Gustafson, D. H., Sainfort, F., Eichler, M., Adams, L., Bisognano, M., &amp;amp; Steudel, H. (2003). Developing and Testing a Model to Predict Outcomes of Organizational Change [https://doi.org/10.1111/1475-6773.00143]. &lt;style face="italic"&gt;Health Services Research, 38&lt;/style&gt;(2), 751-776.&lt;/DisplayText&gt;&lt;record&gt;&lt;rec-number&gt;584&lt;/rec-number&gt;&lt;foreign-keys&gt;&lt;key app="EN" db-id="0zf0e9xwqetx57ep9ee5p9skx9zpfpswrx20" timestamp="1607813960" guid="d65d991c-7b19-47f7-9087-cebfb67daa8f"&gt;584&lt;/key&gt;&lt;/foreign-keys&gt;&lt;ref-type name="Journal Article"&gt;17&lt;/ref-type&gt;&lt;contributors&gt;&lt;authors&gt;&lt;author&gt;Gustafson, David H.&lt;/author&gt;&lt;author&gt;Sainfort, François&lt;/author&gt;&lt;author&gt;Eichler, Mary&lt;/author&gt;&lt;author&gt;Adams, Laura&lt;/author&gt;&lt;author&gt;Bisognano, Maureen&lt;/author&gt;&lt;author&gt;Steudel, Harold&lt;/author&gt;&lt;/authors&gt;&lt;/contributors&gt;&lt;titles&gt;&lt;title&gt;Developing and Testing a Model to Predict Outcomes of Organizational Change&lt;/title&gt;&lt;secondary-title&gt;Health Services Research&lt;/secondary-title&gt;&lt;/titles&gt;&lt;periodical&gt;&lt;full-title&gt;Health Services Research&lt;/full-title&gt;&lt;/periodical&gt;&lt;pages&gt;751-776&lt;/pages&gt;&lt;volume&gt;38&lt;/volume&gt;&lt;number&gt;2&lt;/number&gt;&lt;keywords&gt;&lt;keyword&gt;Organizational change&lt;/keyword&gt;&lt;keyword&gt;Bayesian model&lt;/keyword&gt;&lt;keyword&gt;improvement&lt;/keyword&gt;&lt;keyword&gt;empirical evaluation&lt;/keyword&gt;&lt;/keywords&gt;&lt;dates&gt;&lt;year&gt;2003&lt;/year&gt;&lt;pub-dates&gt;&lt;date&gt;2003/04/01&lt;/date&gt;&lt;/pub-dates&gt;&lt;/dates&gt;&lt;publisher&gt;John Wiley &amp;amp; Sons, Ltd&lt;/publisher&gt;&lt;isbn&gt;0017-9124&lt;/isbn&gt;&lt;work-type&gt;https://doi.org/10.1111/1475-6773.00143&lt;/work-type&gt;&lt;urls&gt;&lt;related-urls&gt;&lt;url&gt;https://doi.org/10.1111/1475-6773.00143&lt;/url&gt;&lt;url&gt;https://onlinelibrary.wiley.com/doi/abs/10.1111/1475-6773.00143&lt;/url&gt;&lt;url&gt;https://www.ncbi.nlm.nih.gov/pmc/articles/PMC1360903/pdf/hesr_143.pdf&lt;/url&gt;&lt;/related-urls&gt;&lt;/urls&gt;&lt;electronic-resource-num&gt;https://doi.org/10.1111/1475-6773.00143&lt;/electronic-resource-num&gt;&lt;access-date&gt;2020/12/01&lt;/access-date&gt;&lt;/record&gt;&lt;/Cite&gt;&lt;/EndNote&gt;</w:instrText>
      </w:r>
      <w:r>
        <w:fldChar w:fldCharType="separate"/>
      </w:r>
      <w:r w:rsidR="00DC0673">
        <w:rPr>
          <w:noProof/>
        </w:rPr>
        <w:t xml:space="preserve">Gustafson, D. H., Sainfort, F., Eichler, M., Adams, L., Bisognano, M., &amp; Steudel, H. (2003). Developing and Testing a Model to Predict Outcomes of Organizational Change [https://doi.org/10.1111/1475-6773.00143]. </w:t>
      </w:r>
      <w:r w:rsidR="00DC0673" w:rsidRPr="00DC0673">
        <w:rPr>
          <w:i/>
          <w:noProof/>
        </w:rPr>
        <w:t>Health Services Research, 38</w:t>
      </w:r>
      <w:r w:rsidR="00DC0673">
        <w:rPr>
          <w:noProof/>
        </w:rPr>
        <w:t>(2), 751-776.</w:t>
      </w:r>
      <w:r>
        <w:fldChar w:fldCharType="end"/>
      </w:r>
    </w:p>
  </w:footnote>
  <w:footnote w:id="124">
    <w:p w14:paraId="3A4BE859" w14:textId="64CF4BAC" w:rsidR="00DE168D" w:rsidRDefault="00DE168D" w:rsidP="00DE168D">
      <w:pPr>
        <w:pStyle w:val="FootnoteText"/>
      </w:pPr>
      <w:r w:rsidRPr="009252C4">
        <w:rPr>
          <w:rStyle w:val="FootnoteReference"/>
          <w:color w:val="408BCA"/>
        </w:rPr>
        <w:footnoteRef/>
      </w:r>
      <w:r>
        <w:t xml:space="preserve"> </w:t>
      </w:r>
      <w:r>
        <w:fldChar w:fldCharType="begin"/>
      </w:r>
      <w:r w:rsidR="00DC0673">
        <w:instrText xml:space="preserve"> ADDIN EN.CITE &lt;EndNote&gt;&lt;Cite&gt;&lt;Author&gt;Greenhalgh&lt;/Author&gt;&lt;Year&gt;2004&lt;/Year&gt;&lt;RecNum&gt;10810&lt;/RecNum&gt;&lt;DisplayText&gt;Greenhalgh, T., Robert, G., Macfarlane, F., Bate, P., &amp;amp; Kyriakidou, O. (2004). Diffusion of innovations in service organizations: systematic review and recommendations. &lt;style face="italic"&gt;Milbank Q, 82&lt;/style&gt;(4), 581-629.&lt;/DisplayText&gt;&lt;record&gt;&lt;rec-number&gt;10810&lt;/rec-number&gt;&lt;foreign-keys&gt;&lt;key app="EN" db-id="0zf0e9xwqetx57ep9ee5p9skx9zpfpswrx20" timestamp="1627713484" guid="54793a56-a52a-488b-9a56-70294d6bf9b5"&gt;10810&lt;/key&gt;&lt;/foreign-keys&gt;&lt;ref-type name="Journal Article"&gt;17&lt;/ref-type&gt;&lt;contributors&gt;&lt;authors&gt;&lt;author&gt;Greenhalgh, T.&lt;/author&gt;&lt;author&gt;Robert, G.&lt;/author&gt;&lt;author&gt;Macfarlane, F.&lt;/author&gt;&lt;author&gt;Bate, P.&lt;/author&gt;&lt;author&gt;Kyriakidou, O.&lt;/author&gt;&lt;/authors&gt;&lt;/contributors&gt;&lt;auth-address&gt;University College London, Room 403, Holborn Union Building, Highgate Hill, London N19 5LW, UK. p.greenhalgh@pcps.ucl.ac.uk&lt;/auth-address&gt;&lt;titles&gt;&lt;title&gt;Diffusion of innovations in service organizations: systematic review and recommendations&lt;/title&gt;&lt;secondary-title&gt;Milbank Q&lt;/secondary-title&gt;&lt;/titles&gt;&lt;periodical&gt;&lt;full-title&gt;Milbank Q&lt;/full-title&gt;&lt;/periodical&gt;&lt;pages&gt;581-629&lt;/pages&gt;&lt;volume&gt;82&lt;/volume&gt;&lt;number&gt;4&lt;/number&gt;&lt;edition&gt;2004/12/15&lt;/edition&gt;&lt;keywords&gt;&lt;keyword&gt;*Diffusion of Innovation&lt;/keyword&gt;&lt;keyword&gt;Evidence-Based Medicine&lt;/keyword&gt;&lt;keyword&gt;*Health Facility Administration&lt;/keyword&gt;&lt;keyword&gt;Models, Organizational&lt;/keyword&gt;&lt;keyword&gt;State Medicine&lt;/keyword&gt;&lt;keyword&gt;United Kingdom&lt;/keyword&gt;&lt;/keywords&gt;&lt;dates&gt;&lt;year&gt;2004&lt;/year&gt;&lt;/dates&gt;&lt;isbn&gt;0887-378X (Print)&amp;#xD;0887-378x&lt;/isbn&gt;&lt;accession-num&gt;15595944&lt;/accession-num&gt;&lt;urls&gt;&lt;related-urls&gt;&lt;url&gt;https://www.ncbi.nlm.nih.gov/pmc/articles/PMC2690184/pdf/milq0082-0581.pdf&lt;/url&gt;&lt;/related-urls&gt;&lt;/urls&gt;&lt;custom2&gt;PMC2690184&lt;/custom2&gt;&lt;electronic-resource-num&gt;10.1111/j.0887-378X.2004.00325.x&lt;/electronic-resource-num&gt;&lt;remote-database-provider&gt;NLM&lt;/remote-database-provider&gt;&lt;language&gt;eng&lt;/language&gt;&lt;/record&gt;&lt;/Cite&gt;&lt;/EndNote&gt;</w:instrText>
      </w:r>
      <w:r>
        <w:fldChar w:fldCharType="separate"/>
      </w:r>
      <w:r w:rsidR="00DC0673">
        <w:rPr>
          <w:noProof/>
        </w:rPr>
        <w:t xml:space="preserve">Greenhalgh, T., Robert, G., Macfarlane, F., Bate, P., &amp; Kyriakidou, O. (2004). Diffusion of innovations in service organizations: systematic review and recommendations. </w:t>
      </w:r>
      <w:r w:rsidR="00DC0673" w:rsidRPr="00DC0673">
        <w:rPr>
          <w:i/>
          <w:noProof/>
        </w:rPr>
        <w:t>Milbank Q, 82</w:t>
      </w:r>
      <w:r w:rsidR="00DC0673">
        <w:rPr>
          <w:noProof/>
        </w:rPr>
        <w:t>(4), 581-629.</w:t>
      </w:r>
      <w:r>
        <w:fldChar w:fldCharType="end"/>
      </w:r>
    </w:p>
  </w:footnote>
  <w:footnote w:id="125">
    <w:p w14:paraId="0D1D80CB" w14:textId="446A2D4B" w:rsidR="00DE168D" w:rsidRDefault="00DE168D" w:rsidP="00DE168D">
      <w:pPr>
        <w:pStyle w:val="FootnoteText"/>
      </w:pPr>
      <w:r w:rsidRPr="009252C4">
        <w:rPr>
          <w:rStyle w:val="FootnoteReference"/>
          <w:color w:val="408BCA"/>
        </w:rPr>
        <w:footnoteRef/>
      </w:r>
      <w:r>
        <w:t xml:space="preserve"> </w:t>
      </w:r>
      <w:r>
        <w:fldChar w:fldCharType="begin"/>
      </w:r>
      <w:r w:rsidR="00DC0673">
        <w:instrText xml:space="preserve"> ADDIN EN.CITE &lt;EndNote&gt;&lt;Cite&gt;&lt;Author&gt;Greenhalgh&lt;/Author&gt;&lt;Year&gt;2004&lt;/Year&gt;&lt;RecNum&gt;10810&lt;/RecNum&gt;&lt;DisplayText&gt;Ibid.&lt;/DisplayText&gt;&lt;record&gt;&lt;rec-number&gt;10810&lt;/rec-number&gt;&lt;foreign-keys&gt;&lt;key app="EN" db-id="0zf0e9xwqetx57ep9ee5p9skx9zpfpswrx20" timestamp="1627713484" guid="54793a56-a52a-488b-9a56-70294d6bf9b5"&gt;10810&lt;/key&gt;&lt;/foreign-keys&gt;&lt;ref-type name="Journal Article"&gt;17&lt;/ref-type&gt;&lt;contributors&gt;&lt;authors&gt;&lt;author&gt;Greenhalgh, T.&lt;/author&gt;&lt;author&gt;Robert, G.&lt;/author&gt;&lt;author&gt;Macfarlane, F.&lt;/author&gt;&lt;author&gt;Bate, P.&lt;/author&gt;&lt;author&gt;Kyriakidou, O.&lt;/author&gt;&lt;/authors&gt;&lt;/contributors&gt;&lt;auth-address&gt;University College London, Room 403, Holborn Union Building, Highgate Hill, London N19 5LW, UK. p.greenhalgh@pcps.ucl.ac.uk&lt;/auth-address&gt;&lt;titles&gt;&lt;title&gt;Diffusion of innovations in service organizations: systematic review and recommendations&lt;/title&gt;&lt;secondary-title&gt;Milbank Q&lt;/secondary-title&gt;&lt;/titles&gt;&lt;periodical&gt;&lt;full-title&gt;Milbank Q&lt;/full-title&gt;&lt;/periodical&gt;&lt;pages&gt;581-629&lt;/pages&gt;&lt;volume&gt;82&lt;/volume&gt;&lt;number&gt;4&lt;/number&gt;&lt;edition&gt;2004/12/15&lt;/edition&gt;&lt;keywords&gt;&lt;keyword&gt;*Diffusion of Innovation&lt;/keyword&gt;&lt;keyword&gt;Evidence-Based Medicine&lt;/keyword&gt;&lt;keyword&gt;*Health Facility Administration&lt;/keyword&gt;&lt;keyword&gt;Models, Organizational&lt;/keyword&gt;&lt;keyword&gt;State Medicine&lt;/keyword&gt;&lt;keyword&gt;United Kingdom&lt;/keyword&gt;&lt;/keywords&gt;&lt;dates&gt;&lt;year&gt;2004&lt;/year&gt;&lt;/dates&gt;&lt;isbn&gt;0887-378X (Print)&amp;#xD;0887-378x&lt;/isbn&gt;&lt;accession-num&gt;15595944&lt;/accession-num&gt;&lt;urls&gt;&lt;related-urls&gt;&lt;url&gt;https://www.ncbi.nlm.nih.gov/pmc/articles/PMC2690184/pdf/milq0082-0581.pdf&lt;/url&gt;&lt;/related-urls&gt;&lt;/urls&gt;&lt;custom2&gt;PMC2690184&lt;/custom2&gt;&lt;electronic-resource-num&gt;10.1111/j.0887-378X.2004.00325.x&lt;/electronic-resource-num&gt;&lt;remote-database-provider&gt;NLM&lt;/remote-database-provider&gt;&lt;language&gt;eng&lt;/language&gt;&lt;/record&gt;&lt;/Cite&gt;&lt;/EndNote&gt;</w:instrText>
      </w:r>
      <w:r>
        <w:fldChar w:fldCharType="separate"/>
      </w:r>
      <w:r>
        <w:rPr>
          <w:noProof/>
        </w:rPr>
        <w:t>Ibid.</w:t>
      </w:r>
      <w:r>
        <w:fldChar w:fldCharType="end"/>
      </w:r>
    </w:p>
  </w:footnote>
  <w:footnote w:id="126">
    <w:p w14:paraId="3FE2A9C9" w14:textId="444B3E08" w:rsidR="00DE168D" w:rsidRDefault="00DE168D" w:rsidP="00DE168D">
      <w:pPr>
        <w:pStyle w:val="FootnoteText"/>
      </w:pPr>
      <w:r w:rsidRPr="009252C4">
        <w:rPr>
          <w:rStyle w:val="FootnoteReference"/>
          <w:color w:val="408BCA"/>
        </w:rPr>
        <w:footnoteRef/>
      </w:r>
      <w:r>
        <w:t xml:space="preserve"> </w:t>
      </w:r>
      <w:r>
        <w:fldChar w:fldCharType="begin">
          <w:fldData xml:space="preserve">PEVuZE5vdGU+PENpdGU+PEF1dGhvcj5HdXN0YWZzb248L0F1dGhvcj48WWVhcj4yMDAzPC9ZZWFy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</w:fldData>
        </w:fldChar>
      </w:r>
      <w:r w:rsidR="00081D00">
        <w:instrText xml:space="preserve"> ADDIN EN.CITE </w:instrText>
      </w:r>
      <w:r w:rsidR="00081D00">
        <w:fldChar w:fldCharType="begin">
          <w:fldData xml:space="preserve">PEVuZE5vdGU+PENpdGU+PEF1dGhvcj5HdXN0YWZzb248L0F1dGhvcj48WWVhcj4yMDAzPC9ZZWFy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</w:fldData>
        </w:fldChar>
      </w:r>
      <w:r w:rsidR="00081D00">
        <w:instrText xml:space="preserve"> ADDIN EN.CITE.DATA </w:instrText>
      </w:r>
      <w:r w:rsidR="00081D00">
        <w:fldChar w:fldCharType="end"/>
      </w:r>
      <w:r>
        <w:fldChar w:fldCharType="separate"/>
      </w:r>
      <w:r w:rsidR="00081D00">
        <w:rPr>
          <w:noProof/>
        </w:rPr>
        <w:t xml:space="preserve">Gustafson, D. H., Sainfort, F., Eichler, M., Adams, L., Bisognano, M., &amp; Steudel, H. (2003). Developing and testing a model to predict outcomes of organizational change. </w:t>
      </w:r>
      <w:r w:rsidR="00081D00" w:rsidRPr="00081D00">
        <w:rPr>
          <w:i/>
          <w:noProof/>
        </w:rPr>
        <w:t>Health Serv Res, 38</w:t>
      </w:r>
      <w:r w:rsidR="00081D00">
        <w:rPr>
          <w:noProof/>
        </w:rPr>
        <w:t>(2), 751-776.</w:t>
      </w:r>
      <w:r>
        <w:fldChar w:fldCharType="end"/>
      </w:r>
    </w:p>
  </w:footnote>
  <w:footnote w:id="127">
    <w:p w14:paraId="75986D24" w14:textId="27F07308" w:rsidR="00DE168D" w:rsidRDefault="00DE168D" w:rsidP="00DE168D">
      <w:pPr>
        <w:pStyle w:val="FootnoteText"/>
      </w:pPr>
      <w:r w:rsidRPr="009252C4">
        <w:rPr>
          <w:rStyle w:val="FootnoteReference"/>
          <w:color w:val="408BCA"/>
        </w:rPr>
        <w:footnoteRef/>
      </w:r>
      <w:r>
        <w:t xml:space="preserve"> </w:t>
      </w:r>
      <w:r>
        <w:fldChar w:fldCharType="begin">
          <w:fldData xml:space="preserve">PEVuZE5vdGU+PENpdGU+PEF1dGhvcj5Hcm9sPC9BdXRob3I+PFllYXI+MjAwNzwvWWVhcj48UmVj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</w:fldData>
        </w:fldChar>
      </w:r>
      <w:r w:rsidR="00081D00">
        <w:instrText xml:space="preserve"> ADDIN EN.CITE </w:instrText>
      </w:r>
      <w:r w:rsidR="00081D00">
        <w:fldChar w:fldCharType="begin">
          <w:fldData xml:space="preserve">PEVuZE5vdGU+PENpdGU+PEF1dGhvcj5Hcm9sPC9BdXRob3I+PFllYXI+MjAwNzwvWWVhcj48UmVj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</w:fldData>
        </w:fldChar>
      </w:r>
      <w:r w:rsidR="00081D00">
        <w:instrText xml:space="preserve"> ADDIN EN.CITE.DATA </w:instrText>
      </w:r>
      <w:r w:rsidR="00081D00">
        <w:fldChar w:fldCharType="end"/>
      </w:r>
      <w:r>
        <w:fldChar w:fldCharType="separate"/>
      </w:r>
      <w:r w:rsidR="00081D00">
        <w:rPr>
          <w:noProof/>
        </w:rPr>
        <w:t xml:space="preserve">Grol, R. P., Bosch, M. C., Hulscher, M. E., Eccles, M. P., &amp; Wensing, M. (2007). Planning and studying improvement in patient care: the use of theoretical perspectives. </w:t>
      </w:r>
      <w:r w:rsidR="00081D00" w:rsidRPr="00081D00">
        <w:rPr>
          <w:i/>
          <w:noProof/>
        </w:rPr>
        <w:t>Milbank Q, 85</w:t>
      </w:r>
      <w:r w:rsidR="00081D00">
        <w:rPr>
          <w:noProof/>
        </w:rPr>
        <w:t>(1), 93-138.</w:t>
      </w:r>
      <w:r>
        <w:fldChar w:fldCharType="end"/>
      </w:r>
    </w:p>
  </w:footnote>
  <w:footnote w:id="128">
    <w:p w14:paraId="739FF835" w14:textId="621A39FA" w:rsidR="00DE168D" w:rsidRDefault="00DE168D" w:rsidP="00DE168D">
      <w:pPr>
        <w:pStyle w:val="FootnoteText"/>
      </w:pPr>
      <w:r w:rsidRPr="009252C4">
        <w:rPr>
          <w:rStyle w:val="FootnoteReference"/>
          <w:color w:val="408BCA"/>
        </w:rPr>
        <w:footnoteRef/>
      </w:r>
      <w:r>
        <w:t xml:space="preserve"> </w:t>
      </w:r>
      <w:r>
        <w:fldChar w:fldCharType="begin"/>
      </w:r>
      <w:r w:rsidR="00DC0673">
        <w:instrText xml:space="preserve"> ADDIN EN.CITE &lt;EndNote&gt;&lt;Cite&gt;&lt;Author&gt;Greenhalgh&lt;/Author&gt;&lt;Year&gt;2004&lt;/Year&gt;&lt;RecNum&gt;10810&lt;/RecNum&gt;&lt;DisplayText&gt;Greenhalgh, T., Robert, G., Macfarlane, F., Bate, P., &amp;amp; Kyriakidou, O. (2004). Diffusion of innovations in service organizations: systematic review and recommendations. Ibid.&lt;style face="italic"&gt;, 82&lt;/style&gt;(4), 581-629.&lt;/DisplayText&gt;&lt;record&gt;&lt;rec-number&gt;10810&lt;/rec-number&gt;&lt;foreign-keys&gt;&lt;key app="EN" db-id="0zf0e9xwqetx57ep9ee5p9skx9zpfpswrx20" timestamp="1627713484" guid="54793a56-a52a-488b-9a56-70294d6bf9b5"&gt;10810&lt;/key&gt;&lt;/foreign-keys&gt;&lt;ref-type name="Journal Article"&gt;17&lt;/ref-type&gt;&lt;contributors&gt;&lt;authors&gt;&lt;author&gt;Greenhalgh, T.&lt;/author&gt;&lt;author&gt;Robert, G.&lt;/author&gt;&lt;author&gt;Macfarlane, F.&lt;/author&gt;&lt;author&gt;Bate, P.&lt;/author&gt;&lt;author&gt;Kyriakidou, O.&lt;/author&gt;&lt;/authors&gt;&lt;/contributors&gt;&lt;auth-address&gt;University College London, Room 403, Holborn Union Building, Highgate Hill, London N19 5LW, UK. p.greenhalgh@pcps.ucl.ac.uk&lt;/auth-address&gt;&lt;titles&gt;&lt;title&gt;Diffusion of innovations in service organizations: systematic review and recommendations&lt;/title&gt;&lt;secondary-title&gt;Milbank Q&lt;/secondary-title&gt;&lt;/titles&gt;&lt;periodical&gt;&lt;full-title&gt;Milbank Q&lt;/full-title&gt;&lt;/periodical&gt;&lt;pages&gt;581-629&lt;/pages&gt;&lt;volume&gt;82&lt;/volume&gt;&lt;number&gt;4&lt;/number&gt;&lt;edition&gt;2004/12/15&lt;/edition&gt;&lt;keywords&gt;&lt;keyword&gt;*Diffusion of Innovation&lt;/keyword&gt;&lt;keyword&gt;Evidence-Based Medicine&lt;/keyword&gt;&lt;keyword&gt;*Health Facility Administration&lt;/keyword&gt;&lt;keyword&gt;Models, Organizational&lt;/keyword&gt;&lt;keyword&gt;State Medicine&lt;/keyword&gt;&lt;keyword&gt;United Kingdom&lt;/keyword&gt;&lt;/keywords&gt;&lt;dates&gt;&lt;year&gt;2004&lt;/year&gt;&lt;/dates&gt;&lt;isbn&gt;0887-378X (Print)&amp;#xD;0887-378x&lt;/isbn&gt;&lt;accession-num&gt;15595944&lt;/accession-num&gt;&lt;urls&gt;&lt;related-urls&gt;&lt;url&gt;https://www.ncbi.nlm.nih.gov/pmc/articles/PMC2690184/pdf/milq0082-0581.pdf&lt;/url&gt;&lt;/related-urls&gt;&lt;/urls&gt;&lt;custom2&gt;PMC2690184&lt;/custom2&gt;&lt;electronic-resource-num&gt;10.1111/j.0887-378X.2004.00325.x&lt;/electronic-resource-num&gt;&lt;remote-database-provider&gt;NLM&lt;/remote-database-provider&gt;&lt;language&gt;eng&lt;/language&gt;&lt;/record&gt;&lt;/Cite&gt;&lt;/EndNote&gt;</w:instrText>
      </w:r>
      <w:r>
        <w:fldChar w:fldCharType="separate"/>
      </w:r>
      <w:r w:rsidR="00DC0673">
        <w:rPr>
          <w:noProof/>
        </w:rPr>
        <w:t>Greenhalgh, T., Robert, G., Macfarlane, F., Bate, P., &amp; Kyriakidou, O. (2004). Diffusion of innovations in service organizations: systematic review and recommendations. Ibid.</w:t>
      </w:r>
      <w:r w:rsidR="00DC0673" w:rsidRPr="00DC0673">
        <w:rPr>
          <w:i/>
          <w:noProof/>
        </w:rPr>
        <w:t>, 82</w:t>
      </w:r>
      <w:r w:rsidR="00DC0673">
        <w:rPr>
          <w:noProof/>
        </w:rPr>
        <w:t>(4), 581-629.</w:t>
      </w:r>
      <w:r>
        <w:fldChar w:fldCharType="end"/>
      </w:r>
    </w:p>
  </w:footnote>
  <w:footnote w:id="129">
    <w:p w14:paraId="5B020C74" w14:textId="45B551F2" w:rsidR="00DE168D" w:rsidRDefault="00DE168D" w:rsidP="00DE168D">
      <w:pPr>
        <w:pStyle w:val="FootnoteText"/>
      </w:pPr>
      <w:r w:rsidRPr="009252C4">
        <w:rPr>
          <w:rStyle w:val="FootnoteReference"/>
          <w:color w:val="408BCA"/>
        </w:rPr>
        <w:footnoteRef/>
      </w:r>
      <w:r>
        <w:t xml:space="preserve"> </w:t>
      </w:r>
      <w:r>
        <w:fldChar w:fldCharType="begin">
          <w:fldData xml:space="preserve">PEVuZE5vdGU+PENpdGU+PEF1dGhvcj5XYWxzdG9uPC9BdXRob3I+PFllYXI+MjAwMTwvWWVhcj48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</w:fldData>
        </w:fldChar>
      </w:r>
      <w:r w:rsidR="00081D00">
        <w:instrText xml:space="preserve"> ADDIN EN.CITE </w:instrText>
      </w:r>
      <w:r w:rsidR="00081D00">
        <w:fldChar w:fldCharType="begin">
          <w:fldData xml:space="preserve">PEVuZE5vdGU+PENpdGU+PEF1dGhvcj5XYWxzdG9uPC9BdXRob3I+PFllYXI+MjAwMTwvWWVhcj48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</w:fldData>
        </w:fldChar>
      </w:r>
      <w:r w:rsidR="00081D00">
        <w:instrText xml:space="preserve"> ADDIN EN.CITE.DATA </w:instrText>
      </w:r>
      <w:r w:rsidR="00081D00">
        <w:fldChar w:fldCharType="end"/>
      </w:r>
      <w:r>
        <w:fldChar w:fldCharType="separate"/>
      </w:r>
      <w:r w:rsidR="00081D00">
        <w:rPr>
          <w:noProof/>
        </w:rPr>
        <w:t xml:space="preserve">Walston, S. L., Kimberly, J. R., &amp; Burns, L. R. (2001). Institutional and economic influences on the adoption and extensiveness of managerial innovation in hospitals: The case of reengineering. </w:t>
      </w:r>
      <w:r w:rsidR="00081D00" w:rsidRPr="00081D00">
        <w:rPr>
          <w:i/>
          <w:noProof/>
        </w:rPr>
        <w:t>Med Care Res Rev, 58</w:t>
      </w:r>
      <w:r w:rsidR="00081D00">
        <w:rPr>
          <w:noProof/>
        </w:rPr>
        <w:t>(2), 194-228; discussion 229-133.</w:t>
      </w:r>
      <w:r>
        <w:fldChar w:fldCharType="end"/>
      </w:r>
    </w:p>
  </w:footnote>
  <w:footnote w:id="130">
    <w:p w14:paraId="78A49A13" w14:textId="7F3B784E" w:rsidR="00DE168D" w:rsidRDefault="00DE168D" w:rsidP="00DE168D">
      <w:pPr>
        <w:pStyle w:val="FootnoteText"/>
      </w:pPr>
      <w:r w:rsidRPr="00AC0E4C">
        <w:rPr>
          <w:rStyle w:val="FootnoteReference"/>
          <w:color w:val="408BCA"/>
        </w:rPr>
        <w:footnoteRef/>
      </w:r>
      <w:r>
        <w:t xml:space="preserve"> </w:t>
      </w:r>
      <w:r>
        <w:fldChar w:fldCharType="begin"/>
      </w:r>
      <w:r w:rsidR="00DC0673">
        <w:instrText xml:space="preserve"> ADDIN EN.CITE &lt;EndNote&gt;&lt;Cite&gt;&lt;Author&gt;Kimberly&lt;/Author&gt;&lt;Year&gt;1981&lt;/Year&gt;&lt;RecNum&gt;10968&lt;/RecNum&gt;&lt;DisplayText&gt;Kimberly, J. R., &amp;amp; Evanisko, M. J. (1981). Organizational Innovation: The Influence of Individual, Organizational, and Contextual Factors on Hospital Adoption of Technological and Administrative Innovations. &lt;style face="italic"&gt;The Academy of Management Journal, 24&lt;/style&gt;(4), 689-713.&lt;/DisplayText&gt;&lt;record&gt;&lt;rec-number&gt;10968&lt;/rec-number&gt;&lt;foreign-keys&gt;&lt;key app="EN" db-id="0zf0e9xwqetx57ep9ee5p9skx9zpfpswrx20" timestamp="1646204095" guid="c1696930-360b-4b95-b5e6-907c47b99be0"&gt;10968&lt;/key&gt;&lt;/foreign-keys&gt;&lt;ref-type name="Journal Article"&gt;17&lt;/ref-type&gt;&lt;contributors&gt;&lt;authors&gt;&lt;author&gt;Kimberly, John R.&lt;/author&gt;&lt;author&gt;Evanisko, Michael J.&lt;/author&gt;&lt;/authors&gt;&lt;/contributors&gt;&lt;titles&gt;&lt;title&gt;Organizational Innovation: The Influence of Individual, Organizational, and Contextual Factors on Hospital Adoption of Technological and Administrative Innovations&lt;/title&gt;&lt;secondary-title&gt;The Academy of Management Journal&lt;/secondary-title&gt;&lt;/titles&gt;&lt;periodical&gt;&lt;full-title&gt;The Academy of Management Journal&lt;/full-title&gt;&lt;/periodical&gt;&lt;pages&gt;689-713&lt;/pages&gt;&lt;volume&gt;24&lt;/volume&gt;&lt;number&gt;4&lt;/number&gt;&lt;dates&gt;&lt;year&gt;1981&lt;/year&gt;&lt;/dates&gt;&lt;publisher&gt;Academy of Management&lt;/publisher&gt;&lt;isbn&gt;00014273&lt;/isbn&gt;&lt;urls&gt;&lt;related-urls&gt;&lt;url&gt;http://www.jstor.org/stable/256170&lt;/url&gt;&lt;/related-urls&gt;&lt;/urls&gt;&lt;custom1&gt;Full publication date: Dec., 1981&lt;/custom1&gt;&lt;electronic-resource-num&gt;10.2307/256170&lt;/electronic-resource-num&gt;&lt;remote-database-name&gt;JSTOR&lt;/remote-database-name&gt;&lt;access-date&gt;2022/03/02/&lt;/access-date&gt;&lt;/record&gt;&lt;/Cite&gt;&lt;/EndNote&gt;</w:instrText>
      </w:r>
      <w:r>
        <w:fldChar w:fldCharType="separate"/>
      </w:r>
      <w:r w:rsidR="00DC0673">
        <w:rPr>
          <w:noProof/>
        </w:rPr>
        <w:t xml:space="preserve">Kimberly, J. R., &amp; Evanisko, M. J. (1981). Organizational Innovation: The Influence of Individual, Organizational, and Contextual Factors on Hospital Adoption of Technological and Administrative Innovations. </w:t>
      </w:r>
      <w:r w:rsidR="00DC0673" w:rsidRPr="00DC0673">
        <w:rPr>
          <w:i/>
          <w:noProof/>
        </w:rPr>
        <w:t>The Academy of Management Journal, 24</w:t>
      </w:r>
      <w:r w:rsidR="00DC0673">
        <w:rPr>
          <w:noProof/>
        </w:rPr>
        <w:t>(4), 689-713.</w:t>
      </w:r>
      <w:r>
        <w:fldChar w:fldCharType="end"/>
      </w:r>
    </w:p>
  </w:footnote>
  <w:footnote w:id="131">
    <w:p w14:paraId="5DB7C63C" w14:textId="2BCCEA7A" w:rsidR="00DE168D" w:rsidRDefault="00DE168D" w:rsidP="00DE168D">
      <w:pPr>
        <w:pStyle w:val="FootnoteText"/>
      </w:pPr>
      <w:r w:rsidRPr="00AC0E4C">
        <w:rPr>
          <w:rStyle w:val="FootnoteReference"/>
          <w:color w:val="408BCA"/>
        </w:rPr>
        <w:footnoteRef/>
      </w:r>
      <w:r>
        <w:t xml:space="preserve"> </w:t>
      </w:r>
      <w:r>
        <w:fldChar w:fldCharType="begin"/>
      </w:r>
      <w:r w:rsidR="00DC0673">
        <w:instrText xml:space="preserve"> ADDIN EN.CITE &lt;EndNote&gt;&lt;Cite&gt;&lt;Author&gt;Greenhalgh&lt;/Author&gt;&lt;Year&gt;2004&lt;/Year&gt;&lt;RecNum&gt;10810&lt;/RecNum&gt;&lt;DisplayText&gt;Greenhalgh, T., Robert, G., Macfarlane, F., Bate, P., &amp;amp; Kyriakidou, O. (2004). Diffusion of innovations in service organizations: systematic review and recommendations. &lt;style face="italic"&gt;Milbank Q, 82&lt;/style&gt;(4), 581-629.&lt;/DisplayText&gt;&lt;record&gt;&lt;rec-number&gt;10810&lt;/rec-number&gt;&lt;foreign-keys&gt;&lt;key app="EN" db-id="0zf0e9xwqetx57ep9ee5p9skx9zpfpswrx20" timestamp="1627713484" guid="54793a56-a52a-488b-9a56-70294d6bf9b5"&gt;10810&lt;/key&gt;&lt;/foreign-keys&gt;&lt;ref-type name="Journal Article"&gt;17&lt;/ref-type&gt;&lt;contributors&gt;&lt;authors&gt;&lt;author&gt;Greenhalgh, T.&lt;/author&gt;&lt;author&gt;Robert, G.&lt;/author&gt;&lt;author&gt;Macfarlane, F.&lt;/author&gt;&lt;author&gt;Bate, P.&lt;/author&gt;&lt;author&gt;Kyriakidou, O.&lt;/author&gt;&lt;/authors&gt;&lt;/contributors&gt;&lt;auth-address&gt;University College London, Room 403, Holborn Union Building, Highgate Hill, London N19 5LW, UK. p.greenhalgh@pcps.ucl.ac.uk&lt;/auth-address&gt;&lt;titles&gt;&lt;title&gt;Diffusion of innovations in service organizations: systematic review and recommendations&lt;/title&gt;&lt;secondary-title&gt;Milbank Q&lt;/secondary-title&gt;&lt;/titles&gt;&lt;periodical&gt;&lt;full-title&gt;Milbank Q&lt;/full-title&gt;&lt;/periodical&gt;&lt;pages&gt;581-629&lt;/pages&gt;&lt;volume&gt;82&lt;/volume&gt;&lt;number&gt;4&lt;/number&gt;&lt;edition&gt;2004/12/15&lt;/edition&gt;&lt;keywords&gt;&lt;keyword&gt;*Diffusion of Innovation&lt;/keyword&gt;&lt;keyword&gt;Evidence-Based Medicine&lt;/keyword&gt;&lt;keyword&gt;*Health Facility Administration&lt;/keyword&gt;&lt;keyword&gt;Models, Organizational&lt;/keyword&gt;&lt;keyword&gt;State Medicine&lt;/keyword&gt;&lt;keyword&gt;United Kingdom&lt;/keyword&gt;&lt;/keywords&gt;&lt;dates&gt;&lt;year&gt;2004&lt;/year&gt;&lt;/dates&gt;&lt;isbn&gt;0887-378X (Print)&amp;#xD;0887-378x&lt;/isbn&gt;&lt;accession-num&gt;15595944&lt;/accession-num&gt;&lt;urls&gt;&lt;related-urls&gt;&lt;url&gt;https://www.ncbi.nlm.nih.gov/pmc/articles/PMC2690184/pdf/milq0082-0581.pdf&lt;/url&gt;&lt;/related-urls&gt;&lt;/urls&gt;&lt;custom2&gt;PMC2690184&lt;/custom2&gt;&lt;electronic-resource-num&gt;10.1111/j.0887-378X.2004.00325.x&lt;/electronic-resource-num&gt;&lt;remote-database-provider&gt;NLM&lt;/remote-database-provider&gt;&lt;language&gt;eng&lt;/language&gt;&lt;/record&gt;&lt;/Cite&gt;&lt;/EndNote&gt;</w:instrText>
      </w:r>
      <w:r>
        <w:fldChar w:fldCharType="separate"/>
      </w:r>
      <w:r w:rsidR="00DC0673">
        <w:rPr>
          <w:noProof/>
        </w:rPr>
        <w:t xml:space="preserve">Greenhalgh, T., Robert, G., Macfarlane, F., Bate, P., &amp; Kyriakidou, O. (2004). Diffusion of innovations in service organizations: systematic review and recommendations. </w:t>
      </w:r>
      <w:r w:rsidR="00DC0673" w:rsidRPr="00DC0673">
        <w:rPr>
          <w:i/>
          <w:noProof/>
        </w:rPr>
        <w:t>Milbank Q, 82</w:t>
      </w:r>
      <w:r w:rsidR="00DC0673">
        <w:rPr>
          <w:noProof/>
        </w:rPr>
        <w:t>(4), 581-629.</w:t>
      </w:r>
      <w:r>
        <w:fldChar w:fldCharType="end"/>
      </w:r>
    </w:p>
  </w:footnote>
  <w:footnote w:id="132">
    <w:p w14:paraId="6E3CC509" w14:textId="1FDC3A69" w:rsidR="00DE168D" w:rsidRDefault="00DE168D" w:rsidP="00DE168D">
      <w:pPr>
        <w:pStyle w:val="FootnoteText"/>
      </w:pPr>
      <w:r w:rsidRPr="00AC0E4C">
        <w:rPr>
          <w:rStyle w:val="FootnoteReference"/>
          <w:color w:val="408BCA"/>
        </w:rPr>
        <w:footnoteRef/>
      </w:r>
      <w:r>
        <w:t xml:space="preserve"> </w:t>
      </w:r>
      <w:r>
        <w:fldChar w:fldCharType="begin"/>
      </w:r>
      <w:r w:rsidR="00DC0673">
        <w:instrText xml:space="preserve"> ADDIN EN.CITE &lt;EndNote&gt;&lt;Cite&gt;&lt;Author&gt;Damanpour&lt;/Author&gt;&lt;Year&gt;1991&lt;/Year&gt;&lt;RecNum&gt;10967&lt;/RecNum&gt;&lt;DisplayText&gt;Damanpour, F. (1991). Organizational Innovation: A Meta-Analysis of Effects of Determinants and Moderators. &lt;style face="italic"&gt;The Academy of Management Journal, 34&lt;/style&gt;(3), 555-590.&lt;/DisplayText&gt;&lt;record&gt;&lt;rec-number&gt;10967&lt;/rec-number&gt;&lt;foreign-keys&gt;&lt;key app="EN" db-id="0zf0e9xwqetx57ep9ee5p9skx9zpfpswrx20" timestamp="1646203727" guid="7db4107e-1da0-4075-b2ef-b3aa8bee1ccc"&gt;10967&lt;/key&gt;&lt;/foreign-keys&gt;&lt;ref-type name="Journal Article"&gt;17&lt;/ref-type&gt;&lt;contributors&gt;&lt;authors&gt;&lt;author&gt;Damanpour, Fariborz&lt;/author&gt;&lt;/authors&gt;&lt;/contributors&gt;&lt;titles&gt;&lt;title&gt;Organizational Innovation: A Meta-Analysis of Effects of Determinants and Moderators&lt;/title&gt;&lt;secondary-title&gt;The Academy of Management Journal&lt;/secondary-title&gt;&lt;/titles&gt;&lt;periodical&gt;&lt;full-title&gt;The Academy of Management Journal&lt;/full-title&gt;&lt;/periodical&gt;&lt;pages&gt;555-590&lt;/pages&gt;&lt;volume&gt;34&lt;/volume&gt;&lt;number&gt;3&lt;/number&gt;&lt;dates&gt;&lt;year&gt;1991&lt;/year&gt;&lt;/dates&gt;&lt;publisher&gt;Academy of Management&lt;/publisher&gt;&lt;isbn&gt;00014273&lt;/isbn&gt;&lt;urls&gt;&lt;related-urls&gt;&lt;url&gt;http://www.jstor.org/stable/256406&lt;/url&gt;&lt;/related-urls&gt;&lt;/urls&gt;&lt;custom1&gt;Full publication date: Sep., 1991&lt;/custom1&gt;&lt;electronic-resource-num&gt;10.2307/256406&lt;/electronic-resource-num&gt;&lt;remote-database-name&gt;JSTOR&lt;/remote-database-name&gt;&lt;access-date&gt;2022/03/02/&lt;/access-date&gt;&lt;/record&gt;&lt;/Cite&gt;&lt;/EndNote&gt;</w:instrText>
      </w:r>
      <w:r>
        <w:fldChar w:fldCharType="separate"/>
      </w:r>
      <w:r w:rsidR="00DC0673">
        <w:rPr>
          <w:noProof/>
        </w:rPr>
        <w:t xml:space="preserve">Damanpour, F. (1991). Organizational Innovation: A Meta-Analysis of Effects of Determinants and Moderators. </w:t>
      </w:r>
      <w:r w:rsidR="00DC0673" w:rsidRPr="00DC0673">
        <w:rPr>
          <w:i/>
          <w:noProof/>
        </w:rPr>
        <w:t>The Academy of Management Journal, 34</w:t>
      </w:r>
      <w:r w:rsidR="00DC0673">
        <w:rPr>
          <w:noProof/>
        </w:rPr>
        <w:t>(3), 555-590.</w:t>
      </w:r>
      <w:r>
        <w:fldChar w:fldCharType="end"/>
      </w:r>
    </w:p>
  </w:footnote>
  <w:footnote w:id="133">
    <w:p w14:paraId="7FD21022" w14:textId="31309788" w:rsidR="003D1B77" w:rsidRDefault="003D1B77">
      <w:pPr>
        <w:pStyle w:val="FootnoteText"/>
      </w:pPr>
      <w:r w:rsidRPr="0094777C">
        <w:rPr>
          <w:rStyle w:val="FootnoteReference"/>
          <w:color w:val="408BCA"/>
        </w:rPr>
        <w:footnoteRef/>
      </w:r>
      <w:r>
        <w:t xml:space="preserve"> </w:t>
      </w:r>
      <w:r w:rsidR="00AB5AF6">
        <w:fldChar w:fldCharType="begin">
          <w:fldData xml:space="preserve">PEVuZE5vdGU+PENpdGU+PEF1dGhvcj5GaWZpZWxkPC9BdXRob3I+PFllYXI+MjAxMzwvWWVhcj48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==
</w:fldData>
        </w:fldChar>
      </w:r>
      <w:r w:rsidR="00081D00">
        <w:instrText xml:space="preserve"> ADDIN EN.CITE </w:instrText>
      </w:r>
      <w:r w:rsidR="00081D00">
        <w:fldChar w:fldCharType="begin">
          <w:fldData xml:space="preserve">PEVuZE5vdGU+PENpdGU+PEF1dGhvcj5GaWZpZWxkPC9BdXRob3I+PFllYXI+MjAxMzwvWWVhcj48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==
</w:fldData>
        </w:fldChar>
      </w:r>
      <w:r w:rsidR="00081D00">
        <w:instrText xml:space="preserve"> ADDIN EN.CITE.DATA </w:instrText>
      </w:r>
      <w:r w:rsidR="00081D00">
        <w:fldChar w:fldCharType="end"/>
      </w:r>
      <w:r w:rsidR="00AB5AF6">
        <w:fldChar w:fldCharType="separate"/>
      </w:r>
      <w:r w:rsidR="00081D00">
        <w:rPr>
          <w:noProof/>
        </w:rPr>
        <w:t xml:space="preserve">Fifield, J., Forrest, D. D., Martin-Peele, M., Burleson, J. A., Goyzueta, J., Fujimoto, M., &amp; Gillespie, W. (2013). A randomized, controlled trial of implementing the patient-centered medical home model in solo and small practices. </w:t>
      </w:r>
      <w:r w:rsidR="00081D00" w:rsidRPr="00081D00">
        <w:rPr>
          <w:i/>
          <w:noProof/>
        </w:rPr>
        <w:t>J Gen Intern Med, 28</w:t>
      </w:r>
      <w:r w:rsidR="00081D00">
        <w:rPr>
          <w:noProof/>
        </w:rPr>
        <w:t>(6), 770-777.</w:t>
      </w:r>
      <w:r w:rsidR="00AB5AF6">
        <w:fldChar w:fldCharType="end"/>
      </w:r>
    </w:p>
  </w:footnote>
  <w:footnote w:id="134">
    <w:p w14:paraId="2C5FD0EC" w14:textId="39A4FF56" w:rsidR="00DE168D" w:rsidRDefault="00DE168D" w:rsidP="00DE168D">
      <w:pPr>
        <w:pStyle w:val="FootnoteText"/>
      </w:pPr>
      <w:r w:rsidRPr="005C2536">
        <w:rPr>
          <w:rStyle w:val="FootnoteReference"/>
          <w:color w:val="408BCA"/>
        </w:rPr>
        <w:footnoteRef/>
      </w:r>
      <w:r>
        <w:t xml:space="preserve"> </w:t>
      </w:r>
      <w:r>
        <w:fldChar w:fldCharType="begin">
          <w:fldData xml:space="preserve">PEVuZE5vdGU+PENpdGU+PEF1dGhvcj5Hb2xkYmVyZzwvQXV0aG9yPjxZZWFyPjIwMTM8L1llYXI+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</w:fldData>
        </w:fldChar>
      </w:r>
      <w:r w:rsidR="00081D00">
        <w:instrText xml:space="preserve"> ADDIN EN.CITE </w:instrText>
      </w:r>
      <w:r w:rsidR="00081D00">
        <w:fldChar w:fldCharType="begin">
          <w:fldData xml:space="preserve">PEVuZE5vdGU+PENpdGU+PEF1dGhvcj5Hb2xkYmVyZzwvQXV0aG9yPjxZZWFyPjIwMTM8L1llYXI+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</w:fldData>
        </w:fldChar>
      </w:r>
      <w:r w:rsidR="00081D00">
        <w:instrText xml:space="preserve"> ADDIN EN.CITE.DATA </w:instrText>
      </w:r>
      <w:r w:rsidR="00081D00">
        <w:fldChar w:fldCharType="end"/>
      </w:r>
      <w:r>
        <w:fldChar w:fldCharType="separate"/>
      </w:r>
      <w:r w:rsidR="00081D00">
        <w:rPr>
          <w:noProof/>
        </w:rPr>
        <w:t xml:space="preserve">Goldberg, D. G., Beeson, T., Kuzel, A. J., Love, L. E., &amp; Carver, M. C. (2013). Team-Based Care: A Critical Element of Primary Care Practice Transformation [Article]. </w:t>
      </w:r>
      <w:r w:rsidR="00081D00" w:rsidRPr="00081D00">
        <w:rPr>
          <w:i/>
          <w:noProof/>
        </w:rPr>
        <w:t>Population health management, 16</w:t>
      </w:r>
      <w:r w:rsidR="00081D00">
        <w:rPr>
          <w:noProof/>
        </w:rPr>
        <w:t>(3), 150-156.</w:t>
      </w:r>
      <w:r>
        <w:fldChar w:fldCharType="end"/>
      </w:r>
    </w:p>
  </w:footnote>
  <w:footnote w:id="135">
    <w:p w14:paraId="72DEC1E0" w14:textId="4561E925" w:rsidR="00DE168D" w:rsidRDefault="00DE168D" w:rsidP="00DE168D">
      <w:pPr>
        <w:pStyle w:val="FootnoteText"/>
      </w:pPr>
      <w:r w:rsidRPr="005C2536">
        <w:rPr>
          <w:rStyle w:val="FootnoteReference"/>
          <w:color w:val="408BCA"/>
        </w:rPr>
        <w:footnoteRef/>
      </w:r>
      <w:r>
        <w:t xml:space="preserve"> </w:t>
      </w:r>
      <w:r>
        <w:fldChar w:fldCharType="begin">
          <w:fldData xml:space="preserve">PEVuZE5vdGU+PENpdGU+PEF1dGhvcj5TdG91dDwvQXV0aG9yPjxZZWFyPjIwMTc8L1llYXI+PFJl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</w:fldData>
        </w:fldChar>
      </w:r>
      <w:r w:rsidR="00081D00">
        <w:instrText xml:space="preserve"> ADDIN EN.CITE </w:instrText>
      </w:r>
      <w:r w:rsidR="00081D00">
        <w:fldChar w:fldCharType="begin">
          <w:fldData xml:space="preserve">PEVuZE5vdGU+PENpdGU+PEF1dGhvcj5TdG91dDwvQXV0aG9yPjxZZWFyPjIwMTc8L1llYXI+PFJl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</w:fldData>
        </w:fldChar>
      </w:r>
      <w:r w:rsidR="00081D00">
        <w:instrText xml:space="preserve"> ADDIN EN.CITE.DATA </w:instrText>
      </w:r>
      <w:r w:rsidR="00081D00">
        <w:fldChar w:fldCharType="end"/>
      </w:r>
      <w:r>
        <w:fldChar w:fldCharType="separate"/>
      </w:r>
      <w:r w:rsidR="00081D00">
        <w:rPr>
          <w:noProof/>
        </w:rPr>
        <w:t xml:space="preserve">Stout, S., Zallman, L., Arsenault, L., Sayah, A., &amp; Hacker, K. (2017). Developing High-Functioning Teams: Factors Associated With Operating as a "Real Team" and Implications for Patient-Centered Medical Home Development. </w:t>
      </w:r>
      <w:r w:rsidR="00081D00" w:rsidRPr="00081D00">
        <w:rPr>
          <w:i/>
          <w:noProof/>
        </w:rPr>
        <w:t>Inquiry : a journal of medical care organization, provision and financing, 54</w:t>
      </w:r>
      <w:r w:rsidR="00081D00">
        <w:rPr>
          <w:noProof/>
        </w:rPr>
        <w:t>, 46958017707296.</w:t>
      </w:r>
      <w:r>
        <w:fldChar w:fldCharType="end"/>
      </w:r>
    </w:p>
  </w:footnote>
  <w:footnote w:id="136">
    <w:p w14:paraId="66C0ADE7" w14:textId="44094614" w:rsidR="00DE168D" w:rsidRDefault="00DE168D" w:rsidP="00DE168D">
      <w:pPr>
        <w:pStyle w:val="FootnoteText"/>
      </w:pPr>
      <w:r w:rsidRPr="005C2536">
        <w:rPr>
          <w:rStyle w:val="FootnoteReference"/>
          <w:color w:val="408BCA"/>
        </w:rPr>
        <w:footnoteRef/>
      </w:r>
      <w:r>
        <w:t xml:space="preserve"> </w:t>
      </w:r>
      <w:r>
        <w:fldChar w:fldCharType="begin">
          <w:fldData xml:space="preserve">PEVuZE5vdGU+PENpdGU+PEF1dGhvcj5NZXJlZGl0aDwvQXV0aG9yPjxZZWFyPjIwMTU8L1llYXI+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==
</w:fldData>
        </w:fldChar>
      </w:r>
      <w:r w:rsidR="00081D00">
        <w:instrText xml:space="preserve"> ADDIN EN.CITE </w:instrText>
      </w:r>
      <w:r w:rsidR="00081D00">
        <w:fldChar w:fldCharType="begin">
          <w:fldData xml:space="preserve">PEVuZE5vdGU+PENpdGU+PEF1dGhvcj5NZXJlZGl0aDwvQXV0aG9yPjxZZWFyPjIwMTU8L1llYXI+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==
</w:fldData>
        </w:fldChar>
      </w:r>
      <w:r w:rsidR="00081D00">
        <w:instrText xml:space="preserve"> ADDIN EN.CITE.DATA </w:instrText>
      </w:r>
      <w:r w:rsidR="00081D00">
        <w:fldChar w:fldCharType="end"/>
      </w:r>
      <w:r>
        <w:fldChar w:fldCharType="separate"/>
      </w:r>
      <w:r w:rsidR="00081D00">
        <w:rPr>
          <w:noProof/>
        </w:rPr>
        <w:t xml:space="preserve">Meredith, L. S., Hackbarth, N. S., Darling, J., Rodriguez, H. P., Stockdale, S. E., Cordasco, K. M., Yano, E. M., &amp; Rubenstein, L. V. (2015). Emotional Exhaustion in Primary Care During Early Implementation of the VA's Medical Home Transformation Patient-aligned Care Team (PACT) [Article]. </w:t>
      </w:r>
      <w:r w:rsidR="00081D00" w:rsidRPr="00081D00">
        <w:rPr>
          <w:i/>
          <w:noProof/>
        </w:rPr>
        <w:t>Medical care, 53</w:t>
      </w:r>
      <w:r w:rsidR="00081D00">
        <w:rPr>
          <w:noProof/>
        </w:rPr>
        <w:t>(3), 253-260.</w:t>
      </w:r>
      <w:r>
        <w:fldChar w:fldCharType="end"/>
      </w:r>
    </w:p>
  </w:footnote>
  <w:footnote w:id="137">
    <w:p w14:paraId="07F8E9CE" w14:textId="3B3034A9" w:rsidR="00DE168D" w:rsidRDefault="00DE168D" w:rsidP="00DE168D">
      <w:pPr>
        <w:pStyle w:val="FootnoteText"/>
      </w:pPr>
      <w:r w:rsidRPr="0005100F">
        <w:rPr>
          <w:rStyle w:val="FootnoteReference"/>
          <w:color w:val="408BCA"/>
        </w:rPr>
        <w:footnoteRef/>
      </w:r>
      <w:r w:rsidR="00C27EE9">
        <w:t xml:space="preserve"> </w:t>
      </w:r>
      <w:r w:rsidR="00C27EE9">
        <w:fldChar w:fldCharType="begin">
          <w:fldData xml:space="preserve">PEVuZE5vdGU+PENpdGU+PEF1dGhvcj5XYWduZXI8L0F1dGhvcj48WWVhcj4yMDE5PC9ZZWFyPjxS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</w:fldData>
        </w:fldChar>
      </w:r>
      <w:r w:rsidR="003F2909">
        <w:instrText xml:space="preserve"> ADDIN EN.CITE </w:instrText>
      </w:r>
      <w:r w:rsidR="003F2909">
        <w:fldChar w:fldCharType="begin">
          <w:fldData xml:space="preserve">PEVuZE5vdGU+PENpdGU+PEF1dGhvcj5XYWduZXI8L0F1dGhvcj48WWVhcj4yMDE5PC9ZZWFyPjxS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</w:fldData>
        </w:fldChar>
      </w:r>
      <w:r w:rsidR="003F2909">
        <w:instrText xml:space="preserve"> ADDIN EN.CITE.DATA </w:instrText>
      </w:r>
      <w:r w:rsidR="003F2909">
        <w:fldChar w:fldCharType="end"/>
      </w:r>
      <w:r w:rsidR="00C27EE9">
        <w:fldChar w:fldCharType="separate"/>
      </w:r>
      <w:r w:rsidR="003F2909">
        <w:rPr>
          <w:noProof/>
        </w:rPr>
        <w:t xml:space="preserve">Wagner, K. K., Austin, J., Toon, L., Barber, T., &amp; Green, L. A. (2019). Differences in Team Mental Models Associated With Medical Home Transformation Success. </w:t>
      </w:r>
      <w:r w:rsidR="003F2909" w:rsidRPr="003F2909">
        <w:rPr>
          <w:i/>
          <w:noProof/>
        </w:rPr>
        <w:t>Annals of family medicine, 17</w:t>
      </w:r>
      <w:r w:rsidR="003F2909">
        <w:rPr>
          <w:noProof/>
        </w:rPr>
        <w:t>(Suppl 1), S50-S56.</w:t>
      </w:r>
      <w:r w:rsidR="00C27EE9">
        <w:fldChar w:fldCharType="end"/>
      </w:r>
    </w:p>
  </w:footnote>
  <w:footnote w:id="138">
    <w:p w14:paraId="732E4672" w14:textId="54F41123" w:rsidR="00DE168D" w:rsidRDefault="00DE168D" w:rsidP="00DE168D">
      <w:pPr>
        <w:pStyle w:val="FootnoteText"/>
      </w:pPr>
      <w:r w:rsidRPr="0005100F">
        <w:rPr>
          <w:rStyle w:val="FootnoteReference"/>
          <w:color w:val="408BCA"/>
        </w:rPr>
        <w:footnoteRef/>
      </w:r>
      <w:r>
        <w:t xml:space="preserve"> </w:t>
      </w:r>
      <w:r>
        <w:fldChar w:fldCharType="begin">
          <w:fldData xml:space="preserve">PEVuZE5vdGU+PENpdGU+PEF1dGhvcj5MdWthczwvQXV0aG9yPjxZZWFyPjIwMDc8L1llYXI+PFJl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</w:fldData>
        </w:fldChar>
      </w:r>
      <w:r w:rsidR="00081D00">
        <w:instrText xml:space="preserve"> ADDIN EN.CITE </w:instrText>
      </w:r>
      <w:r w:rsidR="00081D00">
        <w:fldChar w:fldCharType="begin">
          <w:fldData xml:space="preserve">PEVuZE5vdGU+PENpdGU+PEF1dGhvcj5MdWthczwvQXV0aG9yPjxZZWFyPjIwMDc8L1llYXI+PFJl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</w:fldData>
        </w:fldChar>
      </w:r>
      <w:r w:rsidR="00081D00">
        <w:instrText xml:space="preserve"> ADDIN EN.CITE.DATA </w:instrText>
      </w:r>
      <w:r w:rsidR="00081D00">
        <w:fldChar w:fldCharType="end"/>
      </w:r>
      <w:r>
        <w:fldChar w:fldCharType="separate"/>
      </w:r>
      <w:r w:rsidR="00081D00">
        <w:rPr>
          <w:noProof/>
        </w:rPr>
        <w:t xml:space="preserve">Lukas, C. V., Holmes, S. K., Cohen, A. B., Restuccia, J., Cramer, I. E., Shwartz, M., &amp; Charns, M. P. (2007). Transformational change in health care systems: an organizational model. </w:t>
      </w:r>
      <w:r w:rsidR="00081D00" w:rsidRPr="00081D00">
        <w:rPr>
          <w:i/>
          <w:noProof/>
        </w:rPr>
        <w:t>Health Care Manage Rev, 32</w:t>
      </w:r>
      <w:r w:rsidR="00081D00">
        <w:rPr>
          <w:noProof/>
        </w:rPr>
        <w:t>(4), 309-320.</w:t>
      </w:r>
      <w:r>
        <w:fldChar w:fldCharType="end"/>
      </w:r>
    </w:p>
  </w:footnote>
  <w:footnote w:id="139">
    <w:p w14:paraId="51516F9C" w14:textId="37DF6BE9" w:rsidR="00DE168D" w:rsidRDefault="00DE168D" w:rsidP="00DE168D">
      <w:pPr>
        <w:pStyle w:val="FootnoteText"/>
      </w:pPr>
      <w:r>
        <w:rPr>
          <w:rStyle w:val="FootnoteReference"/>
        </w:rPr>
        <w:footnoteRef/>
      </w:r>
      <w:r>
        <w:t xml:space="preserve"> </w:t>
      </w:r>
      <w:r>
        <w:fldChar w:fldCharType="begin"/>
      </w:r>
      <w:r w:rsidR="00DC0673">
        <w:instrText xml:space="preserve"> ADDIN EN.CITE &lt;EndNote&gt;&lt;Cite&gt;&lt;Author&gt;Helfrich&lt;/Author&gt;&lt;Year&gt;2007&lt;/Year&gt;&lt;RecNum&gt;10970&lt;/RecNum&gt;&lt;DisplayText&gt;Helfrich, C. D., Weiner, B. J., McKinney, M. M., &amp;amp; Minasian, L. (2007). Determinants of implementation effectiveness: adapting a framework for complex innovations. &lt;style face="italic"&gt;Med Care Res Rev, 64&lt;/style&gt;(3), 279-303.&lt;/DisplayText&gt;&lt;record&gt;&lt;rec-number&gt;10970&lt;/rec-number&gt;&lt;foreign-keys&gt;&lt;key app="EN" db-id="0zf0e9xwqetx57ep9ee5p9skx9zpfpswrx20" timestamp="1646280551" guid="3b924aeb-869e-4e25-90b2-1e15f8327463"&gt;10970&lt;/key&gt;&lt;/foreign-keys&gt;&lt;ref-type name="Journal Article"&gt;17&lt;/ref-type&gt;&lt;contributors&gt;&lt;authors&gt;&lt;author&gt;Helfrich, C. D.&lt;/author&gt;&lt;author&gt;Weiner, B. J.&lt;/author&gt;&lt;author&gt;McKinney, M. M.&lt;/author&gt;&lt;author&gt;Minasian, L.&lt;/author&gt;&lt;/authors&gt;&lt;/contributors&gt;&lt;auth-address&gt;VA Health Services Research and Development.&lt;/auth-address&gt;&lt;titles&gt;&lt;title&gt;Determinants of implementation effectiveness: adapting a framework for complex innovations&lt;/title&gt;&lt;secondary-title&gt;Med Care Res Rev&lt;/secondary-title&gt;&lt;/titles&gt;&lt;periodical&gt;&lt;full-title&gt;Med Care Res Rev&lt;/full-title&gt;&lt;/periodical&gt;&lt;pages&gt;279-303&lt;/pages&gt;&lt;volume&gt;64&lt;/volume&gt;&lt;number&gt;3&lt;/number&gt;&lt;edition&gt;2007/05/18&lt;/edition&gt;&lt;keywords&gt;&lt;keyword&gt;*Biomedical Research&lt;/keyword&gt;&lt;keyword&gt;Cooperative Behavior&lt;/keyword&gt;&lt;keyword&gt;*Diffusion of Innovation&lt;/keyword&gt;&lt;keyword&gt;Interviews as Topic&lt;/keyword&gt;&lt;keyword&gt;Leadership&lt;/keyword&gt;&lt;keyword&gt;*Neoplasms&lt;/keyword&gt;&lt;keyword&gt;Organizational Culture&lt;/keyword&gt;&lt;keyword&gt;Organizational Innovation&lt;/keyword&gt;&lt;keyword&gt;Surveys and Questionnaires&lt;/keyword&gt;&lt;keyword&gt;United States&lt;/keyword&gt;&lt;/keywords&gt;&lt;dates&gt;&lt;year&gt;2007&lt;/year&gt;&lt;pub-dates&gt;&lt;date&gt;Jun&lt;/date&gt;&lt;/pub-dates&gt;&lt;/dates&gt;&lt;isbn&gt;1077-5587 (Print)&amp;#xD;1077-5587 (Linking)&lt;/isbn&gt;&lt;accession-num&gt;17507459&lt;/accession-num&gt;&lt;urls&gt;&lt;related-urls&gt;&lt;url&gt;https://www.ncbi.nlm.nih.gov/pubmed/17507459&lt;/url&gt;&lt;/related-urls&gt;&lt;/urls&gt;&lt;electronic-resource-num&gt;10.1177/1077558707299887&lt;/electronic-resource-num&gt;&lt;/record&gt;&lt;/Cite&gt;&lt;/EndNote&gt;</w:instrText>
      </w:r>
      <w:r>
        <w:fldChar w:fldCharType="separate"/>
      </w:r>
      <w:r w:rsidR="00DC0673">
        <w:rPr>
          <w:noProof/>
        </w:rPr>
        <w:t xml:space="preserve">Helfrich, C. D., Weiner, B. J., McKinney, M. M., &amp; Minasian, L. (2007). Determinants of implementation effectiveness: adapting a framework for complex innovations. </w:t>
      </w:r>
      <w:r w:rsidR="00DC0673" w:rsidRPr="00DC0673">
        <w:rPr>
          <w:i/>
          <w:noProof/>
        </w:rPr>
        <w:t>Med Care Res Rev, 64</w:t>
      </w:r>
      <w:r w:rsidR="00DC0673">
        <w:rPr>
          <w:noProof/>
        </w:rPr>
        <w:t>(3), 279-303.</w:t>
      </w:r>
      <w:r>
        <w:fldChar w:fldCharType="end"/>
      </w:r>
    </w:p>
  </w:footnote>
  <w:footnote w:id="140">
    <w:p w14:paraId="3C33989A" w14:textId="695C5131" w:rsidR="00DE168D" w:rsidRDefault="00DE168D" w:rsidP="00DE168D">
      <w:pPr>
        <w:pStyle w:val="FootnoteText"/>
      </w:pPr>
      <w:r w:rsidRPr="00236313">
        <w:rPr>
          <w:rStyle w:val="FootnoteReference"/>
          <w:color w:val="408BCA"/>
        </w:rPr>
        <w:footnoteRef/>
      </w:r>
      <w:r>
        <w:t xml:space="preserve"> </w:t>
      </w:r>
      <w:r>
        <w:fldChar w:fldCharType="begin">
          <w:fldData xml:space="preserve">PEVuZE5vdGU+PENpdGU+PEF1dGhvcj5MdWthczwvQXV0aG9yPjxZZWFyPjIwMDc8L1llYXI+PFJl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</w:fldData>
        </w:fldChar>
      </w:r>
      <w:r w:rsidR="00081D00">
        <w:instrText xml:space="preserve"> ADDIN EN.CITE </w:instrText>
      </w:r>
      <w:r w:rsidR="00081D00">
        <w:fldChar w:fldCharType="begin">
          <w:fldData xml:space="preserve">PEVuZE5vdGU+PENpdGU+PEF1dGhvcj5MdWthczwvQXV0aG9yPjxZZWFyPjIwMDc8L1llYXI+PFJl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</w:fldData>
        </w:fldChar>
      </w:r>
      <w:r w:rsidR="00081D00">
        <w:instrText xml:space="preserve"> ADDIN EN.CITE.DATA </w:instrText>
      </w:r>
      <w:r w:rsidR="00081D00">
        <w:fldChar w:fldCharType="end"/>
      </w:r>
      <w:r>
        <w:fldChar w:fldCharType="separate"/>
      </w:r>
      <w:r w:rsidR="00081D00">
        <w:rPr>
          <w:noProof/>
        </w:rPr>
        <w:t xml:space="preserve">Lukas, C. V., Holmes, S. K., Cohen, A. B., Restuccia, J., Cramer, I. E., Shwartz, M., &amp; Charns, M. P. (2007). Transformational change in health care systems: an organizational model. </w:t>
      </w:r>
      <w:r w:rsidR="00081D00" w:rsidRPr="00081D00">
        <w:rPr>
          <w:i/>
          <w:noProof/>
        </w:rPr>
        <w:t>Health Care Manage Rev, 32</w:t>
      </w:r>
      <w:r w:rsidR="00081D00">
        <w:rPr>
          <w:noProof/>
        </w:rPr>
        <w:t>(4), 309-320.</w:t>
      </w:r>
      <w:r>
        <w:fldChar w:fldCharType="end"/>
      </w:r>
    </w:p>
  </w:footnote>
  <w:footnote w:id="141">
    <w:p w14:paraId="22721920" w14:textId="70D51E7F" w:rsidR="00DE168D" w:rsidRDefault="00DE168D" w:rsidP="00DE168D">
      <w:pPr>
        <w:pStyle w:val="FootnoteText"/>
      </w:pPr>
      <w:r w:rsidRPr="00236313">
        <w:rPr>
          <w:rStyle w:val="FootnoteReference"/>
          <w:color w:val="408BCA"/>
        </w:rPr>
        <w:footnoteRef/>
      </w:r>
      <w:r>
        <w:t xml:space="preserve"> </w:t>
      </w:r>
      <w:r>
        <w:fldChar w:fldCharType="begin">
          <w:fldData xml:space="preserve">PEVuZE5vdGU+PENpdGU+PEF1dGhvcj5XYWduZXI8L0F1dGhvcj48WWVhcj4yMDE0PC9ZZWFyPjxS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=
</w:fldData>
        </w:fldChar>
      </w:r>
      <w:r w:rsidR="00F4319B">
        <w:instrText xml:space="preserve"> ADDIN EN.CITE </w:instrText>
      </w:r>
      <w:r w:rsidR="00F4319B">
        <w:fldChar w:fldCharType="begin">
          <w:fldData xml:space="preserve">PEVuZE5vdGU+PENpdGU+PEF1dGhvcj5XYWduZXI8L0F1dGhvcj48WWVhcj4yMDE0PC9ZZWFyPjxS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=
</w:fldData>
        </w:fldChar>
      </w:r>
      <w:r w:rsidR="00F4319B">
        <w:instrText xml:space="preserve"> ADDIN EN.CITE.DATA </w:instrText>
      </w:r>
      <w:r w:rsidR="00F4319B">
        <w:fldChar w:fldCharType="end"/>
      </w:r>
      <w:r>
        <w:fldChar w:fldCharType="separate"/>
      </w:r>
      <w:r w:rsidR="00F4319B">
        <w:rPr>
          <w:noProof/>
        </w:rPr>
        <w:t xml:space="preserve">Wagner, E. H., Gupta, R., &amp; Coleman, K. (2014). Practice transformation in the safety net medical home initiative: A qualitative look. </w:t>
      </w:r>
      <w:r w:rsidR="00F4319B" w:rsidRPr="00F4319B">
        <w:rPr>
          <w:i/>
          <w:noProof/>
        </w:rPr>
        <w:t>Medical care, 52</w:t>
      </w:r>
      <w:r w:rsidR="00F4319B">
        <w:rPr>
          <w:noProof/>
        </w:rPr>
        <w:t>(Supplement 4), S18-S22.</w:t>
      </w:r>
      <w:r>
        <w:fldChar w:fldCharType="end"/>
      </w:r>
    </w:p>
  </w:footnote>
  <w:footnote w:id="142">
    <w:p w14:paraId="0E3A978D" w14:textId="7E3C00FD" w:rsidR="00DE168D" w:rsidRDefault="00DE168D" w:rsidP="00DE168D">
      <w:pPr>
        <w:pStyle w:val="FootnoteText"/>
      </w:pPr>
      <w:r w:rsidRPr="00236313">
        <w:rPr>
          <w:rStyle w:val="FootnoteReference"/>
          <w:color w:val="408BCA"/>
        </w:rPr>
        <w:footnoteRef/>
      </w:r>
      <w:r>
        <w:t xml:space="preserve"> </w:t>
      </w:r>
      <w:r>
        <w:fldChar w:fldCharType="begin"/>
      </w:r>
      <w:r w:rsidR="00DC0673">
        <w:instrText xml:space="preserve"> ADDIN EN.CITE &lt;EndNote&gt;&lt;Cite&gt;&lt;Author&gt;Klein&lt;/Author&gt;&lt;Year&gt;1996&lt;/Year&gt;&lt;RecNum&gt;10972&lt;/RecNum&gt;&lt;DisplayText&gt;Klein, K. J., &amp;amp; Sorra, J. S. (1996). The Challenge of Innovation Implementation. &lt;style face="italic"&gt;The Academy of Management Review, 21&lt;/style&gt;(4), 1055-1080.&lt;/DisplayText&gt;&lt;record&gt;&lt;rec-number&gt;10972&lt;/rec-number&gt;&lt;foreign-keys&gt;&lt;key app="EN" db-id="0zf0e9xwqetx57ep9ee5p9skx9zpfpswrx20" timestamp="1646286404" guid="84d340cc-2549-48c0-abc6-f3f49cc27d61"&gt;10972&lt;/key&gt;&lt;/foreign-keys&gt;&lt;ref-type name="Journal Article"&gt;17&lt;/ref-type&gt;&lt;contributors&gt;&lt;authors&gt;&lt;author&gt;Klein, Katherine J.&lt;/author&gt;&lt;author&gt;Sorra, Joann Speer&lt;/author&gt;&lt;/authors&gt;&lt;/contributors&gt;&lt;titles&gt;&lt;title&gt;The Challenge of Innovation Implementation&lt;/title&gt;&lt;secondary-title&gt;The Academy of Management Review&lt;/secondary-title&gt;&lt;/titles&gt;&lt;periodical&gt;&lt;full-title&gt;The Academy of Management Review&lt;/full-title&gt;&lt;/periodical&gt;&lt;pages&gt;1055-1080&lt;/pages&gt;&lt;volume&gt;21&lt;/volume&gt;&lt;number&gt;4&lt;/number&gt;&lt;dates&gt;&lt;year&gt;1996&lt;/year&gt;&lt;/dates&gt;&lt;publisher&gt;Academy of Management&lt;/publisher&gt;&lt;isbn&gt;03637425&lt;/isbn&gt;&lt;urls&gt;&lt;related-urls&gt;&lt;url&gt;http://www.jstor.org/stable/259164&lt;/url&gt;&lt;/related-urls&gt;&lt;/urls&gt;&lt;custom1&gt;Full publication date: Oct., 1996&lt;/custom1&gt;&lt;electronic-resource-num&gt;10.2307/259164&lt;/electronic-resource-num&gt;&lt;remote-database-name&gt;JSTOR&lt;/remote-database-name&gt;&lt;access-date&gt;2022/03/03/&lt;/access-date&gt;&lt;/record&gt;&lt;/Cite&gt;&lt;/EndNote&gt;</w:instrText>
      </w:r>
      <w:r>
        <w:fldChar w:fldCharType="separate"/>
      </w:r>
      <w:r w:rsidR="00DC0673">
        <w:rPr>
          <w:noProof/>
        </w:rPr>
        <w:t xml:space="preserve">Klein, K. J., &amp; Sorra, J. S. (1996). The Challenge of Innovation Implementation. </w:t>
      </w:r>
      <w:r w:rsidR="00DC0673" w:rsidRPr="00DC0673">
        <w:rPr>
          <w:i/>
          <w:noProof/>
        </w:rPr>
        <w:t>The Academy of Management Review, 21</w:t>
      </w:r>
      <w:r w:rsidR="00DC0673">
        <w:rPr>
          <w:noProof/>
        </w:rPr>
        <w:t>(4), 1055-1080.</w:t>
      </w:r>
      <w:r>
        <w:fldChar w:fldCharType="end"/>
      </w:r>
    </w:p>
  </w:footnote>
  <w:footnote w:id="143">
    <w:p w14:paraId="54A317EE" w14:textId="3FAF8342" w:rsidR="001B10BC" w:rsidRPr="001B10BC" w:rsidRDefault="001B10BC">
      <w:pPr>
        <w:pStyle w:val="FootnoteText"/>
        <w:rPr>
          <w:lang w:val="en-US"/>
        </w:rPr>
      </w:pPr>
      <w:r w:rsidRPr="001B10BC">
        <w:rPr>
          <w:rStyle w:val="FootnoteReference"/>
          <w:color w:val="408BCA"/>
        </w:rPr>
        <w:footnoteRef/>
      </w:r>
      <w:r>
        <w:t xml:space="preserve"> </w:t>
      </w:r>
      <w:r>
        <w:fldChar w:fldCharType="begin"/>
      </w:r>
      <w:r w:rsidR="00F4319B">
        <w:instrText xml:space="preserve"> ADDIN EN.CITE &lt;EndNote&gt;&lt;Cite&gt;&lt;Author&gt;Cohen&lt;/Author&gt;&lt;Year&gt;1990&lt;/Year&gt;&lt;RecNum&gt;10973&lt;/RecNum&gt;&lt;DisplayText&gt;Cohen, W. M., &amp;amp; Levinthal, D. A. (1990). Absorptive Capacity: A New Perspective on Learning and Innovation. &lt;style face="italic"&gt;Administrative Science Quarterly, 35&lt;/style&gt;(1), 128-152.&lt;/DisplayText&gt;&lt;record&gt;&lt;rec-number&gt;10973&lt;/rec-number&gt;&lt;foreign-keys&gt;&lt;key app="EN" db-id="0zf0e9xwqetx57ep9ee5p9skx9zpfpswrx20" timestamp="1649130607" guid="52df2795-17cf-4693-aa39-b2f8a50a4b44"&gt;10973&lt;/key&gt;&lt;/foreign-keys&gt;&lt;ref-type name="Journal Article"&gt;17&lt;/ref-type&gt;&lt;contributors&gt;&lt;authors&gt;&lt;author&gt;Cohen, Wesley M.&lt;/author&gt;&lt;author&gt;Levinthal, Daniel A.&lt;/author&gt;&lt;/authors&gt;&lt;/contributors&gt;&lt;titles&gt;&lt;title&gt;Absorptive Capacity: A New Perspective on Learning and Innovation&lt;/title&gt;&lt;secondary-title&gt;Administrative Science Quarterly&lt;/secondary-title&gt;&lt;/titles&gt;&lt;periodical&gt;&lt;full-title&gt;Administrative Science Quarterly&lt;/full-title&gt;&lt;abbr-1&gt;Adm. Sci. Q.&lt;/abbr-1&gt;&lt;/periodical&gt;&lt;pages&gt;128-152&lt;/pages&gt;&lt;volume&gt;35&lt;/volume&gt;&lt;number&gt;1&lt;/number&gt;&lt;dates&gt;&lt;year&gt;1990&lt;/year&gt;&lt;/dates&gt;&lt;publisher&gt;[Sage Publications, Inc., Johnson Graduate School of Management, Cornell University]&lt;/publisher&gt;&lt;isbn&gt;00018392&lt;/isbn&gt;&lt;urls&gt;&lt;related-urls&gt;&lt;url&gt;http://www.jstor.org/stable/2393553&lt;/url&gt;&lt;/related-urls&gt;&lt;/urls&gt;&lt;custom1&gt;Full publication date: Mar., 1990&lt;/custom1&gt;&lt;electronic-resource-num&gt;10.2307/2393553&lt;/electronic-resource-num&gt;&lt;remote-database-name&gt;JSTOR&lt;/remote-database-name&gt;&lt;access-date&gt;2022/03/20/&lt;/access-date&gt;&lt;/record&gt;&lt;/Cite&gt;&lt;/EndNote&gt;</w:instrText>
      </w:r>
      <w:r>
        <w:fldChar w:fldCharType="separate"/>
      </w:r>
      <w:r w:rsidR="00DC0673">
        <w:rPr>
          <w:noProof/>
        </w:rPr>
        <w:t xml:space="preserve">Cohen, W. M., &amp; Levinthal, D. A. (1990). Absorptive Capacity: A New Perspective on Learning and Innovation. </w:t>
      </w:r>
      <w:r w:rsidR="00DC0673" w:rsidRPr="00DC0673">
        <w:rPr>
          <w:i/>
          <w:noProof/>
        </w:rPr>
        <w:t>Administrative Science Quarterly, 35</w:t>
      </w:r>
      <w:r w:rsidR="00DC0673">
        <w:rPr>
          <w:noProof/>
        </w:rPr>
        <w:t>(1), 128-152.</w:t>
      </w:r>
      <w:r>
        <w:fldChar w:fldCharType="end"/>
      </w:r>
    </w:p>
  </w:footnote>
  <w:footnote w:id="144">
    <w:p w14:paraId="78D4B52A" w14:textId="7DD825B6" w:rsidR="00DE168D" w:rsidRDefault="00DE168D" w:rsidP="00DE168D">
      <w:pPr>
        <w:pStyle w:val="FootnoteText"/>
      </w:pPr>
      <w:r w:rsidRPr="00236313">
        <w:rPr>
          <w:rStyle w:val="FootnoteReference"/>
          <w:color w:val="408BCA"/>
        </w:rPr>
        <w:footnoteRef/>
      </w:r>
      <w:r>
        <w:t xml:space="preserve"> </w:t>
      </w:r>
      <w:r w:rsidR="00F4319B">
        <w:fldChar w:fldCharType="begin">
          <w:fldData xml:space="preserve">PEVuZE5vdGU+PENpdGU+PEF1dGhvcj5XYWduZXI8L0F1dGhvcj48WWVhcj4yMDE0PC9ZZWFyPjxS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</w:fldData>
        </w:fldChar>
      </w:r>
      <w:r w:rsidR="00F4319B">
        <w:instrText xml:space="preserve"> ADDIN EN.CITE </w:instrText>
      </w:r>
      <w:r w:rsidR="00F4319B">
        <w:fldChar w:fldCharType="begin">
          <w:fldData xml:space="preserve">PEVuZE5vdGU+PENpdGU+PEF1dGhvcj5XYWduZXI8L0F1dGhvcj48WWVhcj4yMDE0PC9ZZWFyPjxS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</w:fldData>
        </w:fldChar>
      </w:r>
      <w:r w:rsidR="00F4319B">
        <w:instrText xml:space="preserve"> ADDIN EN.CITE.DATA </w:instrText>
      </w:r>
      <w:r w:rsidR="00F4319B">
        <w:fldChar w:fldCharType="end"/>
      </w:r>
      <w:r w:rsidR="00F4319B">
        <w:fldChar w:fldCharType="separate"/>
      </w:r>
      <w:r w:rsidR="00F4319B">
        <w:rPr>
          <w:noProof/>
        </w:rPr>
        <w:t xml:space="preserve">Wagner, E. H., Gupta, R., &amp; Coleman, K. (2014). Practice transformation in the safety net medical home initiative: a qualitative look. </w:t>
      </w:r>
      <w:r w:rsidR="00F4319B" w:rsidRPr="00F4319B">
        <w:rPr>
          <w:i/>
          <w:noProof/>
        </w:rPr>
        <w:t>Medical care, 52</w:t>
      </w:r>
      <w:r w:rsidR="00F4319B">
        <w:rPr>
          <w:noProof/>
        </w:rPr>
        <w:t>(11 Suppl 4), S18-22.</w:t>
      </w:r>
      <w:r w:rsidR="00F4319B">
        <w:fldChar w:fldCharType="end"/>
      </w:r>
    </w:p>
  </w:footnote>
  <w:footnote w:id="145">
    <w:p w14:paraId="13370E43" w14:textId="60D5BCE5" w:rsidR="00DE168D" w:rsidRDefault="00DE168D" w:rsidP="00DE168D">
      <w:pPr>
        <w:pStyle w:val="FootnoteText"/>
      </w:pPr>
      <w:r w:rsidRPr="00236313">
        <w:rPr>
          <w:rStyle w:val="FootnoteReference"/>
          <w:color w:val="408BCA"/>
        </w:rPr>
        <w:footnoteRef/>
      </w:r>
      <w:r>
        <w:t xml:space="preserve"> </w:t>
      </w:r>
      <w:r>
        <w:fldChar w:fldCharType="begin">
          <w:fldData xml:space="preserve">PEVuZE5vdGU+PENpdGU+PEF1dGhvcj5NY011bGxlbjwvQXV0aG9yPjxZZWFyPjIwMTM8L1llYXI+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</w:fldData>
        </w:fldChar>
      </w:r>
      <w:r w:rsidR="00081D00">
        <w:instrText xml:space="preserve"> ADDIN EN.CITE </w:instrText>
      </w:r>
      <w:r w:rsidR="00081D00">
        <w:fldChar w:fldCharType="begin">
          <w:fldData xml:space="preserve">PEVuZE5vdGU+PENpdGU+PEF1dGhvcj5NY011bGxlbjwvQXV0aG9yPjxZZWFyPjIwMTM8L1llYXI+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</w:fldData>
        </w:fldChar>
      </w:r>
      <w:r w:rsidR="00081D00">
        <w:instrText xml:space="preserve"> ADDIN EN.CITE.DATA </w:instrText>
      </w:r>
      <w:r w:rsidR="00081D00">
        <w:fldChar w:fldCharType="end"/>
      </w:r>
      <w:r>
        <w:fldChar w:fldCharType="separate"/>
      </w:r>
      <w:r w:rsidR="00081D00">
        <w:rPr>
          <w:noProof/>
        </w:rPr>
        <w:t xml:space="preserve">McMullen, C. K., Schneider, J., Firemark, A., Davis, J., &amp; Spofford, M. (2013). Cultivating engaged leadership through a learning collaborative: lessons from primary care renewal in Oregon safety net clinics. </w:t>
      </w:r>
      <w:r w:rsidR="00081D00" w:rsidRPr="00081D00">
        <w:rPr>
          <w:i/>
          <w:noProof/>
        </w:rPr>
        <w:t>Annals of family medicine, 11 Suppl 1</w:t>
      </w:r>
      <w:r w:rsidR="00081D00">
        <w:rPr>
          <w:noProof/>
        </w:rPr>
        <w:t>, S34-40.</w:t>
      </w:r>
      <w:r>
        <w:fldChar w:fldCharType="end"/>
      </w:r>
    </w:p>
  </w:footnote>
  <w:footnote w:id="146">
    <w:p w14:paraId="422AD983" w14:textId="626A4967" w:rsidR="00DE168D" w:rsidRDefault="00DE168D" w:rsidP="00DE168D">
      <w:pPr>
        <w:pStyle w:val="FootnoteText"/>
      </w:pPr>
      <w:r w:rsidRPr="00236313">
        <w:rPr>
          <w:rStyle w:val="FootnoteReference"/>
          <w:color w:val="408BCA"/>
        </w:rPr>
        <w:footnoteRef/>
      </w:r>
      <w:r>
        <w:t xml:space="preserve"> </w:t>
      </w:r>
      <w:r>
        <w:fldChar w:fldCharType="begin"/>
      </w:r>
      <w:r w:rsidR="00DC0673">
        <w:instrText xml:space="preserve"> ADDIN EN.CITE &lt;EndNote&gt;&lt;Cite&gt;&lt;Author&gt;Kern&lt;/Author&gt;&lt;Year&gt;2014&lt;/Year&gt;&lt;RecNum&gt;5973&lt;/RecNum&gt;&lt;DisplayText&gt;Kern, L. M., Edwards, A., &amp;amp; Kaushal, R. (2014). The Patient-Centered Medical Home, Electronic Health Records, and Quality of Care [Article]. &lt;style face="italic"&gt;Annals of internal medicine, 160&lt;/style&gt;(11), 741-+.&lt;/DisplayText&gt;&lt;record&gt;&lt;rec-number&gt;5973&lt;/rec-number&gt;&lt;foreign-keys&gt;&lt;key app="EN" db-id="0zf0e9xwqetx57ep9ee5p9skx9zpfpswrx20" timestamp="1609572932" guid="6543ef5b-4859-45f3-aabb-c35d0c65d395"&gt;5973&lt;/key&gt;&lt;/foreign-keys&gt;&lt;ref-type name="Journal Article"&gt;17&lt;/ref-type&gt;&lt;contributors&gt;&lt;authors&gt;&lt;author&gt;Kern, L. M.&lt;/author&gt;&lt;author&gt;Edwards, A.&lt;/author&gt;&lt;author&gt;Kaushal, R.&lt;/author&gt;&lt;/authors&gt;&lt;/contributors&gt;&lt;auth-address&gt;[Kern, Lisa M.; Edwards, Alison; Kaushal, Rainu] Weill Cornell Med Coll, New York, NY 10065 USA.&amp;#xD;Kern, LM (corresponding author), Weill Cornell Med Coll, 425 East 61st St,Suite 301, New York, NY 10065 USA.&amp;#xD;lmk2003@med.cornell.edu&lt;/auth-address&gt;&lt;titles&gt;&lt;title&gt;The Patient-Centered Medical Home, Electronic Health Records, and Quality of Care&lt;/title&gt;&lt;secondary-title&gt;Annals of Internal Medicine&lt;/secondary-title&gt;&lt;alt-title&gt;Ann. Intern. Med.&lt;/alt-title&gt;&lt;/titles&gt;&lt;periodical&gt;&lt;full-title&gt;Annals of internal medicine&lt;/full-title&gt;&lt;/periodical&gt;&lt;pages&gt;741-+&lt;/pages&gt;&lt;volume&gt;160&lt;/volume&gt;&lt;number&gt;11&lt;/number&gt;&lt;keywords&gt;&lt;keyword&gt;physician practices&lt;/keyword&gt;&lt;keyword&gt;General &amp;amp; Internal Medicine&lt;/keyword&gt;&lt;/keywords&gt;&lt;dates&gt;&lt;year&gt;2014&lt;/year&gt;&lt;pub-dates&gt;&lt;date&gt;Jun&lt;/date&gt;&lt;/pub-dates&gt;&lt;/dates&gt;&lt;isbn&gt;0003-4819&lt;/isbn&gt;&lt;accession-num&gt;WOS:000337348700001&lt;/accession-num&gt;&lt;work-type&gt;Article&lt;/work-type&gt;&lt;urls&gt;&lt;related-urls&gt;&lt;url&gt;&lt;style face="underline" font="default" size="100%"&gt;&amp;lt;Go to ISI&amp;gt;://WOS:000337348700001&lt;/style&gt;&lt;/url&gt;&lt;/related-urls&gt;&lt;/urls&gt;&lt;electronic-resource-num&gt;10.7326/m13-1798&lt;/electronic-resource-num&gt;&lt;language&gt;English&lt;/language&gt;&lt;/record&gt;&lt;/Cite&gt;&lt;/EndNote&gt;</w:instrText>
      </w:r>
      <w:r>
        <w:fldChar w:fldCharType="separate"/>
      </w:r>
      <w:r w:rsidR="00DC0673">
        <w:rPr>
          <w:noProof/>
        </w:rPr>
        <w:t xml:space="preserve">Kern, L. M., Edwards, A., &amp; Kaushal, R. (2014). The Patient-Centered Medical Home, Electronic Health Records, and Quality of Care [Article]. </w:t>
      </w:r>
      <w:r w:rsidR="00DC0673" w:rsidRPr="00DC0673">
        <w:rPr>
          <w:i/>
          <w:noProof/>
        </w:rPr>
        <w:t>Annals of internal medicine, 160</w:t>
      </w:r>
      <w:r w:rsidR="00DC0673">
        <w:rPr>
          <w:noProof/>
        </w:rPr>
        <w:t>(11), 741-+.</w:t>
      </w:r>
      <w:r>
        <w:fldChar w:fldCharType="end"/>
      </w:r>
    </w:p>
  </w:footnote>
  <w:footnote w:id="147">
    <w:p w14:paraId="00E740C6" w14:textId="42614DB6" w:rsidR="00DE168D" w:rsidRDefault="00DE168D" w:rsidP="00DE168D">
      <w:pPr>
        <w:pStyle w:val="FootnoteText"/>
      </w:pPr>
      <w:r w:rsidRPr="00236313">
        <w:rPr>
          <w:rStyle w:val="FootnoteReference"/>
          <w:color w:val="408BCA"/>
        </w:rPr>
        <w:footnoteRef/>
      </w:r>
      <w:r>
        <w:t xml:space="preserve"> </w:t>
      </w:r>
      <w:r>
        <w:fldChar w:fldCharType="begin">
          <w:fldData xml:space="preserve">PEVuZE5vdGU+PENpdGU+PEF1dGhvcj5CYXh0ZXI8L0F1dGhvcj48WWVhcj4yMDEzPC9ZZWFyPjxS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</w:fldData>
        </w:fldChar>
      </w:r>
      <w:r w:rsidR="00081D00">
        <w:instrText xml:space="preserve"> ADDIN EN.CITE </w:instrText>
      </w:r>
      <w:r w:rsidR="00081D00">
        <w:fldChar w:fldCharType="begin">
          <w:fldData xml:space="preserve">PEVuZE5vdGU+PENpdGU+PEF1dGhvcj5CYXh0ZXI8L0F1dGhvcj48WWVhcj4yMDEzPC9ZZWFyPjxS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</w:fldData>
        </w:fldChar>
      </w:r>
      <w:r w:rsidR="00081D00">
        <w:instrText xml:space="preserve"> ADDIN EN.CITE.DATA </w:instrText>
      </w:r>
      <w:r w:rsidR="00081D00">
        <w:fldChar w:fldCharType="end"/>
      </w:r>
      <w:r>
        <w:fldChar w:fldCharType="separate"/>
      </w:r>
      <w:r w:rsidR="00081D00">
        <w:rPr>
          <w:noProof/>
        </w:rPr>
        <w:t xml:space="preserve">Baxter, L., &amp; Nash, D. B. (2013). Implementing the Patient-Centered Medical Home Model for Chronic Disease Care in Small Medical Practices: Practice Group Characteristics and Physician Understanding [Article]. </w:t>
      </w:r>
      <w:r w:rsidR="00081D00" w:rsidRPr="00081D00">
        <w:rPr>
          <w:i/>
          <w:noProof/>
        </w:rPr>
        <w:t>American Journal of Medical Quality, 28</w:t>
      </w:r>
      <w:r w:rsidR="00081D00">
        <w:rPr>
          <w:noProof/>
        </w:rPr>
        <w:t>(2), 113-119.</w:t>
      </w:r>
      <w:r>
        <w:fldChar w:fldCharType="end"/>
      </w:r>
    </w:p>
  </w:footnote>
  <w:footnote w:id="148">
    <w:p w14:paraId="42AC98A9" w14:textId="1904769C" w:rsidR="00DE168D" w:rsidRDefault="00DE168D" w:rsidP="00DE168D">
      <w:pPr>
        <w:pStyle w:val="FootnoteText"/>
      </w:pPr>
      <w:r w:rsidRPr="00236313">
        <w:rPr>
          <w:rStyle w:val="FootnoteReference"/>
          <w:color w:val="408BCA"/>
        </w:rPr>
        <w:footnoteRef/>
      </w:r>
      <w:r>
        <w:t xml:space="preserve"> </w:t>
      </w:r>
      <w:r>
        <w:fldChar w:fldCharType="begin"/>
      </w:r>
      <w:r w:rsidR="00DC0673">
        <w:instrText xml:space="preserve"> ADDIN EN.CITE &lt;EndNote&gt;&lt;Cite&gt;&lt;Author&gt;Greenhalgh&lt;/Author&gt;&lt;Year&gt;2004&lt;/Year&gt;&lt;RecNum&gt;10810&lt;/RecNum&gt;&lt;DisplayText&gt;Greenhalgh, T., Robert, G., Macfarlane, F., Bate, P., &amp;amp; Kyriakidou, O. (2004). Diffusion of innovations in service organizations: systematic review and recommendations. &lt;style face="italic"&gt;Milbank Q, 82&lt;/style&gt;(4), 581-629.&lt;/DisplayText&gt;&lt;record&gt;&lt;rec-number&gt;10810&lt;/rec-number&gt;&lt;foreign-keys&gt;&lt;key app="EN" db-id="0zf0e9xwqetx57ep9ee5p9skx9zpfpswrx20" timestamp="1627713484" guid="54793a56-a52a-488b-9a56-70294d6bf9b5"&gt;10810&lt;/key&gt;&lt;/foreign-keys&gt;&lt;ref-type name="Journal Article"&gt;17&lt;/ref-type&gt;&lt;contributors&gt;&lt;authors&gt;&lt;author&gt;Greenhalgh, T.&lt;/author&gt;&lt;author&gt;Robert, G.&lt;/author&gt;&lt;author&gt;Macfarlane, F.&lt;/author&gt;&lt;author&gt;Bate, P.&lt;/author&gt;&lt;author&gt;Kyriakidou, O.&lt;/author&gt;&lt;/authors&gt;&lt;/contributors&gt;&lt;auth-address&gt;University College London, Room 403, Holborn Union Building, Highgate Hill, London N19 5LW, UK. p.greenhalgh@pcps.ucl.ac.uk&lt;/auth-address&gt;&lt;titles&gt;&lt;title&gt;Diffusion of innovations in service organizations: systematic review and recommendations&lt;/title&gt;&lt;secondary-title&gt;Milbank Q&lt;/secondary-title&gt;&lt;/titles&gt;&lt;periodical&gt;&lt;full-title&gt;Milbank Q&lt;/full-title&gt;&lt;/periodical&gt;&lt;pages&gt;581-629&lt;/pages&gt;&lt;volume&gt;82&lt;/volume&gt;&lt;number&gt;4&lt;/number&gt;&lt;edition&gt;2004/12/15&lt;/edition&gt;&lt;keywords&gt;&lt;keyword&gt;*Diffusion of Innovation&lt;/keyword&gt;&lt;keyword&gt;Evidence-Based Medicine&lt;/keyword&gt;&lt;keyword&gt;*Health Facility Administration&lt;/keyword&gt;&lt;keyword&gt;Models, Organizational&lt;/keyword&gt;&lt;keyword&gt;State Medicine&lt;/keyword&gt;&lt;keyword&gt;United Kingdom&lt;/keyword&gt;&lt;/keywords&gt;&lt;dates&gt;&lt;year&gt;2004&lt;/year&gt;&lt;/dates&gt;&lt;isbn&gt;0887-378X (Print)&amp;#xD;0887-378x&lt;/isbn&gt;&lt;accession-num&gt;15595944&lt;/accession-num&gt;&lt;urls&gt;&lt;related-urls&gt;&lt;url&gt;https://www.ncbi.nlm.nih.gov/pmc/articles/PMC2690184/pdf/milq0082-0581.pdf&lt;/url&gt;&lt;/related-urls&gt;&lt;/urls&gt;&lt;custom2&gt;PMC2690184&lt;/custom2&gt;&lt;electronic-resource-num&gt;10.1111/j.0887-378X.2004.00325.x&lt;/electronic-resource-num&gt;&lt;remote-database-provider&gt;NLM&lt;/remote-database-provider&gt;&lt;language&gt;eng&lt;/language&gt;&lt;/record&gt;&lt;/Cite&gt;&lt;/EndNote&gt;</w:instrText>
      </w:r>
      <w:r>
        <w:fldChar w:fldCharType="separate"/>
      </w:r>
      <w:r w:rsidR="00DC0673">
        <w:rPr>
          <w:noProof/>
        </w:rPr>
        <w:t xml:space="preserve">Greenhalgh, T., Robert, G., Macfarlane, F., Bate, P., &amp; Kyriakidou, O. (2004). Diffusion of innovations in service organizations: systematic review and recommendations. </w:t>
      </w:r>
      <w:r w:rsidR="00DC0673" w:rsidRPr="00DC0673">
        <w:rPr>
          <w:i/>
          <w:noProof/>
        </w:rPr>
        <w:t>Milbank Q, 82</w:t>
      </w:r>
      <w:r w:rsidR="00DC0673">
        <w:rPr>
          <w:noProof/>
        </w:rPr>
        <w:t>(4), 581-629.</w:t>
      </w:r>
      <w:r>
        <w:fldChar w:fldCharType="end"/>
      </w:r>
    </w:p>
  </w:footnote>
  <w:footnote w:id="149">
    <w:p w14:paraId="70F06770" w14:textId="122A6BCB" w:rsidR="007C7AC9" w:rsidRPr="00A660F3" w:rsidRDefault="007C7AC9" w:rsidP="007C7AC9">
      <w:pPr>
        <w:pStyle w:val="FootnoteText"/>
        <w:rPr>
          <w:color w:val="408BCA"/>
        </w:rPr>
      </w:pPr>
      <w:r w:rsidRPr="003C78B0">
        <w:rPr>
          <w:rStyle w:val="FootnoteReference"/>
          <w:color w:val="408BCA"/>
        </w:rPr>
        <w:footnoteRef/>
      </w:r>
      <w:r w:rsidRPr="003C78B0">
        <w:rPr>
          <w:color w:val="408BCA"/>
        </w:rPr>
        <w:t xml:space="preserve"> </w:t>
      </w:r>
      <w:r w:rsidR="00A660F3">
        <w:fldChar w:fldCharType="begin">
          <w:fldData xml:space="preserve">PEVuZE5vdGU+PENpdGU+PEF1dGhvcj5QZXJlaXJhIEdyYXk8L0F1dGhvcj48WWVhcj4yMDE4PC9Z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</w:fldData>
        </w:fldChar>
      </w:r>
      <w:r w:rsidR="00A660F3">
        <w:instrText xml:space="preserve"> ADDIN EN.CITE </w:instrText>
      </w:r>
      <w:r w:rsidR="00A660F3">
        <w:fldChar w:fldCharType="begin">
          <w:fldData xml:space="preserve">PEVuZE5vdGU+PENpdGU+PEF1dGhvcj5QZXJlaXJhIEdyYXk8L0F1dGhvcj48WWVhcj4yMDE4PC9Z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</w:fldData>
        </w:fldChar>
      </w:r>
      <w:r w:rsidR="00A660F3">
        <w:instrText xml:space="preserve"> ADDIN EN.CITE.DATA </w:instrText>
      </w:r>
      <w:r w:rsidR="00A660F3">
        <w:fldChar w:fldCharType="end"/>
      </w:r>
      <w:r w:rsidR="00A660F3">
        <w:fldChar w:fldCharType="separate"/>
      </w:r>
      <w:r w:rsidR="00A660F3">
        <w:rPr>
          <w:noProof/>
        </w:rPr>
        <w:t xml:space="preserve">Pereira Gray, D. J., Sidaway-Lee, K., White, E., Thorne, A., &amp; Evans, P. H. (2018). Continuity of care with doctors-a matter of life and death? A systematic review of continuity of care and mortality. </w:t>
      </w:r>
      <w:r w:rsidR="00A660F3" w:rsidRPr="00A660F3">
        <w:rPr>
          <w:i/>
          <w:noProof/>
        </w:rPr>
        <w:t>BMJ Open, 8</w:t>
      </w:r>
      <w:r w:rsidR="00A660F3">
        <w:rPr>
          <w:noProof/>
        </w:rPr>
        <w:t>(6), e021161.</w:t>
      </w:r>
      <w:r w:rsidR="00A660F3">
        <w:fldChar w:fldCharType="end"/>
      </w:r>
    </w:p>
  </w:footnote>
  <w:footnote w:id="150">
    <w:p w14:paraId="2F6EC047" w14:textId="48B22913" w:rsidR="003C78B0" w:rsidRDefault="003C78B0">
      <w:pPr>
        <w:pStyle w:val="FootnoteText"/>
      </w:pPr>
      <w:r w:rsidRPr="00A660F3">
        <w:rPr>
          <w:rStyle w:val="FootnoteReference"/>
          <w:color w:val="408BCA"/>
        </w:rPr>
        <w:footnoteRef/>
      </w:r>
      <w:r>
        <w:t xml:space="preserve"> </w:t>
      </w:r>
      <w:r w:rsidR="00A660F3">
        <w:fldChar w:fldCharType="begin"/>
      </w:r>
      <w:r w:rsidR="00A660F3">
        <w:instrText xml:space="preserve"> ADDIN EN.CITE &lt;EndNote&gt;&lt;Cite&gt;&lt;Author&gt;Barker&lt;/Author&gt;&lt;Year&gt;2017&lt;/Year&gt;&lt;RecNum&gt;758&lt;/RecNum&gt;&lt;DisplayText&gt;Barker, I., Steventon, A., &amp;amp; Deeny, S. R. (2017). Association between continuity of care in general practice and hospital admissions for ambulatory care sensitive conditions: cross sectional study of routinely collected, person level data. &lt;style face="italic"&gt;BMJ, 356&lt;/style&gt;.&lt;/DisplayText&gt;&lt;record&gt;&lt;rec-number&gt;758&lt;/rec-number&gt;&lt;foreign-keys&gt;&lt;key app="EN" db-id="zdz9xax04zr9v0evw2nvrpw9xe9ttzvs5zsv" timestamp="1487716135"&gt;758&lt;/key&gt;&lt;/foreign-keys&gt;&lt;ref-type name="Journal Article"&gt;17&lt;/ref-type&gt;&lt;contributors&gt;&lt;authors&gt;&lt;author&gt;Barker, Isaac&lt;/author&gt;&lt;author&gt;Steventon, Adam&lt;/author&gt;&lt;author&gt;Deeny, Sarah R&lt;/author&gt;&lt;/authors&gt;&lt;/contributors&gt;&lt;titles&gt;&lt;title&gt;Association between continuity of care in general practice and hospital admissions for ambulatory care sensitive conditions: cross sectional study of routinely collected, person level data&lt;/title&gt;&lt;secondary-title&gt;BMJ&lt;/secondary-title&gt;&lt;/titles&gt;&lt;periodical&gt;&lt;full-title&gt;BMJ&lt;/full-title&gt;&lt;/periodical&gt;&lt;volume&gt;356&lt;/volume&gt;&lt;dates&gt;&lt;year&gt;2017&lt;/year&gt;&lt;/dates&gt;&lt;urls&gt;&lt;/urls&gt;&lt;electronic-resource-num&gt;10.1136/bmj.j84&lt;/electronic-resource-num&gt;&lt;/record&gt;&lt;/Cite&gt;&lt;/EndNote&gt;</w:instrText>
      </w:r>
      <w:r w:rsidR="00A660F3">
        <w:fldChar w:fldCharType="separate"/>
      </w:r>
      <w:r w:rsidR="00A660F3">
        <w:rPr>
          <w:noProof/>
        </w:rPr>
        <w:t xml:space="preserve">Barker, I., Steventon, A., &amp; Deeny, S. R. (2017). Association between continuity of care in general practice and hospital admissions for ambulatory care sensitive conditions: cross sectional study of routinely collected, person level data. </w:t>
      </w:r>
      <w:r w:rsidR="00A660F3" w:rsidRPr="00A660F3">
        <w:rPr>
          <w:i/>
          <w:noProof/>
        </w:rPr>
        <w:t>BMJ, 356</w:t>
      </w:r>
      <w:r w:rsidR="00A660F3">
        <w:rPr>
          <w:noProof/>
        </w:rPr>
        <w:t>.</w:t>
      </w:r>
      <w:r w:rsidR="00A660F3">
        <w:fldChar w:fldCharType="end"/>
      </w:r>
    </w:p>
  </w:footnote>
  <w:footnote w:id="151">
    <w:p w14:paraId="13E7EDA9" w14:textId="2B066DF1" w:rsidR="00AA21E8" w:rsidRPr="00922902" w:rsidRDefault="00AA21E8" w:rsidP="00AA21E8">
      <w:pPr>
        <w:pStyle w:val="FootnoteText"/>
        <w:rPr>
          <w:szCs w:val="18"/>
          <w:lang w:val="en-GB"/>
        </w:rPr>
      </w:pPr>
      <w:r w:rsidRPr="002A29B1">
        <w:rPr>
          <w:rStyle w:val="FootnoteReference"/>
          <w:color w:val="408BCA"/>
        </w:rPr>
        <w:footnoteRef/>
      </w:r>
      <w:r>
        <w:t xml:space="preserve"> </w:t>
      </w:r>
      <w:r>
        <w:fldChar w:fldCharType="begin"/>
      </w:r>
      <w:r w:rsidR="00DC0673">
        <w:instrText xml:space="preserve"> ADDIN EN.CITE &lt;EndNote&gt;&lt;Cite&gt;&lt;Author&gt;Eccles&lt;/Author&gt;&lt;Year&gt;2006&lt;/Year&gt;&lt;RecNum&gt;11067&lt;/RecNum&gt;&lt;DisplayText&gt;Eccles, M. P., &amp;amp; Mittman, B. S. (2006). Welcome to Implementation Science. &lt;style face="italic"&gt;Implementation Science, 1&lt;/style&gt;(1), 1.&lt;/DisplayText&gt;&lt;record&gt;&lt;rec-number&gt;11067&lt;/rec-number&gt;&lt;foreign-keys&gt;&lt;key app="EN" db-id="0zf0e9xwqetx57ep9ee5p9skx9zpfpswrx20" timestamp="1652659684" guid="660e1b04-e003-4b36-91e7-c3a6299d0940"&gt;11067&lt;/key&gt;&lt;/foreign-keys&gt;&lt;ref-type name="Journal Article"&gt;17&lt;/ref-type&gt;&lt;contributors&gt;&lt;authors&gt;&lt;author&gt;Eccles, Martin P.&lt;/author&gt;&lt;author&gt;Mittman, Brian S.&lt;/author&gt;&lt;/authors&gt;&lt;/contributors&gt;&lt;titles&gt;&lt;title&gt;Welcome to Implementation Science&lt;/title&gt;&lt;secondary-title&gt;Implementation Science&lt;/secondary-title&gt;&lt;/titles&gt;&lt;periodical&gt;&lt;full-title&gt;Implementation Science&lt;/full-title&gt;&lt;/periodical&gt;&lt;pages&gt;1&lt;/pages&gt;&lt;volume&gt;1&lt;/volume&gt;&lt;number&gt;1&lt;/number&gt;&lt;dates&gt;&lt;year&gt;2006&lt;/year&gt;&lt;pub-dates&gt;&lt;date&gt;2006/02/22&lt;/date&gt;&lt;/pub-dates&gt;&lt;/dates&gt;&lt;isbn&gt;1748-5908&lt;/isbn&gt;&lt;urls&gt;&lt;related-urls&gt;&lt;url&gt;https://doi.org/10.1186/1748-5908-1-1&lt;/url&gt;&lt;/related-urls&gt;&lt;/urls&gt;&lt;electronic-resource-num&gt;10.1186/1748-5908-1-1&lt;/electronic-resource-num&gt;&lt;/record&gt;&lt;/Cite&gt;&lt;/EndNote&gt;</w:instrText>
      </w:r>
      <w:r>
        <w:fldChar w:fldCharType="separate"/>
      </w:r>
      <w:r w:rsidR="00DC0673">
        <w:rPr>
          <w:noProof/>
        </w:rPr>
        <w:t xml:space="preserve">Eccles, M. P., &amp; Mittman, B. S. (2006). Welcome to Implementation Science. </w:t>
      </w:r>
      <w:r w:rsidR="00DC0673" w:rsidRPr="00DC0673">
        <w:rPr>
          <w:i/>
          <w:noProof/>
        </w:rPr>
        <w:t>Implementation Science, 1</w:t>
      </w:r>
      <w:r w:rsidR="00DC0673">
        <w:rPr>
          <w:noProof/>
        </w:rPr>
        <w:t>(1), 1.</w:t>
      </w:r>
      <w:r>
        <w:fldChar w:fldCharType="end"/>
      </w:r>
    </w:p>
  </w:footnote>
  <w:footnote w:id="152">
    <w:p w14:paraId="43952650" w14:textId="25A31187" w:rsidR="00AA21E8" w:rsidRPr="00CD1101" w:rsidRDefault="00AA21E8" w:rsidP="00AA21E8">
      <w:pPr>
        <w:pStyle w:val="FootnoteText"/>
        <w:spacing w:after="120"/>
        <w:rPr>
          <w:szCs w:val="18"/>
        </w:rPr>
      </w:pPr>
      <w:r w:rsidRPr="005F65F7">
        <w:rPr>
          <w:rStyle w:val="FootnoteReference"/>
          <w:color w:val="408BCA"/>
        </w:rPr>
        <w:footnoteRef/>
      </w:r>
      <w:r>
        <w:t xml:space="preserve"> </w:t>
      </w:r>
      <w:r w:rsidRPr="00513BAE">
        <w:rPr>
          <w:szCs w:val="18"/>
        </w:rPr>
        <w:fldChar w:fldCharType="begin">
          <w:fldData xml:space="preserve">PEVuZE5vdGU+PENpdGU+PEF1dGhvcj5TdGFyZmllbGQ8L0F1dGhvcj48WWVhcj4xOTkxPC9ZZWFy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</w:fldData>
        </w:fldChar>
      </w:r>
      <w:r w:rsidR="00081D00">
        <w:rPr>
          <w:szCs w:val="18"/>
        </w:rPr>
        <w:instrText xml:space="preserve"> ADDIN EN.CITE </w:instrText>
      </w:r>
      <w:r w:rsidR="00081D00">
        <w:rPr>
          <w:szCs w:val="18"/>
        </w:rPr>
        <w:fldChar w:fldCharType="begin">
          <w:fldData xml:space="preserve">PEVuZE5vdGU+PENpdGU+PEF1dGhvcj5TdGFyZmllbGQ8L0F1dGhvcj48WWVhcj4xOTkxPC9ZZWFy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</w:fldData>
        </w:fldChar>
      </w:r>
      <w:r w:rsidR="00081D00">
        <w:rPr>
          <w:szCs w:val="18"/>
        </w:rPr>
        <w:instrText xml:space="preserve"> ADDIN EN.CITE.DATA </w:instrText>
      </w:r>
      <w:r w:rsidR="00081D00">
        <w:rPr>
          <w:szCs w:val="18"/>
        </w:rPr>
      </w:r>
      <w:r w:rsidR="00081D00">
        <w:rPr>
          <w:szCs w:val="18"/>
        </w:rPr>
        <w:fldChar w:fldCharType="end"/>
      </w:r>
      <w:r w:rsidRPr="00513BAE">
        <w:rPr>
          <w:szCs w:val="18"/>
        </w:rPr>
      </w:r>
      <w:r w:rsidRPr="00513BAE">
        <w:rPr>
          <w:szCs w:val="18"/>
        </w:rPr>
        <w:fldChar w:fldCharType="separate"/>
      </w:r>
      <w:r w:rsidR="00081D00">
        <w:rPr>
          <w:noProof/>
          <w:szCs w:val="18"/>
        </w:rPr>
        <w:t xml:space="preserve">Starfield, B., Weiner, J., Mumford, L., &amp; Steinwachs, D. (1991). Ambulatory care groups: a categorization of diagnoses for research and management. </w:t>
      </w:r>
      <w:r w:rsidR="00081D00" w:rsidRPr="00081D00">
        <w:rPr>
          <w:i/>
          <w:noProof/>
          <w:szCs w:val="18"/>
        </w:rPr>
        <w:t>Health Serv Res, 26</w:t>
      </w:r>
      <w:r w:rsidR="00081D00">
        <w:rPr>
          <w:noProof/>
          <w:szCs w:val="18"/>
        </w:rPr>
        <w:t>(1), 53-74.</w:t>
      </w:r>
      <w:r w:rsidRPr="00513BAE">
        <w:rPr>
          <w:szCs w:val="18"/>
        </w:rPr>
        <w:fldChar w:fldCharType="end"/>
      </w:r>
    </w:p>
  </w:footnote>
  <w:footnote w:id="153">
    <w:p w14:paraId="4BEBB490" w14:textId="77777777" w:rsidR="00AA21E8" w:rsidRPr="0056252B" w:rsidRDefault="00AA21E8" w:rsidP="00AA21E8">
      <w:pPr>
        <w:pStyle w:val="FootnoteText"/>
        <w:spacing w:after="120"/>
        <w:rPr>
          <w:szCs w:val="18"/>
        </w:rPr>
      </w:pPr>
      <w:r w:rsidRPr="0056252B">
        <w:rPr>
          <w:rStyle w:val="FootnoteReference"/>
          <w:color w:val="408BCA"/>
        </w:rPr>
        <w:footnoteRef/>
      </w:r>
      <w:r>
        <w:t xml:space="preserve"> </w:t>
      </w:r>
      <w:r w:rsidRPr="00513BAE">
        <w:rPr>
          <w:szCs w:val="18"/>
        </w:rPr>
        <w:fldChar w:fldCharType="begin"/>
      </w:r>
      <w:r w:rsidRPr="00513BAE">
        <w:rPr>
          <w:szCs w:val="18"/>
        </w:rPr>
        <w:instrText xml:space="preserve"> ADDIN EN.CITE &lt;EndNote&gt;&lt;Cite&gt;&lt;Author&gt;Johns Hopkins ACG® System&lt;/Author&gt;&lt;Year&gt;2021&lt;/Year&gt;&lt;RecNum&gt;1551&lt;/RecNum&gt;&lt;DisplayText&gt;Johns Hopkins ACG® System. (2021). &lt;style face="italic"&gt;The Johns Hopkins ACG System&lt;/style&gt;. Retrieved October from https://www.hopkinsacg.org/resource-center/#documentation&lt;/DisplayText&gt;&lt;record&gt;&lt;rec-number&gt;1551&lt;/rec-number&gt;&lt;foreign-keys&gt;&lt;key app="EN" db-id="zdz9xax04zr9v0evw2nvrpw9xe9ttzvs5zsv" timestamp="1651648709"&gt;1551&lt;/key&gt;&lt;/foreign-keys&gt;&lt;ref-type name="Web Page"&gt;12&lt;/ref-type&gt;&lt;contributors&gt;&lt;authors&gt;&lt;author&gt;Johns Hopkins ACG® System,&lt;/author&gt;&lt;/authors&gt;&lt;secondary-authors&gt;&lt;author&gt;Version 12.0&lt;/author&gt;&lt;/secondary-authors&gt;&lt;/contributors&gt;&lt;titles&gt;&lt;title&gt;The Johns Hopkins ACG System&lt;/title&gt;&lt;/titles&gt;&lt;volume&gt;2021&lt;/volume&gt;&lt;number&gt;October&lt;/number&gt;&lt;dates&gt;&lt;year&gt;2021&lt;/year&gt;&lt;/dates&gt;&lt;urls&gt;&lt;related-urls&gt;&lt;url&gt;https://www.hopkinsacg.org/resource-center/#documentation&lt;/url&gt;&lt;/related-urls&gt;&lt;/urls&gt;&lt;/record&gt;&lt;/Cite&gt;&lt;/EndNote&gt;</w:instrText>
      </w:r>
      <w:r w:rsidRPr="00513BAE">
        <w:rPr>
          <w:szCs w:val="18"/>
        </w:rPr>
        <w:fldChar w:fldCharType="separate"/>
      </w:r>
      <w:r w:rsidRPr="00513BAE">
        <w:rPr>
          <w:szCs w:val="18"/>
        </w:rPr>
        <w:t xml:space="preserve">Johns Hopkins ACG® System. (2021). </w:t>
      </w:r>
      <w:r w:rsidRPr="00513BAE">
        <w:rPr>
          <w:i/>
          <w:szCs w:val="18"/>
        </w:rPr>
        <w:t>The Johns Hopkins ACG System</w:t>
      </w:r>
      <w:r w:rsidRPr="00513BAE">
        <w:rPr>
          <w:szCs w:val="18"/>
        </w:rPr>
        <w:t>. Retrieved October from https://www.hopkinsacg.org/resource-center/#documentation</w:t>
      </w:r>
      <w:r w:rsidRPr="00513BAE">
        <w:rPr>
          <w:szCs w:val="18"/>
        </w:rPr>
        <w:fldChar w:fldCharType="end"/>
      </w:r>
    </w:p>
  </w:footnote>
  <w:footnote w:id="154">
    <w:p w14:paraId="2C7AC890" w14:textId="77777777" w:rsidR="00AA21E8" w:rsidRPr="0056252B" w:rsidRDefault="00AA21E8" w:rsidP="00AA21E8">
      <w:pPr>
        <w:pStyle w:val="FootnoteText"/>
        <w:spacing w:after="120"/>
        <w:rPr>
          <w:szCs w:val="18"/>
        </w:rPr>
      </w:pPr>
      <w:r w:rsidRPr="0056252B">
        <w:rPr>
          <w:rStyle w:val="FootnoteReference"/>
          <w:color w:val="408BCA"/>
        </w:rPr>
        <w:footnoteRef/>
      </w:r>
      <w:r>
        <w:t xml:space="preserve"> </w:t>
      </w:r>
      <w:r>
        <w:rPr>
          <w:szCs w:val="18"/>
        </w:rPr>
        <w:fldChar w:fldCharType="begin"/>
      </w:r>
      <w:r>
        <w:rPr>
          <w:szCs w:val="18"/>
        </w:rPr>
        <w:instrText xml:space="preserve"> ADDIN EN.CITE &lt;EndNote&gt;&lt;Cite&gt;&lt;Author&gt;Canadian Institute for Health Information (CIHI)&lt;/Author&gt;&lt;Year&gt;2022&lt;/Year&gt;&lt;RecNum&gt;1586&lt;/RecNum&gt;&lt;DisplayText&gt;Canadian Institute for Health Information (CIHI). (2022). &lt;style face="italic"&gt;Population Grouping Methodology&lt;/style&gt;. CIHI. Retrieved 16/5/2022 from https://www.cihi.ca/sites/default/files/document/infosheet_popgroupmethod_en_web_0.pdf&lt;/DisplayText&gt;&lt;record&gt;&lt;rec-number&gt;1586&lt;/rec-number&gt;&lt;foreign-keys&gt;&lt;key app="EN" db-id="zdz9xax04zr9v0evw2nvrpw9xe9ttzvs5zsv" timestamp="1652665160"&gt;1586&lt;/key&gt;&lt;/foreign-keys&gt;&lt;ref-type name="Web Page"&gt;12&lt;/ref-type&gt;&lt;contributors&gt;&lt;authors&gt;&lt;author&gt;Canadian Institute for Health Information (CIHI),&lt;/author&gt;&lt;/authors&gt;&lt;/contributors&gt;&lt;titles&gt;&lt;title&gt;Population Grouping Methodology&lt;/title&gt;&lt;/titles&gt;&lt;number&gt;16/5/2022&lt;/number&gt;&lt;dates&gt;&lt;year&gt;2022&lt;/year&gt;&lt;/dates&gt;&lt;publisher&gt;CIHI&lt;/publisher&gt;&lt;urls&gt;&lt;related-urls&gt;&lt;url&gt;https://www.cihi.ca/sites/default/files/document/infosheet_popgroupmethod_en_web_0.pdf&lt;/url&gt;&lt;/related-urls&gt;&lt;/urls&gt;&lt;/record&gt;&lt;/Cite&gt;&lt;/EndNote&gt;</w:instrText>
      </w:r>
      <w:r>
        <w:rPr>
          <w:szCs w:val="18"/>
        </w:rPr>
        <w:fldChar w:fldCharType="separate"/>
      </w:r>
      <w:r>
        <w:rPr>
          <w:noProof/>
          <w:szCs w:val="18"/>
        </w:rPr>
        <w:t xml:space="preserve">Canadian Institute for Health Information (CIHI). (2022). </w:t>
      </w:r>
      <w:r w:rsidRPr="005E7236">
        <w:rPr>
          <w:i/>
          <w:noProof/>
          <w:szCs w:val="18"/>
        </w:rPr>
        <w:t>Population Grouping Methodology</w:t>
      </w:r>
      <w:r>
        <w:rPr>
          <w:noProof/>
          <w:szCs w:val="18"/>
        </w:rPr>
        <w:t>. CIHI. Retrieved 16/5/2022 from https://www.cihi.ca/sites/default/files/document/infosheet_popgroupmethod_en_web_0.pdf</w:t>
      </w:r>
      <w:r>
        <w:rPr>
          <w:szCs w:val="18"/>
        </w:rPr>
        <w:fldChar w:fldCharType="end"/>
      </w:r>
    </w:p>
  </w:footnote>
  <w:footnote w:id="155">
    <w:p w14:paraId="7D6D0464" w14:textId="77777777" w:rsidR="00AA21E8" w:rsidRPr="00CD1101" w:rsidRDefault="00AA21E8" w:rsidP="00AA21E8">
      <w:pPr>
        <w:pStyle w:val="FootnoteText"/>
        <w:rPr>
          <w:lang w:val="en-US"/>
        </w:rPr>
      </w:pPr>
      <w:r w:rsidRPr="005F65F7">
        <w:rPr>
          <w:rStyle w:val="FootnoteReference"/>
          <w:color w:val="408BCA"/>
        </w:rPr>
        <w:footnoteRef/>
      </w:r>
      <w:r w:rsidRPr="00CD1101">
        <w:rPr>
          <w:szCs w:val="18"/>
        </w:rPr>
        <w:t xml:space="preserve"> </w:t>
      </w:r>
      <w:r w:rsidRPr="00CD1101">
        <w:rPr>
          <w:szCs w:val="18"/>
        </w:rPr>
        <w:fldChar w:fldCharType="begin"/>
      </w:r>
      <w:r w:rsidRPr="00CD1101">
        <w:rPr>
          <w:szCs w:val="18"/>
        </w:rPr>
        <w:instrText xml:space="preserve"> ADDIN EN.CITE &lt;EndNote&gt;&lt;Cite&gt;&lt;Author&gt;Oliver-Baxter&lt;/Author&gt;&lt;Year&gt;2015&lt;/Year&gt;&lt;RecNum&gt;1050&lt;/RecNum&gt;&lt;DisplayText&gt;Oliver-Baxter, J., Bywood, P., &amp;amp; Erny-Albrecht, K. (2015). &lt;style face="italic"&gt;Predictive risk models to identify people with chronic conditions at risk of hospitalisation&lt;/style&gt; (PHCRIS Policy Issue Review, Issue. https://dspace.flinders.edu.au/xmlui/bitstream/handle/2328/36226/PIR_Predictive%20risk%20model.pdf?sequence=1&amp;amp;isAllowed=y&lt;/DisplayText&gt;&lt;record&gt;&lt;rec-number&gt;1050&lt;/rec-number&gt;&lt;foreign-keys&gt;&lt;key app="EN" db-id="zdz9xax04zr9v0evw2nvrpw9xe9ttzvs5zsv" timestamp="1536536930"&gt;1050&lt;/key&gt;&lt;/foreign-keys&gt;&lt;ref-type name="Report"&gt;27&lt;/ref-type&gt;&lt;contributors&gt;&lt;authors&gt;&lt;author&gt;Oliver-Baxter, J.&lt;/author&gt;&lt;author&gt;Bywood, P.&lt;/author&gt;&lt;author&gt;Erny-Albrecht, K.&lt;/author&gt;&lt;/authors&gt;&lt;/contributors&gt;&lt;titles&gt;&lt;title&gt;Predictive risk models to identify people with chronic conditions at risk of hospitalisation&lt;/title&gt;&lt;secondary-title&gt;PHCRIS Policy Issue Review&lt;/secondary-title&gt;&lt;/titles&gt;&lt;dates&gt;&lt;year&gt;2015&lt;/year&gt;&lt;/dates&gt;&lt;pub-location&gt;Adelaide&lt;/pub-location&gt;&lt;publisher&gt;Primary Health Care Research &amp;amp; Information Service&lt;/publisher&gt;&lt;urls&gt;&lt;related-urls&gt;&lt;url&gt;https://dspace.flinders.edu.au/xmlui/bitstream/handle/2328/36226/PIR_Predictive%20risk%20model.pdf?sequence=1&amp;amp;isAllowed=y&lt;/url&gt;&lt;/related-urls&gt;&lt;/urls&gt;&lt;/record&gt;&lt;/Cite&gt;&lt;/EndNote&gt;</w:instrText>
      </w:r>
      <w:r w:rsidRPr="00CD1101">
        <w:rPr>
          <w:szCs w:val="18"/>
        </w:rPr>
        <w:fldChar w:fldCharType="separate"/>
      </w:r>
      <w:r w:rsidRPr="00CD1101">
        <w:rPr>
          <w:noProof/>
          <w:szCs w:val="18"/>
        </w:rPr>
        <w:t xml:space="preserve">Oliver-Baxter, J., Bywood, P., &amp; Erny-Albrecht, K. (2015). </w:t>
      </w:r>
      <w:r w:rsidRPr="00CD1101">
        <w:rPr>
          <w:i/>
          <w:noProof/>
          <w:szCs w:val="18"/>
        </w:rPr>
        <w:t>Predictive risk models to identify people with chronic conditions at risk of hospitalisation</w:t>
      </w:r>
      <w:r w:rsidRPr="00CD1101">
        <w:rPr>
          <w:noProof/>
          <w:szCs w:val="18"/>
        </w:rPr>
        <w:t xml:space="preserve"> (PHCRIS Policy Issue Review, Issue. https://dspace.flinders.edu.au/xmlui/bitstream/handle/2328/36226/PIR_Predictive%20risk%20model.pdf?sequence=1&amp;isAllowed=y</w:t>
      </w:r>
      <w:r w:rsidRPr="00CD1101">
        <w:rPr>
          <w:szCs w:val="18"/>
        </w:rPr>
        <w:fldChar w:fldCharType="end"/>
      </w:r>
    </w:p>
  </w:footnote>
  <w:footnote w:id="156">
    <w:p w14:paraId="5A4E667D" w14:textId="0369F82F" w:rsidR="00AA21E8" w:rsidRPr="00872311" w:rsidRDefault="00AA21E8" w:rsidP="00AA21E8">
      <w:pPr>
        <w:pStyle w:val="FootnoteText"/>
        <w:rPr>
          <w:lang w:val="en-US"/>
        </w:rPr>
      </w:pPr>
      <w:r w:rsidRPr="005F65F7">
        <w:rPr>
          <w:rStyle w:val="FootnoteReference"/>
          <w:color w:val="408BCA"/>
        </w:rPr>
        <w:footnoteRef/>
      </w:r>
      <w:r>
        <w:t xml:space="preserve"> </w:t>
      </w:r>
      <w:r>
        <w:fldChar w:fldCharType="begin"/>
      </w:r>
      <w:r w:rsidR="00DC0673">
        <w:instrText xml:space="preserve"> ADDIN EN.CITE &lt;EndNote&gt;&lt;Cite&gt;&lt;Author&gt;Khanna&lt;/Author&gt;&lt;Year&gt;2019&lt;/Year&gt;&lt;RecNum&gt;1124&lt;/RecNum&gt;&lt;DisplayText&gt;Khanna, S., Rolls, D. A., Boyle, J., Xie, Y., Jayasena, R., Hibbert, M., &amp;amp; Georgeff, M. (2019a). A risk stratification tool for hospitalisation in Australia using primary care data. &lt;style face="italic"&gt;Sci Rep, 9&lt;/style&gt;(1), 5011.&lt;/DisplayText&gt;&lt;record&gt;&lt;rec-number&gt;1124&lt;/rec-number&gt;&lt;foreign-keys&gt;&lt;key app="EN" db-id="zdz9xax04zr9v0evw2nvrpw9xe9ttzvs5zsv" timestamp="1570081645"&gt;1124&lt;/key&gt;&lt;/foreign-keys&gt;&lt;ref-type name="Journal Article"&gt;17&lt;/ref-type&gt;&lt;contributors&gt;&lt;authors&gt;&lt;author&gt;Khanna, S.&lt;/author&gt;&lt;author&gt;Rolls, D. A.&lt;/author&gt;&lt;author&gt;Boyle, J.&lt;/author&gt;&lt;author&gt;Xie, Y.&lt;/author&gt;&lt;author&gt;Jayasena, R.&lt;/author&gt;&lt;author&gt;Hibbert, M.&lt;/author&gt;&lt;author&gt;Georgeff, M.&lt;/author&gt;&lt;/authors&gt;&lt;/contributors&gt;&lt;auth-address&gt;CSIRO Australian e-Health Research Centre, Brisbane, QLD 4029, Australia. Sankalp.Khanna@csiro.au.&amp;#xD;CSIRO Australian e-Health Research Centre, Melbourne, VIC 3052, Australia.&amp;#xD;CSIRO Australian e-Health Research Centre, Brisbane, QLD 4029, Australia.&amp;#xD;CSIRO Australian e-Health Research Centre, Sydney, NSW 2122, Australia.&amp;#xD;Precedence Health Care, Melbourne, VIC 3000, Australia.&lt;/auth-address&gt;&lt;titles&gt;&lt;title&gt;A risk stratification tool for hospitalisation in Australia using primary care data&lt;/title&gt;&lt;secondary-title&gt;Sci Rep&lt;/secondary-title&gt;&lt;/titles&gt;&lt;periodical&gt;&lt;full-title&gt;Sci Rep&lt;/full-title&gt;&lt;/periodical&gt;&lt;pages&gt;5011&lt;/pages&gt;&lt;volume&gt;9&lt;/volume&gt;&lt;number&gt;1&lt;/number&gt;&lt;dates&gt;&lt;year&gt;2019&lt;/year&gt;&lt;pub-dates&gt;&lt;date&gt;Mar 21&lt;/date&gt;&lt;/pub-dates&gt;&lt;/dates&gt;&lt;isbn&gt;2045-2322 (Electronic)&amp;#xD;2045-2322 (Linking)&lt;/isbn&gt;&lt;accession-num&gt;30899054&lt;/accession-num&gt;&lt;urls&gt;&lt;related-urls&gt;&lt;url&gt;https://www.ncbi.nlm.nih.gov/pubmed/30899054&lt;/url&gt;&lt;/related-urls&gt;&lt;/urls&gt;&lt;custom2&gt;PMC6428894&lt;/custom2&gt;&lt;electronic-resource-num&gt;10.1038/s41598-019-41383-y&lt;/electronic-resource-num&gt;&lt;/record&gt;&lt;/Cite&gt;&lt;/EndNote&gt;</w:instrText>
      </w:r>
      <w:r>
        <w:fldChar w:fldCharType="separate"/>
      </w:r>
      <w:r w:rsidR="00DC0673">
        <w:rPr>
          <w:noProof/>
        </w:rPr>
        <w:t xml:space="preserve">Khanna, S., Rolls, D. A., Boyle, J., Xie, Y., Jayasena, R., Hibbert, M., &amp; Georgeff, M. (2019a). A risk stratification tool for hospitalisation in Australia using primary care data. </w:t>
      </w:r>
      <w:r w:rsidR="00DC0673" w:rsidRPr="00DC0673">
        <w:rPr>
          <w:i/>
          <w:noProof/>
        </w:rPr>
        <w:t>Sci Rep, 9</w:t>
      </w:r>
      <w:r w:rsidR="00DC0673">
        <w:rPr>
          <w:noProof/>
        </w:rPr>
        <w:t>(1), 5011.</w:t>
      </w:r>
      <w:r>
        <w:fldChar w:fldCharType="end"/>
      </w:r>
    </w:p>
  </w:footnote>
  <w:footnote w:id="157">
    <w:p w14:paraId="2206702A" w14:textId="672E3B3F" w:rsidR="00C40C4E" w:rsidRPr="00C40C4E" w:rsidRDefault="00C40C4E">
      <w:pPr>
        <w:pStyle w:val="FootnoteText"/>
        <w:rPr>
          <w:lang w:val="en-US"/>
        </w:rPr>
      </w:pPr>
      <w:r w:rsidRPr="00AD3B13">
        <w:rPr>
          <w:rStyle w:val="FootnoteReference"/>
          <w:color w:val="408BCA"/>
        </w:rPr>
        <w:footnoteRef/>
      </w:r>
      <w:r w:rsidRPr="00AD3B13">
        <w:rPr>
          <w:rStyle w:val="FootnoteReference"/>
          <w:color w:val="408BCA"/>
        </w:rPr>
        <w:t xml:space="preserve"> </w:t>
      </w:r>
      <w:r w:rsidR="00D14E42" w:rsidRPr="00A73BB0">
        <w:rPr>
          <w:lang w:val="en-US"/>
        </w:rPr>
        <w:t>S</w:t>
      </w:r>
      <w:r w:rsidR="00D14E42">
        <w:rPr>
          <w:lang w:val="en-US"/>
        </w:rPr>
        <w:t>teering Committee for the Report on Government Services</w:t>
      </w:r>
      <w:r w:rsidR="000F117F">
        <w:rPr>
          <w:lang w:val="en-US"/>
        </w:rPr>
        <w:t xml:space="preserve">, 2021 </w:t>
      </w:r>
      <w:r w:rsidR="000F117F" w:rsidRPr="00595AAB">
        <w:rPr>
          <w:i/>
          <w:iCs/>
          <w:lang w:val="en-US"/>
        </w:rPr>
        <w:t>Report on Government Services</w:t>
      </w:r>
      <w:r w:rsidR="00DE215B" w:rsidRPr="00595AAB">
        <w:rPr>
          <w:i/>
          <w:iCs/>
          <w:lang w:val="en-US"/>
        </w:rPr>
        <w:t xml:space="preserve"> 202</w:t>
      </w:r>
      <w:r w:rsidR="008615E4" w:rsidRPr="00595AAB">
        <w:rPr>
          <w:i/>
          <w:iCs/>
          <w:lang w:val="en-US"/>
        </w:rPr>
        <w:t>0</w:t>
      </w:r>
      <w:r w:rsidR="00595AAB">
        <w:rPr>
          <w:i/>
          <w:iCs/>
          <w:lang w:val="en-US"/>
        </w:rPr>
        <w:t xml:space="preserve">. </w:t>
      </w:r>
      <w:r w:rsidR="00595AAB" w:rsidRPr="00595AAB">
        <w:rPr>
          <w:lang w:val="en-US"/>
        </w:rPr>
        <w:t>Productivity Commission</w:t>
      </w:r>
      <w:r w:rsidR="00595AAB">
        <w:rPr>
          <w:i/>
          <w:iCs/>
          <w:lang w:val="en-US"/>
        </w:rPr>
        <w:t>.</w:t>
      </w:r>
      <w:r w:rsidR="008615E4">
        <w:rPr>
          <w:lang w:val="en-US"/>
        </w:rPr>
        <w:t xml:space="preserve"> </w:t>
      </w:r>
      <w:r w:rsidR="00904ABA" w:rsidRPr="00904ABA">
        <w:rPr>
          <w:lang w:val="en-US"/>
        </w:rPr>
        <w:t>Table 10A.53</w:t>
      </w:r>
      <w:r w:rsidR="004A29CA">
        <w:rPr>
          <w:lang w:val="en-US"/>
        </w:rPr>
        <w:t xml:space="preserve">. </w:t>
      </w:r>
      <w:r w:rsidR="004A29CA">
        <w:t xml:space="preserve">This was based on data supplied by </w:t>
      </w:r>
      <w:r w:rsidR="004A29CA" w:rsidRPr="00A33FBD">
        <w:t xml:space="preserve">Department of Health using linked data elements from </w:t>
      </w:r>
      <w:r w:rsidR="004A29CA">
        <w:t>MBS</w:t>
      </w:r>
      <w:r w:rsidR="004A29CA" w:rsidRPr="00A33FBD">
        <w:t>, Practice Incentive Payments and the National Health Services Directory</w:t>
      </w:r>
      <w:r w:rsidR="004A29CA">
        <w:t>.</w:t>
      </w:r>
      <w:r w:rsidR="006D75FB">
        <w:t xml:space="preserve"> </w:t>
      </w:r>
    </w:p>
  </w:footnote>
  <w:footnote w:id="158">
    <w:p w14:paraId="017C4F6C" w14:textId="6B5BE1DC" w:rsidR="00455115" w:rsidRPr="00455115" w:rsidRDefault="00455115">
      <w:pPr>
        <w:pStyle w:val="FootnoteText"/>
        <w:rPr>
          <w:lang w:val="en-US"/>
        </w:rPr>
      </w:pPr>
      <w:r w:rsidRPr="002E7EBF">
        <w:rPr>
          <w:rStyle w:val="FootnoteReference"/>
          <w:color w:val="408BCA"/>
        </w:rPr>
        <w:footnoteRef/>
      </w:r>
      <w:r>
        <w:t xml:space="preserve"> </w:t>
      </w:r>
      <w:r>
        <w:rPr>
          <w:lang w:val="en-US"/>
        </w:rPr>
        <w:t xml:space="preserve">See also </w:t>
      </w:r>
      <w:r w:rsidR="009B12AF">
        <w:rPr>
          <w:lang w:val="en-US"/>
        </w:rPr>
        <w:fldChar w:fldCharType="begin"/>
      </w:r>
      <w:r w:rsidR="009B12AF">
        <w:rPr>
          <w:lang w:val="en-US"/>
        </w:rPr>
        <w:instrText xml:space="preserve"> ADDIN EN.CITE &lt;EndNote&gt;&lt;Cite&gt;&lt;Author&gt;NPS MedicineWise&lt;/Author&gt;&lt;Year&gt;2021&lt;/Year&gt;&lt;RecNum&gt;1533&lt;/RecNum&gt;&lt;DisplayText&gt;NPS MedicineWise. (2021). &lt;style face="italic"&gt;General Practice Insights Report July 2019–June 2020 including analyses related to the impact of COVID-19&lt;/style&gt;. https://www.nps.org.au/assets/NPS/pdf/GPIR-Report-2019-20.pdf&lt;/DisplayText&gt;&lt;record&gt;&lt;rec-number&gt;1533&lt;/rec-number&gt;&lt;foreign-keys&gt;&lt;key app="EN" db-id="zdz9xax04zr9v0evw2nvrpw9xe9ttzvs5zsv" timestamp="1651026972"&gt;1533&lt;/key&gt;&lt;/foreign-keys&gt;&lt;ref-type name="Report"&gt;27&lt;/ref-type&gt;&lt;contributors&gt;&lt;authors&gt;&lt;author&gt;NPS MedicineWise,&lt;/author&gt;&lt;/authors&gt;&lt;/contributors&gt;&lt;titles&gt;&lt;title&gt;General Practice Insights Report July 2019–June 2020 including analyses related to the impact of COVID-19&lt;/title&gt;&lt;/titles&gt;&lt;dates&gt;&lt;year&gt;2021&lt;/year&gt;&lt;/dates&gt;&lt;pub-location&gt;Sydney&lt;/pub-location&gt;&lt;publisher&gt;NPS MedicineWise&lt;/publisher&gt;&lt;urls&gt;&lt;related-urls&gt;&lt;url&gt;https://www.nps.org.au/assets/NPS/pdf/GPIR-Report-2019-20.pdf&lt;/url&gt;&lt;/related-urls&gt;&lt;/urls&gt;&lt;/record&gt;&lt;/Cite&gt;&lt;/EndNote&gt;</w:instrText>
      </w:r>
      <w:r w:rsidR="009B12AF">
        <w:rPr>
          <w:lang w:val="en-US"/>
        </w:rPr>
        <w:fldChar w:fldCharType="separate"/>
      </w:r>
      <w:r w:rsidR="009B12AF">
        <w:rPr>
          <w:noProof/>
          <w:lang w:val="en-US"/>
        </w:rPr>
        <w:t xml:space="preserve">NPS MedicineWise. (2021). </w:t>
      </w:r>
      <w:r w:rsidR="009B12AF" w:rsidRPr="009B12AF">
        <w:rPr>
          <w:i/>
          <w:noProof/>
          <w:lang w:val="en-US"/>
        </w:rPr>
        <w:t>General Practice Insights Report July 2019–June 2020 including analyses related to the impact of COVID-19</w:t>
      </w:r>
      <w:r w:rsidR="009B12AF">
        <w:rPr>
          <w:noProof/>
          <w:lang w:val="en-US"/>
        </w:rPr>
        <w:t>. https://www.nps.org.au/assets/NPS/pdf/GPIR-Report-2019-20.pdf</w:t>
      </w:r>
      <w:r w:rsidR="009B12AF">
        <w:rPr>
          <w:lang w:val="en-US"/>
        </w:rPr>
        <w:fldChar w:fldCharType="end"/>
      </w:r>
      <w:r w:rsidR="009B12AF">
        <w:rPr>
          <w:lang w:val="en-US"/>
        </w:rPr>
        <w:t xml:space="preserve">, </w:t>
      </w:r>
      <w:r w:rsidR="00C95B5A">
        <w:rPr>
          <w:lang w:val="en-US"/>
        </w:rPr>
        <w:t>Table 2.2</w:t>
      </w:r>
      <w:r w:rsidR="00D80FC3">
        <w:rPr>
          <w:lang w:val="en-US"/>
        </w:rPr>
        <w:t>.</w:t>
      </w:r>
      <w:r w:rsidR="00C95B5A">
        <w:rPr>
          <w:lang w:val="en-US"/>
        </w:rPr>
        <w:t xml:space="preserve"> </w:t>
      </w:r>
    </w:p>
  </w:footnote>
  <w:footnote w:id="159">
    <w:p w14:paraId="4FAAD957" w14:textId="674A2397" w:rsidR="006072E7" w:rsidRPr="006072E7" w:rsidRDefault="006072E7">
      <w:pPr>
        <w:pStyle w:val="FootnoteText"/>
        <w:rPr>
          <w:lang w:val="en-US"/>
        </w:rPr>
      </w:pPr>
      <w:r w:rsidRPr="001F3CA3">
        <w:rPr>
          <w:rStyle w:val="FootnoteReference"/>
          <w:color w:val="408BCA"/>
        </w:rPr>
        <w:footnoteRef/>
      </w:r>
      <w:r>
        <w:t xml:space="preserve"> </w:t>
      </w:r>
      <w:r w:rsidR="00AD2ED5">
        <w:fldChar w:fldCharType="begin"/>
      </w:r>
      <w:r w:rsidR="00DC0673">
        <w:instrText xml:space="preserve"> ADDIN EN.CITE &lt;EndNote&gt;&lt;Cite&gt;&lt;Author&gt;Hemming&lt;/Author&gt;&lt;Year&gt;2015&lt;/Year&gt;&lt;RecNum&gt;1099&lt;/RecNum&gt;&lt;DisplayText&gt;Hemming, K., Haines, T. P., Chilton, P. J., Girling, A. J., &amp;amp; Lilford, R. J. (2015). The stepped wedge cluster randomised trial: rationale, design, analysis, and reporting. &lt;style face="italic"&gt;BMJ, 350&lt;/style&gt;, h391.&lt;/DisplayText&gt;&lt;record&gt;&lt;rec-number&gt;1099&lt;/rec-number&gt;&lt;foreign-keys&gt;&lt;key app="EN" db-id="zdz9xax04zr9v0evw2nvrpw9xe9ttzvs5zsv" timestamp="1547679115"&gt;1099&lt;/key&gt;&lt;/foreign-keys&gt;&lt;ref-type name="Journal Article"&gt;17&lt;/ref-type&gt;&lt;contributors&gt;&lt;authors&gt;&lt;author&gt;Hemming, K.&lt;/author&gt;&lt;author&gt;Haines, T. P.&lt;/author&gt;&lt;author&gt;Chilton, P. J.&lt;/author&gt;&lt;author&gt;Girling, A. J.&lt;/author&gt;&lt;author&gt;Lilford, R. J.&lt;/author&gt;&lt;/authors&gt;&lt;/contributors&gt;&lt;auth-address&gt;University of Birmingham, Birmingham B15 2TT, UK k.hemming@bham.ac.uk.&amp;#xD;Monash University, Victoria 3800, Australia.&amp;#xD;University of Birmingham, Birmingham B15 2TT, UK.&amp;#xD;University of Warwick, Coventry CV4 7AL, UK.&lt;/auth-address&gt;&lt;titles&gt;&lt;title&gt;The stepped wedge cluster randomised trial: rationale, design, analysis, and reporting&lt;/title&gt;&lt;secondary-title&gt;BMJ&lt;/secondary-title&gt;&lt;/titles&gt;&lt;periodical&gt;&lt;full-title&gt;BMJ&lt;/full-title&gt;&lt;/periodical&gt;&lt;pages&gt;h391&lt;/pages&gt;&lt;volume&gt;350&lt;/volume&gt;&lt;keywords&gt;&lt;keyword&gt;*Clinical Protocols&lt;/keyword&gt;&lt;keyword&gt;Cluster Analysis&lt;/keyword&gt;&lt;keyword&gt;Data Interpretation, Statistical&lt;/keyword&gt;&lt;keyword&gt;Humans&lt;/keyword&gt;&lt;keyword&gt;Randomized Controlled Trials as Topic/*methods&lt;/keyword&gt;&lt;/keywords&gt;&lt;dates&gt;&lt;year&gt;2015&lt;/year&gt;&lt;pub-dates&gt;&lt;date&gt;Feb 6&lt;/date&gt;&lt;/pub-dates&gt;&lt;/dates&gt;&lt;isbn&gt;1756-1833 (Electronic)&amp;#xD;0959-8138 (Linking)&lt;/isbn&gt;&lt;accession-num&gt;25662947&lt;/accession-num&gt;&lt;urls&gt;&lt;related-urls&gt;&lt;url&gt;https://www.ncbi.nlm.nih.gov/pubmed/25662947&lt;/url&gt;&lt;url&gt;https://www.bmj.com/content/bmj/350/bmj.h391.full.pdf&lt;/url&gt;&lt;/related-urls&gt;&lt;/urls&gt;&lt;electronic-resource-num&gt;10.1136/bmj.h391&lt;/electronic-resource-num&gt;&lt;/record&gt;&lt;/Cite&gt;&lt;/EndNote&gt;</w:instrText>
      </w:r>
      <w:r w:rsidR="00AD2ED5">
        <w:fldChar w:fldCharType="separate"/>
      </w:r>
      <w:r w:rsidR="00DC0673">
        <w:rPr>
          <w:noProof/>
        </w:rPr>
        <w:t xml:space="preserve">Hemming, K., Haines, T. P., Chilton, P. J., Girling, A. J., &amp; Lilford, R. J. (2015). The stepped wedge cluster randomised trial: rationale, design, analysis, and reporting. </w:t>
      </w:r>
      <w:r w:rsidR="00DC0673" w:rsidRPr="00DC0673">
        <w:rPr>
          <w:i/>
          <w:noProof/>
        </w:rPr>
        <w:t>BMJ, 350</w:t>
      </w:r>
      <w:r w:rsidR="00DC0673">
        <w:rPr>
          <w:noProof/>
        </w:rPr>
        <w:t>, h391.</w:t>
      </w:r>
      <w:r w:rsidR="00AD2ED5">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E07EEA" w14:textId="77777777" w:rsidR="003E3EC7" w:rsidRDefault="003E3EC7" w:rsidP="00870926"/>
  <w:p w14:paraId="4F71ACBA" w14:textId="77777777" w:rsidR="003E3EC7" w:rsidRDefault="003E3EC7" w:rsidP="00870926"/>
  <w:p w14:paraId="56FC2D9E" w14:textId="77777777" w:rsidR="003E3EC7" w:rsidRDefault="003E3EC7">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3E82BD" w14:textId="77777777" w:rsidR="005B6744" w:rsidRPr="00BE73A4" w:rsidRDefault="005B6744" w:rsidP="0087092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061D4AF" w14:textId="77777777" w:rsidR="005B6744" w:rsidRPr="00BE73A4" w:rsidRDefault="005B6744" w:rsidP="00870926">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51E7C1" w14:textId="1078A600" w:rsidR="002A4D96" w:rsidRPr="00BE73A4" w:rsidRDefault="007D450C" w:rsidP="00870926">
    <w:pPr>
      <w:pStyle w:val="Header"/>
    </w:pPr>
    <w:r>
      <w:rPr>
        <w:noProof/>
      </w:rPr>
      <mc:AlternateContent>
        <mc:Choice Requires="wps">
          <w:drawing>
            <wp:anchor distT="0" distB="0" distL="114300" distR="114300" simplePos="0" relativeHeight="251658245" behindDoc="0" locked="0" layoutInCell="1" allowOverlap="1" wp14:anchorId="06734D1C" wp14:editId="3C2B56B8">
              <wp:simplePos x="0" y="0"/>
              <wp:positionH relativeFrom="column">
                <wp:posOffset>-914400</wp:posOffset>
              </wp:positionH>
              <wp:positionV relativeFrom="paragraph">
                <wp:posOffset>-448310</wp:posOffset>
              </wp:positionV>
              <wp:extent cx="7543800" cy="10706100"/>
              <wp:effectExtent l="0" t="0" r="0" b="0"/>
              <wp:wrapNone/>
              <wp:docPr id="39" name="Rectangle 6300" descr="text, financial impacts"/>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3800" cy="10706100"/>
                      </a:xfrm>
                      <a:prstGeom prst="rect">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5B2B10" id="Rectangle 6300" o:spid="_x0000_s1026" alt="text, financial impacts" style="position:absolute;margin-left:-1in;margin-top:-35.3pt;width:594pt;height:843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" fillcolor="#e7e6e6 [3214]" strokecolor="#e7e6e6 [3214]" strokeweight="1pt">
              <v:path arrowok="t"/>
            </v:rect>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93437C" w14:textId="77777777" w:rsidR="005B6744" w:rsidRPr="00BE73A4" w:rsidRDefault="005B6744" w:rsidP="00870926">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0DA747" w14:textId="74EE50CE" w:rsidR="002A4D96" w:rsidRPr="00BE73A4" w:rsidRDefault="007D450C" w:rsidP="00870926">
    <w:pPr>
      <w:pStyle w:val="Header"/>
    </w:pPr>
    <w:r>
      <w:rPr>
        <w:noProof/>
      </w:rPr>
      <mc:AlternateContent>
        <mc:Choice Requires="wps">
          <w:drawing>
            <wp:anchor distT="0" distB="0" distL="114300" distR="114300" simplePos="0" relativeHeight="251658243" behindDoc="0" locked="0" layoutInCell="1" allowOverlap="1" wp14:anchorId="4F163F25" wp14:editId="4161163B">
              <wp:simplePos x="0" y="0"/>
              <wp:positionH relativeFrom="column">
                <wp:posOffset>-914400</wp:posOffset>
              </wp:positionH>
              <wp:positionV relativeFrom="paragraph">
                <wp:posOffset>-457835</wp:posOffset>
              </wp:positionV>
              <wp:extent cx="7543800" cy="10706100"/>
              <wp:effectExtent l="0" t="0" r="0" b="0"/>
              <wp:wrapNone/>
              <wp:docPr id="25" name="Rectangle 6300" descr="text, community pharmacy trial"/>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3800" cy="10706100"/>
                      </a:xfrm>
                      <a:prstGeom prst="rect">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D9B46B" id="Rectangle 6300" o:spid="_x0000_s1026" alt="text, community pharmacy trial" style="position:absolute;margin-left:-1in;margin-top:-36.05pt;width:594pt;height:84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" fillcolor="#e7e6e6 [3214]" strokecolor="#e7e6e6 [3214]" strokeweight="1pt">
              <v:path arrowok="t"/>
            </v:rect>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1C6B3F" w14:textId="77777777" w:rsidR="002A4D96" w:rsidRPr="00BE73A4" w:rsidRDefault="002A4D96" w:rsidP="00870926">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6B24EA" w14:textId="4A6D5B75" w:rsidR="002A4D96" w:rsidRPr="00BE73A4" w:rsidRDefault="007D450C" w:rsidP="00870926">
    <w:pPr>
      <w:pStyle w:val="Header"/>
    </w:pPr>
    <w:r>
      <w:rPr>
        <w:noProof/>
      </w:rPr>
      <mc:AlternateContent>
        <mc:Choice Requires="wps">
          <w:drawing>
            <wp:anchor distT="0" distB="0" distL="114300" distR="114300" simplePos="0" relativeHeight="251658244" behindDoc="0" locked="0" layoutInCell="1" allowOverlap="1" wp14:anchorId="4F163F25" wp14:editId="251D5C94">
              <wp:simplePos x="0" y="0"/>
              <wp:positionH relativeFrom="column">
                <wp:posOffset>-904875</wp:posOffset>
              </wp:positionH>
              <wp:positionV relativeFrom="paragraph">
                <wp:posOffset>-438785</wp:posOffset>
              </wp:positionV>
              <wp:extent cx="7543800" cy="10706100"/>
              <wp:effectExtent l="0" t="0" r="0" b="0"/>
              <wp:wrapNone/>
              <wp:docPr id="24" name="Rectangle 6300" descr="text, evaluation conclusions "/>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3800" cy="10706100"/>
                      </a:xfrm>
                      <a:prstGeom prst="rect">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73F987" id="Rectangle 6300" o:spid="_x0000_s1026" alt="text, evaluation conclusions " style="position:absolute;margin-left:-71.25pt;margin-top:-34.55pt;width:594pt;height:843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" fillcolor="#e7e6e6 [3214]" strokecolor="#e7e6e6 [3214]" strokeweight="1pt">
              <v:path arrowok="t"/>
            </v:rec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9B52A4" w14:textId="77777777" w:rsidR="002A4D96" w:rsidRPr="00BE73A4" w:rsidRDefault="002A4D96" w:rsidP="0087092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04FCAF" w14:textId="35E81571" w:rsidR="003E3EC7" w:rsidRDefault="003E3EC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01AA0C" w14:textId="77777777" w:rsidR="003E3EC7" w:rsidRPr="00BE73A4" w:rsidRDefault="003E3EC7" w:rsidP="00870926">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F87F71" w14:textId="77777777" w:rsidR="003E3EC7" w:rsidRPr="009551C7" w:rsidRDefault="003E3EC7" w:rsidP="0087092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A595CC" w14:textId="0907E5A9" w:rsidR="008E10EF" w:rsidRPr="00BE73A4" w:rsidRDefault="007D450C" w:rsidP="00870926">
    <w:pPr>
      <w:pStyle w:val="Header"/>
    </w:pPr>
    <w:r>
      <w:rPr>
        <w:noProof/>
      </w:rPr>
      <mc:AlternateContent>
        <mc:Choice Requires="wps">
          <w:drawing>
            <wp:anchor distT="0" distB="0" distL="114300" distR="114300" simplePos="0" relativeHeight="251658240" behindDoc="0" locked="0" layoutInCell="1" allowOverlap="1" wp14:anchorId="4F163F25" wp14:editId="1C2C27FF">
              <wp:simplePos x="0" y="0"/>
              <wp:positionH relativeFrom="column">
                <wp:posOffset>-904875</wp:posOffset>
              </wp:positionH>
              <wp:positionV relativeFrom="paragraph">
                <wp:posOffset>-440690</wp:posOffset>
              </wp:positionV>
              <wp:extent cx="7543800" cy="10706100"/>
              <wp:effectExtent l="0" t="0" r="0" b="0"/>
              <wp:wrapNone/>
              <wp:docPr id="50" name="Rectangle 6300" descr="Text, outcome one summary of chapte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3800" cy="10706100"/>
                      </a:xfrm>
                      <a:prstGeom prst="rect">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8F940D" id="Rectangle 6300" o:spid="_x0000_s1026" alt="Text, outcome one summary of chapter" style="position:absolute;margin-left:-71.25pt;margin-top:-34.7pt;width:594pt;height:84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" fillcolor="#e7e6e6 [3214]" strokecolor="#e7e6e6 [3214]" strokeweight="1pt">
              <v:path arrowok="t"/>
            </v:rect>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DB6797" w14:textId="70DCE7D3" w:rsidR="008E10EF" w:rsidRPr="00BE73A4" w:rsidRDefault="008E10EF" w:rsidP="0087092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E76C6E" w14:textId="0B47324A" w:rsidR="00EB3C7F" w:rsidRPr="00BE73A4" w:rsidRDefault="007D450C" w:rsidP="00870926">
    <w:pPr>
      <w:pStyle w:val="Header"/>
    </w:pPr>
    <w:r>
      <w:rPr>
        <w:noProof/>
      </w:rPr>
      <mc:AlternateContent>
        <mc:Choice Requires="wps">
          <w:drawing>
            <wp:anchor distT="0" distB="0" distL="114300" distR="114300" simplePos="0" relativeHeight="251658241" behindDoc="0" locked="0" layoutInCell="1" allowOverlap="1" wp14:anchorId="4F163F25" wp14:editId="4D14F399">
              <wp:simplePos x="0" y="0"/>
              <wp:positionH relativeFrom="column">
                <wp:posOffset>-914400</wp:posOffset>
              </wp:positionH>
              <wp:positionV relativeFrom="paragraph">
                <wp:posOffset>-440055</wp:posOffset>
              </wp:positionV>
              <wp:extent cx="7543800" cy="10706100"/>
              <wp:effectExtent l="0" t="0" r="0" b="0"/>
              <wp:wrapNone/>
              <wp:docPr id="49" name="Rectangle 6300" descr="text, outcome two summary "/>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3800" cy="10706100"/>
                      </a:xfrm>
                      <a:prstGeom prst="rect">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E986B" id="Rectangle 6300" o:spid="_x0000_s1026" alt="text, outcome two summary " style="position:absolute;margin-left:-1in;margin-top:-34.65pt;width:594pt;height:84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" fillcolor="#e7e6e6 [3214]" strokecolor="#e7e6e6 [3214]" strokeweight="1pt">
              <v:path arrowok="t"/>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9D795F" w14:textId="77777777" w:rsidR="00EB3C7F" w:rsidRPr="00BE73A4" w:rsidRDefault="00EB3C7F" w:rsidP="0087092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D18F03" w14:textId="6453FAF7" w:rsidR="005B6744" w:rsidRPr="00BE73A4" w:rsidRDefault="007D450C" w:rsidP="00870926">
    <w:pPr>
      <w:pStyle w:val="Header"/>
    </w:pPr>
    <w:r>
      <w:rPr>
        <w:noProof/>
      </w:rPr>
      <mc:AlternateContent>
        <mc:Choice Requires="wps">
          <w:drawing>
            <wp:anchor distT="0" distB="0" distL="114300" distR="114300" simplePos="0" relativeHeight="251658242" behindDoc="0" locked="0" layoutInCell="1" allowOverlap="1" wp14:anchorId="4F163F25" wp14:editId="34610E69">
              <wp:simplePos x="0" y="0"/>
              <wp:positionH relativeFrom="column">
                <wp:posOffset>-914400</wp:posOffset>
              </wp:positionH>
              <wp:positionV relativeFrom="paragraph">
                <wp:posOffset>-448945</wp:posOffset>
              </wp:positionV>
              <wp:extent cx="7543800" cy="10706100"/>
              <wp:effectExtent l="0" t="0" r="0" b="0"/>
              <wp:wrapNone/>
              <wp:docPr id="47" name="Rectangle 6300" descr="text, outcome three summary"/>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3800" cy="10706100"/>
                      </a:xfrm>
                      <a:prstGeom prst="rect">
                        <a:avLst/>
                      </a:prstGeom>
                      <a:solidFill>
                        <a:schemeClr val="bg2"/>
                      </a:solidFill>
                      <a:ln>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D7983F" id="Rectangle 6300" o:spid="_x0000_s1026" alt="text, outcome three summary" style="position:absolute;margin-left:-1in;margin-top:-35.35pt;width:594pt;height:84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" fillcolor="#e7e6e6 [3214]" strokecolor="#e7e6e6 [3214]" strokeweight="1pt">
              <v:path arrowok="t"/>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486EC1"/>
    <w:multiLevelType w:val="hybridMultilevel"/>
    <w:tmpl w:val="C33A4408"/>
    <w:lvl w:ilvl="0" w:tplc="74E852AE">
      <w:numFmt w:val="bullet"/>
      <w:lvlText w:val="•"/>
      <w:lvlJc w:val="left"/>
      <w:pPr>
        <w:ind w:left="720" w:hanging="360"/>
      </w:pPr>
      <w:rPr>
        <w:rFonts w:ascii="Muli" w:eastAsiaTheme="minorEastAsia" w:hAnsi="Muli" w:cstheme="minorBidi" w:hint="default"/>
        <w:color w:val="408BCA"/>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066750E"/>
    <w:multiLevelType w:val="hybridMultilevel"/>
    <w:tmpl w:val="25A47A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12527F3"/>
    <w:multiLevelType w:val="hybridMultilevel"/>
    <w:tmpl w:val="F286886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18C7D9C"/>
    <w:multiLevelType w:val="hybridMultilevel"/>
    <w:tmpl w:val="ADE00A68"/>
    <w:lvl w:ilvl="0" w:tplc="993CF6D2">
      <w:start w:val="1"/>
      <w:numFmt w:val="decimal"/>
      <w:lvlText w:val="%1."/>
      <w:lvlJc w:val="left"/>
      <w:pPr>
        <w:ind w:left="6520" w:hanging="425"/>
      </w:pPr>
      <w:rPr>
        <w:rFonts w:ascii="Muli" w:eastAsia="Century Gothic" w:hAnsi="Muli" w:hint="default"/>
        <w:b w:val="0"/>
        <w:bCs w:val="0"/>
        <w:color w:val="000000" w:themeColor="text1"/>
        <w:w w:val="100"/>
        <w:sz w:val="20"/>
        <w:szCs w:val="20"/>
      </w:rPr>
    </w:lvl>
    <w:lvl w:ilvl="1" w:tplc="98D46328">
      <w:start w:val="1"/>
      <w:numFmt w:val="lowerLetter"/>
      <w:lvlText w:val="%2."/>
      <w:lvlJc w:val="left"/>
      <w:pPr>
        <w:ind w:left="1440" w:hanging="360"/>
      </w:pPr>
      <w:rPr>
        <w:rFonts w:ascii="Muli" w:hAnsi="Muli" w:hint="default"/>
        <w:b w:val="0"/>
        <w:bCs w:val="0"/>
        <w:color w:val="auto"/>
        <w:sz w:val="20"/>
        <w:szCs w:val="20"/>
      </w:r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4916EB6"/>
    <w:multiLevelType w:val="hybridMultilevel"/>
    <w:tmpl w:val="2F120E4E"/>
    <w:lvl w:ilvl="0" w:tplc="3D7ACB80">
      <w:start w:val="1"/>
      <w:numFmt w:val="bullet"/>
      <w:lvlText w:val=""/>
      <w:lvlJc w:val="left"/>
      <w:pPr>
        <w:ind w:left="720" w:hanging="360"/>
      </w:pPr>
      <w:rPr>
        <w:rFonts w:ascii="Symbol" w:hAnsi="Symbol" w:hint="default"/>
        <w:color w:val="408BC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5983BD6"/>
    <w:multiLevelType w:val="hybridMultilevel"/>
    <w:tmpl w:val="8F26424E"/>
    <w:lvl w:ilvl="0" w:tplc="3F50297E">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9077472"/>
    <w:multiLevelType w:val="hybridMultilevel"/>
    <w:tmpl w:val="2F0406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BFA1E9C"/>
    <w:multiLevelType w:val="hybridMultilevel"/>
    <w:tmpl w:val="52B6753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D4A1378"/>
    <w:multiLevelType w:val="hybridMultilevel"/>
    <w:tmpl w:val="28B05C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E674652"/>
    <w:multiLevelType w:val="hybridMultilevel"/>
    <w:tmpl w:val="1512A3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ECC5921"/>
    <w:multiLevelType w:val="hybridMultilevel"/>
    <w:tmpl w:val="389641B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F8B0D66"/>
    <w:multiLevelType w:val="hybridMultilevel"/>
    <w:tmpl w:val="2A0C60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FE43E46"/>
    <w:multiLevelType w:val="hybridMultilevel"/>
    <w:tmpl w:val="A7E8F0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5841108"/>
    <w:multiLevelType w:val="hybridMultilevel"/>
    <w:tmpl w:val="428080C8"/>
    <w:lvl w:ilvl="0" w:tplc="651E9C28">
      <w:start w:val="1"/>
      <w:numFmt w:val="bullet"/>
      <w:pStyle w:val="BulletedLi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5870B72"/>
    <w:multiLevelType w:val="hybridMultilevel"/>
    <w:tmpl w:val="9A8460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7A9652E"/>
    <w:multiLevelType w:val="hybridMultilevel"/>
    <w:tmpl w:val="C2D889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94B0226"/>
    <w:multiLevelType w:val="hybridMultilevel"/>
    <w:tmpl w:val="10140A4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1AF861F2"/>
    <w:multiLevelType w:val="hybridMultilevel"/>
    <w:tmpl w:val="74AAFB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B4B4D9E"/>
    <w:multiLevelType w:val="hybridMultilevel"/>
    <w:tmpl w:val="DF7C2F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EB70884"/>
    <w:multiLevelType w:val="hybridMultilevel"/>
    <w:tmpl w:val="E096846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1EA3E4B"/>
    <w:multiLevelType w:val="hybridMultilevel"/>
    <w:tmpl w:val="2AB857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2205297"/>
    <w:multiLevelType w:val="hybridMultilevel"/>
    <w:tmpl w:val="7C4E25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35416BF"/>
    <w:multiLevelType w:val="hybridMultilevel"/>
    <w:tmpl w:val="B54CD5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9A442C1"/>
    <w:multiLevelType w:val="hybridMultilevel"/>
    <w:tmpl w:val="328A47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A071294"/>
    <w:multiLevelType w:val="hybridMultilevel"/>
    <w:tmpl w:val="C3F053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A192C6B"/>
    <w:multiLevelType w:val="hybridMultilevel"/>
    <w:tmpl w:val="5C78BD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DB36493"/>
    <w:multiLevelType w:val="hybridMultilevel"/>
    <w:tmpl w:val="6256FE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F2A11A3"/>
    <w:multiLevelType w:val="hybridMultilevel"/>
    <w:tmpl w:val="92B6F9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31A416B5"/>
    <w:multiLevelType w:val="hybridMultilevel"/>
    <w:tmpl w:val="8346B3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64071EB"/>
    <w:multiLevelType w:val="hybridMultilevel"/>
    <w:tmpl w:val="4C245E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394D785C"/>
    <w:multiLevelType w:val="hybridMultilevel"/>
    <w:tmpl w:val="807E09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3AF21546"/>
    <w:multiLevelType w:val="hybridMultilevel"/>
    <w:tmpl w:val="AADC31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3B68422A"/>
    <w:multiLevelType w:val="hybridMultilevel"/>
    <w:tmpl w:val="5052A9F8"/>
    <w:lvl w:ilvl="0" w:tplc="42063774">
      <w:start w:val="1"/>
      <w:numFmt w:val="bullet"/>
      <w:lvlText w:val=""/>
      <w:lvlJc w:val="left"/>
      <w:pPr>
        <w:ind w:left="720" w:hanging="360"/>
      </w:pPr>
      <w:rPr>
        <w:rFonts w:ascii="Symbol" w:hAnsi="Symbol" w:hint="default"/>
        <w:color w:val="408BCA"/>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C7501E6"/>
    <w:multiLevelType w:val="hybridMultilevel"/>
    <w:tmpl w:val="093C9714"/>
    <w:lvl w:ilvl="0" w:tplc="0C090001">
      <w:start w:val="1"/>
      <w:numFmt w:val="bullet"/>
      <w:lvlText w:val=""/>
      <w:lvlJc w:val="left"/>
      <w:pPr>
        <w:ind w:left="1080" w:hanging="720"/>
      </w:pPr>
      <w:rPr>
        <w:rFonts w:ascii="Symbol" w:hAnsi="Symbol"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3FAF6A37"/>
    <w:multiLevelType w:val="hybridMultilevel"/>
    <w:tmpl w:val="239200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1FB0B57"/>
    <w:multiLevelType w:val="hybridMultilevel"/>
    <w:tmpl w:val="7C8EE2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30F64BF"/>
    <w:multiLevelType w:val="hybridMultilevel"/>
    <w:tmpl w:val="9FCCC16A"/>
    <w:lvl w:ilvl="0" w:tplc="A3A6B1AA">
      <w:start w:val="1"/>
      <w:numFmt w:val="decimal"/>
      <w:pStyle w:val="Heading1withnumber"/>
      <w:lvlText w:val="%1."/>
      <w:lvlJc w:val="left"/>
      <w:pPr>
        <w:ind w:left="720" w:hanging="360"/>
      </w:pPr>
      <w:rPr>
        <w:color w:val="FFFFFF" w:themeColor="background1"/>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475E2CFD"/>
    <w:multiLevelType w:val="hybridMultilevel"/>
    <w:tmpl w:val="35B00848"/>
    <w:lvl w:ilvl="0" w:tplc="B0682382">
      <w:start w:val="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49102068"/>
    <w:multiLevelType w:val="hybridMultilevel"/>
    <w:tmpl w:val="06FE94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D5739F6"/>
    <w:multiLevelType w:val="hybridMultilevel"/>
    <w:tmpl w:val="1C1CD472"/>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15:restartNumberingAfterBreak="0">
    <w:nsid w:val="4D8C3C86"/>
    <w:multiLevelType w:val="hybridMultilevel"/>
    <w:tmpl w:val="ACFE3914"/>
    <w:lvl w:ilvl="0" w:tplc="3D7ACB80">
      <w:start w:val="1"/>
      <w:numFmt w:val="bullet"/>
      <w:lvlText w:val=""/>
      <w:lvlJc w:val="left"/>
      <w:pPr>
        <w:ind w:left="360" w:hanging="360"/>
      </w:pPr>
      <w:rPr>
        <w:rFonts w:ascii="Symbol" w:hAnsi="Symbol" w:hint="default"/>
        <w:color w:val="408BCA"/>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1" w15:restartNumberingAfterBreak="0">
    <w:nsid w:val="4E32246C"/>
    <w:multiLevelType w:val="hybridMultilevel"/>
    <w:tmpl w:val="0ED092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4F152EE7"/>
    <w:multiLevelType w:val="hybridMultilevel"/>
    <w:tmpl w:val="058627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51061832"/>
    <w:multiLevelType w:val="hybridMultilevel"/>
    <w:tmpl w:val="F36C2C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53E65B8A"/>
    <w:multiLevelType w:val="hybridMultilevel"/>
    <w:tmpl w:val="FFF4DAFA"/>
    <w:lvl w:ilvl="0" w:tplc="2858409A">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5E50A0F"/>
    <w:multiLevelType w:val="hybridMultilevel"/>
    <w:tmpl w:val="1D70CC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576D301A"/>
    <w:multiLevelType w:val="hybridMultilevel"/>
    <w:tmpl w:val="1DE64A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5AD73724"/>
    <w:multiLevelType w:val="hybridMultilevel"/>
    <w:tmpl w:val="502E8B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5AEB207C"/>
    <w:multiLevelType w:val="multilevel"/>
    <w:tmpl w:val="AFEC89EE"/>
    <w:lvl w:ilvl="0">
      <w:start w:val="1"/>
      <w:numFmt w:val="bullet"/>
      <w:pStyle w:val="Bullet1"/>
      <w:lvlText w:val=""/>
      <w:lvlJc w:val="left"/>
      <w:pPr>
        <w:ind w:left="360" w:hanging="360"/>
      </w:pPr>
      <w:rPr>
        <w:rFonts w:ascii="Wingdings" w:hAnsi="Wingdings" w:hint="default"/>
        <w:color w:val="4472C4" w:themeColor="accent1"/>
      </w:rPr>
    </w:lvl>
    <w:lvl w:ilvl="1">
      <w:start w:val="1"/>
      <w:numFmt w:val="bullet"/>
      <w:pStyle w:val="Bullet2"/>
      <w:lvlText w:val="–"/>
      <w:lvlJc w:val="left"/>
      <w:pPr>
        <w:ind w:left="714" w:hanging="354"/>
      </w:pPr>
      <w:rPr>
        <w:rFonts w:ascii="Calibri" w:hAnsi="Calibri" w:hint="default"/>
        <w:color w:val="4472C4" w:themeColor="accent1"/>
      </w:rPr>
    </w:lvl>
    <w:lvl w:ilvl="2">
      <w:start w:val="1"/>
      <w:numFmt w:val="bullet"/>
      <w:pStyle w:val="Bullet3"/>
      <w:lvlText w:val="–"/>
      <w:lvlJc w:val="left"/>
      <w:pPr>
        <w:ind w:left="1072" w:hanging="358"/>
      </w:pPr>
      <w:rPr>
        <w:rFonts w:ascii="Calibri" w:hAnsi="Calibri"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9" w15:restartNumberingAfterBreak="0">
    <w:nsid w:val="63162073"/>
    <w:multiLevelType w:val="hybridMultilevel"/>
    <w:tmpl w:val="2FA64C8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0" w15:restartNumberingAfterBreak="0">
    <w:nsid w:val="64F54ADA"/>
    <w:multiLevelType w:val="hybridMultilevel"/>
    <w:tmpl w:val="C62ADFB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1" w15:restartNumberingAfterBreak="0">
    <w:nsid w:val="65BC1E1A"/>
    <w:multiLevelType w:val="hybridMultilevel"/>
    <w:tmpl w:val="0C30F8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2" w15:restartNumberingAfterBreak="0">
    <w:nsid w:val="66604737"/>
    <w:multiLevelType w:val="hybridMultilevel"/>
    <w:tmpl w:val="731ED1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3" w15:restartNumberingAfterBreak="0">
    <w:nsid w:val="66A45BFA"/>
    <w:multiLevelType w:val="hybridMultilevel"/>
    <w:tmpl w:val="896A2B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6AC54701"/>
    <w:multiLevelType w:val="hybridMultilevel"/>
    <w:tmpl w:val="503695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6C886E0B"/>
    <w:multiLevelType w:val="hybridMultilevel"/>
    <w:tmpl w:val="BF00EC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7029376B"/>
    <w:multiLevelType w:val="hybridMultilevel"/>
    <w:tmpl w:val="AB961AF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7" w15:restartNumberingAfterBreak="0">
    <w:nsid w:val="715D410E"/>
    <w:multiLevelType w:val="hybridMultilevel"/>
    <w:tmpl w:val="02D4ED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761A1E08"/>
    <w:multiLevelType w:val="hybridMultilevel"/>
    <w:tmpl w:val="7C9C0918"/>
    <w:lvl w:ilvl="0" w:tplc="0C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76B4337E"/>
    <w:multiLevelType w:val="hybridMultilevel"/>
    <w:tmpl w:val="61A0D3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7815606"/>
    <w:multiLevelType w:val="hybridMultilevel"/>
    <w:tmpl w:val="D74C0D5E"/>
    <w:lvl w:ilvl="0" w:tplc="0C090001">
      <w:start w:val="1"/>
      <w:numFmt w:val="bullet"/>
      <w:lvlText w:val=""/>
      <w:lvlJc w:val="left"/>
      <w:pPr>
        <w:ind w:left="720" w:hanging="360"/>
      </w:pPr>
      <w:rPr>
        <w:rFonts w:ascii="Symbol" w:hAnsi="Symbol" w:hint="default"/>
      </w:rPr>
    </w:lvl>
    <w:lvl w:ilvl="1" w:tplc="114A9582">
      <w:numFmt w:val="bullet"/>
      <w:lvlText w:val="•"/>
      <w:lvlJc w:val="left"/>
      <w:pPr>
        <w:ind w:left="1800" w:hanging="720"/>
      </w:pPr>
      <w:rPr>
        <w:rFonts w:ascii="Century Gothic" w:eastAsia="Calibri" w:hAnsi="Century Gothic" w:cs="Times New Roman"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788C5712"/>
    <w:multiLevelType w:val="hybridMultilevel"/>
    <w:tmpl w:val="2340BA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7B6063B0"/>
    <w:multiLevelType w:val="hybridMultilevel"/>
    <w:tmpl w:val="2B3C18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7FF24DBA"/>
    <w:multiLevelType w:val="hybridMultilevel"/>
    <w:tmpl w:val="23D89D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6"/>
  </w:num>
  <w:num w:numId="2">
    <w:abstractNumId w:val="0"/>
  </w:num>
  <w:num w:numId="3">
    <w:abstractNumId w:val="28"/>
  </w:num>
  <w:num w:numId="4">
    <w:abstractNumId w:val="61"/>
  </w:num>
  <w:num w:numId="5">
    <w:abstractNumId w:val="6"/>
  </w:num>
  <w:num w:numId="6">
    <w:abstractNumId w:val="56"/>
  </w:num>
  <w:num w:numId="7">
    <w:abstractNumId w:val="2"/>
  </w:num>
  <w:num w:numId="8">
    <w:abstractNumId w:val="57"/>
  </w:num>
  <w:num w:numId="9">
    <w:abstractNumId w:val="33"/>
  </w:num>
  <w:num w:numId="10">
    <w:abstractNumId w:val="40"/>
  </w:num>
  <w:num w:numId="11">
    <w:abstractNumId w:val="41"/>
  </w:num>
  <w:num w:numId="12">
    <w:abstractNumId w:val="53"/>
  </w:num>
  <w:num w:numId="13">
    <w:abstractNumId w:val="45"/>
  </w:num>
  <w:num w:numId="14">
    <w:abstractNumId w:val="35"/>
  </w:num>
  <w:num w:numId="15">
    <w:abstractNumId w:val="54"/>
  </w:num>
  <w:num w:numId="16">
    <w:abstractNumId w:val="47"/>
  </w:num>
  <w:num w:numId="17">
    <w:abstractNumId w:val="37"/>
  </w:num>
  <w:num w:numId="18">
    <w:abstractNumId w:val="5"/>
  </w:num>
  <w:num w:numId="19">
    <w:abstractNumId w:val="10"/>
  </w:num>
  <w:num w:numId="20">
    <w:abstractNumId w:val="17"/>
  </w:num>
  <w:num w:numId="21">
    <w:abstractNumId w:val="62"/>
  </w:num>
  <w:num w:numId="22">
    <w:abstractNumId w:val="38"/>
  </w:num>
  <w:num w:numId="23">
    <w:abstractNumId w:val="60"/>
  </w:num>
  <w:num w:numId="24">
    <w:abstractNumId w:val="42"/>
  </w:num>
  <w:num w:numId="25">
    <w:abstractNumId w:val="13"/>
  </w:num>
  <w:num w:numId="26">
    <w:abstractNumId w:val="4"/>
  </w:num>
  <w:num w:numId="27">
    <w:abstractNumId w:val="23"/>
  </w:num>
  <w:num w:numId="28">
    <w:abstractNumId w:val="26"/>
  </w:num>
  <w:num w:numId="29">
    <w:abstractNumId w:val="25"/>
  </w:num>
  <w:num w:numId="30">
    <w:abstractNumId w:val="18"/>
  </w:num>
  <w:num w:numId="31">
    <w:abstractNumId w:val="9"/>
  </w:num>
  <w:num w:numId="32">
    <w:abstractNumId w:val="19"/>
  </w:num>
  <w:num w:numId="33">
    <w:abstractNumId w:val="15"/>
  </w:num>
  <w:num w:numId="34">
    <w:abstractNumId w:val="32"/>
  </w:num>
  <w:num w:numId="35">
    <w:abstractNumId w:val="20"/>
  </w:num>
  <w:num w:numId="36">
    <w:abstractNumId w:val="31"/>
  </w:num>
  <w:num w:numId="37">
    <w:abstractNumId w:val="8"/>
  </w:num>
  <w:num w:numId="38">
    <w:abstractNumId w:val="63"/>
  </w:num>
  <w:num w:numId="39">
    <w:abstractNumId w:val="55"/>
  </w:num>
  <w:num w:numId="40">
    <w:abstractNumId w:val="46"/>
  </w:num>
  <w:num w:numId="41">
    <w:abstractNumId w:val="24"/>
  </w:num>
  <w:num w:numId="42">
    <w:abstractNumId w:val="16"/>
  </w:num>
  <w:num w:numId="43">
    <w:abstractNumId w:val="50"/>
  </w:num>
  <w:num w:numId="44">
    <w:abstractNumId w:val="1"/>
  </w:num>
  <w:num w:numId="45">
    <w:abstractNumId w:val="51"/>
  </w:num>
  <w:num w:numId="46">
    <w:abstractNumId w:val="34"/>
  </w:num>
  <w:num w:numId="47">
    <w:abstractNumId w:val="7"/>
  </w:num>
  <w:num w:numId="48">
    <w:abstractNumId w:val="14"/>
  </w:num>
  <w:num w:numId="49">
    <w:abstractNumId w:val="43"/>
  </w:num>
  <w:num w:numId="50">
    <w:abstractNumId w:val="29"/>
  </w:num>
  <w:num w:numId="51">
    <w:abstractNumId w:val="52"/>
  </w:num>
  <w:num w:numId="52">
    <w:abstractNumId w:val="11"/>
  </w:num>
  <w:num w:numId="53">
    <w:abstractNumId w:val="48"/>
  </w:num>
  <w:num w:numId="54">
    <w:abstractNumId w:val="12"/>
  </w:num>
  <w:num w:numId="55">
    <w:abstractNumId w:val="21"/>
  </w:num>
  <w:num w:numId="56">
    <w:abstractNumId w:val="58"/>
  </w:num>
  <w:num w:numId="57">
    <w:abstractNumId w:val="3"/>
  </w:num>
  <w:num w:numId="58">
    <w:abstractNumId w:val="44"/>
  </w:num>
  <w:num w:numId="59">
    <w:abstractNumId w:val="59"/>
  </w:num>
  <w:num w:numId="60">
    <w:abstractNumId w:val="30"/>
  </w:num>
  <w:num w:numId="61">
    <w:abstractNumId w:val="22"/>
  </w:num>
  <w:num w:numId="62">
    <w:abstractNumId w:val="27"/>
  </w:num>
  <w:num w:numId="63">
    <w:abstractNumId w:val="39"/>
  </w:num>
  <w:num w:numId="64">
    <w:abstractNumId w:val="4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embedTrueTypeFonts/>
  <w:embedSystemFonts/>
  <w:proofState w:spelling="clean"/>
  <w:defaultTabStop w:val="720"/>
  <w:characterSpacingControl w:val="doNotCompress"/>
  <w:hdrShapeDefaults>
    <o:shapedefaults v:ext="edit" spidmax="206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APA 7th&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zf0e9xwqetx57ep9ee5p9skx9zpfpswrx20&quot;&gt;Deniza_shared&lt;record-ids&gt;&lt;item&gt;584&lt;/item&gt;&lt;item&gt;640&lt;/item&gt;&lt;item&gt;685&lt;/item&gt;&lt;item&gt;703&lt;/item&gt;&lt;item&gt;725&lt;/item&gt;&lt;item&gt;939&lt;/item&gt;&lt;item&gt;979&lt;/item&gt;&lt;item&gt;1024&lt;/item&gt;&lt;item&gt;1093&lt;/item&gt;&lt;item&gt;1166&lt;/item&gt;&lt;item&gt;1292&lt;/item&gt;&lt;item&gt;1362&lt;/item&gt;&lt;item&gt;1494&lt;/item&gt;&lt;item&gt;1586&lt;/item&gt;&lt;item&gt;1666&lt;/item&gt;&lt;item&gt;1714&lt;/item&gt;&lt;item&gt;1856&lt;/item&gt;&lt;item&gt;1963&lt;/item&gt;&lt;item&gt;2043&lt;/item&gt;&lt;item&gt;2372&lt;/item&gt;&lt;item&gt;2778&lt;/item&gt;&lt;item&gt;2781&lt;/item&gt;&lt;item&gt;2784&lt;/item&gt;&lt;item&gt;2812&lt;/item&gt;&lt;item&gt;3268&lt;/item&gt;&lt;item&gt;3470&lt;/item&gt;&lt;item&gt;3570&lt;/item&gt;&lt;item&gt;4114&lt;/item&gt;&lt;item&gt;4773&lt;/item&gt;&lt;item&gt;4914&lt;/item&gt;&lt;item&gt;4956&lt;/item&gt;&lt;item&gt;5807&lt;/item&gt;&lt;item&gt;5973&lt;/item&gt;&lt;item&gt;6069&lt;/item&gt;&lt;item&gt;6251&lt;/item&gt;&lt;item&gt;6273&lt;/item&gt;&lt;item&gt;6318&lt;/item&gt;&lt;item&gt;6409&lt;/item&gt;&lt;item&gt;8648&lt;/item&gt;&lt;item&gt;9397&lt;/item&gt;&lt;item&gt;9645&lt;/item&gt;&lt;item&gt;10810&lt;/item&gt;&lt;item&gt;10958&lt;/item&gt;&lt;item&gt;10959&lt;/item&gt;&lt;item&gt;10960&lt;/item&gt;&lt;item&gt;10961&lt;/item&gt;&lt;item&gt;10963&lt;/item&gt;&lt;item&gt;10964&lt;/item&gt;&lt;item&gt;10966&lt;/item&gt;&lt;item&gt;10967&lt;/item&gt;&lt;item&gt;10968&lt;/item&gt;&lt;item&gt;10970&lt;/item&gt;&lt;item&gt;10972&lt;/item&gt;&lt;item&gt;10973&lt;/item&gt;&lt;item&gt;11067&lt;/item&gt;&lt;item&gt;11070&lt;/item&gt;&lt;item&gt;11078&lt;/item&gt;&lt;/record-ids&gt;&lt;/item&gt;&lt;/Libraries&gt;"/>
  </w:docVars>
  <w:rsids>
    <w:rsidRoot w:val="00644A08"/>
    <w:rsid w:val="00000103"/>
    <w:rsid w:val="000001C1"/>
    <w:rsid w:val="0000040E"/>
    <w:rsid w:val="0000042C"/>
    <w:rsid w:val="00000583"/>
    <w:rsid w:val="000006B0"/>
    <w:rsid w:val="000006E5"/>
    <w:rsid w:val="00000924"/>
    <w:rsid w:val="000009FA"/>
    <w:rsid w:val="00000B7C"/>
    <w:rsid w:val="00000C2C"/>
    <w:rsid w:val="000013C0"/>
    <w:rsid w:val="00001649"/>
    <w:rsid w:val="000017F1"/>
    <w:rsid w:val="00001861"/>
    <w:rsid w:val="00001A8C"/>
    <w:rsid w:val="00001A8E"/>
    <w:rsid w:val="00001B69"/>
    <w:rsid w:val="00001BB4"/>
    <w:rsid w:val="00001D78"/>
    <w:rsid w:val="00001DEB"/>
    <w:rsid w:val="00001F4C"/>
    <w:rsid w:val="00001F6E"/>
    <w:rsid w:val="00001F91"/>
    <w:rsid w:val="00001F95"/>
    <w:rsid w:val="00002092"/>
    <w:rsid w:val="0000209A"/>
    <w:rsid w:val="0000209E"/>
    <w:rsid w:val="00002339"/>
    <w:rsid w:val="00002694"/>
    <w:rsid w:val="00002844"/>
    <w:rsid w:val="000028AC"/>
    <w:rsid w:val="00002BF9"/>
    <w:rsid w:val="00002C05"/>
    <w:rsid w:val="00003069"/>
    <w:rsid w:val="00003153"/>
    <w:rsid w:val="000033A2"/>
    <w:rsid w:val="0000385D"/>
    <w:rsid w:val="000038D3"/>
    <w:rsid w:val="00003AC3"/>
    <w:rsid w:val="00003F03"/>
    <w:rsid w:val="00004070"/>
    <w:rsid w:val="0000413B"/>
    <w:rsid w:val="000045EA"/>
    <w:rsid w:val="000047D8"/>
    <w:rsid w:val="000047EB"/>
    <w:rsid w:val="00004DD0"/>
    <w:rsid w:val="00004EE0"/>
    <w:rsid w:val="00004F79"/>
    <w:rsid w:val="00005081"/>
    <w:rsid w:val="000051F6"/>
    <w:rsid w:val="0000557E"/>
    <w:rsid w:val="00005848"/>
    <w:rsid w:val="0000585A"/>
    <w:rsid w:val="0000595E"/>
    <w:rsid w:val="00005AE4"/>
    <w:rsid w:val="00005F86"/>
    <w:rsid w:val="00005FCE"/>
    <w:rsid w:val="00005FD9"/>
    <w:rsid w:val="000061A6"/>
    <w:rsid w:val="0000627F"/>
    <w:rsid w:val="000062C5"/>
    <w:rsid w:val="00006437"/>
    <w:rsid w:val="0000647B"/>
    <w:rsid w:val="00006751"/>
    <w:rsid w:val="00006847"/>
    <w:rsid w:val="00006930"/>
    <w:rsid w:val="00006960"/>
    <w:rsid w:val="00006964"/>
    <w:rsid w:val="000069C0"/>
    <w:rsid w:val="00006EAF"/>
    <w:rsid w:val="00007068"/>
    <w:rsid w:val="00007344"/>
    <w:rsid w:val="00007392"/>
    <w:rsid w:val="0000751E"/>
    <w:rsid w:val="0000752C"/>
    <w:rsid w:val="00007937"/>
    <w:rsid w:val="00007A3F"/>
    <w:rsid w:val="00007AE7"/>
    <w:rsid w:val="00007B15"/>
    <w:rsid w:val="00007B2D"/>
    <w:rsid w:val="00007F09"/>
    <w:rsid w:val="00007F23"/>
    <w:rsid w:val="0001004A"/>
    <w:rsid w:val="00010064"/>
    <w:rsid w:val="00010434"/>
    <w:rsid w:val="0001046E"/>
    <w:rsid w:val="000105C1"/>
    <w:rsid w:val="00010742"/>
    <w:rsid w:val="000107E2"/>
    <w:rsid w:val="00010D5A"/>
    <w:rsid w:val="00010F50"/>
    <w:rsid w:val="00010FBE"/>
    <w:rsid w:val="00011298"/>
    <w:rsid w:val="0001140F"/>
    <w:rsid w:val="0001145C"/>
    <w:rsid w:val="0001164B"/>
    <w:rsid w:val="000117F0"/>
    <w:rsid w:val="00011819"/>
    <w:rsid w:val="00011884"/>
    <w:rsid w:val="0001190A"/>
    <w:rsid w:val="00011DB9"/>
    <w:rsid w:val="00011F8C"/>
    <w:rsid w:val="000120CD"/>
    <w:rsid w:val="000121CA"/>
    <w:rsid w:val="00012402"/>
    <w:rsid w:val="00012513"/>
    <w:rsid w:val="000126E9"/>
    <w:rsid w:val="0001275B"/>
    <w:rsid w:val="000127D1"/>
    <w:rsid w:val="00012D40"/>
    <w:rsid w:val="00012E1B"/>
    <w:rsid w:val="00012F80"/>
    <w:rsid w:val="0001306D"/>
    <w:rsid w:val="00013449"/>
    <w:rsid w:val="000134C2"/>
    <w:rsid w:val="00013607"/>
    <w:rsid w:val="000136AB"/>
    <w:rsid w:val="00013DAB"/>
    <w:rsid w:val="00014037"/>
    <w:rsid w:val="0001403F"/>
    <w:rsid w:val="00014045"/>
    <w:rsid w:val="00014198"/>
    <w:rsid w:val="00014286"/>
    <w:rsid w:val="000142D6"/>
    <w:rsid w:val="000144CD"/>
    <w:rsid w:val="000145CE"/>
    <w:rsid w:val="0001464B"/>
    <w:rsid w:val="0001469B"/>
    <w:rsid w:val="00014795"/>
    <w:rsid w:val="00014B28"/>
    <w:rsid w:val="00014D94"/>
    <w:rsid w:val="0001502C"/>
    <w:rsid w:val="00015524"/>
    <w:rsid w:val="000155A5"/>
    <w:rsid w:val="000155F9"/>
    <w:rsid w:val="0001569B"/>
    <w:rsid w:val="00015756"/>
    <w:rsid w:val="000158E9"/>
    <w:rsid w:val="00015B13"/>
    <w:rsid w:val="00015B79"/>
    <w:rsid w:val="00015E7B"/>
    <w:rsid w:val="000161D0"/>
    <w:rsid w:val="00016760"/>
    <w:rsid w:val="0001684B"/>
    <w:rsid w:val="00016AA0"/>
    <w:rsid w:val="00016D46"/>
    <w:rsid w:val="00016EE5"/>
    <w:rsid w:val="00016F1F"/>
    <w:rsid w:val="0001700E"/>
    <w:rsid w:val="00017244"/>
    <w:rsid w:val="0001745B"/>
    <w:rsid w:val="0001765E"/>
    <w:rsid w:val="00017AD8"/>
    <w:rsid w:val="00017C42"/>
    <w:rsid w:val="00017CF6"/>
    <w:rsid w:val="00020192"/>
    <w:rsid w:val="0002019F"/>
    <w:rsid w:val="000201F7"/>
    <w:rsid w:val="000205D6"/>
    <w:rsid w:val="000205F2"/>
    <w:rsid w:val="00020878"/>
    <w:rsid w:val="00020B5C"/>
    <w:rsid w:val="00020CB0"/>
    <w:rsid w:val="00020DB5"/>
    <w:rsid w:val="00020DB7"/>
    <w:rsid w:val="00021039"/>
    <w:rsid w:val="00021102"/>
    <w:rsid w:val="00021122"/>
    <w:rsid w:val="00021192"/>
    <w:rsid w:val="000212AB"/>
    <w:rsid w:val="000212C7"/>
    <w:rsid w:val="000215F7"/>
    <w:rsid w:val="00021651"/>
    <w:rsid w:val="000216D3"/>
    <w:rsid w:val="00021753"/>
    <w:rsid w:val="00021832"/>
    <w:rsid w:val="00021B0A"/>
    <w:rsid w:val="00021DAF"/>
    <w:rsid w:val="00021EE4"/>
    <w:rsid w:val="000223D7"/>
    <w:rsid w:val="00022413"/>
    <w:rsid w:val="0002246C"/>
    <w:rsid w:val="000224FA"/>
    <w:rsid w:val="00022604"/>
    <w:rsid w:val="0002294F"/>
    <w:rsid w:val="00022971"/>
    <w:rsid w:val="00022BC9"/>
    <w:rsid w:val="00022BFD"/>
    <w:rsid w:val="00022C16"/>
    <w:rsid w:val="00022EC6"/>
    <w:rsid w:val="000233C9"/>
    <w:rsid w:val="0002357B"/>
    <w:rsid w:val="000236CA"/>
    <w:rsid w:val="00023A4E"/>
    <w:rsid w:val="00023C0E"/>
    <w:rsid w:val="000241BD"/>
    <w:rsid w:val="000241E4"/>
    <w:rsid w:val="00024250"/>
    <w:rsid w:val="000247F4"/>
    <w:rsid w:val="00024910"/>
    <w:rsid w:val="0002497B"/>
    <w:rsid w:val="000249FD"/>
    <w:rsid w:val="00024ECE"/>
    <w:rsid w:val="00025166"/>
    <w:rsid w:val="000255DE"/>
    <w:rsid w:val="000255F8"/>
    <w:rsid w:val="000256A7"/>
    <w:rsid w:val="00025889"/>
    <w:rsid w:val="00025916"/>
    <w:rsid w:val="000259BA"/>
    <w:rsid w:val="00025C25"/>
    <w:rsid w:val="00025E2B"/>
    <w:rsid w:val="00025E5B"/>
    <w:rsid w:val="00025F1A"/>
    <w:rsid w:val="00025F5E"/>
    <w:rsid w:val="00026425"/>
    <w:rsid w:val="0002675D"/>
    <w:rsid w:val="0002688A"/>
    <w:rsid w:val="000268EF"/>
    <w:rsid w:val="000269A4"/>
    <w:rsid w:val="00026B54"/>
    <w:rsid w:val="00026DE8"/>
    <w:rsid w:val="00027011"/>
    <w:rsid w:val="00027212"/>
    <w:rsid w:val="00027377"/>
    <w:rsid w:val="00027670"/>
    <w:rsid w:val="000277D5"/>
    <w:rsid w:val="000278AA"/>
    <w:rsid w:val="00027AAA"/>
    <w:rsid w:val="00027BC2"/>
    <w:rsid w:val="00027CC3"/>
    <w:rsid w:val="00027D1F"/>
    <w:rsid w:val="00027D9B"/>
    <w:rsid w:val="00027E88"/>
    <w:rsid w:val="00027EC2"/>
    <w:rsid w:val="00027EE6"/>
    <w:rsid w:val="00027F3B"/>
    <w:rsid w:val="00027F88"/>
    <w:rsid w:val="000302AE"/>
    <w:rsid w:val="000303BA"/>
    <w:rsid w:val="0003061F"/>
    <w:rsid w:val="0003071D"/>
    <w:rsid w:val="00030844"/>
    <w:rsid w:val="00030C6C"/>
    <w:rsid w:val="00030D76"/>
    <w:rsid w:val="00031055"/>
    <w:rsid w:val="00031125"/>
    <w:rsid w:val="00031237"/>
    <w:rsid w:val="000312AF"/>
    <w:rsid w:val="00031446"/>
    <w:rsid w:val="0003149E"/>
    <w:rsid w:val="00031508"/>
    <w:rsid w:val="00031553"/>
    <w:rsid w:val="0003170F"/>
    <w:rsid w:val="00031C79"/>
    <w:rsid w:val="00031E4E"/>
    <w:rsid w:val="00031F54"/>
    <w:rsid w:val="00031FD8"/>
    <w:rsid w:val="00032261"/>
    <w:rsid w:val="00032560"/>
    <w:rsid w:val="0003256D"/>
    <w:rsid w:val="0003283C"/>
    <w:rsid w:val="00032A68"/>
    <w:rsid w:val="00032A69"/>
    <w:rsid w:val="00032CB9"/>
    <w:rsid w:val="00032DFE"/>
    <w:rsid w:val="0003300A"/>
    <w:rsid w:val="000332FD"/>
    <w:rsid w:val="0003347C"/>
    <w:rsid w:val="00033550"/>
    <w:rsid w:val="000335A9"/>
    <w:rsid w:val="000336D9"/>
    <w:rsid w:val="00033733"/>
    <w:rsid w:val="000337B6"/>
    <w:rsid w:val="000339E6"/>
    <w:rsid w:val="00033B1A"/>
    <w:rsid w:val="00033C67"/>
    <w:rsid w:val="00033DE0"/>
    <w:rsid w:val="00034225"/>
    <w:rsid w:val="00034283"/>
    <w:rsid w:val="00034515"/>
    <w:rsid w:val="00034562"/>
    <w:rsid w:val="000345F5"/>
    <w:rsid w:val="00034863"/>
    <w:rsid w:val="0003486C"/>
    <w:rsid w:val="00034BEC"/>
    <w:rsid w:val="00034D99"/>
    <w:rsid w:val="00034FF5"/>
    <w:rsid w:val="0003532C"/>
    <w:rsid w:val="0003540A"/>
    <w:rsid w:val="00035C53"/>
    <w:rsid w:val="00035DB3"/>
    <w:rsid w:val="00036096"/>
    <w:rsid w:val="000361DF"/>
    <w:rsid w:val="000362C5"/>
    <w:rsid w:val="000364CE"/>
    <w:rsid w:val="00036840"/>
    <w:rsid w:val="00036867"/>
    <w:rsid w:val="00036D74"/>
    <w:rsid w:val="00036E4A"/>
    <w:rsid w:val="00036F6E"/>
    <w:rsid w:val="000370D3"/>
    <w:rsid w:val="000372F9"/>
    <w:rsid w:val="000379DC"/>
    <w:rsid w:val="000379F2"/>
    <w:rsid w:val="00037AF2"/>
    <w:rsid w:val="00037B14"/>
    <w:rsid w:val="00037C98"/>
    <w:rsid w:val="00037D65"/>
    <w:rsid w:val="00037DAE"/>
    <w:rsid w:val="000401B8"/>
    <w:rsid w:val="00040677"/>
    <w:rsid w:val="000409AB"/>
    <w:rsid w:val="00040CB8"/>
    <w:rsid w:val="00040CDE"/>
    <w:rsid w:val="00040D89"/>
    <w:rsid w:val="00040E18"/>
    <w:rsid w:val="00040E8B"/>
    <w:rsid w:val="00040EC6"/>
    <w:rsid w:val="000411F7"/>
    <w:rsid w:val="00041567"/>
    <w:rsid w:val="0004179B"/>
    <w:rsid w:val="00041B9E"/>
    <w:rsid w:val="00042084"/>
    <w:rsid w:val="000421D7"/>
    <w:rsid w:val="0004245F"/>
    <w:rsid w:val="000425B1"/>
    <w:rsid w:val="000425DF"/>
    <w:rsid w:val="00042617"/>
    <w:rsid w:val="000428BF"/>
    <w:rsid w:val="00042972"/>
    <w:rsid w:val="00042B05"/>
    <w:rsid w:val="00042B24"/>
    <w:rsid w:val="00042F28"/>
    <w:rsid w:val="00042FEC"/>
    <w:rsid w:val="00043302"/>
    <w:rsid w:val="0004344D"/>
    <w:rsid w:val="0004356F"/>
    <w:rsid w:val="000435D2"/>
    <w:rsid w:val="00043777"/>
    <w:rsid w:val="000437DD"/>
    <w:rsid w:val="000438CC"/>
    <w:rsid w:val="00043A13"/>
    <w:rsid w:val="00043B65"/>
    <w:rsid w:val="00044159"/>
    <w:rsid w:val="0004434A"/>
    <w:rsid w:val="00044379"/>
    <w:rsid w:val="00044430"/>
    <w:rsid w:val="00044462"/>
    <w:rsid w:val="000444C9"/>
    <w:rsid w:val="0004465E"/>
    <w:rsid w:val="000448BA"/>
    <w:rsid w:val="00044A18"/>
    <w:rsid w:val="00044BE1"/>
    <w:rsid w:val="00044DC2"/>
    <w:rsid w:val="00044FA8"/>
    <w:rsid w:val="000450AA"/>
    <w:rsid w:val="0004527A"/>
    <w:rsid w:val="00045441"/>
    <w:rsid w:val="0004550E"/>
    <w:rsid w:val="00045587"/>
    <w:rsid w:val="000455A0"/>
    <w:rsid w:val="0004563A"/>
    <w:rsid w:val="000456B0"/>
    <w:rsid w:val="00045758"/>
    <w:rsid w:val="0004579E"/>
    <w:rsid w:val="000457C7"/>
    <w:rsid w:val="0004587A"/>
    <w:rsid w:val="000458B8"/>
    <w:rsid w:val="000458C4"/>
    <w:rsid w:val="000459FE"/>
    <w:rsid w:val="00045B0A"/>
    <w:rsid w:val="00045B61"/>
    <w:rsid w:val="00045BAA"/>
    <w:rsid w:val="00045D17"/>
    <w:rsid w:val="00045DCE"/>
    <w:rsid w:val="00046066"/>
    <w:rsid w:val="000461E5"/>
    <w:rsid w:val="000463CD"/>
    <w:rsid w:val="00046695"/>
    <w:rsid w:val="00046756"/>
    <w:rsid w:val="00046862"/>
    <w:rsid w:val="000468A9"/>
    <w:rsid w:val="00046A6C"/>
    <w:rsid w:val="00046CF8"/>
    <w:rsid w:val="00047112"/>
    <w:rsid w:val="00047113"/>
    <w:rsid w:val="0004729D"/>
    <w:rsid w:val="0004743C"/>
    <w:rsid w:val="00047495"/>
    <w:rsid w:val="0004749F"/>
    <w:rsid w:val="00047500"/>
    <w:rsid w:val="000475F4"/>
    <w:rsid w:val="00047728"/>
    <w:rsid w:val="000477AA"/>
    <w:rsid w:val="00047E98"/>
    <w:rsid w:val="00047EAA"/>
    <w:rsid w:val="00047ECB"/>
    <w:rsid w:val="0005015B"/>
    <w:rsid w:val="000502DD"/>
    <w:rsid w:val="000502F1"/>
    <w:rsid w:val="0005039B"/>
    <w:rsid w:val="000503EC"/>
    <w:rsid w:val="00050518"/>
    <w:rsid w:val="00050521"/>
    <w:rsid w:val="0005057B"/>
    <w:rsid w:val="0005066F"/>
    <w:rsid w:val="000506D1"/>
    <w:rsid w:val="000509A9"/>
    <w:rsid w:val="00050BAB"/>
    <w:rsid w:val="0005100F"/>
    <w:rsid w:val="000512AD"/>
    <w:rsid w:val="000513A1"/>
    <w:rsid w:val="000513C2"/>
    <w:rsid w:val="0005149D"/>
    <w:rsid w:val="00051793"/>
    <w:rsid w:val="0005199B"/>
    <w:rsid w:val="000519E1"/>
    <w:rsid w:val="00051BD0"/>
    <w:rsid w:val="00051DCE"/>
    <w:rsid w:val="00052101"/>
    <w:rsid w:val="0005221C"/>
    <w:rsid w:val="000524F3"/>
    <w:rsid w:val="000527CB"/>
    <w:rsid w:val="00052C20"/>
    <w:rsid w:val="00052D4C"/>
    <w:rsid w:val="00052D5F"/>
    <w:rsid w:val="00052F9D"/>
    <w:rsid w:val="00053128"/>
    <w:rsid w:val="00053131"/>
    <w:rsid w:val="000532AD"/>
    <w:rsid w:val="0005356D"/>
    <w:rsid w:val="000535DE"/>
    <w:rsid w:val="00053670"/>
    <w:rsid w:val="000538B0"/>
    <w:rsid w:val="000538C3"/>
    <w:rsid w:val="000539BA"/>
    <w:rsid w:val="00053AB4"/>
    <w:rsid w:val="00054120"/>
    <w:rsid w:val="000541E9"/>
    <w:rsid w:val="000544E2"/>
    <w:rsid w:val="000545C7"/>
    <w:rsid w:val="00054731"/>
    <w:rsid w:val="0005480C"/>
    <w:rsid w:val="0005484E"/>
    <w:rsid w:val="00054C75"/>
    <w:rsid w:val="00054DD1"/>
    <w:rsid w:val="00055024"/>
    <w:rsid w:val="000550DE"/>
    <w:rsid w:val="0005538C"/>
    <w:rsid w:val="0005561B"/>
    <w:rsid w:val="000558A0"/>
    <w:rsid w:val="0005597C"/>
    <w:rsid w:val="00055C47"/>
    <w:rsid w:val="00055C5A"/>
    <w:rsid w:val="00055CE4"/>
    <w:rsid w:val="00055CFA"/>
    <w:rsid w:val="00055D6A"/>
    <w:rsid w:val="00055DF7"/>
    <w:rsid w:val="00055F3C"/>
    <w:rsid w:val="000562D6"/>
    <w:rsid w:val="00056456"/>
    <w:rsid w:val="000567B6"/>
    <w:rsid w:val="00056801"/>
    <w:rsid w:val="000569BD"/>
    <w:rsid w:val="00056A32"/>
    <w:rsid w:val="00056BE8"/>
    <w:rsid w:val="00056C0B"/>
    <w:rsid w:val="0005718E"/>
    <w:rsid w:val="00057225"/>
    <w:rsid w:val="0005724C"/>
    <w:rsid w:val="0005768E"/>
    <w:rsid w:val="00057886"/>
    <w:rsid w:val="00057ACD"/>
    <w:rsid w:val="00057D46"/>
    <w:rsid w:val="00057E8D"/>
    <w:rsid w:val="00057ECB"/>
    <w:rsid w:val="00057EE8"/>
    <w:rsid w:val="00057F54"/>
    <w:rsid w:val="00060209"/>
    <w:rsid w:val="00060237"/>
    <w:rsid w:val="00060301"/>
    <w:rsid w:val="000603FF"/>
    <w:rsid w:val="000605FA"/>
    <w:rsid w:val="00060915"/>
    <w:rsid w:val="000609DC"/>
    <w:rsid w:val="00060A4B"/>
    <w:rsid w:val="00060A7F"/>
    <w:rsid w:val="00060B9F"/>
    <w:rsid w:val="00060BAD"/>
    <w:rsid w:val="00060EE3"/>
    <w:rsid w:val="00060F2A"/>
    <w:rsid w:val="000613E6"/>
    <w:rsid w:val="000616BF"/>
    <w:rsid w:val="000616EE"/>
    <w:rsid w:val="0006185E"/>
    <w:rsid w:val="000618A7"/>
    <w:rsid w:val="00061C4F"/>
    <w:rsid w:val="00061D01"/>
    <w:rsid w:val="00061D18"/>
    <w:rsid w:val="00061E5E"/>
    <w:rsid w:val="00061F30"/>
    <w:rsid w:val="00061FB3"/>
    <w:rsid w:val="000621E9"/>
    <w:rsid w:val="000624F8"/>
    <w:rsid w:val="0006268C"/>
    <w:rsid w:val="000626CA"/>
    <w:rsid w:val="000626EB"/>
    <w:rsid w:val="00062775"/>
    <w:rsid w:val="0006298A"/>
    <w:rsid w:val="00062B7C"/>
    <w:rsid w:val="00062CA8"/>
    <w:rsid w:val="00062DFB"/>
    <w:rsid w:val="00062EB2"/>
    <w:rsid w:val="00062F1F"/>
    <w:rsid w:val="00063017"/>
    <w:rsid w:val="00063645"/>
    <w:rsid w:val="00063788"/>
    <w:rsid w:val="00063913"/>
    <w:rsid w:val="00063992"/>
    <w:rsid w:val="00063A30"/>
    <w:rsid w:val="00063A6A"/>
    <w:rsid w:val="00063BBC"/>
    <w:rsid w:val="00063CA3"/>
    <w:rsid w:val="00063D39"/>
    <w:rsid w:val="00063EEF"/>
    <w:rsid w:val="00063F01"/>
    <w:rsid w:val="00064072"/>
    <w:rsid w:val="000644BD"/>
    <w:rsid w:val="00064507"/>
    <w:rsid w:val="00064625"/>
    <w:rsid w:val="00064867"/>
    <w:rsid w:val="00064A0E"/>
    <w:rsid w:val="00064B0C"/>
    <w:rsid w:val="00064CB3"/>
    <w:rsid w:val="00064D92"/>
    <w:rsid w:val="00064D99"/>
    <w:rsid w:val="00064EEE"/>
    <w:rsid w:val="00065063"/>
    <w:rsid w:val="000655E1"/>
    <w:rsid w:val="0006564B"/>
    <w:rsid w:val="00065A0F"/>
    <w:rsid w:val="00065B70"/>
    <w:rsid w:val="00065D12"/>
    <w:rsid w:val="00065D1D"/>
    <w:rsid w:val="00065EBA"/>
    <w:rsid w:val="00065FE5"/>
    <w:rsid w:val="00066123"/>
    <w:rsid w:val="000663DE"/>
    <w:rsid w:val="000666D0"/>
    <w:rsid w:val="00066805"/>
    <w:rsid w:val="00066BAC"/>
    <w:rsid w:val="00066D8F"/>
    <w:rsid w:val="00066E10"/>
    <w:rsid w:val="00066E40"/>
    <w:rsid w:val="00066F5D"/>
    <w:rsid w:val="00066FB3"/>
    <w:rsid w:val="0006727B"/>
    <w:rsid w:val="000675D7"/>
    <w:rsid w:val="00067AD0"/>
    <w:rsid w:val="00067D7A"/>
    <w:rsid w:val="00067ED5"/>
    <w:rsid w:val="00067F58"/>
    <w:rsid w:val="0006DAC5"/>
    <w:rsid w:val="0006E533"/>
    <w:rsid w:val="000700BE"/>
    <w:rsid w:val="0007014C"/>
    <w:rsid w:val="00070491"/>
    <w:rsid w:val="00070874"/>
    <w:rsid w:val="0007099C"/>
    <w:rsid w:val="00070B84"/>
    <w:rsid w:val="00070CA5"/>
    <w:rsid w:val="00070D61"/>
    <w:rsid w:val="00070D77"/>
    <w:rsid w:val="0007132A"/>
    <w:rsid w:val="000714A1"/>
    <w:rsid w:val="000715F3"/>
    <w:rsid w:val="00071612"/>
    <w:rsid w:val="00071827"/>
    <w:rsid w:val="0007189B"/>
    <w:rsid w:val="00071953"/>
    <w:rsid w:val="00071C96"/>
    <w:rsid w:val="00071EE7"/>
    <w:rsid w:val="00072305"/>
    <w:rsid w:val="0007243B"/>
    <w:rsid w:val="00072628"/>
    <w:rsid w:val="0007275B"/>
    <w:rsid w:val="000727A8"/>
    <w:rsid w:val="0007289A"/>
    <w:rsid w:val="000728BE"/>
    <w:rsid w:val="000728D3"/>
    <w:rsid w:val="00072D5F"/>
    <w:rsid w:val="00072F71"/>
    <w:rsid w:val="00072FEB"/>
    <w:rsid w:val="0007323C"/>
    <w:rsid w:val="00073558"/>
    <w:rsid w:val="0007371C"/>
    <w:rsid w:val="00073C67"/>
    <w:rsid w:val="00073D74"/>
    <w:rsid w:val="00074480"/>
    <w:rsid w:val="00074648"/>
    <w:rsid w:val="000746D8"/>
    <w:rsid w:val="0007494E"/>
    <w:rsid w:val="00074A2A"/>
    <w:rsid w:val="00074CC9"/>
    <w:rsid w:val="00074D58"/>
    <w:rsid w:val="00074EA9"/>
    <w:rsid w:val="00074F6A"/>
    <w:rsid w:val="00074F7A"/>
    <w:rsid w:val="00074FA3"/>
    <w:rsid w:val="000755B7"/>
    <w:rsid w:val="000757E8"/>
    <w:rsid w:val="000758A3"/>
    <w:rsid w:val="000758BC"/>
    <w:rsid w:val="00075FA8"/>
    <w:rsid w:val="00076190"/>
    <w:rsid w:val="00076217"/>
    <w:rsid w:val="00076241"/>
    <w:rsid w:val="000768C9"/>
    <w:rsid w:val="0007698C"/>
    <w:rsid w:val="0007699C"/>
    <w:rsid w:val="000769D8"/>
    <w:rsid w:val="00076C9C"/>
    <w:rsid w:val="00076D75"/>
    <w:rsid w:val="00076DAF"/>
    <w:rsid w:val="00076E9D"/>
    <w:rsid w:val="00076EFC"/>
    <w:rsid w:val="000771CA"/>
    <w:rsid w:val="000771F8"/>
    <w:rsid w:val="00077236"/>
    <w:rsid w:val="00077614"/>
    <w:rsid w:val="000777DC"/>
    <w:rsid w:val="000779DA"/>
    <w:rsid w:val="00077B53"/>
    <w:rsid w:val="00077DC0"/>
    <w:rsid w:val="00077EB6"/>
    <w:rsid w:val="00077ED2"/>
    <w:rsid w:val="00077F34"/>
    <w:rsid w:val="00077F47"/>
    <w:rsid w:val="000804CC"/>
    <w:rsid w:val="00080676"/>
    <w:rsid w:val="000806D4"/>
    <w:rsid w:val="000807AD"/>
    <w:rsid w:val="00080A23"/>
    <w:rsid w:val="00080B0A"/>
    <w:rsid w:val="00080E1A"/>
    <w:rsid w:val="00080F32"/>
    <w:rsid w:val="00081196"/>
    <w:rsid w:val="0008122B"/>
    <w:rsid w:val="000813BE"/>
    <w:rsid w:val="0008145C"/>
    <w:rsid w:val="000816DF"/>
    <w:rsid w:val="00081D00"/>
    <w:rsid w:val="00081E27"/>
    <w:rsid w:val="00081F04"/>
    <w:rsid w:val="00082763"/>
    <w:rsid w:val="000827B4"/>
    <w:rsid w:val="00082AE6"/>
    <w:rsid w:val="00082BD5"/>
    <w:rsid w:val="00082CF5"/>
    <w:rsid w:val="00082E1B"/>
    <w:rsid w:val="000830D6"/>
    <w:rsid w:val="0008315A"/>
    <w:rsid w:val="00083259"/>
    <w:rsid w:val="00083323"/>
    <w:rsid w:val="0008353F"/>
    <w:rsid w:val="00083545"/>
    <w:rsid w:val="00083557"/>
    <w:rsid w:val="000837B0"/>
    <w:rsid w:val="0008381C"/>
    <w:rsid w:val="00083973"/>
    <w:rsid w:val="00083A2B"/>
    <w:rsid w:val="00083A2F"/>
    <w:rsid w:val="00083C18"/>
    <w:rsid w:val="00083C2C"/>
    <w:rsid w:val="000842E4"/>
    <w:rsid w:val="00084391"/>
    <w:rsid w:val="000845AE"/>
    <w:rsid w:val="00084A55"/>
    <w:rsid w:val="00084BDD"/>
    <w:rsid w:val="00084DE6"/>
    <w:rsid w:val="00084EE1"/>
    <w:rsid w:val="00084F63"/>
    <w:rsid w:val="0008518E"/>
    <w:rsid w:val="0008523D"/>
    <w:rsid w:val="00085707"/>
    <w:rsid w:val="0008571A"/>
    <w:rsid w:val="000858C0"/>
    <w:rsid w:val="00085B94"/>
    <w:rsid w:val="00085C06"/>
    <w:rsid w:val="00085C69"/>
    <w:rsid w:val="00085E0F"/>
    <w:rsid w:val="00085E34"/>
    <w:rsid w:val="00085E6F"/>
    <w:rsid w:val="0008627F"/>
    <w:rsid w:val="00086494"/>
    <w:rsid w:val="00086623"/>
    <w:rsid w:val="000866C3"/>
    <w:rsid w:val="00086801"/>
    <w:rsid w:val="0008688B"/>
    <w:rsid w:val="0008692D"/>
    <w:rsid w:val="00086AE0"/>
    <w:rsid w:val="00086B1B"/>
    <w:rsid w:val="00086D06"/>
    <w:rsid w:val="00086D63"/>
    <w:rsid w:val="000873ED"/>
    <w:rsid w:val="0008740A"/>
    <w:rsid w:val="00087810"/>
    <w:rsid w:val="0008793C"/>
    <w:rsid w:val="00087C43"/>
    <w:rsid w:val="00087C80"/>
    <w:rsid w:val="00087F6D"/>
    <w:rsid w:val="0008F3E9"/>
    <w:rsid w:val="000903C0"/>
    <w:rsid w:val="00090420"/>
    <w:rsid w:val="00090458"/>
    <w:rsid w:val="000904B1"/>
    <w:rsid w:val="000904BC"/>
    <w:rsid w:val="0009058B"/>
    <w:rsid w:val="000907DE"/>
    <w:rsid w:val="000908C4"/>
    <w:rsid w:val="0009099E"/>
    <w:rsid w:val="00090C4E"/>
    <w:rsid w:val="00090E33"/>
    <w:rsid w:val="000912B6"/>
    <w:rsid w:val="0009161E"/>
    <w:rsid w:val="00091671"/>
    <w:rsid w:val="00091C37"/>
    <w:rsid w:val="00091EB1"/>
    <w:rsid w:val="00091FD1"/>
    <w:rsid w:val="0009221C"/>
    <w:rsid w:val="000924B9"/>
    <w:rsid w:val="0009258D"/>
    <w:rsid w:val="00092687"/>
    <w:rsid w:val="00092CA7"/>
    <w:rsid w:val="00092E04"/>
    <w:rsid w:val="00093334"/>
    <w:rsid w:val="00093389"/>
    <w:rsid w:val="000933C6"/>
    <w:rsid w:val="00093556"/>
    <w:rsid w:val="00093811"/>
    <w:rsid w:val="00093907"/>
    <w:rsid w:val="00093A78"/>
    <w:rsid w:val="00094333"/>
    <w:rsid w:val="00094613"/>
    <w:rsid w:val="00094715"/>
    <w:rsid w:val="00094766"/>
    <w:rsid w:val="00094DF9"/>
    <w:rsid w:val="00094F84"/>
    <w:rsid w:val="0009503C"/>
    <w:rsid w:val="00095584"/>
    <w:rsid w:val="0009561B"/>
    <w:rsid w:val="00095FB2"/>
    <w:rsid w:val="00095FCD"/>
    <w:rsid w:val="0009609A"/>
    <w:rsid w:val="000962C1"/>
    <w:rsid w:val="00096327"/>
    <w:rsid w:val="000966B4"/>
    <w:rsid w:val="000967C6"/>
    <w:rsid w:val="00096BBF"/>
    <w:rsid w:val="00096C74"/>
    <w:rsid w:val="00096FAE"/>
    <w:rsid w:val="00097307"/>
    <w:rsid w:val="000975B3"/>
    <w:rsid w:val="000975BD"/>
    <w:rsid w:val="00097611"/>
    <w:rsid w:val="000977B2"/>
    <w:rsid w:val="000979D9"/>
    <w:rsid w:val="00097A50"/>
    <w:rsid w:val="00097ABD"/>
    <w:rsid w:val="00097B18"/>
    <w:rsid w:val="00097D1B"/>
    <w:rsid w:val="00097EE6"/>
    <w:rsid w:val="00097FCF"/>
    <w:rsid w:val="000A02B6"/>
    <w:rsid w:val="000A0342"/>
    <w:rsid w:val="000A03CF"/>
    <w:rsid w:val="000A096A"/>
    <w:rsid w:val="000A09FB"/>
    <w:rsid w:val="000A0FB0"/>
    <w:rsid w:val="000A1005"/>
    <w:rsid w:val="000A1019"/>
    <w:rsid w:val="000A115B"/>
    <w:rsid w:val="000A14A6"/>
    <w:rsid w:val="000A191F"/>
    <w:rsid w:val="000A1CB5"/>
    <w:rsid w:val="000A1D43"/>
    <w:rsid w:val="000A1E0B"/>
    <w:rsid w:val="000A1E51"/>
    <w:rsid w:val="000A219C"/>
    <w:rsid w:val="000A22D8"/>
    <w:rsid w:val="000A2389"/>
    <w:rsid w:val="000A276A"/>
    <w:rsid w:val="000A29CE"/>
    <w:rsid w:val="000A2A09"/>
    <w:rsid w:val="000A2A67"/>
    <w:rsid w:val="000A2D9F"/>
    <w:rsid w:val="000A2E95"/>
    <w:rsid w:val="000A2F5D"/>
    <w:rsid w:val="000A3030"/>
    <w:rsid w:val="000A3081"/>
    <w:rsid w:val="000A31C2"/>
    <w:rsid w:val="000A3598"/>
    <w:rsid w:val="000A362E"/>
    <w:rsid w:val="000A3712"/>
    <w:rsid w:val="000A376A"/>
    <w:rsid w:val="000A3790"/>
    <w:rsid w:val="000A37A8"/>
    <w:rsid w:val="000A387A"/>
    <w:rsid w:val="000A38E4"/>
    <w:rsid w:val="000A38E5"/>
    <w:rsid w:val="000A3919"/>
    <w:rsid w:val="000A39AC"/>
    <w:rsid w:val="000A3A16"/>
    <w:rsid w:val="000A3AC5"/>
    <w:rsid w:val="000A3C99"/>
    <w:rsid w:val="000A3D77"/>
    <w:rsid w:val="000A3FBC"/>
    <w:rsid w:val="000A4182"/>
    <w:rsid w:val="000A41A2"/>
    <w:rsid w:val="000A4329"/>
    <w:rsid w:val="000A46C6"/>
    <w:rsid w:val="000A49DC"/>
    <w:rsid w:val="000A4CCB"/>
    <w:rsid w:val="000A4F36"/>
    <w:rsid w:val="000A4F5E"/>
    <w:rsid w:val="000A51A4"/>
    <w:rsid w:val="000A5254"/>
    <w:rsid w:val="000A5518"/>
    <w:rsid w:val="000A55D0"/>
    <w:rsid w:val="000A5615"/>
    <w:rsid w:val="000A56AA"/>
    <w:rsid w:val="000A5B80"/>
    <w:rsid w:val="000A5BA5"/>
    <w:rsid w:val="000A5CBE"/>
    <w:rsid w:val="000A5D87"/>
    <w:rsid w:val="000A5E64"/>
    <w:rsid w:val="000A5F78"/>
    <w:rsid w:val="000A66B9"/>
    <w:rsid w:val="000A68CC"/>
    <w:rsid w:val="000A690A"/>
    <w:rsid w:val="000A699E"/>
    <w:rsid w:val="000A6A0F"/>
    <w:rsid w:val="000A6A59"/>
    <w:rsid w:val="000A6C67"/>
    <w:rsid w:val="000A6DBB"/>
    <w:rsid w:val="000A6EEC"/>
    <w:rsid w:val="000A6FC8"/>
    <w:rsid w:val="000A714A"/>
    <w:rsid w:val="000A717C"/>
    <w:rsid w:val="000A71D7"/>
    <w:rsid w:val="000A73D4"/>
    <w:rsid w:val="000A7766"/>
    <w:rsid w:val="000A7B6E"/>
    <w:rsid w:val="000A7CC2"/>
    <w:rsid w:val="000A7D5C"/>
    <w:rsid w:val="000AE0FF"/>
    <w:rsid w:val="000B036C"/>
    <w:rsid w:val="000B09E0"/>
    <w:rsid w:val="000B0C60"/>
    <w:rsid w:val="000B0CD7"/>
    <w:rsid w:val="000B1013"/>
    <w:rsid w:val="000B12F3"/>
    <w:rsid w:val="000B16AA"/>
    <w:rsid w:val="000B1F93"/>
    <w:rsid w:val="000B1F94"/>
    <w:rsid w:val="000B2005"/>
    <w:rsid w:val="000B21F7"/>
    <w:rsid w:val="000B2471"/>
    <w:rsid w:val="000B24D9"/>
    <w:rsid w:val="000B25EC"/>
    <w:rsid w:val="000B265F"/>
    <w:rsid w:val="000B29C9"/>
    <w:rsid w:val="000B2CF0"/>
    <w:rsid w:val="000B2DBB"/>
    <w:rsid w:val="000B2FB8"/>
    <w:rsid w:val="000B315B"/>
    <w:rsid w:val="000B3337"/>
    <w:rsid w:val="000B3629"/>
    <w:rsid w:val="000B37B6"/>
    <w:rsid w:val="000B37BC"/>
    <w:rsid w:val="000B3867"/>
    <w:rsid w:val="000B3965"/>
    <w:rsid w:val="000B3969"/>
    <w:rsid w:val="000B3A9A"/>
    <w:rsid w:val="000B3C9C"/>
    <w:rsid w:val="000B3CF8"/>
    <w:rsid w:val="000B3E26"/>
    <w:rsid w:val="000B447D"/>
    <w:rsid w:val="000B44BB"/>
    <w:rsid w:val="000B44EE"/>
    <w:rsid w:val="000B4540"/>
    <w:rsid w:val="000B456D"/>
    <w:rsid w:val="000B460E"/>
    <w:rsid w:val="000B4769"/>
    <w:rsid w:val="000B476D"/>
    <w:rsid w:val="000B4B9F"/>
    <w:rsid w:val="000B4C28"/>
    <w:rsid w:val="000B4E70"/>
    <w:rsid w:val="000B4F48"/>
    <w:rsid w:val="000B5083"/>
    <w:rsid w:val="000B5139"/>
    <w:rsid w:val="000B55C0"/>
    <w:rsid w:val="000B55D7"/>
    <w:rsid w:val="000B59F6"/>
    <w:rsid w:val="000B5CDB"/>
    <w:rsid w:val="000B5D07"/>
    <w:rsid w:val="000B5D8C"/>
    <w:rsid w:val="000B5EE3"/>
    <w:rsid w:val="000B61A7"/>
    <w:rsid w:val="000B6306"/>
    <w:rsid w:val="000B6507"/>
    <w:rsid w:val="000B66BC"/>
    <w:rsid w:val="000B67D9"/>
    <w:rsid w:val="000B6BB3"/>
    <w:rsid w:val="000B775F"/>
    <w:rsid w:val="000B77D5"/>
    <w:rsid w:val="000B77E1"/>
    <w:rsid w:val="000B7B98"/>
    <w:rsid w:val="000C0088"/>
    <w:rsid w:val="000C0110"/>
    <w:rsid w:val="000C0AE9"/>
    <w:rsid w:val="000C0B73"/>
    <w:rsid w:val="000C0D41"/>
    <w:rsid w:val="000C0E87"/>
    <w:rsid w:val="000C1540"/>
    <w:rsid w:val="000C159B"/>
    <w:rsid w:val="000C15DC"/>
    <w:rsid w:val="000C1907"/>
    <w:rsid w:val="000C1A97"/>
    <w:rsid w:val="000C1BE3"/>
    <w:rsid w:val="000C1BFD"/>
    <w:rsid w:val="000C1C0F"/>
    <w:rsid w:val="000C1CA9"/>
    <w:rsid w:val="000C1E9E"/>
    <w:rsid w:val="000C1EFB"/>
    <w:rsid w:val="000C2C49"/>
    <w:rsid w:val="000C2D55"/>
    <w:rsid w:val="000C3592"/>
    <w:rsid w:val="000C3616"/>
    <w:rsid w:val="000C3757"/>
    <w:rsid w:val="000C3977"/>
    <w:rsid w:val="000C3996"/>
    <w:rsid w:val="000C3B60"/>
    <w:rsid w:val="000C3EC1"/>
    <w:rsid w:val="000C3FBF"/>
    <w:rsid w:val="000C3FDC"/>
    <w:rsid w:val="000C4199"/>
    <w:rsid w:val="000C43C3"/>
    <w:rsid w:val="000C44B4"/>
    <w:rsid w:val="000C4ABB"/>
    <w:rsid w:val="000C4BAD"/>
    <w:rsid w:val="000C4BDF"/>
    <w:rsid w:val="000C4CA9"/>
    <w:rsid w:val="000C4D52"/>
    <w:rsid w:val="000C4FEC"/>
    <w:rsid w:val="000C5102"/>
    <w:rsid w:val="000C511C"/>
    <w:rsid w:val="000C5226"/>
    <w:rsid w:val="000C5249"/>
    <w:rsid w:val="000C52B2"/>
    <w:rsid w:val="000C539F"/>
    <w:rsid w:val="000C53D6"/>
    <w:rsid w:val="000C57B8"/>
    <w:rsid w:val="000C586B"/>
    <w:rsid w:val="000C5B31"/>
    <w:rsid w:val="000C5D79"/>
    <w:rsid w:val="000C5E8C"/>
    <w:rsid w:val="000C605D"/>
    <w:rsid w:val="000C6090"/>
    <w:rsid w:val="000C617C"/>
    <w:rsid w:val="000C622B"/>
    <w:rsid w:val="000C6270"/>
    <w:rsid w:val="000C62A9"/>
    <w:rsid w:val="000C631F"/>
    <w:rsid w:val="000C6731"/>
    <w:rsid w:val="000C6A9A"/>
    <w:rsid w:val="000C6BEF"/>
    <w:rsid w:val="000C6DFA"/>
    <w:rsid w:val="000C6F1A"/>
    <w:rsid w:val="000C71AA"/>
    <w:rsid w:val="000C71F8"/>
    <w:rsid w:val="000C74FA"/>
    <w:rsid w:val="000C7AF1"/>
    <w:rsid w:val="000C7C84"/>
    <w:rsid w:val="000C7CD7"/>
    <w:rsid w:val="000C7CFD"/>
    <w:rsid w:val="000C7DEE"/>
    <w:rsid w:val="000D07C8"/>
    <w:rsid w:val="000D093E"/>
    <w:rsid w:val="000D0951"/>
    <w:rsid w:val="000D0A46"/>
    <w:rsid w:val="000D0B5C"/>
    <w:rsid w:val="000D0BAA"/>
    <w:rsid w:val="000D0EA8"/>
    <w:rsid w:val="000D10AC"/>
    <w:rsid w:val="000D1125"/>
    <w:rsid w:val="000D1514"/>
    <w:rsid w:val="000D163D"/>
    <w:rsid w:val="000D16B7"/>
    <w:rsid w:val="000D1798"/>
    <w:rsid w:val="000D184C"/>
    <w:rsid w:val="000D1907"/>
    <w:rsid w:val="000D199E"/>
    <w:rsid w:val="000D1AF3"/>
    <w:rsid w:val="000D1B56"/>
    <w:rsid w:val="000D1C1E"/>
    <w:rsid w:val="000D1EA4"/>
    <w:rsid w:val="000D1F3C"/>
    <w:rsid w:val="000D201E"/>
    <w:rsid w:val="000D20E4"/>
    <w:rsid w:val="000D2243"/>
    <w:rsid w:val="000D2415"/>
    <w:rsid w:val="000D2437"/>
    <w:rsid w:val="000D2547"/>
    <w:rsid w:val="000D2577"/>
    <w:rsid w:val="000D28A6"/>
    <w:rsid w:val="000D29A1"/>
    <w:rsid w:val="000D2A55"/>
    <w:rsid w:val="000D2C3D"/>
    <w:rsid w:val="000D2CEA"/>
    <w:rsid w:val="000D30B8"/>
    <w:rsid w:val="000D3514"/>
    <w:rsid w:val="000D360E"/>
    <w:rsid w:val="000D365F"/>
    <w:rsid w:val="000D3829"/>
    <w:rsid w:val="000D3938"/>
    <w:rsid w:val="000D3A4D"/>
    <w:rsid w:val="000D3C96"/>
    <w:rsid w:val="000D3D25"/>
    <w:rsid w:val="000D3DBE"/>
    <w:rsid w:val="000D3E82"/>
    <w:rsid w:val="000D4227"/>
    <w:rsid w:val="000D4272"/>
    <w:rsid w:val="000D42DD"/>
    <w:rsid w:val="000D46A3"/>
    <w:rsid w:val="000D4748"/>
    <w:rsid w:val="000D4826"/>
    <w:rsid w:val="000D4894"/>
    <w:rsid w:val="000D49D6"/>
    <w:rsid w:val="000D4AF2"/>
    <w:rsid w:val="000D4DDB"/>
    <w:rsid w:val="000D4E72"/>
    <w:rsid w:val="000D4F3C"/>
    <w:rsid w:val="000D4F5E"/>
    <w:rsid w:val="000D4FB8"/>
    <w:rsid w:val="000D5378"/>
    <w:rsid w:val="000D5AF1"/>
    <w:rsid w:val="000D5C44"/>
    <w:rsid w:val="000D5E9D"/>
    <w:rsid w:val="000D5ED2"/>
    <w:rsid w:val="000D6110"/>
    <w:rsid w:val="000D644C"/>
    <w:rsid w:val="000D65AC"/>
    <w:rsid w:val="000D689B"/>
    <w:rsid w:val="000D68A9"/>
    <w:rsid w:val="000D698F"/>
    <w:rsid w:val="000D6A4A"/>
    <w:rsid w:val="000D6C95"/>
    <w:rsid w:val="000D6CB1"/>
    <w:rsid w:val="000D6E68"/>
    <w:rsid w:val="000D7220"/>
    <w:rsid w:val="000D7320"/>
    <w:rsid w:val="000D7366"/>
    <w:rsid w:val="000D7695"/>
    <w:rsid w:val="000D7C9C"/>
    <w:rsid w:val="000D7DBE"/>
    <w:rsid w:val="000E03CE"/>
    <w:rsid w:val="000E0471"/>
    <w:rsid w:val="000E04E8"/>
    <w:rsid w:val="000E04F2"/>
    <w:rsid w:val="000E0534"/>
    <w:rsid w:val="000E053B"/>
    <w:rsid w:val="000E05B0"/>
    <w:rsid w:val="000E0941"/>
    <w:rsid w:val="000E0BA3"/>
    <w:rsid w:val="000E0D16"/>
    <w:rsid w:val="000E0E2F"/>
    <w:rsid w:val="000E0EA1"/>
    <w:rsid w:val="000E1027"/>
    <w:rsid w:val="000E1188"/>
    <w:rsid w:val="000E1351"/>
    <w:rsid w:val="000E16A4"/>
    <w:rsid w:val="000E16C4"/>
    <w:rsid w:val="000E1904"/>
    <w:rsid w:val="000E198F"/>
    <w:rsid w:val="000E19EB"/>
    <w:rsid w:val="000E1A96"/>
    <w:rsid w:val="000E1BFD"/>
    <w:rsid w:val="000E1D08"/>
    <w:rsid w:val="000E1E44"/>
    <w:rsid w:val="000E1F08"/>
    <w:rsid w:val="000E2194"/>
    <w:rsid w:val="000E2290"/>
    <w:rsid w:val="000E25B8"/>
    <w:rsid w:val="000E25C2"/>
    <w:rsid w:val="000E29D2"/>
    <w:rsid w:val="000E2E84"/>
    <w:rsid w:val="000E3172"/>
    <w:rsid w:val="000E35B3"/>
    <w:rsid w:val="000E36B3"/>
    <w:rsid w:val="000E3729"/>
    <w:rsid w:val="000E3CF5"/>
    <w:rsid w:val="000E3FA1"/>
    <w:rsid w:val="000E4100"/>
    <w:rsid w:val="000E4120"/>
    <w:rsid w:val="000E434A"/>
    <w:rsid w:val="000E43F6"/>
    <w:rsid w:val="000E463A"/>
    <w:rsid w:val="000E4691"/>
    <w:rsid w:val="000E498A"/>
    <w:rsid w:val="000E49BE"/>
    <w:rsid w:val="000E49D6"/>
    <w:rsid w:val="000E4F8C"/>
    <w:rsid w:val="000E4FA0"/>
    <w:rsid w:val="000E50E1"/>
    <w:rsid w:val="000E5412"/>
    <w:rsid w:val="000E58E2"/>
    <w:rsid w:val="000E596B"/>
    <w:rsid w:val="000E59BF"/>
    <w:rsid w:val="000E5C30"/>
    <w:rsid w:val="000E5F12"/>
    <w:rsid w:val="000E606B"/>
    <w:rsid w:val="000E607B"/>
    <w:rsid w:val="000E60DA"/>
    <w:rsid w:val="000E62BB"/>
    <w:rsid w:val="000E635A"/>
    <w:rsid w:val="000E677E"/>
    <w:rsid w:val="000E67BA"/>
    <w:rsid w:val="000E6E30"/>
    <w:rsid w:val="000E6E72"/>
    <w:rsid w:val="000E6E7C"/>
    <w:rsid w:val="000E7103"/>
    <w:rsid w:val="000E7140"/>
    <w:rsid w:val="000E754C"/>
    <w:rsid w:val="000E7886"/>
    <w:rsid w:val="000E7956"/>
    <w:rsid w:val="000E7A6F"/>
    <w:rsid w:val="000E7BFC"/>
    <w:rsid w:val="000E7D0D"/>
    <w:rsid w:val="000E7DE4"/>
    <w:rsid w:val="000E7F65"/>
    <w:rsid w:val="000F0141"/>
    <w:rsid w:val="000F0199"/>
    <w:rsid w:val="000F01B6"/>
    <w:rsid w:val="000F082F"/>
    <w:rsid w:val="000F0B0C"/>
    <w:rsid w:val="000F0B68"/>
    <w:rsid w:val="000F0B8C"/>
    <w:rsid w:val="000F0C93"/>
    <w:rsid w:val="000F0CF0"/>
    <w:rsid w:val="000F0D83"/>
    <w:rsid w:val="000F0E48"/>
    <w:rsid w:val="000F0E5B"/>
    <w:rsid w:val="000F0F82"/>
    <w:rsid w:val="000F1048"/>
    <w:rsid w:val="000F10DD"/>
    <w:rsid w:val="000F117F"/>
    <w:rsid w:val="000F12BE"/>
    <w:rsid w:val="000F150D"/>
    <w:rsid w:val="000F1815"/>
    <w:rsid w:val="000F1A5D"/>
    <w:rsid w:val="000F1CA5"/>
    <w:rsid w:val="000F1D8F"/>
    <w:rsid w:val="000F1E7C"/>
    <w:rsid w:val="000F1E8E"/>
    <w:rsid w:val="000F2022"/>
    <w:rsid w:val="000F21A9"/>
    <w:rsid w:val="000F21BC"/>
    <w:rsid w:val="000F21FD"/>
    <w:rsid w:val="000F26A5"/>
    <w:rsid w:val="000F26CC"/>
    <w:rsid w:val="000F2731"/>
    <w:rsid w:val="000F27E8"/>
    <w:rsid w:val="000F28D0"/>
    <w:rsid w:val="000F2AFD"/>
    <w:rsid w:val="000F2C52"/>
    <w:rsid w:val="000F2D59"/>
    <w:rsid w:val="000F2EA6"/>
    <w:rsid w:val="000F31DE"/>
    <w:rsid w:val="000F3270"/>
    <w:rsid w:val="000F328F"/>
    <w:rsid w:val="000F357C"/>
    <w:rsid w:val="000F37ED"/>
    <w:rsid w:val="000F38DE"/>
    <w:rsid w:val="000F3B1A"/>
    <w:rsid w:val="000F3BF5"/>
    <w:rsid w:val="000F3C7C"/>
    <w:rsid w:val="000F3FCB"/>
    <w:rsid w:val="000F42ED"/>
    <w:rsid w:val="000F470F"/>
    <w:rsid w:val="000F47E4"/>
    <w:rsid w:val="000F48DC"/>
    <w:rsid w:val="000F49B3"/>
    <w:rsid w:val="000F4B4D"/>
    <w:rsid w:val="000F4D6B"/>
    <w:rsid w:val="000F50E4"/>
    <w:rsid w:val="000F5217"/>
    <w:rsid w:val="000F521A"/>
    <w:rsid w:val="000F53AB"/>
    <w:rsid w:val="000F53D6"/>
    <w:rsid w:val="000F546B"/>
    <w:rsid w:val="000F5487"/>
    <w:rsid w:val="000F5826"/>
    <w:rsid w:val="000F5897"/>
    <w:rsid w:val="000F5A99"/>
    <w:rsid w:val="000F5AEF"/>
    <w:rsid w:val="000F5CA0"/>
    <w:rsid w:val="000F5F7C"/>
    <w:rsid w:val="000F60DB"/>
    <w:rsid w:val="000F6462"/>
    <w:rsid w:val="000F655A"/>
    <w:rsid w:val="000F66B6"/>
    <w:rsid w:val="000F66E5"/>
    <w:rsid w:val="000F6711"/>
    <w:rsid w:val="000F6748"/>
    <w:rsid w:val="000F67D7"/>
    <w:rsid w:val="000F6927"/>
    <w:rsid w:val="000F6A9B"/>
    <w:rsid w:val="000F6BC2"/>
    <w:rsid w:val="000F6D9B"/>
    <w:rsid w:val="000F6E77"/>
    <w:rsid w:val="000F7137"/>
    <w:rsid w:val="000F7200"/>
    <w:rsid w:val="000F75F2"/>
    <w:rsid w:val="000F766E"/>
    <w:rsid w:val="000F788E"/>
    <w:rsid w:val="000F7A60"/>
    <w:rsid w:val="000F7A8B"/>
    <w:rsid w:val="000F7AC4"/>
    <w:rsid w:val="000F7D48"/>
    <w:rsid w:val="001002C7"/>
    <w:rsid w:val="001002DF"/>
    <w:rsid w:val="0010049A"/>
    <w:rsid w:val="00100554"/>
    <w:rsid w:val="00100BCD"/>
    <w:rsid w:val="00100D43"/>
    <w:rsid w:val="00100E90"/>
    <w:rsid w:val="00100F34"/>
    <w:rsid w:val="00101336"/>
    <w:rsid w:val="00101348"/>
    <w:rsid w:val="00101555"/>
    <w:rsid w:val="00101779"/>
    <w:rsid w:val="001017FC"/>
    <w:rsid w:val="001018EB"/>
    <w:rsid w:val="00101962"/>
    <w:rsid w:val="00101A21"/>
    <w:rsid w:val="00102299"/>
    <w:rsid w:val="00102423"/>
    <w:rsid w:val="001024A7"/>
    <w:rsid w:val="00102612"/>
    <w:rsid w:val="00102770"/>
    <w:rsid w:val="001029E3"/>
    <w:rsid w:val="00102D33"/>
    <w:rsid w:val="00102D4E"/>
    <w:rsid w:val="00102DE1"/>
    <w:rsid w:val="00102DF5"/>
    <w:rsid w:val="00102FEC"/>
    <w:rsid w:val="00103067"/>
    <w:rsid w:val="00103335"/>
    <w:rsid w:val="00103359"/>
    <w:rsid w:val="001033AB"/>
    <w:rsid w:val="001033B0"/>
    <w:rsid w:val="00103482"/>
    <w:rsid w:val="00103495"/>
    <w:rsid w:val="00103527"/>
    <w:rsid w:val="00103570"/>
    <w:rsid w:val="001035A0"/>
    <w:rsid w:val="00103608"/>
    <w:rsid w:val="0010372B"/>
    <w:rsid w:val="001037A1"/>
    <w:rsid w:val="00103987"/>
    <w:rsid w:val="00103A75"/>
    <w:rsid w:val="00103E1D"/>
    <w:rsid w:val="001040D4"/>
    <w:rsid w:val="00104238"/>
    <w:rsid w:val="0010425E"/>
    <w:rsid w:val="0010432E"/>
    <w:rsid w:val="00104401"/>
    <w:rsid w:val="001045CE"/>
    <w:rsid w:val="001045FE"/>
    <w:rsid w:val="00104622"/>
    <w:rsid w:val="00104BC9"/>
    <w:rsid w:val="00104DCF"/>
    <w:rsid w:val="00104F05"/>
    <w:rsid w:val="00104F42"/>
    <w:rsid w:val="00105138"/>
    <w:rsid w:val="0010524E"/>
    <w:rsid w:val="001054F2"/>
    <w:rsid w:val="00105542"/>
    <w:rsid w:val="0010555E"/>
    <w:rsid w:val="001055A6"/>
    <w:rsid w:val="0010574A"/>
    <w:rsid w:val="001058C0"/>
    <w:rsid w:val="00105A75"/>
    <w:rsid w:val="00105AC2"/>
    <w:rsid w:val="00105B54"/>
    <w:rsid w:val="00105FE7"/>
    <w:rsid w:val="00106002"/>
    <w:rsid w:val="00106023"/>
    <w:rsid w:val="00106099"/>
    <w:rsid w:val="00106185"/>
    <w:rsid w:val="001062C8"/>
    <w:rsid w:val="00106354"/>
    <w:rsid w:val="001063C7"/>
    <w:rsid w:val="0010647E"/>
    <w:rsid w:val="001066FB"/>
    <w:rsid w:val="001067DB"/>
    <w:rsid w:val="00106861"/>
    <w:rsid w:val="00106ABC"/>
    <w:rsid w:val="00106B54"/>
    <w:rsid w:val="00106C40"/>
    <w:rsid w:val="00106D73"/>
    <w:rsid w:val="00106F4E"/>
    <w:rsid w:val="001070B3"/>
    <w:rsid w:val="00107243"/>
    <w:rsid w:val="00107348"/>
    <w:rsid w:val="0010747B"/>
    <w:rsid w:val="001074ED"/>
    <w:rsid w:val="0010765C"/>
    <w:rsid w:val="00107886"/>
    <w:rsid w:val="00107897"/>
    <w:rsid w:val="00107C95"/>
    <w:rsid w:val="00107D22"/>
    <w:rsid w:val="00107D3E"/>
    <w:rsid w:val="001101A0"/>
    <w:rsid w:val="001102C8"/>
    <w:rsid w:val="0011030B"/>
    <w:rsid w:val="001103A7"/>
    <w:rsid w:val="0011051F"/>
    <w:rsid w:val="001106E4"/>
    <w:rsid w:val="00110725"/>
    <w:rsid w:val="0011074D"/>
    <w:rsid w:val="00110B4F"/>
    <w:rsid w:val="00110D57"/>
    <w:rsid w:val="00110EA0"/>
    <w:rsid w:val="00110EA5"/>
    <w:rsid w:val="00111011"/>
    <w:rsid w:val="00111201"/>
    <w:rsid w:val="001112EE"/>
    <w:rsid w:val="00111715"/>
    <w:rsid w:val="001119C3"/>
    <w:rsid w:val="00111BB3"/>
    <w:rsid w:val="00111CCE"/>
    <w:rsid w:val="00111F73"/>
    <w:rsid w:val="00111F7C"/>
    <w:rsid w:val="00112024"/>
    <w:rsid w:val="001121ED"/>
    <w:rsid w:val="00112256"/>
    <w:rsid w:val="001123C4"/>
    <w:rsid w:val="001124F4"/>
    <w:rsid w:val="0011251F"/>
    <w:rsid w:val="00112532"/>
    <w:rsid w:val="001126D0"/>
    <w:rsid w:val="0011280B"/>
    <w:rsid w:val="001129DB"/>
    <w:rsid w:val="00112D2F"/>
    <w:rsid w:val="001133F2"/>
    <w:rsid w:val="0011368D"/>
    <w:rsid w:val="001138AB"/>
    <w:rsid w:val="00113951"/>
    <w:rsid w:val="00113969"/>
    <w:rsid w:val="001139A8"/>
    <w:rsid w:val="00113EF1"/>
    <w:rsid w:val="001140F5"/>
    <w:rsid w:val="0011412C"/>
    <w:rsid w:val="001148F1"/>
    <w:rsid w:val="00114B04"/>
    <w:rsid w:val="00114C8E"/>
    <w:rsid w:val="00115040"/>
    <w:rsid w:val="001151ED"/>
    <w:rsid w:val="001152B4"/>
    <w:rsid w:val="00115416"/>
    <w:rsid w:val="0011589C"/>
    <w:rsid w:val="00115C0C"/>
    <w:rsid w:val="00115C7C"/>
    <w:rsid w:val="00115FAF"/>
    <w:rsid w:val="00116046"/>
    <w:rsid w:val="00116108"/>
    <w:rsid w:val="00116163"/>
    <w:rsid w:val="001162A9"/>
    <w:rsid w:val="001162D5"/>
    <w:rsid w:val="00116716"/>
    <w:rsid w:val="00116791"/>
    <w:rsid w:val="001168CD"/>
    <w:rsid w:val="00116C50"/>
    <w:rsid w:val="00116D0D"/>
    <w:rsid w:val="00116D79"/>
    <w:rsid w:val="00117014"/>
    <w:rsid w:val="001170F4"/>
    <w:rsid w:val="00117196"/>
    <w:rsid w:val="0011747E"/>
    <w:rsid w:val="001176E6"/>
    <w:rsid w:val="0011779A"/>
    <w:rsid w:val="00117BD1"/>
    <w:rsid w:val="00117CB5"/>
    <w:rsid w:val="00117F03"/>
    <w:rsid w:val="00117FE0"/>
    <w:rsid w:val="001201BF"/>
    <w:rsid w:val="001201C1"/>
    <w:rsid w:val="00120343"/>
    <w:rsid w:val="001203A3"/>
    <w:rsid w:val="00120521"/>
    <w:rsid w:val="001205EF"/>
    <w:rsid w:val="00120725"/>
    <w:rsid w:val="00120979"/>
    <w:rsid w:val="00120A48"/>
    <w:rsid w:val="00120C44"/>
    <w:rsid w:val="00120EAD"/>
    <w:rsid w:val="00120F17"/>
    <w:rsid w:val="00121A2F"/>
    <w:rsid w:val="00121AF6"/>
    <w:rsid w:val="00121CE8"/>
    <w:rsid w:val="00121D7A"/>
    <w:rsid w:val="00121E66"/>
    <w:rsid w:val="001222D9"/>
    <w:rsid w:val="0012231E"/>
    <w:rsid w:val="00122378"/>
    <w:rsid w:val="00122384"/>
    <w:rsid w:val="0012240C"/>
    <w:rsid w:val="00122494"/>
    <w:rsid w:val="00122706"/>
    <w:rsid w:val="001227FE"/>
    <w:rsid w:val="00122A15"/>
    <w:rsid w:val="00122CC4"/>
    <w:rsid w:val="00122F37"/>
    <w:rsid w:val="00123185"/>
    <w:rsid w:val="0012333E"/>
    <w:rsid w:val="001234A4"/>
    <w:rsid w:val="001235E8"/>
    <w:rsid w:val="0012370C"/>
    <w:rsid w:val="001239C9"/>
    <w:rsid w:val="00123D9C"/>
    <w:rsid w:val="00123DB1"/>
    <w:rsid w:val="0012405E"/>
    <w:rsid w:val="0012427E"/>
    <w:rsid w:val="001242C2"/>
    <w:rsid w:val="0012438B"/>
    <w:rsid w:val="001246B0"/>
    <w:rsid w:val="00124D13"/>
    <w:rsid w:val="00124DC3"/>
    <w:rsid w:val="00124FC9"/>
    <w:rsid w:val="00124FD5"/>
    <w:rsid w:val="001250AA"/>
    <w:rsid w:val="0012519A"/>
    <w:rsid w:val="001251B3"/>
    <w:rsid w:val="0012548A"/>
    <w:rsid w:val="00125821"/>
    <w:rsid w:val="00125825"/>
    <w:rsid w:val="00125847"/>
    <w:rsid w:val="00125A12"/>
    <w:rsid w:val="00125BD9"/>
    <w:rsid w:val="00125EEA"/>
    <w:rsid w:val="001261F5"/>
    <w:rsid w:val="0012625C"/>
    <w:rsid w:val="001264DF"/>
    <w:rsid w:val="00126661"/>
    <w:rsid w:val="00126AE0"/>
    <w:rsid w:val="00126B02"/>
    <w:rsid w:val="00126B84"/>
    <w:rsid w:val="00126BF3"/>
    <w:rsid w:val="00126C32"/>
    <w:rsid w:val="00127002"/>
    <w:rsid w:val="001270CB"/>
    <w:rsid w:val="0012727E"/>
    <w:rsid w:val="00127477"/>
    <w:rsid w:val="00127571"/>
    <w:rsid w:val="00127934"/>
    <w:rsid w:val="0012793F"/>
    <w:rsid w:val="00127998"/>
    <w:rsid w:val="00127A3C"/>
    <w:rsid w:val="00127F5C"/>
    <w:rsid w:val="00130312"/>
    <w:rsid w:val="00130894"/>
    <w:rsid w:val="001309D1"/>
    <w:rsid w:val="00130C4C"/>
    <w:rsid w:val="00130CE9"/>
    <w:rsid w:val="00130D6A"/>
    <w:rsid w:val="00130DAA"/>
    <w:rsid w:val="00130EA3"/>
    <w:rsid w:val="00131067"/>
    <w:rsid w:val="001312DF"/>
    <w:rsid w:val="001313C0"/>
    <w:rsid w:val="0013158C"/>
    <w:rsid w:val="001318F1"/>
    <w:rsid w:val="00131BA8"/>
    <w:rsid w:val="00131BB9"/>
    <w:rsid w:val="00131D15"/>
    <w:rsid w:val="00131FC2"/>
    <w:rsid w:val="0013212F"/>
    <w:rsid w:val="00132162"/>
    <w:rsid w:val="00132229"/>
    <w:rsid w:val="001324F6"/>
    <w:rsid w:val="00132A3D"/>
    <w:rsid w:val="00132CCD"/>
    <w:rsid w:val="00132E7C"/>
    <w:rsid w:val="00132EAF"/>
    <w:rsid w:val="00132F49"/>
    <w:rsid w:val="0013302A"/>
    <w:rsid w:val="0013320E"/>
    <w:rsid w:val="00133397"/>
    <w:rsid w:val="0013343A"/>
    <w:rsid w:val="001335F0"/>
    <w:rsid w:val="00133633"/>
    <w:rsid w:val="00133652"/>
    <w:rsid w:val="00133779"/>
    <w:rsid w:val="001337A1"/>
    <w:rsid w:val="0013384E"/>
    <w:rsid w:val="001338AD"/>
    <w:rsid w:val="00133933"/>
    <w:rsid w:val="00133ADE"/>
    <w:rsid w:val="00133B36"/>
    <w:rsid w:val="00133B3E"/>
    <w:rsid w:val="00133D3E"/>
    <w:rsid w:val="00133DCF"/>
    <w:rsid w:val="00133E21"/>
    <w:rsid w:val="00133E58"/>
    <w:rsid w:val="00133EF2"/>
    <w:rsid w:val="001345F2"/>
    <w:rsid w:val="00134625"/>
    <w:rsid w:val="00134691"/>
    <w:rsid w:val="001349E3"/>
    <w:rsid w:val="00134B8A"/>
    <w:rsid w:val="00134C98"/>
    <w:rsid w:val="00134E75"/>
    <w:rsid w:val="00134E7A"/>
    <w:rsid w:val="00134E85"/>
    <w:rsid w:val="001352D2"/>
    <w:rsid w:val="00135535"/>
    <w:rsid w:val="00135585"/>
    <w:rsid w:val="00135887"/>
    <w:rsid w:val="00135B5E"/>
    <w:rsid w:val="00135E3B"/>
    <w:rsid w:val="00135E6F"/>
    <w:rsid w:val="00136562"/>
    <w:rsid w:val="0013657D"/>
    <w:rsid w:val="0013670C"/>
    <w:rsid w:val="00136BAF"/>
    <w:rsid w:val="00136C3C"/>
    <w:rsid w:val="0013708E"/>
    <w:rsid w:val="001373C7"/>
    <w:rsid w:val="0013746F"/>
    <w:rsid w:val="001375B8"/>
    <w:rsid w:val="00137722"/>
    <w:rsid w:val="0013777A"/>
    <w:rsid w:val="00137DC8"/>
    <w:rsid w:val="00137E44"/>
    <w:rsid w:val="001401E5"/>
    <w:rsid w:val="001403E1"/>
    <w:rsid w:val="00140455"/>
    <w:rsid w:val="001404F3"/>
    <w:rsid w:val="0014078B"/>
    <w:rsid w:val="00140C3D"/>
    <w:rsid w:val="00140DA8"/>
    <w:rsid w:val="001410E2"/>
    <w:rsid w:val="001411C9"/>
    <w:rsid w:val="001414DF"/>
    <w:rsid w:val="001415FC"/>
    <w:rsid w:val="00141915"/>
    <w:rsid w:val="001419E3"/>
    <w:rsid w:val="00141D11"/>
    <w:rsid w:val="00141D4D"/>
    <w:rsid w:val="00141F96"/>
    <w:rsid w:val="00141FE1"/>
    <w:rsid w:val="00141FE4"/>
    <w:rsid w:val="00142413"/>
    <w:rsid w:val="001424D1"/>
    <w:rsid w:val="001425FC"/>
    <w:rsid w:val="0014264B"/>
    <w:rsid w:val="001427D6"/>
    <w:rsid w:val="001428E6"/>
    <w:rsid w:val="001428F7"/>
    <w:rsid w:val="00142A08"/>
    <w:rsid w:val="00142A84"/>
    <w:rsid w:val="00142BC4"/>
    <w:rsid w:val="00142CB8"/>
    <w:rsid w:val="00142E12"/>
    <w:rsid w:val="001432FD"/>
    <w:rsid w:val="0014355B"/>
    <w:rsid w:val="001437D9"/>
    <w:rsid w:val="00143817"/>
    <w:rsid w:val="00143932"/>
    <w:rsid w:val="00143AB9"/>
    <w:rsid w:val="00143B59"/>
    <w:rsid w:val="00143B62"/>
    <w:rsid w:val="00143B84"/>
    <w:rsid w:val="00143BDE"/>
    <w:rsid w:val="00143D70"/>
    <w:rsid w:val="00143DAC"/>
    <w:rsid w:val="0014400B"/>
    <w:rsid w:val="001440AF"/>
    <w:rsid w:val="00144243"/>
    <w:rsid w:val="001442D3"/>
    <w:rsid w:val="0014436E"/>
    <w:rsid w:val="0014447D"/>
    <w:rsid w:val="00144735"/>
    <w:rsid w:val="00144790"/>
    <w:rsid w:val="00144812"/>
    <w:rsid w:val="001449B4"/>
    <w:rsid w:val="00144FDE"/>
    <w:rsid w:val="001451CB"/>
    <w:rsid w:val="00145309"/>
    <w:rsid w:val="0014531B"/>
    <w:rsid w:val="00145328"/>
    <w:rsid w:val="001453AD"/>
    <w:rsid w:val="0014585F"/>
    <w:rsid w:val="00145A08"/>
    <w:rsid w:val="00145B14"/>
    <w:rsid w:val="00145E92"/>
    <w:rsid w:val="00145EC4"/>
    <w:rsid w:val="00145ED0"/>
    <w:rsid w:val="00145FD8"/>
    <w:rsid w:val="0014613E"/>
    <w:rsid w:val="0014625C"/>
    <w:rsid w:val="00146502"/>
    <w:rsid w:val="00146689"/>
    <w:rsid w:val="001467D9"/>
    <w:rsid w:val="001468A5"/>
    <w:rsid w:val="0014695F"/>
    <w:rsid w:val="001469AD"/>
    <w:rsid w:val="00146E75"/>
    <w:rsid w:val="00147075"/>
    <w:rsid w:val="001470FB"/>
    <w:rsid w:val="001472AC"/>
    <w:rsid w:val="0014739D"/>
    <w:rsid w:val="001474DE"/>
    <w:rsid w:val="0014751B"/>
    <w:rsid w:val="00147632"/>
    <w:rsid w:val="001477F7"/>
    <w:rsid w:val="0014784D"/>
    <w:rsid w:val="001478F3"/>
    <w:rsid w:val="001479D2"/>
    <w:rsid w:val="0014F1FD"/>
    <w:rsid w:val="00150096"/>
    <w:rsid w:val="00150332"/>
    <w:rsid w:val="001504D2"/>
    <w:rsid w:val="001504FC"/>
    <w:rsid w:val="00150694"/>
    <w:rsid w:val="00150744"/>
    <w:rsid w:val="0015076A"/>
    <w:rsid w:val="00150817"/>
    <w:rsid w:val="001508A2"/>
    <w:rsid w:val="00150ABE"/>
    <w:rsid w:val="00150BDE"/>
    <w:rsid w:val="00150D81"/>
    <w:rsid w:val="00150F4F"/>
    <w:rsid w:val="00150F6B"/>
    <w:rsid w:val="00151253"/>
    <w:rsid w:val="001514A5"/>
    <w:rsid w:val="001514F9"/>
    <w:rsid w:val="00151753"/>
    <w:rsid w:val="00151D1C"/>
    <w:rsid w:val="00151F9C"/>
    <w:rsid w:val="0015206C"/>
    <w:rsid w:val="001521B6"/>
    <w:rsid w:val="001523C2"/>
    <w:rsid w:val="00152405"/>
    <w:rsid w:val="001524AC"/>
    <w:rsid w:val="00152728"/>
    <w:rsid w:val="001528E1"/>
    <w:rsid w:val="00152C4D"/>
    <w:rsid w:val="00152FBB"/>
    <w:rsid w:val="0015308A"/>
    <w:rsid w:val="00153181"/>
    <w:rsid w:val="00153784"/>
    <w:rsid w:val="001539DF"/>
    <w:rsid w:val="00153BAF"/>
    <w:rsid w:val="00153E29"/>
    <w:rsid w:val="00153EEC"/>
    <w:rsid w:val="0015416A"/>
    <w:rsid w:val="001541E1"/>
    <w:rsid w:val="00154226"/>
    <w:rsid w:val="00154564"/>
    <w:rsid w:val="001548B1"/>
    <w:rsid w:val="001548DD"/>
    <w:rsid w:val="00154B73"/>
    <w:rsid w:val="00154DFF"/>
    <w:rsid w:val="00154E0D"/>
    <w:rsid w:val="00154E4F"/>
    <w:rsid w:val="00154F40"/>
    <w:rsid w:val="00155441"/>
    <w:rsid w:val="001554F6"/>
    <w:rsid w:val="0015568A"/>
    <w:rsid w:val="00155706"/>
    <w:rsid w:val="00155739"/>
    <w:rsid w:val="00155AE2"/>
    <w:rsid w:val="00155AF9"/>
    <w:rsid w:val="00155B35"/>
    <w:rsid w:val="00156040"/>
    <w:rsid w:val="001561BB"/>
    <w:rsid w:val="00156600"/>
    <w:rsid w:val="00156720"/>
    <w:rsid w:val="001569E2"/>
    <w:rsid w:val="001569EB"/>
    <w:rsid w:val="00156CB5"/>
    <w:rsid w:val="00157276"/>
    <w:rsid w:val="001573E7"/>
    <w:rsid w:val="0015759E"/>
    <w:rsid w:val="0015775B"/>
    <w:rsid w:val="00157DAA"/>
    <w:rsid w:val="00157F66"/>
    <w:rsid w:val="0015948A"/>
    <w:rsid w:val="0016010D"/>
    <w:rsid w:val="00160131"/>
    <w:rsid w:val="001604A6"/>
    <w:rsid w:val="001604AC"/>
    <w:rsid w:val="00160626"/>
    <w:rsid w:val="00160644"/>
    <w:rsid w:val="001607F9"/>
    <w:rsid w:val="00160900"/>
    <w:rsid w:val="0016091A"/>
    <w:rsid w:val="00160945"/>
    <w:rsid w:val="00160A26"/>
    <w:rsid w:val="00160B90"/>
    <w:rsid w:val="00160DD4"/>
    <w:rsid w:val="00161023"/>
    <w:rsid w:val="0016102D"/>
    <w:rsid w:val="0016107C"/>
    <w:rsid w:val="00161140"/>
    <w:rsid w:val="001612AA"/>
    <w:rsid w:val="00161307"/>
    <w:rsid w:val="001614C8"/>
    <w:rsid w:val="00161632"/>
    <w:rsid w:val="0016179D"/>
    <w:rsid w:val="0016179E"/>
    <w:rsid w:val="001617C0"/>
    <w:rsid w:val="00161B78"/>
    <w:rsid w:val="00161D71"/>
    <w:rsid w:val="00161EED"/>
    <w:rsid w:val="00162003"/>
    <w:rsid w:val="0016249D"/>
    <w:rsid w:val="0016256A"/>
    <w:rsid w:val="0016267E"/>
    <w:rsid w:val="0016268F"/>
    <w:rsid w:val="00162A0D"/>
    <w:rsid w:val="00162BB3"/>
    <w:rsid w:val="00162D36"/>
    <w:rsid w:val="00162F3E"/>
    <w:rsid w:val="00162FED"/>
    <w:rsid w:val="0016309F"/>
    <w:rsid w:val="0016311B"/>
    <w:rsid w:val="00163149"/>
    <w:rsid w:val="00163217"/>
    <w:rsid w:val="00163283"/>
    <w:rsid w:val="0016377E"/>
    <w:rsid w:val="00163944"/>
    <w:rsid w:val="00163B34"/>
    <w:rsid w:val="00163B67"/>
    <w:rsid w:val="00163BF0"/>
    <w:rsid w:val="00163CEE"/>
    <w:rsid w:val="00164239"/>
    <w:rsid w:val="001644AA"/>
    <w:rsid w:val="0016474D"/>
    <w:rsid w:val="00164949"/>
    <w:rsid w:val="0016497F"/>
    <w:rsid w:val="00164A29"/>
    <w:rsid w:val="00164B52"/>
    <w:rsid w:val="00164DCA"/>
    <w:rsid w:val="00165047"/>
    <w:rsid w:val="001653EE"/>
    <w:rsid w:val="001655B8"/>
    <w:rsid w:val="00165734"/>
    <w:rsid w:val="0016598C"/>
    <w:rsid w:val="001659A8"/>
    <w:rsid w:val="001659D8"/>
    <w:rsid w:val="00165FFD"/>
    <w:rsid w:val="00166180"/>
    <w:rsid w:val="001661FF"/>
    <w:rsid w:val="00166205"/>
    <w:rsid w:val="00166255"/>
    <w:rsid w:val="0016636C"/>
    <w:rsid w:val="00166430"/>
    <w:rsid w:val="00166472"/>
    <w:rsid w:val="00166644"/>
    <w:rsid w:val="001666F3"/>
    <w:rsid w:val="001668BB"/>
    <w:rsid w:val="001668C3"/>
    <w:rsid w:val="00166925"/>
    <w:rsid w:val="00166A99"/>
    <w:rsid w:val="00166AE6"/>
    <w:rsid w:val="00166D69"/>
    <w:rsid w:val="001670B3"/>
    <w:rsid w:val="001670B8"/>
    <w:rsid w:val="00167222"/>
    <w:rsid w:val="001672A6"/>
    <w:rsid w:val="001674AA"/>
    <w:rsid w:val="00167657"/>
    <w:rsid w:val="001676D0"/>
    <w:rsid w:val="00167CB0"/>
    <w:rsid w:val="00167FF5"/>
    <w:rsid w:val="0017023A"/>
    <w:rsid w:val="0017035C"/>
    <w:rsid w:val="0017083F"/>
    <w:rsid w:val="0017084C"/>
    <w:rsid w:val="001709E4"/>
    <w:rsid w:val="00170C2F"/>
    <w:rsid w:val="00170C39"/>
    <w:rsid w:val="00170C8D"/>
    <w:rsid w:val="00170EB6"/>
    <w:rsid w:val="0017140E"/>
    <w:rsid w:val="001714F0"/>
    <w:rsid w:val="0017160F"/>
    <w:rsid w:val="00171798"/>
    <w:rsid w:val="001717E8"/>
    <w:rsid w:val="00171A00"/>
    <w:rsid w:val="00171A8A"/>
    <w:rsid w:val="00172067"/>
    <w:rsid w:val="001721A7"/>
    <w:rsid w:val="0017252C"/>
    <w:rsid w:val="001726AB"/>
    <w:rsid w:val="001729F1"/>
    <w:rsid w:val="00172BF4"/>
    <w:rsid w:val="00172C88"/>
    <w:rsid w:val="00172C8C"/>
    <w:rsid w:val="00172D7F"/>
    <w:rsid w:val="00172E21"/>
    <w:rsid w:val="0017326A"/>
    <w:rsid w:val="00173480"/>
    <w:rsid w:val="001734C1"/>
    <w:rsid w:val="00173A99"/>
    <w:rsid w:val="00173AB3"/>
    <w:rsid w:val="00173AC2"/>
    <w:rsid w:val="00173E77"/>
    <w:rsid w:val="00173F3D"/>
    <w:rsid w:val="00173FD2"/>
    <w:rsid w:val="00174020"/>
    <w:rsid w:val="0017407C"/>
    <w:rsid w:val="00174368"/>
    <w:rsid w:val="001745E3"/>
    <w:rsid w:val="001746CD"/>
    <w:rsid w:val="001748C3"/>
    <w:rsid w:val="00174919"/>
    <w:rsid w:val="001749FA"/>
    <w:rsid w:val="00174B35"/>
    <w:rsid w:val="00175253"/>
    <w:rsid w:val="001755A4"/>
    <w:rsid w:val="001756B2"/>
    <w:rsid w:val="00175740"/>
    <w:rsid w:val="001759F6"/>
    <w:rsid w:val="00175C4B"/>
    <w:rsid w:val="001761E3"/>
    <w:rsid w:val="00176302"/>
    <w:rsid w:val="0017645E"/>
    <w:rsid w:val="001764FE"/>
    <w:rsid w:val="0017651B"/>
    <w:rsid w:val="0017653D"/>
    <w:rsid w:val="00176638"/>
    <w:rsid w:val="001766BB"/>
    <w:rsid w:val="00176B8A"/>
    <w:rsid w:val="00176F3B"/>
    <w:rsid w:val="00176F5E"/>
    <w:rsid w:val="00176F8A"/>
    <w:rsid w:val="00176FF0"/>
    <w:rsid w:val="00177076"/>
    <w:rsid w:val="001772D8"/>
    <w:rsid w:val="001773CB"/>
    <w:rsid w:val="00177468"/>
    <w:rsid w:val="0017757E"/>
    <w:rsid w:val="00177791"/>
    <w:rsid w:val="00177868"/>
    <w:rsid w:val="0017796E"/>
    <w:rsid w:val="00177C8D"/>
    <w:rsid w:val="00180041"/>
    <w:rsid w:val="00180060"/>
    <w:rsid w:val="001802F6"/>
    <w:rsid w:val="0018062C"/>
    <w:rsid w:val="001808E7"/>
    <w:rsid w:val="001809D2"/>
    <w:rsid w:val="00180A6D"/>
    <w:rsid w:val="00180DA8"/>
    <w:rsid w:val="00181121"/>
    <w:rsid w:val="001812C0"/>
    <w:rsid w:val="00181301"/>
    <w:rsid w:val="0018147A"/>
    <w:rsid w:val="001815BD"/>
    <w:rsid w:val="001815FA"/>
    <w:rsid w:val="00181895"/>
    <w:rsid w:val="0018189C"/>
    <w:rsid w:val="00181CF3"/>
    <w:rsid w:val="00181E74"/>
    <w:rsid w:val="00181FDE"/>
    <w:rsid w:val="00182053"/>
    <w:rsid w:val="00182061"/>
    <w:rsid w:val="001822FC"/>
    <w:rsid w:val="00182359"/>
    <w:rsid w:val="00182559"/>
    <w:rsid w:val="001825C5"/>
    <w:rsid w:val="001825F8"/>
    <w:rsid w:val="0018267D"/>
    <w:rsid w:val="0018281B"/>
    <w:rsid w:val="001828DF"/>
    <w:rsid w:val="00182C09"/>
    <w:rsid w:val="00182C6C"/>
    <w:rsid w:val="00183057"/>
    <w:rsid w:val="00183605"/>
    <w:rsid w:val="00183690"/>
    <w:rsid w:val="00183703"/>
    <w:rsid w:val="00183A91"/>
    <w:rsid w:val="00183C37"/>
    <w:rsid w:val="00183C86"/>
    <w:rsid w:val="00183DAD"/>
    <w:rsid w:val="00183DCD"/>
    <w:rsid w:val="00183F6B"/>
    <w:rsid w:val="00183FD1"/>
    <w:rsid w:val="00184018"/>
    <w:rsid w:val="00184087"/>
    <w:rsid w:val="00184244"/>
    <w:rsid w:val="0018435A"/>
    <w:rsid w:val="00184410"/>
    <w:rsid w:val="00184848"/>
    <w:rsid w:val="0018484E"/>
    <w:rsid w:val="0018495B"/>
    <w:rsid w:val="00184A06"/>
    <w:rsid w:val="00184A83"/>
    <w:rsid w:val="00184A9B"/>
    <w:rsid w:val="00184C79"/>
    <w:rsid w:val="00184F8D"/>
    <w:rsid w:val="001850CF"/>
    <w:rsid w:val="00185139"/>
    <w:rsid w:val="001852B5"/>
    <w:rsid w:val="00185423"/>
    <w:rsid w:val="00185C67"/>
    <w:rsid w:val="00185C84"/>
    <w:rsid w:val="00185D50"/>
    <w:rsid w:val="00185E2A"/>
    <w:rsid w:val="00185ED8"/>
    <w:rsid w:val="00185F47"/>
    <w:rsid w:val="00186221"/>
    <w:rsid w:val="0018630D"/>
    <w:rsid w:val="001863F7"/>
    <w:rsid w:val="00186419"/>
    <w:rsid w:val="0018670E"/>
    <w:rsid w:val="00186970"/>
    <w:rsid w:val="0018698D"/>
    <w:rsid w:val="001869F9"/>
    <w:rsid w:val="00186E25"/>
    <w:rsid w:val="00186E44"/>
    <w:rsid w:val="0018700F"/>
    <w:rsid w:val="00187028"/>
    <w:rsid w:val="00187111"/>
    <w:rsid w:val="001873E9"/>
    <w:rsid w:val="001874CD"/>
    <w:rsid w:val="001877C2"/>
    <w:rsid w:val="001877E1"/>
    <w:rsid w:val="00187804"/>
    <w:rsid w:val="00190010"/>
    <w:rsid w:val="001900CE"/>
    <w:rsid w:val="00190157"/>
    <w:rsid w:val="00190198"/>
    <w:rsid w:val="00190337"/>
    <w:rsid w:val="001903AF"/>
    <w:rsid w:val="001903C9"/>
    <w:rsid w:val="0019056F"/>
    <w:rsid w:val="001905C1"/>
    <w:rsid w:val="0019073C"/>
    <w:rsid w:val="00190F42"/>
    <w:rsid w:val="001915A6"/>
    <w:rsid w:val="001915FC"/>
    <w:rsid w:val="00191631"/>
    <w:rsid w:val="0019181A"/>
    <w:rsid w:val="00191820"/>
    <w:rsid w:val="001919D0"/>
    <w:rsid w:val="001919FB"/>
    <w:rsid w:val="00191C10"/>
    <w:rsid w:val="00191C25"/>
    <w:rsid w:val="00191C46"/>
    <w:rsid w:val="00191DC3"/>
    <w:rsid w:val="001920F0"/>
    <w:rsid w:val="001922A8"/>
    <w:rsid w:val="0019239F"/>
    <w:rsid w:val="0019255B"/>
    <w:rsid w:val="0019290A"/>
    <w:rsid w:val="00192B63"/>
    <w:rsid w:val="00192BC4"/>
    <w:rsid w:val="00192D2A"/>
    <w:rsid w:val="001930B2"/>
    <w:rsid w:val="00193109"/>
    <w:rsid w:val="0019312D"/>
    <w:rsid w:val="00193269"/>
    <w:rsid w:val="001932E7"/>
    <w:rsid w:val="001932EB"/>
    <w:rsid w:val="001932F5"/>
    <w:rsid w:val="001933FC"/>
    <w:rsid w:val="00193445"/>
    <w:rsid w:val="00193900"/>
    <w:rsid w:val="00193A79"/>
    <w:rsid w:val="00193BDF"/>
    <w:rsid w:val="00193BEE"/>
    <w:rsid w:val="00193CEB"/>
    <w:rsid w:val="00193D0D"/>
    <w:rsid w:val="00193FBF"/>
    <w:rsid w:val="00194040"/>
    <w:rsid w:val="00194174"/>
    <w:rsid w:val="00194217"/>
    <w:rsid w:val="0019442F"/>
    <w:rsid w:val="001945EB"/>
    <w:rsid w:val="0019470B"/>
    <w:rsid w:val="001948A3"/>
    <w:rsid w:val="0019490D"/>
    <w:rsid w:val="00194CB7"/>
    <w:rsid w:val="00194CCC"/>
    <w:rsid w:val="00194DCC"/>
    <w:rsid w:val="00195043"/>
    <w:rsid w:val="001950BE"/>
    <w:rsid w:val="0019535F"/>
    <w:rsid w:val="0019568E"/>
    <w:rsid w:val="00195998"/>
    <w:rsid w:val="00195C88"/>
    <w:rsid w:val="00195DFC"/>
    <w:rsid w:val="00195F23"/>
    <w:rsid w:val="00195F7D"/>
    <w:rsid w:val="00196179"/>
    <w:rsid w:val="001961BE"/>
    <w:rsid w:val="0019629A"/>
    <w:rsid w:val="001964AD"/>
    <w:rsid w:val="001964DA"/>
    <w:rsid w:val="00196A91"/>
    <w:rsid w:val="00196C4D"/>
    <w:rsid w:val="00196CE4"/>
    <w:rsid w:val="00196D5B"/>
    <w:rsid w:val="00196DA8"/>
    <w:rsid w:val="00196F12"/>
    <w:rsid w:val="00197030"/>
    <w:rsid w:val="001970CC"/>
    <w:rsid w:val="001970E3"/>
    <w:rsid w:val="00197288"/>
    <w:rsid w:val="00197389"/>
    <w:rsid w:val="001975E7"/>
    <w:rsid w:val="00197C7F"/>
    <w:rsid w:val="00197D75"/>
    <w:rsid w:val="001A011B"/>
    <w:rsid w:val="001A03C9"/>
    <w:rsid w:val="001A066A"/>
    <w:rsid w:val="001A06BD"/>
    <w:rsid w:val="001A094D"/>
    <w:rsid w:val="001A09A8"/>
    <w:rsid w:val="001A0CB8"/>
    <w:rsid w:val="001A0F49"/>
    <w:rsid w:val="001A1072"/>
    <w:rsid w:val="001A1123"/>
    <w:rsid w:val="001A1320"/>
    <w:rsid w:val="001A13A9"/>
    <w:rsid w:val="001A144F"/>
    <w:rsid w:val="001A1C13"/>
    <w:rsid w:val="001A1DAD"/>
    <w:rsid w:val="001A1DD3"/>
    <w:rsid w:val="001A2026"/>
    <w:rsid w:val="001A2052"/>
    <w:rsid w:val="001A2242"/>
    <w:rsid w:val="001A24FC"/>
    <w:rsid w:val="001A258A"/>
    <w:rsid w:val="001A284B"/>
    <w:rsid w:val="001A28E5"/>
    <w:rsid w:val="001A2A31"/>
    <w:rsid w:val="001A2C4D"/>
    <w:rsid w:val="001A2C9C"/>
    <w:rsid w:val="001A2E9E"/>
    <w:rsid w:val="001A3272"/>
    <w:rsid w:val="001A3338"/>
    <w:rsid w:val="001A3504"/>
    <w:rsid w:val="001A3636"/>
    <w:rsid w:val="001A373E"/>
    <w:rsid w:val="001A3C0F"/>
    <w:rsid w:val="001A3E40"/>
    <w:rsid w:val="001A3E4B"/>
    <w:rsid w:val="001A4104"/>
    <w:rsid w:val="001A4293"/>
    <w:rsid w:val="001A461B"/>
    <w:rsid w:val="001A4A2D"/>
    <w:rsid w:val="001A4AEC"/>
    <w:rsid w:val="001A4B92"/>
    <w:rsid w:val="001A4F62"/>
    <w:rsid w:val="001A4FB1"/>
    <w:rsid w:val="001A512B"/>
    <w:rsid w:val="001A5134"/>
    <w:rsid w:val="001A5146"/>
    <w:rsid w:val="001A5331"/>
    <w:rsid w:val="001A543E"/>
    <w:rsid w:val="001A5515"/>
    <w:rsid w:val="001A5525"/>
    <w:rsid w:val="001A568C"/>
    <w:rsid w:val="001A57BA"/>
    <w:rsid w:val="001A5A03"/>
    <w:rsid w:val="001A5A7B"/>
    <w:rsid w:val="001A60C7"/>
    <w:rsid w:val="001A6196"/>
    <w:rsid w:val="001A6260"/>
    <w:rsid w:val="001A63ED"/>
    <w:rsid w:val="001A64F5"/>
    <w:rsid w:val="001A6BEF"/>
    <w:rsid w:val="001A6C5C"/>
    <w:rsid w:val="001A7043"/>
    <w:rsid w:val="001A716C"/>
    <w:rsid w:val="001A730C"/>
    <w:rsid w:val="001A79CF"/>
    <w:rsid w:val="001A79D2"/>
    <w:rsid w:val="001A7A3C"/>
    <w:rsid w:val="001A7A60"/>
    <w:rsid w:val="001A7A95"/>
    <w:rsid w:val="001A7B01"/>
    <w:rsid w:val="001A7C1E"/>
    <w:rsid w:val="001A7CED"/>
    <w:rsid w:val="001A7D37"/>
    <w:rsid w:val="001A7F34"/>
    <w:rsid w:val="001B072A"/>
    <w:rsid w:val="001B0744"/>
    <w:rsid w:val="001B0969"/>
    <w:rsid w:val="001B0C78"/>
    <w:rsid w:val="001B0DA4"/>
    <w:rsid w:val="001B10BC"/>
    <w:rsid w:val="001B11CC"/>
    <w:rsid w:val="001B1246"/>
    <w:rsid w:val="001B13C0"/>
    <w:rsid w:val="001B15B4"/>
    <w:rsid w:val="001B1719"/>
    <w:rsid w:val="001B18EF"/>
    <w:rsid w:val="001B1A1B"/>
    <w:rsid w:val="001B1B9C"/>
    <w:rsid w:val="001B1CCF"/>
    <w:rsid w:val="001B1DBB"/>
    <w:rsid w:val="001B1E07"/>
    <w:rsid w:val="001B214D"/>
    <w:rsid w:val="001B21F0"/>
    <w:rsid w:val="001B2246"/>
    <w:rsid w:val="001B2289"/>
    <w:rsid w:val="001B2646"/>
    <w:rsid w:val="001B26DD"/>
    <w:rsid w:val="001B274F"/>
    <w:rsid w:val="001B28E8"/>
    <w:rsid w:val="001B2952"/>
    <w:rsid w:val="001B2AE7"/>
    <w:rsid w:val="001B2CD0"/>
    <w:rsid w:val="001B302B"/>
    <w:rsid w:val="001B3700"/>
    <w:rsid w:val="001B37D6"/>
    <w:rsid w:val="001B38E3"/>
    <w:rsid w:val="001B41BE"/>
    <w:rsid w:val="001B4540"/>
    <w:rsid w:val="001B45E6"/>
    <w:rsid w:val="001B4673"/>
    <w:rsid w:val="001B470B"/>
    <w:rsid w:val="001B4CEB"/>
    <w:rsid w:val="001B4DFD"/>
    <w:rsid w:val="001B4E12"/>
    <w:rsid w:val="001B4EC4"/>
    <w:rsid w:val="001B4F7B"/>
    <w:rsid w:val="001B503F"/>
    <w:rsid w:val="001B5221"/>
    <w:rsid w:val="001B5328"/>
    <w:rsid w:val="001B53E1"/>
    <w:rsid w:val="001B562F"/>
    <w:rsid w:val="001B571A"/>
    <w:rsid w:val="001B5B14"/>
    <w:rsid w:val="001B5CCF"/>
    <w:rsid w:val="001B5CED"/>
    <w:rsid w:val="001B5F61"/>
    <w:rsid w:val="001B5FAD"/>
    <w:rsid w:val="001B6136"/>
    <w:rsid w:val="001B6208"/>
    <w:rsid w:val="001B67C1"/>
    <w:rsid w:val="001B6A10"/>
    <w:rsid w:val="001B6D8C"/>
    <w:rsid w:val="001B704D"/>
    <w:rsid w:val="001B7150"/>
    <w:rsid w:val="001B73D2"/>
    <w:rsid w:val="001B7644"/>
    <w:rsid w:val="001B79A2"/>
    <w:rsid w:val="001B7A6F"/>
    <w:rsid w:val="001B7B3F"/>
    <w:rsid w:val="001B7F69"/>
    <w:rsid w:val="001C0058"/>
    <w:rsid w:val="001C005B"/>
    <w:rsid w:val="001C0DE4"/>
    <w:rsid w:val="001C0FB2"/>
    <w:rsid w:val="001C1054"/>
    <w:rsid w:val="001C129D"/>
    <w:rsid w:val="001C1414"/>
    <w:rsid w:val="001C143D"/>
    <w:rsid w:val="001C1668"/>
    <w:rsid w:val="001C1679"/>
    <w:rsid w:val="001C16A8"/>
    <w:rsid w:val="001C16E3"/>
    <w:rsid w:val="001C17A6"/>
    <w:rsid w:val="001C1BC1"/>
    <w:rsid w:val="001C1CC2"/>
    <w:rsid w:val="001C1CCE"/>
    <w:rsid w:val="001C1D42"/>
    <w:rsid w:val="001C1E25"/>
    <w:rsid w:val="001C1E53"/>
    <w:rsid w:val="001C1F6F"/>
    <w:rsid w:val="001C1FD1"/>
    <w:rsid w:val="001C20DA"/>
    <w:rsid w:val="001C227F"/>
    <w:rsid w:val="001C22F4"/>
    <w:rsid w:val="001C23D1"/>
    <w:rsid w:val="001C2B15"/>
    <w:rsid w:val="001C2C4B"/>
    <w:rsid w:val="001C2EDD"/>
    <w:rsid w:val="001C305E"/>
    <w:rsid w:val="001C305F"/>
    <w:rsid w:val="001C32CD"/>
    <w:rsid w:val="001C34C7"/>
    <w:rsid w:val="001C3574"/>
    <w:rsid w:val="001C3649"/>
    <w:rsid w:val="001C3698"/>
    <w:rsid w:val="001C37FF"/>
    <w:rsid w:val="001C3909"/>
    <w:rsid w:val="001C3F0B"/>
    <w:rsid w:val="001C40AC"/>
    <w:rsid w:val="001C4923"/>
    <w:rsid w:val="001C4A38"/>
    <w:rsid w:val="001C4BF1"/>
    <w:rsid w:val="001C4E5B"/>
    <w:rsid w:val="001C4FA1"/>
    <w:rsid w:val="001C50F3"/>
    <w:rsid w:val="001C5127"/>
    <w:rsid w:val="001C51B9"/>
    <w:rsid w:val="001C5224"/>
    <w:rsid w:val="001C535E"/>
    <w:rsid w:val="001C5455"/>
    <w:rsid w:val="001C5461"/>
    <w:rsid w:val="001C5B46"/>
    <w:rsid w:val="001C5C01"/>
    <w:rsid w:val="001C5CCA"/>
    <w:rsid w:val="001C5EEB"/>
    <w:rsid w:val="001C6206"/>
    <w:rsid w:val="001C626A"/>
    <w:rsid w:val="001C63D9"/>
    <w:rsid w:val="001C6545"/>
    <w:rsid w:val="001C660A"/>
    <w:rsid w:val="001C67B0"/>
    <w:rsid w:val="001C6849"/>
    <w:rsid w:val="001C6975"/>
    <w:rsid w:val="001C69A8"/>
    <w:rsid w:val="001C69C4"/>
    <w:rsid w:val="001C6A0D"/>
    <w:rsid w:val="001C6AB5"/>
    <w:rsid w:val="001C6C26"/>
    <w:rsid w:val="001C6C46"/>
    <w:rsid w:val="001C6D9F"/>
    <w:rsid w:val="001C7004"/>
    <w:rsid w:val="001C70C0"/>
    <w:rsid w:val="001C7319"/>
    <w:rsid w:val="001C734F"/>
    <w:rsid w:val="001C7728"/>
    <w:rsid w:val="001C7A00"/>
    <w:rsid w:val="001C7A35"/>
    <w:rsid w:val="001C7E54"/>
    <w:rsid w:val="001C7EBF"/>
    <w:rsid w:val="001D0404"/>
    <w:rsid w:val="001D0474"/>
    <w:rsid w:val="001D04C3"/>
    <w:rsid w:val="001D05A0"/>
    <w:rsid w:val="001D06B4"/>
    <w:rsid w:val="001D0B66"/>
    <w:rsid w:val="001D0C54"/>
    <w:rsid w:val="001D0D7A"/>
    <w:rsid w:val="001D0DFB"/>
    <w:rsid w:val="001D0E6F"/>
    <w:rsid w:val="001D0F94"/>
    <w:rsid w:val="001D0FC5"/>
    <w:rsid w:val="001D11D0"/>
    <w:rsid w:val="001D12AD"/>
    <w:rsid w:val="001D1423"/>
    <w:rsid w:val="001D145C"/>
    <w:rsid w:val="001D15AD"/>
    <w:rsid w:val="001D174C"/>
    <w:rsid w:val="001D17B5"/>
    <w:rsid w:val="001D1846"/>
    <w:rsid w:val="001D1923"/>
    <w:rsid w:val="001D1EB6"/>
    <w:rsid w:val="001D229F"/>
    <w:rsid w:val="001D24CA"/>
    <w:rsid w:val="001D2539"/>
    <w:rsid w:val="001D28F5"/>
    <w:rsid w:val="001D2965"/>
    <w:rsid w:val="001D2AC0"/>
    <w:rsid w:val="001D2CF3"/>
    <w:rsid w:val="001D2D6D"/>
    <w:rsid w:val="001D2D72"/>
    <w:rsid w:val="001D2FCB"/>
    <w:rsid w:val="001D304C"/>
    <w:rsid w:val="001D30E1"/>
    <w:rsid w:val="001D35D0"/>
    <w:rsid w:val="001D35F1"/>
    <w:rsid w:val="001D37A5"/>
    <w:rsid w:val="001D3B59"/>
    <w:rsid w:val="001D3D27"/>
    <w:rsid w:val="001D3EF9"/>
    <w:rsid w:val="001D3FD8"/>
    <w:rsid w:val="001D453C"/>
    <w:rsid w:val="001D484D"/>
    <w:rsid w:val="001D4B13"/>
    <w:rsid w:val="001D4B87"/>
    <w:rsid w:val="001D4D34"/>
    <w:rsid w:val="001D50A7"/>
    <w:rsid w:val="001D51AD"/>
    <w:rsid w:val="001D5239"/>
    <w:rsid w:val="001D5402"/>
    <w:rsid w:val="001D5518"/>
    <w:rsid w:val="001D55AA"/>
    <w:rsid w:val="001D5817"/>
    <w:rsid w:val="001D595F"/>
    <w:rsid w:val="001D5A80"/>
    <w:rsid w:val="001D5B57"/>
    <w:rsid w:val="001D5B6D"/>
    <w:rsid w:val="001D5B84"/>
    <w:rsid w:val="001D5CC6"/>
    <w:rsid w:val="001D5D11"/>
    <w:rsid w:val="001D5F09"/>
    <w:rsid w:val="001D6056"/>
    <w:rsid w:val="001D61C7"/>
    <w:rsid w:val="001D6296"/>
    <w:rsid w:val="001D6337"/>
    <w:rsid w:val="001D645B"/>
    <w:rsid w:val="001D64E7"/>
    <w:rsid w:val="001D668B"/>
    <w:rsid w:val="001D6AC6"/>
    <w:rsid w:val="001D6C20"/>
    <w:rsid w:val="001D6C85"/>
    <w:rsid w:val="001D6E34"/>
    <w:rsid w:val="001D6E9E"/>
    <w:rsid w:val="001D6FB4"/>
    <w:rsid w:val="001D710D"/>
    <w:rsid w:val="001D72F4"/>
    <w:rsid w:val="001D74D3"/>
    <w:rsid w:val="001D791F"/>
    <w:rsid w:val="001D79CF"/>
    <w:rsid w:val="001D7B00"/>
    <w:rsid w:val="001D7C19"/>
    <w:rsid w:val="001D7C22"/>
    <w:rsid w:val="001D7CB9"/>
    <w:rsid w:val="001D7CDC"/>
    <w:rsid w:val="001E0076"/>
    <w:rsid w:val="001E017E"/>
    <w:rsid w:val="001E01C6"/>
    <w:rsid w:val="001E0332"/>
    <w:rsid w:val="001E0343"/>
    <w:rsid w:val="001E03CF"/>
    <w:rsid w:val="001E03FB"/>
    <w:rsid w:val="001E077B"/>
    <w:rsid w:val="001E0C76"/>
    <w:rsid w:val="001E10F8"/>
    <w:rsid w:val="001E110B"/>
    <w:rsid w:val="001E1172"/>
    <w:rsid w:val="001E15DB"/>
    <w:rsid w:val="001E18A2"/>
    <w:rsid w:val="001E19AE"/>
    <w:rsid w:val="001E19E1"/>
    <w:rsid w:val="001E1AE4"/>
    <w:rsid w:val="001E1BFC"/>
    <w:rsid w:val="001E1D24"/>
    <w:rsid w:val="001E1D4B"/>
    <w:rsid w:val="001E1ECD"/>
    <w:rsid w:val="001E24C3"/>
    <w:rsid w:val="001E2935"/>
    <w:rsid w:val="001E2985"/>
    <w:rsid w:val="001E2A5B"/>
    <w:rsid w:val="001E2A5F"/>
    <w:rsid w:val="001E2A77"/>
    <w:rsid w:val="001E2ABE"/>
    <w:rsid w:val="001E2BE9"/>
    <w:rsid w:val="001E2E4B"/>
    <w:rsid w:val="001E2EBC"/>
    <w:rsid w:val="001E351E"/>
    <w:rsid w:val="001E35D8"/>
    <w:rsid w:val="001E3674"/>
    <w:rsid w:val="001E3A7F"/>
    <w:rsid w:val="001E3B1F"/>
    <w:rsid w:val="001E3B75"/>
    <w:rsid w:val="001E3CD9"/>
    <w:rsid w:val="001E3D2D"/>
    <w:rsid w:val="001E3D32"/>
    <w:rsid w:val="001E3EC9"/>
    <w:rsid w:val="001E3F1B"/>
    <w:rsid w:val="001E41E6"/>
    <w:rsid w:val="001E422F"/>
    <w:rsid w:val="001E4422"/>
    <w:rsid w:val="001E446A"/>
    <w:rsid w:val="001E4532"/>
    <w:rsid w:val="001E4568"/>
    <w:rsid w:val="001E4891"/>
    <w:rsid w:val="001E4AA7"/>
    <w:rsid w:val="001E4B29"/>
    <w:rsid w:val="001E4C57"/>
    <w:rsid w:val="001E4D74"/>
    <w:rsid w:val="001E4EFF"/>
    <w:rsid w:val="001E4FB4"/>
    <w:rsid w:val="001E5114"/>
    <w:rsid w:val="001E531B"/>
    <w:rsid w:val="001E5527"/>
    <w:rsid w:val="001E58C0"/>
    <w:rsid w:val="001E595D"/>
    <w:rsid w:val="001E5E14"/>
    <w:rsid w:val="001E5F8E"/>
    <w:rsid w:val="001E5FD7"/>
    <w:rsid w:val="001E6205"/>
    <w:rsid w:val="001E6210"/>
    <w:rsid w:val="001E639F"/>
    <w:rsid w:val="001E64F9"/>
    <w:rsid w:val="001E67E7"/>
    <w:rsid w:val="001E6896"/>
    <w:rsid w:val="001E6B20"/>
    <w:rsid w:val="001E6EF3"/>
    <w:rsid w:val="001E6F65"/>
    <w:rsid w:val="001E7113"/>
    <w:rsid w:val="001E731D"/>
    <w:rsid w:val="001E746E"/>
    <w:rsid w:val="001E7509"/>
    <w:rsid w:val="001E76BF"/>
    <w:rsid w:val="001E7A08"/>
    <w:rsid w:val="001E7D14"/>
    <w:rsid w:val="001F0371"/>
    <w:rsid w:val="001F038A"/>
    <w:rsid w:val="001F04CA"/>
    <w:rsid w:val="001F0566"/>
    <w:rsid w:val="001F0750"/>
    <w:rsid w:val="001F07BC"/>
    <w:rsid w:val="001F07FC"/>
    <w:rsid w:val="001F083C"/>
    <w:rsid w:val="001F09DA"/>
    <w:rsid w:val="001F0D2D"/>
    <w:rsid w:val="001F0E19"/>
    <w:rsid w:val="001F0ECA"/>
    <w:rsid w:val="001F10E6"/>
    <w:rsid w:val="001F1308"/>
    <w:rsid w:val="001F1373"/>
    <w:rsid w:val="001F138C"/>
    <w:rsid w:val="001F1878"/>
    <w:rsid w:val="001F1A51"/>
    <w:rsid w:val="001F1C9C"/>
    <w:rsid w:val="001F1D8D"/>
    <w:rsid w:val="001F1E06"/>
    <w:rsid w:val="001F1F97"/>
    <w:rsid w:val="001F25C9"/>
    <w:rsid w:val="001F269F"/>
    <w:rsid w:val="001F2779"/>
    <w:rsid w:val="001F2783"/>
    <w:rsid w:val="001F27CC"/>
    <w:rsid w:val="001F283A"/>
    <w:rsid w:val="001F2A76"/>
    <w:rsid w:val="001F2D86"/>
    <w:rsid w:val="001F2DC1"/>
    <w:rsid w:val="001F2E4D"/>
    <w:rsid w:val="001F34E1"/>
    <w:rsid w:val="001F364E"/>
    <w:rsid w:val="001F384B"/>
    <w:rsid w:val="001F3876"/>
    <w:rsid w:val="001F3BC6"/>
    <w:rsid w:val="001F3CA3"/>
    <w:rsid w:val="001F4006"/>
    <w:rsid w:val="001F42E4"/>
    <w:rsid w:val="001F4330"/>
    <w:rsid w:val="001F43F8"/>
    <w:rsid w:val="001F46CF"/>
    <w:rsid w:val="001F4811"/>
    <w:rsid w:val="001F4A2C"/>
    <w:rsid w:val="001F4A37"/>
    <w:rsid w:val="001F4A43"/>
    <w:rsid w:val="001F4C1F"/>
    <w:rsid w:val="001F513B"/>
    <w:rsid w:val="001F5432"/>
    <w:rsid w:val="001F5665"/>
    <w:rsid w:val="001F58C1"/>
    <w:rsid w:val="001F5A9F"/>
    <w:rsid w:val="001F5C63"/>
    <w:rsid w:val="001F5E1E"/>
    <w:rsid w:val="001F5EFF"/>
    <w:rsid w:val="001F5F65"/>
    <w:rsid w:val="001F6285"/>
    <w:rsid w:val="001F62EF"/>
    <w:rsid w:val="001F64AA"/>
    <w:rsid w:val="001F6550"/>
    <w:rsid w:val="001F6646"/>
    <w:rsid w:val="001F66F8"/>
    <w:rsid w:val="001F687B"/>
    <w:rsid w:val="001F6A01"/>
    <w:rsid w:val="001F6B8A"/>
    <w:rsid w:val="001F6BCE"/>
    <w:rsid w:val="001F6DFA"/>
    <w:rsid w:val="001F6E39"/>
    <w:rsid w:val="001F6EEE"/>
    <w:rsid w:val="001F70A5"/>
    <w:rsid w:val="001F7180"/>
    <w:rsid w:val="001F71F3"/>
    <w:rsid w:val="001F7267"/>
    <w:rsid w:val="001F73A3"/>
    <w:rsid w:val="001F76E9"/>
    <w:rsid w:val="001F7741"/>
    <w:rsid w:val="001F7820"/>
    <w:rsid w:val="001F785C"/>
    <w:rsid w:val="001F795D"/>
    <w:rsid w:val="001F79CD"/>
    <w:rsid w:val="001F7E1D"/>
    <w:rsid w:val="001F7EB5"/>
    <w:rsid w:val="0020016D"/>
    <w:rsid w:val="00200181"/>
    <w:rsid w:val="0020018F"/>
    <w:rsid w:val="002009BD"/>
    <w:rsid w:val="00200A30"/>
    <w:rsid w:val="00200B03"/>
    <w:rsid w:val="00200CDF"/>
    <w:rsid w:val="00200E79"/>
    <w:rsid w:val="00200E83"/>
    <w:rsid w:val="00200E99"/>
    <w:rsid w:val="00200FBF"/>
    <w:rsid w:val="00201243"/>
    <w:rsid w:val="002014C6"/>
    <w:rsid w:val="00201552"/>
    <w:rsid w:val="002015BE"/>
    <w:rsid w:val="002016BF"/>
    <w:rsid w:val="002016D7"/>
    <w:rsid w:val="00201B30"/>
    <w:rsid w:val="00201C63"/>
    <w:rsid w:val="00201F1F"/>
    <w:rsid w:val="00202273"/>
    <w:rsid w:val="00202401"/>
    <w:rsid w:val="002024A2"/>
    <w:rsid w:val="002026FF"/>
    <w:rsid w:val="0020276E"/>
    <w:rsid w:val="00202C84"/>
    <w:rsid w:val="00202E7A"/>
    <w:rsid w:val="00203082"/>
    <w:rsid w:val="002030A5"/>
    <w:rsid w:val="00203125"/>
    <w:rsid w:val="00203155"/>
    <w:rsid w:val="00203781"/>
    <w:rsid w:val="002037B9"/>
    <w:rsid w:val="0020381D"/>
    <w:rsid w:val="0020384B"/>
    <w:rsid w:val="00203863"/>
    <w:rsid w:val="00203997"/>
    <w:rsid w:val="00203A58"/>
    <w:rsid w:val="00203A6E"/>
    <w:rsid w:val="00203A96"/>
    <w:rsid w:val="00203E4B"/>
    <w:rsid w:val="0020437B"/>
    <w:rsid w:val="00204417"/>
    <w:rsid w:val="00204530"/>
    <w:rsid w:val="00204742"/>
    <w:rsid w:val="00204993"/>
    <w:rsid w:val="00204F13"/>
    <w:rsid w:val="00204FE8"/>
    <w:rsid w:val="00205061"/>
    <w:rsid w:val="002050B7"/>
    <w:rsid w:val="0020531B"/>
    <w:rsid w:val="0020562A"/>
    <w:rsid w:val="00205767"/>
    <w:rsid w:val="002057CC"/>
    <w:rsid w:val="00205A6D"/>
    <w:rsid w:val="0020605C"/>
    <w:rsid w:val="00206089"/>
    <w:rsid w:val="002061AC"/>
    <w:rsid w:val="002061E6"/>
    <w:rsid w:val="00206389"/>
    <w:rsid w:val="0020639B"/>
    <w:rsid w:val="00206437"/>
    <w:rsid w:val="0020644A"/>
    <w:rsid w:val="00206774"/>
    <w:rsid w:val="0020696E"/>
    <w:rsid w:val="00206D69"/>
    <w:rsid w:val="00206FC6"/>
    <w:rsid w:val="0020728E"/>
    <w:rsid w:val="0020737A"/>
    <w:rsid w:val="002076C4"/>
    <w:rsid w:val="00207830"/>
    <w:rsid w:val="002079A8"/>
    <w:rsid w:val="002079BA"/>
    <w:rsid w:val="0020BD5C"/>
    <w:rsid w:val="002101D9"/>
    <w:rsid w:val="00210405"/>
    <w:rsid w:val="002105AF"/>
    <w:rsid w:val="0021070D"/>
    <w:rsid w:val="00210714"/>
    <w:rsid w:val="002107F1"/>
    <w:rsid w:val="002108AD"/>
    <w:rsid w:val="002108E0"/>
    <w:rsid w:val="00210955"/>
    <w:rsid w:val="00210F17"/>
    <w:rsid w:val="00211523"/>
    <w:rsid w:val="00211878"/>
    <w:rsid w:val="00211B03"/>
    <w:rsid w:val="00211BA9"/>
    <w:rsid w:val="00211D3F"/>
    <w:rsid w:val="00211DBB"/>
    <w:rsid w:val="00211F9A"/>
    <w:rsid w:val="002121E0"/>
    <w:rsid w:val="00212244"/>
    <w:rsid w:val="002124A1"/>
    <w:rsid w:val="002124E5"/>
    <w:rsid w:val="0021285B"/>
    <w:rsid w:val="002129F8"/>
    <w:rsid w:val="00212B55"/>
    <w:rsid w:val="00213178"/>
    <w:rsid w:val="00213200"/>
    <w:rsid w:val="002132BC"/>
    <w:rsid w:val="0021361B"/>
    <w:rsid w:val="002136BD"/>
    <w:rsid w:val="002136D4"/>
    <w:rsid w:val="00213A6A"/>
    <w:rsid w:val="00213B66"/>
    <w:rsid w:val="00213E81"/>
    <w:rsid w:val="00214037"/>
    <w:rsid w:val="00214192"/>
    <w:rsid w:val="00214569"/>
    <w:rsid w:val="002146D9"/>
    <w:rsid w:val="002146F9"/>
    <w:rsid w:val="00214727"/>
    <w:rsid w:val="002148DC"/>
    <w:rsid w:val="00214BED"/>
    <w:rsid w:val="00214C8D"/>
    <w:rsid w:val="00214D71"/>
    <w:rsid w:val="00215020"/>
    <w:rsid w:val="0021525A"/>
    <w:rsid w:val="00215574"/>
    <w:rsid w:val="0021559C"/>
    <w:rsid w:val="00215709"/>
    <w:rsid w:val="002157C8"/>
    <w:rsid w:val="002159B7"/>
    <w:rsid w:val="00215A99"/>
    <w:rsid w:val="00215BC4"/>
    <w:rsid w:val="00215FA6"/>
    <w:rsid w:val="002160AF"/>
    <w:rsid w:val="00216208"/>
    <w:rsid w:val="00216248"/>
    <w:rsid w:val="002164DF"/>
    <w:rsid w:val="0021686E"/>
    <w:rsid w:val="00216870"/>
    <w:rsid w:val="002168AC"/>
    <w:rsid w:val="00216D89"/>
    <w:rsid w:val="00216E4C"/>
    <w:rsid w:val="00217003"/>
    <w:rsid w:val="002170B3"/>
    <w:rsid w:val="0021727F"/>
    <w:rsid w:val="002172DD"/>
    <w:rsid w:val="0021735E"/>
    <w:rsid w:val="002174C6"/>
    <w:rsid w:val="002175F1"/>
    <w:rsid w:val="00217B82"/>
    <w:rsid w:val="00217BCF"/>
    <w:rsid w:val="00217CD8"/>
    <w:rsid w:val="00217FD6"/>
    <w:rsid w:val="002200B1"/>
    <w:rsid w:val="002200C0"/>
    <w:rsid w:val="00220157"/>
    <w:rsid w:val="0022022E"/>
    <w:rsid w:val="00220255"/>
    <w:rsid w:val="0022028A"/>
    <w:rsid w:val="002202F1"/>
    <w:rsid w:val="0022048F"/>
    <w:rsid w:val="0022069E"/>
    <w:rsid w:val="00220813"/>
    <w:rsid w:val="0022097D"/>
    <w:rsid w:val="00220C37"/>
    <w:rsid w:val="00220DBE"/>
    <w:rsid w:val="00220DDD"/>
    <w:rsid w:val="00220E59"/>
    <w:rsid w:val="00220FDE"/>
    <w:rsid w:val="00221130"/>
    <w:rsid w:val="0022128C"/>
    <w:rsid w:val="002215F3"/>
    <w:rsid w:val="00221875"/>
    <w:rsid w:val="00221A5E"/>
    <w:rsid w:val="00221ACC"/>
    <w:rsid w:val="00221B31"/>
    <w:rsid w:val="00221CCE"/>
    <w:rsid w:val="00221E18"/>
    <w:rsid w:val="002222DD"/>
    <w:rsid w:val="002223FC"/>
    <w:rsid w:val="00222461"/>
    <w:rsid w:val="0022257E"/>
    <w:rsid w:val="0022269E"/>
    <w:rsid w:val="00222907"/>
    <w:rsid w:val="00222942"/>
    <w:rsid w:val="00222A04"/>
    <w:rsid w:val="00222A3C"/>
    <w:rsid w:val="00222CC6"/>
    <w:rsid w:val="00223079"/>
    <w:rsid w:val="002233CD"/>
    <w:rsid w:val="00223483"/>
    <w:rsid w:val="002238D4"/>
    <w:rsid w:val="00223971"/>
    <w:rsid w:val="00223A07"/>
    <w:rsid w:val="00223BE0"/>
    <w:rsid w:val="00223D02"/>
    <w:rsid w:val="00223F2E"/>
    <w:rsid w:val="002242C2"/>
    <w:rsid w:val="002242E2"/>
    <w:rsid w:val="002243C7"/>
    <w:rsid w:val="0022455F"/>
    <w:rsid w:val="00224856"/>
    <w:rsid w:val="002249A6"/>
    <w:rsid w:val="00224A67"/>
    <w:rsid w:val="00224B83"/>
    <w:rsid w:val="00224C01"/>
    <w:rsid w:val="00224CC8"/>
    <w:rsid w:val="00224F3B"/>
    <w:rsid w:val="002250FC"/>
    <w:rsid w:val="0022510E"/>
    <w:rsid w:val="002251A6"/>
    <w:rsid w:val="002253DE"/>
    <w:rsid w:val="002254BC"/>
    <w:rsid w:val="002254E8"/>
    <w:rsid w:val="002254F7"/>
    <w:rsid w:val="0022564B"/>
    <w:rsid w:val="002256E6"/>
    <w:rsid w:val="00225753"/>
    <w:rsid w:val="002257D3"/>
    <w:rsid w:val="00225855"/>
    <w:rsid w:val="0022586B"/>
    <w:rsid w:val="00225ADC"/>
    <w:rsid w:val="00225F20"/>
    <w:rsid w:val="00226011"/>
    <w:rsid w:val="0022605D"/>
    <w:rsid w:val="00226219"/>
    <w:rsid w:val="0022622B"/>
    <w:rsid w:val="00226242"/>
    <w:rsid w:val="002263E3"/>
    <w:rsid w:val="00226505"/>
    <w:rsid w:val="002265AE"/>
    <w:rsid w:val="0022660B"/>
    <w:rsid w:val="00226891"/>
    <w:rsid w:val="002268B5"/>
    <w:rsid w:val="00226B97"/>
    <w:rsid w:val="00226BEF"/>
    <w:rsid w:val="00226C9B"/>
    <w:rsid w:val="00226D6C"/>
    <w:rsid w:val="00226E4F"/>
    <w:rsid w:val="00226E79"/>
    <w:rsid w:val="00227025"/>
    <w:rsid w:val="00227029"/>
    <w:rsid w:val="002272BE"/>
    <w:rsid w:val="002273F5"/>
    <w:rsid w:val="002276F1"/>
    <w:rsid w:val="002278F5"/>
    <w:rsid w:val="00227B09"/>
    <w:rsid w:val="00227B51"/>
    <w:rsid w:val="00227B7E"/>
    <w:rsid w:val="00227C16"/>
    <w:rsid w:val="002302AE"/>
    <w:rsid w:val="002304F8"/>
    <w:rsid w:val="0023061D"/>
    <w:rsid w:val="00230DB4"/>
    <w:rsid w:val="00231250"/>
    <w:rsid w:val="0023127D"/>
    <w:rsid w:val="00231537"/>
    <w:rsid w:val="0023198D"/>
    <w:rsid w:val="00231B19"/>
    <w:rsid w:val="00231B88"/>
    <w:rsid w:val="00231C61"/>
    <w:rsid w:val="00231D11"/>
    <w:rsid w:val="002320AC"/>
    <w:rsid w:val="00232144"/>
    <w:rsid w:val="0023217B"/>
    <w:rsid w:val="002321D5"/>
    <w:rsid w:val="002321F7"/>
    <w:rsid w:val="00232313"/>
    <w:rsid w:val="002324D7"/>
    <w:rsid w:val="00232516"/>
    <w:rsid w:val="002326F8"/>
    <w:rsid w:val="00232939"/>
    <w:rsid w:val="00232CF7"/>
    <w:rsid w:val="00232D43"/>
    <w:rsid w:val="00232D8E"/>
    <w:rsid w:val="00232D96"/>
    <w:rsid w:val="00232DFC"/>
    <w:rsid w:val="00232EC9"/>
    <w:rsid w:val="00233007"/>
    <w:rsid w:val="00233447"/>
    <w:rsid w:val="002334A2"/>
    <w:rsid w:val="002334CE"/>
    <w:rsid w:val="002335E8"/>
    <w:rsid w:val="00233693"/>
    <w:rsid w:val="002336AD"/>
    <w:rsid w:val="00233725"/>
    <w:rsid w:val="00233B6F"/>
    <w:rsid w:val="00233BD9"/>
    <w:rsid w:val="002340A2"/>
    <w:rsid w:val="002341D2"/>
    <w:rsid w:val="00234243"/>
    <w:rsid w:val="002343BA"/>
    <w:rsid w:val="002346C1"/>
    <w:rsid w:val="00234889"/>
    <w:rsid w:val="00234A61"/>
    <w:rsid w:val="00234C07"/>
    <w:rsid w:val="00234CC9"/>
    <w:rsid w:val="0023515D"/>
    <w:rsid w:val="002353AC"/>
    <w:rsid w:val="002353C5"/>
    <w:rsid w:val="00235C39"/>
    <w:rsid w:val="00235C9C"/>
    <w:rsid w:val="00235F0B"/>
    <w:rsid w:val="00235F81"/>
    <w:rsid w:val="00235FEF"/>
    <w:rsid w:val="00235FF4"/>
    <w:rsid w:val="0023609A"/>
    <w:rsid w:val="002360A4"/>
    <w:rsid w:val="00236211"/>
    <w:rsid w:val="0023628F"/>
    <w:rsid w:val="00236313"/>
    <w:rsid w:val="002363F0"/>
    <w:rsid w:val="002365E3"/>
    <w:rsid w:val="002365EF"/>
    <w:rsid w:val="0023664B"/>
    <w:rsid w:val="0023698D"/>
    <w:rsid w:val="002369A0"/>
    <w:rsid w:val="002369AA"/>
    <w:rsid w:val="00236A7A"/>
    <w:rsid w:val="00236F2C"/>
    <w:rsid w:val="00236F96"/>
    <w:rsid w:val="002373A4"/>
    <w:rsid w:val="002376BC"/>
    <w:rsid w:val="00237783"/>
    <w:rsid w:val="00237952"/>
    <w:rsid w:val="002379D9"/>
    <w:rsid w:val="00237C56"/>
    <w:rsid w:val="00237CD3"/>
    <w:rsid w:val="00237CFB"/>
    <w:rsid w:val="0024017D"/>
    <w:rsid w:val="0024042E"/>
    <w:rsid w:val="002404EB"/>
    <w:rsid w:val="002405BD"/>
    <w:rsid w:val="00240831"/>
    <w:rsid w:val="00240861"/>
    <w:rsid w:val="00240880"/>
    <w:rsid w:val="002409CF"/>
    <w:rsid w:val="00240A2F"/>
    <w:rsid w:val="00240AA0"/>
    <w:rsid w:val="00240DB9"/>
    <w:rsid w:val="00240E14"/>
    <w:rsid w:val="0024118E"/>
    <w:rsid w:val="002412BC"/>
    <w:rsid w:val="00241AAF"/>
    <w:rsid w:val="00241AC9"/>
    <w:rsid w:val="00241E75"/>
    <w:rsid w:val="00241E8F"/>
    <w:rsid w:val="00241ED1"/>
    <w:rsid w:val="00242079"/>
    <w:rsid w:val="00242319"/>
    <w:rsid w:val="002424D7"/>
    <w:rsid w:val="00242664"/>
    <w:rsid w:val="00242A94"/>
    <w:rsid w:val="00242ACB"/>
    <w:rsid w:val="00242BC9"/>
    <w:rsid w:val="00242D29"/>
    <w:rsid w:val="00242F77"/>
    <w:rsid w:val="002431E1"/>
    <w:rsid w:val="00243307"/>
    <w:rsid w:val="00243336"/>
    <w:rsid w:val="002434B3"/>
    <w:rsid w:val="0024356F"/>
    <w:rsid w:val="002435BE"/>
    <w:rsid w:val="0024361F"/>
    <w:rsid w:val="0024367A"/>
    <w:rsid w:val="0024391F"/>
    <w:rsid w:val="00243D4C"/>
    <w:rsid w:val="00243F9F"/>
    <w:rsid w:val="002440CC"/>
    <w:rsid w:val="002443B0"/>
    <w:rsid w:val="002448C9"/>
    <w:rsid w:val="00244919"/>
    <w:rsid w:val="002449D0"/>
    <w:rsid w:val="00244B6B"/>
    <w:rsid w:val="00244C9C"/>
    <w:rsid w:val="00244D00"/>
    <w:rsid w:val="00244D59"/>
    <w:rsid w:val="0024557A"/>
    <w:rsid w:val="00245AD7"/>
    <w:rsid w:val="00245BF3"/>
    <w:rsid w:val="00245C1A"/>
    <w:rsid w:val="00245DFC"/>
    <w:rsid w:val="00246026"/>
    <w:rsid w:val="0024616C"/>
    <w:rsid w:val="002467A1"/>
    <w:rsid w:val="002467A3"/>
    <w:rsid w:val="00246D06"/>
    <w:rsid w:val="00246DDF"/>
    <w:rsid w:val="00246F39"/>
    <w:rsid w:val="00246F3A"/>
    <w:rsid w:val="00247029"/>
    <w:rsid w:val="00247098"/>
    <w:rsid w:val="002474FE"/>
    <w:rsid w:val="00247580"/>
    <w:rsid w:val="002475B5"/>
    <w:rsid w:val="002479BC"/>
    <w:rsid w:val="00247A51"/>
    <w:rsid w:val="00247C98"/>
    <w:rsid w:val="00247DD2"/>
    <w:rsid w:val="0024A3B3"/>
    <w:rsid w:val="00250656"/>
    <w:rsid w:val="00250AFC"/>
    <w:rsid w:val="00250C90"/>
    <w:rsid w:val="0025113C"/>
    <w:rsid w:val="00251238"/>
    <w:rsid w:val="00251307"/>
    <w:rsid w:val="00251367"/>
    <w:rsid w:val="00251445"/>
    <w:rsid w:val="00251506"/>
    <w:rsid w:val="00251550"/>
    <w:rsid w:val="002515C0"/>
    <w:rsid w:val="00251C4B"/>
    <w:rsid w:val="00251E10"/>
    <w:rsid w:val="002520C0"/>
    <w:rsid w:val="00252242"/>
    <w:rsid w:val="002523E5"/>
    <w:rsid w:val="00252443"/>
    <w:rsid w:val="00252603"/>
    <w:rsid w:val="002527CB"/>
    <w:rsid w:val="002528C6"/>
    <w:rsid w:val="002528CC"/>
    <w:rsid w:val="002528F7"/>
    <w:rsid w:val="0025328B"/>
    <w:rsid w:val="00253323"/>
    <w:rsid w:val="0025346E"/>
    <w:rsid w:val="002534A9"/>
    <w:rsid w:val="002536A8"/>
    <w:rsid w:val="00253722"/>
    <w:rsid w:val="0025384C"/>
    <w:rsid w:val="002539FF"/>
    <w:rsid w:val="00253E87"/>
    <w:rsid w:val="00253EF4"/>
    <w:rsid w:val="0025403A"/>
    <w:rsid w:val="002541D4"/>
    <w:rsid w:val="002542B0"/>
    <w:rsid w:val="0025431A"/>
    <w:rsid w:val="00254683"/>
    <w:rsid w:val="002548A0"/>
    <w:rsid w:val="00254B5E"/>
    <w:rsid w:val="00254ED5"/>
    <w:rsid w:val="002551C6"/>
    <w:rsid w:val="002553A7"/>
    <w:rsid w:val="002553E0"/>
    <w:rsid w:val="002554A1"/>
    <w:rsid w:val="00255788"/>
    <w:rsid w:val="0025586E"/>
    <w:rsid w:val="002558F6"/>
    <w:rsid w:val="002559E8"/>
    <w:rsid w:val="00255B3B"/>
    <w:rsid w:val="00255E38"/>
    <w:rsid w:val="00256077"/>
    <w:rsid w:val="0025623D"/>
    <w:rsid w:val="00256277"/>
    <w:rsid w:val="00256345"/>
    <w:rsid w:val="0025665A"/>
    <w:rsid w:val="002568C9"/>
    <w:rsid w:val="00256C47"/>
    <w:rsid w:val="00256C7E"/>
    <w:rsid w:val="00256DB1"/>
    <w:rsid w:val="00256E25"/>
    <w:rsid w:val="00256EF9"/>
    <w:rsid w:val="00256F68"/>
    <w:rsid w:val="002572F4"/>
    <w:rsid w:val="002573AF"/>
    <w:rsid w:val="00257618"/>
    <w:rsid w:val="00257620"/>
    <w:rsid w:val="002579A3"/>
    <w:rsid w:val="002579A4"/>
    <w:rsid w:val="00257A6F"/>
    <w:rsid w:val="00257D65"/>
    <w:rsid w:val="00257E22"/>
    <w:rsid w:val="00260038"/>
    <w:rsid w:val="002600D6"/>
    <w:rsid w:val="0026024A"/>
    <w:rsid w:val="0026027B"/>
    <w:rsid w:val="00260282"/>
    <w:rsid w:val="002603B0"/>
    <w:rsid w:val="002603E1"/>
    <w:rsid w:val="002605EC"/>
    <w:rsid w:val="00260828"/>
    <w:rsid w:val="00260844"/>
    <w:rsid w:val="002608C0"/>
    <w:rsid w:val="00260904"/>
    <w:rsid w:val="00260A15"/>
    <w:rsid w:val="00260EC1"/>
    <w:rsid w:val="00260F2C"/>
    <w:rsid w:val="00260F43"/>
    <w:rsid w:val="00261109"/>
    <w:rsid w:val="002611A3"/>
    <w:rsid w:val="00261256"/>
    <w:rsid w:val="00261499"/>
    <w:rsid w:val="002614F0"/>
    <w:rsid w:val="002615E0"/>
    <w:rsid w:val="002617BC"/>
    <w:rsid w:val="00261813"/>
    <w:rsid w:val="00261B9E"/>
    <w:rsid w:val="00261C53"/>
    <w:rsid w:val="00261D99"/>
    <w:rsid w:val="00261F20"/>
    <w:rsid w:val="00261FCC"/>
    <w:rsid w:val="002621F5"/>
    <w:rsid w:val="00262271"/>
    <w:rsid w:val="002624A6"/>
    <w:rsid w:val="002625B7"/>
    <w:rsid w:val="002625CF"/>
    <w:rsid w:val="0026269E"/>
    <w:rsid w:val="002628F9"/>
    <w:rsid w:val="00262969"/>
    <w:rsid w:val="00262B5F"/>
    <w:rsid w:val="00262BB6"/>
    <w:rsid w:val="00262D62"/>
    <w:rsid w:val="00262EB1"/>
    <w:rsid w:val="0026390B"/>
    <w:rsid w:val="0026391E"/>
    <w:rsid w:val="002639A0"/>
    <w:rsid w:val="00263A32"/>
    <w:rsid w:val="00263BBF"/>
    <w:rsid w:val="00263C1B"/>
    <w:rsid w:val="00263CAD"/>
    <w:rsid w:val="00263FDE"/>
    <w:rsid w:val="00264012"/>
    <w:rsid w:val="0026416C"/>
    <w:rsid w:val="00264313"/>
    <w:rsid w:val="00264385"/>
    <w:rsid w:val="0026482A"/>
    <w:rsid w:val="002648B9"/>
    <w:rsid w:val="00264AD5"/>
    <w:rsid w:val="00265386"/>
    <w:rsid w:val="0026560D"/>
    <w:rsid w:val="00265A60"/>
    <w:rsid w:val="00265B69"/>
    <w:rsid w:val="00265BC2"/>
    <w:rsid w:val="00265C41"/>
    <w:rsid w:val="00265C4F"/>
    <w:rsid w:val="00265CB9"/>
    <w:rsid w:val="0026602A"/>
    <w:rsid w:val="00266B0E"/>
    <w:rsid w:val="00266C1D"/>
    <w:rsid w:val="00266EF6"/>
    <w:rsid w:val="00266FB1"/>
    <w:rsid w:val="0026729F"/>
    <w:rsid w:val="002674C5"/>
    <w:rsid w:val="0026766E"/>
    <w:rsid w:val="00267782"/>
    <w:rsid w:val="0026799F"/>
    <w:rsid w:val="00267C84"/>
    <w:rsid w:val="00270104"/>
    <w:rsid w:val="0027030A"/>
    <w:rsid w:val="002703FA"/>
    <w:rsid w:val="002704CE"/>
    <w:rsid w:val="00270608"/>
    <w:rsid w:val="0027062F"/>
    <w:rsid w:val="002706A7"/>
    <w:rsid w:val="00270842"/>
    <w:rsid w:val="00270A85"/>
    <w:rsid w:val="00270D5F"/>
    <w:rsid w:val="00270E77"/>
    <w:rsid w:val="00270FB2"/>
    <w:rsid w:val="00271012"/>
    <w:rsid w:val="00271191"/>
    <w:rsid w:val="002712E7"/>
    <w:rsid w:val="0027130E"/>
    <w:rsid w:val="00271314"/>
    <w:rsid w:val="002715EF"/>
    <w:rsid w:val="0027160E"/>
    <w:rsid w:val="00271834"/>
    <w:rsid w:val="00271AA5"/>
    <w:rsid w:val="00271C90"/>
    <w:rsid w:val="0027233B"/>
    <w:rsid w:val="002724F8"/>
    <w:rsid w:val="002726A7"/>
    <w:rsid w:val="002726E3"/>
    <w:rsid w:val="0027275D"/>
    <w:rsid w:val="00272889"/>
    <w:rsid w:val="00272AC9"/>
    <w:rsid w:val="00272AE0"/>
    <w:rsid w:val="00272EF1"/>
    <w:rsid w:val="00272F61"/>
    <w:rsid w:val="0027352A"/>
    <w:rsid w:val="00273898"/>
    <w:rsid w:val="002739CE"/>
    <w:rsid w:val="00273FF4"/>
    <w:rsid w:val="002740DB"/>
    <w:rsid w:val="00274247"/>
    <w:rsid w:val="002744D9"/>
    <w:rsid w:val="00274521"/>
    <w:rsid w:val="002747A7"/>
    <w:rsid w:val="00274A18"/>
    <w:rsid w:val="00274A33"/>
    <w:rsid w:val="00274B3B"/>
    <w:rsid w:val="00274CCC"/>
    <w:rsid w:val="00274E61"/>
    <w:rsid w:val="002752D9"/>
    <w:rsid w:val="00275310"/>
    <w:rsid w:val="0027534E"/>
    <w:rsid w:val="002756DB"/>
    <w:rsid w:val="00275781"/>
    <w:rsid w:val="00275978"/>
    <w:rsid w:val="00275C12"/>
    <w:rsid w:val="00275CD8"/>
    <w:rsid w:val="00275D59"/>
    <w:rsid w:val="00275DE8"/>
    <w:rsid w:val="00275ED0"/>
    <w:rsid w:val="00276427"/>
    <w:rsid w:val="00276530"/>
    <w:rsid w:val="00276581"/>
    <w:rsid w:val="0027659B"/>
    <w:rsid w:val="00276656"/>
    <w:rsid w:val="002766E5"/>
    <w:rsid w:val="002767EE"/>
    <w:rsid w:val="00276A94"/>
    <w:rsid w:val="00276AC5"/>
    <w:rsid w:val="00276B1B"/>
    <w:rsid w:val="00276C2F"/>
    <w:rsid w:val="0027700E"/>
    <w:rsid w:val="00277343"/>
    <w:rsid w:val="00277451"/>
    <w:rsid w:val="002775AD"/>
    <w:rsid w:val="0027792F"/>
    <w:rsid w:val="00277D3F"/>
    <w:rsid w:val="00277F82"/>
    <w:rsid w:val="00280015"/>
    <w:rsid w:val="002801F5"/>
    <w:rsid w:val="00280576"/>
    <w:rsid w:val="00280777"/>
    <w:rsid w:val="00280821"/>
    <w:rsid w:val="00280856"/>
    <w:rsid w:val="002808F4"/>
    <w:rsid w:val="00280953"/>
    <w:rsid w:val="00280960"/>
    <w:rsid w:val="002809C2"/>
    <w:rsid w:val="00280B68"/>
    <w:rsid w:val="00280C51"/>
    <w:rsid w:val="00280EE6"/>
    <w:rsid w:val="00281002"/>
    <w:rsid w:val="00281024"/>
    <w:rsid w:val="0028117A"/>
    <w:rsid w:val="0028136A"/>
    <w:rsid w:val="00281967"/>
    <w:rsid w:val="00281D5E"/>
    <w:rsid w:val="00281D74"/>
    <w:rsid w:val="00281FFE"/>
    <w:rsid w:val="00282135"/>
    <w:rsid w:val="00282489"/>
    <w:rsid w:val="0028249D"/>
    <w:rsid w:val="002824A1"/>
    <w:rsid w:val="002825D0"/>
    <w:rsid w:val="002826C4"/>
    <w:rsid w:val="0028282C"/>
    <w:rsid w:val="00282977"/>
    <w:rsid w:val="00282B35"/>
    <w:rsid w:val="00282EF0"/>
    <w:rsid w:val="00282EF7"/>
    <w:rsid w:val="00283251"/>
    <w:rsid w:val="002835C1"/>
    <w:rsid w:val="00283812"/>
    <w:rsid w:val="0028384A"/>
    <w:rsid w:val="00283965"/>
    <w:rsid w:val="00283B9E"/>
    <w:rsid w:val="00283CB7"/>
    <w:rsid w:val="00283DBB"/>
    <w:rsid w:val="00284009"/>
    <w:rsid w:val="00284621"/>
    <w:rsid w:val="002846DF"/>
    <w:rsid w:val="00284844"/>
    <w:rsid w:val="0028487A"/>
    <w:rsid w:val="00284E53"/>
    <w:rsid w:val="0028522D"/>
    <w:rsid w:val="0028535B"/>
    <w:rsid w:val="00285544"/>
    <w:rsid w:val="00285A7E"/>
    <w:rsid w:val="00285C1B"/>
    <w:rsid w:val="00285F40"/>
    <w:rsid w:val="0028608F"/>
    <w:rsid w:val="002860FC"/>
    <w:rsid w:val="0028615A"/>
    <w:rsid w:val="0028633E"/>
    <w:rsid w:val="002863D4"/>
    <w:rsid w:val="00286608"/>
    <w:rsid w:val="002866D7"/>
    <w:rsid w:val="002868CE"/>
    <w:rsid w:val="002868FA"/>
    <w:rsid w:val="00286972"/>
    <w:rsid w:val="002869D5"/>
    <w:rsid w:val="00286AED"/>
    <w:rsid w:val="00286B64"/>
    <w:rsid w:val="00286DF0"/>
    <w:rsid w:val="0028715F"/>
    <w:rsid w:val="0028726D"/>
    <w:rsid w:val="002878A8"/>
    <w:rsid w:val="00287BB7"/>
    <w:rsid w:val="00287BE9"/>
    <w:rsid w:val="00287C07"/>
    <w:rsid w:val="00287C46"/>
    <w:rsid w:val="00287CC3"/>
    <w:rsid w:val="0029000D"/>
    <w:rsid w:val="00290195"/>
    <w:rsid w:val="0029047E"/>
    <w:rsid w:val="002908D1"/>
    <w:rsid w:val="002908F3"/>
    <w:rsid w:val="00290947"/>
    <w:rsid w:val="0029095A"/>
    <w:rsid w:val="00290BAE"/>
    <w:rsid w:val="00290CB8"/>
    <w:rsid w:val="00290E85"/>
    <w:rsid w:val="00290F13"/>
    <w:rsid w:val="00290FF7"/>
    <w:rsid w:val="00291094"/>
    <w:rsid w:val="0029128A"/>
    <w:rsid w:val="00291600"/>
    <w:rsid w:val="0029165B"/>
    <w:rsid w:val="002916C1"/>
    <w:rsid w:val="00291726"/>
    <w:rsid w:val="00291776"/>
    <w:rsid w:val="00291A63"/>
    <w:rsid w:val="00291C8D"/>
    <w:rsid w:val="00291E31"/>
    <w:rsid w:val="00292126"/>
    <w:rsid w:val="0029218F"/>
    <w:rsid w:val="002922AB"/>
    <w:rsid w:val="002924D2"/>
    <w:rsid w:val="0029250F"/>
    <w:rsid w:val="0029253C"/>
    <w:rsid w:val="002925EE"/>
    <w:rsid w:val="00292706"/>
    <w:rsid w:val="002928EE"/>
    <w:rsid w:val="00292B63"/>
    <w:rsid w:val="00292C8E"/>
    <w:rsid w:val="00292CBF"/>
    <w:rsid w:val="00292D8B"/>
    <w:rsid w:val="00293065"/>
    <w:rsid w:val="00293130"/>
    <w:rsid w:val="00293358"/>
    <w:rsid w:val="0029343B"/>
    <w:rsid w:val="0029378D"/>
    <w:rsid w:val="002938B2"/>
    <w:rsid w:val="00293A0A"/>
    <w:rsid w:val="00293B07"/>
    <w:rsid w:val="00293C70"/>
    <w:rsid w:val="00293E24"/>
    <w:rsid w:val="00293EB1"/>
    <w:rsid w:val="00294006"/>
    <w:rsid w:val="0029405F"/>
    <w:rsid w:val="002942AF"/>
    <w:rsid w:val="002942EC"/>
    <w:rsid w:val="002946D5"/>
    <w:rsid w:val="0029482E"/>
    <w:rsid w:val="002948D9"/>
    <w:rsid w:val="00294905"/>
    <w:rsid w:val="00294983"/>
    <w:rsid w:val="00294C79"/>
    <w:rsid w:val="00294CE9"/>
    <w:rsid w:val="002953D0"/>
    <w:rsid w:val="002956D2"/>
    <w:rsid w:val="00295E45"/>
    <w:rsid w:val="00295F6A"/>
    <w:rsid w:val="002963DB"/>
    <w:rsid w:val="0029644F"/>
    <w:rsid w:val="0029662C"/>
    <w:rsid w:val="002967E0"/>
    <w:rsid w:val="002968AF"/>
    <w:rsid w:val="00296BBB"/>
    <w:rsid w:val="00296C39"/>
    <w:rsid w:val="00296D33"/>
    <w:rsid w:val="00296D3D"/>
    <w:rsid w:val="0029702A"/>
    <w:rsid w:val="00297052"/>
    <w:rsid w:val="0029735B"/>
    <w:rsid w:val="00297A67"/>
    <w:rsid w:val="00297FD5"/>
    <w:rsid w:val="00297FE8"/>
    <w:rsid w:val="002A0040"/>
    <w:rsid w:val="002A010D"/>
    <w:rsid w:val="002A01F1"/>
    <w:rsid w:val="002A025C"/>
    <w:rsid w:val="002A029F"/>
    <w:rsid w:val="002A046A"/>
    <w:rsid w:val="002A0630"/>
    <w:rsid w:val="002A0D71"/>
    <w:rsid w:val="002A1219"/>
    <w:rsid w:val="002A139D"/>
    <w:rsid w:val="002A14C9"/>
    <w:rsid w:val="002A1640"/>
    <w:rsid w:val="002A1A6A"/>
    <w:rsid w:val="002A1B7E"/>
    <w:rsid w:val="002A1D37"/>
    <w:rsid w:val="002A1F58"/>
    <w:rsid w:val="002A1F83"/>
    <w:rsid w:val="002A1FB9"/>
    <w:rsid w:val="002A204B"/>
    <w:rsid w:val="002A2119"/>
    <w:rsid w:val="002A228B"/>
    <w:rsid w:val="002A2379"/>
    <w:rsid w:val="002A257A"/>
    <w:rsid w:val="002A2709"/>
    <w:rsid w:val="002A2797"/>
    <w:rsid w:val="002A27B2"/>
    <w:rsid w:val="002A282C"/>
    <w:rsid w:val="002A287A"/>
    <w:rsid w:val="002A298A"/>
    <w:rsid w:val="002A299D"/>
    <w:rsid w:val="002A2BC4"/>
    <w:rsid w:val="002A2FCF"/>
    <w:rsid w:val="002A30EC"/>
    <w:rsid w:val="002A371A"/>
    <w:rsid w:val="002A3A21"/>
    <w:rsid w:val="002A3B4D"/>
    <w:rsid w:val="002A3BB0"/>
    <w:rsid w:val="002A3CEB"/>
    <w:rsid w:val="002A3E4C"/>
    <w:rsid w:val="002A3E8F"/>
    <w:rsid w:val="002A3EE2"/>
    <w:rsid w:val="002A3FDE"/>
    <w:rsid w:val="002A404B"/>
    <w:rsid w:val="002A4267"/>
    <w:rsid w:val="002A4733"/>
    <w:rsid w:val="002A4C34"/>
    <w:rsid w:val="002A4C36"/>
    <w:rsid w:val="002A4D6C"/>
    <w:rsid w:val="002A4D96"/>
    <w:rsid w:val="002A4DD5"/>
    <w:rsid w:val="002A4F72"/>
    <w:rsid w:val="002A4FEE"/>
    <w:rsid w:val="002A50C4"/>
    <w:rsid w:val="002A511A"/>
    <w:rsid w:val="002A5134"/>
    <w:rsid w:val="002A52ED"/>
    <w:rsid w:val="002A53F6"/>
    <w:rsid w:val="002A544C"/>
    <w:rsid w:val="002A563D"/>
    <w:rsid w:val="002A5843"/>
    <w:rsid w:val="002A5A7E"/>
    <w:rsid w:val="002A5ABA"/>
    <w:rsid w:val="002A5BF0"/>
    <w:rsid w:val="002A5CA5"/>
    <w:rsid w:val="002A5CD2"/>
    <w:rsid w:val="002A5E35"/>
    <w:rsid w:val="002A5E3E"/>
    <w:rsid w:val="002A5FDA"/>
    <w:rsid w:val="002A617B"/>
    <w:rsid w:val="002A6639"/>
    <w:rsid w:val="002A6B0E"/>
    <w:rsid w:val="002A6E41"/>
    <w:rsid w:val="002A6F90"/>
    <w:rsid w:val="002A70E2"/>
    <w:rsid w:val="002A724F"/>
    <w:rsid w:val="002A72E1"/>
    <w:rsid w:val="002A72F1"/>
    <w:rsid w:val="002A7344"/>
    <w:rsid w:val="002A7647"/>
    <w:rsid w:val="002A781C"/>
    <w:rsid w:val="002A7864"/>
    <w:rsid w:val="002A7B8E"/>
    <w:rsid w:val="002A7B96"/>
    <w:rsid w:val="002A7C4D"/>
    <w:rsid w:val="002A7D7E"/>
    <w:rsid w:val="002B0427"/>
    <w:rsid w:val="002B04EA"/>
    <w:rsid w:val="002B05CA"/>
    <w:rsid w:val="002B0744"/>
    <w:rsid w:val="002B0996"/>
    <w:rsid w:val="002B0C3D"/>
    <w:rsid w:val="002B0DCA"/>
    <w:rsid w:val="002B0E65"/>
    <w:rsid w:val="002B0F40"/>
    <w:rsid w:val="002B101B"/>
    <w:rsid w:val="002B1108"/>
    <w:rsid w:val="002B11B1"/>
    <w:rsid w:val="002B124D"/>
    <w:rsid w:val="002B12A1"/>
    <w:rsid w:val="002B12AE"/>
    <w:rsid w:val="002B1439"/>
    <w:rsid w:val="002B14B7"/>
    <w:rsid w:val="002B14C9"/>
    <w:rsid w:val="002B1836"/>
    <w:rsid w:val="002B19B7"/>
    <w:rsid w:val="002B1A4A"/>
    <w:rsid w:val="002B1A77"/>
    <w:rsid w:val="002B1ABA"/>
    <w:rsid w:val="002B1ABE"/>
    <w:rsid w:val="002B1B57"/>
    <w:rsid w:val="002B1F0F"/>
    <w:rsid w:val="002B1F5C"/>
    <w:rsid w:val="002B22CD"/>
    <w:rsid w:val="002B2571"/>
    <w:rsid w:val="002B26E2"/>
    <w:rsid w:val="002B2797"/>
    <w:rsid w:val="002B29D8"/>
    <w:rsid w:val="002B2A5B"/>
    <w:rsid w:val="002B2B71"/>
    <w:rsid w:val="002B2BE0"/>
    <w:rsid w:val="002B2E89"/>
    <w:rsid w:val="002B2EF3"/>
    <w:rsid w:val="002B2F03"/>
    <w:rsid w:val="002B2F0E"/>
    <w:rsid w:val="002B310F"/>
    <w:rsid w:val="002B336C"/>
    <w:rsid w:val="002B36AB"/>
    <w:rsid w:val="002B37AF"/>
    <w:rsid w:val="002B391B"/>
    <w:rsid w:val="002B3924"/>
    <w:rsid w:val="002B3A0A"/>
    <w:rsid w:val="002B3E7D"/>
    <w:rsid w:val="002B401A"/>
    <w:rsid w:val="002B4324"/>
    <w:rsid w:val="002B46B7"/>
    <w:rsid w:val="002B46CB"/>
    <w:rsid w:val="002B4778"/>
    <w:rsid w:val="002B4818"/>
    <w:rsid w:val="002B4C0D"/>
    <w:rsid w:val="002B4C64"/>
    <w:rsid w:val="002B4D08"/>
    <w:rsid w:val="002B4D2D"/>
    <w:rsid w:val="002B4D5B"/>
    <w:rsid w:val="002B4F55"/>
    <w:rsid w:val="002B4FC0"/>
    <w:rsid w:val="002B5047"/>
    <w:rsid w:val="002B50CF"/>
    <w:rsid w:val="002B52D7"/>
    <w:rsid w:val="002B5504"/>
    <w:rsid w:val="002B570C"/>
    <w:rsid w:val="002B5921"/>
    <w:rsid w:val="002B5B71"/>
    <w:rsid w:val="002B5C44"/>
    <w:rsid w:val="002B5D8C"/>
    <w:rsid w:val="002B5D92"/>
    <w:rsid w:val="002B5DDE"/>
    <w:rsid w:val="002B5E73"/>
    <w:rsid w:val="002B6113"/>
    <w:rsid w:val="002B6200"/>
    <w:rsid w:val="002B6446"/>
    <w:rsid w:val="002B69AE"/>
    <w:rsid w:val="002B6A39"/>
    <w:rsid w:val="002B6E24"/>
    <w:rsid w:val="002B7220"/>
    <w:rsid w:val="002B7520"/>
    <w:rsid w:val="002B7647"/>
    <w:rsid w:val="002B781B"/>
    <w:rsid w:val="002B78A3"/>
    <w:rsid w:val="002B7A39"/>
    <w:rsid w:val="002B7EB2"/>
    <w:rsid w:val="002B7FDB"/>
    <w:rsid w:val="002B7FED"/>
    <w:rsid w:val="002C00FA"/>
    <w:rsid w:val="002C0103"/>
    <w:rsid w:val="002C02FA"/>
    <w:rsid w:val="002C03EE"/>
    <w:rsid w:val="002C051C"/>
    <w:rsid w:val="002C07BA"/>
    <w:rsid w:val="002C09B1"/>
    <w:rsid w:val="002C0A3A"/>
    <w:rsid w:val="002C0AB2"/>
    <w:rsid w:val="002C0DB7"/>
    <w:rsid w:val="002C0E71"/>
    <w:rsid w:val="002C0E72"/>
    <w:rsid w:val="002C0EA9"/>
    <w:rsid w:val="002C0F77"/>
    <w:rsid w:val="002C10A9"/>
    <w:rsid w:val="002C11E4"/>
    <w:rsid w:val="002C136D"/>
    <w:rsid w:val="002C156A"/>
    <w:rsid w:val="002C16A6"/>
    <w:rsid w:val="002C1A52"/>
    <w:rsid w:val="002C1B04"/>
    <w:rsid w:val="002C1F3F"/>
    <w:rsid w:val="002C21B5"/>
    <w:rsid w:val="002C2536"/>
    <w:rsid w:val="002C2659"/>
    <w:rsid w:val="002C27EA"/>
    <w:rsid w:val="002C29D8"/>
    <w:rsid w:val="002C2C68"/>
    <w:rsid w:val="002C2FD3"/>
    <w:rsid w:val="002C3016"/>
    <w:rsid w:val="002C3206"/>
    <w:rsid w:val="002C32B8"/>
    <w:rsid w:val="002C335A"/>
    <w:rsid w:val="002C33AD"/>
    <w:rsid w:val="002C33DE"/>
    <w:rsid w:val="002C3550"/>
    <w:rsid w:val="002C36F7"/>
    <w:rsid w:val="002C378D"/>
    <w:rsid w:val="002C3866"/>
    <w:rsid w:val="002C3A33"/>
    <w:rsid w:val="002C3D1D"/>
    <w:rsid w:val="002C3D3B"/>
    <w:rsid w:val="002C4050"/>
    <w:rsid w:val="002C416C"/>
    <w:rsid w:val="002C4308"/>
    <w:rsid w:val="002C4969"/>
    <w:rsid w:val="002C49F7"/>
    <w:rsid w:val="002C4A27"/>
    <w:rsid w:val="002C4A50"/>
    <w:rsid w:val="002C4BA0"/>
    <w:rsid w:val="002C4D7F"/>
    <w:rsid w:val="002C4F30"/>
    <w:rsid w:val="002C50DD"/>
    <w:rsid w:val="002C53DF"/>
    <w:rsid w:val="002C540D"/>
    <w:rsid w:val="002C545F"/>
    <w:rsid w:val="002C551A"/>
    <w:rsid w:val="002C5868"/>
    <w:rsid w:val="002C5ADF"/>
    <w:rsid w:val="002C5B95"/>
    <w:rsid w:val="002C5BB4"/>
    <w:rsid w:val="002C6000"/>
    <w:rsid w:val="002C631A"/>
    <w:rsid w:val="002C6401"/>
    <w:rsid w:val="002C64E4"/>
    <w:rsid w:val="002C6695"/>
    <w:rsid w:val="002C6710"/>
    <w:rsid w:val="002C6D62"/>
    <w:rsid w:val="002C6E43"/>
    <w:rsid w:val="002C6EC3"/>
    <w:rsid w:val="002C6F3C"/>
    <w:rsid w:val="002C6F6A"/>
    <w:rsid w:val="002C705C"/>
    <w:rsid w:val="002C70ED"/>
    <w:rsid w:val="002C712E"/>
    <w:rsid w:val="002C712F"/>
    <w:rsid w:val="002C72F7"/>
    <w:rsid w:val="002C7362"/>
    <w:rsid w:val="002C76EF"/>
    <w:rsid w:val="002C7B83"/>
    <w:rsid w:val="002C7C1B"/>
    <w:rsid w:val="002C7C37"/>
    <w:rsid w:val="002C7CAA"/>
    <w:rsid w:val="002C7E76"/>
    <w:rsid w:val="002C7ECE"/>
    <w:rsid w:val="002C7F18"/>
    <w:rsid w:val="002C7F33"/>
    <w:rsid w:val="002C7F71"/>
    <w:rsid w:val="002D0245"/>
    <w:rsid w:val="002D02AE"/>
    <w:rsid w:val="002D030C"/>
    <w:rsid w:val="002D030E"/>
    <w:rsid w:val="002D0580"/>
    <w:rsid w:val="002D0815"/>
    <w:rsid w:val="002D13BB"/>
    <w:rsid w:val="002D13F9"/>
    <w:rsid w:val="002D145F"/>
    <w:rsid w:val="002D1663"/>
    <w:rsid w:val="002D167F"/>
    <w:rsid w:val="002D183B"/>
    <w:rsid w:val="002D1893"/>
    <w:rsid w:val="002D1932"/>
    <w:rsid w:val="002D1AF9"/>
    <w:rsid w:val="002D1B98"/>
    <w:rsid w:val="002D1B99"/>
    <w:rsid w:val="002D1D0A"/>
    <w:rsid w:val="002D1D49"/>
    <w:rsid w:val="002D1E9B"/>
    <w:rsid w:val="002D2049"/>
    <w:rsid w:val="002D2174"/>
    <w:rsid w:val="002D2759"/>
    <w:rsid w:val="002D2791"/>
    <w:rsid w:val="002D27EE"/>
    <w:rsid w:val="002D2890"/>
    <w:rsid w:val="002D2977"/>
    <w:rsid w:val="002D29F7"/>
    <w:rsid w:val="002D2B7A"/>
    <w:rsid w:val="002D2E4B"/>
    <w:rsid w:val="002D328B"/>
    <w:rsid w:val="002D330A"/>
    <w:rsid w:val="002D35F2"/>
    <w:rsid w:val="002D369D"/>
    <w:rsid w:val="002D376D"/>
    <w:rsid w:val="002D37BC"/>
    <w:rsid w:val="002D3812"/>
    <w:rsid w:val="002D3828"/>
    <w:rsid w:val="002D3ABF"/>
    <w:rsid w:val="002D3BFB"/>
    <w:rsid w:val="002D3CBB"/>
    <w:rsid w:val="002D439A"/>
    <w:rsid w:val="002D4557"/>
    <w:rsid w:val="002D480E"/>
    <w:rsid w:val="002D4977"/>
    <w:rsid w:val="002D49E8"/>
    <w:rsid w:val="002D52A6"/>
    <w:rsid w:val="002D545B"/>
    <w:rsid w:val="002D5531"/>
    <w:rsid w:val="002D5591"/>
    <w:rsid w:val="002D55CE"/>
    <w:rsid w:val="002D578A"/>
    <w:rsid w:val="002D5790"/>
    <w:rsid w:val="002D584E"/>
    <w:rsid w:val="002D5862"/>
    <w:rsid w:val="002D5898"/>
    <w:rsid w:val="002D58B7"/>
    <w:rsid w:val="002D598D"/>
    <w:rsid w:val="002D5F77"/>
    <w:rsid w:val="002D5F84"/>
    <w:rsid w:val="002D5F9A"/>
    <w:rsid w:val="002D631E"/>
    <w:rsid w:val="002D6987"/>
    <w:rsid w:val="002D6C95"/>
    <w:rsid w:val="002D7028"/>
    <w:rsid w:val="002D7082"/>
    <w:rsid w:val="002D7102"/>
    <w:rsid w:val="002D7177"/>
    <w:rsid w:val="002D71B3"/>
    <w:rsid w:val="002D7256"/>
    <w:rsid w:val="002D72EC"/>
    <w:rsid w:val="002D744D"/>
    <w:rsid w:val="002D76DC"/>
    <w:rsid w:val="002D77B7"/>
    <w:rsid w:val="002D79B0"/>
    <w:rsid w:val="002D7E32"/>
    <w:rsid w:val="002DFF38"/>
    <w:rsid w:val="002E0026"/>
    <w:rsid w:val="002E00F4"/>
    <w:rsid w:val="002E0339"/>
    <w:rsid w:val="002E0384"/>
    <w:rsid w:val="002E053E"/>
    <w:rsid w:val="002E086C"/>
    <w:rsid w:val="002E0A53"/>
    <w:rsid w:val="002E0B53"/>
    <w:rsid w:val="002E0B68"/>
    <w:rsid w:val="002E0BC3"/>
    <w:rsid w:val="002E0F51"/>
    <w:rsid w:val="002E100A"/>
    <w:rsid w:val="002E1099"/>
    <w:rsid w:val="002E164B"/>
    <w:rsid w:val="002E1C3C"/>
    <w:rsid w:val="002E1E02"/>
    <w:rsid w:val="002E2012"/>
    <w:rsid w:val="002E20C5"/>
    <w:rsid w:val="002E2411"/>
    <w:rsid w:val="002E24F9"/>
    <w:rsid w:val="002E25B1"/>
    <w:rsid w:val="002E2702"/>
    <w:rsid w:val="002E2734"/>
    <w:rsid w:val="002E28B9"/>
    <w:rsid w:val="002E2DA0"/>
    <w:rsid w:val="002E308E"/>
    <w:rsid w:val="002E30A3"/>
    <w:rsid w:val="002E3121"/>
    <w:rsid w:val="002E315B"/>
    <w:rsid w:val="002E34C6"/>
    <w:rsid w:val="002E359D"/>
    <w:rsid w:val="002E37EF"/>
    <w:rsid w:val="002E3ABF"/>
    <w:rsid w:val="002E3B73"/>
    <w:rsid w:val="002E3BED"/>
    <w:rsid w:val="002E3EEF"/>
    <w:rsid w:val="002E4178"/>
    <w:rsid w:val="002E41D3"/>
    <w:rsid w:val="002E42CE"/>
    <w:rsid w:val="002E484E"/>
    <w:rsid w:val="002E4B0C"/>
    <w:rsid w:val="002E4B55"/>
    <w:rsid w:val="002E4BBB"/>
    <w:rsid w:val="002E4C42"/>
    <w:rsid w:val="002E543F"/>
    <w:rsid w:val="002E559B"/>
    <w:rsid w:val="002E55E2"/>
    <w:rsid w:val="002E5C83"/>
    <w:rsid w:val="002E5D9F"/>
    <w:rsid w:val="002E5DC2"/>
    <w:rsid w:val="002E60DB"/>
    <w:rsid w:val="002E620D"/>
    <w:rsid w:val="002E64E9"/>
    <w:rsid w:val="002E6971"/>
    <w:rsid w:val="002E6A17"/>
    <w:rsid w:val="002E6C1F"/>
    <w:rsid w:val="002E6D40"/>
    <w:rsid w:val="002E6F6B"/>
    <w:rsid w:val="002E6F9B"/>
    <w:rsid w:val="002E6FC1"/>
    <w:rsid w:val="002E7220"/>
    <w:rsid w:val="002E72DE"/>
    <w:rsid w:val="002E7645"/>
    <w:rsid w:val="002E77B4"/>
    <w:rsid w:val="002E7D4F"/>
    <w:rsid w:val="002E7EBF"/>
    <w:rsid w:val="002E7F97"/>
    <w:rsid w:val="002F017B"/>
    <w:rsid w:val="002F021A"/>
    <w:rsid w:val="002F067D"/>
    <w:rsid w:val="002F07DE"/>
    <w:rsid w:val="002F07F8"/>
    <w:rsid w:val="002F0916"/>
    <w:rsid w:val="002F0B19"/>
    <w:rsid w:val="002F0B64"/>
    <w:rsid w:val="002F0B6F"/>
    <w:rsid w:val="002F0E0D"/>
    <w:rsid w:val="002F10AF"/>
    <w:rsid w:val="002F1320"/>
    <w:rsid w:val="002F1390"/>
    <w:rsid w:val="002F13C9"/>
    <w:rsid w:val="002F15D1"/>
    <w:rsid w:val="002F167D"/>
    <w:rsid w:val="002F1714"/>
    <w:rsid w:val="002F1B5D"/>
    <w:rsid w:val="002F1BD0"/>
    <w:rsid w:val="002F1BDA"/>
    <w:rsid w:val="002F1DC3"/>
    <w:rsid w:val="002F1DF0"/>
    <w:rsid w:val="002F2412"/>
    <w:rsid w:val="002F24B8"/>
    <w:rsid w:val="002F25AF"/>
    <w:rsid w:val="002F26E7"/>
    <w:rsid w:val="002F27A2"/>
    <w:rsid w:val="002F2A37"/>
    <w:rsid w:val="002F2D49"/>
    <w:rsid w:val="002F2FB3"/>
    <w:rsid w:val="002F30D1"/>
    <w:rsid w:val="002F3707"/>
    <w:rsid w:val="002F3722"/>
    <w:rsid w:val="002F3738"/>
    <w:rsid w:val="002F39CE"/>
    <w:rsid w:val="002F3BF4"/>
    <w:rsid w:val="002F4026"/>
    <w:rsid w:val="002F417F"/>
    <w:rsid w:val="002F426D"/>
    <w:rsid w:val="002F4354"/>
    <w:rsid w:val="002F43E6"/>
    <w:rsid w:val="002F489B"/>
    <w:rsid w:val="002F4B55"/>
    <w:rsid w:val="002F4E4A"/>
    <w:rsid w:val="002F5078"/>
    <w:rsid w:val="002F52FE"/>
    <w:rsid w:val="002F569C"/>
    <w:rsid w:val="002F586C"/>
    <w:rsid w:val="002F58E4"/>
    <w:rsid w:val="002F5ABF"/>
    <w:rsid w:val="002F5D6E"/>
    <w:rsid w:val="002F5D82"/>
    <w:rsid w:val="002F5FA2"/>
    <w:rsid w:val="002F5FBA"/>
    <w:rsid w:val="002F5FD8"/>
    <w:rsid w:val="002F60C0"/>
    <w:rsid w:val="002F61F5"/>
    <w:rsid w:val="002F6B3E"/>
    <w:rsid w:val="002F6B7A"/>
    <w:rsid w:val="002F6ECB"/>
    <w:rsid w:val="002F7183"/>
    <w:rsid w:val="002F74B6"/>
    <w:rsid w:val="002F763E"/>
    <w:rsid w:val="002F76FD"/>
    <w:rsid w:val="002F77DA"/>
    <w:rsid w:val="002F7838"/>
    <w:rsid w:val="002F79CC"/>
    <w:rsid w:val="002F7B55"/>
    <w:rsid w:val="002F7DE7"/>
    <w:rsid w:val="002F7FD4"/>
    <w:rsid w:val="00300204"/>
    <w:rsid w:val="003002A6"/>
    <w:rsid w:val="003002AB"/>
    <w:rsid w:val="00300372"/>
    <w:rsid w:val="0030056C"/>
    <w:rsid w:val="003005AD"/>
    <w:rsid w:val="00300A5A"/>
    <w:rsid w:val="00300AE6"/>
    <w:rsid w:val="00300C94"/>
    <w:rsid w:val="00300DD9"/>
    <w:rsid w:val="00300F65"/>
    <w:rsid w:val="00301154"/>
    <w:rsid w:val="00301180"/>
    <w:rsid w:val="00301249"/>
    <w:rsid w:val="00301313"/>
    <w:rsid w:val="003014B8"/>
    <w:rsid w:val="003018A5"/>
    <w:rsid w:val="00301990"/>
    <w:rsid w:val="00301A76"/>
    <w:rsid w:val="00301F91"/>
    <w:rsid w:val="003020FF"/>
    <w:rsid w:val="00302179"/>
    <w:rsid w:val="003023FD"/>
    <w:rsid w:val="00302608"/>
    <w:rsid w:val="003027E3"/>
    <w:rsid w:val="00302A20"/>
    <w:rsid w:val="00302A21"/>
    <w:rsid w:val="00302AB9"/>
    <w:rsid w:val="00302B7D"/>
    <w:rsid w:val="00302B82"/>
    <w:rsid w:val="00302BF0"/>
    <w:rsid w:val="00302D2E"/>
    <w:rsid w:val="00302D66"/>
    <w:rsid w:val="00302E1B"/>
    <w:rsid w:val="00302F6E"/>
    <w:rsid w:val="00302FF7"/>
    <w:rsid w:val="00303218"/>
    <w:rsid w:val="00303223"/>
    <w:rsid w:val="00303266"/>
    <w:rsid w:val="003033E7"/>
    <w:rsid w:val="00303489"/>
    <w:rsid w:val="00303537"/>
    <w:rsid w:val="0030375F"/>
    <w:rsid w:val="003037E8"/>
    <w:rsid w:val="00303949"/>
    <w:rsid w:val="00303A4E"/>
    <w:rsid w:val="00303B1B"/>
    <w:rsid w:val="00303F25"/>
    <w:rsid w:val="00303FBE"/>
    <w:rsid w:val="00304129"/>
    <w:rsid w:val="003043D1"/>
    <w:rsid w:val="00304605"/>
    <w:rsid w:val="00304743"/>
    <w:rsid w:val="0030494F"/>
    <w:rsid w:val="00304AED"/>
    <w:rsid w:val="00304B8C"/>
    <w:rsid w:val="00304BD1"/>
    <w:rsid w:val="00304EC6"/>
    <w:rsid w:val="00304EF7"/>
    <w:rsid w:val="0030520E"/>
    <w:rsid w:val="003052E9"/>
    <w:rsid w:val="0030539A"/>
    <w:rsid w:val="00305660"/>
    <w:rsid w:val="00305688"/>
    <w:rsid w:val="00305818"/>
    <w:rsid w:val="00305AD2"/>
    <w:rsid w:val="00305C09"/>
    <w:rsid w:val="00305CD8"/>
    <w:rsid w:val="00305CE6"/>
    <w:rsid w:val="00305DF4"/>
    <w:rsid w:val="00305E34"/>
    <w:rsid w:val="00305EDD"/>
    <w:rsid w:val="003064B4"/>
    <w:rsid w:val="00306546"/>
    <w:rsid w:val="00306592"/>
    <w:rsid w:val="0030690C"/>
    <w:rsid w:val="003069E2"/>
    <w:rsid w:val="00306A66"/>
    <w:rsid w:val="00306DD0"/>
    <w:rsid w:val="00306FF6"/>
    <w:rsid w:val="00307016"/>
    <w:rsid w:val="00307047"/>
    <w:rsid w:val="00307115"/>
    <w:rsid w:val="00307123"/>
    <w:rsid w:val="003071DE"/>
    <w:rsid w:val="003072C9"/>
    <w:rsid w:val="003074AD"/>
    <w:rsid w:val="00307557"/>
    <w:rsid w:val="00307694"/>
    <w:rsid w:val="0030775E"/>
    <w:rsid w:val="00307875"/>
    <w:rsid w:val="00307881"/>
    <w:rsid w:val="00307A6B"/>
    <w:rsid w:val="00307A74"/>
    <w:rsid w:val="00307AC2"/>
    <w:rsid w:val="00307DB0"/>
    <w:rsid w:val="00307EF8"/>
    <w:rsid w:val="0031048E"/>
    <w:rsid w:val="003106A0"/>
    <w:rsid w:val="00310946"/>
    <w:rsid w:val="003109F8"/>
    <w:rsid w:val="00310A0B"/>
    <w:rsid w:val="00310A60"/>
    <w:rsid w:val="00310DDE"/>
    <w:rsid w:val="00310F33"/>
    <w:rsid w:val="00311480"/>
    <w:rsid w:val="0031153D"/>
    <w:rsid w:val="0031175A"/>
    <w:rsid w:val="0031197D"/>
    <w:rsid w:val="00311A9F"/>
    <w:rsid w:val="00311ACB"/>
    <w:rsid w:val="00311B8E"/>
    <w:rsid w:val="00311D7D"/>
    <w:rsid w:val="00311DC8"/>
    <w:rsid w:val="00311E89"/>
    <w:rsid w:val="00311E8B"/>
    <w:rsid w:val="003121C5"/>
    <w:rsid w:val="003121E7"/>
    <w:rsid w:val="0031227C"/>
    <w:rsid w:val="00312292"/>
    <w:rsid w:val="0031265D"/>
    <w:rsid w:val="00312DDD"/>
    <w:rsid w:val="00312F9A"/>
    <w:rsid w:val="0031307F"/>
    <w:rsid w:val="00313533"/>
    <w:rsid w:val="0031373F"/>
    <w:rsid w:val="0031378C"/>
    <w:rsid w:val="00313D38"/>
    <w:rsid w:val="00313E83"/>
    <w:rsid w:val="00314180"/>
    <w:rsid w:val="00314340"/>
    <w:rsid w:val="00314473"/>
    <w:rsid w:val="00314584"/>
    <w:rsid w:val="00314621"/>
    <w:rsid w:val="003146A5"/>
    <w:rsid w:val="00314860"/>
    <w:rsid w:val="00314A52"/>
    <w:rsid w:val="00314B7A"/>
    <w:rsid w:val="00314CFE"/>
    <w:rsid w:val="00314D3F"/>
    <w:rsid w:val="00314FCB"/>
    <w:rsid w:val="003154CE"/>
    <w:rsid w:val="0031555D"/>
    <w:rsid w:val="0031558E"/>
    <w:rsid w:val="00315598"/>
    <w:rsid w:val="003157E2"/>
    <w:rsid w:val="0031582A"/>
    <w:rsid w:val="00315952"/>
    <w:rsid w:val="003159C2"/>
    <w:rsid w:val="00315A45"/>
    <w:rsid w:val="00315B1D"/>
    <w:rsid w:val="00315B86"/>
    <w:rsid w:val="00315BFB"/>
    <w:rsid w:val="0031602E"/>
    <w:rsid w:val="003160B6"/>
    <w:rsid w:val="00316106"/>
    <w:rsid w:val="003164CA"/>
    <w:rsid w:val="003164D1"/>
    <w:rsid w:val="00316959"/>
    <w:rsid w:val="00316B4A"/>
    <w:rsid w:val="00316DAD"/>
    <w:rsid w:val="00317289"/>
    <w:rsid w:val="0031743F"/>
    <w:rsid w:val="00317613"/>
    <w:rsid w:val="00317654"/>
    <w:rsid w:val="0031784D"/>
    <w:rsid w:val="00317A4A"/>
    <w:rsid w:val="00317BBB"/>
    <w:rsid w:val="00317DF9"/>
    <w:rsid w:val="00317E78"/>
    <w:rsid w:val="00317EA0"/>
    <w:rsid w:val="0032009E"/>
    <w:rsid w:val="003200F7"/>
    <w:rsid w:val="003201B2"/>
    <w:rsid w:val="003201D0"/>
    <w:rsid w:val="0032029E"/>
    <w:rsid w:val="0032045A"/>
    <w:rsid w:val="003204E5"/>
    <w:rsid w:val="003205C4"/>
    <w:rsid w:val="0032081E"/>
    <w:rsid w:val="00320C89"/>
    <w:rsid w:val="00320CDC"/>
    <w:rsid w:val="00320F33"/>
    <w:rsid w:val="00321076"/>
    <w:rsid w:val="003210F8"/>
    <w:rsid w:val="00321118"/>
    <w:rsid w:val="00321399"/>
    <w:rsid w:val="0032160D"/>
    <w:rsid w:val="00321769"/>
    <w:rsid w:val="003218AD"/>
    <w:rsid w:val="00321AA3"/>
    <w:rsid w:val="00321B3F"/>
    <w:rsid w:val="00321BED"/>
    <w:rsid w:val="00321D36"/>
    <w:rsid w:val="00321DF1"/>
    <w:rsid w:val="00321E83"/>
    <w:rsid w:val="00321EA2"/>
    <w:rsid w:val="0032209A"/>
    <w:rsid w:val="00322288"/>
    <w:rsid w:val="003223EC"/>
    <w:rsid w:val="0032246A"/>
    <w:rsid w:val="00322738"/>
    <w:rsid w:val="0032276C"/>
    <w:rsid w:val="00322836"/>
    <w:rsid w:val="0032294D"/>
    <w:rsid w:val="00322959"/>
    <w:rsid w:val="003233D8"/>
    <w:rsid w:val="003233F3"/>
    <w:rsid w:val="003234AB"/>
    <w:rsid w:val="00323675"/>
    <w:rsid w:val="00323698"/>
    <w:rsid w:val="003237A6"/>
    <w:rsid w:val="00323A7E"/>
    <w:rsid w:val="00323AFC"/>
    <w:rsid w:val="00323E03"/>
    <w:rsid w:val="00324016"/>
    <w:rsid w:val="00324119"/>
    <w:rsid w:val="003245FF"/>
    <w:rsid w:val="00324BEB"/>
    <w:rsid w:val="0032518A"/>
    <w:rsid w:val="0032518C"/>
    <w:rsid w:val="00325239"/>
    <w:rsid w:val="0032530B"/>
    <w:rsid w:val="003253AE"/>
    <w:rsid w:val="00325604"/>
    <w:rsid w:val="0032565D"/>
    <w:rsid w:val="00325B73"/>
    <w:rsid w:val="00325BD1"/>
    <w:rsid w:val="00325C82"/>
    <w:rsid w:val="00325E8C"/>
    <w:rsid w:val="00325E8E"/>
    <w:rsid w:val="00326077"/>
    <w:rsid w:val="003260BA"/>
    <w:rsid w:val="0032620A"/>
    <w:rsid w:val="003262A1"/>
    <w:rsid w:val="00326379"/>
    <w:rsid w:val="00326415"/>
    <w:rsid w:val="0032642C"/>
    <w:rsid w:val="00326430"/>
    <w:rsid w:val="0032660B"/>
    <w:rsid w:val="003266D0"/>
    <w:rsid w:val="00326A5F"/>
    <w:rsid w:val="00326B98"/>
    <w:rsid w:val="00326C28"/>
    <w:rsid w:val="00326DA5"/>
    <w:rsid w:val="00326F5B"/>
    <w:rsid w:val="003270AA"/>
    <w:rsid w:val="00327387"/>
    <w:rsid w:val="00327592"/>
    <w:rsid w:val="0032768E"/>
    <w:rsid w:val="003277A8"/>
    <w:rsid w:val="003277BC"/>
    <w:rsid w:val="00327C99"/>
    <w:rsid w:val="00327DAC"/>
    <w:rsid w:val="00327E5B"/>
    <w:rsid w:val="00327F4E"/>
    <w:rsid w:val="00327F7F"/>
    <w:rsid w:val="00330110"/>
    <w:rsid w:val="00330442"/>
    <w:rsid w:val="00330474"/>
    <w:rsid w:val="003305B4"/>
    <w:rsid w:val="00330844"/>
    <w:rsid w:val="003308E7"/>
    <w:rsid w:val="00330A39"/>
    <w:rsid w:val="00330A64"/>
    <w:rsid w:val="00330C4C"/>
    <w:rsid w:val="00330F07"/>
    <w:rsid w:val="00330F21"/>
    <w:rsid w:val="00331147"/>
    <w:rsid w:val="003311F9"/>
    <w:rsid w:val="00331A9E"/>
    <w:rsid w:val="00331B76"/>
    <w:rsid w:val="00331CB5"/>
    <w:rsid w:val="00331F3F"/>
    <w:rsid w:val="00331FB9"/>
    <w:rsid w:val="00331FBE"/>
    <w:rsid w:val="00331FEF"/>
    <w:rsid w:val="00332B43"/>
    <w:rsid w:val="00332DE3"/>
    <w:rsid w:val="00332E2D"/>
    <w:rsid w:val="00333054"/>
    <w:rsid w:val="00333165"/>
    <w:rsid w:val="00333249"/>
    <w:rsid w:val="003333D4"/>
    <w:rsid w:val="00333446"/>
    <w:rsid w:val="0033355F"/>
    <w:rsid w:val="003338CB"/>
    <w:rsid w:val="00333A79"/>
    <w:rsid w:val="00333B44"/>
    <w:rsid w:val="00333F64"/>
    <w:rsid w:val="00333FAC"/>
    <w:rsid w:val="00333FD5"/>
    <w:rsid w:val="0033410E"/>
    <w:rsid w:val="00334147"/>
    <w:rsid w:val="003341F2"/>
    <w:rsid w:val="003342AE"/>
    <w:rsid w:val="00334647"/>
    <w:rsid w:val="00334AFA"/>
    <w:rsid w:val="00334D9B"/>
    <w:rsid w:val="00334DA9"/>
    <w:rsid w:val="00334DFA"/>
    <w:rsid w:val="0033514E"/>
    <w:rsid w:val="00335330"/>
    <w:rsid w:val="003358E6"/>
    <w:rsid w:val="003359FC"/>
    <w:rsid w:val="00335A6F"/>
    <w:rsid w:val="00335B21"/>
    <w:rsid w:val="00335B98"/>
    <w:rsid w:val="00335BE2"/>
    <w:rsid w:val="00335CB4"/>
    <w:rsid w:val="00335D61"/>
    <w:rsid w:val="0033605F"/>
    <w:rsid w:val="003360DD"/>
    <w:rsid w:val="0033623D"/>
    <w:rsid w:val="003362A8"/>
    <w:rsid w:val="00336355"/>
    <w:rsid w:val="00336586"/>
    <w:rsid w:val="00336703"/>
    <w:rsid w:val="0033676D"/>
    <w:rsid w:val="0033683B"/>
    <w:rsid w:val="003368E4"/>
    <w:rsid w:val="00336A46"/>
    <w:rsid w:val="00336AAC"/>
    <w:rsid w:val="00336AF5"/>
    <w:rsid w:val="00336C51"/>
    <w:rsid w:val="00336E3E"/>
    <w:rsid w:val="00336F2F"/>
    <w:rsid w:val="00337012"/>
    <w:rsid w:val="003371B6"/>
    <w:rsid w:val="003371C6"/>
    <w:rsid w:val="00337361"/>
    <w:rsid w:val="0033739C"/>
    <w:rsid w:val="003373AA"/>
    <w:rsid w:val="0033744C"/>
    <w:rsid w:val="00337467"/>
    <w:rsid w:val="0033780F"/>
    <w:rsid w:val="0033789E"/>
    <w:rsid w:val="0034000A"/>
    <w:rsid w:val="00340168"/>
    <w:rsid w:val="00340178"/>
    <w:rsid w:val="00340585"/>
    <w:rsid w:val="0034074B"/>
    <w:rsid w:val="0034095C"/>
    <w:rsid w:val="00340CE0"/>
    <w:rsid w:val="00340DDA"/>
    <w:rsid w:val="00340E06"/>
    <w:rsid w:val="0034100A"/>
    <w:rsid w:val="00341100"/>
    <w:rsid w:val="00341662"/>
    <w:rsid w:val="00341962"/>
    <w:rsid w:val="00341A21"/>
    <w:rsid w:val="00341AE5"/>
    <w:rsid w:val="00341F1A"/>
    <w:rsid w:val="00341FB5"/>
    <w:rsid w:val="00342255"/>
    <w:rsid w:val="003423CD"/>
    <w:rsid w:val="00342853"/>
    <w:rsid w:val="003428E9"/>
    <w:rsid w:val="003429DF"/>
    <w:rsid w:val="003429E9"/>
    <w:rsid w:val="00342D1C"/>
    <w:rsid w:val="00342E6C"/>
    <w:rsid w:val="00342FE8"/>
    <w:rsid w:val="00342FF8"/>
    <w:rsid w:val="003430C1"/>
    <w:rsid w:val="003430D8"/>
    <w:rsid w:val="00343426"/>
    <w:rsid w:val="00343654"/>
    <w:rsid w:val="00343A20"/>
    <w:rsid w:val="00343A94"/>
    <w:rsid w:val="00343D4E"/>
    <w:rsid w:val="00343D93"/>
    <w:rsid w:val="00343D95"/>
    <w:rsid w:val="00343DB1"/>
    <w:rsid w:val="003440B8"/>
    <w:rsid w:val="003440F2"/>
    <w:rsid w:val="00344296"/>
    <w:rsid w:val="00344471"/>
    <w:rsid w:val="00344D70"/>
    <w:rsid w:val="00344FF3"/>
    <w:rsid w:val="00345086"/>
    <w:rsid w:val="003450BD"/>
    <w:rsid w:val="0034516A"/>
    <w:rsid w:val="003452D1"/>
    <w:rsid w:val="00345338"/>
    <w:rsid w:val="003453D1"/>
    <w:rsid w:val="0034554E"/>
    <w:rsid w:val="00345721"/>
    <w:rsid w:val="00346B29"/>
    <w:rsid w:val="00346CFF"/>
    <w:rsid w:val="003473F9"/>
    <w:rsid w:val="00347499"/>
    <w:rsid w:val="003475E2"/>
    <w:rsid w:val="0034786B"/>
    <w:rsid w:val="00347A69"/>
    <w:rsid w:val="0034C22E"/>
    <w:rsid w:val="00350022"/>
    <w:rsid w:val="00350068"/>
    <w:rsid w:val="0035009E"/>
    <w:rsid w:val="003501D7"/>
    <w:rsid w:val="00350519"/>
    <w:rsid w:val="00350586"/>
    <w:rsid w:val="003505DC"/>
    <w:rsid w:val="0035061F"/>
    <w:rsid w:val="00350622"/>
    <w:rsid w:val="0035073C"/>
    <w:rsid w:val="00350754"/>
    <w:rsid w:val="0035078E"/>
    <w:rsid w:val="00350AD9"/>
    <w:rsid w:val="00350C50"/>
    <w:rsid w:val="00350F6B"/>
    <w:rsid w:val="00351169"/>
    <w:rsid w:val="00351371"/>
    <w:rsid w:val="00351380"/>
    <w:rsid w:val="003514FE"/>
    <w:rsid w:val="003515E1"/>
    <w:rsid w:val="003516B4"/>
    <w:rsid w:val="0035175D"/>
    <w:rsid w:val="00351CF6"/>
    <w:rsid w:val="00351D2D"/>
    <w:rsid w:val="00352025"/>
    <w:rsid w:val="00352161"/>
    <w:rsid w:val="0035229F"/>
    <w:rsid w:val="00352469"/>
    <w:rsid w:val="003528B6"/>
    <w:rsid w:val="00352B69"/>
    <w:rsid w:val="00352BB4"/>
    <w:rsid w:val="00352BB9"/>
    <w:rsid w:val="00352C3E"/>
    <w:rsid w:val="00352CDF"/>
    <w:rsid w:val="00352D43"/>
    <w:rsid w:val="00353097"/>
    <w:rsid w:val="003536F7"/>
    <w:rsid w:val="00353C07"/>
    <w:rsid w:val="00353C70"/>
    <w:rsid w:val="00353E5B"/>
    <w:rsid w:val="00354021"/>
    <w:rsid w:val="00354543"/>
    <w:rsid w:val="003546E0"/>
    <w:rsid w:val="003546FB"/>
    <w:rsid w:val="0035480B"/>
    <w:rsid w:val="003549FC"/>
    <w:rsid w:val="00354A04"/>
    <w:rsid w:val="00354A2B"/>
    <w:rsid w:val="00354B94"/>
    <w:rsid w:val="00354C09"/>
    <w:rsid w:val="00354F05"/>
    <w:rsid w:val="00354FF7"/>
    <w:rsid w:val="00355455"/>
    <w:rsid w:val="0035545E"/>
    <w:rsid w:val="003556D2"/>
    <w:rsid w:val="003557C1"/>
    <w:rsid w:val="00355B43"/>
    <w:rsid w:val="00355C76"/>
    <w:rsid w:val="00355E5E"/>
    <w:rsid w:val="00355E81"/>
    <w:rsid w:val="00356173"/>
    <w:rsid w:val="003566AA"/>
    <w:rsid w:val="003566C5"/>
    <w:rsid w:val="0035699A"/>
    <w:rsid w:val="00356C12"/>
    <w:rsid w:val="00356D97"/>
    <w:rsid w:val="00356FE9"/>
    <w:rsid w:val="003571CE"/>
    <w:rsid w:val="003572D7"/>
    <w:rsid w:val="00357315"/>
    <w:rsid w:val="00357354"/>
    <w:rsid w:val="003574E9"/>
    <w:rsid w:val="00357734"/>
    <w:rsid w:val="00357800"/>
    <w:rsid w:val="00357924"/>
    <w:rsid w:val="00357A2E"/>
    <w:rsid w:val="00357A61"/>
    <w:rsid w:val="00357C5B"/>
    <w:rsid w:val="003601B8"/>
    <w:rsid w:val="003605BD"/>
    <w:rsid w:val="0036066E"/>
    <w:rsid w:val="0036075E"/>
    <w:rsid w:val="00360A57"/>
    <w:rsid w:val="00360D0F"/>
    <w:rsid w:val="00360DFE"/>
    <w:rsid w:val="00360E2A"/>
    <w:rsid w:val="00360F19"/>
    <w:rsid w:val="00360FE8"/>
    <w:rsid w:val="00361195"/>
    <w:rsid w:val="00361199"/>
    <w:rsid w:val="00361483"/>
    <w:rsid w:val="003618BB"/>
    <w:rsid w:val="0036194D"/>
    <w:rsid w:val="00361AF5"/>
    <w:rsid w:val="00361F75"/>
    <w:rsid w:val="0036226A"/>
    <w:rsid w:val="003622B5"/>
    <w:rsid w:val="003622B9"/>
    <w:rsid w:val="003622D1"/>
    <w:rsid w:val="00362313"/>
    <w:rsid w:val="003623D5"/>
    <w:rsid w:val="003623F3"/>
    <w:rsid w:val="003624E3"/>
    <w:rsid w:val="00362606"/>
    <w:rsid w:val="0036285B"/>
    <w:rsid w:val="003628D5"/>
    <w:rsid w:val="00362AEC"/>
    <w:rsid w:val="00362F1E"/>
    <w:rsid w:val="00362F6A"/>
    <w:rsid w:val="00362F92"/>
    <w:rsid w:val="00363011"/>
    <w:rsid w:val="00363137"/>
    <w:rsid w:val="003631C6"/>
    <w:rsid w:val="003632FA"/>
    <w:rsid w:val="003633AE"/>
    <w:rsid w:val="003634C8"/>
    <w:rsid w:val="00363632"/>
    <w:rsid w:val="003637A2"/>
    <w:rsid w:val="00363848"/>
    <w:rsid w:val="003638DB"/>
    <w:rsid w:val="00363A68"/>
    <w:rsid w:val="00363EAC"/>
    <w:rsid w:val="0036421F"/>
    <w:rsid w:val="00364547"/>
    <w:rsid w:val="0036456B"/>
    <w:rsid w:val="003645C3"/>
    <w:rsid w:val="0036470A"/>
    <w:rsid w:val="00364938"/>
    <w:rsid w:val="00364975"/>
    <w:rsid w:val="00364A36"/>
    <w:rsid w:val="00364A4F"/>
    <w:rsid w:val="00364BBD"/>
    <w:rsid w:val="00364CB1"/>
    <w:rsid w:val="00364D86"/>
    <w:rsid w:val="00364E13"/>
    <w:rsid w:val="00364EE4"/>
    <w:rsid w:val="00364F7A"/>
    <w:rsid w:val="00364F7C"/>
    <w:rsid w:val="00365171"/>
    <w:rsid w:val="00365192"/>
    <w:rsid w:val="0036526C"/>
    <w:rsid w:val="0036529D"/>
    <w:rsid w:val="00365422"/>
    <w:rsid w:val="003654A8"/>
    <w:rsid w:val="00365815"/>
    <w:rsid w:val="00365B57"/>
    <w:rsid w:val="00365C05"/>
    <w:rsid w:val="00365CC2"/>
    <w:rsid w:val="00365D40"/>
    <w:rsid w:val="00365E4A"/>
    <w:rsid w:val="00366198"/>
    <w:rsid w:val="0036655A"/>
    <w:rsid w:val="003665ED"/>
    <w:rsid w:val="0036665E"/>
    <w:rsid w:val="0036668B"/>
    <w:rsid w:val="0036684C"/>
    <w:rsid w:val="00366900"/>
    <w:rsid w:val="00366901"/>
    <w:rsid w:val="00366945"/>
    <w:rsid w:val="00366AC1"/>
    <w:rsid w:val="00366D7F"/>
    <w:rsid w:val="00366EDD"/>
    <w:rsid w:val="003670E3"/>
    <w:rsid w:val="00367289"/>
    <w:rsid w:val="003672D5"/>
    <w:rsid w:val="003674B7"/>
    <w:rsid w:val="003679CE"/>
    <w:rsid w:val="00367A87"/>
    <w:rsid w:val="00367BF5"/>
    <w:rsid w:val="00367C7B"/>
    <w:rsid w:val="00367EDD"/>
    <w:rsid w:val="00370061"/>
    <w:rsid w:val="0037015F"/>
    <w:rsid w:val="0037058D"/>
    <w:rsid w:val="00370661"/>
    <w:rsid w:val="003706E3"/>
    <w:rsid w:val="003707F2"/>
    <w:rsid w:val="003708F4"/>
    <w:rsid w:val="00370A77"/>
    <w:rsid w:val="00370AA8"/>
    <w:rsid w:val="00370AB5"/>
    <w:rsid w:val="00370DBE"/>
    <w:rsid w:val="0037107F"/>
    <w:rsid w:val="00371340"/>
    <w:rsid w:val="00371372"/>
    <w:rsid w:val="00371405"/>
    <w:rsid w:val="003714B7"/>
    <w:rsid w:val="003714E3"/>
    <w:rsid w:val="0037152B"/>
    <w:rsid w:val="003718F6"/>
    <w:rsid w:val="00371BAF"/>
    <w:rsid w:val="00371CCD"/>
    <w:rsid w:val="00371CEF"/>
    <w:rsid w:val="00371DBB"/>
    <w:rsid w:val="00371F90"/>
    <w:rsid w:val="00371FAB"/>
    <w:rsid w:val="00372084"/>
    <w:rsid w:val="00372400"/>
    <w:rsid w:val="0037292D"/>
    <w:rsid w:val="00372A16"/>
    <w:rsid w:val="00372A77"/>
    <w:rsid w:val="00372FF9"/>
    <w:rsid w:val="003732C7"/>
    <w:rsid w:val="00373383"/>
    <w:rsid w:val="0037351E"/>
    <w:rsid w:val="00373608"/>
    <w:rsid w:val="0037364B"/>
    <w:rsid w:val="00373B6C"/>
    <w:rsid w:val="00373BAA"/>
    <w:rsid w:val="00373C8A"/>
    <w:rsid w:val="00373D61"/>
    <w:rsid w:val="00374405"/>
    <w:rsid w:val="00374583"/>
    <w:rsid w:val="003745B5"/>
    <w:rsid w:val="0037473C"/>
    <w:rsid w:val="0037477F"/>
    <w:rsid w:val="00374820"/>
    <w:rsid w:val="00374906"/>
    <w:rsid w:val="00374989"/>
    <w:rsid w:val="00374A52"/>
    <w:rsid w:val="00374A9C"/>
    <w:rsid w:val="00374AE4"/>
    <w:rsid w:val="00374C47"/>
    <w:rsid w:val="0037508D"/>
    <w:rsid w:val="0037517F"/>
    <w:rsid w:val="00375935"/>
    <w:rsid w:val="00375961"/>
    <w:rsid w:val="00375C3B"/>
    <w:rsid w:val="00375C9F"/>
    <w:rsid w:val="00375CF3"/>
    <w:rsid w:val="00375E2A"/>
    <w:rsid w:val="0037616D"/>
    <w:rsid w:val="00376A4F"/>
    <w:rsid w:val="00376DCE"/>
    <w:rsid w:val="00376DFE"/>
    <w:rsid w:val="00376EBA"/>
    <w:rsid w:val="0037705E"/>
    <w:rsid w:val="003772DC"/>
    <w:rsid w:val="003773C4"/>
    <w:rsid w:val="003775F9"/>
    <w:rsid w:val="003778D3"/>
    <w:rsid w:val="0037795B"/>
    <w:rsid w:val="00377A83"/>
    <w:rsid w:val="00377B87"/>
    <w:rsid w:val="00377CB5"/>
    <w:rsid w:val="003800F3"/>
    <w:rsid w:val="003802A9"/>
    <w:rsid w:val="003806CC"/>
    <w:rsid w:val="003806FF"/>
    <w:rsid w:val="00380802"/>
    <w:rsid w:val="003808C1"/>
    <w:rsid w:val="00380967"/>
    <w:rsid w:val="00380B10"/>
    <w:rsid w:val="00380D33"/>
    <w:rsid w:val="003811B6"/>
    <w:rsid w:val="003816ED"/>
    <w:rsid w:val="00381C67"/>
    <w:rsid w:val="00381CFC"/>
    <w:rsid w:val="00381E8F"/>
    <w:rsid w:val="00381FB4"/>
    <w:rsid w:val="003821FB"/>
    <w:rsid w:val="00382524"/>
    <w:rsid w:val="00382532"/>
    <w:rsid w:val="003825ED"/>
    <w:rsid w:val="0038265F"/>
    <w:rsid w:val="0038290D"/>
    <w:rsid w:val="0038296B"/>
    <w:rsid w:val="0038297A"/>
    <w:rsid w:val="00382E4D"/>
    <w:rsid w:val="00382F39"/>
    <w:rsid w:val="003830C1"/>
    <w:rsid w:val="0038358A"/>
    <w:rsid w:val="003836B1"/>
    <w:rsid w:val="00383944"/>
    <w:rsid w:val="003839F6"/>
    <w:rsid w:val="00383A39"/>
    <w:rsid w:val="00383DBA"/>
    <w:rsid w:val="00383F25"/>
    <w:rsid w:val="00383FED"/>
    <w:rsid w:val="00384074"/>
    <w:rsid w:val="0038422E"/>
    <w:rsid w:val="003844F4"/>
    <w:rsid w:val="003844FD"/>
    <w:rsid w:val="00384654"/>
    <w:rsid w:val="0038465E"/>
    <w:rsid w:val="00384A28"/>
    <w:rsid w:val="00384A2E"/>
    <w:rsid w:val="00384DE2"/>
    <w:rsid w:val="00384F15"/>
    <w:rsid w:val="00384F4C"/>
    <w:rsid w:val="00385480"/>
    <w:rsid w:val="00385509"/>
    <w:rsid w:val="00385806"/>
    <w:rsid w:val="003858C5"/>
    <w:rsid w:val="0038596F"/>
    <w:rsid w:val="00385A48"/>
    <w:rsid w:val="00385BA6"/>
    <w:rsid w:val="00385D11"/>
    <w:rsid w:val="0038607F"/>
    <w:rsid w:val="0038636C"/>
    <w:rsid w:val="003863CE"/>
    <w:rsid w:val="00386400"/>
    <w:rsid w:val="0038642F"/>
    <w:rsid w:val="0038652A"/>
    <w:rsid w:val="00386549"/>
    <w:rsid w:val="003866D1"/>
    <w:rsid w:val="0038690B"/>
    <w:rsid w:val="003869B9"/>
    <w:rsid w:val="00386B11"/>
    <w:rsid w:val="00386DC7"/>
    <w:rsid w:val="00386ED6"/>
    <w:rsid w:val="00386F66"/>
    <w:rsid w:val="003870E2"/>
    <w:rsid w:val="003873F4"/>
    <w:rsid w:val="00387427"/>
    <w:rsid w:val="0038743E"/>
    <w:rsid w:val="00387463"/>
    <w:rsid w:val="003874B9"/>
    <w:rsid w:val="003877BB"/>
    <w:rsid w:val="00387809"/>
    <w:rsid w:val="00387871"/>
    <w:rsid w:val="00387AE3"/>
    <w:rsid w:val="00387D02"/>
    <w:rsid w:val="00387F13"/>
    <w:rsid w:val="00387FCE"/>
    <w:rsid w:val="00387FF4"/>
    <w:rsid w:val="003900D7"/>
    <w:rsid w:val="00390365"/>
    <w:rsid w:val="003903B5"/>
    <w:rsid w:val="003903F1"/>
    <w:rsid w:val="0039092C"/>
    <w:rsid w:val="00390B19"/>
    <w:rsid w:val="00390C92"/>
    <w:rsid w:val="00390E79"/>
    <w:rsid w:val="003911BE"/>
    <w:rsid w:val="003911E0"/>
    <w:rsid w:val="0039122C"/>
    <w:rsid w:val="003919A7"/>
    <w:rsid w:val="00391B85"/>
    <w:rsid w:val="00391BCA"/>
    <w:rsid w:val="00391CE7"/>
    <w:rsid w:val="00391E00"/>
    <w:rsid w:val="00391FB6"/>
    <w:rsid w:val="00392037"/>
    <w:rsid w:val="003920C1"/>
    <w:rsid w:val="003922BC"/>
    <w:rsid w:val="00392344"/>
    <w:rsid w:val="003923DA"/>
    <w:rsid w:val="00392583"/>
    <w:rsid w:val="0039264F"/>
    <w:rsid w:val="003926CE"/>
    <w:rsid w:val="0039276B"/>
    <w:rsid w:val="00392918"/>
    <w:rsid w:val="00392BB8"/>
    <w:rsid w:val="00392FD9"/>
    <w:rsid w:val="0039302D"/>
    <w:rsid w:val="003930DC"/>
    <w:rsid w:val="0039317A"/>
    <w:rsid w:val="0039318C"/>
    <w:rsid w:val="00393591"/>
    <w:rsid w:val="0039364B"/>
    <w:rsid w:val="003937E8"/>
    <w:rsid w:val="00393AFB"/>
    <w:rsid w:val="00393B20"/>
    <w:rsid w:val="00393DFB"/>
    <w:rsid w:val="00394338"/>
    <w:rsid w:val="00394419"/>
    <w:rsid w:val="00394504"/>
    <w:rsid w:val="00394CB0"/>
    <w:rsid w:val="00394D6F"/>
    <w:rsid w:val="00395615"/>
    <w:rsid w:val="00395781"/>
    <w:rsid w:val="0039596A"/>
    <w:rsid w:val="003959B1"/>
    <w:rsid w:val="00395B08"/>
    <w:rsid w:val="00395B92"/>
    <w:rsid w:val="00395BF1"/>
    <w:rsid w:val="00395E3B"/>
    <w:rsid w:val="00395E9A"/>
    <w:rsid w:val="00395F6E"/>
    <w:rsid w:val="00395FCF"/>
    <w:rsid w:val="003963C7"/>
    <w:rsid w:val="003963D4"/>
    <w:rsid w:val="00396541"/>
    <w:rsid w:val="003967D5"/>
    <w:rsid w:val="003969CF"/>
    <w:rsid w:val="00396AE0"/>
    <w:rsid w:val="00396C79"/>
    <w:rsid w:val="00396D27"/>
    <w:rsid w:val="00396FF4"/>
    <w:rsid w:val="00397081"/>
    <w:rsid w:val="003970E4"/>
    <w:rsid w:val="00397173"/>
    <w:rsid w:val="00397716"/>
    <w:rsid w:val="00397903"/>
    <w:rsid w:val="003979A1"/>
    <w:rsid w:val="0039AB64"/>
    <w:rsid w:val="003A01A1"/>
    <w:rsid w:val="003A04A1"/>
    <w:rsid w:val="003A04F9"/>
    <w:rsid w:val="003A0565"/>
    <w:rsid w:val="003A0B2E"/>
    <w:rsid w:val="003A0C4B"/>
    <w:rsid w:val="003A0FA5"/>
    <w:rsid w:val="003A1030"/>
    <w:rsid w:val="003A12D9"/>
    <w:rsid w:val="003A1782"/>
    <w:rsid w:val="003A18C8"/>
    <w:rsid w:val="003A193F"/>
    <w:rsid w:val="003A1AEA"/>
    <w:rsid w:val="003A1DE9"/>
    <w:rsid w:val="003A2040"/>
    <w:rsid w:val="003A2060"/>
    <w:rsid w:val="003A2098"/>
    <w:rsid w:val="003A2111"/>
    <w:rsid w:val="003A2215"/>
    <w:rsid w:val="003A2420"/>
    <w:rsid w:val="003A2825"/>
    <w:rsid w:val="003A2B28"/>
    <w:rsid w:val="003A2B85"/>
    <w:rsid w:val="003A2E20"/>
    <w:rsid w:val="003A2E66"/>
    <w:rsid w:val="003A2FA3"/>
    <w:rsid w:val="003A3179"/>
    <w:rsid w:val="003A3643"/>
    <w:rsid w:val="003A367F"/>
    <w:rsid w:val="003A3A44"/>
    <w:rsid w:val="003A3E4D"/>
    <w:rsid w:val="003A3EED"/>
    <w:rsid w:val="003A40C3"/>
    <w:rsid w:val="003A4312"/>
    <w:rsid w:val="003A4317"/>
    <w:rsid w:val="003A431D"/>
    <w:rsid w:val="003A44C4"/>
    <w:rsid w:val="003A44E6"/>
    <w:rsid w:val="003A4AAA"/>
    <w:rsid w:val="003A4BD0"/>
    <w:rsid w:val="003A4D2B"/>
    <w:rsid w:val="003A4DA7"/>
    <w:rsid w:val="003A4DC0"/>
    <w:rsid w:val="003A50C4"/>
    <w:rsid w:val="003A53AE"/>
    <w:rsid w:val="003A54FE"/>
    <w:rsid w:val="003A57E2"/>
    <w:rsid w:val="003A599C"/>
    <w:rsid w:val="003A59F6"/>
    <w:rsid w:val="003A5CD0"/>
    <w:rsid w:val="003A5E4D"/>
    <w:rsid w:val="003A6211"/>
    <w:rsid w:val="003A62B1"/>
    <w:rsid w:val="003A646F"/>
    <w:rsid w:val="003A6507"/>
    <w:rsid w:val="003A667F"/>
    <w:rsid w:val="003A6887"/>
    <w:rsid w:val="003A694B"/>
    <w:rsid w:val="003A6974"/>
    <w:rsid w:val="003A6A29"/>
    <w:rsid w:val="003A6B87"/>
    <w:rsid w:val="003A6BD2"/>
    <w:rsid w:val="003A6FBF"/>
    <w:rsid w:val="003A72CA"/>
    <w:rsid w:val="003A73F5"/>
    <w:rsid w:val="003A759E"/>
    <w:rsid w:val="003A7820"/>
    <w:rsid w:val="003A7919"/>
    <w:rsid w:val="003A7AC3"/>
    <w:rsid w:val="003A7D56"/>
    <w:rsid w:val="003A7EE5"/>
    <w:rsid w:val="003B0059"/>
    <w:rsid w:val="003B0195"/>
    <w:rsid w:val="003B01C3"/>
    <w:rsid w:val="003B0226"/>
    <w:rsid w:val="003B0271"/>
    <w:rsid w:val="003B04F3"/>
    <w:rsid w:val="003B0654"/>
    <w:rsid w:val="003B0720"/>
    <w:rsid w:val="003B077A"/>
    <w:rsid w:val="003B0862"/>
    <w:rsid w:val="003B095B"/>
    <w:rsid w:val="003B0CDC"/>
    <w:rsid w:val="003B0D60"/>
    <w:rsid w:val="003B0E0C"/>
    <w:rsid w:val="003B1248"/>
    <w:rsid w:val="003B13AF"/>
    <w:rsid w:val="003B16C9"/>
    <w:rsid w:val="003B17C0"/>
    <w:rsid w:val="003B1B03"/>
    <w:rsid w:val="003B1CDB"/>
    <w:rsid w:val="003B1CE0"/>
    <w:rsid w:val="003B1D96"/>
    <w:rsid w:val="003B1FAC"/>
    <w:rsid w:val="003B1FDA"/>
    <w:rsid w:val="003B23FE"/>
    <w:rsid w:val="003B252A"/>
    <w:rsid w:val="003B2C3C"/>
    <w:rsid w:val="003B2C5D"/>
    <w:rsid w:val="003B2D93"/>
    <w:rsid w:val="003B2EAE"/>
    <w:rsid w:val="003B30EA"/>
    <w:rsid w:val="003B3169"/>
    <w:rsid w:val="003B3342"/>
    <w:rsid w:val="003B35BA"/>
    <w:rsid w:val="003B3627"/>
    <w:rsid w:val="003B374A"/>
    <w:rsid w:val="003B3778"/>
    <w:rsid w:val="003B3867"/>
    <w:rsid w:val="003B3B13"/>
    <w:rsid w:val="003B3EAA"/>
    <w:rsid w:val="003B3F8F"/>
    <w:rsid w:val="003B42D2"/>
    <w:rsid w:val="003B43EA"/>
    <w:rsid w:val="003B4688"/>
    <w:rsid w:val="003B471A"/>
    <w:rsid w:val="003B4B4A"/>
    <w:rsid w:val="003B4BA2"/>
    <w:rsid w:val="003B4E44"/>
    <w:rsid w:val="003B4F75"/>
    <w:rsid w:val="003B51F5"/>
    <w:rsid w:val="003B5201"/>
    <w:rsid w:val="003B5220"/>
    <w:rsid w:val="003B5752"/>
    <w:rsid w:val="003B5814"/>
    <w:rsid w:val="003B5B34"/>
    <w:rsid w:val="003B5B62"/>
    <w:rsid w:val="003B5BA7"/>
    <w:rsid w:val="003B5CFA"/>
    <w:rsid w:val="003B5EC8"/>
    <w:rsid w:val="003B5F93"/>
    <w:rsid w:val="003B6131"/>
    <w:rsid w:val="003B6194"/>
    <w:rsid w:val="003B62DA"/>
    <w:rsid w:val="003B65EC"/>
    <w:rsid w:val="003B6861"/>
    <w:rsid w:val="003B6A9B"/>
    <w:rsid w:val="003B6B84"/>
    <w:rsid w:val="003B6C7E"/>
    <w:rsid w:val="003B6DE5"/>
    <w:rsid w:val="003B7078"/>
    <w:rsid w:val="003B713A"/>
    <w:rsid w:val="003B7218"/>
    <w:rsid w:val="003B721F"/>
    <w:rsid w:val="003B7266"/>
    <w:rsid w:val="003B734A"/>
    <w:rsid w:val="003B73BE"/>
    <w:rsid w:val="003B7460"/>
    <w:rsid w:val="003B74E9"/>
    <w:rsid w:val="003B76E4"/>
    <w:rsid w:val="003B77A9"/>
    <w:rsid w:val="003B79D3"/>
    <w:rsid w:val="003B7B7A"/>
    <w:rsid w:val="003B7BA1"/>
    <w:rsid w:val="003B7D46"/>
    <w:rsid w:val="003C025B"/>
    <w:rsid w:val="003C02C9"/>
    <w:rsid w:val="003C0314"/>
    <w:rsid w:val="003C03F8"/>
    <w:rsid w:val="003C04B5"/>
    <w:rsid w:val="003C0687"/>
    <w:rsid w:val="003C06AB"/>
    <w:rsid w:val="003C0E4A"/>
    <w:rsid w:val="003C101E"/>
    <w:rsid w:val="003C12B3"/>
    <w:rsid w:val="003C12C5"/>
    <w:rsid w:val="003C17CD"/>
    <w:rsid w:val="003C1811"/>
    <w:rsid w:val="003C1EFF"/>
    <w:rsid w:val="003C1FEA"/>
    <w:rsid w:val="003C2757"/>
    <w:rsid w:val="003C2799"/>
    <w:rsid w:val="003C2851"/>
    <w:rsid w:val="003C29F3"/>
    <w:rsid w:val="003C2B4A"/>
    <w:rsid w:val="003C2D2E"/>
    <w:rsid w:val="003C2FA2"/>
    <w:rsid w:val="003C3034"/>
    <w:rsid w:val="003C385A"/>
    <w:rsid w:val="003C3968"/>
    <w:rsid w:val="003C39A0"/>
    <w:rsid w:val="003C3BB0"/>
    <w:rsid w:val="003C3E41"/>
    <w:rsid w:val="003C3EA7"/>
    <w:rsid w:val="003C4139"/>
    <w:rsid w:val="003C420F"/>
    <w:rsid w:val="003C448D"/>
    <w:rsid w:val="003C4583"/>
    <w:rsid w:val="003C45D0"/>
    <w:rsid w:val="003C4902"/>
    <w:rsid w:val="003C4918"/>
    <w:rsid w:val="003C4960"/>
    <w:rsid w:val="003C4AC3"/>
    <w:rsid w:val="003C4BC2"/>
    <w:rsid w:val="003C50C5"/>
    <w:rsid w:val="003C531B"/>
    <w:rsid w:val="003C5606"/>
    <w:rsid w:val="003C58D3"/>
    <w:rsid w:val="003C5995"/>
    <w:rsid w:val="003C5AFA"/>
    <w:rsid w:val="003C5B57"/>
    <w:rsid w:val="003C5E1B"/>
    <w:rsid w:val="003C5E28"/>
    <w:rsid w:val="003C5FF0"/>
    <w:rsid w:val="003C6036"/>
    <w:rsid w:val="003C6051"/>
    <w:rsid w:val="003C60C5"/>
    <w:rsid w:val="003C6227"/>
    <w:rsid w:val="003C6294"/>
    <w:rsid w:val="003C6450"/>
    <w:rsid w:val="003C64EE"/>
    <w:rsid w:val="003C651D"/>
    <w:rsid w:val="003C6591"/>
    <w:rsid w:val="003C69DC"/>
    <w:rsid w:val="003C6A36"/>
    <w:rsid w:val="003C6A99"/>
    <w:rsid w:val="003C6B76"/>
    <w:rsid w:val="003C6D9F"/>
    <w:rsid w:val="003C718E"/>
    <w:rsid w:val="003C76CA"/>
    <w:rsid w:val="003C78B0"/>
    <w:rsid w:val="003C7B12"/>
    <w:rsid w:val="003C7B2E"/>
    <w:rsid w:val="003C7C18"/>
    <w:rsid w:val="003C7D12"/>
    <w:rsid w:val="003C7D1F"/>
    <w:rsid w:val="003C7E0B"/>
    <w:rsid w:val="003C7FEE"/>
    <w:rsid w:val="003D00B7"/>
    <w:rsid w:val="003D0256"/>
    <w:rsid w:val="003D028C"/>
    <w:rsid w:val="003D031F"/>
    <w:rsid w:val="003D040A"/>
    <w:rsid w:val="003D07C8"/>
    <w:rsid w:val="003D09D9"/>
    <w:rsid w:val="003D0AA2"/>
    <w:rsid w:val="003D0BB8"/>
    <w:rsid w:val="003D12B4"/>
    <w:rsid w:val="003D1A18"/>
    <w:rsid w:val="003D1AB2"/>
    <w:rsid w:val="003D1B54"/>
    <w:rsid w:val="003D1B77"/>
    <w:rsid w:val="003D1D5C"/>
    <w:rsid w:val="003D211B"/>
    <w:rsid w:val="003D22A0"/>
    <w:rsid w:val="003D26B1"/>
    <w:rsid w:val="003D2810"/>
    <w:rsid w:val="003D2819"/>
    <w:rsid w:val="003D2911"/>
    <w:rsid w:val="003D2E25"/>
    <w:rsid w:val="003D34DE"/>
    <w:rsid w:val="003D354E"/>
    <w:rsid w:val="003D35B5"/>
    <w:rsid w:val="003D35E4"/>
    <w:rsid w:val="003D39FE"/>
    <w:rsid w:val="003D3B2F"/>
    <w:rsid w:val="003D3B7A"/>
    <w:rsid w:val="003D3BA6"/>
    <w:rsid w:val="003D3E60"/>
    <w:rsid w:val="003D4020"/>
    <w:rsid w:val="003D42CE"/>
    <w:rsid w:val="003D4459"/>
    <w:rsid w:val="003D4559"/>
    <w:rsid w:val="003D468A"/>
    <w:rsid w:val="003D4719"/>
    <w:rsid w:val="003D4983"/>
    <w:rsid w:val="003D4E49"/>
    <w:rsid w:val="003D50D7"/>
    <w:rsid w:val="003D528A"/>
    <w:rsid w:val="003D5503"/>
    <w:rsid w:val="003D5697"/>
    <w:rsid w:val="003D57DD"/>
    <w:rsid w:val="003D58B0"/>
    <w:rsid w:val="003D59E2"/>
    <w:rsid w:val="003D5D2E"/>
    <w:rsid w:val="003D5D5B"/>
    <w:rsid w:val="003D5E4A"/>
    <w:rsid w:val="003D6243"/>
    <w:rsid w:val="003D6648"/>
    <w:rsid w:val="003D66E3"/>
    <w:rsid w:val="003D670E"/>
    <w:rsid w:val="003D6B77"/>
    <w:rsid w:val="003D6DBC"/>
    <w:rsid w:val="003D6E73"/>
    <w:rsid w:val="003D6EB0"/>
    <w:rsid w:val="003D713C"/>
    <w:rsid w:val="003D7141"/>
    <w:rsid w:val="003D731C"/>
    <w:rsid w:val="003D75B0"/>
    <w:rsid w:val="003D79DE"/>
    <w:rsid w:val="003D79E4"/>
    <w:rsid w:val="003D79F8"/>
    <w:rsid w:val="003D7ADD"/>
    <w:rsid w:val="003D7D10"/>
    <w:rsid w:val="003D7DB5"/>
    <w:rsid w:val="003D7E13"/>
    <w:rsid w:val="003E0386"/>
    <w:rsid w:val="003E03EF"/>
    <w:rsid w:val="003E0550"/>
    <w:rsid w:val="003E06AF"/>
    <w:rsid w:val="003E0705"/>
    <w:rsid w:val="003E085E"/>
    <w:rsid w:val="003E0B2A"/>
    <w:rsid w:val="003E0B79"/>
    <w:rsid w:val="003E0C5F"/>
    <w:rsid w:val="003E0D9A"/>
    <w:rsid w:val="003E129D"/>
    <w:rsid w:val="003E14B5"/>
    <w:rsid w:val="003E17C4"/>
    <w:rsid w:val="003E1801"/>
    <w:rsid w:val="003E1883"/>
    <w:rsid w:val="003E1A79"/>
    <w:rsid w:val="003E1A8E"/>
    <w:rsid w:val="003E1D6A"/>
    <w:rsid w:val="003E1F11"/>
    <w:rsid w:val="003E1FC0"/>
    <w:rsid w:val="003E20A4"/>
    <w:rsid w:val="003E214E"/>
    <w:rsid w:val="003E2166"/>
    <w:rsid w:val="003E2424"/>
    <w:rsid w:val="003E2AA6"/>
    <w:rsid w:val="003E2B4F"/>
    <w:rsid w:val="003E2BC9"/>
    <w:rsid w:val="003E2C50"/>
    <w:rsid w:val="003E2EB5"/>
    <w:rsid w:val="003E30B4"/>
    <w:rsid w:val="003E31E5"/>
    <w:rsid w:val="003E32C5"/>
    <w:rsid w:val="003E3485"/>
    <w:rsid w:val="003E3566"/>
    <w:rsid w:val="003E3B59"/>
    <w:rsid w:val="003E3DD7"/>
    <w:rsid w:val="003E3EC7"/>
    <w:rsid w:val="003E43E4"/>
    <w:rsid w:val="003E4519"/>
    <w:rsid w:val="003E4616"/>
    <w:rsid w:val="003E4618"/>
    <w:rsid w:val="003E47C7"/>
    <w:rsid w:val="003E4A1E"/>
    <w:rsid w:val="003E4B22"/>
    <w:rsid w:val="003E4B47"/>
    <w:rsid w:val="003E4BCD"/>
    <w:rsid w:val="003E4FA9"/>
    <w:rsid w:val="003E4FAA"/>
    <w:rsid w:val="003E4FE3"/>
    <w:rsid w:val="003E519F"/>
    <w:rsid w:val="003E5273"/>
    <w:rsid w:val="003E52F2"/>
    <w:rsid w:val="003E5861"/>
    <w:rsid w:val="003E58D8"/>
    <w:rsid w:val="003E5BD9"/>
    <w:rsid w:val="003E5D43"/>
    <w:rsid w:val="003E5D6A"/>
    <w:rsid w:val="003E5F02"/>
    <w:rsid w:val="003E5F0A"/>
    <w:rsid w:val="003E648C"/>
    <w:rsid w:val="003E64E9"/>
    <w:rsid w:val="003E6564"/>
    <w:rsid w:val="003E670D"/>
    <w:rsid w:val="003E6764"/>
    <w:rsid w:val="003E6875"/>
    <w:rsid w:val="003E6932"/>
    <w:rsid w:val="003E69DF"/>
    <w:rsid w:val="003E6ABB"/>
    <w:rsid w:val="003E6B45"/>
    <w:rsid w:val="003E6C44"/>
    <w:rsid w:val="003E6F65"/>
    <w:rsid w:val="003E70B5"/>
    <w:rsid w:val="003E7287"/>
    <w:rsid w:val="003E749D"/>
    <w:rsid w:val="003E7674"/>
    <w:rsid w:val="003E77B0"/>
    <w:rsid w:val="003E7855"/>
    <w:rsid w:val="003E7C37"/>
    <w:rsid w:val="003E7D6D"/>
    <w:rsid w:val="003E7EDA"/>
    <w:rsid w:val="003E7F12"/>
    <w:rsid w:val="003E7F9A"/>
    <w:rsid w:val="003EF3DB"/>
    <w:rsid w:val="003F0111"/>
    <w:rsid w:val="003F0377"/>
    <w:rsid w:val="003F03B3"/>
    <w:rsid w:val="003F04CA"/>
    <w:rsid w:val="003F0528"/>
    <w:rsid w:val="003F054D"/>
    <w:rsid w:val="003F0582"/>
    <w:rsid w:val="003F07E1"/>
    <w:rsid w:val="003F0B68"/>
    <w:rsid w:val="003F0BA3"/>
    <w:rsid w:val="003F0C65"/>
    <w:rsid w:val="003F0E96"/>
    <w:rsid w:val="003F128A"/>
    <w:rsid w:val="003F169F"/>
    <w:rsid w:val="003F1912"/>
    <w:rsid w:val="003F198B"/>
    <w:rsid w:val="003F1A68"/>
    <w:rsid w:val="003F1D5E"/>
    <w:rsid w:val="003F1E65"/>
    <w:rsid w:val="003F1F44"/>
    <w:rsid w:val="003F24C7"/>
    <w:rsid w:val="003F25A4"/>
    <w:rsid w:val="003F25FD"/>
    <w:rsid w:val="003F269F"/>
    <w:rsid w:val="003F26B8"/>
    <w:rsid w:val="003F27AE"/>
    <w:rsid w:val="003F2909"/>
    <w:rsid w:val="003F2E9E"/>
    <w:rsid w:val="003F2EAB"/>
    <w:rsid w:val="003F30E1"/>
    <w:rsid w:val="003F33E2"/>
    <w:rsid w:val="003F3506"/>
    <w:rsid w:val="003F3674"/>
    <w:rsid w:val="003F38AD"/>
    <w:rsid w:val="003F38CC"/>
    <w:rsid w:val="003F390F"/>
    <w:rsid w:val="003F3B2F"/>
    <w:rsid w:val="003F3B43"/>
    <w:rsid w:val="003F3B7D"/>
    <w:rsid w:val="003F3C9A"/>
    <w:rsid w:val="003F3D9A"/>
    <w:rsid w:val="003F3ED4"/>
    <w:rsid w:val="003F3F6D"/>
    <w:rsid w:val="003F3FB9"/>
    <w:rsid w:val="003F4013"/>
    <w:rsid w:val="003F4073"/>
    <w:rsid w:val="003F4114"/>
    <w:rsid w:val="003F43D4"/>
    <w:rsid w:val="003F45C1"/>
    <w:rsid w:val="003F4881"/>
    <w:rsid w:val="003F499B"/>
    <w:rsid w:val="003F4F30"/>
    <w:rsid w:val="003F524A"/>
    <w:rsid w:val="003F53E5"/>
    <w:rsid w:val="003F5450"/>
    <w:rsid w:val="003F54C4"/>
    <w:rsid w:val="003F5731"/>
    <w:rsid w:val="003F5737"/>
    <w:rsid w:val="003F5783"/>
    <w:rsid w:val="003F5876"/>
    <w:rsid w:val="003F58A8"/>
    <w:rsid w:val="003F59C2"/>
    <w:rsid w:val="003F59F7"/>
    <w:rsid w:val="003F5ABF"/>
    <w:rsid w:val="003F5F09"/>
    <w:rsid w:val="003F6217"/>
    <w:rsid w:val="003F62D3"/>
    <w:rsid w:val="003F63E9"/>
    <w:rsid w:val="003F643E"/>
    <w:rsid w:val="003F65C2"/>
    <w:rsid w:val="003F663B"/>
    <w:rsid w:val="003F6752"/>
    <w:rsid w:val="003F67A2"/>
    <w:rsid w:val="003F6A60"/>
    <w:rsid w:val="003F6AA2"/>
    <w:rsid w:val="003F6BA3"/>
    <w:rsid w:val="003F6DC4"/>
    <w:rsid w:val="003F6DE8"/>
    <w:rsid w:val="003F7296"/>
    <w:rsid w:val="003F72F1"/>
    <w:rsid w:val="003F7449"/>
    <w:rsid w:val="003F765F"/>
    <w:rsid w:val="003F7768"/>
    <w:rsid w:val="003F79CE"/>
    <w:rsid w:val="003F7A32"/>
    <w:rsid w:val="003F7BE6"/>
    <w:rsid w:val="003F7DED"/>
    <w:rsid w:val="003F7F07"/>
    <w:rsid w:val="00400283"/>
    <w:rsid w:val="0040051C"/>
    <w:rsid w:val="0040056A"/>
    <w:rsid w:val="00400627"/>
    <w:rsid w:val="004006D3"/>
    <w:rsid w:val="004006E3"/>
    <w:rsid w:val="004006FB"/>
    <w:rsid w:val="00400DD8"/>
    <w:rsid w:val="00400EF6"/>
    <w:rsid w:val="004012CD"/>
    <w:rsid w:val="0040132E"/>
    <w:rsid w:val="0040134F"/>
    <w:rsid w:val="00401507"/>
    <w:rsid w:val="0040187F"/>
    <w:rsid w:val="004018A3"/>
    <w:rsid w:val="0040218F"/>
    <w:rsid w:val="004024B2"/>
    <w:rsid w:val="00402623"/>
    <w:rsid w:val="00402979"/>
    <w:rsid w:val="00402C25"/>
    <w:rsid w:val="00402C79"/>
    <w:rsid w:val="00402D09"/>
    <w:rsid w:val="00402E57"/>
    <w:rsid w:val="00402E61"/>
    <w:rsid w:val="00402FE7"/>
    <w:rsid w:val="00403097"/>
    <w:rsid w:val="004030F1"/>
    <w:rsid w:val="004032AB"/>
    <w:rsid w:val="00403427"/>
    <w:rsid w:val="004037E8"/>
    <w:rsid w:val="00403F6B"/>
    <w:rsid w:val="00403FF2"/>
    <w:rsid w:val="004041B9"/>
    <w:rsid w:val="004044A8"/>
    <w:rsid w:val="00404968"/>
    <w:rsid w:val="00404B9B"/>
    <w:rsid w:val="00404D4B"/>
    <w:rsid w:val="00404D63"/>
    <w:rsid w:val="00404DBE"/>
    <w:rsid w:val="00404ECA"/>
    <w:rsid w:val="00404F18"/>
    <w:rsid w:val="00404FB1"/>
    <w:rsid w:val="00405076"/>
    <w:rsid w:val="00405390"/>
    <w:rsid w:val="004054D3"/>
    <w:rsid w:val="0040554F"/>
    <w:rsid w:val="00405655"/>
    <w:rsid w:val="0040577D"/>
    <w:rsid w:val="0040578D"/>
    <w:rsid w:val="00405AF9"/>
    <w:rsid w:val="00405D3F"/>
    <w:rsid w:val="0040612D"/>
    <w:rsid w:val="00406209"/>
    <w:rsid w:val="00406257"/>
    <w:rsid w:val="00406315"/>
    <w:rsid w:val="00406378"/>
    <w:rsid w:val="0040643E"/>
    <w:rsid w:val="00406AE1"/>
    <w:rsid w:val="00406BCF"/>
    <w:rsid w:val="004075A3"/>
    <w:rsid w:val="004077B3"/>
    <w:rsid w:val="00407996"/>
    <w:rsid w:val="00407E2C"/>
    <w:rsid w:val="0041002E"/>
    <w:rsid w:val="00410122"/>
    <w:rsid w:val="004101F5"/>
    <w:rsid w:val="0041027E"/>
    <w:rsid w:val="00410531"/>
    <w:rsid w:val="00410614"/>
    <w:rsid w:val="00410790"/>
    <w:rsid w:val="0041095F"/>
    <w:rsid w:val="00410A3C"/>
    <w:rsid w:val="00410C95"/>
    <w:rsid w:val="00410CAF"/>
    <w:rsid w:val="00410CBB"/>
    <w:rsid w:val="004111C6"/>
    <w:rsid w:val="004113DE"/>
    <w:rsid w:val="0041148E"/>
    <w:rsid w:val="00411497"/>
    <w:rsid w:val="00411527"/>
    <w:rsid w:val="00411547"/>
    <w:rsid w:val="00411649"/>
    <w:rsid w:val="00411687"/>
    <w:rsid w:val="004117AE"/>
    <w:rsid w:val="00411885"/>
    <w:rsid w:val="00411A59"/>
    <w:rsid w:val="00411EDF"/>
    <w:rsid w:val="0041209B"/>
    <w:rsid w:val="0041220E"/>
    <w:rsid w:val="004124C7"/>
    <w:rsid w:val="004124E4"/>
    <w:rsid w:val="00412690"/>
    <w:rsid w:val="00412698"/>
    <w:rsid w:val="004127C6"/>
    <w:rsid w:val="004128A7"/>
    <w:rsid w:val="00412EC2"/>
    <w:rsid w:val="00412F12"/>
    <w:rsid w:val="004133BC"/>
    <w:rsid w:val="0041359A"/>
    <w:rsid w:val="00413724"/>
    <w:rsid w:val="00413F60"/>
    <w:rsid w:val="00414335"/>
    <w:rsid w:val="00414404"/>
    <w:rsid w:val="00414480"/>
    <w:rsid w:val="00414496"/>
    <w:rsid w:val="004144AD"/>
    <w:rsid w:val="004146BE"/>
    <w:rsid w:val="00414860"/>
    <w:rsid w:val="0041499F"/>
    <w:rsid w:val="00414B97"/>
    <w:rsid w:val="00414F5D"/>
    <w:rsid w:val="00415069"/>
    <w:rsid w:val="004152D3"/>
    <w:rsid w:val="004152F5"/>
    <w:rsid w:val="00415345"/>
    <w:rsid w:val="004159B3"/>
    <w:rsid w:val="00415AE3"/>
    <w:rsid w:val="00415BD3"/>
    <w:rsid w:val="00415D09"/>
    <w:rsid w:val="00415E07"/>
    <w:rsid w:val="00415EB4"/>
    <w:rsid w:val="00415FCB"/>
    <w:rsid w:val="004160D5"/>
    <w:rsid w:val="004162D4"/>
    <w:rsid w:val="0041648F"/>
    <w:rsid w:val="00416514"/>
    <w:rsid w:val="004165EA"/>
    <w:rsid w:val="0041671F"/>
    <w:rsid w:val="00416969"/>
    <w:rsid w:val="00416B13"/>
    <w:rsid w:val="00416B9F"/>
    <w:rsid w:val="00416E1E"/>
    <w:rsid w:val="00416E27"/>
    <w:rsid w:val="00416E3B"/>
    <w:rsid w:val="00416FAD"/>
    <w:rsid w:val="0041700D"/>
    <w:rsid w:val="00417382"/>
    <w:rsid w:val="0041745E"/>
    <w:rsid w:val="0041751D"/>
    <w:rsid w:val="00417591"/>
    <w:rsid w:val="00417981"/>
    <w:rsid w:val="004179B9"/>
    <w:rsid w:val="00417A73"/>
    <w:rsid w:val="00417A75"/>
    <w:rsid w:val="00417BDF"/>
    <w:rsid w:val="00420211"/>
    <w:rsid w:val="004203B6"/>
    <w:rsid w:val="00420453"/>
    <w:rsid w:val="004204B0"/>
    <w:rsid w:val="00420523"/>
    <w:rsid w:val="00420616"/>
    <w:rsid w:val="00420832"/>
    <w:rsid w:val="00420899"/>
    <w:rsid w:val="004209E9"/>
    <w:rsid w:val="00420D02"/>
    <w:rsid w:val="00420EF8"/>
    <w:rsid w:val="00420F17"/>
    <w:rsid w:val="0042109D"/>
    <w:rsid w:val="004211E4"/>
    <w:rsid w:val="00421248"/>
    <w:rsid w:val="00421341"/>
    <w:rsid w:val="00421848"/>
    <w:rsid w:val="00421986"/>
    <w:rsid w:val="00421A54"/>
    <w:rsid w:val="00421AD0"/>
    <w:rsid w:val="00421CFA"/>
    <w:rsid w:val="00421E64"/>
    <w:rsid w:val="0042201A"/>
    <w:rsid w:val="00422348"/>
    <w:rsid w:val="004225DC"/>
    <w:rsid w:val="0042267C"/>
    <w:rsid w:val="0042269C"/>
    <w:rsid w:val="0042272B"/>
    <w:rsid w:val="00422CD7"/>
    <w:rsid w:val="00422D93"/>
    <w:rsid w:val="00422DA8"/>
    <w:rsid w:val="00422F57"/>
    <w:rsid w:val="0042307A"/>
    <w:rsid w:val="004231B9"/>
    <w:rsid w:val="0042320B"/>
    <w:rsid w:val="00423325"/>
    <w:rsid w:val="00423629"/>
    <w:rsid w:val="0042398B"/>
    <w:rsid w:val="00423AD3"/>
    <w:rsid w:val="00423F04"/>
    <w:rsid w:val="00423F69"/>
    <w:rsid w:val="00424113"/>
    <w:rsid w:val="00424119"/>
    <w:rsid w:val="00424223"/>
    <w:rsid w:val="00424299"/>
    <w:rsid w:val="0042465D"/>
    <w:rsid w:val="00424B11"/>
    <w:rsid w:val="00424C05"/>
    <w:rsid w:val="00424C5B"/>
    <w:rsid w:val="00424C76"/>
    <w:rsid w:val="00424D16"/>
    <w:rsid w:val="0042504B"/>
    <w:rsid w:val="0042538B"/>
    <w:rsid w:val="004254F2"/>
    <w:rsid w:val="004255EC"/>
    <w:rsid w:val="004256B4"/>
    <w:rsid w:val="004256D1"/>
    <w:rsid w:val="00425736"/>
    <w:rsid w:val="004257E2"/>
    <w:rsid w:val="004257EB"/>
    <w:rsid w:val="0042589A"/>
    <w:rsid w:val="00425A3B"/>
    <w:rsid w:val="00425A86"/>
    <w:rsid w:val="00425D02"/>
    <w:rsid w:val="00425E29"/>
    <w:rsid w:val="00426336"/>
    <w:rsid w:val="004263E2"/>
    <w:rsid w:val="0042644E"/>
    <w:rsid w:val="004266AD"/>
    <w:rsid w:val="0042670E"/>
    <w:rsid w:val="00426728"/>
    <w:rsid w:val="004268C1"/>
    <w:rsid w:val="00426AA7"/>
    <w:rsid w:val="00426D07"/>
    <w:rsid w:val="00426D71"/>
    <w:rsid w:val="00426DD1"/>
    <w:rsid w:val="00426FB4"/>
    <w:rsid w:val="00426FD0"/>
    <w:rsid w:val="00426FE6"/>
    <w:rsid w:val="004270D0"/>
    <w:rsid w:val="0042713E"/>
    <w:rsid w:val="00427243"/>
    <w:rsid w:val="00427269"/>
    <w:rsid w:val="00427427"/>
    <w:rsid w:val="004274BE"/>
    <w:rsid w:val="0042753A"/>
    <w:rsid w:val="00427574"/>
    <w:rsid w:val="0042762E"/>
    <w:rsid w:val="0042768D"/>
    <w:rsid w:val="00427BF5"/>
    <w:rsid w:val="00427BF6"/>
    <w:rsid w:val="00427C1C"/>
    <w:rsid w:val="00427C6E"/>
    <w:rsid w:val="00427D33"/>
    <w:rsid w:val="00430064"/>
    <w:rsid w:val="004300E0"/>
    <w:rsid w:val="00430153"/>
    <w:rsid w:val="00430545"/>
    <w:rsid w:val="0043058A"/>
    <w:rsid w:val="00430700"/>
    <w:rsid w:val="00430777"/>
    <w:rsid w:val="004307BA"/>
    <w:rsid w:val="00430907"/>
    <w:rsid w:val="0043098A"/>
    <w:rsid w:val="004309B9"/>
    <w:rsid w:val="00430B83"/>
    <w:rsid w:val="00430C84"/>
    <w:rsid w:val="00430CA5"/>
    <w:rsid w:val="00430F0A"/>
    <w:rsid w:val="00431164"/>
    <w:rsid w:val="00431291"/>
    <w:rsid w:val="004312CA"/>
    <w:rsid w:val="004312FE"/>
    <w:rsid w:val="00431447"/>
    <w:rsid w:val="00431802"/>
    <w:rsid w:val="004319A1"/>
    <w:rsid w:val="00431AEC"/>
    <w:rsid w:val="00431EB0"/>
    <w:rsid w:val="00431F50"/>
    <w:rsid w:val="004323D3"/>
    <w:rsid w:val="00432677"/>
    <w:rsid w:val="00432692"/>
    <w:rsid w:val="00432797"/>
    <w:rsid w:val="004327AE"/>
    <w:rsid w:val="00432AA0"/>
    <w:rsid w:val="00432D0F"/>
    <w:rsid w:val="00432D8A"/>
    <w:rsid w:val="00432DEB"/>
    <w:rsid w:val="00432F5B"/>
    <w:rsid w:val="00433180"/>
    <w:rsid w:val="00433234"/>
    <w:rsid w:val="00433421"/>
    <w:rsid w:val="00433433"/>
    <w:rsid w:val="00433552"/>
    <w:rsid w:val="00433584"/>
    <w:rsid w:val="0043359D"/>
    <w:rsid w:val="004337D8"/>
    <w:rsid w:val="00433973"/>
    <w:rsid w:val="00433AB2"/>
    <w:rsid w:val="00433B0D"/>
    <w:rsid w:val="00433BA9"/>
    <w:rsid w:val="00433CF2"/>
    <w:rsid w:val="004344A8"/>
    <w:rsid w:val="00434513"/>
    <w:rsid w:val="004347E0"/>
    <w:rsid w:val="00434C25"/>
    <w:rsid w:val="00434C84"/>
    <w:rsid w:val="00434E63"/>
    <w:rsid w:val="00435035"/>
    <w:rsid w:val="00435327"/>
    <w:rsid w:val="00435569"/>
    <w:rsid w:val="004357C0"/>
    <w:rsid w:val="00435C4C"/>
    <w:rsid w:val="00435C98"/>
    <w:rsid w:val="00435E99"/>
    <w:rsid w:val="00435F3E"/>
    <w:rsid w:val="00436123"/>
    <w:rsid w:val="00436155"/>
    <w:rsid w:val="0043617A"/>
    <w:rsid w:val="0043627E"/>
    <w:rsid w:val="004363CE"/>
    <w:rsid w:val="004365E7"/>
    <w:rsid w:val="00436A4D"/>
    <w:rsid w:val="00436B32"/>
    <w:rsid w:val="00436BB6"/>
    <w:rsid w:val="00436D85"/>
    <w:rsid w:val="00436EC8"/>
    <w:rsid w:val="00436ED9"/>
    <w:rsid w:val="004372D6"/>
    <w:rsid w:val="004373DE"/>
    <w:rsid w:val="004374F0"/>
    <w:rsid w:val="00437520"/>
    <w:rsid w:val="00437782"/>
    <w:rsid w:val="00437ABB"/>
    <w:rsid w:val="00437B63"/>
    <w:rsid w:val="00437D7F"/>
    <w:rsid w:val="00437D8C"/>
    <w:rsid w:val="00437E21"/>
    <w:rsid w:val="0044010F"/>
    <w:rsid w:val="00440230"/>
    <w:rsid w:val="004402C2"/>
    <w:rsid w:val="00440454"/>
    <w:rsid w:val="0044056D"/>
    <w:rsid w:val="0044061C"/>
    <w:rsid w:val="00440757"/>
    <w:rsid w:val="004407C4"/>
    <w:rsid w:val="00440AA8"/>
    <w:rsid w:val="00440B21"/>
    <w:rsid w:val="00440B94"/>
    <w:rsid w:val="0044106A"/>
    <w:rsid w:val="0044122D"/>
    <w:rsid w:val="00441308"/>
    <w:rsid w:val="0044155C"/>
    <w:rsid w:val="0044176E"/>
    <w:rsid w:val="004417B6"/>
    <w:rsid w:val="004417E9"/>
    <w:rsid w:val="00441870"/>
    <w:rsid w:val="0044198C"/>
    <w:rsid w:val="00441DE9"/>
    <w:rsid w:val="00441E78"/>
    <w:rsid w:val="00441F86"/>
    <w:rsid w:val="00442149"/>
    <w:rsid w:val="00442207"/>
    <w:rsid w:val="004423D5"/>
    <w:rsid w:val="00442431"/>
    <w:rsid w:val="00442916"/>
    <w:rsid w:val="00442972"/>
    <w:rsid w:val="00442984"/>
    <w:rsid w:val="0044299B"/>
    <w:rsid w:val="00442A4A"/>
    <w:rsid w:val="00442C0F"/>
    <w:rsid w:val="00442FDB"/>
    <w:rsid w:val="00443148"/>
    <w:rsid w:val="00443161"/>
    <w:rsid w:val="004437FF"/>
    <w:rsid w:val="00443A35"/>
    <w:rsid w:val="00443ABE"/>
    <w:rsid w:val="00443B96"/>
    <w:rsid w:val="00444061"/>
    <w:rsid w:val="00444190"/>
    <w:rsid w:val="00444407"/>
    <w:rsid w:val="004445BF"/>
    <w:rsid w:val="004447EF"/>
    <w:rsid w:val="004449D2"/>
    <w:rsid w:val="00444ADC"/>
    <w:rsid w:val="00444BF8"/>
    <w:rsid w:val="00444CD9"/>
    <w:rsid w:val="0044512A"/>
    <w:rsid w:val="00445187"/>
    <w:rsid w:val="004451B3"/>
    <w:rsid w:val="00445229"/>
    <w:rsid w:val="0044534A"/>
    <w:rsid w:val="004453D1"/>
    <w:rsid w:val="0044566D"/>
    <w:rsid w:val="00445866"/>
    <w:rsid w:val="004458BF"/>
    <w:rsid w:val="004458E6"/>
    <w:rsid w:val="0044597E"/>
    <w:rsid w:val="00445A58"/>
    <w:rsid w:val="00445AC3"/>
    <w:rsid w:val="00445C03"/>
    <w:rsid w:val="004460D9"/>
    <w:rsid w:val="004461D9"/>
    <w:rsid w:val="004461E1"/>
    <w:rsid w:val="00446945"/>
    <w:rsid w:val="00446BAC"/>
    <w:rsid w:val="004471E3"/>
    <w:rsid w:val="00447299"/>
    <w:rsid w:val="004472AB"/>
    <w:rsid w:val="00447337"/>
    <w:rsid w:val="00447439"/>
    <w:rsid w:val="004475CE"/>
    <w:rsid w:val="00447787"/>
    <w:rsid w:val="00447834"/>
    <w:rsid w:val="0044783B"/>
    <w:rsid w:val="004478AB"/>
    <w:rsid w:val="004478F8"/>
    <w:rsid w:val="00450228"/>
    <w:rsid w:val="00450334"/>
    <w:rsid w:val="004504A0"/>
    <w:rsid w:val="0045058A"/>
    <w:rsid w:val="00450713"/>
    <w:rsid w:val="00450819"/>
    <w:rsid w:val="00450941"/>
    <w:rsid w:val="00450AFF"/>
    <w:rsid w:val="00450BC8"/>
    <w:rsid w:val="00450CD8"/>
    <w:rsid w:val="00450DD2"/>
    <w:rsid w:val="00450DF1"/>
    <w:rsid w:val="00450F01"/>
    <w:rsid w:val="004510CC"/>
    <w:rsid w:val="0045120E"/>
    <w:rsid w:val="0045124C"/>
    <w:rsid w:val="00451303"/>
    <w:rsid w:val="004513D8"/>
    <w:rsid w:val="004514E6"/>
    <w:rsid w:val="00451564"/>
    <w:rsid w:val="00451641"/>
    <w:rsid w:val="0045166B"/>
    <w:rsid w:val="004520B2"/>
    <w:rsid w:val="004521FC"/>
    <w:rsid w:val="00452474"/>
    <w:rsid w:val="00452CE0"/>
    <w:rsid w:val="00452E09"/>
    <w:rsid w:val="0045301D"/>
    <w:rsid w:val="00453027"/>
    <w:rsid w:val="0045313D"/>
    <w:rsid w:val="00453BB5"/>
    <w:rsid w:val="00453C66"/>
    <w:rsid w:val="00453CFD"/>
    <w:rsid w:val="00453D9A"/>
    <w:rsid w:val="00453E18"/>
    <w:rsid w:val="00453FDA"/>
    <w:rsid w:val="00454122"/>
    <w:rsid w:val="0045418C"/>
    <w:rsid w:val="0045436B"/>
    <w:rsid w:val="00454467"/>
    <w:rsid w:val="004546AB"/>
    <w:rsid w:val="00454989"/>
    <w:rsid w:val="00454DDF"/>
    <w:rsid w:val="00454E8E"/>
    <w:rsid w:val="004550ED"/>
    <w:rsid w:val="00455115"/>
    <w:rsid w:val="00455228"/>
    <w:rsid w:val="00455494"/>
    <w:rsid w:val="004555E8"/>
    <w:rsid w:val="004555FD"/>
    <w:rsid w:val="00455682"/>
    <w:rsid w:val="004556A3"/>
    <w:rsid w:val="00455736"/>
    <w:rsid w:val="00455C6F"/>
    <w:rsid w:val="00455E98"/>
    <w:rsid w:val="0045603F"/>
    <w:rsid w:val="0045607A"/>
    <w:rsid w:val="00456118"/>
    <w:rsid w:val="004561BF"/>
    <w:rsid w:val="00456282"/>
    <w:rsid w:val="00456525"/>
    <w:rsid w:val="004566D7"/>
    <w:rsid w:val="00456A3F"/>
    <w:rsid w:val="00456B5D"/>
    <w:rsid w:val="00456EEB"/>
    <w:rsid w:val="00457101"/>
    <w:rsid w:val="00457298"/>
    <w:rsid w:val="00457430"/>
    <w:rsid w:val="004576C8"/>
    <w:rsid w:val="00457A94"/>
    <w:rsid w:val="00460384"/>
    <w:rsid w:val="0046064C"/>
    <w:rsid w:val="004606F9"/>
    <w:rsid w:val="00460745"/>
    <w:rsid w:val="00460773"/>
    <w:rsid w:val="0046099E"/>
    <w:rsid w:val="004609A1"/>
    <w:rsid w:val="00460A1B"/>
    <w:rsid w:val="00460CB9"/>
    <w:rsid w:val="00460D2F"/>
    <w:rsid w:val="00460D78"/>
    <w:rsid w:val="00460E3A"/>
    <w:rsid w:val="00460EBD"/>
    <w:rsid w:val="00460F0F"/>
    <w:rsid w:val="0046134D"/>
    <w:rsid w:val="00461519"/>
    <w:rsid w:val="0046181E"/>
    <w:rsid w:val="00461940"/>
    <w:rsid w:val="0046196A"/>
    <w:rsid w:val="00461C1C"/>
    <w:rsid w:val="00461C32"/>
    <w:rsid w:val="00461E45"/>
    <w:rsid w:val="00461ECC"/>
    <w:rsid w:val="00461EFC"/>
    <w:rsid w:val="00461F95"/>
    <w:rsid w:val="004626BD"/>
    <w:rsid w:val="00462724"/>
    <w:rsid w:val="00462880"/>
    <w:rsid w:val="004631D0"/>
    <w:rsid w:val="00463292"/>
    <w:rsid w:val="004633C3"/>
    <w:rsid w:val="00463788"/>
    <w:rsid w:val="0046398E"/>
    <w:rsid w:val="00463D96"/>
    <w:rsid w:val="00463DB9"/>
    <w:rsid w:val="00463DE4"/>
    <w:rsid w:val="00463E49"/>
    <w:rsid w:val="004642CC"/>
    <w:rsid w:val="00464332"/>
    <w:rsid w:val="004644A0"/>
    <w:rsid w:val="00464756"/>
    <w:rsid w:val="00464855"/>
    <w:rsid w:val="004649FA"/>
    <w:rsid w:val="00464BAE"/>
    <w:rsid w:val="00464D0A"/>
    <w:rsid w:val="00464D45"/>
    <w:rsid w:val="00464DCE"/>
    <w:rsid w:val="00465202"/>
    <w:rsid w:val="00465267"/>
    <w:rsid w:val="004653A0"/>
    <w:rsid w:val="0046569E"/>
    <w:rsid w:val="004657B5"/>
    <w:rsid w:val="004658FD"/>
    <w:rsid w:val="00465BBD"/>
    <w:rsid w:val="00465BC3"/>
    <w:rsid w:val="00465E3A"/>
    <w:rsid w:val="0046605D"/>
    <w:rsid w:val="0046608A"/>
    <w:rsid w:val="004660A2"/>
    <w:rsid w:val="00466387"/>
    <w:rsid w:val="00466A00"/>
    <w:rsid w:val="00466A4D"/>
    <w:rsid w:val="00466AB6"/>
    <w:rsid w:val="00466BB8"/>
    <w:rsid w:val="00466D05"/>
    <w:rsid w:val="004670BE"/>
    <w:rsid w:val="00467143"/>
    <w:rsid w:val="00467149"/>
    <w:rsid w:val="0046728A"/>
    <w:rsid w:val="00467332"/>
    <w:rsid w:val="00467343"/>
    <w:rsid w:val="00467381"/>
    <w:rsid w:val="00467479"/>
    <w:rsid w:val="0046764F"/>
    <w:rsid w:val="004678B3"/>
    <w:rsid w:val="00467B38"/>
    <w:rsid w:val="00467EA6"/>
    <w:rsid w:val="00467FDB"/>
    <w:rsid w:val="00470144"/>
    <w:rsid w:val="004702CC"/>
    <w:rsid w:val="004704E4"/>
    <w:rsid w:val="00470904"/>
    <w:rsid w:val="004709C8"/>
    <w:rsid w:val="00470AAD"/>
    <w:rsid w:val="00470B21"/>
    <w:rsid w:val="00470D73"/>
    <w:rsid w:val="00470F74"/>
    <w:rsid w:val="004711F7"/>
    <w:rsid w:val="00471335"/>
    <w:rsid w:val="0047139D"/>
    <w:rsid w:val="004714D9"/>
    <w:rsid w:val="00471543"/>
    <w:rsid w:val="0047163E"/>
    <w:rsid w:val="00471769"/>
    <w:rsid w:val="004717F7"/>
    <w:rsid w:val="004718E7"/>
    <w:rsid w:val="00471952"/>
    <w:rsid w:val="004719E5"/>
    <w:rsid w:val="00471BB5"/>
    <w:rsid w:val="00471BF8"/>
    <w:rsid w:val="00471D72"/>
    <w:rsid w:val="00471DCC"/>
    <w:rsid w:val="00471E26"/>
    <w:rsid w:val="00471FC6"/>
    <w:rsid w:val="00471FCC"/>
    <w:rsid w:val="00472292"/>
    <w:rsid w:val="00472300"/>
    <w:rsid w:val="00472494"/>
    <w:rsid w:val="0047271F"/>
    <w:rsid w:val="00472918"/>
    <w:rsid w:val="00472940"/>
    <w:rsid w:val="0047296C"/>
    <w:rsid w:val="00472BC1"/>
    <w:rsid w:val="00472BEE"/>
    <w:rsid w:val="00472E4B"/>
    <w:rsid w:val="00472EDE"/>
    <w:rsid w:val="00472F1E"/>
    <w:rsid w:val="004732CD"/>
    <w:rsid w:val="00473405"/>
    <w:rsid w:val="0047353D"/>
    <w:rsid w:val="00473600"/>
    <w:rsid w:val="004738F7"/>
    <w:rsid w:val="00473BA7"/>
    <w:rsid w:val="00473C41"/>
    <w:rsid w:val="00474036"/>
    <w:rsid w:val="00474183"/>
    <w:rsid w:val="00474197"/>
    <w:rsid w:val="00474259"/>
    <w:rsid w:val="004743CC"/>
    <w:rsid w:val="004745F7"/>
    <w:rsid w:val="00474663"/>
    <w:rsid w:val="00474739"/>
    <w:rsid w:val="004749B3"/>
    <w:rsid w:val="004749C8"/>
    <w:rsid w:val="00474A3A"/>
    <w:rsid w:val="00474F66"/>
    <w:rsid w:val="00475058"/>
    <w:rsid w:val="004750B8"/>
    <w:rsid w:val="00475684"/>
    <w:rsid w:val="004759BD"/>
    <w:rsid w:val="00475BEB"/>
    <w:rsid w:val="00475BF6"/>
    <w:rsid w:val="00475C2E"/>
    <w:rsid w:val="00475C32"/>
    <w:rsid w:val="00475D54"/>
    <w:rsid w:val="00475EFA"/>
    <w:rsid w:val="00475F04"/>
    <w:rsid w:val="00475F7C"/>
    <w:rsid w:val="0047607E"/>
    <w:rsid w:val="004761A2"/>
    <w:rsid w:val="00476262"/>
    <w:rsid w:val="0047627C"/>
    <w:rsid w:val="004762F8"/>
    <w:rsid w:val="00476364"/>
    <w:rsid w:val="00476430"/>
    <w:rsid w:val="0047648B"/>
    <w:rsid w:val="00476531"/>
    <w:rsid w:val="00476563"/>
    <w:rsid w:val="004767AA"/>
    <w:rsid w:val="00476AA8"/>
    <w:rsid w:val="00477306"/>
    <w:rsid w:val="004773BD"/>
    <w:rsid w:val="00477782"/>
    <w:rsid w:val="00477867"/>
    <w:rsid w:val="00477A75"/>
    <w:rsid w:val="00477C24"/>
    <w:rsid w:val="00477DB2"/>
    <w:rsid w:val="00477DE3"/>
    <w:rsid w:val="00477EA3"/>
    <w:rsid w:val="00477FBD"/>
    <w:rsid w:val="00477FF2"/>
    <w:rsid w:val="0047ACFF"/>
    <w:rsid w:val="0048000F"/>
    <w:rsid w:val="004801E1"/>
    <w:rsid w:val="00480292"/>
    <w:rsid w:val="004804FA"/>
    <w:rsid w:val="00480513"/>
    <w:rsid w:val="00480674"/>
    <w:rsid w:val="004808EB"/>
    <w:rsid w:val="00480D1D"/>
    <w:rsid w:val="00480F90"/>
    <w:rsid w:val="00480FB6"/>
    <w:rsid w:val="00481299"/>
    <w:rsid w:val="0048144A"/>
    <w:rsid w:val="0048147A"/>
    <w:rsid w:val="004814E0"/>
    <w:rsid w:val="00481C95"/>
    <w:rsid w:val="00481D6C"/>
    <w:rsid w:val="00481DE1"/>
    <w:rsid w:val="00481FDF"/>
    <w:rsid w:val="00482089"/>
    <w:rsid w:val="00482102"/>
    <w:rsid w:val="004821C1"/>
    <w:rsid w:val="004821D6"/>
    <w:rsid w:val="00482237"/>
    <w:rsid w:val="00482467"/>
    <w:rsid w:val="004824D6"/>
    <w:rsid w:val="004824F9"/>
    <w:rsid w:val="00482606"/>
    <w:rsid w:val="0048289C"/>
    <w:rsid w:val="0048295B"/>
    <w:rsid w:val="00482C78"/>
    <w:rsid w:val="00482D9C"/>
    <w:rsid w:val="00482DEC"/>
    <w:rsid w:val="00482FAB"/>
    <w:rsid w:val="0048308A"/>
    <w:rsid w:val="00483247"/>
    <w:rsid w:val="00483C74"/>
    <w:rsid w:val="00483F28"/>
    <w:rsid w:val="00483F81"/>
    <w:rsid w:val="0048405F"/>
    <w:rsid w:val="004840EC"/>
    <w:rsid w:val="00484131"/>
    <w:rsid w:val="0048456B"/>
    <w:rsid w:val="00484648"/>
    <w:rsid w:val="0048466A"/>
    <w:rsid w:val="00484743"/>
    <w:rsid w:val="0048477F"/>
    <w:rsid w:val="00484896"/>
    <w:rsid w:val="00484B10"/>
    <w:rsid w:val="00484E71"/>
    <w:rsid w:val="004850B5"/>
    <w:rsid w:val="00485136"/>
    <w:rsid w:val="004851E5"/>
    <w:rsid w:val="004852AC"/>
    <w:rsid w:val="0048542F"/>
    <w:rsid w:val="004857BF"/>
    <w:rsid w:val="0048590B"/>
    <w:rsid w:val="00485A6E"/>
    <w:rsid w:val="00485AC8"/>
    <w:rsid w:val="00485DCF"/>
    <w:rsid w:val="00485EC0"/>
    <w:rsid w:val="0048627E"/>
    <w:rsid w:val="004863D0"/>
    <w:rsid w:val="00486617"/>
    <w:rsid w:val="004866B9"/>
    <w:rsid w:val="0048677B"/>
    <w:rsid w:val="00486894"/>
    <w:rsid w:val="004868E3"/>
    <w:rsid w:val="00486A18"/>
    <w:rsid w:val="00486AA2"/>
    <w:rsid w:val="00486CE1"/>
    <w:rsid w:val="00486D4C"/>
    <w:rsid w:val="00487346"/>
    <w:rsid w:val="00487491"/>
    <w:rsid w:val="00487589"/>
    <w:rsid w:val="004875C9"/>
    <w:rsid w:val="004876DE"/>
    <w:rsid w:val="004877BB"/>
    <w:rsid w:val="00487845"/>
    <w:rsid w:val="00487998"/>
    <w:rsid w:val="00487B9E"/>
    <w:rsid w:val="00487C11"/>
    <w:rsid w:val="00487C14"/>
    <w:rsid w:val="00487ECF"/>
    <w:rsid w:val="004902B4"/>
    <w:rsid w:val="00490334"/>
    <w:rsid w:val="004903E9"/>
    <w:rsid w:val="00490552"/>
    <w:rsid w:val="004905CD"/>
    <w:rsid w:val="0049074D"/>
    <w:rsid w:val="004907D3"/>
    <w:rsid w:val="00490B8F"/>
    <w:rsid w:val="00490BD3"/>
    <w:rsid w:val="00490CA8"/>
    <w:rsid w:val="00490F10"/>
    <w:rsid w:val="00490F3C"/>
    <w:rsid w:val="0049119B"/>
    <w:rsid w:val="004911C6"/>
    <w:rsid w:val="004911F1"/>
    <w:rsid w:val="00491369"/>
    <w:rsid w:val="004914AE"/>
    <w:rsid w:val="00491ADB"/>
    <w:rsid w:val="00491B40"/>
    <w:rsid w:val="00491F2C"/>
    <w:rsid w:val="00491F34"/>
    <w:rsid w:val="0049207F"/>
    <w:rsid w:val="004922BF"/>
    <w:rsid w:val="004927FE"/>
    <w:rsid w:val="00492934"/>
    <w:rsid w:val="004929A2"/>
    <w:rsid w:val="004929CD"/>
    <w:rsid w:val="00492C36"/>
    <w:rsid w:val="00492CAF"/>
    <w:rsid w:val="00492EA0"/>
    <w:rsid w:val="00492F89"/>
    <w:rsid w:val="0049310F"/>
    <w:rsid w:val="00493468"/>
    <w:rsid w:val="00493782"/>
    <w:rsid w:val="00493AF3"/>
    <w:rsid w:val="00493B2A"/>
    <w:rsid w:val="00493C1D"/>
    <w:rsid w:val="00493CB5"/>
    <w:rsid w:val="00493ECF"/>
    <w:rsid w:val="00494488"/>
    <w:rsid w:val="004944D4"/>
    <w:rsid w:val="0049455D"/>
    <w:rsid w:val="00494641"/>
    <w:rsid w:val="0049464E"/>
    <w:rsid w:val="0049481B"/>
    <w:rsid w:val="00494D2A"/>
    <w:rsid w:val="00494E5F"/>
    <w:rsid w:val="00494E7D"/>
    <w:rsid w:val="00494EBE"/>
    <w:rsid w:val="004951CD"/>
    <w:rsid w:val="0049532F"/>
    <w:rsid w:val="00495596"/>
    <w:rsid w:val="00495687"/>
    <w:rsid w:val="00495A90"/>
    <w:rsid w:val="00495B9A"/>
    <w:rsid w:val="00495C16"/>
    <w:rsid w:val="00495CA3"/>
    <w:rsid w:val="00495E6E"/>
    <w:rsid w:val="0049615B"/>
    <w:rsid w:val="004963F8"/>
    <w:rsid w:val="004964F2"/>
    <w:rsid w:val="00496618"/>
    <w:rsid w:val="0049685E"/>
    <w:rsid w:val="00496A31"/>
    <w:rsid w:val="00496A3B"/>
    <w:rsid w:val="00496B67"/>
    <w:rsid w:val="00496E21"/>
    <w:rsid w:val="00497056"/>
    <w:rsid w:val="00497A06"/>
    <w:rsid w:val="004A07AD"/>
    <w:rsid w:val="004A07BB"/>
    <w:rsid w:val="004A0BDC"/>
    <w:rsid w:val="004A0CFC"/>
    <w:rsid w:val="004A11BC"/>
    <w:rsid w:val="004A1571"/>
    <w:rsid w:val="004A1649"/>
    <w:rsid w:val="004A1937"/>
    <w:rsid w:val="004A1A91"/>
    <w:rsid w:val="004A1B1A"/>
    <w:rsid w:val="004A1D9F"/>
    <w:rsid w:val="004A1DAB"/>
    <w:rsid w:val="004A1F4B"/>
    <w:rsid w:val="004A2094"/>
    <w:rsid w:val="004A2200"/>
    <w:rsid w:val="004A2722"/>
    <w:rsid w:val="004A280B"/>
    <w:rsid w:val="004A2979"/>
    <w:rsid w:val="004A29CA"/>
    <w:rsid w:val="004A2A73"/>
    <w:rsid w:val="004A2AF4"/>
    <w:rsid w:val="004A2BE1"/>
    <w:rsid w:val="004A2E16"/>
    <w:rsid w:val="004A2E6C"/>
    <w:rsid w:val="004A2ED6"/>
    <w:rsid w:val="004A3113"/>
    <w:rsid w:val="004A3130"/>
    <w:rsid w:val="004A31A8"/>
    <w:rsid w:val="004A3331"/>
    <w:rsid w:val="004A3502"/>
    <w:rsid w:val="004A366B"/>
    <w:rsid w:val="004A367A"/>
    <w:rsid w:val="004A382E"/>
    <w:rsid w:val="004A3AE0"/>
    <w:rsid w:val="004A3C4C"/>
    <w:rsid w:val="004A3E58"/>
    <w:rsid w:val="004A3F67"/>
    <w:rsid w:val="004A40FC"/>
    <w:rsid w:val="004A41C7"/>
    <w:rsid w:val="004A4791"/>
    <w:rsid w:val="004A4B7F"/>
    <w:rsid w:val="004A4C6B"/>
    <w:rsid w:val="004A4E8E"/>
    <w:rsid w:val="004A4EEB"/>
    <w:rsid w:val="004A4FCC"/>
    <w:rsid w:val="004A510C"/>
    <w:rsid w:val="004A516A"/>
    <w:rsid w:val="004A5232"/>
    <w:rsid w:val="004A57C7"/>
    <w:rsid w:val="004A5B1C"/>
    <w:rsid w:val="004A5D56"/>
    <w:rsid w:val="004A5F34"/>
    <w:rsid w:val="004A637E"/>
    <w:rsid w:val="004A63C7"/>
    <w:rsid w:val="004A65A0"/>
    <w:rsid w:val="004A6FB5"/>
    <w:rsid w:val="004A71C3"/>
    <w:rsid w:val="004A7354"/>
    <w:rsid w:val="004A7430"/>
    <w:rsid w:val="004A756A"/>
    <w:rsid w:val="004A764E"/>
    <w:rsid w:val="004A766C"/>
    <w:rsid w:val="004A792D"/>
    <w:rsid w:val="004A7CF2"/>
    <w:rsid w:val="004B04A3"/>
    <w:rsid w:val="004B0650"/>
    <w:rsid w:val="004B068A"/>
    <w:rsid w:val="004B074E"/>
    <w:rsid w:val="004B0935"/>
    <w:rsid w:val="004B09BC"/>
    <w:rsid w:val="004B09F4"/>
    <w:rsid w:val="004B0B4D"/>
    <w:rsid w:val="004B0B5C"/>
    <w:rsid w:val="004B0D3B"/>
    <w:rsid w:val="004B0D9D"/>
    <w:rsid w:val="004B0E24"/>
    <w:rsid w:val="004B0EE5"/>
    <w:rsid w:val="004B0EEB"/>
    <w:rsid w:val="004B0F9D"/>
    <w:rsid w:val="004B100D"/>
    <w:rsid w:val="004B100F"/>
    <w:rsid w:val="004B1402"/>
    <w:rsid w:val="004B146E"/>
    <w:rsid w:val="004B15CA"/>
    <w:rsid w:val="004B1692"/>
    <w:rsid w:val="004B16C4"/>
    <w:rsid w:val="004B1C41"/>
    <w:rsid w:val="004B1CE6"/>
    <w:rsid w:val="004B212F"/>
    <w:rsid w:val="004B227A"/>
    <w:rsid w:val="004B2340"/>
    <w:rsid w:val="004B251C"/>
    <w:rsid w:val="004B26E9"/>
    <w:rsid w:val="004B282B"/>
    <w:rsid w:val="004B2BE3"/>
    <w:rsid w:val="004B2C12"/>
    <w:rsid w:val="004B2CED"/>
    <w:rsid w:val="004B2DF9"/>
    <w:rsid w:val="004B2E60"/>
    <w:rsid w:val="004B2F1C"/>
    <w:rsid w:val="004B3125"/>
    <w:rsid w:val="004B31EE"/>
    <w:rsid w:val="004B3531"/>
    <w:rsid w:val="004B3C8A"/>
    <w:rsid w:val="004B3D27"/>
    <w:rsid w:val="004B3D99"/>
    <w:rsid w:val="004B3EE9"/>
    <w:rsid w:val="004B4103"/>
    <w:rsid w:val="004B412C"/>
    <w:rsid w:val="004B43C9"/>
    <w:rsid w:val="004B45E0"/>
    <w:rsid w:val="004B47C1"/>
    <w:rsid w:val="004B4B3B"/>
    <w:rsid w:val="004B4EA0"/>
    <w:rsid w:val="004B4F5A"/>
    <w:rsid w:val="004B504C"/>
    <w:rsid w:val="004B5119"/>
    <w:rsid w:val="004B5307"/>
    <w:rsid w:val="004B54EB"/>
    <w:rsid w:val="004B5D64"/>
    <w:rsid w:val="004B5E83"/>
    <w:rsid w:val="004B5FF6"/>
    <w:rsid w:val="004B6031"/>
    <w:rsid w:val="004B639D"/>
    <w:rsid w:val="004B656C"/>
    <w:rsid w:val="004B6609"/>
    <w:rsid w:val="004B6840"/>
    <w:rsid w:val="004B6841"/>
    <w:rsid w:val="004B68C2"/>
    <w:rsid w:val="004B6B7B"/>
    <w:rsid w:val="004B6C04"/>
    <w:rsid w:val="004B6C25"/>
    <w:rsid w:val="004B6F9A"/>
    <w:rsid w:val="004B7023"/>
    <w:rsid w:val="004B7040"/>
    <w:rsid w:val="004B7235"/>
    <w:rsid w:val="004B744E"/>
    <w:rsid w:val="004B77AB"/>
    <w:rsid w:val="004B7833"/>
    <w:rsid w:val="004B792D"/>
    <w:rsid w:val="004B888E"/>
    <w:rsid w:val="004BDC22"/>
    <w:rsid w:val="004C0161"/>
    <w:rsid w:val="004C0531"/>
    <w:rsid w:val="004C07CD"/>
    <w:rsid w:val="004C0D6C"/>
    <w:rsid w:val="004C0EF1"/>
    <w:rsid w:val="004C1008"/>
    <w:rsid w:val="004C10F0"/>
    <w:rsid w:val="004C1240"/>
    <w:rsid w:val="004C1286"/>
    <w:rsid w:val="004C12B3"/>
    <w:rsid w:val="004C19E0"/>
    <w:rsid w:val="004C1B1B"/>
    <w:rsid w:val="004C1FC9"/>
    <w:rsid w:val="004C2355"/>
    <w:rsid w:val="004C24DC"/>
    <w:rsid w:val="004C26DE"/>
    <w:rsid w:val="004C2AFE"/>
    <w:rsid w:val="004C2B24"/>
    <w:rsid w:val="004C2D0A"/>
    <w:rsid w:val="004C2D22"/>
    <w:rsid w:val="004C2D7E"/>
    <w:rsid w:val="004C2FCE"/>
    <w:rsid w:val="004C315B"/>
    <w:rsid w:val="004C31B4"/>
    <w:rsid w:val="004C322E"/>
    <w:rsid w:val="004C326D"/>
    <w:rsid w:val="004C3272"/>
    <w:rsid w:val="004C3517"/>
    <w:rsid w:val="004C37D9"/>
    <w:rsid w:val="004C3893"/>
    <w:rsid w:val="004C3915"/>
    <w:rsid w:val="004C3A8D"/>
    <w:rsid w:val="004C3B2B"/>
    <w:rsid w:val="004C3B85"/>
    <w:rsid w:val="004C3CCB"/>
    <w:rsid w:val="004C3ED4"/>
    <w:rsid w:val="004C3FF4"/>
    <w:rsid w:val="004C4017"/>
    <w:rsid w:val="004C422A"/>
    <w:rsid w:val="004C4281"/>
    <w:rsid w:val="004C42F8"/>
    <w:rsid w:val="004C45AC"/>
    <w:rsid w:val="004C45CE"/>
    <w:rsid w:val="004C491A"/>
    <w:rsid w:val="004C4C91"/>
    <w:rsid w:val="004C5136"/>
    <w:rsid w:val="004C54CB"/>
    <w:rsid w:val="004C5633"/>
    <w:rsid w:val="004C57E6"/>
    <w:rsid w:val="004C5A1D"/>
    <w:rsid w:val="004C6116"/>
    <w:rsid w:val="004C633A"/>
    <w:rsid w:val="004C63B6"/>
    <w:rsid w:val="004C6516"/>
    <w:rsid w:val="004C6577"/>
    <w:rsid w:val="004C6579"/>
    <w:rsid w:val="004C6B25"/>
    <w:rsid w:val="004C6B3B"/>
    <w:rsid w:val="004C6CCF"/>
    <w:rsid w:val="004C6D1E"/>
    <w:rsid w:val="004C70C6"/>
    <w:rsid w:val="004C71CB"/>
    <w:rsid w:val="004C7426"/>
    <w:rsid w:val="004C745A"/>
    <w:rsid w:val="004C75B6"/>
    <w:rsid w:val="004C78A7"/>
    <w:rsid w:val="004C797E"/>
    <w:rsid w:val="004C7A77"/>
    <w:rsid w:val="004C7A84"/>
    <w:rsid w:val="004C7B08"/>
    <w:rsid w:val="004C7CF2"/>
    <w:rsid w:val="004C7E27"/>
    <w:rsid w:val="004C7E2C"/>
    <w:rsid w:val="004D032A"/>
    <w:rsid w:val="004D03A0"/>
    <w:rsid w:val="004D06D6"/>
    <w:rsid w:val="004D07F5"/>
    <w:rsid w:val="004D086C"/>
    <w:rsid w:val="004D0A1B"/>
    <w:rsid w:val="004D0ACE"/>
    <w:rsid w:val="004D0B63"/>
    <w:rsid w:val="004D0BAB"/>
    <w:rsid w:val="004D0C37"/>
    <w:rsid w:val="004D0D96"/>
    <w:rsid w:val="004D1046"/>
    <w:rsid w:val="004D14DF"/>
    <w:rsid w:val="004D15B0"/>
    <w:rsid w:val="004D1967"/>
    <w:rsid w:val="004D1B4C"/>
    <w:rsid w:val="004D1D1B"/>
    <w:rsid w:val="004D1FE3"/>
    <w:rsid w:val="004D1FE9"/>
    <w:rsid w:val="004D21DA"/>
    <w:rsid w:val="004D23B9"/>
    <w:rsid w:val="004D2C55"/>
    <w:rsid w:val="004D3252"/>
    <w:rsid w:val="004D33BD"/>
    <w:rsid w:val="004D34F0"/>
    <w:rsid w:val="004D34F5"/>
    <w:rsid w:val="004D35E1"/>
    <w:rsid w:val="004D3607"/>
    <w:rsid w:val="004D36F6"/>
    <w:rsid w:val="004D3715"/>
    <w:rsid w:val="004D3752"/>
    <w:rsid w:val="004D379C"/>
    <w:rsid w:val="004D3948"/>
    <w:rsid w:val="004D397B"/>
    <w:rsid w:val="004D3B11"/>
    <w:rsid w:val="004D3FB8"/>
    <w:rsid w:val="004D4128"/>
    <w:rsid w:val="004D454B"/>
    <w:rsid w:val="004D48A4"/>
    <w:rsid w:val="004D4904"/>
    <w:rsid w:val="004D49E7"/>
    <w:rsid w:val="004D4B45"/>
    <w:rsid w:val="004D4F03"/>
    <w:rsid w:val="004D502B"/>
    <w:rsid w:val="004D503B"/>
    <w:rsid w:val="004D51B9"/>
    <w:rsid w:val="004D5594"/>
    <w:rsid w:val="004D56EE"/>
    <w:rsid w:val="004D5BDA"/>
    <w:rsid w:val="004D6035"/>
    <w:rsid w:val="004D61EB"/>
    <w:rsid w:val="004D6429"/>
    <w:rsid w:val="004D6450"/>
    <w:rsid w:val="004D649B"/>
    <w:rsid w:val="004D65B7"/>
    <w:rsid w:val="004D6674"/>
    <w:rsid w:val="004D690C"/>
    <w:rsid w:val="004D710B"/>
    <w:rsid w:val="004D7551"/>
    <w:rsid w:val="004D7880"/>
    <w:rsid w:val="004D78C0"/>
    <w:rsid w:val="004D798C"/>
    <w:rsid w:val="004D7BE8"/>
    <w:rsid w:val="004D7CDA"/>
    <w:rsid w:val="004D7FED"/>
    <w:rsid w:val="004DE62B"/>
    <w:rsid w:val="004E0130"/>
    <w:rsid w:val="004E0383"/>
    <w:rsid w:val="004E0452"/>
    <w:rsid w:val="004E0715"/>
    <w:rsid w:val="004E0725"/>
    <w:rsid w:val="004E07BD"/>
    <w:rsid w:val="004E0A84"/>
    <w:rsid w:val="004E0A94"/>
    <w:rsid w:val="004E0B45"/>
    <w:rsid w:val="004E0F3D"/>
    <w:rsid w:val="004E11FA"/>
    <w:rsid w:val="004E12D5"/>
    <w:rsid w:val="004E1636"/>
    <w:rsid w:val="004E1684"/>
    <w:rsid w:val="004E1906"/>
    <w:rsid w:val="004E1B62"/>
    <w:rsid w:val="004E1DDF"/>
    <w:rsid w:val="004E2144"/>
    <w:rsid w:val="004E2335"/>
    <w:rsid w:val="004E23BF"/>
    <w:rsid w:val="004E243D"/>
    <w:rsid w:val="004E2493"/>
    <w:rsid w:val="004E254D"/>
    <w:rsid w:val="004E2769"/>
    <w:rsid w:val="004E2901"/>
    <w:rsid w:val="004E2A0D"/>
    <w:rsid w:val="004E2C01"/>
    <w:rsid w:val="004E2D6F"/>
    <w:rsid w:val="004E2E12"/>
    <w:rsid w:val="004E2E93"/>
    <w:rsid w:val="004E329A"/>
    <w:rsid w:val="004E354D"/>
    <w:rsid w:val="004E38FF"/>
    <w:rsid w:val="004E3C33"/>
    <w:rsid w:val="004E3EA8"/>
    <w:rsid w:val="004E433C"/>
    <w:rsid w:val="004E44E8"/>
    <w:rsid w:val="004E4897"/>
    <w:rsid w:val="004E49C7"/>
    <w:rsid w:val="004E4D4A"/>
    <w:rsid w:val="004E4E03"/>
    <w:rsid w:val="004E4F01"/>
    <w:rsid w:val="004E50AA"/>
    <w:rsid w:val="004E5197"/>
    <w:rsid w:val="004E536A"/>
    <w:rsid w:val="004E581A"/>
    <w:rsid w:val="004E5E1A"/>
    <w:rsid w:val="004E5E51"/>
    <w:rsid w:val="004E5FAD"/>
    <w:rsid w:val="004E6093"/>
    <w:rsid w:val="004E6094"/>
    <w:rsid w:val="004E60A2"/>
    <w:rsid w:val="004E62A4"/>
    <w:rsid w:val="004E649D"/>
    <w:rsid w:val="004E6881"/>
    <w:rsid w:val="004E6B53"/>
    <w:rsid w:val="004E6B7D"/>
    <w:rsid w:val="004E6BCA"/>
    <w:rsid w:val="004E6D33"/>
    <w:rsid w:val="004E6E9C"/>
    <w:rsid w:val="004E6F42"/>
    <w:rsid w:val="004E6F62"/>
    <w:rsid w:val="004E70C0"/>
    <w:rsid w:val="004E719B"/>
    <w:rsid w:val="004E75A5"/>
    <w:rsid w:val="004F0038"/>
    <w:rsid w:val="004F00D6"/>
    <w:rsid w:val="004F0148"/>
    <w:rsid w:val="004F05DB"/>
    <w:rsid w:val="004F0BB6"/>
    <w:rsid w:val="004F0C06"/>
    <w:rsid w:val="004F0D51"/>
    <w:rsid w:val="004F0E0E"/>
    <w:rsid w:val="004F0EB5"/>
    <w:rsid w:val="004F0FD6"/>
    <w:rsid w:val="004F10C3"/>
    <w:rsid w:val="004F10E6"/>
    <w:rsid w:val="004F11F2"/>
    <w:rsid w:val="004F14A9"/>
    <w:rsid w:val="004F14AA"/>
    <w:rsid w:val="004F1583"/>
    <w:rsid w:val="004F16C5"/>
    <w:rsid w:val="004F16C6"/>
    <w:rsid w:val="004F17C6"/>
    <w:rsid w:val="004F181E"/>
    <w:rsid w:val="004F184F"/>
    <w:rsid w:val="004F1CEB"/>
    <w:rsid w:val="004F1E0F"/>
    <w:rsid w:val="004F206A"/>
    <w:rsid w:val="004F221A"/>
    <w:rsid w:val="004F24D1"/>
    <w:rsid w:val="004F28C4"/>
    <w:rsid w:val="004F2A42"/>
    <w:rsid w:val="004F2BE8"/>
    <w:rsid w:val="004F2E86"/>
    <w:rsid w:val="004F2F83"/>
    <w:rsid w:val="004F2FD2"/>
    <w:rsid w:val="004F30C0"/>
    <w:rsid w:val="004F3598"/>
    <w:rsid w:val="004F372D"/>
    <w:rsid w:val="004F394C"/>
    <w:rsid w:val="004F397D"/>
    <w:rsid w:val="004F3982"/>
    <w:rsid w:val="004F3CFC"/>
    <w:rsid w:val="004F3E8D"/>
    <w:rsid w:val="004F3F4E"/>
    <w:rsid w:val="004F3F72"/>
    <w:rsid w:val="004F3F74"/>
    <w:rsid w:val="004F43D9"/>
    <w:rsid w:val="004F44B1"/>
    <w:rsid w:val="004F476F"/>
    <w:rsid w:val="004F4AC7"/>
    <w:rsid w:val="004F4BDE"/>
    <w:rsid w:val="004F4C41"/>
    <w:rsid w:val="004F4DBD"/>
    <w:rsid w:val="004F4EFA"/>
    <w:rsid w:val="004F50D2"/>
    <w:rsid w:val="004F50D4"/>
    <w:rsid w:val="004F5244"/>
    <w:rsid w:val="004F52CF"/>
    <w:rsid w:val="004F556A"/>
    <w:rsid w:val="004F5572"/>
    <w:rsid w:val="004F5764"/>
    <w:rsid w:val="004F5B4E"/>
    <w:rsid w:val="004F5CEF"/>
    <w:rsid w:val="004F5E1C"/>
    <w:rsid w:val="004F5FF6"/>
    <w:rsid w:val="004F610E"/>
    <w:rsid w:val="004F64A7"/>
    <w:rsid w:val="004F6C56"/>
    <w:rsid w:val="004F7096"/>
    <w:rsid w:val="004F70A1"/>
    <w:rsid w:val="004F728B"/>
    <w:rsid w:val="004F72AF"/>
    <w:rsid w:val="004F731C"/>
    <w:rsid w:val="004F7699"/>
    <w:rsid w:val="004F7767"/>
    <w:rsid w:val="004F7CA2"/>
    <w:rsid w:val="0050007E"/>
    <w:rsid w:val="005000EB"/>
    <w:rsid w:val="00500123"/>
    <w:rsid w:val="005002A1"/>
    <w:rsid w:val="005002F4"/>
    <w:rsid w:val="00500833"/>
    <w:rsid w:val="005009F9"/>
    <w:rsid w:val="00500D12"/>
    <w:rsid w:val="00500D49"/>
    <w:rsid w:val="005010F3"/>
    <w:rsid w:val="005012EF"/>
    <w:rsid w:val="0050158A"/>
    <w:rsid w:val="00501711"/>
    <w:rsid w:val="005018A4"/>
    <w:rsid w:val="00501D5E"/>
    <w:rsid w:val="00502059"/>
    <w:rsid w:val="00502294"/>
    <w:rsid w:val="005024A3"/>
    <w:rsid w:val="00502506"/>
    <w:rsid w:val="00502B41"/>
    <w:rsid w:val="00502CF7"/>
    <w:rsid w:val="00502E9B"/>
    <w:rsid w:val="0050305F"/>
    <w:rsid w:val="00503282"/>
    <w:rsid w:val="0050335B"/>
    <w:rsid w:val="005035E0"/>
    <w:rsid w:val="005036B7"/>
    <w:rsid w:val="005037B0"/>
    <w:rsid w:val="0050385C"/>
    <w:rsid w:val="0050386D"/>
    <w:rsid w:val="00503AA3"/>
    <w:rsid w:val="00503B17"/>
    <w:rsid w:val="00503BEB"/>
    <w:rsid w:val="00503E45"/>
    <w:rsid w:val="0050444A"/>
    <w:rsid w:val="005046A5"/>
    <w:rsid w:val="00504740"/>
    <w:rsid w:val="00504C9E"/>
    <w:rsid w:val="00504D91"/>
    <w:rsid w:val="0050518B"/>
    <w:rsid w:val="0050524E"/>
    <w:rsid w:val="0050526F"/>
    <w:rsid w:val="0050541D"/>
    <w:rsid w:val="005054F6"/>
    <w:rsid w:val="0050579B"/>
    <w:rsid w:val="005057ED"/>
    <w:rsid w:val="00505B74"/>
    <w:rsid w:val="00505D40"/>
    <w:rsid w:val="00505D91"/>
    <w:rsid w:val="00505EF1"/>
    <w:rsid w:val="00505EFA"/>
    <w:rsid w:val="00505F72"/>
    <w:rsid w:val="00506008"/>
    <w:rsid w:val="005065D7"/>
    <w:rsid w:val="00506AE4"/>
    <w:rsid w:val="00506B76"/>
    <w:rsid w:val="00506C70"/>
    <w:rsid w:val="00506E8E"/>
    <w:rsid w:val="00507104"/>
    <w:rsid w:val="005071B3"/>
    <w:rsid w:val="005072A6"/>
    <w:rsid w:val="0050748F"/>
    <w:rsid w:val="00507579"/>
    <w:rsid w:val="005076B4"/>
    <w:rsid w:val="0050776A"/>
    <w:rsid w:val="005079F7"/>
    <w:rsid w:val="00507BB4"/>
    <w:rsid w:val="00507CAA"/>
    <w:rsid w:val="00507D56"/>
    <w:rsid w:val="00507E13"/>
    <w:rsid w:val="00507E19"/>
    <w:rsid w:val="00507E2A"/>
    <w:rsid w:val="00507F26"/>
    <w:rsid w:val="00507F58"/>
    <w:rsid w:val="00507F65"/>
    <w:rsid w:val="00510040"/>
    <w:rsid w:val="00510344"/>
    <w:rsid w:val="005103F1"/>
    <w:rsid w:val="00510B15"/>
    <w:rsid w:val="00510C69"/>
    <w:rsid w:val="00510D30"/>
    <w:rsid w:val="00510E14"/>
    <w:rsid w:val="00510ED1"/>
    <w:rsid w:val="00510FCB"/>
    <w:rsid w:val="005110CF"/>
    <w:rsid w:val="0051153E"/>
    <w:rsid w:val="00511686"/>
    <w:rsid w:val="00511BE7"/>
    <w:rsid w:val="00511FC0"/>
    <w:rsid w:val="005121B2"/>
    <w:rsid w:val="00512203"/>
    <w:rsid w:val="00512372"/>
    <w:rsid w:val="0051241F"/>
    <w:rsid w:val="005128D9"/>
    <w:rsid w:val="00512B3E"/>
    <w:rsid w:val="00512C01"/>
    <w:rsid w:val="00512F82"/>
    <w:rsid w:val="00513038"/>
    <w:rsid w:val="005130CD"/>
    <w:rsid w:val="0051329A"/>
    <w:rsid w:val="005134A0"/>
    <w:rsid w:val="00513542"/>
    <w:rsid w:val="00513613"/>
    <w:rsid w:val="005136CC"/>
    <w:rsid w:val="005138D2"/>
    <w:rsid w:val="005139A4"/>
    <w:rsid w:val="00513B31"/>
    <w:rsid w:val="00513BC1"/>
    <w:rsid w:val="00514135"/>
    <w:rsid w:val="0051427F"/>
    <w:rsid w:val="005142D6"/>
    <w:rsid w:val="00514453"/>
    <w:rsid w:val="00514546"/>
    <w:rsid w:val="005145D1"/>
    <w:rsid w:val="00514907"/>
    <w:rsid w:val="0051497B"/>
    <w:rsid w:val="00514A6C"/>
    <w:rsid w:val="00514B07"/>
    <w:rsid w:val="00514F21"/>
    <w:rsid w:val="0051518C"/>
    <w:rsid w:val="005153F8"/>
    <w:rsid w:val="00515564"/>
    <w:rsid w:val="005156D5"/>
    <w:rsid w:val="0051575B"/>
    <w:rsid w:val="0051581A"/>
    <w:rsid w:val="00515D7D"/>
    <w:rsid w:val="00515F62"/>
    <w:rsid w:val="00516224"/>
    <w:rsid w:val="0051633C"/>
    <w:rsid w:val="0051648D"/>
    <w:rsid w:val="005164BA"/>
    <w:rsid w:val="00516550"/>
    <w:rsid w:val="00516670"/>
    <w:rsid w:val="0051679F"/>
    <w:rsid w:val="00516A02"/>
    <w:rsid w:val="00516BE3"/>
    <w:rsid w:val="00516D2D"/>
    <w:rsid w:val="00516FAC"/>
    <w:rsid w:val="00516FC0"/>
    <w:rsid w:val="005170A8"/>
    <w:rsid w:val="00517291"/>
    <w:rsid w:val="0051730E"/>
    <w:rsid w:val="005177FB"/>
    <w:rsid w:val="0051791E"/>
    <w:rsid w:val="00517A6F"/>
    <w:rsid w:val="00517EDD"/>
    <w:rsid w:val="0052047E"/>
    <w:rsid w:val="00520610"/>
    <w:rsid w:val="00520AB4"/>
    <w:rsid w:val="00520B46"/>
    <w:rsid w:val="00520D4B"/>
    <w:rsid w:val="00521092"/>
    <w:rsid w:val="00521170"/>
    <w:rsid w:val="0052147C"/>
    <w:rsid w:val="00521D13"/>
    <w:rsid w:val="00521F76"/>
    <w:rsid w:val="005221E8"/>
    <w:rsid w:val="005223E9"/>
    <w:rsid w:val="005224DD"/>
    <w:rsid w:val="00522734"/>
    <w:rsid w:val="00522B9D"/>
    <w:rsid w:val="00522C94"/>
    <w:rsid w:val="00522CC5"/>
    <w:rsid w:val="00522CE2"/>
    <w:rsid w:val="0052311C"/>
    <w:rsid w:val="005233B9"/>
    <w:rsid w:val="00523523"/>
    <w:rsid w:val="0052354C"/>
    <w:rsid w:val="00523590"/>
    <w:rsid w:val="00523F96"/>
    <w:rsid w:val="005241E1"/>
    <w:rsid w:val="00524392"/>
    <w:rsid w:val="005245C9"/>
    <w:rsid w:val="005246C5"/>
    <w:rsid w:val="00524A1F"/>
    <w:rsid w:val="00524B04"/>
    <w:rsid w:val="00524D8F"/>
    <w:rsid w:val="00524DFC"/>
    <w:rsid w:val="00524DFF"/>
    <w:rsid w:val="00524EE6"/>
    <w:rsid w:val="0052542C"/>
    <w:rsid w:val="00525890"/>
    <w:rsid w:val="00525C28"/>
    <w:rsid w:val="00525C45"/>
    <w:rsid w:val="00525D18"/>
    <w:rsid w:val="00525E18"/>
    <w:rsid w:val="00525EB5"/>
    <w:rsid w:val="00526174"/>
    <w:rsid w:val="005263A9"/>
    <w:rsid w:val="00526439"/>
    <w:rsid w:val="00526749"/>
    <w:rsid w:val="0052676F"/>
    <w:rsid w:val="005269F8"/>
    <w:rsid w:val="00526ADC"/>
    <w:rsid w:val="00526B8C"/>
    <w:rsid w:val="00526BC9"/>
    <w:rsid w:val="00526D5E"/>
    <w:rsid w:val="00526E51"/>
    <w:rsid w:val="00526FE7"/>
    <w:rsid w:val="00526FF3"/>
    <w:rsid w:val="00527111"/>
    <w:rsid w:val="0052758C"/>
    <w:rsid w:val="0052773D"/>
    <w:rsid w:val="005278D5"/>
    <w:rsid w:val="00527C09"/>
    <w:rsid w:val="00527DEA"/>
    <w:rsid w:val="00527E18"/>
    <w:rsid w:val="00527F9B"/>
    <w:rsid w:val="00527FBA"/>
    <w:rsid w:val="00530074"/>
    <w:rsid w:val="0053007D"/>
    <w:rsid w:val="0053035B"/>
    <w:rsid w:val="00530582"/>
    <w:rsid w:val="005308F8"/>
    <w:rsid w:val="005309EC"/>
    <w:rsid w:val="00530E23"/>
    <w:rsid w:val="0053130E"/>
    <w:rsid w:val="00531339"/>
    <w:rsid w:val="005313C1"/>
    <w:rsid w:val="00531447"/>
    <w:rsid w:val="00531538"/>
    <w:rsid w:val="00531858"/>
    <w:rsid w:val="00531899"/>
    <w:rsid w:val="00531B7E"/>
    <w:rsid w:val="00531BB3"/>
    <w:rsid w:val="00531C78"/>
    <w:rsid w:val="00531C81"/>
    <w:rsid w:val="00531E2F"/>
    <w:rsid w:val="00531E57"/>
    <w:rsid w:val="005321B5"/>
    <w:rsid w:val="005326B1"/>
    <w:rsid w:val="00532730"/>
    <w:rsid w:val="005328A3"/>
    <w:rsid w:val="005329CF"/>
    <w:rsid w:val="0053310E"/>
    <w:rsid w:val="0053311C"/>
    <w:rsid w:val="005333BC"/>
    <w:rsid w:val="00533483"/>
    <w:rsid w:val="00533595"/>
    <w:rsid w:val="00533B96"/>
    <w:rsid w:val="00533C96"/>
    <w:rsid w:val="00533D92"/>
    <w:rsid w:val="00533E97"/>
    <w:rsid w:val="0053407B"/>
    <w:rsid w:val="005343C4"/>
    <w:rsid w:val="0053464E"/>
    <w:rsid w:val="00534B53"/>
    <w:rsid w:val="00534CC2"/>
    <w:rsid w:val="00534D3E"/>
    <w:rsid w:val="0053501C"/>
    <w:rsid w:val="00535500"/>
    <w:rsid w:val="005358D0"/>
    <w:rsid w:val="00535A54"/>
    <w:rsid w:val="00535B01"/>
    <w:rsid w:val="00535B72"/>
    <w:rsid w:val="00535EA5"/>
    <w:rsid w:val="00535FEE"/>
    <w:rsid w:val="0053602B"/>
    <w:rsid w:val="00536476"/>
    <w:rsid w:val="005364C0"/>
    <w:rsid w:val="00536513"/>
    <w:rsid w:val="00536630"/>
    <w:rsid w:val="00536791"/>
    <w:rsid w:val="005368BE"/>
    <w:rsid w:val="00536AF9"/>
    <w:rsid w:val="00536D64"/>
    <w:rsid w:val="00536E2D"/>
    <w:rsid w:val="005370E8"/>
    <w:rsid w:val="005372BC"/>
    <w:rsid w:val="0053737F"/>
    <w:rsid w:val="005375F2"/>
    <w:rsid w:val="00537709"/>
    <w:rsid w:val="00537719"/>
    <w:rsid w:val="00537840"/>
    <w:rsid w:val="0053784E"/>
    <w:rsid w:val="0053788F"/>
    <w:rsid w:val="00537A44"/>
    <w:rsid w:val="00537BC8"/>
    <w:rsid w:val="005400B6"/>
    <w:rsid w:val="0054017D"/>
    <w:rsid w:val="005402B5"/>
    <w:rsid w:val="00540477"/>
    <w:rsid w:val="0054052B"/>
    <w:rsid w:val="0054055A"/>
    <w:rsid w:val="0054059F"/>
    <w:rsid w:val="005405DB"/>
    <w:rsid w:val="00540779"/>
    <w:rsid w:val="005407B3"/>
    <w:rsid w:val="005407D4"/>
    <w:rsid w:val="00540930"/>
    <w:rsid w:val="005409F9"/>
    <w:rsid w:val="00540A9A"/>
    <w:rsid w:val="00540D25"/>
    <w:rsid w:val="00540F9A"/>
    <w:rsid w:val="00541013"/>
    <w:rsid w:val="0054135E"/>
    <w:rsid w:val="005413EC"/>
    <w:rsid w:val="0054162C"/>
    <w:rsid w:val="0054173B"/>
    <w:rsid w:val="00541B48"/>
    <w:rsid w:val="00541BCC"/>
    <w:rsid w:val="00541EB0"/>
    <w:rsid w:val="00542713"/>
    <w:rsid w:val="00542916"/>
    <w:rsid w:val="0054295F"/>
    <w:rsid w:val="00542A7B"/>
    <w:rsid w:val="00542BEC"/>
    <w:rsid w:val="005430B6"/>
    <w:rsid w:val="005431EE"/>
    <w:rsid w:val="0054330C"/>
    <w:rsid w:val="005434FE"/>
    <w:rsid w:val="00543716"/>
    <w:rsid w:val="0054373F"/>
    <w:rsid w:val="005437BA"/>
    <w:rsid w:val="005437CB"/>
    <w:rsid w:val="00543981"/>
    <w:rsid w:val="00543A5B"/>
    <w:rsid w:val="00543BEE"/>
    <w:rsid w:val="00543D30"/>
    <w:rsid w:val="00543D66"/>
    <w:rsid w:val="00543D9D"/>
    <w:rsid w:val="00543DFF"/>
    <w:rsid w:val="00543E8F"/>
    <w:rsid w:val="0054406C"/>
    <w:rsid w:val="005440C4"/>
    <w:rsid w:val="005440C9"/>
    <w:rsid w:val="005441AF"/>
    <w:rsid w:val="00544269"/>
    <w:rsid w:val="0054432D"/>
    <w:rsid w:val="00544661"/>
    <w:rsid w:val="005446E8"/>
    <w:rsid w:val="005447B9"/>
    <w:rsid w:val="0054486B"/>
    <w:rsid w:val="0054498A"/>
    <w:rsid w:val="00544B1B"/>
    <w:rsid w:val="00544CD7"/>
    <w:rsid w:val="00544DED"/>
    <w:rsid w:val="00544EA9"/>
    <w:rsid w:val="00544F16"/>
    <w:rsid w:val="00545140"/>
    <w:rsid w:val="005451A5"/>
    <w:rsid w:val="00545320"/>
    <w:rsid w:val="0054535C"/>
    <w:rsid w:val="00545468"/>
    <w:rsid w:val="005455C2"/>
    <w:rsid w:val="00545683"/>
    <w:rsid w:val="00545C37"/>
    <w:rsid w:val="00545C5E"/>
    <w:rsid w:val="00545CC0"/>
    <w:rsid w:val="00545D0E"/>
    <w:rsid w:val="00546004"/>
    <w:rsid w:val="00546032"/>
    <w:rsid w:val="00546497"/>
    <w:rsid w:val="005466F0"/>
    <w:rsid w:val="005469F3"/>
    <w:rsid w:val="00546ABB"/>
    <w:rsid w:val="00546B21"/>
    <w:rsid w:val="00546B63"/>
    <w:rsid w:val="00546FF5"/>
    <w:rsid w:val="005472AB"/>
    <w:rsid w:val="00547506"/>
    <w:rsid w:val="005478E5"/>
    <w:rsid w:val="00547B79"/>
    <w:rsid w:val="00547BA9"/>
    <w:rsid w:val="00547F0C"/>
    <w:rsid w:val="00547FDA"/>
    <w:rsid w:val="00550250"/>
    <w:rsid w:val="00550393"/>
    <w:rsid w:val="005503E1"/>
    <w:rsid w:val="00550403"/>
    <w:rsid w:val="0055053A"/>
    <w:rsid w:val="00550687"/>
    <w:rsid w:val="005508D2"/>
    <w:rsid w:val="005509A4"/>
    <w:rsid w:val="005509D1"/>
    <w:rsid w:val="00550EEC"/>
    <w:rsid w:val="00550F1E"/>
    <w:rsid w:val="00550F3E"/>
    <w:rsid w:val="005511F9"/>
    <w:rsid w:val="00551227"/>
    <w:rsid w:val="00551325"/>
    <w:rsid w:val="00551340"/>
    <w:rsid w:val="005513F6"/>
    <w:rsid w:val="005517F7"/>
    <w:rsid w:val="00551874"/>
    <w:rsid w:val="00551AF7"/>
    <w:rsid w:val="00551B8A"/>
    <w:rsid w:val="00551E61"/>
    <w:rsid w:val="00551EF1"/>
    <w:rsid w:val="00551F7D"/>
    <w:rsid w:val="00552115"/>
    <w:rsid w:val="00552285"/>
    <w:rsid w:val="0055257A"/>
    <w:rsid w:val="00552987"/>
    <w:rsid w:val="0055299B"/>
    <w:rsid w:val="005529DB"/>
    <w:rsid w:val="005529E5"/>
    <w:rsid w:val="00552AF4"/>
    <w:rsid w:val="00552C42"/>
    <w:rsid w:val="00552C88"/>
    <w:rsid w:val="00552DCC"/>
    <w:rsid w:val="00552F8D"/>
    <w:rsid w:val="005530F0"/>
    <w:rsid w:val="00553468"/>
    <w:rsid w:val="00553491"/>
    <w:rsid w:val="005534E4"/>
    <w:rsid w:val="0055353A"/>
    <w:rsid w:val="005536B0"/>
    <w:rsid w:val="00553776"/>
    <w:rsid w:val="0055388A"/>
    <w:rsid w:val="0055393E"/>
    <w:rsid w:val="00553ADE"/>
    <w:rsid w:val="00553BF6"/>
    <w:rsid w:val="00553F3F"/>
    <w:rsid w:val="0055401B"/>
    <w:rsid w:val="00554035"/>
    <w:rsid w:val="00554037"/>
    <w:rsid w:val="005540EB"/>
    <w:rsid w:val="005549F0"/>
    <w:rsid w:val="00554A29"/>
    <w:rsid w:val="00554A8F"/>
    <w:rsid w:val="005550DB"/>
    <w:rsid w:val="00555496"/>
    <w:rsid w:val="0055551C"/>
    <w:rsid w:val="0055564C"/>
    <w:rsid w:val="005558CB"/>
    <w:rsid w:val="0055599A"/>
    <w:rsid w:val="00555B75"/>
    <w:rsid w:val="00555C90"/>
    <w:rsid w:val="00555CD2"/>
    <w:rsid w:val="00555F10"/>
    <w:rsid w:val="00555F32"/>
    <w:rsid w:val="00555F39"/>
    <w:rsid w:val="00556031"/>
    <w:rsid w:val="005560B3"/>
    <w:rsid w:val="005560E4"/>
    <w:rsid w:val="00556100"/>
    <w:rsid w:val="005561D9"/>
    <w:rsid w:val="0055642D"/>
    <w:rsid w:val="005564BC"/>
    <w:rsid w:val="0055658F"/>
    <w:rsid w:val="00556590"/>
    <w:rsid w:val="005566CC"/>
    <w:rsid w:val="00556A9F"/>
    <w:rsid w:val="00556BF4"/>
    <w:rsid w:val="005573C5"/>
    <w:rsid w:val="005574D8"/>
    <w:rsid w:val="005575C2"/>
    <w:rsid w:val="005578E9"/>
    <w:rsid w:val="00557900"/>
    <w:rsid w:val="0055796E"/>
    <w:rsid w:val="005579AD"/>
    <w:rsid w:val="00557ABD"/>
    <w:rsid w:val="00560406"/>
    <w:rsid w:val="00560786"/>
    <w:rsid w:val="005608FF"/>
    <w:rsid w:val="00560A00"/>
    <w:rsid w:val="00560C6E"/>
    <w:rsid w:val="00560D6A"/>
    <w:rsid w:val="00560DAC"/>
    <w:rsid w:val="00561462"/>
    <w:rsid w:val="005614B8"/>
    <w:rsid w:val="005615EF"/>
    <w:rsid w:val="005617FE"/>
    <w:rsid w:val="0056193E"/>
    <w:rsid w:val="00561A49"/>
    <w:rsid w:val="00561D0D"/>
    <w:rsid w:val="00561E62"/>
    <w:rsid w:val="0056239F"/>
    <w:rsid w:val="005626E0"/>
    <w:rsid w:val="00562782"/>
    <w:rsid w:val="00562821"/>
    <w:rsid w:val="00562891"/>
    <w:rsid w:val="0056292B"/>
    <w:rsid w:val="00562BE4"/>
    <w:rsid w:val="00562CC6"/>
    <w:rsid w:val="00562D10"/>
    <w:rsid w:val="00562E84"/>
    <w:rsid w:val="00562EF0"/>
    <w:rsid w:val="00562FE5"/>
    <w:rsid w:val="00563148"/>
    <w:rsid w:val="005633B4"/>
    <w:rsid w:val="005633C2"/>
    <w:rsid w:val="00563792"/>
    <w:rsid w:val="00563B66"/>
    <w:rsid w:val="00563BE8"/>
    <w:rsid w:val="00563F40"/>
    <w:rsid w:val="0056405B"/>
    <w:rsid w:val="005643B7"/>
    <w:rsid w:val="0056450E"/>
    <w:rsid w:val="005647DA"/>
    <w:rsid w:val="005647F4"/>
    <w:rsid w:val="00564912"/>
    <w:rsid w:val="0056499A"/>
    <w:rsid w:val="00564AF9"/>
    <w:rsid w:val="00564C00"/>
    <w:rsid w:val="00564E8F"/>
    <w:rsid w:val="00564F67"/>
    <w:rsid w:val="00564F9F"/>
    <w:rsid w:val="0056540F"/>
    <w:rsid w:val="00565491"/>
    <w:rsid w:val="005655E8"/>
    <w:rsid w:val="005657CF"/>
    <w:rsid w:val="00565AC2"/>
    <w:rsid w:val="00565AC3"/>
    <w:rsid w:val="00566046"/>
    <w:rsid w:val="005662C5"/>
    <w:rsid w:val="00566339"/>
    <w:rsid w:val="00566411"/>
    <w:rsid w:val="005667E7"/>
    <w:rsid w:val="00566847"/>
    <w:rsid w:val="00566898"/>
    <w:rsid w:val="00566B57"/>
    <w:rsid w:val="00566CA5"/>
    <w:rsid w:val="00566DBC"/>
    <w:rsid w:val="00566DF2"/>
    <w:rsid w:val="0056708C"/>
    <w:rsid w:val="0056710F"/>
    <w:rsid w:val="005671E2"/>
    <w:rsid w:val="0056720F"/>
    <w:rsid w:val="00567359"/>
    <w:rsid w:val="00567489"/>
    <w:rsid w:val="0056776B"/>
    <w:rsid w:val="00567BB9"/>
    <w:rsid w:val="00567BCE"/>
    <w:rsid w:val="00567D3E"/>
    <w:rsid w:val="00567E00"/>
    <w:rsid w:val="0057019A"/>
    <w:rsid w:val="0057055B"/>
    <w:rsid w:val="00570795"/>
    <w:rsid w:val="005709BC"/>
    <w:rsid w:val="00570C1C"/>
    <w:rsid w:val="00570D70"/>
    <w:rsid w:val="0057129D"/>
    <w:rsid w:val="00571307"/>
    <w:rsid w:val="005714C9"/>
    <w:rsid w:val="00571847"/>
    <w:rsid w:val="00571A4E"/>
    <w:rsid w:val="00571A5E"/>
    <w:rsid w:val="00571ADD"/>
    <w:rsid w:val="00571B73"/>
    <w:rsid w:val="00571E1F"/>
    <w:rsid w:val="00571F0E"/>
    <w:rsid w:val="00571FBD"/>
    <w:rsid w:val="0057277B"/>
    <w:rsid w:val="005727C9"/>
    <w:rsid w:val="005728AE"/>
    <w:rsid w:val="00572E99"/>
    <w:rsid w:val="00572EB9"/>
    <w:rsid w:val="00572FC5"/>
    <w:rsid w:val="005730E3"/>
    <w:rsid w:val="005732C4"/>
    <w:rsid w:val="0057347D"/>
    <w:rsid w:val="00573569"/>
    <w:rsid w:val="005735CC"/>
    <w:rsid w:val="005735D0"/>
    <w:rsid w:val="005737C3"/>
    <w:rsid w:val="005738C0"/>
    <w:rsid w:val="005739A7"/>
    <w:rsid w:val="00573ADE"/>
    <w:rsid w:val="00573D24"/>
    <w:rsid w:val="005742DA"/>
    <w:rsid w:val="0057432D"/>
    <w:rsid w:val="005744BB"/>
    <w:rsid w:val="00574816"/>
    <w:rsid w:val="00574857"/>
    <w:rsid w:val="00574915"/>
    <w:rsid w:val="00574A64"/>
    <w:rsid w:val="00574B2B"/>
    <w:rsid w:val="00574C65"/>
    <w:rsid w:val="00574DB2"/>
    <w:rsid w:val="00575011"/>
    <w:rsid w:val="005751A3"/>
    <w:rsid w:val="00575279"/>
    <w:rsid w:val="00575915"/>
    <w:rsid w:val="00575ACF"/>
    <w:rsid w:val="00575F05"/>
    <w:rsid w:val="00576009"/>
    <w:rsid w:val="00576370"/>
    <w:rsid w:val="00576549"/>
    <w:rsid w:val="00576576"/>
    <w:rsid w:val="00576715"/>
    <w:rsid w:val="00576759"/>
    <w:rsid w:val="005767BC"/>
    <w:rsid w:val="00576A30"/>
    <w:rsid w:val="00576AA4"/>
    <w:rsid w:val="00576BD3"/>
    <w:rsid w:val="00576E20"/>
    <w:rsid w:val="00576FBD"/>
    <w:rsid w:val="00576FE1"/>
    <w:rsid w:val="00577016"/>
    <w:rsid w:val="00577035"/>
    <w:rsid w:val="005771B4"/>
    <w:rsid w:val="00577291"/>
    <w:rsid w:val="005773A5"/>
    <w:rsid w:val="005776A2"/>
    <w:rsid w:val="00577BB5"/>
    <w:rsid w:val="00577BC3"/>
    <w:rsid w:val="00577C8E"/>
    <w:rsid w:val="00577F04"/>
    <w:rsid w:val="00577F33"/>
    <w:rsid w:val="0058017A"/>
    <w:rsid w:val="00580414"/>
    <w:rsid w:val="005804A9"/>
    <w:rsid w:val="0058069B"/>
    <w:rsid w:val="005815EA"/>
    <w:rsid w:val="0058165E"/>
    <w:rsid w:val="0058174A"/>
    <w:rsid w:val="0058176F"/>
    <w:rsid w:val="00581991"/>
    <w:rsid w:val="00581A39"/>
    <w:rsid w:val="00581E62"/>
    <w:rsid w:val="00581F15"/>
    <w:rsid w:val="00581F28"/>
    <w:rsid w:val="0058203A"/>
    <w:rsid w:val="0058204E"/>
    <w:rsid w:val="005822EA"/>
    <w:rsid w:val="00582378"/>
    <w:rsid w:val="0058266C"/>
    <w:rsid w:val="00582861"/>
    <w:rsid w:val="005829DA"/>
    <w:rsid w:val="00582B78"/>
    <w:rsid w:val="00582ED8"/>
    <w:rsid w:val="00582F1F"/>
    <w:rsid w:val="00582F21"/>
    <w:rsid w:val="0058340F"/>
    <w:rsid w:val="0058354B"/>
    <w:rsid w:val="0058362E"/>
    <w:rsid w:val="0058367A"/>
    <w:rsid w:val="00583AC6"/>
    <w:rsid w:val="00583C55"/>
    <w:rsid w:val="00583C9F"/>
    <w:rsid w:val="00583CAA"/>
    <w:rsid w:val="00583F61"/>
    <w:rsid w:val="00583FB0"/>
    <w:rsid w:val="0058435D"/>
    <w:rsid w:val="0058438A"/>
    <w:rsid w:val="005847AB"/>
    <w:rsid w:val="005848B7"/>
    <w:rsid w:val="00584D92"/>
    <w:rsid w:val="00584E74"/>
    <w:rsid w:val="00584F4F"/>
    <w:rsid w:val="005850B6"/>
    <w:rsid w:val="00585367"/>
    <w:rsid w:val="005853B6"/>
    <w:rsid w:val="005858B5"/>
    <w:rsid w:val="005859CD"/>
    <w:rsid w:val="005859FD"/>
    <w:rsid w:val="00585D51"/>
    <w:rsid w:val="00585DC2"/>
    <w:rsid w:val="00586028"/>
    <w:rsid w:val="005860F8"/>
    <w:rsid w:val="005863E2"/>
    <w:rsid w:val="00586460"/>
    <w:rsid w:val="00586681"/>
    <w:rsid w:val="0058678D"/>
    <w:rsid w:val="00586980"/>
    <w:rsid w:val="00586984"/>
    <w:rsid w:val="005869FD"/>
    <w:rsid w:val="00586A24"/>
    <w:rsid w:val="00586BB7"/>
    <w:rsid w:val="005871C5"/>
    <w:rsid w:val="00587365"/>
    <w:rsid w:val="00587484"/>
    <w:rsid w:val="00587508"/>
    <w:rsid w:val="0058755A"/>
    <w:rsid w:val="00587D3A"/>
    <w:rsid w:val="00590087"/>
    <w:rsid w:val="00590316"/>
    <w:rsid w:val="0059050D"/>
    <w:rsid w:val="005906A9"/>
    <w:rsid w:val="005907B2"/>
    <w:rsid w:val="005907DE"/>
    <w:rsid w:val="00590AB5"/>
    <w:rsid w:val="005911AC"/>
    <w:rsid w:val="005912B3"/>
    <w:rsid w:val="005912E8"/>
    <w:rsid w:val="00591340"/>
    <w:rsid w:val="005915D4"/>
    <w:rsid w:val="00591824"/>
    <w:rsid w:val="00591838"/>
    <w:rsid w:val="005919A4"/>
    <w:rsid w:val="00591B0B"/>
    <w:rsid w:val="00591EBC"/>
    <w:rsid w:val="00591F2D"/>
    <w:rsid w:val="00591FB1"/>
    <w:rsid w:val="00591FE5"/>
    <w:rsid w:val="005920A8"/>
    <w:rsid w:val="00592563"/>
    <w:rsid w:val="005929AF"/>
    <w:rsid w:val="00592A9E"/>
    <w:rsid w:val="00592AE3"/>
    <w:rsid w:val="00592BFB"/>
    <w:rsid w:val="00592CAF"/>
    <w:rsid w:val="00592E01"/>
    <w:rsid w:val="00592E21"/>
    <w:rsid w:val="00592E98"/>
    <w:rsid w:val="0059329F"/>
    <w:rsid w:val="00593484"/>
    <w:rsid w:val="00593BA8"/>
    <w:rsid w:val="005940B2"/>
    <w:rsid w:val="005941BF"/>
    <w:rsid w:val="005942DB"/>
    <w:rsid w:val="005943CD"/>
    <w:rsid w:val="00594559"/>
    <w:rsid w:val="0059464A"/>
    <w:rsid w:val="00594813"/>
    <w:rsid w:val="00594832"/>
    <w:rsid w:val="00594932"/>
    <w:rsid w:val="00594DED"/>
    <w:rsid w:val="00594E4C"/>
    <w:rsid w:val="00594EFE"/>
    <w:rsid w:val="005952DA"/>
    <w:rsid w:val="00595396"/>
    <w:rsid w:val="00595424"/>
    <w:rsid w:val="0059545B"/>
    <w:rsid w:val="00595558"/>
    <w:rsid w:val="0059559E"/>
    <w:rsid w:val="005956E4"/>
    <w:rsid w:val="00595AAB"/>
    <w:rsid w:val="00595D5E"/>
    <w:rsid w:val="00595DC2"/>
    <w:rsid w:val="00595DCD"/>
    <w:rsid w:val="00595E74"/>
    <w:rsid w:val="00595FDC"/>
    <w:rsid w:val="00596015"/>
    <w:rsid w:val="00596393"/>
    <w:rsid w:val="00596528"/>
    <w:rsid w:val="005968DF"/>
    <w:rsid w:val="00596A2B"/>
    <w:rsid w:val="00596A8F"/>
    <w:rsid w:val="00596B13"/>
    <w:rsid w:val="00596BC4"/>
    <w:rsid w:val="00596EF6"/>
    <w:rsid w:val="00596F94"/>
    <w:rsid w:val="00596FB2"/>
    <w:rsid w:val="0059726B"/>
    <w:rsid w:val="00597394"/>
    <w:rsid w:val="005973A6"/>
    <w:rsid w:val="005974A9"/>
    <w:rsid w:val="005974EA"/>
    <w:rsid w:val="005975C2"/>
    <w:rsid w:val="00597639"/>
    <w:rsid w:val="005976A2"/>
    <w:rsid w:val="005976E8"/>
    <w:rsid w:val="00597D1E"/>
    <w:rsid w:val="00597F64"/>
    <w:rsid w:val="005A010E"/>
    <w:rsid w:val="005A028A"/>
    <w:rsid w:val="005A096E"/>
    <w:rsid w:val="005A0983"/>
    <w:rsid w:val="005A0AA6"/>
    <w:rsid w:val="005A11C5"/>
    <w:rsid w:val="005A13C4"/>
    <w:rsid w:val="005A1608"/>
    <w:rsid w:val="005A16A0"/>
    <w:rsid w:val="005A1824"/>
    <w:rsid w:val="005A188C"/>
    <w:rsid w:val="005A1A56"/>
    <w:rsid w:val="005A1BA2"/>
    <w:rsid w:val="005A21AB"/>
    <w:rsid w:val="005A22C5"/>
    <w:rsid w:val="005A2449"/>
    <w:rsid w:val="005A25DD"/>
    <w:rsid w:val="005A2711"/>
    <w:rsid w:val="005A2870"/>
    <w:rsid w:val="005A2C1A"/>
    <w:rsid w:val="005A2DD8"/>
    <w:rsid w:val="005A30C0"/>
    <w:rsid w:val="005A33D0"/>
    <w:rsid w:val="005A3557"/>
    <w:rsid w:val="005A36F0"/>
    <w:rsid w:val="005A3894"/>
    <w:rsid w:val="005A38F2"/>
    <w:rsid w:val="005A3CDF"/>
    <w:rsid w:val="005A3D50"/>
    <w:rsid w:val="005A3D75"/>
    <w:rsid w:val="005A3E97"/>
    <w:rsid w:val="005A40B0"/>
    <w:rsid w:val="005A43CC"/>
    <w:rsid w:val="005A4525"/>
    <w:rsid w:val="005A4884"/>
    <w:rsid w:val="005A48AA"/>
    <w:rsid w:val="005A4C44"/>
    <w:rsid w:val="005A4CFD"/>
    <w:rsid w:val="005A4D14"/>
    <w:rsid w:val="005A4DDE"/>
    <w:rsid w:val="005A50B9"/>
    <w:rsid w:val="005A56BD"/>
    <w:rsid w:val="005A5BC4"/>
    <w:rsid w:val="005A5C9C"/>
    <w:rsid w:val="005A5D23"/>
    <w:rsid w:val="005A5F8A"/>
    <w:rsid w:val="005A60E1"/>
    <w:rsid w:val="005A615C"/>
    <w:rsid w:val="005A61BD"/>
    <w:rsid w:val="005A6321"/>
    <w:rsid w:val="005A6958"/>
    <w:rsid w:val="005A6C9F"/>
    <w:rsid w:val="005A6DD9"/>
    <w:rsid w:val="005A6FB5"/>
    <w:rsid w:val="005A7097"/>
    <w:rsid w:val="005A71F1"/>
    <w:rsid w:val="005A7234"/>
    <w:rsid w:val="005A7307"/>
    <w:rsid w:val="005A732B"/>
    <w:rsid w:val="005A73D2"/>
    <w:rsid w:val="005A74BC"/>
    <w:rsid w:val="005A74F4"/>
    <w:rsid w:val="005A75EF"/>
    <w:rsid w:val="005A76E8"/>
    <w:rsid w:val="005A7828"/>
    <w:rsid w:val="005A782E"/>
    <w:rsid w:val="005A78B4"/>
    <w:rsid w:val="005A79DC"/>
    <w:rsid w:val="005A7AD8"/>
    <w:rsid w:val="005A7B2A"/>
    <w:rsid w:val="005A7D24"/>
    <w:rsid w:val="005A7D4F"/>
    <w:rsid w:val="005A7F23"/>
    <w:rsid w:val="005AD069"/>
    <w:rsid w:val="005B00CD"/>
    <w:rsid w:val="005B0259"/>
    <w:rsid w:val="005B0318"/>
    <w:rsid w:val="005B04A5"/>
    <w:rsid w:val="005B0540"/>
    <w:rsid w:val="005B0677"/>
    <w:rsid w:val="005B0683"/>
    <w:rsid w:val="005B06DC"/>
    <w:rsid w:val="005B0711"/>
    <w:rsid w:val="005B0774"/>
    <w:rsid w:val="005B1343"/>
    <w:rsid w:val="005B142C"/>
    <w:rsid w:val="005B152A"/>
    <w:rsid w:val="005B1556"/>
    <w:rsid w:val="005B1788"/>
    <w:rsid w:val="005B1E2D"/>
    <w:rsid w:val="005B228A"/>
    <w:rsid w:val="005B243F"/>
    <w:rsid w:val="005B2BE3"/>
    <w:rsid w:val="005B2C03"/>
    <w:rsid w:val="005B2DC8"/>
    <w:rsid w:val="005B2DDF"/>
    <w:rsid w:val="005B2E90"/>
    <w:rsid w:val="005B2EC8"/>
    <w:rsid w:val="005B301B"/>
    <w:rsid w:val="005B3074"/>
    <w:rsid w:val="005B316C"/>
    <w:rsid w:val="005B3305"/>
    <w:rsid w:val="005B33AD"/>
    <w:rsid w:val="005B363F"/>
    <w:rsid w:val="005B3A31"/>
    <w:rsid w:val="005B3AB3"/>
    <w:rsid w:val="005B3D6B"/>
    <w:rsid w:val="005B3DC5"/>
    <w:rsid w:val="005B3E29"/>
    <w:rsid w:val="005B3F4F"/>
    <w:rsid w:val="005B3FCA"/>
    <w:rsid w:val="005B4261"/>
    <w:rsid w:val="005B438D"/>
    <w:rsid w:val="005B45B8"/>
    <w:rsid w:val="005B4711"/>
    <w:rsid w:val="005B47B7"/>
    <w:rsid w:val="005B47FD"/>
    <w:rsid w:val="005B4858"/>
    <w:rsid w:val="005B49FB"/>
    <w:rsid w:val="005B4C58"/>
    <w:rsid w:val="005B4C99"/>
    <w:rsid w:val="005B540B"/>
    <w:rsid w:val="005B5571"/>
    <w:rsid w:val="005B5849"/>
    <w:rsid w:val="005B58B4"/>
    <w:rsid w:val="005B5B0D"/>
    <w:rsid w:val="005B5B81"/>
    <w:rsid w:val="005B5DF3"/>
    <w:rsid w:val="005B5E36"/>
    <w:rsid w:val="005B6033"/>
    <w:rsid w:val="005B6048"/>
    <w:rsid w:val="005B60F9"/>
    <w:rsid w:val="005B62CA"/>
    <w:rsid w:val="005B62FB"/>
    <w:rsid w:val="005B63BA"/>
    <w:rsid w:val="005B63F7"/>
    <w:rsid w:val="005B64CE"/>
    <w:rsid w:val="005B64D9"/>
    <w:rsid w:val="005B6744"/>
    <w:rsid w:val="005B690F"/>
    <w:rsid w:val="005B6ADA"/>
    <w:rsid w:val="005B6CED"/>
    <w:rsid w:val="005B6DDB"/>
    <w:rsid w:val="005B6F4D"/>
    <w:rsid w:val="005B6F97"/>
    <w:rsid w:val="005B7056"/>
    <w:rsid w:val="005B7157"/>
    <w:rsid w:val="005B727D"/>
    <w:rsid w:val="005B7409"/>
    <w:rsid w:val="005B7844"/>
    <w:rsid w:val="005B78B0"/>
    <w:rsid w:val="005B7A7D"/>
    <w:rsid w:val="005B7B1C"/>
    <w:rsid w:val="005B7C1F"/>
    <w:rsid w:val="005B7D8A"/>
    <w:rsid w:val="005B7E42"/>
    <w:rsid w:val="005B7E85"/>
    <w:rsid w:val="005B7F4B"/>
    <w:rsid w:val="005C0107"/>
    <w:rsid w:val="005C02FC"/>
    <w:rsid w:val="005C0314"/>
    <w:rsid w:val="005C03A2"/>
    <w:rsid w:val="005C04BA"/>
    <w:rsid w:val="005C0831"/>
    <w:rsid w:val="005C0CA6"/>
    <w:rsid w:val="005C1088"/>
    <w:rsid w:val="005C121E"/>
    <w:rsid w:val="005C13B5"/>
    <w:rsid w:val="005C1714"/>
    <w:rsid w:val="005C1BB1"/>
    <w:rsid w:val="005C1BC6"/>
    <w:rsid w:val="005C1F52"/>
    <w:rsid w:val="005C210B"/>
    <w:rsid w:val="005C2122"/>
    <w:rsid w:val="005C251C"/>
    <w:rsid w:val="005C2536"/>
    <w:rsid w:val="005C25A4"/>
    <w:rsid w:val="005C2609"/>
    <w:rsid w:val="005C2725"/>
    <w:rsid w:val="005C295F"/>
    <w:rsid w:val="005C2A15"/>
    <w:rsid w:val="005C2AAF"/>
    <w:rsid w:val="005C2ADB"/>
    <w:rsid w:val="005C2CED"/>
    <w:rsid w:val="005C3210"/>
    <w:rsid w:val="005C35DA"/>
    <w:rsid w:val="005C367D"/>
    <w:rsid w:val="005C372F"/>
    <w:rsid w:val="005C3B95"/>
    <w:rsid w:val="005C3DFF"/>
    <w:rsid w:val="005C4079"/>
    <w:rsid w:val="005C423E"/>
    <w:rsid w:val="005C432F"/>
    <w:rsid w:val="005C44EC"/>
    <w:rsid w:val="005C455E"/>
    <w:rsid w:val="005C47AF"/>
    <w:rsid w:val="005C48A9"/>
    <w:rsid w:val="005C48BC"/>
    <w:rsid w:val="005C4D3E"/>
    <w:rsid w:val="005C4DA0"/>
    <w:rsid w:val="005C4F09"/>
    <w:rsid w:val="005C5079"/>
    <w:rsid w:val="005C5104"/>
    <w:rsid w:val="005C514C"/>
    <w:rsid w:val="005C516B"/>
    <w:rsid w:val="005C51FA"/>
    <w:rsid w:val="005C530E"/>
    <w:rsid w:val="005C53FD"/>
    <w:rsid w:val="005C5603"/>
    <w:rsid w:val="005C5B4A"/>
    <w:rsid w:val="005C5BFB"/>
    <w:rsid w:val="005C5C55"/>
    <w:rsid w:val="005C5D0A"/>
    <w:rsid w:val="005C6004"/>
    <w:rsid w:val="005C603D"/>
    <w:rsid w:val="005C60BD"/>
    <w:rsid w:val="005C69A1"/>
    <w:rsid w:val="005C6BAD"/>
    <w:rsid w:val="005C747B"/>
    <w:rsid w:val="005C7881"/>
    <w:rsid w:val="005C78A2"/>
    <w:rsid w:val="005C7AE0"/>
    <w:rsid w:val="005C7C8B"/>
    <w:rsid w:val="005C7CC7"/>
    <w:rsid w:val="005C7FEA"/>
    <w:rsid w:val="005D0471"/>
    <w:rsid w:val="005D0547"/>
    <w:rsid w:val="005D0A3A"/>
    <w:rsid w:val="005D0A7B"/>
    <w:rsid w:val="005D0F1B"/>
    <w:rsid w:val="005D0FDF"/>
    <w:rsid w:val="005D12FA"/>
    <w:rsid w:val="005D13BC"/>
    <w:rsid w:val="005D1418"/>
    <w:rsid w:val="005D1448"/>
    <w:rsid w:val="005D14B1"/>
    <w:rsid w:val="005D14EB"/>
    <w:rsid w:val="005D1751"/>
    <w:rsid w:val="005D1781"/>
    <w:rsid w:val="005D1A52"/>
    <w:rsid w:val="005D1B23"/>
    <w:rsid w:val="005D1BA9"/>
    <w:rsid w:val="005D1D1A"/>
    <w:rsid w:val="005D1D79"/>
    <w:rsid w:val="005D1DF8"/>
    <w:rsid w:val="005D1F55"/>
    <w:rsid w:val="005D21BA"/>
    <w:rsid w:val="005D21EF"/>
    <w:rsid w:val="005D222E"/>
    <w:rsid w:val="005D25EE"/>
    <w:rsid w:val="005D27FE"/>
    <w:rsid w:val="005D2817"/>
    <w:rsid w:val="005D2AE5"/>
    <w:rsid w:val="005D2BB1"/>
    <w:rsid w:val="005D2C52"/>
    <w:rsid w:val="005D2CC7"/>
    <w:rsid w:val="005D2CDC"/>
    <w:rsid w:val="005D2EDD"/>
    <w:rsid w:val="005D3247"/>
    <w:rsid w:val="005D3372"/>
    <w:rsid w:val="005D35DC"/>
    <w:rsid w:val="005D37BC"/>
    <w:rsid w:val="005D385A"/>
    <w:rsid w:val="005D39D9"/>
    <w:rsid w:val="005D3BAB"/>
    <w:rsid w:val="005D3DC4"/>
    <w:rsid w:val="005D43CB"/>
    <w:rsid w:val="005D450C"/>
    <w:rsid w:val="005D48F1"/>
    <w:rsid w:val="005D498A"/>
    <w:rsid w:val="005D4999"/>
    <w:rsid w:val="005D4BB6"/>
    <w:rsid w:val="005D4DCC"/>
    <w:rsid w:val="005D4E34"/>
    <w:rsid w:val="005D4F3D"/>
    <w:rsid w:val="005D4FFE"/>
    <w:rsid w:val="005D500F"/>
    <w:rsid w:val="005D51BD"/>
    <w:rsid w:val="005D5371"/>
    <w:rsid w:val="005D5403"/>
    <w:rsid w:val="005D5412"/>
    <w:rsid w:val="005D5569"/>
    <w:rsid w:val="005D58A3"/>
    <w:rsid w:val="005D5B4F"/>
    <w:rsid w:val="005D5BDD"/>
    <w:rsid w:val="005D5D30"/>
    <w:rsid w:val="005D5E39"/>
    <w:rsid w:val="005D5E7B"/>
    <w:rsid w:val="005D5FAE"/>
    <w:rsid w:val="005D61F2"/>
    <w:rsid w:val="005D631F"/>
    <w:rsid w:val="005D642E"/>
    <w:rsid w:val="005D664E"/>
    <w:rsid w:val="005D67E7"/>
    <w:rsid w:val="005D69B9"/>
    <w:rsid w:val="005D6A96"/>
    <w:rsid w:val="005D6D44"/>
    <w:rsid w:val="005D7023"/>
    <w:rsid w:val="005D70B0"/>
    <w:rsid w:val="005D72A5"/>
    <w:rsid w:val="005D734C"/>
    <w:rsid w:val="005D742D"/>
    <w:rsid w:val="005D78E4"/>
    <w:rsid w:val="005D79C5"/>
    <w:rsid w:val="005D7CCB"/>
    <w:rsid w:val="005D7CD7"/>
    <w:rsid w:val="005D7CE5"/>
    <w:rsid w:val="005D7E53"/>
    <w:rsid w:val="005D7FD5"/>
    <w:rsid w:val="005D7FDC"/>
    <w:rsid w:val="005E0009"/>
    <w:rsid w:val="005E0335"/>
    <w:rsid w:val="005E0384"/>
    <w:rsid w:val="005E05D4"/>
    <w:rsid w:val="005E0995"/>
    <w:rsid w:val="005E0A8F"/>
    <w:rsid w:val="005E0AA6"/>
    <w:rsid w:val="005E0CA6"/>
    <w:rsid w:val="005E0EF4"/>
    <w:rsid w:val="005E0FC2"/>
    <w:rsid w:val="005E11FD"/>
    <w:rsid w:val="005E1262"/>
    <w:rsid w:val="005E13D1"/>
    <w:rsid w:val="005E13EB"/>
    <w:rsid w:val="005E1558"/>
    <w:rsid w:val="005E15D4"/>
    <w:rsid w:val="005E166E"/>
    <w:rsid w:val="005E17FF"/>
    <w:rsid w:val="005E199B"/>
    <w:rsid w:val="005E19CD"/>
    <w:rsid w:val="005E1A46"/>
    <w:rsid w:val="005E1C92"/>
    <w:rsid w:val="005E1EC4"/>
    <w:rsid w:val="005E1F5F"/>
    <w:rsid w:val="005E2079"/>
    <w:rsid w:val="005E2164"/>
    <w:rsid w:val="005E222C"/>
    <w:rsid w:val="005E2552"/>
    <w:rsid w:val="005E2866"/>
    <w:rsid w:val="005E29C3"/>
    <w:rsid w:val="005E2A07"/>
    <w:rsid w:val="005E2CCE"/>
    <w:rsid w:val="005E2D02"/>
    <w:rsid w:val="005E2DA2"/>
    <w:rsid w:val="005E30BB"/>
    <w:rsid w:val="005E31B1"/>
    <w:rsid w:val="005E3218"/>
    <w:rsid w:val="005E3259"/>
    <w:rsid w:val="005E32DA"/>
    <w:rsid w:val="005E36A8"/>
    <w:rsid w:val="005E3B95"/>
    <w:rsid w:val="005E3DB1"/>
    <w:rsid w:val="005E3EF6"/>
    <w:rsid w:val="005E40EE"/>
    <w:rsid w:val="005E4293"/>
    <w:rsid w:val="005E43CB"/>
    <w:rsid w:val="005E444C"/>
    <w:rsid w:val="005E4AC3"/>
    <w:rsid w:val="005E4B78"/>
    <w:rsid w:val="005E4C92"/>
    <w:rsid w:val="005E4F20"/>
    <w:rsid w:val="005E5098"/>
    <w:rsid w:val="005E509F"/>
    <w:rsid w:val="005E52EA"/>
    <w:rsid w:val="005E5687"/>
    <w:rsid w:val="005E56F5"/>
    <w:rsid w:val="005E57B9"/>
    <w:rsid w:val="005E5844"/>
    <w:rsid w:val="005E5A15"/>
    <w:rsid w:val="005E5A79"/>
    <w:rsid w:val="005E5CB3"/>
    <w:rsid w:val="005E6086"/>
    <w:rsid w:val="005E62F4"/>
    <w:rsid w:val="005E63C5"/>
    <w:rsid w:val="005E655D"/>
    <w:rsid w:val="005E65AB"/>
    <w:rsid w:val="005E6FB6"/>
    <w:rsid w:val="005E7071"/>
    <w:rsid w:val="005E7212"/>
    <w:rsid w:val="005E7508"/>
    <w:rsid w:val="005E7619"/>
    <w:rsid w:val="005E795F"/>
    <w:rsid w:val="005E797D"/>
    <w:rsid w:val="005E7A1B"/>
    <w:rsid w:val="005E7C1F"/>
    <w:rsid w:val="005E7CD6"/>
    <w:rsid w:val="005E7E07"/>
    <w:rsid w:val="005F00A5"/>
    <w:rsid w:val="005F0176"/>
    <w:rsid w:val="005F01E0"/>
    <w:rsid w:val="005F0253"/>
    <w:rsid w:val="005F06E8"/>
    <w:rsid w:val="005F0BA9"/>
    <w:rsid w:val="005F0D88"/>
    <w:rsid w:val="005F0F12"/>
    <w:rsid w:val="005F16C4"/>
    <w:rsid w:val="005F16E0"/>
    <w:rsid w:val="005F194D"/>
    <w:rsid w:val="005F1C7C"/>
    <w:rsid w:val="005F1F78"/>
    <w:rsid w:val="005F2001"/>
    <w:rsid w:val="005F2150"/>
    <w:rsid w:val="005F2563"/>
    <w:rsid w:val="005F2620"/>
    <w:rsid w:val="005F2A3B"/>
    <w:rsid w:val="005F2A94"/>
    <w:rsid w:val="005F2C20"/>
    <w:rsid w:val="005F2D80"/>
    <w:rsid w:val="005F2DC2"/>
    <w:rsid w:val="005F2EE5"/>
    <w:rsid w:val="005F2F37"/>
    <w:rsid w:val="005F37E2"/>
    <w:rsid w:val="005F3B79"/>
    <w:rsid w:val="005F3E2F"/>
    <w:rsid w:val="005F42FA"/>
    <w:rsid w:val="005F4664"/>
    <w:rsid w:val="005F4B7C"/>
    <w:rsid w:val="005F4DE9"/>
    <w:rsid w:val="005F4EFC"/>
    <w:rsid w:val="005F5232"/>
    <w:rsid w:val="005F5469"/>
    <w:rsid w:val="005F56EF"/>
    <w:rsid w:val="005F57C5"/>
    <w:rsid w:val="005F5836"/>
    <w:rsid w:val="005F59B1"/>
    <w:rsid w:val="005F5B05"/>
    <w:rsid w:val="005F5B4A"/>
    <w:rsid w:val="005F5E9D"/>
    <w:rsid w:val="005F5F0C"/>
    <w:rsid w:val="005F6079"/>
    <w:rsid w:val="005F620E"/>
    <w:rsid w:val="005F6390"/>
    <w:rsid w:val="005F6409"/>
    <w:rsid w:val="005F642C"/>
    <w:rsid w:val="005F650A"/>
    <w:rsid w:val="005F6769"/>
    <w:rsid w:val="005F6996"/>
    <w:rsid w:val="005F69DD"/>
    <w:rsid w:val="005F6A1D"/>
    <w:rsid w:val="005F6B68"/>
    <w:rsid w:val="005F6C98"/>
    <w:rsid w:val="005F6FBE"/>
    <w:rsid w:val="005F71B7"/>
    <w:rsid w:val="005F7279"/>
    <w:rsid w:val="005F7351"/>
    <w:rsid w:val="005F7594"/>
    <w:rsid w:val="005F76DB"/>
    <w:rsid w:val="005F77B7"/>
    <w:rsid w:val="005F783C"/>
    <w:rsid w:val="005F7D70"/>
    <w:rsid w:val="005F7EB9"/>
    <w:rsid w:val="006000E5"/>
    <w:rsid w:val="0060013C"/>
    <w:rsid w:val="00600174"/>
    <w:rsid w:val="006001CF"/>
    <w:rsid w:val="00600389"/>
    <w:rsid w:val="006003C1"/>
    <w:rsid w:val="006007FF"/>
    <w:rsid w:val="00600875"/>
    <w:rsid w:val="006008EA"/>
    <w:rsid w:val="00600A00"/>
    <w:rsid w:val="00600CBA"/>
    <w:rsid w:val="00600D84"/>
    <w:rsid w:val="00600EBE"/>
    <w:rsid w:val="006010E7"/>
    <w:rsid w:val="0060110A"/>
    <w:rsid w:val="00601130"/>
    <w:rsid w:val="006012EA"/>
    <w:rsid w:val="00601384"/>
    <w:rsid w:val="00601558"/>
    <w:rsid w:val="00601589"/>
    <w:rsid w:val="006015A1"/>
    <w:rsid w:val="006015BB"/>
    <w:rsid w:val="0060174B"/>
    <w:rsid w:val="006018C8"/>
    <w:rsid w:val="0060194E"/>
    <w:rsid w:val="00601DE8"/>
    <w:rsid w:val="00601FDC"/>
    <w:rsid w:val="00601FFF"/>
    <w:rsid w:val="00602157"/>
    <w:rsid w:val="0060244D"/>
    <w:rsid w:val="00602E75"/>
    <w:rsid w:val="00602EF7"/>
    <w:rsid w:val="00602F6E"/>
    <w:rsid w:val="0060355F"/>
    <w:rsid w:val="00603693"/>
    <w:rsid w:val="00603916"/>
    <w:rsid w:val="00603B42"/>
    <w:rsid w:val="006040B4"/>
    <w:rsid w:val="00604389"/>
    <w:rsid w:val="006044D9"/>
    <w:rsid w:val="006046B0"/>
    <w:rsid w:val="006046CB"/>
    <w:rsid w:val="00604A47"/>
    <w:rsid w:val="00604E0F"/>
    <w:rsid w:val="00604EB7"/>
    <w:rsid w:val="00604FEF"/>
    <w:rsid w:val="00605111"/>
    <w:rsid w:val="00605167"/>
    <w:rsid w:val="00605177"/>
    <w:rsid w:val="0060524A"/>
    <w:rsid w:val="006052CE"/>
    <w:rsid w:val="006052EF"/>
    <w:rsid w:val="006053E7"/>
    <w:rsid w:val="00605576"/>
    <w:rsid w:val="00605751"/>
    <w:rsid w:val="006057E7"/>
    <w:rsid w:val="00605A0E"/>
    <w:rsid w:val="00605AA0"/>
    <w:rsid w:val="00605CD2"/>
    <w:rsid w:val="00605D9A"/>
    <w:rsid w:val="00605F0C"/>
    <w:rsid w:val="00605F75"/>
    <w:rsid w:val="006061BD"/>
    <w:rsid w:val="0060629E"/>
    <w:rsid w:val="006063E3"/>
    <w:rsid w:val="00606461"/>
    <w:rsid w:val="00606B56"/>
    <w:rsid w:val="00607122"/>
    <w:rsid w:val="0060720A"/>
    <w:rsid w:val="006072E7"/>
    <w:rsid w:val="006072FE"/>
    <w:rsid w:val="00607A68"/>
    <w:rsid w:val="00607F0B"/>
    <w:rsid w:val="00607F64"/>
    <w:rsid w:val="0061016E"/>
    <w:rsid w:val="006103B9"/>
    <w:rsid w:val="0061044A"/>
    <w:rsid w:val="006104E4"/>
    <w:rsid w:val="00610815"/>
    <w:rsid w:val="006108E1"/>
    <w:rsid w:val="00610C0D"/>
    <w:rsid w:val="00610C17"/>
    <w:rsid w:val="00610C97"/>
    <w:rsid w:val="00610E15"/>
    <w:rsid w:val="00610E85"/>
    <w:rsid w:val="00610EAB"/>
    <w:rsid w:val="00610EDB"/>
    <w:rsid w:val="00610F2B"/>
    <w:rsid w:val="00610F63"/>
    <w:rsid w:val="0061123A"/>
    <w:rsid w:val="00611279"/>
    <w:rsid w:val="00611410"/>
    <w:rsid w:val="00611425"/>
    <w:rsid w:val="0061143F"/>
    <w:rsid w:val="006116CC"/>
    <w:rsid w:val="006117A4"/>
    <w:rsid w:val="006119BD"/>
    <w:rsid w:val="00611C03"/>
    <w:rsid w:val="006120C9"/>
    <w:rsid w:val="006121EC"/>
    <w:rsid w:val="006125F0"/>
    <w:rsid w:val="00612818"/>
    <w:rsid w:val="00612936"/>
    <w:rsid w:val="00612C41"/>
    <w:rsid w:val="00612D1C"/>
    <w:rsid w:val="00612D9B"/>
    <w:rsid w:val="00612E7D"/>
    <w:rsid w:val="00612EDC"/>
    <w:rsid w:val="0061303F"/>
    <w:rsid w:val="006133EC"/>
    <w:rsid w:val="00613545"/>
    <w:rsid w:val="0061358D"/>
    <w:rsid w:val="006135D1"/>
    <w:rsid w:val="00613A5C"/>
    <w:rsid w:val="00613B49"/>
    <w:rsid w:val="00613B73"/>
    <w:rsid w:val="00613EF9"/>
    <w:rsid w:val="00614101"/>
    <w:rsid w:val="00614304"/>
    <w:rsid w:val="0061445E"/>
    <w:rsid w:val="006147F7"/>
    <w:rsid w:val="006148E1"/>
    <w:rsid w:val="00614A31"/>
    <w:rsid w:val="00614AE0"/>
    <w:rsid w:val="00614CFD"/>
    <w:rsid w:val="00614D49"/>
    <w:rsid w:val="00615135"/>
    <w:rsid w:val="006153AC"/>
    <w:rsid w:val="006153C2"/>
    <w:rsid w:val="0061546B"/>
    <w:rsid w:val="0061547A"/>
    <w:rsid w:val="00615487"/>
    <w:rsid w:val="0061576B"/>
    <w:rsid w:val="00615783"/>
    <w:rsid w:val="00615B0F"/>
    <w:rsid w:val="00615BEF"/>
    <w:rsid w:val="00615D20"/>
    <w:rsid w:val="00615D6E"/>
    <w:rsid w:val="00615D9C"/>
    <w:rsid w:val="006162DC"/>
    <w:rsid w:val="0061637C"/>
    <w:rsid w:val="00616881"/>
    <w:rsid w:val="00616C46"/>
    <w:rsid w:val="00617139"/>
    <w:rsid w:val="00617159"/>
    <w:rsid w:val="0061717A"/>
    <w:rsid w:val="00617309"/>
    <w:rsid w:val="0061788B"/>
    <w:rsid w:val="006179BE"/>
    <w:rsid w:val="00617BD6"/>
    <w:rsid w:val="00617EA1"/>
    <w:rsid w:val="00620020"/>
    <w:rsid w:val="00620032"/>
    <w:rsid w:val="00620033"/>
    <w:rsid w:val="006201AB"/>
    <w:rsid w:val="006202EC"/>
    <w:rsid w:val="00620333"/>
    <w:rsid w:val="0062045F"/>
    <w:rsid w:val="006204F0"/>
    <w:rsid w:val="006205B8"/>
    <w:rsid w:val="00620743"/>
    <w:rsid w:val="00620817"/>
    <w:rsid w:val="00620879"/>
    <w:rsid w:val="00620A4D"/>
    <w:rsid w:val="00620C09"/>
    <w:rsid w:val="00620DA8"/>
    <w:rsid w:val="00620F8E"/>
    <w:rsid w:val="0062115C"/>
    <w:rsid w:val="006211DF"/>
    <w:rsid w:val="00621277"/>
    <w:rsid w:val="00621394"/>
    <w:rsid w:val="0062147A"/>
    <w:rsid w:val="00621754"/>
    <w:rsid w:val="006217BC"/>
    <w:rsid w:val="006218D3"/>
    <w:rsid w:val="00621956"/>
    <w:rsid w:val="00621CA8"/>
    <w:rsid w:val="00621E46"/>
    <w:rsid w:val="00621E98"/>
    <w:rsid w:val="00621F75"/>
    <w:rsid w:val="006220D3"/>
    <w:rsid w:val="00622416"/>
    <w:rsid w:val="006224C4"/>
    <w:rsid w:val="0062271C"/>
    <w:rsid w:val="00622F0A"/>
    <w:rsid w:val="00622FD4"/>
    <w:rsid w:val="00623072"/>
    <w:rsid w:val="006233B3"/>
    <w:rsid w:val="0062359E"/>
    <w:rsid w:val="006235D1"/>
    <w:rsid w:val="00623603"/>
    <w:rsid w:val="00623995"/>
    <w:rsid w:val="006239AB"/>
    <w:rsid w:val="00623A51"/>
    <w:rsid w:val="00623B4E"/>
    <w:rsid w:val="00624279"/>
    <w:rsid w:val="00624351"/>
    <w:rsid w:val="0062446C"/>
    <w:rsid w:val="0062464E"/>
    <w:rsid w:val="00624907"/>
    <w:rsid w:val="00624AB3"/>
    <w:rsid w:val="00625220"/>
    <w:rsid w:val="00625228"/>
    <w:rsid w:val="00625241"/>
    <w:rsid w:val="0062535C"/>
    <w:rsid w:val="0062550D"/>
    <w:rsid w:val="00625535"/>
    <w:rsid w:val="00625891"/>
    <w:rsid w:val="00625C48"/>
    <w:rsid w:val="006260D8"/>
    <w:rsid w:val="00626224"/>
    <w:rsid w:val="0062631E"/>
    <w:rsid w:val="00626718"/>
    <w:rsid w:val="006268BF"/>
    <w:rsid w:val="00626ACC"/>
    <w:rsid w:val="00626B65"/>
    <w:rsid w:val="00626E71"/>
    <w:rsid w:val="00626E8E"/>
    <w:rsid w:val="00626F16"/>
    <w:rsid w:val="006270AA"/>
    <w:rsid w:val="006270EB"/>
    <w:rsid w:val="00627229"/>
    <w:rsid w:val="0062724E"/>
    <w:rsid w:val="006274B0"/>
    <w:rsid w:val="006275F2"/>
    <w:rsid w:val="006279C6"/>
    <w:rsid w:val="00627B50"/>
    <w:rsid w:val="00627D6B"/>
    <w:rsid w:val="00627D72"/>
    <w:rsid w:val="00630092"/>
    <w:rsid w:val="00630848"/>
    <w:rsid w:val="00630A98"/>
    <w:rsid w:val="00630E45"/>
    <w:rsid w:val="00630F4F"/>
    <w:rsid w:val="00631369"/>
    <w:rsid w:val="0063139E"/>
    <w:rsid w:val="00631A26"/>
    <w:rsid w:val="00631B46"/>
    <w:rsid w:val="00631B5F"/>
    <w:rsid w:val="0063203D"/>
    <w:rsid w:val="00632248"/>
    <w:rsid w:val="0063241F"/>
    <w:rsid w:val="006325BC"/>
    <w:rsid w:val="00632E2B"/>
    <w:rsid w:val="00632E4F"/>
    <w:rsid w:val="00632EED"/>
    <w:rsid w:val="00632F19"/>
    <w:rsid w:val="00633039"/>
    <w:rsid w:val="0063322B"/>
    <w:rsid w:val="0063357D"/>
    <w:rsid w:val="0063360A"/>
    <w:rsid w:val="0063369C"/>
    <w:rsid w:val="00633790"/>
    <w:rsid w:val="006337EB"/>
    <w:rsid w:val="00633B1D"/>
    <w:rsid w:val="00633C61"/>
    <w:rsid w:val="00633C95"/>
    <w:rsid w:val="00634020"/>
    <w:rsid w:val="00634272"/>
    <w:rsid w:val="006347A9"/>
    <w:rsid w:val="0063483E"/>
    <w:rsid w:val="00634B7C"/>
    <w:rsid w:val="00634C3A"/>
    <w:rsid w:val="00634F0A"/>
    <w:rsid w:val="00635083"/>
    <w:rsid w:val="00635187"/>
    <w:rsid w:val="00635707"/>
    <w:rsid w:val="00635790"/>
    <w:rsid w:val="006357BD"/>
    <w:rsid w:val="00635A77"/>
    <w:rsid w:val="00635B18"/>
    <w:rsid w:val="00635DE3"/>
    <w:rsid w:val="00635E50"/>
    <w:rsid w:val="00635FE4"/>
    <w:rsid w:val="006360AD"/>
    <w:rsid w:val="006361BF"/>
    <w:rsid w:val="00636461"/>
    <w:rsid w:val="0063671C"/>
    <w:rsid w:val="0063673F"/>
    <w:rsid w:val="00636889"/>
    <w:rsid w:val="00636A28"/>
    <w:rsid w:val="00636CF0"/>
    <w:rsid w:val="00636D09"/>
    <w:rsid w:val="00636E7B"/>
    <w:rsid w:val="00636EEE"/>
    <w:rsid w:val="00636FF5"/>
    <w:rsid w:val="0063700D"/>
    <w:rsid w:val="00637718"/>
    <w:rsid w:val="00637C87"/>
    <w:rsid w:val="00637F8B"/>
    <w:rsid w:val="00640337"/>
    <w:rsid w:val="00640583"/>
    <w:rsid w:val="00640585"/>
    <w:rsid w:val="00640676"/>
    <w:rsid w:val="006407BF"/>
    <w:rsid w:val="00640970"/>
    <w:rsid w:val="00640BCF"/>
    <w:rsid w:val="00640BD5"/>
    <w:rsid w:val="00640C2B"/>
    <w:rsid w:val="00640E84"/>
    <w:rsid w:val="006412B5"/>
    <w:rsid w:val="00641382"/>
    <w:rsid w:val="00641495"/>
    <w:rsid w:val="006417D3"/>
    <w:rsid w:val="00641BD7"/>
    <w:rsid w:val="00641DEF"/>
    <w:rsid w:val="006420ED"/>
    <w:rsid w:val="00642119"/>
    <w:rsid w:val="006423B7"/>
    <w:rsid w:val="006423C2"/>
    <w:rsid w:val="00642732"/>
    <w:rsid w:val="006427B7"/>
    <w:rsid w:val="006429B1"/>
    <w:rsid w:val="00642CD4"/>
    <w:rsid w:val="0064318C"/>
    <w:rsid w:val="0064329B"/>
    <w:rsid w:val="0064337F"/>
    <w:rsid w:val="006433AF"/>
    <w:rsid w:val="0064365C"/>
    <w:rsid w:val="006436FB"/>
    <w:rsid w:val="00643A9C"/>
    <w:rsid w:val="00643AD2"/>
    <w:rsid w:val="00643E13"/>
    <w:rsid w:val="00643EC2"/>
    <w:rsid w:val="00643F29"/>
    <w:rsid w:val="006442BC"/>
    <w:rsid w:val="0064431C"/>
    <w:rsid w:val="00644503"/>
    <w:rsid w:val="006448CE"/>
    <w:rsid w:val="00644A08"/>
    <w:rsid w:val="00644AC1"/>
    <w:rsid w:val="00644D4F"/>
    <w:rsid w:val="00644F9C"/>
    <w:rsid w:val="0064523C"/>
    <w:rsid w:val="006452F4"/>
    <w:rsid w:val="006457EC"/>
    <w:rsid w:val="00645875"/>
    <w:rsid w:val="0064591F"/>
    <w:rsid w:val="00645AA3"/>
    <w:rsid w:val="00645D01"/>
    <w:rsid w:val="00645EB9"/>
    <w:rsid w:val="00645F9D"/>
    <w:rsid w:val="0064634C"/>
    <w:rsid w:val="006463AE"/>
    <w:rsid w:val="00646410"/>
    <w:rsid w:val="00646589"/>
    <w:rsid w:val="006465EC"/>
    <w:rsid w:val="0064675F"/>
    <w:rsid w:val="006467B1"/>
    <w:rsid w:val="006467BC"/>
    <w:rsid w:val="00646DDE"/>
    <w:rsid w:val="00646E08"/>
    <w:rsid w:val="00646E71"/>
    <w:rsid w:val="0064712C"/>
    <w:rsid w:val="0064721B"/>
    <w:rsid w:val="006472B4"/>
    <w:rsid w:val="00647365"/>
    <w:rsid w:val="00647557"/>
    <w:rsid w:val="00647601"/>
    <w:rsid w:val="006476C7"/>
    <w:rsid w:val="0064776F"/>
    <w:rsid w:val="00647A81"/>
    <w:rsid w:val="00647A84"/>
    <w:rsid w:val="00647B5B"/>
    <w:rsid w:val="006501E8"/>
    <w:rsid w:val="0065092B"/>
    <w:rsid w:val="00650C34"/>
    <w:rsid w:val="00650CA8"/>
    <w:rsid w:val="00650FD3"/>
    <w:rsid w:val="0065116E"/>
    <w:rsid w:val="006511E2"/>
    <w:rsid w:val="006514DC"/>
    <w:rsid w:val="0065159A"/>
    <w:rsid w:val="006516CC"/>
    <w:rsid w:val="00651919"/>
    <w:rsid w:val="00651C8D"/>
    <w:rsid w:val="00651DDA"/>
    <w:rsid w:val="00651E4D"/>
    <w:rsid w:val="00651FB9"/>
    <w:rsid w:val="006520F6"/>
    <w:rsid w:val="0065214E"/>
    <w:rsid w:val="0065225C"/>
    <w:rsid w:val="00652320"/>
    <w:rsid w:val="00652345"/>
    <w:rsid w:val="00652483"/>
    <w:rsid w:val="006524FD"/>
    <w:rsid w:val="00652502"/>
    <w:rsid w:val="00652637"/>
    <w:rsid w:val="0065272A"/>
    <w:rsid w:val="006527E7"/>
    <w:rsid w:val="006527F0"/>
    <w:rsid w:val="006529E8"/>
    <w:rsid w:val="00652AE4"/>
    <w:rsid w:val="00652EDD"/>
    <w:rsid w:val="00652F0A"/>
    <w:rsid w:val="00652F4A"/>
    <w:rsid w:val="00653205"/>
    <w:rsid w:val="0065324E"/>
    <w:rsid w:val="006532DA"/>
    <w:rsid w:val="006533E5"/>
    <w:rsid w:val="00653466"/>
    <w:rsid w:val="00653535"/>
    <w:rsid w:val="0065362D"/>
    <w:rsid w:val="0065393B"/>
    <w:rsid w:val="00653979"/>
    <w:rsid w:val="006539E0"/>
    <w:rsid w:val="00653B0B"/>
    <w:rsid w:val="00653C55"/>
    <w:rsid w:val="00653E38"/>
    <w:rsid w:val="00653E51"/>
    <w:rsid w:val="00653EDD"/>
    <w:rsid w:val="00654132"/>
    <w:rsid w:val="00654399"/>
    <w:rsid w:val="00654426"/>
    <w:rsid w:val="0065442F"/>
    <w:rsid w:val="006544F7"/>
    <w:rsid w:val="00654546"/>
    <w:rsid w:val="0065468F"/>
    <w:rsid w:val="0065497F"/>
    <w:rsid w:val="00654B0E"/>
    <w:rsid w:val="00654C4D"/>
    <w:rsid w:val="00654D1B"/>
    <w:rsid w:val="00654EF2"/>
    <w:rsid w:val="00655130"/>
    <w:rsid w:val="006551B7"/>
    <w:rsid w:val="0065536D"/>
    <w:rsid w:val="0065548A"/>
    <w:rsid w:val="006555BE"/>
    <w:rsid w:val="00655681"/>
    <w:rsid w:val="00655840"/>
    <w:rsid w:val="00655883"/>
    <w:rsid w:val="0065592A"/>
    <w:rsid w:val="00655970"/>
    <w:rsid w:val="00655A37"/>
    <w:rsid w:val="00655B6F"/>
    <w:rsid w:val="00655C5C"/>
    <w:rsid w:val="00656230"/>
    <w:rsid w:val="006563C0"/>
    <w:rsid w:val="00656EA1"/>
    <w:rsid w:val="00657010"/>
    <w:rsid w:val="00657048"/>
    <w:rsid w:val="006570E9"/>
    <w:rsid w:val="006571CA"/>
    <w:rsid w:val="0065730A"/>
    <w:rsid w:val="0065730E"/>
    <w:rsid w:val="0065735D"/>
    <w:rsid w:val="006573F9"/>
    <w:rsid w:val="006574B8"/>
    <w:rsid w:val="006578DE"/>
    <w:rsid w:val="00657C4B"/>
    <w:rsid w:val="00657E4D"/>
    <w:rsid w:val="0066052A"/>
    <w:rsid w:val="0066054F"/>
    <w:rsid w:val="00660708"/>
    <w:rsid w:val="006608DB"/>
    <w:rsid w:val="00660A32"/>
    <w:rsid w:val="00660C72"/>
    <w:rsid w:val="00660F27"/>
    <w:rsid w:val="00660F81"/>
    <w:rsid w:val="00660F97"/>
    <w:rsid w:val="00660FBA"/>
    <w:rsid w:val="006611D6"/>
    <w:rsid w:val="0066162D"/>
    <w:rsid w:val="006618A8"/>
    <w:rsid w:val="006618FD"/>
    <w:rsid w:val="00661AB0"/>
    <w:rsid w:val="00661ACB"/>
    <w:rsid w:val="00661B10"/>
    <w:rsid w:val="00661BD9"/>
    <w:rsid w:val="00661D9B"/>
    <w:rsid w:val="00661EDB"/>
    <w:rsid w:val="0066204B"/>
    <w:rsid w:val="006620D0"/>
    <w:rsid w:val="006620E2"/>
    <w:rsid w:val="0066210F"/>
    <w:rsid w:val="0066213B"/>
    <w:rsid w:val="006622C3"/>
    <w:rsid w:val="0066235C"/>
    <w:rsid w:val="006624C3"/>
    <w:rsid w:val="006624E0"/>
    <w:rsid w:val="006629AB"/>
    <w:rsid w:val="00662A65"/>
    <w:rsid w:val="00662C77"/>
    <w:rsid w:val="00662C82"/>
    <w:rsid w:val="00662DBB"/>
    <w:rsid w:val="00662F31"/>
    <w:rsid w:val="00663128"/>
    <w:rsid w:val="00663166"/>
    <w:rsid w:val="006631A2"/>
    <w:rsid w:val="00663287"/>
    <w:rsid w:val="006632A6"/>
    <w:rsid w:val="00663474"/>
    <w:rsid w:val="00663625"/>
    <w:rsid w:val="006638AE"/>
    <w:rsid w:val="006638DD"/>
    <w:rsid w:val="0066399E"/>
    <w:rsid w:val="00663A95"/>
    <w:rsid w:val="00663B1A"/>
    <w:rsid w:val="00663C62"/>
    <w:rsid w:val="00663F2A"/>
    <w:rsid w:val="00664746"/>
    <w:rsid w:val="0066480C"/>
    <w:rsid w:val="00664952"/>
    <w:rsid w:val="00664996"/>
    <w:rsid w:val="00664BAD"/>
    <w:rsid w:val="006650AD"/>
    <w:rsid w:val="00665229"/>
    <w:rsid w:val="0066542A"/>
    <w:rsid w:val="00665DCC"/>
    <w:rsid w:val="0066607A"/>
    <w:rsid w:val="00666107"/>
    <w:rsid w:val="00666187"/>
    <w:rsid w:val="006662CB"/>
    <w:rsid w:val="006664C2"/>
    <w:rsid w:val="006664EB"/>
    <w:rsid w:val="006665D9"/>
    <w:rsid w:val="0066667F"/>
    <w:rsid w:val="00666916"/>
    <w:rsid w:val="00666979"/>
    <w:rsid w:val="00666C9F"/>
    <w:rsid w:val="00666D63"/>
    <w:rsid w:val="00666DE8"/>
    <w:rsid w:val="00666E76"/>
    <w:rsid w:val="00666F1A"/>
    <w:rsid w:val="00666F83"/>
    <w:rsid w:val="00667012"/>
    <w:rsid w:val="006670D5"/>
    <w:rsid w:val="006671C5"/>
    <w:rsid w:val="0066726B"/>
    <w:rsid w:val="006672D4"/>
    <w:rsid w:val="0066767C"/>
    <w:rsid w:val="0066794A"/>
    <w:rsid w:val="00667BFE"/>
    <w:rsid w:val="00667D31"/>
    <w:rsid w:val="00667D8D"/>
    <w:rsid w:val="00667E2B"/>
    <w:rsid w:val="0067000F"/>
    <w:rsid w:val="006703F6"/>
    <w:rsid w:val="006705A8"/>
    <w:rsid w:val="00670606"/>
    <w:rsid w:val="0067060B"/>
    <w:rsid w:val="0067087D"/>
    <w:rsid w:val="00670929"/>
    <w:rsid w:val="006709E3"/>
    <w:rsid w:val="00670E59"/>
    <w:rsid w:val="00670EBA"/>
    <w:rsid w:val="00670F91"/>
    <w:rsid w:val="0067110E"/>
    <w:rsid w:val="006712A5"/>
    <w:rsid w:val="0067134E"/>
    <w:rsid w:val="006713EA"/>
    <w:rsid w:val="0067163F"/>
    <w:rsid w:val="00671A4A"/>
    <w:rsid w:val="00671DB4"/>
    <w:rsid w:val="00671F3E"/>
    <w:rsid w:val="006722CD"/>
    <w:rsid w:val="00672399"/>
    <w:rsid w:val="00672409"/>
    <w:rsid w:val="006724D7"/>
    <w:rsid w:val="006724DE"/>
    <w:rsid w:val="00672534"/>
    <w:rsid w:val="006728D1"/>
    <w:rsid w:val="00672ABB"/>
    <w:rsid w:val="00672FBE"/>
    <w:rsid w:val="006731F6"/>
    <w:rsid w:val="0067334A"/>
    <w:rsid w:val="006733B4"/>
    <w:rsid w:val="00673490"/>
    <w:rsid w:val="0067355F"/>
    <w:rsid w:val="00673841"/>
    <w:rsid w:val="006738BD"/>
    <w:rsid w:val="00673B12"/>
    <w:rsid w:val="00673C6D"/>
    <w:rsid w:val="00673C7D"/>
    <w:rsid w:val="00673D5F"/>
    <w:rsid w:val="00674283"/>
    <w:rsid w:val="00674576"/>
    <w:rsid w:val="00674754"/>
    <w:rsid w:val="00674A84"/>
    <w:rsid w:val="00674B26"/>
    <w:rsid w:val="00674BB7"/>
    <w:rsid w:val="00674D23"/>
    <w:rsid w:val="00674EAF"/>
    <w:rsid w:val="0067513F"/>
    <w:rsid w:val="00675238"/>
    <w:rsid w:val="00675243"/>
    <w:rsid w:val="0067524E"/>
    <w:rsid w:val="006753E3"/>
    <w:rsid w:val="00675523"/>
    <w:rsid w:val="00675562"/>
    <w:rsid w:val="006755A9"/>
    <w:rsid w:val="006755D6"/>
    <w:rsid w:val="006756A9"/>
    <w:rsid w:val="00675857"/>
    <w:rsid w:val="0067593B"/>
    <w:rsid w:val="00675966"/>
    <w:rsid w:val="00675BC7"/>
    <w:rsid w:val="00675C90"/>
    <w:rsid w:val="00675E39"/>
    <w:rsid w:val="00675E40"/>
    <w:rsid w:val="00675E55"/>
    <w:rsid w:val="00675EAA"/>
    <w:rsid w:val="006761E0"/>
    <w:rsid w:val="006761F0"/>
    <w:rsid w:val="006762AA"/>
    <w:rsid w:val="006762B1"/>
    <w:rsid w:val="00676359"/>
    <w:rsid w:val="006764DF"/>
    <w:rsid w:val="006765D7"/>
    <w:rsid w:val="006766B3"/>
    <w:rsid w:val="00676888"/>
    <w:rsid w:val="00676DCF"/>
    <w:rsid w:val="00676E6F"/>
    <w:rsid w:val="006771EA"/>
    <w:rsid w:val="006776CC"/>
    <w:rsid w:val="00677762"/>
    <w:rsid w:val="006779EA"/>
    <w:rsid w:val="00677D48"/>
    <w:rsid w:val="00677D55"/>
    <w:rsid w:val="00677F90"/>
    <w:rsid w:val="00677FF6"/>
    <w:rsid w:val="0068011E"/>
    <w:rsid w:val="006801C8"/>
    <w:rsid w:val="0068031C"/>
    <w:rsid w:val="00680585"/>
    <w:rsid w:val="006807B7"/>
    <w:rsid w:val="006807B8"/>
    <w:rsid w:val="00680942"/>
    <w:rsid w:val="006809CA"/>
    <w:rsid w:val="00680EAC"/>
    <w:rsid w:val="0068119F"/>
    <w:rsid w:val="006814E1"/>
    <w:rsid w:val="00681666"/>
    <w:rsid w:val="0068182B"/>
    <w:rsid w:val="00681957"/>
    <w:rsid w:val="00681A9B"/>
    <w:rsid w:val="00681CA4"/>
    <w:rsid w:val="00681DA4"/>
    <w:rsid w:val="00681F80"/>
    <w:rsid w:val="0068204C"/>
    <w:rsid w:val="00682195"/>
    <w:rsid w:val="006825EF"/>
    <w:rsid w:val="00682A31"/>
    <w:rsid w:val="00682F56"/>
    <w:rsid w:val="00682F7F"/>
    <w:rsid w:val="00682FC6"/>
    <w:rsid w:val="00683074"/>
    <w:rsid w:val="00683307"/>
    <w:rsid w:val="006833E3"/>
    <w:rsid w:val="00683427"/>
    <w:rsid w:val="00683577"/>
    <w:rsid w:val="00683585"/>
    <w:rsid w:val="00683BEB"/>
    <w:rsid w:val="00683D5B"/>
    <w:rsid w:val="00683DF5"/>
    <w:rsid w:val="00684068"/>
    <w:rsid w:val="00684240"/>
    <w:rsid w:val="0068442E"/>
    <w:rsid w:val="006844C0"/>
    <w:rsid w:val="0068460E"/>
    <w:rsid w:val="0068481B"/>
    <w:rsid w:val="00684CA3"/>
    <w:rsid w:val="00684CEE"/>
    <w:rsid w:val="00684DC3"/>
    <w:rsid w:val="00684F60"/>
    <w:rsid w:val="0068507E"/>
    <w:rsid w:val="00685141"/>
    <w:rsid w:val="006852A3"/>
    <w:rsid w:val="006853DD"/>
    <w:rsid w:val="0068562E"/>
    <w:rsid w:val="00685793"/>
    <w:rsid w:val="00685ACF"/>
    <w:rsid w:val="00685B11"/>
    <w:rsid w:val="00685C7D"/>
    <w:rsid w:val="00685D40"/>
    <w:rsid w:val="00685F31"/>
    <w:rsid w:val="00685F57"/>
    <w:rsid w:val="00686136"/>
    <w:rsid w:val="0068618C"/>
    <w:rsid w:val="006866FB"/>
    <w:rsid w:val="006868F3"/>
    <w:rsid w:val="00686B6C"/>
    <w:rsid w:val="00686C3E"/>
    <w:rsid w:val="00686DB4"/>
    <w:rsid w:val="00687431"/>
    <w:rsid w:val="006875D2"/>
    <w:rsid w:val="0068793F"/>
    <w:rsid w:val="00687B00"/>
    <w:rsid w:val="00687C6A"/>
    <w:rsid w:val="00687D47"/>
    <w:rsid w:val="00687ED1"/>
    <w:rsid w:val="00687FA0"/>
    <w:rsid w:val="006900B1"/>
    <w:rsid w:val="006900B4"/>
    <w:rsid w:val="00690291"/>
    <w:rsid w:val="0069044A"/>
    <w:rsid w:val="0069057C"/>
    <w:rsid w:val="0069078E"/>
    <w:rsid w:val="0069094B"/>
    <w:rsid w:val="006910FC"/>
    <w:rsid w:val="006911FC"/>
    <w:rsid w:val="00691216"/>
    <w:rsid w:val="0069144E"/>
    <w:rsid w:val="00691503"/>
    <w:rsid w:val="006916C6"/>
    <w:rsid w:val="006917A0"/>
    <w:rsid w:val="00691979"/>
    <w:rsid w:val="00691FC2"/>
    <w:rsid w:val="00691FCC"/>
    <w:rsid w:val="00692225"/>
    <w:rsid w:val="0069249C"/>
    <w:rsid w:val="006927C2"/>
    <w:rsid w:val="006927D6"/>
    <w:rsid w:val="00692820"/>
    <w:rsid w:val="00692B98"/>
    <w:rsid w:val="00692F32"/>
    <w:rsid w:val="00693189"/>
    <w:rsid w:val="006931E1"/>
    <w:rsid w:val="00693834"/>
    <w:rsid w:val="00693862"/>
    <w:rsid w:val="00693B15"/>
    <w:rsid w:val="00693E78"/>
    <w:rsid w:val="006941AA"/>
    <w:rsid w:val="006942C1"/>
    <w:rsid w:val="006945AE"/>
    <w:rsid w:val="00694679"/>
    <w:rsid w:val="00694924"/>
    <w:rsid w:val="006949C2"/>
    <w:rsid w:val="00694A35"/>
    <w:rsid w:val="00694C17"/>
    <w:rsid w:val="00694C50"/>
    <w:rsid w:val="00694E9D"/>
    <w:rsid w:val="006950A5"/>
    <w:rsid w:val="0069514B"/>
    <w:rsid w:val="00695185"/>
    <w:rsid w:val="0069552C"/>
    <w:rsid w:val="006958E9"/>
    <w:rsid w:val="00695B0A"/>
    <w:rsid w:val="00695B0B"/>
    <w:rsid w:val="00695DE2"/>
    <w:rsid w:val="00696211"/>
    <w:rsid w:val="00696389"/>
    <w:rsid w:val="006965D2"/>
    <w:rsid w:val="006965F0"/>
    <w:rsid w:val="006965F6"/>
    <w:rsid w:val="00696645"/>
    <w:rsid w:val="006966DF"/>
    <w:rsid w:val="00696C78"/>
    <w:rsid w:val="00696F0E"/>
    <w:rsid w:val="006970E3"/>
    <w:rsid w:val="0069734E"/>
    <w:rsid w:val="006976A8"/>
    <w:rsid w:val="00697776"/>
    <w:rsid w:val="006977B4"/>
    <w:rsid w:val="00697A21"/>
    <w:rsid w:val="00697DB6"/>
    <w:rsid w:val="00697DDF"/>
    <w:rsid w:val="00697E76"/>
    <w:rsid w:val="006A0135"/>
    <w:rsid w:val="006A0167"/>
    <w:rsid w:val="006A017F"/>
    <w:rsid w:val="006A0312"/>
    <w:rsid w:val="006A044E"/>
    <w:rsid w:val="006A05C9"/>
    <w:rsid w:val="006A0810"/>
    <w:rsid w:val="006A0D43"/>
    <w:rsid w:val="006A10B6"/>
    <w:rsid w:val="006A115F"/>
    <w:rsid w:val="006A1279"/>
    <w:rsid w:val="006A1406"/>
    <w:rsid w:val="006A157B"/>
    <w:rsid w:val="006A1996"/>
    <w:rsid w:val="006A1A23"/>
    <w:rsid w:val="006A1A37"/>
    <w:rsid w:val="006A1A4B"/>
    <w:rsid w:val="006A1AAD"/>
    <w:rsid w:val="006A1AB3"/>
    <w:rsid w:val="006A1B05"/>
    <w:rsid w:val="006A1B7E"/>
    <w:rsid w:val="006A1BCB"/>
    <w:rsid w:val="006A1D3C"/>
    <w:rsid w:val="006A1EAB"/>
    <w:rsid w:val="006A1F8D"/>
    <w:rsid w:val="006A25A0"/>
    <w:rsid w:val="006A270F"/>
    <w:rsid w:val="006A2C6F"/>
    <w:rsid w:val="006A2E37"/>
    <w:rsid w:val="006A2EE0"/>
    <w:rsid w:val="006A32AA"/>
    <w:rsid w:val="006A3389"/>
    <w:rsid w:val="006A338A"/>
    <w:rsid w:val="006A37A5"/>
    <w:rsid w:val="006A37AD"/>
    <w:rsid w:val="006A3A21"/>
    <w:rsid w:val="006A3ABC"/>
    <w:rsid w:val="006A3BDC"/>
    <w:rsid w:val="006A3D25"/>
    <w:rsid w:val="006A3F90"/>
    <w:rsid w:val="006A4026"/>
    <w:rsid w:val="006A4199"/>
    <w:rsid w:val="006A455B"/>
    <w:rsid w:val="006A45E5"/>
    <w:rsid w:val="006A4696"/>
    <w:rsid w:val="006A469E"/>
    <w:rsid w:val="006A4774"/>
    <w:rsid w:val="006A479F"/>
    <w:rsid w:val="006A4875"/>
    <w:rsid w:val="006A4C82"/>
    <w:rsid w:val="006A4F42"/>
    <w:rsid w:val="006A4F6E"/>
    <w:rsid w:val="006A5285"/>
    <w:rsid w:val="006A53FD"/>
    <w:rsid w:val="006A567A"/>
    <w:rsid w:val="006A5769"/>
    <w:rsid w:val="006A5845"/>
    <w:rsid w:val="006A58EA"/>
    <w:rsid w:val="006A59CE"/>
    <w:rsid w:val="006A5B86"/>
    <w:rsid w:val="006A5BD3"/>
    <w:rsid w:val="006A5BDD"/>
    <w:rsid w:val="006A5F6A"/>
    <w:rsid w:val="006A5FCB"/>
    <w:rsid w:val="006A60B1"/>
    <w:rsid w:val="006A61EB"/>
    <w:rsid w:val="006A64A4"/>
    <w:rsid w:val="006A6668"/>
    <w:rsid w:val="006A67DB"/>
    <w:rsid w:val="006A67FF"/>
    <w:rsid w:val="006A6813"/>
    <w:rsid w:val="006A6872"/>
    <w:rsid w:val="006A690A"/>
    <w:rsid w:val="006A6A88"/>
    <w:rsid w:val="006A6B47"/>
    <w:rsid w:val="006A6CA9"/>
    <w:rsid w:val="006A6D08"/>
    <w:rsid w:val="006A6F8D"/>
    <w:rsid w:val="006A70C8"/>
    <w:rsid w:val="006A70EE"/>
    <w:rsid w:val="006A7217"/>
    <w:rsid w:val="006A742B"/>
    <w:rsid w:val="006A76FA"/>
    <w:rsid w:val="006A7756"/>
    <w:rsid w:val="006A78AE"/>
    <w:rsid w:val="006A78B0"/>
    <w:rsid w:val="006A7B31"/>
    <w:rsid w:val="006A7CA2"/>
    <w:rsid w:val="006A7D25"/>
    <w:rsid w:val="006A7D76"/>
    <w:rsid w:val="006A7E18"/>
    <w:rsid w:val="006A7E2D"/>
    <w:rsid w:val="006A7EEC"/>
    <w:rsid w:val="006B043D"/>
    <w:rsid w:val="006B044C"/>
    <w:rsid w:val="006B061F"/>
    <w:rsid w:val="006B0670"/>
    <w:rsid w:val="006B0693"/>
    <w:rsid w:val="006B080B"/>
    <w:rsid w:val="006B0976"/>
    <w:rsid w:val="006B0A94"/>
    <w:rsid w:val="006B0AA3"/>
    <w:rsid w:val="006B0C16"/>
    <w:rsid w:val="006B1023"/>
    <w:rsid w:val="006B1082"/>
    <w:rsid w:val="006B1100"/>
    <w:rsid w:val="006B121F"/>
    <w:rsid w:val="006B129E"/>
    <w:rsid w:val="006B12B5"/>
    <w:rsid w:val="006B1330"/>
    <w:rsid w:val="006B136E"/>
    <w:rsid w:val="006B168D"/>
    <w:rsid w:val="006B193B"/>
    <w:rsid w:val="006B1A91"/>
    <w:rsid w:val="006B1B21"/>
    <w:rsid w:val="006B1BB6"/>
    <w:rsid w:val="006B1C4C"/>
    <w:rsid w:val="006B1E37"/>
    <w:rsid w:val="006B20CE"/>
    <w:rsid w:val="006B20E2"/>
    <w:rsid w:val="006B2377"/>
    <w:rsid w:val="006B2663"/>
    <w:rsid w:val="006B268C"/>
    <w:rsid w:val="006B28C0"/>
    <w:rsid w:val="006B2AE7"/>
    <w:rsid w:val="006B2BD9"/>
    <w:rsid w:val="006B2D6E"/>
    <w:rsid w:val="006B34A4"/>
    <w:rsid w:val="006B3549"/>
    <w:rsid w:val="006B35DC"/>
    <w:rsid w:val="006B3625"/>
    <w:rsid w:val="006B3684"/>
    <w:rsid w:val="006B3722"/>
    <w:rsid w:val="006B3773"/>
    <w:rsid w:val="006B39AD"/>
    <w:rsid w:val="006B3E75"/>
    <w:rsid w:val="006B4353"/>
    <w:rsid w:val="006B4385"/>
    <w:rsid w:val="006B44DB"/>
    <w:rsid w:val="006B4555"/>
    <w:rsid w:val="006B4722"/>
    <w:rsid w:val="006B491A"/>
    <w:rsid w:val="006B4B1E"/>
    <w:rsid w:val="006B4BCE"/>
    <w:rsid w:val="006B4D18"/>
    <w:rsid w:val="006B4E66"/>
    <w:rsid w:val="006B5022"/>
    <w:rsid w:val="006B505F"/>
    <w:rsid w:val="006B5340"/>
    <w:rsid w:val="006B537D"/>
    <w:rsid w:val="006B54CB"/>
    <w:rsid w:val="006B54FA"/>
    <w:rsid w:val="006B5618"/>
    <w:rsid w:val="006B56BD"/>
    <w:rsid w:val="006B5A2A"/>
    <w:rsid w:val="006B5AC1"/>
    <w:rsid w:val="006B5D36"/>
    <w:rsid w:val="006B5E08"/>
    <w:rsid w:val="006B6410"/>
    <w:rsid w:val="006B6494"/>
    <w:rsid w:val="006B656C"/>
    <w:rsid w:val="006B673A"/>
    <w:rsid w:val="006B6B0C"/>
    <w:rsid w:val="006B6B24"/>
    <w:rsid w:val="006B6C2D"/>
    <w:rsid w:val="006B6C92"/>
    <w:rsid w:val="006B70A9"/>
    <w:rsid w:val="006B727D"/>
    <w:rsid w:val="006B7573"/>
    <w:rsid w:val="006B7741"/>
    <w:rsid w:val="006B7809"/>
    <w:rsid w:val="006B794D"/>
    <w:rsid w:val="006B7B68"/>
    <w:rsid w:val="006B7C11"/>
    <w:rsid w:val="006B7F31"/>
    <w:rsid w:val="006C0284"/>
    <w:rsid w:val="006C028D"/>
    <w:rsid w:val="006C0335"/>
    <w:rsid w:val="006C035C"/>
    <w:rsid w:val="006C0608"/>
    <w:rsid w:val="006C0A95"/>
    <w:rsid w:val="006C0B04"/>
    <w:rsid w:val="006C0F6D"/>
    <w:rsid w:val="006C10AE"/>
    <w:rsid w:val="006C10F3"/>
    <w:rsid w:val="006C1200"/>
    <w:rsid w:val="006C1246"/>
    <w:rsid w:val="006C12AE"/>
    <w:rsid w:val="006C137C"/>
    <w:rsid w:val="006C14DD"/>
    <w:rsid w:val="006C14E7"/>
    <w:rsid w:val="006C1647"/>
    <w:rsid w:val="006C1703"/>
    <w:rsid w:val="006C1937"/>
    <w:rsid w:val="006C19FB"/>
    <w:rsid w:val="006C1A70"/>
    <w:rsid w:val="006C1BB4"/>
    <w:rsid w:val="006C1C41"/>
    <w:rsid w:val="006C1CF0"/>
    <w:rsid w:val="006C1CF6"/>
    <w:rsid w:val="006C1D0C"/>
    <w:rsid w:val="006C1D0D"/>
    <w:rsid w:val="006C1DA2"/>
    <w:rsid w:val="006C1ED4"/>
    <w:rsid w:val="006C2099"/>
    <w:rsid w:val="006C2355"/>
    <w:rsid w:val="006C245A"/>
    <w:rsid w:val="006C25BE"/>
    <w:rsid w:val="006C2964"/>
    <w:rsid w:val="006C2976"/>
    <w:rsid w:val="006C2CF2"/>
    <w:rsid w:val="006C2D09"/>
    <w:rsid w:val="006C2D17"/>
    <w:rsid w:val="006C314A"/>
    <w:rsid w:val="006C32AF"/>
    <w:rsid w:val="006C3508"/>
    <w:rsid w:val="006C3517"/>
    <w:rsid w:val="006C354A"/>
    <w:rsid w:val="006C37AF"/>
    <w:rsid w:val="006C3984"/>
    <w:rsid w:val="006C39F4"/>
    <w:rsid w:val="006C3C64"/>
    <w:rsid w:val="006C3E2E"/>
    <w:rsid w:val="006C3E96"/>
    <w:rsid w:val="006C407F"/>
    <w:rsid w:val="006C4B20"/>
    <w:rsid w:val="006C4BD1"/>
    <w:rsid w:val="006C4D26"/>
    <w:rsid w:val="006C4E1D"/>
    <w:rsid w:val="006C545E"/>
    <w:rsid w:val="006C56C6"/>
    <w:rsid w:val="006C5874"/>
    <w:rsid w:val="006C59D5"/>
    <w:rsid w:val="006C59E8"/>
    <w:rsid w:val="006C59F0"/>
    <w:rsid w:val="006C5A0B"/>
    <w:rsid w:val="006C5DDF"/>
    <w:rsid w:val="006C5EFD"/>
    <w:rsid w:val="006C617D"/>
    <w:rsid w:val="006C61AD"/>
    <w:rsid w:val="006C6412"/>
    <w:rsid w:val="006C6517"/>
    <w:rsid w:val="006C686C"/>
    <w:rsid w:val="006C6966"/>
    <w:rsid w:val="006C69F4"/>
    <w:rsid w:val="006C6A3E"/>
    <w:rsid w:val="006C6B23"/>
    <w:rsid w:val="006C6E4E"/>
    <w:rsid w:val="006C740D"/>
    <w:rsid w:val="006C7440"/>
    <w:rsid w:val="006C749D"/>
    <w:rsid w:val="006C763E"/>
    <w:rsid w:val="006C76CA"/>
    <w:rsid w:val="006C7725"/>
    <w:rsid w:val="006C772E"/>
    <w:rsid w:val="006C785D"/>
    <w:rsid w:val="006C7862"/>
    <w:rsid w:val="006C7929"/>
    <w:rsid w:val="006C7A1E"/>
    <w:rsid w:val="006C7A4D"/>
    <w:rsid w:val="006C7B0E"/>
    <w:rsid w:val="006C7B17"/>
    <w:rsid w:val="006C7C68"/>
    <w:rsid w:val="006C7CCD"/>
    <w:rsid w:val="006C7FD2"/>
    <w:rsid w:val="006C7FD9"/>
    <w:rsid w:val="006D01EC"/>
    <w:rsid w:val="006D02BD"/>
    <w:rsid w:val="006D045E"/>
    <w:rsid w:val="006D057E"/>
    <w:rsid w:val="006D0583"/>
    <w:rsid w:val="006D05A6"/>
    <w:rsid w:val="006D0669"/>
    <w:rsid w:val="006D06BE"/>
    <w:rsid w:val="006D08E2"/>
    <w:rsid w:val="006D091E"/>
    <w:rsid w:val="006D0D88"/>
    <w:rsid w:val="006D0DBE"/>
    <w:rsid w:val="006D0DE2"/>
    <w:rsid w:val="006D0E11"/>
    <w:rsid w:val="006D1379"/>
    <w:rsid w:val="006D1388"/>
    <w:rsid w:val="006D1614"/>
    <w:rsid w:val="006D17CA"/>
    <w:rsid w:val="006D1B2A"/>
    <w:rsid w:val="006D1D5A"/>
    <w:rsid w:val="006D1E03"/>
    <w:rsid w:val="006D2156"/>
    <w:rsid w:val="006D235B"/>
    <w:rsid w:val="006D24D2"/>
    <w:rsid w:val="006D273F"/>
    <w:rsid w:val="006D2BBA"/>
    <w:rsid w:val="006D2D4C"/>
    <w:rsid w:val="006D2DDD"/>
    <w:rsid w:val="006D3036"/>
    <w:rsid w:val="006D30AC"/>
    <w:rsid w:val="006D31CA"/>
    <w:rsid w:val="006D3397"/>
    <w:rsid w:val="006D344A"/>
    <w:rsid w:val="006D34AA"/>
    <w:rsid w:val="006D34EE"/>
    <w:rsid w:val="006D38AA"/>
    <w:rsid w:val="006D39EE"/>
    <w:rsid w:val="006D3DD8"/>
    <w:rsid w:val="006D3E55"/>
    <w:rsid w:val="006D3F93"/>
    <w:rsid w:val="006D41A2"/>
    <w:rsid w:val="006D4281"/>
    <w:rsid w:val="006D4362"/>
    <w:rsid w:val="006D4534"/>
    <w:rsid w:val="006D4628"/>
    <w:rsid w:val="006D48F0"/>
    <w:rsid w:val="006D4D56"/>
    <w:rsid w:val="006D4E20"/>
    <w:rsid w:val="006D5055"/>
    <w:rsid w:val="006D5091"/>
    <w:rsid w:val="006D5176"/>
    <w:rsid w:val="006D51AF"/>
    <w:rsid w:val="006D51CE"/>
    <w:rsid w:val="006D52EA"/>
    <w:rsid w:val="006D5B1D"/>
    <w:rsid w:val="006D5D6D"/>
    <w:rsid w:val="006D5E07"/>
    <w:rsid w:val="006D5EE3"/>
    <w:rsid w:val="006D616E"/>
    <w:rsid w:val="006D6865"/>
    <w:rsid w:val="006D6B9C"/>
    <w:rsid w:val="006D6BA0"/>
    <w:rsid w:val="006D6DF4"/>
    <w:rsid w:val="006D6F71"/>
    <w:rsid w:val="006D705D"/>
    <w:rsid w:val="006D7244"/>
    <w:rsid w:val="006D7310"/>
    <w:rsid w:val="006D74BD"/>
    <w:rsid w:val="006D750A"/>
    <w:rsid w:val="006D754C"/>
    <w:rsid w:val="006D75FB"/>
    <w:rsid w:val="006D792A"/>
    <w:rsid w:val="006D79DC"/>
    <w:rsid w:val="006D79DE"/>
    <w:rsid w:val="006D7AB2"/>
    <w:rsid w:val="006D7C78"/>
    <w:rsid w:val="006D7D1E"/>
    <w:rsid w:val="006D7DDB"/>
    <w:rsid w:val="006E0464"/>
    <w:rsid w:val="006E04F7"/>
    <w:rsid w:val="006E0554"/>
    <w:rsid w:val="006E0573"/>
    <w:rsid w:val="006E057B"/>
    <w:rsid w:val="006E061D"/>
    <w:rsid w:val="006E06ED"/>
    <w:rsid w:val="006E084A"/>
    <w:rsid w:val="006E0A03"/>
    <w:rsid w:val="006E0C95"/>
    <w:rsid w:val="006E0D2A"/>
    <w:rsid w:val="006E0DB5"/>
    <w:rsid w:val="006E104E"/>
    <w:rsid w:val="006E10E0"/>
    <w:rsid w:val="006E11A0"/>
    <w:rsid w:val="006E11F6"/>
    <w:rsid w:val="006E1242"/>
    <w:rsid w:val="006E137E"/>
    <w:rsid w:val="006E1397"/>
    <w:rsid w:val="006E1536"/>
    <w:rsid w:val="006E1755"/>
    <w:rsid w:val="006E183A"/>
    <w:rsid w:val="006E1843"/>
    <w:rsid w:val="006E18D7"/>
    <w:rsid w:val="006E1A41"/>
    <w:rsid w:val="006E1A71"/>
    <w:rsid w:val="006E1AD9"/>
    <w:rsid w:val="006E1ADD"/>
    <w:rsid w:val="006E1B6D"/>
    <w:rsid w:val="006E1C01"/>
    <w:rsid w:val="006E1CFE"/>
    <w:rsid w:val="006E1E80"/>
    <w:rsid w:val="006E1F05"/>
    <w:rsid w:val="006E1F46"/>
    <w:rsid w:val="006E20C6"/>
    <w:rsid w:val="006E22B1"/>
    <w:rsid w:val="006E2373"/>
    <w:rsid w:val="006E27FD"/>
    <w:rsid w:val="006E29E2"/>
    <w:rsid w:val="006E2AB0"/>
    <w:rsid w:val="006E2E1F"/>
    <w:rsid w:val="006E2F01"/>
    <w:rsid w:val="006E3067"/>
    <w:rsid w:val="006E32E6"/>
    <w:rsid w:val="006E33F1"/>
    <w:rsid w:val="006E3535"/>
    <w:rsid w:val="006E353E"/>
    <w:rsid w:val="006E36ED"/>
    <w:rsid w:val="006E397C"/>
    <w:rsid w:val="006E3C18"/>
    <w:rsid w:val="006E3C3E"/>
    <w:rsid w:val="006E3D0D"/>
    <w:rsid w:val="006E3E36"/>
    <w:rsid w:val="006E4047"/>
    <w:rsid w:val="006E4145"/>
    <w:rsid w:val="006E42A4"/>
    <w:rsid w:val="006E452B"/>
    <w:rsid w:val="006E46D7"/>
    <w:rsid w:val="006E4AD2"/>
    <w:rsid w:val="006E5159"/>
    <w:rsid w:val="006E5239"/>
    <w:rsid w:val="006E553A"/>
    <w:rsid w:val="006E554D"/>
    <w:rsid w:val="006E5585"/>
    <w:rsid w:val="006E55B7"/>
    <w:rsid w:val="006E5767"/>
    <w:rsid w:val="006E587D"/>
    <w:rsid w:val="006E5926"/>
    <w:rsid w:val="006E5BC6"/>
    <w:rsid w:val="006E5C3A"/>
    <w:rsid w:val="006E60E6"/>
    <w:rsid w:val="006E61E3"/>
    <w:rsid w:val="006E6E55"/>
    <w:rsid w:val="006E6E93"/>
    <w:rsid w:val="006E6FFE"/>
    <w:rsid w:val="006E7382"/>
    <w:rsid w:val="006E73A7"/>
    <w:rsid w:val="006E73E9"/>
    <w:rsid w:val="006E767D"/>
    <w:rsid w:val="006E7995"/>
    <w:rsid w:val="006E7A82"/>
    <w:rsid w:val="006E7FD9"/>
    <w:rsid w:val="006F0014"/>
    <w:rsid w:val="006F0035"/>
    <w:rsid w:val="006F00C3"/>
    <w:rsid w:val="006F0176"/>
    <w:rsid w:val="006F031B"/>
    <w:rsid w:val="006F0486"/>
    <w:rsid w:val="006F0798"/>
    <w:rsid w:val="006F0800"/>
    <w:rsid w:val="006F090C"/>
    <w:rsid w:val="006F09B5"/>
    <w:rsid w:val="006F09EF"/>
    <w:rsid w:val="006F0BEB"/>
    <w:rsid w:val="006F0C20"/>
    <w:rsid w:val="006F0D6E"/>
    <w:rsid w:val="006F121A"/>
    <w:rsid w:val="006F13EC"/>
    <w:rsid w:val="006F1492"/>
    <w:rsid w:val="006F1DCB"/>
    <w:rsid w:val="006F1E00"/>
    <w:rsid w:val="006F1FBB"/>
    <w:rsid w:val="006F21C2"/>
    <w:rsid w:val="006F2235"/>
    <w:rsid w:val="006F23E4"/>
    <w:rsid w:val="006F241E"/>
    <w:rsid w:val="006F25AA"/>
    <w:rsid w:val="006F2735"/>
    <w:rsid w:val="006F27AF"/>
    <w:rsid w:val="006F2859"/>
    <w:rsid w:val="006F2893"/>
    <w:rsid w:val="006F2A6E"/>
    <w:rsid w:val="006F2CDF"/>
    <w:rsid w:val="006F2D2C"/>
    <w:rsid w:val="006F341E"/>
    <w:rsid w:val="006F38A5"/>
    <w:rsid w:val="006F3B6E"/>
    <w:rsid w:val="006F3EDF"/>
    <w:rsid w:val="006F3FD0"/>
    <w:rsid w:val="006F40FB"/>
    <w:rsid w:val="006F41D9"/>
    <w:rsid w:val="006F4340"/>
    <w:rsid w:val="006F4A0D"/>
    <w:rsid w:val="006F4D29"/>
    <w:rsid w:val="006F4D37"/>
    <w:rsid w:val="006F4D46"/>
    <w:rsid w:val="006F4EE1"/>
    <w:rsid w:val="006F5190"/>
    <w:rsid w:val="006F5421"/>
    <w:rsid w:val="006F55B2"/>
    <w:rsid w:val="006F5772"/>
    <w:rsid w:val="006F582B"/>
    <w:rsid w:val="006F5963"/>
    <w:rsid w:val="006F5B1F"/>
    <w:rsid w:val="006F5B60"/>
    <w:rsid w:val="006F5D82"/>
    <w:rsid w:val="006F5FE7"/>
    <w:rsid w:val="006F6068"/>
    <w:rsid w:val="006F6232"/>
    <w:rsid w:val="006F6296"/>
    <w:rsid w:val="006F649A"/>
    <w:rsid w:val="006F6595"/>
    <w:rsid w:val="006F6904"/>
    <w:rsid w:val="006F6D71"/>
    <w:rsid w:val="006F6FBD"/>
    <w:rsid w:val="006F7094"/>
    <w:rsid w:val="006F71D5"/>
    <w:rsid w:val="006F720A"/>
    <w:rsid w:val="006F785A"/>
    <w:rsid w:val="006F7B87"/>
    <w:rsid w:val="006F7D08"/>
    <w:rsid w:val="006F7E18"/>
    <w:rsid w:val="006F7F13"/>
    <w:rsid w:val="00700514"/>
    <w:rsid w:val="007006BF"/>
    <w:rsid w:val="007007D9"/>
    <w:rsid w:val="00700806"/>
    <w:rsid w:val="0070094D"/>
    <w:rsid w:val="00700AC9"/>
    <w:rsid w:val="00700EF5"/>
    <w:rsid w:val="00700FD4"/>
    <w:rsid w:val="0070101D"/>
    <w:rsid w:val="00701211"/>
    <w:rsid w:val="007015DA"/>
    <w:rsid w:val="0070188F"/>
    <w:rsid w:val="00701B03"/>
    <w:rsid w:val="00701BD9"/>
    <w:rsid w:val="00701BDB"/>
    <w:rsid w:val="00701C7A"/>
    <w:rsid w:val="00701CA4"/>
    <w:rsid w:val="00701EA9"/>
    <w:rsid w:val="00701EF3"/>
    <w:rsid w:val="0070219E"/>
    <w:rsid w:val="007021AE"/>
    <w:rsid w:val="0070246D"/>
    <w:rsid w:val="007025C7"/>
    <w:rsid w:val="00702766"/>
    <w:rsid w:val="0070276C"/>
    <w:rsid w:val="00702DC5"/>
    <w:rsid w:val="00702E08"/>
    <w:rsid w:val="00702F52"/>
    <w:rsid w:val="00702FBE"/>
    <w:rsid w:val="007030A8"/>
    <w:rsid w:val="00703154"/>
    <w:rsid w:val="00703A8A"/>
    <w:rsid w:val="00703B78"/>
    <w:rsid w:val="007042A4"/>
    <w:rsid w:val="007043A9"/>
    <w:rsid w:val="00704610"/>
    <w:rsid w:val="00704670"/>
    <w:rsid w:val="00704AB6"/>
    <w:rsid w:val="00704B24"/>
    <w:rsid w:val="00704DD1"/>
    <w:rsid w:val="00704EA6"/>
    <w:rsid w:val="00704FD1"/>
    <w:rsid w:val="007050C9"/>
    <w:rsid w:val="0070539F"/>
    <w:rsid w:val="007053C0"/>
    <w:rsid w:val="00705461"/>
    <w:rsid w:val="00705480"/>
    <w:rsid w:val="0070550E"/>
    <w:rsid w:val="00705716"/>
    <w:rsid w:val="0070576A"/>
    <w:rsid w:val="00705BCC"/>
    <w:rsid w:val="00705CF4"/>
    <w:rsid w:val="00705E46"/>
    <w:rsid w:val="00705E4A"/>
    <w:rsid w:val="00705F38"/>
    <w:rsid w:val="00706014"/>
    <w:rsid w:val="0070618B"/>
    <w:rsid w:val="007061D3"/>
    <w:rsid w:val="007061F7"/>
    <w:rsid w:val="0070643A"/>
    <w:rsid w:val="007064B3"/>
    <w:rsid w:val="00706932"/>
    <w:rsid w:val="00706BA2"/>
    <w:rsid w:val="00706BDD"/>
    <w:rsid w:val="0070708E"/>
    <w:rsid w:val="007070E4"/>
    <w:rsid w:val="0070726A"/>
    <w:rsid w:val="00707315"/>
    <w:rsid w:val="00707335"/>
    <w:rsid w:val="00707442"/>
    <w:rsid w:val="0070747A"/>
    <w:rsid w:val="007074AB"/>
    <w:rsid w:val="007076D8"/>
    <w:rsid w:val="00707B7A"/>
    <w:rsid w:val="00707FBA"/>
    <w:rsid w:val="007100B3"/>
    <w:rsid w:val="007102EC"/>
    <w:rsid w:val="00710367"/>
    <w:rsid w:val="00710506"/>
    <w:rsid w:val="00710ACA"/>
    <w:rsid w:val="00710BF3"/>
    <w:rsid w:val="00710E9C"/>
    <w:rsid w:val="00711020"/>
    <w:rsid w:val="007111C2"/>
    <w:rsid w:val="007112CB"/>
    <w:rsid w:val="0071140F"/>
    <w:rsid w:val="00711474"/>
    <w:rsid w:val="00711524"/>
    <w:rsid w:val="007115A7"/>
    <w:rsid w:val="00711A6D"/>
    <w:rsid w:val="00711A6E"/>
    <w:rsid w:val="00711CE2"/>
    <w:rsid w:val="00711DDA"/>
    <w:rsid w:val="0071243D"/>
    <w:rsid w:val="0071254F"/>
    <w:rsid w:val="007125AF"/>
    <w:rsid w:val="007127A0"/>
    <w:rsid w:val="007127A7"/>
    <w:rsid w:val="007129B8"/>
    <w:rsid w:val="00712BF7"/>
    <w:rsid w:val="00712E28"/>
    <w:rsid w:val="00712E58"/>
    <w:rsid w:val="00712EE2"/>
    <w:rsid w:val="007130AF"/>
    <w:rsid w:val="00713369"/>
    <w:rsid w:val="0071372D"/>
    <w:rsid w:val="00713807"/>
    <w:rsid w:val="0071381C"/>
    <w:rsid w:val="00713833"/>
    <w:rsid w:val="007138E1"/>
    <w:rsid w:val="00713C77"/>
    <w:rsid w:val="00713CFA"/>
    <w:rsid w:val="0071407A"/>
    <w:rsid w:val="007140C9"/>
    <w:rsid w:val="00714219"/>
    <w:rsid w:val="0071460D"/>
    <w:rsid w:val="0071463A"/>
    <w:rsid w:val="007146FC"/>
    <w:rsid w:val="0071497F"/>
    <w:rsid w:val="00714999"/>
    <w:rsid w:val="00714A8D"/>
    <w:rsid w:val="00715149"/>
    <w:rsid w:val="0071518C"/>
    <w:rsid w:val="0071520B"/>
    <w:rsid w:val="007152A2"/>
    <w:rsid w:val="007153F5"/>
    <w:rsid w:val="007154E1"/>
    <w:rsid w:val="0071570A"/>
    <w:rsid w:val="0071571B"/>
    <w:rsid w:val="00715847"/>
    <w:rsid w:val="00715928"/>
    <w:rsid w:val="00715994"/>
    <w:rsid w:val="00715B7E"/>
    <w:rsid w:val="00715E44"/>
    <w:rsid w:val="00715F12"/>
    <w:rsid w:val="00716185"/>
    <w:rsid w:val="00716250"/>
    <w:rsid w:val="007163DA"/>
    <w:rsid w:val="00716BA9"/>
    <w:rsid w:val="00716F4F"/>
    <w:rsid w:val="007172D7"/>
    <w:rsid w:val="007172E3"/>
    <w:rsid w:val="00717408"/>
    <w:rsid w:val="00717674"/>
    <w:rsid w:val="0071772C"/>
    <w:rsid w:val="00717732"/>
    <w:rsid w:val="00717999"/>
    <w:rsid w:val="00717BF3"/>
    <w:rsid w:val="00717DDF"/>
    <w:rsid w:val="00717DE6"/>
    <w:rsid w:val="00717E4F"/>
    <w:rsid w:val="00717F5B"/>
    <w:rsid w:val="0072004E"/>
    <w:rsid w:val="00720130"/>
    <w:rsid w:val="0072019A"/>
    <w:rsid w:val="00720311"/>
    <w:rsid w:val="0072033C"/>
    <w:rsid w:val="007203AB"/>
    <w:rsid w:val="0072041C"/>
    <w:rsid w:val="007204E2"/>
    <w:rsid w:val="00720517"/>
    <w:rsid w:val="007205EA"/>
    <w:rsid w:val="00720651"/>
    <w:rsid w:val="00720672"/>
    <w:rsid w:val="00720786"/>
    <w:rsid w:val="00720889"/>
    <w:rsid w:val="0072099E"/>
    <w:rsid w:val="00720A00"/>
    <w:rsid w:val="00720A9B"/>
    <w:rsid w:val="00720B2C"/>
    <w:rsid w:val="0072108D"/>
    <w:rsid w:val="00721160"/>
    <w:rsid w:val="00721430"/>
    <w:rsid w:val="0072146D"/>
    <w:rsid w:val="007215D4"/>
    <w:rsid w:val="00721A3E"/>
    <w:rsid w:val="00721FC1"/>
    <w:rsid w:val="00722016"/>
    <w:rsid w:val="007220A1"/>
    <w:rsid w:val="00722334"/>
    <w:rsid w:val="0072248F"/>
    <w:rsid w:val="007224B2"/>
    <w:rsid w:val="007225C1"/>
    <w:rsid w:val="007226D6"/>
    <w:rsid w:val="007228A4"/>
    <w:rsid w:val="007229C3"/>
    <w:rsid w:val="00722A1B"/>
    <w:rsid w:val="00722A7F"/>
    <w:rsid w:val="00722EB0"/>
    <w:rsid w:val="00722EC8"/>
    <w:rsid w:val="00723057"/>
    <w:rsid w:val="007232C1"/>
    <w:rsid w:val="007233C8"/>
    <w:rsid w:val="00723400"/>
    <w:rsid w:val="00723571"/>
    <w:rsid w:val="0072361E"/>
    <w:rsid w:val="00723F8F"/>
    <w:rsid w:val="00724017"/>
    <w:rsid w:val="00724052"/>
    <w:rsid w:val="00724131"/>
    <w:rsid w:val="00724613"/>
    <w:rsid w:val="0072469C"/>
    <w:rsid w:val="0072474C"/>
    <w:rsid w:val="007249F8"/>
    <w:rsid w:val="00724FFE"/>
    <w:rsid w:val="007250DD"/>
    <w:rsid w:val="0072557E"/>
    <w:rsid w:val="007255AC"/>
    <w:rsid w:val="00725618"/>
    <w:rsid w:val="0072563A"/>
    <w:rsid w:val="007259FA"/>
    <w:rsid w:val="00725A39"/>
    <w:rsid w:val="00725AFA"/>
    <w:rsid w:val="00725B31"/>
    <w:rsid w:val="00725BCC"/>
    <w:rsid w:val="00725E4C"/>
    <w:rsid w:val="00725F95"/>
    <w:rsid w:val="00726489"/>
    <w:rsid w:val="0072675D"/>
    <w:rsid w:val="00726AB7"/>
    <w:rsid w:val="00726C4B"/>
    <w:rsid w:val="00726DA7"/>
    <w:rsid w:val="00727364"/>
    <w:rsid w:val="00727572"/>
    <w:rsid w:val="007276C0"/>
    <w:rsid w:val="007277A3"/>
    <w:rsid w:val="0072785D"/>
    <w:rsid w:val="0072794B"/>
    <w:rsid w:val="00727A6D"/>
    <w:rsid w:val="00727DF8"/>
    <w:rsid w:val="00730112"/>
    <w:rsid w:val="007301DA"/>
    <w:rsid w:val="007301EA"/>
    <w:rsid w:val="0073033D"/>
    <w:rsid w:val="0073042B"/>
    <w:rsid w:val="007307EE"/>
    <w:rsid w:val="0073081C"/>
    <w:rsid w:val="0073085A"/>
    <w:rsid w:val="00730864"/>
    <w:rsid w:val="00730C4C"/>
    <w:rsid w:val="0073108F"/>
    <w:rsid w:val="00731275"/>
    <w:rsid w:val="007313CA"/>
    <w:rsid w:val="007314E6"/>
    <w:rsid w:val="0073155F"/>
    <w:rsid w:val="007317B6"/>
    <w:rsid w:val="007317CA"/>
    <w:rsid w:val="0073182F"/>
    <w:rsid w:val="00731906"/>
    <w:rsid w:val="00731990"/>
    <w:rsid w:val="00731A3A"/>
    <w:rsid w:val="00731ACD"/>
    <w:rsid w:val="00731BB7"/>
    <w:rsid w:val="00731CFC"/>
    <w:rsid w:val="00731D2A"/>
    <w:rsid w:val="00731D57"/>
    <w:rsid w:val="00731EFD"/>
    <w:rsid w:val="00731F12"/>
    <w:rsid w:val="00731FE8"/>
    <w:rsid w:val="00732110"/>
    <w:rsid w:val="007329B2"/>
    <w:rsid w:val="0073313B"/>
    <w:rsid w:val="007331AC"/>
    <w:rsid w:val="00733460"/>
    <w:rsid w:val="00733736"/>
    <w:rsid w:val="00733AEB"/>
    <w:rsid w:val="00733CBF"/>
    <w:rsid w:val="00733D32"/>
    <w:rsid w:val="00734498"/>
    <w:rsid w:val="0073468F"/>
    <w:rsid w:val="00734AAA"/>
    <w:rsid w:val="00734F1B"/>
    <w:rsid w:val="00734F81"/>
    <w:rsid w:val="00734FEA"/>
    <w:rsid w:val="007351AC"/>
    <w:rsid w:val="0073547B"/>
    <w:rsid w:val="007354D7"/>
    <w:rsid w:val="00735621"/>
    <w:rsid w:val="007356DB"/>
    <w:rsid w:val="00735777"/>
    <w:rsid w:val="0073578F"/>
    <w:rsid w:val="007357BD"/>
    <w:rsid w:val="00735946"/>
    <w:rsid w:val="00735A04"/>
    <w:rsid w:val="00736025"/>
    <w:rsid w:val="00736170"/>
    <w:rsid w:val="007364E4"/>
    <w:rsid w:val="00736532"/>
    <w:rsid w:val="007365B6"/>
    <w:rsid w:val="007366AA"/>
    <w:rsid w:val="00736995"/>
    <w:rsid w:val="00736999"/>
    <w:rsid w:val="00736F8D"/>
    <w:rsid w:val="007370AD"/>
    <w:rsid w:val="007371BD"/>
    <w:rsid w:val="00737247"/>
    <w:rsid w:val="007372FD"/>
    <w:rsid w:val="007374A1"/>
    <w:rsid w:val="00737AE1"/>
    <w:rsid w:val="00737D86"/>
    <w:rsid w:val="00737DA5"/>
    <w:rsid w:val="00737E3B"/>
    <w:rsid w:val="00740097"/>
    <w:rsid w:val="00740149"/>
    <w:rsid w:val="007402EE"/>
    <w:rsid w:val="00740519"/>
    <w:rsid w:val="007406A1"/>
    <w:rsid w:val="00740883"/>
    <w:rsid w:val="007409DD"/>
    <w:rsid w:val="00740A14"/>
    <w:rsid w:val="00740BE6"/>
    <w:rsid w:val="00740D48"/>
    <w:rsid w:val="00740D8D"/>
    <w:rsid w:val="007413AE"/>
    <w:rsid w:val="007415B6"/>
    <w:rsid w:val="0074192E"/>
    <w:rsid w:val="00741B75"/>
    <w:rsid w:val="00741BF4"/>
    <w:rsid w:val="0074202D"/>
    <w:rsid w:val="00742558"/>
    <w:rsid w:val="007425F5"/>
    <w:rsid w:val="00742701"/>
    <w:rsid w:val="007427A6"/>
    <w:rsid w:val="00742B79"/>
    <w:rsid w:val="00742CDC"/>
    <w:rsid w:val="007431D0"/>
    <w:rsid w:val="00743349"/>
    <w:rsid w:val="0074336C"/>
    <w:rsid w:val="007435A0"/>
    <w:rsid w:val="00743851"/>
    <w:rsid w:val="00743B0B"/>
    <w:rsid w:val="00743B7B"/>
    <w:rsid w:val="00743D9A"/>
    <w:rsid w:val="007440C2"/>
    <w:rsid w:val="0074459F"/>
    <w:rsid w:val="007446D1"/>
    <w:rsid w:val="007449C5"/>
    <w:rsid w:val="00744CF8"/>
    <w:rsid w:val="00744E21"/>
    <w:rsid w:val="007453AD"/>
    <w:rsid w:val="0074563B"/>
    <w:rsid w:val="0074565E"/>
    <w:rsid w:val="0074571C"/>
    <w:rsid w:val="0074596D"/>
    <w:rsid w:val="0074598E"/>
    <w:rsid w:val="00745AF7"/>
    <w:rsid w:val="00745B35"/>
    <w:rsid w:val="00745CA6"/>
    <w:rsid w:val="00745F72"/>
    <w:rsid w:val="00746172"/>
    <w:rsid w:val="007462C6"/>
    <w:rsid w:val="0074639E"/>
    <w:rsid w:val="00746438"/>
    <w:rsid w:val="007465EE"/>
    <w:rsid w:val="00746615"/>
    <w:rsid w:val="00746AFE"/>
    <w:rsid w:val="00746ECF"/>
    <w:rsid w:val="00746F0D"/>
    <w:rsid w:val="00746FC5"/>
    <w:rsid w:val="0074710A"/>
    <w:rsid w:val="007472A5"/>
    <w:rsid w:val="00747378"/>
    <w:rsid w:val="007474CC"/>
    <w:rsid w:val="007474DD"/>
    <w:rsid w:val="00747581"/>
    <w:rsid w:val="0074775E"/>
    <w:rsid w:val="007477E4"/>
    <w:rsid w:val="00747BF2"/>
    <w:rsid w:val="00747D97"/>
    <w:rsid w:val="00747EE5"/>
    <w:rsid w:val="00750232"/>
    <w:rsid w:val="00750272"/>
    <w:rsid w:val="00750273"/>
    <w:rsid w:val="0075037E"/>
    <w:rsid w:val="0075043E"/>
    <w:rsid w:val="007506C5"/>
    <w:rsid w:val="007506F6"/>
    <w:rsid w:val="00750775"/>
    <w:rsid w:val="00750B0A"/>
    <w:rsid w:val="00750C14"/>
    <w:rsid w:val="00750C93"/>
    <w:rsid w:val="00750DD7"/>
    <w:rsid w:val="00750E08"/>
    <w:rsid w:val="00750F00"/>
    <w:rsid w:val="00751134"/>
    <w:rsid w:val="00751199"/>
    <w:rsid w:val="0075133A"/>
    <w:rsid w:val="00751452"/>
    <w:rsid w:val="007515AA"/>
    <w:rsid w:val="007515E2"/>
    <w:rsid w:val="00751637"/>
    <w:rsid w:val="00751744"/>
    <w:rsid w:val="00751791"/>
    <w:rsid w:val="00751B9E"/>
    <w:rsid w:val="00751C5B"/>
    <w:rsid w:val="00751D18"/>
    <w:rsid w:val="00751E5F"/>
    <w:rsid w:val="00751F93"/>
    <w:rsid w:val="007520C8"/>
    <w:rsid w:val="00752367"/>
    <w:rsid w:val="007526BD"/>
    <w:rsid w:val="00752972"/>
    <w:rsid w:val="00752D1E"/>
    <w:rsid w:val="00752D9A"/>
    <w:rsid w:val="00752FF6"/>
    <w:rsid w:val="0075302A"/>
    <w:rsid w:val="00753087"/>
    <w:rsid w:val="00753481"/>
    <w:rsid w:val="00753483"/>
    <w:rsid w:val="0075365E"/>
    <w:rsid w:val="0075374C"/>
    <w:rsid w:val="00753964"/>
    <w:rsid w:val="00753A9B"/>
    <w:rsid w:val="00753C36"/>
    <w:rsid w:val="00753DD2"/>
    <w:rsid w:val="00753E32"/>
    <w:rsid w:val="00753EEC"/>
    <w:rsid w:val="0075418D"/>
    <w:rsid w:val="0075424A"/>
    <w:rsid w:val="00754378"/>
    <w:rsid w:val="007544A2"/>
    <w:rsid w:val="00754701"/>
    <w:rsid w:val="00754960"/>
    <w:rsid w:val="007549D3"/>
    <w:rsid w:val="00754D5C"/>
    <w:rsid w:val="00754EBA"/>
    <w:rsid w:val="00754FC5"/>
    <w:rsid w:val="00755188"/>
    <w:rsid w:val="00755273"/>
    <w:rsid w:val="00755443"/>
    <w:rsid w:val="0075553C"/>
    <w:rsid w:val="007556F7"/>
    <w:rsid w:val="0075598F"/>
    <w:rsid w:val="00755A9F"/>
    <w:rsid w:val="00755C27"/>
    <w:rsid w:val="00756076"/>
    <w:rsid w:val="007560E3"/>
    <w:rsid w:val="007561D2"/>
    <w:rsid w:val="007563AF"/>
    <w:rsid w:val="007563C2"/>
    <w:rsid w:val="00756715"/>
    <w:rsid w:val="00756B46"/>
    <w:rsid w:val="00756C18"/>
    <w:rsid w:val="00756CB4"/>
    <w:rsid w:val="00756DA7"/>
    <w:rsid w:val="00756EAA"/>
    <w:rsid w:val="007570B3"/>
    <w:rsid w:val="0075713F"/>
    <w:rsid w:val="00757606"/>
    <w:rsid w:val="007577C8"/>
    <w:rsid w:val="0075795B"/>
    <w:rsid w:val="007579BF"/>
    <w:rsid w:val="007579D8"/>
    <w:rsid w:val="00757B8B"/>
    <w:rsid w:val="00757C2F"/>
    <w:rsid w:val="00757C89"/>
    <w:rsid w:val="007601A0"/>
    <w:rsid w:val="0076030B"/>
    <w:rsid w:val="00760378"/>
    <w:rsid w:val="0076059E"/>
    <w:rsid w:val="007606C7"/>
    <w:rsid w:val="0076073E"/>
    <w:rsid w:val="0076092D"/>
    <w:rsid w:val="00761349"/>
    <w:rsid w:val="00761774"/>
    <w:rsid w:val="00761A08"/>
    <w:rsid w:val="00761DBE"/>
    <w:rsid w:val="007621BA"/>
    <w:rsid w:val="00762236"/>
    <w:rsid w:val="00762258"/>
    <w:rsid w:val="0076249A"/>
    <w:rsid w:val="00762520"/>
    <w:rsid w:val="00762A30"/>
    <w:rsid w:val="00762A47"/>
    <w:rsid w:val="00762D81"/>
    <w:rsid w:val="00762E8F"/>
    <w:rsid w:val="00762EC3"/>
    <w:rsid w:val="00762F71"/>
    <w:rsid w:val="0076336A"/>
    <w:rsid w:val="0076357C"/>
    <w:rsid w:val="007636A8"/>
    <w:rsid w:val="007636B8"/>
    <w:rsid w:val="007639D5"/>
    <w:rsid w:val="00763E99"/>
    <w:rsid w:val="00764033"/>
    <w:rsid w:val="0076410E"/>
    <w:rsid w:val="007642B6"/>
    <w:rsid w:val="00764413"/>
    <w:rsid w:val="00764ABD"/>
    <w:rsid w:val="00764C97"/>
    <w:rsid w:val="00764CA5"/>
    <w:rsid w:val="00764D24"/>
    <w:rsid w:val="00764DF1"/>
    <w:rsid w:val="00764F60"/>
    <w:rsid w:val="00764FB2"/>
    <w:rsid w:val="007650F2"/>
    <w:rsid w:val="00765247"/>
    <w:rsid w:val="007653BB"/>
    <w:rsid w:val="007655B9"/>
    <w:rsid w:val="00765A19"/>
    <w:rsid w:val="00765DFD"/>
    <w:rsid w:val="00765FE3"/>
    <w:rsid w:val="00765FF8"/>
    <w:rsid w:val="007660AA"/>
    <w:rsid w:val="007662A0"/>
    <w:rsid w:val="007662E2"/>
    <w:rsid w:val="00766669"/>
    <w:rsid w:val="0076688E"/>
    <w:rsid w:val="007668FD"/>
    <w:rsid w:val="00766954"/>
    <w:rsid w:val="007669C0"/>
    <w:rsid w:val="00766B31"/>
    <w:rsid w:val="00766B46"/>
    <w:rsid w:val="00766B4E"/>
    <w:rsid w:val="00766C5C"/>
    <w:rsid w:val="00766D9B"/>
    <w:rsid w:val="00766E04"/>
    <w:rsid w:val="00767260"/>
    <w:rsid w:val="00767273"/>
    <w:rsid w:val="00767295"/>
    <w:rsid w:val="0076729B"/>
    <w:rsid w:val="007672AC"/>
    <w:rsid w:val="00767451"/>
    <w:rsid w:val="00767563"/>
    <w:rsid w:val="00767636"/>
    <w:rsid w:val="007678E3"/>
    <w:rsid w:val="00767D82"/>
    <w:rsid w:val="00770096"/>
    <w:rsid w:val="007701B8"/>
    <w:rsid w:val="00770301"/>
    <w:rsid w:val="00770D09"/>
    <w:rsid w:val="00770EED"/>
    <w:rsid w:val="00770FF5"/>
    <w:rsid w:val="00771092"/>
    <w:rsid w:val="00771171"/>
    <w:rsid w:val="007713CF"/>
    <w:rsid w:val="00771B17"/>
    <w:rsid w:val="00771B92"/>
    <w:rsid w:val="00771BC2"/>
    <w:rsid w:val="00771CC0"/>
    <w:rsid w:val="00771D0A"/>
    <w:rsid w:val="00771E6C"/>
    <w:rsid w:val="00772027"/>
    <w:rsid w:val="00772092"/>
    <w:rsid w:val="00772271"/>
    <w:rsid w:val="0077259B"/>
    <w:rsid w:val="00772ABD"/>
    <w:rsid w:val="00772AC8"/>
    <w:rsid w:val="00772B5E"/>
    <w:rsid w:val="00772EBD"/>
    <w:rsid w:val="00772FE4"/>
    <w:rsid w:val="007731C5"/>
    <w:rsid w:val="0077346E"/>
    <w:rsid w:val="0077384F"/>
    <w:rsid w:val="0077390D"/>
    <w:rsid w:val="00773993"/>
    <w:rsid w:val="00773F2F"/>
    <w:rsid w:val="0077418F"/>
    <w:rsid w:val="00774579"/>
    <w:rsid w:val="007746B8"/>
    <w:rsid w:val="0077471C"/>
    <w:rsid w:val="00774A47"/>
    <w:rsid w:val="00774CC0"/>
    <w:rsid w:val="00774ECD"/>
    <w:rsid w:val="00774EDC"/>
    <w:rsid w:val="007750FA"/>
    <w:rsid w:val="007753E3"/>
    <w:rsid w:val="0077563E"/>
    <w:rsid w:val="00775939"/>
    <w:rsid w:val="007759E9"/>
    <w:rsid w:val="00775CCD"/>
    <w:rsid w:val="00775F3C"/>
    <w:rsid w:val="0077600A"/>
    <w:rsid w:val="0077608D"/>
    <w:rsid w:val="007761FB"/>
    <w:rsid w:val="007762D3"/>
    <w:rsid w:val="00776465"/>
    <w:rsid w:val="007766BB"/>
    <w:rsid w:val="00776808"/>
    <w:rsid w:val="00776897"/>
    <w:rsid w:val="00776945"/>
    <w:rsid w:val="00776A1A"/>
    <w:rsid w:val="00776A72"/>
    <w:rsid w:val="00776BA3"/>
    <w:rsid w:val="00776EE9"/>
    <w:rsid w:val="00776F5B"/>
    <w:rsid w:val="00777077"/>
    <w:rsid w:val="007771FC"/>
    <w:rsid w:val="007773D6"/>
    <w:rsid w:val="007773DF"/>
    <w:rsid w:val="0077763C"/>
    <w:rsid w:val="0077791B"/>
    <w:rsid w:val="00777B3E"/>
    <w:rsid w:val="00777B96"/>
    <w:rsid w:val="00777F92"/>
    <w:rsid w:val="00780327"/>
    <w:rsid w:val="00780399"/>
    <w:rsid w:val="007803B6"/>
    <w:rsid w:val="00780432"/>
    <w:rsid w:val="00780550"/>
    <w:rsid w:val="0078065A"/>
    <w:rsid w:val="0078068A"/>
    <w:rsid w:val="00780D30"/>
    <w:rsid w:val="00780D4C"/>
    <w:rsid w:val="00780EB3"/>
    <w:rsid w:val="0078112E"/>
    <w:rsid w:val="0078124A"/>
    <w:rsid w:val="0078137F"/>
    <w:rsid w:val="007813AE"/>
    <w:rsid w:val="007813FB"/>
    <w:rsid w:val="007815DC"/>
    <w:rsid w:val="0078166C"/>
    <w:rsid w:val="00781A22"/>
    <w:rsid w:val="00781A78"/>
    <w:rsid w:val="00781C54"/>
    <w:rsid w:val="00781C58"/>
    <w:rsid w:val="00781CED"/>
    <w:rsid w:val="00781CFE"/>
    <w:rsid w:val="00781E54"/>
    <w:rsid w:val="00781E85"/>
    <w:rsid w:val="007825B6"/>
    <w:rsid w:val="00782615"/>
    <w:rsid w:val="007828DE"/>
    <w:rsid w:val="0078291E"/>
    <w:rsid w:val="007829BA"/>
    <w:rsid w:val="00782AC7"/>
    <w:rsid w:val="00782B4B"/>
    <w:rsid w:val="0078314D"/>
    <w:rsid w:val="00783177"/>
    <w:rsid w:val="007831D9"/>
    <w:rsid w:val="0078347F"/>
    <w:rsid w:val="0078355E"/>
    <w:rsid w:val="0078378A"/>
    <w:rsid w:val="0078383C"/>
    <w:rsid w:val="00783897"/>
    <w:rsid w:val="00783980"/>
    <w:rsid w:val="007839D5"/>
    <w:rsid w:val="007839D6"/>
    <w:rsid w:val="00783A88"/>
    <w:rsid w:val="00783BC9"/>
    <w:rsid w:val="00783D08"/>
    <w:rsid w:val="00783E0C"/>
    <w:rsid w:val="00783E56"/>
    <w:rsid w:val="00783FAA"/>
    <w:rsid w:val="00783FAF"/>
    <w:rsid w:val="00784053"/>
    <w:rsid w:val="0078408F"/>
    <w:rsid w:val="00784302"/>
    <w:rsid w:val="007846EC"/>
    <w:rsid w:val="007849B1"/>
    <w:rsid w:val="007849F3"/>
    <w:rsid w:val="00784AD8"/>
    <w:rsid w:val="00784B79"/>
    <w:rsid w:val="00784E07"/>
    <w:rsid w:val="00784E63"/>
    <w:rsid w:val="00784F2F"/>
    <w:rsid w:val="00785004"/>
    <w:rsid w:val="00785203"/>
    <w:rsid w:val="00785250"/>
    <w:rsid w:val="00785356"/>
    <w:rsid w:val="007854FA"/>
    <w:rsid w:val="0078596E"/>
    <w:rsid w:val="0078597D"/>
    <w:rsid w:val="00785B19"/>
    <w:rsid w:val="00785B32"/>
    <w:rsid w:val="00785CAE"/>
    <w:rsid w:val="00785E67"/>
    <w:rsid w:val="00785F2E"/>
    <w:rsid w:val="007864AE"/>
    <w:rsid w:val="0078668A"/>
    <w:rsid w:val="00786735"/>
    <w:rsid w:val="007867BB"/>
    <w:rsid w:val="007867F7"/>
    <w:rsid w:val="00786AE8"/>
    <w:rsid w:val="00786CCA"/>
    <w:rsid w:val="0078737A"/>
    <w:rsid w:val="007874FE"/>
    <w:rsid w:val="007876B8"/>
    <w:rsid w:val="007876F3"/>
    <w:rsid w:val="007878B3"/>
    <w:rsid w:val="0078797C"/>
    <w:rsid w:val="00787B43"/>
    <w:rsid w:val="00787D3A"/>
    <w:rsid w:val="007902FC"/>
    <w:rsid w:val="007907CB"/>
    <w:rsid w:val="0079098F"/>
    <w:rsid w:val="00790BC1"/>
    <w:rsid w:val="00790E75"/>
    <w:rsid w:val="00790EBD"/>
    <w:rsid w:val="00791045"/>
    <w:rsid w:val="007911FF"/>
    <w:rsid w:val="0079127D"/>
    <w:rsid w:val="00791679"/>
    <w:rsid w:val="007917C9"/>
    <w:rsid w:val="00791A8F"/>
    <w:rsid w:val="00791B95"/>
    <w:rsid w:val="00791CC9"/>
    <w:rsid w:val="00791E0B"/>
    <w:rsid w:val="007921FC"/>
    <w:rsid w:val="007922C6"/>
    <w:rsid w:val="007923E0"/>
    <w:rsid w:val="007924E1"/>
    <w:rsid w:val="007924EC"/>
    <w:rsid w:val="00792576"/>
    <w:rsid w:val="007925D1"/>
    <w:rsid w:val="007927F8"/>
    <w:rsid w:val="007929B5"/>
    <w:rsid w:val="00792B70"/>
    <w:rsid w:val="00792BFE"/>
    <w:rsid w:val="00792D0F"/>
    <w:rsid w:val="00792EF7"/>
    <w:rsid w:val="00792F10"/>
    <w:rsid w:val="00792FF3"/>
    <w:rsid w:val="00793099"/>
    <w:rsid w:val="00793140"/>
    <w:rsid w:val="00793421"/>
    <w:rsid w:val="007937E5"/>
    <w:rsid w:val="00793B52"/>
    <w:rsid w:val="00793DB7"/>
    <w:rsid w:val="00793E80"/>
    <w:rsid w:val="00793E85"/>
    <w:rsid w:val="00793E8F"/>
    <w:rsid w:val="00793EE8"/>
    <w:rsid w:val="007940F7"/>
    <w:rsid w:val="00794330"/>
    <w:rsid w:val="007944C0"/>
    <w:rsid w:val="00794518"/>
    <w:rsid w:val="00794586"/>
    <w:rsid w:val="00794617"/>
    <w:rsid w:val="007949C5"/>
    <w:rsid w:val="00794A1B"/>
    <w:rsid w:val="00794AF8"/>
    <w:rsid w:val="00794B67"/>
    <w:rsid w:val="00794BC4"/>
    <w:rsid w:val="00794DF2"/>
    <w:rsid w:val="00794FC9"/>
    <w:rsid w:val="00795010"/>
    <w:rsid w:val="007958F2"/>
    <w:rsid w:val="00795991"/>
    <w:rsid w:val="00795E7E"/>
    <w:rsid w:val="00795EFD"/>
    <w:rsid w:val="00796003"/>
    <w:rsid w:val="007960FB"/>
    <w:rsid w:val="007962A4"/>
    <w:rsid w:val="00796326"/>
    <w:rsid w:val="0079645D"/>
    <w:rsid w:val="0079652C"/>
    <w:rsid w:val="0079654C"/>
    <w:rsid w:val="00796638"/>
    <w:rsid w:val="0079670A"/>
    <w:rsid w:val="00796748"/>
    <w:rsid w:val="00796785"/>
    <w:rsid w:val="00796C32"/>
    <w:rsid w:val="00796C64"/>
    <w:rsid w:val="00797321"/>
    <w:rsid w:val="007974FD"/>
    <w:rsid w:val="00797597"/>
    <w:rsid w:val="007978C9"/>
    <w:rsid w:val="00797AE2"/>
    <w:rsid w:val="00797AF9"/>
    <w:rsid w:val="007A020A"/>
    <w:rsid w:val="007A0404"/>
    <w:rsid w:val="007A04B6"/>
    <w:rsid w:val="007A0732"/>
    <w:rsid w:val="007A07F4"/>
    <w:rsid w:val="007A081F"/>
    <w:rsid w:val="007A0BA3"/>
    <w:rsid w:val="007A0DC3"/>
    <w:rsid w:val="007A0E2A"/>
    <w:rsid w:val="007A0E5F"/>
    <w:rsid w:val="007A0EA7"/>
    <w:rsid w:val="007A122F"/>
    <w:rsid w:val="007A1623"/>
    <w:rsid w:val="007A1ACD"/>
    <w:rsid w:val="007A1C52"/>
    <w:rsid w:val="007A1C90"/>
    <w:rsid w:val="007A1CA8"/>
    <w:rsid w:val="007A1DFC"/>
    <w:rsid w:val="007A1E11"/>
    <w:rsid w:val="007A1F3B"/>
    <w:rsid w:val="007A1FA8"/>
    <w:rsid w:val="007A2374"/>
    <w:rsid w:val="007A2382"/>
    <w:rsid w:val="007A247D"/>
    <w:rsid w:val="007A24B6"/>
    <w:rsid w:val="007A26EB"/>
    <w:rsid w:val="007A2802"/>
    <w:rsid w:val="007A28E7"/>
    <w:rsid w:val="007A2B16"/>
    <w:rsid w:val="007A2C28"/>
    <w:rsid w:val="007A2D16"/>
    <w:rsid w:val="007A2FB9"/>
    <w:rsid w:val="007A2FD0"/>
    <w:rsid w:val="007A316C"/>
    <w:rsid w:val="007A31E1"/>
    <w:rsid w:val="007A33C6"/>
    <w:rsid w:val="007A341E"/>
    <w:rsid w:val="007A3441"/>
    <w:rsid w:val="007A3589"/>
    <w:rsid w:val="007A35D6"/>
    <w:rsid w:val="007A3889"/>
    <w:rsid w:val="007A395E"/>
    <w:rsid w:val="007A39EC"/>
    <w:rsid w:val="007A39ED"/>
    <w:rsid w:val="007A424F"/>
    <w:rsid w:val="007A45A8"/>
    <w:rsid w:val="007A46D2"/>
    <w:rsid w:val="007A4BD6"/>
    <w:rsid w:val="007A4D16"/>
    <w:rsid w:val="007A4E60"/>
    <w:rsid w:val="007A5007"/>
    <w:rsid w:val="007A50FB"/>
    <w:rsid w:val="007A539F"/>
    <w:rsid w:val="007A54BB"/>
    <w:rsid w:val="007A54F0"/>
    <w:rsid w:val="007A574B"/>
    <w:rsid w:val="007A5850"/>
    <w:rsid w:val="007A5A52"/>
    <w:rsid w:val="007A5AB3"/>
    <w:rsid w:val="007A5BB7"/>
    <w:rsid w:val="007A5EAB"/>
    <w:rsid w:val="007A601D"/>
    <w:rsid w:val="007A60C5"/>
    <w:rsid w:val="007A64E0"/>
    <w:rsid w:val="007A6511"/>
    <w:rsid w:val="007A654C"/>
    <w:rsid w:val="007A668A"/>
    <w:rsid w:val="007A68DB"/>
    <w:rsid w:val="007A68E8"/>
    <w:rsid w:val="007A6D8F"/>
    <w:rsid w:val="007A6E3D"/>
    <w:rsid w:val="007A7369"/>
    <w:rsid w:val="007A79D1"/>
    <w:rsid w:val="007A79FD"/>
    <w:rsid w:val="007A7B4E"/>
    <w:rsid w:val="007A7C43"/>
    <w:rsid w:val="007A7E67"/>
    <w:rsid w:val="007B009F"/>
    <w:rsid w:val="007B0396"/>
    <w:rsid w:val="007B0452"/>
    <w:rsid w:val="007B049A"/>
    <w:rsid w:val="007B06E7"/>
    <w:rsid w:val="007B08B0"/>
    <w:rsid w:val="007B09B9"/>
    <w:rsid w:val="007B0ABD"/>
    <w:rsid w:val="007B0C60"/>
    <w:rsid w:val="007B1037"/>
    <w:rsid w:val="007B13F1"/>
    <w:rsid w:val="007B16AC"/>
    <w:rsid w:val="007B175B"/>
    <w:rsid w:val="007B1A20"/>
    <w:rsid w:val="007B1AC5"/>
    <w:rsid w:val="007B1B56"/>
    <w:rsid w:val="007B1E3E"/>
    <w:rsid w:val="007B1E5F"/>
    <w:rsid w:val="007B1EAB"/>
    <w:rsid w:val="007B1EED"/>
    <w:rsid w:val="007B212B"/>
    <w:rsid w:val="007B23DA"/>
    <w:rsid w:val="007B2688"/>
    <w:rsid w:val="007B2712"/>
    <w:rsid w:val="007B28FE"/>
    <w:rsid w:val="007B2A0A"/>
    <w:rsid w:val="007B2A87"/>
    <w:rsid w:val="007B2BEE"/>
    <w:rsid w:val="007B2CFA"/>
    <w:rsid w:val="007B2FB2"/>
    <w:rsid w:val="007B332C"/>
    <w:rsid w:val="007B3399"/>
    <w:rsid w:val="007B370B"/>
    <w:rsid w:val="007B378C"/>
    <w:rsid w:val="007B3860"/>
    <w:rsid w:val="007B399A"/>
    <w:rsid w:val="007B3AAF"/>
    <w:rsid w:val="007B3BA9"/>
    <w:rsid w:val="007B3C88"/>
    <w:rsid w:val="007B425F"/>
    <w:rsid w:val="007B4415"/>
    <w:rsid w:val="007B446C"/>
    <w:rsid w:val="007B488B"/>
    <w:rsid w:val="007B4D0C"/>
    <w:rsid w:val="007B4DB2"/>
    <w:rsid w:val="007B4F35"/>
    <w:rsid w:val="007B4FC5"/>
    <w:rsid w:val="007B53E4"/>
    <w:rsid w:val="007B5877"/>
    <w:rsid w:val="007B5B6D"/>
    <w:rsid w:val="007B5CC4"/>
    <w:rsid w:val="007B6089"/>
    <w:rsid w:val="007B6270"/>
    <w:rsid w:val="007B6413"/>
    <w:rsid w:val="007B6726"/>
    <w:rsid w:val="007B67C4"/>
    <w:rsid w:val="007B68FC"/>
    <w:rsid w:val="007B694C"/>
    <w:rsid w:val="007B6A5E"/>
    <w:rsid w:val="007B6CF6"/>
    <w:rsid w:val="007B6D81"/>
    <w:rsid w:val="007B6DE8"/>
    <w:rsid w:val="007B6DF4"/>
    <w:rsid w:val="007B6FBE"/>
    <w:rsid w:val="007B6FC1"/>
    <w:rsid w:val="007B7108"/>
    <w:rsid w:val="007B72B4"/>
    <w:rsid w:val="007B73AF"/>
    <w:rsid w:val="007B73BA"/>
    <w:rsid w:val="007B755A"/>
    <w:rsid w:val="007B77AF"/>
    <w:rsid w:val="007B780D"/>
    <w:rsid w:val="007B7919"/>
    <w:rsid w:val="007B7E4D"/>
    <w:rsid w:val="007B7F29"/>
    <w:rsid w:val="007B7F63"/>
    <w:rsid w:val="007C01F5"/>
    <w:rsid w:val="007C02C7"/>
    <w:rsid w:val="007C02DF"/>
    <w:rsid w:val="007C05BB"/>
    <w:rsid w:val="007C0992"/>
    <w:rsid w:val="007C0B56"/>
    <w:rsid w:val="007C0C2B"/>
    <w:rsid w:val="007C0D04"/>
    <w:rsid w:val="007C0ECD"/>
    <w:rsid w:val="007C106D"/>
    <w:rsid w:val="007C1079"/>
    <w:rsid w:val="007C1141"/>
    <w:rsid w:val="007C130E"/>
    <w:rsid w:val="007C14E5"/>
    <w:rsid w:val="007C151B"/>
    <w:rsid w:val="007C15AF"/>
    <w:rsid w:val="007C15E4"/>
    <w:rsid w:val="007C1682"/>
    <w:rsid w:val="007C16F7"/>
    <w:rsid w:val="007C1BB8"/>
    <w:rsid w:val="007C1CB0"/>
    <w:rsid w:val="007C1CEC"/>
    <w:rsid w:val="007C1F54"/>
    <w:rsid w:val="007C1F74"/>
    <w:rsid w:val="007C2164"/>
    <w:rsid w:val="007C221C"/>
    <w:rsid w:val="007C2720"/>
    <w:rsid w:val="007C2899"/>
    <w:rsid w:val="007C2B5D"/>
    <w:rsid w:val="007C2B7D"/>
    <w:rsid w:val="007C2CC9"/>
    <w:rsid w:val="007C2E72"/>
    <w:rsid w:val="007C2F87"/>
    <w:rsid w:val="007C2F9A"/>
    <w:rsid w:val="007C342C"/>
    <w:rsid w:val="007C39E3"/>
    <w:rsid w:val="007C3A2C"/>
    <w:rsid w:val="007C3DBB"/>
    <w:rsid w:val="007C3F7A"/>
    <w:rsid w:val="007C4140"/>
    <w:rsid w:val="007C419B"/>
    <w:rsid w:val="007C427B"/>
    <w:rsid w:val="007C455B"/>
    <w:rsid w:val="007C4632"/>
    <w:rsid w:val="007C4C4A"/>
    <w:rsid w:val="007C4F19"/>
    <w:rsid w:val="007C4FB2"/>
    <w:rsid w:val="007C500B"/>
    <w:rsid w:val="007C5089"/>
    <w:rsid w:val="007C52C7"/>
    <w:rsid w:val="007C546C"/>
    <w:rsid w:val="007C54E1"/>
    <w:rsid w:val="007C5651"/>
    <w:rsid w:val="007C56DB"/>
    <w:rsid w:val="007C5764"/>
    <w:rsid w:val="007C593C"/>
    <w:rsid w:val="007C5A18"/>
    <w:rsid w:val="007C5D34"/>
    <w:rsid w:val="007C5DC5"/>
    <w:rsid w:val="007C6256"/>
    <w:rsid w:val="007C63B2"/>
    <w:rsid w:val="007C6454"/>
    <w:rsid w:val="007C6498"/>
    <w:rsid w:val="007C6533"/>
    <w:rsid w:val="007C6642"/>
    <w:rsid w:val="007C690C"/>
    <w:rsid w:val="007C695A"/>
    <w:rsid w:val="007C6EE2"/>
    <w:rsid w:val="007C6F68"/>
    <w:rsid w:val="007C6F85"/>
    <w:rsid w:val="007C73D0"/>
    <w:rsid w:val="007C73DE"/>
    <w:rsid w:val="007C772B"/>
    <w:rsid w:val="007C7735"/>
    <w:rsid w:val="007C77A1"/>
    <w:rsid w:val="007C7828"/>
    <w:rsid w:val="007C7AC9"/>
    <w:rsid w:val="007C7AED"/>
    <w:rsid w:val="007C7CEC"/>
    <w:rsid w:val="007C7DCE"/>
    <w:rsid w:val="007C7FD5"/>
    <w:rsid w:val="007D0264"/>
    <w:rsid w:val="007D033F"/>
    <w:rsid w:val="007D03C3"/>
    <w:rsid w:val="007D04A3"/>
    <w:rsid w:val="007D0655"/>
    <w:rsid w:val="007D071A"/>
    <w:rsid w:val="007D0AB9"/>
    <w:rsid w:val="007D0AC9"/>
    <w:rsid w:val="007D0D1D"/>
    <w:rsid w:val="007D0D5A"/>
    <w:rsid w:val="007D0D82"/>
    <w:rsid w:val="007D0D9E"/>
    <w:rsid w:val="007D0E42"/>
    <w:rsid w:val="007D130E"/>
    <w:rsid w:val="007D19D0"/>
    <w:rsid w:val="007D1C1E"/>
    <w:rsid w:val="007D276E"/>
    <w:rsid w:val="007D29CE"/>
    <w:rsid w:val="007D2B51"/>
    <w:rsid w:val="007D2BE9"/>
    <w:rsid w:val="007D2CA0"/>
    <w:rsid w:val="007D2DBC"/>
    <w:rsid w:val="007D2F71"/>
    <w:rsid w:val="007D3306"/>
    <w:rsid w:val="007D337C"/>
    <w:rsid w:val="007D3576"/>
    <w:rsid w:val="007D358C"/>
    <w:rsid w:val="007D37F3"/>
    <w:rsid w:val="007D38A4"/>
    <w:rsid w:val="007D39A3"/>
    <w:rsid w:val="007D3F55"/>
    <w:rsid w:val="007D3FAD"/>
    <w:rsid w:val="007D3FD7"/>
    <w:rsid w:val="007D40A7"/>
    <w:rsid w:val="007D4256"/>
    <w:rsid w:val="007D4369"/>
    <w:rsid w:val="007D4470"/>
    <w:rsid w:val="007D448F"/>
    <w:rsid w:val="007D450C"/>
    <w:rsid w:val="007D4559"/>
    <w:rsid w:val="007D4779"/>
    <w:rsid w:val="007D48BF"/>
    <w:rsid w:val="007D4B3E"/>
    <w:rsid w:val="007D4C9C"/>
    <w:rsid w:val="007D4CA3"/>
    <w:rsid w:val="007D51DE"/>
    <w:rsid w:val="007D528E"/>
    <w:rsid w:val="007D59AD"/>
    <w:rsid w:val="007D5C9A"/>
    <w:rsid w:val="007D5CEA"/>
    <w:rsid w:val="007D5ECF"/>
    <w:rsid w:val="007D5FB3"/>
    <w:rsid w:val="007D5FD2"/>
    <w:rsid w:val="007D5FDC"/>
    <w:rsid w:val="007D6021"/>
    <w:rsid w:val="007D631D"/>
    <w:rsid w:val="007D6325"/>
    <w:rsid w:val="007D64D9"/>
    <w:rsid w:val="007D67A8"/>
    <w:rsid w:val="007D6EBD"/>
    <w:rsid w:val="007D7288"/>
    <w:rsid w:val="007D7422"/>
    <w:rsid w:val="007D754A"/>
    <w:rsid w:val="007D7854"/>
    <w:rsid w:val="007D7952"/>
    <w:rsid w:val="007D7D4B"/>
    <w:rsid w:val="007D7E68"/>
    <w:rsid w:val="007D7EE1"/>
    <w:rsid w:val="007E00C5"/>
    <w:rsid w:val="007E016E"/>
    <w:rsid w:val="007E0225"/>
    <w:rsid w:val="007E02A2"/>
    <w:rsid w:val="007E02C8"/>
    <w:rsid w:val="007E0577"/>
    <w:rsid w:val="007E0A50"/>
    <w:rsid w:val="007E0B86"/>
    <w:rsid w:val="007E0CF3"/>
    <w:rsid w:val="007E0F4A"/>
    <w:rsid w:val="007E0F94"/>
    <w:rsid w:val="007E163F"/>
    <w:rsid w:val="007E16B6"/>
    <w:rsid w:val="007E19E2"/>
    <w:rsid w:val="007E1E90"/>
    <w:rsid w:val="007E1ED8"/>
    <w:rsid w:val="007E2005"/>
    <w:rsid w:val="007E22CF"/>
    <w:rsid w:val="007E24E5"/>
    <w:rsid w:val="007E265F"/>
    <w:rsid w:val="007E26BF"/>
    <w:rsid w:val="007E27E0"/>
    <w:rsid w:val="007E2A83"/>
    <w:rsid w:val="007E2B0F"/>
    <w:rsid w:val="007E2B8D"/>
    <w:rsid w:val="007E2D09"/>
    <w:rsid w:val="007E2D3B"/>
    <w:rsid w:val="007E2FC1"/>
    <w:rsid w:val="007E303A"/>
    <w:rsid w:val="007E30E3"/>
    <w:rsid w:val="007E31EE"/>
    <w:rsid w:val="007E3269"/>
    <w:rsid w:val="007E33DA"/>
    <w:rsid w:val="007E3439"/>
    <w:rsid w:val="007E3751"/>
    <w:rsid w:val="007E3CFA"/>
    <w:rsid w:val="007E3DF0"/>
    <w:rsid w:val="007E3E1C"/>
    <w:rsid w:val="007E3F05"/>
    <w:rsid w:val="007E3FC0"/>
    <w:rsid w:val="007E4267"/>
    <w:rsid w:val="007E4883"/>
    <w:rsid w:val="007E4977"/>
    <w:rsid w:val="007E49B4"/>
    <w:rsid w:val="007E4BA9"/>
    <w:rsid w:val="007E4BCD"/>
    <w:rsid w:val="007E4C14"/>
    <w:rsid w:val="007E50A1"/>
    <w:rsid w:val="007E5123"/>
    <w:rsid w:val="007E51DB"/>
    <w:rsid w:val="007E534C"/>
    <w:rsid w:val="007E562B"/>
    <w:rsid w:val="007E5A7D"/>
    <w:rsid w:val="007E6148"/>
    <w:rsid w:val="007E61AD"/>
    <w:rsid w:val="007E66E8"/>
    <w:rsid w:val="007E6837"/>
    <w:rsid w:val="007E6D40"/>
    <w:rsid w:val="007E6E40"/>
    <w:rsid w:val="007E70D9"/>
    <w:rsid w:val="007E721C"/>
    <w:rsid w:val="007E7257"/>
    <w:rsid w:val="007E77B5"/>
    <w:rsid w:val="007E7934"/>
    <w:rsid w:val="007E7A91"/>
    <w:rsid w:val="007E7CD7"/>
    <w:rsid w:val="007E7DA3"/>
    <w:rsid w:val="007E7FAB"/>
    <w:rsid w:val="007F013D"/>
    <w:rsid w:val="007F0206"/>
    <w:rsid w:val="007F0318"/>
    <w:rsid w:val="007F033D"/>
    <w:rsid w:val="007F0411"/>
    <w:rsid w:val="007F0489"/>
    <w:rsid w:val="007F0662"/>
    <w:rsid w:val="007F0A2E"/>
    <w:rsid w:val="007F0B57"/>
    <w:rsid w:val="007F0CDF"/>
    <w:rsid w:val="007F1039"/>
    <w:rsid w:val="007F1094"/>
    <w:rsid w:val="007F1126"/>
    <w:rsid w:val="007F11B8"/>
    <w:rsid w:val="007F177F"/>
    <w:rsid w:val="007F196F"/>
    <w:rsid w:val="007F1A0C"/>
    <w:rsid w:val="007F1F25"/>
    <w:rsid w:val="007F1FCD"/>
    <w:rsid w:val="007F215A"/>
    <w:rsid w:val="007F2313"/>
    <w:rsid w:val="007F2A5B"/>
    <w:rsid w:val="007F2A87"/>
    <w:rsid w:val="007F2AF9"/>
    <w:rsid w:val="007F2C85"/>
    <w:rsid w:val="007F2F22"/>
    <w:rsid w:val="007F304C"/>
    <w:rsid w:val="007F30D8"/>
    <w:rsid w:val="007F3140"/>
    <w:rsid w:val="007F3162"/>
    <w:rsid w:val="007F33E9"/>
    <w:rsid w:val="007F33F0"/>
    <w:rsid w:val="007F34D9"/>
    <w:rsid w:val="007F36C8"/>
    <w:rsid w:val="007F3758"/>
    <w:rsid w:val="007F37E1"/>
    <w:rsid w:val="007F38E1"/>
    <w:rsid w:val="007F3B1F"/>
    <w:rsid w:val="007F3CB3"/>
    <w:rsid w:val="007F3FD2"/>
    <w:rsid w:val="007F4054"/>
    <w:rsid w:val="007F412C"/>
    <w:rsid w:val="007F42DF"/>
    <w:rsid w:val="007F43D2"/>
    <w:rsid w:val="007F43FF"/>
    <w:rsid w:val="007F442A"/>
    <w:rsid w:val="007F4592"/>
    <w:rsid w:val="007F461D"/>
    <w:rsid w:val="007F4625"/>
    <w:rsid w:val="007F4978"/>
    <w:rsid w:val="007F4C22"/>
    <w:rsid w:val="007F4C61"/>
    <w:rsid w:val="007F4D53"/>
    <w:rsid w:val="007F4EE4"/>
    <w:rsid w:val="007F5022"/>
    <w:rsid w:val="007F5171"/>
    <w:rsid w:val="007F5258"/>
    <w:rsid w:val="007F54D8"/>
    <w:rsid w:val="007F5A53"/>
    <w:rsid w:val="007F5A70"/>
    <w:rsid w:val="007F5C4C"/>
    <w:rsid w:val="007F5DC4"/>
    <w:rsid w:val="007F5F03"/>
    <w:rsid w:val="007F60B2"/>
    <w:rsid w:val="007F62E3"/>
    <w:rsid w:val="007F64CB"/>
    <w:rsid w:val="007F64DF"/>
    <w:rsid w:val="007F66BE"/>
    <w:rsid w:val="007F670A"/>
    <w:rsid w:val="007F670B"/>
    <w:rsid w:val="007F675C"/>
    <w:rsid w:val="007F6AC8"/>
    <w:rsid w:val="007F6C7E"/>
    <w:rsid w:val="007F6C8D"/>
    <w:rsid w:val="007F70E4"/>
    <w:rsid w:val="007F729C"/>
    <w:rsid w:val="007F72A4"/>
    <w:rsid w:val="007F7512"/>
    <w:rsid w:val="007F75D1"/>
    <w:rsid w:val="007F75F8"/>
    <w:rsid w:val="007F789F"/>
    <w:rsid w:val="007F7A72"/>
    <w:rsid w:val="007F7ABF"/>
    <w:rsid w:val="007F7AE9"/>
    <w:rsid w:val="007F7BF6"/>
    <w:rsid w:val="007F7CFE"/>
    <w:rsid w:val="007F7D6D"/>
    <w:rsid w:val="007F7DFF"/>
    <w:rsid w:val="0080011F"/>
    <w:rsid w:val="008002C9"/>
    <w:rsid w:val="00800487"/>
    <w:rsid w:val="0080062F"/>
    <w:rsid w:val="00800751"/>
    <w:rsid w:val="00800AC9"/>
    <w:rsid w:val="00800FBC"/>
    <w:rsid w:val="0080113F"/>
    <w:rsid w:val="00801336"/>
    <w:rsid w:val="00801516"/>
    <w:rsid w:val="008016CB"/>
    <w:rsid w:val="00801B67"/>
    <w:rsid w:val="00801B88"/>
    <w:rsid w:val="00801C00"/>
    <w:rsid w:val="00801E41"/>
    <w:rsid w:val="00801F1C"/>
    <w:rsid w:val="0080226F"/>
    <w:rsid w:val="00802432"/>
    <w:rsid w:val="00802779"/>
    <w:rsid w:val="008028BF"/>
    <w:rsid w:val="00802B7F"/>
    <w:rsid w:val="00802BFB"/>
    <w:rsid w:val="00802D2D"/>
    <w:rsid w:val="00802F3D"/>
    <w:rsid w:val="00803196"/>
    <w:rsid w:val="008034D9"/>
    <w:rsid w:val="00803582"/>
    <w:rsid w:val="0080360B"/>
    <w:rsid w:val="008037E4"/>
    <w:rsid w:val="00803819"/>
    <w:rsid w:val="00803974"/>
    <w:rsid w:val="00803A2E"/>
    <w:rsid w:val="00803A9D"/>
    <w:rsid w:val="00803B90"/>
    <w:rsid w:val="00803DC7"/>
    <w:rsid w:val="00803EEB"/>
    <w:rsid w:val="00804164"/>
    <w:rsid w:val="0080434C"/>
    <w:rsid w:val="0080493D"/>
    <w:rsid w:val="008049E7"/>
    <w:rsid w:val="00804B60"/>
    <w:rsid w:val="00804C61"/>
    <w:rsid w:val="00804EDB"/>
    <w:rsid w:val="00805098"/>
    <w:rsid w:val="008051DD"/>
    <w:rsid w:val="008052CB"/>
    <w:rsid w:val="008053EC"/>
    <w:rsid w:val="008054D1"/>
    <w:rsid w:val="008055F7"/>
    <w:rsid w:val="008056AA"/>
    <w:rsid w:val="008056CE"/>
    <w:rsid w:val="0080592A"/>
    <w:rsid w:val="00805A65"/>
    <w:rsid w:val="00805A8B"/>
    <w:rsid w:val="00805B35"/>
    <w:rsid w:val="00805CB2"/>
    <w:rsid w:val="00805CCF"/>
    <w:rsid w:val="00805E0F"/>
    <w:rsid w:val="00805E34"/>
    <w:rsid w:val="008060A6"/>
    <w:rsid w:val="008061E8"/>
    <w:rsid w:val="0080660E"/>
    <w:rsid w:val="0080664F"/>
    <w:rsid w:val="008067F8"/>
    <w:rsid w:val="00806AFF"/>
    <w:rsid w:val="00806BF8"/>
    <w:rsid w:val="00806C27"/>
    <w:rsid w:val="00807387"/>
    <w:rsid w:val="008077D5"/>
    <w:rsid w:val="008078EC"/>
    <w:rsid w:val="0080790A"/>
    <w:rsid w:val="00807A03"/>
    <w:rsid w:val="00807A13"/>
    <w:rsid w:val="00807A5A"/>
    <w:rsid w:val="00810022"/>
    <w:rsid w:val="0081024E"/>
    <w:rsid w:val="008102ED"/>
    <w:rsid w:val="008105EE"/>
    <w:rsid w:val="008106F3"/>
    <w:rsid w:val="008107B4"/>
    <w:rsid w:val="00810A2F"/>
    <w:rsid w:val="00810DF2"/>
    <w:rsid w:val="00810F8D"/>
    <w:rsid w:val="0081112B"/>
    <w:rsid w:val="008113A8"/>
    <w:rsid w:val="008114AA"/>
    <w:rsid w:val="008116BD"/>
    <w:rsid w:val="0081193D"/>
    <w:rsid w:val="00811A82"/>
    <w:rsid w:val="00811D3C"/>
    <w:rsid w:val="00811D77"/>
    <w:rsid w:val="0081202A"/>
    <w:rsid w:val="0081204D"/>
    <w:rsid w:val="00812280"/>
    <w:rsid w:val="00812432"/>
    <w:rsid w:val="0081249C"/>
    <w:rsid w:val="008126E4"/>
    <w:rsid w:val="00812775"/>
    <w:rsid w:val="00812836"/>
    <w:rsid w:val="008129D3"/>
    <w:rsid w:val="00812D95"/>
    <w:rsid w:val="00813136"/>
    <w:rsid w:val="00813396"/>
    <w:rsid w:val="00813485"/>
    <w:rsid w:val="00813AAA"/>
    <w:rsid w:val="00813CD7"/>
    <w:rsid w:val="008141D0"/>
    <w:rsid w:val="008143A4"/>
    <w:rsid w:val="0081457A"/>
    <w:rsid w:val="008146D4"/>
    <w:rsid w:val="00814701"/>
    <w:rsid w:val="00814768"/>
    <w:rsid w:val="008147ED"/>
    <w:rsid w:val="00814B1A"/>
    <w:rsid w:val="00814CC2"/>
    <w:rsid w:val="008151B8"/>
    <w:rsid w:val="00815705"/>
    <w:rsid w:val="008158D6"/>
    <w:rsid w:val="00815A6E"/>
    <w:rsid w:val="00815AEC"/>
    <w:rsid w:val="00815BBD"/>
    <w:rsid w:val="00815BD8"/>
    <w:rsid w:val="00815CC7"/>
    <w:rsid w:val="00815EA5"/>
    <w:rsid w:val="00815EB6"/>
    <w:rsid w:val="00815F47"/>
    <w:rsid w:val="00816012"/>
    <w:rsid w:val="0081647F"/>
    <w:rsid w:val="008164C0"/>
    <w:rsid w:val="008165C2"/>
    <w:rsid w:val="0081679E"/>
    <w:rsid w:val="008168B4"/>
    <w:rsid w:val="008169D8"/>
    <w:rsid w:val="00816D03"/>
    <w:rsid w:val="00816DA3"/>
    <w:rsid w:val="008171A8"/>
    <w:rsid w:val="00817223"/>
    <w:rsid w:val="0081725A"/>
    <w:rsid w:val="0081727C"/>
    <w:rsid w:val="00817662"/>
    <w:rsid w:val="008176D9"/>
    <w:rsid w:val="00817704"/>
    <w:rsid w:val="00817818"/>
    <w:rsid w:val="00817D80"/>
    <w:rsid w:val="00817E4E"/>
    <w:rsid w:val="00817E5D"/>
    <w:rsid w:val="008202E7"/>
    <w:rsid w:val="00820613"/>
    <w:rsid w:val="00820725"/>
    <w:rsid w:val="008207EF"/>
    <w:rsid w:val="00820A36"/>
    <w:rsid w:val="00820AE2"/>
    <w:rsid w:val="00820B0A"/>
    <w:rsid w:val="00820B8A"/>
    <w:rsid w:val="00820BE0"/>
    <w:rsid w:val="00820E98"/>
    <w:rsid w:val="00820F50"/>
    <w:rsid w:val="0082106F"/>
    <w:rsid w:val="008210F4"/>
    <w:rsid w:val="008210F9"/>
    <w:rsid w:val="008211A5"/>
    <w:rsid w:val="0082144E"/>
    <w:rsid w:val="00821914"/>
    <w:rsid w:val="0082199E"/>
    <w:rsid w:val="00821A78"/>
    <w:rsid w:val="00821AD3"/>
    <w:rsid w:val="00821FE9"/>
    <w:rsid w:val="00822163"/>
    <w:rsid w:val="008224FF"/>
    <w:rsid w:val="008229A0"/>
    <w:rsid w:val="00822A8B"/>
    <w:rsid w:val="00822B52"/>
    <w:rsid w:val="00822BE5"/>
    <w:rsid w:val="00822C1C"/>
    <w:rsid w:val="00822F77"/>
    <w:rsid w:val="00822FC4"/>
    <w:rsid w:val="00823278"/>
    <w:rsid w:val="008232BA"/>
    <w:rsid w:val="0082331D"/>
    <w:rsid w:val="0082334A"/>
    <w:rsid w:val="00823537"/>
    <w:rsid w:val="008235B2"/>
    <w:rsid w:val="00823666"/>
    <w:rsid w:val="008237D3"/>
    <w:rsid w:val="00823819"/>
    <w:rsid w:val="008239D1"/>
    <w:rsid w:val="00823E2A"/>
    <w:rsid w:val="00823EBD"/>
    <w:rsid w:val="00824015"/>
    <w:rsid w:val="008242C5"/>
    <w:rsid w:val="00824584"/>
    <w:rsid w:val="008246A1"/>
    <w:rsid w:val="00824729"/>
    <w:rsid w:val="008249D4"/>
    <w:rsid w:val="00824B8B"/>
    <w:rsid w:val="00824EDE"/>
    <w:rsid w:val="00825113"/>
    <w:rsid w:val="00825196"/>
    <w:rsid w:val="008252B6"/>
    <w:rsid w:val="00825320"/>
    <w:rsid w:val="008253B3"/>
    <w:rsid w:val="00825500"/>
    <w:rsid w:val="00825D3E"/>
    <w:rsid w:val="00825F32"/>
    <w:rsid w:val="0082613F"/>
    <w:rsid w:val="00826141"/>
    <w:rsid w:val="0082637C"/>
    <w:rsid w:val="0082648A"/>
    <w:rsid w:val="00826628"/>
    <w:rsid w:val="00826640"/>
    <w:rsid w:val="0082685D"/>
    <w:rsid w:val="00826894"/>
    <w:rsid w:val="00826BC1"/>
    <w:rsid w:val="00826DA8"/>
    <w:rsid w:val="0082729F"/>
    <w:rsid w:val="00827388"/>
    <w:rsid w:val="008275A9"/>
    <w:rsid w:val="00827651"/>
    <w:rsid w:val="008279B6"/>
    <w:rsid w:val="00827CB5"/>
    <w:rsid w:val="00827D42"/>
    <w:rsid w:val="0083001E"/>
    <w:rsid w:val="008300E5"/>
    <w:rsid w:val="008301B0"/>
    <w:rsid w:val="00830214"/>
    <w:rsid w:val="00830372"/>
    <w:rsid w:val="008303DC"/>
    <w:rsid w:val="008304D0"/>
    <w:rsid w:val="00830640"/>
    <w:rsid w:val="008306A9"/>
    <w:rsid w:val="0083073E"/>
    <w:rsid w:val="0083075D"/>
    <w:rsid w:val="0083090E"/>
    <w:rsid w:val="00830A82"/>
    <w:rsid w:val="00830E5E"/>
    <w:rsid w:val="00830EA9"/>
    <w:rsid w:val="00830EBB"/>
    <w:rsid w:val="00830FF0"/>
    <w:rsid w:val="00831054"/>
    <w:rsid w:val="008310C6"/>
    <w:rsid w:val="00831307"/>
    <w:rsid w:val="00831430"/>
    <w:rsid w:val="008314BB"/>
    <w:rsid w:val="008316FD"/>
    <w:rsid w:val="0083172A"/>
    <w:rsid w:val="00831D18"/>
    <w:rsid w:val="0083204C"/>
    <w:rsid w:val="00832442"/>
    <w:rsid w:val="00832549"/>
    <w:rsid w:val="008325D6"/>
    <w:rsid w:val="00832721"/>
    <w:rsid w:val="008329FF"/>
    <w:rsid w:val="00832F07"/>
    <w:rsid w:val="00832F57"/>
    <w:rsid w:val="00833403"/>
    <w:rsid w:val="0083364D"/>
    <w:rsid w:val="00833705"/>
    <w:rsid w:val="00833750"/>
    <w:rsid w:val="008338C5"/>
    <w:rsid w:val="008339BE"/>
    <w:rsid w:val="008339F2"/>
    <w:rsid w:val="00833A26"/>
    <w:rsid w:val="00833BEA"/>
    <w:rsid w:val="00833DEA"/>
    <w:rsid w:val="00833EBB"/>
    <w:rsid w:val="00833F23"/>
    <w:rsid w:val="00834021"/>
    <w:rsid w:val="00834086"/>
    <w:rsid w:val="008340F5"/>
    <w:rsid w:val="00834122"/>
    <w:rsid w:val="008342A2"/>
    <w:rsid w:val="00834555"/>
    <w:rsid w:val="008347FC"/>
    <w:rsid w:val="00834A01"/>
    <w:rsid w:val="00834AD6"/>
    <w:rsid w:val="00834C4F"/>
    <w:rsid w:val="00834CA7"/>
    <w:rsid w:val="00834CD3"/>
    <w:rsid w:val="00834D08"/>
    <w:rsid w:val="00834E6A"/>
    <w:rsid w:val="00834F90"/>
    <w:rsid w:val="00835177"/>
    <w:rsid w:val="00835491"/>
    <w:rsid w:val="008356AF"/>
    <w:rsid w:val="008359BC"/>
    <w:rsid w:val="00835E99"/>
    <w:rsid w:val="00835F94"/>
    <w:rsid w:val="00836133"/>
    <w:rsid w:val="0083657A"/>
    <w:rsid w:val="00836828"/>
    <w:rsid w:val="008368D9"/>
    <w:rsid w:val="00836A12"/>
    <w:rsid w:val="00836BF5"/>
    <w:rsid w:val="008370B2"/>
    <w:rsid w:val="00837154"/>
    <w:rsid w:val="008374D2"/>
    <w:rsid w:val="008376A7"/>
    <w:rsid w:val="00837892"/>
    <w:rsid w:val="008378E7"/>
    <w:rsid w:val="00837C83"/>
    <w:rsid w:val="00837DD4"/>
    <w:rsid w:val="00837FA7"/>
    <w:rsid w:val="008400DC"/>
    <w:rsid w:val="00840397"/>
    <w:rsid w:val="008404D9"/>
    <w:rsid w:val="008405E8"/>
    <w:rsid w:val="00840614"/>
    <w:rsid w:val="00840665"/>
    <w:rsid w:val="00840757"/>
    <w:rsid w:val="0084091B"/>
    <w:rsid w:val="00840ABE"/>
    <w:rsid w:val="008410B8"/>
    <w:rsid w:val="00841113"/>
    <w:rsid w:val="008411D0"/>
    <w:rsid w:val="00841224"/>
    <w:rsid w:val="00841334"/>
    <w:rsid w:val="0084138C"/>
    <w:rsid w:val="00841485"/>
    <w:rsid w:val="00841669"/>
    <w:rsid w:val="008419D4"/>
    <w:rsid w:val="00841B8D"/>
    <w:rsid w:val="00841C85"/>
    <w:rsid w:val="00841D0B"/>
    <w:rsid w:val="00841D19"/>
    <w:rsid w:val="00842103"/>
    <w:rsid w:val="00842131"/>
    <w:rsid w:val="0084227D"/>
    <w:rsid w:val="00842377"/>
    <w:rsid w:val="00843024"/>
    <w:rsid w:val="0084325C"/>
    <w:rsid w:val="0084335D"/>
    <w:rsid w:val="008433E9"/>
    <w:rsid w:val="00843422"/>
    <w:rsid w:val="008436A5"/>
    <w:rsid w:val="00843727"/>
    <w:rsid w:val="0084384B"/>
    <w:rsid w:val="008438E3"/>
    <w:rsid w:val="00843B77"/>
    <w:rsid w:val="00843B81"/>
    <w:rsid w:val="00843D4D"/>
    <w:rsid w:val="00843E94"/>
    <w:rsid w:val="00843E99"/>
    <w:rsid w:val="00844106"/>
    <w:rsid w:val="00844332"/>
    <w:rsid w:val="0084455A"/>
    <w:rsid w:val="00844998"/>
    <w:rsid w:val="00844AEF"/>
    <w:rsid w:val="008450C5"/>
    <w:rsid w:val="008450C8"/>
    <w:rsid w:val="008452B1"/>
    <w:rsid w:val="0084551A"/>
    <w:rsid w:val="008455A6"/>
    <w:rsid w:val="00845716"/>
    <w:rsid w:val="0084595F"/>
    <w:rsid w:val="00845AB7"/>
    <w:rsid w:val="00845B7F"/>
    <w:rsid w:val="008461B0"/>
    <w:rsid w:val="0084623F"/>
    <w:rsid w:val="008462EB"/>
    <w:rsid w:val="00846326"/>
    <w:rsid w:val="0084642B"/>
    <w:rsid w:val="00846BD2"/>
    <w:rsid w:val="00846EB9"/>
    <w:rsid w:val="00847082"/>
    <w:rsid w:val="00847170"/>
    <w:rsid w:val="00847460"/>
    <w:rsid w:val="008478BD"/>
    <w:rsid w:val="00847CF8"/>
    <w:rsid w:val="00847D54"/>
    <w:rsid w:val="00847DA1"/>
    <w:rsid w:val="00850612"/>
    <w:rsid w:val="0085076C"/>
    <w:rsid w:val="0085086D"/>
    <w:rsid w:val="00850AB1"/>
    <w:rsid w:val="00850B3E"/>
    <w:rsid w:val="00850E58"/>
    <w:rsid w:val="00850E5E"/>
    <w:rsid w:val="00850F28"/>
    <w:rsid w:val="00850F5E"/>
    <w:rsid w:val="00851343"/>
    <w:rsid w:val="008513DF"/>
    <w:rsid w:val="0085144E"/>
    <w:rsid w:val="00851AF2"/>
    <w:rsid w:val="00851B16"/>
    <w:rsid w:val="00851C86"/>
    <w:rsid w:val="00851D8B"/>
    <w:rsid w:val="00851DAF"/>
    <w:rsid w:val="00851F68"/>
    <w:rsid w:val="0085208C"/>
    <w:rsid w:val="008520B7"/>
    <w:rsid w:val="008520E5"/>
    <w:rsid w:val="008524CF"/>
    <w:rsid w:val="008527C4"/>
    <w:rsid w:val="008527DA"/>
    <w:rsid w:val="00852E44"/>
    <w:rsid w:val="0085332D"/>
    <w:rsid w:val="00853372"/>
    <w:rsid w:val="0085344D"/>
    <w:rsid w:val="00853470"/>
    <w:rsid w:val="008536A6"/>
    <w:rsid w:val="008536FD"/>
    <w:rsid w:val="0085393E"/>
    <w:rsid w:val="00853F1C"/>
    <w:rsid w:val="0085425E"/>
    <w:rsid w:val="0085430F"/>
    <w:rsid w:val="0085439F"/>
    <w:rsid w:val="00854579"/>
    <w:rsid w:val="008545DE"/>
    <w:rsid w:val="008547F3"/>
    <w:rsid w:val="00854DF9"/>
    <w:rsid w:val="00854F33"/>
    <w:rsid w:val="00854F4C"/>
    <w:rsid w:val="008552DE"/>
    <w:rsid w:val="00855319"/>
    <w:rsid w:val="00855777"/>
    <w:rsid w:val="008558FF"/>
    <w:rsid w:val="00855A3A"/>
    <w:rsid w:val="00855BAB"/>
    <w:rsid w:val="00855DC1"/>
    <w:rsid w:val="00856162"/>
    <w:rsid w:val="00856323"/>
    <w:rsid w:val="00856405"/>
    <w:rsid w:val="00856D38"/>
    <w:rsid w:val="0085718D"/>
    <w:rsid w:val="00857211"/>
    <w:rsid w:val="008579CF"/>
    <w:rsid w:val="00857C44"/>
    <w:rsid w:val="008600F0"/>
    <w:rsid w:val="008602BE"/>
    <w:rsid w:val="008604F8"/>
    <w:rsid w:val="00860668"/>
    <w:rsid w:val="00860B21"/>
    <w:rsid w:val="00860B31"/>
    <w:rsid w:val="00860BE3"/>
    <w:rsid w:val="008615E4"/>
    <w:rsid w:val="0086172E"/>
    <w:rsid w:val="00861758"/>
    <w:rsid w:val="008617AB"/>
    <w:rsid w:val="00861CB7"/>
    <w:rsid w:val="00861E2D"/>
    <w:rsid w:val="00862009"/>
    <w:rsid w:val="00862170"/>
    <w:rsid w:val="00862258"/>
    <w:rsid w:val="00862318"/>
    <w:rsid w:val="008623C2"/>
    <w:rsid w:val="00862487"/>
    <w:rsid w:val="00862864"/>
    <w:rsid w:val="008628CF"/>
    <w:rsid w:val="00862A3F"/>
    <w:rsid w:val="00862AC5"/>
    <w:rsid w:val="00862D9F"/>
    <w:rsid w:val="00862E17"/>
    <w:rsid w:val="00862F1D"/>
    <w:rsid w:val="0086374C"/>
    <w:rsid w:val="00863929"/>
    <w:rsid w:val="00863973"/>
    <w:rsid w:val="0086399E"/>
    <w:rsid w:val="00863B31"/>
    <w:rsid w:val="00863C34"/>
    <w:rsid w:val="00863E83"/>
    <w:rsid w:val="00863EE8"/>
    <w:rsid w:val="0086401A"/>
    <w:rsid w:val="00864195"/>
    <w:rsid w:val="0086433F"/>
    <w:rsid w:val="00864476"/>
    <w:rsid w:val="00864934"/>
    <w:rsid w:val="008649CD"/>
    <w:rsid w:val="00864E0A"/>
    <w:rsid w:val="00864EE7"/>
    <w:rsid w:val="00865192"/>
    <w:rsid w:val="008652BB"/>
    <w:rsid w:val="00865314"/>
    <w:rsid w:val="0086532C"/>
    <w:rsid w:val="00865565"/>
    <w:rsid w:val="00865649"/>
    <w:rsid w:val="00865750"/>
    <w:rsid w:val="008659B4"/>
    <w:rsid w:val="00865AE9"/>
    <w:rsid w:val="00865B50"/>
    <w:rsid w:val="00865C18"/>
    <w:rsid w:val="00865E9C"/>
    <w:rsid w:val="00865F27"/>
    <w:rsid w:val="00865F6D"/>
    <w:rsid w:val="00865F80"/>
    <w:rsid w:val="0086615D"/>
    <w:rsid w:val="00866176"/>
    <w:rsid w:val="0086619C"/>
    <w:rsid w:val="008661AF"/>
    <w:rsid w:val="00866352"/>
    <w:rsid w:val="008664D7"/>
    <w:rsid w:val="0086663F"/>
    <w:rsid w:val="00866640"/>
    <w:rsid w:val="00866645"/>
    <w:rsid w:val="008669DA"/>
    <w:rsid w:val="00866A39"/>
    <w:rsid w:val="00866D6E"/>
    <w:rsid w:val="0086702F"/>
    <w:rsid w:val="00867429"/>
    <w:rsid w:val="008674F3"/>
    <w:rsid w:val="008675E8"/>
    <w:rsid w:val="0086771B"/>
    <w:rsid w:val="00867782"/>
    <w:rsid w:val="00867877"/>
    <w:rsid w:val="008678FD"/>
    <w:rsid w:val="00867EDF"/>
    <w:rsid w:val="00870014"/>
    <w:rsid w:val="00870140"/>
    <w:rsid w:val="00870394"/>
    <w:rsid w:val="00870549"/>
    <w:rsid w:val="0087055C"/>
    <w:rsid w:val="00870871"/>
    <w:rsid w:val="00870926"/>
    <w:rsid w:val="0087095C"/>
    <w:rsid w:val="00870A45"/>
    <w:rsid w:val="00870E31"/>
    <w:rsid w:val="00870EC6"/>
    <w:rsid w:val="00870F41"/>
    <w:rsid w:val="0087126D"/>
    <w:rsid w:val="008712BD"/>
    <w:rsid w:val="008714AF"/>
    <w:rsid w:val="008716E0"/>
    <w:rsid w:val="00871834"/>
    <w:rsid w:val="00871B42"/>
    <w:rsid w:val="00871B71"/>
    <w:rsid w:val="00871D26"/>
    <w:rsid w:val="00871F23"/>
    <w:rsid w:val="00872648"/>
    <w:rsid w:val="00872693"/>
    <w:rsid w:val="008726E5"/>
    <w:rsid w:val="00872B96"/>
    <w:rsid w:val="00872D03"/>
    <w:rsid w:val="00872D31"/>
    <w:rsid w:val="00872E22"/>
    <w:rsid w:val="00872F5B"/>
    <w:rsid w:val="00872FD0"/>
    <w:rsid w:val="00873139"/>
    <w:rsid w:val="008732E2"/>
    <w:rsid w:val="008732FE"/>
    <w:rsid w:val="0087375B"/>
    <w:rsid w:val="00873EF7"/>
    <w:rsid w:val="00873FED"/>
    <w:rsid w:val="00874025"/>
    <w:rsid w:val="00874045"/>
    <w:rsid w:val="0087407E"/>
    <w:rsid w:val="0087413E"/>
    <w:rsid w:val="008741BE"/>
    <w:rsid w:val="008743DB"/>
    <w:rsid w:val="008744D3"/>
    <w:rsid w:val="00874600"/>
    <w:rsid w:val="00874732"/>
    <w:rsid w:val="008747A6"/>
    <w:rsid w:val="0087498B"/>
    <w:rsid w:val="00874AB0"/>
    <w:rsid w:val="00874CDE"/>
    <w:rsid w:val="00874DE0"/>
    <w:rsid w:val="00874F1F"/>
    <w:rsid w:val="0087511B"/>
    <w:rsid w:val="00875240"/>
    <w:rsid w:val="00875590"/>
    <w:rsid w:val="00875973"/>
    <w:rsid w:val="00875BA4"/>
    <w:rsid w:val="00875BEC"/>
    <w:rsid w:val="00875E19"/>
    <w:rsid w:val="00875FA1"/>
    <w:rsid w:val="00875FC2"/>
    <w:rsid w:val="008760A7"/>
    <w:rsid w:val="008760FE"/>
    <w:rsid w:val="008763C2"/>
    <w:rsid w:val="00876565"/>
    <w:rsid w:val="008765F3"/>
    <w:rsid w:val="0087680C"/>
    <w:rsid w:val="00876BCD"/>
    <w:rsid w:val="00876CD8"/>
    <w:rsid w:val="00876D35"/>
    <w:rsid w:val="00876EF5"/>
    <w:rsid w:val="008771DB"/>
    <w:rsid w:val="00877231"/>
    <w:rsid w:val="00877379"/>
    <w:rsid w:val="008774FE"/>
    <w:rsid w:val="008775E1"/>
    <w:rsid w:val="00877641"/>
    <w:rsid w:val="008776C2"/>
    <w:rsid w:val="0087796B"/>
    <w:rsid w:val="008779AA"/>
    <w:rsid w:val="00877B7F"/>
    <w:rsid w:val="00877C6F"/>
    <w:rsid w:val="00877D25"/>
    <w:rsid w:val="00877DE6"/>
    <w:rsid w:val="00877EEE"/>
    <w:rsid w:val="00880090"/>
    <w:rsid w:val="008802B2"/>
    <w:rsid w:val="008804E1"/>
    <w:rsid w:val="00880684"/>
    <w:rsid w:val="00880747"/>
    <w:rsid w:val="0088084B"/>
    <w:rsid w:val="008809BB"/>
    <w:rsid w:val="00880A1A"/>
    <w:rsid w:val="00880C70"/>
    <w:rsid w:val="00880E43"/>
    <w:rsid w:val="00880F92"/>
    <w:rsid w:val="008811FC"/>
    <w:rsid w:val="00881257"/>
    <w:rsid w:val="0088127A"/>
    <w:rsid w:val="00881613"/>
    <w:rsid w:val="00881634"/>
    <w:rsid w:val="00881689"/>
    <w:rsid w:val="00881988"/>
    <w:rsid w:val="00881A4C"/>
    <w:rsid w:val="00881B0A"/>
    <w:rsid w:val="00881CDC"/>
    <w:rsid w:val="00881D60"/>
    <w:rsid w:val="00881DC9"/>
    <w:rsid w:val="008820A2"/>
    <w:rsid w:val="008823B1"/>
    <w:rsid w:val="00882429"/>
    <w:rsid w:val="00882646"/>
    <w:rsid w:val="008829DE"/>
    <w:rsid w:val="00882EBC"/>
    <w:rsid w:val="00882FF3"/>
    <w:rsid w:val="008831EA"/>
    <w:rsid w:val="0088320D"/>
    <w:rsid w:val="0088321E"/>
    <w:rsid w:val="00883239"/>
    <w:rsid w:val="00883543"/>
    <w:rsid w:val="008838CA"/>
    <w:rsid w:val="00883904"/>
    <w:rsid w:val="00883A0F"/>
    <w:rsid w:val="00883AF9"/>
    <w:rsid w:val="00883CDC"/>
    <w:rsid w:val="00883D00"/>
    <w:rsid w:val="00883DA8"/>
    <w:rsid w:val="00883E5E"/>
    <w:rsid w:val="00884085"/>
    <w:rsid w:val="00884408"/>
    <w:rsid w:val="0088445F"/>
    <w:rsid w:val="0088446F"/>
    <w:rsid w:val="008847DB"/>
    <w:rsid w:val="00884878"/>
    <w:rsid w:val="00884A4A"/>
    <w:rsid w:val="00884B8F"/>
    <w:rsid w:val="00884E01"/>
    <w:rsid w:val="00884EDB"/>
    <w:rsid w:val="00884FE8"/>
    <w:rsid w:val="008850CF"/>
    <w:rsid w:val="00885428"/>
    <w:rsid w:val="00885564"/>
    <w:rsid w:val="008859F6"/>
    <w:rsid w:val="00885A82"/>
    <w:rsid w:val="00885B90"/>
    <w:rsid w:val="00885D09"/>
    <w:rsid w:val="008864A7"/>
    <w:rsid w:val="008865F5"/>
    <w:rsid w:val="008866A0"/>
    <w:rsid w:val="0088671C"/>
    <w:rsid w:val="00886936"/>
    <w:rsid w:val="00886BBF"/>
    <w:rsid w:val="00886BE9"/>
    <w:rsid w:val="00886C36"/>
    <w:rsid w:val="00886FDC"/>
    <w:rsid w:val="0088701B"/>
    <w:rsid w:val="00887039"/>
    <w:rsid w:val="008870F5"/>
    <w:rsid w:val="0088739A"/>
    <w:rsid w:val="008877FA"/>
    <w:rsid w:val="008879C8"/>
    <w:rsid w:val="008879F8"/>
    <w:rsid w:val="00887A2E"/>
    <w:rsid w:val="00887D92"/>
    <w:rsid w:val="00887E0B"/>
    <w:rsid w:val="00887F74"/>
    <w:rsid w:val="00890881"/>
    <w:rsid w:val="00890A26"/>
    <w:rsid w:val="00890B97"/>
    <w:rsid w:val="00890CCA"/>
    <w:rsid w:val="00890CF2"/>
    <w:rsid w:val="0089119F"/>
    <w:rsid w:val="00891201"/>
    <w:rsid w:val="008916D8"/>
    <w:rsid w:val="00891995"/>
    <w:rsid w:val="00891A00"/>
    <w:rsid w:val="00891C1C"/>
    <w:rsid w:val="00891C4F"/>
    <w:rsid w:val="00891DFA"/>
    <w:rsid w:val="00891E9B"/>
    <w:rsid w:val="00891FF2"/>
    <w:rsid w:val="00892124"/>
    <w:rsid w:val="00892332"/>
    <w:rsid w:val="00892847"/>
    <w:rsid w:val="00892AAD"/>
    <w:rsid w:val="00892B85"/>
    <w:rsid w:val="00892E65"/>
    <w:rsid w:val="00892E99"/>
    <w:rsid w:val="008931E6"/>
    <w:rsid w:val="00893497"/>
    <w:rsid w:val="008935FB"/>
    <w:rsid w:val="0089393F"/>
    <w:rsid w:val="00893B3F"/>
    <w:rsid w:val="00893B4C"/>
    <w:rsid w:val="00893D7F"/>
    <w:rsid w:val="00893E1B"/>
    <w:rsid w:val="00893E5A"/>
    <w:rsid w:val="00893ED0"/>
    <w:rsid w:val="00893EFB"/>
    <w:rsid w:val="008940E0"/>
    <w:rsid w:val="0089416E"/>
    <w:rsid w:val="00894279"/>
    <w:rsid w:val="0089432C"/>
    <w:rsid w:val="00894365"/>
    <w:rsid w:val="00894564"/>
    <w:rsid w:val="00894586"/>
    <w:rsid w:val="008946D0"/>
    <w:rsid w:val="00894843"/>
    <w:rsid w:val="00894848"/>
    <w:rsid w:val="008949A5"/>
    <w:rsid w:val="00894BBE"/>
    <w:rsid w:val="00894EFB"/>
    <w:rsid w:val="00895092"/>
    <w:rsid w:val="0089533D"/>
    <w:rsid w:val="00895548"/>
    <w:rsid w:val="008955BE"/>
    <w:rsid w:val="008955C7"/>
    <w:rsid w:val="0089593D"/>
    <w:rsid w:val="00895B4E"/>
    <w:rsid w:val="00895E66"/>
    <w:rsid w:val="00895F28"/>
    <w:rsid w:val="00896335"/>
    <w:rsid w:val="008965A8"/>
    <w:rsid w:val="00896BAC"/>
    <w:rsid w:val="00896BAE"/>
    <w:rsid w:val="00896E3E"/>
    <w:rsid w:val="0089709C"/>
    <w:rsid w:val="00897431"/>
    <w:rsid w:val="00897452"/>
    <w:rsid w:val="00897551"/>
    <w:rsid w:val="008975AB"/>
    <w:rsid w:val="00897605"/>
    <w:rsid w:val="008976B0"/>
    <w:rsid w:val="0089780C"/>
    <w:rsid w:val="008979AD"/>
    <w:rsid w:val="008979CE"/>
    <w:rsid w:val="00897A4A"/>
    <w:rsid w:val="00897D03"/>
    <w:rsid w:val="00897D94"/>
    <w:rsid w:val="00897FC9"/>
    <w:rsid w:val="008A011A"/>
    <w:rsid w:val="008A0129"/>
    <w:rsid w:val="008A01B1"/>
    <w:rsid w:val="008A04E0"/>
    <w:rsid w:val="008A04EF"/>
    <w:rsid w:val="008A0550"/>
    <w:rsid w:val="008A09C0"/>
    <w:rsid w:val="008A0A7A"/>
    <w:rsid w:val="008A0C49"/>
    <w:rsid w:val="008A111B"/>
    <w:rsid w:val="008A133A"/>
    <w:rsid w:val="008A1356"/>
    <w:rsid w:val="008A1BDD"/>
    <w:rsid w:val="008A1FCA"/>
    <w:rsid w:val="008A20EF"/>
    <w:rsid w:val="008A2365"/>
    <w:rsid w:val="008A272F"/>
    <w:rsid w:val="008A27A3"/>
    <w:rsid w:val="008A27CD"/>
    <w:rsid w:val="008A2812"/>
    <w:rsid w:val="008A2836"/>
    <w:rsid w:val="008A2A16"/>
    <w:rsid w:val="008A2C8F"/>
    <w:rsid w:val="008A2CA5"/>
    <w:rsid w:val="008A2D4C"/>
    <w:rsid w:val="008A2EC8"/>
    <w:rsid w:val="008A2F40"/>
    <w:rsid w:val="008A31F4"/>
    <w:rsid w:val="008A32E2"/>
    <w:rsid w:val="008A35D9"/>
    <w:rsid w:val="008A3B83"/>
    <w:rsid w:val="008A3C91"/>
    <w:rsid w:val="008A3C94"/>
    <w:rsid w:val="008A3C9B"/>
    <w:rsid w:val="008A3D22"/>
    <w:rsid w:val="008A3E22"/>
    <w:rsid w:val="008A434C"/>
    <w:rsid w:val="008A4562"/>
    <w:rsid w:val="008A48EF"/>
    <w:rsid w:val="008A49FE"/>
    <w:rsid w:val="008A4C18"/>
    <w:rsid w:val="008A4CD0"/>
    <w:rsid w:val="008A4D4B"/>
    <w:rsid w:val="008A5042"/>
    <w:rsid w:val="008A56C8"/>
    <w:rsid w:val="008A57B8"/>
    <w:rsid w:val="008A582F"/>
    <w:rsid w:val="008A593E"/>
    <w:rsid w:val="008A594B"/>
    <w:rsid w:val="008A5A37"/>
    <w:rsid w:val="008A5CF3"/>
    <w:rsid w:val="008A5DA6"/>
    <w:rsid w:val="008A5F33"/>
    <w:rsid w:val="008A6043"/>
    <w:rsid w:val="008A604A"/>
    <w:rsid w:val="008A63F2"/>
    <w:rsid w:val="008A661A"/>
    <w:rsid w:val="008A668B"/>
    <w:rsid w:val="008A686C"/>
    <w:rsid w:val="008A6880"/>
    <w:rsid w:val="008A691B"/>
    <w:rsid w:val="008A6AE9"/>
    <w:rsid w:val="008A6BBC"/>
    <w:rsid w:val="008A6C85"/>
    <w:rsid w:val="008A6DCB"/>
    <w:rsid w:val="008A6E6E"/>
    <w:rsid w:val="008A6E89"/>
    <w:rsid w:val="008A6FBA"/>
    <w:rsid w:val="008A6FC2"/>
    <w:rsid w:val="008A7045"/>
    <w:rsid w:val="008A7383"/>
    <w:rsid w:val="008A7459"/>
    <w:rsid w:val="008A77C3"/>
    <w:rsid w:val="008A7ACB"/>
    <w:rsid w:val="008A7C0A"/>
    <w:rsid w:val="008A7C90"/>
    <w:rsid w:val="008A7CA7"/>
    <w:rsid w:val="008A7DB0"/>
    <w:rsid w:val="008B00A0"/>
    <w:rsid w:val="008B048A"/>
    <w:rsid w:val="008B059C"/>
    <w:rsid w:val="008B0671"/>
    <w:rsid w:val="008B06B0"/>
    <w:rsid w:val="008B0750"/>
    <w:rsid w:val="008B0816"/>
    <w:rsid w:val="008B0C0C"/>
    <w:rsid w:val="008B0C77"/>
    <w:rsid w:val="008B0DC5"/>
    <w:rsid w:val="008B0DE7"/>
    <w:rsid w:val="008B10BA"/>
    <w:rsid w:val="008B1284"/>
    <w:rsid w:val="008B13AF"/>
    <w:rsid w:val="008B1400"/>
    <w:rsid w:val="008B15E4"/>
    <w:rsid w:val="008B166C"/>
    <w:rsid w:val="008B173C"/>
    <w:rsid w:val="008B1937"/>
    <w:rsid w:val="008B1B13"/>
    <w:rsid w:val="008B1C62"/>
    <w:rsid w:val="008B212C"/>
    <w:rsid w:val="008B2202"/>
    <w:rsid w:val="008B22DE"/>
    <w:rsid w:val="008B2342"/>
    <w:rsid w:val="008B2731"/>
    <w:rsid w:val="008B273B"/>
    <w:rsid w:val="008B2A58"/>
    <w:rsid w:val="008B2BC4"/>
    <w:rsid w:val="008B2E0C"/>
    <w:rsid w:val="008B2F2E"/>
    <w:rsid w:val="008B2FEC"/>
    <w:rsid w:val="008B342A"/>
    <w:rsid w:val="008B3569"/>
    <w:rsid w:val="008B385A"/>
    <w:rsid w:val="008B3862"/>
    <w:rsid w:val="008B38EA"/>
    <w:rsid w:val="008B3972"/>
    <w:rsid w:val="008B3BEB"/>
    <w:rsid w:val="008B3E94"/>
    <w:rsid w:val="008B4255"/>
    <w:rsid w:val="008B4359"/>
    <w:rsid w:val="008B43B5"/>
    <w:rsid w:val="008B44F7"/>
    <w:rsid w:val="008B461C"/>
    <w:rsid w:val="008B46A1"/>
    <w:rsid w:val="008B4726"/>
    <w:rsid w:val="008B478F"/>
    <w:rsid w:val="008B4E1F"/>
    <w:rsid w:val="008B4E67"/>
    <w:rsid w:val="008B4EAF"/>
    <w:rsid w:val="008B4FA1"/>
    <w:rsid w:val="008B4FA9"/>
    <w:rsid w:val="008B528E"/>
    <w:rsid w:val="008B54CD"/>
    <w:rsid w:val="008B55AF"/>
    <w:rsid w:val="008B55DC"/>
    <w:rsid w:val="008B56B3"/>
    <w:rsid w:val="008B58C2"/>
    <w:rsid w:val="008B5BBB"/>
    <w:rsid w:val="008B5CFA"/>
    <w:rsid w:val="008B6012"/>
    <w:rsid w:val="008B616F"/>
    <w:rsid w:val="008B66E6"/>
    <w:rsid w:val="008B66ED"/>
    <w:rsid w:val="008B6957"/>
    <w:rsid w:val="008B6F77"/>
    <w:rsid w:val="008B6FF8"/>
    <w:rsid w:val="008B704F"/>
    <w:rsid w:val="008B70E7"/>
    <w:rsid w:val="008B71A5"/>
    <w:rsid w:val="008B7496"/>
    <w:rsid w:val="008B74D3"/>
    <w:rsid w:val="008B77A3"/>
    <w:rsid w:val="008B7B95"/>
    <w:rsid w:val="008B7C37"/>
    <w:rsid w:val="008B7C5A"/>
    <w:rsid w:val="008B7C8D"/>
    <w:rsid w:val="008B7E26"/>
    <w:rsid w:val="008C0000"/>
    <w:rsid w:val="008C00EF"/>
    <w:rsid w:val="008C00FF"/>
    <w:rsid w:val="008C032B"/>
    <w:rsid w:val="008C04BA"/>
    <w:rsid w:val="008C056F"/>
    <w:rsid w:val="008C08E1"/>
    <w:rsid w:val="008C0956"/>
    <w:rsid w:val="008C0BED"/>
    <w:rsid w:val="008C0E4B"/>
    <w:rsid w:val="008C0F1F"/>
    <w:rsid w:val="008C111D"/>
    <w:rsid w:val="008C11A0"/>
    <w:rsid w:val="008C12BA"/>
    <w:rsid w:val="008C1751"/>
    <w:rsid w:val="008C1A0F"/>
    <w:rsid w:val="008C1AFA"/>
    <w:rsid w:val="008C1B83"/>
    <w:rsid w:val="008C223F"/>
    <w:rsid w:val="008C26DA"/>
    <w:rsid w:val="008C276D"/>
    <w:rsid w:val="008C289B"/>
    <w:rsid w:val="008C28DF"/>
    <w:rsid w:val="008C2964"/>
    <w:rsid w:val="008C2E29"/>
    <w:rsid w:val="008C2F39"/>
    <w:rsid w:val="008C2FAB"/>
    <w:rsid w:val="008C31B6"/>
    <w:rsid w:val="008C32F3"/>
    <w:rsid w:val="008C32F4"/>
    <w:rsid w:val="008C33B5"/>
    <w:rsid w:val="008C3609"/>
    <w:rsid w:val="008C3955"/>
    <w:rsid w:val="008C39A9"/>
    <w:rsid w:val="008C40F7"/>
    <w:rsid w:val="008C43C3"/>
    <w:rsid w:val="008C45E1"/>
    <w:rsid w:val="008C45E8"/>
    <w:rsid w:val="008C48C7"/>
    <w:rsid w:val="008C4968"/>
    <w:rsid w:val="008C4CC7"/>
    <w:rsid w:val="008C4D1F"/>
    <w:rsid w:val="008C4D4F"/>
    <w:rsid w:val="008C4E18"/>
    <w:rsid w:val="008C52B6"/>
    <w:rsid w:val="008C5526"/>
    <w:rsid w:val="008C5531"/>
    <w:rsid w:val="008C5605"/>
    <w:rsid w:val="008C57B5"/>
    <w:rsid w:val="008C58AD"/>
    <w:rsid w:val="008C58B8"/>
    <w:rsid w:val="008C5982"/>
    <w:rsid w:val="008C5996"/>
    <w:rsid w:val="008C5A35"/>
    <w:rsid w:val="008C5BF3"/>
    <w:rsid w:val="008C5DF4"/>
    <w:rsid w:val="008C5F04"/>
    <w:rsid w:val="008C639A"/>
    <w:rsid w:val="008C6511"/>
    <w:rsid w:val="008C6535"/>
    <w:rsid w:val="008C6724"/>
    <w:rsid w:val="008C693A"/>
    <w:rsid w:val="008C6AC1"/>
    <w:rsid w:val="008C6E53"/>
    <w:rsid w:val="008C6ED3"/>
    <w:rsid w:val="008C6F30"/>
    <w:rsid w:val="008C7018"/>
    <w:rsid w:val="008C7059"/>
    <w:rsid w:val="008C7339"/>
    <w:rsid w:val="008C768F"/>
    <w:rsid w:val="008C7801"/>
    <w:rsid w:val="008C7893"/>
    <w:rsid w:val="008C7904"/>
    <w:rsid w:val="008C7A1D"/>
    <w:rsid w:val="008C7A9D"/>
    <w:rsid w:val="008C7C70"/>
    <w:rsid w:val="008C7CDD"/>
    <w:rsid w:val="008C7FB7"/>
    <w:rsid w:val="008D01F0"/>
    <w:rsid w:val="008D04F8"/>
    <w:rsid w:val="008D0581"/>
    <w:rsid w:val="008D06FE"/>
    <w:rsid w:val="008D07DC"/>
    <w:rsid w:val="008D087D"/>
    <w:rsid w:val="008D0BEA"/>
    <w:rsid w:val="008D0F8D"/>
    <w:rsid w:val="008D12BC"/>
    <w:rsid w:val="008D1700"/>
    <w:rsid w:val="008D18E1"/>
    <w:rsid w:val="008D1AAF"/>
    <w:rsid w:val="008D1C31"/>
    <w:rsid w:val="008D1DAA"/>
    <w:rsid w:val="008D1F20"/>
    <w:rsid w:val="008D1F89"/>
    <w:rsid w:val="008D209E"/>
    <w:rsid w:val="008D21DB"/>
    <w:rsid w:val="008D221F"/>
    <w:rsid w:val="008D2311"/>
    <w:rsid w:val="008D248F"/>
    <w:rsid w:val="008D24E3"/>
    <w:rsid w:val="008D26C7"/>
    <w:rsid w:val="008D2826"/>
    <w:rsid w:val="008D296D"/>
    <w:rsid w:val="008D2B3B"/>
    <w:rsid w:val="008D2BB4"/>
    <w:rsid w:val="008D2C6A"/>
    <w:rsid w:val="008D2DD4"/>
    <w:rsid w:val="008D34FE"/>
    <w:rsid w:val="008D3626"/>
    <w:rsid w:val="008D383B"/>
    <w:rsid w:val="008D39CF"/>
    <w:rsid w:val="008D3A4C"/>
    <w:rsid w:val="008D3D21"/>
    <w:rsid w:val="008D4079"/>
    <w:rsid w:val="008D422E"/>
    <w:rsid w:val="008D4C8A"/>
    <w:rsid w:val="008D4CEE"/>
    <w:rsid w:val="008D4E20"/>
    <w:rsid w:val="008D51E8"/>
    <w:rsid w:val="008D5423"/>
    <w:rsid w:val="008D5466"/>
    <w:rsid w:val="008D558F"/>
    <w:rsid w:val="008D5813"/>
    <w:rsid w:val="008D581D"/>
    <w:rsid w:val="008D5B3A"/>
    <w:rsid w:val="008D5C0E"/>
    <w:rsid w:val="008D5D34"/>
    <w:rsid w:val="008D5EE3"/>
    <w:rsid w:val="008D5F75"/>
    <w:rsid w:val="008D6121"/>
    <w:rsid w:val="008D61F1"/>
    <w:rsid w:val="008D623F"/>
    <w:rsid w:val="008D685D"/>
    <w:rsid w:val="008D6B10"/>
    <w:rsid w:val="008D6BF5"/>
    <w:rsid w:val="008D6C2B"/>
    <w:rsid w:val="008D6F74"/>
    <w:rsid w:val="008D6FA5"/>
    <w:rsid w:val="008D70AA"/>
    <w:rsid w:val="008D7387"/>
    <w:rsid w:val="008D7694"/>
    <w:rsid w:val="008D76EC"/>
    <w:rsid w:val="008D7B23"/>
    <w:rsid w:val="008E01CC"/>
    <w:rsid w:val="008E025F"/>
    <w:rsid w:val="008E051D"/>
    <w:rsid w:val="008E0D59"/>
    <w:rsid w:val="008E10EF"/>
    <w:rsid w:val="008E11D5"/>
    <w:rsid w:val="008E1379"/>
    <w:rsid w:val="008E144F"/>
    <w:rsid w:val="008E1486"/>
    <w:rsid w:val="008E17A8"/>
    <w:rsid w:val="008E18E1"/>
    <w:rsid w:val="008E1AE7"/>
    <w:rsid w:val="008E1CFF"/>
    <w:rsid w:val="008E206B"/>
    <w:rsid w:val="008E2081"/>
    <w:rsid w:val="008E21A5"/>
    <w:rsid w:val="008E2526"/>
    <w:rsid w:val="008E2605"/>
    <w:rsid w:val="008E279C"/>
    <w:rsid w:val="008E282A"/>
    <w:rsid w:val="008E289D"/>
    <w:rsid w:val="008E2B67"/>
    <w:rsid w:val="008E2C58"/>
    <w:rsid w:val="008E2D8B"/>
    <w:rsid w:val="008E2DC2"/>
    <w:rsid w:val="008E2FE5"/>
    <w:rsid w:val="008E305B"/>
    <w:rsid w:val="008E3371"/>
    <w:rsid w:val="008E344F"/>
    <w:rsid w:val="008E347F"/>
    <w:rsid w:val="008E37C9"/>
    <w:rsid w:val="008E3868"/>
    <w:rsid w:val="008E3998"/>
    <w:rsid w:val="008E39DA"/>
    <w:rsid w:val="008E3EE6"/>
    <w:rsid w:val="008E437D"/>
    <w:rsid w:val="008E44FD"/>
    <w:rsid w:val="008E4549"/>
    <w:rsid w:val="008E4560"/>
    <w:rsid w:val="008E45D8"/>
    <w:rsid w:val="008E4651"/>
    <w:rsid w:val="008E4AC1"/>
    <w:rsid w:val="008E4B8A"/>
    <w:rsid w:val="008E4F43"/>
    <w:rsid w:val="008E4FE5"/>
    <w:rsid w:val="008E5449"/>
    <w:rsid w:val="008E54BE"/>
    <w:rsid w:val="008E5699"/>
    <w:rsid w:val="008E57A4"/>
    <w:rsid w:val="008E59B0"/>
    <w:rsid w:val="008E5B3D"/>
    <w:rsid w:val="008E5B71"/>
    <w:rsid w:val="008E5D1B"/>
    <w:rsid w:val="008E5DBA"/>
    <w:rsid w:val="008E63C6"/>
    <w:rsid w:val="008E64FE"/>
    <w:rsid w:val="008E666C"/>
    <w:rsid w:val="008E6675"/>
    <w:rsid w:val="008E685F"/>
    <w:rsid w:val="008E6973"/>
    <w:rsid w:val="008E6C66"/>
    <w:rsid w:val="008E6D64"/>
    <w:rsid w:val="008E70F5"/>
    <w:rsid w:val="008E7286"/>
    <w:rsid w:val="008E7369"/>
    <w:rsid w:val="008E73B2"/>
    <w:rsid w:val="008E744A"/>
    <w:rsid w:val="008E747E"/>
    <w:rsid w:val="008E7566"/>
    <w:rsid w:val="008E757B"/>
    <w:rsid w:val="008F02DE"/>
    <w:rsid w:val="008F04FE"/>
    <w:rsid w:val="008F05CE"/>
    <w:rsid w:val="008F06C0"/>
    <w:rsid w:val="008F074A"/>
    <w:rsid w:val="008F0B42"/>
    <w:rsid w:val="008F0C4A"/>
    <w:rsid w:val="008F15DF"/>
    <w:rsid w:val="008F17A7"/>
    <w:rsid w:val="008F1B67"/>
    <w:rsid w:val="008F1CA1"/>
    <w:rsid w:val="008F1CC1"/>
    <w:rsid w:val="008F1CDA"/>
    <w:rsid w:val="008F1D2B"/>
    <w:rsid w:val="008F1D70"/>
    <w:rsid w:val="008F1DAF"/>
    <w:rsid w:val="008F1E44"/>
    <w:rsid w:val="008F1FB9"/>
    <w:rsid w:val="008F2021"/>
    <w:rsid w:val="008F2413"/>
    <w:rsid w:val="008F24CB"/>
    <w:rsid w:val="008F279F"/>
    <w:rsid w:val="008F28F2"/>
    <w:rsid w:val="008F2976"/>
    <w:rsid w:val="008F2D63"/>
    <w:rsid w:val="008F2D8E"/>
    <w:rsid w:val="008F2DCD"/>
    <w:rsid w:val="008F2E70"/>
    <w:rsid w:val="008F2EE9"/>
    <w:rsid w:val="008F319B"/>
    <w:rsid w:val="008F35F3"/>
    <w:rsid w:val="008F3674"/>
    <w:rsid w:val="008F36AD"/>
    <w:rsid w:val="008F390A"/>
    <w:rsid w:val="008F3AE8"/>
    <w:rsid w:val="008F3C29"/>
    <w:rsid w:val="008F3CA6"/>
    <w:rsid w:val="008F3DCC"/>
    <w:rsid w:val="008F3E71"/>
    <w:rsid w:val="008F3EDA"/>
    <w:rsid w:val="008F417D"/>
    <w:rsid w:val="008F41C2"/>
    <w:rsid w:val="008F4331"/>
    <w:rsid w:val="008F43A9"/>
    <w:rsid w:val="008F4411"/>
    <w:rsid w:val="008F4422"/>
    <w:rsid w:val="008F453E"/>
    <w:rsid w:val="008F459C"/>
    <w:rsid w:val="008F45DF"/>
    <w:rsid w:val="008F469F"/>
    <w:rsid w:val="008F4B7C"/>
    <w:rsid w:val="008F4BFE"/>
    <w:rsid w:val="008F4CCC"/>
    <w:rsid w:val="008F4D4C"/>
    <w:rsid w:val="008F5046"/>
    <w:rsid w:val="008F50B8"/>
    <w:rsid w:val="008F5307"/>
    <w:rsid w:val="008F557D"/>
    <w:rsid w:val="008F5761"/>
    <w:rsid w:val="008F5766"/>
    <w:rsid w:val="008F57AC"/>
    <w:rsid w:val="008F57E9"/>
    <w:rsid w:val="008F58AF"/>
    <w:rsid w:val="008F58B2"/>
    <w:rsid w:val="008F594C"/>
    <w:rsid w:val="008F5A48"/>
    <w:rsid w:val="008F5B17"/>
    <w:rsid w:val="008F5ED1"/>
    <w:rsid w:val="008F5F02"/>
    <w:rsid w:val="008F5FC9"/>
    <w:rsid w:val="008F6172"/>
    <w:rsid w:val="008F61D0"/>
    <w:rsid w:val="008F6273"/>
    <w:rsid w:val="008F6300"/>
    <w:rsid w:val="008F65A4"/>
    <w:rsid w:val="008F68EE"/>
    <w:rsid w:val="008F691C"/>
    <w:rsid w:val="008F69F5"/>
    <w:rsid w:val="008F6B5C"/>
    <w:rsid w:val="008F6BFE"/>
    <w:rsid w:val="008F6F5E"/>
    <w:rsid w:val="008F70D7"/>
    <w:rsid w:val="008F72BB"/>
    <w:rsid w:val="008F757F"/>
    <w:rsid w:val="008F799B"/>
    <w:rsid w:val="008F7B92"/>
    <w:rsid w:val="008F7BAC"/>
    <w:rsid w:val="008F7EB7"/>
    <w:rsid w:val="009000FB"/>
    <w:rsid w:val="0090015B"/>
    <w:rsid w:val="009001BB"/>
    <w:rsid w:val="009001E7"/>
    <w:rsid w:val="0090038E"/>
    <w:rsid w:val="009003DE"/>
    <w:rsid w:val="0090045F"/>
    <w:rsid w:val="00900475"/>
    <w:rsid w:val="009004D0"/>
    <w:rsid w:val="0090093A"/>
    <w:rsid w:val="00900A86"/>
    <w:rsid w:val="00900C25"/>
    <w:rsid w:val="00900F57"/>
    <w:rsid w:val="00900F65"/>
    <w:rsid w:val="009011BE"/>
    <w:rsid w:val="009011D9"/>
    <w:rsid w:val="0090173C"/>
    <w:rsid w:val="009018F9"/>
    <w:rsid w:val="00901A0B"/>
    <w:rsid w:val="00901FB0"/>
    <w:rsid w:val="009020EC"/>
    <w:rsid w:val="009021FB"/>
    <w:rsid w:val="00902295"/>
    <w:rsid w:val="009022D0"/>
    <w:rsid w:val="00902372"/>
    <w:rsid w:val="009024B2"/>
    <w:rsid w:val="00902567"/>
    <w:rsid w:val="009026D2"/>
    <w:rsid w:val="00902D6F"/>
    <w:rsid w:val="00902DE9"/>
    <w:rsid w:val="00902E1B"/>
    <w:rsid w:val="00903009"/>
    <w:rsid w:val="009032C9"/>
    <w:rsid w:val="00903375"/>
    <w:rsid w:val="009033FE"/>
    <w:rsid w:val="00903447"/>
    <w:rsid w:val="0090374F"/>
    <w:rsid w:val="009038BC"/>
    <w:rsid w:val="00903966"/>
    <w:rsid w:val="00903B60"/>
    <w:rsid w:val="0090469B"/>
    <w:rsid w:val="009048EA"/>
    <w:rsid w:val="00904A24"/>
    <w:rsid w:val="00904ABA"/>
    <w:rsid w:val="00904BE5"/>
    <w:rsid w:val="00904D27"/>
    <w:rsid w:val="00904E4D"/>
    <w:rsid w:val="00904EF0"/>
    <w:rsid w:val="00905292"/>
    <w:rsid w:val="0090532A"/>
    <w:rsid w:val="009053D0"/>
    <w:rsid w:val="009056D5"/>
    <w:rsid w:val="009056DC"/>
    <w:rsid w:val="0090576B"/>
    <w:rsid w:val="00905783"/>
    <w:rsid w:val="00905911"/>
    <w:rsid w:val="00905A0F"/>
    <w:rsid w:val="00905F63"/>
    <w:rsid w:val="00906125"/>
    <w:rsid w:val="00906492"/>
    <w:rsid w:val="0090693C"/>
    <w:rsid w:val="009069AD"/>
    <w:rsid w:val="00906A36"/>
    <w:rsid w:val="00906F79"/>
    <w:rsid w:val="00907309"/>
    <w:rsid w:val="0090740E"/>
    <w:rsid w:val="00907616"/>
    <w:rsid w:val="00907665"/>
    <w:rsid w:val="00907743"/>
    <w:rsid w:val="009077F3"/>
    <w:rsid w:val="0090788D"/>
    <w:rsid w:val="00907B30"/>
    <w:rsid w:val="00907B6B"/>
    <w:rsid w:val="00907EBE"/>
    <w:rsid w:val="00907F0B"/>
    <w:rsid w:val="00907F7B"/>
    <w:rsid w:val="0091000F"/>
    <w:rsid w:val="00910218"/>
    <w:rsid w:val="0091024C"/>
    <w:rsid w:val="009108D5"/>
    <w:rsid w:val="0091094E"/>
    <w:rsid w:val="009109D5"/>
    <w:rsid w:val="00910B2A"/>
    <w:rsid w:val="00910D08"/>
    <w:rsid w:val="00910DEB"/>
    <w:rsid w:val="009110CE"/>
    <w:rsid w:val="00911401"/>
    <w:rsid w:val="009116CA"/>
    <w:rsid w:val="00911829"/>
    <w:rsid w:val="009118ED"/>
    <w:rsid w:val="0091198E"/>
    <w:rsid w:val="00911A3B"/>
    <w:rsid w:val="00911A47"/>
    <w:rsid w:val="00911B1F"/>
    <w:rsid w:val="00911CF2"/>
    <w:rsid w:val="00911D77"/>
    <w:rsid w:val="00911E74"/>
    <w:rsid w:val="00911E75"/>
    <w:rsid w:val="00911F9F"/>
    <w:rsid w:val="00911FF4"/>
    <w:rsid w:val="0091200B"/>
    <w:rsid w:val="00912079"/>
    <w:rsid w:val="009120B3"/>
    <w:rsid w:val="00912455"/>
    <w:rsid w:val="00912481"/>
    <w:rsid w:val="009125F2"/>
    <w:rsid w:val="0091268A"/>
    <w:rsid w:val="00912857"/>
    <w:rsid w:val="0091291F"/>
    <w:rsid w:val="00912994"/>
    <w:rsid w:val="00912DC1"/>
    <w:rsid w:val="00912DC4"/>
    <w:rsid w:val="00912DC5"/>
    <w:rsid w:val="00912DDC"/>
    <w:rsid w:val="00912E9E"/>
    <w:rsid w:val="009131D6"/>
    <w:rsid w:val="0091323C"/>
    <w:rsid w:val="009132DA"/>
    <w:rsid w:val="00913341"/>
    <w:rsid w:val="009134C5"/>
    <w:rsid w:val="00913740"/>
    <w:rsid w:val="00913754"/>
    <w:rsid w:val="00913906"/>
    <w:rsid w:val="00913BB7"/>
    <w:rsid w:val="00913BE4"/>
    <w:rsid w:val="00913EB9"/>
    <w:rsid w:val="00913FC9"/>
    <w:rsid w:val="00914020"/>
    <w:rsid w:val="00914838"/>
    <w:rsid w:val="00914D77"/>
    <w:rsid w:val="00914DA0"/>
    <w:rsid w:val="00914E28"/>
    <w:rsid w:val="0091507F"/>
    <w:rsid w:val="00915130"/>
    <w:rsid w:val="00915179"/>
    <w:rsid w:val="009152FB"/>
    <w:rsid w:val="009153DF"/>
    <w:rsid w:val="00915532"/>
    <w:rsid w:val="0091585E"/>
    <w:rsid w:val="00915B06"/>
    <w:rsid w:val="00916121"/>
    <w:rsid w:val="009163F9"/>
    <w:rsid w:val="00916674"/>
    <w:rsid w:val="00916A63"/>
    <w:rsid w:val="00916EC6"/>
    <w:rsid w:val="00917482"/>
    <w:rsid w:val="009174B6"/>
    <w:rsid w:val="0091753A"/>
    <w:rsid w:val="0091790E"/>
    <w:rsid w:val="00917973"/>
    <w:rsid w:val="009179B6"/>
    <w:rsid w:val="00917A46"/>
    <w:rsid w:val="00917AEF"/>
    <w:rsid w:val="00917C6B"/>
    <w:rsid w:val="00917CEF"/>
    <w:rsid w:val="00917E1A"/>
    <w:rsid w:val="00920128"/>
    <w:rsid w:val="009203AA"/>
    <w:rsid w:val="00920476"/>
    <w:rsid w:val="0092061B"/>
    <w:rsid w:val="00920631"/>
    <w:rsid w:val="00920638"/>
    <w:rsid w:val="009207E2"/>
    <w:rsid w:val="009209EE"/>
    <w:rsid w:val="00920B40"/>
    <w:rsid w:val="00920BE0"/>
    <w:rsid w:val="00920C3D"/>
    <w:rsid w:val="00920D50"/>
    <w:rsid w:val="00920FA9"/>
    <w:rsid w:val="00921003"/>
    <w:rsid w:val="0092110B"/>
    <w:rsid w:val="00921331"/>
    <w:rsid w:val="009216A2"/>
    <w:rsid w:val="0092182C"/>
    <w:rsid w:val="009218A8"/>
    <w:rsid w:val="00921A99"/>
    <w:rsid w:val="00921AE8"/>
    <w:rsid w:val="00921B4B"/>
    <w:rsid w:val="00921CBC"/>
    <w:rsid w:val="00922464"/>
    <w:rsid w:val="00922473"/>
    <w:rsid w:val="009226AA"/>
    <w:rsid w:val="00922927"/>
    <w:rsid w:val="00922A4F"/>
    <w:rsid w:val="00922A7E"/>
    <w:rsid w:val="00922C59"/>
    <w:rsid w:val="00922D68"/>
    <w:rsid w:val="00922F8C"/>
    <w:rsid w:val="009231C1"/>
    <w:rsid w:val="00923267"/>
    <w:rsid w:val="0092330E"/>
    <w:rsid w:val="0092346D"/>
    <w:rsid w:val="00923491"/>
    <w:rsid w:val="0092358D"/>
    <w:rsid w:val="0092375E"/>
    <w:rsid w:val="00923C59"/>
    <w:rsid w:val="00923C99"/>
    <w:rsid w:val="00923CBF"/>
    <w:rsid w:val="00923DE9"/>
    <w:rsid w:val="00923F68"/>
    <w:rsid w:val="009240F9"/>
    <w:rsid w:val="009246F9"/>
    <w:rsid w:val="00924791"/>
    <w:rsid w:val="00924997"/>
    <w:rsid w:val="00924A7D"/>
    <w:rsid w:val="00924B8E"/>
    <w:rsid w:val="00924C05"/>
    <w:rsid w:val="00924D6C"/>
    <w:rsid w:val="00924D8A"/>
    <w:rsid w:val="00924F29"/>
    <w:rsid w:val="00925020"/>
    <w:rsid w:val="009250CB"/>
    <w:rsid w:val="00925129"/>
    <w:rsid w:val="00925168"/>
    <w:rsid w:val="00925215"/>
    <w:rsid w:val="00925243"/>
    <w:rsid w:val="009252C4"/>
    <w:rsid w:val="009252D2"/>
    <w:rsid w:val="00925645"/>
    <w:rsid w:val="00925B59"/>
    <w:rsid w:val="00925B76"/>
    <w:rsid w:val="00925E6B"/>
    <w:rsid w:val="009261A4"/>
    <w:rsid w:val="0092627E"/>
    <w:rsid w:val="009263E7"/>
    <w:rsid w:val="00926622"/>
    <w:rsid w:val="00926C2E"/>
    <w:rsid w:val="00926E4F"/>
    <w:rsid w:val="00926E94"/>
    <w:rsid w:val="00926FBD"/>
    <w:rsid w:val="00926FCB"/>
    <w:rsid w:val="00926FF4"/>
    <w:rsid w:val="009271C6"/>
    <w:rsid w:val="0092728B"/>
    <w:rsid w:val="009275D1"/>
    <w:rsid w:val="00927709"/>
    <w:rsid w:val="00927767"/>
    <w:rsid w:val="009277EA"/>
    <w:rsid w:val="0092797D"/>
    <w:rsid w:val="00927AED"/>
    <w:rsid w:val="00927B57"/>
    <w:rsid w:val="00927B81"/>
    <w:rsid w:val="00927BF0"/>
    <w:rsid w:val="00927C50"/>
    <w:rsid w:val="00927E42"/>
    <w:rsid w:val="00927E5A"/>
    <w:rsid w:val="00930207"/>
    <w:rsid w:val="0093021C"/>
    <w:rsid w:val="00930354"/>
    <w:rsid w:val="0093057C"/>
    <w:rsid w:val="009309D1"/>
    <w:rsid w:val="00930A71"/>
    <w:rsid w:val="00930D55"/>
    <w:rsid w:val="00930DDA"/>
    <w:rsid w:val="00930FD2"/>
    <w:rsid w:val="009314A2"/>
    <w:rsid w:val="009316F6"/>
    <w:rsid w:val="00931885"/>
    <w:rsid w:val="009318D8"/>
    <w:rsid w:val="00931974"/>
    <w:rsid w:val="00931A03"/>
    <w:rsid w:val="00931E11"/>
    <w:rsid w:val="00931FA6"/>
    <w:rsid w:val="009321A0"/>
    <w:rsid w:val="009322C1"/>
    <w:rsid w:val="009325E5"/>
    <w:rsid w:val="00932617"/>
    <w:rsid w:val="00932675"/>
    <w:rsid w:val="00932709"/>
    <w:rsid w:val="0093279B"/>
    <w:rsid w:val="009327B9"/>
    <w:rsid w:val="0093283D"/>
    <w:rsid w:val="0093284E"/>
    <w:rsid w:val="00932E70"/>
    <w:rsid w:val="00932EA5"/>
    <w:rsid w:val="0093301F"/>
    <w:rsid w:val="009331D4"/>
    <w:rsid w:val="00933259"/>
    <w:rsid w:val="00933443"/>
    <w:rsid w:val="0093359D"/>
    <w:rsid w:val="009335A8"/>
    <w:rsid w:val="009336BA"/>
    <w:rsid w:val="00933736"/>
    <w:rsid w:val="00933C7E"/>
    <w:rsid w:val="00933DD9"/>
    <w:rsid w:val="00933EBC"/>
    <w:rsid w:val="00933ECA"/>
    <w:rsid w:val="00934265"/>
    <w:rsid w:val="0093431A"/>
    <w:rsid w:val="009344A6"/>
    <w:rsid w:val="00934795"/>
    <w:rsid w:val="00934A08"/>
    <w:rsid w:val="00934B9F"/>
    <w:rsid w:val="00934BDE"/>
    <w:rsid w:val="009352C3"/>
    <w:rsid w:val="0093534B"/>
    <w:rsid w:val="0093536D"/>
    <w:rsid w:val="009357E5"/>
    <w:rsid w:val="0093599A"/>
    <w:rsid w:val="00935B4D"/>
    <w:rsid w:val="00935C72"/>
    <w:rsid w:val="00935CAB"/>
    <w:rsid w:val="00935DAE"/>
    <w:rsid w:val="00935DCD"/>
    <w:rsid w:val="00935FA1"/>
    <w:rsid w:val="0093609A"/>
    <w:rsid w:val="0093612A"/>
    <w:rsid w:val="00936280"/>
    <w:rsid w:val="00936343"/>
    <w:rsid w:val="009364ED"/>
    <w:rsid w:val="009367EF"/>
    <w:rsid w:val="00936C7A"/>
    <w:rsid w:val="00936D13"/>
    <w:rsid w:val="00936DC4"/>
    <w:rsid w:val="00936DD4"/>
    <w:rsid w:val="00936E58"/>
    <w:rsid w:val="00936EC4"/>
    <w:rsid w:val="00936EF4"/>
    <w:rsid w:val="00937112"/>
    <w:rsid w:val="009375FC"/>
    <w:rsid w:val="009376A3"/>
    <w:rsid w:val="00937766"/>
    <w:rsid w:val="00937960"/>
    <w:rsid w:val="009379A8"/>
    <w:rsid w:val="00937A73"/>
    <w:rsid w:val="00937D0A"/>
    <w:rsid w:val="00937ED8"/>
    <w:rsid w:val="00940010"/>
    <w:rsid w:val="0094012D"/>
    <w:rsid w:val="009403E7"/>
    <w:rsid w:val="009405E1"/>
    <w:rsid w:val="009406CD"/>
    <w:rsid w:val="009408DF"/>
    <w:rsid w:val="009409D7"/>
    <w:rsid w:val="00940CC8"/>
    <w:rsid w:val="00940EFB"/>
    <w:rsid w:val="00941020"/>
    <w:rsid w:val="00941026"/>
    <w:rsid w:val="00941189"/>
    <w:rsid w:val="0094159C"/>
    <w:rsid w:val="009415AF"/>
    <w:rsid w:val="009418F3"/>
    <w:rsid w:val="00941CD6"/>
    <w:rsid w:val="00941DA4"/>
    <w:rsid w:val="00941DEB"/>
    <w:rsid w:val="00941F41"/>
    <w:rsid w:val="00941FAE"/>
    <w:rsid w:val="00942155"/>
    <w:rsid w:val="0094248D"/>
    <w:rsid w:val="00942870"/>
    <w:rsid w:val="00942933"/>
    <w:rsid w:val="00942C18"/>
    <w:rsid w:val="00942D4E"/>
    <w:rsid w:val="00942DA2"/>
    <w:rsid w:val="00943055"/>
    <w:rsid w:val="00943390"/>
    <w:rsid w:val="00943438"/>
    <w:rsid w:val="00943468"/>
    <w:rsid w:val="0094369A"/>
    <w:rsid w:val="009436D3"/>
    <w:rsid w:val="0094372A"/>
    <w:rsid w:val="00943798"/>
    <w:rsid w:val="00943939"/>
    <w:rsid w:val="00943A8D"/>
    <w:rsid w:val="00943AA6"/>
    <w:rsid w:val="00943CF0"/>
    <w:rsid w:val="0094400D"/>
    <w:rsid w:val="00944026"/>
    <w:rsid w:val="009440AA"/>
    <w:rsid w:val="00944128"/>
    <w:rsid w:val="009443E6"/>
    <w:rsid w:val="00944586"/>
    <w:rsid w:val="009449C8"/>
    <w:rsid w:val="009449F9"/>
    <w:rsid w:val="00944CFE"/>
    <w:rsid w:val="00944D57"/>
    <w:rsid w:val="00944DAD"/>
    <w:rsid w:val="009451AF"/>
    <w:rsid w:val="00945362"/>
    <w:rsid w:val="009456B6"/>
    <w:rsid w:val="00945C52"/>
    <w:rsid w:val="00945CC1"/>
    <w:rsid w:val="00945DC2"/>
    <w:rsid w:val="00945DF3"/>
    <w:rsid w:val="00946023"/>
    <w:rsid w:val="00946034"/>
    <w:rsid w:val="009462D7"/>
    <w:rsid w:val="00946334"/>
    <w:rsid w:val="0094648D"/>
    <w:rsid w:val="0094656D"/>
    <w:rsid w:val="00946A84"/>
    <w:rsid w:val="00946BEB"/>
    <w:rsid w:val="00946EB9"/>
    <w:rsid w:val="009470F1"/>
    <w:rsid w:val="0094730B"/>
    <w:rsid w:val="0094732F"/>
    <w:rsid w:val="00947448"/>
    <w:rsid w:val="00947647"/>
    <w:rsid w:val="009476FB"/>
    <w:rsid w:val="0094777C"/>
    <w:rsid w:val="00947AD3"/>
    <w:rsid w:val="00947BD8"/>
    <w:rsid w:val="00950051"/>
    <w:rsid w:val="0095008F"/>
    <w:rsid w:val="00950216"/>
    <w:rsid w:val="0095034D"/>
    <w:rsid w:val="00950763"/>
    <w:rsid w:val="00950AF7"/>
    <w:rsid w:val="00950B0B"/>
    <w:rsid w:val="00950D3D"/>
    <w:rsid w:val="00950D92"/>
    <w:rsid w:val="00950F1A"/>
    <w:rsid w:val="00951303"/>
    <w:rsid w:val="00951356"/>
    <w:rsid w:val="009514C5"/>
    <w:rsid w:val="00951AD8"/>
    <w:rsid w:val="00951B3F"/>
    <w:rsid w:val="00951D3E"/>
    <w:rsid w:val="00951D42"/>
    <w:rsid w:val="00951E57"/>
    <w:rsid w:val="00951FCF"/>
    <w:rsid w:val="00952219"/>
    <w:rsid w:val="00952498"/>
    <w:rsid w:val="00952537"/>
    <w:rsid w:val="009525DB"/>
    <w:rsid w:val="009526F6"/>
    <w:rsid w:val="009529AD"/>
    <w:rsid w:val="00952A46"/>
    <w:rsid w:val="00952DD3"/>
    <w:rsid w:val="00952FFD"/>
    <w:rsid w:val="00953018"/>
    <w:rsid w:val="00953643"/>
    <w:rsid w:val="00953811"/>
    <w:rsid w:val="00953C99"/>
    <w:rsid w:val="00953E24"/>
    <w:rsid w:val="00953F0F"/>
    <w:rsid w:val="00953F42"/>
    <w:rsid w:val="00954030"/>
    <w:rsid w:val="00954183"/>
    <w:rsid w:val="009541F1"/>
    <w:rsid w:val="00954290"/>
    <w:rsid w:val="009542F9"/>
    <w:rsid w:val="009546BE"/>
    <w:rsid w:val="00954AA8"/>
    <w:rsid w:val="00954D23"/>
    <w:rsid w:val="00954DF9"/>
    <w:rsid w:val="00954EF6"/>
    <w:rsid w:val="00955093"/>
    <w:rsid w:val="009552BC"/>
    <w:rsid w:val="00955496"/>
    <w:rsid w:val="00955637"/>
    <w:rsid w:val="009556A2"/>
    <w:rsid w:val="00955727"/>
    <w:rsid w:val="00955901"/>
    <w:rsid w:val="00955AF1"/>
    <w:rsid w:val="00955E98"/>
    <w:rsid w:val="00955EA8"/>
    <w:rsid w:val="00956910"/>
    <w:rsid w:val="009569DE"/>
    <w:rsid w:val="009569F6"/>
    <w:rsid w:val="00956A63"/>
    <w:rsid w:val="00956ADE"/>
    <w:rsid w:val="00956CBA"/>
    <w:rsid w:val="00956D26"/>
    <w:rsid w:val="00956EB9"/>
    <w:rsid w:val="009570FE"/>
    <w:rsid w:val="009571FA"/>
    <w:rsid w:val="009576DC"/>
    <w:rsid w:val="00957825"/>
    <w:rsid w:val="00957B54"/>
    <w:rsid w:val="00957B7C"/>
    <w:rsid w:val="00957BA5"/>
    <w:rsid w:val="00957C20"/>
    <w:rsid w:val="00957E95"/>
    <w:rsid w:val="0096000D"/>
    <w:rsid w:val="00960013"/>
    <w:rsid w:val="0096008D"/>
    <w:rsid w:val="009600A9"/>
    <w:rsid w:val="00960197"/>
    <w:rsid w:val="00960596"/>
    <w:rsid w:val="00960B7C"/>
    <w:rsid w:val="00960C06"/>
    <w:rsid w:val="00960C79"/>
    <w:rsid w:val="00960DC6"/>
    <w:rsid w:val="00960DCF"/>
    <w:rsid w:val="00960DD6"/>
    <w:rsid w:val="00960E48"/>
    <w:rsid w:val="009613FA"/>
    <w:rsid w:val="009614F6"/>
    <w:rsid w:val="0096160A"/>
    <w:rsid w:val="00961ADA"/>
    <w:rsid w:val="00961B07"/>
    <w:rsid w:val="00961BD3"/>
    <w:rsid w:val="00961BF8"/>
    <w:rsid w:val="00961ED4"/>
    <w:rsid w:val="00961EEE"/>
    <w:rsid w:val="00961F85"/>
    <w:rsid w:val="00962238"/>
    <w:rsid w:val="00962375"/>
    <w:rsid w:val="009623E8"/>
    <w:rsid w:val="0096255F"/>
    <w:rsid w:val="009625D7"/>
    <w:rsid w:val="00962D28"/>
    <w:rsid w:val="00962E8F"/>
    <w:rsid w:val="00963099"/>
    <w:rsid w:val="009630DA"/>
    <w:rsid w:val="00963134"/>
    <w:rsid w:val="009632EB"/>
    <w:rsid w:val="00963583"/>
    <w:rsid w:val="009637E8"/>
    <w:rsid w:val="009637F6"/>
    <w:rsid w:val="00963848"/>
    <w:rsid w:val="00963969"/>
    <w:rsid w:val="00963C57"/>
    <w:rsid w:val="00963C72"/>
    <w:rsid w:val="00963E61"/>
    <w:rsid w:val="00964040"/>
    <w:rsid w:val="00964153"/>
    <w:rsid w:val="00964267"/>
    <w:rsid w:val="00964327"/>
    <w:rsid w:val="00964A67"/>
    <w:rsid w:val="00965156"/>
    <w:rsid w:val="009653AD"/>
    <w:rsid w:val="009654D4"/>
    <w:rsid w:val="0096566D"/>
    <w:rsid w:val="009656F8"/>
    <w:rsid w:val="0096578F"/>
    <w:rsid w:val="00965890"/>
    <w:rsid w:val="00965A9E"/>
    <w:rsid w:val="00965F4E"/>
    <w:rsid w:val="00965F73"/>
    <w:rsid w:val="009663A9"/>
    <w:rsid w:val="00966501"/>
    <w:rsid w:val="0096664B"/>
    <w:rsid w:val="0096675C"/>
    <w:rsid w:val="00966914"/>
    <w:rsid w:val="00966973"/>
    <w:rsid w:val="00966B16"/>
    <w:rsid w:val="00966B97"/>
    <w:rsid w:val="00966B9C"/>
    <w:rsid w:val="00966C92"/>
    <w:rsid w:val="00966F14"/>
    <w:rsid w:val="009670F8"/>
    <w:rsid w:val="00967178"/>
    <w:rsid w:val="009674E0"/>
    <w:rsid w:val="00967799"/>
    <w:rsid w:val="00967ACB"/>
    <w:rsid w:val="00967ADE"/>
    <w:rsid w:val="00967C71"/>
    <w:rsid w:val="00967F87"/>
    <w:rsid w:val="00970105"/>
    <w:rsid w:val="00970171"/>
    <w:rsid w:val="009702EC"/>
    <w:rsid w:val="00970507"/>
    <w:rsid w:val="0097052B"/>
    <w:rsid w:val="009707B5"/>
    <w:rsid w:val="009708D4"/>
    <w:rsid w:val="009708E2"/>
    <w:rsid w:val="00970AA2"/>
    <w:rsid w:val="00970B85"/>
    <w:rsid w:val="00970C05"/>
    <w:rsid w:val="00970F9B"/>
    <w:rsid w:val="00971269"/>
    <w:rsid w:val="00971337"/>
    <w:rsid w:val="0097139F"/>
    <w:rsid w:val="009713DE"/>
    <w:rsid w:val="00971521"/>
    <w:rsid w:val="00971619"/>
    <w:rsid w:val="0097171E"/>
    <w:rsid w:val="00971774"/>
    <w:rsid w:val="00971A2A"/>
    <w:rsid w:val="00971C96"/>
    <w:rsid w:val="00971CF0"/>
    <w:rsid w:val="00971D0F"/>
    <w:rsid w:val="00971E43"/>
    <w:rsid w:val="00971E54"/>
    <w:rsid w:val="00971F77"/>
    <w:rsid w:val="0097217E"/>
    <w:rsid w:val="009721D6"/>
    <w:rsid w:val="0097232D"/>
    <w:rsid w:val="0097233A"/>
    <w:rsid w:val="0097239F"/>
    <w:rsid w:val="009728BA"/>
    <w:rsid w:val="009728DE"/>
    <w:rsid w:val="00972912"/>
    <w:rsid w:val="00972AA1"/>
    <w:rsid w:val="00972BBD"/>
    <w:rsid w:val="00972C97"/>
    <w:rsid w:val="00972CE6"/>
    <w:rsid w:val="00972E0C"/>
    <w:rsid w:val="0097319E"/>
    <w:rsid w:val="00973234"/>
    <w:rsid w:val="009734C1"/>
    <w:rsid w:val="0097388B"/>
    <w:rsid w:val="009738BB"/>
    <w:rsid w:val="00973E41"/>
    <w:rsid w:val="00973F52"/>
    <w:rsid w:val="00973FA9"/>
    <w:rsid w:val="0097417F"/>
    <w:rsid w:val="00974251"/>
    <w:rsid w:val="0097460C"/>
    <w:rsid w:val="0097495E"/>
    <w:rsid w:val="00974B35"/>
    <w:rsid w:val="00974D56"/>
    <w:rsid w:val="00975297"/>
    <w:rsid w:val="009753FD"/>
    <w:rsid w:val="009754E0"/>
    <w:rsid w:val="009757F9"/>
    <w:rsid w:val="009759AA"/>
    <w:rsid w:val="009761F2"/>
    <w:rsid w:val="009762A6"/>
    <w:rsid w:val="00976379"/>
    <w:rsid w:val="0097651C"/>
    <w:rsid w:val="00976568"/>
    <w:rsid w:val="009765C7"/>
    <w:rsid w:val="00976AE6"/>
    <w:rsid w:val="00976C27"/>
    <w:rsid w:val="00976FA7"/>
    <w:rsid w:val="009770AD"/>
    <w:rsid w:val="00977114"/>
    <w:rsid w:val="009773A6"/>
    <w:rsid w:val="009775B7"/>
    <w:rsid w:val="009776D4"/>
    <w:rsid w:val="00977772"/>
    <w:rsid w:val="00977847"/>
    <w:rsid w:val="009779D1"/>
    <w:rsid w:val="0098012A"/>
    <w:rsid w:val="00980170"/>
    <w:rsid w:val="00980176"/>
    <w:rsid w:val="00980227"/>
    <w:rsid w:val="009803CD"/>
    <w:rsid w:val="009808E0"/>
    <w:rsid w:val="00980959"/>
    <w:rsid w:val="00980ADC"/>
    <w:rsid w:val="00980CEA"/>
    <w:rsid w:val="00980D35"/>
    <w:rsid w:val="00981003"/>
    <w:rsid w:val="00981188"/>
    <w:rsid w:val="009811F1"/>
    <w:rsid w:val="00981770"/>
    <w:rsid w:val="009818C1"/>
    <w:rsid w:val="00981C2F"/>
    <w:rsid w:val="00981DAA"/>
    <w:rsid w:val="00981E14"/>
    <w:rsid w:val="00981F6B"/>
    <w:rsid w:val="00982086"/>
    <w:rsid w:val="00982380"/>
    <w:rsid w:val="0098242D"/>
    <w:rsid w:val="00982600"/>
    <w:rsid w:val="00982830"/>
    <w:rsid w:val="00982960"/>
    <w:rsid w:val="00982990"/>
    <w:rsid w:val="00982A28"/>
    <w:rsid w:val="00982BF3"/>
    <w:rsid w:val="00983132"/>
    <w:rsid w:val="00983197"/>
    <w:rsid w:val="009832FC"/>
    <w:rsid w:val="0098340D"/>
    <w:rsid w:val="00983560"/>
    <w:rsid w:val="009836D0"/>
    <w:rsid w:val="0098397B"/>
    <w:rsid w:val="009839BA"/>
    <w:rsid w:val="00983A23"/>
    <w:rsid w:val="00983A32"/>
    <w:rsid w:val="00983ABA"/>
    <w:rsid w:val="00983AC3"/>
    <w:rsid w:val="00983B0D"/>
    <w:rsid w:val="00983E12"/>
    <w:rsid w:val="00983E7B"/>
    <w:rsid w:val="009840B2"/>
    <w:rsid w:val="00984186"/>
    <w:rsid w:val="00984246"/>
    <w:rsid w:val="0098430C"/>
    <w:rsid w:val="00984342"/>
    <w:rsid w:val="00984405"/>
    <w:rsid w:val="0098445A"/>
    <w:rsid w:val="00984678"/>
    <w:rsid w:val="00984692"/>
    <w:rsid w:val="00984798"/>
    <w:rsid w:val="00984845"/>
    <w:rsid w:val="0098485B"/>
    <w:rsid w:val="009849AA"/>
    <w:rsid w:val="00984AB1"/>
    <w:rsid w:val="00984BEA"/>
    <w:rsid w:val="00984DBF"/>
    <w:rsid w:val="00984F0D"/>
    <w:rsid w:val="009851FC"/>
    <w:rsid w:val="00985215"/>
    <w:rsid w:val="0098524A"/>
    <w:rsid w:val="00985303"/>
    <w:rsid w:val="009853A2"/>
    <w:rsid w:val="00985502"/>
    <w:rsid w:val="00985734"/>
    <w:rsid w:val="00985816"/>
    <w:rsid w:val="00985880"/>
    <w:rsid w:val="00985BA3"/>
    <w:rsid w:val="00985F9A"/>
    <w:rsid w:val="00986012"/>
    <w:rsid w:val="00986345"/>
    <w:rsid w:val="009865F5"/>
    <w:rsid w:val="00986A3B"/>
    <w:rsid w:val="00986A4A"/>
    <w:rsid w:val="00986B46"/>
    <w:rsid w:val="00986E79"/>
    <w:rsid w:val="009870AD"/>
    <w:rsid w:val="009870E2"/>
    <w:rsid w:val="009872E6"/>
    <w:rsid w:val="009878EE"/>
    <w:rsid w:val="009879CC"/>
    <w:rsid w:val="00987AC5"/>
    <w:rsid w:val="00987B1D"/>
    <w:rsid w:val="00987B4B"/>
    <w:rsid w:val="00987CB9"/>
    <w:rsid w:val="00990156"/>
    <w:rsid w:val="009904F8"/>
    <w:rsid w:val="0099065C"/>
    <w:rsid w:val="00990812"/>
    <w:rsid w:val="009908C6"/>
    <w:rsid w:val="00990AA3"/>
    <w:rsid w:val="00990B87"/>
    <w:rsid w:val="00990BFB"/>
    <w:rsid w:val="00990D75"/>
    <w:rsid w:val="00990E85"/>
    <w:rsid w:val="00991012"/>
    <w:rsid w:val="00991034"/>
    <w:rsid w:val="009910D5"/>
    <w:rsid w:val="0099124C"/>
    <w:rsid w:val="00991819"/>
    <w:rsid w:val="0099181E"/>
    <w:rsid w:val="0099188F"/>
    <w:rsid w:val="009919E2"/>
    <w:rsid w:val="00991A6F"/>
    <w:rsid w:val="00991E82"/>
    <w:rsid w:val="00991F3E"/>
    <w:rsid w:val="00992018"/>
    <w:rsid w:val="0099202C"/>
    <w:rsid w:val="009921B8"/>
    <w:rsid w:val="009926EA"/>
    <w:rsid w:val="00992836"/>
    <w:rsid w:val="00992871"/>
    <w:rsid w:val="009929DC"/>
    <w:rsid w:val="00992ADD"/>
    <w:rsid w:val="00992C73"/>
    <w:rsid w:val="00992E4D"/>
    <w:rsid w:val="00992EB8"/>
    <w:rsid w:val="00992EDC"/>
    <w:rsid w:val="00992F2D"/>
    <w:rsid w:val="00993052"/>
    <w:rsid w:val="00993557"/>
    <w:rsid w:val="0099366B"/>
    <w:rsid w:val="00993732"/>
    <w:rsid w:val="009937CC"/>
    <w:rsid w:val="00993D34"/>
    <w:rsid w:val="00994017"/>
    <w:rsid w:val="009943C3"/>
    <w:rsid w:val="00994451"/>
    <w:rsid w:val="009947B8"/>
    <w:rsid w:val="009947FD"/>
    <w:rsid w:val="0099488D"/>
    <w:rsid w:val="00994EC1"/>
    <w:rsid w:val="00994EC4"/>
    <w:rsid w:val="00995141"/>
    <w:rsid w:val="009953F7"/>
    <w:rsid w:val="00995782"/>
    <w:rsid w:val="009957BD"/>
    <w:rsid w:val="00995C22"/>
    <w:rsid w:val="00995C90"/>
    <w:rsid w:val="00995D80"/>
    <w:rsid w:val="00995DF7"/>
    <w:rsid w:val="009961D1"/>
    <w:rsid w:val="009965AF"/>
    <w:rsid w:val="00996742"/>
    <w:rsid w:val="009967D0"/>
    <w:rsid w:val="009968C2"/>
    <w:rsid w:val="009969A3"/>
    <w:rsid w:val="00996A53"/>
    <w:rsid w:val="00996A55"/>
    <w:rsid w:val="00996A7D"/>
    <w:rsid w:val="00996AB2"/>
    <w:rsid w:val="00996B7E"/>
    <w:rsid w:val="00996C6C"/>
    <w:rsid w:val="00996CF6"/>
    <w:rsid w:val="00996D33"/>
    <w:rsid w:val="00996E96"/>
    <w:rsid w:val="00996F1B"/>
    <w:rsid w:val="00996F7D"/>
    <w:rsid w:val="00997124"/>
    <w:rsid w:val="00997838"/>
    <w:rsid w:val="00997B73"/>
    <w:rsid w:val="009A00A3"/>
    <w:rsid w:val="009A0364"/>
    <w:rsid w:val="009A052E"/>
    <w:rsid w:val="009A08A3"/>
    <w:rsid w:val="009A0BEE"/>
    <w:rsid w:val="009A0C82"/>
    <w:rsid w:val="009A0D98"/>
    <w:rsid w:val="009A0FB2"/>
    <w:rsid w:val="009A0FC5"/>
    <w:rsid w:val="009A143C"/>
    <w:rsid w:val="009A160B"/>
    <w:rsid w:val="009A1677"/>
    <w:rsid w:val="009A197D"/>
    <w:rsid w:val="009A1AD0"/>
    <w:rsid w:val="009A1DE5"/>
    <w:rsid w:val="009A1DE7"/>
    <w:rsid w:val="009A1F2C"/>
    <w:rsid w:val="009A1F4F"/>
    <w:rsid w:val="009A2066"/>
    <w:rsid w:val="009A21CB"/>
    <w:rsid w:val="009A2236"/>
    <w:rsid w:val="009A252F"/>
    <w:rsid w:val="009A2584"/>
    <w:rsid w:val="009A2681"/>
    <w:rsid w:val="009A27F5"/>
    <w:rsid w:val="009A2855"/>
    <w:rsid w:val="009A2A15"/>
    <w:rsid w:val="009A2CE2"/>
    <w:rsid w:val="009A2DE2"/>
    <w:rsid w:val="009A2EC0"/>
    <w:rsid w:val="009A30C2"/>
    <w:rsid w:val="009A32FD"/>
    <w:rsid w:val="009A33CF"/>
    <w:rsid w:val="009A36B1"/>
    <w:rsid w:val="009A37AA"/>
    <w:rsid w:val="009A3857"/>
    <w:rsid w:val="009A3982"/>
    <w:rsid w:val="009A3AC1"/>
    <w:rsid w:val="009A3BD4"/>
    <w:rsid w:val="009A3BD6"/>
    <w:rsid w:val="009A3DDD"/>
    <w:rsid w:val="009A3ED2"/>
    <w:rsid w:val="009A4111"/>
    <w:rsid w:val="009A4762"/>
    <w:rsid w:val="009A47B0"/>
    <w:rsid w:val="009A4949"/>
    <w:rsid w:val="009A49FD"/>
    <w:rsid w:val="009A4A88"/>
    <w:rsid w:val="009A4BB7"/>
    <w:rsid w:val="009A50AA"/>
    <w:rsid w:val="009A5180"/>
    <w:rsid w:val="009A543C"/>
    <w:rsid w:val="009A54F2"/>
    <w:rsid w:val="009A5681"/>
    <w:rsid w:val="009A56AC"/>
    <w:rsid w:val="009A56C9"/>
    <w:rsid w:val="009A5799"/>
    <w:rsid w:val="009A579E"/>
    <w:rsid w:val="009A5872"/>
    <w:rsid w:val="009A5A16"/>
    <w:rsid w:val="009A658D"/>
    <w:rsid w:val="009A65FC"/>
    <w:rsid w:val="009A6863"/>
    <w:rsid w:val="009A6EA3"/>
    <w:rsid w:val="009A6F0D"/>
    <w:rsid w:val="009A70A8"/>
    <w:rsid w:val="009A714F"/>
    <w:rsid w:val="009A73A1"/>
    <w:rsid w:val="009A7649"/>
    <w:rsid w:val="009A79BF"/>
    <w:rsid w:val="009A7A82"/>
    <w:rsid w:val="009A7ADB"/>
    <w:rsid w:val="009A7F06"/>
    <w:rsid w:val="009B0150"/>
    <w:rsid w:val="009B0294"/>
    <w:rsid w:val="009B0359"/>
    <w:rsid w:val="009B03DC"/>
    <w:rsid w:val="009B06B4"/>
    <w:rsid w:val="009B0992"/>
    <w:rsid w:val="009B0A38"/>
    <w:rsid w:val="009B0C7B"/>
    <w:rsid w:val="009B0E37"/>
    <w:rsid w:val="009B0F41"/>
    <w:rsid w:val="009B0F52"/>
    <w:rsid w:val="009B12AD"/>
    <w:rsid w:val="009B12AF"/>
    <w:rsid w:val="009B144E"/>
    <w:rsid w:val="009B164C"/>
    <w:rsid w:val="009B187D"/>
    <w:rsid w:val="009B1FFA"/>
    <w:rsid w:val="009B214E"/>
    <w:rsid w:val="009B26EF"/>
    <w:rsid w:val="009B292D"/>
    <w:rsid w:val="009B29FD"/>
    <w:rsid w:val="009B2A55"/>
    <w:rsid w:val="009B2ED2"/>
    <w:rsid w:val="009B2F08"/>
    <w:rsid w:val="009B31F3"/>
    <w:rsid w:val="009B3442"/>
    <w:rsid w:val="009B34C4"/>
    <w:rsid w:val="009B3509"/>
    <w:rsid w:val="009B36E9"/>
    <w:rsid w:val="009B3AE1"/>
    <w:rsid w:val="009B3B70"/>
    <w:rsid w:val="009B3BDB"/>
    <w:rsid w:val="009B3E2C"/>
    <w:rsid w:val="009B3F92"/>
    <w:rsid w:val="009B4024"/>
    <w:rsid w:val="009B423E"/>
    <w:rsid w:val="009B4286"/>
    <w:rsid w:val="009B47C5"/>
    <w:rsid w:val="009B47CE"/>
    <w:rsid w:val="009B47E5"/>
    <w:rsid w:val="009B49E3"/>
    <w:rsid w:val="009B4A8E"/>
    <w:rsid w:val="009B4CC6"/>
    <w:rsid w:val="009B4F76"/>
    <w:rsid w:val="009B53F3"/>
    <w:rsid w:val="009B557F"/>
    <w:rsid w:val="009B558C"/>
    <w:rsid w:val="009B5597"/>
    <w:rsid w:val="009B56C7"/>
    <w:rsid w:val="009B57D8"/>
    <w:rsid w:val="009B5887"/>
    <w:rsid w:val="009B5943"/>
    <w:rsid w:val="009B5993"/>
    <w:rsid w:val="009B5A11"/>
    <w:rsid w:val="009B5C51"/>
    <w:rsid w:val="009B5F43"/>
    <w:rsid w:val="009B6033"/>
    <w:rsid w:val="009B6060"/>
    <w:rsid w:val="009B64DC"/>
    <w:rsid w:val="009B6882"/>
    <w:rsid w:val="009B699A"/>
    <w:rsid w:val="009B69CE"/>
    <w:rsid w:val="009B69DE"/>
    <w:rsid w:val="009B6AE2"/>
    <w:rsid w:val="009B6B84"/>
    <w:rsid w:val="009B6BE0"/>
    <w:rsid w:val="009B6C58"/>
    <w:rsid w:val="009B6D7E"/>
    <w:rsid w:val="009B7111"/>
    <w:rsid w:val="009B7408"/>
    <w:rsid w:val="009B7470"/>
    <w:rsid w:val="009B7557"/>
    <w:rsid w:val="009B79CE"/>
    <w:rsid w:val="009B7A6F"/>
    <w:rsid w:val="009B7AE0"/>
    <w:rsid w:val="009B7AE8"/>
    <w:rsid w:val="009B7B4B"/>
    <w:rsid w:val="009C002C"/>
    <w:rsid w:val="009C0307"/>
    <w:rsid w:val="009C033A"/>
    <w:rsid w:val="009C048E"/>
    <w:rsid w:val="009C0671"/>
    <w:rsid w:val="009C0681"/>
    <w:rsid w:val="009C0691"/>
    <w:rsid w:val="009C097B"/>
    <w:rsid w:val="009C099E"/>
    <w:rsid w:val="009C09AD"/>
    <w:rsid w:val="009C09E9"/>
    <w:rsid w:val="009C09EF"/>
    <w:rsid w:val="009C0AB2"/>
    <w:rsid w:val="009C0AD8"/>
    <w:rsid w:val="009C0AF0"/>
    <w:rsid w:val="009C0C48"/>
    <w:rsid w:val="009C0CAB"/>
    <w:rsid w:val="009C0CEA"/>
    <w:rsid w:val="009C0D22"/>
    <w:rsid w:val="009C0E37"/>
    <w:rsid w:val="009C0ED8"/>
    <w:rsid w:val="009C11F0"/>
    <w:rsid w:val="009C1298"/>
    <w:rsid w:val="009C14FB"/>
    <w:rsid w:val="009C163F"/>
    <w:rsid w:val="009C164D"/>
    <w:rsid w:val="009C1A85"/>
    <w:rsid w:val="009C1A95"/>
    <w:rsid w:val="009C1AEB"/>
    <w:rsid w:val="009C1BE8"/>
    <w:rsid w:val="009C1E16"/>
    <w:rsid w:val="009C2065"/>
    <w:rsid w:val="009C216E"/>
    <w:rsid w:val="009C2197"/>
    <w:rsid w:val="009C21B3"/>
    <w:rsid w:val="009C222E"/>
    <w:rsid w:val="009C2586"/>
    <w:rsid w:val="009C25A7"/>
    <w:rsid w:val="009C26AF"/>
    <w:rsid w:val="009C26BE"/>
    <w:rsid w:val="009C26F4"/>
    <w:rsid w:val="009C2734"/>
    <w:rsid w:val="009C2747"/>
    <w:rsid w:val="009C2BE5"/>
    <w:rsid w:val="009C2F0A"/>
    <w:rsid w:val="009C2F84"/>
    <w:rsid w:val="009C2FEA"/>
    <w:rsid w:val="009C30B3"/>
    <w:rsid w:val="009C381E"/>
    <w:rsid w:val="009C38FA"/>
    <w:rsid w:val="009C3A28"/>
    <w:rsid w:val="009C3A94"/>
    <w:rsid w:val="009C3AC3"/>
    <w:rsid w:val="009C3AFD"/>
    <w:rsid w:val="009C3C69"/>
    <w:rsid w:val="009C3C8E"/>
    <w:rsid w:val="009C3E83"/>
    <w:rsid w:val="009C3F98"/>
    <w:rsid w:val="009C3FA4"/>
    <w:rsid w:val="009C4088"/>
    <w:rsid w:val="009C40A1"/>
    <w:rsid w:val="009C4180"/>
    <w:rsid w:val="009C452D"/>
    <w:rsid w:val="009C455C"/>
    <w:rsid w:val="009C4671"/>
    <w:rsid w:val="009C4794"/>
    <w:rsid w:val="009C4A23"/>
    <w:rsid w:val="009C4F92"/>
    <w:rsid w:val="009C4FF2"/>
    <w:rsid w:val="009C50E4"/>
    <w:rsid w:val="009C53E3"/>
    <w:rsid w:val="009C54BD"/>
    <w:rsid w:val="009C5596"/>
    <w:rsid w:val="009C5675"/>
    <w:rsid w:val="009C56F5"/>
    <w:rsid w:val="009C5739"/>
    <w:rsid w:val="009C58BB"/>
    <w:rsid w:val="009C58D1"/>
    <w:rsid w:val="009C592B"/>
    <w:rsid w:val="009C5A80"/>
    <w:rsid w:val="009C5A91"/>
    <w:rsid w:val="009C5C30"/>
    <w:rsid w:val="009C5ED9"/>
    <w:rsid w:val="009C5EDF"/>
    <w:rsid w:val="009C5FF9"/>
    <w:rsid w:val="009C62EF"/>
    <w:rsid w:val="009C62FE"/>
    <w:rsid w:val="009C634C"/>
    <w:rsid w:val="009C6635"/>
    <w:rsid w:val="009C663E"/>
    <w:rsid w:val="009C674C"/>
    <w:rsid w:val="009C6D97"/>
    <w:rsid w:val="009C6FBB"/>
    <w:rsid w:val="009C7032"/>
    <w:rsid w:val="009C7077"/>
    <w:rsid w:val="009C714C"/>
    <w:rsid w:val="009C746D"/>
    <w:rsid w:val="009C74A2"/>
    <w:rsid w:val="009C777F"/>
    <w:rsid w:val="009C7A40"/>
    <w:rsid w:val="009C7A82"/>
    <w:rsid w:val="009C7CFE"/>
    <w:rsid w:val="009D021F"/>
    <w:rsid w:val="009D05B4"/>
    <w:rsid w:val="009D0624"/>
    <w:rsid w:val="009D06A6"/>
    <w:rsid w:val="009D074B"/>
    <w:rsid w:val="009D07D2"/>
    <w:rsid w:val="009D0D61"/>
    <w:rsid w:val="009D0FC3"/>
    <w:rsid w:val="009D101C"/>
    <w:rsid w:val="009D112C"/>
    <w:rsid w:val="009D11F9"/>
    <w:rsid w:val="009D15D9"/>
    <w:rsid w:val="009D1680"/>
    <w:rsid w:val="009D171E"/>
    <w:rsid w:val="009D1A59"/>
    <w:rsid w:val="009D1D5E"/>
    <w:rsid w:val="009D1D92"/>
    <w:rsid w:val="009D1E0C"/>
    <w:rsid w:val="009D208A"/>
    <w:rsid w:val="009D2180"/>
    <w:rsid w:val="009D220A"/>
    <w:rsid w:val="009D2436"/>
    <w:rsid w:val="009D2521"/>
    <w:rsid w:val="009D2916"/>
    <w:rsid w:val="009D2C9C"/>
    <w:rsid w:val="009D2CA5"/>
    <w:rsid w:val="009D2ED5"/>
    <w:rsid w:val="009D2ED9"/>
    <w:rsid w:val="009D35B5"/>
    <w:rsid w:val="009D362F"/>
    <w:rsid w:val="009D3675"/>
    <w:rsid w:val="009D3988"/>
    <w:rsid w:val="009D3AD2"/>
    <w:rsid w:val="009D3B82"/>
    <w:rsid w:val="009D3BFC"/>
    <w:rsid w:val="009D3DD7"/>
    <w:rsid w:val="009D404B"/>
    <w:rsid w:val="009D408A"/>
    <w:rsid w:val="009D4388"/>
    <w:rsid w:val="009D4595"/>
    <w:rsid w:val="009D4917"/>
    <w:rsid w:val="009D4DFB"/>
    <w:rsid w:val="009D504B"/>
    <w:rsid w:val="009D505E"/>
    <w:rsid w:val="009D50AD"/>
    <w:rsid w:val="009D523C"/>
    <w:rsid w:val="009D526B"/>
    <w:rsid w:val="009D52DB"/>
    <w:rsid w:val="009D53EE"/>
    <w:rsid w:val="009D5776"/>
    <w:rsid w:val="009D58C1"/>
    <w:rsid w:val="009D5B1F"/>
    <w:rsid w:val="009D5E39"/>
    <w:rsid w:val="009D5FAA"/>
    <w:rsid w:val="009D5FC3"/>
    <w:rsid w:val="009D6156"/>
    <w:rsid w:val="009D6264"/>
    <w:rsid w:val="009D65F0"/>
    <w:rsid w:val="009D6637"/>
    <w:rsid w:val="009D67DA"/>
    <w:rsid w:val="009D6909"/>
    <w:rsid w:val="009D6912"/>
    <w:rsid w:val="009D691F"/>
    <w:rsid w:val="009D693C"/>
    <w:rsid w:val="009D693E"/>
    <w:rsid w:val="009D6ABB"/>
    <w:rsid w:val="009D6C31"/>
    <w:rsid w:val="009D6D04"/>
    <w:rsid w:val="009D6D9E"/>
    <w:rsid w:val="009D6DC5"/>
    <w:rsid w:val="009D6DF1"/>
    <w:rsid w:val="009D6FAD"/>
    <w:rsid w:val="009D6FDA"/>
    <w:rsid w:val="009D7014"/>
    <w:rsid w:val="009D705B"/>
    <w:rsid w:val="009D732B"/>
    <w:rsid w:val="009D783C"/>
    <w:rsid w:val="009D7A72"/>
    <w:rsid w:val="009D7D18"/>
    <w:rsid w:val="009D7E3C"/>
    <w:rsid w:val="009D7F96"/>
    <w:rsid w:val="009E00C7"/>
    <w:rsid w:val="009E065E"/>
    <w:rsid w:val="009E0696"/>
    <w:rsid w:val="009E0A5E"/>
    <w:rsid w:val="009E0AEE"/>
    <w:rsid w:val="009E0B20"/>
    <w:rsid w:val="009E0BAF"/>
    <w:rsid w:val="009E0C93"/>
    <w:rsid w:val="009E135C"/>
    <w:rsid w:val="009E13A1"/>
    <w:rsid w:val="009E17FD"/>
    <w:rsid w:val="009E1B47"/>
    <w:rsid w:val="009E1C9D"/>
    <w:rsid w:val="009E1CC1"/>
    <w:rsid w:val="009E1D47"/>
    <w:rsid w:val="009E1F5B"/>
    <w:rsid w:val="009E24AC"/>
    <w:rsid w:val="009E27F9"/>
    <w:rsid w:val="009E291C"/>
    <w:rsid w:val="009E3052"/>
    <w:rsid w:val="009E30FC"/>
    <w:rsid w:val="009E3393"/>
    <w:rsid w:val="009E33F4"/>
    <w:rsid w:val="009E380C"/>
    <w:rsid w:val="009E3A7E"/>
    <w:rsid w:val="009E3A90"/>
    <w:rsid w:val="009E3BA6"/>
    <w:rsid w:val="009E3C7F"/>
    <w:rsid w:val="009E3CE0"/>
    <w:rsid w:val="009E3D4D"/>
    <w:rsid w:val="009E3EAF"/>
    <w:rsid w:val="009E42C3"/>
    <w:rsid w:val="009E44B3"/>
    <w:rsid w:val="009E4540"/>
    <w:rsid w:val="009E456D"/>
    <w:rsid w:val="009E4819"/>
    <w:rsid w:val="009E4958"/>
    <w:rsid w:val="009E4A66"/>
    <w:rsid w:val="009E4B76"/>
    <w:rsid w:val="009E4D60"/>
    <w:rsid w:val="009E4D93"/>
    <w:rsid w:val="009E4DD1"/>
    <w:rsid w:val="009E4E3D"/>
    <w:rsid w:val="009E4F10"/>
    <w:rsid w:val="009E4F86"/>
    <w:rsid w:val="009E5033"/>
    <w:rsid w:val="009E53D6"/>
    <w:rsid w:val="009E53E1"/>
    <w:rsid w:val="009E546A"/>
    <w:rsid w:val="009E560B"/>
    <w:rsid w:val="009E5624"/>
    <w:rsid w:val="009E566D"/>
    <w:rsid w:val="009E5835"/>
    <w:rsid w:val="009E5E68"/>
    <w:rsid w:val="009E5F7F"/>
    <w:rsid w:val="009E619E"/>
    <w:rsid w:val="009E6260"/>
    <w:rsid w:val="009E6387"/>
    <w:rsid w:val="009E639C"/>
    <w:rsid w:val="009E6447"/>
    <w:rsid w:val="009E64A5"/>
    <w:rsid w:val="009E6587"/>
    <w:rsid w:val="009E6966"/>
    <w:rsid w:val="009E6AFE"/>
    <w:rsid w:val="009E6BA2"/>
    <w:rsid w:val="009E6C44"/>
    <w:rsid w:val="009E7032"/>
    <w:rsid w:val="009E706F"/>
    <w:rsid w:val="009E71B6"/>
    <w:rsid w:val="009E73A9"/>
    <w:rsid w:val="009E73F0"/>
    <w:rsid w:val="009E763E"/>
    <w:rsid w:val="009E7804"/>
    <w:rsid w:val="009E797B"/>
    <w:rsid w:val="009E7BAC"/>
    <w:rsid w:val="009E7C63"/>
    <w:rsid w:val="009E7D26"/>
    <w:rsid w:val="009F034E"/>
    <w:rsid w:val="009F050D"/>
    <w:rsid w:val="009F06A6"/>
    <w:rsid w:val="009F076C"/>
    <w:rsid w:val="009F091A"/>
    <w:rsid w:val="009F0939"/>
    <w:rsid w:val="009F09B2"/>
    <w:rsid w:val="009F0ABF"/>
    <w:rsid w:val="009F0BCA"/>
    <w:rsid w:val="009F0EB5"/>
    <w:rsid w:val="009F0FE2"/>
    <w:rsid w:val="009F113F"/>
    <w:rsid w:val="009F1328"/>
    <w:rsid w:val="009F14A2"/>
    <w:rsid w:val="009F1653"/>
    <w:rsid w:val="009F16E6"/>
    <w:rsid w:val="009F16F2"/>
    <w:rsid w:val="009F170A"/>
    <w:rsid w:val="009F194A"/>
    <w:rsid w:val="009F1D4C"/>
    <w:rsid w:val="009F1D9B"/>
    <w:rsid w:val="009F1E3D"/>
    <w:rsid w:val="009F1F21"/>
    <w:rsid w:val="009F2165"/>
    <w:rsid w:val="009F2184"/>
    <w:rsid w:val="009F218C"/>
    <w:rsid w:val="009F27A9"/>
    <w:rsid w:val="009F2B01"/>
    <w:rsid w:val="009F2B6B"/>
    <w:rsid w:val="009F2B76"/>
    <w:rsid w:val="009F2CD3"/>
    <w:rsid w:val="009F2CF1"/>
    <w:rsid w:val="009F2EF2"/>
    <w:rsid w:val="009F2EF5"/>
    <w:rsid w:val="009F3159"/>
    <w:rsid w:val="009F32F3"/>
    <w:rsid w:val="009F33D2"/>
    <w:rsid w:val="009F352D"/>
    <w:rsid w:val="009F373F"/>
    <w:rsid w:val="009F3743"/>
    <w:rsid w:val="009F37CF"/>
    <w:rsid w:val="009F3AA7"/>
    <w:rsid w:val="009F40E4"/>
    <w:rsid w:val="009F42DD"/>
    <w:rsid w:val="009F43F8"/>
    <w:rsid w:val="009F48FE"/>
    <w:rsid w:val="009F4A0A"/>
    <w:rsid w:val="009F4B66"/>
    <w:rsid w:val="009F4C18"/>
    <w:rsid w:val="009F5017"/>
    <w:rsid w:val="009F503A"/>
    <w:rsid w:val="009F50F3"/>
    <w:rsid w:val="009F5137"/>
    <w:rsid w:val="009F5202"/>
    <w:rsid w:val="009F520D"/>
    <w:rsid w:val="009F52C9"/>
    <w:rsid w:val="009F53A3"/>
    <w:rsid w:val="009F5631"/>
    <w:rsid w:val="009F573F"/>
    <w:rsid w:val="009F5885"/>
    <w:rsid w:val="009F59A6"/>
    <w:rsid w:val="009F5AF1"/>
    <w:rsid w:val="009F5FBD"/>
    <w:rsid w:val="009F604E"/>
    <w:rsid w:val="009F6232"/>
    <w:rsid w:val="009F63D4"/>
    <w:rsid w:val="009F6445"/>
    <w:rsid w:val="009F6481"/>
    <w:rsid w:val="009F6607"/>
    <w:rsid w:val="009F6610"/>
    <w:rsid w:val="009F6866"/>
    <w:rsid w:val="009F6C09"/>
    <w:rsid w:val="009F6D51"/>
    <w:rsid w:val="009F6FCD"/>
    <w:rsid w:val="009F7442"/>
    <w:rsid w:val="009F79BB"/>
    <w:rsid w:val="009F7BA0"/>
    <w:rsid w:val="009F7C09"/>
    <w:rsid w:val="009F7D44"/>
    <w:rsid w:val="009F7E34"/>
    <w:rsid w:val="009F7E8D"/>
    <w:rsid w:val="00A0024D"/>
    <w:rsid w:val="00A00408"/>
    <w:rsid w:val="00A00590"/>
    <w:rsid w:val="00A00899"/>
    <w:rsid w:val="00A008D4"/>
    <w:rsid w:val="00A00D1B"/>
    <w:rsid w:val="00A00DEF"/>
    <w:rsid w:val="00A00FBF"/>
    <w:rsid w:val="00A01114"/>
    <w:rsid w:val="00A0124E"/>
    <w:rsid w:val="00A01316"/>
    <w:rsid w:val="00A0157D"/>
    <w:rsid w:val="00A016FB"/>
    <w:rsid w:val="00A018A0"/>
    <w:rsid w:val="00A019C9"/>
    <w:rsid w:val="00A01ABD"/>
    <w:rsid w:val="00A01D2D"/>
    <w:rsid w:val="00A01D57"/>
    <w:rsid w:val="00A0204D"/>
    <w:rsid w:val="00A020AE"/>
    <w:rsid w:val="00A02269"/>
    <w:rsid w:val="00A0227F"/>
    <w:rsid w:val="00A0264C"/>
    <w:rsid w:val="00A02810"/>
    <w:rsid w:val="00A0285F"/>
    <w:rsid w:val="00A02907"/>
    <w:rsid w:val="00A02963"/>
    <w:rsid w:val="00A02AEB"/>
    <w:rsid w:val="00A02B60"/>
    <w:rsid w:val="00A02DE7"/>
    <w:rsid w:val="00A02E4B"/>
    <w:rsid w:val="00A02E8A"/>
    <w:rsid w:val="00A0307C"/>
    <w:rsid w:val="00A030C4"/>
    <w:rsid w:val="00A030EE"/>
    <w:rsid w:val="00A030FD"/>
    <w:rsid w:val="00A03105"/>
    <w:rsid w:val="00A031C7"/>
    <w:rsid w:val="00A03518"/>
    <w:rsid w:val="00A0358F"/>
    <w:rsid w:val="00A0370F"/>
    <w:rsid w:val="00A037DB"/>
    <w:rsid w:val="00A038B0"/>
    <w:rsid w:val="00A03A3C"/>
    <w:rsid w:val="00A03A40"/>
    <w:rsid w:val="00A03B16"/>
    <w:rsid w:val="00A03B51"/>
    <w:rsid w:val="00A03BE8"/>
    <w:rsid w:val="00A03C0B"/>
    <w:rsid w:val="00A03DE8"/>
    <w:rsid w:val="00A03DF1"/>
    <w:rsid w:val="00A0401E"/>
    <w:rsid w:val="00A04021"/>
    <w:rsid w:val="00A04231"/>
    <w:rsid w:val="00A0461F"/>
    <w:rsid w:val="00A04723"/>
    <w:rsid w:val="00A04CC9"/>
    <w:rsid w:val="00A04D2B"/>
    <w:rsid w:val="00A04D8F"/>
    <w:rsid w:val="00A052B2"/>
    <w:rsid w:val="00A053FF"/>
    <w:rsid w:val="00A05609"/>
    <w:rsid w:val="00A058BC"/>
    <w:rsid w:val="00A059EB"/>
    <w:rsid w:val="00A05A19"/>
    <w:rsid w:val="00A06212"/>
    <w:rsid w:val="00A06264"/>
    <w:rsid w:val="00A063AC"/>
    <w:rsid w:val="00A0695F"/>
    <w:rsid w:val="00A06A08"/>
    <w:rsid w:val="00A06AE8"/>
    <w:rsid w:val="00A06C80"/>
    <w:rsid w:val="00A06F30"/>
    <w:rsid w:val="00A06FBC"/>
    <w:rsid w:val="00A072B6"/>
    <w:rsid w:val="00A07509"/>
    <w:rsid w:val="00A076EE"/>
    <w:rsid w:val="00A07BFA"/>
    <w:rsid w:val="00A10063"/>
    <w:rsid w:val="00A10073"/>
    <w:rsid w:val="00A102D5"/>
    <w:rsid w:val="00A102E4"/>
    <w:rsid w:val="00A10371"/>
    <w:rsid w:val="00A103A8"/>
    <w:rsid w:val="00A104C0"/>
    <w:rsid w:val="00A106AE"/>
    <w:rsid w:val="00A10C7C"/>
    <w:rsid w:val="00A10EA4"/>
    <w:rsid w:val="00A10EC6"/>
    <w:rsid w:val="00A11003"/>
    <w:rsid w:val="00A110C6"/>
    <w:rsid w:val="00A11417"/>
    <w:rsid w:val="00A116C8"/>
    <w:rsid w:val="00A11737"/>
    <w:rsid w:val="00A11771"/>
    <w:rsid w:val="00A11844"/>
    <w:rsid w:val="00A11ABE"/>
    <w:rsid w:val="00A11B99"/>
    <w:rsid w:val="00A11BCC"/>
    <w:rsid w:val="00A11C70"/>
    <w:rsid w:val="00A11D2D"/>
    <w:rsid w:val="00A11D46"/>
    <w:rsid w:val="00A11D8D"/>
    <w:rsid w:val="00A11E26"/>
    <w:rsid w:val="00A12208"/>
    <w:rsid w:val="00A124FB"/>
    <w:rsid w:val="00A125B5"/>
    <w:rsid w:val="00A126AD"/>
    <w:rsid w:val="00A12825"/>
    <w:rsid w:val="00A12AA6"/>
    <w:rsid w:val="00A12B34"/>
    <w:rsid w:val="00A12B7A"/>
    <w:rsid w:val="00A12C14"/>
    <w:rsid w:val="00A13001"/>
    <w:rsid w:val="00A131E1"/>
    <w:rsid w:val="00A13239"/>
    <w:rsid w:val="00A132C8"/>
    <w:rsid w:val="00A13629"/>
    <w:rsid w:val="00A136A6"/>
    <w:rsid w:val="00A13802"/>
    <w:rsid w:val="00A1383F"/>
    <w:rsid w:val="00A13854"/>
    <w:rsid w:val="00A13A55"/>
    <w:rsid w:val="00A13B73"/>
    <w:rsid w:val="00A13D61"/>
    <w:rsid w:val="00A13E9D"/>
    <w:rsid w:val="00A13FB9"/>
    <w:rsid w:val="00A14258"/>
    <w:rsid w:val="00A14436"/>
    <w:rsid w:val="00A144BD"/>
    <w:rsid w:val="00A14692"/>
    <w:rsid w:val="00A14968"/>
    <w:rsid w:val="00A14BF1"/>
    <w:rsid w:val="00A14C68"/>
    <w:rsid w:val="00A14CE2"/>
    <w:rsid w:val="00A14E16"/>
    <w:rsid w:val="00A14EB9"/>
    <w:rsid w:val="00A15015"/>
    <w:rsid w:val="00A150B9"/>
    <w:rsid w:val="00A153AA"/>
    <w:rsid w:val="00A15711"/>
    <w:rsid w:val="00A15A08"/>
    <w:rsid w:val="00A15E7A"/>
    <w:rsid w:val="00A15F78"/>
    <w:rsid w:val="00A15F9B"/>
    <w:rsid w:val="00A15FD4"/>
    <w:rsid w:val="00A161E8"/>
    <w:rsid w:val="00A164DF"/>
    <w:rsid w:val="00A1667C"/>
    <w:rsid w:val="00A16977"/>
    <w:rsid w:val="00A1698B"/>
    <w:rsid w:val="00A169D6"/>
    <w:rsid w:val="00A16A39"/>
    <w:rsid w:val="00A16A4A"/>
    <w:rsid w:val="00A16B4E"/>
    <w:rsid w:val="00A16EDD"/>
    <w:rsid w:val="00A173C1"/>
    <w:rsid w:val="00A17452"/>
    <w:rsid w:val="00A17561"/>
    <w:rsid w:val="00A1795E"/>
    <w:rsid w:val="00A17C87"/>
    <w:rsid w:val="00A17D90"/>
    <w:rsid w:val="00A20057"/>
    <w:rsid w:val="00A20626"/>
    <w:rsid w:val="00A206D3"/>
    <w:rsid w:val="00A2086F"/>
    <w:rsid w:val="00A20B03"/>
    <w:rsid w:val="00A20B94"/>
    <w:rsid w:val="00A20D0E"/>
    <w:rsid w:val="00A20E6B"/>
    <w:rsid w:val="00A20E8E"/>
    <w:rsid w:val="00A2138F"/>
    <w:rsid w:val="00A216AE"/>
    <w:rsid w:val="00A2183C"/>
    <w:rsid w:val="00A219B0"/>
    <w:rsid w:val="00A219C1"/>
    <w:rsid w:val="00A21D27"/>
    <w:rsid w:val="00A21D52"/>
    <w:rsid w:val="00A21D61"/>
    <w:rsid w:val="00A21F67"/>
    <w:rsid w:val="00A22017"/>
    <w:rsid w:val="00A22107"/>
    <w:rsid w:val="00A221D2"/>
    <w:rsid w:val="00A22267"/>
    <w:rsid w:val="00A2278B"/>
    <w:rsid w:val="00A22869"/>
    <w:rsid w:val="00A22AF8"/>
    <w:rsid w:val="00A22FA4"/>
    <w:rsid w:val="00A230AE"/>
    <w:rsid w:val="00A23233"/>
    <w:rsid w:val="00A2323B"/>
    <w:rsid w:val="00A23274"/>
    <w:rsid w:val="00A2345B"/>
    <w:rsid w:val="00A23939"/>
    <w:rsid w:val="00A23B74"/>
    <w:rsid w:val="00A23D1E"/>
    <w:rsid w:val="00A23E05"/>
    <w:rsid w:val="00A23EC0"/>
    <w:rsid w:val="00A23FB8"/>
    <w:rsid w:val="00A240FE"/>
    <w:rsid w:val="00A2443F"/>
    <w:rsid w:val="00A2463A"/>
    <w:rsid w:val="00A2476B"/>
    <w:rsid w:val="00A2477F"/>
    <w:rsid w:val="00A2495D"/>
    <w:rsid w:val="00A24ADE"/>
    <w:rsid w:val="00A24C78"/>
    <w:rsid w:val="00A24DA1"/>
    <w:rsid w:val="00A24DAD"/>
    <w:rsid w:val="00A24E1D"/>
    <w:rsid w:val="00A24FAB"/>
    <w:rsid w:val="00A2501C"/>
    <w:rsid w:val="00A2518F"/>
    <w:rsid w:val="00A251C0"/>
    <w:rsid w:val="00A25217"/>
    <w:rsid w:val="00A25287"/>
    <w:rsid w:val="00A254E7"/>
    <w:rsid w:val="00A258D0"/>
    <w:rsid w:val="00A259A0"/>
    <w:rsid w:val="00A25A9B"/>
    <w:rsid w:val="00A25D89"/>
    <w:rsid w:val="00A261D3"/>
    <w:rsid w:val="00A264FC"/>
    <w:rsid w:val="00A2676C"/>
    <w:rsid w:val="00A268B6"/>
    <w:rsid w:val="00A268EF"/>
    <w:rsid w:val="00A26A58"/>
    <w:rsid w:val="00A26B65"/>
    <w:rsid w:val="00A26BD5"/>
    <w:rsid w:val="00A26C48"/>
    <w:rsid w:val="00A26D0E"/>
    <w:rsid w:val="00A271A9"/>
    <w:rsid w:val="00A2726A"/>
    <w:rsid w:val="00A273DF"/>
    <w:rsid w:val="00A274B9"/>
    <w:rsid w:val="00A277F7"/>
    <w:rsid w:val="00A279CB"/>
    <w:rsid w:val="00A27A1F"/>
    <w:rsid w:val="00A27CAB"/>
    <w:rsid w:val="00A27DFD"/>
    <w:rsid w:val="00A27E25"/>
    <w:rsid w:val="00A27E73"/>
    <w:rsid w:val="00A27F0B"/>
    <w:rsid w:val="00A27F41"/>
    <w:rsid w:val="00A27F94"/>
    <w:rsid w:val="00A27FF6"/>
    <w:rsid w:val="00A3015B"/>
    <w:rsid w:val="00A30543"/>
    <w:rsid w:val="00A30642"/>
    <w:rsid w:val="00A30843"/>
    <w:rsid w:val="00A30A7E"/>
    <w:rsid w:val="00A30DF9"/>
    <w:rsid w:val="00A30E66"/>
    <w:rsid w:val="00A30FAF"/>
    <w:rsid w:val="00A3107F"/>
    <w:rsid w:val="00A311AC"/>
    <w:rsid w:val="00A312C2"/>
    <w:rsid w:val="00A31479"/>
    <w:rsid w:val="00A31615"/>
    <w:rsid w:val="00A31652"/>
    <w:rsid w:val="00A31750"/>
    <w:rsid w:val="00A318FC"/>
    <w:rsid w:val="00A31A30"/>
    <w:rsid w:val="00A31A5C"/>
    <w:rsid w:val="00A31A80"/>
    <w:rsid w:val="00A31AFE"/>
    <w:rsid w:val="00A31B7B"/>
    <w:rsid w:val="00A31BFC"/>
    <w:rsid w:val="00A31E50"/>
    <w:rsid w:val="00A31EFC"/>
    <w:rsid w:val="00A31F63"/>
    <w:rsid w:val="00A32065"/>
    <w:rsid w:val="00A32100"/>
    <w:rsid w:val="00A3215A"/>
    <w:rsid w:val="00A32357"/>
    <w:rsid w:val="00A32420"/>
    <w:rsid w:val="00A32498"/>
    <w:rsid w:val="00A3286F"/>
    <w:rsid w:val="00A3295A"/>
    <w:rsid w:val="00A32A1B"/>
    <w:rsid w:val="00A32C70"/>
    <w:rsid w:val="00A32DB6"/>
    <w:rsid w:val="00A32F48"/>
    <w:rsid w:val="00A331BF"/>
    <w:rsid w:val="00A33316"/>
    <w:rsid w:val="00A3333E"/>
    <w:rsid w:val="00A333F8"/>
    <w:rsid w:val="00A33505"/>
    <w:rsid w:val="00A33B2E"/>
    <w:rsid w:val="00A33C51"/>
    <w:rsid w:val="00A33D2D"/>
    <w:rsid w:val="00A33E10"/>
    <w:rsid w:val="00A33FBD"/>
    <w:rsid w:val="00A346EB"/>
    <w:rsid w:val="00A3478D"/>
    <w:rsid w:val="00A349B7"/>
    <w:rsid w:val="00A34BD5"/>
    <w:rsid w:val="00A34D34"/>
    <w:rsid w:val="00A34F20"/>
    <w:rsid w:val="00A34FCD"/>
    <w:rsid w:val="00A35170"/>
    <w:rsid w:val="00A351B7"/>
    <w:rsid w:val="00A35336"/>
    <w:rsid w:val="00A3533B"/>
    <w:rsid w:val="00A357AA"/>
    <w:rsid w:val="00A357B9"/>
    <w:rsid w:val="00A3592C"/>
    <w:rsid w:val="00A35A83"/>
    <w:rsid w:val="00A35A9A"/>
    <w:rsid w:val="00A35DDF"/>
    <w:rsid w:val="00A35F55"/>
    <w:rsid w:val="00A36186"/>
    <w:rsid w:val="00A3629C"/>
    <w:rsid w:val="00A36324"/>
    <w:rsid w:val="00A3642F"/>
    <w:rsid w:val="00A36520"/>
    <w:rsid w:val="00A36588"/>
    <w:rsid w:val="00A365BE"/>
    <w:rsid w:val="00A365CF"/>
    <w:rsid w:val="00A36609"/>
    <w:rsid w:val="00A36772"/>
    <w:rsid w:val="00A3677E"/>
    <w:rsid w:val="00A368E8"/>
    <w:rsid w:val="00A36AC0"/>
    <w:rsid w:val="00A36D08"/>
    <w:rsid w:val="00A3711F"/>
    <w:rsid w:val="00A37402"/>
    <w:rsid w:val="00A37487"/>
    <w:rsid w:val="00A376A8"/>
    <w:rsid w:val="00A37821"/>
    <w:rsid w:val="00A37AA5"/>
    <w:rsid w:val="00A37FB1"/>
    <w:rsid w:val="00A401F2"/>
    <w:rsid w:val="00A40203"/>
    <w:rsid w:val="00A402F5"/>
    <w:rsid w:val="00A40326"/>
    <w:rsid w:val="00A40436"/>
    <w:rsid w:val="00A4049C"/>
    <w:rsid w:val="00A404A9"/>
    <w:rsid w:val="00A40552"/>
    <w:rsid w:val="00A40BA9"/>
    <w:rsid w:val="00A40F90"/>
    <w:rsid w:val="00A41016"/>
    <w:rsid w:val="00A410AB"/>
    <w:rsid w:val="00A411C2"/>
    <w:rsid w:val="00A41266"/>
    <w:rsid w:val="00A413B6"/>
    <w:rsid w:val="00A41615"/>
    <w:rsid w:val="00A41655"/>
    <w:rsid w:val="00A41AC3"/>
    <w:rsid w:val="00A41CA8"/>
    <w:rsid w:val="00A41F2D"/>
    <w:rsid w:val="00A4202C"/>
    <w:rsid w:val="00A42185"/>
    <w:rsid w:val="00A421EA"/>
    <w:rsid w:val="00A4226D"/>
    <w:rsid w:val="00A423AE"/>
    <w:rsid w:val="00A4277F"/>
    <w:rsid w:val="00A4285F"/>
    <w:rsid w:val="00A43019"/>
    <w:rsid w:val="00A4302D"/>
    <w:rsid w:val="00A434EA"/>
    <w:rsid w:val="00A434F4"/>
    <w:rsid w:val="00A43582"/>
    <w:rsid w:val="00A43A32"/>
    <w:rsid w:val="00A43B4E"/>
    <w:rsid w:val="00A43BA7"/>
    <w:rsid w:val="00A43FD8"/>
    <w:rsid w:val="00A44102"/>
    <w:rsid w:val="00A4412C"/>
    <w:rsid w:val="00A442E6"/>
    <w:rsid w:val="00A443AF"/>
    <w:rsid w:val="00A44435"/>
    <w:rsid w:val="00A44531"/>
    <w:rsid w:val="00A4463E"/>
    <w:rsid w:val="00A4465F"/>
    <w:rsid w:val="00A44793"/>
    <w:rsid w:val="00A447B2"/>
    <w:rsid w:val="00A448D6"/>
    <w:rsid w:val="00A449C7"/>
    <w:rsid w:val="00A44AAE"/>
    <w:rsid w:val="00A44B14"/>
    <w:rsid w:val="00A44BFF"/>
    <w:rsid w:val="00A44C1F"/>
    <w:rsid w:val="00A44C97"/>
    <w:rsid w:val="00A451DD"/>
    <w:rsid w:val="00A45522"/>
    <w:rsid w:val="00A4565C"/>
    <w:rsid w:val="00A4567A"/>
    <w:rsid w:val="00A45685"/>
    <w:rsid w:val="00A45746"/>
    <w:rsid w:val="00A4580F"/>
    <w:rsid w:val="00A45B3E"/>
    <w:rsid w:val="00A45E2D"/>
    <w:rsid w:val="00A45FD3"/>
    <w:rsid w:val="00A461EB"/>
    <w:rsid w:val="00A46587"/>
    <w:rsid w:val="00A46608"/>
    <w:rsid w:val="00A46623"/>
    <w:rsid w:val="00A4695C"/>
    <w:rsid w:val="00A46967"/>
    <w:rsid w:val="00A46A25"/>
    <w:rsid w:val="00A46A35"/>
    <w:rsid w:val="00A46BA4"/>
    <w:rsid w:val="00A46C6D"/>
    <w:rsid w:val="00A46C75"/>
    <w:rsid w:val="00A46ED8"/>
    <w:rsid w:val="00A4718B"/>
    <w:rsid w:val="00A47880"/>
    <w:rsid w:val="00A47918"/>
    <w:rsid w:val="00A47AAE"/>
    <w:rsid w:val="00A47B19"/>
    <w:rsid w:val="00A47B35"/>
    <w:rsid w:val="00A47CE6"/>
    <w:rsid w:val="00A47F89"/>
    <w:rsid w:val="00A47FB8"/>
    <w:rsid w:val="00A501BA"/>
    <w:rsid w:val="00A50470"/>
    <w:rsid w:val="00A50527"/>
    <w:rsid w:val="00A506A4"/>
    <w:rsid w:val="00A5097C"/>
    <w:rsid w:val="00A50B75"/>
    <w:rsid w:val="00A50C4F"/>
    <w:rsid w:val="00A50EFD"/>
    <w:rsid w:val="00A50F72"/>
    <w:rsid w:val="00A51194"/>
    <w:rsid w:val="00A5130A"/>
    <w:rsid w:val="00A514C0"/>
    <w:rsid w:val="00A51744"/>
    <w:rsid w:val="00A517D0"/>
    <w:rsid w:val="00A51B55"/>
    <w:rsid w:val="00A51D40"/>
    <w:rsid w:val="00A52080"/>
    <w:rsid w:val="00A525B6"/>
    <w:rsid w:val="00A52B73"/>
    <w:rsid w:val="00A52BF2"/>
    <w:rsid w:val="00A52F87"/>
    <w:rsid w:val="00A532A9"/>
    <w:rsid w:val="00A53376"/>
    <w:rsid w:val="00A533DD"/>
    <w:rsid w:val="00A53452"/>
    <w:rsid w:val="00A5351F"/>
    <w:rsid w:val="00A53679"/>
    <w:rsid w:val="00A53764"/>
    <w:rsid w:val="00A53831"/>
    <w:rsid w:val="00A53C91"/>
    <w:rsid w:val="00A53CCA"/>
    <w:rsid w:val="00A53DB4"/>
    <w:rsid w:val="00A53FCB"/>
    <w:rsid w:val="00A5446A"/>
    <w:rsid w:val="00A545B0"/>
    <w:rsid w:val="00A54841"/>
    <w:rsid w:val="00A54909"/>
    <w:rsid w:val="00A54A9B"/>
    <w:rsid w:val="00A54B81"/>
    <w:rsid w:val="00A54C25"/>
    <w:rsid w:val="00A54E13"/>
    <w:rsid w:val="00A54ED6"/>
    <w:rsid w:val="00A55088"/>
    <w:rsid w:val="00A55227"/>
    <w:rsid w:val="00A55255"/>
    <w:rsid w:val="00A552C2"/>
    <w:rsid w:val="00A5553A"/>
    <w:rsid w:val="00A55BB6"/>
    <w:rsid w:val="00A55C2A"/>
    <w:rsid w:val="00A55D29"/>
    <w:rsid w:val="00A55FC2"/>
    <w:rsid w:val="00A561A7"/>
    <w:rsid w:val="00A561E7"/>
    <w:rsid w:val="00A561EE"/>
    <w:rsid w:val="00A562B4"/>
    <w:rsid w:val="00A56530"/>
    <w:rsid w:val="00A565E3"/>
    <w:rsid w:val="00A56608"/>
    <w:rsid w:val="00A566BA"/>
    <w:rsid w:val="00A5681D"/>
    <w:rsid w:val="00A56B7D"/>
    <w:rsid w:val="00A56C79"/>
    <w:rsid w:val="00A56D8C"/>
    <w:rsid w:val="00A56F24"/>
    <w:rsid w:val="00A56FD0"/>
    <w:rsid w:val="00A57161"/>
    <w:rsid w:val="00A571A8"/>
    <w:rsid w:val="00A572A0"/>
    <w:rsid w:val="00A574C0"/>
    <w:rsid w:val="00A57519"/>
    <w:rsid w:val="00A5755F"/>
    <w:rsid w:val="00A579AA"/>
    <w:rsid w:val="00A600E2"/>
    <w:rsid w:val="00A60212"/>
    <w:rsid w:val="00A602DD"/>
    <w:rsid w:val="00A6059F"/>
    <w:rsid w:val="00A60A73"/>
    <w:rsid w:val="00A60BCC"/>
    <w:rsid w:val="00A60CAB"/>
    <w:rsid w:val="00A60F9D"/>
    <w:rsid w:val="00A60FD3"/>
    <w:rsid w:val="00A61048"/>
    <w:rsid w:val="00A61274"/>
    <w:rsid w:val="00A61441"/>
    <w:rsid w:val="00A614F7"/>
    <w:rsid w:val="00A6158A"/>
    <w:rsid w:val="00A615A1"/>
    <w:rsid w:val="00A6189D"/>
    <w:rsid w:val="00A61AB7"/>
    <w:rsid w:val="00A61B29"/>
    <w:rsid w:val="00A61FAE"/>
    <w:rsid w:val="00A628C5"/>
    <w:rsid w:val="00A62A2A"/>
    <w:rsid w:val="00A634E0"/>
    <w:rsid w:val="00A636D5"/>
    <w:rsid w:val="00A63874"/>
    <w:rsid w:val="00A639F4"/>
    <w:rsid w:val="00A63A3D"/>
    <w:rsid w:val="00A63BEA"/>
    <w:rsid w:val="00A640D2"/>
    <w:rsid w:val="00A6411E"/>
    <w:rsid w:val="00A6413A"/>
    <w:rsid w:val="00A641FF"/>
    <w:rsid w:val="00A642D8"/>
    <w:rsid w:val="00A64315"/>
    <w:rsid w:val="00A647C2"/>
    <w:rsid w:val="00A6481F"/>
    <w:rsid w:val="00A64A70"/>
    <w:rsid w:val="00A64E94"/>
    <w:rsid w:val="00A64F24"/>
    <w:rsid w:val="00A65013"/>
    <w:rsid w:val="00A6507A"/>
    <w:rsid w:val="00A650B3"/>
    <w:rsid w:val="00A65125"/>
    <w:rsid w:val="00A65449"/>
    <w:rsid w:val="00A6550C"/>
    <w:rsid w:val="00A657FB"/>
    <w:rsid w:val="00A65903"/>
    <w:rsid w:val="00A65A72"/>
    <w:rsid w:val="00A65D3E"/>
    <w:rsid w:val="00A65D62"/>
    <w:rsid w:val="00A65D99"/>
    <w:rsid w:val="00A66023"/>
    <w:rsid w:val="00A66064"/>
    <w:rsid w:val="00A660F3"/>
    <w:rsid w:val="00A6610B"/>
    <w:rsid w:val="00A661C6"/>
    <w:rsid w:val="00A66286"/>
    <w:rsid w:val="00A66372"/>
    <w:rsid w:val="00A6644E"/>
    <w:rsid w:val="00A66685"/>
    <w:rsid w:val="00A668B2"/>
    <w:rsid w:val="00A66AA1"/>
    <w:rsid w:val="00A66BE3"/>
    <w:rsid w:val="00A6717E"/>
    <w:rsid w:val="00A671E6"/>
    <w:rsid w:val="00A67471"/>
    <w:rsid w:val="00A67927"/>
    <w:rsid w:val="00A67B51"/>
    <w:rsid w:val="00A67C8D"/>
    <w:rsid w:val="00A67E43"/>
    <w:rsid w:val="00A67F30"/>
    <w:rsid w:val="00A700F9"/>
    <w:rsid w:val="00A7018D"/>
    <w:rsid w:val="00A702E2"/>
    <w:rsid w:val="00A70313"/>
    <w:rsid w:val="00A70426"/>
    <w:rsid w:val="00A70706"/>
    <w:rsid w:val="00A70717"/>
    <w:rsid w:val="00A70989"/>
    <w:rsid w:val="00A70C1D"/>
    <w:rsid w:val="00A70C44"/>
    <w:rsid w:val="00A70D95"/>
    <w:rsid w:val="00A70E77"/>
    <w:rsid w:val="00A714A1"/>
    <w:rsid w:val="00A71675"/>
    <w:rsid w:val="00A717DB"/>
    <w:rsid w:val="00A71983"/>
    <w:rsid w:val="00A71BE7"/>
    <w:rsid w:val="00A71CD1"/>
    <w:rsid w:val="00A71E5E"/>
    <w:rsid w:val="00A71E8B"/>
    <w:rsid w:val="00A71F6A"/>
    <w:rsid w:val="00A71F76"/>
    <w:rsid w:val="00A7216F"/>
    <w:rsid w:val="00A72185"/>
    <w:rsid w:val="00A724B1"/>
    <w:rsid w:val="00A726E5"/>
    <w:rsid w:val="00A72714"/>
    <w:rsid w:val="00A728AE"/>
    <w:rsid w:val="00A728CE"/>
    <w:rsid w:val="00A72FC2"/>
    <w:rsid w:val="00A731B0"/>
    <w:rsid w:val="00A731E4"/>
    <w:rsid w:val="00A73228"/>
    <w:rsid w:val="00A739E3"/>
    <w:rsid w:val="00A73B98"/>
    <w:rsid w:val="00A73BB0"/>
    <w:rsid w:val="00A73DC0"/>
    <w:rsid w:val="00A73EBE"/>
    <w:rsid w:val="00A74254"/>
    <w:rsid w:val="00A746C7"/>
    <w:rsid w:val="00A74D5E"/>
    <w:rsid w:val="00A74E57"/>
    <w:rsid w:val="00A754F3"/>
    <w:rsid w:val="00A755A3"/>
    <w:rsid w:val="00A7578C"/>
    <w:rsid w:val="00A757AA"/>
    <w:rsid w:val="00A7589E"/>
    <w:rsid w:val="00A7590E"/>
    <w:rsid w:val="00A75949"/>
    <w:rsid w:val="00A75A09"/>
    <w:rsid w:val="00A75ACA"/>
    <w:rsid w:val="00A75D4C"/>
    <w:rsid w:val="00A75E71"/>
    <w:rsid w:val="00A75F5D"/>
    <w:rsid w:val="00A760D3"/>
    <w:rsid w:val="00A7651B"/>
    <w:rsid w:val="00A766EE"/>
    <w:rsid w:val="00A76761"/>
    <w:rsid w:val="00A7691E"/>
    <w:rsid w:val="00A76AFE"/>
    <w:rsid w:val="00A76B3F"/>
    <w:rsid w:val="00A76B45"/>
    <w:rsid w:val="00A76C7E"/>
    <w:rsid w:val="00A76CAA"/>
    <w:rsid w:val="00A76EFF"/>
    <w:rsid w:val="00A76F0C"/>
    <w:rsid w:val="00A770EB"/>
    <w:rsid w:val="00A77276"/>
    <w:rsid w:val="00A77484"/>
    <w:rsid w:val="00A776C4"/>
    <w:rsid w:val="00A776CA"/>
    <w:rsid w:val="00A7772F"/>
    <w:rsid w:val="00A77852"/>
    <w:rsid w:val="00A77895"/>
    <w:rsid w:val="00A7793F"/>
    <w:rsid w:val="00A77A8B"/>
    <w:rsid w:val="00A77AA7"/>
    <w:rsid w:val="00A77C12"/>
    <w:rsid w:val="00A77CA3"/>
    <w:rsid w:val="00A77D32"/>
    <w:rsid w:val="00A77E92"/>
    <w:rsid w:val="00A77EF2"/>
    <w:rsid w:val="00A77F0A"/>
    <w:rsid w:val="00A77F5D"/>
    <w:rsid w:val="00A803A9"/>
    <w:rsid w:val="00A8081B"/>
    <w:rsid w:val="00A80A73"/>
    <w:rsid w:val="00A80AA7"/>
    <w:rsid w:val="00A810D9"/>
    <w:rsid w:val="00A818BD"/>
    <w:rsid w:val="00A8193D"/>
    <w:rsid w:val="00A81BA5"/>
    <w:rsid w:val="00A81D40"/>
    <w:rsid w:val="00A8219A"/>
    <w:rsid w:val="00A82216"/>
    <w:rsid w:val="00A8227E"/>
    <w:rsid w:val="00A82308"/>
    <w:rsid w:val="00A824D2"/>
    <w:rsid w:val="00A826E5"/>
    <w:rsid w:val="00A82716"/>
    <w:rsid w:val="00A82806"/>
    <w:rsid w:val="00A828DA"/>
    <w:rsid w:val="00A82A19"/>
    <w:rsid w:val="00A82A67"/>
    <w:rsid w:val="00A82BA5"/>
    <w:rsid w:val="00A82CFA"/>
    <w:rsid w:val="00A82EF1"/>
    <w:rsid w:val="00A82F76"/>
    <w:rsid w:val="00A82FE9"/>
    <w:rsid w:val="00A83008"/>
    <w:rsid w:val="00A83029"/>
    <w:rsid w:val="00A83082"/>
    <w:rsid w:val="00A83121"/>
    <w:rsid w:val="00A831D9"/>
    <w:rsid w:val="00A8358E"/>
    <w:rsid w:val="00A838DE"/>
    <w:rsid w:val="00A8397B"/>
    <w:rsid w:val="00A83A4C"/>
    <w:rsid w:val="00A83BC3"/>
    <w:rsid w:val="00A83BD6"/>
    <w:rsid w:val="00A83E16"/>
    <w:rsid w:val="00A83F6A"/>
    <w:rsid w:val="00A83FE4"/>
    <w:rsid w:val="00A8408F"/>
    <w:rsid w:val="00A84119"/>
    <w:rsid w:val="00A8423D"/>
    <w:rsid w:val="00A8447F"/>
    <w:rsid w:val="00A84C17"/>
    <w:rsid w:val="00A84C54"/>
    <w:rsid w:val="00A84CBB"/>
    <w:rsid w:val="00A85046"/>
    <w:rsid w:val="00A8514C"/>
    <w:rsid w:val="00A85247"/>
    <w:rsid w:val="00A85299"/>
    <w:rsid w:val="00A853AC"/>
    <w:rsid w:val="00A856D9"/>
    <w:rsid w:val="00A8598B"/>
    <w:rsid w:val="00A85AC8"/>
    <w:rsid w:val="00A85AE7"/>
    <w:rsid w:val="00A85D30"/>
    <w:rsid w:val="00A85F5F"/>
    <w:rsid w:val="00A8609B"/>
    <w:rsid w:val="00A8609F"/>
    <w:rsid w:val="00A863E7"/>
    <w:rsid w:val="00A8640F"/>
    <w:rsid w:val="00A8647C"/>
    <w:rsid w:val="00A8668E"/>
    <w:rsid w:val="00A866A7"/>
    <w:rsid w:val="00A866B5"/>
    <w:rsid w:val="00A866F5"/>
    <w:rsid w:val="00A86CE1"/>
    <w:rsid w:val="00A86E57"/>
    <w:rsid w:val="00A86F40"/>
    <w:rsid w:val="00A87098"/>
    <w:rsid w:val="00A870E1"/>
    <w:rsid w:val="00A87553"/>
    <w:rsid w:val="00A875C3"/>
    <w:rsid w:val="00A877DD"/>
    <w:rsid w:val="00A87A5E"/>
    <w:rsid w:val="00A87CAC"/>
    <w:rsid w:val="00A87D19"/>
    <w:rsid w:val="00A87E55"/>
    <w:rsid w:val="00A87F20"/>
    <w:rsid w:val="00A90396"/>
    <w:rsid w:val="00A90438"/>
    <w:rsid w:val="00A90679"/>
    <w:rsid w:val="00A907E9"/>
    <w:rsid w:val="00A90AF2"/>
    <w:rsid w:val="00A90C19"/>
    <w:rsid w:val="00A90EF0"/>
    <w:rsid w:val="00A910BE"/>
    <w:rsid w:val="00A9110F"/>
    <w:rsid w:val="00A914FC"/>
    <w:rsid w:val="00A9161C"/>
    <w:rsid w:val="00A91625"/>
    <w:rsid w:val="00A918CB"/>
    <w:rsid w:val="00A91A2D"/>
    <w:rsid w:val="00A91BBA"/>
    <w:rsid w:val="00A91D4C"/>
    <w:rsid w:val="00A91D82"/>
    <w:rsid w:val="00A91E6C"/>
    <w:rsid w:val="00A91FB2"/>
    <w:rsid w:val="00A9212A"/>
    <w:rsid w:val="00A9212D"/>
    <w:rsid w:val="00A9218E"/>
    <w:rsid w:val="00A92191"/>
    <w:rsid w:val="00A921D3"/>
    <w:rsid w:val="00A9221A"/>
    <w:rsid w:val="00A922A4"/>
    <w:rsid w:val="00A922FC"/>
    <w:rsid w:val="00A925A6"/>
    <w:rsid w:val="00A9270E"/>
    <w:rsid w:val="00A927A7"/>
    <w:rsid w:val="00A9285D"/>
    <w:rsid w:val="00A928C7"/>
    <w:rsid w:val="00A92A0A"/>
    <w:rsid w:val="00A92AF3"/>
    <w:rsid w:val="00A92BD6"/>
    <w:rsid w:val="00A92CD6"/>
    <w:rsid w:val="00A92DD1"/>
    <w:rsid w:val="00A9314B"/>
    <w:rsid w:val="00A931FB"/>
    <w:rsid w:val="00A933B3"/>
    <w:rsid w:val="00A9347B"/>
    <w:rsid w:val="00A93496"/>
    <w:rsid w:val="00A93539"/>
    <w:rsid w:val="00A93609"/>
    <w:rsid w:val="00A93817"/>
    <w:rsid w:val="00A93836"/>
    <w:rsid w:val="00A939B7"/>
    <w:rsid w:val="00A93A3E"/>
    <w:rsid w:val="00A93C57"/>
    <w:rsid w:val="00A93D57"/>
    <w:rsid w:val="00A93E40"/>
    <w:rsid w:val="00A940B8"/>
    <w:rsid w:val="00A94450"/>
    <w:rsid w:val="00A9484D"/>
    <w:rsid w:val="00A949A9"/>
    <w:rsid w:val="00A94BB0"/>
    <w:rsid w:val="00A95334"/>
    <w:rsid w:val="00A9586A"/>
    <w:rsid w:val="00A95922"/>
    <w:rsid w:val="00A95B82"/>
    <w:rsid w:val="00A95C26"/>
    <w:rsid w:val="00A96515"/>
    <w:rsid w:val="00A96536"/>
    <w:rsid w:val="00A96990"/>
    <w:rsid w:val="00A96AA7"/>
    <w:rsid w:val="00A96ACE"/>
    <w:rsid w:val="00A96AFA"/>
    <w:rsid w:val="00A96B4F"/>
    <w:rsid w:val="00A970A9"/>
    <w:rsid w:val="00A97488"/>
    <w:rsid w:val="00A97616"/>
    <w:rsid w:val="00A976BB"/>
    <w:rsid w:val="00A97912"/>
    <w:rsid w:val="00A979C9"/>
    <w:rsid w:val="00A97A78"/>
    <w:rsid w:val="00A97AE2"/>
    <w:rsid w:val="00A97B76"/>
    <w:rsid w:val="00AA015D"/>
    <w:rsid w:val="00AA03D7"/>
    <w:rsid w:val="00AA05E3"/>
    <w:rsid w:val="00AA05EE"/>
    <w:rsid w:val="00AA065E"/>
    <w:rsid w:val="00AA072F"/>
    <w:rsid w:val="00AA073D"/>
    <w:rsid w:val="00AA077D"/>
    <w:rsid w:val="00AA08AE"/>
    <w:rsid w:val="00AA09B9"/>
    <w:rsid w:val="00AA0A43"/>
    <w:rsid w:val="00AA0A69"/>
    <w:rsid w:val="00AA0AD9"/>
    <w:rsid w:val="00AA0CFE"/>
    <w:rsid w:val="00AA196B"/>
    <w:rsid w:val="00AA1B4E"/>
    <w:rsid w:val="00AA1C36"/>
    <w:rsid w:val="00AA1EF4"/>
    <w:rsid w:val="00AA204A"/>
    <w:rsid w:val="00AA21E8"/>
    <w:rsid w:val="00AA22B2"/>
    <w:rsid w:val="00AA24CB"/>
    <w:rsid w:val="00AA2928"/>
    <w:rsid w:val="00AA29CF"/>
    <w:rsid w:val="00AA2B99"/>
    <w:rsid w:val="00AA2D8C"/>
    <w:rsid w:val="00AA2EA6"/>
    <w:rsid w:val="00AA2FEB"/>
    <w:rsid w:val="00AA3160"/>
    <w:rsid w:val="00AA342A"/>
    <w:rsid w:val="00AA3A41"/>
    <w:rsid w:val="00AA3B04"/>
    <w:rsid w:val="00AA3BE5"/>
    <w:rsid w:val="00AA3EC3"/>
    <w:rsid w:val="00AA3EDF"/>
    <w:rsid w:val="00AA4338"/>
    <w:rsid w:val="00AA43BA"/>
    <w:rsid w:val="00AA4788"/>
    <w:rsid w:val="00AA48F2"/>
    <w:rsid w:val="00AA49E8"/>
    <w:rsid w:val="00AA4B4A"/>
    <w:rsid w:val="00AA4BA2"/>
    <w:rsid w:val="00AA4D06"/>
    <w:rsid w:val="00AA4DB4"/>
    <w:rsid w:val="00AA5085"/>
    <w:rsid w:val="00AA50C0"/>
    <w:rsid w:val="00AA51F6"/>
    <w:rsid w:val="00AA55A0"/>
    <w:rsid w:val="00AA5904"/>
    <w:rsid w:val="00AA592C"/>
    <w:rsid w:val="00AA5B0F"/>
    <w:rsid w:val="00AA6353"/>
    <w:rsid w:val="00AA6372"/>
    <w:rsid w:val="00AA63CC"/>
    <w:rsid w:val="00AA6698"/>
    <w:rsid w:val="00AA66B4"/>
    <w:rsid w:val="00AA687A"/>
    <w:rsid w:val="00AA688F"/>
    <w:rsid w:val="00AA6D17"/>
    <w:rsid w:val="00AA6E14"/>
    <w:rsid w:val="00AA6F26"/>
    <w:rsid w:val="00AA71F1"/>
    <w:rsid w:val="00AA7367"/>
    <w:rsid w:val="00AA7A93"/>
    <w:rsid w:val="00AA7CEE"/>
    <w:rsid w:val="00AA7DA2"/>
    <w:rsid w:val="00AA7E1D"/>
    <w:rsid w:val="00AA7FDB"/>
    <w:rsid w:val="00AB01A0"/>
    <w:rsid w:val="00AB02A3"/>
    <w:rsid w:val="00AB0622"/>
    <w:rsid w:val="00AB0822"/>
    <w:rsid w:val="00AB084B"/>
    <w:rsid w:val="00AB0914"/>
    <w:rsid w:val="00AB0BB8"/>
    <w:rsid w:val="00AB0E41"/>
    <w:rsid w:val="00AB0FB9"/>
    <w:rsid w:val="00AB0FE0"/>
    <w:rsid w:val="00AB10FC"/>
    <w:rsid w:val="00AB14A3"/>
    <w:rsid w:val="00AB14F3"/>
    <w:rsid w:val="00AB1577"/>
    <w:rsid w:val="00AB190E"/>
    <w:rsid w:val="00AB1AA8"/>
    <w:rsid w:val="00AB1B4B"/>
    <w:rsid w:val="00AB1C1C"/>
    <w:rsid w:val="00AB1D21"/>
    <w:rsid w:val="00AB1D47"/>
    <w:rsid w:val="00AB1FBD"/>
    <w:rsid w:val="00AB21F7"/>
    <w:rsid w:val="00AB258B"/>
    <w:rsid w:val="00AB2980"/>
    <w:rsid w:val="00AB29A2"/>
    <w:rsid w:val="00AB2A97"/>
    <w:rsid w:val="00AB2B82"/>
    <w:rsid w:val="00AB2C36"/>
    <w:rsid w:val="00AB3136"/>
    <w:rsid w:val="00AB32E5"/>
    <w:rsid w:val="00AB3308"/>
    <w:rsid w:val="00AB33D8"/>
    <w:rsid w:val="00AB33FA"/>
    <w:rsid w:val="00AB342D"/>
    <w:rsid w:val="00AB345C"/>
    <w:rsid w:val="00AB34A5"/>
    <w:rsid w:val="00AB34F9"/>
    <w:rsid w:val="00AB3521"/>
    <w:rsid w:val="00AB3613"/>
    <w:rsid w:val="00AB36CF"/>
    <w:rsid w:val="00AB3726"/>
    <w:rsid w:val="00AB3A6E"/>
    <w:rsid w:val="00AB3BAE"/>
    <w:rsid w:val="00AB3CBC"/>
    <w:rsid w:val="00AB3EDF"/>
    <w:rsid w:val="00AB3FE8"/>
    <w:rsid w:val="00AB3FFB"/>
    <w:rsid w:val="00AB42A6"/>
    <w:rsid w:val="00AB434B"/>
    <w:rsid w:val="00AB43D3"/>
    <w:rsid w:val="00AB496A"/>
    <w:rsid w:val="00AB499D"/>
    <w:rsid w:val="00AB4C3F"/>
    <w:rsid w:val="00AB4C59"/>
    <w:rsid w:val="00AB4FA3"/>
    <w:rsid w:val="00AB51DF"/>
    <w:rsid w:val="00AB53CC"/>
    <w:rsid w:val="00AB54D1"/>
    <w:rsid w:val="00AB5589"/>
    <w:rsid w:val="00AB56A4"/>
    <w:rsid w:val="00AB56E1"/>
    <w:rsid w:val="00AB5724"/>
    <w:rsid w:val="00AB58A4"/>
    <w:rsid w:val="00AB5948"/>
    <w:rsid w:val="00AB5AAF"/>
    <w:rsid w:val="00AB5AF6"/>
    <w:rsid w:val="00AB5B68"/>
    <w:rsid w:val="00AB5BBE"/>
    <w:rsid w:val="00AB5C8B"/>
    <w:rsid w:val="00AB5D0F"/>
    <w:rsid w:val="00AB5EDB"/>
    <w:rsid w:val="00AB628C"/>
    <w:rsid w:val="00AB63AE"/>
    <w:rsid w:val="00AB663D"/>
    <w:rsid w:val="00AB667C"/>
    <w:rsid w:val="00AB6819"/>
    <w:rsid w:val="00AB684D"/>
    <w:rsid w:val="00AB6B05"/>
    <w:rsid w:val="00AB6B06"/>
    <w:rsid w:val="00AB6CCF"/>
    <w:rsid w:val="00AB6F63"/>
    <w:rsid w:val="00AB7315"/>
    <w:rsid w:val="00AB765A"/>
    <w:rsid w:val="00AB781E"/>
    <w:rsid w:val="00AB79A4"/>
    <w:rsid w:val="00AB7D2E"/>
    <w:rsid w:val="00AC008B"/>
    <w:rsid w:val="00AC036A"/>
    <w:rsid w:val="00AC03B1"/>
    <w:rsid w:val="00AC06AB"/>
    <w:rsid w:val="00AC07E9"/>
    <w:rsid w:val="00AC0A67"/>
    <w:rsid w:val="00AC0B25"/>
    <w:rsid w:val="00AC0BC4"/>
    <w:rsid w:val="00AC0BE4"/>
    <w:rsid w:val="00AC0CE1"/>
    <w:rsid w:val="00AC0E4C"/>
    <w:rsid w:val="00AC0EB6"/>
    <w:rsid w:val="00AC0EF9"/>
    <w:rsid w:val="00AC10E2"/>
    <w:rsid w:val="00AC1167"/>
    <w:rsid w:val="00AC1207"/>
    <w:rsid w:val="00AC1467"/>
    <w:rsid w:val="00AC16DB"/>
    <w:rsid w:val="00AC1925"/>
    <w:rsid w:val="00AC1AF0"/>
    <w:rsid w:val="00AC210B"/>
    <w:rsid w:val="00AC23B6"/>
    <w:rsid w:val="00AC2465"/>
    <w:rsid w:val="00AC260A"/>
    <w:rsid w:val="00AC2657"/>
    <w:rsid w:val="00AC2697"/>
    <w:rsid w:val="00AC2EB6"/>
    <w:rsid w:val="00AC30E8"/>
    <w:rsid w:val="00AC3169"/>
    <w:rsid w:val="00AC3337"/>
    <w:rsid w:val="00AC3368"/>
    <w:rsid w:val="00AC35BC"/>
    <w:rsid w:val="00AC361E"/>
    <w:rsid w:val="00AC370C"/>
    <w:rsid w:val="00AC381A"/>
    <w:rsid w:val="00AC39A8"/>
    <w:rsid w:val="00AC3A0D"/>
    <w:rsid w:val="00AC3A9D"/>
    <w:rsid w:val="00AC3AB5"/>
    <w:rsid w:val="00AC3EED"/>
    <w:rsid w:val="00AC4225"/>
    <w:rsid w:val="00AC44E5"/>
    <w:rsid w:val="00AC45CC"/>
    <w:rsid w:val="00AC47CC"/>
    <w:rsid w:val="00AC4976"/>
    <w:rsid w:val="00AC4AA7"/>
    <w:rsid w:val="00AC4CA0"/>
    <w:rsid w:val="00AC4CCD"/>
    <w:rsid w:val="00AC4FCC"/>
    <w:rsid w:val="00AC55D3"/>
    <w:rsid w:val="00AC5629"/>
    <w:rsid w:val="00AC57CF"/>
    <w:rsid w:val="00AC5D96"/>
    <w:rsid w:val="00AC5DAD"/>
    <w:rsid w:val="00AC5DE9"/>
    <w:rsid w:val="00AC5E3D"/>
    <w:rsid w:val="00AC5F3D"/>
    <w:rsid w:val="00AC6004"/>
    <w:rsid w:val="00AC6148"/>
    <w:rsid w:val="00AC6594"/>
    <w:rsid w:val="00AC6648"/>
    <w:rsid w:val="00AC66A3"/>
    <w:rsid w:val="00AC686D"/>
    <w:rsid w:val="00AC6933"/>
    <w:rsid w:val="00AC69DB"/>
    <w:rsid w:val="00AC69E4"/>
    <w:rsid w:val="00AC6F82"/>
    <w:rsid w:val="00AC7021"/>
    <w:rsid w:val="00AC7236"/>
    <w:rsid w:val="00AC74A0"/>
    <w:rsid w:val="00AC7568"/>
    <w:rsid w:val="00AC7571"/>
    <w:rsid w:val="00AC7633"/>
    <w:rsid w:val="00AC784A"/>
    <w:rsid w:val="00AC79E3"/>
    <w:rsid w:val="00AC7AA8"/>
    <w:rsid w:val="00AC7C93"/>
    <w:rsid w:val="00AC7EAE"/>
    <w:rsid w:val="00AC7F07"/>
    <w:rsid w:val="00AD00BE"/>
    <w:rsid w:val="00AD01EA"/>
    <w:rsid w:val="00AD0328"/>
    <w:rsid w:val="00AD05E4"/>
    <w:rsid w:val="00AD0661"/>
    <w:rsid w:val="00AD0773"/>
    <w:rsid w:val="00AD0B5D"/>
    <w:rsid w:val="00AD0D18"/>
    <w:rsid w:val="00AD115F"/>
    <w:rsid w:val="00AD1181"/>
    <w:rsid w:val="00AD1201"/>
    <w:rsid w:val="00AD1325"/>
    <w:rsid w:val="00AD134D"/>
    <w:rsid w:val="00AD13F1"/>
    <w:rsid w:val="00AD16DD"/>
    <w:rsid w:val="00AD18BC"/>
    <w:rsid w:val="00AD1A0E"/>
    <w:rsid w:val="00AD1FBE"/>
    <w:rsid w:val="00AD2031"/>
    <w:rsid w:val="00AD206A"/>
    <w:rsid w:val="00AD26A3"/>
    <w:rsid w:val="00AD26E7"/>
    <w:rsid w:val="00AD2856"/>
    <w:rsid w:val="00AD2905"/>
    <w:rsid w:val="00AD2ABB"/>
    <w:rsid w:val="00AD2CC6"/>
    <w:rsid w:val="00AD2CE9"/>
    <w:rsid w:val="00AD2D57"/>
    <w:rsid w:val="00AD2D8B"/>
    <w:rsid w:val="00AD2ED5"/>
    <w:rsid w:val="00AD2FAC"/>
    <w:rsid w:val="00AD32EA"/>
    <w:rsid w:val="00AD34C8"/>
    <w:rsid w:val="00AD36F5"/>
    <w:rsid w:val="00AD39D0"/>
    <w:rsid w:val="00AD3A70"/>
    <w:rsid w:val="00AD3B13"/>
    <w:rsid w:val="00AD43DB"/>
    <w:rsid w:val="00AD4586"/>
    <w:rsid w:val="00AD47C4"/>
    <w:rsid w:val="00AD4857"/>
    <w:rsid w:val="00AD4F9E"/>
    <w:rsid w:val="00AD51AF"/>
    <w:rsid w:val="00AD529E"/>
    <w:rsid w:val="00AD5431"/>
    <w:rsid w:val="00AD5765"/>
    <w:rsid w:val="00AD594D"/>
    <w:rsid w:val="00AD59EE"/>
    <w:rsid w:val="00AD5CF2"/>
    <w:rsid w:val="00AD5D70"/>
    <w:rsid w:val="00AD5E8C"/>
    <w:rsid w:val="00AD6277"/>
    <w:rsid w:val="00AD67C3"/>
    <w:rsid w:val="00AD687B"/>
    <w:rsid w:val="00AD6B97"/>
    <w:rsid w:val="00AD6C63"/>
    <w:rsid w:val="00AD6CBC"/>
    <w:rsid w:val="00AD6D00"/>
    <w:rsid w:val="00AD6DFD"/>
    <w:rsid w:val="00AD6FD8"/>
    <w:rsid w:val="00AD724A"/>
    <w:rsid w:val="00AD74B7"/>
    <w:rsid w:val="00AD7519"/>
    <w:rsid w:val="00AD7593"/>
    <w:rsid w:val="00AD76F2"/>
    <w:rsid w:val="00AD7A60"/>
    <w:rsid w:val="00AD7D2D"/>
    <w:rsid w:val="00AD7D64"/>
    <w:rsid w:val="00ADB33A"/>
    <w:rsid w:val="00AE011B"/>
    <w:rsid w:val="00AE01FF"/>
    <w:rsid w:val="00AE020D"/>
    <w:rsid w:val="00AE026C"/>
    <w:rsid w:val="00AE06AF"/>
    <w:rsid w:val="00AE09EC"/>
    <w:rsid w:val="00AE0A04"/>
    <w:rsid w:val="00AE0AA0"/>
    <w:rsid w:val="00AE0D72"/>
    <w:rsid w:val="00AE0FB3"/>
    <w:rsid w:val="00AE0FBF"/>
    <w:rsid w:val="00AE1049"/>
    <w:rsid w:val="00AE121E"/>
    <w:rsid w:val="00AE1286"/>
    <w:rsid w:val="00AE132E"/>
    <w:rsid w:val="00AE16F8"/>
    <w:rsid w:val="00AE1788"/>
    <w:rsid w:val="00AE1B77"/>
    <w:rsid w:val="00AE1B88"/>
    <w:rsid w:val="00AE1BA5"/>
    <w:rsid w:val="00AE1CC3"/>
    <w:rsid w:val="00AE1F4D"/>
    <w:rsid w:val="00AE1FEB"/>
    <w:rsid w:val="00AE250C"/>
    <w:rsid w:val="00AE26AC"/>
    <w:rsid w:val="00AE27CE"/>
    <w:rsid w:val="00AE285D"/>
    <w:rsid w:val="00AE28E0"/>
    <w:rsid w:val="00AE2908"/>
    <w:rsid w:val="00AE2945"/>
    <w:rsid w:val="00AE2D0A"/>
    <w:rsid w:val="00AE319B"/>
    <w:rsid w:val="00AE323A"/>
    <w:rsid w:val="00AE3499"/>
    <w:rsid w:val="00AE35DC"/>
    <w:rsid w:val="00AE35F0"/>
    <w:rsid w:val="00AE3B66"/>
    <w:rsid w:val="00AE3BAA"/>
    <w:rsid w:val="00AE40FF"/>
    <w:rsid w:val="00AE43A8"/>
    <w:rsid w:val="00AE43CF"/>
    <w:rsid w:val="00AE43D0"/>
    <w:rsid w:val="00AE43DB"/>
    <w:rsid w:val="00AE457E"/>
    <w:rsid w:val="00AE45E8"/>
    <w:rsid w:val="00AE46C8"/>
    <w:rsid w:val="00AE4860"/>
    <w:rsid w:val="00AE4878"/>
    <w:rsid w:val="00AE48CE"/>
    <w:rsid w:val="00AE490C"/>
    <w:rsid w:val="00AE495C"/>
    <w:rsid w:val="00AE4EDD"/>
    <w:rsid w:val="00AE4FC2"/>
    <w:rsid w:val="00AE5208"/>
    <w:rsid w:val="00AE5389"/>
    <w:rsid w:val="00AE5583"/>
    <w:rsid w:val="00AE5928"/>
    <w:rsid w:val="00AE5C62"/>
    <w:rsid w:val="00AE5E1C"/>
    <w:rsid w:val="00AE5EAE"/>
    <w:rsid w:val="00AE5F80"/>
    <w:rsid w:val="00AE5F8D"/>
    <w:rsid w:val="00AE60AC"/>
    <w:rsid w:val="00AE62B8"/>
    <w:rsid w:val="00AE63F5"/>
    <w:rsid w:val="00AE6562"/>
    <w:rsid w:val="00AE675B"/>
    <w:rsid w:val="00AE6970"/>
    <w:rsid w:val="00AE69C5"/>
    <w:rsid w:val="00AE6B93"/>
    <w:rsid w:val="00AE6D9F"/>
    <w:rsid w:val="00AE6E20"/>
    <w:rsid w:val="00AE6F7E"/>
    <w:rsid w:val="00AE74AB"/>
    <w:rsid w:val="00AE74C3"/>
    <w:rsid w:val="00AE7952"/>
    <w:rsid w:val="00AE7A92"/>
    <w:rsid w:val="00AE7B5B"/>
    <w:rsid w:val="00AE7E77"/>
    <w:rsid w:val="00AF0044"/>
    <w:rsid w:val="00AF0151"/>
    <w:rsid w:val="00AF0280"/>
    <w:rsid w:val="00AF0492"/>
    <w:rsid w:val="00AF052A"/>
    <w:rsid w:val="00AF0794"/>
    <w:rsid w:val="00AF0CC8"/>
    <w:rsid w:val="00AF0D81"/>
    <w:rsid w:val="00AF0DC9"/>
    <w:rsid w:val="00AF0DD2"/>
    <w:rsid w:val="00AF112F"/>
    <w:rsid w:val="00AF12D0"/>
    <w:rsid w:val="00AF15A5"/>
    <w:rsid w:val="00AF165C"/>
    <w:rsid w:val="00AF1956"/>
    <w:rsid w:val="00AF1FCA"/>
    <w:rsid w:val="00AF218C"/>
    <w:rsid w:val="00AF2A68"/>
    <w:rsid w:val="00AF2B77"/>
    <w:rsid w:val="00AF31F3"/>
    <w:rsid w:val="00AF3429"/>
    <w:rsid w:val="00AF3453"/>
    <w:rsid w:val="00AF388A"/>
    <w:rsid w:val="00AF3B11"/>
    <w:rsid w:val="00AF3B5B"/>
    <w:rsid w:val="00AF3F25"/>
    <w:rsid w:val="00AF3F38"/>
    <w:rsid w:val="00AF4113"/>
    <w:rsid w:val="00AF413D"/>
    <w:rsid w:val="00AF41CD"/>
    <w:rsid w:val="00AF4233"/>
    <w:rsid w:val="00AF42BC"/>
    <w:rsid w:val="00AF431B"/>
    <w:rsid w:val="00AF49B9"/>
    <w:rsid w:val="00AF4B7B"/>
    <w:rsid w:val="00AF4E50"/>
    <w:rsid w:val="00AF4FC7"/>
    <w:rsid w:val="00AF5607"/>
    <w:rsid w:val="00AF5973"/>
    <w:rsid w:val="00AF5995"/>
    <w:rsid w:val="00AF5DA0"/>
    <w:rsid w:val="00AF5DF7"/>
    <w:rsid w:val="00AF6069"/>
    <w:rsid w:val="00AF654C"/>
    <w:rsid w:val="00AF6608"/>
    <w:rsid w:val="00AF6634"/>
    <w:rsid w:val="00AF6A14"/>
    <w:rsid w:val="00AF6AD4"/>
    <w:rsid w:val="00AF6F1C"/>
    <w:rsid w:val="00AF7126"/>
    <w:rsid w:val="00AF712E"/>
    <w:rsid w:val="00AF7143"/>
    <w:rsid w:val="00AF71D3"/>
    <w:rsid w:val="00AF723B"/>
    <w:rsid w:val="00AF7A6A"/>
    <w:rsid w:val="00AF7AD8"/>
    <w:rsid w:val="00AF7B20"/>
    <w:rsid w:val="00AF7B3D"/>
    <w:rsid w:val="00AF7C48"/>
    <w:rsid w:val="00AF7DC7"/>
    <w:rsid w:val="00B0002A"/>
    <w:rsid w:val="00B0027A"/>
    <w:rsid w:val="00B00283"/>
    <w:rsid w:val="00B003D9"/>
    <w:rsid w:val="00B00627"/>
    <w:rsid w:val="00B00665"/>
    <w:rsid w:val="00B0091E"/>
    <w:rsid w:val="00B00C07"/>
    <w:rsid w:val="00B00DA5"/>
    <w:rsid w:val="00B01041"/>
    <w:rsid w:val="00B0131E"/>
    <w:rsid w:val="00B01391"/>
    <w:rsid w:val="00B0142D"/>
    <w:rsid w:val="00B0157D"/>
    <w:rsid w:val="00B017C3"/>
    <w:rsid w:val="00B01A70"/>
    <w:rsid w:val="00B01ADC"/>
    <w:rsid w:val="00B01AE2"/>
    <w:rsid w:val="00B01CD9"/>
    <w:rsid w:val="00B01D49"/>
    <w:rsid w:val="00B020F2"/>
    <w:rsid w:val="00B0211F"/>
    <w:rsid w:val="00B0214A"/>
    <w:rsid w:val="00B023BF"/>
    <w:rsid w:val="00B024CF"/>
    <w:rsid w:val="00B025A0"/>
    <w:rsid w:val="00B02826"/>
    <w:rsid w:val="00B02AC1"/>
    <w:rsid w:val="00B02BB8"/>
    <w:rsid w:val="00B02EEA"/>
    <w:rsid w:val="00B02FB1"/>
    <w:rsid w:val="00B0302E"/>
    <w:rsid w:val="00B030DC"/>
    <w:rsid w:val="00B030E6"/>
    <w:rsid w:val="00B03128"/>
    <w:rsid w:val="00B03197"/>
    <w:rsid w:val="00B031B9"/>
    <w:rsid w:val="00B03277"/>
    <w:rsid w:val="00B0336F"/>
    <w:rsid w:val="00B03445"/>
    <w:rsid w:val="00B034A8"/>
    <w:rsid w:val="00B03623"/>
    <w:rsid w:val="00B03816"/>
    <w:rsid w:val="00B03B56"/>
    <w:rsid w:val="00B04101"/>
    <w:rsid w:val="00B0474C"/>
    <w:rsid w:val="00B0482A"/>
    <w:rsid w:val="00B048CB"/>
    <w:rsid w:val="00B049E8"/>
    <w:rsid w:val="00B04D0E"/>
    <w:rsid w:val="00B04FE1"/>
    <w:rsid w:val="00B05042"/>
    <w:rsid w:val="00B05233"/>
    <w:rsid w:val="00B05298"/>
    <w:rsid w:val="00B052CA"/>
    <w:rsid w:val="00B0545B"/>
    <w:rsid w:val="00B0556C"/>
    <w:rsid w:val="00B05746"/>
    <w:rsid w:val="00B057C9"/>
    <w:rsid w:val="00B059E9"/>
    <w:rsid w:val="00B05AEF"/>
    <w:rsid w:val="00B05FAB"/>
    <w:rsid w:val="00B0601A"/>
    <w:rsid w:val="00B06031"/>
    <w:rsid w:val="00B0649B"/>
    <w:rsid w:val="00B06571"/>
    <w:rsid w:val="00B0666E"/>
    <w:rsid w:val="00B069BA"/>
    <w:rsid w:val="00B069D1"/>
    <w:rsid w:val="00B06AAA"/>
    <w:rsid w:val="00B06ECC"/>
    <w:rsid w:val="00B07011"/>
    <w:rsid w:val="00B0761F"/>
    <w:rsid w:val="00B07895"/>
    <w:rsid w:val="00B07B3C"/>
    <w:rsid w:val="00B07BEB"/>
    <w:rsid w:val="00B07DC5"/>
    <w:rsid w:val="00B07E1B"/>
    <w:rsid w:val="00B07EFC"/>
    <w:rsid w:val="00B100F2"/>
    <w:rsid w:val="00B104DD"/>
    <w:rsid w:val="00B10543"/>
    <w:rsid w:val="00B10AD7"/>
    <w:rsid w:val="00B10BAD"/>
    <w:rsid w:val="00B10D17"/>
    <w:rsid w:val="00B10DF9"/>
    <w:rsid w:val="00B10DFE"/>
    <w:rsid w:val="00B10E16"/>
    <w:rsid w:val="00B10FF3"/>
    <w:rsid w:val="00B1134E"/>
    <w:rsid w:val="00B114C7"/>
    <w:rsid w:val="00B11C98"/>
    <w:rsid w:val="00B11CFF"/>
    <w:rsid w:val="00B11D39"/>
    <w:rsid w:val="00B11DE8"/>
    <w:rsid w:val="00B120DE"/>
    <w:rsid w:val="00B12564"/>
    <w:rsid w:val="00B12773"/>
    <w:rsid w:val="00B127D0"/>
    <w:rsid w:val="00B12845"/>
    <w:rsid w:val="00B12893"/>
    <w:rsid w:val="00B12B71"/>
    <w:rsid w:val="00B12B8E"/>
    <w:rsid w:val="00B12C4E"/>
    <w:rsid w:val="00B12DAC"/>
    <w:rsid w:val="00B130D6"/>
    <w:rsid w:val="00B13455"/>
    <w:rsid w:val="00B134B0"/>
    <w:rsid w:val="00B13574"/>
    <w:rsid w:val="00B13596"/>
    <w:rsid w:val="00B1359C"/>
    <w:rsid w:val="00B1385C"/>
    <w:rsid w:val="00B13AF7"/>
    <w:rsid w:val="00B13B40"/>
    <w:rsid w:val="00B13B56"/>
    <w:rsid w:val="00B13C05"/>
    <w:rsid w:val="00B13DC9"/>
    <w:rsid w:val="00B14120"/>
    <w:rsid w:val="00B1449F"/>
    <w:rsid w:val="00B148E0"/>
    <w:rsid w:val="00B14AAF"/>
    <w:rsid w:val="00B14D41"/>
    <w:rsid w:val="00B14D5C"/>
    <w:rsid w:val="00B14D6B"/>
    <w:rsid w:val="00B14F59"/>
    <w:rsid w:val="00B15201"/>
    <w:rsid w:val="00B1522F"/>
    <w:rsid w:val="00B153D1"/>
    <w:rsid w:val="00B15663"/>
    <w:rsid w:val="00B15812"/>
    <w:rsid w:val="00B15DE9"/>
    <w:rsid w:val="00B1601A"/>
    <w:rsid w:val="00B1604A"/>
    <w:rsid w:val="00B16300"/>
    <w:rsid w:val="00B168B6"/>
    <w:rsid w:val="00B16906"/>
    <w:rsid w:val="00B16B50"/>
    <w:rsid w:val="00B16D87"/>
    <w:rsid w:val="00B16FE5"/>
    <w:rsid w:val="00B17169"/>
    <w:rsid w:val="00B1739B"/>
    <w:rsid w:val="00B17608"/>
    <w:rsid w:val="00B176DD"/>
    <w:rsid w:val="00B1792A"/>
    <w:rsid w:val="00B17A71"/>
    <w:rsid w:val="00B17AFE"/>
    <w:rsid w:val="00B17C5D"/>
    <w:rsid w:val="00B17E78"/>
    <w:rsid w:val="00B201E3"/>
    <w:rsid w:val="00B20289"/>
    <w:rsid w:val="00B20695"/>
    <w:rsid w:val="00B20A0E"/>
    <w:rsid w:val="00B20B10"/>
    <w:rsid w:val="00B21164"/>
    <w:rsid w:val="00B214EE"/>
    <w:rsid w:val="00B216A7"/>
    <w:rsid w:val="00B21700"/>
    <w:rsid w:val="00B2173D"/>
    <w:rsid w:val="00B217B1"/>
    <w:rsid w:val="00B2180A"/>
    <w:rsid w:val="00B2180B"/>
    <w:rsid w:val="00B21817"/>
    <w:rsid w:val="00B219FF"/>
    <w:rsid w:val="00B21AC7"/>
    <w:rsid w:val="00B21AF6"/>
    <w:rsid w:val="00B21C12"/>
    <w:rsid w:val="00B21CE2"/>
    <w:rsid w:val="00B21EB0"/>
    <w:rsid w:val="00B21F1D"/>
    <w:rsid w:val="00B21F62"/>
    <w:rsid w:val="00B2210A"/>
    <w:rsid w:val="00B22286"/>
    <w:rsid w:val="00B2277D"/>
    <w:rsid w:val="00B22974"/>
    <w:rsid w:val="00B22982"/>
    <w:rsid w:val="00B22D67"/>
    <w:rsid w:val="00B22DA6"/>
    <w:rsid w:val="00B22E0D"/>
    <w:rsid w:val="00B23234"/>
    <w:rsid w:val="00B2325E"/>
    <w:rsid w:val="00B233AC"/>
    <w:rsid w:val="00B2342F"/>
    <w:rsid w:val="00B23472"/>
    <w:rsid w:val="00B23962"/>
    <w:rsid w:val="00B23B15"/>
    <w:rsid w:val="00B23D07"/>
    <w:rsid w:val="00B23E22"/>
    <w:rsid w:val="00B2408C"/>
    <w:rsid w:val="00B242D4"/>
    <w:rsid w:val="00B242FD"/>
    <w:rsid w:val="00B24702"/>
    <w:rsid w:val="00B24A7F"/>
    <w:rsid w:val="00B24BA7"/>
    <w:rsid w:val="00B24FD2"/>
    <w:rsid w:val="00B2507E"/>
    <w:rsid w:val="00B250AD"/>
    <w:rsid w:val="00B251AD"/>
    <w:rsid w:val="00B25495"/>
    <w:rsid w:val="00B25617"/>
    <w:rsid w:val="00B256AA"/>
    <w:rsid w:val="00B257D2"/>
    <w:rsid w:val="00B2581A"/>
    <w:rsid w:val="00B2583E"/>
    <w:rsid w:val="00B258D1"/>
    <w:rsid w:val="00B259EC"/>
    <w:rsid w:val="00B25E52"/>
    <w:rsid w:val="00B25E9A"/>
    <w:rsid w:val="00B26286"/>
    <w:rsid w:val="00B263B2"/>
    <w:rsid w:val="00B26485"/>
    <w:rsid w:val="00B26559"/>
    <w:rsid w:val="00B2662C"/>
    <w:rsid w:val="00B267E4"/>
    <w:rsid w:val="00B269A4"/>
    <w:rsid w:val="00B26B30"/>
    <w:rsid w:val="00B26C5F"/>
    <w:rsid w:val="00B26C69"/>
    <w:rsid w:val="00B26C70"/>
    <w:rsid w:val="00B26D68"/>
    <w:rsid w:val="00B26E55"/>
    <w:rsid w:val="00B27467"/>
    <w:rsid w:val="00B27505"/>
    <w:rsid w:val="00B27641"/>
    <w:rsid w:val="00B27A25"/>
    <w:rsid w:val="00B27ABD"/>
    <w:rsid w:val="00B27B59"/>
    <w:rsid w:val="00B27C6B"/>
    <w:rsid w:val="00B27DF9"/>
    <w:rsid w:val="00B27E13"/>
    <w:rsid w:val="00B27E9E"/>
    <w:rsid w:val="00B3016C"/>
    <w:rsid w:val="00B3029A"/>
    <w:rsid w:val="00B30698"/>
    <w:rsid w:val="00B30779"/>
    <w:rsid w:val="00B30813"/>
    <w:rsid w:val="00B308D4"/>
    <w:rsid w:val="00B30920"/>
    <w:rsid w:val="00B30989"/>
    <w:rsid w:val="00B30BA2"/>
    <w:rsid w:val="00B30C00"/>
    <w:rsid w:val="00B30CF4"/>
    <w:rsid w:val="00B30FD7"/>
    <w:rsid w:val="00B30FE2"/>
    <w:rsid w:val="00B31074"/>
    <w:rsid w:val="00B311A8"/>
    <w:rsid w:val="00B315AC"/>
    <w:rsid w:val="00B31634"/>
    <w:rsid w:val="00B31A21"/>
    <w:rsid w:val="00B31D23"/>
    <w:rsid w:val="00B31E50"/>
    <w:rsid w:val="00B32006"/>
    <w:rsid w:val="00B32007"/>
    <w:rsid w:val="00B32199"/>
    <w:rsid w:val="00B325D2"/>
    <w:rsid w:val="00B3271B"/>
    <w:rsid w:val="00B32B14"/>
    <w:rsid w:val="00B32DC8"/>
    <w:rsid w:val="00B33183"/>
    <w:rsid w:val="00B33227"/>
    <w:rsid w:val="00B332BF"/>
    <w:rsid w:val="00B333D4"/>
    <w:rsid w:val="00B335E1"/>
    <w:rsid w:val="00B33769"/>
    <w:rsid w:val="00B33CFA"/>
    <w:rsid w:val="00B33DE8"/>
    <w:rsid w:val="00B33E16"/>
    <w:rsid w:val="00B340A3"/>
    <w:rsid w:val="00B340B4"/>
    <w:rsid w:val="00B3430C"/>
    <w:rsid w:val="00B34425"/>
    <w:rsid w:val="00B34823"/>
    <w:rsid w:val="00B348DB"/>
    <w:rsid w:val="00B349FC"/>
    <w:rsid w:val="00B353C0"/>
    <w:rsid w:val="00B3574D"/>
    <w:rsid w:val="00B35761"/>
    <w:rsid w:val="00B357C9"/>
    <w:rsid w:val="00B35892"/>
    <w:rsid w:val="00B35913"/>
    <w:rsid w:val="00B35B32"/>
    <w:rsid w:val="00B35DE7"/>
    <w:rsid w:val="00B36208"/>
    <w:rsid w:val="00B363DA"/>
    <w:rsid w:val="00B364E6"/>
    <w:rsid w:val="00B364F3"/>
    <w:rsid w:val="00B36BC0"/>
    <w:rsid w:val="00B36C47"/>
    <w:rsid w:val="00B36CAE"/>
    <w:rsid w:val="00B36DB1"/>
    <w:rsid w:val="00B36DF2"/>
    <w:rsid w:val="00B370BF"/>
    <w:rsid w:val="00B3759B"/>
    <w:rsid w:val="00B378A8"/>
    <w:rsid w:val="00B378C7"/>
    <w:rsid w:val="00B37A99"/>
    <w:rsid w:val="00B40078"/>
    <w:rsid w:val="00B4011B"/>
    <w:rsid w:val="00B40151"/>
    <w:rsid w:val="00B401A0"/>
    <w:rsid w:val="00B401DF"/>
    <w:rsid w:val="00B40222"/>
    <w:rsid w:val="00B4045E"/>
    <w:rsid w:val="00B404E1"/>
    <w:rsid w:val="00B407B6"/>
    <w:rsid w:val="00B407F6"/>
    <w:rsid w:val="00B4105A"/>
    <w:rsid w:val="00B41239"/>
    <w:rsid w:val="00B41356"/>
    <w:rsid w:val="00B414A7"/>
    <w:rsid w:val="00B41574"/>
    <w:rsid w:val="00B41802"/>
    <w:rsid w:val="00B418CC"/>
    <w:rsid w:val="00B41A69"/>
    <w:rsid w:val="00B41C69"/>
    <w:rsid w:val="00B41D91"/>
    <w:rsid w:val="00B41E7D"/>
    <w:rsid w:val="00B41F50"/>
    <w:rsid w:val="00B41F87"/>
    <w:rsid w:val="00B420CD"/>
    <w:rsid w:val="00B42170"/>
    <w:rsid w:val="00B42284"/>
    <w:rsid w:val="00B42300"/>
    <w:rsid w:val="00B4259C"/>
    <w:rsid w:val="00B42BAE"/>
    <w:rsid w:val="00B42C7F"/>
    <w:rsid w:val="00B42D30"/>
    <w:rsid w:val="00B42E07"/>
    <w:rsid w:val="00B4317A"/>
    <w:rsid w:val="00B431DC"/>
    <w:rsid w:val="00B4329A"/>
    <w:rsid w:val="00B435E0"/>
    <w:rsid w:val="00B43609"/>
    <w:rsid w:val="00B43903"/>
    <w:rsid w:val="00B439E7"/>
    <w:rsid w:val="00B43A63"/>
    <w:rsid w:val="00B43C11"/>
    <w:rsid w:val="00B43DBC"/>
    <w:rsid w:val="00B43FBF"/>
    <w:rsid w:val="00B44132"/>
    <w:rsid w:val="00B4425B"/>
    <w:rsid w:val="00B4426D"/>
    <w:rsid w:val="00B443DA"/>
    <w:rsid w:val="00B4459D"/>
    <w:rsid w:val="00B44A95"/>
    <w:rsid w:val="00B44DE2"/>
    <w:rsid w:val="00B44E44"/>
    <w:rsid w:val="00B44EA3"/>
    <w:rsid w:val="00B44F0D"/>
    <w:rsid w:val="00B44F23"/>
    <w:rsid w:val="00B45071"/>
    <w:rsid w:val="00B454B8"/>
    <w:rsid w:val="00B45584"/>
    <w:rsid w:val="00B4588E"/>
    <w:rsid w:val="00B45B0E"/>
    <w:rsid w:val="00B45C8A"/>
    <w:rsid w:val="00B45E6B"/>
    <w:rsid w:val="00B45F13"/>
    <w:rsid w:val="00B460B6"/>
    <w:rsid w:val="00B464C1"/>
    <w:rsid w:val="00B464FC"/>
    <w:rsid w:val="00B4684D"/>
    <w:rsid w:val="00B4695B"/>
    <w:rsid w:val="00B46E3C"/>
    <w:rsid w:val="00B46EE2"/>
    <w:rsid w:val="00B47020"/>
    <w:rsid w:val="00B47469"/>
    <w:rsid w:val="00B475C9"/>
    <w:rsid w:val="00B47720"/>
    <w:rsid w:val="00B477D5"/>
    <w:rsid w:val="00B4780F"/>
    <w:rsid w:val="00B47912"/>
    <w:rsid w:val="00B47A2E"/>
    <w:rsid w:val="00B47B71"/>
    <w:rsid w:val="00B47BFA"/>
    <w:rsid w:val="00B50235"/>
    <w:rsid w:val="00B502E6"/>
    <w:rsid w:val="00B5077D"/>
    <w:rsid w:val="00B508BC"/>
    <w:rsid w:val="00B50B75"/>
    <w:rsid w:val="00B50B7A"/>
    <w:rsid w:val="00B50D33"/>
    <w:rsid w:val="00B50D7C"/>
    <w:rsid w:val="00B50EC0"/>
    <w:rsid w:val="00B51374"/>
    <w:rsid w:val="00B51394"/>
    <w:rsid w:val="00B51570"/>
    <w:rsid w:val="00B515B4"/>
    <w:rsid w:val="00B51639"/>
    <w:rsid w:val="00B51671"/>
    <w:rsid w:val="00B516CC"/>
    <w:rsid w:val="00B5181C"/>
    <w:rsid w:val="00B51D61"/>
    <w:rsid w:val="00B51E9B"/>
    <w:rsid w:val="00B51FF6"/>
    <w:rsid w:val="00B51FFE"/>
    <w:rsid w:val="00B52029"/>
    <w:rsid w:val="00B521C6"/>
    <w:rsid w:val="00B5223A"/>
    <w:rsid w:val="00B522BB"/>
    <w:rsid w:val="00B523F6"/>
    <w:rsid w:val="00B5258A"/>
    <w:rsid w:val="00B526EC"/>
    <w:rsid w:val="00B52A8E"/>
    <w:rsid w:val="00B52B1E"/>
    <w:rsid w:val="00B52BB5"/>
    <w:rsid w:val="00B530D1"/>
    <w:rsid w:val="00B5317D"/>
    <w:rsid w:val="00B531CB"/>
    <w:rsid w:val="00B535E5"/>
    <w:rsid w:val="00B53605"/>
    <w:rsid w:val="00B53698"/>
    <w:rsid w:val="00B536F0"/>
    <w:rsid w:val="00B53809"/>
    <w:rsid w:val="00B53AE5"/>
    <w:rsid w:val="00B53BFC"/>
    <w:rsid w:val="00B53F29"/>
    <w:rsid w:val="00B54047"/>
    <w:rsid w:val="00B54388"/>
    <w:rsid w:val="00B547E4"/>
    <w:rsid w:val="00B54C59"/>
    <w:rsid w:val="00B54D1D"/>
    <w:rsid w:val="00B54F4E"/>
    <w:rsid w:val="00B55650"/>
    <w:rsid w:val="00B55BF6"/>
    <w:rsid w:val="00B56321"/>
    <w:rsid w:val="00B56513"/>
    <w:rsid w:val="00B5664A"/>
    <w:rsid w:val="00B56800"/>
    <w:rsid w:val="00B569C0"/>
    <w:rsid w:val="00B56C06"/>
    <w:rsid w:val="00B56D3E"/>
    <w:rsid w:val="00B56F03"/>
    <w:rsid w:val="00B56FF7"/>
    <w:rsid w:val="00B572D3"/>
    <w:rsid w:val="00B5748D"/>
    <w:rsid w:val="00B57970"/>
    <w:rsid w:val="00B57A63"/>
    <w:rsid w:val="00B57C13"/>
    <w:rsid w:val="00B6000E"/>
    <w:rsid w:val="00B600E3"/>
    <w:rsid w:val="00B6016A"/>
    <w:rsid w:val="00B60997"/>
    <w:rsid w:val="00B60A74"/>
    <w:rsid w:val="00B60ADF"/>
    <w:rsid w:val="00B60B90"/>
    <w:rsid w:val="00B60CDC"/>
    <w:rsid w:val="00B60F1F"/>
    <w:rsid w:val="00B60F73"/>
    <w:rsid w:val="00B6100D"/>
    <w:rsid w:val="00B61379"/>
    <w:rsid w:val="00B613E8"/>
    <w:rsid w:val="00B614D6"/>
    <w:rsid w:val="00B614E3"/>
    <w:rsid w:val="00B6184E"/>
    <w:rsid w:val="00B619F7"/>
    <w:rsid w:val="00B61D65"/>
    <w:rsid w:val="00B61E27"/>
    <w:rsid w:val="00B6206C"/>
    <w:rsid w:val="00B620F8"/>
    <w:rsid w:val="00B6237C"/>
    <w:rsid w:val="00B62470"/>
    <w:rsid w:val="00B6250A"/>
    <w:rsid w:val="00B626AE"/>
    <w:rsid w:val="00B62847"/>
    <w:rsid w:val="00B629C3"/>
    <w:rsid w:val="00B63018"/>
    <w:rsid w:val="00B63271"/>
    <w:rsid w:val="00B637FB"/>
    <w:rsid w:val="00B63B56"/>
    <w:rsid w:val="00B63B94"/>
    <w:rsid w:val="00B63BA3"/>
    <w:rsid w:val="00B63BB6"/>
    <w:rsid w:val="00B63C58"/>
    <w:rsid w:val="00B63C91"/>
    <w:rsid w:val="00B63D88"/>
    <w:rsid w:val="00B63DB5"/>
    <w:rsid w:val="00B642D8"/>
    <w:rsid w:val="00B6449E"/>
    <w:rsid w:val="00B64620"/>
    <w:rsid w:val="00B646F7"/>
    <w:rsid w:val="00B647D4"/>
    <w:rsid w:val="00B64F5F"/>
    <w:rsid w:val="00B64FC3"/>
    <w:rsid w:val="00B65051"/>
    <w:rsid w:val="00B65144"/>
    <w:rsid w:val="00B651BC"/>
    <w:rsid w:val="00B65436"/>
    <w:rsid w:val="00B65707"/>
    <w:rsid w:val="00B65796"/>
    <w:rsid w:val="00B65915"/>
    <w:rsid w:val="00B6597B"/>
    <w:rsid w:val="00B65E5F"/>
    <w:rsid w:val="00B65EC8"/>
    <w:rsid w:val="00B660F3"/>
    <w:rsid w:val="00B6616A"/>
    <w:rsid w:val="00B6627B"/>
    <w:rsid w:val="00B66335"/>
    <w:rsid w:val="00B663A5"/>
    <w:rsid w:val="00B66468"/>
    <w:rsid w:val="00B664AD"/>
    <w:rsid w:val="00B666A1"/>
    <w:rsid w:val="00B66A8A"/>
    <w:rsid w:val="00B66B79"/>
    <w:rsid w:val="00B66B98"/>
    <w:rsid w:val="00B66C5E"/>
    <w:rsid w:val="00B6711F"/>
    <w:rsid w:val="00B67170"/>
    <w:rsid w:val="00B673AC"/>
    <w:rsid w:val="00B673B5"/>
    <w:rsid w:val="00B67523"/>
    <w:rsid w:val="00B67758"/>
    <w:rsid w:val="00B6776E"/>
    <w:rsid w:val="00B67C3B"/>
    <w:rsid w:val="00B702FC"/>
    <w:rsid w:val="00B7037A"/>
    <w:rsid w:val="00B70392"/>
    <w:rsid w:val="00B7052D"/>
    <w:rsid w:val="00B70617"/>
    <w:rsid w:val="00B70CE5"/>
    <w:rsid w:val="00B70DD8"/>
    <w:rsid w:val="00B70EB1"/>
    <w:rsid w:val="00B70F8C"/>
    <w:rsid w:val="00B71371"/>
    <w:rsid w:val="00B7146E"/>
    <w:rsid w:val="00B714CD"/>
    <w:rsid w:val="00B7150B"/>
    <w:rsid w:val="00B71577"/>
    <w:rsid w:val="00B71640"/>
    <w:rsid w:val="00B71B13"/>
    <w:rsid w:val="00B71B3C"/>
    <w:rsid w:val="00B71C5A"/>
    <w:rsid w:val="00B72078"/>
    <w:rsid w:val="00B720A1"/>
    <w:rsid w:val="00B72396"/>
    <w:rsid w:val="00B72635"/>
    <w:rsid w:val="00B726C7"/>
    <w:rsid w:val="00B72A98"/>
    <w:rsid w:val="00B72C3F"/>
    <w:rsid w:val="00B72D03"/>
    <w:rsid w:val="00B72E77"/>
    <w:rsid w:val="00B72E80"/>
    <w:rsid w:val="00B72F65"/>
    <w:rsid w:val="00B731B3"/>
    <w:rsid w:val="00B73312"/>
    <w:rsid w:val="00B7332A"/>
    <w:rsid w:val="00B7340A"/>
    <w:rsid w:val="00B73432"/>
    <w:rsid w:val="00B735EB"/>
    <w:rsid w:val="00B7367C"/>
    <w:rsid w:val="00B73714"/>
    <w:rsid w:val="00B73A9B"/>
    <w:rsid w:val="00B73D15"/>
    <w:rsid w:val="00B73D4A"/>
    <w:rsid w:val="00B73D4F"/>
    <w:rsid w:val="00B73EB5"/>
    <w:rsid w:val="00B74159"/>
    <w:rsid w:val="00B7419C"/>
    <w:rsid w:val="00B743D1"/>
    <w:rsid w:val="00B74587"/>
    <w:rsid w:val="00B74C72"/>
    <w:rsid w:val="00B74D0B"/>
    <w:rsid w:val="00B752A2"/>
    <w:rsid w:val="00B75330"/>
    <w:rsid w:val="00B75774"/>
    <w:rsid w:val="00B75786"/>
    <w:rsid w:val="00B757C6"/>
    <w:rsid w:val="00B75CCA"/>
    <w:rsid w:val="00B75ED8"/>
    <w:rsid w:val="00B76465"/>
    <w:rsid w:val="00B76520"/>
    <w:rsid w:val="00B768B9"/>
    <w:rsid w:val="00B768D6"/>
    <w:rsid w:val="00B76AA3"/>
    <w:rsid w:val="00B76B30"/>
    <w:rsid w:val="00B76C55"/>
    <w:rsid w:val="00B76C80"/>
    <w:rsid w:val="00B770A4"/>
    <w:rsid w:val="00B770C2"/>
    <w:rsid w:val="00B77135"/>
    <w:rsid w:val="00B771E4"/>
    <w:rsid w:val="00B772E3"/>
    <w:rsid w:val="00B7752C"/>
    <w:rsid w:val="00B7755B"/>
    <w:rsid w:val="00B7764E"/>
    <w:rsid w:val="00B77666"/>
    <w:rsid w:val="00B7792A"/>
    <w:rsid w:val="00B77DF6"/>
    <w:rsid w:val="00B77E5F"/>
    <w:rsid w:val="00B8012D"/>
    <w:rsid w:val="00B80180"/>
    <w:rsid w:val="00B80209"/>
    <w:rsid w:val="00B805BD"/>
    <w:rsid w:val="00B809C9"/>
    <w:rsid w:val="00B80BE6"/>
    <w:rsid w:val="00B80CCD"/>
    <w:rsid w:val="00B80D13"/>
    <w:rsid w:val="00B80E03"/>
    <w:rsid w:val="00B81206"/>
    <w:rsid w:val="00B81496"/>
    <w:rsid w:val="00B816C8"/>
    <w:rsid w:val="00B81749"/>
    <w:rsid w:val="00B8174F"/>
    <w:rsid w:val="00B817BF"/>
    <w:rsid w:val="00B81A53"/>
    <w:rsid w:val="00B81C9B"/>
    <w:rsid w:val="00B81E2A"/>
    <w:rsid w:val="00B81E9F"/>
    <w:rsid w:val="00B81F77"/>
    <w:rsid w:val="00B822BE"/>
    <w:rsid w:val="00B824B6"/>
    <w:rsid w:val="00B8287C"/>
    <w:rsid w:val="00B82950"/>
    <w:rsid w:val="00B82A3E"/>
    <w:rsid w:val="00B82A7C"/>
    <w:rsid w:val="00B82BDD"/>
    <w:rsid w:val="00B82C3B"/>
    <w:rsid w:val="00B82D52"/>
    <w:rsid w:val="00B82E43"/>
    <w:rsid w:val="00B82F5A"/>
    <w:rsid w:val="00B8354E"/>
    <w:rsid w:val="00B839E3"/>
    <w:rsid w:val="00B83A0D"/>
    <w:rsid w:val="00B83D33"/>
    <w:rsid w:val="00B83EBF"/>
    <w:rsid w:val="00B840CF"/>
    <w:rsid w:val="00B8462A"/>
    <w:rsid w:val="00B846C4"/>
    <w:rsid w:val="00B849E1"/>
    <w:rsid w:val="00B84BAD"/>
    <w:rsid w:val="00B84CBE"/>
    <w:rsid w:val="00B854CA"/>
    <w:rsid w:val="00B858A3"/>
    <w:rsid w:val="00B85977"/>
    <w:rsid w:val="00B85A27"/>
    <w:rsid w:val="00B85AF1"/>
    <w:rsid w:val="00B85E16"/>
    <w:rsid w:val="00B85F94"/>
    <w:rsid w:val="00B86012"/>
    <w:rsid w:val="00B86813"/>
    <w:rsid w:val="00B86A3C"/>
    <w:rsid w:val="00B86BAB"/>
    <w:rsid w:val="00B86C89"/>
    <w:rsid w:val="00B86CD7"/>
    <w:rsid w:val="00B87020"/>
    <w:rsid w:val="00B870F1"/>
    <w:rsid w:val="00B87533"/>
    <w:rsid w:val="00B87649"/>
    <w:rsid w:val="00B876C2"/>
    <w:rsid w:val="00B878E6"/>
    <w:rsid w:val="00B87A38"/>
    <w:rsid w:val="00B87AA3"/>
    <w:rsid w:val="00B87D6F"/>
    <w:rsid w:val="00B87E7F"/>
    <w:rsid w:val="00B87EA6"/>
    <w:rsid w:val="00B90195"/>
    <w:rsid w:val="00B90326"/>
    <w:rsid w:val="00B903E5"/>
    <w:rsid w:val="00B90400"/>
    <w:rsid w:val="00B907C9"/>
    <w:rsid w:val="00B90848"/>
    <w:rsid w:val="00B90A13"/>
    <w:rsid w:val="00B90A66"/>
    <w:rsid w:val="00B90B4F"/>
    <w:rsid w:val="00B90BA0"/>
    <w:rsid w:val="00B90CBD"/>
    <w:rsid w:val="00B90CEB"/>
    <w:rsid w:val="00B90DCB"/>
    <w:rsid w:val="00B90FB9"/>
    <w:rsid w:val="00B91252"/>
    <w:rsid w:val="00B913A3"/>
    <w:rsid w:val="00B915DC"/>
    <w:rsid w:val="00B9183A"/>
    <w:rsid w:val="00B91A00"/>
    <w:rsid w:val="00B91A65"/>
    <w:rsid w:val="00B91C8E"/>
    <w:rsid w:val="00B91D80"/>
    <w:rsid w:val="00B91E02"/>
    <w:rsid w:val="00B91F72"/>
    <w:rsid w:val="00B91FB7"/>
    <w:rsid w:val="00B9244A"/>
    <w:rsid w:val="00B927BC"/>
    <w:rsid w:val="00B927D8"/>
    <w:rsid w:val="00B9299B"/>
    <w:rsid w:val="00B92A0C"/>
    <w:rsid w:val="00B92C56"/>
    <w:rsid w:val="00B92DFC"/>
    <w:rsid w:val="00B92E8F"/>
    <w:rsid w:val="00B92EA1"/>
    <w:rsid w:val="00B92F43"/>
    <w:rsid w:val="00B93708"/>
    <w:rsid w:val="00B938F9"/>
    <w:rsid w:val="00B9393C"/>
    <w:rsid w:val="00B9396D"/>
    <w:rsid w:val="00B93A94"/>
    <w:rsid w:val="00B93B0C"/>
    <w:rsid w:val="00B93C3E"/>
    <w:rsid w:val="00B9413C"/>
    <w:rsid w:val="00B94364"/>
    <w:rsid w:val="00B9436D"/>
    <w:rsid w:val="00B943AE"/>
    <w:rsid w:val="00B944CE"/>
    <w:rsid w:val="00B94542"/>
    <w:rsid w:val="00B945C7"/>
    <w:rsid w:val="00B9494F"/>
    <w:rsid w:val="00B94BD8"/>
    <w:rsid w:val="00B94CC8"/>
    <w:rsid w:val="00B94D64"/>
    <w:rsid w:val="00B94F15"/>
    <w:rsid w:val="00B94FDF"/>
    <w:rsid w:val="00B95279"/>
    <w:rsid w:val="00B953F4"/>
    <w:rsid w:val="00B958D4"/>
    <w:rsid w:val="00B959D3"/>
    <w:rsid w:val="00B95AE0"/>
    <w:rsid w:val="00B95B28"/>
    <w:rsid w:val="00B95C5F"/>
    <w:rsid w:val="00B95F95"/>
    <w:rsid w:val="00B962FD"/>
    <w:rsid w:val="00B965A6"/>
    <w:rsid w:val="00B96937"/>
    <w:rsid w:val="00B96B23"/>
    <w:rsid w:val="00B96F0F"/>
    <w:rsid w:val="00B97013"/>
    <w:rsid w:val="00B9738D"/>
    <w:rsid w:val="00B974E1"/>
    <w:rsid w:val="00B9774E"/>
    <w:rsid w:val="00B977D9"/>
    <w:rsid w:val="00B979DD"/>
    <w:rsid w:val="00B97BF9"/>
    <w:rsid w:val="00BA01F1"/>
    <w:rsid w:val="00BA01F9"/>
    <w:rsid w:val="00BA037E"/>
    <w:rsid w:val="00BA06D3"/>
    <w:rsid w:val="00BA0D14"/>
    <w:rsid w:val="00BA0D46"/>
    <w:rsid w:val="00BA0D60"/>
    <w:rsid w:val="00BA0E69"/>
    <w:rsid w:val="00BA104E"/>
    <w:rsid w:val="00BA1149"/>
    <w:rsid w:val="00BA1260"/>
    <w:rsid w:val="00BA127E"/>
    <w:rsid w:val="00BA12D5"/>
    <w:rsid w:val="00BA136B"/>
    <w:rsid w:val="00BA1532"/>
    <w:rsid w:val="00BA162D"/>
    <w:rsid w:val="00BA17BA"/>
    <w:rsid w:val="00BA182D"/>
    <w:rsid w:val="00BA18F8"/>
    <w:rsid w:val="00BA1C88"/>
    <w:rsid w:val="00BA1E55"/>
    <w:rsid w:val="00BA1EA2"/>
    <w:rsid w:val="00BA212B"/>
    <w:rsid w:val="00BA226F"/>
    <w:rsid w:val="00BA2285"/>
    <w:rsid w:val="00BA25E1"/>
    <w:rsid w:val="00BA2A05"/>
    <w:rsid w:val="00BA300C"/>
    <w:rsid w:val="00BA342D"/>
    <w:rsid w:val="00BA34AC"/>
    <w:rsid w:val="00BA35C3"/>
    <w:rsid w:val="00BA38A5"/>
    <w:rsid w:val="00BA3B41"/>
    <w:rsid w:val="00BA3BC0"/>
    <w:rsid w:val="00BA3D4C"/>
    <w:rsid w:val="00BA3EF7"/>
    <w:rsid w:val="00BA3F92"/>
    <w:rsid w:val="00BA42B3"/>
    <w:rsid w:val="00BA438C"/>
    <w:rsid w:val="00BA45F2"/>
    <w:rsid w:val="00BA48A8"/>
    <w:rsid w:val="00BA4919"/>
    <w:rsid w:val="00BA4A79"/>
    <w:rsid w:val="00BA4AC2"/>
    <w:rsid w:val="00BA4D21"/>
    <w:rsid w:val="00BA51E9"/>
    <w:rsid w:val="00BA525A"/>
    <w:rsid w:val="00BA52B5"/>
    <w:rsid w:val="00BA551C"/>
    <w:rsid w:val="00BA5592"/>
    <w:rsid w:val="00BA55DF"/>
    <w:rsid w:val="00BA593E"/>
    <w:rsid w:val="00BA5970"/>
    <w:rsid w:val="00BA5A1F"/>
    <w:rsid w:val="00BA5C57"/>
    <w:rsid w:val="00BA5D42"/>
    <w:rsid w:val="00BA61F2"/>
    <w:rsid w:val="00BA624E"/>
    <w:rsid w:val="00BA6319"/>
    <w:rsid w:val="00BA68CC"/>
    <w:rsid w:val="00BA68F3"/>
    <w:rsid w:val="00BA699F"/>
    <w:rsid w:val="00BA6ADC"/>
    <w:rsid w:val="00BA6C4D"/>
    <w:rsid w:val="00BA6D81"/>
    <w:rsid w:val="00BA70EC"/>
    <w:rsid w:val="00BA71BB"/>
    <w:rsid w:val="00BA7378"/>
    <w:rsid w:val="00BA73FF"/>
    <w:rsid w:val="00BA77FC"/>
    <w:rsid w:val="00BA7921"/>
    <w:rsid w:val="00BA7B25"/>
    <w:rsid w:val="00BA7BA1"/>
    <w:rsid w:val="00BA7BF4"/>
    <w:rsid w:val="00BA7C56"/>
    <w:rsid w:val="00BAABC0"/>
    <w:rsid w:val="00BB00C1"/>
    <w:rsid w:val="00BB0271"/>
    <w:rsid w:val="00BB02D7"/>
    <w:rsid w:val="00BB02E9"/>
    <w:rsid w:val="00BB0420"/>
    <w:rsid w:val="00BB04EC"/>
    <w:rsid w:val="00BB09BA"/>
    <w:rsid w:val="00BB0C99"/>
    <w:rsid w:val="00BB0D55"/>
    <w:rsid w:val="00BB0F18"/>
    <w:rsid w:val="00BB10A7"/>
    <w:rsid w:val="00BB1534"/>
    <w:rsid w:val="00BB15BF"/>
    <w:rsid w:val="00BB15DC"/>
    <w:rsid w:val="00BB18F1"/>
    <w:rsid w:val="00BB196B"/>
    <w:rsid w:val="00BB1A37"/>
    <w:rsid w:val="00BB1A6D"/>
    <w:rsid w:val="00BB1AE2"/>
    <w:rsid w:val="00BB1B41"/>
    <w:rsid w:val="00BB1DF9"/>
    <w:rsid w:val="00BB23DF"/>
    <w:rsid w:val="00BB29B3"/>
    <w:rsid w:val="00BB29F8"/>
    <w:rsid w:val="00BB2B0F"/>
    <w:rsid w:val="00BB2BAA"/>
    <w:rsid w:val="00BB2C4F"/>
    <w:rsid w:val="00BB2C90"/>
    <w:rsid w:val="00BB2EE0"/>
    <w:rsid w:val="00BB2F0A"/>
    <w:rsid w:val="00BB3130"/>
    <w:rsid w:val="00BB31D9"/>
    <w:rsid w:val="00BB3630"/>
    <w:rsid w:val="00BB3742"/>
    <w:rsid w:val="00BB375F"/>
    <w:rsid w:val="00BB3785"/>
    <w:rsid w:val="00BB3822"/>
    <w:rsid w:val="00BB38A7"/>
    <w:rsid w:val="00BB392C"/>
    <w:rsid w:val="00BB39A1"/>
    <w:rsid w:val="00BB3A27"/>
    <w:rsid w:val="00BB3CBF"/>
    <w:rsid w:val="00BB3ED5"/>
    <w:rsid w:val="00BB3FDE"/>
    <w:rsid w:val="00BB414B"/>
    <w:rsid w:val="00BB420C"/>
    <w:rsid w:val="00BB4288"/>
    <w:rsid w:val="00BB42CF"/>
    <w:rsid w:val="00BB45DD"/>
    <w:rsid w:val="00BB45F5"/>
    <w:rsid w:val="00BB4742"/>
    <w:rsid w:val="00BB4BE3"/>
    <w:rsid w:val="00BB4D4D"/>
    <w:rsid w:val="00BB4D67"/>
    <w:rsid w:val="00BB4E72"/>
    <w:rsid w:val="00BB4EA7"/>
    <w:rsid w:val="00BB5016"/>
    <w:rsid w:val="00BB508E"/>
    <w:rsid w:val="00BB5141"/>
    <w:rsid w:val="00BB5252"/>
    <w:rsid w:val="00BB54CC"/>
    <w:rsid w:val="00BB5552"/>
    <w:rsid w:val="00BB5594"/>
    <w:rsid w:val="00BB5853"/>
    <w:rsid w:val="00BB5A57"/>
    <w:rsid w:val="00BB5A80"/>
    <w:rsid w:val="00BB5B88"/>
    <w:rsid w:val="00BB5C7B"/>
    <w:rsid w:val="00BB5DDE"/>
    <w:rsid w:val="00BB5F2F"/>
    <w:rsid w:val="00BB6A37"/>
    <w:rsid w:val="00BB6C5D"/>
    <w:rsid w:val="00BB6C7C"/>
    <w:rsid w:val="00BB6E7C"/>
    <w:rsid w:val="00BB707F"/>
    <w:rsid w:val="00BB72EA"/>
    <w:rsid w:val="00BB7A4C"/>
    <w:rsid w:val="00BB7C22"/>
    <w:rsid w:val="00BB7C8D"/>
    <w:rsid w:val="00BB7F63"/>
    <w:rsid w:val="00BC0005"/>
    <w:rsid w:val="00BC01DE"/>
    <w:rsid w:val="00BC026A"/>
    <w:rsid w:val="00BC02E9"/>
    <w:rsid w:val="00BC042F"/>
    <w:rsid w:val="00BC044A"/>
    <w:rsid w:val="00BC04AF"/>
    <w:rsid w:val="00BC05DE"/>
    <w:rsid w:val="00BC0627"/>
    <w:rsid w:val="00BC06D2"/>
    <w:rsid w:val="00BC0763"/>
    <w:rsid w:val="00BC0BCF"/>
    <w:rsid w:val="00BC124A"/>
    <w:rsid w:val="00BC18E4"/>
    <w:rsid w:val="00BC1905"/>
    <w:rsid w:val="00BC1D27"/>
    <w:rsid w:val="00BC1D55"/>
    <w:rsid w:val="00BC1F30"/>
    <w:rsid w:val="00BC2037"/>
    <w:rsid w:val="00BC2181"/>
    <w:rsid w:val="00BC2657"/>
    <w:rsid w:val="00BC2B76"/>
    <w:rsid w:val="00BC2C81"/>
    <w:rsid w:val="00BC2C90"/>
    <w:rsid w:val="00BC2D7A"/>
    <w:rsid w:val="00BC30D6"/>
    <w:rsid w:val="00BC321A"/>
    <w:rsid w:val="00BC3722"/>
    <w:rsid w:val="00BC39AD"/>
    <w:rsid w:val="00BC39E7"/>
    <w:rsid w:val="00BC3BA1"/>
    <w:rsid w:val="00BC3D1F"/>
    <w:rsid w:val="00BC3D21"/>
    <w:rsid w:val="00BC3FB0"/>
    <w:rsid w:val="00BC40BE"/>
    <w:rsid w:val="00BC41BE"/>
    <w:rsid w:val="00BC4452"/>
    <w:rsid w:val="00BC4610"/>
    <w:rsid w:val="00BC46BF"/>
    <w:rsid w:val="00BC47C2"/>
    <w:rsid w:val="00BC4927"/>
    <w:rsid w:val="00BC4A4A"/>
    <w:rsid w:val="00BC4A60"/>
    <w:rsid w:val="00BC4AC6"/>
    <w:rsid w:val="00BC4C04"/>
    <w:rsid w:val="00BC4E1A"/>
    <w:rsid w:val="00BC4ED0"/>
    <w:rsid w:val="00BC4F05"/>
    <w:rsid w:val="00BC5164"/>
    <w:rsid w:val="00BC51EF"/>
    <w:rsid w:val="00BC520A"/>
    <w:rsid w:val="00BC52D5"/>
    <w:rsid w:val="00BC532C"/>
    <w:rsid w:val="00BC5382"/>
    <w:rsid w:val="00BC55B6"/>
    <w:rsid w:val="00BC57FB"/>
    <w:rsid w:val="00BC59E2"/>
    <w:rsid w:val="00BC5ABE"/>
    <w:rsid w:val="00BC6471"/>
    <w:rsid w:val="00BC64E3"/>
    <w:rsid w:val="00BC653D"/>
    <w:rsid w:val="00BC6691"/>
    <w:rsid w:val="00BC675D"/>
    <w:rsid w:val="00BC68E2"/>
    <w:rsid w:val="00BC6979"/>
    <w:rsid w:val="00BC6CFC"/>
    <w:rsid w:val="00BC7406"/>
    <w:rsid w:val="00BC7935"/>
    <w:rsid w:val="00BC79FA"/>
    <w:rsid w:val="00BC7ADC"/>
    <w:rsid w:val="00BC7ADE"/>
    <w:rsid w:val="00BC7C83"/>
    <w:rsid w:val="00BC7D46"/>
    <w:rsid w:val="00BC7DD2"/>
    <w:rsid w:val="00BC7E0F"/>
    <w:rsid w:val="00BC7E66"/>
    <w:rsid w:val="00BC7EAB"/>
    <w:rsid w:val="00BC7F4D"/>
    <w:rsid w:val="00BC7FEA"/>
    <w:rsid w:val="00BC7FFA"/>
    <w:rsid w:val="00BD03AC"/>
    <w:rsid w:val="00BD06E4"/>
    <w:rsid w:val="00BD077E"/>
    <w:rsid w:val="00BD0806"/>
    <w:rsid w:val="00BD09B8"/>
    <w:rsid w:val="00BD0DFE"/>
    <w:rsid w:val="00BD0E0F"/>
    <w:rsid w:val="00BD0EBB"/>
    <w:rsid w:val="00BD0F65"/>
    <w:rsid w:val="00BD1272"/>
    <w:rsid w:val="00BD152C"/>
    <w:rsid w:val="00BD153A"/>
    <w:rsid w:val="00BD1686"/>
    <w:rsid w:val="00BD19F9"/>
    <w:rsid w:val="00BD1CDB"/>
    <w:rsid w:val="00BD1E3B"/>
    <w:rsid w:val="00BD1E4E"/>
    <w:rsid w:val="00BD1EA5"/>
    <w:rsid w:val="00BD200B"/>
    <w:rsid w:val="00BD22CC"/>
    <w:rsid w:val="00BD2366"/>
    <w:rsid w:val="00BD25D2"/>
    <w:rsid w:val="00BD2652"/>
    <w:rsid w:val="00BD27B6"/>
    <w:rsid w:val="00BD2F01"/>
    <w:rsid w:val="00BD2F38"/>
    <w:rsid w:val="00BD314A"/>
    <w:rsid w:val="00BD33FB"/>
    <w:rsid w:val="00BD3481"/>
    <w:rsid w:val="00BD34E6"/>
    <w:rsid w:val="00BD35DA"/>
    <w:rsid w:val="00BD366E"/>
    <w:rsid w:val="00BD3922"/>
    <w:rsid w:val="00BD3A1A"/>
    <w:rsid w:val="00BD3E78"/>
    <w:rsid w:val="00BD3F64"/>
    <w:rsid w:val="00BD421B"/>
    <w:rsid w:val="00BD42C6"/>
    <w:rsid w:val="00BD42CE"/>
    <w:rsid w:val="00BD4592"/>
    <w:rsid w:val="00BD4596"/>
    <w:rsid w:val="00BD45B3"/>
    <w:rsid w:val="00BD4640"/>
    <w:rsid w:val="00BD47B6"/>
    <w:rsid w:val="00BD47BF"/>
    <w:rsid w:val="00BD47E2"/>
    <w:rsid w:val="00BD4B23"/>
    <w:rsid w:val="00BD4CB9"/>
    <w:rsid w:val="00BD4DF5"/>
    <w:rsid w:val="00BD4EEC"/>
    <w:rsid w:val="00BD4F42"/>
    <w:rsid w:val="00BD50BE"/>
    <w:rsid w:val="00BD5132"/>
    <w:rsid w:val="00BD5719"/>
    <w:rsid w:val="00BD593D"/>
    <w:rsid w:val="00BD5AAE"/>
    <w:rsid w:val="00BD5F3B"/>
    <w:rsid w:val="00BD5F96"/>
    <w:rsid w:val="00BD61EC"/>
    <w:rsid w:val="00BD6236"/>
    <w:rsid w:val="00BD6398"/>
    <w:rsid w:val="00BD639B"/>
    <w:rsid w:val="00BD63D2"/>
    <w:rsid w:val="00BD673F"/>
    <w:rsid w:val="00BD6765"/>
    <w:rsid w:val="00BD6868"/>
    <w:rsid w:val="00BD6980"/>
    <w:rsid w:val="00BD6CF6"/>
    <w:rsid w:val="00BD6DBD"/>
    <w:rsid w:val="00BD7184"/>
    <w:rsid w:val="00BD71E2"/>
    <w:rsid w:val="00BD7448"/>
    <w:rsid w:val="00BD7AFB"/>
    <w:rsid w:val="00BD7F07"/>
    <w:rsid w:val="00BD7F17"/>
    <w:rsid w:val="00BE01F8"/>
    <w:rsid w:val="00BE046F"/>
    <w:rsid w:val="00BE0491"/>
    <w:rsid w:val="00BE06D3"/>
    <w:rsid w:val="00BE06D7"/>
    <w:rsid w:val="00BE0A4D"/>
    <w:rsid w:val="00BE0DD8"/>
    <w:rsid w:val="00BE0E8F"/>
    <w:rsid w:val="00BE0FE7"/>
    <w:rsid w:val="00BE1033"/>
    <w:rsid w:val="00BE108A"/>
    <w:rsid w:val="00BE130F"/>
    <w:rsid w:val="00BE1521"/>
    <w:rsid w:val="00BE164E"/>
    <w:rsid w:val="00BE18D0"/>
    <w:rsid w:val="00BE1924"/>
    <w:rsid w:val="00BE1A65"/>
    <w:rsid w:val="00BE1A7C"/>
    <w:rsid w:val="00BE1F9C"/>
    <w:rsid w:val="00BE208A"/>
    <w:rsid w:val="00BE25F2"/>
    <w:rsid w:val="00BE2695"/>
    <w:rsid w:val="00BE289A"/>
    <w:rsid w:val="00BE28F5"/>
    <w:rsid w:val="00BE2C4D"/>
    <w:rsid w:val="00BE2D31"/>
    <w:rsid w:val="00BE2E11"/>
    <w:rsid w:val="00BE319B"/>
    <w:rsid w:val="00BE3226"/>
    <w:rsid w:val="00BE3238"/>
    <w:rsid w:val="00BE3298"/>
    <w:rsid w:val="00BE32BB"/>
    <w:rsid w:val="00BE3356"/>
    <w:rsid w:val="00BE3380"/>
    <w:rsid w:val="00BE380C"/>
    <w:rsid w:val="00BE3DD3"/>
    <w:rsid w:val="00BE436C"/>
    <w:rsid w:val="00BE4530"/>
    <w:rsid w:val="00BE45FF"/>
    <w:rsid w:val="00BE4BE1"/>
    <w:rsid w:val="00BE4C83"/>
    <w:rsid w:val="00BE4E7E"/>
    <w:rsid w:val="00BE4EB5"/>
    <w:rsid w:val="00BE4F05"/>
    <w:rsid w:val="00BE4F5C"/>
    <w:rsid w:val="00BE5039"/>
    <w:rsid w:val="00BE5232"/>
    <w:rsid w:val="00BE5276"/>
    <w:rsid w:val="00BE54DD"/>
    <w:rsid w:val="00BE571F"/>
    <w:rsid w:val="00BE5888"/>
    <w:rsid w:val="00BE5A1A"/>
    <w:rsid w:val="00BE5B08"/>
    <w:rsid w:val="00BE5BF1"/>
    <w:rsid w:val="00BE5DF0"/>
    <w:rsid w:val="00BE62E7"/>
    <w:rsid w:val="00BE6384"/>
    <w:rsid w:val="00BE646A"/>
    <w:rsid w:val="00BE65C5"/>
    <w:rsid w:val="00BE66E5"/>
    <w:rsid w:val="00BE6874"/>
    <w:rsid w:val="00BE6BD1"/>
    <w:rsid w:val="00BE6C44"/>
    <w:rsid w:val="00BE6D74"/>
    <w:rsid w:val="00BE6EE8"/>
    <w:rsid w:val="00BE70C4"/>
    <w:rsid w:val="00BE7179"/>
    <w:rsid w:val="00BE756E"/>
    <w:rsid w:val="00BE772C"/>
    <w:rsid w:val="00BE7A90"/>
    <w:rsid w:val="00BE7C60"/>
    <w:rsid w:val="00BE7C6F"/>
    <w:rsid w:val="00BE7F81"/>
    <w:rsid w:val="00BF054A"/>
    <w:rsid w:val="00BF05D1"/>
    <w:rsid w:val="00BF05EB"/>
    <w:rsid w:val="00BF064B"/>
    <w:rsid w:val="00BF068B"/>
    <w:rsid w:val="00BF06D4"/>
    <w:rsid w:val="00BF079A"/>
    <w:rsid w:val="00BF07BB"/>
    <w:rsid w:val="00BF0B9C"/>
    <w:rsid w:val="00BF0D42"/>
    <w:rsid w:val="00BF0DDC"/>
    <w:rsid w:val="00BF0E7B"/>
    <w:rsid w:val="00BF0ECD"/>
    <w:rsid w:val="00BF11C1"/>
    <w:rsid w:val="00BF146B"/>
    <w:rsid w:val="00BF1561"/>
    <w:rsid w:val="00BF163A"/>
    <w:rsid w:val="00BF1699"/>
    <w:rsid w:val="00BF173B"/>
    <w:rsid w:val="00BF178E"/>
    <w:rsid w:val="00BF1A62"/>
    <w:rsid w:val="00BF1BB0"/>
    <w:rsid w:val="00BF1C7F"/>
    <w:rsid w:val="00BF1DF3"/>
    <w:rsid w:val="00BF1E7A"/>
    <w:rsid w:val="00BF2126"/>
    <w:rsid w:val="00BF2129"/>
    <w:rsid w:val="00BF23F6"/>
    <w:rsid w:val="00BF2532"/>
    <w:rsid w:val="00BF264F"/>
    <w:rsid w:val="00BF27A1"/>
    <w:rsid w:val="00BF2959"/>
    <w:rsid w:val="00BF29A8"/>
    <w:rsid w:val="00BF2BF4"/>
    <w:rsid w:val="00BF2C93"/>
    <w:rsid w:val="00BF2D4B"/>
    <w:rsid w:val="00BF2DBC"/>
    <w:rsid w:val="00BF30B9"/>
    <w:rsid w:val="00BF31A2"/>
    <w:rsid w:val="00BF3307"/>
    <w:rsid w:val="00BF383D"/>
    <w:rsid w:val="00BF3F77"/>
    <w:rsid w:val="00BF4081"/>
    <w:rsid w:val="00BF41EF"/>
    <w:rsid w:val="00BF437C"/>
    <w:rsid w:val="00BF45FE"/>
    <w:rsid w:val="00BF485B"/>
    <w:rsid w:val="00BF4C4C"/>
    <w:rsid w:val="00BF4CA9"/>
    <w:rsid w:val="00BF4E41"/>
    <w:rsid w:val="00BF5007"/>
    <w:rsid w:val="00BF54EB"/>
    <w:rsid w:val="00BF5685"/>
    <w:rsid w:val="00BF56D5"/>
    <w:rsid w:val="00BF5C8A"/>
    <w:rsid w:val="00BF625B"/>
    <w:rsid w:val="00BF6503"/>
    <w:rsid w:val="00BF66AB"/>
    <w:rsid w:val="00BF676A"/>
    <w:rsid w:val="00BF699B"/>
    <w:rsid w:val="00BF6E06"/>
    <w:rsid w:val="00BF76DF"/>
    <w:rsid w:val="00BF77F0"/>
    <w:rsid w:val="00BF7842"/>
    <w:rsid w:val="00BF79BC"/>
    <w:rsid w:val="00BF7B0A"/>
    <w:rsid w:val="00BF7CB1"/>
    <w:rsid w:val="00BF7CC1"/>
    <w:rsid w:val="00BF7D67"/>
    <w:rsid w:val="00BF7EBC"/>
    <w:rsid w:val="00C00435"/>
    <w:rsid w:val="00C0055D"/>
    <w:rsid w:val="00C007E9"/>
    <w:rsid w:val="00C00807"/>
    <w:rsid w:val="00C00977"/>
    <w:rsid w:val="00C00BAD"/>
    <w:rsid w:val="00C00D49"/>
    <w:rsid w:val="00C00E6E"/>
    <w:rsid w:val="00C00F6D"/>
    <w:rsid w:val="00C0129D"/>
    <w:rsid w:val="00C01311"/>
    <w:rsid w:val="00C0148D"/>
    <w:rsid w:val="00C0155E"/>
    <w:rsid w:val="00C0157E"/>
    <w:rsid w:val="00C01770"/>
    <w:rsid w:val="00C018D0"/>
    <w:rsid w:val="00C01A86"/>
    <w:rsid w:val="00C01D9B"/>
    <w:rsid w:val="00C02118"/>
    <w:rsid w:val="00C028D4"/>
    <w:rsid w:val="00C02B22"/>
    <w:rsid w:val="00C02D59"/>
    <w:rsid w:val="00C02FCE"/>
    <w:rsid w:val="00C03207"/>
    <w:rsid w:val="00C03239"/>
    <w:rsid w:val="00C036F8"/>
    <w:rsid w:val="00C03724"/>
    <w:rsid w:val="00C0373D"/>
    <w:rsid w:val="00C03B8F"/>
    <w:rsid w:val="00C03F54"/>
    <w:rsid w:val="00C04344"/>
    <w:rsid w:val="00C04511"/>
    <w:rsid w:val="00C04561"/>
    <w:rsid w:val="00C048C9"/>
    <w:rsid w:val="00C04931"/>
    <w:rsid w:val="00C04975"/>
    <w:rsid w:val="00C04AD6"/>
    <w:rsid w:val="00C04B0D"/>
    <w:rsid w:val="00C055B3"/>
    <w:rsid w:val="00C056BF"/>
    <w:rsid w:val="00C05897"/>
    <w:rsid w:val="00C059E7"/>
    <w:rsid w:val="00C05AD1"/>
    <w:rsid w:val="00C05CD2"/>
    <w:rsid w:val="00C05E7F"/>
    <w:rsid w:val="00C05FCB"/>
    <w:rsid w:val="00C06110"/>
    <w:rsid w:val="00C0611C"/>
    <w:rsid w:val="00C062FC"/>
    <w:rsid w:val="00C06415"/>
    <w:rsid w:val="00C0651B"/>
    <w:rsid w:val="00C06819"/>
    <w:rsid w:val="00C068E2"/>
    <w:rsid w:val="00C06D68"/>
    <w:rsid w:val="00C0723B"/>
    <w:rsid w:val="00C07481"/>
    <w:rsid w:val="00C075F0"/>
    <w:rsid w:val="00C076F3"/>
    <w:rsid w:val="00C0775E"/>
    <w:rsid w:val="00C0784A"/>
    <w:rsid w:val="00C07862"/>
    <w:rsid w:val="00C078BE"/>
    <w:rsid w:val="00C07A0F"/>
    <w:rsid w:val="00C07A31"/>
    <w:rsid w:val="00C07B42"/>
    <w:rsid w:val="00C07C56"/>
    <w:rsid w:val="00C10111"/>
    <w:rsid w:val="00C1020A"/>
    <w:rsid w:val="00C10404"/>
    <w:rsid w:val="00C104E8"/>
    <w:rsid w:val="00C1087E"/>
    <w:rsid w:val="00C108F2"/>
    <w:rsid w:val="00C10AAD"/>
    <w:rsid w:val="00C10D41"/>
    <w:rsid w:val="00C11075"/>
    <w:rsid w:val="00C111D8"/>
    <w:rsid w:val="00C11291"/>
    <w:rsid w:val="00C1181D"/>
    <w:rsid w:val="00C1185A"/>
    <w:rsid w:val="00C11AC3"/>
    <w:rsid w:val="00C11B6F"/>
    <w:rsid w:val="00C11CA6"/>
    <w:rsid w:val="00C11FC8"/>
    <w:rsid w:val="00C120CF"/>
    <w:rsid w:val="00C121CC"/>
    <w:rsid w:val="00C123EE"/>
    <w:rsid w:val="00C12426"/>
    <w:rsid w:val="00C12941"/>
    <w:rsid w:val="00C12D3E"/>
    <w:rsid w:val="00C12E2D"/>
    <w:rsid w:val="00C12E34"/>
    <w:rsid w:val="00C1333C"/>
    <w:rsid w:val="00C133F8"/>
    <w:rsid w:val="00C13605"/>
    <w:rsid w:val="00C136D3"/>
    <w:rsid w:val="00C13B89"/>
    <w:rsid w:val="00C1401A"/>
    <w:rsid w:val="00C14130"/>
    <w:rsid w:val="00C14179"/>
    <w:rsid w:val="00C14183"/>
    <w:rsid w:val="00C142AE"/>
    <w:rsid w:val="00C1435C"/>
    <w:rsid w:val="00C14776"/>
    <w:rsid w:val="00C14D6F"/>
    <w:rsid w:val="00C14DD2"/>
    <w:rsid w:val="00C14EF0"/>
    <w:rsid w:val="00C15216"/>
    <w:rsid w:val="00C1529D"/>
    <w:rsid w:val="00C152FB"/>
    <w:rsid w:val="00C15377"/>
    <w:rsid w:val="00C15411"/>
    <w:rsid w:val="00C154DA"/>
    <w:rsid w:val="00C15548"/>
    <w:rsid w:val="00C155A4"/>
    <w:rsid w:val="00C156BD"/>
    <w:rsid w:val="00C15768"/>
    <w:rsid w:val="00C1585D"/>
    <w:rsid w:val="00C15A04"/>
    <w:rsid w:val="00C15B1B"/>
    <w:rsid w:val="00C16080"/>
    <w:rsid w:val="00C16106"/>
    <w:rsid w:val="00C1622E"/>
    <w:rsid w:val="00C16831"/>
    <w:rsid w:val="00C16B21"/>
    <w:rsid w:val="00C16BD1"/>
    <w:rsid w:val="00C16E07"/>
    <w:rsid w:val="00C1716A"/>
    <w:rsid w:val="00C171E1"/>
    <w:rsid w:val="00C172E1"/>
    <w:rsid w:val="00C173BA"/>
    <w:rsid w:val="00C174DB"/>
    <w:rsid w:val="00C177E7"/>
    <w:rsid w:val="00C1798E"/>
    <w:rsid w:val="00C17C07"/>
    <w:rsid w:val="00C17C66"/>
    <w:rsid w:val="00C17CB8"/>
    <w:rsid w:val="00C17D96"/>
    <w:rsid w:val="00C2020E"/>
    <w:rsid w:val="00C20252"/>
    <w:rsid w:val="00C202D4"/>
    <w:rsid w:val="00C20873"/>
    <w:rsid w:val="00C208F4"/>
    <w:rsid w:val="00C20D2D"/>
    <w:rsid w:val="00C20EBB"/>
    <w:rsid w:val="00C211C7"/>
    <w:rsid w:val="00C2128E"/>
    <w:rsid w:val="00C21B2D"/>
    <w:rsid w:val="00C21C01"/>
    <w:rsid w:val="00C21C17"/>
    <w:rsid w:val="00C21C77"/>
    <w:rsid w:val="00C21C89"/>
    <w:rsid w:val="00C21D63"/>
    <w:rsid w:val="00C21DAF"/>
    <w:rsid w:val="00C21FEB"/>
    <w:rsid w:val="00C220E3"/>
    <w:rsid w:val="00C220F9"/>
    <w:rsid w:val="00C223FD"/>
    <w:rsid w:val="00C22804"/>
    <w:rsid w:val="00C2282F"/>
    <w:rsid w:val="00C22837"/>
    <w:rsid w:val="00C22B26"/>
    <w:rsid w:val="00C22C51"/>
    <w:rsid w:val="00C22C59"/>
    <w:rsid w:val="00C22C9F"/>
    <w:rsid w:val="00C22F5A"/>
    <w:rsid w:val="00C22FBD"/>
    <w:rsid w:val="00C231C9"/>
    <w:rsid w:val="00C23212"/>
    <w:rsid w:val="00C234A1"/>
    <w:rsid w:val="00C23738"/>
    <w:rsid w:val="00C23C73"/>
    <w:rsid w:val="00C242C7"/>
    <w:rsid w:val="00C242D3"/>
    <w:rsid w:val="00C24350"/>
    <w:rsid w:val="00C24452"/>
    <w:rsid w:val="00C246D8"/>
    <w:rsid w:val="00C246E9"/>
    <w:rsid w:val="00C24755"/>
    <w:rsid w:val="00C247D5"/>
    <w:rsid w:val="00C24809"/>
    <w:rsid w:val="00C24868"/>
    <w:rsid w:val="00C2494E"/>
    <w:rsid w:val="00C249F4"/>
    <w:rsid w:val="00C24D03"/>
    <w:rsid w:val="00C24DFD"/>
    <w:rsid w:val="00C24E96"/>
    <w:rsid w:val="00C24EC6"/>
    <w:rsid w:val="00C2513B"/>
    <w:rsid w:val="00C25171"/>
    <w:rsid w:val="00C25444"/>
    <w:rsid w:val="00C2558F"/>
    <w:rsid w:val="00C25647"/>
    <w:rsid w:val="00C2564F"/>
    <w:rsid w:val="00C256D2"/>
    <w:rsid w:val="00C25845"/>
    <w:rsid w:val="00C25906"/>
    <w:rsid w:val="00C25967"/>
    <w:rsid w:val="00C25B7C"/>
    <w:rsid w:val="00C25C54"/>
    <w:rsid w:val="00C25D95"/>
    <w:rsid w:val="00C25EDC"/>
    <w:rsid w:val="00C26042"/>
    <w:rsid w:val="00C26065"/>
    <w:rsid w:val="00C265CD"/>
    <w:rsid w:val="00C266FF"/>
    <w:rsid w:val="00C2672E"/>
    <w:rsid w:val="00C2698B"/>
    <w:rsid w:val="00C26A11"/>
    <w:rsid w:val="00C26AD7"/>
    <w:rsid w:val="00C26B12"/>
    <w:rsid w:val="00C26B2D"/>
    <w:rsid w:val="00C26C95"/>
    <w:rsid w:val="00C26FCA"/>
    <w:rsid w:val="00C2718C"/>
    <w:rsid w:val="00C272A9"/>
    <w:rsid w:val="00C27452"/>
    <w:rsid w:val="00C275FD"/>
    <w:rsid w:val="00C276A7"/>
    <w:rsid w:val="00C276B4"/>
    <w:rsid w:val="00C27BC5"/>
    <w:rsid w:val="00C27CE7"/>
    <w:rsid w:val="00C27D2F"/>
    <w:rsid w:val="00C27D86"/>
    <w:rsid w:val="00C27E51"/>
    <w:rsid w:val="00C27EE9"/>
    <w:rsid w:val="00C27FBF"/>
    <w:rsid w:val="00C3014B"/>
    <w:rsid w:val="00C303B0"/>
    <w:rsid w:val="00C30688"/>
    <w:rsid w:val="00C30FEB"/>
    <w:rsid w:val="00C31704"/>
    <w:rsid w:val="00C3197A"/>
    <w:rsid w:val="00C319C3"/>
    <w:rsid w:val="00C31A82"/>
    <w:rsid w:val="00C31C45"/>
    <w:rsid w:val="00C321F1"/>
    <w:rsid w:val="00C323CB"/>
    <w:rsid w:val="00C323F2"/>
    <w:rsid w:val="00C3246D"/>
    <w:rsid w:val="00C325F6"/>
    <w:rsid w:val="00C32617"/>
    <w:rsid w:val="00C326CD"/>
    <w:rsid w:val="00C32721"/>
    <w:rsid w:val="00C32AD2"/>
    <w:rsid w:val="00C32B5A"/>
    <w:rsid w:val="00C32B7B"/>
    <w:rsid w:val="00C32B83"/>
    <w:rsid w:val="00C32C55"/>
    <w:rsid w:val="00C32CBF"/>
    <w:rsid w:val="00C32DD3"/>
    <w:rsid w:val="00C32EE2"/>
    <w:rsid w:val="00C32F26"/>
    <w:rsid w:val="00C33189"/>
    <w:rsid w:val="00C332E5"/>
    <w:rsid w:val="00C336AC"/>
    <w:rsid w:val="00C33AB2"/>
    <w:rsid w:val="00C33D5B"/>
    <w:rsid w:val="00C340FF"/>
    <w:rsid w:val="00C3421D"/>
    <w:rsid w:val="00C34345"/>
    <w:rsid w:val="00C34357"/>
    <w:rsid w:val="00C3457B"/>
    <w:rsid w:val="00C346D1"/>
    <w:rsid w:val="00C346D2"/>
    <w:rsid w:val="00C347AC"/>
    <w:rsid w:val="00C348B7"/>
    <w:rsid w:val="00C34AD9"/>
    <w:rsid w:val="00C34B95"/>
    <w:rsid w:val="00C34C9F"/>
    <w:rsid w:val="00C351C4"/>
    <w:rsid w:val="00C3559F"/>
    <w:rsid w:val="00C357A2"/>
    <w:rsid w:val="00C357DD"/>
    <w:rsid w:val="00C359AE"/>
    <w:rsid w:val="00C35C5C"/>
    <w:rsid w:val="00C36177"/>
    <w:rsid w:val="00C3619E"/>
    <w:rsid w:val="00C36470"/>
    <w:rsid w:val="00C3648B"/>
    <w:rsid w:val="00C3649D"/>
    <w:rsid w:val="00C36599"/>
    <w:rsid w:val="00C3660F"/>
    <w:rsid w:val="00C36780"/>
    <w:rsid w:val="00C36DBE"/>
    <w:rsid w:val="00C36E91"/>
    <w:rsid w:val="00C37548"/>
    <w:rsid w:val="00C376F8"/>
    <w:rsid w:val="00C379FD"/>
    <w:rsid w:val="00C37A44"/>
    <w:rsid w:val="00C37CBC"/>
    <w:rsid w:val="00C37F23"/>
    <w:rsid w:val="00C407FE"/>
    <w:rsid w:val="00C4090B"/>
    <w:rsid w:val="00C40945"/>
    <w:rsid w:val="00C40947"/>
    <w:rsid w:val="00C40B4E"/>
    <w:rsid w:val="00C40B5A"/>
    <w:rsid w:val="00C40BC3"/>
    <w:rsid w:val="00C40C4E"/>
    <w:rsid w:val="00C40CB0"/>
    <w:rsid w:val="00C40D12"/>
    <w:rsid w:val="00C40D3E"/>
    <w:rsid w:val="00C40D94"/>
    <w:rsid w:val="00C40F9B"/>
    <w:rsid w:val="00C411E0"/>
    <w:rsid w:val="00C412AC"/>
    <w:rsid w:val="00C41536"/>
    <w:rsid w:val="00C41669"/>
    <w:rsid w:val="00C4166E"/>
    <w:rsid w:val="00C4185C"/>
    <w:rsid w:val="00C418BC"/>
    <w:rsid w:val="00C41905"/>
    <w:rsid w:val="00C41AC2"/>
    <w:rsid w:val="00C41B7A"/>
    <w:rsid w:val="00C41DC7"/>
    <w:rsid w:val="00C41FBA"/>
    <w:rsid w:val="00C4254D"/>
    <w:rsid w:val="00C425DB"/>
    <w:rsid w:val="00C4264B"/>
    <w:rsid w:val="00C42696"/>
    <w:rsid w:val="00C428BD"/>
    <w:rsid w:val="00C429A7"/>
    <w:rsid w:val="00C42DA4"/>
    <w:rsid w:val="00C42E6D"/>
    <w:rsid w:val="00C42F32"/>
    <w:rsid w:val="00C42FA0"/>
    <w:rsid w:val="00C42FC5"/>
    <w:rsid w:val="00C433DC"/>
    <w:rsid w:val="00C43600"/>
    <w:rsid w:val="00C43662"/>
    <w:rsid w:val="00C43711"/>
    <w:rsid w:val="00C43769"/>
    <w:rsid w:val="00C4378F"/>
    <w:rsid w:val="00C43892"/>
    <w:rsid w:val="00C43A07"/>
    <w:rsid w:val="00C43A9E"/>
    <w:rsid w:val="00C44060"/>
    <w:rsid w:val="00C4428B"/>
    <w:rsid w:val="00C442CA"/>
    <w:rsid w:val="00C4431A"/>
    <w:rsid w:val="00C4437C"/>
    <w:rsid w:val="00C443C2"/>
    <w:rsid w:val="00C444C3"/>
    <w:rsid w:val="00C44717"/>
    <w:rsid w:val="00C447D2"/>
    <w:rsid w:val="00C44A07"/>
    <w:rsid w:val="00C44A76"/>
    <w:rsid w:val="00C44B78"/>
    <w:rsid w:val="00C44D56"/>
    <w:rsid w:val="00C44DB9"/>
    <w:rsid w:val="00C44DCC"/>
    <w:rsid w:val="00C44EC3"/>
    <w:rsid w:val="00C44ECC"/>
    <w:rsid w:val="00C44FDD"/>
    <w:rsid w:val="00C452ED"/>
    <w:rsid w:val="00C4551C"/>
    <w:rsid w:val="00C45811"/>
    <w:rsid w:val="00C45909"/>
    <w:rsid w:val="00C459B2"/>
    <w:rsid w:val="00C45B80"/>
    <w:rsid w:val="00C45BE9"/>
    <w:rsid w:val="00C45DCD"/>
    <w:rsid w:val="00C45E16"/>
    <w:rsid w:val="00C4609D"/>
    <w:rsid w:val="00C46130"/>
    <w:rsid w:val="00C46434"/>
    <w:rsid w:val="00C466D9"/>
    <w:rsid w:val="00C469A4"/>
    <w:rsid w:val="00C46AD7"/>
    <w:rsid w:val="00C46DDC"/>
    <w:rsid w:val="00C46FF0"/>
    <w:rsid w:val="00C4707E"/>
    <w:rsid w:val="00C4712E"/>
    <w:rsid w:val="00C47510"/>
    <w:rsid w:val="00C476DD"/>
    <w:rsid w:val="00C476EA"/>
    <w:rsid w:val="00C47A40"/>
    <w:rsid w:val="00C47BAC"/>
    <w:rsid w:val="00C47C05"/>
    <w:rsid w:val="00C47D7A"/>
    <w:rsid w:val="00C47FDE"/>
    <w:rsid w:val="00C50046"/>
    <w:rsid w:val="00C500A3"/>
    <w:rsid w:val="00C500B1"/>
    <w:rsid w:val="00C504EE"/>
    <w:rsid w:val="00C505FB"/>
    <w:rsid w:val="00C50750"/>
    <w:rsid w:val="00C507DE"/>
    <w:rsid w:val="00C50B32"/>
    <w:rsid w:val="00C50B54"/>
    <w:rsid w:val="00C50E3F"/>
    <w:rsid w:val="00C51001"/>
    <w:rsid w:val="00C5103C"/>
    <w:rsid w:val="00C51290"/>
    <w:rsid w:val="00C512DC"/>
    <w:rsid w:val="00C51587"/>
    <w:rsid w:val="00C51ABF"/>
    <w:rsid w:val="00C51FFF"/>
    <w:rsid w:val="00C52108"/>
    <w:rsid w:val="00C52150"/>
    <w:rsid w:val="00C521B6"/>
    <w:rsid w:val="00C521CF"/>
    <w:rsid w:val="00C52473"/>
    <w:rsid w:val="00C52555"/>
    <w:rsid w:val="00C5257D"/>
    <w:rsid w:val="00C525D3"/>
    <w:rsid w:val="00C52611"/>
    <w:rsid w:val="00C52696"/>
    <w:rsid w:val="00C527EE"/>
    <w:rsid w:val="00C52A3B"/>
    <w:rsid w:val="00C52D5A"/>
    <w:rsid w:val="00C52E6C"/>
    <w:rsid w:val="00C52EA8"/>
    <w:rsid w:val="00C52FC0"/>
    <w:rsid w:val="00C52FDD"/>
    <w:rsid w:val="00C53384"/>
    <w:rsid w:val="00C534F2"/>
    <w:rsid w:val="00C535CD"/>
    <w:rsid w:val="00C538E6"/>
    <w:rsid w:val="00C53A42"/>
    <w:rsid w:val="00C53B4F"/>
    <w:rsid w:val="00C53F06"/>
    <w:rsid w:val="00C53FA2"/>
    <w:rsid w:val="00C541D9"/>
    <w:rsid w:val="00C5420B"/>
    <w:rsid w:val="00C54231"/>
    <w:rsid w:val="00C54900"/>
    <w:rsid w:val="00C54A5C"/>
    <w:rsid w:val="00C5501A"/>
    <w:rsid w:val="00C5502C"/>
    <w:rsid w:val="00C5541A"/>
    <w:rsid w:val="00C555FA"/>
    <w:rsid w:val="00C5567E"/>
    <w:rsid w:val="00C55916"/>
    <w:rsid w:val="00C55A75"/>
    <w:rsid w:val="00C55AB2"/>
    <w:rsid w:val="00C55BF5"/>
    <w:rsid w:val="00C55E93"/>
    <w:rsid w:val="00C55F70"/>
    <w:rsid w:val="00C55FD4"/>
    <w:rsid w:val="00C563FC"/>
    <w:rsid w:val="00C564F6"/>
    <w:rsid w:val="00C567C0"/>
    <w:rsid w:val="00C56B68"/>
    <w:rsid w:val="00C56B79"/>
    <w:rsid w:val="00C56BF9"/>
    <w:rsid w:val="00C56DFF"/>
    <w:rsid w:val="00C57022"/>
    <w:rsid w:val="00C5716F"/>
    <w:rsid w:val="00C5723C"/>
    <w:rsid w:val="00C572E2"/>
    <w:rsid w:val="00C5758C"/>
    <w:rsid w:val="00C5764A"/>
    <w:rsid w:val="00C57705"/>
    <w:rsid w:val="00C579F9"/>
    <w:rsid w:val="00C57B94"/>
    <w:rsid w:val="00C57DCE"/>
    <w:rsid w:val="00C57E47"/>
    <w:rsid w:val="00C57EEC"/>
    <w:rsid w:val="00C601B2"/>
    <w:rsid w:val="00C601E3"/>
    <w:rsid w:val="00C602A0"/>
    <w:rsid w:val="00C60403"/>
    <w:rsid w:val="00C60857"/>
    <w:rsid w:val="00C608F8"/>
    <w:rsid w:val="00C60A73"/>
    <w:rsid w:val="00C60A81"/>
    <w:rsid w:val="00C60B11"/>
    <w:rsid w:val="00C60E4E"/>
    <w:rsid w:val="00C60E61"/>
    <w:rsid w:val="00C60FBB"/>
    <w:rsid w:val="00C6119B"/>
    <w:rsid w:val="00C616B2"/>
    <w:rsid w:val="00C6179D"/>
    <w:rsid w:val="00C61846"/>
    <w:rsid w:val="00C618F0"/>
    <w:rsid w:val="00C61E90"/>
    <w:rsid w:val="00C620B2"/>
    <w:rsid w:val="00C62174"/>
    <w:rsid w:val="00C62191"/>
    <w:rsid w:val="00C62362"/>
    <w:rsid w:val="00C624E1"/>
    <w:rsid w:val="00C628D9"/>
    <w:rsid w:val="00C62A38"/>
    <w:rsid w:val="00C62D26"/>
    <w:rsid w:val="00C636C2"/>
    <w:rsid w:val="00C63B96"/>
    <w:rsid w:val="00C63C2F"/>
    <w:rsid w:val="00C63DCD"/>
    <w:rsid w:val="00C63FA6"/>
    <w:rsid w:val="00C64073"/>
    <w:rsid w:val="00C640A9"/>
    <w:rsid w:val="00C6416C"/>
    <w:rsid w:val="00C642F2"/>
    <w:rsid w:val="00C643B3"/>
    <w:rsid w:val="00C64435"/>
    <w:rsid w:val="00C64623"/>
    <w:rsid w:val="00C647A6"/>
    <w:rsid w:val="00C64867"/>
    <w:rsid w:val="00C6489A"/>
    <w:rsid w:val="00C6498E"/>
    <w:rsid w:val="00C64AA6"/>
    <w:rsid w:val="00C64B18"/>
    <w:rsid w:val="00C64CB6"/>
    <w:rsid w:val="00C64CDC"/>
    <w:rsid w:val="00C64F90"/>
    <w:rsid w:val="00C650E5"/>
    <w:rsid w:val="00C651FB"/>
    <w:rsid w:val="00C652D3"/>
    <w:rsid w:val="00C65480"/>
    <w:rsid w:val="00C65726"/>
    <w:rsid w:val="00C6588A"/>
    <w:rsid w:val="00C65B48"/>
    <w:rsid w:val="00C65C28"/>
    <w:rsid w:val="00C65D09"/>
    <w:rsid w:val="00C65D3E"/>
    <w:rsid w:val="00C65E7F"/>
    <w:rsid w:val="00C661FE"/>
    <w:rsid w:val="00C66311"/>
    <w:rsid w:val="00C663F5"/>
    <w:rsid w:val="00C6655D"/>
    <w:rsid w:val="00C66627"/>
    <w:rsid w:val="00C666C5"/>
    <w:rsid w:val="00C66917"/>
    <w:rsid w:val="00C66B9E"/>
    <w:rsid w:val="00C66E87"/>
    <w:rsid w:val="00C67221"/>
    <w:rsid w:val="00C673D9"/>
    <w:rsid w:val="00C674FE"/>
    <w:rsid w:val="00C6758A"/>
    <w:rsid w:val="00C675D0"/>
    <w:rsid w:val="00C675FA"/>
    <w:rsid w:val="00C67637"/>
    <w:rsid w:val="00C6763B"/>
    <w:rsid w:val="00C679BB"/>
    <w:rsid w:val="00C67A30"/>
    <w:rsid w:val="00C67CAA"/>
    <w:rsid w:val="00C67D8B"/>
    <w:rsid w:val="00C67D9F"/>
    <w:rsid w:val="00C702D1"/>
    <w:rsid w:val="00C70919"/>
    <w:rsid w:val="00C70D23"/>
    <w:rsid w:val="00C70E4F"/>
    <w:rsid w:val="00C70ED6"/>
    <w:rsid w:val="00C70FBE"/>
    <w:rsid w:val="00C70FCB"/>
    <w:rsid w:val="00C70FF0"/>
    <w:rsid w:val="00C712B1"/>
    <w:rsid w:val="00C715CE"/>
    <w:rsid w:val="00C71798"/>
    <w:rsid w:val="00C71916"/>
    <w:rsid w:val="00C71BDD"/>
    <w:rsid w:val="00C71C86"/>
    <w:rsid w:val="00C71F42"/>
    <w:rsid w:val="00C720B0"/>
    <w:rsid w:val="00C7230C"/>
    <w:rsid w:val="00C724A7"/>
    <w:rsid w:val="00C725F2"/>
    <w:rsid w:val="00C7269E"/>
    <w:rsid w:val="00C72826"/>
    <w:rsid w:val="00C7283E"/>
    <w:rsid w:val="00C72B3D"/>
    <w:rsid w:val="00C72BC6"/>
    <w:rsid w:val="00C72BF4"/>
    <w:rsid w:val="00C72D89"/>
    <w:rsid w:val="00C7325B"/>
    <w:rsid w:val="00C73377"/>
    <w:rsid w:val="00C7346C"/>
    <w:rsid w:val="00C734E9"/>
    <w:rsid w:val="00C73631"/>
    <w:rsid w:val="00C7369C"/>
    <w:rsid w:val="00C737EF"/>
    <w:rsid w:val="00C73AC4"/>
    <w:rsid w:val="00C73C5E"/>
    <w:rsid w:val="00C73E06"/>
    <w:rsid w:val="00C73E10"/>
    <w:rsid w:val="00C7417D"/>
    <w:rsid w:val="00C74192"/>
    <w:rsid w:val="00C743EE"/>
    <w:rsid w:val="00C7450A"/>
    <w:rsid w:val="00C7451A"/>
    <w:rsid w:val="00C745B2"/>
    <w:rsid w:val="00C74840"/>
    <w:rsid w:val="00C748BC"/>
    <w:rsid w:val="00C749CC"/>
    <w:rsid w:val="00C752B4"/>
    <w:rsid w:val="00C752CB"/>
    <w:rsid w:val="00C75391"/>
    <w:rsid w:val="00C75493"/>
    <w:rsid w:val="00C7568A"/>
    <w:rsid w:val="00C7584C"/>
    <w:rsid w:val="00C75EE0"/>
    <w:rsid w:val="00C75F37"/>
    <w:rsid w:val="00C76014"/>
    <w:rsid w:val="00C760BC"/>
    <w:rsid w:val="00C761BB"/>
    <w:rsid w:val="00C761F3"/>
    <w:rsid w:val="00C7644F"/>
    <w:rsid w:val="00C76530"/>
    <w:rsid w:val="00C76630"/>
    <w:rsid w:val="00C7671D"/>
    <w:rsid w:val="00C7673F"/>
    <w:rsid w:val="00C76889"/>
    <w:rsid w:val="00C7692A"/>
    <w:rsid w:val="00C76955"/>
    <w:rsid w:val="00C76A5E"/>
    <w:rsid w:val="00C76C22"/>
    <w:rsid w:val="00C76CB9"/>
    <w:rsid w:val="00C76CD0"/>
    <w:rsid w:val="00C772AD"/>
    <w:rsid w:val="00C772D9"/>
    <w:rsid w:val="00C77359"/>
    <w:rsid w:val="00C774A4"/>
    <w:rsid w:val="00C77690"/>
    <w:rsid w:val="00C778F9"/>
    <w:rsid w:val="00C77940"/>
    <w:rsid w:val="00C7797A"/>
    <w:rsid w:val="00C77B35"/>
    <w:rsid w:val="00C77C22"/>
    <w:rsid w:val="00C77EE0"/>
    <w:rsid w:val="00C80236"/>
    <w:rsid w:val="00C80417"/>
    <w:rsid w:val="00C808C2"/>
    <w:rsid w:val="00C808FF"/>
    <w:rsid w:val="00C80941"/>
    <w:rsid w:val="00C80A76"/>
    <w:rsid w:val="00C80B11"/>
    <w:rsid w:val="00C80CC3"/>
    <w:rsid w:val="00C8160A"/>
    <w:rsid w:val="00C8180E"/>
    <w:rsid w:val="00C81906"/>
    <w:rsid w:val="00C81F7E"/>
    <w:rsid w:val="00C821A9"/>
    <w:rsid w:val="00C822AF"/>
    <w:rsid w:val="00C826DF"/>
    <w:rsid w:val="00C828FD"/>
    <w:rsid w:val="00C82C87"/>
    <w:rsid w:val="00C82CF0"/>
    <w:rsid w:val="00C82F5A"/>
    <w:rsid w:val="00C834AA"/>
    <w:rsid w:val="00C8353B"/>
    <w:rsid w:val="00C83888"/>
    <w:rsid w:val="00C83DDE"/>
    <w:rsid w:val="00C83EB5"/>
    <w:rsid w:val="00C8401E"/>
    <w:rsid w:val="00C84468"/>
    <w:rsid w:val="00C84483"/>
    <w:rsid w:val="00C84578"/>
    <w:rsid w:val="00C84595"/>
    <w:rsid w:val="00C84634"/>
    <w:rsid w:val="00C8487A"/>
    <w:rsid w:val="00C84DE0"/>
    <w:rsid w:val="00C84E79"/>
    <w:rsid w:val="00C850B6"/>
    <w:rsid w:val="00C850CA"/>
    <w:rsid w:val="00C85273"/>
    <w:rsid w:val="00C85643"/>
    <w:rsid w:val="00C85648"/>
    <w:rsid w:val="00C858E0"/>
    <w:rsid w:val="00C85DD8"/>
    <w:rsid w:val="00C861B3"/>
    <w:rsid w:val="00C8624B"/>
    <w:rsid w:val="00C863F4"/>
    <w:rsid w:val="00C86495"/>
    <w:rsid w:val="00C86BF3"/>
    <w:rsid w:val="00C86D28"/>
    <w:rsid w:val="00C86F1F"/>
    <w:rsid w:val="00C87035"/>
    <w:rsid w:val="00C8707A"/>
    <w:rsid w:val="00C8712E"/>
    <w:rsid w:val="00C87167"/>
    <w:rsid w:val="00C87271"/>
    <w:rsid w:val="00C875B9"/>
    <w:rsid w:val="00C879D3"/>
    <w:rsid w:val="00C87D63"/>
    <w:rsid w:val="00C87D71"/>
    <w:rsid w:val="00C8E409"/>
    <w:rsid w:val="00C90098"/>
    <w:rsid w:val="00C90130"/>
    <w:rsid w:val="00C902E8"/>
    <w:rsid w:val="00C903FC"/>
    <w:rsid w:val="00C904D9"/>
    <w:rsid w:val="00C90505"/>
    <w:rsid w:val="00C90585"/>
    <w:rsid w:val="00C90A77"/>
    <w:rsid w:val="00C90C17"/>
    <w:rsid w:val="00C90CD3"/>
    <w:rsid w:val="00C9113A"/>
    <w:rsid w:val="00C911EC"/>
    <w:rsid w:val="00C9138F"/>
    <w:rsid w:val="00C918F0"/>
    <w:rsid w:val="00C91981"/>
    <w:rsid w:val="00C91B1E"/>
    <w:rsid w:val="00C91D9E"/>
    <w:rsid w:val="00C91DE7"/>
    <w:rsid w:val="00C91ED4"/>
    <w:rsid w:val="00C91F2D"/>
    <w:rsid w:val="00C91F7D"/>
    <w:rsid w:val="00C92214"/>
    <w:rsid w:val="00C924C7"/>
    <w:rsid w:val="00C92AD4"/>
    <w:rsid w:val="00C930C9"/>
    <w:rsid w:val="00C930CB"/>
    <w:rsid w:val="00C93104"/>
    <w:rsid w:val="00C9342B"/>
    <w:rsid w:val="00C9389C"/>
    <w:rsid w:val="00C93912"/>
    <w:rsid w:val="00C9392D"/>
    <w:rsid w:val="00C93ABD"/>
    <w:rsid w:val="00C93B52"/>
    <w:rsid w:val="00C93BE9"/>
    <w:rsid w:val="00C93CA8"/>
    <w:rsid w:val="00C93FFD"/>
    <w:rsid w:val="00C94047"/>
    <w:rsid w:val="00C941EB"/>
    <w:rsid w:val="00C948AE"/>
    <w:rsid w:val="00C94926"/>
    <w:rsid w:val="00C94943"/>
    <w:rsid w:val="00C94A69"/>
    <w:rsid w:val="00C94C13"/>
    <w:rsid w:val="00C94CF0"/>
    <w:rsid w:val="00C94FBF"/>
    <w:rsid w:val="00C9542D"/>
    <w:rsid w:val="00C95576"/>
    <w:rsid w:val="00C955B4"/>
    <w:rsid w:val="00C958E6"/>
    <w:rsid w:val="00C9596E"/>
    <w:rsid w:val="00C95AF5"/>
    <w:rsid w:val="00C95B29"/>
    <w:rsid w:val="00C95B5A"/>
    <w:rsid w:val="00C95CD7"/>
    <w:rsid w:val="00C95D66"/>
    <w:rsid w:val="00C95E11"/>
    <w:rsid w:val="00C960A4"/>
    <w:rsid w:val="00C96179"/>
    <w:rsid w:val="00C961C3"/>
    <w:rsid w:val="00C964AF"/>
    <w:rsid w:val="00C96759"/>
    <w:rsid w:val="00C9675E"/>
    <w:rsid w:val="00C96829"/>
    <w:rsid w:val="00C96947"/>
    <w:rsid w:val="00C96B35"/>
    <w:rsid w:val="00C96C20"/>
    <w:rsid w:val="00C96D3E"/>
    <w:rsid w:val="00C96D5F"/>
    <w:rsid w:val="00C96D76"/>
    <w:rsid w:val="00C973B2"/>
    <w:rsid w:val="00C9768B"/>
    <w:rsid w:val="00C978AD"/>
    <w:rsid w:val="00C97A6E"/>
    <w:rsid w:val="00C97A8D"/>
    <w:rsid w:val="00C97C5F"/>
    <w:rsid w:val="00C97D64"/>
    <w:rsid w:val="00C97D83"/>
    <w:rsid w:val="00C97F21"/>
    <w:rsid w:val="00CA01AF"/>
    <w:rsid w:val="00CA0374"/>
    <w:rsid w:val="00CA04D2"/>
    <w:rsid w:val="00CA0552"/>
    <w:rsid w:val="00CA0687"/>
    <w:rsid w:val="00CA0A44"/>
    <w:rsid w:val="00CA0ABB"/>
    <w:rsid w:val="00CA0C58"/>
    <w:rsid w:val="00CA0D45"/>
    <w:rsid w:val="00CA0E03"/>
    <w:rsid w:val="00CA0F48"/>
    <w:rsid w:val="00CA0F64"/>
    <w:rsid w:val="00CA11D9"/>
    <w:rsid w:val="00CA1655"/>
    <w:rsid w:val="00CA16F5"/>
    <w:rsid w:val="00CA170D"/>
    <w:rsid w:val="00CA18A5"/>
    <w:rsid w:val="00CA1980"/>
    <w:rsid w:val="00CA1D4B"/>
    <w:rsid w:val="00CA1D50"/>
    <w:rsid w:val="00CA2013"/>
    <w:rsid w:val="00CA20C0"/>
    <w:rsid w:val="00CA258E"/>
    <w:rsid w:val="00CA2754"/>
    <w:rsid w:val="00CA276A"/>
    <w:rsid w:val="00CA2A55"/>
    <w:rsid w:val="00CA2A66"/>
    <w:rsid w:val="00CA2A6D"/>
    <w:rsid w:val="00CA2B3D"/>
    <w:rsid w:val="00CA3364"/>
    <w:rsid w:val="00CA3825"/>
    <w:rsid w:val="00CA382B"/>
    <w:rsid w:val="00CA3921"/>
    <w:rsid w:val="00CA3A0F"/>
    <w:rsid w:val="00CA3A53"/>
    <w:rsid w:val="00CA3C71"/>
    <w:rsid w:val="00CA3CAD"/>
    <w:rsid w:val="00CA4301"/>
    <w:rsid w:val="00CA43E6"/>
    <w:rsid w:val="00CA43F8"/>
    <w:rsid w:val="00CA4538"/>
    <w:rsid w:val="00CA467A"/>
    <w:rsid w:val="00CA4767"/>
    <w:rsid w:val="00CA4941"/>
    <w:rsid w:val="00CA495C"/>
    <w:rsid w:val="00CA511A"/>
    <w:rsid w:val="00CA51AF"/>
    <w:rsid w:val="00CA5428"/>
    <w:rsid w:val="00CA54E8"/>
    <w:rsid w:val="00CA5B84"/>
    <w:rsid w:val="00CA5F64"/>
    <w:rsid w:val="00CA6063"/>
    <w:rsid w:val="00CA627E"/>
    <w:rsid w:val="00CA6400"/>
    <w:rsid w:val="00CA652C"/>
    <w:rsid w:val="00CA65F6"/>
    <w:rsid w:val="00CA676C"/>
    <w:rsid w:val="00CA685F"/>
    <w:rsid w:val="00CA68BF"/>
    <w:rsid w:val="00CA68EF"/>
    <w:rsid w:val="00CA69AF"/>
    <w:rsid w:val="00CA69E3"/>
    <w:rsid w:val="00CA6C85"/>
    <w:rsid w:val="00CA6DFE"/>
    <w:rsid w:val="00CA6E36"/>
    <w:rsid w:val="00CA6E8F"/>
    <w:rsid w:val="00CA7181"/>
    <w:rsid w:val="00CA71BE"/>
    <w:rsid w:val="00CA734E"/>
    <w:rsid w:val="00CA7533"/>
    <w:rsid w:val="00CA7621"/>
    <w:rsid w:val="00CA7790"/>
    <w:rsid w:val="00CA7DF6"/>
    <w:rsid w:val="00CA7FE6"/>
    <w:rsid w:val="00CB00B0"/>
    <w:rsid w:val="00CB0255"/>
    <w:rsid w:val="00CB04C3"/>
    <w:rsid w:val="00CB0758"/>
    <w:rsid w:val="00CB079A"/>
    <w:rsid w:val="00CB086D"/>
    <w:rsid w:val="00CB08CF"/>
    <w:rsid w:val="00CB0947"/>
    <w:rsid w:val="00CB098F"/>
    <w:rsid w:val="00CB09C6"/>
    <w:rsid w:val="00CB09D1"/>
    <w:rsid w:val="00CB0ADE"/>
    <w:rsid w:val="00CB0BE6"/>
    <w:rsid w:val="00CB0DD8"/>
    <w:rsid w:val="00CB0DF6"/>
    <w:rsid w:val="00CB0F51"/>
    <w:rsid w:val="00CB0FC8"/>
    <w:rsid w:val="00CB11B8"/>
    <w:rsid w:val="00CB12E1"/>
    <w:rsid w:val="00CB1368"/>
    <w:rsid w:val="00CB13E1"/>
    <w:rsid w:val="00CB141A"/>
    <w:rsid w:val="00CB14C7"/>
    <w:rsid w:val="00CB150C"/>
    <w:rsid w:val="00CB163C"/>
    <w:rsid w:val="00CB1AEA"/>
    <w:rsid w:val="00CB1C46"/>
    <w:rsid w:val="00CB1E47"/>
    <w:rsid w:val="00CB1F65"/>
    <w:rsid w:val="00CB239B"/>
    <w:rsid w:val="00CB25C7"/>
    <w:rsid w:val="00CB26D6"/>
    <w:rsid w:val="00CB2714"/>
    <w:rsid w:val="00CB2760"/>
    <w:rsid w:val="00CB2787"/>
    <w:rsid w:val="00CB27A5"/>
    <w:rsid w:val="00CB27FC"/>
    <w:rsid w:val="00CB293C"/>
    <w:rsid w:val="00CB2979"/>
    <w:rsid w:val="00CB2984"/>
    <w:rsid w:val="00CB29B0"/>
    <w:rsid w:val="00CB2BB0"/>
    <w:rsid w:val="00CB2CEE"/>
    <w:rsid w:val="00CB2D3C"/>
    <w:rsid w:val="00CB2EF8"/>
    <w:rsid w:val="00CB2FD6"/>
    <w:rsid w:val="00CB309A"/>
    <w:rsid w:val="00CB30D0"/>
    <w:rsid w:val="00CB32A5"/>
    <w:rsid w:val="00CB32F1"/>
    <w:rsid w:val="00CB33CA"/>
    <w:rsid w:val="00CB34BF"/>
    <w:rsid w:val="00CB34D3"/>
    <w:rsid w:val="00CB3662"/>
    <w:rsid w:val="00CB36E9"/>
    <w:rsid w:val="00CB3A83"/>
    <w:rsid w:val="00CB3D37"/>
    <w:rsid w:val="00CB3E57"/>
    <w:rsid w:val="00CB3EE1"/>
    <w:rsid w:val="00CB40A0"/>
    <w:rsid w:val="00CB4523"/>
    <w:rsid w:val="00CB48F5"/>
    <w:rsid w:val="00CB4C90"/>
    <w:rsid w:val="00CB4CB3"/>
    <w:rsid w:val="00CB4D41"/>
    <w:rsid w:val="00CB4D8B"/>
    <w:rsid w:val="00CB4F9E"/>
    <w:rsid w:val="00CB51D0"/>
    <w:rsid w:val="00CB53A9"/>
    <w:rsid w:val="00CB53E1"/>
    <w:rsid w:val="00CB5550"/>
    <w:rsid w:val="00CB5829"/>
    <w:rsid w:val="00CB5869"/>
    <w:rsid w:val="00CB591E"/>
    <w:rsid w:val="00CB5B86"/>
    <w:rsid w:val="00CB5BA8"/>
    <w:rsid w:val="00CB5BBE"/>
    <w:rsid w:val="00CB5D29"/>
    <w:rsid w:val="00CB5D92"/>
    <w:rsid w:val="00CB5DA6"/>
    <w:rsid w:val="00CB5DB9"/>
    <w:rsid w:val="00CB5DE9"/>
    <w:rsid w:val="00CB5E36"/>
    <w:rsid w:val="00CB60DE"/>
    <w:rsid w:val="00CB6106"/>
    <w:rsid w:val="00CB6719"/>
    <w:rsid w:val="00CB6781"/>
    <w:rsid w:val="00CB67BC"/>
    <w:rsid w:val="00CB6866"/>
    <w:rsid w:val="00CB6D53"/>
    <w:rsid w:val="00CB6E0F"/>
    <w:rsid w:val="00CB6F0B"/>
    <w:rsid w:val="00CB745F"/>
    <w:rsid w:val="00CB7475"/>
    <w:rsid w:val="00CB74DC"/>
    <w:rsid w:val="00CB7970"/>
    <w:rsid w:val="00CB7C46"/>
    <w:rsid w:val="00CC0089"/>
    <w:rsid w:val="00CC0314"/>
    <w:rsid w:val="00CC033D"/>
    <w:rsid w:val="00CC039A"/>
    <w:rsid w:val="00CC03CF"/>
    <w:rsid w:val="00CC06BF"/>
    <w:rsid w:val="00CC08BC"/>
    <w:rsid w:val="00CC09C1"/>
    <w:rsid w:val="00CC09EB"/>
    <w:rsid w:val="00CC0CA9"/>
    <w:rsid w:val="00CC0D98"/>
    <w:rsid w:val="00CC14CE"/>
    <w:rsid w:val="00CC164D"/>
    <w:rsid w:val="00CC16BF"/>
    <w:rsid w:val="00CC1A32"/>
    <w:rsid w:val="00CC1C2F"/>
    <w:rsid w:val="00CC1F5C"/>
    <w:rsid w:val="00CC211E"/>
    <w:rsid w:val="00CC2218"/>
    <w:rsid w:val="00CC23AF"/>
    <w:rsid w:val="00CC2460"/>
    <w:rsid w:val="00CC252D"/>
    <w:rsid w:val="00CC2690"/>
    <w:rsid w:val="00CC28C6"/>
    <w:rsid w:val="00CC28D6"/>
    <w:rsid w:val="00CC2C64"/>
    <w:rsid w:val="00CC2DB1"/>
    <w:rsid w:val="00CC2F8A"/>
    <w:rsid w:val="00CC3054"/>
    <w:rsid w:val="00CC336A"/>
    <w:rsid w:val="00CC364A"/>
    <w:rsid w:val="00CC39E4"/>
    <w:rsid w:val="00CC3BF7"/>
    <w:rsid w:val="00CC3F6F"/>
    <w:rsid w:val="00CC47C1"/>
    <w:rsid w:val="00CC48BE"/>
    <w:rsid w:val="00CC492F"/>
    <w:rsid w:val="00CC4AD9"/>
    <w:rsid w:val="00CC4DBF"/>
    <w:rsid w:val="00CC4EB6"/>
    <w:rsid w:val="00CC5359"/>
    <w:rsid w:val="00CC53EB"/>
    <w:rsid w:val="00CC54DA"/>
    <w:rsid w:val="00CC5868"/>
    <w:rsid w:val="00CC5AAB"/>
    <w:rsid w:val="00CC5EB5"/>
    <w:rsid w:val="00CC5ED7"/>
    <w:rsid w:val="00CC5F84"/>
    <w:rsid w:val="00CC5F91"/>
    <w:rsid w:val="00CC62FD"/>
    <w:rsid w:val="00CC6365"/>
    <w:rsid w:val="00CC6369"/>
    <w:rsid w:val="00CC6567"/>
    <w:rsid w:val="00CC6734"/>
    <w:rsid w:val="00CC6A8B"/>
    <w:rsid w:val="00CC6BF4"/>
    <w:rsid w:val="00CC742F"/>
    <w:rsid w:val="00CC75E5"/>
    <w:rsid w:val="00CC7625"/>
    <w:rsid w:val="00CC7736"/>
    <w:rsid w:val="00CC7936"/>
    <w:rsid w:val="00CC79EF"/>
    <w:rsid w:val="00CC7CDD"/>
    <w:rsid w:val="00CC7D18"/>
    <w:rsid w:val="00CC7F21"/>
    <w:rsid w:val="00CC7F5B"/>
    <w:rsid w:val="00CC7FCF"/>
    <w:rsid w:val="00CD0101"/>
    <w:rsid w:val="00CD023E"/>
    <w:rsid w:val="00CD024B"/>
    <w:rsid w:val="00CD0341"/>
    <w:rsid w:val="00CD049F"/>
    <w:rsid w:val="00CD058E"/>
    <w:rsid w:val="00CD05D0"/>
    <w:rsid w:val="00CD0673"/>
    <w:rsid w:val="00CD0698"/>
    <w:rsid w:val="00CD0A18"/>
    <w:rsid w:val="00CD0CF2"/>
    <w:rsid w:val="00CD0E2B"/>
    <w:rsid w:val="00CD1144"/>
    <w:rsid w:val="00CD11CD"/>
    <w:rsid w:val="00CD132C"/>
    <w:rsid w:val="00CD137C"/>
    <w:rsid w:val="00CD143A"/>
    <w:rsid w:val="00CD1719"/>
    <w:rsid w:val="00CD17EB"/>
    <w:rsid w:val="00CD1802"/>
    <w:rsid w:val="00CD1B2E"/>
    <w:rsid w:val="00CD1D24"/>
    <w:rsid w:val="00CD1DB4"/>
    <w:rsid w:val="00CD1EFB"/>
    <w:rsid w:val="00CD1FA7"/>
    <w:rsid w:val="00CD1FB1"/>
    <w:rsid w:val="00CD1FC9"/>
    <w:rsid w:val="00CD20A4"/>
    <w:rsid w:val="00CD20B9"/>
    <w:rsid w:val="00CD249B"/>
    <w:rsid w:val="00CD2CC8"/>
    <w:rsid w:val="00CD2DC5"/>
    <w:rsid w:val="00CD2DDB"/>
    <w:rsid w:val="00CD2E3B"/>
    <w:rsid w:val="00CD2E4D"/>
    <w:rsid w:val="00CD2E7E"/>
    <w:rsid w:val="00CD2F09"/>
    <w:rsid w:val="00CD310B"/>
    <w:rsid w:val="00CD3122"/>
    <w:rsid w:val="00CD312D"/>
    <w:rsid w:val="00CD34E2"/>
    <w:rsid w:val="00CD39F4"/>
    <w:rsid w:val="00CD3A71"/>
    <w:rsid w:val="00CD3D48"/>
    <w:rsid w:val="00CD3E59"/>
    <w:rsid w:val="00CD3EC7"/>
    <w:rsid w:val="00CD3F91"/>
    <w:rsid w:val="00CD4119"/>
    <w:rsid w:val="00CD4287"/>
    <w:rsid w:val="00CD4485"/>
    <w:rsid w:val="00CD46CF"/>
    <w:rsid w:val="00CD4CE5"/>
    <w:rsid w:val="00CD4FAE"/>
    <w:rsid w:val="00CD5048"/>
    <w:rsid w:val="00CD5049"/>
    <w:rsid w:val="00CD51CF"/>
    <w:rsid w:val="00CD521E"/>
    <w:rsid w:val="00CD541B"/>
    <w:rsid w:val="00CD542C"/>
    <w:rsid w:val="00CD5545"/>
    <w:rsid w:val="00CD558F"/>
    <w:rsid w:val="00CD5AF7"/>
    <w:rsid w:val="00CD5CD2"/>
    <w:rsid w:val="00CD5CF4"/>
    <w:rsid w:val="00CD5D19"/>
    <w:rsid w:val="00CD5D2B"/>
    <w:rsid w:val="00CD5DA1"/>
    <w:rsid w:val="00CD5F1A"/>
    <w:rsid w:val="00CD6039"/>
    <w:rsid w:val="00CD60DA"/>
    <w:rsid w:val="00CD628F"/>
    <w:rsid w:val="00CD634E"/>
    <w:rsid w:val="00CD656A"/>
    <w:rsid w:val="00CD65B5"/>
    <w:rsid w:val="00CD66DF"/>
    <w:rsid w:val="00CD677A"/>
    <w:rsid w:val="00CD6A1C"/>
    <w:rsid w:val="00CD6AF6"/>
    <w:rsid w:val="00CD6CAB"/>
    <w:rsid w:val="00CD6E41"/>
    <w:rsid w:val="00CD73F7"/>
    <w:rsid w:val="00CD778B"/>
    <w:rsid w:val="00CD7834"/>
    <w:rsid w:val="00CD7850"/>
    <w:rsid w:val="00CD78FC"/>
    <w:rsid w:val="00CD7C25"/>
    <w:rsid w:val="00CE0135"/>
    <w:rsid w:val="00CE0213"/>
    <w:rsid w:val="00CE0259"/>
    <w:rsid w:val="00CE02F2"/>
    <w:rsid w:val="00CE02F6"/>
    <w:rsid w:val="00CE036B"/>
    <w:rsid w:val="00CE041B"/>
    <w:rsid w:val="00CE068B"/>
    <w:rsid w:val="00CE079C"/>
    <w:rsid w:val="00CE093D"/>
    <w:rsid w:val="00CE0944"/>
    <w:rsid w:val="00CE0B79"/>
    <w:rsid w:val="00CE0CDB"/>
    <w:rsid w:val="00CE0E71"/>
    <w:rsid w:val="00CE0EFA"/>
    <w:rsid w:val="00CE1399"/>
    <w:rsid w:val="00CE15ED"/>
    <w:rsid w:val="00CE192E"/>
    <w:rsid w:val="00CE1B0C"/>
    <w:rsid w:val="00CE1CA4"/>
    <w:rsid w:val="00CE1E0B"/>
    <w:rsid w:val="00CE1E0D"/>
    <w:rsid w:val="00CE1FC2"/>
    <w:rsid w:val="00CE26B0"/>
    <w:rsid w:val="00CE27C2"/>
    <w:rsid w:val="00CE27F8"/>
    <w:rsid w:val="00CE29C1"/>
    <w:rsid w:val="00CE2A6A"/>
    <w:rsid w:val="00CE2A90"/>
    <w:rsid w:val="00CE2E47"/>
    <w:rsid w:val="00CE2FFF"/>
    <w:rsid w:val="00CE3059"/>
    <w:rsid w:val="00CE369A"/>
    <w:rsid w:val="00CE37A7"/>
    <w:rsid w:val="00CE387E"/>
    <w:rsid w:val="00CE38A2"/>
    <w:rsid w:val="00CE3907"/>
    <w:rsid w:val="00CE39A4"/>
    <w:rsid w:val="00CE39B5"/>
    <w:rsid w:val="00CE3A36"/>
    <w:rsid w:val="00CE3CE6"/>
    <w:rsid w:val="00CE3DE6"/>
    <w:rsid w:val="00CE42CE"/>
    <w:rsid w:val="00CE43A3"/>
    <w:rsid w:val="00CE4637"/>
    <w:rsid w:val="00CE4ACE"/>
    <w:rsid w:val="00CE4B1D"/>
    <w:rsid w:val="00CE4CF8"/>
    <w:rsid w:val="00CE4D00"/>
    <w:rsid w:val="00CE4FBF"/>
    <w:rsid w:val="00CE5045"/>
    <w:rsid w:val="00CE5146"/>
    <w:rsid w:val="00CE5387"/>
    <w:rsid w:val="00CE555D"/>
    <w:rsid w:val="00CE56E3"/>
    <w:rsid w:val="00CE5819"/>
    <w:rsid w:val="00CE599D"/>
    <w:rsid w:val="00CE5BAA"/>
    <w:rsid w:val="00CE5F1F"/>
    <w:rsid w:val="00CE6095"/>
    <w:rsid w:val="00CE60D9"/>
    <w:rsid w:val="00CE6335"/>
    <w:rsid w:val="00CE634E"/>
    <w:rsid w:val="00CE657A"/>
    <w:rsid w:val="00CE66F8"/>
    <w:rsid w:val="00CE6868"/>
    <w:rsid w:val="00CE69D5"/>
    <w:rsid w:val="00CE6B3D"/>
    <w:rsid w:val="00CE6BAF"/>
    <w:rsid w:val="00CE6D28"/>
    <w:rsid w:val="00CE6DC4"/>
    <w:rsid w:val="00CE7057"/>
    <w:rsid w:val="00CE734E"/>
    <w:rsid w:val="00CE754F"/>
    <w:rsid w:val="00CE7567"/>
    <w:rsid w:val="00CE76A4"/>
    <w:rsid w:val="00CE79D5"/>
    <w:rsid w:val="00CE7A66"/>
    <w:rsid w:val="00CE7AC6"/>
    <w:rsid w:val="00CE7BDE"/>
    <w:rsid w:val="00CE7D74"/>
    <w:rsid w:val="00CF005C"/>
    <w:rsid w:val="00CF00B0"/>
    <w:rsid w:val="00CF00DE"/>
    <w:rsid w:val="00CF022A"/>
    <w:rsid w:val="00CF03AC"/>
    <w:rsid w:val="00CF04CD"/>
    <w:rsid w:val="00CF09D8"/>
    <w:rsid w:val="00CF0AE4"/>
    <w:rsid w:val="00CF0B3C"/>
    <w:rsid w:val="00CF0B61"/>
    <w:rsid w:val="00CF0B83"/>
    <w:rsid w:val="00CF0DB4"/>
    <w:rsid w:val="00CF0E55"/>
    <w:rsid w:val="00CF107C"/>
    <w:rsid w:val="00CF10E0"/>
    <w:rsid w:val="00CF1179"/>
    <w:rsid w:val="00CF11A1"/>
    <w:rsid w:val="00CF1804"/>
    <w:rsid w:val="00CF1AB3"/>
    <w:rsid w:val="00CF1B32"/>
    <w:rsid w:val="00CF1B9A"/>
    <w:rsid w:val="00CF1E8B"/>
    <w:rsid w:val="00CF205A"/>
    <w:rsid w:val="00CF2239"/>
    <w:rsid w:val="00CF225D"/>
    <w:rsid w:val="00CF2CB9"/>
    <w:rsid w:val="00CF2D65"/>
    <w:rsid w:val="00CF34DF"/>
    <w:rsid w:val="00CF3563"/>
    <w:rsid w:val="00CF382B"/>
    <w:rsid w:val="00CF383C"/>
    <w:rsid w:val="00CF3A9F"/>
    <w:rsid w:val="00CF3B27"/>
    <w:rsid w:val="00CF3BA9"/>
    <w:rsid w:val="00CF3D54"/>
    <w:rsid w:val="00CF3F54"/>
    <w:rsid w:val="00CF40AE"/>
    <w:rsid w:val="00CF4100"/>
    <w:rsid w:val="00CF41A2"/>
    <w:rsid w:val="00CF42DE"/>
    <w:rsid w:val="00CF43FA"/>
    <w:rsid w:val="00CF4607"/>
    <w:rsid w:val="00CF46C3"/>
    <w:rsid w:val="00CF47A7"/>
    <w:rsid w:val="00CF4879"/>
    <w:rsid w:val="00CF490C"/>
    <w:rsid w:val="00CF4B33"/>
    <w:rsid w:val="00CF4BB2"/>
    <w:rsid w:val="00CF4C15"/>
    <w:rsid w:val="00CF4CC3"/>
    <w:rsid w:val="00CF4DC7"/>
    <w:rsid w:val="00CF4F3E"/>
    <w:rsid w:val="00CF4FB3"/>
    <w:rsid w:val="00CF5105"/>
    <w:rsid w:val="00CF567E"/>
    <w:rsid w:val="00CF58F9"/>
    <w:rsid w:val="00CF5BB9"/>
    <w:rsid w:val="00CF5C30"/>
    <w:rsid w:val="00CF5D6B"/>
    <w:rsid w:val="00CF6245"/>
    <w:rsid w:val="00CF6261"/>
    <w:rsid w:val="00CF629F"/>
    <w:rsid w:val="00CF633F"/>
    <w:rsid w:val="00CF6563"/>
    <w:rsid w:val="00CF669A"/>
    <w:rsid w:val="00CF689B"/>
    <w:rsid w:val="00CF68ED"/>
    <w:rsid w:val="00CF691A"/>
    <w:rsid w:val="00CF6BF1"/>
    <w:rsid w:val="00CF724F"/>
    <w:rsid w:val="00CF771F"/>
    <w:rsid w:val="00CF7D33"/>
    <w:rsid w:val="00CF7E86"/>
    <w:rsid w:val="00CF7F98"/>
    <w:rsid w:val="00D000E6"/>
    <w:rsid w:val="00D00115"/>
    <w:rsid w:val="00D001BF"/>
    <w:rsid w:val="00D001EC"/>
    <w:rsid w:val="00D00219"/>
    <w:rsid w:val="00D00319"/>
    <w:rsid w:val="00D0036C"/>
    <w:rsid w:val="00D005E9"/>
    <w:rsid w:val="00D006E9"/>
    <w:rsid w:val="00D008B1"/>
    <w:rsid w:val="00D00904"/>
    <w:rsid w:val="00D00A9B"/>
    <w:rsid w:val="00D00B2E"/>
    <w:rsid w:val="00D00C13"/>
    <w:rsid w:val="00D0111B"/>
    <w:rsid w:val="00D012D1"/>
    <w:rsid w:val="00D01348"/>
    <w:rsid w:val="00D013DD"/>
    <w:rsid w:val="00D014D6"/>
    <w:rsid w:val="00D01527"/>
    <w:rsid w:val="00D0171B"/>
    <w:rsid w:val="00D018C5"/>
    <w:rsid w:val="00D01920"/>
    <w:rsid w:val="00D01BA1"/>
    <w:rsid w:val="00D01C28"/>
    <w:rsid w:val="00D01ED0"/>
    <w:rsid w:val="00D01F6F"/>
    <w:rsid w:val="00D02103"/>
    <w:rsid w:val="00D02412"/>
    <w:rsid w:val="00D024C5"/>
    <w:rsid w:val="00D025B7"/>
    <w:rsid w:val="00D02833"/>
    <w:rsid w:val="00D02BAC"/>
    <w:rsid w:val="00D02D29"/>
    <w:rsid w:val="00D02FA2"/>
    <w:rsid w:val="00D03006"/>
    <w:rsid w:val="00D0308B"/>
    <w:rsid w:val="00D0309A"/>
    <w:rsid w:val="00D030DE"/>
    <w:rsid w:val="00D0316F"/>
    <w:rsid w:val="00D0318B"/>
    <w:rsid w:val="00D0335B"/>
    <w:rsid w:val="00D03519"/>
    <w:rsid w:val="00D03572"/>
    <w:rsid w:val="00D03754"/>
    <w:rsid w:val="00D03963"/>
    <w:rsid w:val="00D03B98"/>
    <w:rsid w:val="00D03D43"/>
    <w:rsid w:val="00D03DB3"/>
    <w:rsid w:val="00D0408A"/>
    <w:rsid w:val="00D04363"/>
    <w:rsid w:val="00D04411"/>
    <w:rsid w:val="00D046EB"/>
    <w:rsid w:val="00D049E1"/>
    <w:rsid w:val="00D04AA3"/>
    <w:rsid w:val="00D04AE0"/>
    <w:rsid w:val="00D04AF3"/>
    <w:rsid w:val="00D050BC"/>
    <w:rsid w:val="00D05281"/>
    <w:rsid w:val="00D052C5"/>
    <w:rsid w:val="00D05315"/>
    <w:rsid w:val="00D05367"/>
    <w:rsid w:val="00D053FB"/>
    <w:rsid w:val="00D05452"/>
    <w:rsid w:val="00D0558E"/>
    <w:rsid w:val="00D05721"/>
    <w:rsid w:val="00D05A55"/>
    <w:rsid w:val="00D05C0B"/>
    <w:rsid w:val="00D05EFC"/>
    <w:rsid w:val="00D05F25"/>
    <w:rsid w:val="00D05F35"/>
    <w:rsid w:val="00D060B1"/>
    <w:rsid w:val="00D0616F"/>
    <w:rsid w:val="00D061AA"/>
    <w:rsid w:val="00D061B5"/>
    <w:rsid w:val="00D061C2"/>
    <w:rsid w:val="00D061E1"/>
    <w:rsid w:val="00D06292"/>
    <w:rsid w:val="00D064C5"/>
    <w:rsid w:val="00D06564"/>
    <w:rsid w:val="00D066CC"/>
    <w:rsid w:val="00D06752"/>
    <w:rsid w:val="00D0687A"/>
    <w:rsid w:val="00D06B4F"/>
    <w:rsid w:val="00D06C67"/>
    <w:rsid w:val="00D06CB5"/>
    <w:rsid w:val="00D06D59"/>
    <w:rsid w:val="00D06FE8"/>
    <w:rsid w:val="00D077A3"/>
    <w:rsid w:val="00D07BE5"/>
    <w:rsid w:val="00D07C1B"/>
    <w:rsid w:val="00D100FF"/>
    <w:rsid w:val="00D10250"/>
    <w:rsid w:val="00D10441"/>
    <w:rsid w:val="00D104E6"/>
    <w:rsid w:val="00D1081A"/>
    <w:rsid w:val="00D10860"/>
    <w:rsid w:val="00D10CDC"/>
    <w:rsid w:val="00D10F35"/>
    <w:rsid w:val="00D1144C"/>
    <w:rsid w:val="00D115FC"/>
    <w:rsid w:val="00D11A28"/>
    <w:rsid w:val="00D11AA9"/>
    <w:rsid w:val="00D11AE9"/>
    <w:rsid w:val="00D124A8"/>
    <w:rsid w:val="00D125D4"/>
    <w:rsid w:val="00D127C8"/>
    <w:rsid w:val="00D128CA"/>
    <w:rsid w:val="00D128DF"/>
    <w:rsid w:val="00D12EB5"/>
    <w:rsid w:val="00D130C5"/>
    <w:rsid w:val="00D131BB"/>
    <w:rsid w:val="00D133F4"/>
    <w:rsid w:val="00D135DB"/>
    <w:rsid w:val="00D13706"/>
    <w:rsid w:val="00D13779"/>
    <w:rsid w:val="00D138E2"/>
    <w:rsid w:val="00D13AA8"/>
    <w:rsid w:val="00D13BC8"/>
    <w:rsid w:val="00D13C00"/>
    <w:rsid w:val="00D13E5F"/>
    <w:rsid w:val="00D13EA4"/>
    <w:rsid w:val="00D13F10"/>
    <w:rsid w:val="00D14116"/>
    <w:rsid w:val="00D14131"/>
    <w:rsid w:val="00D14224"/>
    <w:rsid w:val="00D14321"/>
    <w:rsid w:val="00D1453A"/>
    <w:rsid w:val="00D1476C"/>
    <w:rsid w:val="00D14AAE"/>
    <w:rsid w:val="00D14D42"/>
    <w:rsid w:val="00D14DC2"/>
    <w:rsid w:val="00D14E0F"/>
    <w:rsid w:val="00D14E42"/>
    <w:rsid w:val="00D153B7"/>
    <w:rsid w:val="00D15AD7"/>
    <w:rsid w:val="00D15B52"/>
    <w:rsid w:val="00D15D48"/>
    <w:rsid w:val="00D15DF9"/>
    <w:rsid w:val="00D15EC8"/>
    <w:rsid w:val="00D16453"/>
    <w:rsid w:val="00D16953"/>
    <w:rsid w:val="00D16987"/>
    <w:rsid w:val="00D16B2E"/>
    <w:rsid w:val="00D16DAD"/>
    <w:rsid w:val="00D16FDF"/>
    <w:rsid w:val="00D16FE5"/>
    <w:rsid w:val="00D17062"/>
    <w:rsid w:val="00D1709B"/>
    <w:rsid w:val="00D1724C"/>
    <w:rsid w:val="00D172EA"/>
    <w:rsid w:val="00D175AF"/>
    <w:rsid w:val="00D179B3"/>
    <w:rsid w:val="00D17A72"/>
    <w:rsid w:val="00D17BAD"/>
    <w:rsid w:val="00D201FE"/>
    <w:rsid w:val="00D204E9"/>
    <w:rsid w:val="00D2050D"/>
    <w:rsid w:val="00D2085C"/>
    <w:rsid w:val="00D20881"/>
    <w:rsid w:val="00D2096A"/>
    <w:rsid w:val="00D20CFF"/>
    <w:rsid w:val="00D20DD3"/>
    <w:rsid w:val="00D2102D"/>
    <w:rsid w:val="00D215BA"/>
    <w:rsid w:val="00D21682"/>
    <w:rsid w:val="00D219E3"/>
    <w:rsid w:val="00D219F8"/>
    <w:rsid w:val="00D21AFE"/>
    <w:rsid w:val="00D21B44"/>
    <w:rsid w:val="00D21E91"/>
    <w:rsid w:val="00D220C8"/>
    <w:rsid w:val="00D220DF"/>
    <w:rsid w:val="00D2222A"/>
    <w:rsid w:val="00D22333"/>
    <w:rsid w:val="00D22379"/>
    <w:rsid w:val="00D225A5"/>
    <w:rsid w:val="00D226C7"/>
    <w:rsid w:val="00D2279A"/>
    <w:rsid w:val="00D227AA"/>
    <w:rsid w:val="00D227D1"/>
    <w:rsid w:val="00D2280D"/>
    <w:rsid w:val="00D22A61"/>
    <w:rsid w:val="00D22C82"/>
    <w:rsid w:val="00D22DB4"/>
    <w:rsid w:val="00D22DB5"/>
    <w:rsid w:val="00D2301C"/>
    <w:rsid w:val="00D23487"/>
    <w:rsid w:val="00D234CC"/>
    <w:rsid w:val="00D23587"/>
    <w:rsid w:val="00D2383B"/>
    <w:rsid w:val="00D2387E"/>
    <w:rsid w:val="00D238CB"/>
    <w:rsid w:val="00D238EA"/>
    <w:rsid w:val="00D23A86"/>
    <w:rsid w:val="00D23CEC"/>
    <w:rsid w:val="00D23D2F"/>
    <w:rsid w:val="00D23D5A"/>
    <w:rsid w:val="00D23DEA"/>
    <w:rsid w:val="00D23E0C"/>
    <w:rsid w:val="00D240C7"/>
    <w:rsid w:val="00D24280"/>
    <w:rsid w:val="00D2459A"/>
    <w:rsid w:val="00D249E4"/>
    <w:rsid w:val="00D24C39"/>
    <w:rsid w:val="00D24D5C"/>
    <w:rsid w:val="00D24DAE"/>
    <w:rsid w:val="00D25039"/>
    <w:rsid w:val="00D251E8"/>
    <w:rsid w:val="00D251F5"/>
    <w:rsid w:val="00D2532E"/>
    <w:rsid w:val="00D2544C"/>
    <w:rsid w:val="00D254D0"/>
    <w:rsid w:val="00D25711"/>
    <w:rsid w:val="00D2598E"/>
    <w:rsid w:val="00D25AE7"/>
    <w:rsid w:val="00D25B2F"/>
    <w:rsid w:val="00D26017"/>
    <w:rsid w:val="00D26064"/>
    <w:rsid w:val="00D2606F"/>
    <w:rsid w:val="00D2641F"/>
    <w:rsid w:val="00D268DB"/>
    <w:rsid w:val="00D26C7B"/>
    <w:rsid w:val="00D26F22"/>
    <w:rsid w:val="00D27161"/>
    <w:rsid w:val="00D271A8"/>
    <w:rsid w:val="00D271AE"/>
    <w:rsid w:val="00D273E7"/>
    <w:rsid w:val="00D2770A"/>
    <w:rsid w:val="00D279EE"/>
    <w:rsid w:val="00D27A99"/>
    <w:rsid w:val="00D27ACF"/>
    <w:rsid w:val="00D27CB1"/>
    <w:rsid w:val="00D27F14"/>
    <w:rsid w:val="00D30308"/>
    <w:rsid w:val="00D303F7"/>
    <w:rsid w:val="00D307D9"/>
    <w:rsid w:val="00D3098C"/>
    <w:rsid w:val="00D30CCB"/>
    <w:rsid w:val="00D30CD2"/>
    <w:rsid w:val="00D30EE7"/>
    <w:rsid w:val="00D30F6B"/>
    <w:rsid w:val="00D30F7E"/>
    <w:rsid w:val="00D30FCD"/>
    <w:rsid w:val="00D31060"/>
    <w:rsid w:val="00D31106"/>
    <w:rsid w:val="00D3112B"/>
    <w:rsid w:val="00D312FF"/>
    <w:rsid w:val="00D31371"/>
    <w:rsid w:val="00D31510"/>
    <w:rsid w:val="00D316EF"/>
    <w:rsid w:val="00D31903"/>
    <w:rsid w:val="00D31929"/>
    <w:rsid w:val="00D31AAD"/>
    <w:rsid w:val="00D31E56"/>
    <w:rsid w:val="00D31E68"/>
    <w:rsid w:val="00D31F2D"/>
    <w:rsid w:val="00D3229C"/>
    <w:rsid w:val="00D324B8"/>
    <w:rsid w:val="00D3257C"/>
    <w:rsid w:val="00D326AE"/>
    <w:rsid w:val="00D3280E"/>
    <w:rsid w:val="00D32858"/>
    <w:rsid w:val="00D32A50"/>
    <w:rsid w:val="00D32CDA"/>
    <w:rsid w:val="00D32DEB"/>
    <w:rsid w:val="00D33085"/>
    <w:rsid w:val="00D332F9"/>
    <w:rsid w:val="00D3338F"/>
    <w:rsid w:val="00D33519"/>
    <w:rsid w:val="00D33563"/>
    <w:rsid w:val="00D3395A"/>
    <w:rsid w:val="00D33A76"/>
    <w:rsid w:val="00D33C84"/>
    <w:rsid w:val="00D33C95"/>
    <w:rsid w:val="00D33FAE"/>
    <w:rsid w:val="00D34038"/>
    <w:rsid w:val="00D34108"/>
    <w:rsid w:val="00D3418F"/>
    <w:rsid w:val="00D344DE"/>
    <w:rsid w:val="00D34512"/>
    <w:rsid w:val="00D3467A"/>
    <w:rsid w:val="00D34687"/>
    <w:rsid w:val="00D3470C"/>
    <w:rsid w:val="00D34777"/>
    <w:rsid w:val="00D348A5"/>
    <w:rsid w:val="00D349CE"/>
    <w:rsid w:val="00D34D4F"/>
    <w:rsid w:val="00D35421"/>
    <w:rsid w:val="00D35583"/>
    <w:rsid w:val="00D356F2"/>
    <w:rsid w:val="00D357CE"/>
    <w:rsid w:val="00D35A44"/>
    <w:rsid w:val="00D35AC6"/>
    <w:rsid w:val="00D35B00"/>
    <w:rsid w:val="00D35BF3"/>
    <w:rsid w:val="00D35C13"/>
    <w:rsid w:val="00D35C28"/>
    <w:rsid w:val="00D35C3E"/>
    <w:rsid w:val="00D35C40"/>
    <w:rsid w:val="00D361FF"/>
    <w:rsid w:val="00D36433"/>
    <w:rsid w:val="00D3680D"/>
    <w:rsid w:val="00D368E7"/>
    <w:rsid w:val="00D369BF"/>
    <w:rsid w:val="00D36B3F"/>
    <w:rsid w:val="00D36F79"/>
    <w:rsid w:val="00D3700A"/>
    <w:rsid w:val="00D3711F"/>
    <w:rsid w:val="00D37129"/>
    <w:rsid w:val="00D379A2"/>
    <w:rsid w:val="00D379DD"/>
    <w:rsid w:val="00D37A6C"/>
    <w:rsid w:val="00D37BC8"/>
    <w:rsid w:val="00D400B9"/>
    <w:rsid w:val="00D401B0"/>
    <w:rsid w:val="00D401FC"/>
    <w:rsid w:val="00D40F11"/>
    <w:rsid w:val="00D40FB0"/>
    <w:rsid w:val="00D410E9"/>
    <w:rsid w:val="00D411BC"/>
    <w:rsid w:val="00D411EC"/>
    <w:rsid w:val="00D412C8"/>
    <w:rsid w:val="00D4143F"/>
    <w:rsid w:val="00D41471"/>
    <w:rsid w:val="00D41552"/>
    <w:rsid w:val="00D41688"/>
    <w:rsid w:val="00D41A56"/>
    <w:rsid w:val="00D41A7A"/>
    <w:rsid w:val="00D41B06"/>
    <w:rsid w:val="00D41B9F"/>
    <w:rsid w:val="00D41EA3"/>
    <w:rsid w:val="00D42012"/>
    <w:rsid w:val="00D4202F"/>
    <w:rsid w:val="00D4213C"/>
    <w:rsid w:val="00D42397"/>
    <w:rsid w:val="00D424F8"/>
    <w:rsid w:val="00D427AD"/>
    <w:rsid w:val="00D427DB"/>
    <w:rsid w:val="00D42E3C"/>
    <w:rsid w:val="00D43021"/>
    <w:rsid w:val="00D431C7"/>
    <w:rsid w:val="00D43311"/>
    <w:rsid w:val="00D43315"/>
    <w:rsid w:val="00D43425"/>
    <w:rsid w:val="00D43577"/>
    <w:rsid w:val="00D437E1"/>
    <w:rsid w:val="00D43845"/>
    <w:rsid w:val="00D4389F"/>
    <w:rsid w:val="00D438BE"/>
    <w:rsid w:val="00D43908"/>
    <w:rsid w:val="00D43A13"/>
    <w:rsid w:val="00D43C66"/>
    <w:rsid w:val="00D44153"/>
    <w:rsid w:val="00D441E1"/>
    <w:rsid w:val="00D442C8"/>
    <w:rsid w:val="00D4430A"/>
    <w:rsid w:val="00D445A9"/>
    <w:rsid w:val="00D445FF"/>
    <w:rsid w:val="00D44676"/>
    <w:rsid w:val="00D4498A"/>
    <w:rsid w:val="00D44F97"/>
    <w:rsid w:val="00D450DF"/>
    <w:rsid w:val="00D45221"/>
    <w:rsid w:val="00D45273"/>
    <w:rsid w:val="00D452B9"/>
    <w:rsid w:val="00D454B1"/>
    <w:rsid w:val="00D455F5"/>
    <w:rsid w:val="00D4561F"/>
    <w:rsid w:val="00D458BB"/>
    <w:rsid w:val="00D45B1F"/>
    <w:rsid w:val="00D45BC7"/>
    <w:rsid w:val="00D45ECC"/>
    <w:rsid w:val="00D4603B"/>
    <w:rsid w:val="00D460B1"/>
    <w:rsid w:val="00D46439"/>
    <w:rsid w:val="00D4662F"/>
    <w:rsid w:val="00D467A8"/>
    <w:rsid w:val="00D46857"/>
    <w:rsid w:val="00D4689D"/>
    <w:rsid w:val="00D46923"/>
    <w:rsid w:val="00D46962"/>
    <w:rsid w:val="00D46A32"/>
    <w:rsid w:val="00D47057"/>
    <w:rsid w:val="00D47283"/>
    <w:rsid w:val="00D472C5"/>
    <w:rsid w:val="00D47377"/>
    <w:rsid w:val="00D47443"/>
    <w:rsid w:val="00D47564"/>
    <w:rsid w:val="00D475A9"/>
    <w:rsid w:val="00D47713"/>
    <w:rsid w:val="00D47890"/>
    <w:rsid w:val="00D47A0C"/>
    <w:rsid w:val="00D47B68"/>
    <w:rsid w:val="00D47C86"/>
    <w:rsid w:val="00D50372"/>
    <w:rsid w:val="00D50406"/>
    <w:rsid w:val="00D50694"/>
    <w:rsid w:val="00D50A69"/>
    <w:rsid w:val="00D50FD2"/>
    <w:rsid w:val="00D51101"/>
    <w:rsid w:val="00D513B5"/>
    <w:rsid w:val="00D5140C"/>
    <w:rsid w:val="00D51583"/>
    <w:rsid w:val="00D5177F"/>
    <w:rsid w:val="00D51ABC"/>
    <w:rsid w:val="00D51AC2"/>
    <w:rsid w:val="00D51B50"/>
    <w:rsid w:val="00D51B7D"/>
    <w:rsid w:val="00D51CF1"/>
    <w:rsid w:val="00D51D01"/>
    <w:rsid w:val="00D5209D"/>
    <w:rsid w:val="00D5227A"/>
    <w:rsid w:val="00D522A7"/>
    <w:rsid w:val="00D52579"/>
    <w:rsid w:val="00D527CC"/>
    <w:rsid w:val="00D529C5"/>
    <w:rsid w:val="00D52B91"/>
    <w:rsid w:val="00D52C19"/>
    <w:rsid w:val="00D52CA3"/>
    <w:rsid w:val="00D52F1C"/>
    <w:rsid w:val="00D5335D"/>
    <w:rsid w:val="00D53407"/>
    <w:rsid w:val="00D53414"/>
    <w:rsid w:val="00D53520"/>
    <w:rsid w:val="00D538D3"/>
    <w:rsid w:val="00D53B2D"/>
    <w:rsid w:val="00D53B4C"/>
    <w:rsid w:val="00D53B84"/>
    <w:rsid w:val="00D53C76"/>
    <w:rsid w:val="00D53FA9"/>
    <w:rsid w:val="00D54564"/>
    <w:rsid w:val="00D546A6"/>
    <w:rsid w:val="00D5476B"/>
    <w:rsid w:val="00D547B8"/>
    <w:rsid w:val="00D5480A"/>
    <w:rsid w:val="00D54ACD"/>
    <w:rsid w:val="00D54B3C"/>
    <w:rsid w:val="00D54ED3"/>
    <w:rsid w:val="00D54EF5"/>
    <w:rsid w:val="00D55431"/>
    <w:rsid w:val="00D559F7"/>
    <w:rsid w:val="00D55DAD"/>
    <w:rsid w:val="00D55FC3"/>
    <w:rsid w:val="00D56089"/>
    <w:rsid w:val="00D56123"/>
    <w:rsid w:val="00D564A2"/>
    <w:rsid w:val="00D565C7"/>
    <w:rsid w:val="00D5668B"/>
    <w:rsid w:val="00D56891"/>
    <w:rsid w:val="00D56897"/>
    <w:rsid w:val="00D56976"/>
    <w:rsid w:val="00D569E2"/>
    <w:rsid w:val="00D56CF3"/>
    <w:rsid w:val="00D570E1"/>
    <w:rsid w:val="00D57175"/>
    <w:rsid w:val="00D57253"/>
    <w:rsid w:val="00D573FE"/>
    <w:rsid w:val="00D57535"/>
    <w:rsid w:val="00D576EA"/>
    <w:rsid w:val="00D57745"/>
    <w:rsid w:val="00D57CB7"/>
    <w:rsid w:val="00D57E7E"/>
    <w:rsid w:val="00D57FD6"/>
    <w:rsid w:val="00D60071"/>
    <w:rsid w:val="00D605BE"/>
    <w:rsid w:val="00D6064E"/>
    <w:rsid w:val="00D606BC"/>
    <w:rsid w:val="00D606DC"/>
    <w:rsid w:val="00D608DF"/>
    <w:rsid w:val="00D60A4B"/>
    <w:rsid w:val="00D60AC8"/>
    <w:rsid w:val="00D60C0C"/>
    <w:rsid w:val="00D60D78"/>
    <w:rsid w:val="00D60ECA"/>
    <w:rsid w:val="00D60FC6"/>
    <w:rsid w:val="00D6100A"/>
    <w:rsid w:val="00D61229"/>
    <w:rsid w:val="00D6131B"/>
    <w:rsid w:val="00D6146E"/>
    <w:rsid w:val="00D61859"/>
    <w:rsid w:val="00D6188D"/>
    <w:rsid w:val="00D619CB"/>
    <w:rsid w:val="00D61E01"/>
    <w:rsid w:val="00D61EF7"/>
    <w:rsid w:val="00D61F09"/>
    <w:rsid w:val="00D61FC9"/>
    <w:rsid w:val="00D62094"/>
    <w:rsid w:val="00D620F1"/>
    <w:rsid w:val="00D624B5"/>
    <w:rsid w:val="00D625B3"/>
    <w:rsid w:val="00D627FE"/>
    <w:rsid w:val="00D62B0E"/>
    <w:rsid w:val="00D62BE7"/>
    <w:rsid w:val="00D62EFF"/>
    <w:rsid w:val="00D62F9B"/>
    <w:rsid w:val="00D63138"/>
    <w:rsid w:val="00D6328B"/>
    <w:rsid w:val="00D63313"/>
    <w:rsid w:val="00D63897"/>
    <w:rsid w:val="00D6393F"/>
    <w:rsid w:val="00D63A1C"/>
    <w:rsid w:val="00D63CA9"/>
    <w:rsid w:val="00D63EA4"/>
    <w:rsid w:val="00D64149"/>
    <w:rsid w:val="00D64163"/>
    <w:rsid w:val="00D64232"/>
    <w:rsid w:val="00D643CB"/>
    <w:rsid w:val="00D64BAD"/>
    <w:rsid w:val="00D64BE5"/>
    <w:rsid w:val="00D64C74"/>
    <w:rsid w:val="00D64E22"/>
    <w:rsid w:val="00D64E39"/>
    <w:rsid w:val="00D64F5E"/>
    <w:rsid w:val="00D65477"/>
    <w:rsid w:val="00D657C1"/>
    <w:rsid w:val="00D65B4C"/>
    <w:rsid w:val="00D65B50"/>
    <w:rsid w:val="00D65C24"/>
    <w:rsid w:val="00D66197"/>
    <w:rsid w:val="00D662D4"/>
    <w:rsid w:val="00D662EB"/>
    <w:rsid w:val="00D66482"/>
    <w:rsid w:val="00D66897"/>
    <w:rsid w:val="00D668A6"/>
    <w:rsid w:val="00D66B51"/>
    <w:rsid w:val="00D66C0D"/>
    <w:rsid w:val="00D66EBC"/>
    <w:rsid w:val="00D6720A"/>
    <w:rsid w:val="00D67651"/>
    <w:rsid w:val="00D67B85"/>
    <w:rsid w:val="00D67BAF"/>
    <w:rsid w:val="00D67E15"/>
    <w:rsid w:val="00D67F59"/>
    <w:rsid w:val="00D70337"/>
    <w:rsid w:val="00D7040C"/>
    <w:rsid w:val="00D70603"/>
    <w:rsid w:val="00D7065B"/>
    <w:rsid w:val="00D7068C"/>
    <w:rsid w:val="00D7072F"/>
    <w:rsid w:val="00D70752"/>
    <w:rsid w:val="00D7082D"/>
    <w:rsid w:val="00D7095D"/>
    <w:rsid w:val="00D70A9D"/>
    <w:rsid w:val="00D70BA3"/>
    <w:rsid w:val="00D70BB3"/>
    <w:rsid w:val="00D70C9A"/>
    <w:rsid w:val="00D70D69"/>
    <w:rsid w:val="00D7125A"/>
    <w:rsid w:val="00D71AF7"/>
    <w:rsid w:val="00D71B64"/>
    <w:rsid w:val="00D71C46"/>
    <w:rsid w:val="00D71E01"/>
    <w:rsid w:val="00D71E9B"/>
    <w:rsid w:val="00D71ED5"/>
    <w:rsid w:val="00D71F24"/>
    <w:rsid w:val="00D7210E"/>
    <w:rsid w:val="00D721AF"/>
    <w:rsid w:val="00D721BD"/>
    <w:rsid w:val="00D723E1"/>
    <w:rsid w:val="00D72711"/>
    <w:rsid w:val="00D72877"/>
    <w:rsid w:val="00D72973"/>
    <w:rsid w:val="00D72CCD"/>
    <w:rsid w:val="00D72E3D"/>
    <w:rsid w:val="00D72E40"/>
    <w:rsid w:val="00D72E90"/>
    <w:rsid w:val="00D7302E"/>
    <w:rsid w:val="00D73178"/>
    <w:rsid w:val="00D731A5"/>
    <w:rsid w:val="00D731C8"/>
    <w:rsid w:val="00D732A5"/>
    <w:rsid w:val="00D732D2"/>
    <w:rsid w:val="00D73340"/>
    <w:rsid w:val="00D73617"/>
    <w:rsid w:val="00D736C1"/>
    <w:rsid w:val="00D736FC"/>
    <w:rsid w:val="00D73B5B"/>
    <w:rsid w:val="00D73C9D"/>
    <w:rsid w:val="00D73E34"/>
    <w:rsid w:val="00D73E88"/>
    <w:rsid w:val="00D740BE"/>
    <w:rsid w:val="00D740D8"/>
    <w:rsid w:val="00D743CF"/>
    <w:rsid w:val="00D74461"/>
    <w:rsid w:val="00D7449A"/>
    <w:rsid w:val="00D74688"/>
    <w:rsid w:val="00D747C0"/>
    <w:rsid w:val="00D747E8"/>
    <w:rsid w:val="00D748FF"/>
    <w:rsid w:val="00D74945"/>
    <w:rsid w:val="00D74A9D"/>
    <w:rsid w:val="00D74D45"/>
    <w:rsid w:val="00D74F9F"/>
    <w:rsid w:val="00D74FD0"/>
    <w:rsid w:val="00D74FE0"/>
    <w:rsid w:val="00D7502F"/>
    <w:rsid w:val="00D751CE"/>
    <w:rsid w:val="00D75276"/>
    <w:rsid w:val="00D7585D"/>
    <w:rsid w:val="00D75A6E"/>
    <w:rsid w:val="00D75B87"/>
    <w:rsid w:val="00D75ECF"/>
    <w:rsid w:val="00D76016"/>
    <w:rsid w:val="00D761BE"/>
    <w:rsid w:val="00D76294"/>
    <w:rsid w:val="00D762DE"/>
    <w:rsid w:val="00D763A8"/>
    <w:rsid w:val="00D767A7"/>
    <w:rsid w:val="00D7683B"/>
    <w:rsid w:val="00D768AB"/>
    <w:rsid w:val="00D769E1"/>
    <w:rsid w:val="00D76B10"/>
    <w:rsid w:val="00D76CCE"/>
    <w:rsid w:val="00D76D52"/>
    <w:rsid w:val="00D76E78"/>
    <w:rsid w:val="00D76F8C"/>
    <w:rsid w:val="00D772F4"/>
    <w:rsid w:val="00D77432"/>
    <w:rsid w:val="00D7747B"/>
    <w:rsid w:val="00D77723"/>
    <w:rsid w:val="00D7775B"/>
    <w:rsid w:val="00D7780F"/>
    <w:rsid w:val="00D77869"/>
    <w:rsid w:val="00D7788D"/>
    <w:rsid w:val="00D779E9"/>
    <w:rsid w:val="00D779EF"/>
    <w:rsid w:val="00D77F68"/>
    <w:rsid w:val="00D80093"/>
    <w:rsid w:val="00D80535"/>
    <w:rsid w:val="00D805BE"/>
    <w:rsid w:val="00D80620"/>
    <w:rsid w:val="00D8062E"/>
    <w:rsid w:val="00D80639"/>
    <w:rsid w:val="00D806DD"/>
    <w:rsid w:val="00D807F3"/>
    <w:rsid w:val="00D80899"/>
    <w:rsid w:val="00D808DC"/>
    <w:rsid w:val="00D80A72"/>
    <w:rsid w:val="00D80B37"/>
    <w:rsid w:val="00D80D0F"/>
    <w:rsid w:val="00D80FC3"/>
    <w:rsid w:val="00D80FF8"/>
    <w:rsid w:val="00D8115C"/>
    <w:rsid w:val="00D81283"/>
    <w:rsid w:val="00D81344"/>
    <w:rsid w:val="00D81463"/>
    <w:rsid w:val="00D8155B"/>
    <w:rsid w:val="00D81669"/>
    <w:rsid w:val="00D8166A"/>
    <w:rsid w:val="00D8182D"/>
    <w:rsid w:val="00D819DB"/>
    <w:rsid w:val="00D81F02"/>
    <w:rsid w:val="00D81F12"/>
    <w:rsid w:val="00D81F7B"/>
    <w:rsid w:val="00D825ED"/>
    <w:rsid w:val="00D828DF"/>
    <w:rsid w:val="00D8294E"/>
    <w:rsid w:val="00D829A3"/>
    <w:rsid w:val="00D82CFE"/>
    <w:rsid w:val="00D82D18"/>
    <w:rsid w:val="00D82D2D"/>
    <w:rsid w:val="00D82E96"/>
    <w:rsid w:val="00D82EEE"/>
    <w:rsid w:val="00D82F02"/>
    <w:rsid w:val="00D82F20"/>
    <w:rsid w:val="00D82F70"/>
    <w:rsid w:val="00D831B1"/>
    <w:rsid w:val="00D83206"/>
    <w:rsid w:val="00D833F8"/>
    <w:rsid w:val="00D83519"/>
    <w:rsid w:val="00D8351C"/>
    <w:rsid w:val="00D836C7"/>
    <w:rsid w:val="00D839D9"/>
    <w:rsid w:val="00D83C04"/>
    <w:rsid w:val="00D83C7D"/>
    <w:rsid w:val="00D83E9C"/>
    <w:rsid w:val="00D83ECD"/>
    <w:rsid w:val="00D83FFF"/>
    <w:rsid w:val="00D84300"/>
    <w:rsid w:val="00D8431C"/>
    <w:rsid w:val="00D843E3"/>
    <w:rsid w:val="00D84570"/>
    <w:rsid w:val="00D845FB"/>
    <w:rsid w:val="00D847C6"/>
    <w:rsid w:val="00D8483F"/>
    <w:rsid w:val="00D84A69"/>
    <w:rsid w:val="00D84A6D"/>
    <w:rsid w:val="00D84B02"/>
    <w:rsid w:val="00D84B52"/>
    <w:rsid w:val="00D84BD3"/>
    <w:rsid w:val="00D84DE0"/>
    <w:rsid w:val="00D84F98"/>
    <w:rsid w:val="00D851E1"/>
    <w:rsid w:val="00D851E3"/>
    <w:rsid w:val="00D85381"/>
    <w:rsid w:val="00D855EF"/>
    <w:rsid w:val="00D8566B"/>
    <w:rsid w:val="00D856DD"/>
    <w:rsid w:val="00D85768"/>
    <w:rsid w:val="00D857F0"/>
    <w:rsid w:val="00D85C5F"/>
    <w:rsid w:val="00D85C7F"/>
    <w:rsid w:val="00D86302"/>
    <w:rsid w:val="00D863DF"/>
    <w:rsid w:val="00D8648D"/>
    <w:rsid w:val="00D866FD"/>
    <w:rsid w:val="00D86BD0"/>
    <w:rsid w:val="00D86E78"/>
    <w:rsid w:val="00D8715A"/>
    <w:rsid w:val="00D878F1"/>
    <w:rsid w:val="00D87AB8"/>
    <w:rsid w:val="00D87D8D"/>
    <w:rsid w:val="00D87F48"/>
    <w:rsid w:val="00D9012C"/>
    <w:rsid w:val="00D90223"/>
    <w:rsid w:val="00D9024B"/>
    <w:rsid w:val="00D904BE"/>
    <w:rsid w:val="00D908EA"/>
    <w:rsid w:val="00D90994"/>
    <w:rsid w:val="00D90A80"/>
    <w:rsid w:val="00D90C3B"/>
    <w:rsid w:val="00D90D79"/>
    <w:rsid w:val="00D90E4D"/>
    <w:rsid w:val="00D90F44"/>
    <w:rsid w:val="00D91202"/>
    <w:rsid w:val="00D913F2"/>
    <w:rsid w:val="00D91491"/>
    <w:rsid w:val="00D9159F"/>
    <w:rsid w:val="00D91613"/>
    <w:rsid w:val="00D91757"/>
    <w:rsid w:val="00D9189D"/>
    <w:rsid w:val="00D91B96"/>
    <w:rsid w:val="00D91C0E"/>
    <w:rsid w:val="00D91CF2"/>
    <w:rsid w:val="00D91F11"/>
    <w:rsid w:val="00D92368"/>
    <w:rsid w:val="00D92383"/>
    <w:rsid w:val="00D92524"/>
    <w:rsid w:val="00D926C7"/>
    <w:rsid w:val="00D926EC"/>
    <w:rsid w:val="00D92796"/>
    <w:rsid w:val="00D92821"/>
    <w:rsid w:val="00D928F5"/>
    <w:rsid w:val="00D92914"/>
    <w:rsid w:val="00D929D6"/>
    <w:rsid w:val="00D92B26"/>
    <w:rsid w:val="00D92B66"/>
    <w:rsid w:val="00D92E73"/>
    <w:rsid w:val="00D92EC4"/>
    <w:rsid w:val="00D93379"/>
    <w:rsid w:val="00D93439"/>
    <w:rsid w:val="00D936A8"/>
    <w:rsid w:val="00D937F3"/>
    <w:rsid w:val="00D93ED8"/>
    <w:rsid w:val="00D93F22"/>
    <w:rsid w:val="00D93F40"/>
    <w:rsid w:val="00D93FD5"/>
    <w:rsid w:val="00D94385"/>
    <w:rsid w:val="00D94444"/>
    <w:rsid w:val="00D944FA"/>
    <w:rsid w:val="00D9451D"/>
    <w:rsid w:val="00D9456E"/>
    <w:rsid w:val="00D94785"/>
    <w:rsid w:val="00D947B6"/>
    <w:rsid w:val="00D94E1E"/>
    <w:rsid w:val="00D95017"/>
    <w:rsid w:val="00D951A4"/>
    <w:rsid w:val="00D95367"/>
    <w:rsid w:val="00D957AA"/>
    <w:rsid w:val="00D958CC"/>
    <w:rsid w:val="00D95E24"/>
    <w:rsid w:val="00D95F57"/>
    <w:rsid w:val="00D9630B"/>
    <w:rsid w:val="00D964A5"/>
    <w:rsid w:val="00D964DE"/>
    <w:rsid w:val="00D968D9"/>
    <w:rsid w:val="00D96930"/>
    <w:rsid w:val="00D969E9"/>
    <w:rsid w:val="00D96A2F"/>
    <w:rsid w:val="00D96AE3"/>
    <w:rsid w:val="00D96B56"/>
    <w:rsid w:val="00D96C40"/>
    <w:rsid w:val="00D96C9D"/>
    <w:rsid w:val="00D96C9E"/>
    <w:rsid w:val="00D96EF4"/>
    <w:rsid w:val="00D97022"/>
    <w:rsid w:val="00D9745E"/>
    <w:rsid w:val="00D97798"/>
    <w:rsid w:val="00D977B1"/>
    <w:rsid w:val="00D977B6"/>
    <w:rsid w:val="00D978D7"/>
    <w:rsid w:val="00D97971"/>
    <w:rsid w:val="00D97E10"/>
    <w:rsid w:val="00D97F6B"/>
    <w:rsid w:val="00DA00A6"/>
    <w:rsid w:val="00DA03B9"/>
    <w:rsid w:val="00DA0577"/>
    <w:rsid w:val="00DA0645"/>
    <w:rsid w:val="00DA0750"/>
    <w:rsid w:val="00DA0876"/>
    <w:rsid w:val="00DA09AE"/>
    <w:rsid w:val="00DA0AEC"/>
    <w:rsid w:val="00DA0BB4"/>
    <w:rsid w:val="00DA0E89"/>
    <w:rsid w:val="00DA0FB1"/>
    <w:rsid w:val="00DA183C"/>
    <w:rsid w:val="00DA1866"/>
    <w:rsid w:val="00DA1EA1"/>
    <w:rsid w:val="00DA20AB"/>
    <w:rsid w:val="00DA2230"/>
    <w:rsid w:val="00DA2461"/>
    <w:rsid w:val="00DA29D4"/>
    <w:rsid w:val="00DA2D6F"/>
    <w:rsid w:val="00DA2E1C"/>
    <w:rsid w:val="00DA2E93"/>
    <w:rsid w:val="00DA3032"/>
    <w:rsid w:val="00DA31B3"/>
    <w:rsid w:val="00DA31B4"/>
    <w:rsid w:val="00DA3254"/>
    <w:rsid w:val="00DA3262"/>
    <w:rsid w:val="00DA33CB"/>
    <w:rsid w:val="00DA3439"/>
    <w:rsid w:val="00DA34EA"/>
    <w:rsid w:val="00DA3598"/>
    <w:rsid w:val="00DA3752"/>
    <w:rsid w:val="00DA3940"/>
    <w:rsid w:val="00DA3C18"/>
    <w:rsid w:val="00DA3C90"/>
    <w:rsid w:val="00DA3CC6"/>
    <w:rsid w:val="00DA3D28"/>
    <w:rsid w:val="00DA3D82"/>
    <w:rsid w:val="00DA4039"/>
    <w:rsid w:val="00DA40BC"/>
    <w:rsid w:val="00DA4246"/>
    <w:rsid w:val="00DA4491"/>
    <w:rsid w:val="00DA4559"/>
    <w:rsid w:val="00DA45B2"/>
    <w:rsid w:val="00DA45D3"/>
    <w:rsid w:val="00DA46F8"/>
    <w:rsid w:val="00DA4AA3"/>
    <w:rsid w:val="00DA4E45"/>
    <w:rsid w:val="00DA4F46"/>
    <w:rsid w:val="00DA50EB"/>
    <w:rsid w:val="00DA50EF"/>
    <w:rsid w:val="00DA5250"/>
    <w:rsid w:val="00DA53FB"/>
    <w:rsid w:val="00DA543D"/>
    <w:rsid w:val="00DA56A6"/>
    <w:rsid w:val="00DA574C"/>
    <w:rsid w:val="00DA57EF"/>
    <w:rsid w:val="00DA586E"/>
    <w:rsid w:val="00DA592B"/>
    <w:rsid w:val="00DA59F4"/>
    <w:rsid w:val="00DA59FD"/>
    <w:rsid w:val="00DA5B82"/>
    <w:rsid w:val="00DA5C87"/>
    <w:rsid w:val="00DA5FDA"/>
    <w:rsid w:val="00DA628F"/>
    <w:rsid w:val="00DA67E1"/>
    <w:rsid w:val="00DA6934"/>
    <w:rsid w:val="00DA6C2E"/>
    <w:rsid w:val="00DA6C77"/>
    <w:rsid w:val="00DA6D9C"/>
    <w:rsid w:val="00DA6DD8"/>
    <w:rsid w:val="00DA7060"/>
    <w:rsid w:val="00DA7340"/>
    <w:rsid w:val="00DA75DB"/>
    <w:rsid w:val="00DA7693"/>
    <w:rsid w:val="00DA76C6"/>
    <w:rsid w:val="00DA793C"/>
    <w:rsid w:val="00DA7A45"/>
    <w:rsid w:val="00DA7CB4"/>
    <w:rsid w:val="00DA7E2B"/>
    <w:rsid w:val="00DA7EC8"/>
    <w:rsid w:val="00DA7EE6"/>
    <w:rsid w:val="00DB0071"/>
    <w:rsid w:val="00DB0995"/>
    <w:rsid w:val="00DB0A92"/>
    <w:rsid w:val="00DB0B82"/>
    <w:rsid w:val="00DB0D5E"/>
    <w:rsid w:val="00DB0E17"/>
    <w:rsid w:val="00DB0EED"/>
    <w:rsid w:val="00DB0F8A"/>
    <w:rsid w:val="00DB1032"/>
    <w:rsid w:val="00DB1047"/>
    <w:rsid w:val="00DB1137"/>
    <w:rsid w:val="00DB1155"/>
    <w:rsid w:val="00DB135B"/>
    <w:rsid w:val="00DB174D"/>
    <w:rsid w:val="00DB178A"/>
    <w:rsid w:val="00DB17C8"/>
    <w:rsid w:val="00DB187A"/>
    <w:rsid w:val="00DB1898"/>
    <w:rsid w:val="00DB19D6"/>
    <w:rsid w:val="00DB1BD7"/>
    <w:rsid w:val="00DB1FC8"/>
    <w:rsid w:val="00DB21D0"/>
    <w:rsid w:val="00DB23B6"/>
    <w:rsid w:val="00DB25E4"/>
    <w:rsid w:val="00DB29BA"/>
    <w:rsid w:val="00DB2A3E"/>
    <w:rsid w:val="00DB2B85"/>
    <w:rsid w:val="00DB2BFF"/>
    <w:rsid w:val="00DB2EB4"/>
    <w:rsid w:val="00DB2F04"/>
    <w:rsid w:val="00DB2F0D"/>
    <w:rsid w:val="00DB315F"/>
    <w:rsid w:val="00DB316B"/>
    <w:rsid w:val="00DB31DC"/>
    <w:rsid w:val="00DB346F"/>
    <w:rsid w:val="00DB3522"/>
    <w:rsid w:val="00DB3537"/>
    <w:rsid w:val="00DB3623"/>
    <w:rsid w:val="00DB3805"/>
    <w:rsid w:val="00DB383F"/>
    <w:rsid w:val="00DB3B67"/>
    <w:rsid w:val="00DB3D72"/>
    <w:rsid w:val="00DB402E"/>
    <w:rsid w:val="00DB40A3"/>
    <w:rsid w:val="00DB4200"/>
    <w:rsid w:val="00DB4379"/>
    <w:rsid w:val="00DB43BC"/>
    <w:rsid w:val="00DB4535"/>
    <w:rsid w:val="00DB486F"/>
    <w:rsid w:val="00DB4937"/>
    <w:rsid w:val="00DB4A22"/>
    <w:rsid w:val="00DB4EC8"/>
    <w:rsid w:val="00DB4F3A"/>
    <w:rsid w:val="00DB5310"/>
    <w:rsid w:val="00DB5354"/>
    <w:rsid w:val="00DB5640"/>
    <w:rsid w:val="00DB565B"/>
    <w:rsid w:val="00DB5A57"/>
    <w:rsid w:val="00DB5AB8"/>
    <w:rsid w:val="00DB5C2B"/>
    <w:rsid w:val="00DB5C6C"/>
    <w:rsid w:val="00DB5C80"/>
    <w:rsid w:val="00DB608D"/>
    <w:rsid w:val="00DB60D4"/>
    <w:rsid w:val="00DB61A0"/>
    <w:rsid w:val="00DB6245"/>
    <w:rsid w:val="00DB6335"/>
    <w:rsid w:val="00DB64D4"/>
    <w:rsid w:val="00DB6688"/>
    <w:rsid w:val="00DB6810"/>
    <w:rsid w:val="00DB6B87"/>
    <w:rsid w:val="00DB6C01"/>
    <w:rsid w:val="00DB6D83"/>
    <w:rsid w:val="00DB6D9D"/>
    <w:rsid w:val="00DB6F28"/>
    <w:rsid w:val="00DB706B"/>
    <w:rsid w:val="00DB7182"/>
    <w:rsid w:val="00DB727F"/>
    <w:rsid w:val="00DB73BA"/>
    <w:rsid w:val="00DB79A3"/>
    <w:rsid w:val="00DB7A17"/>
    <w:rsid w:val="00DB7B1B"/>
    <w:rsid w:val="00DB7E03"/>
    <w:rsid w:val="00DC00A0"/>
    <w:rsid w:val="00DC0299"/>
    <w:rsid w:val="00DC04A3"/>
    <w:rsid w:val="00DC04CA"/>
    <w:rsid w:val="00DC059F"/>
    <w:rsid w:val="00DC066B"/>
    <w:rsid w:val="00DC0673"/>
    <w:rsid w:val="00DC09D3"/>
    <w:rsid w:val="00DC0A32"/>
    <w:rsid w:val="00DC0B37"/>
    <w:rsid w:val="00DC0D11"/>
    <w:rsid w:val="00DC1180"/>
    <w:rsid w:val="00DC1254"/>
    <w:rsid w:val="00DC1264"/>
    <w:rsid w:val="00DC14C8"/>
    <w:rsid w:val="00DC18ED"/>
    <w:rsid w:val="00DC1909"/>
    <w:rsid w:val="00DC1AD5"/>
    <w:rsid w:val="00DC1B7E"/>
    <w:rsid w:val="00DC1C35"/>
    <w:rsid w:val="00DC1D4D"/>
    <w:rsid w:val="00DC1EA7"/>
    <w:rsid w:val="00DC1F85"/>
    <w:rsid w:val="00DC1FBF"/>
    <w:rsid w:val="00DC1FFD"/>
    <w:rsid w:val="00DC2023"/>
    <w:rsid w:val="00DC216A"/>
    <w:rsid w:val="00DC2321"/>
    <w:rsid w:val="00DC232E"/>
    <w:rsid w:val="00DC239F"/>
    <w:rsid w:val="00DC23F7"/>
    <w:rsid w:val="00DC2655"/>
    <w:rsid w:val="00DC29C2"/>
    <w:rsid w:val="00DC2A9E"/>
    <w:rsid w:val="00DC2DEB"/>
    <w:rsid w:val="00DC315B"/>
    <w:rsid w:val="00DC3629"/>
    <w:rsid w:val="00DC3768"/>
    <w:rsid w:val="00DC37F1"/>
    <w:rsid w:val="00DC395A"/>
    <w:rsid w:val="00DC3A9C"/>
    <w:rsid w:val="00DC3ECF"/>
    <w:rsid w:val="00DC43BE"/>
    <w:rsid w:val="00DC44C7"/>
    <w:rsid w:val="00DC45C3"/>
    <w:rsid w:val="00DC4736"/>
    <w:rsid w:val="00DC4A92"/>
    <w:rsid w:val="00DC4B3C"/>
    <w:rsid w:val="00DC4D36"/>
    <w:rsid w:val="00DC4F4B"/>
    <w:rsid w:val="00DC4FEE"/>
    <w:rsid w:val="00DC50F4"/>
    <w:rsid w:val="00DC5124"/>
    <w:rsid w:val="00DC51E0"/>
    <w:rsid w:val="00DC527F"/>
    <w:rsid w:val="00DC5329"/>
    <w:rsid w:val="00DC581B"/>
    <w:rsid w:val="00DC5899"/>
    <w:rsid w:val="00DC58D9"/>
    <w:rsid w:val="00DC5A11"/>
    <w:rsid w:val="00DC5B76"/>
    <w:rsid w:val="00DC5CA3"/>
    <w:rsid w:val="00DC5ED8"/>
    <w:rsid w:val="00DC5F39"/>
    <w:rsid w:val="00DC5F81"/>
    <w:rsid w:val="00DC6005"/>
    <w:rsid w:val="00DC6517"/>
    <w:rsid w:val="00DC6529"/>
    <w:rsid w:val="00DC66DE"/>
    <w:rsid w:val="00DC675E"/>
    <w:rsid w:val="00DC6790"/>
    <w:rsid w:val="00DC67E5"/>
    <w:rsid w:val="00DC6B62"/>
    <w:rsid w:val="00DC6B99"/>
    <w:rsid w:val="00DC7118"/>
    <w:rsid w:val="00DC7247"/>
    <w:rsid w:val="00DC7281"/>
    <w:rsid w:val="00DC72D8"/>
    <w:rsid w:val="00DC7407"/>
    <w:rsid w:val="00DC746B"/>
    <w:rsid w:val="00DC77AB"/>
    <w:rsid w:val="00DC7C31"/>
    <w:rsid w:val="00DC7F44"/>
    <w:rsid w:val="00DD023D"/>
    <w:rsid w:val="00DD0348"/>
    <w:rsid w:val="00DD04B6"/>
    <w:rsid w:val="00DD0523"/>
    <w:rsid w:val="00DD090D"/>
    <w:rsid w:val="00DD0A20"/>
    <w:rsid w:val="00DD0A22"/>
    <w:rsid w:val="00DD0A77"/>
    <w:rsid w:val="00DD0BD5"/>
    <w:rsid w:val="00DD0F00"/>
    <w:rsid w:val="00DD10DA"/>
    <w:rsid w:val="00DD1194"/>
    <w:rsid w:val="00DD129E"/>
    <w:rsid w:val="00DD13E3"/>
    <w:rsid w:val="00DD1432"/>
    <w:rsid w:val="00DD1588"/>
    <w:rsid w:val="00DD17E7"/>
    <w:rsid w:val="00DD1870"/>
    <w:rsid w:val="00DD198B"/>
    <w:rsid w:val="00DD19B0"/>
    <w:rsid w:val="00DD1EA4"/>
    <w:rsid w:val="00DD1FEF"/>
    <w:rsid w:val="00DD2184"/>
    <w:rsid w:val="00DD23A0"/>
    <w:rsid w:val="00DD281F"/>
    <w:rsid w:val="00DD28CE"/>
    <w:rsid w:val="00DD28FC"/>
    <w:rsid w:val="00DD2A22"/>
    <w:rsid w:val="00DD2C1E"/>
    <w:rsid w:val="00DD2F12"/>
    <w:rsid w:val="00DD31A6"/>
    <w:rsid w:val="00DD3209"/>
    <w:rsid w:val="00DD350A"/>
    <w:rsid w:val="00DD3713"/>
    <w:rsid w:val="00DD390A"/>
    <w:rsid w:val="00DD398A"/>
    <w:rsid w:val="00DD39F0"/>
    <w:rsid w:val="00DD3B72"/>
    <w:rsid w:val="00DD3B7E"/>
    <w:rsid w:val="00DD3C5E"/>
    <w:rsid w:val="00DD3C85"/>
    <w:rsid w:val="00DD3CC9"/>
    <w:rsid w:val="00DD3D2E"/>
    <w:rsid w:val="00DD3DE5"/>
    <w:rsid w:val="00DD3E47"/>
    <w:rsid w:val="00DD3FD1"/>
    <w:rsid w:val="00DD4000"/>
    <w:rsid w:val="00DD4289"/>
    <w:rsid w:val="00DD4351"/>
    <w:rsid w:val="00DD4388"/>
    <w:rsid w:val="00DD43B8"/>
    <w:rsid w:val="00DD43F6"/>
    <w:rsid w:val="00DD470A"/>
    <w:rsid w:val="00DD482A"/>
    <w:rsid w:val="00DD492D"/>
    <w:rsid w:val="00DD4BA0"/>
    <w:rsid w:val="00DD4CFA"/>
    <w:rsid w:val="00DD4F26"/>
    <w:rsid w:val="00DD4F42"/>
    <w:rsid w:val="00DD55FE"/>
    <w:rsid w:val="00DD573F"/>
    <w:rsid w:val="00DD5879"/>
    <w:rsid w:val="00DD58D2"/>
    <w:rsid w:val="00DD5953"/>
    <w:rsid w:val="00DD599E"/>
    <w:rsid w:val="00DD5AB8"/>
    <w:rsid w:val="00DD5D33"/>
    <w:rsid w:val="00DD5E72"/>
    <w:rsid w:val="00DD61CA"/>
    <w:rsid w:val="00DD6224"/>
    <w:rsid w:val="00DD698C"/>
    <w:rsid w:val="00DD6FA8"/>
    <w:rsid w:val="00DD7052"/>
    <w:rsid w:val="00DD75E2"/>
    <w:rsid w:val="00DD763F"/>
    <w:rsid w:val="00DD797E"/>
    <w:rsid w:val="00DD7EAC"/>
    <w:rsid w:val="00DD7EC8"/>
    <w:rsid w:val="00DD7FF6"/>
    <w:rsid w:val="00DE0048"/>
    <w:rsid w:val="00DE0138"/>
    <w:rsid w:val="00DE0200"/>
    <w:rsid w:val="00DE02C4"/>
    <w:rsid w:val="00DE03F3"/>
    <w:rsid w:val="00DE067F"/>
    <w:rsid w:val="00DE06D3"/>
    <w:rsid w:val="00DE0865"/>
    <w:rsid w:val="00DE08F6"/>
    <w:rsid w:val="00DE0ADB"/>
    <w:rsid w:val="00DE0D71"/>
    <w:rsid w:val="00DE0F1D"/>
    <w:rsid w:val="00DE11A7"/>
    <w:rsid w:val="00DE1334"/>
    <w:rsid w:val="00DE14CE"/>
    <w:rsid w:val="00DE160F"/>
    <w:rsid w:val="00DE168D"/>
    <w:rsid w:val="00DE19B0"/>
    <w:rsid w:val="00DE1B5A"/>
    <w:rsid w:val="00DE1F29"/>
    <w:rsid w:val="00DE1FB5"/>
    <w:rsid w:val="00DE1FE1"/>
    <w:rsid w:val="00DE20C7"/>
    <w:rsid w:val="00DE215B"/>
    <w:rsid w:val="00DE242D"/>
    <w:rsid w:val="00DE252B"/>
    <w:rsid w:val="00DE2855"/>
    <w:rsid w:val="00DE2CF1"/>
    <w:rsid w:val="00DE2ED3"/>
    <w:rsid w:val="00DE2F5D"/>
    <w:rsid w:val="00DE334D"/>
    <w:rsid w:val="00DE351C"/>
    <w:rsid w:val="00DE36E7"/>
    <w:rsid w:val="00DE3A0E"/>
    <w:rsid w:val="00DE3B01"/>
    <w:rsid w:val="00DE3BCB"/>
    <w:rsid w:val="00DE3CEB"/>
    <w:rsid w:val="00DE3EE3"/>
    <w:rsid w:val="00DE4115"/>
    <w:rsid w:val="00DE4177"/>
    <w:rsid w:val="00DE42A9"/>
    <w:rsid w:val="00DE43F9"/>
    <w:rsid w:val="00DE43FC"/>
    <w:rsid w:val="00DE4502"/>
    <w:rsid w:val="00DE4651"/>
    <w:rsid w:val="00DE465A"/>
    <w:rsid w:val="00DE4981"/>
    <w:rsid w:val="00DE4A1D"/>
    <w:rsid w:val="00DE4D75"/>
    <w:rsid w:val="00DE4DE9"/>
    <w:rsid w:val="00DE518B"/>
    <w:rsid w:val="00DE53EE"/>
    <w:rsid w:val="00DE543F"/>
    <w:rsid w:val="00DE572D"/>
    <w:rsid w:val="00DE5866"/>
    <w:rsid w:val="00DE5968"/>
    <w:rsid w:val="00DE59BE"/>
    <w:rsid w:val="00DE5AC5"/>
    <w:rsid w:val="00DE5E55"/>
    <w:rsid w:val="00DE6349"/>
    <w:rsid w:val="00DE6353"/>
    <w:rsid w:val="00DE63B0"/>
    <w:rsid w:val="00DE683A"/>
    <w:rsid w:val="00DE694C"/>
    <w:rsid w:val="00DE6A98"/>
    <w:rsid w:val="00DE6B35"/>
    <w:rsid w:val="00DE6C82"/>
    <w:rsid w:val="00DE6DAE"/>
    <w:rsid w:val="00DE6F89"/>
    <w:rsid w:val="00DE7584"/>
    <w:rsid w:val="00DE75D6"/>
    <w:rsid w:val="00DE7D8B"/>
    <w:rsid w:val="00DF003D"/>
    <w:rsid w:val="00DF021D"/>
    <w:rsid w:val="00DF06B7"/>
    <w:rsid w:val="00DF09C2"/>
    <w:rsid w:val="00DF0A3B"/>
    <w:rsid w:val="00DF1059"/>
    <w:rsid w:val="00DF1560"/>
    <w:rsid w:val="00DF1650"/>
    <w:rsid w:val="00DF1A71"/>
    <w:rsid w:val="00DF1B86"/>
    <w:rsid w:val="00DF1D55"/>
    <w:rsid w:val="00DF1F7A"/>
    <w:rsid w:val="00DF21CB"/>
    <w:rsid w:val="00DF223A"/>
    <w:rsid w:val="00DF243F"/>
    <w:rsid w:val="00DF2593"/>
    <w:rsid w:val="00DF26C7"/>
    <w:rsid w:val="00DF2744"/>
    <w:rsid w:val="00DF32C0"/>
    <w:rsid w:val="00DF336F"/>
    <w:rsid w:val="00DF372F"/>
    <w:rsid w:val="00DF38D9"/>
    <w:rsid w:val="00DF3AED"/>
    <w:rsid w:val="00DF3BFF"/>
    <w:rsid w:val="00DF3CD4"/>
    <w:rsid w:val="00DF4069"/>
    <w:rsid w:val="00DF42FB"/>
    <w:rsid w:val="00DF4506"/>
    <w:rsid w:val="00DF47E9"/>
    <w:rsid w:val="00DF4DEC"/>
    <w:rsid w:val="00DF4E5F"/>
    <w:rsid w:val="00DF50D5"/>
    <w:rsid w:val="00DF510F"/>
    <w:rsid w:val="00DF527E"/>
    <w:rsid w:val="00DF529A"/>
    <w:rsid w:val="00DF5453"/>
    <w:rsid w:val="00DF5535"/>
    <w:rsid w:val="00DF565B"/>
    <w:rsid w:val="00DF5A02"/>
    <w:rsid w:val="00DF5A6A"/>
    <w:rsid w:val="00DF5AAC"/>
    <w:rsid w:val="00DF5AAD"/>
    <w:rsid w:val="00DF5B06"/>
    <w:rsid w:val="00DF5C9B"/>
    <w:rsid w:val="00DF5F40"/>
    <w:rsid w:val="00DF5F96"/>
    <w:rsid w:val="00DF60CE"/>
    <w:rsid w:val="00DF6206"/>
    <w:rsid w:val="00DF62B9"/>
    <w:rsid w:val="00DF63AF"/>
    <w:rsid w:val="00DF6526"/>
    <w:rsid w:val="00DF6598"/>
    <w:rsid w:val="00DF667E"/>
    <w:rsid w:val="00DF6870"/>
    <w:rsid w:val="00DF6B8C"/>
    <w:rsid w:val="00DF6CFE"/>
    <w:rsid w:val="00DF6ED0"/>
    <w:rsid w:val="00DF6F0D"/>
    <w:rsid w:val="00DF6F72"/>
    <w:rsid w:val="00DF7063"/>
    <w:rsid w:val="00DF71F4"/>
    <w:rsid w:val="00DF72CF"/>
    <w:rsid w:val="00DF72E9"/>
    <w:rsid w:val="00DF7642"/>
    <w:rsid w:val="00DF788F"/>
    <w:rsid w:val="00DF797D"/>
    <w:rsid w:val="00DF7DC0"/>
    <w:rsid w:val="00DF7EFE"/>
    <w:rsid w:val="00DF7FE1"/>
    <w:rsid w:val="00E00074"/>
    <w:rsid w:val="00E0024A"/>
    <w:rsid w:val="00E002E7"/>
    <w:rsid w:val="00E007BE"/>
    <w:rsid w:val="00E0097D"/>
    <w:rsid w:val="00E00ABC"/>
    <w:rsid w:val="00E00D07"/>
    <w:rsid w:val="00E00F07"/>
    <w:rsid w:val="00E00F53"/>
    <w:rsid w:val="00E00FEA"/>
    <w:rsid w:val="00E01396"/>
    <w:rsid w:val="00E0162D"/>
    <w:rsid w:val="00E01B3B"/>
    <w:rsid w:val="00E01CC2"/>
    <w:rsid w:val="00E01CD7"/>
    <w:rsid w:val="00E020B3"/>
    <w:rsid w:val="00E02188"/>
    <w:rsid w:val="00E026F1"/>
    <w:rsid w:val="00E02A69"/>
    <w:rsid w:val="00E02BF0"/>
    <w:rsid w:val="00E02D20"/>
    <w:rsid w:val="00E02DD1"/>
    <w:rsid w:val="00E02F40"/>
    <w:rsid w:val="00E03150"/>
    <w:rsid w:val="00E0316B"/>
    <w:rsid w:val="00E03297"/>
    <w:rsid w:val="00E0355A"/>
    <w:rsid w:val="00E035A2"/>
    <w:rsid w:val="00E03855"/>
    <w:rsid w:val="00E039E1"/>
    <w:rsid w:val="00E03B68"/>
    <w:rsid w:val="00E040C7"/>
    <w:rsid w:val="00E04253"/>
    <w:rsid w:val="00E043FF"/>
    <w:rsid w:val="00E0459C"/>
    <w:rsid w:val="00E04638"/>
    <w:rsid w:val="00E047F1"/>
    <w:rsid w:val="00E049C3"/>
    <w:rsid w:val="00E04A7D"/>
    <w:rsid w:val="00E04B98"/>
    <w:rsid w:val="00E04C63"/>
    <w:rsid w:val="00E04D94"/>
    <w:rsid w:val="00E04EFB"/>
    <w:rsid w:val="00E04F47"/>
    <w:rsid w:val="00E050F3"/>
    <w:rsid w:val="00E05360"/>
    <w:rsid w:val="00E05548"/>
    <w:rsid w:val="00E05574"/>
    <w:rsid w:val="00E05667"/>
    <w:rsid w:val="00E056DF"/>
    <w:rsid w:val="00E05E89"/>
    <w:rsid w:val="00E05EBB"/>
    <w:rsid w:val="00E060DD"/>
    <w:rsid w:val="00E06242"/>
    <w:rsid w:val="00E06361"/>
    <w:rsid w:val="00E065A5"/>
    <w:rsid w:val="00E06885"/>
    <w:rsid w:val="00E0689C"/>
    <w:rsid w:val="00E068CA"/>
    <w:rsid w:val="00E06C2F"/>
    <w:rsid w:val="00E06C30"/>
    <w:rsid w:val="00E06D66"/>
    <w:rsid w:val="00E06EEA"/>
    <w:rsid w:val="00E0736D"/>
    <w:rsid w:val="00E073AF"/>
    <w:rsid w:val="00E07620"/>
    <w:rsid w:val="00E07653"/>
    <w:rsid w:val="00E0775D"/>
    <w:rsid w:val="00E07895"/>
    <w:rsid w:val="00E079A3"/>
    <w:rsid w:val="00E07A72"/>
    <w:rsid w:val="00E07B89"/>
    <w:rsid w:val="00E07D4A"/>
    <w:rsid w:val="00E10231"/>
    <w:rsid w:val="00E10ABC"/>
    <w:rsid w:val="00E10ADB"/>
    <w:rsid w:val="00E10C32"/>
    <w:rsid w:val="00E110E4"/>
    <w:rsid w:val="00E1111D"/>
    <w:rsid w:val="00E11243"/>
    <w:rsid w:val="00E11323"/>
    <w:rsid w:val="00E114E4"/>
    <w:rsid w:val="00E114EF"/>
    <w:rsid w:val="00E1166C"/>
    <w:rsid w:val="00E1175C"/>
    <w:rsid w:val="00E117E4"/>
    <w:rsid w:val="00E119A8"/>
    <w:rsid w:val="00E11B6D"/>
    <w:rsid w:val="00E11D2D"/>
    <w:rsid w:val="00E11FF5"/>
    <w:rsid w:val="00E121D4"/>
    <w:rsid w:val="00E12226"/>
    <w:rsid w:val="00E125D2"/>
    <w:rsid w:val="00E12605"/>
    <w:rsid w:val="00E12757"/>
    <w:rsid w:val="00E12A08"/>
    <w:rsid w:val="00E12A31"/>
    <w:rsid w:val="00E12AD4"/>
    <w:rsid w:val="00E12BDC"/>
    <w:rsid w:val="00E13144"/>
    <w:rsid w:val="00E13285"/>
    <w:rsid w:val="00E132CC"/>
    <w:rsid w:val="00E133EE"/>
    <w:rsid w:val="00E1350C"/>
    <w:rsid w:val="00E136E8"/>
    <w:rsid w:val="00E137C4"/>
    <w:rsid w:val="00E1390F"/>
    <w:rsid w:val="00E1399A"/>
    <w:rsid w:val="00E13AFF"/>
    <w:rsid w:val="00E13B08"/>
    <w:rsid w:val="00E13C8E"/>
    <w:rsid w:val="00E13DC1"/>
    <w:rsid w:val="00E13EC6"/>
    <w:rsid w:val="00E13F14"/>
    <w:rsid w:val="00E13F33"/>
    <w:rsid w:val="00E13F85"/>
    <w:rsid w:val="00E14261"/>
    <w:rsid w:val="00E144D6"/>
    <w:rsid w:val="00E145CB"/>
    <w:rsid w:val="00E14644"/>
    <w:rsid w:val="00E14763"/>
    <w:rsid w:val="00E149E1"/>
    <w:rsid w:val="00E15188"/>
    <w:rsid w:val="00E1524F"/>
    <w:rsid w:val="00E1527E"/>
    <w:rsid w:val="00E152EA"/>
    <w:rsid w:val="00E1543B"/>
    <w:rsid w:val="00E1554A"/>
    <w:rsid w:val="00E15697"/>
    <w:rsid w:val="00E156AD"/>
    <w:rsid w:val="00E156DB"/>
    <w:rsid w:val="00E15852"/>
    <w:rsid w:val="00E15872"/>
    <w:rsid w:val="00E15A29"/>
    <w:rsid w:val="00E15DF3"/>
    <w:rsid w:val="00E15F35"/>
    <w:rsid w:val="00E16026"/>
    <w:rsid w:val="00E160AE"/>
    <w:rsid w:val="00E16107"/>
    <w:rsid w:val="00E16110"/>
    <w:rsid w:val="00E1624C"/>
    <w:rsid w:val="00E1654C"/>
    <w:rsid w:val="00E1661F"/>
    <w:rsid w:val="00E166CF"/>
    <w:rsid w:val="00E1671C"/>
    <w:rsid w:val="00E167E3"/>
    <w:rsid w:val="00E16CD3"/>
    <w:rsid w:val="00E16E8C"/>
    <w:rsid w:val="00E16EE2"/>
    <w:rsid w:val="00E16F99"/>
    <w:rsid w:val="00E17072"/>
    <w:rsid w:val="00E171A0"/>
    <w:rsid w:val="00E1741B"/>
    <w:rsid w:val="00E1748C"/>
    <w:rsid w:val="00E174D7"/>
    <w:rsid w:val="00E1750B"/>
    <w:rsid w:val="00E1769F"/>
    <w:rsid w:val="00E178AE"/>
    <w:rsid w:val="00E178DE"/>
    <w:rsid w:val="00E17B65"/>
    <w:rsid w:val="00E17CA6"/>
    <w:rsid w:val="00E17D17"/>
    <w:rsid w:val="00E18224"/>
    <w:rsid w:val="00E2003A"/>
    <w:rsid w:val="00E2003C"/>
    <w:rsid w:val="00E200CD"/>
    <w:rsid w:val="00E20283"/>
    <w:rsid w:val="00E20320"/>
    <w:rsid w:val="00E20444"/>
    <w:rsid w:val="00E205C4"/>
    <w:rsid w:val="00E206D2"/>
    <w:rsid w:val="00E207BB"/>
    <w:rsid w:val="00E20811"/>
    <w:rsid w:val="00E20938"/>
    <w:rsid w:val="00E20BC4"/>
    <w:rsid w:val="00E20C54"/>
    <w:rsid w:val="00E20F4A"/>
    <w:rsid w:val="00E21047"/>
    <w:rsid w:val="00E213C1"/>
    <w:rsid w:val="00E215FA"/>
    <w:rsid w:val="00E2169D"/>
    <w:rsid w:val="00E216BD"/>
    <w:rsid w:val="00E2170D"/>
    <w:rsid w:val="00E217E1"/>
    <w:rsid w:val="00E21839"/>
    <w:rsid w:val="00E21A41"/>
    <w:rsid w:val="00E21A93"/>
    <w:rsid w:val="00E21B5B"/>
    <w:rsid w:val="00E222B1"/>
    <w:rsid w:val="00E2234A"/>
    <w:rsid w:val="00E227CD"/>
    <w:rsid w:val="00E22847"/>
    <w:rsid w:val="00E228EA"/>
    <w:rsid w:val="00E22AD1"/>
    <w:rsid w:val="00E22BAB"/>
    <w:rsid w:val="00E22DC2"/>
    <w:rsid w:val="00E22E3F"/>
    <w:rsid w:val="00E23101"/>
    <w:rsid w:val="00E232FA"/>
    <w:rsid w:val="00E23302"/>
    <w:rsid w:val="00E2367D"/>
    <w:rsid w:val="00E23A7B"/>
    <w:rsid w:val="00E23C7B"/>
    <w:rsid w:val="00E23ECA"/>
    <w:rsid w:val="00E23F14"/>
    <w:rsid w:val="00E23FC8"/>
    <w:rsid w:val="00E24046"/>
    <w:rsid w:val="00E242CF"/>
    <w:rsid w:val="00E24404"/>
    <w:rsid w:val="00E24458"/>
    <w:rsid w:val="00E24500"/>
    <w:rsid w:val="00E24794"/>
    <w:rsid w:val="00E2484B"/>
    <w:rsid w:val="00E24A2F"/>
    <w:rsid w:val="00E24E13"/>
    <w:rsid w:val="00E2563F"/>
    <w:rsid w:val="00E2583C"/>
    <w:rsid w:val="00E25856"/>
    <w:rsid w:val="00E259C3"/>
    <w:rsid w:val="00E25B37"/>
    <w:rsid w:val="00E25F14"/>
    <w:rsid w:val="00E26006"/>
    <w:rsid w:val="00E26488"/>
    <w:rsid w:val="00E264A3"/>
    <w:rsid w:val="00E264E1"/>
    <w:rsid w:val="00E265FE"/>
    <w:rsid w:val="00E26BBF"/>
    <w:rsid w:val="00E27048"/>
    <w:rsid w:val="00E2706A"/>
    <w:rsid w:val="00E272EF"/>
    <w:rsid w:val="00E27353"/>
    <w:rsid w:val="00E276E0"/>
    <w:rsid w:val="00E279EA"/>
    <w:rsid w:val="00E27A9E"/>
    <w:rsid w:val="00E27B94"/>
    <w:rsid w:val="00E27BAE"/>
    <w:rsid w:val="00E27BCE"/>
    <w:rsid w:val="00E3011D"/>
    <w:rsid w:val="00E30121"/>
    <w:rsid w:val="00E301BB"/>
    <w:rsid w:val="00E30483"/>
    <w:rsid w:val="00E30584"/>
    <w:rsid w:val="00E305A4"/>
    <w:rsid w:val="00E3067C"/>
    <w:rsid w:val="00E30947"/>
    <w:rsid w:val="00E3098C"/>
    <w:rsid w:val="00E30ADE"/>
    <w:rsid w:val="00E3104A"/>
    <w:rsid w:val="00E31172"/>
    <w:rsid w:val="00E31696"/>
    <w:rsid w:val="00E317B1"/>
    <w:rsid w:val="00E31985"/>
    <w:rsid w:val="00E319F0"/>
    <w:rsid w:val="00E31D63"/>
    <w:rsid w:val="00E31E0A"/>
    <w:rsid w:val="00E31EEF"/>
    <w:rsid w:val="00E32454"/>
    <w:rsid w:val="00E3245A"/>
    <w:rsid w:val="00E324A6"/>
    <w:rsid w:val="00E3294B"/>
    <w:rsid w:val="00E32CA7"/>
    <w:rsid w:val="00E32E80"/>
    <w:rsid w:val="00E32F4D"/>
    <w:rsid w:val="00E32FB7"/>
    <w:rsid w:val="00E33192"/>
    <w:rsid w:val="00E331A3"/>
    <w:rsid w:val="00E3323A"/>
    <w:rsid w:val="00E332D3"/>
    <w:rsid w:val="00E332FF"/>
    <w:rsid w:val="00E3355C"/>
    <w:rsid w:val="00E337C4"/>
    <w:rsid w:val="00E33931"/>
    <w:rsid w:val="00E33A00"/>
    <w:rsid w:val="00E33C2E"/>
    <w:rsid w:val="00E33D13"/>
    <w:rsid w:val="00E33E8A"/>
    <w:rsid w:val="00E33EC3"/>
    <w:rsid w:val="00E340D1"/>
    <w:rsid w:val="00E340FC"/>
    <w:rsid w:val="00E3419E"/>
    <w:rsid w:val="00E341E0"/>
    <w:rsid w:val="00E343CA"/>
    <w:rsid w:val="00E343D5"/>
    <w:rsid w:val="00E34708"/>
    <w:rsid w:val="00E34718"/>
    <w:rsid w:val="00E3478C"/>
    <w:rsid w:val="00E347C4"/>
    <w:rsid w:val="00E34806"/>
    <w:rsid w:val="00E34852"/>
    <w:rsid w:val="00E3499A"/>
    <w:rsid w:val="00E34AC4"/>
    <w:rsid w:val="00E34C6D"/>
    <w:rsid w:val="00E34E1C"/>
    <w:rsid w:val="00E34EF9"/>
    <w:rsid w:val="00E350BE"/>
    <w:rsid w:val="00E351D2"/>
    <w:rsid w:val="00E351F7"/>
    <w:rsid w:val="00E355D9"/>
    <w:rsid w:val="00E358DE"/>
    <w:rsid w:val="00E35AC0"/>
    <w:rsid w:val="00E35CC7"/>
    <w:rsid w:val="00E35D64"/>
    <w:rsid w:val="00E360ED"/>
    <w:rsid w:val="00E36284"/>
    <w:rsid w:val="00E3634E"/>
    <w:rsid w:val="00E364DA"/>
    <w:rsid w:val="00E364F0"/>
    <w:rsid w:val="00E36849"/>
    <w:rsid w:val="00E36933"/>
    <w:rsid w:val="00E36999"/>
    <w:rsid w:val="00E369D5"/>
    <w:rsid w:val="00E36AA2"/>
    <w:rsid w:val="00E36AC8"/>
    <w:rsid w:val="00E36B80"/>
    <w:rsid w:val="00E36BAD"/>
    <w:rsid w:val="00E36BEF"/>
    <w:rsid w:val="00E36F0E"/>
    <w:rsid w:val="00E36F27"/>
    <w:rsid w:val="00E37153"/>
    <w:rsid w:val="00E375FD"/>
    <w:rsid w:val="00E3767D"/>
    <w:rsid w:val="00E37764"/>
    <w:rsid w:val="00E37789"/>
    <w:rsid w:val="00E37B95"/>
    <w:rsid w:val="00E37C58"/>
    <w:rsid w:val="00E37E4B"/>
    <w:rsid w:val="00E40459"/>
    <w:rsid w:val="00E40558"/>
    <w:rsid w:val="00E406BC"/>
    <w:rsid w:val="00E40FB7"/>
    <w:rsid w:val="00E40FF1"/>
    <w:rsid w:val="00E412FF"/>
    <w:rsid w:val="00E416A9"/>
    <w:rsid w:val="00E4188B"/>
    <w:rsid w:val="00E419E5"/>
    <w:rsid w:val="00E41AE5"/>
    <w:rsid w:val="00E41C78"/>
    <w:rsid w:val="00E41D4B"/>
    <w:rsid w:val="00E41FBB"/>
    <w:rsid w:val="00E42026"/>
    <w:rsid w:val="00E423B9"/>
    <w:rsid w:val="00E426DB"/>
    <w:rsid w:val="00E429D2"/>
    <w:rsid w:val="00E42D50"/>
    <w:rsid w:val="00E42EBE"/>
    <w:rsid w:val="00E43101"/>
    <w:rsid w:val="00E4383F"/>
    <w:rsid w:val="00E4387C"/>
    <w:rsid w:val="00E43C3B"/>
    <w:rsid w:val="00E43C78"/>
    <w:rsid w:val="00E43DD1"/>
    <w:rsid w:val="00E440AF"/>
    <w:rsid w:val="00E44220"/>
    <w:rsid w:val="00E44230"/>
    <w:rsid w:val="00E44293"/>
    <w:rsid w:val="00E442A1"/>
    <w:rsid w:val="00E44336"/>
    <w:rsid w:val="00E44389"/>
    <w:rsid w:val="00E444EF"/>
    <w:rsid w:val="00E44677"/>
    <w:rsid w:val="00E448BF"/>
    <w:rsid w:val="00E44937"/>
    <w:rsid w:val="00E44ACC"/>
    <w:rsid w:val="00E44B3C"/>
    <w:rsid w:val="00E44BF9"/>
    <w:rsid w:val="00E44C3B"/>
    <w:rsid w:val="00E44D4E"/>
    <w:rsid w:val="00E44E0B"/>
    <w:rsid w:val="00E44F08"/>
    <w:rsid w:val="00E45054"/>
    <w:rsid w:val="00E4509F"/>
    <w:rsid w:val="00E4520B"/>
    <w:rsid w:val="00E45452"/>
    <w:rsid w:val="00E45592"/>
    <w:rsid w:val="00E456BA"/>
    <w:rsid w:val="00E45763"/>
    <w:rsid w:val="00E457FA"/>
    <w:rsid w:val="00E45872"/>
    <w:rsid w:val="00E4587D"/>
    <w:rsid w:val="00E45AC1"/>
    <w:rsid w:val="00E45DEA"/>
    <w:rsid w:val="00E45F1A"/>
    <w:rsid w:val="00E460A1"/>
    <w:rsid w:val="00E46281"/>
    <w:rsid w:val="00E4633F"/>
    <w:rsid w:val="00E46347"/>
    <w:rsid w:val="00E4662B"/>
    <w:rsid w:val="00E4698A"/>
    <w:rsid w:val="00E469C3"/>
    <w:rsid w:val="00E46B29"/>
    <w:rsid w:val="00E46C40"/>
    <w:rsid w:val="00E46FCC"/>
    <w:rsid w:val="00E470AA"/>
    <w:rsid w:val="00E470C5"/>
    <w:rsid w:val="00E47493"/>
    <w:rsid w:val="00E476F4"/>
    <w:rsid w:val="00E478BB"/>
    <w:rsid w:val="00E47DE2"/>
    <w:rsid w:val="00E502CD"/>
    <w:rsid w:val="00E502F5"/>
    <w:rsid w:val="00E504AB"/>
    <w:rsid w:val="00E504FF"/>
    <w:rsid w:val="00E5068F"/>
    <w:rsid w:val="00E50DED"/>
    <w:rsid w:val="00E50FAD"/>
    <w:rsid w:val="00E51282"/>
    <w:rsid w:val="00E512C5"/>
    <w:rsid w:val="00E5134C"/>
    <w:rsid w:val="00E51A87"/>
    <w:rsid w:val="00E51D6C"/>
    <w:rsid w:val="00E51FEC"/>
    <w:rsid w:val="00E520F7"/>
    <w:rsid w:val="00E521CF"/>
    <w:rsid w:val="00E52200"/>
    <w:rsid w:val="00E5224E"/>
    <w:rsid w:val="00E52614"/>
    <w:rsid w:val="00E52903"/>
    <w:rsid w:val="00E529E7"/>
    <w:rsid w:val="00E52C0F"/>
    <w:rsid w:val="00E52C1D"/>
    <w:rsid w:val="00E52CBB"/>
    <w:rsid w:val="00E53112"/>
    <w:rsid w:val="00E5322E"/>
    <w:rsid w:val="00E53427"/>
    <w:rsid w:val="00E53445"/>
    <w:rsid w:val="00E5344F"/>
    <w:rsid w:val="00E534CB"/>
    <w:rsid w:val="00E535A1"/>
    <w:rsid w:val="00E53ABB"/>
    <w:rsid w:val="00E5402F"/>
    <w:rsid w:val="00E5458F"/>
    <w:rsid w:val="00E545F9"/>
    <w:rsid w:val="00E545FC"/>
    <w:rsid w:val="00E54636"/>
    <w:rsid w:val="00E5489D"/>
    <w:rsid w:val="00E54B99"/>
    <w:rsid w:val="00E54E11"/>
    <w:rsid w:val="00E54EEA"/>
    <w:rsid w:val="00E551C9"/>
    <w:rsid w:val="00E55218"/>
    <w:rsid w:val="00E55497"/>
    <w:rsid w:val="00E555F0"/>
    <w:rsid w:val="00E5570C"/>
    <w:rsid w:val="00E55AA0"/>
    <w:rsid w:val="00E55DAC"/>
    <w:rsid w:val="00E55E05"/>
    <w:rsid w:val="00E55EBD"/>
    <w:rsid w:val="00E56356"/>
    <w:rsid w:val="00E564C2"/>
    <w:rsid w:val="00E5684C"/>
    <w:rsid w:val="00E568F3"/>
    <w:rsid w:val="00E56967"/>
    <w:rsid w:val="00E569DD"/>
    <w:rsid w:val="00E56AF1"/>
    <w:rsid w:val="00E56C94"/>
    <w:rsid w:val="00E56DBD"/>
    <w:rsid w:val="00E56EF6"/>
    <w:rsid w:val="00E56F2D"/>
    <w:rsid w:val="00E57016"/>
    <w:rsid w:val="00E5707A"/>
    <w:rsid w:val="00E5716F"/>
    <w:rsid w:val="00E57447"/>
    <w:rsid w:val="00E575AB"/>
    <w:rsid w:val="00E577BD"/>
    <w:rsid w:val="00E577DB"/>
    <w:rsid w:val="00E57A38"/>
    <w:rsid w:val="00E57A5D"/>
    <w:rsid w:val="00E57F12"/>
    <w:rsid w:val="00E6005E"/>
    <w:rsid w:val="00E602F6"/>
    <w:rsid w:val="00E602FD"/>
    <w:rsid w:val="00E6064E"/>
    <w:rsid w:val="00E609B3"/>
    <w:rsid w:val="00E60A5C"/>
    <w:rsid w:val="00E60C7D"/>
    <w:rsid w:val="00E612AE"/>
    <w:rsid w:val="00E614BE"/>
    <w:rsid w:val="00E61535"/>
    <w:rsid w:val="00E6154A"/>
    <w:rsid w:val="00E61597"/>
    <w:rsid w:val="00E618A2"/>
    <w:rsid w:val="00E61B3A"/>
    <w:rsid w:val="00E61D26"/>
    <w:rsid w:val="00E61EB7"/>
    <w:rsid w:val="00E61FC7"/>
    <w:rsid w:val="00E620BE"/>
    <w:rsid w:val="00E623BC"/>
    <w:rsid w:val="00E6240E"/>
    <w:rsid w:val="00E624E7"/>
    <w:rsid w:val="00E6260A"/>
    <w:rsid w:val="00E627CE"/>
    <w:rsid w:val="00E62871"/>
    <w:rsid w:val="00E62900"/>
    <w:rsid w:val="00E62AD7"/>
    <w:rsid w:val="00E62C72"/>
    <w:rsid w:val="00E62EFB"/>
    <w:rsid w:val="00E62F44"/>
    <w:rsid w:val="00E631F2"/>
    <w:rsid w:val="00E63260"/>
    <w:rsid w:val="00E632B9"/>
    <w:rsid w:val="00E632C6"/>
    <w:rsid w:val="00E632DE"/>
    <w:rsid w:val="00E634C0"/>
    <w:rsid w:val="00E63545"/>
    <w:rsid w:val="00E636E6"/>
    <w:rsid w:val="00E63DB4"/>
    <w:rsid w:val="00E63E19"/>
    <w:rsid w:val="00E6403E"/>
    <w:rsid w:val="00E6404E"/>
    <w:rsid w:val="00E64055"/>
    <w:rsid w:val="00E64161"/>
    <w:rsid w:val="00E64295"/>
    <w:rsid w:val="00E642AA"/>
    <w:rsid w:val="00E6455E"/>
    <w:rsid w:val="00E64842"/>
    <w:rsid w:val="00E64893"/>
    <w:rsid w:val="00E649D8"/>
    <w:rsid w:val="00E64B3B"/>
    <w:rsid w:val="00E64BDF"/>
    <w:rsid w:val="00E64C0C"/>
    <w:rsid w:val="00E64C70"/>
    <w:rsid w:val="00E64CBA"/>
    <w:rsid w:val="00E64F3F"/>
    <w:rsid w:val="00E64FE7"/>
    <w:rsid w:val="00E6504B"/>
    <w:rsid w:val="00E65296"/>
    <w:rsid w:val="00E6531C"/>
    <w:rsid w:val="00E653B9"/>
    <w:rsid w:val="00E6546B"/>
    <w:rsid w:val="00E6572B"/>
    <w:rsid w:val="00E65931"/>
    <w:rsid w:val="00E659AF"/>
    <w:rsid w:val="00E65AAC"/>
    <w:rsid w:val="00E65E38"/>
    <w:rsid w:val="00E66011"/>
    <w:rsid w:val="00E66229"/>
    <w:rsid w:val="00E66442"/>
    <w:rsid w:val="00E665E3"/>
    <w:rsid w:val="00E66676"/>
    <w:rsid w:val="00E6671A"/>
    <w:rsid w:val="00E66A1C"/>
    <w:rsid w:val="00E66C83"/>
    <w:rsid w:val="00E66E8A"/>
    <w:rsid w:val="00E66F43"/>
    <w:rsid w:val="00E66F55"/>
    <w:rsid w:val="00E67213"/>
    <w:rsid w:val="00E67472"/>
    <w:rsid w:val="00E6765F"/>
    <w:rsid w:val="00E678E2"/>
    <w:rsid w:val="00E67C50"/>
    <w:rsid w:val="00E67D95"/>
    <w:rsid w:val="00E67F31"/>
    <w:rsid w:val="00E67FE7"/>
    <w:rsid w:val="00E67FF8"/>
    <w:rsid w:val="00E701FB"/>
    <w:rsid w:val="00E70375"/>
    <w:rsid w:val="00E704C5"/>
    <w:rsid w:val="00E707CF"/>
    <w:rsid w:val="00E7081F"/>
    <w:rsid w:val="00E7087B"/>
    <w:rsid w:val="00E708E7"/>
    <w:rsid w:val="00E70972"/>
    <w:rsid w:val="00E70A4D"/>
    <w:rsid w:val="00E70AD6"/>
    <w:rsid w:val="00E70D41"/>
    <w:rsid w:val="00E70D86"/>
    <w:rsid w:val="00E71000"/>
    <w:rsid w:val="00E7107E"/>
    <w:rsid w:val="00E71210"/>
    <w:rsid w:val="00E7138C"/>
    <w:rsid w:val="00E7141D"/>
    <w:rsid w:val="00E717A8"/>
    <w:rsid w:val="00E71C51"/>
    <w:rsid w:val="00E71CE0"/>
    <w:rsid w:val="00E71D07"/>
    <w:rsid w:val="00E71DD5"/>
    <w:rsid w:val="00E71E85"/>
    <w:rsid w:val="00E71F33"/>
    <w:rsid w:val="00E71F4F"/>
    <w:rsid w:val="00E72028"/>
    <w:rsid w:val="00E7222B"/>
    <w:rsid w:val="00E722D0"/>
    <w:rsid w:val="00E724AD"/>
    <w:rsid w:val="00E72CD1"/>
    <w:rsid w:val="00E72EA7"/>
    <w:rsid w:val="00E73416"/>
    <w:rsid w:val="00E7354D"/>
    <w:rsid w:val="00E7379A"/>
    <w:rsid w:val="00E737D1"/>
    <w:rsid w:val="00E73B1F"/>
    <w:rsid w:val="00E73C57"/>
    <w:rsid w:val="00E74152"/>
    <w:rsid w:val="00E7437D"/>
    <w:rsid w:val="00E74504"/>
    <w:rsid w:val="00E74540"/>
    <w:rsid w:val="00E74545"/>
    <w:rsid w:val="00E74717"/>
    <w:rsid w:val="00E7477A"/>
    <w:rsid w:val="00E74940"/>
    <w:rsid w:val="00E749A8"/>
    <w:rsid w:val="00E749E2"/>
    <w:rsid w:val="00E74A73"/>
    <w:rsid w:val="00E74C5B"/>
    <w:rsid w:val="00E74E62"/>
    <w:rsid w:val="00E74E87"/>
    <w:rsid w:val="00E75138"/>
    <w:rsid w:val="00E75165"/>
    <w:rsid w:val="00E75174"/>
    <w:rsid w:val="00E7525D"/>
    <w:rsid w:val="00E752D8"/>
    <w:rsid w:val="00E7536C"/>
    <w:rsid w:val="00E7555C"/>
    <w:rsid w:val="00E7565B"/>
    <w:rsid w:val="00E7575D"/>
    <w:rsid w:val="00E757E2"/>
    <w:rsid w:val="00E758CE"/>
    <w:rsid w:val="00E75984"/>
    <w:rsid w:val="00E75A32"/>
    <w:rsid w:val="00E75DD5"/>
    <w:rsid w:val="00E75F45"/>
    <w:rsid w:val="00E75F5D"/>
    <w:rsid w:val="00E75FAB"/>
    <w:rsid w:val="00E75FED"/>
    <w:rsid w:val="00E7600A"/>
    <w:rsid w:val="00E760E4"/>
    <w:rsid w:val="00E760ED"/>
    <w:rsid w:val="00E761E0"/>
    <w:rsid w:val="00E7620A"/>
    <w:rsid w:val="00E76306"/>
    <w:rsid w:val="00E76677"/>
    <w:rsid w:val="00E766DE"/>
    <w:rsid w:val="00E76713"/>
    <w:rsid w:val="00E76854"/>
    <w:rsid w:val="00E768A5"/>
    <w:rsid w:val="00E76968"/>
    <w:rsid w:val="00E76A9A"/>
    <w:rsid w:val="00E76AA5"/>
    <w:rsid w:val="00E76EF4"/>
    <w:rsid w:val="00E772BB"/>
    <w:rsid w:val="00E775A3"/>
    <w:rsid w:val="00E77601"/>
    <w:rsid w:val="00E7762A"/>
    <w:rsid w:val="00E777B6"/>
    <w:rsid w:val="00E778E1"/>
    <w:rsid w:val="00E77923"/>
    <w:rsid w:val="00E7794D"/>
    <w:rsid w:val="00E779E3"/>
    <w:rsid w:val="00E77A18"/>
    <w:rsid w:val="00E77AF2"/>
    <w:rsid w:val="00E77E7C"/>
    <w:rsid w:val="00E7DFF0"/>
    <w:rsid w:val="00E80048"/>
    <w:rsid w:val="00E801B4"/>
    <w:rsid w:val="00E80335"/>
    <w:rsid w:val="00E8058D"/>
    <w:rsid w:val="00E805A2"/>
    <w:rsid w:val="00E80769"/>
    <w:rsid w:val="00E809B3"/>
    <w:rsid w:val="00E80FE6"/>
    <w:rsid w:val="00E811B8"/>
    <w:rsid w:val="00E8122B"/>
    <w:rsid w:val="00E813B4"/>
    <w:rsid w:val="00E813FE"/>
    <w:rsid w:val="00E8156A"/>
    <w:rsid w:val="00E818D2"/>
    <w:rsid w:val="00E818D9"/>
    <w:rsid w:val="00E818EF"/>
    <w:rsid w:val="00E819D0"/>
    <w:rsid w:val="00E81AE0"/>
    <w:rsid w:val="00E81BA1"/>
    <w:rsid w:val="00E81C76"/>
    <w:rsid w:val="00E82156"/>
    <w:rsid w:val="00E82196"/>
    <w:rsid w:val="00E822E8"/>
    <w:rsid w:val="00E82508"/>
    <w:rsid w:val="00E8258F"/>
    <w:rsid w:val="00E8273C"/>
    <w:rsid w:val="00E827A3"/>
    <w:rsid w:val="00E828CB"/>
    <w:rsid w:val="00E82AEB"/>
    <w:rsid w:val="00E82DAE"/>
    <w:rsid w:val="00E82DCD"/>
    <w:rsid w:val="00E82F52"/>
    <w:rsid w:val="00E8306D"/>
    <w:rsid w:val="00E831FE"/>
    <w:rsid w:val="00E83549"/>
    <w:rsid w:val="00E8357A"/>
    <w:rsid w:val="00E83756"/>
    <w:rsid w:val="00E8389A"/>
    <w:rsid w:val="00E839CD"/>
    <w:rsid w:val="00E83FBF"/>
    <w:rsid w:val="00E84158"/>
    <w:rsid w:val="00E841D5"/>
    <w:rsid w:val="00E844E8"/>
    <w:rsid w:val="00E844ED"/>
    <w:rsid w:val="00E84579"/>
    <w:rsid w:val="00E84830"/>
    <w:rsid w:val="00E84A21"/>
    <w:rsid w:val="00E84DD6"/>
    <w:rsid w:val="00E84F2B"/>
    <w:rsid w:val="00E8545D"/>
    <w:rsid w:val="00E8580C"/>
    <w:rsid w:val="00E85827"/>
    <w:rsid w:val="00E8585C"/>
    <w:rsid w:val="00E8594D"/>
    <w:rsid w:val="00E859FD"/>
    <w:rsid w:val="00E85C06"/>
    <w:rsid w:val="00E85D22"/>
    <w:rsid w:val="00E85E38"/>
    <w:rsid w:val="00E866CF"/>
    <w:rsid w:val="00E866E8"/>
    <w:rsid w:val="00E869E0"/>
    <w:rsid w:val="00E86AE1"/>
    <w:rsid w:val="00E86B4A"/>
    <w:rsid w:val="00E86D16"/>
    <w:rsid w:val="00E86F9C"/>
    <w:rsid w:val="00E874DB"/>
    <w:rsid w:val="00E874DD"/>
    <w:rsid w:val="00E874F5"/>
    <w:rsid w:val="00E876EC"/>
    <w:rsid w:val="00E87711"/>
    <w:rsid w:val="00E87771"/>
    <w:rsid w:val="00E87841"/>
    <w:rsid w:val="00E879AC"/>
    <w:rsid w:val="00E87CF9"/>
    <w:rsid w:val="00E87D0B"/>
    <w:rsid w:val="00E87D61"/>
    <w:rsid w:val="00E87DDC"/>
    <w:rsid w:val="00E90017"/>
    <w:rsid w:val="00E90075"/>
    <w:rsid w:val="00E901DA"/>
    <w:rsid w:val="00E902D1"/>
    <w:rsid w:val="00E903D7"/>
    <w:rsid w:val="00E90438"/>
    <w:rsid w:val="00E90561"/>
    <w:rsid w:val="00E907BE"/>
    <w:rsid w:val="00E9098A"/>
    <w:rsid w:val="00E90BF5"/>
    <w:rsid w:val="00E90EB6"/>
    <w:rsid w:val="00E90F03"/>
    <w:rsid w:val="00E91642"/>
    <w:rsid w:val="00E91659"/>
    <w:rsid w:val="00E9193B"/>
    <w:rsid w:val="00E9195A"/>
    <w:rsid w:val="00E919BA"/>
    <w:rsid w:val="00E91A0F"/>
    <w:rsid w:val="00E91E04"/>
    <w:rsid w:val="00E91F53"/>
    <w:rsid w:val="00E9214C"/>
    <w:rsid w:val="00E922A7"/>
    <w:rsid w:val="00E92894"/>
    <w:rsid w:val="00E92B61"/>
    <w:rsid w:val="00E92D10"/>
    <w:rsid w:val="00E92F27"/>
    <w:rsid w:val="00E92FD1"/>
    <w:rsid w:val="00E930CC"/>
    <w:rsid w:val="00E933CD"/>
    <w:rsid w:val="00E9348F"/>
    <w:rsid w:val="00E93552"/>
    <w:rsid w:val="00E93BE9"/>
    <w:rsid w:val="00E93DB8"/>
    <w:rsid w:val="00E93DCA"/>
    <w:rsid w:val="00E93EFA"/>
    <w:rsid w:val="00E94E19"/>
    <w:rsid w:val="00E9530E"/>
    <w:rsid w:val="00E953F9"/>
    <w:rsid w:val="00E954D7"/>
    <w:rsid w:val="00E95507"/>
    <w:rsid w:val="00E95654"/>
    <w:rsid w:val="00E95838"/>
    <w:rsid w:val="00E95BE0"/>
    <w:rsid w:val="00E95BFA"/>
    <w:rsid w:val="00E95C35"/>
    <w:rsid w:val="00E95F37"/>
    <w:rsid w:val="00E96194"/>
    <w:rsid w:val="00E962C4"/>
    <w:rsid w:val="00E96303"/>
    <w:rsid w:val="00E9666A"/>
    <w:rsid w:val="00E9669B"/>
    <w:rsid w:val="00E96864"/>
    <w:rsid w:val="00E96B0E"/>
    <w:rsid w:val="00E96C5A"/>
    <w:rsid w:val="00E96C89"/>
    <w:rsid w:val="00E96D2B"/>
    <w:rsid w:val="00E96DDC"/>
    <w:rsid w:val="00E97055"/>
    <w:rsid w:val="00E971B6"/>
    <w:rsid w:val="00E971E6"/>
    <w:rsid w:val="00E97240"/>
    <w:rsid w:val="00E97298"/>
    <w:rsid w:val="00E973C8"/>
    <w:rsid w:val="00E974BE"/>
    <w:rsid w:val="00E97617"/>
    <w:rsid w:val="00E97872"/>
    <w:rsid w:val="00E978B9"/>
    <w:rsid w:val="00E979E6"/>
    <w:rsid w:val="00E97AAD"/>
    <w:rsid w:val="00E97D36"/>
    <w:rsid w:val="00E97D3E"/>
    <w:rsid w:val="00EA00C0"/>
    <w:rsid w:val="00EA0283"/>
    <w:rsid w:val="00EA06ED"/>
    <w:rsid w:val="00EA0758"/>
    <w:rsid w:val="00EA0908"/>
    <w:rsid w:val="00EA0CA2"/>
    <w:rsid w:val="00EA0DCE"/>
    <w:rsid w:val="00EA0E8B"/>
    <w:rsid w:val="00EA0F29"/>
    <w:rsid w:val="00EA0FF1"/>
    <w:rsid w:val="00EA1020"/>
    <w:rsid w:val="00EA10FE"/>
    <w:rsid w:val="00EA1147"/>
    <w:rsid w:val="00EA13E2"/>
    <w:rsid w:val="00EA156E"/>
    <w:rsid w:val="00EA18D8"/>
    <w:rsid w:val="00EA19AD"/>
    <w:rsid w:val="00EA1A4B"/>
    <w:rsid w:val="00EA1ACE"/>
    <w:rsid w:val="00EA1E6D"/>
    <w:rsid w:val="00EA1F0E"/>
    <w:rsid w:val="00EA2078"/>
    <w:rsid w:val="00EA210A"/>
    <w:rsid w:val="00EA21CD"/>
    <w:rsid w:val="00EA2549"/>
    <w:rsid w:val="00EA258D"/>
    <w:rsid w:val="00EA25D4"/>
    <w:rsid w:val="00EA283E"/>
    <w:rsid w:val="00EA2850"/>
    <w:rsid w:val="00EA2EA8"/>
    <w:rsid w:val="00EA2F3A"/>
    <w:rsid w:val="00EA303A"/>
    <w:rsid w:val="00EA3148"/>
    <w:rsid w:val="00EA3153"/>
    <w:rsid w:val="00EA37B5"/>
    <w:rsid w:val="00EA3B4C"/>
    <w:rsid w:val="00EA4268"/>
    <w:rsid w:val="00EA4304"/>
    <w:rsid w:val="00EA4419"/>
    <w:rsid w:val="00EA4663"/>
    <w:rsid w:val="00EA46FB"/>
    <w:rsid w:val="00EA471D"/>
    <w:rsid w:val="00EA4786"/>
    <w:rsid w:val="00EA47F6"/>
    <w:rsid w:val="00EA48C0"/>
    <w:rsid w:val="00EA49F7"/>
    <w:rsid w:val="00EA4C0D"/>
    <w:rsid w:val="00EA4C38"/>
    <w:rsid w:val="00EA4C96"/>
    <w:rsid w:val="00EA4EBA"/>
    <w:rsid w:val="00EA50C5"/>
    <w:rsid w:val="00EA56E6"/>
    <w:rsid w:val="00EA587B"/>
    <w:rsid w:val="00EA58E1"/>
    <w:rsid w:val="00EA5C97"/>
    <w:rsid w:val="00EA5E24"/>
    <w:rsid w:val="00EA5FF7"/>
    <w:rsid w:val="00EA651A"/>
    <w:rsid w:val="00EA6708"/>
    <w:rsid w:val="00EA6AD4"/>
    <w:rsid w:val="00EA6D3B"/>
    <w:rsid w:val="00EA6D56"/>
    <w:rsid w:val="00EA6E62"/>
    <w:rsid w:val="00EA7095"/>
    <w:rsid w:val="00EA72CD"/>
    <w:rsid w:val="00EA7748"/>
    <w:rsid w:val="00EA7755"/>
    <w:rsid w:val="00EA7793"/>
    <w:rsid w:val="00EA77A4"/>
    <w:rsid w:val="00EA7869"/>
    <w:rsid w:val="00EA78D7"/>
    <w:rsid w:val="00EA7A34"/>
    <w:rsid w:val="00EA7B5A"/>
    <w:rsid w:val="00EA7CFA"/>
    <w:rsid w:val="00EA7D65"/>
    <w:rsid w:val="00EA7D7F"/>
    <w:rsid w:val="00EA7E20"/>
    <w:rsid w:val="00EB043C"/>
    <w:rsid w:val="00EB0A73"/>
    <w:rsid w:val="00EB0D7A"/>
    <w:rsid w:val="00EB0F02"/>
    <w:rsid w:val="00EB0F0C"/>
    <w:rsid w:val="00EB139F"/>
    <w:rsid w:val="00EB14F7"/>
    <w:rsid w:val="00EB15B2"/>
    <w:rsid w:val="00EB17E4"/>
    <w:rsid w:val="00EB1800"/>
    <w:rsid w:val="00EB18FF"/>
    <w:rsid w:val="00EB19F5"/>
    <w:rsid w:val="00EB1B38"/>
    <w:rsid w:val="00EB1DF2"/>
    <w:rsid w:val="00EB1E4C"/>
    <w:rsid w:val="00EB2143"/>
    <w:rsid w:val="00EB25E3"/>
    <w:rsid w:val="00EB2817"/>
    <w:rsid w:val="00EB2A6E"/>
    <w:rsid w:val="00EB2AA9"/>
    <w:rsid w:val="00EB2B1D"/>
    <w:rsid w:val="00EB2B50"/>
    <w:rsid w:val="00EB2C00"/>
    <w:rsid w:val="00EB2C8E"/>
    <w:rsid w:val="00EB2E0B"/>
    <w:rsid w:val="00EB31C0"/>
    <w:rsid w:val="00EB31C1"/>
    <w:rsid w:val="00EB326B"/>
    <w:rsid w:val="00EB32DA"/>
    <w:rsid w:val="00EB3486"/>
    <w:rsid w:val="00EB34B3"/>
    <w:rsid w:val="00EB35E6"/>
    <w:rsid w:val="00EB369D"/>
    <w:rsid w:val="00EB37BD"/>
    <w:rsid w:val="00EB387D"/>
    <w:rsid w:val="00EB3C7F"/>
    <w:rsid w:val="00EB3CB9"/>
    <w:rsid w:val="00EB3E36"/>
    <w:rsid w:val="00EB3FF6"/>
    <w:rsid w:val="00EB4174"/>
    <w:rsid w:val="00EB429B"/>
    <w:rsid w:val="00EB43AC"/>
    <w:rsid w:val="00EB4401"/>
    <w:rsid w:val="00EB4514"/>
    <w:rsid w:val="00EB4539"/>
    <w:rsid w:val="00EB456A"/>
    <w:rsid w:val="00EB4AEE"/>
    <w:rsid w:val="00EB4E3A"/>
    <w:rsid w:val="00EB5078"/>
    <w:rsid w:val="00EB50CB"/>
    <w:rsid w:val="00EB5308"/>
    <w:rsid w:val="00EB5480"/>
    <w:rsid w:val="00EB57B1"/>
    <w:rsid w:val="00EB58FC"/>
    <w:rsid w:val="00EB5918"/>
    <w:rsid w:val="00EB5BD3"/>
    <w:rsid w:val="00EB5BDC"/>
    <w:rsid w:val="00EB5CE5"/>
    <w:rsid w:val="00EB5DDD"/>
    <w:rsid w:val="00EB5EED"/>
    <w:rsid w:val="00EB5F78"/>
    <w:rsid w:val="00EB6098"/>
    <w:rsid w:val="00EB6268"/>
    <w:rsid w:val="00EB63D7"/>
    <w:rsid w:val="00EB6600"/>
    <w:rsid w:val="00EB6667"/>
    <w:rsid w:val="00EB6E31"/>
    <w:rsid w:val="00EB71AA"/>
    <w:rsid w:val="00EB7305"/>
    <w:rsid w:val="00EB73BC"/>
    <w:rsid w:val="00EB763F"/>
    <w:rsid w:val="00EB7879"/>
    <w:rsid w:val="00EB79A1"/>
    <w:rsid w:val="00EB79AC"/>
    <w:rsid w:val="00EB7AB5"/>
    <w:rsid w:val="00EB7C02"/>
    <w:rsid w:val="00EB7C6C"/>
    <w:rsid w:val="00EB7D4B"/>
    <w:rsid w:val="00EB7E6A"/>
    <w:rsid w:val="00EC04CA"/>
    <w:rsid w:val="00EC0629"/>
    <w:rsid w:val="00EC07AD"/>
    <w:rsid w:val="00EC0A35"/>
    <w:rsid w:val="00EC0BC0"/>
    <w:rsid w:val="00EC0E6C"/>
    <w:rsid w:val="00EC0F16"/>
    <w:rsid w:val="00EC1121"/>
    <w:rsid w:val="00EC1213"/>
    <w:rsid w:val="00EC124E"/>
    <w:rsid w:val="00EC129E"/>
    <w:rsid w:val="00EC12AC"/>
    <w:rsid w:val="00EC1852"/>
    <w:rsid w:val="00EC1A97"/>
    <w:rsid w:val="00EC1BEC"/>
    <w:rsid w:val="00EC1FD3"/>
    <w:rsid w:val="00EC211C"/>
    <w:rsid w:val="00EC2657"/>
    <w:rsid w:val="00EC268C"/>
    <w:rsid w:val="00EC27DA"/>
    <w:rsid w:val="00EC3014"/>
    <w:rsid w:val="00EC3189"/>
    <w:rsid w:val="00EC3196"/>
    <w:rsid w:val="00EC36DD"/>
    <w:rsid w:val="00EC3714"/>
    <w:rsid w:val="00EC3755"/>
    <w:rsid w:val="00EC377A"/>
    <w:rsid w:val="00EC38E2"/>
    <w:rsid w:val="00EC3CF4"/>
    <w:rsid w:val="00EC3EE7"/>
    <w:rsid w:val="00EC3EF4"/>
    <w:rsid w:val="00EC408D"/>
    <w:rsid w:val="00EC40E2"/>
    <w:rsid w:val="00EC412A"/>
    <w:rsid w:val="00EC445E"/>
    <w:rsid w:val="00EC4646"/>
    <w:rsid w:val="00EC46CE"/>
    <w:rsid w:val="00EC4A67"/>
    <w:rsid w:val="00EC4E41"/>
    <w:rsid w:val="00EC4EA9"/>
    <w:rsid w:val="00EC5093"/>
    <w:rsid w:val="00EC514F"/>
    <w:rsid w:val="00EC51CA"/>
    <w:rsid w:val="00EC520E"/>
    <w:rsid w:val="00EC524D"/>
    <w:rsid w:val="00EC5571"/>
    <w:rsid w:val="00EC5723"/>
    <w:rsid w:val="00EC5765"/>
    <w:rsid w:val="00EC5E1E"/>
    <w:rsid w:val="00EC619A"/>
    <w:rsid w:val="00EC61C9"/>
    <w:rsid w:val="00EC63B4"/>
    <w:rsid w:val="00EC6771"/>
    <w:rsid w:val="00EC694E"/>
    <w:rsid w:val="00EC6B28"/>
    <w:rsid w:val="00EC6B7B"/>
    <w:rsid w:val="00EC6B7C"/>
    <w:rsid w:val="00EC6DFE"/>
    <w:rsid w:val="00EC7020"/>
    <w:rsid w:val="00EC7096"/>
    <w:rsid w:val="00EC74FD"/>
    <w:rsid w:val="00EC7555"/>
    <w:rsid w:val="00EC7587"/>
    <w:rsid w:val="00EC78F9"/>
    <w:rsid w:val="00EC7A12"/>
    <w:rsid w:val="00EC7A8F"/>
    <w:rsid w:val="00EC7AF3"/>
    <w:rsid w:val="00EC7CC0"/>
    <w:rsid w:val="00ED0240"/>
    <w:rsid w:val="00ED02C7"/>
    <w:rsid w:val="00ED0312"/>
    <w:rsid w:val="00ED05F8"/>
    <w:rsid w:val="00ED06AE"/>
    <w:rsid w:val="00ED09AF"/>
    <w:rsid w:val="00ED0A3D"/>
    <w:rsid w:val="00ED0A61"/>
    <w:rsid w:val="00ED0A74"/>
    <w:rsid w:val="00ED0B88"/>
    <w:rsid w:val="00ED0DBF"/>
    <w:rsid w:val="00ED103C"/>
    <w:rsid w:val="00ED1060"/>
    <w:rsid w:val="00ED13BE"/>
    <w:rsid w:val="00ED13EF"/>
    <w:rsid w:val="00ED15A8"/>
    <w:rsid w:val="00ED1779"/>
    <w:rsid w:val="00ED19A5"/>
    <w:rsid w:val="00ED19E4"/>
    <w:rsid w:val="00ED19FB"/>
    <w:rsid w:val="00ED1CD1"/>
    <w:rsid w:val="00ED1ED4"/>
    <w:rsid w:val="00ED2112"/>
    <w:rsid w:val="00ED217E"/>
    <w:rsid w:val="00ED2258"/>
    <w:rsid w:val="00ED2293"/>
    <w:rsid w:val="00ED2343"/>
    <w:rsid w:val="00ED2435"/>
    <w:rsid w:val="00ED245C"/>
    <w:rsid w:val="00ED24A9"/>
    <w:rsid w:val="00ED24EB"/>
    <w:rsid w:val="00ED26F8"/>
    <w:rsid w:val="00ED2900"/>
    <w:rsid w:val="00ED2919"/>
    <w:rsid w:val="00ED29EC"/>
    <w:rsid w:val="00ED2C25"/>
    <w:rsid w:val="00ED3028"/>
    <w:rsid w:val="00ED3501"/>
    <w:rsid w:val="00ED356C"/>
    <w:rsid w:val="00ED35DE"/>
    <w:rsid w:val="00ED3741"/>
    <w:rsid w:val="00ED3833"/>
    <w:rsid w:val="00ED3922"/>
    <w:rsid w:val="00ED3A66"/>
    <w:rsid w:val="00ED3B88"/>
    <w:rsid w:val="00ED3DBB"/>
    <w:rsid w:val="00ED3E43"/>
    <w:rsid w:val="00ED3F12"/>
    <w:rsid w:val="00ED415F"/>
    <w:rsid w:val="00ED4405"/>
    <w:rsid w:val="00ED4753"/>
    <w:rsid w:val="00ED47B1"/>
    <w:rsid w:val="00ED49A0"/>
    <w:rsid w:val="00ED4A97"/>
    <w:rsid w:val="00ED4BAC"/>
    <w:rsid w:val="00ED4D3F"/>
    <w:rsid w:val="00ED53D8"/>
    <w:rsid w:val="00ED56CC"/>
    <w:rsid w:val="00ED57BE"/>
    <w:rsid w:val="00ED57F1"/>
    <w:rsid w:val="00ED593D"/>
    <w:rsid w:val="00ED5B0A"/>
    <w:rsid w:val="00ED5B1B"/>
    <w:rsid w:val="00ED5DD5"/>
    <w:rsid w:val="00ED5FDB"/>
    <w:rsid w:val="00ED6053"/>
    <w:rsid w:val="00ED60DD"/>
    <w:rsid w:val="00ED6100"/>
    <w:rsid w:val="00ED62FC"/>
    <w:rsid w:val="00ED6389"/>
    <w:rsid w:val="00ED655C"/>
    <w:rsid w:val="00ED658E"/>
    <w:rsid w:val="00ED682D"/>
    <w:rsid w:val="00ED695B"/>
    <w:rsid w:val="00ED6CB8"/>
    <w:rsid w:val="00ED6DB2"/>
    <w:rsid w:val="00ED6E6B"/>
    <w:rsid w:val="00ED7216"/>
    <w:rsid w:val="00ED7396"/>
    <w:rsid w:val="00ED746F"/>
    <w:rsid w:val="00ED765E"/>
    <w:rsid w:val="00ED78F2"/>
    <w:rsid w:val="00ED7DA6"/>
    <w:rsid w:val="00ED7E2C"/>
    <w:rsid w:val="00EE04AF"/>
    <w:rsid w:val="00EE06AA"/>
    <w:rsid w:val="00EE0842"/>
    <w:rsid w:val="00EE093A"/>
    <w:rsid w:val="00EE09CF"/>
    <w:rsid w:val="00EE0E72"/>
    <w:rsid w:val="00EE0E83"/>
    <w:rsid w:val="00EE0FC3"/>
    <w:rsid w:val="00EE10CD"/>
    <w:rsid w:val="00EE1163"/>
    <w:rsid w:val="00EE14D6"/>
    <w:rsid w:val="00EE1535"/>
    <w:rsid w:val="00EE189D"/>
    <w:rsid w:val="00EE1E0B"/>
    <w:rsid w:val="00EE1E0D"/>
    <w:rsid w:val="00EE200D"/>
    <w:rsid w:val="00EE2073"/>
    <w:rsid w:val="00EE22F6"/>
    <w:rsid w:val="00EE2345"/>
    <w:rsid w:val="00EE246C"/>
    <w:rsid w:val="00EE25B4"/>
    <w:rsid w:val="00EE260C"/>
    <w:rsid w:val="00EE2B14"/>
    <w:rsid w:val="00EE2FC7"/>
    <w:rsid w:val="00EE301C"/>
    <w:rsid w:val="00EE3140"/>
    <w:rsid w:val="00EE31A7"/>
    <w:rsid w:val="00EE34AA"/>
    <w:rsid w:val="00EE34F2"/>
    <w:rsid w:val="00EE37A4"/>
    <w:rsid w:val="00EE3912"/>
    <w:rsid w:val="00EE3A6E"/>
    <w:rsid w:val="00EE3C8F"/>
    <w:rsid w:val="00EE3CCC"/>
    <w:rsid w:val="00EE3DDA"/>
    <w:rsid w:val="00EE4025"/>
    <w:rsid w:val="00EE40B7"/>
    <w:rsid w:val="00EE4188"/>
    <w:rsid w:val="00EE4317"/>
    <w:rsid w:val="00EE45B3"/>
    <w:rsid w:val="00EE45D7"/>
    <w:rsid w:val="00EE468E"/>
    <w:rsid w:val="00EE46A1"/>
    <w:rsid w:val="00EE4A63"/>
    <w:rsid w:val="00EE4AA6"/>
    <w:rsid w:val="00EE4B4D"/>
    <w:rsid w:val="00EE4DBF"/>
    <w:rsid w:val="00EE4F95"/>
    <w:rsid w:val="00EE513E"/>
    <w:rsid w:val="00EE51C0"/>
    <w:rsid w:val="00EE55EC"/>
    <w:rsid w:val="00EE56A9"/>
    <w:rsid w:val="00EE587A"/>
    <w:rsid w:val="00EE58B3"/>
    <w:rsid w:val="00EE58FB"/>
    <w:rsid w:val="00EE59F6"/>
    <w:rsid w:val="00EE5EBC"/>
    <w:rsid w:val="00EE5ECD"/>
    <w:rsid w:val="00EE615C"/>
    <w:rsid w:val="00EE6224"/>
    <w:rsid w:val="00EE62C3"/>
    <w:rsid w:val="00EE63D2"/>
    <w:rsid w:val="00EE64CA"/>
    <w:rsid w:val="00EE65BE"/>
    <w:rsid w:val="00EE6671"/>
    <w:rsid w:val="00EE6CCC"/>
    <w:rsid w:val="00EE714F"/>
    <w:rsid w:val="00EE7168"/>
    <w:rsid w:val="00EE7258"/>
    <w:rsid w:val="00EE7484"/>
    <w:rsid w:val="00EE7890"/>
    <w:rsid w:val="00EE789B"/>
    <w:rsid w:val="00EE78D6"/>
    <w:rsid w:val="00EE7993"/>
    <w:rsid w:val="00EE7AE1"/>
    <w:rsid w:val="00EE7B2B"/>
    <w:rsid w:val="00EE7B9B"/>
    <w:rsid w:val="00EE7BF4"/>
    <w:rsid w:val="00EE7C2C"/>
    <w:rsid w:val="00EE7D2D"/>
    <w:rsid w:val="00EE7FC9"/>
    <w:rsid w:val="00EE7FD4"/>
    <w:rsid w:val="00EF0264"/>
    <w:rsid w:val="00EF02F0"/>
    <w:rsid w:val="00EF0354"/>
    <w:rsid w:val="00EF03BD"/>
    <w:rsid w:val="00EF03D8"/>
    <w:rsid w:val="00EF03DE"/>
    <w:rsid w:val="00EF040B"/>
    <w:rsid w:val="00EF0495"/>
    <w:rsid w:val="00EF05EF"/>
    <w:rsid w:val="00EF091C"/>
    <w:rsid w:val="00EF0A1A"/>
    <w:rsid w:val="00EF0CFB"/>
    <w:rsid w:val="00EF0D2A"/>
    <w:rsid w:val="00EF0EF8"/>
    <w:rsid w:val="00EF0F72"/>
    <w:rsid w:val="00EF0FCB"/>
    <w:rsid w:val="00EF11DE"/>
    <w:rsid w:val="00EF12D7"/>
    <w:rsid w:val="00EF144C"/>
    <w:rsid w:val="00EF163A"/>
    <w:rsid w:val="00EF17A1"/>
    <w:rsid w:val="00EF1981"/>
    <w:rsid w:val="00EF1B4B"/>
    <w:rsid w:val="00EF1BB7"/>
    <w:rsid w:val="00EF1C18"/>
    <w:rsid w:val="00EF1C43"/>
    <w:rsid w:val="00EF1C60"/>
    <w:rsid w:val="00EF1F0C"/>
    <w:rsid w:val="00EF2036"/>
    <w:rsid w:val="00EF213A"/>
    <w:rsid w:val="00EF21C3"/>
    <w:rsid w:val="00EF2229"/>
    <w:rsid w:val="00EF246B"/>
    <w:rsid w:val="00EF24A4"/>
    <w:rsid w:val="00EF26B2"/>
    <w:rsid w:val="00EF285C"/>
    <w:rsid w:val="00EF2870"/>
    <w:rsid w:val="00EF2A4B"/>
    <w:rsid w:val="00EF2DE4"/>
    <w:rsid w:val="00EF2DF3"/>
    <w:rsid w:val="00EF2EA7"/>
    <w:rsid w:val="00EF30F7"/>
    <w:rsid w:val="00EF365E"/>
    <w:rsid w:val="00EF37DE"/>
    <w:rsid w:val="00EF3836"/>
    <w:rsid w:val="00EF3A54"/>
    <w:rsid w:val="00EF3C9B"/>
    <w:rsid w:val="00EF3ED2"/>
    <w:rsid w:val="00EF46E6"/>
    <w:rsid w:val="00EF473A"/>
    <w:rsid w:val="00EF4747"/>
    <w:rsid w:val="00EF47E6"/>
    <w:rsid w:val="00EF49A0"/>
    <w:rsid w:val="00EF4CD4"/>
    <w:rsid w:val="00EF4E52"/>
    <w:rsid w:val="00EF500E"/>
    <w:rsid w:val="00EF50BA"/>
    <w:rsid w:val="00EF50F9"/>
    <w:rsid w:val="00EF5107"/>
    <w:rsid w:val="00EF515B"/>
    <w:rsid w:val="00EF54FB"/>
    <w:rsid w:val="00EF55E7"/>
    <w:rsid w:val="00EF56E9"/>
    <w:rsid w:val="00EF5987"/>
    <w:rsid w:val="00EF59AF"/>
    <w:rsid w:val="00EF5A0B"/>
    <w:rsid w:val="00EF5A26"/>
    <w:rsid w:val="00EF5B77"/>
    <w:rsid w:val="00EF5C09"/>
    <w:rsid w:val="00EF5DB8"/>
    <w:rsid w:val="00EF5F36"/>
    <w:rsid w:val="00EF614B"/>
    <w:rsid w:val="00EF6809"/>
    <w:rsid w:val="00EF6999"/>
    <w:rsid w:val="00EF6C1E"/>
    <w:rsid w:val="00EF6C41"/>
    <w:rsid w:val="00EF6D38"/>
    <w:rsid w:val="00EF6F52"/>
    <w:rsid w:val="00EF703F"/>
    <w:rsid w:val="00EF7084"/>
    <w:rsid w:val="00EF728D"/>
    <w:rsid w:val="00EF7926"/>
    <w:rsid w:val="00EF7A76"/>
    <w:rsid w:val="00EF7D15"/>
    <w:rsid w:val="00EF7E79"/>
    <w:rsid w:val="00EF7ED0"/>
    <w:rsid w:val="00EF7EFB"/>
    <w:rsid w:val="00F00227"/>
    <w:rsid w:val="00F00314"/>
    <w:rsid w:val="00F00365"/>
    <w:rsid w:val="00F005DB"/>
    <w:rsid w:val="00F0076A"/>
    <w:rsid w:val="00F00773"/>
    <w:rsid w:val="00F00B00"/>
    <w:rsid w:val="00F00DD9"/>
    <w:rsid w:val="00F0109B"/>
    <w:rsid w:val="00F01236"/>
    <w:rsid w:val="00F012BD"/>
    <w:rsid w:val="00F01750"/>
    <w:rsid w:val="00F0181F"/>
    <w:rsid w:val="00F01983"/>
    <w:rsid w:val="00F019EF"/>
    <w:rsid w:val="00F01BFA"/>
    <w:rsid w:val="00F01C5C"/>
    <w:rsid w:val="00F020E7"/>
    <w:rsid w:val="00F0250F"/>
    <w:rsid w:val="00F025FE"/>
    <w:rsid w:val="00F02687"/>
    <w:rsid w:val="00F0272E"/>
    <w:rsid w:val="00F0293E"/>
    <w:rsid w:val="00F02A68"/>
    <w:rsid w:val="00F02D34"/>
    <w:rsid w:val="00F02D6D"/>
    <w:rsid w:val="00F030AE"/>
    <w:rsid w:val="00F03360"/>
    <w:rsid w:val="00F033AA"/>
    <w:rsid w:val="00F0371D"/>
    <w:rsid w:val="00F03A7C"/>
    <w:rsid w:val="00F03CC0"/>
    <w:rsid w:val="00F03D0F"/>
    <w:rsid w:val="00F040B3"/>
    <w:rsid w:val="00F04684"/>
    <w:rsid w:val="00F04752"/>
    <w:rsid w:val="00F047FF"/>
    <w:rsid w:val="00F0489E"/>
    <w:rsid w:val="00F04A75"/>
    <w:rsid w:val="00F04B76"/>
    <w:rsid w:val="00F04B83"/>
    <w:rsid w:val="00F04BA8"/>
    <w:rsid w:val="00F05117"/>
    <w:rsid w:val="00F0548A"/>
    <w:rsid w:val="00F059BE"/>
    <w:rsid w:val="00F05A2D"/>
    <w:rsid w:val="00F05B12"/>
    <w:rsid w:val="00F05B5A"/>
    <w:rsid w:val="00F05E7E"/>
    <w:rsid w:val="00F061F2"/>
    <w:rsid w:val="00F06446"/>
    <w:rsid w:val="00F065DE"/>
    <w:rsid w:val="00F069A1"/>
    <w:rsid w:val="00F06F20"/>
    <w:rsid w:val="00F070B4"/>
    <w:rsid w:val="00F07117"/>
    <w:rsid w:val="00F0719A"/>
    <w:rsid w:val="00F073DD"/>
    <w:rsid w:val="00F07529"/>
    <w:rsid w:val="00F07670"/>
    <w:rsid w:val="00F07742"/>
    <w:rsid w:val="00F0786D"/>
    <w:rsid w:val="00F079FC"/>
    <w:rsid w:val="00F07A24"/>
    <w:rsid w:val="00F07CFF"/>
    <w:rsid w:val="00F07EF6"/>
    <w:rsid w:val="00F07F22"/>
    <w:rsid w:val="00F07F29"/>
    <w:rsid w:val="00F108E3"/>
    <w:rsid w:val="00F10B07"/>
    <w:rsid w:val="00F10BA0"/>
    <w:rsid w:val="00F10C72"/>
    <w:rsid w:val="00F10CFC"/>
    <w:rsid w:val="00F10D21"/>
    <w:rsid w:val="00F10DF3"/>
    <w:rsid w:val="00F1101D"/>
    <w:rsid w:val="00F111AF"/>
    <w:rsid w:val="00F114DB"/>
    <w:rsid w:val="00F11772"/>
    <w:rsid w:val="00F118BD"/>
    <w:rsid w:val="00F11D61"/>
    <w:rsid w:val="00F11E3B"/>
    <w:rsid w:val="00F11EDA"/>
    <w:rsid w:val="00F11F0C"/>
    <w:rsid w:val="00F12019"/>
    <w:rsid w:val="00F12047"/>
    <w:rsid w:val="00F122E6"/>
    <w:rsid w:val="00F12480"/>
    <w:rsid w:val="00F12A43"/>
    <w:rsid w:val="00F12A4C"/>
    <w:rsid w:val="00F12B0F"/>
    <w:rsid w:val="00F12C92"/>
    <w:rsid w:val="00F13107"/>
    <w:rsid w:val="00F13193"/>
    <w:rsid w:val="00F1319D"/>
    <w:rsid w:val="00F132F1"/>
    <w:rsid w:val="00F13339"/>
    <w:rsid w:val="00F1333A"/>
    <w:rsid w:val="00F13767"/>
    <w:rsid w:val="00F13C05"/>
    <w:rsid w:val="00F13C73"/>
    <w:rsid w:val="00F140FC"/>
    <w:rsid w:val="00F1415A"/>
    <w:rsid w:val="00F14583"/>
    <w:rsid w:val="00F145F9"/>
    <w:rsid w:val="00F1476B"/>
    <w:rsid w:val="00F14862"/>
    <w:rsid w:val="00F1490E"/>
    <w:rsid w:val="00F14A3C"/>
    <w:rsid w:val="00F14C2D"/>
    <w:rsid w:val="00F14D07"/>
    <w:rsid w:val="00F1505F"/>
    <w:rsid w:val="00F150DA"/>
    <w:rsid w:val="00F1512C"/>
    <w:rsid w:val="00F15298"/>
    <w:rsid w:val="00F15653"/>
    <w:rsid w:val="00F15739"/>
    <w:rsid w:val="00F1581D"/>
    <w:rsid w:val="00F158E3"/>
    <w:rsid w:val="00F159DF"/>
    <w:rsid w:val="00F15C96"/>
    <w:rsid w:val="00F15CD8"/>
    <w:rsid w:val="00F162BD"/>
    <w:rsid w:val="00F163F2"/>
    <w:rsid w:val="00F1646C"/>
    <w:rsid w:val="00F16641"/>
    <w:rsid w:val="00F16951"/>
    <w:rsid w:val="00F169A6"/>
    <w:rsid w:val="00F16A24"/>
    <w:rsid w:val="00F16B6D"/>
    <w:rsid w:val="00F16C29"/>
    <w:rsid w:val="00F16D73"/>
    <w:rsid w:val="00F16EE9"/>
    <w:rsid w:val="00F17060"/>
    <w:rsid w:val="00F171C1"/>
    <w:rsid w:val="00F172F5"/>
    <w:rsid w:val="00F1737F"/>
    <w:rsid w:val="00F1749C"/>
    <w:rsid w:val="00F1762B"/>
    <w:rsid w:val="00F177B0"/>
    <w:rsid w:val="00F17B6D"/>
    <w:rsid w:val="00F17D7F"/>
    <w:rsid w:val="00F17D94"/>
    <w:rsid w:val="00F2010D"/>
    <w:rsid w:val="00F2015C"/>
    <w:rsid w:val="00F203E9"/>
    <w:rsid w:val="00F20532"/>
    <w:rsid w:val="00F205DB"/>
    <w:rsid w:val="00F20B4E"/>
    <w:rsid w:val="00F20B7C"/>
    <w:rsid w:val="00F20D79"/>
    <w:rsid w:val="00F20E80"/>
    <w:rsid w:val="00F20F72"/>
    <w:rsid w:val="00F20FC9"/>
    <w:rsid w:val="00F20FCA"/>
    <w:rsid w:val="00F210FF"/>
    <w:rsid w:val="00F2117F"/>
    <w:rsid w:val="00F211DF"/>
    <w:rsid w:val="00F21234"/>
    <w:rsid w:val="00F21615"/>
    <w:rsid w:val="00F216E4"/>
    <w:rsid w:val="00F219A4"/>
    <w:rsid w:val="00F219D3"/>
    <w:rsid w:val="00F21BD5"/>
    <w:rsid w:val="00F21DAC"/>
    <w:rsid w:val="00F21DBA"/>
    <w:rsid w:val="00F21EA8"/>
    <w:rsid w:val="00F220EA"/>
    <w:rsid w:val="00F222E2"/>
    <w:rsid w:val="00F22434"/>
    <w:rsid w:val="00F22751"/>
    <w:rsid w:val="00F22B49"/>
    <w:rsid w:val="00F22B6A"/>
    <w:rsid w:val="00F22F05"/>
    <w:rsid w:val="00F230DF"/>
    <w:rsid w:val="00F2317B"/>
    <w:rsid w:val="00F23672"/>
    <w:rsid w:val="00F23A38"/>
    <w:rsid w:val="00F23A9F"/>
    <w:rsid w:val="00F23BC4"/>
    <w:rsid w:val="00F23E12"/>
    <w:rsid w:val="00F2411E"/>
    <w:rsid w:val="00F2444B"/>
    <w:rsid w:val="00F2492F"/>
    <w:rsid w:val="00F24A8B"/>
    <w:rsid w:val="00F24F55"/>
    <w:rsid w:val="00F2524F"/>
    <w:rsid w:val="00F255BD"/>
    <w:rsid w:val="00F255D0"/>
    <w:rsid w:val="00F257C1"/>
    <w:rsid w:val="00F258BB"/>
    <w:rsid w:val="00F25A92"/>
    <w:rsid w:val="00F25BAE"/>
    <w:rsid w:val="00F25C2D"/>
    <w:rsid w:val="00F25F62"/>
    <w:rsid w:val="00F2632A"/>
    <w:rsid w:val="00F26477"/>
    <w:rsid w:val="00F26545"/>
    <w:rsid w:val="00F26641"/>
    <w:rsid w:val="00F26682"/>
    <w:rsid w:val="00F26699"/>
    <w:rsid w:val="00F266EB"/>
    <w:rsid w:val="00F26C6D"/>
    <w:rsid w:val="00F26DBA"/>
    <w:rsid w:val="00F26F9D"/>
    <w:rsid w:val="00F26FEB"/>
    <w:rsid w:val="00F27336"/>
    <w:rsid w:val="00F27828"/>
    <w:rsid w:val="00F2795C"/>
    <w:rsid w:val="00F27AA1"/>
    <w:rsid w:val="00F27F09"/>
    <w:rsid w:val="00F27F39"/>
    <w:rsid w:val="00F301B4"/>
    <w:rsid w:val="00F30211"/>
    <w:rsid w:val="00F30232"/>
    <w:rsid w:val="00F30385"/>
    <w:rsid w:val="00F3047E"/>
    <w:rsid w:val="00F30488"/>
    <w:rsid w:val="00F30593"/>
    <w:rsid w:val="00F3089E"/>
    <w:rsid w:val="00F3093B"/>
    <w:rsid w:val="00F30957"/>
    <w:rsid w:val="00F30A5C"/>
    <w:rsid w:val="00F30A79"/>
    <w:rsid w:val="00F30C01"/>
    <w:rsid w:val="00F30E15"/>
    <w:rsid w:val="00F30EBE"/>
    <w:rsid w:val="00F30F93"/>
    <w:rsid w:val="00F31636"/>
    <w:rsid w:val="00F317D8"/>
    <w:rsid w:val="00F31833"/>
    <w:rsid w:val="00F31A3F"/>
    <w:rsid w:val="00F31AC8"/>
    <w:rsid w:val="00F31B59"/>
    <w:rsid w:val="00F31BEB"/>
    <w:rsid w:val="00F31CF0"/>
    <w:rsid w:val="00F31D56"/>
    <w:rsid w:val="00F31E61"/>
    <w:rsid w:val="00F31F1A"/>
    <w:rsid w:val="00F32022"/>
    <w:rsid w:val="00F3207F"/>
    <w:rsid w:val="00F32301"/>
    <w:rsid w:val="00F32323"/>
    <w:rsid w:val="00F32607"/>
    <w:rsid w:val="00F32902"/>
    <w:rsid w:val="00F32CB0"/>
    <w:rsid w:val="00F32D40"/>
    <w:rsid w:val="00F32F10"/>
    <w:rsid w:val="00F332B5"/>
    <w:rsid w:val="00F333A6"/>
    <w:rsid w:val="00F333BA"/>
    <w:rsid w:val="00F3347F"/>
    <w:rsid w:val="00F33518"/>
    <w:rsid w:val="00F3351A"/>
    <w:rsid w:val="00F33595"/>
    <w:rsid w:val="00F33604"/>
    <w:rsid w:val="00F336A5"/>
    <w:rsid w:val="00F33A54"/>
    <w:rsid w:val="00F33BF0"/>
    <w:rsid w:val="00F33F07"/>
    <w:rsid w:val="00F341FD"/>
    <w:rsid w:val="00F344A4"/>
    <w:rsid w:val="00F348BA"/>
    <w:rsid w:val="00F34A93"/>
    <w:rsid w:val="00F34C74"/>
    <w:rsid w:val="00F34C90"/>
    <w:rsid w:val="00F35060"/>
    <w:rsid w:val="00F352F2"/>
    <w:rsid w:val="00F3551B"/>
    <w:rsid w:val="00F3557F"/>
    <w:rsid w:val="00F357A8"/>
    <w:rsid w:val="00F35A58"/>
    <w:rsid w:val="00F35ACD"/>
    <w:rsid w:val="00F35CC2"/>
    <w:rsid w:val="00F35DE9"/>
    <w:rsid w:val="00F36236"/>
    <w:rsid w:val="00F3637D"/>
    <w:rsid w:val="00F3645C"/>
    <w:rsid w:val="00F36600"/>
    <w:rsid w:val="00F36670"/>
    <w:rsid w:val="00F366BC"/>
    <w:rsid w:val="00F36A9D"/>
    <w:rsid w:val="00F36DB6"/>
    <w:rsid w:val="00F36F3E"/>
    <w:rsid w:val="00F370BC"/>
    <w:rsid w:val="00F373B6"/>
    <w:rsid w:val="00F375BC"/>
    <w:rsid w:val="00F375C7"/>
    <w:rsid w:val="00F37719"/>
    <w:rsid w:val="00F3771C"/>
    <w:rsid w:val="00F378BB"/>
    <w:rsid w:val="00F37C32"/>
    <w:rsid w:val="00F37C39"/>
    <w:rsid w:val="00F37FA7"/>
    <w:rsid w:val="00F4003C"/>
    <w:rsid w:val="00F40264"/>
    <w:rsid w:val="00F40302"/>
    <w:rsid w:val="00F403A3"/>
    <w:rsid w:val="00F40471"/>
    <w:rsid w:val="00F404A7"/>
    <w:rsid w:val="00F407FF"/>
    <w:rsid w:val="00F40815"/>
    <w:rsid w:val="00F409EF"/>
    <w:rsid w:val="00F40B94"/>
    <w:rsid w:val="00F40BE3"/>
    <w:rsid w:val="00F40C34"/>
    <w:rsid w:val="00F40E53"/>
    <w:rsid w:val="00F40E6F"/>
    <w:rsid w:val="00F40EFF"/>
    <w:rsid w:val="00F40F47"/>
    <w:rsid w:val="00F410AC"/>
    <w:rsid w:val="00F4163F"/>
    <w:rsid w:val="00F4191F"/>
    <w:rsid w:val="00F41E2A"/>
    <w:rsid w:val="00F41FE8"/>
    <w:rsid w:val="00F41FEF"/>
    <w:rsid w:val="00F4228A"/>
    <w:rsid w:val="00F42317"/>
    <w:rsid w:val="00F423B0"/>
    <w:rsid w:val="00F4265C"/>
    <w:rsid w:val="00F4281B"/>
    <w:rsid w:val="00F4283A"/>
    <w:rsid w:val="00F42864"/>
    <w:rsid w:val="00F4287D"/>
    <w:rsid w:val="00F42B24"/>
    <w:rsid w:val="00F42D2B"/>
    <w:rsid w:val="00F42E0E"/>
    <w:rsid w:val="00F42EAC"/>
    <w:rsid w:val="00F42F54"/>
    <w:rsid w:val="00F430AC"/>
    <w:rsid w:val="00F430B1"/>
    <w:rsid w:val="00F4319B"/>
    <w:rsid w:val="00F43211"/>
    <w:rsid w:val="00F43398"/>
    <w:rsid w:val="00F4370D"/>
    <w:rsid w:val="00F4381C"/>
    <w:rsid w:val="00F43979"/>
    <w:rsid w:val="00F43B11"/>
    <w:rsid w:val="00F43C68"/>
    <w:rsid w:val="00F43CE5"/>
    <w:rsid w:val="00F441E9"/>
    <w:rsid w:val="00F44430"/>
    <w:rsid w:val="00F4447A"/>
    <w:rsid w:val="00F44B45"/>
    <w:rsid w:val="00F44B60"/>
    <w:rsid w:val="00F44D92"/>
    <w:rsid w:val="00F44E05"/>
    <w:rsid w:val="00F4502B"/>
    <w:rsid w:val="00F45118"/>
    <w:rsid w:val="00F452FE"/>
    <w:rsid w:val="00F458AF"/>
    <w:rsid w:val="00F45B59"/>
    <w:rsid w:val="00F45CA7"/>
    <w:rsid w:val="00F45D6B"/>
    <w:rsid w:val="00F46029"/>
    <w:rsid w:val="00F46470"/>
    <w:rsid w:val="00F465A6"/>
    <w:rsid w:val="00F4685A"/>
    <w:rsid w:val="00F46F83"/>
    <w:rsid w:val="00F4717E"/>
    <w:rsid w:val="00F471F7"/>
    <w:rsid w:val="00F47220"/>
    <w:rsid w:val="00F473FD"/>
    <w:rsid w:val="00F4764B"/>
    <w:rsid w:val="00F477B9"/>
    <w:rsid w:val="00F478B1"/>
    <w:rsid w:val="00F478B9"/>
    <w:rsid w:val="00F4798C"/>
    <w:rsid w:val="00F47A98"/>
    <w:rsid w:val="00F47AA7"/>
    <w:rsid w:val="00F47C8D"/>
    <w:rsid w:val="00F47D95"/>
    <w:rsid w:val="00F47E36"/>
    <w:rsid w:val="00F4EA3E"/>
    <w:rsid w:val="00F5012D"/>
    <w:rsid w:val="00F5053B"/>
    <w:rsid w:val="00F50550"/>
    <w:rsid w:val="00F505B0"/>
    <w:rsid w:val="00F50631"/>
    <w:rsid w:val="00F50652"/>
    <w:rsid w:val="00F5070E"/>
    <w:rsid w:val="00F508C9"/>
    <w:rsid w:val="00F50934"/>
    <w:rsid w:val="00F50B03"/>
    <w:rsid w:val="00F50C58"/>
    <w:rsid w:val="00F50CF4"/>
    <w:rsid w:val="00F50EB1"/>
    <w:rsid w:val="00F51041"/>
    <w:rsid w:val="00F519DE"/>
    <w:rsid w:val="00F51AC3"/>
    <w:rsid w:val="00F51B4B"/>
    <w:rsid w:val="00F51D91"/>
    <w:rsid w:val="00F52359"/>
    <w:rsid w:val="00F5273A"/>
    <w:rsid w:val="00F52D01"/>
    <w:rsid w:val="00F52D04"/>
    <w:rsid w:val="00F52D2B"/>
    <w:rsid w:val="00F52D85"/>
    <w:rsid w:val="00F52E11"/>
    <w:rsid w:val="00F52F07"/>
    <w:rsid w:val="00F530DC"/>
    <w:rsid w:val="00F53364"/>
    <w:rsid w:val="00F53581"/>
    <w:rsid w:val="00F53597"/>
    <w:rsid w:val="00F5360A"/>
    <w:rsid w:val="00F537D7"/>
    <w:rsid w:val="00F53B48"/>
    <w:rsid w:val="00F53B4F"/>
    <w:rsid w:val="00F53BB6"/>
    <w:rsid w:val="00F53CA5"/>
    <w:rsid w:val="00F53DC4"/>
    <w:rsid w:val="00F53F30"/>
    <w:rsid w:val="00F5410C"/>
    <w:rsid w:val="00F5416F"/>
    <w:rsid w:val="00F5432C"/>
    <w:rsid w:val="00F549DC"/>
    <w:rsid w:val="00F54D03"/>
    <w:rsid w:val="00F55197"/>
    <w:rsid w:val="00F551EA"/>
    <w:rsid w:val="00F55343"/>
    <w:rsid w:val="00F55447"/>
    <w:rsid w:val="00F5546D"/>
    <w:rsid w:val="00F55484"/>
    <w:rsid w:val="00F55618"/>
    <w:rsid w:val="00F5564F"/>
    <w:rsid w:val="00F55AE9"/>
    <w:rsid w:val="00F55BFF"/>
    <w:rsid w:val="00F55D86"/>
    <w:rsid w:val="00F55DC7"/>
    <w:rsid w:val="00F55FD4"/>
    <w:rsid w:val="00F56006"/>
    <w:rsid w:val="00F5620E"/>
    <w:rsid w:val="00F56739"/>
    <w:rsid w:val="00F56A10"/>
    <w:rsid w:val="00F57115"/>
    <w:rsid w:val="00F57155"/>
    <w:rsid w:val="00F57269"/>
    <w:rsid w:val="00F572DB"/>
    <w:rsid w:val="00F573BF"/>
    <w:rsid w:val="00F5773A"/>
    <w:rsid w:val="00F57782"/>
    <w:rsid w:val="00F57883"/>
    <w:rsid w:val="00F57BE4"/>
    <w:rsid w:val="00F57E59"/>
    <w:rsid w:val="00F602FF"/>
    <w:rsid w:val="00F603CF"/>
    <w:rsid w:val="00F60471"/>
    <w:rsid w:val="00F60687"/>
    <w:rsid w:val="00F60D6F"/>
    <w:rsid w:val="00F60E17"/>
    <w:rsid w:val="00F60E19"/>
    <w:rsid w:val="00F60FE3"/>
    <w:rsid w:val="00F61034"/>
    <w:rsid w:val="00F6104F"/>
    <w:rsid w:val="00F6135E"/>
    <w:rsid w:val="00F6163E"/>
    <w:rsid w:val="00F61653"/>
    <w:rsid w:val="00F616E0"/>
    <w:rsid w:val="00F61811"/>
    <w:rsid w:val="00F61816"/>
    <w:rsid w:val="00F61DA8"/>
    <w:rsid w:val="00F61DEA"/>
    <w:rsid w:val="00F61FC8"/>
    <w:rsid w:val="00F62024"/>
    <w:rsid w:val="00F62126"/>
    <w:rsid w:val="00F621AC"/>
    <w:rsid w:val="00F62355"/>
    <w:rsid w:val="00F62632"/>
    <w:rsid w:val="00F6281B"/>
    <w:rsid w:val="00F628D3"/>
    <w:rsid w:val="00F63053"/>
    <w:rsid w:val="00F6314C"/>
    <w:rsid w:val="00F63358"/>
    <w:rsid w:val="00F6389D"/>
    <w:rsid w:val="00F638E7"/>
    <w:rsid w:val="00F63A1A"/>
    <w:rsid w:val="00F63A57"/>
    <w:rsid w:val="00F63A84"/>
    <w:rsid w:val="00F63B03"/>
    <w:rsid w:val="00F63D2E"/>
    <w:rsid w:val="00F63D6B"/>
    <w:rsid w:val="00F63E27"/>
    <w:rsid w:val="00F63ED4"/>
    <w:rsid w:val="00F641E4"/>
    <w:rsid w:val="00F642B6"/>
    <w:rsid w:val="00F643BE"/>
    <w:rsid w:val="00F64528"/>
    <w:rsid w:val="00F6452C"/>
    <w:rsid w:val="00F646B4"/>
    <w:rsid w:val="00F6483E"/>
    <w:rsid w:val="00F6498F"/>
    <w:rsid w:val="00F64B57"/>
    <w:rsid w:val="00F64CDE"/>
    <w:rsid w:val="00F64F05"/>
    <w:rsid w:val="00F650F5"/>
    <w:rsid w:val="00F6514D"/>
    <w:rsid w:val="00F6517F"/>
    <w:rsid w:val="00F654BE"/>
    <w:rsid w:val="00F65A8E"/>
    <w:rsid w:val="00F65F0A"/>
    <w:rsid w:val="00F65F7B"/>
    <w:rsid w:val="00F65FA9"/>
    <w:rsid w:val="00F65FBD"/>
    <w:rsid w:val="00F660F0"/>
    <w:rsid w:val="00F662FB"/>
    <w:rsid w:val="00F66955"/>
    <w:rsid w:val="00F66985"/>
    <w:rsid w:val="00F66A3D"/>
    <w:rsid w:val="00F66DA5"/>
    <w:rsid w:val="00F66F0B"/>
    <w:rsid w:val="00F66F92"/>
    <w:rsid w:val="00F6741B"/>
    <w:rsid w:val="00F674DA"/>
    <w:rsid w:val="00F6768D"/>
    <w:rsid w:val="00F677C7"/>
    <w:rsid w:val="00F677CF"/>
    <w:rsid w:val="00F679C6"/>
    <w:rsid w:val="00F67B14"/>
    <w:rsid w:val="00F67B73"/>
    <w:rsid w:val="00F67BFF"/>
    <w:rsid w:val="00F67E14"/>
    <w:rsid w:val="00F67EC9"/>
    <w:rsid w:val="00F70202"/>
    <w:rsid w:val="00F702A3"/>
    <w:rsid w:val="00F70510"/>
    <w:rsid w:val="00F709C1"/>
    <w:rsid w:val="00F70A4A"/>
    <w:rsid w:val="00F70C84"/>
    <w:rsid w:val="00F70D17"/>
    <w:rsid w:val="00F71172"/>
    <w:rsid w:val="00F71309"/>
    <w:rsid w:val="00F7140D"/>
    <w:rsid w:val="00F7141F"/>
    <w:rsid w:val="00F71669"/>
    <w:rsid w:val="00F71854"/>
    <w:rsid w:val="00F719C9"/>
    <w:rsid w:val="00F71B1F"/>
    <w:rsid w:val="00F71D05"/>
    <w:rsid w:val="00F71E65"/>
    <w:rsid w:val="00F720B2"/>
    <w:rsid w:val="00F72176"/>
    <w:rsid w:val="00F72391"/>
    <w:rsid w:val="00F72671"/>
    <w:rsid w:val="00F726D6"/>
    <w:rsid w:val="00F7273C"/>
    <w:rsid w:val="00F72750"/>
    <w:rsid w:val="00F72C2A"/>
    <w:rsid w:val="00F72ED7"/>
    <w:rsid w:val="00F73133"/>
    <w:rsid w:val="00F7322C"/>
    <w:rsid w:val="00F73422"/>
    <w:rsid w:val="00F735C5"/>
    <w:rsid w:val="00F73C53"/>
    <w:rsid w:val="00F73D3F"/>
    <w:rsid w:val="00F73D91"/>
    <w:rsid w:val="00F740DD"/>
    <w:rsid w:val="00F740FD"/>
    <w:rsid w:val="00F74291"/>
    <w:rsid w:val="00F7439B"/>
    <w:rsid w:val="00F743BD"/>
    <w:rsid w:val="00F744FB"/>
    <w:rsid w:val="00F74707"/>
    <w:rsid w:val="00F74785"/>
    <w:rsid w:val="00F74CC9"/>
    <w:rsid w:val="00F74D33"/>
    <w:rsid w:val="00F74E16"/>
    <w:rsid w:val="00F74FB1"/>
    <w:rsid w:val="00F7506A"/>
    <w:rsid w:val="00F75094"/>
    <w:rsid w:val="00F750CA"/>
    <w:rsid w:val="00F75135"/>
    <w:rsid w:val="00F751BA"/>
    <w:rsid w:val="00F75228"/>
    <w:rsid w:val="00F75383"/>
    <w:rsid w:val="00F7544D"/>
    <w:rsid w:val="00F7555E"/>
    <w:rsid w:val="00F75661"/>
    <w:rsid w:val="00F758AE"/>
    <w:rsid w:val="00F75AD1"/>
    <w:rsid w:val="00F75B23"/>
    <w:rsid w:val="00F75B39"/>
    <w:rsid w:val="00F75F45"/>
    <w:rsid w:val="00F76492"/>
    <w:rsid w:val="00F766C2"/>
    <w:rsid w:val="00F766EF"/>
    <w:rsid w:val="00F767EA"/>
    <w:rsid w:val="00F76B5E"/>
    <w:rsid w:val="00F76BC9"/>
    <w:rsid w:val="00F76D44"/>
    <w:rsid w:val="00F77038"/>
    <w:rsid w:val="00F77137"/>
    <w:rsid w:val="00F7719C"/>
    <w:rsid w:val="00F77866"/>
    <w:rsid w:val="00F77A03"/>
    <w:rsid w:val="00F77CBF"/>
    <w:rsid w:val="00F80179"/>
    <w:rsid w:val="00F8047A"/>
    <w:rsid w:val="00F80566"/>
    <w:rsid w:val="00F80582"/>
    <w:rsid w:val="00F8066D"/>
    <w:rsid w:val="00F80721"/>
    <w:rsid w:val="00F8075D"/>
    <w:rsid w:val="00F809AB"/>
    <w:rsid w:val="00F80AAD"/>
    <w:rsid w:val="00F80AD3"/>
    <w:rsid w:val="00F80F3B"/>
    <w:rsid w:val="00F80F84"/>
    <w:rsid w:val="00F8109F"/>
    <w:rsid w:val="00F81215"/>
    <w:rsid w:val="00F81322"/>
    <w:rsid w:val="00F8149A"/>
    <w:rsid w:val="00F817E9"/>
    <w:rsid w:val="00F81E5D"/>
    <w:rsid w:val="00F82854"/>
    <w:rsid w:val="00F829C3"/>
    <w:rsid w:val="00F829E0"/>
    <w:rsid w:val="00F82E7C"/>
    <w:rsid w:val="00F82F74"/>
    <w:rsid w:val="00F8305E"/>
    <w:rsid w:val="00F83107"/>
    <w:rsid w:val="00F83134"/>
    <w:rsid w:val="00F832A9"/>
    <w:rsid w:val="00F836CA"/>
    <w:rsid w:val="00F83842"/>
    <w:rsid w:val="00F83CBF"/>
    <w:rsid w:val="00F83DE8"/>
    <w:rsid w:val="00F84061"/>
    <w:rsid w:val="00F840BF"/>
    <w:rsid w:val="00F841AA"/>
    <w:rsid w:val="00F841B9"/>
    <w:rsid w:val="00F84342"/>
    <w:rsid w:val="00F845D1"/>
    <w:rsid w:val="00F8464B"/>
    <w:rsid w:val="00F8469A"/>
    <w:rsid w:val="00F847D8"/>
    <w:rsid w:val="00F84870"/>
    <w:rsid w:val="00F84960"/>
    <w:rsid w:val="00F84A8B"/>
    <w:rsid w:val="00F84B81"/>
    <w:rsid w:val="00F84C5F"/>
    <w:rsid w:val="00F84DEB"/>
    <w:rsid w:val="00F84E84"/>
    <w:rsid w:val="00F84E87"/>
    <w:rsid w:val="00F84F0E"/>
    <w:rsid w:val="00F850CF"/>
    <w:rsid w:val="00F8530A"/>
    <w:rsid w:val="00F85355"/>
    <w:rsid w:val="00F853EA"/>
    <w:rsid w:val="00F85407"/>
    <w:rsid w:val="00F8542B"/>
    <w:rsid w:val="00F8568B"/>
    <w:rsid w:val="00F856DD"/>
    <w:rsid w:val="00F856EC"/>
    <w:rsid w:val="00F857F2"/>
    <w:rsid w:val="00F859F6"/>
    <w:rsid w:val="00F85B55"/>
    <w:rsid w:val="00F85BF8"/>
    <w:rsid w:val="00F85F80"/>
    <w:rsid w:val="00F8603A"/>
    <w:rsid w:val="00F86054"/>
    <w:rsid w:val="00F86086"/>
    <w:rsid w:val="00F86089"/>
    <w:rsid w:val="00F86149"/>
    <w:rsid w:val="00F86317"/>
    <w:rsid w:val="00F868FE"/>
    <w:rsid w:val="00F8697B"/>
    <w:rsid w:val="00F86A5E"/>
    <w:rsid w:val="00F86B1A"/>
    <w:rsid w:val="00F86CDF"/>
    <w:rsid w:val="00F86E26"/>
    <w:rsid w:val="00F87051"/>
    <w:rsid w:val="00F8753C"/>
    <w:rsid w:val="00F87629"/>
    <w:rsid w:val="00F87846"/>
    <w:rsid w:val="00F87893"/>
    <w:rsid w:val="00F87A91"/>
    <w:rsid w:val="00F87B65"/>
    <w:rsid w:val="00F87C40"/>
    <w:rsid w:val="00F87C69"/>
    <w:rsid w:val="00F87F9A"/>
    <w:rsid w:val="00F9007E"/>
    <w:rsid w:val="00F90169"/>
    <w:rsid w:val="00F90467"/>
    <w:rsid w:val="00F90474"/>
    <w:rsid w:val="00F9073C"/>
    <w:rsid w:val="00F9085E"/>
    <w:rsid w:val="00F909A2"/>
    <w:rsid w:val="00F90A8F"/>
    <w:rsid w:val="00F90AB4"/>
    <w:rsid w:val="00F90B68"/>
    <w:rsid w:val="00F90B9F"/>
    <w:rsid w:val="00F90C2D"/>
    <w:rsid w:val="00F90CE7"/>
    <w:rsid w:val="00F90FD7"/>
    <w:rsid w:val="00F9118A"/>
    <w:rsid w:val="00F912A8"/>
    <w:rsid w:val="00F9159A"/>
    <w:rsid w:val="00F91622"/>
    <w:rsid w:val="00F918DC"/>
    <w:rsid w:val="00F91AC7"/>
    <w:rsid w:val="00F91B24"/>
    <w:rsid w:val="00F91B72"/>
    <w:rsid w:val="00F91BAA"/>
    <w:rsid w:val="00F91D1D"/>
    <w:rsid w:val="00F91D1F"/>
    <w:rsid w:val="00F91DD5"/>
    <w:rsid w:val="00F920E8"/>
    <w:rsid w:val="00F92157"/>
    <w:rsid w:val="00F9265C"/>
    <w:rsid w:val="00F92660"/>
    <w:rsid w:val="00F926B6"/>
    <w:rsid w:val="00F92730"/>
    <w:rsid w:val="00F92C02"/>
    <w:rsid w:val="00F92D10"/>
    <w:rsid w:val="00F92D1E"/>
    <w:rsid w:val="00F92FCB"/>
    <w:rsid w:val="00F9305D"/>
    <w:rsid w:val="00F930BB"/>
    <w:rsid w:val="00F9314A"/>
    <w:rsid w:val="00F93194"/>
    <w:rsid w:val="00F93242"/>
    <w:rsid w:val="00F933CA"/>
    <w:rsid w:val="00F934D2"/>
    <w:rsid w:val="00F934F8"/>
    <w:rsid w:val="00F9357E"/>
    <w:rsid w:val="00F93A5D"/>
    <w:rsid w:val="00F93CB7"/>
    <w:rsid w:val="00F93CEE"/>
    <w:rsid w:val="00F94210"/>
    <w:rsid w:val="00F94663"/>
    <w:rsid w:val="00F9477B"/>
    <w:rsid w:val="00F9497A"/>
    <w:rsid w:val="00F94AE6"/>
    <w:rsid w:val="00F94B23"/>
    <w:rsid w:val="00F94C5E"/>
    <w:rsid w:val="00F94DB9"/>
    <w:rsid w:val="00F95004"/>
    <w:rsid w:val="00F95088"/>
    <w:rsid w:val="00F950CB"/>
    <w:rsid w:val="00F95344"/>
    <w:rsid w:val="00F9566F"/>
    <w:rsid w:val="00F956F8"/>
    <w:rsid w:val="00F9592D"/>
    <w:rsid w:val="00F95A41"/>
    <w:rsid w:val="00F95E6D"/>
    <w:rsid w:val="00F96267"/>
    <w:rsid w:val="00F96430"/>
    <w:rsid w:val="00F96512"/>
    <w:rsid w:val="00F966A3"/>
    <w:rsid w:val="00F966BC"/>
    <w:rsid w:val="00F968D2"/>
    <w:rsid w:val="00F9693B"/>
    <w:rsid w:val="00F96B0D"/>
    <w:rsid w:val="00F96B52"/>
    <w:rsid w:val="00F96C60"/>
    <w:rsid w:val="00F96D24"/>
    <w:rsid w:val="00F96EA7"/>
    <w:rsid w:val="00F96F8B"/>
    <w:rsid w:val="00F96FBA"/>
    <w:rsid w:val="00F9704D"/>
    <w:rsid w:val="00F974DF"/>
    <w:rsid w:val="00F9751F"/>
    <w:rsid w:val="00F975FC"/>
    <w:rsid w:val="00F97881"/>
    <w:rsid w:val="00F97922"/>
    <w:rsid w:val="00F979B7"/>
    <w:rsid w:val="00F97ACF"/>
    <w:rsid w:val="00F97D12"/>
    <w:rsid w:val="00F97E5C"/>
    <w:rsid w:val="00F97E88"/>
    <w:rsid w:val="00F97F55"/>
    <w:rsid w:val="00FA0174"/>
    <w:rsid w:val="00FA09D6"/>
    <w:rsid w:val="00FA0AE5"/>
    <w:rsid w:val="00FA0AE8"/>
    <w:rsid w:val="00FA0D11"/>
    <w:rsid w:val="00FA0E3C"/>
    <w:rsid w:val="00FA0E70"/>
    <w:rsid w:val="00FA0E81"/>
    <w:rsid w:val="00FA0F37"/>
    <w:rsid w:val="00FA0FD2"/>
    <w:rsid w:val="00FA101B"/>
    <w:rsid w:val="00FA129F"/>
    <w:rsid w:val="00FA1407"/>
    <w:rsid w:val="00FA142A"/>
    <w:rsid w:val="00FA16D4"/>
    <w:rsid w:val="00FA19C1"/>
    <w:rsid w:val="00FA19E2"/>
    <w:rsid w:val="00FA1A68"/>
    <w:rsid w:val="00FA1B6A"/>
    <w:rsid w:val="00FA1B8F"/>
    <w:rsid w:val="00FA1E9C"/>
    <w:rsid w:val="00FA20C1"/>
    <w:rsid w:val="00FA2185"/>
    <w:rsid w:val="00FA218E"/>
    <w:rsid w:val="00FA21A5"/>
    <w:rsid w:val="00FA21D1"/>
    <w:rsid w:val="00FA29E0"/>
    <w:rsid w:val="00FA2B99"/>
    <w:rsid w:val="00FA2E51"/>
    <w:rsid w:val="00FA2FBD"/>
    <w:rsid w:val="00FA31B3"/>
    <w:rsid w:val="00FA3559"/>
    <w:rsid w:val="00FA384E"/>
    <w:rsid w:val="00FA3A44"/>
    <w:rsid w:val="00FA3B1C"/>
    <w:rsid w:val="00FA3BA7"/>
    <w:rsid w:val="00FA3DAA"/>
    <w:rsid w:val="00FA3DB0"/>
    <w:rsid w:val="00FA3DDB"/>
    <w:rsid w:val="00FA3F06"/>
    <w:rsid w:val="00FA408A"/>
    <w:rsid w:val="00FA40E5"/>
    <w:rsid w:val="00FA4103"/>
    <w:rsid w:val="00FA41D6"/>
    <w:rsid w:val="00FA41EE"/>
    <w:rsid w:val="00FA425F"/>
    <w:rsid w:val="00FA435E"/>
    <w:rsid w:val="00FA450A"/>
    <w:rsid w:val="00FA45DB"/>
    <w:rsid w:val="00FA4731"/>
    <w:rsid w:val="00FA4AAE"/>
    <w:rsid w:val="00FA4D5B"/>
    <w:rsid w:val="00FA5095"/>
    <w:rsid w:val="00FA50A0"/>
    <w:rsid w:val="00FA50F8"/>
    <w:rsid w:val="00FA523B"/>
    <w:rsid w:val="00FA5301"/>
    <w:rsid w:val="00FA532D"/>
    <w:rsid w:val="00FA53F8"/>
    <w:rsid w:val="00FA563C"/>
    <w:rsid w:val="00FA5694"/>
    <w:rsid w:val="00FA56BF"/>
    <w:rsid w:val="00FA5D43"/>
    <w:rsid w:val="00FA5DDB"/>
    <w:rsid w:val="00FA5E09"/>
    <w:rsid w:val="00FA5E23"/>
    <w:rsid w:val="00FA5E3D"/>
    <w:rsid w:val="00FA5EB0"/>
    <w:rsid w:val="00FA6395"/>
    <w:rsid w:val="00FA63A8"/>
    <w:rsid w:val="00FA6537"/>
    <w:rsid w:val="00FA67DB"/>
    <w:rsid w:val="00FA6860"/>
    <w:rsid w:val="00FA6881"/>
    <w:rsid w:val="00FA68B1"/>
    <w:rsid w:val="00FA6A43"/>
    <w:rsid w:val="00FA6AA2"/>
    <w:rsid w:val="00FA6BFD"/>
    <w:rsid w:val="00FA6D33"/>
    <w:rsid w:val="00FA6E96"/>
    <w:rsid w:val="00FA7028"/>
    <w:rsid w:val="00FA707F"/>
    <w:rsid w:val="00FA71F4"/>
    <w:rsid w:val="00FA7424"/>
    <w:rsid w:val="00FA7559"/>
    <w:rsid w:val="00FA7A41"/>
    <w:rsid w:val="00FA7C81"/>
    <w:rsid w:val="00FA7EE4"/>
    <w:rsid w:val="00FB0056"/>
    <w:rsid w:val="00FB01F6"/>
    <w:rsid w:val="00FB02AB"/>
    <w:rsid w:val="00FB02C8"/>
    <w:rsid w:val="00FB03AE"/>
    <w:rsid w:val="00FB06AB"/>
    <w:rsid w:val="00FB0820"/>
    <w:rsid w:val="00FB0A3B"/>
    <w:rsid w:val="00FB0C74"/>
    <w:rsid w:val="00FB0DB0"/>
    <w:rsid w:val="00FB0E31"/>
    <w:rsid w:val="00FB0E5B"/>
    <w:rsid w:val="00FB12E3"/>
    <w:rsid w:val="00FB1412"/>
    <w:rsid w:val="00FB17C4"/>
    <w:rsid w:val="00FB1814"/>
    <w:rsid w:val="00FB1A76"/>
    <w:rsid w:val="00FB1AD6"/>
    <w:rsid w:val="00FB1B02"/>
    <w:rsid w:val="00FB1B0A"/>
    <w:rsid w:val="00FB1F56"/>
    <w:rsid w:val="00FB217E"/>
    <w:rsid w:val="00FB2485"/>
    <w:rsid w:val="00FB258A"/>
    <w:rsid w:val="00FB2600"/>
    <w:rsid w:val="00FB2720"/>
    <w:rsid w:val="00FB2748"/>
    <w:rsid w:val="00FB2861"/>
    <w:rsid w:val="00FB2987"/>
    <w:rsid w:val="00FB29BF"/>
    <w:rsid w:val="00FB2AD4"/>
    <w:rsid w:val="00FB2E9A"/>
    <w:rsid w:val="00FB2F0A"/>
    <w:rsid w:val="00FB311F"/>
    <w:rsid w:val="00FB3130"/>
    <w:rsid w:val="00FB3161"/>
    <w:rsid w:val="00FB33CA"/>
    <w:rsid w:val="00FB3A75"/>
    <w:rsid w:val="00FB3BA6"/>
    <w:rsid w:val="00FB3CD9"/>
    <w:rsid w:val="00FB3F74"/>
    <w:rsid w:val="00FB3FC4"/>
    <w:rsid w:val="00FB4007"/>
    <w:rsid w:val="00FB4071"/>
    <w:rsid w:val="00FB4131"/>
    <w:rsid w:val="00FB4507"/>
    <w:rsid w:val="00FB459D"/>
    <w:rsid w:val="00FB48C2"/>
    <w:rsid w:val="00FB4A2B"/>
    <w:rsid w:val="00FB4A6B"/>
    <w:rsid w:val="00FB4A7E"/>
    <w:rsid w:val="00FB4F67"/>
    <w:rsid w:val="00FB5016"/>
    <w:rsid w:val="00FB520C"/>
    <w:rsid w:val="00FB5299"/>
    <w:rsid w:val="00FB5436"/>
    <w:rsid w:val="00FB55EE"/>
    <w:rsid w:val="00FB57F7"/>
    <w:rsid w:val="00FB58E0"/>
    <w:rsid w:val="00FB5E01"/>
    <w:rsid w:val="00FB5E06"/>
    <w:rsid w:val="00FB603F"/>
    <w:rsid w:val="00FB60A9"/>
    <w:rsid w:val="00FB63E2"/>
    <w:rsid w:val="00FB656F"/>
    <w:rsid w:val="00FB65EB"/>
    <w:rsid w:val="00FB66FD"/>
    <w:rsid w:val="00FB6889"/>
    <w:rsid w:val="00FB6C62"/>
    <w:rsid w:val="00FB710E"/>
    <w:rsid w:val="00FB71FE"/>
    <w:rsid w:val="00FB7442"/>
    <w:rsid w:val="00FB749D"/>
    <w:rsid w:val="00FB74CC"/>
    <w:rsid w:val="00FB76C5"/>
    <w:rsid w:val="00FB7831"/>
    <w:rsid w:val="00FB7BF5"/>
    <w:rsid w:val="00FB7C92"/>
    <w:rsid w:val="00FB7D67"/>
    <w:rsid w:val="00FB7DBD"/>
    <w:rsid w:val="00FC026C"/>
    <w:rsid w:val="00FC05C8"/>
    <w:rsid w:val="00FC070B"/>
    <w:rsid w:val="00FC0797"/>
    <w:rsid w:val="00FC08F5"/>
    <w:rsid w:val="00FC0912"/>
    <w:rsid w:val="00FC0AF6"/>
    <w:rsid w:val="00FC0CCE"/>
    <w:rsid w:val="00FC0EC1"/>
    <w:rsid w:val="00FC0FA1"/>
    <w:rsid w:val="00FC0FC5"/>
    <w:rsid w:val="00FC132D"/>
    <w:rsid w:val="00FC1385"/>
    <w:rsid w:val="00FC154C"/>
    <w:rsid w:val="00FC1BD2"/>
    <w:rsid w:val="00FC1C16"/>
    <w:rsid w:val="00FC1C41"/>
    <w:rsid w:val="00FC1C8A"/>
    <w:rsid w:val="00FC1C98"/>
    <w:rsid w:val="00FC1E2F"/>
    <w:rsid w:val="00FC2012"/>
    <w:rsid w:val="00FC20D0"/>
    <w:rsid w:val="00FC2167"/>
    <w:rsid w:val="00FC2180"/>
    <w:rsid w:val="00FC263D"/>
    <w:rsid w:val="00FC2F0E"/>
    <w:rsid w:val="00FC329F"/>
    <w:rsid w:val="00FC32DC"/>
    <w:rsid w:val="00FC3355"/>
    <w:rsid w:val="00FC340E"/>
    <w:rsid w:val="00FC3584"/>
    <w:rsid w:val="00FC3845"/>
    <w:rsid w:val="00FC389C"/>
    <w:rsid w:val="00FC3919"/>
    <w:rsid w:val="00FC3A36"/>
    <w:rsid w:val="00FC3CC1"/>
    <w:rsid w:val="00FC3CCE"/>
    <w:rsid w:val="00FC3E4A"/>
    <w:rsid w:val="00FC4205"/>
    <w:rsid w:val="00FC4409"/>
    <w:rsid w:val="00FC44D0"/>
    <w:rsid w:val="00FC460D"/>
    <w:rsid w:val="00FC4797"/>
    <w:rsid w:val="00FC4B1E"/>
    <w:rsid w:val="00FC4E27"/>
    <w:rsid w:val="00FC4E70"/>
    <w:rsid w:val="00FC4F0B"/>
    <w:rsid w:val="00FC5286"/>
    <w:rsid w:val="00FC534A"/>
    <w:rsid w:val="00FC583F"/>
    <w:rsid w:val="00FC597B"/>
    <w:rsid w:val="00FC5CEE"/>
    <w:rsid w:val="00FC5FA3"/>
    <w:rsid w:val="00FC607B"/>
    <w:rsid w:val="00FC60FD"/>
    <w:rsid w:val="00FC613F"/>
    <w:rsid w:val="00FC616A"/>
    <w:rsid w:val="00FC623A"/>
    <w:rsid w:val="00FC63A9"/>
    <w:rsid w:val="00FC64B9"/>
    <w:rsid w:val="00FC64ED"/>
    <w:rsid w:val="00FC6587"/>
    <w:rsid w:val="00FC658B"/>
    <w:rsid w:val="00FC666A"/>
    <w:rsid w:val="00FC66FF"/>
    <w:rsid w:val="00FC6C3C"/>
    <w:rsid w:val="00FC6F68"/>
    <w:rsid w:val="00FC74E2"/>
    <w:rsid w:val="00FC757E"/>
    <w:rsid w:val="00FC768D"/>
    <w:rsid w:val="00FC77C2"/>
    <w:rsid w:val="00FC788C"/>
    <w:rsid w:val="00FC79B3"/>
    <w:rsid w:val="00FC7A47"/>
    <w:rsid w:val="00FC7B57"/>
    <w:rsid w:val="00FC7BB9"/>
    <w:rsid w:val="00FC7DAB"/>
    <w:rsid w:val="00FC7EC8"/>
    <w:rsid w:val="00FD00C7"/>
    <w:rsid w:val="00FD0181"/>
    <w:rsid w:val="00FD0573"/>
    <w:rsid w:val="00FD05A4"/>
    <w:rsid w:val="00FD062E"/>
    <w:rsid w:val="00FD06D5"/>
    <w:rsid w:val="00FD0B6E"/>
    <w:rsid w:val="00FD12A7"/>
    <w:rsid w:val="00FD12C3"/>
    <w:rsid w:val="00FD13E3"/>
    <w:rsid w:val="00FD1612"/>
    <w:rsid w:val="00FD17B9"/>
    <w:rsid w:val="00FD1887"/>
    <w:rsid w:val="00FD1889"/>
    <w:rsid w:val="00FD18FC"/>
    <w:rsid w:val="00FD1A00"/>
    <w:rsid w:val="00FD1DAD"/>
    <w:rsid w:val="00FD1F92"/>
    <w:rsid w:val="00FD20C6"/>
    <w:rsid w:val="00FD21C0"/>
    <w:rsid w:val="00FD230B"/>
    <w:rsid w:val="00FD2363"/>
    <w:rsid w:val="00FD2611"/>
    <w:rsid w:val="00FD2A29"/>
    <w:rsid w:val="00FD2AFC"/>
    <w:rsid w:val="00FD2B08"/>
    <w:rsid w:val="00FD2BD6"/>
    <w:rsid w:val="00FD2D7D"/>
    <w:rsid w:val="00FD2E62"/>
    <w:rsid w:val="00FD3083"/>
    <w:rsid w:val="00FD30E9"/>
    <w:rsid w:val="00FD375E"/>
    <w:rsid w:val="00FD37E9"/>
    <w:rsid w:val="00FD397C"/>
    <w:rsid w:val="00FD3B5C"/>
    <w:rsid w:val="00FD3B68"/>
    <w:rsid w:val="00FD4007"/>
    <w:rsid w:val="00FD4227"/>
    <w:rsid w:val="00FD4484"/>
    <w:rsid w:val="00FD452D"/>
    <w:rsid w:val="00FD45F0"/>
    <w:rsid w:val="00FD46A8"/>
    <w:rsid w:val="00FD4787"/>
    <w:rsid w:val="00FD483E"/>
    <w:rsid w:val="00FD4891"/>
    <w:rsid w:val="00FD4B07"/>
    <w:rsid w:val="00FD4B56"/>
    <w:rsid w:val="00FD4B8E"/>
    <w:rsid w:val="00FD4C35"/>
    <w:rsid w:val="00FD4C5F"/>
    <w:rsid w:val="00FD4F99"/>
    <w:rsid w:val="00FD507F"/>
    <w:rsid w:val="00FD5089"/>
    <w:rsid w:val="00FD5610"/>
    <w:rsid w:val="00FD585E"/>
    <w:rsid w:val="00FD5895"/>
    <w:rsid w:val="00FD5C35"/>
    <w:rsid w:val="00FD5E91"/>
    <w:rsid w:val="00FD6029"/>
    <w:rsid w:val="00FD6193"/>
    <w:rsid w:val="00FD6761"/>
    <w:rsid w:val="00FD67C4"/>
    <w:rsid w:val="00FD697C"/>
    <w:rsid w:val="00FD6C1D"/>
    <w:rsid w:val="00FD6C53"/>
    <w:rsid w:val="00FD6C97"/>
    <w:rsid w:val="00FD6D34"/>
    <w:rsid w:val="00FD6E6D"/>
    <w:rsid w:val="00FD7069"/>
    <w:rsid w:val="00FD70BB"/>
    <w:rsid w:val="00FD7610"/>
    <w:rsid w:val="00FD7770"/>
    <w:rsid w:val="00FD7B92"/>
    <w:rsid w:val="00FD7CAE"/>
    <w:rsid w:val="00FE00F2"/>
    <w:rsid w:val="00FE0142"/>
    <w:rsid w:val="00FE0247"/>
    <w:rsid w:val="00FE02F5"/>
    <w:rsid w:val="00FE0357"/>
    <w:rsid w:val="00FE03BE"/>
    <w:rsid w:val="00FE05FE"/>
    <w:rsid w:val="00FE088D"/>
    <w:rsid w:val="00FE096C"/>
    <w:rsid w:val="00FE09EB"/>
    <w:rsid w:val="00FE0A67"/>
    <w:rsid w:val="00FE0CA2"/>
    <w:rsid w:val="00FE0D33"/>
    <w:rsid w:val="00FE101E"/>
    <w:rsid w:val="00FE102B"/>
    <w:rsid w:val="00FE18CE"/>
    <w:rsid w:val="00FE18D0"/>
    <w:rsid w:val="00FE1987"/>
    <w:rsid w:val="00FE1C0B"/>
    <w:rsid w:val="00FE1E05"/>
    <w:rsid w:val="00FE1FAB"/>
    <w:rsid w:val="00FE208C"/>
    <w:rsid w:val="00FE224B"/>
    <w:rsid w:val="00FE23B9"/>
    <w:rsid w:val="00FE2908"/>
    <w:rsid w:val="00FE2A64"/>
    <w:rsid w:val="00FE2B8B"/>
    <w:rsid w:val="00FE2C86"/>
    <w:rsid w:val="00FE2DC7"/>
    <w:rsid w:val="00FE2ECB"/>
    <w:rsid w:val="00FE2FD6"/>
    <w:rsid w:val="00FE3180"/>
    <w:rsid w:val="00FE31D1"/>
    <w:rsid w:val="00FE3385"/>
    <w:rsid w:val="00FE3669"/>
    <w:rsid w:val="00FE393E"/>
    <w:rsid w:val="00FE3B18"/>
    <w:rsid w:val="00FE3D52"/>
    <w:rsid w:val="00FE3EF6"/>
    <w:rsid w:val="00FE4037"/>
    <w:rsid w:val="00FE4250"/>
    <w:rsid w:val="00FE42A1"/>
    <w:rsid w:val="00FE42F7"/>
    <w:rsid w:val="00FE4377"/>
    <w:rsid w:val="00FE46F9"/>
    <w:rsid w:val="00FE4708"/>
    <w:rsid w:val="00FE486A"/>
    <w:rsid w:val="00FE4883"/>
    <w:rsid w:val="00FE4A6B"/>
    <w:rsid w:val="00FE4B08"/>
    <w:rsid w:val="00FE4BAE"/>
    <w:rsid w:val="00FE4F06"/>
    <w:rsid w:val="00FE508A"/>
    <w:rsid w:val="00FE5232"/>
    <w:rsid w:val="00FE56C8"/>
    <w:rsid w:val="00FE57BF"/>
    <w:rsid w:val="00FE5AF4"/>
    <w:rsid w:val="00FE62A0"/>
    <w:rsid w:val="00FE63A2"/>
    <w:rsid w:val="00FE643C"/>
    <w:rsid w:val="00FE6487"/>
    <w:rsid w:val="00FE659C"/>
    <w:rsid w:val="00FE6602"/>
    <w:rsid w:val="00FE6707"/>
    <w:rsid w:val="00FE6712"/>
    <w:rsid w:val="00FE67DB"/>
    <w:rsid w:val="00FE688B"/>
    <w:rsid w:val="00FE6899"/>
    <w:rsid w:val="00FE691F"/>
    <w:rsid w:val="00FE6942"/>
    <w:rsid w:val="00FE6AEB"/>
    <w:rsid w:val="00FE6BC0"/>
    <w:rsid w:val="00FE70A9"/>
    <w:rsid w:val="00FE7225"/>
    <w:rsid w:val="00FE7478"/>
    <w:rsid w:val="00FE7509"/>
    <w:rsid w:val="00FE7550"/>
    <w:rsid w:val="00FE757F"/>
    <w:rsid w:val="00FE76C2"/>
    <w:rsid w:val="00FE76EA"/>
    <w:rsid w:val="00FE77BA"/>
    <w:rsid w:val="00FE7994"/>
    <w:rsid w:val="00FE7AC5"/>
    <w:rsid w:val="00FE7D66"/>
    <w:rsid w:val="00FE7DE5"/>
    <w:rsid w:val="00FE7F87"/>
    <w:rsid w:val="00FF009F"/>
    <w:rsid w:val="00FF02C9"/>
    <w:rsid w:val="00FF05CA"/>
    <w:rsid w:val="00FF0688"/>
    <w:rsid w:val="00FF073E"/>
    <w:rsid w:val="00FF07DF"/>
    <w:rsid w:val="00FF0811"/>
    <w:rsid w:val="00FF099F"/>
    <w:rsid w:val="00FF0B69"/>
    <w:rsid w:val="00FF0D41"/>
    <w:rsid w:val="00FF0D60"/>
    <w:rsid w:val="00FF10CB"/>
    <w:rsid w:val="00FF13E5"/>
    <w:rsid w:val="00FF1475"/>
    <w:rsid w:val="00FF154F"/>
    <w:rsid w:val="00FF19A8"/>
    <w:rsid w:val="00FF1A39"/>
    <w:rsid w:val="00FF1DD7"/>
    <w:rsid w:val="00FF2106"/>
    <w:rsid w:val="00FF215B"/>
    <w:rsid w:val="00FF2999"/>
    <w:rsid w:val="00FF2A01"/>
    <w:rsid w:val="00FF2BBD"/>
    <w:rsid w:val="00FF2BCE"/>
    <w:rsid w:val="00FF2D1F"/>
    <w:rsid w:val="00FF36AD"/>
    <w:rsid w:val="00FF37B6"/>
    <w:rsid w:val="00FF37F8"/>
    <w:rsid w:val="00FF3AA6"/>
    <w:rsid w:val="00FF3ACA"/>
    <w:rsid w:val="00FF3BA8"/>
    <w:rsid w:val="00FF3BBA"/>
    <w:rsid w:val="00FF3DEC"/>
    <w:rsid w:val="00FF42AF"/>
    <w:rsid w:val="00FF430C"/>
    <w:rsid w:val="00FF4AC8"/>
    <w:rsid w:val="00FF4BF1"/>
    <w:rsid w:val="00FF4C3C"/>
    <w:rsid w:val="00FF512E"/>
    <w:rsid w:val="00FF5231"/>
    <w:rsid w:val="00FF53B2"/>
    <w:rsid w:val="00FF5400"/>
    <w:rsid w:val="00FF5882"/>
    <w:rsid w:val="00FF5981"/>
    <w:rsid w:val="00FF5AE6"/>
    <w:rsid w:val="00FF5EDA"/>
    <w:rsid w:val="00FF5F36"/>
    <w:rsid w:val="00FF6295"/>
    <w:rsid w:val="00FF64ED"/>
    <w:rsid w:val="00FF667E"/>
    <w:rsid w:val="00FF678B"/>
    <w:rsid w:val="00FF6CF1"/>
    <w:rsid w:val="00FF6DA0"/>
    <w:rsid w:val="00FF7647"/>
    <w:rsid w:val="00FF77DD"/>
    <w:rsid w:val="00FF78AE"/>
    <w:rsid w:val="00FF78F5"/>
    <w:rsid w:val="00FF78FF"/>
    <w:rsid w:val="00FF79AD"/>
    <w:rsid w:val="00FF7C1C"/>
    <w:rsid w:val="00FF7D25"/>
    <w:rsid w:val="00FF7D39"/>
    <w:rsid w:val="00FF7D69"/>
    <w:rsid w:val="0101CE9E"/>
    <w:rsid w:val="0110018E"/>
    <w:rsid w:val="01162480"/>
    <w:rsid w:val="01165289"/>
    <w:rsid w:val="011910DC"/>
    <w:rsid w:val="0123C35B"/>
    <w:rsid w:val="0124E959"/>
    <w:rsid w:val="01263734"/>
    <w:rsid w:val="012AE301"/>
    <w:rsid w:val="013B59C7"/>
    <w:rsid w:val="0141A823"/>
    <w:rsid w:val="0144A39A"/>
    <w:rsid w:val="0144DB27"/>
    <w:rsid w:val="01459644"/>
    <w:rsid w:val="0149D312"/>
    <w:rsid w:val="014BEEB1"/>
    <w:rsid w:val="01518277"/>
    <w:rsid w:val="01551C45"/>
    <w:rsid w:val="01645BBF"/>
    <w:rsid w:val="0168223A"/>
    <w:rsid w:val="016B0FD8"/>
    <w:rsid w:val="0171D8A9"/>
    <w:rsid w:val="0177D2BE"/>
    <w:rsid w:val="0178512A"/>
    <w:rsid w:val="0178CBB7"/>
    <w:rsid w:val="01792F0B"/>
    <w:rsid w:val="017D7ACC"/>
    <w:rsid w:val="018A1513"/>
    <w:rsid w:val="01928D5D"/>
    <w:rsid w:val="01A057B4"/>
    <w:rsid w:val="01AC867E"/>
    <w:rsid w:val="01B310AF"/>
    <w:rsid w:val="01B54048"/>
    <w:rsid w:val="01B983EB"/>
    <w:rsid w:val="01BC2351"/>
    <w:rsid w:val="01BCFAFD"/>
    <w:rsid w:val="01BF8E6E"/>
    <w:rsid w:val="01C61A41"/>
    <w:rsid w:val="01D0CF35"/>
    <w:rsid w:val="01D8D2C7"/>
    <w:rsid w:val="01DEE65B"/>
    <w:rsid w:val="01E2876C"/>
    <w:rsid w:val="01E48BD0"/>
    <w:rsid w:val="01EAB2EE"/>
    <w:rsid w:val="01F54A13"/>
    <w:rsid w:val="01FB76FD"/>
    <w:rsid w:val="0200D3A2"/>
    <w:rsid w:val="0203E95E"/>
    <w:rsid w:val="021E2443"/>
    <w:rsid w:val="021ECFFD"/>
    <w:rsid w:val="02255F72"/>
    <w:rsid w:val="0226019F"/>
    <w:rsid w:val="022A38FD"/>
    <w:rsid w:val="022B3287"/>
    <w:rsid w:val="022FE14D"/>
    <w:rsid w:val="02319DFB"/>
    <w:rsid w:val="02388B9E"/>
    <w:rsid w:val="0239DB60"/>
    <w:rsid w:val="023A844A"/>
    <w:rsid w:val="024945C0"/>
    <w:rsid w:val="024CC865"/>
    <w:rsid w:val="024D3D45"/>
    <w:rsid w:val="0259EA1A"/>
    <w:rsid w:val="026532A3"/>
    <w:rsid w:val="0268C729"/>
    <w:rsid w:val="0270CCC4"/>
    <w:rsid w:val="02796B6B"/>
    <w:rsid w:val="027F9209"/>
    <w:rsid w:val="02814C96"/>
    <w:rsid w:val="02834AF2"/>
    <w:rsid w:val="0289D674"/>
    <w:rsid w:val="0290F9F4"/>
    <w:rsid w:val="02A4BE06"/>
    <w:rsid w:val="02A91BBE"/>
    <w:rsid w:val="02BBBB54"/>
    <w:rsid w:val="02BE2A47"/>
    <w:rsid w:val="02C06530"/>
    <w:rsid w:val="02C5815D"/>
    <w:rsid w:val="02CB07B6"/>
    <w:rsid w:val="02CC9518"/>
    <w:rsid w:val="02CECD63"/>
    <w:rsid w:val="02D41393"/>
    <w:rsid w:val="02D4943A"/>
    <w:rsid w:val="02DC6B95"/>
    <w:rsid w:val="02E3FD02"/>
    <w:rsid w:val="02E6C6D0"/>
    <w:rsid w:val="02ED4460"/>
    <w:rsid w:val="02ED62B2"/>
    <w:rsid w:val="02F2E7C0"/>
    <w:rsid w:val="02F9529F"/>
    <w:rsid w:val="03078A64"/>
    <w:rsid w:val="030D9B32"/>
    <w:rsid w:val="0312A287"/>
    <w:rsid w:val="031530AB"/>
    <w:rsid w:val="0327FF19"/>
    <w:rsid w:val="032FEBE7"/>
    <w:rsid w:val="0334D762"/>
    <w:rsid w:val="033A6699"/>
    <w:rsid w:val="033BF762"/>
    <w:rsid w:val="0342970E"/>
    <w:rsid w:val="03429859"/>
    <w:rsid w:val="0366908B"/>
    <w:rsid w:val="03683BB8"/>
    <w:rsid w:val="036AEB42"/>
    <w:rsid w:val="037572C4"/>
    <w:rsid w:val="037E32FB"/>
    <w:rsid w:val="0388AB0E"/>
    <w:rsid w:val="038AEC15"/>
    <w:rsid w:val="038C53F2"/>
    <w:rsid w:val="039623D1"/>
    <w:rsid w:val="0396D1E1"/>
    <w:rsid w:val="039F4468"/>
    <w:rsid w:val="03A80048"/>
    <w:rsid w:val="03B8A6F7"/>
    <w:rsid w:val="03BB0E64"/>
    <w:rsid w:val="03BE62B4"/>
    <w:rsid w:val="03C2B119"/>
    <w:rsid w:val="03C7BB98"/>
    <w:rsid w:val="03D02DCA"/>
    <w:rsid w:val="03DB37A8"/>
    <w:rsid w:val="03E35DDC"/>
    <w:rsid w:val="03E3A29A"/>
    <w:rsid w:val="03E6AFC6"/>
    <w:rsid w:val="03E73CE9"/>
    <w:rsid w:val="03EB2D65"/>
    <w:rsid w:val="03FCC2B1"/>
    <w:rsid w:val="03FF84AE"/>
    <w:rsid w:val="041C15E3"/>
    <w:rsid w:val="041EE494"/>
    <w:rsid w:val="04205C40"/>
    <w:rsid w:val="042BFC1E"/>
    <w:rsid w:val="042E6D13"/>
    <w:rsid w:val="043820B9"/>
    <w:rsid w:val="043E3073"/>
    <w:rsid w:val="044D8A70"/>
    <w:rsid w:val="046192EC"/>
    <w:rsid w:val="0475DE16"/>
    <w:rsid w:val="04800D00"/>
    <w:rsid w:val="0487975B"/>
    <w:rsid w:val="0489FDE2"/>
    <w:rsid w:val="048B195C"/>
    <w:rsid w:val="0492B1AB"/>
    <w:rsid w:val="04967269"/>
    <w:rsid w:val="04A9A0A9"/>
    <w:rsid w:val="04AE6B1E"/>
    <w:rsid w:val="04C503EF"/>
    <w:rsid w:val="04C840E2"/>
    <w:rsid w:val="04CE136A"/>
    <w:rsid w:val="04F43B16"/>
    <w:rsid w:val="05037A37"/>
    <w:rsid w:val="0509CADB"/>
    <w:rsid w:val="050C738E"/>
    <w:rsid w:val="0510F668"/>
    <w:rsid w:val="051A65E7"/>
    <w:rsid w:val="051AF693"/>
    <w:rsid w:val="051B497B"/>
    <w:rsid w:val="051D388B"/>
    <w:rsid w:val="0521A460"/>
    <w:rsid w:val="052507D2"/>
    <w:rsid w:val="052C96A5"/>
    <w:rsid w:val="053DABD0"/>
    <w:rsid w:val="05413D89"/>
    <w:rsid w:val="0541824A"/>
    <w:rsid w:val="05475CEE"/>
    <w:rsid w:val="05479194"/>
    <w:rsid w:val="054E4847"/>
    <w:rsid w:val="054F49A8"/>
    <w:rsid w:val="0550F4A3"/>
    <w:rsid w:val="05579AA2"/>
    <w:rsid w:val="05580148"/>
    <w:rsid w:val="05757B81"/>
    <w:rsid w:val="0589F207"/>
    <w:rsid w:val="058C0EE0"/>
    <w:rsid w:val="05990895"/>
    <w:rsid w:val="059B95AA"/>
    <w:rsid w:val="059DA647"/>
    <w:rsid w:val="059F34C7"/>
    <w:rsid w:val="05A24E4B"/>
    <w:rsid w:val="05A8F26D"/>
    <w:rsid w:val="05B1C97B"/>
    <w:rsid w:val="05B32E4A"/>
    <w:rsid w:val="05B3D40A"/>
    <w:rsid w:val="05CAA3C9"/>
    <w:rsid w:val="05D638A5"/>
    <w:rsid w:val="05D97C36"/>
    <w:rsid w:val="05ED13F2"/>
    <w:rsid w:val="05FEEDC5"/>
    <w:rsid w:val="0611F79D"/>
    <w:rsid w:val="0614EFC3"/>
    <w:rsid w:val="061DC99F"/>
    <w:rsid w:val="0636B493"/>
    <w:rsid w:val="0636F49A"/>
    <w:rsid w:val="064C81F6"/>
    <w:rsid w:val="0653408C"/>
    <w:rsid w:val="066A81BE"/>
    <w:rsid w:val="06703928"/>
    <w:rsid w:val="06773F39"/>
    <w:rsid w:val="067DA5D8"/>
    <w:rsid w:val="06833B88"/>
    <w:rsid w:val="06867682"/>
    <w:rsid w:val="06A59B3C"/>
    <w:rsid w:val="06A79A91"/>
    <w:rsid w:val="06B0750F"/>
    <w:rsid w:val="06B12D07"/>
    <w:rsid w:val="06BC7E29"/>
    <w:rsid w:val="06C057B0"/>
    <w:rsid w:val="06CFF660"/>
    <w:rsid w:val="06EAEEC2"/>
    <w:rsid w:val="06F70260"/>
    <w:rsid w:val="06FA6E81"/>
    <w:rsid w:val="07087792"/>
    <w:rsid w:val="07087D0B"/>
    <w:rsid w:val="0709F91B"/>
    <w:rsid w:val="070C9C59"/>
    <w:rsid w:val="070FA6F9"/>
    <w:rsid w:val="07116BCF"/>
    <w:rsid w:val="071D3B9D"/>
    <w:rsid w:val="072A65E5"/>
    <w:rsid w:val="072BB48C"/>
    <w:rsid w:val="0733E44B"/>
    <w:rsid w:val="07451C97"/>
    <w:rsid w:val="07486F0C"/>
    <w:rsid w:val="0749B4E5"/>
    <w:rsid w:val="07563D52"/>
    <w:rsid w:val="075B70E2"/>
    <w:rsid w:val="07662AC1"/>
    <w:rsid w:val="076AEF52"/>
    <w:rsid w:val="076C45D0"/>
    <w:rsid w:val="07819B6A"/>
    <w:rsid w:val="0787A493"/>
    <w:rsid w:val="078B3025"/>
    <w:rsid w:val="078C4E6F"/>
    <w:rsid w:val="07A07D79"/>
    <w:rsid w:val="07A07DD2"/>
    <w:rsid w:val="07A8D406"/>
    <w:rsid w:val="07ADE80E"/>
    <w:rsid w:val="07B3DF42"/>
    <w:rsid w:val="07B8083E"/>
    <w:rsid w:val="07BB4E14"/>
    <w:rsid w:val="07C2CF96"/>
    <w:rsid w:val="07CF74CB"/>
    <w:rsid w:val="07D588BB"/>
    <w:rsid w:val="07F27EC2"/>
    <w:rsid w:val="07F6962F"/>
    <w:rsid w:val="07F7A083"/>
    <w:rsid w:val="07FBD526"/>
    <w:rsid w:val="0803F43F"/>
    <w:rsid w:val="08106FAB"/>
    <w:rsid w:val="081432F7"/>
    <w:rsid w:val="08155D41"/>
    <w:rsid w:val="082ADA0D"/>
    <w:rsid w:val="082C801F"/>
    <w:rsid w:val="0830B2F5"/>
    <w:rsid w:val="08334FA7"/>
    <w:rsid w:val="0841CF91"/>
    <w:rsid w:val="08432C65"/>
    <w:rsid w:val="0843D3CF"/>
    <w:rsid w:val="0852123C"/>
    <w:rsid w:val="0855A8A9"/>
    <w:rsid w:val="0858081B"/>
    <w:rsid w:val="0860AA83"/>
    <w:rsid w:val="0862FBAC"/>
    <w:rsid w:val="0866C818"/>
    <w:rsid w:val="086A4B79"/>
    <w:rsid w:val="088DA805"/>
    <w:rsid w:val="088DDAD6"/>
    <w:rsid w:val="088ED529"/>
    <w:rsid w:val="088EEEF8"/>
    <w:rsid w:val="08A201ED"/>
    <w:rsid w:val="08A3239B"/>
    <w:rsid w:val="08AB7AFD"/>
    <w:rsid w:val="08AD963F"/>
    <w:rsid w:val="08AE026A"/>
    <w:rsid w:val="08B0D799"/>
    <w:rsid w:val="08B25B9C"/>
    <w:rsid w:val="08B3FFD6"/>
    <w:rsid w:val="08BA7B3B"/>
    <w:rsid w:val="08C3D3DC"/>
    <w:rsid w:val="08DBD43F"/>
    <w:rsid w:val="08E4841D"/>
    <w:rsid w:val="08EADD54"/>
    <w:rsid w:val="08EB8AB4"/>
    <w:rsid w:val="08F1C328"/>
    <w:rsid w:val="08FB4A5C"/>
    <w:rsid w:val="0908BCC6"/>
    <w:rsid w:val="0909BC95"/>
    <w:rsid w:val="091BD094"/>
    <w:rsid w:val="091E2582"/>
    <w:rsid w:val="09374A05"/>
    <w:rsid w:val="093B19B7"/>
    <w:rsid w:val="093FCE08"/>
    <w:rsid w:val="0949820A"/>
    <w:rsid w:val="094C1B49"/>
    <w:rsid w:val="0950327B"/>
    <w:rsid w:val="0954487A"/>
    <w:rsid w:val="095B724E"/>
    <w:rsid w:val="096280A2"/>
    <w:rsid w:val="096758C4"/>
    <w:rsid w:val="097589E8"/>
    <w:rsid w:val="09823541"/>
    <w:rsid w:val="0982FE00"/>
    <w:rsid w:val="0990532A"/>
    <w:rsid w:val="099B9417"/>
    <w:rsid w:val="09A34A3D"/>
    <w:rsid w:val="09A469D9"/>
    <w:rsid w:val="09A71741"/>
    <w:rsid w:val="09BF3B4F"/>
    <w:rsid w:val="09C2A5E2"/>
    <w:rsid w:val="09C8A665"/>
    <w:rsid w:val="09CB0C1F"/>
    <w:rsid w:val="09CDF704"/>
    <w:rsid w:val="09CE4F3E"/>
    <w:rsid w:val="09D8745A"/>
    <w:rsid w:val="09EBEF6F"/>
    <w:rsid w:val="09EE8884"/>
    <w:rsid w:val="09EFE060"/>
    <w:rsid w:val="09FF9185"/>
    <w:rsid w:val="0A02A98C"/>
    <w:rsid w:val="0A07742B"/>
    <w:rsid w:val="0A0B38DF"/>
    <w:rsid w:val="0A27C4D8"/>
    <w:rsid w:val="0A27EA7F"/>
    <w:rsid w:val="0A33FD2C"/>
    <w:rsid w:val="0A36E736"/>
    <w:rsid w:val="0A372EF2"/>
    <w:rsid w:val="0A37FCF6"/>
    <w:rsid w:val="0A3AB438"/>
    <w:rsid w:val="0A54B56B"/>
    <w:rsid w:val="0A5B071E"/>
    <w:rsid w:val="0A60FAAE"/>
    <w:rsid w:val="0A61A2FA"/>
    <w:rsid w:val="0A621F3C"/>
    <w:rsid w:val="0A6E2298"/>
    <w:rsid w:val="0A7042DA"/>
    <w:rsid w:val="0A928FD4"/>
    <w:rsid w:val="0A94521F"/>
    <w:rsid w:val="0AA5AD76"/>
    <w:rsid w:val="0AABE5EA"/>
    <w:rsid w:val="0ABEA12A"/>
    <w:rsid w:val="0AC9AC23"/>
    <w:rsid w:val="0AD85BCE"/>
    <w:rsid w:val="0ADF0FCC"/>
    <w:rsid w:val="0AE60306"/>
    <w:rsid w:val="0AE86702"/>
    <w:rsid w:val="0AE9B959"/>
    <w:rsid w:val="0AEE3F62"/>
    <w:rsid w:val="0AF5A778"/>
    <w:rsid w:val="0AFBC954"/>
    <w:rsid w:val="0AFC8702"/>
    <w:rsid w:val="0AFF33B3"/>
    <w:rsid w:val="0AFFC868"/>
    <w:rsid w:val="0B0E6DA0"/>
    <w:rsid w:val="0B10F09D"/>
    <w:rsid w:val="0B176F16"/>
    <w:rsid w:val="0B186B35"/>
    <w:rsid w:val="0B1AAF7D"/>
    <w:rsid w:val="0B366AFD"/>
    <w:rsid w:val="0B3697A8"/>
    <w:rsid w:val="0B3BA6D5"/>
    <w:rsid w:val="0B604194"/>
    <w:rsid w:val="0B606631"/>
    <w:rsid w:val="0B6420E1"/>
    <w:rsid w:val="0B6853B7"/>
    <w:rsid w:val="0B6AE91C"/>
    <w:rsid w:val="0B755BFE"/>
    <w:rsid w:val="0B7F42E3"/>
    <w:rsid w:val="0B7F9014"/>
    <w:rsid w:val="0B85B732"/>
    <w:rsid w:val="0BA46DF7"/>
    <w:rsid w:val="0BA4AB60"/>
    <w:rsid w:val="0BAC1E62"/>
    <w:rsid w:val="0BB44B81"/>
    <w:rsid w:val="0BBC6764"/>
    <w:rsid w:val="0BCFE74C"/>
    <w:rsid w:val="0BD1C0E6"/>
    <w:rsid w:val="0BE3985A"/>
    <w:rsid w:val="0BE3D583"/>
    <w:rsid w:val="0BE557C4"/>
    <w:rsid w:val="0BF57315"/>
    <w:rsid w:val="0C012B82"/>
    <w:rsid w:val="0C088DBA"/>
    <w:rsid w:val="0C09A83E"/>
    <w:rsid w:val="0C1340BF"/>
    <w:rsid w:val="0C13C85A"/>
    <w:rsid w:val="0C180483"/>
    <w:rsid w:val="0C1F8E86"/>
    <w:rsid w:val="0C276FC9"/>
    <w:rsid w:val="0C29298F"/>
    <w:rsid w:val="0C2A4EB3"/>
    <w:rsid w:val="0C30000F"/>
    <w:rsid w:val="0C3B9465"/>
    <w:rsid w:val="0C3E089A"/>
    <w:rsid w:val="0C4692AB"/>
    <w:rsid w:val="0C4D84A9"/>
    <w:rsid w:val="0C55C9F4"/>
    <w:rsid w:val="0C5E7BDF"/>
    <w:rsid w:val="0C6D2839"/>
    <w:rsid w:val="0C6E5A96"/>
    <w:rsid w:val="0C754B45"/>
    <w:rsid w:val="0C949E37"/>
    <w:rsid w:val="0C9C1053"/>
    <w:rsid w:val="0CA0B2EB"/>
    <w:rsid w:val="0CA312CD"/>
    <w:rsid w:val="0CB8544B"/>
    <w:rsid w:val="0CC1ADB6"/>
    <w:rsid w:val="0CCAB62C"/>
    <w:rsid w:val="0CD2B2F0"/>
    <w:rsid w:val="0CD3EB3F"/>
    <w:rsid w:val="0CD7CB04"/>
    <w:rsid w:val="0CD86181"/>
    <w:rsid w:val="0CF3690B"/>
    <w:rsid w:val="0CFD0053"/>
    <w:rsid w:val="0D066CC0"/>
    <w:rsid w:val="0D125302"/>
    <w:rsid w:val="0D19D733"/>
    <w:rsid w:val="0D1C51A9"/>
    <w:rsid w:val="0D2191E8"/>
    <w:rsid w:val="0D2980F0"/>
    <w:rsid w:val="0D2EA45F"/>
    <w:rsid w:val="0D35EA1D"/>
    <w:rsid w:val="0D3CCAE2"/>
    <w:rsid w:val="0D3D8B3B"/>
    <w:rsid w:val="0D4EDD97"/>
    <w:rsid w:val="0D4F32E2"/>
    <w:rsid w:val="0D593427"/>
    <w:rsid w:val="0D5A8397"/>
    <w:rsid w:val="0D5BA1E1"/>
    <w:rsid w:val="0D6CD776"/>
    <w:rsid w:val="0D6E0E03"/>
    <w:rsid w:val="0D762B04"/>
    <w:rsid w:val="0D862F77"/>
    <w:rsid w:val="0D86647A"/>
    <w:rsid w:val="0D963E48"/>
    <w:rsid w:val="0D9A896D"/>
    <w:rsid w:val="0DA2C2E4"/>
    <w:rsid w:val="0DA82C23"/>
    <w:rsid w:val="0DAEFA88"/>
    <w:rsid w:val="0DB403C9"/>
    <w:rsid w:val="0DB6B471"/>
    <w:rsid w:val="0DB78549"/>
    <w:rsid w:val="0DBD5CD8"/>
    <w:rsid w:val="0DC4E004"/>
    <w:rsid w:val="0DC758C9"/>
    <w:rsid w:val="0DCD1ED1"/>
    <w:rsid w:val="0DD6D128"/>
    <w:rsid w:val="0DDEA1DB"/>
    <w:rsid w:val="0DE4532D"/>
    <w:rsid w:val="0DE8B84D"/>
    <w:rsid w:val="0DEE5814"/>
    <w:rsid w:val="0E0417A3"/>
    <w:rsid w:val="0E0763CA"/>
    <w:rsid w:val="0E1FCE08"/>
    <w:rsid w:val="0E2FA0D8"/>
    <w:rsid w:val="0E3042E8"/>
    <w:rsid w:val="0E391D1D"/>
    <w:rsid w:val="0E3AEF56"/>
    <w:rsid w:val="0E4AECCE"/>
    <w:rsid w:val="0E4E0CBB"/>
    <w:rsid w:val="0E52A783"/>
    <w:rsid w:val="0E55118D"/>
    <w:rsid w:val="0E581E30"/>
    <w:rsid w:val="0E64F044"/>
    <w:rsid w:val="0E6AAFBE"/>
    <w:rsid w:val="0E6B2112"/>
    <w:rsid w:val="0E73DD58"/>
    <w:rsid w:val="0E77348C"/>
    <w:rsid w:val="0E788C42"/>
    <w:rsid w:val="0E7E5CF8"/>
    <w:rsid w:val="0E83B1E4"/>
    <w:rsid w:val="0E83C5F7"/>
    <w:rsid w:val="0E885F6D"/>
    <w:rsid w:val="0E88992F"/>
    <w:rsid w:val="0E8AD07B"/>
    <w:rsid w:val="0E8CA396"/>
    <w:rsid w:val="0E8E994C"/>
    <w:rsid w:val="0E9A387D"/>
    <w:rsid w:val="0E9A3EF8"/>
    <w:rsid w:val="0EA037FE"/>
    <w:rsid w:val="0EA1C46A"/>
    <w:rsid w:val="0EA3D032"/>
    <w:rsid w:val="0EA97A4A"/>
    <w:rsid w:val="0EC10A49"/>
    <w:rsid w:val="0ECEF72F"/>
    <w:rsid w:val="0EDCD45C"/>
    <w:rsid w:val="0EE6F09C"/>
    <w:rsid w:val="0EEEAB51"/>
    <w:rsid w:val="0EF0793D"/>
    <w:rsid w:val="0EF49944"/>
    <w:rsid w:val="0F005AEC"/>
    <w:rsid w:val="0F05531A"/>
    <w:rsid w:val="0F0E09EE"/>
    <w:rsid w:val="0F144AE0"/>
    <w:rsid w:val="0F21B2EC"/>
    <w:rsid w:val="0F305370"/>
    <w:rsid w:val="0F322E44"/>
    <w:rsid w:val="0F3F5CC2"/>
    <w:rsid w:val="0F44DD5A"/>
    <w:rsid w:val="0F4B6195"/>
    <w:rsid w:val="0F502E39"/>
    <w:rsid w:val="0F53D849"/>
    <w:rsid w:val="0F5530FF"/>
    <w:rsid w:val="0F55BE22"/>
    <w:rsid w:val="0F56E4F3"/>
    <w:rsid w:val="0F624376"/>
    <w:rsid w:val="0F6AD81F"/>
    <w:rsid w:val="0F7196B5"/>
    <w:rsid w:val="0F8B7695"/>
    <w:rsid w:val="0F8C36DD"/>
    <w:rsid w:val="0F8E22AE"/>
    <w:rsid w:val="0F9C8478"/>
    <w:rsid w:val="0FA03C90"/>
    <w:rsid w:val="0FA390D9"/>
    <w:rsid w:val="0FA563E0"/>
    <w:rsid w:val="0FB2E6E8"/>
    <w:rsid w:val="0FB7E0FF"/>
    <w:rsid w:val="0FCECAD9"/>
    <w:rsid w:val="0FE984F8"/>
    <w:rsid w:val="0FF1DB6C"/>
    <w:rsid w:val="0FF87F1B"/>
    <w:rsid w:val="1001CF69"/>
    <w:rsid w:val="1003CF04"/>
    <w:rsid w:val="10068264"/>
    <w:rsid w:val="100EA17D"/>
    <w:rsid w:val="101E4900"/>
    <w:rsid w:val="1020B6BA"/>
    <w:rsid w:val="102F8122"/>
    <w:rsid w:val="10336FFA"/>
    <w:rsid w:val="103AC5AD"/>
    <w:rsid w:val="103B3FDD"/>
    <w:rsid w:val="10414FAB"/>
    <w:rsid w:val="1045F0EE"/>
    <w:rsid w:val="104B4682"/>
    <w:rsid w:val="106372C0"/>
    <w:rsid w:val="1072978B"/>
    <w:rsid w:val="1090CD5F"/>
    <w:rsid w:val="10950810"/>
    <w:rsid w:val="109DF1B5"/>
    <w:rsid w:val="10A10CE3"/>
    <w:rsid w:val="10A1D38C"/>
    <w:rsid w:val="10A2ACE7"/>
    <w:rsid w:val="10A2C7B8"/>
    <w:rsid w:val="10AFDF15"/>
    <w:rsid w:val="10C4FAEA"/>
    <w:rsid w:val="10C6B8D0"/>
    <w:rsid w:val="10C8154C"/>
    <w:rsid w:val="10C95769"/>
    <w:rsid w:val="10CAE9F5"/>
    <w:rsid w:val="10CE811A"/>
    <w:rsid w:val="10D82F67"/>
    <w:rsid w:val="10D90E18"/>
    <w:rsid w:val="10E37595"/>
    <w:rsid w:val="10E91F40"/>
    <w:rsid w:val="10F5459F"/>
    <w:rsid w:val="1101D6D7"/>
    <w:rsid w:val="1106BAD1"/>
    <w:rsid w:val="110CDBBD"/>
    <w:rsid w:val="111498C2"/>
    <w:rsid w:val="11173F02"/>
    <w:rsid w:val="11225543"/>
    <w:rsid w:val="11232C98"/>
    <w:rsid w:val="11284F58"/>
    <w:rsid w:val="112E9193"/>
    <w:rsid w:val="11359AC2"/>
    <w:rsid w:val="114298B4"/>
    <w:rsid w:val="11463D76"/>
    <w:rsid w:val="1147FD6F"/>
    <w:rsid w:val="114927A3"/>
    <w:rsid w:val="11537B54"/>
    <w:rsid w:val="1160F2FB"/>
    <w:rsid w:val="11641A9D"/>
    <w:rsid w:val="1166DCF3"/>
    <w:rsid w:val="11734D54"/>
    <w:rsid w:val="11778701"/>
    <w:rsid w:val="117C3331"/>
    <w:rsid w:val="11800A04"/>
    <w:rsid w:val="1180ABA7"/>
    <w:rsid w:val="118C4AD8"/>
    <w:rsid w:val="11A1AA3A"/>
    <w:rsid w:val="11A47716"/>
    <w:rsid w:val="11AAE3AA"/>
    <w:rsid w:val="11BC4146"/>
    <w:rsid w:val="11BC6077"/>
    <w:rsid w:val="11BD0E4C"/>
    <w:rsid w:val="11CAA67F"/>
    <w:rsid w:val="11D0BCE6"/>
    <w:rsid w:val="11DAD97C"/>
    <w:rsid w:val="11E05948"/>
    <w:rsid w:val="12062C03"/>
    <w:rsid w:val="12083364"/>
    <w:rsid w:val="120893DC"/>
    <w:rsid w:val="120D5C0C"/>
    <w:rsid w:val="120D8116"/>
    <w:rsid w:val="12109E4B"/>
    <w:rsid w:val="12166B87"/>
    <w:rsid w:val="12184590"/>
    <w:rsid w:val="121FAE40"/>
    <w:rsid w:val="122B46A5"/>
    <w:rsid w:val="1232F508"/>
    <w:rsid w:val="12360A94"/>
    <w:rsid w:val="123875F2"/>
    <w:rsid w:val="123D8B54"/>
    <w:rsid w:val="12628931"/>
    <w:rsid w:val="1263A910"/>
    <w:rsid w:val="12675710"/>
    <w:rsid w:val="126EDEF4"/>
    <w:rsid w:val="126F2F6C"/>
    <w:rsid w:val="1297A1C5"/>
    <w:rsid w:val="129C0655"/>
    <w:rsid w:val="12A7B4F3"/>
    <w:rsid w:val="12B9C4EE"/>
    <w:rsid w:val="12C8AAF0"/>
    <w:rsid w:val="12CBF45A"/>
    <w:rsid w:val="12D03A4D"/>
    <w:rsid w:val="12D4DECB"/>
    <w:rsid w:val="12D5F1FD"/>
    <w:rsid w:val="12D92B31"/>
    <w:rsid w:val="12E5AC9F"/>
    <w:rsid w:val="12E81223"/>
    <w:rsid w:val="12EA9176"/>
    <w:rsid w:val="12F74A4E"/>
    <w:rsid w:val="12FFB313"/>
    <w:rsid w:val="1310EB49"/>
    <w:rsid w:val="131B979A"/>
    <w:rsid w:val="132442EA"/>
    <w:rsid w:val="132D5238"/>
    <w:rsid w:val="1340E47B"/>
    <w:rsid w:val="1342CC95"/>
    <w:rsid w:val="1344168A"/>
    <w:rsid w:val="134FF5A3"/>
    <w:rsid w:val="1355851B"/>
    <w:rsid w:val="135C7308"/>
    <w:rsid w:val="13952F0F"/>
    <w:rsid w:val="13AFDD3C"/>
    <w:rsid w:val="13B17374"/>
    <w:rsid w:val="13B7DCA1"/>
    <w:rsid w:val="13B8BA3B"/>
    <w:rsid w:val="13BA27A7"/>
    <w:rsid w:val="13BDCB0F"/>
    <w:rsid w:val="13BE8268"/>
    <w:rsid w:val="13C97A79"/>
    <w:rsid w:val="13CFF78B"/>
    <w:rsid w:val="13D54951"/>
    <w:rsid w:val="13E002E7"/>
    <w:rsid w:val="13E757FA"/>
    <w:rsid w:val="13E92103"/>
    <w:rsid w:val="13EC2603"/>
    <w:rsid w:val="13FDD481"/>
    <w:rsid w:val="140915F0"/>
    <w:rsid w:val="140B5611"/>
    <w:rsid w:val="140C4021"/>
    <w:rsid w:val="14110849"/>
    <w:rsid w:val="141EC7C4"/>
    <w:rsid w:val="1428FC74"/>
    <w:rsid w:val="14325515"/>
    <w:rsid w:val="1440F5E1"/>
    <w:rsid w:val="1450CFAF"/>
    <w:rsid w:val="14530556"/>
    <w:rsid w:val="1458EF4E"/>
    <w:rsid w:val="1469926A"/>
    <w:rsid w:val="147323A4"/>
    <w:rsid w:val="1480C865"/>
    <w:rsid w:val="14939BD2"/>
    <w:rsid w:val="14974827"/>
    <w:rsid w:val="14A49EEF"/>
    <w:rsid w:val="14B0A895"/>
    <w:rsid w:val="14B38C1F"/>
    <w:rsid w:val="14BE344F"/>
    <w:rsid w:val="14C9045F"/>
    <w:rsid w:val="14D2D007"/>
    <w:rsid w:val="14DDC4D5"/>
    <w:rsid w:val="14E2F463"/>
    <w:rsid w:val="14E62061"/>
    <w:rsid w:val="14E9F5FD"/>
    <w:rsid w:val="14EF8CCF"/>
    <w:rsid w:val="150EEA76"/>
    <w:rsid w:val="1511789A"/>
    <w:rsid w:val="15197E30"/>
    <w:rsid w:val="15217A2C"/>
    <w:rsid w:val="15306A80"/>
    <w:rsid w:val="153B5FE4"/>
    <w:rsid w:val="15407313"/>
    <w:rsid w:val="15446014"/>
    <w:rsid w:val="1546DF24"/>
    <w:rsid w:val="154B2026"/>
    <w:rsid w:val="154C992F"/>
    <w:rsid w:val="1555461E"/>
    <w:rsid w:val="155E06A8"/>
    <w:rsid w:val="1571FF63"/>
    <w:rsid w:val="157643E5"/>
    <w:rsid w:val="15788D90"/>
    <w:rsid w:val="1579BA18"/>
    <w:rsid w:val="157D3B55"/>
    <w:rsid w:val="1583A52E"/>
    <w:rsid w:val="1589B420"/>
    <w:rsid w:val="15969B7A"/>
    <w:rsid w:val="159E00C6"/>
    <w:rsid w:val="159F6797"/>
    <w:rsid w:val="15A902A0"/>
    <w:rsid w:val="15BCD17E"/>
    <w:rsid w:val="15BE9E77"/>
    <w:rsid w:val="15C3498A"/>
    <w:rsid w:val="15CF7BE7"/>
    <w:rsid w:val="15CFA7FA"/>
    <w:rsid w:val="15D08A81"/>
    <w:rsid w:val="15D15E56"/>
    <w:rsid w:val="15D5DB18"/>
    <w:rsid w:val="15DB4202"/>
    <w:rsid w:val="15EE3E82"/>
    <w:rsid w:val="15FAF122"/>
    <w:rsid w:val="15FC3A14"/>
    <w:rsid w:val="15FC57F3"/>
    <w:rsid w:val="15FE84E2"/>
    <w:rsid w:val="1609000F"/>
    <w:rsid w:val="1613B198"/>
    <w:rsid w:val="16153255"/>
    <w:rsid w:val="16162E03"/>
    <w:rsid w:val="162A0BAE"/>
    <w:rsid w:val="1630FC1A"/>
    <w:rsid w:val="16380A72"/>
    <w:rsid w:val="1639E052"/>
    <w:rsid w:val="1642875B"/>
    <w:rsid w:val="164F4C66"/>
    <w:rsid w:val="165513A7"/>
    <w:rsid w:val="16583417"/>
    <w:rsid w:val="16799536"/>
    <w:rsid w:val="169C3CE6"/>
    <w:rsid w:val="16A4EC36"/>
    <w:rsid w:val="16AC9FA4"/>
    <w:rsid w:val="16AFCB75"/>
    <w:rsid w:val="16B89BAF"/>
    <w:rsid w:val="16BACB37"/>
    <w:rsid w:val="16C48E3E"/>
    <w:rsid w:val="16CEC2CD"/>
    <w:rsid w:val="16D259F2"/>
    <w:rsid w:val="16D87D3E"/>
    <w:rsid w:val="16EADF87"/>
    <w:rsid w:val="16F04C36"/>
    <w:rsid w:val="16F1A8B5"/>
    <w:rsid w:val="17087874"/>
    <w:rsid w:val="17091274"/>
    <w:rsid w:val="170B6178"/>
    <w:rsid w:val="171087F6"/>
    <w:rsid w:val="17212735"/>
    <w:rsid w:val="172AE89D"/>
    <w:rsid w:val="172FD676"/>
    <w:rsid w:val="1735FD94"/>
    <w:rsid w:val="173C8C22"/>
    <w:rsid w:val="173E0BA4"/>
    <w:rsid w:val="1744E33A"/>
    <w:rsid w:val="174517B1"/>
    <w:rsid w:val="1749C5DC"/>
    <w:rsid w:val="174E5B4F"/>
    <w:rsid w:val="1758831C"/>
    <w:rsid w:val="175B9E4A"/>
    <w:rsid w:val="175C8170"/>
    <w:rsid w:val="1761FC1F"/>
    <w:rsid w:val="17635F7A"/>
    <w:rsid w:val="176FF3B0"/>
    <w:rsid w:val="177C5549"/>
    <w:rsid w:val="17889BCC"/>
    <w:rsid w:val="178D7ECA"/>
    <w:rsid w:val="1796DBCB"/>
    <w:rsid w:val="17980576"/>
    <w:rsid w:val="179EC810"/>
    <w:rsid w:val="17A952CB"/>
    <w:rsid w:val="17AA159E"/>
    <w:rsid w:val="17AB353A"/>
    <w:rsid w:val="17B55656"/>
    <w:rsid w:val="17C7BEEB"/>
    <w:rsid w:val="17C7D073"/>
    <w:rsid w:val="17D832BC"/>
    <w:rsid w:val="17E59A27"/>
    <w:rsid w:val="17E746FD"/>
    <w:rsid w:val="17EE0593"/>
    <w:rsid w:val="17F3B669"/>
    <w:rsid w:val="17FAE719"/>
    <w:rsid w:val="180C348D"/>
    <w:rsid w:val="180C867E"/>
    <w:rsid w:val="18124C41"/>
    <w:rsid w:val="182A56C1"/>
    <w:rsid w:val="182B41CD"/>
    <w:rsid w:val="182E52D0"/>
    <w:rsid w:val="182F5FA0"/>
    <w:rsid w:val="18316532"/>
    <w:rsid w:val="1831BF74"/>
    <w:rsid w:val="183297DE"/>
    <w:rsid w:val="183351E7"/>
    <w:rsid w:val="183602F2"/>
    <w:rsid w:val="1836CF8C"/>
    <w:rsid w:val="183DFF95"/>
    <w:rsid w:val="1846D6BF"/>
    <w:rsid w:val="184A9DC5"/>
    <w:rsid w:val="184CDC62"/>
    <w:rsid w:val="18508986"/>
    <w:rsid w:val="1851FD60"/>
    <w:rsid w:val="185303AA"/>
    <w:rsid w:val="1873CF29"/>
    <w:rsid w:val="1874144B"/>
    <w:rsid w:val="187813D5"/>
    <w:rsid w:val="1879E1AE"/>
    <w:rsid w:val="1880824F"/>
    <w:rsid w:val="188D2939"/>
    <w:rsid w:val="189B47CC"/>
    <w:rsid w:val="189D966C"/>
    <w:rsid w:val="18A94DD8"/>
    <w:rsid w:val="18B34139"/>
    <w:rsid w:val="18BF0804"/>
    <w:rsid w:val="18C7E831"/>
    <w:rsid w:val="18C904D0"/>
    <w:rsid w:val="18CA231A"/>
    <w:rsid w:val="18D07784"/>
    <w:rsid w:val="18E04602"/>
    <w:rsid w:val="18E0F01F"/>
    <w:rsid w:val="18E3D8C4"/>
    <w:rsid w:val="18E4DF0E"/>
    <w:rsid w:val="18E5963D"/>
    <w:rsid w:val="18E6297F"/>
    <w:rsid w:val="18ED90A0"/>
    <w:rsid w:val="18F4E5B3"/>
    <w:rsid w:val="18FC5B19"/>
    <w:rsid w:val="190261E4"/>
    <w:rsid w:val="19087E27"/>
    <w:rsid w:val="190EFCB0"/>
    <w:rsid w:val="1911A9BF"/>
    <w:rsid w:val="1917CD75"/>
    <w:rsid w:val="191C5B20"/>
    <w:rsid w:val="191EEE95"/>
    <w:rsid w:val="193AB348"/>
    <w:rsid w:val="193CF0E7"/>
    <w:rsid w:val="195A5F84"/>
    <w:rsid w:val="195E6572"/>
    <w:rsid w:val="195F8511"/>
    <w:rsid w:val="1972A6D0"/>
    <w:rsid w:val="197E7767"/>
    <w:rsid w:val="1986BFD9"/>
    <w:rsid w:val="19873013"/>
    <w:rsid w:val="19877D73"/>
    <w:rsid w:val="198EEAC8"/>
    <w:rsid w:val="198F729D"/>
    <w:rsid w:val="1991679B"/>
    <w:rsid w:val="199EB946"/>
    <w:rsid w:val="199EC421"/>
    <w:rsid w:val="199F0E6D"/>
    <w:rsid w:val="19A451AC"/>
    <w:rsid w:val="19AAB7DE"/>
    <w:rsid w:val="19AB5B5A"/>
    <w:rsid w:val="19AD6265"/>
    <w:rsid w:val="19B93FC5"/>
    <w:rsid w:val="19C4279D"/>
    <w:rsid w:val="19C8209E"/>
    <w:rsid w:val="19D1D027"/>
    <w:rsid w:val="19D569FE"/>
    <w:rsid w:val="19E04B31"/>
    <w:rsid w:val="19E46870"/>
    <w:rsid w:val="19F55B46"/>
    <w:rsid w:val="19F7008F"/>
    <w:rsid w:val="19FBA9A2"/>
    <w:rsid w:val="1A029A51"/>
    <w:rsid w:val="1A0829B4"/>
    <w:rsid w:val="1A23D026"/>
    <w:rsid w:val="1A2CDA8E"/>
    <w:rsid w:val="1A32C999"/>
    <w:rsid w:val="1A32F781"/>
    <w:rsid w:val="1A45EB58"/>
    <w:rsid w:val="1A4D5E0C"/>
    <w:rsid w:val="1A50DF49"/>
    <w:rsid w:val="1A5571D5"/>
    <w:rsid w:val="1A5A9701"/>
    <w:rsid w:val="1A5EE0E4"/>
    <w:rsid w:val="1A64A9C7"/>
    <w:rsid w:val="1A64BE29"/>
    <w:rsid w:val="1A64C193"/>
    <w:rsid w:val="1A6D6B42"/>
    <w:rsid w:val="1A6D9B16"/>
    <w:rsid w:val="1A70A399"/>
    <w:rsid w:val="1A89CAEA"/>
    <w:rsid w:val="1A9D4795"/>
    <w:rsid w:val="1AA1BF15"/>
    <w:rsid w:val="1AA9D761"/>
    <w:rsid w:val="1AB26231"/>
    <w:rsid w:val="1AB35E93"/>
    <w:rsid w:val="1AB98201"/>
    <w:rsid w:val="1AB9E2CE"/>
    <w:rsid w:val="1ABDA4EF"/>
    <w:rsid w:val="1AC349C3"/>
    <w:rsid w:val="1ACEBC97"/>
    <w:rsid w:val="1AD66660"/>
    <w:rsid w:val="1ADAB458"/>
    <w:rsid w:val="1AF83C70"/>
    <w:rsid w:val="1AF90D7A"/>
    <w:rsid w:val="1B045E9C"/>
    <w:rsid w:val="1B14C5F0"/>
    <w:rsid w:val="1B15EE6F"/>
    <w:rsid w:val="1B241D56"/>
    <w:rsid w:val="1B30072A"/>
    <w:rsid w:val="1B34020D"/>
    <w:rsid w:val="1B3DFF07"/>
    <w:rsid w:val="1B3F8DFF"/>
    <w:rsid w:val="1B40DB54"/>
    <w:rsid w:val="1B466952"/>
    <w:rsid w:val="1B46D242"/>
    <w:rsid w:val="1B4FE3C6"/>
    <w:rsid w:val="1B580631"/>
    <w:rsid w:val="1B5B7F5E"/>
    <w:rsid w:val="1B65FAF2"/>
    <w:rsid w:val="1B739DEE"/>
    <w:rsid w:val="1B765F70"/>
    <w:rsid w:val="1B769076"/>
    <w:rsid w:val="1B7DF1B8"/>
    <w:rsid w:val="1B824360"/>
    <w:rsid w:val="1B8DABB9"/>
    <w:rsid w:val="1B8F37F3"/>
    <w:rsid w:val="1B96D07D"/>
    <w:rsid w:val="1B9E8B32"/>
    <w:rsid w:val="1BA0B1C8"/>
    <w:rsid w:val="1BA343A6"/>
    <w:rsid w:val="1BA59887"/>
    <w:rsid w:val="1BBA329F"/>
    <w:rsid w:val="1BBFE77C"/>
    <w:rsid w:val="1BC021AA"/>
    <w:rsid w:val="1BC47BE5"/>
    <w:rsid w:val="1BD85080"/>
    <w:rsid w:val="1BDDBF7D"/>
    <w:rsid w:val="1BE56D3C"/>
    <w:rsid w:val="1BEECBA4"/>
    <w:rsid w:val="1BF6D1DC"/>
    <w:rsid w:val="1BF7B04D"/>
    <w:rsid w:val="1C0B4DDF"/>
    <w:rsid w:val="1C12A639"/>
    <w:rsid w:val="1C1F7A3B"/>
    <w:rsid w:val="1C252735"/>
    <w:rsid w:val="1C257398"/>
    <w:rsid w:val="1C2F48B9"/>
    <w:rsid w:val="1C31AB1A"/>
    <w:rsid w:val="1C4527BA"/>
    <w:rsid w:val="1C51B82F"/>
    <w:rsid w:val="1C528EA2"/>
    <w:rsid w:val="1C5876EF"/>
    <w:rsid w:val="1C5D3D79"/>
    <w:rsid w:val="1C6C155C"/>
    <w:rsid w:val="1C753C0A"/>
    <w:rsid w:val="1C78376F"/>
    <w:rsid w:val="1C7EE5EE"/>
    <w:rsid w:val="1C837D9B"/>
    <w:rsid w:val="1C8BDA4A"/>
    <w:rsid w:val="1C8C3915"/>
    <w:rsid w:val="1C91A554"/>
    <w:rsid w:val="1C9D891C"/>
    <w:rsid w:val="1CA9B01A"/>
    <w:rsid w:val="1CB33B17"/>
    <w:rsid w:val="1CBA2ED9"/>
    <w:rsid w:val="1CC05A17"/>
    <w:rsid w:val="1CD55E2C"/>
    <w:rsid w:val="1CD67ACB"/>
    <w:rsid w:val="1CD7CBE6"/>
    <w:rsid w:val="1CDBA4A2"/>
    <w:rsid w:val="1CEDB4B6"/>
    <w:rsid w:val="1CEEA2C6"/>
    <w:rsid w:val="1CF051A5"/>
    <w:rsid w:val="1CF2BEC3"/>
    <w:rsid w:val="1D03BEEB"/>
    <w:rsid w:val="1D0D3607"/>
    <w:rsid w:val="1D102B73"/>
    <w:rsid w:val="1D1369D5"/>
    <w:rsid w:val="1D13FB2C"/>
    <w:rsid w:val="1D2AE724"/>
    <w:rsid w:val="1D2D32A7"/>
    <w:rsid w:val="1D2FAAD1"/>
    <w:rsid w:val="1D31B227"/>
    <w:rsid w:val="1D387C44"/>
    <w:rsid w:val="1D39911D"/>
    <w:rsid w:val="1D3FB868"/>
    <w:rsid w:val="1D4A2786"/>
    <w:rsid w:val="1D5CCE0C"/>
    <w:rsid w:val="1D7082C1"/>
    <w:rsid w:val="1D70B3C9"/>
    <w:rsid w:val="1D74AD3C"/>
    <w:rsid w:val="1D772508"/>
    <w:rsid w:val="1D77AFB7"/>
    <w:rsid w:val="1D8A04E5"/>
    <w:rsid w:val="1D8F9752"/>
    <w:rsid w:val="1D91627D"/>
    <w:rsid w:val="1D983E06"/>
    <w:rsid w:val="1D9D5CE2"/>
    <w:rsid w:val="1DA87F2B"/>
    <w:rsid w:val="1DAC2F41"/>
    <w:rsid w:val="1DB6B845"/>
    <w:rsid w:val="1DBD526E"/>
    <w:rsid w:val="1DC2D70A"/>
    <w:rsid w:val="1DD0A8C0"/>
    <w:rsid w:val="1DE360EA"/>
    <w:rsid w:val="1DF0EC18"/>
    <w:rsid w:val="1DF1E2A5"/>
    <w:rsid w:val="1DF1EFC1"/>
    <w:rsid w:val="1E04768A"/>
    <w:rsid w:val="1E06FF56"/>
    <w:rsid w:val="1E0C43CE"/>
    <w:rsid w:val="1E0F6683"/>
    <w:rsid w:val="1E16D937"/>
    <w:rsid w:val="1E1B8985"/>
    <w:rsid w:val="1E1DF0E1"/>
    <w:rsid w:val="1E1EFE9E"/>
    <w:rsid w:val="1E22CB8C"/>
    <w:rsid w:val="1E27821B"/>
    <w:rsid w:val="1E2E5BEF"/>
    <w:rsid w:val="1E36D55A"/>
    <w:rsid w:val="1E398FD9"/>
    <w:rsid w:val="1E436004"/>
    <w:rsid w:val="1E45F9E2"/>
    <w:rsid w:val="1E46555C"/>
    <w:rsid w:val="1E46DD8D"/>
    <w:rsid w:val="1E4A6356"/>
    <w:rsid w:val="1E52E0A2"/>
    <w:rsid w:val="1E5569DD"/>
    <w:rsid w:val="1E577DF5"/>
    <w:rsid w:val="1E6022CA"/>
    <w:rsid w:val="1E61C605"/>
    <w:rsid w:val="1E63E432"/>
    <w:rsid w:val="1E6D3D16"/>
    <w:rsid w:val="1E79FA7E"/>
    <w:rsid w:val="1E7AE13D"/>
    <w:rsid w:val="1E7D0C81"/>
    <w:rsid w:val="1E8BB470"/>
    <w:rsid w:val="1E9010DC"/>
    <w:rsid w:val="1E909D8D"/>
    <w:rsid w:val="1E973BA3"/>
    <w:rsid w:val="1E976890"/>
    <w:rsid w:val="1EAAFFB5"/>
    <w:rsid w:val="1EB6AF75"/>
    <w:rsid w:val="1EDC0BB5"/>
    <w:rsid w:val="1EDC3292"/>
    <w:rsid w:val="1EE0CA60"/>
    <w:rsid w:val="1EE3B17C"/>
    <w:rsid w:val="1EF99329"/>
    <w:rsid w:val="1F07CFFD"/>
    <w:rsid w:val="1F111C5C"/>
    <w:rsid w:val="1F208A61"/>
    <w:rsid w:val="1F238246"/>
    <w:rsid w:val="1F2AE6D6"/>
    <w:rsid w:val="1F2BB05A"/>
    <w:rsid w:val="1F373A15"/>
    <w:rsid w:val="1F387B62"/>
    <w:rsid w:val="1F496415"/>
    <w:rsid w:val="1F4CE3A4"/>
    <w:rsid w:val="1F4E8420"/>
    <w:rsid w:val="1F533FF4"/>
    <w:rsid w:val="1F5474B8"/>
    <w:rsid w:val="1F56134B"/>
    <w:rsid w:val="1F56CB86"/>
    <w:rsid w:val="1F5B75A5"/>
    <w:rsid w:val="1F682888"/>
    <w:rsid w:val="1F6D7583"/>
    <w:rsid w:val="1F6E0571"/>
    <w:rsid w:val="1F6FE33D"/>
    <w:rsid w:val="1F815D12"/>
    <w:rsid w:val="1F8A98B1"/>
    <w:rsid w:val="1F8CF6D4"/>
    <w:rsid w:val="1F928EF7"/>
    <w:rsid w:val="1F962E56"/>
    <w:rsid w:val="1F9644DD"/>
    <w:rsid w:val="1F99D6A4"/>
    <w:rsid w:val="1F9CE0BF"/>
    <w:rsid w:val="1FC1868F"/>
    <w:rsid w:val="1FD56086"/>
    <w:rsid w:val="1FD9CA3F"/>
    <w:rsid w:val="1FDF9CC5"/>
    <w:rsid w:val="1FE6F933"/>
    <w:rsid w:val="1FFF4862"/>
    <w:rsid w:val="2000A51F"/>
    <w:rsid w:val="200CA59E"/>
    <w:rsid w:val="20166723"/>
    <w:rsid w:val="2024F0D1"/>
    <w:rsid w:val="202F71B5"/>
    <w:rsid w:val="20343AB1"/>
    <w:rsid w:val="20351369"/>
    <w:rsid w:val="2036C2C7"/>
    <w:rsid w:val="203B27B0"/>
    <w:rsid w:val="203C84E2"/>
    <w:rsid w:val="2043E234"/>
    <w:rsid w:val="204D74AD"/>
    <w:rsid w:val="2054A19A"/>
    <w:rsid w:val="205E98D6"/>
    <w:rsid w:val="2062CA01"/>
    <w:rsid w:val="207609FD"/>
    <w:rsid w:val="207FF39B"/>
    <w:rsid w:val="208E02E4"/>
    <w:rsid w:val="208E731E"/>
    <w:rsid w:val="20A7B0AB"/>
    <w:rsid w:val="20AAC1AE"/>
    <w:rsid w:val="20ABB326"/>
    <w:rsid w:val="20C2BB1B"/>
    <w:rsid w:val="20C5FAD7"/>
    <w:rsid w:val="20C860EC"/>
    <w:rsid w:val="20D1AADC"/>
    <w:rsid w:val="20D2D238"/>
    <w:rsid w:val="20D66310"/>
    <w:rsid w:val="20DB775B"/>
    <w:rsid w:val="20DCC09C"/>
    <w:rsid w:val="20DE76D9"/>
    <w:rsid w:val="20EAF340"/>
    <w:rsid w:val="20F640F5"/>
    <w:rsid w:val="20FCF12D"/>
    <w:rsid w:val="20FED889"/>
    <w:rsid w:val="21004857"/>
    <w:rsid w:val="2100EECE"/>
    <w:rsid w:val="2108EB92"/>
    <w:rsid w:val="210B70B0"/>
    <w:rsid w:val="21102EC6"/>
    <w:rsid w:val="21199476"/>
    <w:rsid w:val="21212D00"/>
    <w:rsid w:val="212A2477"/>
    <w:rsid w:val="213174C0"/>
    <w:rsid w:val="2135725F"/>
    <w:rsid w:val="2146C54F"/>
    <w:rsid w:val="214C7628"/>
    <w:rsid w:val="214CE662"/>
    <w:rsid w:val="21537E27"/>
    <w:rsid w:val="215CEF35"/>
    <w:rsid w:val="215E449A"/>
    <w:rsid w:val="215F4B6D"/>
    <w:rsid w:val="2161085A"/>
    <w:rsid w:val="216A29CA"/>
    <w:rsid w:val="2170053A"/>
    <w:rsid w:val="219262BB"/>
    <w:rsid w:val="21A1476B"/>
    <w:rsid w:val="21A1ABCF"/>
    <w:rsid w:val="21A44F25"/>
    <w:rsid w:val="21B001B3"/>
    <w:rsid w:val="21B5C7B1"/>
    <w:rsid w:val="21B67F25"/>
    <w:rsid w:val="21B9A53C"/>
    <w:rsid w:val="21BD8DF3"/>
    <w:rsid w:val="21C00422"/>
    <w:rsid w:val="21C2EAAF"/>
    <w:rsid w:val="21D30F8C"/>
    <w:rsid w:val="21E0EA03"/>
    <w:rsid w:val="21E3CF67"/>
    <w:rsid w:val="21E8BC68"/>
    <w:rsid w:val="21E93D4F"/>
    <w:rsid w:val="21EAE00D"/>
    <w:rsid w:val="21EB08F9"/>
    <w:rsid w:val="21EDF08A"/>
    <w:rsid w:val="21FE9C2B"/>
    <w:rsid w:val="21FFB37A"/>
    <w:rsid w:val="22012F8E"/>
    <w:rsid w:val="22061CC8"/>
    <w:rsid w:val="220FBF58"/>
    <w:rsid w:val="22136628"/>
    <w:rsid w:val="22136D6F"/>
    <w:rsid w:val="221791FA"/>
    <w:rsid w:val="221CFEA9"/>
    <w:rsid w:val="221E1635"/>
    <w:rsid w:val="222D86C3"/>
    <w:rsid w:val="2240967B"/>
    <w:rsid w:val="224FE05B"/>
    <w:rsid w:val="226CDC8E"/>
    <w:rsid w:val="22798268"/>
    <w:rsid w:val="22847664"/>
    <w:rsid w:val="22858D6A"/>
    <w:rsid w:val="22880536"/>
    <w:rsid w:val="22885738"/>
    <w:rsid w:val="22951FE6"/>
    <w:rsid w:val="229A87F6"/>
    <w:rsid w:val="229DB0CD"/>
    <w:rsid w:val="22A058A2"/>
    <w:rsid w:val="22A9496C"/>
    <w:rsid w:val="22B7025E"/>
    <w:rsid w:val="22B70378"/>
    <w:rsid w:val="22B982E2"/>
    <w:rsid w:val="22BDCECB"/>
    <w:rsid w:val="22C25A36"/>
    <w:rsid w:val="22C37871"/>
    <w:rsid w:val="22CB5531"/>
    <w:rsid w:val="22D21259"/>
    <w:rsid w:val="22D93C46"/>
    <w:rsid w:val="22DEFDC2"/>
    <w:rsid w:val="22E470FF"/>
    <w:rsid w:val="22FEF5C8"/>
    <w:rsid w:val="230327B9"/>
    <w:rsid w:val="231176F0"/>
    <w:rsid w:val="2317032C"/>
    <w:rsid w:val="23197AF8"/>
    <w:rsid w:val="2319B673"/>
    <w:rsid w:val="2322AC18"/>
    <w:rsid w:val="232D7FFE"/>
    <w:rsid w:val="232E1864"/>
    <w:rsid w:val="232E6CAB"/>
    <w:rsid w:val="234400AE"/>
    <w:rsid w:val="23453D73"/>
    <w:rsid w:val="2346CA7C"/>
    <w:rsid w:val="234BA4DE"/>
    <w:rsid w:val="2358F0CC"/>
    <w:rsid w:val="235A19EB"/>
    <w:rsid w:val="236A25AE"/>
    <w:rsid w:val="236AC4EB"/>
    <w:rsid w:val="237A77D9"/>
    <w:rsid w:val="237B82B3"/>
    <w:rsid w:val="238A059B"/>
    <w:rsid w:val="2394E631"/>
    <w:rsid w:val="2396A7E1"/>
    <w:rsid w:val="2399C306"/>
    <w:rsid w:val="239DF229"/>
    <w:rsid w:val="23A0C456"/>
    <w:rsid w:val="23ACB39F"/>
    <w:rsid w:val="23BAD263"/>
    <w:rsid w:val="23BFE013"/>
    <w:rsid w:val="23C0687F"/>
    <w:rsid w:val="23C83BDB"/>
    <w:rsid w:val="23E161AB"/>
    <w:rsid w:val="23E7E3A1"/>
    <w:rsid w:val="23F4F7C1"/>
    <w:rsid w:val="2400B2CF"/>
    <w:rsid w:val="240169A3"/>
    <w:rsid w:val="24093B8E"/>
    <w:rsid w:val="241A6D5F"/>
    <w:rsid w:val="24213284"/>
    <w:rsid w:val="2436696A"/>
    <w:rsid w:val="24373E08"/>
    <w:rsid w:val="24394830"/>
    <w:rsid w:val="2439F5F7"/>
    <w:rsid w:val="24509DC0"/>
    <w:rsid w:val="24536047"/>
    <w:rsid w:val="2454AAB8"/>
    <w:rsid w:val="246264F2"/>
    <w:rsid w:val="24665C44"/>
    <w:rsid w:val="2468E913"/>
    <w:rsid w:val="246984B9"/>
    <w:rsid w:val="24757029"/>
    <w:rsid w:val="24872FBE"/>
    <w:rsid w:val="248849FF"/>
    <w:rsid w:val="248F1517"/>
    <w:rsid w:val="2493DD8A"/>
    <w:rsid w:val="249D98B6"/>
    <w:rsid w:val="24AD8E1C"/>
    <w:rsid w:val="24AFE466"/>
    <w:rsid w:val="24CE270D"/>
    <w:rsid w:val="24E6C8EA"/>
    <w:rsid w:val="24EC87CF"/>
    <w:rsid w:val="24F5B14C"/>
    <w:rsid w:val="24F8693B"/>
    <w:rsid w:val="24F924F4"/>
    <w:rsid w:val="24FBD625"/>
    <w:rsid w:val="24FD6C01"/>
    <w:rsid w:val="25068D87"/>
    <w:rsid w:val="2508A7F3"/>
    <w:rsid w:val="250A2FDF"/>
    <w:rsid w:val="252E1716"/>
    <w:rsid w:val="253283CC"/>
    <w:rsid w:val="25388446"/>
    <w:rsid w:val="253C0E86"/>
    <w:rsid w:val="253D58E3"/>
    <w:rsid w:val="253E1865"/>
    <w:rsid w:val="254E06EF"/>
    <w:rsid w:val="2552E9A9"/>
    <w:rsid w:val="25558790"/>
    <w:rsid w:val="2559C677"/>
    <w:rsid w:val="2559EC23"/>
    <w:rsid w:val="255CBBAB"/>
    <w:rsid w:val="2563DC7F"/>
    <w:rsid w:val="256566E5"/>
    <w:rsid w:val="2569F0C3"/>
    <w:rsid w:val="2577166B"/>
    <w:rsid w:val="25810575"/>
    <w:rsid w:val="25881CDD"/>
    <w:rsid w:val="25889105"/>
    <w:rsid w:val="258AD4A1"/>
    <w:rsid w:val="258F49DF"/>
    <w:rsid w:val="25A7609A"/>
    <w:rsid w:val="25A9F492"/>
    <w:rsid w:val="25BBDF45"/>
    <w:rsid w:val="25C1DD4D"/>
    <w:rsid w:val="25C5C993"/>
    <w:rsid w:val="25D8863B"/>
    <w:rsid w:val="25DA543E"/>
    <w:rsid w:val="25DACAB0"/>
    <w:rsid w:val="25E39FE9"/>
    <w:rsid w:val="25E4614B"/>
    <w:rsid w:val="25E9B037"/>
    <w:rsid w:val="25F7E04F"/>
    <w:rsid w:val="25F84C23"/>
    <w:rsid w:val="25FF38A7"/>
    <w:rsid w:val="260A38CC"/>
    <w:rsid w:val="2610404E"/>
    <w:rsid w:val="26120306"/>
    <w:rsid w:val="26156664"/>
    <w:rsid w:val="26173530"/>
    <w:rsid w:val="26185F67"/>
    <w:rsid w:val="261C50DE"/>
    <w:rsid w:val="26203208"/>
    <w:rsid w:val="262408EF"/>
    <w:rsid w:val="2626AA41"/>
    <w:rsid w:val="262775D9"/>
    <w:rsid w:val="2629AD5F"/>
    <w:rsid w:val="26331707"/>
    <w:rsid w:val="2638DCD7"/>
    <w:rsid w:val="26403DC0"/>
    <w:rsid w:val="2640D538"/>
    <w:rsid w:val="26412D8D"/>
    <w:rsid w:val="264C7C25"/>
    <w:rsid w:val="264EAFEE"/>
    <w:rsid w:val="264F470D"/>
    <w:rsid w:val="26505C34"/>
    <w:rsid w:val="2652CAA5"/>
    <w:rsid w:val="2652CBDE"/>
    <w:rsid w:val="265A01DC"/>
    <w:rsid w:val="265E4BFA"/>
    <w:rsid w:val="266746B2"/>
    <w:rsid w:val="267A1520"/>
    <w:rsid w:val="2682AB26"/>
    <w:rsid w:val="26886B2E"/>
    <w:rsid w:val="268B8D60"/>
    <w:rsid w:val="268D0F18"/>
    <w:rsid w:val="26B58254"/>
    <w:rsid w:val="26BAFEED"/>
    <w:rsid w:val="26C399A5"/>
    <w:rsid w:val="26C4FBB6"/>
    <w:rsid w:val="26C74D5A"/>
    <w:rsid w:val="26CC449F"/>
    <w:rsid w:val="26F54501"/>
    <w:rsid w:val="270177D2"/>
    <w:rsid w:val="2708DCAE"/>
    <w:rsid w:val="27106492"/>
    <w:rsid w:val="27113B8E"/>
    <w:rsid w:val="271775A7"/>
    <w:rsid w:val="271A8739"/>
    <w:rsid w:val="27232BD2"/>
    <w:rsid w:val="272C0852"/>
    <w:rsid w:val="2738C5CD"/>
    <w:rsid w:val="273F0D3E"/>
    <w:rsid w:val="27407532"/>
    <w:rsid w:val="27462247"/>
    <w:rsid w:val="275F4AA4"/>
    <w:rsid w:val="276911BB"/>
    <w:rsid w:val="27728FDB"/>
    <w:rsid w:val="2776FE26"/>
    <w:rsid w:val="27776088"/>
    <w:rsid w:val="2778D856"/>
    <w:rsid w:val="2782AA52"/>
    <w:rsid w:val="278A36C0"/>
    <w:rsid w:val="278BE05E"/>
    <w:rsid w:val="278FE95D"/>
    <w:rsid w:val="2795231F"/>
    <w:rsid w:val="2798E367"/>
    <w:rsid w:val="27AE3500"/>
    <w:rsid w:val="27B86E3C"/>
    <w:rsid w:val="27B8CDD1"/>
    <w:rsid w:val="27BD43FC"/>
    <w:rsid w:val="27BF0DEE"/>
    <w:rsid w:val="27C81AF2"/>
    <w:rsid w:val="27C96F01"/>
    <w:rsid w:val="27D033B3"/>
    <w:rsid w:val="27D2F263"/>
    <w:rsid w:val="27D939FF"/>
    <w:rsid w:val="27DAAD18"/>
    <w:rsid w:val="27ED6E4A"/>
    <w:rsid w:val="27FABA4E"/>
    <w:rsid w:val="281EC0EF"/>
    <w:rsid w:val="281F0880"/>
    <w:rsid w:val="283376E7"/>
    <w:rsid w:val="2835164B"/>
    <w:rsid w:val="28353CC5"/>
    <w:rsid w:val="2838C97D"/>
    <w:rsid w:val="2842C2DF"/>
    <w:rsid w:val="284D8613"/>
    <w:rsid w:val="2855903E"/>
    <w:rsid w:val="285A3387"/>
    <w:rsid w:val="285B3D96"/>
    <w:rsid w:val="2868BD48"/>
    <w:rsid w:val="286C7BEE"/>
    <w:rsid w:val="28789CDE"/>
    <w:rsid w:val="28877A8D"/>
    <w:rsid w:val="2889C3E3"/>
    <w:rsid w:val="288D2C72"/>
    <w:rsid w:val="288FD5E7"/>
    <w:rsid w:val="289972F5"/>
    <w:rsid w:val="28A9E47E"/>
    <w:rsid w:val="28ADF1A0"/>
    <w:rsid w:val="28B4CA38"/>
    <w:rsid w:val="28BB0417"/>
    <w:rsid w:val="28BC1149"/>
    <w:rsid w:val="28C382D8"/>
    <w:rsid w:val="28D8A79C"/>
    <w:rsid w:val="28DE9CB5"/>
    <w:rsid w:val="28E08C70"/>
    <w:rsid w:val="28EFDC05"/>
    <w:rsid w:val="2905DF36"/>
    <w:rsid w:val="29129CB1"/>
    <w:rsid w:val="291AB07A"/>
    <w:rsid w:val="29298725"/>
    <w:rsid w:val="292B923D"/>
    <w:rsid w:val="292F502B"/>
    <w:rsid w:val="293E5C05"/>
    <w:rsid w:val="29401ED1"/>
    <w:rsid w:val="2949E000"/>
    <w:rsid w:val="29505E55"/>
    <w:rsid w:val="2959590D"/>
    <w:rsid w:val="29598ABA"/>
    <w:rsid w:val="29687B70"/>
    <w:rsid w:val="2968CB63"/>
    <w:rsid w:val="296C277B"/>
    <w:rsid w:val="296EFCEF"/>
    <w:rsid w:val="2976C8A9"/>
    <w:rsid w:val="297943D7"/>
    <w:rsid w:val="298249B0"/>
    <w:rsid w:val="2982D06B"/>
    <w:rsid w:val="29855A70"/>
    <w:rsid w:val="298D7FD7"/>
    <w:rsid w:val="29971AE0"/>
    <w:rsid w:val="29A60510"/>
    <w:rsid w:val="29AC590D"/>
    <w:rsid w:val="29AD1148"/>
    <w:rsid w:val="29BE5B30"/>
    <w:rsid w:val="29C19A8B"/>
    <w:rsid w:val="29C44B33"/>
    <w:rsid w:val="29C606D4"/>
    <w:rsid w:val="29C98402"/>
    <w:rsid w:val="29DE6449"/>
    <w:rsid w:val="29E40B93"/>
    <w:rsid w:val="29E6CB12"/>
    <w:rsid w:val="29E96276"/>
    <w:rsid w:val="2A11089E"/>
    <w:rsid w:val="2A11455E"/>
    <w:rsid w:val="2A132DD4"/>
    <w:rsid w:val="2A1C26CF"/>
    <w:rsid w:val="2A220C67"/>
    <w:rsid w:val="2A25DB67"/>
    <w:rsid w:val="2A3DE091"/>
    <w:rsid w:val="2A42942C"/>
    <w:rsid w:val="2A473DDE"/>
    <w:rsid w:val="2A4CBBE3"/>
    <w:rsid w:val="2A580F75"/>
    <w:rsid w:val="2A5A8D99"/>
    <w:rsid w:val="2A61BD00"/>
    <w:rsid w:val="2A66025E"/>
    <w:rsid w:val="2A671F5D"/>
    <w:rsid w:val="2A6777D7"/>
    <w:rsid w:val="2A733F41"/>
    <w:rsid w:val="2A73BBB1"/>
    <w:rsid w:val="2A74BCAD"/>
    <w:rsid w:val="2A7DC309"/>
    <w:rsid w:val="2A800DCF"/>
    <w:rsid w:val="2A847A18"/>
    <w:rsid w:val="2A90DFE2"/>
    <w:rsid w:val="2A97329E"/>
    <w:rsid w:val="2AA0C1E7"/>
    <w:rsid w:val="2AAC75D8"/>
    <w:rsid w:val="2AAE045C"/>
    <w:rsid w:val="2ABA0678"/>
    <w:rsid w:val="2ABD0559"/>
    <w:rsid w:val="2ABEE5F3"/>
    <w:rsid w:val="2AC2033F"/>
    <w:rsid w:val="2ACD44DD"/>
    <w:rsid w:val="2ACEDD2D"/>
    <w:rsid w:val="2AD63F95"/>
    <w:rsid w:val="2ADBF6BC"/>
    <w:rsid w:val="2ADC894B"/>
    <w:rsid w:val="2ADD462C"/>
    <w:rsid w:val="2AEC4D31"/>
    <w:rsid w:val="2AECCCA9"/>
    <w:rsid w:val="2AEFDE4B"/>
    <w:rsid w:val="2AF794ED"/>
    <w:rsid w:val="2B0B61F8"/>
    <w:rsid w:val="2B1009FF"/>
    <w:rsid w:val="2B14BA8A"/>
    <w:rsid w:val="2B1B6B97"/>
    <w:rsid w:val="2B1C8233"/>
    <w:rsid w:val="2B21504D"/>
    <w:rsid w:val="2B21F51A"/>
    <w:rsid w:val="2B2720B0"/>
    <w:rsid w:val="2B397E4D"/>
    <w:rsid w:val="2B3A47DE"/>
    <w:rsid w:val="2B3E8113"/>
    <w:rsid w:val="2B47A299"/>
    <w:rsid w:val="2B4FC3F7"/>
    <w:rsid w:val="2B53310E"/>
    <w:rsid w:val="2B675955"/>
    <w:rsid w:val="2B677B12"/>
    <w:rsid w:val="2B6926C5"/>
    <w:rsid w:val="2B7A142C"/>
    <w:rsid w:val="2B822990"/>
    <w:rsid w:val="2B8B2846"/>
    <w:rsid w:val="2B8B7AB8"/>
    <w:rsid w:val="2B8EAD79"/>
    <w:rsid w:val="2B9270A9"/>
    <w:rsid w:val="2B938C3C"/>
    <w:rsid w:val="2B97A290"/>
    <w:rsid w:val="2B9B716F"/>
    <w:rsid w:val="2BAA2775"/>
    <w:rsid w:val="2BBD8D7C"/>
    <w:rsid w:val="2BBEB093"/>
    <w:rsid w:val="2BC42466"/>
    <w:rsid w:val="2BC4BAB6"/>
    <w:rsid w:val="2BD579A7"/>
    <w:rsid w:val="2BD76362"/>
    <w:rsid w:val="2BD9C81A"/>
    <w:rsid w:val="2BDB1C40"/>
    <w:rsid w:val="2BDE494F"/>
    <w:rsid w:val="2BE4CE10"/>
    <w:rsid w:val="2BE7B2D9"/>
    <w:rsid w:val="2BF3487E"/>
    <w:rsid w:val="2BF4D9CD"/>
    <w:rsid w:val="2BF5FDB3"/>
    <w:rsid w:val="2BF7F191"/>
    <w:rsid w:val="2C0615DD"/>
    <w:rsid w:val="2C074407"/>
    <w:rsid w:val="2C083049"/>
    <w:rsid w:val="2C095F7C"/>
    <w:rsid w:val="2C1A562C"/>
    <w:rsid w:val="2C1DA498"/>
    <w:rsid w:val="2C277CC7"/>
    <w:rsid w:val="2C349C45"/>
    <w:rsid w:val="2C3EC7EF"/>
    <w:rsid w:val="2C49A5FB"/>
    <w:rsid w:val="2C4BC8DB"/>
    <w:rsid w:val="2C61F201"/>
    <w:rsid w:val="2C650A1E"/>
    <w:rsid w:val="2C6CC824"/>
    <w:rsid w:val="2C6F35E1"/>
    <w:rsid w:val="2C6FE40C"/>
    <w:rsid w:val="2C71D547"/>
    <w:rsid w:val="2C775163"/>
    <w:rsid w:val="2C7E632E"/>
    <w:rsid w:val="2C81AABA"/>
    <w:rsid w:val="2C88D01E"/>
    <w:rsid w:val="2C8AE139"/>
    <w:rsid w:val="2C9768EE"/>
    <w:rsid w:val="2C9E0C46"/>
    <w:rsid w:val="2CA6261D"/>
    <w:rsid w:val="2CA81E9E"/>
    <w:rsid w:val="2CA964AE"/>
    <w:rsid w:val="2CB65D8E"/>
    <w:rsid w:val="2CB664D5"/>
    <w:rsid w:val="2CC74289"/>
    <w:rsid w:val="2CC886FC"/>
    <w:rsid w:val="2CD27292"/>
    <w:rsid w:val="2CD9EA64"/>
    <w:rsid w:val="2CDC17DC"/>
    <w:rsid w:val="2CF32C8C"/>
    <w:rsid w:val="2CF4EE05"/>
    <w:rsid w:val="2CFAC48F"/>
    <w:rsid w:val="2CFC13FF"/>
    <w:rsid w:val="2D0FC8A4"/>
    <w:rsid w:val="2D181D29"/>
    <w:rsid w:val="2D272970"/>
    <w:rsid w:val="2D2A2FCB"/>
    <w:rsid w:val="2D31BA37"/>
    <w:rsid w:val="2D3E0576"/>
    <w:rsid w:val="2D41D16A"/>
    <w:rsid w:val="2D624467"/>
    <w:rsid w:val="2D66FBA1"/>
    <w:rsid w:val="2D69FBBB"/>
    <w:rsid w:val="2D768C73"/>
    <w:rsid w:val="2D79ACE0"/>
    <w:rsid w:val="2D81B965"/>
    <w:rsid w:val="2D8C3A51"/>
    <w:rsid w:val="2D926D3F"/>
    <w:rsid w:val="2DA15EB9"/>
    <w:rsid w:val="2DAA5323"/>
    <w:rsid w:val="2DAD5E47"/>
    <w:rsid w:val="2DB7A7D6"/>
    <w:rsid w:val="2DBC84A3"/>
    <w:rsid w:val="2DBDABE7"/>
    <w:rsid w:val="2DC34D28"/>
    <w:rsid w:val="2DC851F0"/>
    <w:rsid w:val="2DCEF2D1"/>
    <w:rsid w:val="2DD03C62"/>
    <w:rsid w:val="2DDE4021"/>
    <w:rsid w:val="2DDF3D5F"/>
    <w:rsid w:val="2DE699B9"/>
    <w:rsid w:val="2E0386AE"/>
    <w:rsid w:val="2E0A03BF"/>
    <w:rsid w:val="2E0DA5A8"/>
    <w:rsid w:val="2E140775"/>
    <w:rsid w:val="2E1C5593"/>
    <w:rsid w:val="2E2290AB"/>
    <w:rsid w:val="2E41F495"/>
    <w:rsid w:val="2E49B950"/>
    <w:rsid w:val="2E4E7C3F"/>
    <w:rsid w:val="2E63941B"/>
    <w:rsid w:val="2E63F54A"/>
    <w:rsid w:val="2E69851D"/>
    <w:rsid w:val="2E6C5A3B"/>
    <w:rsid w:val="2E7CFA7E"/>
    <w:rsid w:val="2E8149E1"/>
    <w:rsid w:val="2E86530E"/>
    <w:rsid w:val="2E8AD7B4"/>
    <w:rsid w:val="2E9001A1"/>
    <w:rsid w:val="2E9C307D"/>
    <w:rsid w:val="2E9E6005"/>
    <w:rsid w:val="2EAE7C0C"/>
    <w:rsid w:val="2EB4C86D"/>
    <w:rsid w:val="2EB85D57"/>
    <w:rsid w:val="2EBDF176"/>
    <w:rsid w:val="2ECA7B54"/>
    <w:rsid w:val="2ED365D0"/>
    <w:rsid w:val="2ED53D83"/>
    <w:rsid w:val="2EDF2911"/>
    <w:rsid w:val="2EE55AD9"/>
    <w:rsid w:val="2EE8100E"/>
    <w:rsid w:val="2EF683FE"/>
    <w:rsid w:val="2EF8E5C3"/>
    <w:rsid w:val="2EFA42A4"/>
    <w:rsid w:val="2EFCF2F0"/>
    <w:rsid w:val="2EFEA39D"/>
    <w:rsid w:val="2F0198F5"/>
    <w:rsid w:val="2F03D3DE"/>
    <w:rsid w:val="2F0566A9"/>
    <w:rsid w:val="2F0DBB75"/>
    <w:rsid w:val="2F0F7243"/>
    <w:rsid w:val="2F1B34D8"/>
    <w:rsid w:val="2F45376C"/>
    <w:rsid w:val="2F579F5C"/>
    <w:rsid w:val="2F5AA3C1"/>
    <w:rsid w:val="2F5DCEE2"/>
    <w:rsid w:val="2F5DDA20"/>
    <w:rsid w:val="2F64A2A6"/>
    <w:rsid w:val="2F651569"/>
    <w:rsid w:val="2F6963BE"/>
    <w:rsid w:val="2F6A5C89"/>
    <w:rsid w:val="2F6C4914"/>
    <w:rsid w:val="2F7191E8"/>
    <w:rsid w:val="2F7B3F96"/>
    <w:rsid w:val="2F80776E"/>
    <w:rsid w:val="2F88D145"/>
    <w:rsid w:val="2F893348"/>
    <w:rsid w:val="2F90EDFD"/>
    <w:rsid w:val="2F9135FE"/>
    <w:rsid w:val="2F9A30F9"/>
    <w:rsid w:val="2FA5E707"/>
    <w:rsid w:val="2FC2621D"/>
    <w:rsid w:val="2FD74B37"/>
    <w:rsid w:val="2FE4919F"/>
    <w:rsid w:val="2FE71FC3"/>
    <w:rsid w:val="3004725A"/>
    <w:rsid w:val="30080949"/>
    <w:rsid w:val="300A6473"/>
    <w:rsid w:val="300AC068"/>
    <w:rsid w:val="3011E79E"/>
    <w:rsid w:val="30129E76"/>
    <w:rsid w:val="30195C11"/>
    <w:rsid w:val="301A38D0"/>
    <w:rsid w:val="301F2388"/>
    <w:rsid w:val="3026F3FD"/>
    <w:rsid w:val="302CF3F3"/>
    <w:rsid w:val="302F627A"/>
    <w:rsid w:val="303C6CE5"/>
    <w:rsid w:val="303D9AAC"/>
    <w:rsid w:val="30434EBE"/>
    <w:rsid w:val="304462FB"/>
    <w:rsid w:val="3045D0E6"/>
    <w:rsid w:val="3046E115"/>
    <w:rsid w:val="3047A68C"/>
    <w:rsid w:val="30577064"/>
    <w:rsid w:val="305ECC8C"/>
    <w:rsid w:val="3061C322"/>
    <w:rsid w:val="3061D315"/>
    <w:rsid w:val="3076DEB1"/>
    <w:rsid w:val="307EDC9A"/>
    <w:rsid w:val="30821492"/>
    <w:rsid w:val="30880EAD"/>
    <w:rsid w:val="308E7C36"/>
    <w:rsid w:val="30AC66A0"/>
    <w:rsid w:val="30B4396C"/>
    <w:rsid w:val="30B491BC"/>
    <w:rsid w:val="30BF31BD"/>
    <w:rsid w:val="30CA2F78"/>
    <w:rsid w:val="30CB4CB4"/>
    <w:rsid w:val="30CCDD7C"/>
    <w:rsid w:val="30D017CD"/>
    <w:rsid w:val="30D25DB8"/>
    <w:rsid w:val="30D95471"/>
    <w:rsid w:val="30E7DC72"/>
    <w:rsid w:val="30E8B939"/>
    <w:rsid w:val="30F33EEF"/>
    <w:rsid w:val="3102D63F"/>
    <w:rsid w:val="3106DDE1"/>
    <w:rsid w:val="310DD485"/>
    <w:rsid w:val="31124E04"/>
    <w:rsid w:val="311F7988"/>
    <w:rsid w:val="3126CA11"/>
    <w:rsid w:val="312E84C6"/>
    <w:rsid w:val="313B9841"/>
    <w:rsid w:val="313D4FDE"/>
    <w:rsid w:val="314E28F2"/>
    <w:rsid w:val="315B9778"/>
    <w:rsid w:val="3161F5E0"/>
    <w:rsid w:val="316BC100"/>
    <w:rsid w:val="316E931B"/>
    <w:rsid w:val="3179E6ED"/>
    <w:rsid w:val="317A935F"/>
    <w:rsid w:val="317EC187"/>
    <w:rsid w:val="318942E0"/>
    <w:rsid w:val="31928CCC"/>
    <w:rsid w:val="31972913"/>
    <w:rsid w:val="3198F5DD"/>
    <w:rsid w:val="319D02D5"/>
    <w:rsid w:val="319D74A1"/>
    <w:rsid w:val="31AA6FB2"/>
    <w:rsid w:val="31B45BEE"/>
    <w:rsid w:val="31B52C72"/>
    <w:rsid w:val="31B56779"/>
    <w:rsid w:val="31BDC846"/>
    <w:rsid w:val="31C19F6F"/>
    <w:rsid w:val="31C23276"/>
    <w:rsid w:val="31D43A5F"/>
    <w:rsid w:val="31E89659"/>
    <w:rsid w:val="31E93D3B"/>
    <w:rsid w:val="31EC4E84"/>
    <w:rsid w:val="31ED8432"/>
    <w:rsid w:val="31F283A1"/>
    <w:rsid w:val="31FB9051"/>
    <w:rsid w:val="320605B5"/>
    <w:rsid w:val="320A4C74"/>
    <w:rsid w:val="320C3BF6"/>
    <w:rsid w:val="3217825A"/>
    <w:rsid w:val="32194C06"/>
    <w:rsid w:val="32293825"/>
    <w:rsid w:val="32298026"/>
    <w:rsid w:val="323519E5"/>
    <w:rsid w:val="323E0969"/>
    <w:rsid w:val="323EFCB1"/>
    <w:rsid w:val="324275B2"/>
    <w:rsid w:val="324553E4"/>
    <w:rsid w:val="3251FC72"/>
    <w:rsid w:val="325880AD"/>
    <w:rsid w:val="3258C5A0"/>
    <w:rsid w:val="32633E4B"/>
    <w:rsid w:val="326C674B"/>
    <w:rsid w:val="3272DC93"/>
    <w:rsid w:val="3278439A"/>
    <w:rsid w:val="327CA01D"/>
    <w:rsid w:val="327DFD92"/>
    <w:rsid w:val="327FBCC7"/>
    <w:rsid w:val="3284179A"/>
    <w:rsid w:val="328DCFEA"/>
    <w:rsid w:val="3292F94E"/>
    <w:rsid w:val="32A08E6B"/>
    <w:rsid w:val="32A516E4"/>
    <w:rsid w:val="32AD404F"/>
    <w:rsid w:val="32AF293C"/>
    <w:rsid w:val="32BCF901"/>
    <w:rsid w:val="32C4A8DB"/>
    <w:rsid w:val="32CC9CED"/>
    <w:rsid w:val="32D87E00"/>
    <w:rsid w:val="32E672B4"/>
    <w:rsid w:val="32E724DF"/>
    <w:rsid w:val="32E7AB69"/>
    <w:rsid w:val="32EC6C0A"/>
    <w:rsid w:val="32ECAEFB"/>
    <w:rsid w:val="3308F256"/>
    <w:rsid w:val="330A0F7C"/>
    <w:rsid w:val="332322CD"/>
    <w:rsid w:val="3340A440"/>
    <w:rsid w:val="3347B12D"/>
    <w:rsid w:val="334997CA"/>
    <w:rsid w:val="33502C4F"/>
    <w:rsid w:val="33546A43"/>
    <w:rsid w:val="33562978"/>
    <w:rsid w:val="336A37A2"/>
    <w:rsid w:val="3370F63C"/>
    <w:rsid w:val="33775DD7"/>
    <w:rsid w:val="337F3BD2"/>
    <w:rsid w:val="338A92DA"/>
    <w:rsid w:val="339B2067"/>
    <w:rsid w:val="339FCA43"/>
    <w:rsid w:val="33A250DF"/>
    <w:rsid w:val="33A2EF6E"/>
    <w:rsid w:val="33A6D8BD"/>
    <w:rsid w:val="33B3F94D"/>
    <w:rsid w:val="33C93D85"/>
    <w:rsid w:val="33CA5A0B"/>
    <w:rsid w:val="33DCF339"/>
    <w:rsid w:val="33FA7FB6"/>
    <w:rsid w:val="3407D30F"/>
    <w:rsid w:val="3408F8D5"/>
    <w:rsid w:val="340C5205"/>
    <w:rsid w:val="34106D2D"/>
    <w:rsid w:val="341710F1"/>
    <w:rsid w:val="3418DC6C"/>
    <w:rsid w:val="34209721"/>
    <w:rsid w:val="3427AECB"/>
    <w:rsid w:val="342BDAAE"/>
    <w:rsid w:val="34354CFD"/>
    <w:rsid w:val="345839C8"/>
    <w:rsid w:val="3458D0D8"/>
    <w:rsid w:val="345E3D87"/>
    <w:rsid w:val="346F9237"/>
    <w:rsid w:val="347EF992"/>
    <w:rsid w:val="348519F9"/>
    <w:rsid w:val="34861B14"/>
    <w:rsid w:val="3495D340"/>
    <w:rsid w:val="349C6BB5"/>
    <w:rsid w:val="34A7CBEC"/>
    <w:rsid w:val="34B13845"/>
    <w:rsid w:val="34B497F3"/>
    <w:rsid w:val="34B68407"/>
    <w:rsid w:val="34B76380"/>
    <w:rsid w:val="34BE466E"/>
    <w:rsid w:val="34CDB6BF"/>
    <w:rsid w:val="34DE60DF"/>
    <w:rsid w:val="34E18F83"/>
    <w:rsid w:val="34E2562D"/>
    <w:rsid w:val="34E2CD95"/>
    <w:rsid w:val="34E72FCC"/>
    <w:rsid w:val="34E7F894"/>
    <w:rsid w:val="34F3E1B4"/>
    <w:rsid w:val="34F68D1D"/>
    <w:rsid w:val="34FE8861"/>
    <w:rsid w:val="350281B7"/>
    <w:rsid w:val="3505D61C"/>
    <w:rsid w:val="350BC337"/>
    <w:rsid w:val="350F0BAE"/>
    <w:rsid w:val="3513D7CC"/>
    <w:rsid w:val="351488D6"/>
    <w:rsid w:val="351785CC"/>
    <w:rsid w:val="351DC857"/>
    <w:rsid w:val="35230030"/>
    <w:rsid w:val="35230535"/>
    <w:rsid w:val="3523B1A8"/>
    <w:rsid w:val="3525679F"/>
    <w:rsid w:val="352C6DAE"/>
    <w:rsid w:val="352DF7CF"/>
    <w:rsid w:val="3531C6E1"/>
    <w:rsid w:val="3532853B"/>
    <w:rsid w:val="3534880D"/>
    <w:rsid w:val="3545CE34"/>
    <w:rsid w:val="35486204"/>
    <w:rsid w:val="354B2D09"/>
    <w:rsid w:val="35554329"/>
    <w:rsid w:val="356E0AB9"/>
    <w:rsid w:val="3571C447"/>
    <w:rsid w:val="3574E5D9"/>
    <w:rsid w:val="357804F7"/>
    <w:rsid w:val="35807ED2"/>
    <w:rsid w:val="358550A5"/>
    <w:rsid w:val="3596B4BE"/>
    <w:rsid w:val="35A173AA"/>
    <w:rsid w:val="35A463C0"/>
    <w:rsid w:val="35A48E0C"/>
    <w:rsid w:val="35AA535C"/>
    <w:rsid w:val="35B72C6D"/>
    <w:rsid w:val="35BF74E1"/>
    <w:rsid w:val="35C0F4FB"/>
    <w:rsid w:val="35C9E1DB"/>
    <w:rsid w:val="35CEBF7E"/>
    <w:rsid w:val="35E63892"/>
    <w:rsid w:val="35FE0472"/>
    <w:rsid w:val="35FEF2FC"/>
    <w:rsid w:val="360063E4"/>
    <w:rsid w:val="36014B97"/>
    <w:rsid w:val="361E0A61"/>
    <w:rsid w:val="361E8F71"/>
    <w:rsid w:val="36293431"/>
    <w:rsid w:val="36294547"/>
    <w:rsid w:val="3631A3A1"/>
    <w:rsid w:val="36336A8F"/>
    <w:rsid w:val="36356703"/>
    <w:rsid w:val="363603CE"/>
    <w:rsid w:val="365498F9"/>
    <w:rsid w:val="366114B9"/>
    <w:rsid w:val="366B8D4A"/>
    <w:rsid w:val="367658F1"/>
    <w:rsid w:val="367B1679"/>
    <w:rsid w:val="367EE985"/>
    <w:rsid w:val="3681C49C"/>
    <w:rsid w:val="3684E524"/>
    <w:rsid w:val="36867551"/>
    <w:rsid w:val="3694E29C"/>
    <w:rsid w:val="36983108"/>
    <w:rsid w:val="36A033BE"/>
    <w:rsid w:val="36A03E56"/>
    <w:rsid w:val="36A2775D"/>
    <w:rsid w:val="36AAE2A3"/>
    <w:rsid w:val="36AEF035"/>
    <w:rsid w:val="36B66A9A"/>
    <w:rsid w:val="36B86C69"/>
    <w:rsid w:val="36BE4A1E"/>
    <w:rsid w:val="36BF2E72"/>
    <w:rsid w:val="36D507B3"/>
    <w:rsid w:val="36D8EEC2"/>
    <w:rsid w:val="36DFB7F0"/>
    <w:rsid w:val="36E4B341"/>
    <w:rsid w:val="36EE2B1B"/>
    <w:rsid w:val="36FA90B6"/>
    <w:rsid w:val="37072D70"/>
    <w:rsid w:val="3709DB1A"/>
    <w:rsid w:val="370CA350"/>
    <w:rsid w:val="370F4528"/>
    <w:rsid w:val="371BDB22"/>
    <w:rsid w:val="371E5D00"/>
    <w:rsid w:val="372469EC"/>
    <w:rsid w:val="372A5C65"/>
    <w:rsid w:val="372B374D"/>
    <w:rsid w:val="37325D9E"/>
    <w:rsid w:val="373A6054"/>
    <w:rsid w:val="374A48D4"/>
    <w:rsid w:val="374C0134"/>
    <w:rsid w:val="375489AB"/>
    <w:rsid w:val="3756A44C"/>
    <w:rsid w:val="3772F2DC"/>
    <w:rsid w:val="378AC9CA"/>
    <w:rsid w:val="378C25D1"/>
    <w:rsid w:val="3790921A"/>
    <w:rsid w:val="37A51B5D"/>
    <w:rsid w:val="37A6C0A6"/>
    <w:rsid w:val="37A975DB"/>
    <w:rsid w:val="37B88E7F"/>
    <w:rsid w:val="37C75307"/>
    <w:rsid w:val="37C760B8"/>
    <w:rsid w:val="37CA53D5"/>
    <w:rsid w:val="37CFE338"/>
    <w:rsid w:val="37D6B866"/>
    <w:rsid w:val="37DA0AEF"/>
    <w:rsid w:val="37E5B1D9"/>
    <w:rsid w:val="37E7DCA5"/>
    <w:rsid w:val="37EC61F5"/>
    <w:rsid w:val="37F12A39"/>
    <w:rsid w:val="37F7AE74"/>
    <w:rsid w:val="37F7E145"/>
    <w:rsid w:val="380DA4DC"/>
    <w:rsid w:val="380FDAB2"/>
    <w:rsid w:val="38113C01"/>
    <w:rsid w:val="381E36E2"/>
    <w:rsid w:val="38211AD7"/>
    <w:rsid w:val="3836E0A7"/>
    <w:rsid w:val="38455C37"/>
    <w:rsid w:val="384C5178"/>
    <w:rsid w:val="3850598C"/>
    <w:rsid w:val="38638EA1"/>
    <w:rsid w:val="386709A6"/>
    <w:rsid w:val="3868F181"/>
    <w:rsid w:val="387197B2"/>
    <w:rsid w:val="387ADBFB"/>
    <w:rsid w:val="3892F225"/>
    <w:rsid w:val="3896434A"/>
    <w:rsid w:val="38A3E474"/>
    <w:rsid w:val="38A5AB7B"/>
    <w:rsid w:val="38A5BEFF"/>
    <w:rsid w:val="38A64FE9"/>
    <w:rsid w:val="38AD0993"/>
    <w:rsid w:val="38B78445"/>
    <w:rsid w:val="38BA2D61"/>
    <w:rsid w:val="38BB212D"/>
    <w:rsid w:val="38D4F1A5"/>
    <w:rsid w:val="38DB9E9D"/>
    <w:rsid w:val="38DE41F3"/>
    <w:rsid w:val="38E085FB"/>
    <w:rsid w:val="38E67CA3"/>
    <w:rsid w:val="38F016CD"/>
    <w:rsid w:val="38F82B2C"/>
    <w:rsid w:val="390245E5"/>
    <w:rsid w:val="3931416A"/>
    <w:rsid w:val="39330D24"/>
    <w:rsid w:val="393A657E"/>
    <w:rsid w:val="393DC11C"/>
    <w:rsid w:val="393E7FD9"/>
    <w:rsid w:val="39463955"/>
    <w:rsid w:val="394A5C3B"/>
    <w:rsid w:val="394DBE98"/>
    <w:rsid w:val="39539A08"/>
    <w:rsid w:val="3959CA20"/>
    <w:rsid w:val="396881D3"/>
    <w:rsid w:val="396CAFFB"/>
    <w:rsid w:val="3973B0C7"/>
    <w:rsid w:val="397515A1"/>
    <w:rsid w:val="3975A3CD"/>
    <w:rsid w:val="397C8AD8"/>
    <w:rsid w:val="39834CBF"/>
    <w:rsid w:val="3985409D"/>
    <w:rsid w:val="39913561"/>
    <w:rsid w:val="399273CB"/>
    <w:rsid w:val="39A338EF"/>
    <w:rsid w:val="39A7EF0E"/>
    <w:rsid w:val="39A860AE"/>
    <w:rsid w:val="39ABE98B"/>
    <w:rsid w:val="39B6A45A"/>
    <w:rsid w:val="39BCBBDA"/>
    <w:rsid w:val="39C78958"/>
    <w:rsid w:val="39CB5495"/>
    <w:rsid w:val="39D2B108"/>
    <w:rsid w:val="39EF3675"/>
    <w:rsid w:val="39F19533"/>
    <w:rsid w:val="39FDA991"/>
    <w:rsid w:val="39FEB5AB"/>
    <w:rsid w:val="3A0262ED"/>
    <w:rsid w:val="3A15B6D3"/>
    <w:rsid w:val="3A2B805C"/>
    <w:rsid w:val="3A2C72AF"/>
    <w:rsid w:val="3A3CF58E"/>
    <w:rsid w:val="3A3D6585"/>
    <w:rsid w:val="3A43BEBC"/>
    <w:rsid w:val="3A53DC12"/>
    <w:rsid w:val="3A569147"/>
    <w:rsid w:val="3A5EF94A"/>
    <w:rsid w:val="3A630938"/>
    <w:rsid w:val="3A64C110"/>
    <w:rsid w:val="3A7269E3"/>
    <w:rsid w:val="3A776F41"/>
    <w:rsid w:val="3A86B6F2"/>
    <w:rsid w:val="3A88139B"/>
    <w:rsid w:val="3A92A0BF"/>
    <w:rsid w:val="3A9A310F"/>
    <w:rsid w:val="3A9DEC4E"/>
    <w:rsid w:val="3AAA398F"/>
    <w:rsid w:val="3AADB451"/>
    <w:rsid w:val="3AB5B32D"/>
    <w:rsid w:val="3AB63C5D"/>
    <w:rsid w:val="3AB70F0A"/>
    <w:rsid w:val="3ABBEF0B"/>
    <w:rsid w:val="3ABC6630"/>
    <w:rsid w:val="3ABEBFF0"/>
    <w:rsid w:val="3AC3F78C"/>
    <w:rsid w:val="3AC5E08F"/>
    <w:rsid w:val="3ACB5482"/>
    <w:rsid w:val="3AD71BEE"/>
    <w:rsid w:val="3ADAB1D3"/>
    <w:rsid w:val="3AE06EEA"/>
    <w:rsid w:val="3AE1DBCE"/>
    <w:rsid w:val="3AE2E33D"/>
    <w:rsid w:val="3AEDA813"/>
    <w:rsid w:val="3AFA6529"/>
    <w:rsid w:val="3B01647C"/>
    <w:rsid w:val="3B12FC02"/>
    <w:rsid w:val="3B16F869"/>
    <w:rsid w:val="3B1DB0A1"/>
    <w:rsid w:val="3B2EC043"/>
    <w:rsid w:val="3B395D04"/>
    <w:rsid w:val="3B44395F"/>
    <w:rsid w:val="3B45CC70"/>
    <w:rsid w:val="3B54B31C"/>
    <w:rsid w:val="3B591C01"/>
    <w:rsid w:val="3B60B2B3"/>
    <w:rsid w:val="3B646248"/>
    <w:rsid w:val="3B65C9CD"/>
    <w:rsid w:val="3B6BB041"/>
    <w:rsid w:val="3B6D3BCD"/>
    <w:rsid w:val="3B6D9A69"/>
    <w:rsid w:val="3B7D57D4"/>
    <w:rsid w:val="3B9E0815"/>
    <w:rsid w:val="3B9EF269"/>
    <w:rsid w:val="3BA289FB"/>
    <w:rsid w:val="3BADBDC4"/>
    <w:rsid w:val="3BAF52BF"/>
    <w:rsid w:val="3BBDE27A"/>
    <w:rsid w:val="3BC5C641"/>
    <w:rsid w:val="3BC917F1"/>
    <w:rsid w:val="3BCD4C94"/>
    <w:rsid w:val="3BCDDC82"/>
    <w:rsid w:val="3BD0D921"/>
    <w:rsid w:val="3BD3B5AA"/>
    <w:rsid w:val="3BE001AF"/>
    <w:rsid w:val="3BE3E958"/>
    <w:rsid w:val="3BE3E9B1"/>
    <w:rsid w:val="3BE6D955"/>
    <w:rsid w:val="3BEC4391"/>
    <w:rsid w:val="3BECCDE5"/>
    <w:rsid w:val="3BEDFA7F"/>
    <w:rsid w:val="3BF6EC13"/>
    <w:rsid w:val="3BFED999"/>
    <w:rsid w:val="3C055740"/>
    <w:rsid w:val="3C19CB67"/>
    <w:rsid w:val="3C228D8B"/>
    <w:rsid w:val="3C2389AA"/>
    <w:rsid w:val="3C325C09"/>
    <w:rsid w:val="3C34875B"/>
    <w:rsid w:val="3C40B326"/>
    <w:rsid w:val="3C45AC63"/>
    <w:rsid w:val="3C46FBBA"/>
    <w:rsid w:val="3C51227B"/>
    <w:rsid w:val="3C54CB7F"/>
    <w:rsid w:val="3C585711"/>
    <w:rsid w:val="3C5904F7"/>
    <w:rsid w:val="3C5A8B55"/>
    <w:rsid w:val="3C5DF339"/>
    <w:rsid w:val="3C638CF5"/>
    <w:rsid w:val="3C6C4DAE"/>
    <w:rsid w:val="3C6ED262"/>
    <w:rsid w:val="3C81606B"/>
    <w:rsid w:val="3C857744"/>
    <w:rsid w:val="3C9228EE"/>
    <w:rsid w:val="3C95A6E9"/>
    <w:rsid w:val="3C971A6B"/>
    <w:rsid w:val="3C9D05FF"/>
    <w:rsid w:val="3CA8B6B5"/>
    <w:rsid w:val="3CAF0B62"/>
    <w:rsid w:val="3CB1BBDB"/>
    <w:rsid w:val="3CBDC35A"/>
    <w:rsid w:val="3CD3BE81"/>
    <w:rsid w:val="3CD60289"/>
    <w:rsid w:val="3CD72225"/>
    <w:rsid w:val="3CD896CE"/>
    <w:rsid w:val="3CE09095"/>
    <w:rsid w:val="3CE1B66B"/>
    <w:rsid w:val="3CEA4435"/>
    <w:rsid w:val="3CFEF399"/>
    <w:rsid w:val="3D0BABA2"/>
    <w:rsid w:val="3D168254"/>
    <w:rsid w:val="3D16CA55"/>
    <w:rsid w:val="3D18B570"/>
    <w:rsid w:val="3D1A36A5"/>
    <w:rsid w:val="3D1DCCCF"/>
    <w:rsid w:val="3D1FA354"/>
    <w:rsid w:val="3D267D28"/>
    <w:rsid w:val="3D2F9C7A"/>
    <w:rsid w:val="3D491696"/>
    <w:rsid w:val="3D4A331C"/>
    <w:rsid w:val="3D4D3AD6"/>
    <w:rsid w:val="3D4DBFA9"/>
    <w:rsid w:val="3D4E2073"/>
    <w:rsid w:val="3D52E263"/>
    <w:rsid w:val="3D54B058"/>
    <w:rsid w:val="3D63EE08"/>
    <w:rsid w:val="3D702F1F"/>
    <w:rsid w:val="3D723928"/>
    <w:rsid w:val="3D7254F0"/>
    <w:rsid w:val="3D73BAB1"/>
    <w:rsid w:val="3D73FED8"/>
    <w:rsid w:val="3D7E296C"/>
    <w:rsid w:val="3D97B95E"/>
    <w:rsid w:val="3D9FBC14"/>
    <w:rsid w:val="3DA272A5"/>
    <w:rsid w:val="3DAECA1A"/>
    <w:rsid w:val="3DAF0879"/>
    <w:rsid w:val="3DAF4291"/>
    <w:rsid w:val="3DB00802"/>
    <w:rsid w:val="3DB0F6EB"/>
    <w:rsid w:val="3DB1ED6E"/>
    <w:rsid w:val="3DBE5F7E"/>
    <w:rsid w:val="3DBE772E"/>
    <w:rsid w:val="3DC746D9"/>
    <w:rsid w:val="3DD1A72C"/>
    <w:rsid w:val="3DD5F4A5"/>
    <w:rsid w:val="3DD732F3"/>
    <w:rsid w:val="3DE388E5"/>
    <w:rsid w:val="3DE4BD9B"/>
    <w:rsid w:val="3DEE4CA4"/>
    <w:rsid w:val="3DF43239"/>
    <w:rsid w:val="3DFFCCDD"/>
    <w:rsid w:val="3DFFD40B"/>
    <w:rsid w:val="3E081E0F"/>
    <w:rsid w:val="3E0A3F0F"/>
    <w:rsid w:val="3E149805"/>
    <w:rsid w:val="3E15A1FC"/>
    <w:rsid w:val="3E16F737"/>
    <w:rsid w:val="3E1C71A5"/>
    <w:rsid w:val="3E2B6F5F"/>
    <w:rsid w:val="3E3053EF"/>
    <w:rsid w:val="3E3D24B9"/>
    <w:rsid w:val="3E4ABD71"/>
    <w:rsid w:val="3E4F35FE"/>
    <w:rsid w:val="3E50EFC4"/>
    <w:rsid w:val="3E5BFC23"/>
    <w:rsid w:val="3E5F2B77"/>
    <w:rsid w:val="3E5FEF29"/>
    <w:rsid w:val="3E6445AC"/>
    <w:rsid w:val="3E67EF81"/>
    <w:rsid w:val="3E76335D"/>
    <w:rsid w:val="3E7BD1D1"/>
    <w:rsid w:val="3E8F6827"/>
    <w:rsid w:val="3E97CC9D"/>
    <w:rsid w:val="3E9E17BD"/>
    <w:rsid w:val="3EAD9565"/>
    <w:rsid w:val="3EAE1699"/>
    <w:rsid w:val="3EB3A268"/>
    <w:rsid w:val="3EBF1304"/>
    <w:rsid w:val="3ECA0EFC"/>
    <w:rsid w:val="3ED20136"/>
    <w:rsid w:val="3ED2E528"/>
    <w:rsid w:val="3EE8E684"/>
    <w:rsid w:val="3EF4D05C"/>
    <w:rsid w:val="3EF97A38"/>
    <w:rsid w:val="3EFE6191"/>
    <w:rsid w:val="3F00213B"/>
    <w:rsid w:val="3F05E48C"/>
    <w:rsid w:val="3F10FBE4"/>
    <w:rsid w:val="3F1F79E3"/>
    <w:rsid w:val="3F1FC551"/>
    <w:rsid w:val="3F243CD1"/>
    <w:rsid w:val="3F246E64"/>
    <w:rsid w:val="3F36AEFE"/>
    <w:rsid w:val="3F374FE3"/>
    <w:rsid w:val="3F41C1D1"/>
    <w:rsid w:val="3F4D3C3F"/>
    <w:rsid w:val="3F528858"/>
    <w:rsid w:val="3F85922A"/>
    <w:rsid w:val="3F8DF558"/>
    <w:rsid w:val="3F8F185A"/>
    <w:rsid w:val="3F907EA5"/>
    <w:rsid w:val="3F9376CB"/>
    <w:rsid w:val="3F94ABD7"/>
    <w:rsid w:val="3F95CBA0"/>
    <w:rsid w:val="3F9CDE25"/>
    <w:rsid w:val="3FA11DBD"/>
    <w:rsid w:val="3FABBF96"/>
    <w:rsid w:val="3FC616C6"/>
    <w:rsid w:val="3FC634F3"/>
    <w:rsid w:val="3FC93480"/>
    <w:rsid w:val="3FCA521D"/>
    <w:rsid w:val="3FCAECF4"/>
    <w:rsid w:val="3FCCBEC0"/>
    <w:rsid w:val="3FCE1064"/>
    <w:rsid w:val="3FCFC4BE"/>
    <w:rsid w:val="3FD06F7C"/>
    <w:rsid w:val="3FD32D2C"/>
    <w:rsid w:val="3FDBFA73"/>
    <w:rsid w:val="3FEF9F23"/>
    <w:rsid w:val="3FF32060"/>
    <w:rsid w:val="4005511E"/>
    <w:rsid w:val="400ED42F"/>
    <w:rsid w:val="4012701E"/>
    <w:rsid w:val="40199260"/>
    <w:rsid w:val="40285DD4"/>
    <w:rsid w:val="402890D2"/>
    <w:rsid w:val="402F934C"/>
    <w:rsid w:val="4034533A"/>
    <w:rsid w:val="404C5216"/>
    <w:rsid w:val="40532040"/>
    <w:rsid w:val="40536C8C"/>
    <w:rsid w:val="406FD108"/>
    <w:rsid w:val="4082993E"/>
    <w:rsid w:val="4085456D"/>
    <w:rsid w:val="408C16BF"/>
    <w:rsid w:val="4091CE6F"/>
    <w:rsid w:val="40920BD8"/>
    <w:rsid w:val="409406E6"/>
    <w:rsid w:val="409935D3"/>
    <w:rsid w:val="409CC260"/>
    <w:rsid w:val="40A154EC"/>
    <w:rsid w:val="40A30946"/>
    <w:rsid w:val="40A41D65"/>
    <w:rsid w:val="40A7F140"/>
    <w:rsid w:val="40B047E3"/>
    <w:rsid w:val="40B0DAF9"/>
    <w:rsid w:val="40B6A1D0"/>
    <w:rsid w:val="40BE83F0"/>
    <w:rsid w:val="40C0C402"/>
    <w:rsid w:val="40C1FEB2"/>
    <w:rsid w:val="40C3B987"/>
    <w:rsid w:val="40C4083E"/>
    <w:rsid w:val="40CDF34C"/>
    <w:rsid w:val="40D24ABC"/>
    <w:rsid w:val="40D476CD"/>
    <w:rsid w:val="40D91256"/>
    <w:rsid w:val="40DA8758"/>
    <w:rsid w:val="40DEE01A"/>
    <w:rsid w:val="40E2B5B1"/>
    <w:rsid w:val="40E35D44"/>
    <w:rsid w:val="40E75237"/>
    <w:rsid w:val="40E82260"/>
    <w:rsid w:val="40EC7BB9"/>
    <w:rsid w:val="40EF72E9"/>
    <w:rsid w:val="40F1DF51"/>
    <w:rsid w:val="40F7E502"/>
    <w:rsid w:val="40F99C35"/>
    <w:rsid w:val="40FC516A"/>
    <w:rsid w:val="41001BCD"/>
    <w:rsid w:val="41068850"/>
    <w:rsid w:val="4107B457"/>
    <w:rsid w:val="4115EB23"/>
    <w:rsid w:val="4118A18C"/>
    <w:rsid w:val="411BF9B6"/>
    <w:rsid w:val="411D4A92"/>
    <w:rsid w:val="4122BEC7"/>
    <w:rsid w:val="41262B6B"/>
    <w:rsid w:val="412993F5"/>
    <w:rsid w:val="412CE67E"/>
    <w:rsid w:val="41301791"/>
    <w:rsid w:val="413B7B07"/>
    <w:rsid w:val="413CEDDB"/>
    <w:rsid w:val="414405C8"/>
    <w:rsid w:val="4147AF2F"/>
    <w:rsid w:val="414A2CE6"/>
    <w:rsid w:val="414EDDDC"/>
    <w:rsid w:val="415318FA"/>
    <w:rsid w:val="415F690E"/>
    <w:rsid w:val="41600285"/>
    <w:rsid w:val="41651651"/>
    <w:rsid w:val="41675D39"/>
    <w:rsid w:val="417006E8"/>
    <w:rsid w:val="417D1EB5"/>
    <w:rsid w:val="4186BA87"/>
    <w:rsid w:val="418719B8"/>
    <w:rsid w:val="419619C1"/>
    <w:rsid w:val="419C2E93"/>
    <w:rsid w:val="41AC79D4"/>
    <w:rsid w:val="41ADF715"/>
    <w:rsid w:val="41B1225E"/>
    <w:rsid w:val="41B3DC0C"/>
    <w:rsid w:val="41C72336"/>
    <w:rsid w:val="41CCF744"/>
    <w:rsid w:val="41CEA1F7"/>
    <w:rsid w:val="41D34388"/>
    <w:rsid w:val="41D36055"/>
    <w:rsid w:val="41EB1678"/>
    <w:rsid w:val="41ECBABF"/>
    <w:rsid w:val="41EDE978"/>
    <w:rsid w:val="41FAE350"/>
    <w:rsid w:val="420063C5"/>
    <w:rsid w:val="420A092C"/>
    <w:rsid w:val="420EB4F7"/>
    <w:rsid w:val="42188A15"/>
    <w:rsid w:val="42245556"/>
    <w:rsid w:val="42271DD2"/>
    <w:rsid w:val="4227EEAA"/>
    <w:rsid w:val="422EA5B6"/>
    <w:rsid w:val="42331250"/>
    <w:rsid w:val="423380DA"/>
    <w:rsid w:val="42476FFB"/>
    <w:rsid w:val="424E943C"/>
    <w:rsid w:val="424F4915"/>
    <w:rsid w:val="4252BE68"/>
    <w:rsid w:val="42564C2C"/>
    <w:rsid w:val="42633263"/>
    <w:rsid w:val="42640165"/>
    <w:rsid w:val="42659086"/>
    <w:rsid w:val="4267C05D"/>
    <w:rsid w:val="4273711B"/>
    <w:rsid w:val="4277A485"/>
    <w:rsid w:val="427DC661"/>
    <w:rsid w:val="427DCAD7"/>
    <w:rsid w:val="4283A888"/>
    <w:rsid w:val="42956A78"/>
    <w:rsid w:val="429D9B46"/>
    <w:rsid w:val="42B20A70"/>
    <w:rsid w:val="42B635B4"/>
    <w:rsid w:val="42C26497"/>
    <w:rsid w:val="42CCE03A"/>
    <w:rsid w:val="42D52E58"/>
    <w:rsid w:val="42DF0CDB"/>
    <w:rsid w:val="42E8445D"/>
    <w:rsid w:val="42EEF6C6"/>
    <w:rsid w:val="42F216F8"/>
    <w:rsid w:val="42F25AD4"/>
    <w:rsid w:val="42F31B0C"/>
    <w:rsid w:val="42FF1353"/>
    <w:rsid w:val="4304ACC5"/>
    <w:rsid w:val="43051267"/>
    <w:rsid w:val="430CA251"/>
    <w:rsid w:val="4319790F"/>
    <w:rsid w:val="4331E45F"/>
    <w:rsid w:val="4333BAE4"/>
    <w:rsid w:val="433A77FA"/>
    <w:rsid w:val="4344F3C9"/>
    <w:rsid w:val="434D5306"/>
    <w:rsid w:val="43512725"/>
    <w:rsid w:val="43515E69"/>
    <w:rsid w:val="43760577"/>
    <w:rsid w:val="437BC2AC"/>
    <w:rsid w:val="4380025C"/>
    <w:rsid w:val="438398C9"/>
    <w:rsid w:val="438650B8"/>
    <w:rsid w:val="4389DE76"/>
    <w:rsid w:val="43A08E3B"/>
    <w:rsid w:val="43A7CA8A"/>
    <w:rsid w:val="43ACE12E"/>
    <w:rsid w:val="43C0058A"/>
    <w:rsid w:val="43C2F5BD"/>
    <w:rsid w:val="43C9F689"/>
    <w:rsid w:val="43D73B10"/>
    <w:rsid w:val="43D856EF"/>
    <w:rsid w:val="43DA34BB"/>
    <w:rsid w:val="43DC36DE"/>
    <w:rsid w:val="43EB6322"/>
    <w:rsid w:val="43F22E28"/>
    <w:rsid w:val="43F57B18"/>
    <w:rsid w:val="43FCD7B5"/>
    <w:rsid w:val="43FDF5D5"/>
    <w:rsid w:val="4409EB7E"/>
    <w:rsid w:val="440A46F0"/>
    <w:rsid w:val="440FD1AD"/>
    <w:rsid w:val="4410B5E2"/>
    <w:rsid w:val="4414D122"/>
    <w:rsid w:val="441A76F3"/>
    <w:rsid w:val="441DB6FD"/>
    <w:rsid w:val="442F3AE3"/>
    <w:rsid w:val="44342FBF"/>
    <w:rsid w:val="4437445E"/>
    <w:rsid w:val="4442B69F"/>
    <w:rsid w:val="44482D1D"/>
    <w:rsid w:val="444F5B64"/>
    <w:rsid w:val="44517B69"/>
    <w:rsid w:val="44549935"/>
    <w:rsid w:val="445B0199"/>
    <w:rsid w:val="446AD017"/>
    <w:rsid w:val="448A8439"/>
    <w:rsid w:val="448FB9D0"/>
    <w:rsid w:val="449EFC69"/>
    <w:rsid w:val="449F81D3"/>
    <w:rsid w:val="449FF888"/>
    <w:rsid w:val="44AF5232"/>
    <w:rsid w:val="44B0A16C"/>
    <w:rsid w:val="44BB024D"/>
    <w:rsid w:val="44BC3FD1"/>
    <w:rsid w:val="44C21B41"/>
    <w:rsid w:val="44C3A3B4"/>
    <w:rsid w:val="44C6BD0D"/>
    <w:rsid w:val="44D01783"/>
    <w:rsid w:val="44F35D72"/>
    <w:rsid w:val="44FB7C8B"/>
    <w:rsid w:val="451BF9FB"/>
    <w:rsid w:val="45252593"/>
    <w:rsid w:val="45398256"/>
    <w:rsid w:val="453DBB8B"/>
    <w:rsid w:val="45416512"/>
    <w:rsid w:val="456B7901"/>
    <w:rsid w:val="456E33CF"/>
    <w:rsid w:val="457490CC"/>
    <w:rsid w:val="4592F132"/>
    <w:rsid w:val="459AF3E8"/>
    <w:rsid w:val="45A112C0"/>
    <w:rsid w:val="45A2B935"/>
    <w:rsid w:val="45A4FBD7"/>
    <w:rsid w:val="45AF61C3"/>
    <w:rsid w:val="45B03D1F"/>
    <w:rsid w:val="45B24313"/>
    <w:rsid w:val="45B838D1"/>
    <w:rsid w:val="45C477D3"/>
    <w:rsid w:val="45CC2E15"/>
    <w:rsid w:val="45D11F36"/>
    <w:rsid w:val="45D2AB43"/>
    <w:rsid w:val="45E68F38"/>
    <w:rsid w:val="45F0298F"/>
    <w:rsid w:val="45F6A523"/>
    <w:rsid w:val="45FA0F7C"/>
    <w:rsid w:val="4602B84F"/>
    <w:rsid w:val="46048D65"/>
    <w:rsid w:val="460C0E8F"/>
    <w:rsid w:val="460CB573"/>
    <w:rsid w:val="460F1E2F"/>
    <w:rsid w:val="4613B802"/>
    <w:rsid w:val="461913DD"/>
    <w:rsid w:val="461FE2D7"/>
    <w:rsid w:val="46435AFF"/>
    <w:rsid w:val="4646456D"/>
    <w:rsid w:val="4649C4BE"/>
    <w:rsid w:val="464E5D52"/>
    <w:rsid w:val="46584FCF"/>
    <w:rsid w:val="466240B1"/>
    <w:rsid w:val="4663A03E"/>
    <w:rsid w:val="4666F5EE"/>
    <w:rsid w:val="46691933"/>
    <w:rsid w:val="466B810C"/>
    <w:rsid w:val="46711898"/>
    <w:rsid w:val="4675AB24"/>
    <w:rsid w:val="46766B18"/>
    <w:rsid w:val="467687B3"/>
    <w:rsid w:val="46786313"/>
    <w:rsid w:val="469616B5"/>
    <w:rsid w:val="46989646"/>
    <w:rsid w:val="4698E083"/>
    <w:rsid w:val="46A528E8"/>
    <w:rsid w:val="46B2849B"/>
    <w:rsid w:val="46C79D3A"/>
    <w:rsid w:val="46D0334B"/>
    <w:rsid w:val="46D191CC"/>
    <w:rsid w:val="46D22B46"/>
    <w:rsid w:val="46D443A7"/>
    <w:rsid w:val="46D4E703"/>
    <w:rsid w:val="46DAE6D3"/>
    <w:rsid w:val="46DD757D"/>
    <w:rsid w:val="46E44083"/>
    <w:rsid w:val="46F393C2"/>
    <w:rsid w:val="46FC521D"/>
    <w:rsid w:val="470C894E"/>
    <w:rsid w:val="47110A48"/>
    <w:rsid w:val="4713593A"/>
    <w:rsid w:val="471FC441"/>
    <w:rsid w:val="47205C6E"/>
    <w:rsid w:val="472345EF"/>
    <w:rsid w:val="47241E51"/>
    <w:rsid w:val="4731D6E2"/>
    <w:rsid w:val="473842B0"/>
    <w:rsid w:val="47411CE5"/>
    <w:rsid w:val="474391FA"/>
    <w:rsid w:val="4743C095"/>
    <w:rsid w:val="474A4368"/>
    <w:rsid w:val="474F9912"/>
    <w:rsid w:val="47514D3F"/>
    <w:rsid w:val="4771888A"/>
    <w:rsid w:val="4776CDD1"/>
    <w:rsid w:val="477D03BA"/>
    <w:rsid w:val="477EC47A"/>
    <w:rsid w:val="478ECBE1"/>
    <w:rsid w:val="479275E1"/>
    <w:rsid w:val="47939A37"/>
    <w:rsid w:val="4796115D"/>
    <w:rsid w:val="4798C979"/>
    <w:rsid w:val="479A7DD3"/>
    <w:rsid w:val="479E88B0"/>
    <w:rsid w:val="479EE964"/>
    <w:rsid w:val="47A078DE"/>
    <w:rsid w:val="47A205B7"/>
    <w:rsid w:val="47A6C0BF"/>
    <w:rsid w:val="47AE27E0"/>
    <w:rsid w:val="47B58235"/>
    <w:rsid w:val="47B72952"/>
    <w:rsid w:val="47B8CF68"/>
    <w:rsid w:val="47BAE005"/>
    <w:rsid w:val="47C91567"/>
    <w:rsid w:val="47CFB149"/>
    <w:rsid w:val="47D81757"/>
    <w:rsid w:val="47DDEB15"/>
    <w:rsid w:val="47DEE87E"/>
    <w:rsid w:val="47DF85D5"/>
    <w:rsid w:val="47E4197B"/>
    <w:rsid w:val="47E56FCD"/>
    <w:rsid w:val="47EEEE1D"/>
    <w:rsid w:val="47FFFB48"/>
    <w:rsid w:val="480EF762"/>
    <w:rsid w:val="481B7C91"/>
    <w:rsid w:val="4827F7C9"/>
    <w:rsid w:val="482A6B32"/>
    <w:rsid w:val="483027B8"/>
    <w:rsid w:val="483D9451"/>
    <w:rsid w:val="48435B9C"/>
    <w:rsid w:val="4847C753"/>
    <w:rsid w:val="4848C6C6"/>
    <w:rsid w:val="48549504"/>
    <w:rsid w:val="4858A38E"/>
    <w:rsid w:val="4861270B"/>
    <w:rsid w:val="4861E17A"/>
    <w:rsid w:val="48755615"/>
    <w:rsid w:val="487B8D91"/>
    <w:rsid w:val="487CCC5D"/>
    <w:rsid w:val="4888C705"/>
    <w:rsid w:val="48896FD6"/>
    <w:rsid w:val="488EDEFC"/>
    <w:rsid w:val="4895EFBB"/>
    <w:rsid w:val="4896565B"/>
    <w:rsid w:val="489DF919"/>
    <w:rsid w:val="48A3B040"/>
    <w:rsid w:val="48B5F286"/>
    <w:rsid w:val="48BAF721"/>
    <w:rsid w:val="48BE1767"/>
    <w:rsid w:val="48C20C19"/>
    <w:rsid w:val="48C6AC10"/>
    <w:rsid w:val="48C91AD8"/>
    <w:rsid w:val="48CB1223"/>
    <w:rsid w:val="48CED88D"/>
    <w:rsid w:val="48D83EB1"/>
    <w:rsid w:val="48E74A86"/>
    <w:rsid w:val="48E852E8"/>
    <w:rsid w:val="48ED301E"/>
    <w:rsid w:val="48ED71CE"/>
    <w:rsid w:val="48EF6225"/>
    <w:rsid w:val="48F16953"/>
    <w:rsid w:val="4900D36D"/>
    <w:rsid w:val="4904C998"/>
    <w:rsid w:val="490AA6E0"/>
    <w:rsid w:val="490BF6A8"/>
    <w:rsid w:val="49117689"/>
    <w:rsid w:val="49352633"/>
    <w:rsid w:val="4940C764"/>
    <w:rsid w:val="4941B29F"/>
    <w:rsid w:val="494A622A"/>
    <w:rsid w:val="494EAB7C"/>
    <w:rsid w:val="4954530C"/>
    <w:rsid w:val="495666FD"/>
    <w:rsid w:val="49579296"/>
    <w:rsid w:val="495E282D"/>
    <w:rsid w:val="4965EDBD"/>
    <w:rsid w:val="496A756E"/>
    <w:rsid w:val="496B3841"/>
    <w:rsid w:val="4974072E"/>
    <w:rsid w:val="497AB426"/>
    <w:rsid w:val="4983647F"/>
    <w:rsid w:val="4983B7F7"/>
    <w:rsid w:val="49841C4F"/>
    <w:rsid w:val="498DBC90"/>
    <w:rsid w:val="499685C5"/>
    <w:rsid w:val="49A75DA4"/>
    <w:rsid w:val="49AFDC97"/>
    <w:rsid w:val="49CDCF61"/>
    <w:rsid w:val="49D11900"/>
    <w:rsid w:val="49D417F5"/>
    <w:rsid w:val="49D44AC6"/>
    <w:rsid w:val="49D652DE"/>
    <w:rsid w:val="49D8DF9C"/>
    <w:rsid w:val="49F5D475"/>
    <w:rsid w:val="49FE9BA9"/>
    <w:rsid w:val="4A06CDDC"/>
    <w:rsid w:val="4A0C5CB9"/>
    <w:rsid w:val="4A0C80A9"/>
    <w:rsid w:val="4A20CEDB"/>
    <w:rsid w:val="4A24D7DA"/>
    <w:rsid w:val="4A289FC2"/>
    <w:rsid w:val="4A28A8EB"/>
    <w:rsid w:val="4A2A478C"/>
    <w:rsid w:val="4A304AEA"/>
    <w:rsid w:val="4A360FA6"/>
    <w:rsid w:val="4A384C0E"/>
    <w:rsid w:val="4A4264C7"/>
    <w:rsid w:val="4A55087A"/>
    <w:rsid w:val="4A5621C5"/>
    <w:rsid w:val="4A647131"/>
    <w:rsid w:val="4A664B4E"/>
    <w:rsid w:val="4A6E97DC"/>
    <w:rsid w:val="4A7C3245"/>
    <w:rsid w:val="4A7E1E59"/>
    <w:rsid w:val="4A8B9343"/>
    <w:rsid w:val="4A8C42A5"/>
    <w:rsid w:val="4A8D4FBD"/>
    <w:rsid w:val="4A8F5973"/>
    <w:rsid w:val="4A9FC815"/>
    <w:rsid w:val="4AA3D160"/>
    <w:rsid w:val="4AA45D88"/>
    <w:rsid w:val="4AA7353A"/>
    <w:rsid w:val="4AA7A243"/>
    <w:rsid w:val="4AAF1A98"/>
    <w:rsid w:val="4AAFCC79"/>
    <w:rsid w:val="4AB92D82"/>
    <w:rsid w:val="4ABB27C2"/>
    <w:rsid w:val="4ABC56F5"/>
    <w:rsid w:val="4AC1216A"/>
    <w:rsid w:val="4AD78228"/>
    <w:rsid w:val="4ADA7780"/>
    <w:rsid w:val="4ADA89E2"/>
    <w:rsid w:val="4ADB0EB5"/>
    <w:rsid w:val="4ADF59F4"/>
    <w:rsid w:val="4AE3EDD3"/>
    <w:rsid w:val="4B053DA5"/>
    <w:rsid w:val="4B05BEFA"/>
    <w:rsid w:val="4B0C4018"/>
    <w:rsid w:val="4B0F9EF6"/>
    <w:rsid w:val="4B11F547"/>
    <w:rsid w:val="4B124F6F"/>
    <w:rsid w:val="4B159CEA"/>
    <w:rsid w:val="4B184474"/>
    <w:rsid w:val="4B23395A"/>
    <w:rsid w:val="4B23C133"/>
    <w:rsid w:val="4B2E5BF4"/>
    <w:rsid w:val="4B37B5B9"/>
    <w:rsid w:val="4B3C919D"/>
    <w:rsid w:val="4B3CE12E"/>
    <w:rsid w:val="4B453B35"/>
    <w:rsid w:val="4B49A481"/>
    <w:rsid w:val="4B4BAE8A"/>
    <w:rsid w:val="4B4FDFD9"/>
    <w:rsid w:val="4B52BDDC"/>
    <w:rsid w:val="4B676870"/>
    <w:rsid w:val="4B717F01"/>
    <w:rsid w:val="4B9162E0"/>
    <w:rsid w:val="4B93339D"/>
    <w:rsid w:val="4B938679"/>
    <w:rsid w:val="4B9E42D4"/>
    <w:rsid w:val="4BA07CFD"/>
    <w:rsid w:val="4BA20BEE"/>
    <w:rsid w:val="4BA6020B"/>
    <w:rsid w:val="4BA95EBC"/>
    <w:rsid w:val="4BADEED9"/>
    <w:rsid w:val="4BAE21AA"/>
    <w:rsid w:val="4BAE533D"/>
    <w:rsid w:val="4BB6E19F"/>
    <w:rsid w:val="4BBDA2FB"/>
    <w:rsid w:val="4BCAB2E5"/>
    <w:rsid w:val="4BD0C2B3"/>
    <w:rsid w:val="4BD562C2"/>
    <w:rsid w:val="4BE56997"/>
    <w:rsid w:val="4BED00CC"/>
    <w:rsid w:val="4BF30708"/>
    <w:rsid w:val="4BF375B6"/>
    <w:rsid w:val="4BFC4E11"/>
    <w:rsid w:val="4BFEC924"/>
    <w:rsid w:val="4C0FA9D4"/>
    <w:rsid w:val="4C1BCF4E"/>
    <w:rsid w:val="4C1DB7ED"/>
    <w:rsid w:val="4C2BEDC7"/>
    <w:rsid w:val="4C323AC0"/>
    <w:rsid w:val="4C34E75F"/>
    <w:rsid w:val="4C3D2879"/>
    <w:rsid w:val="4C41D255"/>
    <w:rsid w:val="4C4F44F7"/>
    <w:rsid w:val="4C4F9BC9"/>
    <w:rsid w:val="4C5468B0"/>
    <w:rsid w:val="4C55F589"/>
    <w:rsid w:val="4C567249"/>
    <w:rsid w:val="4C56A399"/>
    <w:rsid w:val="4C57F53D"/>
    <w:rsid w:val="4C589F5A"/>
    <w:rsid w:val="4C593044"/>
    <w:rsid w:val="4C59C790"/>
    <w:rsid w:val="4C5A95C8"/>
    <w:rsid w:val="4C607940"/>
    <w:rsid w:val="4C6AD2A3"/>
    <w:rsid w:val="4C6E9D06"/>
    <w:rsid w:val="4C6ECFD7"/>
    <w:rsid w:val="4C763590"/>
    <w:rsid w:val="4C8059B8"/>
    <w:rsid w:val="4C816632"/>
    <w:rsid w:val="4C84EB78"/>
    <w:rsid w:val="4C87740E"/>
    <w:rsid w:val="4C892629"/>
    <w:rsid w:val="4C8A7AEF"/>
    <w:rsid w:val="4C914000"/>
    <w:rsid w:val="4CA1EEF2"/>
    <w:rsid w:val="4CACC8EF"/>
    <w:rsid w:val="4CAD145D"/>
    <w:rsid w:val="4CAF207E"/>
    <w:rsid w:val="4CB1590C"/>
    <w:rsid w:val="4CB18BDD"/>
    <w:rsid w:val="4CB8AE1F"/>
    <w:rsid w:val="4CBD62EF"/>
    <w:rsid w:val="4CBFE1BC"/>
    <w:rsid w:val="4CD1377A"/>
    <w:rsid w:val="4CDF95DE"/>
    <w:rsid w:val="4CE2FCE6"/>
    <w:rsid w:val="4CE4B8FA"/>
    <w:rsid w:val="4CE975DA"/>
    <w:rsid w:val="4CF54DCB"/>
    <w:rsid w:val="4CF9202F"/>
    <w:rsid w:val="4CFC21D7"/>
    <w:rsid w:val="4D118C9D"/>
    <w:rsid w:val="4D11BF6E"/>
    <w:rsid w:val="4D181CDB"/>
    <w:rsid w:val="4D18881F"/>
    <w:rsid w:val="4D3047E1"/>
    <w:rsid w:val="4D4753DB"/>
    <w:rsid w:val="4D4FE959"/>
    <w:rsid w:val="4D5AF287"/>
    <w:rsid w:val="4D5F8F14"/>
    <w:rsid w:val="4D6034AF"/>
    <w:rsid w:val="4D69F1EC"/>
    <w:rsid w:val="4D6C78C2"/>
    <w:rsid w:val="4D6E3CD6"/>
    <w:rsid w:val="4D6FF93D"/>
    <w:rsid w:val="4D741F87"/>
    <w:rsid w:val="4D84D065"/>
    <w:rsid w:val="4D97E129"/>
    <w:rsid w:val="4D9953E5"/>
    <w:rsid w:val="4DA2E43D"/>
    <w:rsid w:val="4DA98C06"/>
    <w:rsid w:val="4DAD3275"/>
    <w:rsid w:val="4DB0CDC4"/>
    <w:rsid w:val="4DCAE716"/>
    <w:rsid w:val="4DD6901F"/>
    <w:rsid w:val="4DE25F7A"/>
    <w:rsid w:val="4DE998E5"/>
    <w:rsid w:val="4DF17AFC"/>
    <w:rsid w:val="4DF500BB"/>
    <w:rsid w:val="4E01B151"/>
    <w:rsid w:val="4E03D8AE"/>
    <w:rsid w:val="4E05A82B"/>
    <w:rsid w:val="4E0C1C7F"/>
    <w:rsid w:val="4E0CECDD"/>
    <w:rsid w:val="4E1210B8"/>
    <w:rsid w:val="4E1762C6"/>
    <w:rsid w:val="4E1F5AE4"/>
    <w:rsid w:val="4E1FC8B8"/>
    <w:rsid w:val="4E262F5F"/>
    <w:rsid w:val="4E2C792C"/>
    <w:rsid w:val="4E2E0CC3"/>
    <w:rsid w:val="4E307A7D"/>
    <w:rsid w:val="4E363901"/>
    <w:rsid w:val="4E3DC0E5"/>
    <w:rsid w:val="4E3DDF6F"/>
    <w:rsid w:val="4E405E9D"/>
    <w:rsid w:val="4E484AFE"/>
    <w:rsid w:val="4E4873EA"/>
    <w:rsid w:val="4E58CE23"/>
    <w:rsid w:val="4E5A9CC1"/>
    <w:rsid w:val="4E5BDBCF"/>
    <w:rsid w:val="4E5C1DA5"/>
    <w:rsid w:val="4E66425D"/>
    <w:rsid w:val="4E66FBA4"/>
    <w:rsid w:val="4E707872"/>
    <w:rsid w:val="4E740B21"/>
    <w:rsid w:val="4E7654D5"/>
    <w:rsid w:val="4E765627"/>
    <w:rsid w:val="4EA2F1A3"/>
    <w:rsid w:val="4EA5EFF0"/>
    <w:rsid w:val="4EB0ECD7"/>
    <w:rsid w:val="4EB90855"/>
    <w:rsid w:val="4EC3788D"/>
    <w:rsid w:val="4ECA251D"/>
    <w:rsid w:val="4EE06806"/>
    <w:rsid w:val="4EF4D1F1"/>
    <w:rsid w:val="4EF9BCE3"/>
    <w:rsid w:val="4EFA5CF1"/>
    <w:rsid w:val="4F047974"/>
    <w:rsid w:val="4F0748B4"/>
    <w:rsid w:val="4F0A9F6B"/>
    <w:rsid w:val="4F0CDE16"/>
    <w:rsid w:val="4F181595"/>
    <w:rsid w:val="4F41AD1A"/>
    <w:rsid w:val="4F434945"/>
    <w:rsid w:val="4F4FA6C5"/>
    <w:rsid w:val="4F520C5F"/>
    <w:rsid w:val="4F5BC23D"/>
    <w:rsid w:val="4F603A75"/>
    <w:rsid w:val="4F6FBA9F"/>
    <w:rsid w:val="4F7046C7"/>
    <w:rsid w:val="4F73612B"/>
    <w:rsid w:val="4F737648"/>
    <w:rsid w:val="4F858A8F"/>
    <w:rsid w:val="4F91F9FE"/>
    <w:rsid w:val="4F9F2106"/>
    <w:rsid w:val="4FA36B67"/>
    <w:rsid w:val="4FB11A69"/>
    <w:rsid w:val="4FB72025"/>
    <w:rsid w:val="4FBD90D5"/>
    <w:rsid w:val="4FC66B25"/>
    <w:rsid w:val="4FC9676A"/>
    <w:rsid w:val="4FD0C8A7"/>
    <w:rsid w:val="4FDCDA43"/>
    <w:rsid w:val="4FDF88FD"/>
    <w:rsid w:val="4FE1EF2E"/>
    <w:rsid w:val="4FF0224D"/>
    <w:rsid w:val="4FF3C29F"/>
    <w:rsid w:val="4FF83C24"/>
    <w:rsid w:val="4FF931C8"/>
    <w:rsid w:val="4FFCC174"/>
    <w:rsid w:val="500A2F36"/>
    <w:rsid w:val="500D7DA2"/>
    <w:rsid w:val="5012A2D0"/>
    <w:rsid w:val="50145810"/>
    <w:rsid w:val="50146FA0"/>
    <w:rsid w:val="502A96BE"/>
    <w:rsid w:val="502E1FDE"/>
    <w:rsid w:val="5047156A"/>
    <w:rsid w:val="504E2A06"/>
    <w:rsid w:val="5050D208"/>
    <w:rsid w:val="505550A0"/>
    <w:rsid w:val="5061DEAB"/>
    <w:rsid w:val="50627E7A"/>
    <w:rsid w:val="506634C9"/>
    <w:rsid w:val="506C4969"/>
    <w:rsid w:val="506F887E"/>
    <w:rsid w:val="5077A914"/>
    <w:rsid w:val="507A7A28"/>
    <w:rsid w:val="507C17FE"/>
    <w:rsid w:val="507E3873"/>
    <w:rsid w:val="50812D2B"/>
    <w:rsid w:val="508A7B34"/>
    <w:rsid w:val="508B6640"/>
    <w:rsid w:val="5097432F"/>
    <w:rsid w:val="509826F3"/>
    <w:rsid w:val="509FB5F4"/>
    <w:rsid w:val="50A24A4F"/>
    <w:rsid w:val="50A440FB"/>
    <w:rsid w:val="50A7AA38"/>
    <w:rsid w:val="50A9DD54"/>
    <w:rsid w:val="50ADE08D"/>
    <w:rsid w:val="50B767A3"/>
    <w:rsid w:val="50B88673"/>
    <w:rsid w:val="50C8A27A"/>
    <w:rsid w:val="50D3AB9B"/>
    <w:rsid w:val="50D949D5"/>
    <w:rsid w:val="50DEE046"/>
    <w:rsid w:val="50E4B68E"/>
    <w:rsid w:val="50EF63F1"/>
    <w:rsid w:val="50FF9AC6"/>
    <w:rsid w:val="510213D4"/>
    <w:rsid w:val="51038A8E"/>
    <w:rsid w:val="5105E98F"/>
    <w:rsid w:val="510A5B56"/>
    <w:rsid w:val="5117D9D3"/>
    <w:rsid w:val="511A67F7"/>
    <w:rsid w:val="511C2123"/>
    <w:rsid w:val="5123E957"/>
    <w:rsid w:val="513406AD"/>
    <w:rsid w:val="5148EE78"/>
    <w:rsid w:val="515044C9"/>
    <w:rsid w:val="51519439"/>
    <w:rsid w:val="5156642E"/>
    <w:rsid w:val="51661D7C"/>
    <w:rsid w:val="516666A3"/>
    <w:rsid w:val="516A0B46"/>
    <w:rsid w:val="516DAB6B"/>
    <w:rsid w:val="517342B6"/>
    <w:rsid w:val="517D424B"/>
    <w:rsid w:val="517F7D34"/>
    <w:rsid w:val="518282B4"/>
    <w:rsid w:val="5199BFED"/>
    <w:rsid w:val="5199D386"/>
    <w:rsid w:val="51BB9B24"/>
    <w:rsid w:val="51C3091C"/>
    <w:rsid w:val="51D2D5DB"/>
    <w:rsid w:val="51DA970B"/>
    <w:rsid w:val="51DC3094"/>
    <w:rsid w:val="51E095F0"/>
    <w:rsid w:val="51E6E44C"/>
    <w:rsid w:val="51E850A5"/>
    <w:rsid w:val="51EB368D"/>
    <w:rsid w:val="51EC32AC"/>
    <w:rsid w:val="51F1E279"/>
    <w:rsid w:val="51F791AF"/>
    <w:rsid w:val="51F79949"/>
    <w:rsid w:val="51FC16FC"/>
    <w:rsid w:val="520F6C26"/>
    <w:rsid w:val="5210077D"/>
    <w:rsid w:val="52178167"/>
    <w:rsid w:val="521E6F27"/>
    <w:rsid w:val="5224D8C1"/>
    <w:rsid w:val="522C4B75"/>
    <w:rsid w:val="5234BD99"/>
    <w:rsid w:val="523A2615"/>
    <w:rsid w:val="52441410"/>
    <w:rsid w:val="52489A05"/>
    <w:rsid w:val="5249A4B5"/>
    <w:rsid w:val="524A3E3F"/>
    <w:rsid w:val="524C84E3"/>
    <w:rsid w:val="5250E8F3"/>
    <w:rsid w:val="526214FB"/>
    <w:rsid w:val="52655DA1"/>
    <w:rsid w:val="527AC286"/>
    <w:rsid w:val="5280B2C9"/>
    <w:rsid w:val="52880191"/>
    <w:rsid w:val="528B7579"/>
    <w:rsid w:val="5293D646"/>
    <w:rsid w:val="52AEE950"/>
    <w:rsid w:val="52C15CA0"/>
    <w:rsid w:val="52C3347A"/>
    <w:rsid w:val="52D9103B"/>
    <w:rsid w:val="52DEDB07"/>
    <w:rsid w:val="52E0E00F"/>
    <w:rsid w:val="52E362CC"/>
    <w:rsid w:val="52E584C0"/>
    <w:rsid w:val="52EAAE80"/>
    <w:rsid w:val="52FF455B"/>
    <w:rsid w:val="52FF8363"/>
    <w:rsid w:val="52FF8FFD"/>
    <w:rsid w:val="53033D90"/>
    <w:rsid w:val="530450DA"/>
    <w:rsid w:val="531C854F"/>
    <w:rsid w:val="533200AE"/>
    <w:rsid w:val="5345DA31"/>
    <w:rsid w:val="534C41A1"/>
    <w:rsid w:val="5353F106"/>
    <w:rsid w:val="535A207F"/>
    <w:rsid w:val="5365C355"/>
    <w:rsid w:val="536E255C"/>
    <w:rsid w:val="536E55F7"/>
    <w:rsid w:val="537026CF"/>
    <w:rsid w:val="5373AA6A"/>
    <w:rsid w:val="5379ED09"/>
    <w:rsid w:val="538416B1"/>
    <w:rsid w:val="538715A6"/>
    <w:rsid w:val="53887268"/>
    <w:rsid w:val="538E9D8A"/>
    <w:rsid w:val="53967902"/>
    <w:rsid w:val="539BE2A4"/>
    <w:rsid w:val="539D903C"/>
    <w:rsid w:val="53A4F885"/>
    <w:rsid w:val="53AC9CB3"/>
    <w:rsid w:val="53C1129B"/>
    <w:rsid w:val="53C96ABD"/>
    <w:rsid w:val="53CC5DC5"/>
    <w:rsid w:val="53DC4F6A"/>
    <w:rsid w:val="53E85841"/>
    <w:rsid w:val="53EEAE56"/>
    <w:rsid w:val="53F1F601"/>
    <w:rsid w:val="53FFCDEF"/>
    <w:rsid w:val="540CC888"/>
    <w:rsid w:val="541AAFEC"/>
    <w:rsid w:val="541FB19F"/>
    <w:rsid w:val="542014C6"/>
    <w:rsid w:val="542270E9"/>
    <w:rsid w:val="542473BF"/>
    <w:rsid w:val="5425CD9A"/>
    <w:rsid w:val="542F4706"/>
    <w:rsid w:val="5438604D"/>
    <w:rsid w:val="543DC0B6"/>
    <w:rsid w:val="543DD6FA"/>
    <w:rsid w:val="543FB20C"/>
    <w:rsid w:val="54400154"/>
    <w:rsid w:val="54488AF3"/>
    <w:rsid w:val="544DC348"/>
    <w:rsid w:val="5452F2F9"/>
    <w:rsid w:val="5455770B"/>
    <w:rsid w:val="5456D97C"/>
    <w:rsid w:val="545A68CD"/>
    <w:rsid w:val="548FE105"/>
    <w:rsid w:val="548FF768"/>
    <w:rsid w:val="54A75F52"/>
    <w:rsid w:val="54A8C4BB"/>
    <w:rsid w:val="54B4DB83"/>
    <w:rsid w:val="54B62DC0"/>
    <w:rsid w:val="54B7B56E"/>
    <w:rsid w:val="54B8E363"/>
    <w:rsid w:val="54CC6DC5"/>
    <w:rsid w:val="54CF0D38"/>
    <w:rsid w:val="54D84808"/>
    <w:rsid w:val="54DCE81E"/>
    <w:rsid w:val="54E08DF5"/>
    <w:rsid w:val="54FA4B23"/>
    <w:rsid w:val="5502BC1B"/>
    <w:rsid w:val="55079BFB"/>
    <w:rsid w:val="5507CB34"/>
    <w:rsid w:val="5509D48D"/>
    <w:rsid w:val="550B1DCF"/>
    <w:rsid w:val="550FDE4D"/>
    <w:rsid w:val="5511C6BB"/>
    <w:rsid w:val="55129CB7"/>
    <w:rsid w:val="5515CE7D"/>
    <w:rsid w:val="55179FAD"/>
    <w:rsid w:val="5517C406"/>
    <w:rsid w:val="551A4C28"/>
    <w:rsid w:val="55277F56"/>
    <w:rsid w:val="55299443"/>
    <w:rsid w:val="552D9519"/>
    <w:rsid w:val="553F6C80"/>
    <w:rsid w:val="5540E312"/>
    <w:rsid w:val="5545C157"/>
    <w:rsid w:val="5547FC40"/>
    <w:rsid w:val="554DA658"/>
    <w:rsid w:val="55574F7F"/>
    <w:rsid w:val="555BE0A8"/>
    <w:rsid w:val="555F9CF3"/>
    <w:rsid w:val="5578702E"/>
    <w:rsid w:val="557C4737"/>
    <w:rsid w:val="558D684F"/>
    <w:rsid w:val="559ECC23"/>
    <w:rsid w:val="559F5ED6"/>
    <w:rsid w:val="55A5E379"/>
    <w:rsid w:val="55B546D5"/>
    <w:rsid w:val="55C9360C"/>
    <w:rsid w:val="55CB8F63"/>
    <w:rsid w:val="55EAD57F"/>
    <w:rsid w:val="55FC6341"/>
    <w:rsid w:val="55FFB471"/>
    <w:rsid w:val="56015314"/>
    <w:rsid w:val="5602DB77"/>
    <w:rsid w:val="560F0F08"/>
    <w:rsid w:val="5611414E"/>
    <w:rsid w:val="5616BEE2"/>
    <w:rsid w:val="562B4825"/>
    <w:rsid w:val="562C4916"/>
    <w:rsid w:val="562E4207"/>
    <w:rsid w:val="562FA2A3"/>
    <w:rsid w:val="5633646D"/>
    <w:rsid w:val="563A29EE"/>
    <w:rsid w:val="564E65DA"/>
    <w:rsid w:val="567AC0DA"/>
    <w:rsid w:val="567B8A57"/>
    <w:rsid w:val="567E0E0D"/>
    <w:rsid w:val="568BCCA9"/>
    <w:rsid w:val="568CBD3D"/>
    <w:rsid w:val="5694CC59"/>
    <w:rsid w:val="56967A3F"/>
    <w:rsid w:val="569AA7F7"/>
    <w:rsid w:val="56AAAE72"/>
    <w:rsid w:val="56AE12F2"/>
    <w:rsid w:val="56B3B76F"/>
    <w:rsid w:val="56C217A8"/>
    <w:rsid w:val="56CE81C1"/>
    <w:rsid w:val="56CFF2F9"/>
    <w:rsid w:val="56DC8FBE"/>
    <w:rsid w:val="56E6EDEB"/>
    <w:rsid w:val="56E78F1B"/>
    <w:rsid w:val="56E91F4B"/>
    <w:rsid w:val="56F1E04A"/>
    <w:rsid w:val="56FB7F43"/>
    <w:rsid w:val="56FE8770"/>
    <w:rsid w:val="570251D3"/>
    <w:rsid w:val="57148344"/>
    <w:rsid w:val="5719A99D"/>
    <w:rsid w:val="571C7012"/>
    <w:rsid w:val="571CB20A"/>
    <w:rsid w:val="57222CD8"/>
    <w:rsid w:val="5729FCD5"/>
    <w:rsid w:val="572C7CB1"/>
    <w:rsid w:val="572DFE3A"/>
    <w:rsid w:val="5734BCD0"/>
    <w:rsid w:val="573AB4F4"/>
    <w:rsid w:val="573B975B"/>
    <w:rsid w:val="5746F3C6"/>
    <w:rsid w:val="57487CEE"/>
    <w:rsid w:val="5749C5B7"/>
    <w:rsid w:val="574DC3B2"/>
    <w:rsid w:val="5752921A"/>
    <w:rsid w:val="5759ABF4"/>
    <w:rsid w:val="575B1E6D"/>
    <w:rsid w:val="57646EBB"/>
    <w:rsid w:val="5765ED09"/>
    <w:rsid w:val="577A63CE"/>
    <w:rsid w:val="57A5EC7D"/>
    <w:rsid w:val="57B6A7F8"/>
    <w:rsid w:val="57BEBBC1"/>
    <w:rsid w:val="57C321FC"/>
    <w:rsid w:val="57C67676"/>
    <w:rsid w:val="57C91107"/>
    <w:rsid w:val="57CEFA79"/>
    <w:rsid w:val="57DADFFE"/>
    <w:rsid w:val="57DB7889"/>
    <w:rsid w:val="57DE45F8"/>
    <w:rsid w:val="57E42B9B"/>
    <w:rsid w:val="57EC717E"/>
    <w:rsid w:val="57EDD0EA"/>
    <w:rsid w:val="5802B324"/>
    <w:rsid w:val="5804BCA4"/>
    <w:rsid w:val="5806C8F2"/>
    <w:rsid w:val="58175AB8"/>
    <w:rsid w:val="58246E85"/>
    <w:rsid w:val="582F3299"/>
    <w:rsid w:val="583945D3"/>
    <w:rsid w:val="583FB8B3"/>
    <w:rsid w:val="58489832"/>
    <w:rsid w:val="5848A324"/>
    <w:rsid w:val="5857F713"/>
    <w:rsid w:val="5865A5D2"/>
    <w:rsid w:val="586B8A86"/>
    <w:rsid w:val="5884E9BA"/>
    <w:rsid w:val="5886688A"/>
    <w:rsid w:val="58930E06"/>
    <w:rsid w:val="58995E08"/>
    <w:rsid w:val="58A536AF"/>
    <w:rsid w:val="58AACAAC"/>
    <w:rsid w:val="58AC2253"/>
    <w:rsid w:val="58B0E48A"/>
    <w:rsid w:val="58BC5D45"/>
    <w:rsid w:val="58BCC149"/>
    <w:rsid w:val="58C04535"/>
    <w:rsid w:val="58C70D52"/>
    <w:rsid w:val="58D16F1B"/>
    <w:rsid w:val="58E1DA16"/>
    <w:rsid w:val="58E92245"/>
    <w:rsid w:val="58EA7080"/>
    <w:rsid w:val="58EBFC8B"/>
    <w:rsid w:val="58EEF1E3"/>
    <w:rsid w:val="59032B6C"/>
    <w:rsid w:val="59081945"/>
    <w:rsid w:val="59117229"/>
    <w:rsid w:val="591BE23B"/>
    <w:rsid w:val="593BA249"/>
    <w:rsid w:val="59451158"/>
    <w:rsid w:val="594BE101"/>
    <w:rsid w:val="59501A79"/>
    <w:rsid w:val="59539BB6"/>
    <w:rsid w:val="595486C2"/>
    <w:rsid w:val="595ED8B4"/>
    <w:rsid w:val="595F635D"/>
    <w:rsid w:val="596452B5"/>
    <w:rsid w:val="596B927F"/>
    <w:rsid w:val="596E756D"/>
    <w:rsid w:val="597121CC"/>
    <w:rsid w:val="597BE533"/>
    <w:rsid w:val="597D538C"/>
    <w:rsid w:val="598819D5"/>
    <w:rsid w:val="59A05835"/>
    <w:rsid w:val="59A391F2"/>
    <w:rsid w:val="59B0758B"/>
    <w:rsid w:val="59B51E9E"/>
    <w:rsid w:val="59C12CCD"/>
    <w:rsid w:val="59CBF938"/>
    <w:rsid w:val="59D1B561"/>
    <w:rsid w:val="59D3AAA7"/>
    <w:rsid w:val="59DF4AF4"/>
    <w:rsid w:val="59E28C5A"/>
    <w:rsid w:val="59E5D13A"/>
    <w:rsid w:val="59F1C45B"/>
    <w:rsid w:val="59FA158D"/>
    <w:rsid w:val="5A01063C"/>
    <w:rsid w:val="5A013302"/>
    <w:rsid w:val="5A07602B"/>
    <w:rsid w:val="5A0839D9"/>
    <w:rsid w:val="5A0A5445"/>
    <w:rsid w:val="5A15E5C3"/>
    <w:rsid w:val="5A2C607D"/>
    <w:rsid w:val="5A312BE7"/>
    <w:rsid w:val="5A33580A"/>
    <w:rsid w:val="5A392516"/>
    <w:rsid w:val="5A440F42"/>
    <w:rsid w:val="5A47C0AC"/>
    <w:rsid w:val="5A4B0DE7"/>
    <w:rsid w:val="5A5093A0"/>
    <w:rsid w:val="5A59BBFD"/>
    <w:rsid w:val="5A5C08AF"/>
    <w:rsid w:val="5A615B2F"/>
    <w:rsid w:val="5A6C1182"/>
    <w:rsid w:val="5A710A7F"/>
    <w:rsid w:val="5A756867"/>
    <w:rsid w:val="5A822ABF"/>
    <w:rsid w:val="5A842EF5"/>
    <w:rsid w:val="5A9349FA"/>
    <w:rsid w:val="5A93F021"/>
    <w:rsid w:val="5A97BE41"/>
    <w:rsid w:val="5A9CF93A"/>
    <w:rsid w:val="5A9EE08F"/>
    <w:rsid w:val="5AABE98E"/>
    <w:rsid w:val="5AAE9FED"/>
    <w:rsid w:val="5AB06DD5"/>
    <w:rsid w:val="5AB174E2"/>
    <w:rsid w:val="5AB3DFBE"/>
    <w:rsid w:val="5ABC7A8B"/>
    <w:rsid w:val="5AC05102"/>
    <w:rsid w:val="5AC0635F"/>
    <w:rsid w:val="5AC5D36F"/>
    <w:rsid w:val="5ACF636B"/>
    <w:rsid w:val="5ADE3BD8"/>
    <w:rsid w:val="5AE2A821"/>
    <w:rsid w:val="5AE57F0C"/>
    <w:rsid w:val="5AE8B957"/>
    <w:rsid w:val="5AF8D6AD"/>
    <w:rsid w:val="5AFC6694"/>
    <w:rsid w:val="5B01717A"/>
    <w:rsid w:val="5B05F2B0"/>
    <w:rsid w:val="5B12518B"/>
    <w:rsid w:val="5B18284E"/>
    <w:rsid w:val="5B21F93F"/>
    <w:rsid w:val="5B2C20F6"/>
    <w:rsid w:val="5B37E8A3"/>
    <w:rsid w:val="5B3AB57F"/>
    <w:rsid w:val="5B3FA358"/>
    <w:rsid w:val="5B439F24"/>
    <w:rsid w:val="5B4AE99F"/>
    <w:rsid w:val="5B5652AB"/>
    <w:rsid w:val="5B5EA386"/>
    <w:rsid w:val="5B67B235"/>
    <w:rsid w:val="5B67B301"/>
    <w:rsid w:val="5B6EE84C"/>
    <w:rsid w:val="5B7DF63C"/>
    <w:rsid w:val="5B8EEE3B"/>
    <w:rsid w:val="5BA0636D"/>
    <w:rsid w:val="5BA4C35A"/>
    <w:rsid w:val="5BA5D01C"/>
    <w:rsid w:val="5BBB5BCF"/>
    <w:rsid w:val="5BBCAB3F"/>
    <w:rsid w:val="5BC1049E"/>
    <w:rsid w:val="5BCBD1CE"/>
    <w:rsid w:val="5BCFCB32"/>
    <w:rsid w:val="5BD5D04E"/>
    <w:rsid w:val="5BDD7939"/>
    <w:rsid w:val="5BF39DC0"/>
    <w:rsid w:val="5BF865F0"/>
    <w:rsid w:val="5BFC5D8B"/>
    <w:rsid w:val="5BFD6B17"/>
    <w:rsid w:val="5C099A4C"/>
    <w:rsid w:val="5C12E7E0"/>
    <w:rsid w:val="5C17C48D"/>
    <w:rsid w:val="5C17D506"/>
    <w:rsid w:val="5C186B54"/>
    <w:rsid w:val="5C291B9D"/>
    <w:rsid w:val="5C328A90"/>
    <w:rsid w:val="5C351037"/>
    <w:rsid w:val="5C35B993"/>
    <w:rsid w:val="5C3723B3"/>
    <w:rsid w:val="5C3F1973"/>
    <w:rsid w:val="5C6BFE9B"/>
    <w:rsid w:val="5C6CE098"/>
    <w:rsid w:val="5C72AB93"/>
    <w:rsid w:val="5C758A64"/>
    <w:rsid w:val="5C784008"/>
    <w:rsid w:val="5C7AD682"/>
    <w:rsid w:val="5C8A6AE8"/>
    <w:rsid w:val="5C8AB591"/>
    <w:rsid w:val="5C8ED618"/>
    <w:rsid w:val="5C91C880"/>
    <w:rsid w:val="5C9FD49F"/>
    <w:rsid w:val="5CA89DBF"/>
    <w:rsid w:val="5CA8D3FA"/>
    <w:rsid w:val="5CA93A4F"/>
    <w:rsid w:val="5CAECA63"/>
    <w:rsid w:val="5CB4C4BD"/>
    <w:rsid w:val="5CB97907"/>
    <w:rsid w:val="5CC9D340"/>
    <w:rsid w:val="5CCC8FF0"/>
    <w:rsid w:val="5CD74F5D"/>
    <w:rsid w:val="5CDCA39E"/>
    <w:rsid w:val="5CE24403"/>
    <w:rsid w:val="5CE3A89E"/>
    <w:rsid w:val="5CF831B4"/>
    <w:rsid w:val="5CFBD023"/>
    <w:rsid w:val="5D148C63"/>
    <w:rsid w:val="5D1B8370"/>
    <w:rsid w:val="5D255E87"/>
    <w:rsid w:val="5D37E3FB"/>
    <w:rsid w:val="5D3E6560"/>
    <w:rsid w:val="5D409441"/>
    <w:rsid w:val="5D421468"/>
    <w:rsid w:val="5D50CBB2"/>
    <w:rsid w:val="5D5CE33A"/>
    <w:rsid w:val="5D6F134C"/>
    <w:rsid w:val="5D7083AE"/>
    <w:rsid w:val="5D74C860"/>
    <w:rsid w:val="5D771A64"/>
    <w:rsid w:val="5D933753"/>
    <w:rsid w:val="5D947844"/>
    <w:rsid w:val="5D977E42"/>
    <w:rsid w:val="5DA28763"/>
    <w:rsid w:val="5DB4B404"/>
    <w:rsid w:val="5DB773A4"/>
    <w:rsid w:val="5DBA4367"/>
    <w:rsid w:val="5DBAD9E4"/>
    <w:rsid w:val="5DBB12A7"/>
    <w:rsid w:val="5DBC948A"/>
    <w:rsid w:val="5DC206DC"/>
    <w:rsid w:val="5DCCFFC7"/>
    <w:rsid w:val="5DD7344A"/>
    <w:rsid w:val="5DE0483B"/>
    <w:rsid w:val="5DE04907"/>
    <w:rsid w:val="5DFB3E47"/>
    <w:rsid w:val="5DFC4F96"/>
    <w:rsid w:val="5E02E275"/>
    <w:rsid w:val="5E066CB5"/>
    <w:rsid w:val="5E2148B2"/>
    <w:rsid w:val="5E2320F1"/>
    <w:rsid w:val="5E28937A"/>
    <w:rsid w:val="5E29FAFE"/>
    <w:rsid w:val="5E3CB3F9"/>
    <w:rsid w:val="5E59443A"/>
    <w:rsid w:val="5E690E70"/>
    <w:rsid w:val="5E6AE4F5"/>
    <w:rsid w:val="5E7C5ECA"/>
    <w:rsid w:val="5E7D71B3"/>
    <w:rsid w:val="5E80D64A"/>
    <w:rsid w:val="5E8B730B"/>
    <w:rsid w:val="5E99EC56"/>
    <w:rsid w:val="5E9F2EF6"/>
    <w:rsid w:val="5EB625A5"/>
    <w:rsid w:val="5EBAC2DA"/>
    <w:rsid w:val="5EBFA0B1"/>
    <w:rsid w:val="5EC4DFF9"/>
    <w:rsid w:val="5EC5957F"/>
    <w:rsid w:val="5EC5FECC"/>
    <w:rsid w:val="5ECBCE97"/>
    <w:rsid w:val="5ECF6DDB"/>
    <w:rsid w:val="5ED378FB"/>
    <w:rsid w:val="5ED63D84"/>
    <w:rsid w:val="5ED831E5"/>
    <w:rsid w:val="5ED9E480"/>
    <w:rsid w:val="5EE22BA3"/>
    <w:rsid w:val="5EE8A113"/>
    <w:rsid w:val="5EEFFAB5"/>
    <w:rsid w:val="5EF10870"/>
    <w:rsid w:val="5EF58A02"/>
    <w:rsid w:val="5EF6EE08"/>
    <w:rsid w:val="5EF85344"/>
    <w:rsid w:val="5EFDA4A7"/>
    <w:rsid w:val="5F0179F9"/>
    <w:rsid w:val="5F09F62F"/>
    <w:rsid w:val="5F10DB9D"/>
    <w:rsid w:val="5F166B81"/>
    <w:rsid w:val="5F219D84"/>
    <w:rsid w:val="5F3E5956"/>
    <w:rsid w:val="5F441E3C"/>
    <w:rsid w:val="5F4AC02B"/>
    <w:rsid w:val="5F576D47"/>
    <w:rsid w:val="5F6C5AA1"/>
    <w:rsid w:val="5F6CAC4C"/>
    <w:rsid w:val="5F6F5694"/>
    <w:rsid w:val="5F6FABA7"/>
    <w:rsid w:val="5F7CB75B"/>
    <w:rsid w:val="5F847210"/>
    <w:rsid w:val="5F8D6339"/>
    <w:rsid w:val="5F93188B"/>
    <w:rsid w:val="5F959BD4"/>
    <w:rsid w:val="5FAA6D18"/>
    <w:rsid w:val="5FAC758C"/>
    <w:rsid w:val="5FAD0911"/>
    <w:rsid w:val="5FB5D5CD"/>
    <w:rsid w:val="5FBA6954"/>
    <w:rsid w:val="5FBF9798"/>
    <w:rsid w:val="5FC08C7F"/>
    <w:rsid w:val="5FD00C57"/>
    <w:rsid w:val="5FDDD5DF"/>
    <w:rsid w:val="5FE1626C"/>
    <w:rsid w:val="5FE5C8A7"/>
    <w:rsid w:val="5FEDE27E"/>
    <w:rsid w:val="5FF5DCAB"/>
    <w:rsid w:val="600015BF"/>
    <w:rsid w:val="6007500A"/>
    <w:rsid w:val="600F1829"/>
    <w:rsid w:val="601FB4C7"/>
    <w:rsid w:val="60235CBC"/>
    <w:rsid w:val="6026595B"/>
    <w:rsid w:val="6039F709"/>
    <w:rsid w:val="603B2A9F"/>
    <w:rsid w:val="6048E35C"/>
    <w:rsid w:val="6055A2D6"/>
    <w:rsid w:val="605E7088"/>
    <w:rsid w:val="6068E05C"/>
    <w:rsid w:val="606C4CAC"/>
    <w:rsid w:val="60709B11"/>
    <w:rsid w:val="6080218E"/>
    <w:rsid w:val="608031AB"/>
    <w:rsid w:val="6087450E"/>
    <w:rsid w:val="6089F36C"/>
    <w:rsid w:val="608CDF09"/>
    <w:rsid w:val="608F96F8"/>
    <w:rsid w:val="609526E1"/>
    <w:rsid w:val="6099175D"/>
    <w:rsid w:val="609E2233"/>
    <w:rsid w:val="60C5C5DF"/>
    <w:rsid w:val="60CADF54"/>
    <w:rsid w:val="60DE6708"/>
    <w:rsid w:val="60E4DF86"/>
    <w:rsid w:val="60EF0729"/>
    <w:rsid w:val="61030CF2"/>
    <w:rsid w:val="611293B2"/>
    <w:rsid w:val="611F8BFD"/>
    <w:rsid w:val="613526EB"/>
    <w:rsid w:val="6137E7DA"/>
    <w:rsid w:val="61464F87"/>
    <w:rsid w:val="6148EA18"/>
    <w:rsid w:val="614E0A3C"/>
    <w:rsid w:val="615731BE"/>
    <w:rsid w:val="61674584"/>
    <w:rsid w:val="6171405F"/>
    <w:rsid w:val="6180B86A"/>
    <w:rsid w:val="61820434"/>
    <w:rsid w:val="61848823"/>
    <w:rsid w:val="619CF187"/>
    <w:rsid w:val="61A842A9"/>
    <w:rsid w:val="61ADB2A8"/>
    <w:rsid w:val="61B4F121"/>
    <w:rsid w:val="61C0C0B4"/>
    <w:rsid w:val="61C50B2E"/>
    <w:rsid w:val="61C84964"/>
    <w:rsid w:val="61D0361E"/>
    <w:rsid w:val="61D204A1"/>
    <w:rsid w:val="61FFAB6C"/>
    <w:rsid w:val="62053305"/>
    <w:rsid w:val="62082626"/>
    <w:rsid w:val="62199329"/>
    <w:rsid w:val="621A8656"/>
    <w:rsid w:val="622270BE"/>
    <w:rsid w:val="622277DA"/>
    <w:rsid w:val="622358A0"/>
    <w:rsid w:val="6229A134"/>
    <w:rsid w:val="622C2E03"/>
    <w:rsid w:val="624E7F17"/>
    <w:rsid w:val="62507798"/>
    <w:rsid w:val="62544C1A"/>
    <w:rsid w:val="6254CC2E"/>
    <w:rsid w:val="625DA4DD"/>
    <w:rsid w:val="62606183"/>
    <w:rsid w:val="6261B327"/>
    <w:rsid w:val="6263B176"/>
    <w:rsid w:val="62755376"/>
    <w:rsid w:val="627E2BAF"/>
    <w:rsid w:val="628341E6"/>
    <w:rsid w:val="6286C323"/>
    <w:rsid w:val="6287662E"/>
    <w:rsid w:val="6287F256"/>
    <w:rsid w:val="628B4051"/>
    <w:rsid w:val="628EA962"/>
    <w:rsid w:val="6297444A"/>
    <w:rsid w:val="629AFDEA"/>
    <w:rsid w:val="62A384A7"/>
    <w:rsid w:val="62A7E828"/>
    <w:rsid w:val="62AB627D"/>
    <w:rsid w:val="62B5F3CE"/>
    <w:rsid w:val="62C7FB6C"/>
    <w:rsid w:val="62CA54A6"/>
    <w:rsid w:val="62D2F684"/>
    <w:rsid w:val="62DAF564"/>
    <w:rsid w:val="62DDEAD0"/>
    <w:rsid w:val="62E5A585"/>
    <w:rsid w:val="62E87436"/>
    <w:rsid w:val="62F16F81"/>
    <w:rsid w:val="62F98B85"/>
    <w:rsid w:val="62FBE2E1"/>
    <w:rsid w:val="630762F8"/>
    <w:rsid w:val="63081A84"/>
    <w:rsid w:val="631D6E7C"/>
    <w:rsid w:val="6326E504"/>
    <w:rsid w:val="6326EB8A"/>
    <w:rsid w:val="63306523"/>
    <w:rsid w:val="6334F7AF"/>
    <w:rsid w:val="6342424D"/>
    <w:rsid w:val="63453667"/>
    <w:rsid w:val="63456F2A"/>
    <w:rsid w:val="63473FBD"/>
    <w:rsid w:val="634746ED"/>
    <w:rsid w:val="634BD249"/>
    <w:rsid w:val="634DDC28"/>
    <w:rsid w:val="63576725"/>
    <w:rsid w:val="63597DBB"/>
    <w:rsid w:val="635AB4CB"/>
    <w:rsid w:val="63616490"/>
    <w:rsid w:val="636744CD"/>
    <w:rsid w:val="636BFA0C"/>
    <w:rsid w:val="637DE058"/>
    <w:rsid w:val="637F074C"/>
    <w:rsid w:val="638AFD91"/>
    <w:rsid w:val="638D0B04"/>
    <w:rsid w:val="639183A7"/>
    <w:rsid w:val="6398D8BA"/>
    <w:rsid w:val="639E681D"/>
    <w:rsid w:val="63BF55C7"/>
    <w:rsid w:val="63C00E02"/>
    <w:rsid w:val="63C318F7"/>
    <w:rsid w:val="63C6662A"/>
    <w:rsid w:val="63CE2624"/>
    <w:rsid w:val="63D60923"/>
    <w:rsid w:val="63E04E09"/>
    <w:rsid w:val="63E3E476"/>
    <w:rsid w:val="63E71DB2"/>
    <w:rsid w:val="63ECBDFB"/>
    <w:rsid w:val="63F535F5"/>
    <w:rsid w:val="6415CF8E"/>
    <w:rsid w:val="6415DA69"/>
    <w:rsid w:val="6429FA35"/>
    <w:rsid w:val="642C3E98"/>
    <w:rsid w:val="6436B30D"/>
    <w:rsid w:val="6437FD7E"/>
    <w:rsid w:val="643A3867"/>
    <w:rsid w:val="643D3E8C"/>
    <w:rsid w:val="64401C97"/>
    <w:rsid w:val="644BB23C"/>
    <w:rsid w:val="6453D4E9"/>
    <w:rsid w:val="64562D9E"/>
    <w:rsid w:val="6458DF52"/>
    <w:rsid w:val="6464C82F"/>
    <w:rsid w:val="646E0FBD"/>
    <w:rsid w:val="647364DF"/>
    <w:rsid w:val="6474D4CE"/>
    <w:rsid w:val="64823A6C"/>
    <w:rsid w:val="64840A2B"/>
    <w:rsid w:val="6490A92B"/>
    <w:rsid w:val="64919C58"/>
    <w:rsid w:val="64929A4F"/>
    <w:rsid w:val="64961BCF"/>
    <w:rsid w:val="649D0CF3"/>
    <w:rsid w:val="64A18B5B"/>
    <w:rsid w:val="64C0A8C1"/>
    <w:rsid w:val="64CD28D2"/>
    <w:rsid w:val="64CE9D01"/>
    <w:rsid w:val="64D54F27"/>
    <w:rsid w:val="64DF132C"/>
    <w:rsid w:val="64EC43D6"/>
    <w:rsid w:val="64EE449A"/>
    <w:rsid w:val="64F1BDC7"/>
    <w:rsid w:val="64FBFD3C"/>
    <w:rsid w:val="64FF52AE"/>
    <w:rsid w:val="650392A1"/>
    <w:rsid w:val="65066F2A"/>
    <w:rsid w:val="650E3BF3"/>
    <w:rsid w:val="6514B210"/>
    <w:rsid w:val="652821F6"/>
    <w:rsid w:val="6528AAFD"/>
    <w:rsid w:val="652DC873"/>
    <w:rsid w:val="653264FB"/>
    <w:rsid w:val="6547BEFF"/>
    <w:rsid w:val="6550CE28"/>
    <w:rsid w:val="65510D93"/>
    <w:rsid w:val="6551D1A4"/>
    <w:rsid w:val="6565FA07"/>
    <w:rsid w:val="6571BDD4"/>
    <w:rsid w:val="6576EDE3"/>
    <w:rsid w:val="65897291"/>
    <w:rsid w:val="659D22AC"/>
    <w:rsid w:val="65A29D5D"/>
    <w:rsid w:val="65C57FDB"/>
    <w:rsid w:val="65C9BA8C"/>
    <w:rsid w:val="65CD198B"/>
    <w:rsid w:val="65D340BC"/>
    <w:rsid w:val="65D5F230"/>
    <w:rsid w:val="65E3E9A0"/>
    <w:rsid w:val="65E7A846"/>
    <w:rsid w:val="65EF96EE"/>
    <w:rsid w:val="65F33CDF"/>
    <w:rsid w:val="660B7A73"/>
    <w:rsid w:val="660FA46A"/>
    <w:rsid w:val="661F7ADF"/>
    <w:rsid w:val="66349D61"/>
    <w:rsid w:val="6648E244"/>
    <w:rsid w:val="66614365"/>
    <w:rsid w:val="666922C7"/>
    <w:rsid w:val="666D9989"/>
    <w:rsid w:val="666E0A4F"/>
    <w:rsid w:val="666FF2B3"/>
    <w:rsid w:val="667C3936"/>
    <w:rsid w:val="667FE187"/>
    <w:rsid w:val="6683730A"/>
    <w:rsid w:val="6689EB6A"/>
    <w:rsid w:val="66907A78"/>
    <w:rsid w:val="6694391E"/>
    <w:rsid w:val="669A22A1"/>
    <w:rsid w:val="669E2A2B"/>
    <w:rsid w:val="66AC7D37"/>
    <w:rsid w:val="66AFA34C"/>
    <w:rsid w:val="66B09384"/>
    <w:rsid w:val="66B16822"/>
    <w:rsid w:val="66B922D7"/>
    <w:rsid w:val="66C1258D"/>
    <w:rsid w:val="66D5E578"/>
    <w:rsid w:val="66DF6789"/>
    <w:rsid w:val="66E0EAC2"/>
    <w:rsid w:val="66E518EA"/>
    <w:rsid w:val="66E80E42"/>
    <w:rsid w:val="66EE90AA"/>
    <w:rsid w:val="66F5969E"/>
    <w:rsid w:val="66FA9B09"/>
    <w:rsid w:val="6705542E"/>
    <w:rsid w:val="6707E1E9"/>
    <w:rsid w:val="670CC679"/>
    <w:rsid w:val="670EE4A6"/>
    <w:rsid w:val="6722830C"/>
    <w:rsid w:val="67271FF7"/>
    <w:rsid w:val="6727A0E6"/>
    <w:rsid w:val="6728AF13"/>
    <w:rsid w:val="672B2718"/>
    <w:rsid w:val="672F2B8A"/>
    <w:rsid w:val="67317CE3"/>
    <w:rsid w:val="67391C4B"/>
    <w:rsid w:val="67423C17"/>
    <w:rsid w:val="67433486"/>
    <w:rsid w:val="675186F3"/>
    <w:rsid w:val="675E7290"/>
    <w:rsid w:val="676B205E"/>
    <w:rsid w:val="6788ADB5"/>
    <w:rsid w:val="678A5D52"/>
    <w:rsid w:val="6797514F"/>
    <w:rsid w:val="67979CD6"/>
    <w:rsid w:val="67A1348B"/>
    <w:rsid w:val="67A36436"/>
    <w:rsid w:val="67A51907"/>
    <w:rsid w:val="67B553E5"/>
    <w:rsid w:val="67BBE2B8"/>
    <w:rsid w:val="67C63655"/>
    <w:rsid w:val="67D220B4"/>
    <w:rsid w:val="67DC7544"/>
    <w:rsid w:val="67E454F5"/>
    <w:rsid w:val="67E957BB"/>
    <w:rsid w:val="67EDC404"/>
    <w:rsid w:val="67F9F674"/>
    <w:rsid w:val="68032FF3"/>
    <w:rsid w:val="680CBC4C"/>
    <w:rsid w:val="680DFDFD"/>
    <w:rsid w:val="680E2B8C"/>
    <w:rsid w:val="680E55D8"/>
    <w:rsid w:val="680E7F20"/>
    <w:rsid w:val="681BADDA"/>
    <w:rsid w:val="68202705"/>
    <w:rsid w:val="68254DE4"/>
    <w:rsid w:val="682A68BE"/>
    <w:rsid w:val="682D473B"/>
    <w:rsid w:val="682D7A0C"/>
    <w:rsid w:val="682FAACA"/>
    <w:rsid w:val="682FB4F5"/>
    <w:rsid w:val="683B81C3"/>
    <w:rsid w:val="684325E5"/>
    <w:rsid w:val="68470CBF"/>
    <w:rsid w:val="6849C997"/>
    <w:rsid w:val="684D9292"/>
    <w:rsid w:val="685257EF"/>
    <w:rsid w:val="6855E412"/>
    <w:rsid w:val="685D6CE6"/>
    <w:rsid w:val="6863D02F"/>
    <w:rsid w:val="6865A063"/>
    <w:rsid w:val="6866D3F6"/>
    <w:rsid w:val="68683C78"/>
    <w:rsid w:val="686A515C"/>
    <w:rsid w:val="686D02ED"/>
    <w:rsid w:val="686E1002"/>
    <w:rsid w:val="6880D3A9"/>
    <w:rsid w:val="68831417"/>
    <w:rsid w:val="688343EB"/>
    <w:rsid w:val="68848070"/>
    <w:rsid w:val="6884C871"/>
    <w:rsid w:val="688B985D"/>
    <w:rsid w:val="6890CA6D"/>
    <w:rsid w:val="689341BC"/>
    <w:rsid w:val="689EADAC"/>
    <w:rsid w:val="68A85069"/>
    <w:rsid w:val="68AF85B4"/>
    <w:rsid w:val="68BB4079"/>
    <w:rsid w:val="68D559C1"/>
    <w:rsid w:val="68D74658"/>
    <w:rsid w:val="68D978F1"/>
    <w:rsid w:val="68E73A55"/>
    <w:rsid w:val="68E97E5D"/>
    <w:rsid w:val="68EC51B4"/>
    <w:rsid w:val="68ED09EF"/>
    <w:rsid w:val="690C05D6"/>
    <w:rsid w:val="690F2A70"/>
    <w:rsid w:val="6911089C"/>
    <w:rsid w:val="69179B7B"/>
    <w:rsid w:val="69197D61"/>
    <w:rsid w:val="691C448E"/>
    <w:rsid w:val="691F85BE"/>
    <w:rsid w:val="692CE104"/>
    <w:rsid w:val="69423F96"/>
    <w:rsid w:val="6942875E"/>
    <w:rsid w:val="6942ECF1"/>
    <w:rsid w:val="69494CEB"/>
    <w:rsid w:val="6950FCC5"/>
    <w:rsid w:val="6957300D"/>
    <w:rsid w:val="6960B6AA"/>
    <w:rsid w:val="6965CE09"/>
    <w:rsid w:val="69682C2C"/>
    <w:rsid w:val="697041B2"/>
    <w:rsid w:val="6977CDCD"/>
    <w:rsid w:val="697F21E4"/>
    <w:rsid w:val="6985B4FC"/>
    <w:rsid w:val="69A0FDE1"/>
    <w:rsid w:val="69AB9F98"/>
    <w:rsid w:val="69BD9713"/>
    <w:rsid w:val="69C32E9F"/>
    <w:rsid w:val="69CA791A"/>
    <w:rsid w:val="69CDE6C0"/>
    <w:rsid w:val="69D182DE"/>
    <w:rsid w:val="69D3F97F"/>
    <w:rsid w:val="69DB61EF"/>
    <w:rsid w:val="69DC0E1D"/>
    <w:rsid w:val="69E3A0CB"/>
    <w:rsid w:val="6A07C5B0"/>
    <w:rsid w:val="6A08258E"/>
    <w:rsid w:val="6A098BD9"/>
    <w:rsid w:val="6A1ABA40"/>
    <w:rsid w:val="6A2010FF"/>
    <w:rsid w:val="6A22EBE5"/>
    <w:rsid w:val="6A24414D"/>
    <w:rsid w:val="6A2E31A9"/>
    <w:rsid w:val="6A2F8B84"/>
    <w:rsid w:val="6A31D88A"/>
    <w:rsid w:val="6A348005"/>
    <w:rsid w:val="6A350AC8"/>
    <w:rsid w:val="6A3BE6B6"/>
    <w:rsid w:val="6A40F0D5"/>
    <w:rsid w:val="6A442840"/>
    <w:rsid w:val="6A4C47DF"/>
    <w:rsid w:val="6A537385"/>
    <w:rsid w:val="6A58F984"/>
    <w:rsid w:val="6A5E9F55"/>
    <w:rsid w:val="6A5FFC9D"/>
    <w:rsid w:val="6A608B23"/>
    <w:rsid w:val="6A655DEB"/>
    <w:rsid w:val="6A656F41"/>
    <w:rsid w:val="6A65E5D5"/>
    <w:rsid w:val="6A71D43F"/>
    <w:rsid w:val="6A78A06A"/>
    <w:rsid w:val="6A89AF31"/>
    <w:rsid w:val="6AA3E979"/>
    <w:rsid w:val="6AA64825"/>
    <w:rsid w:val="6ABE996D"/>
    <w:rsid w:val="6AC850C9"/>
    <w:rsid w:val="6ACE1117"/>
    <w:rsid w:val="6ACE9B88"/>
    <w:rsid w:val="6ACFDBCE"/>
    <w:rsid w:val="6AD0D506"/>
    <w:rsid w:val="6AD54585"/>
    <w:rsid w:val="6ADD8AD0"/>
    <w:rsid w:val="6ADE2205"/>
    <w:rsid w:val="6ADE2CE0"/>
    <w:rsid w:val="6AE0D1C1"/>
    <w:rsid w:val="6AEB396F"/>
    <w:rsid w:val="6AF0FF6B"/>
    <w:rsid w:val="6AF4C9CE"/>
    <w:rsid w:val="6B033201"/>
    <w:rsid w:val="6B0413F6"/>
    <w:rsid w:val="6B0643A3"/>
    <w:rsid w:val="6B07983C"/>
    <w:rsid w:val="6B0A8852"/>
    <w:rsid w:val="6B0AE56F"/>
    <w:rsid w:val="6B0C343C"/>
    <w:rsid w:val="6B12E74C"/>
    <w:rsid w:val="6B199C37"/>
    <w:rsid w:val="6B202F05"/>
    <w:rsid w:val="6B2323CF"/>
    <w:rsid w:val="6B23D12F"/>
    <w:rsid w:val="6B2514DF"/>
    <w:rsid w:val="6B48FAC8"/>
    <w:rsid w:val="6B576442"/>
    <w:rsid w:val="6B57A436"/>
    <w:rsid w:val="6B5CCEA3"/>
    <w:rsid w:val="6B6270D9"/>
    <w:rsid w:val="6B66E6CF"/>
    <w:rsid w:val="6B6E36A9"/>
    <w:rsid w:val="6B6FE888"/>
    <w:rsid w:val="6B79DAEE"/>
    <w:rsid w:val="6B81A1DE"/>
    <w:rsid w:val="6B8B0573"/>
    <w:rsid w:val="6B8C5D1F"/>
    <w:rsid w:val="6B907FD0"/>
    <w:rsid w:val="6B9B3D43"/>
    <w:rsid w:val="6BA10229"/>
    <w:rsid w:val="6BACD401"/>
    <w:rsid w:val="6BB15F46"/>
    <w:rsid w:val="6BB33D12"/>
    <w:rsid w:val="6BB8534E"/>
    <w:rsid w:val="6BC7D3E7"/>
    <w:rsid w:val="6BCA16F4"/>
    <w:rsid w:val="6BCC906B"/>
    <w:rsid w:val="6BD315E6"/>
    <w:rsid w:val="6BD4C678"/>
    <w:rsid w:val="6BD71994"/>
    <w:rsid w:val="6BE0A0BC"/>
    <w:rsid w:val="6BE24473"/>
    <w:rsid w:val="6BEE49B3"/>
    <w:rsid w:val="6BF00F20"/>
    <w:rsid w:val="6BF0794C"/>
    <w:rsid w:val="6BF41001"/>
    <w:rsid w:val="6BF55467"/>
    <w:rsid w:val="6BFC2036"/>
    <w:rsid w:val="6BFE1831"/>
    <w:rsid w:val="6C032E67"/>
    <w:rsid w:val="6C05A799"/>
    <w:rsid w:val="6C0BE598"/>
    <w:rsid w:val="6C102D6E"/>
    <w:rsid w:val="6C124E52"/>
    <w:rsid w:val="6C1D24F8"/>
    <w:rsid w:val="6C1EF7D6"/>
    <w:rsid w:val="6C314493"/>
    <w:rsid w:val="6C3FB9DA"/>
    <w:rsid w:val="6C408298"/>
    <w:rsid w:val="6C437F5A"/>
    <w:rsid w:val="6C493A8E"/>
    <w:rsid w:val="6C4A95B8"/>
    <w:rsid w:val="6C5214DC"/>
    <w:rsid w:val="6C58E237"/>
    <w:rsid w:val="6C5C4813"/>
    <w:rsid w:val="6C5CBCE7"/>
    <w:rsid w:val="6C633A8E"/>
    <w:rsid w:val="6C6A807A"/>
    <w:rsid w:val="6C7CFD55"/>
    <w:rsid w:val="6C7EF6BE"/>
    <w:rsid w:val="6C8313D3"/>
    <w:rsid w:val="6C9FFC0F"/>
    <w:rsid w:val="6CA1F067"/>
    <w:rsid w:val="6CAFB961"/>
    <w:rsid w:val="6CB540FA"/>
    <w:rsid w:val="6CB588FB"/>
    <w:rsid w:val="6CBC8B75"/>
    <w:rsid w:val="6CC15BC7"/>
    <w:rsid w:val="6CC61D35"/>
    <w:rsid w:val="6CC9081A"/>
    <w:rsid w:val="6CCEA0B2"/>
    <w:rsid w:val="6CDD5D67"/>
    <w:rsid w:val="6CE72575"/>
    <w:rsid w:val="6CF0C91D"/>
    <w:rsid w:val="6CF2924D"/>
    <w:rsid w:val="6CF5144B"/>
    <w:rsid w:val="6D027808"/>
    <w:rsid w:val="6D02B730"/>
    <w:rsid w:val="6D082BDB"/>
    <w:rsid w:val="6D0B2886"/>
    <w:rsid w:val="6D16C19D"/>
    <w:rsid w:val="6D1F3606"/>
    <w:rsid w:val="6D1FE568"/>
    <w:rsid w:val="6D230615"/>
    <w:rsid w:val="6D243FDF"/>
    <w:rsid w:val="6D310855"/>
    <w:rsid w:val="6D363A9B"/>
    <w:rsid w:val="6D37B577"/>
    <w:rsid w:val="6D481378"/>
    <w:rsid w:val="6D51D9DF"/>
    <w:rsid w:val="6D520EF8"/>
    <w:rsid w:val="6D57819C"/>
    <w:rsid w:val="6D5BE00D"/>
    <w:rsid w:val="6D6B24EB"/>
    <w:rsid w:val="6D719049"/>
    <w:rsid w:val="6D7E1CAE"/>
    <w:rsid w:val="6D869D37"/>
    <w:rsid w:val="6D888B79"/>
    <w:rsid w:val="6D8E2EE5"/>
    <w:rsid w:val="6D9C49E6"/>
    <w:rsid w:val="6DA8076A"/>
    <w:rsid w:val="6DB8AB2D"/>
    <w:rsid w:val="6DCBEF42"/>
    <w:rsid w:val="6DD03460"/>
    <w:rsid w:val="6DD03F3B"/>
    <w:rsid w:val="6DDE58AC"/>
    <w:rsid w:val="6DE384BA"/>
    <w:rsid w:val="6DE6DC29"/>
    <w:rsid w:val="6DE7B081"/>
    <w:rsid w:val="6DEB321D"/>
    <w:rsid w:val="6DF085EC"/>
    <w:rsid w:val="6DF298FB"/>
    <w:rsid w:val="6DF8A6DA"/>
    <w:rsid w:val="6DFCB3FD"/>
    <w:rsid w:val="6E0A1C20"/>
    <w:rsid w:val="6E1257F8"/>
    <w:rsid w:val="6E133771"/>
    <w:rsid w:val="6E14C6EB"/>
    <w:rsid w:val="6E25638C"/>
    <w:rsid w:val="6E2C9FE9"/>
    <w:rsid w:val="6E34156B"/>
    <w:rsid w:val="6E502E6E"/>
    <w:rsid w:val="6E51DC20"/>
    <w:rsid w:val="6E526D7B"/>
    <w:rsid w:val="6E5676B2"/>
    <w:rsid w:val="6E679728"/>
    <w:rsid w:val="6E86ECEF"/>
    <w:rsid w:val="6E8E4340"/>
    <w:rsid w:val="6E993F0C"/>
    <w:rsid w:val="6EA1A149"/>
    <w:rsid w:val="6EA5A185"/>
    <w:rsid w:val="6EB415FB"/>
    <w:rsid w:val="6EB6CBE3"/>
    <w:rsid w:val="6ECD9838"/>
    <w:rsid w:val="6ED3647B"/>
    <w:rsid w:val="6ED3974C"/>
    <w:rsid w:val="6ED9FA41"/>
    <w:rsid w:val="6EEEA65F"/>
    <w:rsid w:val="6EF02A8C"/>
    <w:rsid w:val="6EF81812"/>
    <w:rsid w:val="6EF90CEA"/>
    <w:rsid w:val="6EF9E671"/>
    <w:rsid w:val="6EFAA569"/>
    <w:rsid w:val="6F0037B1"/>
    <w:rsid w:val="6F08E9DA"/>
    <w:rsid w:val="6F213D71"/>
    <w:rsid w:val="6F24E2C3"/>
    <w:rsid w:val="6F399551"/>
    <w:rsid w:val="6F3D0F01"/>
    <w:rsid w:val="6F3F11D7"/>
    <w:rsid w:val="6F4100B0"/>
    <w:rsid w:val="6F45FC8C"/>
    <w:rsid w:val="6F494F06"/>
    <w:rsid w:val="6F50869C"/>
    <w:rsid w:val="6F5237B0"/>
    <w:rsid w:val="6F5B08D2"/>
    <w:rsid w:val="6F5BB8CD"/>
    <w:rsid w:val="6F67AEE6"/>
    <w:rsid w:val="6F6E9338"/>
    <w:rsid w:val="6F8450C7"/>
    <w:rsid w:val="6F85AE0F"/>
    <w:rsid w:val="6F891F7D"/>
    <w:rsid w:val="6F8F3E80"/>
    <w:rsid w:val="6F91401E"/>
    <w:rsid w:val="6F9376C8"/>
    <w:rsid w:val="6F99C91F"/>
    <w:rsid w:val="6FA19D15"/>
    <w:rsid w:val="6FA34CF1"/>
    <w:rsid w:val="6FA57C80"/>
    <w:rsid w:val="6FA8B9A0"/>
    <w:rsid w:val="6FAE9DD0"/>
    <w:rsid w:val="6FC30DE8"/>
    <w:rsid w:val="6FCD5792"/>
    <w:rsid w:val="6FD0064C"/>
    <w:rsid w:val="6FD43E27"/>
    <w:rsid w:val="6FD665CA"/>
    <w:rsid w:val="6FD9A7E5"/>
    <w:rsid w:val="6FDF3AC7"/>
    <w:rsid w:val="6FFD851B"/>
    <w:rsid w:val="7000CFF3"/>
    <w:rsid w:val="700D25EC"/>
    <w:rsid w:val="70170DA3"/>
    <w:rsid w:val="7025074A"/>
    <w:rsid w:val="7028335F"/>
    <w:rsid w:val="702DB1DC"/>
    <w:rsid w:val="7036836E"/>
    <w:rsid w:val="7038FBE8"/>
    <w:rsid w:val="705579DC"/>
    <w:rsid w:val="705BC947"/>
    <w:rsid w:val="705C6A48"/>
    <w:rsid w:val="7060BC8C"/>
    <w:rsid w:val="706A32E2"/>
    <w:rsid w:val="7070B089"/>
    <w:rsid w:val="707CB897"/>
    <w:rsid w:val="708082D0"/>
    <w:rsid w:val="70833349"/>
    <w:rsid w:val="709671AE"/>
    <w:rsid w:val="70A3693B"/>
    <w:rsid w:val="70A4EDD5"/>
    <w:rsid w:val="70B4613D"/>
    <w:rsid w:val="70CA0170"/>
    <w:rsid w:val="70CB7704"/>
    <w:rsid w:val="70CC803A"/>
    <w:rsid w:val="70CDE552"/>
    <w:rsid w:val="70CE56B0"/>
    <w:rsid w:val="70D121B0"/>
    <w:rsid w:val="70D281F2"/>
    <w:rsid w:val="70E03F0D"/>
    <w:rsid w:val="70E688C3"/>
    <w:rsid w:val="70E7CBC3"/>
    <w:rsid w:val="70EA7EE0"/>
    <w:rsid w:val="70EF3CF6"/>
    <w:rsid w:val="70F06E87"/>
    <w:rsid w:val="70FE5D53"/>
    <w:rsid w:val="7107ADE4"/>
    <w:rsid w:val="7108661F"/>
    <w:rsid w:val="710F9DA8"/>
    <w:rsid w:val="71100BE1"/>
    <w:rsid w:val="711F2C6D"/>
    <w:rsid w:val="7121CA7A"/>
    <w:rsid w:val="7128C76F"/>
    <w:rsid w:val="71483E7C"/>
    <w:rsid w:val="714CFE2A"/>
    <w:rsid w:val="7151C142"/>
    <w:rsid w:val="715E3286"/>
    <w:rsid w:val="7162139A"/>
    <w:rsid w:val="716A8B92"/>
    <w:rsid w:val="7177DD7F"/>
    <w:rsid w:val="71826E59"/>
    <w:rsid w:val="71A163C5"/>
    <w:rsid w:val="71AAE42A"/>
    <w:rsid w:val="71AD585F"/>
    <w:rsid w:val="71B141AD"/>
    <w:rsid w:val="71BCD46E"/>
    <w:rsid w:val="71C62128"/>
    <w:rsid w:val="71CE4165"/>
    <w:rsid w:val="71D7730E"/>
    <w:rsid w:val="71E64AA8"/>
    <w:rsid w:val="71E7196A"/>
    <w:rsid w:val="71EB8CD0"/>
    <w:rsid w:val="71EFED3D"/>
    <w:rsid w:val="71FF824F"/>
    <w:rsid w:val="720E086C"/>
    <w:rsid w:val="720EDB47"/>
    <w:rsid w:val="721AE01A"/>
    <w:rsid w:val="7226B3F1"/>
    <w:rsid w:val="7230A856"/>
    <w:rsid w:val="723446BA"/>
    <w:rsid w:val="72369CB7"/>
    <w:rsid w:val="7239C795"/>
    <w:rsid w:val="723C59EC"/>
    <w:rsid w:val="723D7170"/>
    <w:rsid w:val="7240999C"/>
    <w:rsid w:val="7241F658"/>
    <w:rsid w:val="7247DD9C"/>
    <w:rsid w:val="7249699D"/>
    <w:rsid w:val="724D518F"/>
    <w:rsid w:val="724F9785"/>
    <w:rsid w:val="7254EBF3"/>
    <w:rsid w:val="72571F69"/>
    <w:rsid w:val="725CF1E7"/>
    <w:rsid w:val="72685074"/>
    <w:rsid w:val="727523D4"/>
    <w:rsid w:val="72774E1A"/>
    <w:rsid w:val="727DC698"/>
    <w:rsid w:val="727F484E"/>
    <w:rsid w:val="727FFC3F"/>
    <w:rsid w:val="728BDEE7"/>
    <w:rsid w:val="728E45F1"/>
    <w:rsid w:val="7290E1AD"/>
    <w:rsid w:val="7297F5AC"/>
    <w:rsid w:val="72B2EFA0"/>
    <w:rsid w:val="72B6E8E4"/>
    <w:rsid w:val="72C6D33F"/>
    <w:rsid w:val="72DC8B5F"/>
    <w:rsid w:val="72F5B43F"/>
    <w:rsid w:val="730DADAC"/>
    <w:rsid w:val="730E0AC9"/>
    <w:rsid w:val="731BDEC4"/>
    <w:rsid w:val="731FAEEA"/>
    <w:rsid w:val="732B93AD"/>
    <w:rsid w:val="732D9E3C"/>
    <w:rsid w:val="733B4CFB"/>
    <w:rsid w:val="733F1D53"/>
    <w:rsid w:val="73429776"/>
    <w:rsid w:val="734307B0"/>
    <w:rsid w:val="7346E939"/>
    <w:rsid w:val="7347072C"/>
    <w:rsid w:val="734A522B"/>
    <w:rsid w:val="734F0B8E"/>
    <w:rsid w:val="73524BDB"/>
    <w:rsid w:val="7352D62E"/>
    <w:rsid w:val="7357A754"/>
    <w:rsid w:val="735A899C"/>
    <w:rsid w:val="735C453D"/>
    <w:rsid w:val="735DE6AA"/>
    <w:rsid w:val="7367B12D"/>
    <w:rsid w:val="7368B52F"/>
    <w:rsid w:val="73720061"/>
    <w:rsid w:val="7372C7FC"/>
    <w:rsid w:val="737665D4"/>
    <w:rsid w:val="737CACC5"/>
    <w:rsid w:val="73993976"/>
    <w:rsid w:val="739BFB45"/>
    <w:rsid w:val="739DAAE3"/>
    <w:rsid w:val="73A48A98"/>
    <w:rsid w:val="73BD096F"/>
    <w:rsid w:val="73C3DF23"/>
    <w:rsid w:val="73C5C701"/>
    <w:rsid w:val="73D50FE5"/>
    <w:rsid w:val="73D9F0B5"/>
    <w:rsid w:val="73DF1EEF"/>
    <w:rsid w:val="73DFA7C3"/>
    <w:rsid w:val="73E8B22B"/>
    <w:rsid w:val="73EE141C"/>
    <w:rsid w:val="73F0CC02"/>
    <w:rsid w:val="73F4F210"/>
    <w:rsid w:val="73FB1467"/>
    <w:rsid w:val="7400F628"/>
    <w:rsid w:val="74017AF4"/>
    <w:rsid w:val="740368DD"/>
    <w:rsid w:val="74053FAF"/>
    <w:rsid w:val="74066D14"/>
    <w:rsid w:val="74071A15"/>
    <w:rsid w:val="740A4DA0"/>
    <w:rsid w:val="741AB881"/>
    <w:rsid w:val="741B1281"/>
    <w:rsid w:val="7427CBA5"/>
    <w:rsid w:val="7430665F"/>
    <w:rsid w:val="7430F64D"/>
    <w:rsid w:val="743EE3CD"/>
    <w:rsid w:val="7442AD2F"/>
    <w:rsid w:val="744364FD"/>
    <w:rsid w:val="7449700B"/>
    <w:rsid w:val="7455218E"/>
    <w:rsid w:val="74591F32"/>
    <w:rsid w:val="745DC0FE"/>
    <w:rsid w:val="746345DD"/>
    <w:rsid w:val="7467E85E"/>
    <w:rsid w:val="74779037"/>
    <w:rsid w:val="74861CB4"/>
    <w:rsid w:val="748AC5C7"/>
    <w:rsid w:val="748BBC57"/>
    <w:rsid w:val="748CCF1D"/>
    <w:rsid w:val="749530F5"/>
    <w:rsid w:val="74AD896D"/>
    <w:rsid w:val="74C96E5A"/>
    <w:rsid w:val="74CE9DE3"/>
    <w:rsid w:val="74D0072C"/>
    <w:rsid w:val="74D8E3C4"/>
    <w:rsid w:val="74D92BC5"/>
    <w:rsid w:val="74D957FF"/>
    <w:rsid w:val="74DFA9B2"/>
    <w:rsid w:val="74EEDFEE"/>
    <w:rsid w:val="7504C0C5"/>
    <w:rsid w:val="750DB12B"/>
    <w:rsid w:val="750EAD4A"/>
    <w:rsid w:val="7510084A"/>
    <w:rsid w:val="751B4641"/>
    <w:rsid w:val="7521B921"/>
    <w:rsid w:val="7524F25D"/>
    <w:rsid w:val="75370258"/>
    <w:rsid w:val="7539EFF7"/>
    <w:rsid w:val="753CE483"/>
    <w:rsid w:val="75417E56"/>
    <w:rsid w:val="75497334"/>
    <w:rsid w:val="754B0F90"/>
    <w:rsid w:val="7556F777"/>
    <w:rsid w:val="755E3943"/>
    <w:rsid w:val="75612B31"/>
    <w:rsid w:val="7575D76B"/>
    <w:rsid w:val="759812E2"/>
    <w:rsid w:val="759AB00C"/>
    <w:rsid w:val="75AA8FA2"/>
    <w:rsid w:val="75B4D8E8"/>
    <w:rsid w:val="75C1E76C"/>
    <w:rsid w:val="75CC8E34"/>
    <w:rsid w:val="75CD208E"/>
    <w:rsid w:val="75F0231C"/>
    <w:rsid w:val="75F11F3B"/>
    <w:rsid w:val="7600FF57"/>
    <w:rsid w:val="7601280E"/>
    <w:rsid w:val="7607F69A"/>
    <w:rsid w:val="760A54E9"/>
    <w:rsid w:val="760ADF53"/>
    <w:rsid w:val="760D8FCC"/>
    <w:rsid w:val="762EF872"/>
    <w:rsid w:val="763CD4C0"/>
    <w:rsid w:val="765AC78A"/>
    <w:rsid w:val="76649564"/>
    <w:rsid w:val="766F12B4"/>
    <w:rsid w:val="76739E43"/>
    <w:rsid w:val="7674CF6E"/>
    <w:rsid w:val="767B7745"/>
    <w:rsid w:val="767C5C00"/>
    <w:rsid w:val="767DD42A"/>
    <w:rsid w:val="7688BDAD"/>
    <w:rsid w:val="76901600"/>
    <w:rsid w:val="7691A508"/>
    <w:rsid w:val="7696109F"/>
    <w:rsid w:val="76A040A8"/>
    <w:rsid w:val="76A0BC32"/>
    <w:rsid w:val="76A47B86"/>
    <w:rsid w:val="76A6070D"/>
    <w:rsid w:val="76AC1649"/>
    <w:rsid w:val="76B96635"/>
    <w:rsid w:val="76B9D252"/>
    <w:rsid w:val="76BE007A"/>
    <w:rsid w:val="76C1FF83"/>
    <w:rsid w:val="76C4FBFE"/>
    <w:rsid w:val="76CBBB63"/>
    <w:rsid w:val="76CC0310"/>
    <w:rsid w:val="76DBB17C"/>
    <w:rsid w:val="76E0B391"/>
    <w:rsid w:val="76FAC53E"/>
    <w:rsid w:val="76FB4804"/>
    <w:rsid w:val="770CCADC"/>
    <w:rsid w:val="771539AF"/>
    <w:rsid w:val="77188D81"/>
    <w:rsid w:val="77189883"/>
    <w:rsid w:val="771C519C"/>
    <w:rsid w:val="77214190"/>
    <w:rsid w:val="7740759B"/>
    <w:rsid w:val="774FA90D"/>
    <w:rsid w:val="77507DAB"/>
    <w:rsid w:val="77636CF7"/>
    <w:rsid w:val="77793FE8"/>
    <w:rsid w:val="777B3FE5"/>
    <w:rsid w:val="777C73BE"/>
    <w:rsid w:val="7786F0FA"/>
    <w:rsid w:val="778780E8"/>
    <w:rsid w:val="778A7654"/>
    <w:rsid w:val="778AB781"/>
    <w:rsid w:val="77919824"/>
    <w:rsid w:val="77946D2B"/>
    <w:rsid w:val="77963A1E"/>
    <w:rsid w:val="77ACFDCD"/>
    <w:rsid w:val="77ADC75E"/>
    <w:rsid w:val="77B20093"/>
    <w:rsid w:val="77B24894"/>
    <w:rsid w:val="77BCDA90"/>
    <w:rsid w:val="77CAF61F"/>
    <w:rsid w:val="77D67DE9"/>
    <w:rsid w:val="77DD5CE9"/>
    <w:rsid w:val="77E4DFF2"/>
    <w:rsid w:val="77EB537D"/>
    <w:rsid w:val="77EED14C"/>
    <w:rsid w:val="77F0CA85"/>
    <w:rsid w:val="77F2DED2"/>
    <w:rsid w:val="77F48F4D"/>
    <w:rsid w:val="77FF04D0"/>
    <w:rsid w:val="7806F18A"/>
    <w:rsid w:val="7811A164"/>
    <w:rsid w:val="7812A1A4"/>
    <w:rsid w:val="78150947"/>
    <w:rsid w:val="781BEFAD"/>
    <w:rsid w:val="781EBF6D"/>
    <w:rsid w:val="7823C233"/>
    <w:rsid w:val="782BC9BB"/>
    <w:rsid w:val="78310A49"/>
    <w:rsid w:val="783419DD"/>
    <w:rsid w:val="78349E6E"/>
    <w:rsid w:val="7834D13F"/>
    <w:rsid w:val="7865A833"/>
    <w:rsid w:val="787073D7"/>
    <w:rsid w:val="7873BD43"/>
    <w:rsid w:val="7873F514"/>
    <w:rsid w:val="787E4E77"/>
    <w:rsid w:val="787F9AEC"/>
    <w:rsid w:val="7880247A"/>
    <w:rsid w:val="788D8CF3"/>
    <w:rsid w:val="78A2B1CB"/>
    <w:rsid w:val="78A9F667"/>
    <w:rsid w:val="78B47518"/>
    <w:rsid w:val="78BDDCEA"/>
    <w:rsid w:val="78C169F8"/>
    <w:rsid w:val="78C1DC66"/>
    <w:rsid w:val="78C5F17F"/>
    <w:rsid w:val="78C75B28"/>
    <w:rsid w:val="78C78583"/>
    <w:rsid w:val="78D21A7C"/>
    <w:rsid w:val="78DBBA90"/>
    <w:rsid w:val="78E8AAC9"/>
    <w:rsid w:val="78EAEC4B"/>
    <w:rsid w:val="78EC5296"/>
    <w:rsid w:val="78F83C5C"/>
    <w:rsid w:val="790153B3"/>
    <w:rsid w:val="791395A1"/>
    <w:rsid w:val="79262A68"/>
    <w:rsid w:val="7928113F"/>
    <w:rsid w:val="7929DD0E"/>
    <w:rsid w:val="7931D7B7"/>
    <w:rsid w:val="793A230D"/>
    <w:rsid w:val="79474B3A"/>
    <w:rsid w:val="794769C9"/>
    <w:rsid w:val="7958CA16"/>
    <w:rsid w:val="7968D4E9"/>
    <w:rsid w:val="797401DB"/>
    <w:rsid w:val="797D5E2C"/>
    <w:rsid w:val="797F5B59"/>
    <w:rsid w:val="798464C3"/>
    <w:rsid w:val="7996FCE2"/>
    <w:rsid w:val="79A82607"/>
    <w:rsid w:val="79B1C17D"/>
    <w:rsid w:val="79BB1FFF"/>
    <w:rsid w:val="79C71499"/>
    <w:rsid w:val="79C74470"/>
    <w:rsid w:val="79CCD6E1"/>
    <w:rsid w:val="79D73C4F"/>
    <w:rsid w:val="79E98330"/>
    <w:rsid w:val="79EDA260"/>
    <w:rsid w:val="79F0A627"/>
    <w:rsid w:val="79F20ACF"/>
    <w:rsid w:val="79F89DD5"/>
    <w:rsid w:val="79FCC479"/>
    <w:rsid w:val="79FD4973"/>
    <w:rsid w:val="79FF1EA9"/>
    <w:rsid w:val="7A02EB97"/>
    <w:rsid w:val="7A0A1751"/>
    <w:rsid w:val="7A0C878D"/>
    <w:rsid w:val="7A0D35EA"/>
    <w:rsid w:val="7A1E57C7"/>
    <w:rsid w:val="7A2B3999"/>
    <w:rsid w:val="7A2BFCE4"/>
    <w:rsid w:val="7A3F9F4C"/>
    <w:rsid w:val="7A40A0F3"/>
    <w:rsid w:val="7A4953B8"/>
    <w:rsid w:val="7A524D71"/>
    <w:rsid w:val="7A536D40"/>
    <w:rsid w:val="7A6B8724"/>
    <w:rsid w:val="7A6E8619"/>
    <w:rsid w:val="7A7C381F"/>
    <w:rsid w:val="7A8C0A43"/>
    <w:rsid w:val="7A9909CD"/>
    <w:rsid w:val="7A9D127A"/>
    <w:rsid w:val="7AA4AC23"/>
    <w:rsid w:val="7AA685D1"/>
    <w:rsid w:val="7AA8D26C"/>
    <w:rsid w:val="7AC8599C"/>
    <w:rsid w:val="7ACAA743"/>
    <w:rsid w:val="7ACC721F"/>
    <w:rsid w:val="7ADE0032"/>
    <w:rsid w:val="7AF5A5A2"/>
    <w:rsid w:val="7AF9CA0A"/>
    <w:rsid w:val="7AF9DB08"/>
    <w:rsid w:val="7AFDBFB9"/>
    <w:rsid w:val="7B02D83D"/>
    <w:rsid w:val="7B066776"/>
    <w:rsid w:val="7B08BDFF"/>
    <w:rsid w:val="7B11CE2A"/>
    <w:rsid w:val="7B188910"/>
    <w:rsid w:val="7B211080"/>
    <w:rsid w:val="7B27D120"/>
    <w:rsid w:val="7B2BF2C7"/>
    <w:rsid w:val="7B3E8785"/>
    <w:rsid w:val="7B4B19E8"/>
    <w:rsid w:val="7B53C161"/>
    <w:rsid w:val="7B5650C6"/>
    <w:rsid w:val="7B58DA59"/>
    <w:rsid w:val="7B5F37C6"/>
    <w:rsid w:val="7B636AC3"/>
    <w:rsid w:val="7B7FF2E2"/>
    <w:rsid w:val="7B8C24A2"/>
    <w:rsid w:val="7BA4F267"/>
    <w:rsid w:val="7BAA7806"/>
    <w:rsid w:val="7BAC006F"/>
    <w:rsid w:val="7BADF112"/>
    <w:rsid w:val="7BB0AE9A"/>
    <w:rsid w:val="7BC27A7F"/>
    <w:rsid w:val="7BC51A5C"/>
    <w:rsid w:val="7BC82D62"/>
    <w:rsid w:val="7BD8D646"/>
    <w:rsid w:val="7BE3ADFE"/>
    <w:rsid w:val="7BE8AF5C"/>
    <w:rsid w:val="7BFC6E18"/>
    <w:rsid w:val="7BFCEFC9"/>
    <w:rsid w:val="7C098D2C"/>
    <w:rsid w:val="7C09BB3E"/>
    <w:rsid w:val="7C1BF6B0"/>
    <w:rsid w:val="7C33F01D"/>
    <w:rsid w:val="7C371D3D"/>
    <w:rsid w:val="7C3882A9"/>
    <w:rsid w:val="7C3AE0CC"/>
    <w:rsid w:val="7C4ACAB7"/>
    <w:rsid w:val="7C4BA24B"/>
    <w:rsid w:val="7C590019"/>
    <w:rsid w:val="7C5ED2F8"/>
    <w:rsid w:val="7C6080B6"/>
    <w:rsid w:val="7C637974"/>
    <w:rsid w:val="7C652109"/>
    <w:rsid w:val="7C6E6289"/>
    <w:rsid w:val="7C72E0B1"/>
    <w:rsid w:val="7C72EB8C"/>
    <w:rsid w:val="7C77C839"/>
    <w:rsid w:val="7C7AE675"/>
    <w:rsid w:val="7C80E124"/>
    <w:rsid w:val="7C85F720"/>
    <w:rsid w:val="7C9DF708"/>
    <w:rsid w:val="7CA998AD"/>
    <w:rsid w:val="7CB04239"/>
    <w:rsid w:val="7CB68340"/>
    <w:rsid w:val="7CB82A7C"/>
    <w:rsid w:val="7CB8C9BE"/>
    <w:rsid w:val="7CDBD64D"/>
    <w:rsid w:val="7CDD984D"/>
    <w:rsid w:val="7CDF6CBA"/>
    <w:rsid w:val="7CFF3B24"/>
    <w:rsid w:val="7D03D761"/>
    <w:rsid w:val="7D085D1A"/>
    <w:rsid w:val="7D133292"/>
    <w:rsid w:val="7D14C869"/>
    <w:rsid w:val="7D196563"/>
    <w:rsid w:val="7D1A84FF"/>
    <w:rsid w:val="7D34EA62"/>
    <w:rsid w:val="7D3CE280"/>
    <w:rsid w:val="7D3FB6A4"/>
    <w:rsid w:val="7D457E9C"/>
    <w:rsid w:val="7D4DF79A"/>
    <w:rsid w:val="7D4E0219"/>
    <w:rsid w:val="7D559AA3"/>
    <w:rsid w:val="7D58ABA6"/>
    <w:rsid w:val="7D5927B8"/>
    <w:rsid w:val="7D5C6A4C"/>
    <w:rsid w:val="7D60DBA5"/>
    <w:rsid w:val="7D74D0A4"/>
    <w:rsid w:val="7D75AFBC"/>
    <w:rsid w:val="7D7EED4C"/>
    <w:rsid w:val="7D8B97E1"/>
    <w:rsid w:val="7DA097ED"/>
    <w:rsid w:val="7DA3D91D"/>
    <w:rsid w:val="7DBB4CAE"/>
    <w:rsid w:val="7DC5A0A2"/>
    <w:rsid w:val="7DDD59D3"/>
    <w:rsid w:val="7DE1BE1A"/>
    <w:rsid w:val="7DE28DF8"/>
    <w:rsid w:val="7DE2D87F"/>
    <w:rsid w:val="7DE46E5B"/>
    <w:rsid w:val="7DE48D1C"/>
    <w:rsid w:val="7DE651AF"/>
    <w:rsid w:val="7DEFE420"/>
    <w:rsid w:val="7DF4575E"/>
    <w:rsid w:val="7DFE4DBA"/>
    <w:rsid w:val="7E1EDC07"/>
    <w:rsid w:val="7E22D5F1"/>
    <w:rsid w:val="7E2652DF"/>
    <w:rsid w:val="7E2D03E0"/>
    <w:rsid w:val="7E3B9BA6"/>
    <w:rsid w:val="7E446DA2"/>
    <w:rsid w:val="7E4EAA4B"/>
    <w:rsid w:val="7E51FB17"/>
    <w:rsid w:val="7E52913E"/>
    <w:rsid w:val="7E62E621"/>
    <w:rsid w:val="7E68889C"/>
    <w:rsid w:val="7E6965B9"/>
    <w:rsid w:val="7E71B1A9"/>
    <w:rsid w:val="7E77F3C0"/>
    <w:rsid w:val="7E7D9D8E"/>
    <w:rsid w:val="7E89310D"/>
    <w:rsid w:val="7E89DDE7"/>
    <w:rsid w:val="7E91B95F"/>
    <w:rsid w:val="7E91D520"/>
    <w:rsid w:val="7E948802"/>
    <w:rsid w:val="7EAC8623"/>
    <w:rsid w:val="7EB118AF"/>
    <w:rsid w:val="7EB19CB6"/>
    <w:rsid w:val="7EB9439E"/>
    <w:rsid w:val="7EBC197D"/>
    <w:rsid w:val="7EC15767"/>
    <w:rsid w:val="7EC5EC62"/>
    <w:rsid w:val="7EC74CF2"/>
    <w:rsid w:val="7ECAC676"/>
    <w:rsid w:val="7ED2614A"/>
    <w:rsid w:val="7EDE7D92"/>
    <w:rsid w:val="7EF0F83F"/>
    <w:rsid w:val="7EF27974"/>
    <w:rsid w:val="7F1AC686"/>
    <w:rsid w:val="7F496772"/>
    <w:rsid w:val="7F4BFD80"/>
    <w:rsid w:val="7F53B835"/>
    <w:rsid w:val="7F54A3AE"/>
    <w:rsid w:val="7F559A8B"/>
    <w:rsid w:val="7F55B44A"/>
    <w:rsid w:val="7F573D49"/>
    <w:rsid w:val="7F626329"/>
    <w:rsid w:val="7F684178"/>
    <w:rsid w:val="7F6A1D26"/>
    <w:rsid w:val="7F6FFC2D"/>
    <w:rsid w:val="7F7EDE55"/>
    <w:rsid w:val="7F7FCAAB"/>
    <w:rsid w:val="7F9002E8"/>
    <w:rsid w:val="7F96A24D"/>
    <w:rsid w:val="7F9FB19E"/>
    <w:rsid w:val="7FA82F26"/>
    <w:rsid w:val="7FB3F2F3"/>
    <w:rsid w:val="7FB482DE"/>
    <w:rsid w:val="7FBD37CA"/>
    <w:rsid w:val="7FC45D36"/>
    <w:rsid w:val="7FC7A06B"/>
    <w:rsid w:val="7FCCC814"/>
    <w:rsid w:val="7FD17F15"/>
    <w:rsid w:val="7FEE4D87"/>
    <w:rsid w:val="7FFB505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62"/>
    <o:shapelayout v:ext="edit">
      <o:idmap v:ext="edit" data="2"/>
    </o:shapelayout>
  </w:shapeDefaults>
  <w:decimalSymbol w:val="."/>
  <w:listSeparator w:val=","/>
  <w14:docId w14:val="307229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65B4C"/>
    <w:pPr>
      <w:spacing w:after="200" w:line="240" w:lineRule="auto"/>
    </w:pPr>
    <w:rPr>
      <w:rFonts w:ascii="Muli" w:hAnsi="Muli"/>
      <w:sz w:val="20"/>
    </w:rPr>
  </w:style>
  <w:style w:type="paragraph" w:styleId="Heading1">
    <w:name w:val="heading 1"/>
    <w:basedOn w:val="Normal"/>
    <w:next w:val="Normal"/>
    <w:link w:val="Heading1Char"/>
    <w:uiPriority w:val="9"/>
    <w:qFormat/>
    <w:rsid w:val="00B363DA"/>
    <w:pPr>
      <w:keepNext/>
      <w:keepLines/>
      <w:outlineLvl w:val="0"/>
    </w:pPr>
    <w:rPr>
      <w:rFonts w:ascii="Roboto Slab" w:eastAsiaTheme="majorEastAsia" w:hAnsi="Roboto Slab" w:cstheme="majorBidi"/>
      <w:bCs/>
      <w:color w:val="408BCA"/>
      <w:sz w:val="56"/>
      <w:szCs w:val="28"/>
    </w:rPr>
  </w:style>
  <w:style w:type="paragraph" w:styleId="Heading2">
    <w:name w:val="heading 2"/>
    <w:aliases w:val="Heading 2 not in TOC"/>
    <w:basedOn w:val="Normal"/>
    <w:link w:val="Heading2Char"/>
    <w:uiPriority w:val="9"/>
    <w:qFormat/>
    <w:rsid w:val="009B56C7"/>
    <w:pPr>
      <w:outlineLvl w:val="1"/>
    </w:pPr>
    <w:rPr>
      <w:rFonts w:ascii="Roboto Slab" w:eastAsia="Times New Roman" w:hAnsi="Roboto Slab" w:cs="Times New Roman"/>
      <w:bCs/>
      <w:color w:val="408BCA"/>
      <w:sz w:val="32"/>
      <w:szCs w:val="36"/>
      <w:lang w:eastAsia="en-AU"/>
    </w:rPr>
  </w:style>
  <w:style w:type="paragraph" w:styleId="Heading3">
    <w:name w:val="heading 3"/>
    <w:basedOn w:val="Normal"/>
    <w:next w:val="Normal"/>
    <w:link w:val="Heading3Char"/>
    <w:uiPriority w:val="9"/>
    <w:unhideWhenUsed/>
    <w:qFormat/>
    <w:rsid w:val="00810022"/>
    <w:pPr>
      <w:keepNext/>
      <w:keepLines/>
      <w:outlineLvl w:val="2"/>
    </w:pPr>
    <w:rPr>
      <w:rFonts w:ascii="Roboto Slab" w:eastAsiaTheme="majorEastAsia" w:hAnsi="Roboto Slab" w:cstheme="majorBidi"/>
      <w:color w:val="408BCA"/>
      <w:sz w:val="24"/>
      <w:szCs w:val="24"/>
    </w:rPr>
  </w:style>
  <w:style w:type="paragraph" w:styleId="Heading4">
    <w:name w:val="heading 4"/>
    <w:basedOn w:val="Normal"/>
    <w:next w:val="Normal"/>
    <w:link w:val="Heading4Char"/>
    <w:uiPriority w:val="9"/>
    <w:unhideWhenUsed/>
    <w:qFormat/>
    <w:rsid w:val="00B2662C"/>
    <w:pPr>
      <w:keepNext/>
      <w:keepLines/>
      <w:spacing w:before="40" w:after="0"/>
      <w:outlineLvl w:val="3"/>
    </w:pPr>
    <w:rPr>
      <w:rFonts w:ascii="Roboto Slab" w:eastAsiaTheme="majorEastAsia" w:hAnsi="Roboto Slab" w:cstheme="majorBidi"/>
      <w:iCs/>
      <w:color w:val="408BCA"/>
    </w:rPr>
  </w:style>
  <w:style w:type="paragraph" w:styleId="Heading5">
    <w:name w:val="heading 5"/>
    <w:basedOn w:val="Normal"/>
    <w:next w:val="Normal"/>
    <w:link w:val="Heading5Char"/>
    <w:uiPriority w:val="9"/>
    <w:unhideWhenUsed/>
    <w:qFormat/>
    <w:rsid w:val="000F75F2"/>
    <w:pPr>
      <w:keepNext/>
      <w:keepLines/>
      <w:spacing w:before="40" w:after="0" w:line="276" w:lineRule="auto"/>
      <w:outlineLvl w:val="4"/>
    </w:pPr>
    <w:rPr>
      <w:rFonts w:ascii="Roboto Slab" w:eastAsiaTheme="majorEastAsia" w:hAnsi="Roboto Slab" w:cstheme="majorBidi"/>
      <w:color w:val="408BCA"/>
      <w:sz w:val="18"/>
    </w:rPr>
  </w:style>
  <w:style w:type="paragraph" w:styleId="Heading6">
    <w:name w:val="heading 6"/>
    <w:basedOn w:val="Normal"/>
    <w:next w:val="Normal"/>
    <w:link w:val="Heading6Char"/>
    <w:uiPriority w:val="9"/>
    <w:semiHidden/>
    <w:unhideWhenUsed/>
    <w:qFormat/>
    <w:rsid w:val="0002357B"/>
    <w:pPr>
      <w:keepNext/>
      <w:keepLines/>
      <w:spacing w:before="40" w:after="0" w:line="276" w:lineRule="auto"/>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EB5918"/>
    <w:pPr>
      <w:keepNext/>
      <w:keepLines/>
      <w:spacing w:before="40" w:after="0"/>
      <w:outlineLvl w:val="6"/>
    </w:pPr>
    <w:rPr>
      <w:rFonts w:asciiTheme="majorHAnsi" w:eastAsiaTheme="majorEastAsia" w:hAnsiTheme="majorHAnsi" w:cstheme="majorBidi"/>
      <w:i/>
      <w:iCs/>
      <w:color w:val="1F3763" w:themeColor="accent1" w:themeShade="7F"/>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400B"/>
    <w:rPr>
      <w:rFonts w:ascii="Roboto Slab" w:eastAsiaTheme="majorEastAsia" w:hAnsi="Roboto Slab" w:cstheme="majorBidi"/>
      <w:bCs/>
      <w:color w:val="408BCA"/>
      <w:sz w:val="56"/>
      <w:szCs w:val="28"/>
    </w:rPr>
  </w:style>
  <w:style w:type="character" w:customStyle="1" w:styleId="Heading2Char">
    <w:name w:val="Heading 2 Char"/>
    <w:aliases w:val="Heading 2 not in TOC Char"/>
    <w:basedOn w:val="DefaultParagraphFont"/>
    <w:link w:val="Heading2"/>
    <w:uiPriority w:val="9"/>
    <w:rsid w:val="009B56C7"/>
    <w:rPr>
      <w:rFonts w:ascii="Roboto Slab" w:eastAsia="Times New Roman" w:hAnsi="Roboto Slab" w:cs="Times New Roman"/>
      <w:bCs/>
      <w:color w:val="408BCA"/>
      <w:sz w:val="32"/>
      <w:szCs w:val="36"/>
      <w:lang w:eastAsia="en-AU"/>
    </w:rPr>
  </w:style>
  <w:style w:type="character" w:customStyle="1" w:styleId="Heading3Char">
    <w:name w:val="Heading 3 Char"/>
    <w:basedOn w:val="DefaultParagraphFont"/>
    <w:link w:val="Heading3"/>
    <w:uiPriority w:val="9"/>
    <w:rsid w:val="00810022"/>
    <w:rPr>
      <w:rFonts w:ascii="Roboto Slab" w:eastAsiaTheme="majorEastAsia" w:hAnsi="Roboto Slab" w:cstheme="majorBidi"/>
      <w:color w:val="408BCA"/>
      <w:sz w:val="24"/>
      <w:szCs w:val="24"/>
    </w:rPr>
  </w:style>
  <w:style w:type="character" w:customStyle="1" w:styleId="Heading4Char">
    <w:name w:val="Heading 4 Char"/>
    <w:basedOn w:val="DefaultParagraphFont"/>
    <w:link w:val="Heading4"/>
    <w:uiPriority w:val="9"/>
    <w:rsid w:val="00B2662C"/>
    <w:rPr>
      <w:rFonts w:ascii="Roboto Slab" w:eastAsiaTheme="majorEastAsia" w:hAnsi="Roboto Slab" w:cstheme="majorBidi"/>
      <w:iCs/>
      <w:color w:val="408BCA"/>
      <w:sz w:val="20"/>
    </w:rPr>
  </w:style>
  <w:style w:type="character" w:customStyle="1" w:styleId="Heading5Char">
    <w:name w:val="Heading 5 Char"/>
    <w:basedOn w:val="DefaultParagraphFont"/>
    <w:link w:val="Heading5"/>
    <w:uiPriority w:val="9"/>
    <w:rsid w:val="000F75F2"/>
    <w:rPr>
      <w:rFonts w:ascii="Roboto Slab" w:eastAsiaTheme="majorEastAsia" w:hAnsi="Roboto Slab" w:cstheme="majorBidi"/>
      <w:color w:val="408BCA"/>
      <w:sz w:val="18"/>
    </w:rPr>
  </w:style>
  <w:style w:type="character" w:customStyle="1" w:styleId="Heading6Char">
    <w:name w:val="Heading 6 Char"/>
    <w:basedOn w:val="DefaultParagraphFont"/>
    <w:link w:val="Heading6"/>
    <w:uiPriority w:val="9"/>
    <w:semiHidden/>
    <w:rsid w:val="0002357B"/>
    <w:rPr>
      <w:rFonts w:asciiTheme="majorHAnsi" w:eastAsiaTheme="majorEastAsia" w:hAnsiTheme="majorHAnsi" w:cstheme="majorBidi"/>
      <w:color w:val="1F3763" w:themeColor="accent1" w:themeShade="7F"/>
      <w:sz w:val="20"/>
    </w:rPr>
  </w:style>
  <w:style w:type="character" w:customStyle="1" w:styleId="Heading7Char">
    <w:name w:val="Heading 7 Char"/>
    <w:basedOn w:val="DefaultParagraphFont"/>
    <w:link w:val="Heading7"/>
    <w:uiPriority w:val="9"/>
    <w:semiHidden/>
    <w:rsid w:val="00EB5918"/>
    <w:rPr>
      <w:rFonts w:asciiTheme="majorHAnsi" w:eastAsiaTheme="majorEastAsia" w:hAnsiTheme="majorHAnsi" w:cstheme="majorBidi"/>
      <w:i/>
      <w:iCs/>
      <w:color w:val="1F3763" w:themeColor="accent1" w:themeShade="7F"/>
      <w:sz w:val="20"/>
      <w:lang w:eastAsia="en-AU"/>
    </w:rPr>
  </w:style>
  <w:style w:type="paragraph" w:styleId="ListParagraph">
    <w:name w:val="List Paragraph"/>
    <w:aliases w:val="Recommendation,List Paragraph1,Bullet list Paragraph,standard lewis,CDHP List Paragraph,List Paragraph11,List Paragraph111,L,F5 List Paragraph,Dot pt,CV text,Table text,Medium Grid 1 - Accent 21,Numbered Paragraph,List Paragraph2,lp1,リスト段"/>
    <w:basedOn w:val="Normal"/>
    <w:link w:val="ListParagraphChar"/>
    <w:uiPriority w:val="34"/>
    <w:qFormat/>
    <w:rsid w:val="00D431C7"/>
    <w:pPr>
      <w:ind w:left="720"/>
      <w:contextualSpacing/>
    </w:pPr>
  </w:style>
  <w:style w:type="character" w:customStyle="1" w:styleId="ListParagraphChar">
    <w:name w:val="List Paragraph Char"/>
    <w:aliases w:val="Recommendation Char,List Paragraph1 Char,Bullet list Paragraph Char,standard lewis Char,CDHP List Paragraph Char,List Paragraph11 Char,List Paragraph111 Char,L Char,F5 List Paragraph Char,Dot pt Char,CV text Char,Table text Char"/>
    <w:basedOn w:val="DefaultParagraphFont"/>
    <w:link w:val="ListParagraph"/>
    <w:uiPriority w:val="34"/>
    <w:qFormat/>
    <w:rsid w:val="00D431C7"/>
    <w:rPr>
      <w:rFonts w:ascii="Muli" w:hAnsi="Muli"/>
      <w:sz w:val="20"/>
    </w:rPr>
  </w:style>
  <w:style w:type="character" w:styleId="CommentReference">
    <w:name w:val="annotation reference"/>
    <w:basedOn w:val="DefaultParagraphFont"/>
    <w:uiPriority w:val="99"/>
    <w:semiHidden/>
    <w:unhideWhenUsed/>
    <w:rsid w:val="008C5A35"/>
    <w:rPr>
      <w:sz w:val="16"/>
      <w:szCs w:val="16"/>
    </w:rPr>
  </w:style>
  <w:style w:type="paragraph" w:styleId="CommentText">
    <w:name w:val="annotation text"/>
    <w:basedOn w:val="Normal"/>
    <w:link w:val="CommentTextChar"/>
    <w:uiPriority w:val="99"/>
    <w:unhideWhenUsed/>
    <w:rsid w:val="008C5A35"/>
    <w:rPr>
      <w:szCs w:val="20"/>
    </w:rPr>
  </w:style>
  <w:style w:type="character" w:customStyle="1" w:styleId="CommentTextChar">
    <w:name w:val="Comment Text Char"/>
    <w:basedOn w:val="DefaultParagraphFont"/>
    <w:link w:val="CommentText"/>
    <w:uiPriority w:val="99"/>
    <w:rsid w:val="008C5A35"/>
    <w:rPr>
      <w:rFonts w:ascii="Muli" w:hAnsi="Muli"/>
      <w:sz w:val="20"/>
      <w:szCs w:val="20"/>
    </w:rPr>
  </w:style>
  <w:style w:type="paragraph" w:styleId="CommentSubject">
    <w:name w:val="annotation subject"/>
    <w:basedOn w:val="CommentText"/>
    <w:next w:val="CommentText"/>
    <w:link w:val="CommentSubjectChar"/>
    <w:uiPriority w:val="99"/>
    <w:semiHidden/>
    <w:unhideWhenUsed/>
    <w:rsid w:val="008C5A35"/>
    <w:rPr>
      <w:b/>
      <w:bCs/>
    </w:rPr>
  </w:style>
  <w:style w:type="character" w:customStyle="1" w:styleId="CommentSubjectChar">
    <w:name w:val="Comment Subject Char"/>
    <w:basedOn w:val="CommentTextChar"/>
    <w:link w:val="CommentSubject"/>
    <w:uiPriority w:val="99"/>
    <w:semiHidden/>
    <w:rsid w:val="008C5A35"/>
    <w:rPr>
      <w:rFonts w:ascii="Muli" w:hAnsi="Muli"/>
      <w:b/>
      <w:bCs/>
      <w:sz w:val="20"/>
      <w:szCs w:val="20"/>
    </w:rPr>
  </w:style>
  <w:style w:type="paragraph" w:customStyle="1" w:styleId="EndNoteBibliographyTitle">
    <w:name w:val="EndNote Bibliography Title"/>
    <w:basedOn w:val="Normal"/>
    <w:link w:val="EndNoteBibliographyTitleChar"/>
    <w:rsid w:val="00D64F5E"/>
    <w:pPr>
      <w:spacing w:after="0"/>
      <w:jc w:val="center"/>
    </w:pPr>
    <w:rPr>
      <w:rFonts w:ascii="Calibri" w:hAnsi="Calibri" w:cs="Calibri"/>
      <w:noProof/>
      <w:sz w:val="22"/>
      <w:lang w:val="en-US"/>
    </w:rPr>
  </w:style>
  <w:style w:type="character" w:customStyle="1" w:styleId="EndNoteBibliographyTitleChar">
    <w:name w:val="EndNote Bibliography Title Char"/>
    <w:basedOn w:val="DefaultParagraphFont"/>
    <w:link w:val="EndNoteBibliographyTitle"/>
    <w:rsid w:val="00D64F5E"/>
    <w:rPr>
      <w:rFonts w:ascii="Calibri" w:hAnsi="Calibri" w:cs="Calibri"/>
      <w:noProof/>
      <w:lang w:val="en-US"/>
    </w:rPr>
  </w:style>
  <w:style w:type="paragraph" w:customStyle="1" w:styleId="EndNoteBibliography">
    <w:name w:val="EndNote Bibliography"/>
    <w:basedOn w:val="Normal"/>
    <w:link w:val="EndNoteBibliographyChar"/>
    <w:rsid w:val="00D64F5E"/>
    <w:rPr>
      <w:rFonts w:ascii="Calibri" w:hAnsi="Calibri" w:cs="Calibri"/>
      <w:noProof/>
      <w:sz w:val="22"/>
      <w:lang w:val="en-US"/>
    </w:rPr>
  </w:style>
  <w:style w:type="character" w:customStyle="1" w:styleId="EndNoteBibliographyChar">
    <w:name w:val="EndNote Bibliography Char"/>
    <w:basedOn w:val="DefaultParagraphFont"/>
    <w:link w:val="EndNoteBibliography"/>
    <w:rsid w:val="00D64F5E"/>
    <w:rPr>
      <w:rFonts w:ascii="Calibri" w:hAnsi="Calibri" w:cs="Calibri"/>
      <w:noProof/>
      <w:lang w:val="en-US"/>
    </w:rPr>
  </w:style>
  <w:style w:type="character" w:styleId="Hyperlink">
    <w:name w:val="Hyperlink"/>
    <w:basedOn w:val="DefaultParagraphFont"/>
    <w:uiPriority w:val="99"/>
    <w:unhideWhenUsed/>
    <w:rsid w:val="00C0055D"/>
    <w:rPr>
      <w:color w:val="0563C1" w:themeColor="hyperlink"/>
      <w:u w:val="single"/>
    </w:rPr>
  </w:style>
  <w:style w:type="character" w:styleId="UnresolvedMention">
    <w:name w:val="Unresolved Mention"/>
    <w:basedOn w:val="DefaultParagraphFont"/>
    <w:uiPriority w:val="99"/>
    <w:unhideWhenUsed/>
    <w:rsid w:val="00C0055D"/>
    <w:rPr>
      <w:color w:val="605E5C"/>
      <w:shd w:val="clear" w:color="auto" w:fill="E1DFDD"/>
    </w:rPr>
  </w:style>
  <w:style w:type="paragraph" w:styleId="FootnoteText">
    <w:name w:val="footnote text"/>
    <w:basedOn w:val="Normal"/>
    <w:link w:val="FootnoteTextChar"/>
    <w:uiPriority w:val="99"/>
    <w:unhideWhenUsed/>
    <w:rsid w:val="0066726B"/>
    <w:pPr>
      <w:spacing w:after="0"/>
    </w:pPr>
    <w:rPr>
      <w:sz w:val="18"/>
      <w:szCs w:val="20"/>
    </w:rPr>
  </w:style>
  <w:style w:type="character" w:customStyle="1" w:styleId="FootnoteTextChar">
    <w:name w:val="Footnote Text Char"/>
    <w:basedOn w:val="DefaultParagraphFont"/>
    <w:link w:val="FootnoteText"/>
    <w:uiPriority w:val="99"/>
    <w:rsid w:val="0066726B"/>
    <w:rPr>
      <w:rFonts w:ascii="Muli" w:hAnsi="Muli"/>
      <w:sz w:val="18"/>
      <w:szCs w:val="20"/>
    </w:rPr>
  </w:style>
  <w:style w:type="character" w:styleId="FootnoteReference">
    <w:name w:val="footnote reference"/>
    <w:basedOn w:val="DefaultParagraphFont"/>
    <w:uiPriority w:val="99"/>
    <w:semiHidden/>
    <w:unhideWhenUsed/>
    <w:rsid w:val="00B840CF"/>
    <w:rPr>
      <w:vertAlign w:val="superscript"/>
    </w:rPr>
  </w:style>
  <w:style w:type="paragraph" w:styleId="Header">
    <w:name w:val="header"/>
    <w:basedOn w:val="Normal"/>
    <w:link w:val="HeaderChar"/>
    <w:uiPriority w:val="99"/>
    <w:unhideWhenUsed/>
    <w:rsid w:val="009056D5"/>
    <w:pPr>
      <w:tabs>
        <w:tab w:val="center" w:pos="4513"/>
        <w:tab w:val="right" w:pos="9026"/>
      </w:tabs>
      <w:spacing w:after="0"/>
    </w:pPr>
  </w:style>
  <w:style w:type="character" w:customStyle="1" w:styleId="HeaderChar">
    <w:name w:val="Header Char"/>
    <w:basedOn w:val="DefaultParagraphFont"/>
    <w:link w:val="Header"/>
    <w:uiPriority w:val="99"/>
    <w:rsid w:val="00E82156"/>
    <w:rPr>
      <w:rFonts w:ascii="Muli" w:hAnsi="Muli"/>
      <w:sz w:val="20"/>
    </w:rPr>
  </w:style>
  <w:style w:type="paragraph" w:styleId="Footer">
    <w:name w:val="footer"/>
    <w:basedOn w:val="Normal"/>
    <w:link w:val="FooterChar"/>
    <w:uiPriority w:val="99"/>
    <w:unhideWhenUsed/>
    <w:rsid w:val="009056D5"/>
    <w:pPr>
      <w:tabs>
        <w:tab w:val="center" w:pos="4513"/>
        <w:tab w:val="right" w:pos="9026"/>
      </w:tabs>
      <w:spacing w:after="0"/>
    </w:pPr>
  </w:style>
  <w:style w:type="character" w:customStyle="1" w:styleId="FooterChar">
    <w:name w:val="Footer Char"/>
    <w:basedOn w:val="DefaultParagraphFont"/>
    <w:link w:val="Footer"/>
    <w:uiPriority w:val="99"/>
    <w:rsid w:val="00E82156"/>
    <w:rPr>
      <w:rFonts w:ascii="Muli" w:hAnsi="Muli"/>
      <w:sz w:val="20"/>
    </w:rPr>
  </w:style>
  <w:style w:type="table" w:styleId="TableGrid">
    <w:name w:val="Table Grid"/>
    <w:basedOn w:val="TableNormal"/>
    <w:uiPriority w:val="39"/>
    <w:rsid w:val="000C71A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05AD2"/>
    <w:pPr>
      <w:spacing w:after="0" w:line="240" w:lineRule="auto"/>
    </w:pPr>
  </w:style>
  <w:style w:type="paragraph" w:styleId="TOC1">
    <w:name w:val="toc 1"/>
    <w:basedOn w:val="Normal"/>
    <w:next w:val="Normal"/>
    <w:autoRedefine/>
    <w:uiPriority w:val="39"/>
    <w:qFormat/>
    <w:rsid w:val="002A1F58"/>
    <w:pPr>
      <w:tabs>
        <w:tab w:val="left" w:pos="340"/>
        <w:tab w:val="right" w:leader="dot" w:pos="9072"/>
      </w:tabs>
      <w:spacing w:after="0"/>
    </w:pPr>
    <w:rPr>
      <w:rFonts w:eastAsia="MS Mincho" w:cs="Times New Roman"/>
      <w:i/>
      <w:color w:val="1D2455"/>
      <w:lang w:val="en-US"/>
    </w:rPr>
  </w:style>
  <w:style w:type="paragraph" w:customStyle="1" w:styleId="ReportTitleTitlePage">
    <w:name w:val="Report Title (Title Page)"/>
    <w:basedOn w:val="Normal"/>
    <w:link w:val="ReportTitleTitlePageChar"/>
    <w:uiPriority w:val="99"/>
    <w:rsid w:val="0014400B"/>
    <w:pPr>
      <w:jc w:val="right"/>
    </w:pPr>
    <w:rPr>
      <w:rFonts w:ascii="Gill Sans MT" w:eastAsiaTheme="minorEastAsia" w:hAnsi="Gill Sans MT"/>
      <w:b/>
      <w:bCs/>
      <w:color w:val="808080"/>
      <w:sz w:val="36"/>
      <w:szCs w:val="36"/>
      <w:lang w:eastAsia="en-AU"/>
    </w:rPr>
  </w:style>
  <w:style w:type="character" w:customStyle="1" w:styleId="ReportTitleTitlePageChar">
    <w:name w:val="Report Title (Title Page) Char"/>
    <w:basedOn w:val="DefaultParagraphFont"/>
    <w:link w:val="ReportTitleTitlePage"/>
    <w:uiPriority w:val="99"/>
    <w:locked/>
    <w:rsid w:val="0014400B"/>
    <w:rPr>
      <w:rFonts w:ascii="Gill Sans MT" w:eastAsiaTheme="minorEastAsia" w:hAnsi="Gill Sans MT"/>
      <w:b/>
      <w:bCs/>
      <w:color w:val="808080"/>
      <w:sz w:val="36"/>
      <w:szCs w:val="36"/>
      <w:lang w:eastAsia="en-AU"/>
    </w:rPr>
  </w:style>
  <w:style w:type="paragraph" w:styleId="TOC2">
    <w:name w:val="toc 2"/>
    <w:basedOn w:val="Normal"/>
    <w:next w:val="Normal"/>
    <w:autoRedefine/>
    <w:uiPriority w:val="39"/>
    <w:unhideWhenUsed/>
    <w:rsid w:val="002A1F58"/>
    <w:pPr>
      <w:tabs>
        <w:tab w:val="right" w:leader="dot" w:pos="9072"/>
      </w:tabs>
      <w:spacing w:after="0"/>
      <w:ind w:left="680" w:hanging="340"/>
    </w:pPr>
    <w:rPr>
      <w:rFonts w:eastAsia="Calibri" w:cs="Times New Roman"/>
      <w:color w:val="1D2455"/>
    </w:rPr>
  </w:style>
  <w:style w:type="paragraph" w:customStyle="1" w:styleId="TableParagraph">
    <w:name w:val="Table Paragraph"/>
    <w:basedOn w:val="Normal"/>
    <w:uiPriority w:val="1"/>
    <w:qFormat/>
    <w:rsid w:val="0014400B"/>
    <w:pPr>
      <w:widowControl w:val="0"/>
      <w:autoSpaceDE w:val="0"/>
      <w:autoSpaceDN w:val="0"/>
    </w:pPr>
    <w:rPr>
      <w:rFonts w:ascii="Verdana" w:eastAsia="Verdana" w:hAnsi="Verdana" w:cs="Verdana"/>
    </w:rPr>
  </w:style>
  <w:style w:type="paragraph" w:customStyle="1" w:styleId="tabletitle">
    <w:name w:val="table title"/>
    <w:basedOn w:val="Normal"/>
    <w:next w:val="Normal"/>
    <w:qFormat/>
    <w:rsid w:val="005E5A15"/>
    <w:pPr>
      <w:spacing w:after="60"/>
      <w:jc w:val="center"/>
    </w:pPr>
    <w:rPr>
      <w:rFonts w:eastAsia="Calibri" w:cs="Times New Roman"/>
      <w:color w:val="1D2455"/>
      <w:szCs w:val="16"/>
    </w:rPr>
  </w:style>
  <w:style w:type="table" w:customStyle="1" w:styleId="TableComplex">
    <w:name w:val="Table Complex"/>
    <w:basedOn w:val="TableNormal"/>
    <w:next w:val="TableGrid"/>
    <w:uiPriority w:val="39"/>
    <w:rsid w:val="0014400B"/>
    <w:pPr>
      <w:spacing w:after="0" w:line="240" w:lineRule="auto"/>
    </w:pPr>
    <w:rPr>
      <w:rFonts w:ascii="Muli" w:hAnsi="Muli"/>
      <w:sz w:val="16"/>
    </w:rPr>
    <w:tblPr>
      <w:jc w:val="center"/>
      <w:tblBorders>
        <w:bottom w:val="single" w:sz="8" w:space="0" w:color="FFC000" w:themeColor="accent4"/>
        <w:insideH w:val="single" w:sz="8" w:space="0" w:color="FFC000" w:themeColor="accent4"/>
      </w:tblBorders>
      <w:tblCellMar>
        <w:top w:w="113" w:type="dxa"/>
        <w:left w:w="113" w:type="dxa"/>
        <w:bottom w:w="113" w:type="dxa"/>
        <w:right w:w="113" w:type="dxa"/>
      </w:tblCellMar>
    </w:tblPr>
    <w:trPr>
      <w:jc w:val="center"/>
    </w:trPr>
    <w:tcPr>
      <w:shd w:val="clear" w:color="auto" w:fill="auto"/>
      <w:vAlign w:val="center"/>
    </w:tcPr>
    <w:tblStylePr w:type="firstRow">
      <w:pPr>
        <w:jc w:val="center"/>
      </w:pPr>
      <w:rPr>
        <w:rFonts w:ascii="HelveticaNeueLTPro-Lt" w:hAnsi="HelveticaNeueLTPro-Lt"/>
        <w:b w:val="0"/>
        <w:color w:val="FFFFFF" w:themeColor="background1"/>
        <w:sz w:val="16"/>
      </w:rPr>
      <w:tblPr/>
      <w:tcPr>
        <w:tcBorders>
          <w:top w:val="nil"/>
          <w:left w:val="nil"/>
          <w:bottom w:val="nil"/>
          <w:right w:val="nil"/>
          <w:insideH w:val="single" w:sz="8" w:space="0" w:color="FFFFFF" w:themeColor="background1"/>
          <w:insideV w:val="single" w:sz="8" w:space="0" w:color="FFFFFF" w:themeColor="background1"/>
          <w:tl2br w:val="nil"/>
          <w:tr2bl w:val="nil"/>
        </w:tcBorders>
        <w:shd w:val="clear" w:color="auto" w:fill="4472C4" w:themeFill="accent1"/>
      </w:tcPr>
    </w:tblStylePr>
    <w:tblStylePr w:type="lastRow">
      <w:pPr>
        <w:jc w:val="left"/>
      </w:pPr>
      <w:rPr>
        <w:rFonts w:ascii="HelveticaNeueLTPro-Lt" w:hAnsi="HelveticaNeueLTPro-Lt"/>
        <w:color w:val="000000" w:themeColor="text1"/>
        <w:sz w:val="16"/>
      </w:rPr>
      <w:tblPr/>
      <w:tcPr>
        <w:tcBorders>
          <w:top w:val="nil"/>
          <w:left w:val="nil"/>
          <w:bottom w:val="nil"/>
          <w:right w:val="nil"/>
          <w:insideH w:val="single" w:sz="4" w:space="0" w:color="FFC000" w:themeColor="accent4"/>
          <w:insideV w:val="nil"/>
          <w:tl2br w:val="nil"/>
          <w:tr2bl w:val="nil"/>
        </w:tcBorders>
        <w:shd w:val="clear" w:color="auto" w:fill="auto"/>
      </w:tcPr>
    </w:tblStylePr>
  </w:style>
  <w:style w:type="paragraph" w:customStyle="1" w:styleId="Heading1withnumber">
    <w:name w:val="Heading 1 with number"/>
    <w:basedOn w:val="Heading1"/>
    <w:next w:val="Normal"/>
    <w:link w:val="Heading1withnumberChar"/>
    <w:qFormat/>
    <w:rsid w:val="007A7E67"/>
    <w:pPr>
      <w:numPr>
        <w:numId w:val="1"/>
      </w:numPr>
    </w:pPr>
  </w:style>
  <w:style w:type="character" w:customStyle="1" w:styleId="Heading1withnumberChar">
    <w:name w:val="Heading 1 with number Char"/>
    <w:basedOn w:val="Heading1Char"/>
    <w:link w:val="Heading1withnumber"/>
    <w:rsid w:val="00B8174F"/>
    <w:rPr>
      <w:rFonts w:ascii="Roboto Slab" w:eastAsiaTheme="majorEastAsia" w:hAnsi="Roboto Slab" w:cstheme="majorBidi"/>
      <w:bCs/>
      <w:color w:val="408BCA"/>
      <w:sz w:val="56"/>
      <w:szCs w:val="28"/>
    </w:rPr>
  </w:style>
  <w:style w:type="paragraph" w:customStyle="1" w:styleId="ChapterNumber">
    <w:name w:val="Chapter Number"/>
    <w:basedOn w:val="Title"/>
    <w:link w:val="ChapterNumberChar"/>
    <w:qFormat/>
    <w:rsid w:val="0094369A"/>
    <w:pPr>
      <w:jc w:val="right"/>
    </w:pPr>
    <w:rPr>
      <w:rFonts w:ascii="Roboto Slab" w:hAnsi="Roboto Slab"/>
      <w:color w:val="408BCA"/>
      <w:sz w:val="96"/>
      <w:szCs w:val="96"/>
    </w:rPr>
  </w:style>
  <w:style w:type="paragraph" w:styleId="Title">
    <w:name w:val="Title"/>
    <w:basedOn w:val="Normal"/>
    <w:next w:val="Normal"/>
    <w:link w:val="TitleChar"/>
    <w:uiPriority w:val="10"/>
    <w:qFormat/>
    <w:rsid w:val="00B8174F"/>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8174F"/>
    <w:rPr>
      <w:rFonts w:asciiTheme="majorHAnsi" w:eastAsiaTheme="majorEastAsia" w:hAnsiTheme="majorHAnsi" w:cstheme="majorBidi"/>
      <w:spacing w:val="-10"/>
      <w:kern w:val="28"/>
      <w:sz w:val="56"/>
      <w:szCs w:val="56"/>
    </w:rPr>
  </w:style>
  <w:style w:type="character" w:customStyle="1" w:styleId="ChapterNumberChar">
    <w:name w:val="Chapter Number Char"/>
    <w:basedOn w:val="TitleChar"/>
    <w:link w:val="ChapterNumber"/>
    <w:rsid w:val="0094369A"/>
    <w:rPr>
      <w:rFonts w:ascii="Roboto Slab" w:eastAsiaTheme="majorEastAsia" w:hAnsi="Roboto Slab" w:cstheme="majorBidi"/>
      <w:color w:val="408BCA"/>
      <w:spacing w:val="-10"/>
      <w:kern w:val="28"/>
      <w:sz w:val="96"/>
      <w:szCs w:val="96"/>
    </w:rPr>
  </w:style>
  <w:style w:type="paragraph" w:customStyle="1" w:styleId="TablecaptionHPA">
    <w:name w:val="Table caption_HPA"/>
    <w:basedOn w:val="Normal"/>
    <w:link w:val="TablecaptionHPAChar"/>
    <w:rsid w:val="00A501BA"/>
    <w:pPr>
      <w:spacing w:after="0"/>
      <w:jc w:val="center"/>
    </w:pPr>
    <w:rPr>
      <w:rFonts w:eastAsiaTheme="minorEastAsia"/>
      <w:b/>
      <w:color w:val="408BCA"/>
      <w:szCs w:val="20"/>
      <w:lang w:eastAsia="en-AU"/>
    </w:rPr>
  </w:style>
  <w:style w:type="character" w:customStyle="1" w:styleId="TablecaptionHPAChar">
    <w:name w:val="Table caption_HPA Char"/>
    <w:basedOn w:val="DefaultParagraphFont"/>
    <w:link w:val="TablecaptionHPA"/>
    <w:rsid w:val="00A501BA"/>
    <w:rPr>
      <w:rFonts w:ascii="Muli" w:eastAsiaTheme="minorEastAsia" w:hAnsi="Muli"/>
      <w:b/>
      <w:color w:val="408BCA"/>
      <w:sz w:val="20"/>
      <w:szCs w:val="20"/>
      <w:lang w:eastAsia="en-AU"/>
    </w:rPr>
  </w:style>
  <w:style w:type="character" w:customStyle="1" w:styleId="Strong1">
    <w:name w:val="Strong1"/>
    <w:basedOn w:val="DefaultParagraphFont"/>
    <w:uiPriority w:val="1"/>
    <w:rsid w:val="00653979"/>
    <w:rPr>
      <w:rFonts w:ascii="Muli" w:hAnsi="Muli"/>
      <w:b/>
      <w:color w:val="auto"/>
      <w:sz w:val="18"/>
    </w:rPr>
  </w:style>
  <w:style w:type="paragraph" w:customStyle="1" w:styleId="Boxheading">
    <w:name w:val="Box heading"/>
    <w:basedOn w:val="Normal"/>
    <w:link w:val="BoxheadingChar"/>
    <w:qFormat/>
    <w:rsid w:val="005018A4"/>
    <w:pPr>
      <w:jc w:val="center"/>
    </w:pPr>
    <w:rPr>
      <w:rFonts w:eastAsiaTheme="minorEastAsia"/>
      <w:color w:val="408BCA"/>
      <w:lang w:eastAsia="en-AU"/>
    </w:rPr>
  </w:style>
  <w:style w:type="character" w:customStyle="1" w:styleId="BoxheadingChar">
    <w:name w:val="Box heading Char"/>
    <w:basedOn w:val="DefaultParagraphFont"/>
    <w:link w:val="Boxheading"/>
    <w:rsid w:val="005018A4"/>
    <w:rPr>
      <w:rFonts w:ascii="Muli" w:eastAsiaTheme="minorEastAsia" w:hAnsi="Muli"/>
      <w:color w:val="408BCA"/>
      <w:sz w:val="20"/>
      <w:lang w:eastAsia="en-AU"/>
    </w:rPr>
  </w:style>
  <w:style w:type="paragraph" w:customStyle="1" w:styleId="11NumberedNilsheading">
    <w:name w:val="1.1 Numbered Nils heading"/>
    <w:basedOn w:val="Normal"/>
    <w:next w:val="Normal"/>
    <w:qFormat/>
    <w:rsid w:val="70D281F2"/>
    <w:pPr>
      <w:tabs>
        <w:tab w:val="left" w:pos="567"/>
      </w:tabs>
      <w:spacing w:before="240" w:after="240"/>
      <w:ind w:left="720" w:hanging="360"/>
      <w:jc w:val="both"/>
      <w:outlineLvl w:val="1"/>
    </w:pPr>
    <w:rPr>
      <w:rFonts w:asciiTheme="majorHAnsi" w:hAnsiTheme="majorHAnsi"/>
      <w:color w:val="2E74B5" w:themeColor="accent5" w:themeShade="BF"/>
      <w:sz w:val="24"/>
      <w:szCs w:val="24"/>
    </w:rPr>
  </w:style>
  <w:style w:type="paragraph" w:customStyle="1" w:styleId="TableFigureheading">
    <w:name w:val="Table_Figure heading"/>
    <w:basedOn w:val="TablecaptionHPA"/>
    <w:link w:val="TableFigureheadingChar"/>
    <w:qFormat/>
    <w:rsid w:val="00F638E7"/>
    <w:pPr>
      <w:spacing w:after="60"/>
    </w:pPr>
    <w:rPr>
      <w:b w:val="0"/>
      <w:bCs/>
      <w:color w:val="1D2455"/>
    </w:rPr>
  </w:style>
  <w:style w:type="character" w:customStyle="1" w:styleId="TableFigureheadingChar">
    <w:name w:val="Table_Figure heading Char"/>
    <w:basedOn w:val="TablecaptionHPAChar"/>
    <w:link w:val="TableFigureheading"/>
    <w:rsid w:val="00F638E7"/>
    <w:rPr>
      <w:rFonts w:ascii="Muli" w:eastAsiaTheme="minorEastAsia" w:hAnsi="Muli"/>
      <w:b w:val="0"/>
      <w:bCs/>
      <w:color w:val="1D2455"/>
      <w:sz w:val="20"/>
      <w:szCs w:val="20"/>
      <w:lang w:eastAsia="en-AU"/>
    </w:rPr>
  </w:style>
  <w:style w:type="paragraph" w:styleId="Caption">
    <w:name w:val="caption"/>
    <w:basedOn w:val="Normal"/>
    <w:next w:val="Normal"/>
    <w:uiPriority w:val="35"/>
    <w:unhideWhenUsed/>
    <w:qFormat/>
    <w:rsid w:val="005B7409"/>
    <w:rPr>
      <w:i/>
      <w:iCs/>
      <w:color w:val="44546A" w:themeColor="text2"/>
      <w:sz w:val="18"/>
      <w:szCs w:val="18"/>
    </w:rPr>
  </w:style>
  <w:style w:type="paragraph" w:styleId="BalloonText">
    <w:name w:val="Balloon Text"/>
    <w:basedOn w:val="Normal"/>
    <w:link w:val="BalloonTextChar"/>
    <w:uiPriority w:val="99"/>
    <w:semiHidden/>
    <w:unhideWhenUsed/>
    <w:rsid w:val="00695B0B"/>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95B0B"/>
    <w:rPr>
      <w:rFonts w:ascii="Segoe UI" w:hAnsi="Segoe UI" w:cs="Segoe UI"/>
      <w:sz w:val="18"/>
      <w:szCs w:val="18"/>
    </w:rPr>
  </w:style>
  <w:style w:type="table" w:styleId="ListTable3-Accent1">
    <w:name w:val="List Table 3 Accent 1"/>
    <w:basedOn w:val="TableNormal"/>
    <w:uiPriority w:val="48"/>
    <w:rsid w:val="00397081"/>
    <w:pPr>
      <w:spacing w:after="0" w:line="240" w:lineRule="auto"/>
    </w:pPr>
    <w:rPr>
      <w:rFonts w:ascii="Muli" w:hAnsi="Muli"/>
      <w:sz w:val="18"/>
    </w:rPr>
    <w:tblPr>
      <w:tblStyleRowBandSize w:val="1"/>
      <w:tblStyleColBandSize w:val="1"/>
      <w:tblBorders>
        <w:top w:val="single" w:sz="4" w:space="0" w:color="408BCA"/>
        <w:left w:val="single" w:sz="4" w:space="0" w:color="408BCA"/>
        <w:bottom w:val="single" w:sz="4" w:space="0" w:color="408BCA"/>
        <w:right w:val="single" w:sz="4" w:space="0" w:color="408BCA"/>
        <w:insideH w:val="single" w:sz="4" w:space="0" w:color="408BCA"/>
      </w:tblBorders>
    </w:tblPr>
    <w:tblStylePr w:type="firstRow">
      <w:pPr>
        <w:jc w:val="left"/>
      </w:pPr>
      <w:rPr>
        <w:b/>
        <w:bCs/>
        <w:color w:val="FFFFFF" w:themeColor="background1"/>
      </w:rPr>
      <w:tblPr/>
      <w:tcPr>
        <w:shd w:val="clear" w:color="auto" w:fill="408BCA"/>
        <w:vAlign w:val="center"/>
      </w:tcPr>
    </w:tblStylePr>
    <w:tblStylePr w:type="lastRow">
      <w:rPr>
        <w:b w:val="0"/>
        <w:bCs/>
      </w:rPr>
      <w:tblPr/>
      <w:tcPr>
        <w:tcBorders>
          <w:top w:val="nil"/>
        </w:tcBorders>
        <w:shd w:val="clear" w:color="auto" w:fill="FFFFFF" w:themeFill="background1"/>
      </w:tcPr>
    </w:tblStylePr>
    <w:tblStylePr w:type="firstCol">
      <w:rPr>
        <w:b w:val="0"/>
        <w:bCs/>
      </w:rPr>
      <w:tblPr/>
      <w:tcPr>
        <w:tcBorders>
          <w:top w:val="nil"/>
          <w:left w:val="single" w:sz="4" w:space="0" w:color="408BCA"/>
          <w:bottom w:val="nil"/>
          <w:right w:val="single" w:sz="4" w:space="0" w:color="408BCA"/>
          <w:insideH w:val="nil"/>
          <w:insideV w:val="single" w:sz="4" w:space="0" w:color="408BCA"/>
          <w:tl2br w:val="nil"/>
          <w:tr2bl w:val="nil"/>
        </w:tcBorders>
        <w:shd w:val="clear" w:color="auto" w:fill="FFFFFF" w:themeFill="background1"/>
      </w:tcPr>
    </w:tblStylePr>
    <w:tblStylePr w:type="lastCol">
      <w:rPr>
        <w:b w:val="0"/>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styleId="ListTable3-Accent5">
    <w:name w:val="List Table 3 Accent 5"/>
    <w:basedOn w:val="TableNormal"/>
    <w:uiPriority w:val="48"/>
    <w:rsid w:val="00397081"/>
    <w:pPr>
      <w:spacing w:after="0" w:line="240" w:lineRule="auto"/>
    </w:pPr>
    <w:rPr>
      <w:rFonts w:ascii="Muli" w:hAnsi="Muli"/>
      <w:sz w:val="18"/>
    </w:rPr>
    <w:tblPr>
      <w:tblStyleRowBandSize w:val="1"/>
      <w:tblStyleColBandSize w:val="1"/>
      <w:tblBorders>
        <w:top w:val="single" w:sz="4" w:space="0" w:color="408BCA"/>
        <w:left w:val="single" w:sz="4" w:space="0" w:color="408BCA"/>
        <w:bottom w:val="single" w:sz="4" w:space="0" w:color="408BCA"/>
        <w:right w:val="single" w:sz="4" w:space="0" w:color="408BCA"/>
        <w:insideH w:val="single" w:sz="6" w:space="0" w:color="408BCA"/>
      </w:tblBorders>
    </w:tblPr>
    <w:tblStylePr w:type="firstRow">
      <w:pPr>
        <w:jc w:val="left"/>
      </w:pPr>
      <w:rPr>
        <w:b/>
        <w:bCs/>
        <w:color w:val="FFFFFF" w:themeColor="background1"/>
      </w:rPr>
      <w:tblPr/>
      <w:tcPr>
        <w:tcBorders>
          <w:top w:val="single" w:sz="4" w:space="0" w:color="408BCA"/>
          <w:left w:val="single" w:sz="4" w:space="0" w:color="408BCA"/>
          <w:bottom w:val="single" w:sz="4" w:space="0" w:color="408BCA"/>
          <w:right w:val="single" w:sz="4" w:space="0" w:color="408BCA"/>
          <w:insideH w:val="nil"/>
          <w:insideV w:val="nil"/>
          <w:tl2br w:val="nil"/>
          <w:tr2bl w:val="nil"/>
        </w:tcBorders>
        <w:shd w:val="clear" w:color="auto" w:fill="408BCA"/>
        <w:vAlign w:val="center"/>
      </w:tcPr>
    </w:tblStylePr>
    <w:tblStylePr w:type="lastRow">
      <w:rPr>
        <w:b w:val="0"/>
        <w:bCs/>
      </w:rPr>
      <w:tblPr/>
      <w:tcPr>
        <w:tcBorders>
          <w:top w:val="double" w:sz="4" w:space="0" w:color="5B9BD5" w:themeColor="accent5"/>
        </w:tcBorders>
        <w:shd w:val="clear" w:color="auto" w:fill="FFFFFF" w:themeFill="background1"/>
      </w:tcPr>
    </w:tblStylePr>
    <w:tblStylePr w:type="firstCol">
      <w:rPr>
        <w:b w:val="0"/>
        <w:bCs/>
      </w:rPr>
      <w:tblPr/>
      <w:tcPr>
        <w:tcBorders>
          <w:right w:val="nil"/>
        </w:tcBorders>
        <w:shd w:val="clear" w:color="auto" w:fill="FFFFFF" w:themeFill="background1"/>
      </w:tcPr>
    </w:tblStylePr>
    <w:tblStylePr w:type="lastCol">
      <w:rPr>
        <w:b w:val="0"/>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Style1">
    <w:name w:val="Style1"/>
    <w:basedOn w:val="TableNormal"/>
    <w:uiPriority w:val="99"/>
    <w:rsid w:val="007A1C90"/>
    <w:pPr>
      <w:spacing w:after="0" w:line="240" w:lineRule="auto"/>
    </w:pPr>
    <w:rPr>
      <w:rFonts w:ascii="Muli" w:hAnsi="Muli"/>
      <w:sz w:val="18"/>
    </w:rPr>
    <w:tblPr>
      <w:tblBorders>
        <w:top w:val="single" w:sz="12" w:space="0" w:color="408BCA"/>
        <w:left w:val="single" w:sz="12" w:space="0" w:color="408BCA"/>
        <w:bottom w:val="single" w:sz="12" w:space="0" w:color="408BCA"/>
        <w:right w:val="single" w:sz="12" w:space="0" w:color="408BCA"/>
      </w:tblBorders>
    </w:tblPr>
  </w:style>
  <w:style w:type="paragraph" w:customStyle="1" w:styleId="Chartortablefootnote">
    <w:name w:val="Chart or table footnote"/>
    <w:basedOn w:val="Normal"/>
    <w:link w:val="ChartortablefootnoteChar"/>
    <w:qFormat/>
    <w:rsid w:val="00851DAF"/>
    <w:pPr>
      <w:jc w:val="center"/>
    </w:pPr>
    <w:rPr>
      <w:rFonts w:eastAsia="Calibri" w:cs="Times New Roman"/>
      <w:i/>
      <w:sz w:val="16"/>
      <w:szCs w:val="18"/>
    </w:rPr>
  </w:style>
  <w:style w:type="character" w:customStyle="1" w:styleId="ChartortablefootnoteChar">
    <w:name w:val="Chart or table footnote Char"/>
    <w:basedOn w:val="DefaultParagraphFont"/>
    <w:link w:val="Chartortablefootnote"/>
    <w:rsid w:val="00851DAF"/>
    <w:rPr>
      <w:rFonts w:ascii="Muli" w:eastAsia="Calibri" w:hAnsi="Muli" w:cs="Times New Roman"/>
      <w:i/>
      <w:sz w:val="16"/>
      <w:szCs w:val="18"/>
    </w:rPr>
  </w:style>
  <w:style w:type="character" w:customStyle="1" w:styleId="captionChar">
    <w:name w:val="caption Char"/>
    <w:basedOn w:val="DefaultParagraphFont"/>
    <w:link w:val="Caption1"/>
    <w:locked/>
    <w:rsid w:val="000D4227"/>
    <w:rPr>
      <w:rFonts w:ascii="Century Gothic" w:eastAsiaTheme="minorEastAsia" w:hAnsi="Century Gothic"/>
      <w:b/>
      <w:sz w:val="20"/>
      <w:szCs w:val="24"/>
      <w:lang w:val="en-US"/>
    </w:rPr>
  </w:style>
  <w:style w:type="paragraph" w:customStyle="1" w:styleId="Caption1">
    <w:name w:val="Caption1"/>
    <w:basedOn w:val="Normal"/>
    <w:link w:val="captionChar"/>
    <w:qFormat/>
    <w:rsid w:val="000D4227"/>
    <w:pPr>
      <w:jc w:val="center"/>
    </w:pPr>
    <w:rPr>
      <w:rFonts w:ascii="Century Gothic" w:eastAsiaTheme="minorEastAsia" w:hAnsi="Century Gothic"/>
      <w:b/>
      <w:szCs w:val="24"/>
      <w:lang w:val="en-US"/>
    </w:rPr>
  </w:style>
  <w:style w:type="table" w:customStyle="1" w:styleId="TableGrid2">
    <w:name w:val="Table Grid2"/>
    <w:basedOn w:val="TableNormal"/>
    <w:uiPriority w:val="39"/>
    <w:rsid w:val="001129DB"/>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PATable">
    <w:name w:val="HPA Table"/>
    <w:basedOn w:val="TableNormal"/>
    <w:uiPriority w:val="99"/>
    <w:rsid w:val="00A058BC"/>
    <w:pPr>
      <w:spacing w:after="0" w:line="240" w:lineRule="auto"/>
    </w:pPr>
    <w:rPr>
      <w:rFonts w:ascii="Muli" w:hAnsi="Muli"/>
      <w:sz w:val="18"/>
    </w:rPr>
    <w:tblPr>
      <w:tblBorders>
        <w:top w:val="single" w:sz="4" w:space="0" w:color="408BCA"/>
        <w:left w:val="single" w:sz="4" w:space="0" w:color="408BCA"/>
        <w:bottom w:val="single" w:sz="4" w:space="0" w:color="408BCA"/>
        <w:right w:val="single" w:sz="4" w:space="0" w:color="408BCA"/>
        <w:insideH w:val="single" w:sz="6" w:space="0" w:color="408BCA"/>
      </w:tblBorders>
    </w:tblPr>
    <w:tblStylePr w:type="firstRow">
      <w:rPr>
        <w:b/>
        <w:color w:val="FFFFFF" w:themeColor="background1"/>
      </w:rPr>
      <w:tblPr/>
      <w:tcPr>
        <w:tcBorders>
          <w:top w:val="single" w:sz="4" w:space="0" w:color="408BCA"/>
          <w:left w:val="single" w:sz="4" w:space="0" w:color="408BCA"/>
          <w:bottom w:val="single" w:sz="4" w:space="0" w:color="408BCA"/>
          <w:right w:val="single" w:sz="4" w:space="0" w:color="408BCA"/>
          <w:insideH w:val="nil"/>
          <w:insideV w:val="nil"/>
          <w:tl2br w:val="nil"/>
          <w:tr2bl w:val="nil"/>
        </w:tcBorders>
        <w:shd w:val="clear" w:color="auto" w:fill="408BCA"/>
      </w:tcPr>
    </w:tblStylePr>
  </w:style>
  <w:style w:type="character" w:customStyle="1" w:styleId="Style3">
    <w:name w:val="Style3"/>
    <w:basedOn w:val="DefaultParagraphFont"/>
    <w:uiPriority w:val="99"/>
    <w:rsid w:val="0002357B"/>
    <w:rPr>
      <w:rFonts w:cs="Times New Roman"/>
      <w:b/>
      <w:color w:val="1F497D"/>
      <w:sz w:val="40"/>
    </w:rPr>
  </w:style>
  <w:style w:type="paragraph" w:customStyle="1" w:styleId="Title3">
    <w:name w:val="Title 3"/>
    <w:basedOn w:val="Normal"/>
    <w:rsid w:val="0002357B"/>
    <w:pPr>
      <w:spacing w:after="0"/>
    </w:pPr>
    <w:rPr>
      <w:rFonts w:ascii="Arial" w:eastAsia="Times New Roman" w:hAnsi="Arial" w:cs="Times New Roman"/>
      <w:b/>
      <w:sz w:val="28"/>
      <w:szCs w:val="20"/>
    </w:rPr>
  </w:style>
  <w:style w:type="paragraph" w:customStyle="1" w:styleId="Glossary">
    <w:name w:val="Glossary"/>
    <w:basedOn w:val="Normal"/>
    <w:next w:val="NormalIndent"/>
    <w:rsid w:val="0002357B"/>
    <w:pPr>
      <w:spacing w:after="180"/>
    </w:pPr>
    <w:rPr>
      <w:rFonts w:ascii="Arial" w:eastAsia="Times New Roman" w:hAnsi="Arial" w:cs="Times New Roman"/>
      <w:b/>
      <w:szCs w:val="20"/>
    </w:rPr>
  </w:style>
  <w:style w:type="paragraph" w:styleId="NormalIndent">
    <w:name w:val="Normal Indent"/>
    <w:basedOn w:val="Normal"/>
    <w:uiPriority w:val="99"/>
    <w:semiHidden/>
    <w:unhideWhenUsed/>
    <w:rsid w:val="0002357B"/>
    <w:pPr>
      <w:spacing w:line="276" w:lineRule="auto"/>
      <w:ind w:left="720"/>
    </w:pPr>
    <w:rPr>
      <w:rFonts w:ascii="Century Gothic" w:eastAsia="Calibri" w:hAnsi="Century Gothic" w:cs="Times New Roman"/>
    </w:rPr>
  </w:style>
  <w:style w:type="paragraph" w:customStyle="1" w:styleId="Table">
    <w:name w:val="Table"/>
    <w:basedOn w:val="Normal"/>
    <w:rsid w:val="0002357B"/>
    <w:pPr>
      <w:keepLines/>
      <w:widowControl w:val="0"/>
      <w:spacing w:before="60" w:after="60"/>
    </w:pPr>
    <w:rPr>
      <w:rFonts w:ascii="Arial" w:eastAsia="Times New Roman" w:hAnsi="Arial" w:cs="Times New Roman"/>
      <w:sz w:val="18"/>
      <w:szCs w:val="20"/>
    </w:rPr>
  </w:style>
  <w:style w:type="paragraph" w:customStyle="1" w:styleId="TableData">
    <w:name w:val="TableData"/>
    <w:basedOn w:val="Normal"/>
    <w:rsid w:val="0002357B"/>
    <w:pPr>
      <w:spacing w:before="60" w:after="60"/>
    </w:pPr>
    <w:rPr>
      <w:rFonts w:ascii="Times New Roman" w:eastAsia="Times New Roman" w:hAnsi="Times New Roman" w:cs="Times New Roman"/>
      <w:szCs w:val="20"/>
    </w:rPr>
  </w:style>
  <w:style w:type="paragraph" w:customStyle="1" w:styleId="Heading1thatdoesnotgetpickedupbyTOC">
    <w:name w:val="Heading 1 that does not get picked up by TOC"/>
    <w:basedOn w:val="Normal"/>
    <w:link w:val="Heading1thatdoesnotgetpickedupbyTOCChar"/>
    <w:uiPriority w:val="99"/>
    <w:rsid w:val="0002357B"/>
    <w:pPr>
      <w:outlineLvl w:val="0"/>
    </w:pPr>
    <w:rPr>
      <w:rFonts w:ascii="Century Gothic" w:eastAsia="Calibri" w:hAnsi="Century Gothic" w:cs="Arial"/>
      <w:color w:val="003D79"/>
      <w:sz w:val="80"/>
      <w:szCs w:val="92"/>
    </w:rPr>
  </w:style>
  <w:style w:type="character" w:customStyle="1" w:styleId="Heading1thatdoesnotgetpickedupbyTOCChar">
    <w:name w:val="Heading 1 that does not get picked up by TOC Char"/>
    <w:basedOn w:val="DefaultParagraphFont"/>
    <w:link w:val="Heading1thatdoesnotgetpickedupbyTOC"/>
    <w:uiPriority w:val="99"/>
    <w:locked/>
    <w:rsid w:val="0002357B"/>
    <w:rPr>
      <w:rFonts w:ascii="Century Gothic" w:eastAsia="Calibri" w:hAnsi="Century Gothic" w:cs="Arial"/>
      <w:color w:val="003D79"/>
      <w:sz w:val="80"/>
      <w:szCs w:val="92"/>
    </w:rPr>
  </w:style>
  <w:style w:type="character" w:customStyle="1" w:styleId="Style9">
    <w:name w:val="Style9"/>
    <w:basedOn w:val="DefaultParagraphFont"/>
    <w:uiPriority w:val="99"/>
    <w:rsid w:val="0002357B"/>
    <w:rPr>
      <w:rFonts w:ascii="Calibri" w:hAnsi="Calibri" w:cs="Times New Roman"/>
      <w:b/>
      <w:color w:val="7F7F7F"/>
      <w:sz w:val="22"/>
    </w:rPr>
  </w:style>
  <w:style w:type="paragraph" w:customStyle="1" w:styleId="Heading1nonumber">
    <w:name w:val="Heading 1 no number"/>
    <w:basedOn w:val="Heading1"/>
    <w:next w:val="Normal"/>
    <w:link w:val="Heading1nonumberChar"/>
    <w:qFormat/>
    <w:rsid w:val="0002357B"/>
    <w:pPr>
      <w:tabs>
        <w:tab w:val="left" w:pos="3957"/>
      </w:tabs>
    </w:pPr>
    <w:rPr>
      <w:rFonts w:ascii="Century Gothic" w:hAnsi="Century Gothic"/>
      <w:bCs w:val="0"/>
      <w:color w:val="003D79"/>
      <w:sz w:val="72"/>
      <w:szCs w:val="32"/>
    </w:rPr>
  </w:style>
  <w:style w:type="character" w:customStyle="1" w:styleId="Heading1nonumberChar">
    <w:name w:val="Heading 1 no number Char"/>
    <w:basedOn w:val="DefaultParagraphFont"/>
    <w:link w:val="Heading1nonumber"/>
    <w:rsid w:val="0002357B"/>
    <w:rPr>
      <w:rFonts w:ascii="Century Gothic" w:eastAsiaTheme="majorEastAsia" w:hAnsi="Century Gothic" w:cstheme="majorBidi"/>
      <w:color w:val="003D79"/>
      <w:sz w:val="72"/>
      <w:szCs w:val="32"/>
    </w:rPr>
  </w:style>
  <w:style w:type="paragraph" w:styleId="TOCHeading">
    <w:name w:val="TOC Heading"/>
    <w:basedOn w:val="Heading1"/>
    <w:next w:val="Normal"/>
    <w:uiPriority w:val="39"/>
    <w:unhideWhenUsed/>
    <w:qFormat/>
    <w:rsid w:val="0002357B"/>
    <w:pPr>
      <w:spacing w:before="240" w:after="0" w:line="276" w:lineRule="auto"/>
      <w:outlineLvl w:val="9"/>
    </w:pPr>
    <w:rPr>
      <w:rFonts w:ascii="Century Gothic" w:hAnsi="Century Gothic"/>
      <w:bCs w:val="0"/>
      <w:color w:val="003D79"/>
      <w:sz w:val="72"/>
      <w:szCs w:val="32"/>
      <w:lang w:val="en-US"/>
    </w:rPr>
  </w:style>
  <w:style w:type="paragraph" w:styleId="TOC3">
    <w:name w:val="toc 3"/>
    <w:basedOn w:val="Normal"/>
    <w:next w:val="Normal"/>
    <w:autoRedefine/>
    <w:uiPriority w:val="39"/>
    <w:unhideWhenUsed/>
    <w:rsid w:val="00317E78"/>
    <w:pPr>
      <w:spacing w:after="100" w:line="276" w:lineRule="auto"/>
      <w:ind w:left="400"/>
    </w:pPr>
    <w:rPr>
      <w:rFonts w:eastAsia="Calibri" w:cs="Times New Roman"/>
      <w:color w:val="1D2455"/>
    </w:rPr>
  </w:style>
  <w:style w:type="table" w:customStyle="1" w:styleId="TableGrid1">
    <w:name w:val="Table Grid1"/>
    <w:basedOn w:val="TableNormal"/>
    <w:next w:val="TableGrid"/>
    <w:uiPriority w:val="39"/>
    <w:rsid w:val="0002357B"/>
    <w:pPr>
      <w:spacing w:after="0" w:line="240" w:lineRule="auto"/>
    </w:pPr>
    <w:rPr>
      <w:rFonts w:ascii="Calibri" w:eastAsia="MS Mincho" w:hAnsi="Calibri" w:cs="Times New Roman"/>
      <w:sz w:val="20"/>
      <w:szCs w:val="20"/>
      <w:lang w:val="en-US"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ubtleEmphasis">
    <w:name w:val="Subtle Emphasis"/>
    <w:basedOn w:val="DefaultParagraphFont"/>
    <w:uiPriority w:val="19"/>
    <w:qFormat/>
    <w:rsid w:val="0002357B"/>
    <w:rPr>
      <w:i/>
      <w:iCs/>
      <w:color w:val="404040" w:themeColor="text1" w:themeTint="BF"/>
    </w:rPr>
  </w:style>
  <w:style w:type="paragraph" w:customStyle="1" w:styleId="centered">
    <w:name w:val="centered"/>
    <w:basedOn w:val="Normal"/>
    <w:qFormat/>
    <w:rsid w:val="0002357B"/>
    <w:pPr>
      <w:spacing w:after="0"/>
      <w:jc w:val="center"/>
    </w:pPr>
    <w:rPr>
      <w:rFonts w:asciiTheme="minorHAnsi" w:eastAsiaTheme="minorEastAsia" w:hAnsiTheme="minorHAnsi"/>
      <w:sz w:val="24"/>
      <w:szCs w:val="24"/>
      <w:lang w:val="fr-FR" w:eastAsia="fr-FR"/>
    </w:rPr>
  </w:style>
  <w:style w:type="paragraph" w:customStyle="1" w:styleId="graphictitle">
    <w:name w:val="graphic title"/>
    <w:basedOn w:val="Normal"/>
    <w:qFormat/>
    <w:rsid w:val="0002357B"/>
    <w:pPr>
      <w:spacing w:after="0"/>
      <w:jc w:val="center"/>
    </w:pPr>
    <w:rPr>
      <w:rFonts w:asciiTheme="minorHAnsi" w:eastAsiaTheme="minorEastAsia" w:hAnsiTheme="minorHAnsi"/>
      <w:b/>
      <w:i/>
      <w:sz w:val="24"/>
      <w:szCs w:val="24"/>
      <w:lang w:val="fr-FR" w:eastAsia="fr-FR"/>
    </w:rPr>
  </w:style>
  <w:style w:type="paragraph" w:customStyle="1" w:styleId="Tablespacing">
    <w:name w:val="Table spacing"/>
    <w:basedOn w:val="Normal"/>
    <w:link w:val="TablespacingChar"/>
    <w:qFormat/>
    <w:rsid w:val="0002357B"/>
    <w:pPr>
      <w:spacing w:after="0" w:line="276" w:lineRule="auto"/>
      <w:jc w:val="center"/>
    </w:pPr>
    <w:rPr>
      <w:rFonts w:ascii="Century Gothic" w:eastAsia="Calibri" w:hAnsi="Century Gothic" w:cs="Times New Roman"/>
      <w:sz w:val="4"/>
      <w:szCs w:val="4"/>
    </w:rPr>
  </w:style>
  <w:style w:type="character" w:customStyle="1" w:styleId="TablespacingChar">
    <w:name w:val="Table spacing Char"/>
    <w:basedOn w:val="DefaultParagraphFont"/>
    <w:link w:val="Tablespacing"/>
    <w:rsid w:val="0002357B"/>
    <w:rPr>
      <w:rFonts w:ascii="Century Gothic" w:eastAsia="Calibri" w:hAnsi="Century Gothic" w:cs="Times New Roman"/>
      <w:sz w:val="4"/>
      <w:szCs w:val="4"/>
    </w:rPr>
  </w:style>
  <w:style w:type="paragraph" w:customStyle="1" w:styleId="Default">
    <w:name w:val="Default"/>
    <w:rsid w:val="0002357B"/>
    <w:pPr>
      <w:autoSpaceDE w:val="0"/>
      <w:autoSpaceDN w:val="0"/>
      <w:adjustRightInd w:val="0"/>
      <w:spacing w:after="0" w:line="240" w:lineRule="auto"/>
    </w:pPr>
    <w:rPr>
      <w:rFonts w:ascii="Calibri" w:hAnsi="Calibri" w:cs="Calibri"/>
      <w:color w:val="000000"/>
      <w:sz w:val="24"/>
      <w:szCs w:val="24"/>
    </w:rPr>
  </w:style>
  <w:style w:type="paragraph" w:customStyle="1" w:styleId="Appendix">
    <w:name w:val="Appendix"/>
    <w:basedOn w:val="Heading1nonumber"/>
    <w:link w:val="AppendixChar"/>
    <w:qFormat/>
    <w:rsid w:val="0002357B"/>
    <w:rPr>
      <w:sz w:val="60"/>
    </w:rPr>
  </w:style>
  <w:style w:type="character" w:customStyle="1" w:styleId="AppendixChar">
    <w:name w:val="Appendix Char"/>
    <w:basedOn w:val="Heading1nonumberChar"/>
    <w:link w:val="Appendix"/>
    <w:rsid w:val="0002357B"/>
    <w:rPr>
      <w:rFonts w:ascii="Century Gothic" w:eastAsiaTheme="majorEastAsia" w:hAnsi="Century Gothic" w:cstheme="majorBidi"/>
      <w:color w:val="003D79"/>
      <w:sz w:val="60"/>
      <w:szCs w:val="32"/>
    </w:rPr>
  </w:style>
  <w:style w:type="paragraph" w:customStyle="1" w:styleId="msonormal0">
    <w:name w:val="msonormal"/>
    <w:basedOn w:val="Normal"/>
    <w:rsid w:val="0002357B"/>
    <w:pPr>
      <w:spacing w:before="100" w:beforeAutospacing="1" w:after="100" w:afterAutospacing="1"/>
    </w:pPr>
    <w:rPr>
      <w:rFonts w:ascii="Times New Roman" w:eastAsia="Times New Roman" w:hAnsi="Times New Roman" w:cs="Times New Roman"/>
      <w:sz w:val="24"/>
      <w:szCs w:val="24"/>
      <w:lang w:eastAsia="en-AU"/>
    </w:rPr>
  </w:style>
  <w:style w:type="paragraph" w:styleId="EndnoteText">
    <w:name w:val="endnote text"/>
    <w:basedOn w:val="Normal"/>
    <w:link w:val="EndnoteTextChar"/>
    <w:uiPriority w:val="99"/>
    <w:semiHidden/>
    <w:unhideWhenUsed/>
    <w:rsid w:val="0002357B"/>
    <w:pPr>
      <w:spacing w:after="0"/>
    </w:pPr>
    <w:rPr>
      <w:rFonts w:ascii="Century Gothic" w:eastAsia="Calibri" w:hAnsi="Century Gothic" w:cs="Times New Roman"/>
      <w:szCs w:val="20"/>
    </w:rPr>
  </w:style>
  <w:style w:type="character" w:customStyle="1" w:styleId="EndnoteTextChar">
    <w:name w:val="Endnote Text Char"/>
    <w:basedOn w:val="DefaultParagraphFont"/>
    <w:link w:val="EndnoteText"/>
    <w:uiPriority w:val="99"/>
    <w:semiHidden/>
    <w:rsid w:val="0002357B"/>
    <w:rPr>
      <w:rFonts w:ascii="Century Gothic" w:eastAsia="Calibri" w:hAnsi="Century Gothic" w:cs="Times New Roman"/>
      <w:sz w:val="20"/>
      <w:szCs w:val="20"/>
    </w:rPr>
  </w:style>
  <w:style w:type="character" w:styleId="EndnoteReference">
    <w:name w:val="endnote reference"/>
    <w:basedOn w:val="DefaultParagraphFont"/>
    <w:uiPriority w:val="99"/>
    <w:semiHidden/>
    <w:unhideWhenUsed/>
    <w:rsid w:val="0002357B"/>
    <w:rPr>
      <w:vertAlign w:val="superscript"/>
    </w:rPr>
  </w:style>
  <w:style w:type="paragraph" w:styleId="NormalWeb">
    <w:name w:val="Normal (Web)"/>
    <w:basedOn w:val="Normal"/>
    <w:uiPriority w:val="99"/>
    <w:unhideWhenUsed/>
    <w:rsid w:val="0002357B"/>
    <w:pPr>
      <w:spacing w:before="100" w:beforeAutospacing="1" w:after="100" w:afterAutospacing="1"/>
    </w:pPr>
    <w:rPr>
      <w:rFonts w:ascii="Times New Roman" w:eastAsia="Times New Roman" w:hAnsi="Times New Roman" w:cs="Times New Roman"/>
      <w:sz w:val="24"/>
      <w:szCs w:val="24"/>
      <w:lang w:eastAsia="en-AU"/>
    </w:rPr>
  </w:style>
  <w:style w:type="paragraph" w:customStyle="1" w:styleId="xmsonormal">
    <w:name w:val="x_msonormal"/>
    <w:basedOn w:val="Normal"/>
    <w:rsid w:val="0002357B"/>
    <w:pPr>
      <w:spacing w:after="0"/>
    </w:pPr>
    <w:rPr>
      <w:rFonts w:ascii="Calibri" w:hAnsi="Calibri" w:cs="Calibri"/>
      <w:sz w:val="22"/>
      <w:lang w:eastAsia="en-AU"/>
    </w:rPr>
  </w:style>
  <w:style w:type="paragraph" w:customStyle="1" w:styleId="NoSpacing1">
    <w:name w:val="No Spacing1"/>
    <w:next w:val="NoSpacing"/>
    <w:link w:val="NoSpacingChar"/>
    <w:uiPriority w:val="1"/>
    <w:qFormat/>
    <w:rsid w:val="0002357B"/>
    <w:pPr>
      <w:spacing w:after="0" w:line="240" w:lineRule="auto"/>
    </w:pPr>
    <w:rPr>
      <w:rFonts w:eastAsia="Times New Roman"/>
      <w:lang w:val="en-US"/>
    </w:rPr>
  </w:style>
  <w:style w:type="paragraph" w:styleId="NoSpacing">
    <w:name w:val="No Spacing"/>
    <w:uiPriority w:val="1"/>
    <w:qFormat/>
    <w:rsid w:val="0002357B"/>
    <w:pPr>
      <w:spacing w:after="0" w:line="240" w:lineRule="auto"/>
    </w:pPr>
    <w:rPr>
      <w:rFonts w:ascii="Century Gothic" w:eastAsia="Calibri" w:hAnsi="Century Gothic" w:cs="Times New Roman"/>
      <w:sz w:val="20"/>
    </w:rPr>
  </w:style>
  <w:style w:type="character" w:customStyle="1" w:styleId="NoSpacingChar">
    <w:name w:val="No Spacing Char"/>
    <w:basedOn w:val="DefaultParagraphFont"/>
    <w:link w:val="NoSpacing1"/>
    <w:uiPriority w:val="1"/>
    <w:rsid w:val="0002357B"/>
    <w:rPr>
      <w:rFonts w:eastAsia="Times New Roman"/>
      <w:lang w:val="en-US"/>
    </w:rPr>
  </w:style>
  <w:style w:type="paragraph" w:customStyle="1" w:styleId="paragraph">
    <w:name w:val="paragraph"/>
    <w:basedOn w:val="Normal"/>
    <w:rsid w:val="0002357B"/>
    <w:pPr>
      <w:spacing w:before="100" w:beforeAutospacing="1" w:after="100" w:afterAutospacing="1"/>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02357B"/>
  </w:style>
  <w:style w:type="character" w:customStyle="1" w:styleId="eop">
    <w:name w:val="eop"/>
    <w:basedOn w:val="DefaultParagraphFont"/>
    <w:rsid w:val="0002357B"/>
  </w:style>
  <w:style w:type="character" w:customStyle="1" w:styleId="advancedproofingissue">
    <w:name w:val="advancedproofingissue"/>
    <w:basedOn w:val="DefaultParagraphFont"/>
    <w:rsid w:val="0002357B"/>
  </w:style>
  <w:style w:type="character" w:customStyle="1" w:styleId="contextualspellingandgrammarerror">
    <w:name w:val="contextualspellingandgrammarerror"/>
    <w:basedOn w:val="DefaultParagraphFont"/>
    <w:rsid w:val="0002357B"/>
  </w:style>
  <w:style w:type="character" w:customStyle="1" w:styleId="spellingerror">
    <w:name w:val="spellingerror"/>
    <w:basedOn w:val="DefaultParagraphFont"/>
    <w:rsid w:val="0002357B"/>
  </w:style>
  <w:style w:type="table" w:customStyle="1" w:styleId="TableGrid3">
    <w:name w:val="Table Grid3"/>
    <w:basedOn w:val="TableNormal"/>
    <w:next w:val="TableGrid"/>
    <w:rsid w:val="000235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02357B"/>
    <w:pPr>
      <w:spacing w:after="0" w:line="240" w:lineRule="auto"/>
    </w:pPr>
    <w:rPr>
      <w:rFonts w:ascii="Calibri" w:eastAsia="MS Mincho" w:hAnsi="Calibri" w:cs="Times New Roman"/>
      <w:sz w:val="20"/>
      <w:szCs w:val="20"/>
      <w:lang w:val="en-US"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39"/>
    <w:rsid w:val="000235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uotes">
    <w:name w:val="Quotes"/>
    <w:basedOn w:val="Normal"/>
    <w:link w:val="QuotesChar"/>
    <w:qFormat/>
    <w:rsid w:val="0002357B"/>
    <w:pPr>
      <w:spacing w:line="276" w:lineRule="auto"/>
      <w:ind w:left="709" w:right="1088"/>
      <w:jc w:val="both"/>
      <w:textAlignment w:val="baseline"/>
    </w:pPr>
    <w:rPr>
      <w:rFonts w:ascii="Century Gothic" w:eastAsia="Times New Roman" w:hAnsi="Century Gothic" w:cs="Segoe UI"/>
      <w:i/>
      <w:iCs/>
      <w:szCs w:val="20"/>
      <w:lang w:val="en-GB" w:eastAsia="en-AU"/>
    </w:rPr>
  </w:style>
  <w:style w:type="character" w:customStyle="1" w:styleId="QuotesChar">
    <w:name w:val="Quotes Char"/>
    <w:basedOn w:val="DefaultParagraphFont"/>
    <w:link w:val="Quotes"/>
    <w:rsid w:val="0002357B"/>
    <w:rPr>
      <w:rFonts w:ascii="Century Gothic" w:eastAsia="Times New Roman" w:hAnsi="Century Gothic" w:cs="Segoe UI"/>
      <w:i/>
      <w:iCs/>
      <w:sz w:val="20"/>
      <w:szCs w:val="20"/>
      <w:lang w:val="en-GB" w:eastAsia="en-AU"/>
    </w:rPr>
  </w:style>
  <w:style w:type="table" w:customStyle="1" w:styleId="TableGrid4">
    <w:name w:val="Table Grid4"/>
    <w:basedOn w:val="TableNormal"/>
    <w:next w:val="TableGrid"/>
    <w:rsid w:val="000235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02357B"/>
    <w:pPr>
      <w:spacing w:after="0" w:line="240" w:lineRule="auto"/>
    </w:pPr>
    <w:rPr>
      <w:rFonts w:ascii="Calibri" w:eastAsia="MS Mincho" w:hAnsi="Calibri" w:cs="Times New Roman"/>
      <w:sz w:val="20"/>
      <w:szCs w:val="20"/>
      <w:lang w:val="en-US"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
    <w:name w:val="Table Grid22"/>
    <w:basedOn w:val="TableNormal"/>
    <w:next w:val="TableGrid"/>
    <w:uiPriority w:val="39"/>
    <w:rsid w:val="000235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next w:val="TableGrid"/>
    <w:uiPriority w:val="39"/>
    <w:rsid w:val="000235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02357B"/>
    <w:pPr>
      <w:spacing w:after="0" w:line="240" w:lineRule="auto"/>
    </w:pPr>
    <w:rPr>
      <w:rFonts w:ascii="Calibri" w:eastAsia="MS Mincho" w:hAnsi="Calibri" w:cs="Times New Roman"/>
      <w:sz w:val="20"/>
      <w:szCs w:val="20"/>
      <w:lang w:val="en-US" w:eastAsia="ja-JP"/>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1">
    <w:name w:val="Table Grid211"/>
    <w:basedOn w:val="TableNormal"/>
    <w:next w:val="TableGrid"/>
    <w:uiPriority w:val="39"/>
    <w:rsid w:val="000235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unhideWhenUsed/>
    <w:qFormat/>
    <w:rsid w:val="0002357B"/>
    <w:pPr>
      <w:widowControl w:val="0"/>
      <w:spacing w:after="0"/>
      <w:ind w:left="100"/>
    </w:pPr>
    <w:rPr>
      <w:rFonts w:ascii="Century Gothic" w:eastAsia="Century Gothic" w:hAnsi="Century Gothic"/>
      <w:szCs w:val="20"/>
      <w:lang w:val="en-US"/>
    </w:rPr>
  </w:style>
  <w:style w:type="character" w:customStyle="1" w:styleId="BodyTextChar">
    <w:name w:val="Body Text Char"/>
    <w:basedOn w:val="DefaultParagraphFont"/>
    <w:link w:val="BodyText"/>
    <w:uiPriority w:val="1"/>
    <w:rsid w:val="0002357B"/>
    <w:rPr>
      <w:rFonts w:ascii="Century Gothic" w:eastAsia="Century Gothic" w:hAnsi="Century Gothic"/>
      <w:sz w:val="20"/>
      <w:szCs w:val="20"/>
      <w:lang w:val="en-US"/>
    </w:rPr>
  </w:style>
  <w:style w:type="character" w:customStyle="1" w:styleId="e24kjd">
    <w:name w:val="e24kjd"/>
    <w:basedOn w:val="DefaultParagraphFont"/>
    <w:rsid w:val="0002357B"/>
  </w:style>
  <w:style w:type="table" w:customStyle="1" w:styleId="TableGrid5">
    <w:name w:val="Table Grid5"/>
    <w:basedOn w:val="TableNormal"/>
    <w:next w:val="TableGrid"/>
    <w:uiPriority w:val="39"/>
    <w:rsid w:val="000235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DefaultParagraphFont"/>
    <w:rsid w:val="0002357B"/>
  </w:style>
  <w:style w:type="paragraph" w:customStyle="1" w:styleId="BulletedList">
    <w:name w:val="Bulleted List"/>
    <w:next w:val="Normal"/>
    <w:qFormat/>
    <w:rsid w:val="0002357B"/>
    <w:pPr>
      <w:numPr>
        <w:numId w:val="25"/>
      </w:numPr>
      <w:spacing w:after="120" w:line="276" w:lineRule="auto"/>
    </w:pPr>
    <w:rPr>
      <w:rFonts w:ascii="Century Gothic" w:eastAsia="Times New Roman" w:hAnsi="Century Gothic" w:cs="Times New Roman"/>
      <w:spacing w:val="-5"/>
      <w:sz w:val="20"/>
      <w:szCs w:val="20"/>
      <w:lang w:val="en-US"/>
    </w:rPr>
  </w:style>
  <w:style w:type="paragraph" w:customStyle="1" w:styleId="Qualitativequote">
    <w:name w:val="Qualitative quote"/>
    <w:basedOn w:val="Normal"/>
    <w:link w:val="QualitativequoteChar"/>
    <w:qFormat/>
    <w:rsid w:val="0002357B"/>
    <w:pPr>
      <w:spacing w:line="276" w:lineRule="auto"/>
      <w:ind w:left="567" w:right="522"/>
    </w:pPr>
    <w:rPr>
      <w:rFonts w:ascii="Century Gothic" w:eastAsia="Calibri" w:hAnsi="Century Gothic" w:cs="Times New Roman"/>
      <w:i/>
      <w:iCs/>
    </w:rPr>
  </w:style>
  <w:style w:type="character" w:customStyle="1" w:styleId="QualitativequoteChar">
    <w:name w:val="Qualitative quote Char"/>
    <w:basedOn w:val="DefaultParagraphFont"/>
    <w:link w:val="Qualitativequote"/>
    <w:rsid w:val="0002357B"/>
    <w:rPr>
      <w:rFonts w:ascii="Century Gothic" w:eastAsia="Calibri" w:hAnsi="Century Gothic" w:cs="Times New Roman"/>
      <w:i/>
      <w:iCs/>
      <w:sz w:val="20"/>
    </w:rPr>
  </w:style>
  <w:style w:type="character" w:customStyle="1" w:styleId="FooterChar1">
    <w:name w:val="Footer Char1"/>
    <w:basedOn w:val="DefaultParagraphFont"/>
    <w:uiPriority w:val="99"/>
    <w:rsid w:val="0002357B"/>
  </w:style>
  <w:style w:type="character" w:styleId="Emphasis">
    <w:name w:val="Emphasis"/>
    <w:basedOn w:val="DefaultParagraphFont"/>
    <w:uiPriority w:val="20"/>
    <w:qFormat/>
    <w:rsid w:val="0002357B"/>
    <w:rPr>
      <w:i/>
      <w:iCs/>
    </w:rPr>
  </w:style>
  <w:style w:type="character" w:styleId="PlaceholderText">
    <w:name w:val="Placeholder Text"/>
    <w:basedOn w:val="DefaultParagraphFont"/>
    <w:uiPriority w:val="99"/>
    <w:semiHidden/>
    <w:rsid w:val="0002357B"/>
    <w:rPr>
      <w:color w:val="808080"/>
    </w:rPr>
  </w:style>
  <w:style w:type="character" w:styleId="FollowedHyperlink">
    <w:name w:val="FollowedHyperlink"/>
    <w:basedOn w:val="DefaultParagraphFont"/>
    <w:uiPriority w:val="99"/>
    <w:semiHidden/>
    <w:unhideWhenUsed/>
    <w:rsid w:val="0002357B"/>
    <w:rPr>
      <w:color w:val="954F72" w:themeColor="followedHyperlink"/>
      <w:u w:val="single"/>
    </w:rPr>
  </w:style>
  <w:style w:type="character" w:customStyle="1" w:styleId="hgkelc">
    <w:name w:val="hgkelc"/>
    <w:basedOn w:val="DefaultParagraphFont"/>
    <w:rsid w:val="0002357B"/>
  </w:style>
  <w:style w:type="table" w:customStyle="1" w:styleId="TableGrid6">
    <w:name w:val="Table Grid6"/>
    <w:basedOn w:val="TableNormal"/>
    <w:next w:val="TableGrid"/>
    <w:rsid w:val="000235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unhideWhenUsed/>
    <w:rsid w:val="0002357B"/>
    <w:rPr>
      <w:color w:val="2B579A"/>
      <w:shd w:val="clear" w:color="auto" w:fill="E1DFDD"/>
    </w:rPr>
  </w:style>
  <w:style w:type="table" w:styleId="TableGrid20">
    <w:name w:val="Table Grid 2"/>
    <w:basedOn w:val="TableNormal"/>
    <w:uiPriority w:val="99"/>
    <w:unhideWhenUsed/>
    <w:rsid w:val="003E03EF"/>
    <w:pPr>
      <w:suppressAutoHyphens/>
      <w:spacing w:after="0" w:line="288" w:lineRule="auto"/>
    </w:pPr>
    <w:rPr>
      <w:rFonts w:ascii="Arial" w:eastAsia="Calibri" w:hAnsi="Arial" w:cs="Times New Roman"/>
      <w:sz w:val="20"/>
      <w:szCs w:val="20"/>
      <w:lang w:eastAsia="en-A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paragraph" w:styleId="TOC4">
    <w:name w:val="toc 4"/>
    <w:basedOn w:val="Normal"/>
    <w:next w:val="Normal"/>
    <w:autoRedefine/>
    <w:uiPriority w:val="39"/>
    <w:unhideWhenUsed/>
    <w:rsid w:val="004437FF"/>
    <w:pPr>
      <w:spacing w:after="100" w:line="259" w:lineRule="auto"/>
      <w:ind w:left="660"/>
    </w:pPr>
    <w:rPr>
      <w:rFonts w:asciiTheme="minorHAnsi" w:eastAsiaTheme="minorEastAsia" w:hAnsiTheme="minorHAnsi"/>
      <w:sz w:val="22"/>
      <w:lang w:eastAsia="en-AU"/>
    </w:rPr>
  </w:style>
  <w:style w:type="paragraph" w:styleId="TOC5">
    <w:name w:val="toc 5"/>
    <w:basedOn w:val="Normal"/>
    <w:next w:val="Normal"/>
    <w:autoRedefine/>
    <w:uiPriority w:val="39"/>
    <w:unhideWhenUsed/>
    <w:rsid w:val="004437FF"/>
    <w:pPr>
      <w:spacing w:after="100" w:line="259" w:lineRule="auto"/>
      <w:ind w:left="880"/>
    </w:pPr>
    <w:rPr>
      <w:rFonts w:asciiTheme="minorHAnsi" w:eastAsiaTheme="minorEastAsia" w:hAnsiTheme="minorHAnsi"/>
      <w:sz w:val="22"/>
      <w:lang w:eastAsia="en-AU"/>
    </w:rPr>
  </w:style>
  <w:style w:type="paragraph" w:styleId="TOC6">
    <w:name w:val="toc 6"/>
    <w:basedOn w:val="Normal"/>
    <w:next w:val="Normal"/>
    <w:autoRedefine/>
    <w:uiPriority w:val="39"/>
    <w:unhideWhenUsed/>
    <w:rsid w:val="004437FF"/>
    <w:pPr>
      <w:spacing w:after="100" w:line="259" w:lineRule="auto"/>
      <w:ind w:left="1100"/>
    </w:pPr>
    <w:rPr>
      <w:rFonts w:asciiTheme="minorHAnsi" w:eastAsiaTheme="minorEastAsia" w:hAnsiTheme="minorHAnsi"/>
      <w:sz w:val="22"/>
      <w:lang w:eastAsia="en-AU"/>
    </w:rPr>
  </w:style>
  <w:style w:type="paragraph" w:styleId="TOC7">
    <w:name w:val="toc 7"/>
    <w:basedOn w:val="Normal"/>
    <w:next w:val="Normal"/>
    <w:autoRedefine/>
    <w:uiPriority w:val="39"/>
    <w:unhideWhenUsed/>
    <w:rsid w:val="004437FF"/>
    <w:pPr>
      <w:spacing w:after="100" w:line="259" w:lineRule="auto"/>
      <w:ind w:left="1320"/>
    </w:pPr>
    <w:rPr>
      <w:rFonts w:asciiTheme="minorHAnsi" w:eastAsiaTheme="minorEastAsia" w:hAnsiTheme="minorHAnsi"/>
      <w:sz w:val="22"/>
      <w:lang w:eastAsia="en-AU"/>
    </w:rPr>
  </w:style>
  <w:style w:type="paragraph" w:styleId="TOC8">
    <w:name w:val="toc 8"/>
    <w:basedOn w:val="Normal"/>
    <w:next w:val="Normal"/>
    <w:autoRedefine/>
    <w:uiPriority w:val="39"/>
    <w:unhideWhenUsed/>
    <w:rsid w:val="004437FF"/>
    <w:pPr>
      <w:spacing w:after="100" w:line="259" w:lineRule="auto"/>
      <w:ind w:left="1540"/>
    </w:pPr>
    <w:rPr>
      <w:rFonts w:asciiTheme="minorHAnsi" w:eastAsiaTheme="minorEastAsia" w:hAnsiTheme="minorHAnsi"/>
      <w:sz w:val="22"/>
      <w:lang w:eastAsia="en-AU"/>
    </w:rPr>
  </w:style>
  <w:style w:type="paragraph" w:styleId="TOC9">
    <w:name w:val="toc 9"/>
    <w:basedOn w:val="Normal"/>
    <w:next w:val="Normal"/>
    <w:autoRedefine/>
    <w:uiPriority w:val="39"/>
    <w:unhideWhenUsed/>
    <w:rsid w:val="004437FF"/>
    <w:pPr>
      <w:spacing w:after="100" w:line="259" w:lineRule="auto"/>
      <w:ind w:left="1760"/>
    </w:pPr>
    <w:rPr>
      <w:rFonts w:asciiTheme="minorHAnsi" w:eastAsiaTheme="minorEastAsia" w:hAnsiTheme="minorHAnsi"/>
      <w:sz w:val="22"/>
      <w:lang w:eastAsia="en-AU"/>
    </w:rPr>
  </w:style>
  <w:style w:type="paragraph" w:customStyle="1" w:styleId="Sectionheading">
    <w:name w:val="Section heading"/>
    <w:basedOn w:val="Normal"/>
    <w:link w:val="SectionheadingChar"/>
    <w:qFormat/>
    <w:rsid w:val="00EB5918"/>
    <w:pPr>
      <w:jc w:val="center"/>
    </w:pPr>
    <w:rPr>
      <w:rFonts w:ascii="Roboto Slab" w:hAnsi="Roboto Slab"/>
      <w:color w:val="408BCA"/>
      <w:sz w:val="40"/>
      <w:szCs w:val="40"/>
    </w:rPr>
  </w:style>
  <w:style w:type="character" w:customStyle="1" w:styleId="SectionheadingChar">
    <w:name w:val="Section heading Char"/>
    <w:basedOn w:val="DefaultParagraphFont"/>
    <w:link w:val="Sectionheading"/>
    <w:rsid w:val="00EB5918"/>
    <w:rPr>
      <w:rFonts w:ascii="Roboto Slab" w:hAnsi="Roboto Slab"/>
      <w:color w:val="408BCA"/>
      <w:sz w:val="40"/>
      <w:szCs w:val="40"/>
    </w:rPr>
  </w:style>
  <w:style w:type="character" w:customStyle="1" w:styleId="sytadelpagecell">
    <w:name w:val="sytadelpagecell"/>
    <w:basedOn w:val="DefaultParagraphFont"/>
    <w:rsid w:val="00EB5918"/>
  </w:style>
  <w:style w:type="character" w:customStyle="1" w:styleId="markedcontent">
    <w:name w:val="markedcontent"/>
    <w:basedOn w:val="DefaultParagraphFont"/>
    <w:rsid w:val="00EB5918"/>
  </w:style>
  <w:style w:type="paragraph" w:customStyle="1" w:styleId="Tableofcontents">
    <w:name w:val="Table of contents"/>
    <w:basedOn w:val="Normal"/>
    <w:link w:val="TableofcontentsChar"/>
    <w:rsid w:val="00EB5918"/>
    <w:rPr>
      <w:rFonts w:ascii="Roboto Slab" w:eastAsiaTheme="minorEastAsia" w:hAnsi="Roboto Slab"/>
      <w:color w:val="408BCA"/>
      <w:sz w:val="56"/>
      <w:szCs w:val="56"/>
      <w:lang w:val="fr-FR" w:eastAsia="en-AU"/>
    </w:rPr>
  </w:style>
  <w:style w:type="character" w:customStyle="1" w:styleId="TableofcontentsChar">
    <w:name w:val="Table of contents Char"/>
    <w:basedOn w:val="DefaultParagraphFont"/>
    <w:link w:val="Tableofcontents"/>
    <w:rsid w:val="00EB5918"/>
    <w:rPr>
      <w:rFonts w:ascii="Roboto Slab" w:eastAsiaTheme="minorEastAsia" w:hAnsi="Roboto Slab"/>
      <w:color w:val="408BCA"/>
      <w:sz w:val="56"/>
      <w:szCs w:val="56"/>
      <w:lang w:val="fr-FR" w:eastAsia="en-AU"/>
    </w:rPr>
  </w:style>
  <w:style w:type="paragraph" w:customStyle="1" w:styleId="Agendatitle">
    <w:name w:val="Agenda title"/>
    <w:basedOn w:val="Normal"/>
    <w:link w:val="AgendatitleChar"/>
    <w:rsid w:val="00EB5918"/>
    <w:pPr>
      <w:spacing w:after="0"/>
    </w:pPr>
    <w:rPr>
      <w:rFonts w:eastAsiaTheme="minorEastAsia"/>
      <w:b/>
      <w:bCs/>
      <w:color w:val="003D79"/>
      <w:sz w:val="28"/>
      <w:szCs w:val="32"/>
      <w:lang w:eastAsia="en-AU"/>
    </w:rPr>
  </w:style>
  <w:style w:type="character" w:customStyle="1" w:styleId="AgendatitleChar">
    <w:name w:val="Agenda title Char"/>
    <w:basedOn w:val="DefaultParagraphFont"/>
    <w:link w:val="Agendatitle"/>
    <w:rsid w:val="00EB5918"/>
    <w:rPr>
      <w:rFonts w:ascii="Muli" w:eastAsiaTheme="minorEastAsia" w:hAnsi="Muli"/>
      <w:b/>
      <w:bCs/>
      <w:color w:val="003D79"/>
      <w:sz w:val="28"/>
      <w:szCs w:val="32"/>
      <w:lang w:eastAsia="en-AU"/>
    </w:rPr>
  </w:style>
  <w:style w:type="paragraph" w:customStyle="1" w:styleId="Tablecaption">
    <w:name w:val="Table caption"/>
    <w:basedOn w:val="Normal"/>
    <w:link w:val="TablecaptionChar"/>
    <w:rsid w:val="00EB5918"/>
    <w:pPr>
      <w:spacing w:after="0"/>
      <w:jc w:val="center"/>
    </w:pPr>
    <w:rPr>
      <w:rFonts w:eastAsiaTheme="minorEastAsia"/>
      <w:b/>
      <w:bCs/>
      <w:lang w:eastAsia="en-AU"/>
    </w:rPr>
  </w:style>
  <w:style w:type="character" w:customStyle="1" w:styleId="TablecaptionChar">
    <w:name w:val="Table caption Char"/>
    <w:basedOn w:val="DefaultParagraphFont"/>
    <w:link w:val="Tablecaption"/>
    <w:rsid w:val="00EB5918"/>
    <w:rPr>
      <w:rFonts w:ascii="Muli" w:eastAsiaTheme="minorEastAsia" w:hAnsi="Muli"/>
      <w:b/>
      <w:bCs/>
      <w:sz w:val="20"/>
      <w:lang w:eastAsia="en-AU"/>
    </w:rPr>
  </w:style>
  <w:style w:type="paragraph" w:customStyle="1" w:styleId="Source">
    <w:name w:val="Source"/>
    <w:basedOn w:val="Normal"/>
    <w:link w:val="SourceChar"/>
    <w:qFormat/>
    <w:rsid w:val="00EB5918"/>
    <w:pPr>
      <w:jc w:val="center"/>
    </w:pPr>
    <w:rPr>
      <w:rFonts w:eastAsiaTheme="minorEastAsia"/>
      <w:bCs/>
      <w:i/>
      <w:sz w:val="16"/>
      <w:szCs w:val="16"/>
      <w:lang w:eastAsia="en-AU"/>
    </w:rPr>
  </w:style>
  <w:style w:type="character" w:customStyle="1" w:styleId="SourceChar">
    <w:name w:val="Source Char"/>
    <w:basedOn w:val="DefaultParagraphFont"/>
    <w:link w:val="Source"/>
    <w:rsid w:val="00EB5918"/>
    <w:rPr>
      <w:rFonts w:ascii="Muli" w:eastAsiaTheme="minorEastAsia" w:hAnsi="Muli"/>
      <w:bCs/>
      <w:i/>
      <w:sz w:val="16"/>
      <w:szCs w:val="16"/>
      <w:lang w:eastAsia="en-AU"/>
    </w:rPr>
  </w:style>
  <w:style w:type="paragraph" w:customStyle="1" w:styleId="Tableandfigurenotes">
    <w:name w:val="Table and figure notes"/>
    <w:basedOn w:val="Normal"/>
    <w:link w:val="TableandfigurenotesChar"/>
    <w:qFormat/>
    <w:rsid w:val="00EB5918"/>
    <w:rPr>
      <w:rFonts w:eastAsiaTheme="minorEastAsia"/>
      <w:i/>
      <w:sz w:val="16"/>
      <w:szCs w:val="16"/>
      <w:lang w:eastAsia="en-AU"/>
    </w:rPr>
  </w:style>
  <w:style w:type="character" w:customStyle="1" w:styleId="TableandfigurenotesChar">
    <w:name w:val="Table and figure notes Char"/>
    <w:basedOn w:val="DefaultParagraphFont"/>
    <w:link w:val="Tableandfigurenotes"/>
    <w:rsid w:val="00EB5918"/>
    <w:rPr>
      <w:rFonts w:ascii="Muli" w:eastAsiaTheme="minorEastAsia" w:hAnsi="Muli"/>
      <w:i/>
      <w:sz w:val="16"/>
      <w:szCs w:val="16"/>
      <w:lang w:eastAsia="en-AU"/>
    </w:rPr>
  </w:style>
  <w:style w:type="paragraph" w:customStyle="1" w:styleId="Figurecaption">
    <w:name w:val="Figure caption"/>
    <w:basedOn w:val="Normal"/>
    <w:link w:val="FigurecaptionChar"/>
    <w:rsid w:val="00EB5918"/>
    <w:pPr>
      <w:jc w:val="center"/>
    </w:pPr>
    <w:rPr>
      <w:rFonts w:eastAsiaTheme="minorEastAsia"/>
      <w:b/>
      <w:szCs w:val="20"/>
      <w:lang w:eastAsia="en-AU"/>
    </w:rPr>
  </w:style>
  <w:style w:type="character" w:customStyle="1" w:styleId="FigurecaptionChar">
    <w:name w:val="Figure caption Char"/>
    <w:basedOn w:val="DefaultParagraphFont"/>
    <w:link w:val="Figurecaption"/>
    <w:rsid w:val="00EB5918"/>
    <w:rPr>
      <w:rFonts w:ascii="Muli" w:eastAsiaTheme="minorEastAsia" w:hAnsi="Muli"/>
      <w:b/>
      <w:sz w:val="20"/>
      <w:szCs w:val="20"/>
      <w:lang w:eastAsia="en-AU"/>
    </w:rPr>
  </w:style>
  <w:style w:type="paragraph" w:customStyle="1" w:styleId="TableorFigurecaptionHPA">
    <w:name w:val="Table or Figure caption_HPA"/>
    <w:basedOn w:val="Caption"/>
    <w:link w:val="TableorFigurecaptionHPAChar"/>
    <w:qFormat/>
    <w:rsid w:val="00EB5918"/>
    <w:pPr>
      <w:spacing w:after="60"/>
      <w:jc w:val="center"/>
    </w:pPr>
    <w:rPr>
      <w:rFonts w:eastAsiaTheme="minorEastAsia"/>
      <w:i w:val="0"/>
      <w:iCs w:val="0"/>
      <w:color w:val="1D2455"/>
      <w:sz w:val="20"/>
      <w:szCs w:val="20"/>
      <w:lang w:eastAsia="en-AU"/>
    </w:rPr>
  </w:style>
  <w:style w:type="character" w:customStyle="1" w:styleId="TableorFigurecaptionHPAChar">
    <w:name w:val="Table or Figure caption_HPA Char"/>
    <w:basedOn w:val="DefaultParagraphFont"/>
    <w:link w:val="TableorFigurecaptionHPA"/>
    <w:rsid w:val="00EB5918"/>
    <w:rPr>
      <w:rFonts w:ascii="Muli" w:eastAsiaTheme="minorEastAsia" w:hAnsi="Muli"/>
      <w:color w:val="1D2455"/>
      <w:sz w:val="20"/>
      <w:szCs w:val="20"/>
      <w:lang w:eastAsia="en-AU"/>
    </w:rPr>
  </w:style>
  <w:style w:type="character" w:styleId="Strong">
    <w:name w:val="Strong"/>
    <w:aliases w:val="*Bold,Bold"/>
    <w:basedOn w:val="DefaultParagraphFont"/>
    <w:uiPriority w:val="22"/>
    <w:qFormat/>
    <w:rsid w:val="00EB5918"/>
    <w:rPr>
      <w:b/>
      <w:bCs/>
    </w:rPr>
  </w:style>
  <w:style w:type="table" w:customStyle="1" w:styleId="TFBlank">
    <w:name w:val="TF_Blank"/>
    <w:basedOn w:val="TableNormal"/>
    <w:uiPriority w:val="99"/>
    <w:rsid w:val="00EB5918"/>
    <w:pPr>
      <w:numPr>
        <w:ilvl w:val="2"/>
        <w:numId w:val="54"/>
      </w:numPr>
      <w:spacing w:after="0" w:line="240" w:lineRule="auto"/>
    </w:pPr>
    <w:tblPr/>
  </w:style>
  <w:style w:type="paragraph" w:customStyle="1" w:styleId="CVName">
    <w:name w:val="CV_Name"/>
    <w:basedOn w:val="Normal"/>
    <w:qFormat/>
    <w:rsid w:val="00EB5918"/>
    <w:pPr>
      <w:spacing w:before="120" w:after="0"/>
    </w:pPr>
    <w:rPr>
      <w:rFonts w:asciiTheme="minorHAnsi" w:hAnsiTheme="minorHAnsi"/>
      <w:b/>
      <w:bCs/>
      <w:color w:val="4472C4" w:themeColor="accent1"/>
      <w:sz w:val="32"/>
      <w:szCs w:val="36"/>
      <w:lang w:val="en-GB"/>
    </w:rPr>
  </w:style>
  <w:style w:type="paragraph" w:customStyle="1" w:styleId="CVTitle">
    <w:name w:val="CV_Title"/>
    <w:basedOn w:val="Normal"/>
    <w:qFormat/>
    <w:rsid w:val="00EB5918"/>
    <w:pPr>
      <w:spacing w:before="120"/>
    </w:pPr>
    <w:rPr>
      <w:rFonts w:asciiTheme="minorHAnsi" w:hAnsiTheme="minorHAnsi"/>
      <w:color w:val="4472C4" w:themeColor="accent1"/>
      <w:sz w:val="32"/>
      <w:szCs w:val="28"/>
      <w:lang w:val="en-GB"/>
    </w:rPr>
  </w:style>
  <w:style w:type="paragraph" w:customStyle="1" w:styleId="Style13">
    <w:name w:val="Style13"/>
    <w:basedOn w:val="Heading1"/>
    <w:link w:val="Style13Char"/>
    <w:rsid w:val="00EB5918"/>
    <w:pPr>
      <w:keepNext w:val="0"/>
      <w:keepLines w:val="0"/>
      <w:spacing w:line="140" w:lineRule="atLeast"/>
      <w:contextualSpacing/>
    </w:pPr>
    <w:rPr>
      <w:rFonts w:ascii="Tahoma" w:eastAsiaTheme="minorEastAsia" w:hAnsi="Tahoma" w:cs="Tahoma"/>
      <w:b/>
      <w:bCs w:val="0"/>
      <w:color w:val="2F5496" w:themeColor="accent1" w:themeShade="BF"/>
      <w:sz w:val="24"/>
      <w:szCs w:val="24"/>
      <w:lang w:val="en-GB" w:eastAsia="ja-JP"/>
    </w:rPr>
  </w:style>
  <w:style w:type="character" w:customStyle="1" w:styleId="Style13Char">
    <w:name w:val="Style13 Char"/>
    <w:basedOn w:val="Heading1Char"/>
    <w:link w:val="Style13"/>
    <w:rsid w:val="00EB5918"/>
    <w:rPr>
      <w:rFonts w:ascii="Tahoma" w:eastAsiaTheme="minorEastAsia" w:hAnsi="Tahoma" w:cs="Tahoma"/>
      <w:b/>
      <w:bCs w:val="0"/>
      <w:color w:val="2F5496" w:themeColor="accent1" w:themeShade="BF"/>
      <w:sz w:val="24"/>
      <w:szCs w:val="24"/>
      <w:lang w:val="en-GB" w:eastAsia="ja-JP"/>
    </w:rPr>
  </w:style>
  <w:style w:type="paragraph" w:customStyle="1" w:styleId="NNheading4">
    <w:name w:val="NN heading 4"/>
    <w:basedOn w:val="Heading4"/>
    <w:next w:val="Normal"/>
    <w:qFormat/>
    <w:rsid w:val="00EB5918"/>
    <w:pPr>
      <w:spacing w:before="300" w:after="120"/>
    </w:pPr>
    <w:rPr>
      <w:rFonts w:asciiTheme="majorHAnsi" w:hAnsiTheme="majorHAnsi"/>
      <w:iCs w:val="0"/>
      <w:color w:val="4472C4" w:themeColor="accent1"/>
      <w:sz w:val="21"/>
      <w:lang w:val="en-GB"/>
    </w:rPr>
  </w:style>
  <w:style w:type="paragraph" w:customStyle="1" w:styleId="Bullet1">
    <w:name w:val="Bullet 1"/>
    <w:basedOn w:val="Normal"/>
    <w:next w:val="Normal"/>
    <w:qFormat/>
    <w:rsid w:val="00EB5918"/>
    <w:pPr>
      <w:numPr>
        <w:numId w:val="53"/>
      </w:numPr>
      <w:tabs>
        <w:tab w:val="num" w:pos="360"/>
      </w:tabs>
      <w:spacing w:before="120" w:after="120"/>
    </w:pPr>
    <w:rPr>
      <w:rFonts w:asciiTheme="minorHAnsi" w:hAnsiTheme="minorHAnsi"/>
      <w:sz w:val="21"/>
      <w:lang w:val="en-GB"/>
    </w:rPr>
  </w:style>
  <w:style w:type="paragraph" w:customStyle="1" w:styleId="Bullet2">
    <w:name w:val="Bullet 2"/>
    <w:basedOn w:val="Normal"/>
    <w:next w:val="Normal"/>
    <w:qFormat/>
    <w:rsid w:val="00EB5918"/>
    <w:pPr>
      <w:numPr>
        <w:ilvl w:val="1"/>
        <w:numId w:val="53"/>
      </w:numPr>
      <w:tabs>
        <w:tab w:val="num" w:pos="360"/>
      </w:tabs>
      <w:spacing w:before="120" w:after="120"/>
    </w:pPr>
    <w:rPr>
      <w:rFonts w:asciiTheme="minorHAnsi" w:hAnsiTheme="minorHAnsi"/>
      <w:sz w:val="21"/>
    </w:rPr>
  </w:style>
  <w:style w:type="paragraph" w:customStyle="1" w:styleId="Bullet3">
    <w:name w:val="Bullet 3"/>
    <w:basedOn w:val="Bullet2"/>
    <w:next w:val="Normal"/>
    <w:qFormat/>
    <w:rsid w:val="00EB5918"/>
    <w:pPr>
      <w:numPr>
        <w:ilvl w:val="2"/>
      </w:numPr>
      <w:tabs>
        <w:tab w:val="num" w:pos="360"/>
      </w:tabs>
    </w:pPr>
  </w:style>
  <w:style w:type="table" w:styleId="TableGridLight">
    <w:name w:val="Grid Table Light"/>
    <w:basedOn w:val="TableNormal"/>
    <w:uiPriority w:val="40"/>
    <w:rsid w:val="00EB591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Chapternumber0">
    <w:name w:val="Chapter number"/>
    <w:basedOn w:val="Normal"/>
    <w:link w:val="ChapternumberChar0"/>
    <w:qFormat/>
    <w:rsid w:val="00EB5918"/>
    <w:pPr>
      <w:jc w:val="right"/>
    </w:pPr>
    <w:rPr>
      <w:rFonts w:ascii="Roboto Slab" w:eastAsiaTheme="minorEastAsia" w:hAnsi="Roboto Slab"/>
      <w:color w:val="408BCA"/>
      <w:sz w:val="96"/>
      <w:szCs w:val="96"/>
      <w:lang w:eastAsia="en-AU"/>
    </w:rPr>
  </w:style>
  <w:style w:type="character" w:customStyle="1" w:styleId="ChapternumberChar0">
    <w:name w:val="Chapter number Char"/>
    <w:basedOn w:val="DefaultParagraphFont"/>
    <w:link w:val="Chapternumber0"/>
    <w:rsid w:val="00EB5918"/>
    <w:rPr>
      <w:rFonts w:ascii="Roboto Slab" w:eastAsiaTheme="minorEastAsia" w:hAnsi="Roboto Slab"/>
      <w:color w:val="408BCA"/>
      <w:sz w:val="96"/>
      <w:szCs w:val="96"/>
      <w:lang w:eastAsia="en-AU"/>
    </w:rPr>
  </w:style>
  <w:style w:type="paragraph" w:customStyle="1" w:styleId="Emphasistext">
    <w:name w:val="Emphasis text"/>
    <w:basedOn w:val="Normal"/>
    <w:link w:val="EmphasistextChar"/>
    <w:qFormat/>
    <w:rsid w:val="00EB5918"/>
    <w:rPr>
      <w:rFonts w:eastAsiaTheme="majorEastAsia" w:cstheme="majorBidi"/>
      <w:color w:val="748494"/>
      <w:sz w:val="28"/>
      <w:szCs w:val="26"/>
    </w:rPr>
  </w:style>
  <w:style w:type="character" w:customStyle="1" w:styleId="EmphasistextChar">
    <w:name w:val="Emphasis text Char"/>
    <w:basedOn w:val="DefaultParagraphFont"/>
    <w:link w:val="Emphasistext"/>
    <w:rsid w:val="00EB5918"/>
    <w:rPr>
      <w:rFonts w:ascii="Muli" w:eastAsiaTheme="majorEastAsia" w:hAnsi="Muli" w:cstheme="majorBidi"/>
      <w:color w:val="748494"/>
      <w:sz w:val="28"/>
      <w:szCs w:val="26"/>
    </w:rPr>
  </w:style>
  <w:style w:type="table" w:customStyle="1" w:styleId="Textbox">
    <w:name w:val="Text box"/>
    <w:basedOn w:val="TableNormal"/>
    <w:uiPriority w:val="99"/>
    <w:rsid w:val="00EB5918"/>
    <w:pPr>
      <w:spacing w:after="200" w:line="240" w:lineRule="auto"/>
    </w:pPr>
    <w:rPr>
      <w:rFonts w:ascii="Muli" w:hAnsi="Muli"/>
      <w:sz w:val="18"/>
    </w:rPr>
    <w:tblPr>
      <w:tblBorders>
        <w:top w:val="single" w:sz="8" w:space="0" w:color="408BCA"/>
        <w:left w:val="single" w:sz="8" w:space="0" w:color="408BCA"/>
        <w:bottom w:val="single" w:sz="8" w:space="0" w:color="408BCA"/>
        <w:right w:val="single" w:sz="8" w:space="0" w:color="408BCA"/>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593802">
      <w:bodyDiv w:val="1"/>
      <w:marLeft w:val="0"/>
      <w:marRight w:val="0"/>
      <w:marTop w:val="0"/>
      <w:marBottom w:val="0"/>
      <w:divBdr>
        <w:top w:val="none" w:sz="0" w:space="0" w:color="auto"/>
        <w:left w:val="none" w:sz="0" w:space="0" w:color="auto"/>
        <w:bottom w:val="none" w:sz="0" w:space="0" w:color="auto"/>
        <w:right w:val="none" w:sz="0" w:space="0" w:color="auto"/>
      </w:divBdr>
    </w:div>
    <w:div w:id="109328244">
      <w:bodyDiv w:val="1"/>
      <w:marLeft w:val="0"/>
      <w:marRight w:val="0"/>
      <w:marTop w:val="0"/>
      <w:marBottom w:val="0"/>
      <w:divBdr>
        <w:top w:val="none" w:sz="0" w:space="0" w:color="auto"/>
        <w:left w:val="none" w:sz="0" w:space="0" w:color="auto"/>
        <w:bottom w:val="none" w:sz="0" w:space="0" w:color="auto"/>
        <w:right w:val="none" w:sz="0" w:space="0" w:color="auto"/>
      </w:divBdr>
    </w:div>
    <w:div w:id="150565704">
      <w:bodyDiv w:val="1"/>
      <w:marLeft w:val="0"/>
      <w:marRight w:val="0"/>
      <w:marTop w:val="0"/>
      <w:marBottom w:val="0"/>
      <w:divBdr>
        <w:top w:val="none" w:sz="0" w:space="0" w:color="auto"/>
        <w:left w:val="none" w:sz="0" w:space="0" w:color="auto"/>
        <w:bottom w:val="none" w:sz="0" w:space="0" w:color="auto"/>
        <w:right w:val="none" w:sz="0" w:space="0" w:color="auto"/>
      </w:divBdr>
    </w:div>
    <w:div w:id="180822369">
      <w:bodyDiv w:val="1"/>
      <w:marLeft w:val="0"/>
      <w:marRight w:val="0"/>
      <w:marTop w:val="0"/>
      <w:marBottom w:val="0"/>
      <w:divBdr>
        <w:top w:val="none" w:sz="0" w:space="0" w:color="auto"/>
        <w:left w:val="none" w:sz="0" w:space="0" w:color="auto"/>
        <w:bottom w:val="none" w:sz="0" w:space="0" w:color="auto"/>
        <w:right w:val="none" w:sz="0" w:space="0" w:color="auto"/>
      </w:divBdr>
    </w:div>
    <w:div w:id="218246472">
      <w:bodyDiv w:val="1"/>
      <w:marLeft w:val="0"/>
      <w:marRight w:val="0"/>
      <w:marTop w:val="0"/>
      <w:marBottom w:val="0"/>
      <w:divBdr>
        <w:top w:val="none" w:sz="0" w:space="0" w:color="auto"/>
        <w:left w:val="none" w:sz="0" w:space="0" w:color="auto"/>
        <w:bottom w:val="none" w:sz="0" w:space="0" w:color="auto"/>
        <w:right w:val="none" w:sz="0" w:space="0" w:color="auto"/>
      </w:divBdr>
    </w:div>
    <w:div w:id="254367342">
      <w:bodyDiv w:val="1"/>
      <w:marLeft w:val="0"/>
      <w:marRight w:val="0"/>
      <w:marTop w:val="0"/>
      <w:marBottom w:val="0"/>
      <w:divBdr>
        <w:top w:val="none" w:sz="0" w:space="0" w:color="auto"/>
        <w:left w:val="none" w:sz="0" w:space="0" w:color="auto"/>
        <w:bottom w:val="none" w:sz="0" w:space="0" w:color="auto"/>
        <w:right w:val="none" w:sz="0" w:space="0" w:color="auto"/>
      </w:divBdr>
    </w:div>
    <w:div w:id="259263436">
      <w:bodyDiv w:val="1"/>
      <w:marLeft w:val="0"/>
      <w:marRight w:val="0"/>
      <w:marTop w:val="0"/>
      <w:marBottom w:val="0"/>
      <w:divBdr>
        <w:top w:val="none" w:sz="0" w:space="0" w:color="auto"/>
        <w:left w:val="none" w:sz="0" w:space="0" w:color="auto"/>
        <w:bottom w:val="none" w:sz="0" w:space="0" w:color="auto"/>
        <w:right w:val="none" w:sz="0" w:space="0" w:color="auto"/>
      </w:divBdr>
    </w:div>
    <w:div w:id="385491929">
      <w:bodyDiv w:val="1"/>
      <w:marLeft w:val="0"/>
      <w:marRight w:val="0"/>
      <w:marTop w:val="0"/>
      <w:marBottom w:val="0"/>
      <w:divBdr>
        <w:top w:val="none" w:sz="0" w:space="0" w:color="auto"/>
        <w:left w:val="none" w:sz="0" w:space="0" w:color="auto"/>
        <w:bottom w:val="none" w:sz="0" w:space="0" w:color="auto"/>
        <w:right w:val="none" w:sz="0" w:space="0" w:color="auto"/>
      </w:divBdr>
    </w:div>
    <w:div w:id="534272787">
      <w:bodyDiv w:val="1"/>
      <w:marLeft w:val="0"/>
      <w:marRight w:val="0"/>
      <w:marTop w:val="0"/>
      <w:marBottom w:val="0"/>
      <w:divBdr>
        <w:top w:val="none" w:sz="0" w:space="0" w:color="auto"/>
        <w:left w:val="none" w:sz="0" w:space="0" w:color="auto"/>
        <w:bottom w:val="none" w:sz="0" w:space="0" w:color="auto"/>
        <w:right w:val="none" w:sz="0" w:space="0" w:color="auto"/>
      </w:divBdr>
    </w:div>
    <w:div w:id="552230886">
      <w:bodyDiv w:val="1"/>
      <w:marLeft w:val="0"/>
      <w:marRight w:val="0"/>
      <w:marTop w:val="0"/>
      <w:marBottom w:val="0"/>
      <w:divBdr>
        <w:top w:val="none" w:sz="0" w:space="0" w:color="auto"/>
        <w:left w:val="none" w:sz="0" w:space="0" w:color="auto"/>
        <w:bottom w:val="none" w:sz="0" w:space="0" w:color="auto"/>
        <w:right w:val="none" w:sz="0" w:space="0" w:color="auto"/>
      </w:divBdr>
    </w:div>
    <w:div w:id="677318334">
      <w:bodyDiv w:val="1"/>
      <w:marLeft w:val="0"/>
      <w:marRight w:val="0"/>
      <w:marTop w:val="0"/>
      <w:marBottom w:val="0"/>
      <w:divBdr>
        <w:top w:val="none" w:sz="0" w:space="0" w:color="auto"/>
        <w:left w:val="none" w:sz="0" w:space="0" w:color="auto"/>
        <w:bottom w:val="none" w:sz="0" w:space="0" w:color="auto"/>
        <w:right w:val="none" w:sz="0" w:space="0" w:color="auto"/>
      </w:divBdr>
    </w:div>
    <w:div w:id="888420289">
      <w:bodyDiv w:val="1"/>
      <w:marLeft w:val="0"/>
      <w:marRight w:val="0"/>
      <w:marTop w:val="0"/>
      <w:marBottom w:val="0"/>
      <w:divBdr>
        <w:top w:val="none" w:sz="0" w:space="0" w:color="auto"/>
        <w:left w:val="none" w:sz="0" w:space="0" w:color="auto"/>
        <w:bottom w:val="none" w:sz="0" w:space="0" w:color="auto"/>
        <w:right w:val="none" w:sz="0" w:space="0" w:color="auto"/>
      </w:divBdr>
    </w:div>
    <w:div w:id="959993529">
      <w:bodyDiv w:val="1"/>
      <w:marLeft w:val="0"/>
      <w:marRight w:val="0"/>
      <w:marTop w:val="0"/>
      <w:marBottom w:val="0"/>
      <w:divBdr>
        <w:top w:val="none" w:sz="0" w:space="0" w:color="auto"/>
        <w:left w:val="none" w:sz="0" w:space="0" w:color="auto"/>
        <w:bottom w:val="none" w:sz="0" w:space="0" w:color="auto"/>
        <w:right w:val="none" w:sz="0" w:space="0" w:color="auto"/>
      </w:divBdr>
    </w:div>
    <w:div w:id="982271553">
      <w:bodyDiv w:val="1"/>
      <w:marLeft w:val="0"/>
      <w:marRight w:val="0"/>
      <w:marTop w:val="0"/>
      <w:marBottom w:val="0"/>
      <w:divBdr>
        <w:top w:val="none" w:sz="0" w:space="0" w:color="auto"/>
        <w:left w:val="none" w:sz="0" w:space="0" w:color="auto"/>
        <w:bottom w:val="none" w:sz="0" w:space="0" w:color="auto"/>
        <w:right w:val="none" w:sz="0" w:space="0" w:color="auto"/>
      </w:divBdr>
    </w:div>
    <w:div w:id="1135758248">
      <w:bodyDiv w:val="1"/>
      <w:marLeft w:val="0"/>
      <w:marRight w:val="0"/>
      <w:marTop w:val="0"/>
      <w:marBottom w:val="0"/>
      <w:divBdr>
        <w:top w:val="none" w:sz="0" w:space="0" w:color="auto"/>
        <w:left w:val="none" w:sz="0" w:space="0" w:color="auto"/>
        <w:bottom w:val="none" w:sz="0" w:space="0" w:color="auto"/>
        <w:right w:val="none" w:sz="0" w:space="0" w:color="auto"/>
      </w:divBdr>
    </w:div>
    <w:div w:id="1147556556">
      <w:bodyDiv w:val="1"/>
      <w:marLeft w:val="0"/>
      <w:marRight w:val="0"/>
      <w:marTop w:val="0"/>
      <w:marBottom w:val="0"/>
      <w:divBdr>
        <w:top w:val="none" w:sz="0" w:space="0" w:color="auto"/>
        <w:left w:val="none" w:sz="0" w:space="0" w:color="auto"/>
        <w:bottom w:val="none" w:sz="0" w:space="0" w:color="auto"/>
        <w:right w:val="none" w:sz="0" w:space="0" w:color="auto"/>
      </w:divBdr>
    </w:div>
    <w:div w:id="1222474346">
      <w:bodyDiv w:val="1"/>
      <w:marLeft w:val="0"/>
      <w:marRight w:val="0"/>
      <w:marTop w:val="0"/>
      <w:marBottom w:val="0"/>
      <w:divBdr>
        <w:top w:val="none" w:sz="0" w:space="0" w:color="auto"/>
        <w:left w:val="none" w:sz="0" w:space="0" w:color="auto"/>
        <w:bottom w:val="none" w:sz="0" w:space="0" w:color="auto"/>
        <w:right w:val="none" w:sz="0" w:space="0" w:color="auto"/>
      </w:divBdr>
    </w:div>
    <w:div w:id="1339040304">
      <w:bodyDiv w:val="1"/>
      <w:marLeft w:val="0"/>
      <w:marRight w:val="0"/>
      <w:marTop w:val="0"/>
      <w:marBottom w:val="0"/>
      <w:divBdr>
        <w:top w:val="none" w:sz="0" w:space="0" w:color="auto"/>
        <w:left w:val="none" w:sz="0" w:space="0" w:color="auto"/>
        <w:bottom w:val="none" w:sz="0" w:space="0" w:color="auto"/>
        <w:right w:val="none" w:sz="0" w:space="0" w:color="auto"/>
      </w:divBdr>
    </w:div>
    <w:div w:id="1420828208">
      <w:bodyDiv w:val="1"/>
      <w:marLeft w:val="0"/>
      <w:marRight w:val="0"/>
      <w:marTop w:val="0"/>
      <w:marBottom w:val="0"/>
      <w:divBdr>
        <w:top w:val="none" w:sz="0" w:space="0" w:color="auto"/>
        <w:left w:val="none" w:sz="0" w:space="0" w:color="auto"/>
        <w:bottom w:val="none" w:sz="0" w:space="0" w:color="auto"/>
        <w:right w:val="none" w:sz="0" w:space="0" w:color="auto"/>
      </w:divBdr>
    </w:div>
    <w:div w:id="1420831973">
      <w:bodyDiv w:val="1"/>
      <w:marLeft w:val="0"/>
      <w:marRight w:val="0"/>
      <w:marTop w:val="0"/>
      <w:marBottom w:val="0"/>
      <w:divBdr>
        <w:top w:val="none" w:sz="0" w:space="0" w:color="auto"/>
        <w:left w:val="none" w:sz="0" w:space="0" w:color="auto"/>
        <w:bottom w:val="none" w:sz="0" w:space="0" w:color="auto"/>
        <w:right w:val="none" w:sz="0" w:space="0" w:color="auto"/>
      </w:divBdr>
    </w:div>
    <w:div w:id="1548565602">
      <w:bodyDiv w:val="1"/>
      <w:marLeft w:val="0"/>
      <w:marRight w:val="0"/>
      <w:marTop w:val="0"/>
      <w:marBottom w:val="0"/>
      <w:divBdr>
        <w:top w:val="none" w:sz="0" w:space="0" w:color="auto"/>
        <w:left w:val="none" w:sz="0" w:space="0" w:color="auto"/>
        <w:bottom w:val="none" w:sz="0" w:space="0" w:color="auto"/>
        <w:right w:val="none" w:sz="0" w:space="0" w:color="auto"/>
      </w:divBdr>
    </w:div>
    <w:div w:id="1560097381">
      <w:bodyDiv w:val="1"/>
      <w:marLeft w:val="0"/>
      <w:marRight w:val="0"/>
      <w:marTop w:val="0"/>
      <w:marBottom w:val="0"/>
      <w:divBdr>
        <w:top w:val="none" w:sz="0" w:space="0" w:color="auto"/>
        <w:left w:val="none" w:sz="0" w:space="0" w:color="auto"/>
        <w:bottom w:val="none" w:sz="0" w:space="0" w:color="auto"/>
        <w:right w:val="none" w:sz="0" w:space="0" w:color="auto"/>
      </w:divBdr>
    </w:div>
    <w:div w:id="1647587052">
      <w:bodyDiv w:val="1"/>
      <w:marLeft w:val="0"/>
      <w:marRight w:val="0"/>
      <w:marTop w:val="0"/>
      <w:marBottom w:val="0"/>
      <w:divBdr>
        <w:top w:val="none" w:sz="0" w:space="0" w:color="auto"/>
        <w:left w:val="none" w:sz="0" w:space="0" w:color="auto"/>
        <w:bottom w:val="none" w:sz="0" w:space="0" w:color="auto"/>
        <w:right w:val="none" w:sz="0" w:space="0" w:color="auto"/>
      </w:divBdr>
    </w:div>
    <w:div w:id="1717508648">
      <w:bodyDiv w:val="1"/>
      <w:marLeft w:val="0"/>
      <w:marRight w:val="0"/>
      <w:marTop w:val="0"/>
      <w:marBottom w:val="0"/>
      <w:divBdr>
        <w:top w:val="none" w:sz="0" w:space="0" w:color="auto"/>
        <w:left w:val="none" w:sz="0" w:space="0" w:color="auto"/>
        <w:bottom w:val="none" w:sz="0" w:space="0" w:color="auto"/>
        <w:right w:val="none" w:sz="0" w:space="0" w:color="auto"/>
      </w:divBdr>
    </w:div>
    <w:div w:id="1789081839">
      <w:bodyDiv w:val="1"/>
      <w:marLeft w:val="0"/>
      <w:marRight w:val="0"/>
      <w:marTop w:val="0"/>
      <w:marBottom w:val="0"/>
      <w:divBdr>
        <w:top w:val="none" w:sz="0" w:space="0" w:color="auto"/>
        <w:left w:val="none" w:sz="0" w:space="0" w:color="auto"/>
        <w:bottom w:val="none" w:sz="0" w:space="0" w:color="auto"/>
        <w:right w:val="none" w:sz="0" w:space="0" w:color="auto"/>
      </w:divBdr>
    </w:div>
    <w:div w:id="1818183303">
      <w:bodyDiv w:val="1"/>
      <w:marLeft w:val="0"/>
      <w:marRight w:val="0"/>
      <w:marTop w:val="0"/>
      <w:marBottom w:val="0"/>
      <w:divBdr>
        <w:top w:val="none" w:sz="0" w:space="0" w:color="auto"/>
        <w:left w:val="none" w:sz="0" w:space="0" w:color="auto"/>
        <w:bottom w:val="none" w:sz="0" w:space="0" w:color="auto"/>
        <w:right w:val="none" w:sz="0" w:space="0" w:color="auto"/>
      </w:divBdr>
    </w:div>
    <w:div w:id="1847476825">
      <w:bodyDiv w:val="1"/>
      <w:marLeft w:val="0"/>
      <w:marRight w:val="0"/>
      <w:marTop w:val="0"/>
      <w:marBottom w:val="0"/>
      <w:divBdr>
        <w:top w:val="none" w:sz="0" w:space="0" w:color="auto"/>
        <w:left w:val="none" w:sz="0" w:space="0" w:color="auto"/>
        <w:bottom w:val="none" w:sz="0" w:space="0" w:color="auto"/>
        <w:right w:val="none" w:sz="0" w:space="0" w:color="auto"/>
      </w:divBdr>
    </w:div>
    <w:div w:id="1884168081">
      <w:bodyDiv w:val="1"/>
      <w:marLeft w:val="0"/>
      <w:marRight w:val="0"/>
      <w:marTop w:val="0"/>
      <w:marBottom w:val="0"/>
      <w:divBdr>
        <w:top w:val="none" w:sz="0" w:space="0" w:color="auto"/>
        <w:left w:val="none" w:sz="0" w:space="0" w:color="auto"/>
        <w:bottom w:val="none" w:sz="0" w:space="0" w:color="auto"/>
        <w:right w:val="none" w:sz="0" w:space="0" w:color="auto"/>
      </w:divBdr>
    </w:div>
    <w:div w:id="2004771533">
      <w:bodyDiv w:val="1"/>
      <w:marLeft w:val="0"/>
      <w:marRight w:val="0"/>
      <w:marTop w:val="0"/>
      <w:marBottom w:val="0"/>
      <w:divBdr>
        <w:top w:val="none" w:sz="0" w:space="0" w:color="auto"/>
        <w:left w:val="none" w:sz="0" w:space="0" w:color="auto"/>
        <w:bottom w:val="none" w:sz="0" w:space="0" w:color="auto"/>
        <w:right w:val="none" w:sz="0" w:space="0" w:color="auto"/>
      </w:divBdr>
    </w:div>
    <w:div w:id="2106487522">
      <w:bodyDiv w:val="1"/>
      <w:marLeft w:val="0"/>
      <w:marRight w:val="0"/>
      <w:marTop w:val="0"/>
      <w:marBottom w:val="0"/>
      <w:divBdr>
        <w:top w:val="none" w:sz="0" w:space="0" w:color="auto"/>
        <w:left w:val="none" w:sz="0" w:space="0" w:color="auto"/>
        <w:bottom w:val="none" w:sz="0" w:space="0" w:color="auto"/>
        <w:right w:val="none" w:sz="0" w:space="0" w:color="auto"/>
      </w:divBdr>
    </w:div>
    <w:div w:id="2121365339">
      <w:bodyDiv w:val="1"/>
      <w:marLeft w:val="0"/>
      <w:marRight w:val="0"/>
      <w:marTop w:val="0"/>
      <w:marBottom w:val="0"/>
      <w:divBdr>
        <w:top w:val="none" w:sz="0" w:space="0" w:color="auto"/>
        <w:left w:val="none" w:sz="0" w:space="0" w:color="auto"/>
        <w:bottom w:val="none" w:sz="0" w:space="0" w:color="auto"/>
        <w:right w:val="none" w:sz="0" w:space="0" w:color="auto"/>
      </w:divBdr>
    </w:div>
    <w:div w:id="214053750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image" Target="media/image89.png"/><Relationship Id="rId21" Type="http://schemas.openxmlformats.org/officeDocument/2006/relationships/image" Target="media/image7.png"/><Relationship Id="rId42" Type="http://schemas.openxmlformats.org/officeDocument/2006/relationships/image" Target="media/image23.png"/><Relationship Id="rId47" Type="http://schemas.openxmlformats.org/officeDocument/2006/relationships/footer" Target="footer6.xml"/><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5.png"/><Relationship Id="rId133" Type="http://schemas.openxmlformats.org/officeDocument/2006/relationships/hyperlink" Target="https://meteor.aihw.gov.au/content/index.phtml/itemId/698954" TargetMode="External"/><Relationship Id="rId138" Type="http://schemas.openxmlformats.org/officeDocument/2006/relationships/hyperlink" Target="https://www1.health.gov.au/internet/main/publishing.nsf/Content/Evaluation-of-the-Health-Care-Homes-Program" TargetMode="External"/><Relationship Id="rId16" Type="http://schemas.openxmlformats.org/officeDocument/2006/relationships/header" Target="header4.xml"/><Relationship Id="rId107" Type="http://schemas.openxmlformats.org/officeDocument/2006/relationships/image" Target="media/image82.png"/><Relationship Id="rId11" Type="http://schemas.openxmlformats.org/officeDocument/2006/relationships/image" Target="media/image4.png"/><Relationship Id="rId32" Type="http://schemas.openxmlformats.org/officeDocument/2006/relationships/image" Target="media/image15.png"/><Relationship Id="rId37" Type="http://schemas.openxmlformats.org/officeDocument/2006/relationships/image" Target="media/image18.png"/><Relationship Id="rId53" Type="http://schemas.openxmlformats.org/officeDocument/2006/relationships/image" Target="media/image32.png"/><Relationship Id="rId58" Type="http://schemas.openxmlformats.org/officeDocument/2006/relationships/image" Target="media/image36.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7.png"/><Relationship Id="rId123" Type="http://schemas.openxmlformats.org/officeDocument/2006/relationships/hyperlink" Target="http://www.health.gov.au/internet/main/publishing.nsf/Content/health-care-homes" TargetMode="External"/><Relationship Id="rId128" Type="http://schemas.openxmlformats.org/officeDocument/2006/relationships/hyperlink" Target="https://www1.health.gov.au/internet/main/publishing.nsf/Content/health-care-homes-more-information" TargetMode="External"/><Relationship Id="rId144" Type="http://schemas.openxmlformats.org/officeDocument/2006/relationships/hyperlink" Target="https://www.psa.org.au/community-pharmacy-in-health-care-homes-trial-program-training-modules-now-available/" TargetMode="External"/><Relationship Id="rId149" Type="http://schemas.openxmlformats.org/officeDocument/2006/relationships/hyperlink" Target="https://adma.org.au/download/western-harp-risk-calculator/" TargetMode="External"/><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image" Target="media/image8.png"/><Relationship Id="rId27" Type="http://schemas.openxmlformats.org/officeDocument/2006/relationships/header" Target="header6.xml"/><Relationship Id="rId43" Type="http://schemas.openxmlformats.org/officeDocument/2006/relationships/image" Target="media/image24.png"/><Relationship Id="rId48" Type="http://schemas.openxmlformats.org/officeDocument/2006/relationships/image" Target="media/image27.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header" Target="header15.xml"/><Relationship Id="rId118" Type="http://schemas.openxmlformats.org/officeDocument/2006/relationships/header" Target="header16.xml"/><Relationship Id="rId134" Type="http://schemas.openxmlformats.org/officeDocument/2006/relationships/hyperlink" Target="https://www.cihi.ca/sites/default/files/document/infosheet_popgroupmethod_en_web_0.pdf" TargetMode="External"/><Relationship Id="rId139" Type="http://schemas.openxmlformats.org/officeDocument/2006/relationships/hyperlink" Target="https://www1.health.gov.au/internet/main/publishing.nsf/Content/Evaluation-of-the-Health-Care-Homes-Program" TargetMode="External"/><Relationship Id="rId80" Type="http://schemas.openxmlformats.org/officeDocument/2006/relationships/image" Target="media/image57.png"/><Relationship Id="rId85" Type="http://schemas.openxmlformats.org/officeDocument/2006/relationships/image" Target="media/image62.png"/><Relationship Id="rId150" Type="http://schemas.openxmlformats.org/officeDocument/2006/relationships/hyperlink" Target="https://apps.who.int/iris/handle/10665/155002" TargetMode="Externa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0.png"/><Relationship Id="rId33" Type="http://schemas.openxmlformats.org/officeDocument/2006/relationships/image" Target="media/image16.png"/><Relationship Id="rId38" Type="http://schemas.openxmlformats.org/officeDocument/2006/relationships/image" Target="media/image19.png"/><Relationship Id="rId46" Type="http://schemas.openxmlformats.org/officeDocument/2006/relationships/image" Target="media/image26.png"/><Relationship Id="rId59" Type="http://schemas.openxmlformats.org/officeDocument/2006/relationships/image" Target="media/image37.png"/><Relationship Id="rId67" Type="http://schemas.openxmlformats.org/officeDocument/2006/relationships/image" Target="media/image45.png"/><Relationship Id="rId103" Type="http://schemas.openxmlformats.org/officeDocument/2006/relationships/image" Target="media/image78.png"/><Relationship Id="rId108" Type="http://schemas.openxmlformats.org/officeDocument/2006/relationships/image" Target="media/image83.png"/><Relationship Id="rId116" Type="http://schemas.openxmlformats.org/officeDocument/2006/relationships/image" Target="media/image88.png"/><Relationship Id="rId124" Type="http://schemas.openxmlformats.org/officeDocument/2006/relationships/hyperlink" Target="http://www.health.gov.au/internet/main/publishing.nsf/Content/health-care-homes" TargetMode="External"/><Relationship Id="rId129" Type="http://schemas.openxmlformats.org/officeDocument/2006/relationships/hyperlink" Target="https://www1.health.gov.au/internet/main/publishing.nsf/Content/health-care-homes-cp/$File/Community-Pharmacy-in-Health-Care-Homes-Trial-Program-factsheet-Dec-2018.pdf" TargetMode="External"/><Relationship Id="rId137" Type="http://schemas.openxmlformats.org/officeDocument/2006/relationships/hyperlink" Target="https://www1.health.gov.au/internet/main/publishing.nsf/Content/Evaluation-of-the-Health-Care-Homes-Program" TargetMode="External"/><Relationship Id="rId20" Type="http://schemas.openxmlformats.org/officeDocument/2006/relationships/footer" Target="footer3.xml"/><Relationship Id="rId41" Type="http://schemas.openxmlformats.org/officeDocument/2006/relationships/image" Target="media/image22.png"/><Relationship Id="rId54" Type="http://schemas.openxmlformats.org/officeDocument/2006/relationships/header" Target="header9.xml"/><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2.png"/><Relationship Id="rId83" Type="http://schemas.openxmlformats.org/officeDocument/2006/relationships/image" Target="media/image60.png"/><Relationship Id="rId88" Type="http://schemas.openxmlformats.org/officeDocument/2006/relationships/image" Target="media/image65.png"/><Relationship Id="rId91" Type="http://schemas.openxmlformats.org/officeDocument/2006/relationships/image" Target="media/image68.png"/><Relationship Id="rId96" Type="http://schemas.openxmlformats.org/officeDocument/2006/relationships/image" Target="media/image73.png"/><Relationship Id="rId111" Type="http://schemas.openxmlformats.org/officeDocument/2006/relationships/header" Target="header14.xml"/><Relationship Id="rId132" Type="http://schemas.openxmlformats.org/officeDocument/2006/relationships/hyperlink" Target="https://www1.health.gov.au/internet/main/publishing.nsf/Content/health-care-homes-cp/$File/HCH-Handbook-Feb-2019.pdf" TargetMode="External"/><Relationship Id="rId140" Type="http://schemas.openxmlformats.org/officeDocument/2006/relationships/hyperlink" Target="https://www.ihpa.gov.au/what-we-do/national-weighted-activity-unit-nwau-calculators" TargetMode="External"/><Relationship Id="rId145" Type="http://schemas.openxmlformats.org/officeDocument/2006/relationships/hyperlink" Target="https://my.psa.org.au/servlet/fileField?entityId=ka10o000000U2NvAAK&amp;field=PDF_File_Member_Content__Body__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footer" Target="footer4.xml"/><Relationship Id="rId28" Type="http://schemas.openxmlformats.org/officeDocument/2006/relationships/image" Target="media/image11.emf"/><Relationship Id="rId36" Type="http://schemas.openxmlformats.org/officeDocument/2006/relationships/header" Target="header8.xml"/><Relationship Id="rId49" Type="http://schemas.openxmlformats.org/officeDocument/2006/relationships/image" Target="media/image28.png"/><Relationship Id="rId57" Type="http://schemas.openxmlformats.org/officeDocument/2006/relationships/image" Target="media/image35.png"/><Relationship Id="rId106" Type="http://schemas.openxmlformats.org/officeDocument/2006/relationships/image" Target="media/image81.png"/><Relationship Id="rId114" Type="http://schemas.openxmlformats.org/officeDocument/2006/relationships/image" Target="media/image86.png"/><Relationship Id="rId119" Type="http://schemas.openxmlformats.org/officeDocument/2006/relationships/image" Target="media/image90.png"/><Relationship Id="rId127" Type="http://schemas.openxmlformats.org/officeDocument/2006/relationships/hyperlink" Target="http://www.health.gov.au/internet/main/publishing.nsf/Content/health-care-homes-cp/$File/Minimum%20requirements%20shared%20care%20plans_December.pdf" TargetMode="External"/><Relationship Id="rId10" Type="http://schemas.openxmlformats.org/officeDocument/2006/relationships/image" Target="media/image3.png"/><Relationship Id="rId31" Type="http://schemas.openxmlformats.org/officeDocument/2006/relationships/image" Target="media/image14.png"/><Relationship Id="rId44" Type="http://schemas.openxmlformats.org/officeDocument/2006/relationships/image" Target="media/image25.png"/><Relationship Id="rId52" Type="http://schemas.openxmlformats.org/officeDocument/2006/relationships/image" Target="media/image31.png"/><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0.emf"/><Relationship Id="rId78" Type="http://schemas.openxmlformats.org/officeDocument/2006/relationships/image" Target="media/image55.png"/><Relationship Id="rId81" Type="http://schemas.openxmlformats.org/officeDocument/2006/relationships/image" Target="media/image58.png"/><Relationship Id="rId86" Type="http://schemas.openxmlformats.org/officeDocument/2006/relationships/image" Target="media/image63.png"/><Relationship Id="rId94" Type="http://schemas.openxmlformats.org/officeDocument/2006/relationships/image" Target="media/image71.png"/><Relationship Id="rId99" Type="http://schemas.openxmlformats.org/officeDocument/2006/relationships/header" Target="header12.xml"/><Relationship Id="rId101" Type="http://schemas.openxmlformats.org/officeDocument/2006/relationships/image" Target="media/image76.png"/><Relationship Id="rId122" Type="http://schemas.openxmlformats.org/officeDocument/2006/relationships/hyperlink" Target="https://www.aapm.org.au/Knowledge-Hub/Healthcare-Homes" TargetMode="External"/><Relationship Id="rId130" Type="http://schemas.openxmlformats.org/officeDocument/2006/relationships/hyperlink" Target="https://www1.health.gov.au/internet/main/publishing.nsf/Content/health-care-homes-assurance-compliance" TargetMode="External"/><Relationship Id="rId135" Type="http://schemas.openxmlformats.org/officeDocument/2006/relationships/hyperlink" Target="https://chf.org.au/sites/default/files/20191030_rpt_patient_activation_survey_report_final.pdf" TargetMode="External"/><Relationship Id="rId143" Type="http://schemas.openxmlformats.org/officeDocument/2006/relationships/hyperlink" Target="https://dspace.flinders.edu.au/xmlui/bitstream/handle/2328/36226/PIR_Predictive%20risk%20model.pdf?sequence=1&amp;isAllowed=y" TargetMode="External"/><Relationship Id="rId148" Type="http://schemas.openxmlformats.org/officeDocument/2006/relationships/hyperlink" Target="http://6cpa.com.au/wp-content/uploads/6CPA_CommunityPharmacyinHeathCareHomes-Program-Rules_Jan2020.pdf" TargetMode="External"/><Relationship Id="rId15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image" Target="media/image6.png"/><Relationship Id="rId39" Type="http://schemas.openxmlformats.org/officeDocument/2006/relationships/image" Target="media/image20.png"/><Relationship Id="rId109" Type="http://schemas.openxmlformats.org/officeDocument/2006/relationships/image" Target="media/image84.png"/><Relationship Id="rId34" Type="http://schemas.openxmlformats.org/officeDocument/2006/relationships/image" Target="media/image17.png"/><Relationship Id="rId50" Type="http://schemas.openxmlformats.org/officeDocument/2006/relationships/image" Target="media/image29.png"/><Relationship Id="rId55" Type="http://schemas.openxmlformats.org/officeDocument/2006/relationships/image" Target="media/image33.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79.png"/><Relationship Id="rId120" Type="http://schemas.openxmlformats.org/officeDocument/2006/relationships/header" Target="header17.xml"/><Relationship Id="rId125" Type="http://schemas.openxmlformats.org/officeDocument/2006/relationships/hyperlink" Target="http://pandora.nla.gov.au/pan/154649/20160508-0839/www.pm.gov.au/media/2016-03-31/healthier-medicare-chronically-ill-patients.html" TargetMode="External"/><Relationship Id="rId141" Type="http://schemas.openxmlformats.org/officeDocument/2006/relationships/hyperlink" Target="https://www.hopkinsacg.org/resource-center/" TargetMode="External"/><Relationship Id="rId146" Type="http://schemas.openxmlformats.org/officeDocument/2006/relationships/hyperlink" Target="http://www.health.gov.au/internet/main/publishing.nsf/Content/primary-phcag-report" TargetMode="External"/><Relationship Id="rId7" Type="http://schemas.openxmlformats.org/officeDocument/2006/relationships/endnotes" Target="endnotes.xml"/><Relationship Id="rId71" Type="http://schemas.openxmlformats.org/officeDocument/2006/relationships/header" Target="header10.xml"/><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12.emf"/><Relationship Id="rId24" Type="http://schemas.openxmlformats.org/officeDocument/2006/relationships/image" Target="media/image9.png"/><Relationship Id="rId40" Type="http://schemas.openxmlformats.org/officeDocument/2006/relationships/image" Target="media/image21.png"/><Relationship Id="rId45" Type="http://schemas.openxmlformats.org/officeDocument/2006/relationships/footer" Target="footer5.xml"/><Relationship Id="rId66" Type="http://schemas.openxmlformats.org/officeDocument/2006/relationships/image" Target="media/image44.png"/><Relationship Id="rId87" Type="http://schemas.openxmlformats.org/officeDocument/2006/relationships/image" Target="media/image64.png"/><Relationship Id="rId110" Type="http://schemas.openxmlformats.org/officeDocument/2006/relationships/header" Target="header13.xml"/><Relationship Id="rId115" Type="http://schemas.openxmlformats.org/officeDocument/2006/relationships/image" Target="media/image87.png"/><Relationship Id="rId131" Type="http://schemas.openxmlformats.org/officeDocument/2006/relationships/hyperlink" Target="https://www1.health.gov.au/internet/main/publishing.nsf/Content/health-care-homes-professional" TargetMode="External"/><Relationship Id="rId136" Type="http://schemas.openxmlformats.org/officeDocument/2006/relationships/hyperlink" Target="https://doi.org/10.1111/1475-6773.00143" TargetMode="External"/><Relationship Id="rId61" Type="http://schemas.openxmlformats.org/officeDocument/2006/relationships/image" Target="media/image39.png"/><Relationship Id="rId82" Type="http://schemas.openxmlformats.org/officeDocument/2006/relationships/image" Target="media/image59.png"/><Relationship Id="rId152" Type="http://schemas.openxmlformats.org/officeDocument/2006/relationships/theme" Target="theme/theme1.xml"/><Relationship Id="rId19" Type="http://schemas.openxmlformats.org/officeDocument/2006/relationships/footer" Target="footer2.xml"/><Relationship Id="rId14" Type="http://schemas.openxmlformats.org/officeDocument/2006/relationships/header" Target="header2.xml"/><Relationship Id="rId30" Type="http://schemas.openxmlformats.org/officeDocument/2006/relationships/image" Target="media/image13.png"/><Relationship Id="rId35" Type="http://schemas.openxmlformats.org/officeDocument/2006/relationships/header" Target="header7.xml"/><Relationship Id="rId56" Type="http://schemas.openxmlformats.org/officeDocument/2006/relationships/image" Target="media/image34.png"/><Relationship Id="rId77" Type="http://schemas.openxmlformats.org/officeDocument/2006/relationships/image" Target="media/image54.png"/><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hyperlink" Target="https://www1.health.gov.au/internet/main/publishing.nsf/Content/C6EB6F07C8F62954CA2581A90009CA75/$File/HCH%20Patient%20Consent%20Form%20-%20October%202018.pdf" TargetMode="External"/><Relationship Id="rId147" Type="http://schemas.openxmlformats.org/officeDocument/2006/relationships/hyperlink" Target="https://www.jvei.nl/wp-content/uploads/A-Guide-to-Measuring-the-Triple-Aim.pdf" TargetMode="External"/><Relationship Id="rId8" Type="http://schemas.openxmlformats.org/officeDocument/2006/relationships/image" Target="media/image1.jpeg"/><Relationship Id="rId51" Type="http://schemas.openxmlformats.org/officeDocument/2006/relationships/image" Target="media/image30.png"/><Relationship Id="rId72" Type="http://schemas.openxmlformats.org/officeDocument/2006/relationships/image" Target="media/image49.emf"/><Relationship Id="rId93" Type="http://schemas.openxmlformats.org/officeDocument/2006/relationships/image" Target="media/image70.png"/><Relationship Id="rId98" Type="http://schemas.openxmlformats.org/officeDocument/2006/relationships/header" Target="header11.xml"/><Relationship Id="rId121" Type="http://schemas.openxmlformats.org/officeDocument/2006/relationships/hyperlink" Target="https://www.aapm.org.au/Portals/1/documents/Health-Care-Homes/HCH_Activity_Monitoring_Guide_Oct_2017.pdf" TargetMode="External"/><Relationship Id="rId142" Type="http://schemas.openxmlformats.org/officeDocument/2006/relationships/hyperlink" Target="https://www.nps.org.au/assets/NPS/pdf/GPIR-Report-2019-20.pdf" TargetMode="Externa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notes.xml.rels><?xml version="1.0" encoding="UTF-8" standalone="yes"?>
<Relationships xmlns="http://schemas.openxmlformats.org/package/2006/relationships"><Relationship Id="rId3" Type="http://schemas.openxmlformats.org/officeDocument/2006/relationships/hyperlink" Target="http://www.health.gov.au/internet/main/publishing.nsf/Content/health-care-homes-resources" TargetMode="External"/><Relationship Id="rId2" Type="http://schemas.openxmlformats.org/officeDocument/2006/relationships/hyperlink" Target="http://www.health.gov.au/internet/main/publishing.nsf/Content/health-care-homes-information" TargetMode="External"/><Relationship Id="rId1" Type="http://schemas.openxmlformats.org/officeDocument/2006/relationships/hyperlink" Target="http://www.health.gov.au/internet/main/publishing.nsf/Content/health-care-homes-professional" TargetMode="External"/><Relationship Id="rId5" Type="http://schemas.openxmlformats.org/officeDocument/2006/relationships/hyperlink" Target="http://www.mbsonline.gov.au/internet/mbsonline/publishing.nsf/Content/4EFCF78281A91736CA258654001138AF/$File/mbsbook-march2021.pdf" TargetMode="External"/><Relationship Id="rId4" Type="http://schemas.openxmlformats.org/officeDocument/2006/relationships/hyperlink" Target="http://www.health.gov.au/internet/main/publishing.nsf/Content/health-care-hom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5682F6-7708-435B-9946-35968FD480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394</Pages>
  <Words>143624</Words>
  <Characters>818659</Characters>
  <Application>Microsoft Office Word</Application>
  <DocSecurity>0</DocSecurity>
  <Lines>6822</Lines>
  <Paragraphs>1920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960363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2022-08-16T02:58:00Z</dcterms:created>
  <dcterms:modified xsi:type="dcterms:W3CDTF">2022-08-16T03:13:00Z</dcterms:modified>
</cp:coreProperties>
</file>